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289" w:rsidRDefault="00907289" w:rsidP="006656A9">
      <w:pPr>
        <w:jc w:val="center"/>
        <w:outlineLvl w:val="0"/>
        <w:rPr>
          <w:rFonts w:ascii="Arial" w:hAnsi="Arial" w:cs="Arial"/>
          <w:sz w:val="22"/>
          <w:szCs w:val="22"/>
        </w:rPr>
      </w:pPr>
      <w:r>
        <w:rPr>
          <w:rFonts w:ascii="Arial" w:hAnsi="Arial" w:cs="Arial"/>
          <w:sz w:val="22"/>
          <w:szCs w:val="22"/>
        </w:rPr>
        <w:t>PRODUCT INFORMATION</w:t>
      </w:r>
    </w:p>
    <w:p w:rsidR="00907289" w:rsidRDefault="00907289" w:rsidP="005D7CDE">
      <w:pPr>
        <w:spacing w:before="100" w:beforeAutospacing="1" w:after="120"/>
        <w:jc w:val="center"/>
        <w:outlineLvl w:val="0"/>
        <w:rPr>
          <w:rFonts w:ascii="Arial" w:hAnsi="Arial" w:cs="Arial"/>
          <w:sz w:val="22"/>
          <w:szCs w:val="22"/>
        </w:rPr>
      </w:pPr>
      <w:r>
        <w:rPr>
          <w:rFonts w:ascii="Arial" w:hAnsi="Arial" w:cs="Arial"/>
          <w:sz w:val="22"/>
          <w:szCs w:val="22"/>
        </w:rPr>
        <w:t>JANUMET</w:t>
      </w:r>
      <w:r>
        <w:rPr>
          <w:rFonts w:ascii="Arial" w:hAnsi="Arial" w:cs="Arial"/>
          <w:sz w:val="22"/>
          <w:szCs w:val="22"/>
          <w:vertAlign w:val="superscript"/>
        </w:rPr>
        <w:t>®</w:t>
      </w:r>
    </w:p>
    <w:p w:rsidR="00907289" w:rsidRDefault="00907289" w:rsidP="006656A9">
      <w:pPr>
        <w:spacing w:after="120"/>
        <w:jc w:val="center"/>
        <w:outlineLvl w:val="0"/>
        <w:rPr>
          <w:rFonts w:ascii="Arial" w:hAnsi="Arial" w:cs="Arial"/>
          <w:sz w:val="22"/>
          <w:szCs w:val="22"/>
        </w:rPr>
      </w:pPr>
      <w:r>
        <w:rPr>
          <w:rFonts w:ascii="Arial" w:hAnsi="Arial" w:cs="Arial"/>
          <w:sz w:val="22"/>
          <w:szCs w:val="22"/>
        </w:rPr>
        <w:t>(sitagliptin phosphate monohydrate/metformin hydrochloride, MSD)</w:t>
      </w:r>
    </w:p>
    <w:p w:rsidR="00907289" w:rsidRDefault="00907289" w:rsidP="006656A9">
      <w:pPr>
        <w:spacing w:after="120"/>
        <w:jc w:val="center"/>
        <w:outlineLvl w:val="0"/>
        <w:rPr>
          <w:rFonts w:ascii="Arial" w:hAnsi="Arial" w:cs="Arial"/>
          <w:sz w:val="22"/>
          <w:szCs w:val="22"/>
        </w:rPr>
      </w:pPr>
      <w:r>
        <w:rPr>
          <w:rFonts w:ascii="Arial" w:hAnsi="Arial" w:cs="Arial"/>
          <w:sz w:val="22"/>
          <w:szCs w:val="22"/>
        </w:rPr>
        <w:t>50 mg/500 mg, 50 mg/850 mg &amp; 50 mg/1000 mg</w:t>
      </w:r>
    </w:p>
    <w:p w:rsidR="00907289" w:rsidRDefault="00907289" w:rsidP="005D7CDE">
      <w:pPr>
        <w:spacing w:before="100" w:beforeAutospacing="1" w:after="100" w:afterAutospacing="1"/>
        <w:jc w:val="center"/>
        <w:outlineLvl w:val="0"/>
        <w:rPr>
          <w:rFonts w:ascii="Arial" w:hAnsi="Arial" w:cs="Arial"/>
          <w:b/>
          <w:sz w:val="22"/>
          <w:szCs w:val="22"/>
        </w:rPr>
      </w:pPr>
      <w:r>
        <w:rPr>
          <w:rFonts w:ascii="Arial" w:hAnsi="Arial" w:cs="Arial"/>
          <w:b/>
          <w:sz w:val="22"/>
          <w:szCs w:val="22"/>
        </w:rPr>
        <w:t>DESCRIPTION</w:t>
      </w:r>
    </w:p>
    <w:p w:rsidR="00907289" w:rsidRDefault="00907289">
      <w:pPr>
        <w:jc w:val="both"/>
        <w:rPr>
          <w:rFonts w:ascii="Arial" w:hAnsi="Arial" w:cs="Arial"/>
          <w:color w:val="000000"/>
          <w:sz w:val="22"/>
          <w:szCs w:val="22"/>
        </w:rPr>
      </w:pPr>
      <w:r>
        <w:rPr>
          <w:rFonts w:ascii="Arial" w:hAnsi="Arial" w:cs="Arial"/>
          <w:sz w:val="22"/>
          <w:szCs w:val="22"/>
        </w:rPr>
        <w:t>JANUMET combines two antihyperglycaemic agents with complementary mechanisms of action to improve glycaemic control in patients with type 2 diabetes: sitagliptin phosphate monohydrate, a dipeptidyl peptidase 4 (DPP-4) inhibitor, and metformin hydrochloride, a member of the biguanide class.</w:t>
      </w:r>
    </w:p>
    <w:p w:rsidR="00907289" w:rsidRDefault="00907289" w:rsidP="005D7CDE">
      <w:pPr>
        <w:spacing w:before="100" w:beforeAutospacing="1" w:after="100" w:afterAutospacing="1"/>
        <w:jc w:val="both"/>
        <w:rPr>
          <w:rFonts w:ascii="Arial" w:hAnsi="Arial" w:cs="Arial"/>
          <w:color w:val="000000"/>
          <w:sz w:val="22"/>
          <w:szCs w:val="22"/>
        </w:rPr>
      </w:pPr>
      <w:r>
        <w:rPr>
          <w:rFonts w:ascii="Arial" w:hAnsi="Arial" w:cs="Arial"/>
          <w:color w:val="000000"/>
          <w:sz w:val="22"/>
          <w:szCs w:val="22"/>
        </w:rPr>
        <w:t>JANUMET is available for oral administration as film-coated tablets containing sitagliptin phosphate monohydrate and metformin hydrochloride equivalent to: 50 mg sitagliptin as free base and 500 mg metformin hydrochloride (JANUMET 50 mg/500 mg), 850 mg metformin hydrochloride (JANUMET 50 mg/850 mg) or 1000 mg metformin hydrochloride (JANUMET 50 mg/1000 mg).</w:t>
      </w:r>
    </w:p>
    <w:p w:rsidR="00907289" w:rsidRDefault="00907289" w:rsidP="005D7CDE">
      <w:pPr>
        <w:spacing w:after="100" w:afterAutospacing="1"/>
        <w:jc w:val="both"/>
        <w:rPr>
          <w:rFonts w:ascii="Arial" w:hAnsi="Arial" w:cs="Arial"/>
          <w:color w:val="000000"/>
          <w:sz w:val="22"/>
          <w:szCs w:val="22"/>
        </w:rPr>
      </w:pPr>
      <w:r>
        <w:rPr>
          <w:rFonts w:ascii="Arial" w:hAnsi="Arial" w:cs="Arial"/>
          <w:color w:val="000000"/>
          <w:sz w:val="22"/>
          <w:szCs w:val="22"/>
        </w:rPr>
        <w:t>Each film-coated tablet of JANUMET contains the following inactive ingredients: microcrystalline cellulose, povidone, sodium lauryl sulfate, and sodium stearylfumarate. In addition, the film coating contains the following inactive ingredients: polyvinyl alcohol, macrogol 3350, talc purified, titanium dioxide, iron oxide red CI77491, and iron oxide black CI77499.</w:t>
      </w:r>
    </w:p>
    <w:p w:rsidR="00907289" w:rsidRDefault="00907289" w:rsidP="006656A9">
      <w:pPr>
        <w:outlineLvl w:val="0"/>
        <w:rPr>
          <w:rFonts w:ascii="Arial" w:hAnsi="Arial" w:cs="Arial"/>
          <w:b/>
          <w:sz w:val="22"/>
          <w:szCs w:val="22"/>
        </w:rPr>
      </w:pPr>
      <w:r>
        <w:rPr>
          <w:rFonts w:ascii="Arial" w:hAnsi="Arial" w:cs="Arial"/>
          <w:b/>
          <w:sz w:val="22"/>
          <w:szCs w:val="22"/>
        </w:rPr>
        <w:t>Sitagliptin phosphate monohydrate</w:t>
      </w:r>
    </w:p>
    <w:p w:rsidR="00907289" w:rsidRDefault="00907289">
      <w:pPr>
        <w:jc w:val="both"/>
        <w:rPr>
          <w:rFonts w:ascii="Arial" w:hAnsi="Arial" w:cs="Arial"/>
          <w:sz w:val="22"/>
          <w:szCs w:val="22"/>
        </w:rPr>
      </w:pPr>
      <w:r>
        <w:rPr>
          <w:rFonts w:ascii="Arial" w:hAnsi="Arial" w:cs="Arial"/>
          <w:sz w:val="22"/>
          <w:szCs w:val="22"/>
        </w:rPr>
        <w:t>The chemical name of sitagliptin phosphate monohydrate is 7-[(3</w:t>
      </w:r>
      <w:r>
        <w:rPr>
          <w:rFonts w:ascii="Arial" w:hAnsi="Arial" w:cs="Arial"/>
          <w:i/>
          <w:iCs/>
          <w:sz w:val="22"/>
          <w:szCs w:val="22"/>
        </w:rPr>
        <w:t>R</w:t>
      </w:r>
      <w:r>
        <w:rPr>
          <w:rFonts w:ascii="Arial" w:hAnsi="Arial" w:cs="Arial"/>
          <w:sz w:val="22"/>
          <w:szCs w:val="22"/>
        </w:rPr>
        <w:t>)-3-amino-1-oxo-4-(2,4,5-trifluorophenyl)butyl]-5,6,7,8-tetrahydro-3-(trifluoromethyl)-1,2,4-triazolo[4,3-</w:t>
      </w:r>
      <w:r>
        <w:rPr>
          <w:rFonts w:ascii="Arial" w:hAnsi="Arial" w:cs="Arial"/>
          <w:i/>
          <w:iCs/>
          <w:sz w:val="22"/>
          <w:szCs w:val="22"/>
        </w:rPr>
        <w:t>a</w:t>
      </w:r>
      <w:r>
        <w:rPr>
          <w:rFonts w:ascii="Arial" w:hAnsi="Arial" w:cs="Arial"/>
          <w:sz w:val="22"/>
          <w:szCs w:val="22"/>
        </w:rPr>
        <w:t>]pyrazine phosphate (1:1) monohydrate. The CAS Registry Number is 654671-77-9.</w:t>
      </w:r>
    </w:p>
    <w:p w:rsidR="00907289" w:rsidRDefault="00907289" w:rsidP="005D7CDE">
      <w:pPr>
        <w:spacing w:before="100" w:beforeAutospacing="1"/>
        <w:jc w:val="both"/>
        <w:rPr>
          <w:rFonts w:ascii="Arial" w:hAnsi="Arial" w:cs="Arial"/>
          <w:sz w:val="22"/>
          <w:szCs w:val="22"/>
        </w:rPr>
      </w:pPr>
      <w:r>
        <w:rPr>
          <w:rFonts w:ascii="Arial" w:hAnsi="Arial" w:cs="Arial"/>
          <w:sz w:val="22"/>
          <w:szCs w:val="22"/>
        </w:rPr>
        <w:t>The empirical formula is C</w:t>
      </w:r>
      <w:r>
        <w:rPr>
          <w:rFonts w:ascii="Arial" w:hAnsi="Arial" w:cs="Arial"/>
          <w:sz w:val="22"/>
          <w:szCs w:val="22"/>
          <w:vertAlign w:val="subscript"/>
        </w:rPr>
        <w:t>16</w:t>
      </w:r>
      <w:r>
        <w:rPr>
          <w:rFonts w:ascii="Arial" w:hAnsi="Arial" w:cs="Arial"/>
          <w:sz w:val="22"/>
          <w:szCs w:val="22"/>
        </w:rPr>
        <w:t>H</w:t>
      </w:r>
      <w:r>
        <w:rPr>
          <w:rFonts w:ascii="Arial" w:hAnsi="Arial" w:cs="Arial"/>
          <w:sz w:val="22"/>
          <w:szCs w:val="22"/>
          <w:vertAlign w:val="subscript"/>
        </w:rPr>
        <w:t>15</w:t>
      </w:r>
      <w:r>
        <w:rPr>
          <w:rFonts w:ascii="Arial" w:hAnsi="Arial" w:cs="Arial"/>
          <w:sz w:val="22"/>
          <w:szCs w:val="22"/>
        </w:rPr>
        <w:t>F</w:t>
      </w:r>
      <w:r>
        <w:rPr>
          <w:rFonts w:ascii="Arial" w:hAnsi="Arial" w:cs="Arial"/>
          <w:sz w:val="22"/>
          <w:szCs w:val="22"/>
          <w:vertAlign w:val="subscript"/>
        </w:rPr>
        <w:t>6</w:t>
      </w:r>
      <w:r>
        <w:rPr>
          <w:rFonts w:ascii="Arial" w:hAnsi="Arial" w:cs="Arial"/>
          <w:sz w:val="22"/>
          <w:szCs w:val="22"/>
        </w:rPr>
        <w:t>N</w:t>
      </w:r>
      <w:r>
        <w:rPr>
          <w:rFonts w:ascii="Arial" w:hAnsi="Arial" w:cs="Arial"/>
          <w:sz w:val="22"/>
          <w:szCs w:val="22"/>
          <w:vertAlign w:val="subscript"/>
        </w:rPr>
        <w:t>5</w:t>
      </w:r>
      <w:r>
        <w:rPr>
          <w:rFonts w:ascii="Arial" w:hAnsi="Arial" w:cs="Arial"/>
          <w:sz w:val="22"/>
          <w:szCs w:val="22"/>
        </w:rPr>
        <w:t>O•H</w:t>
      </w:r>
      <w:r>
        <w:rPr>
          <w:rFonts w:ascii="Arial" w:hAnsi="Arial" w:cs="Arial"/>
          <w:sz w:val="22"/>
          <w:szCs w:val="22"/>
          <w:vertAlign w:val="subscript"/>
        </w:rPr>
        <w:t>3</w:t>
      </w:r>
      <w:r>
        <w:rPr>
          <w:rFonts w:ascii="Arial" w:hAnsi="Arial" w:cs="Arial"/>
          <w:sz w:val="22"/>
          <w:szCs w:val="22"/>
        </w:rPr>
        <w:t>PO</w:t>
      </w:r>
      <w:r>
        <w:rPr>
          <w:rFonts w:ascii="Arial" w:hAnsi="Arial" w:cs="Arial"/>
          <w:sz w:val="22"/>
          <w:szCs w:val="22"/>
          <w:vertAlign w:val="subscript"/>
        </w:rPr>
        <w:t>4</w:t>
      </w:r>
      <w:r>
        <w:rPr>
          <w:rFonts w:ascii="Arial" w:hAnsi="Arial" w:cs="Arial"/>
          <w:sz w:val="22"/>
          <w:szCs w:val="22"/>
        </w:rPr>
        <w:t>•H</w:t>
      </w:r>
      <w:r>
        <w:rPr>
          <w:rFonts w:ascii="Arial" w:hAnsi="Arial" w:cs="Arial"/>
          <w:sz w:val="22"/>
          <w:szCs w:val="22"/>
          <w:vertAlign w:val="subscript"/>
        </w:rPr>
        <w:t>2</w:t>
      </w:r>
      <w:r>
        <w:rPr>
          <w:rFonts w:ascii="Arial" w:hAnsi="Arial" w:cs="Arial"/>
          <w:sz w:val="22"/>
          <w:szCs w:val="22"/>
        </w:rPr>
        <w:t>O and the molecular weight is 523.32. The structural formula is:</w:t>
      </w:r>
    </w:p>
    <w:p w:rsidR="00907289" w:rsidRDefault="009D48CF">
      <w:pPr>
        <w:ind w:left="1440" w:firstLine="720"/>
        <w:jc w:val="both"/>
        <w:rPr>
          <w:rFonts w:ascii="Arial" w:hAnsi="Arial" w:cs="Arial"/>
        </w:rPr>
      </w:pPr>
      <w:r>
        <w:rPr>
          <w:noProof/>
        </w:rPr>
        <w:drawing>
          <wp:inline distT="0" distB="0" distL="0" distR="0">
            <wp:extent cx="2857500" cy="1083945"/>
            <wp:effectExtent l="19050" t="0" r="0" b="0"/>
            <wp:docPr id="1" name="Picture 1" descr="structure of sitagliptin phosphate monohyd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ucture of sitagliptin phosphate monohydrate"/>
                    <pic:cNvPicPr>
                      <a:picLocks noChangeAspect="1" noChangeArrowheads="1"/>
                    </pic:cNvPicPr>
                  </pic:nvPicPr>
                  <pic:blipFill>
                    <a:blip r:embed="rId8" cstate="print"/>
                    <a:srcRect/>
                    <a:stretch>
                      <a:fillRect/>
                    </a:stretch>
                  </pic:blipFill>
                  <pic:spPr bwMode="auto">
                    <a:xfrm>
                      <a:off x="0" y="0"/>
                      <a:ext cx="2857500" cy="1083945"/>
                    </a:xfrm>
                    <a:prstGeom prst="rect">
                      <a:avLst/>
                    </a:prstGeom>
                    <a:noFill/>
                    <a:ln w="9525">
                      <a:noFill/>
                      <a:miter lim="800000"/>
                      <a:headEnd/>
                      <a:tailEnd/>
                    </a:ln>
                  </pic:spPr>
                </pic:pic>
              </a:graphicData>
            </a:graphic>
          </wp:inline>
        </w:drawing>
      </w:r>
    </w:p>
    <w:p w:rsidR="00907289" w:rsidRDefault="00907289" w:rsidP="005D7CDE">
      <w:pPr>
        <w:spacing w:after="100" w:afterAutospacing="1"/>
        <w:jc w:val="both"/>
        <w:rPr>
          <w:rFonts w:ascii="Arial" w:hAnsi="Arial" w:cs="Arial"/>
          <w:sz w:val="22"/>
          <w:szCs w:val="22"/>
        </w:rPr>
      </w:pPr>
      <w:r>
        <w:rPr>
          <w:rFonts w:ascii="Arial" w:hAnsi="Arial" w:cs="Arial"/>
          <w:sz w:val="22"/>
          <w:szCs w:val="22"/>
        </w:rPr>
        <w:t xml:space="preserve">Sitagliptin phosphate monohydrate is a white to off-white, crystalline, non-hygroscopic powder. It is soluble in water and N,N-dimethyl formamide; slightly soluble in methanol; very slightly soluble in ethanol, acetone, and acetonitrile; and insoluble in isopropanol and isopropyl acetate. The pKa of sitagliptin is 7.7 </w:t>
      </w:r>
    </w:p>
    <w:p w:rsidR="00907289" w:rsidRDefault="00907289" w:rsidP="006656A9">
      <w:pPr>
        <w:jc w:val="both"/>
        <w:outlineLvl w:val="0"/>
        <w:rPr>
          <w:rFonts w:ascii="Arial" w:hAnsi="Arial" w:cs="Arial"/>
          <w:b/>
          <w:sz w:val="22"/>
          <w:szCs w:val="22"/>
        </w:rPr>
      </w:pPr>
      <w:r>
        <w:rPr>
          <w:rFonts w:ascii="Arial" w:hAnsi="Arial" w:cs="Arial"/>
          <w:b/>
          <w:sz w:val="22"/>
          <w:szCs w:val="22"/>
        </w:rPr>
        <w:t>Metformin hydrochloride</w:t>
      </w:r>
    </w:p>
    <w:p w:rsidR="00907289" w:rsidRDefault="00907289" w:rsidP="005D7CDE">
      <w:pPr>
        <w:spacing w:after="100" w:afterAutospacing="1"/>
        <w:jc w:val="both"/>
        <w:rPr>
          <w:rFonts w:ascii="Arial" w:hAnsi="Arial" w:cs="Arial"/>
          <w:sz w:val="22"/>
          <w:szCs w:val="22"/>
        </w:rPr>
      </w:pPr>
      <w:r>
        <w:rPr>
          <w:rFonts w:ascii="Arial" w:hAnsi="Arial" w:cs="Arial"/>
          <w:sz w:val="22"/>
          <w:szCs w:val="22"/>
        </w:rPr>
        <w:t>Metformin hydrochloride (</w:t>
      </w:r>
      <w:r>
        <w:rPr>
          <w:rFonts w:ascii="Arial" w:hAnsi="Arial" w:cs="Arial"/>
          <w:i/>
          <w:iCs/>
          <w:sz w:val="22"/>
          <w:szCs w:val="22"/>
        </w:rPr>
        <w:t>N</w:t>
      </w:r>
      <w:r>
        <w:rPr>
          <w:rFonts w:ascii="Arial" w:hAnsi="Arial" w:cs="Arial"/>
          <w:sz w:val="22"/>
          <w:szCs w:val="22"/>
        </w:rPr>
        <w:t>,</w:t>
      </w:r>
      <w:r>
        <w:rPr>
          <w:rFonts w:ascii="Arial" w:hAnsi="Arial" w:cs="Arial"/>
          <w:i/>
          <w:iCs/>
          <w:sz w:val="22"/>
          <w:szCs w:val="22"/>
        </w:rPr>
        <w:t>N</w:t>
      </w:r>
      <w:r>
        <w:rPr>
          <w:rFonts w:ascii="Arial" w:hAnsi="Arial" w:cs="Arial"/>
          <w:sz w:val="22"/>
          <w:szCs w:val="22"/>
        </w:rPr>
        <w:t>-dimethylimidodicarbonimidic diamide hydrochloride) is not chemically or pharmacologically related to any other classes of oral antihyperglycaemic agents. The CAS Registry Number is 1115-70-4. The structural formula is as shown:</w:t>
      </w:r>
    </w:p>
    <w:p w:rsidR="00907289" w:rsidRDefault="009D48CF">
      <w:pPr>
        <w:ind w:left="2160" w:firstLine="720"/>
        <w:jc w:val="both"/>
        <w:rPr>
          <w:rFonts w:ascii="Arial" w:hAnsi="Arial" w:cs="Arial"/>
        </w:rPr>
      </w:pPr>
      <w:r>
        <w:rPr>
          <w:rFonts w:ascii="Arial" w:hAnsi="Arial" w:cs="Arial"/>
          <w:noProof/>
        </w:rPr>
        <w:drawing>
          <wp:inline distT="0" distB="0" distL="0" distR="0">
            <wp:extent cx="1875155" cy="817245"/>
            <wp:effectExtent l="19050" t="0" r="0" b="0"/>
            <wp:docPr id="2" name="Picture 2" descr="Metformin hydrochlor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tformin hydrochloride"/>
                    <pic:cNvPicPr>
                      <a:picLocks noChangeAspect="1" noChangeArrowheads="1"/>
                    </pic:cNvPicPr>
                  </pic:nvPicPr>
                  <pic:blipFill>
                    <a:blip r:embed="rId9" cstate="print"/>
                    <a:srcRect/>
                    <a:stretch>
                      <a:fillRect/>
                    </a:stretch>
                  </pic:blipFill>
                  <pic:spPr bwMode="auto">
                    <a:xfrm>
                      <a:off x="0" y="0"/>
                      <a:ext cx="1875155" cy="817245"/>
                    </a:xfrm>
                    <a:prstGeom prst="rect">
                      <a:avLst/>
                    </a:prstGeom>
                    <a:noFill/>
                    <a:ln w="9525">
                      <a:noFill/>
                      <a:miter lim="800000"/>
                      <a:headEnd/>
                      <a:tailEnd/>
                    </a:ln>
                  </pic:spPr>
                </pic:pic>
              </a:graphicData>
            </a:graphic>
          </wp:inline>
        </w:drawing>
      </w:r>
    </w:p>
    <w:p w:rsidR="00907289" w:rsidRDefault="00907289" w:rsidP="005D7CDE">
      <w:pPr>
        <w:spacing w:before="100" w:beforeAutospacing="1" w:after="100" w:afterAutospacing="1"/>
        <w:jc w:val="both"/>
        <w:rPr>
          <w:rFonts w:ascii="Arial" w:hAnsi="Arial" w:cs="Arial"/>
          <w:sz w:val="22"/>
          <w:szCs w:val="22"/>
        </w:rPr>
      </w:pPr>
      <w:r>
        <w:rPr>
          <w:rFonts w:ascii="Arial" w:hAnsi="Arial" w:cs="Arial"/>
          <w:sz w:val="22"/>
          <w:szCs w:val="22"/>
        </w:rPr>
        <w:lastRenderedPageBreak/>
        <w:t>Metformin hydrochloride is a white to off-white crystalline compound with a molecular formula of C</w:t>
      </w:r>
      <w:r>
        <w:rPr>
          <w:rFonts w:ascii="Arial" w:hAnsi="Arial" w:cs="Arial"/>
          <w:sz w:val="22"/>
          <w:szCs w:val="22"/>
          <w:vertAlign w:val="subscript"/>
        </w:rPr>
        <w:t>4</w:t>
      </w:r>
      <w:r>
        <w:rPr>
          <w:rFonts w:ascii="Arial" w:hAnsi="Arial" w:cs="Arial"/>
          <w:sz w:val="22"/>
          <w:szCs w:val="22"/>
        </w:rPr>
        <w:t>H</w:t>
      </w:r>
      <w:r>
        <w:rPr>
          <w:rFonts w:ascii="Arial" w:hAnsi="Arial" w:cs="Arial"/>
          <w:sz w:val="22"/>
          <w:szCs w:val="22"/>
          <w:vertAlign w:val="subscript"/>
        </w:rPr>
        <w:t>11</w:t>
      </w:r>
      <w:r>
        <w:rPr>
          <w:rFonts w:ascii="Arial" w:hAnsi="Arial" w:cs="Arial"/>
          <w:sz w:val="22"/>
          <w:szCs w:val="22"/>
        </w:rPr>
        <w:t>N</w:t>
      </w:r>
      <w:r>
        <w:rPr>
          <w:rFonts w:ascii="Arial" w:hAnsi="Arial" w:cs="Arial"/>
          <w:sz w:val="22"/>
          <w:szCs w:val="22"/>
          <w:vertAlign w:val="subscript"/>
        </w:rPr>
        <w:t>5</w:t>
      </w:r>
      <w:r>
        <w:rPr>
          <w:rFonts w:ascii="Arial" w:hAnsi="Arial" w:cs="Arial"/>
          <w:sz w:val="22"/>
          <w:szCs w:val="22"/>
        </w:rPr>
        <w:t>•HCl and a molecular weight of 165.63. Metformin hydrochloride is freely soluble in water and is practically insoluble in acetone, ether and chloroform. The pK</w:t>
      </w:r>
      <w:r>
        <w:rPr>
          <w:rFonts w:ascii="Arial" w:hAnsi="Arial" w:cs="Arial"/>
          <w:sz w:val="22"/>
          <w:szCs w:val="22"/>
          <w:vertAlign w:val="subscript"/>
        </w:rPr>
        <w:t>a</w:t>
      </w:r>
      <w:r>
        <w:rPr>
          <w:rFonts w:ascii="Arial" w:hAnsi="Arial" w:cs="Arial"/>
          <w:sz w:val="22"/>
          <w:szCs w:val="22"/>
        </w:rPr>
        <w:t xml:space="preserve"> of metformin is 12.4. The pH of a 1% aqueous solution of metformin hydrochloride is 6.68.</w:t>
      </w:r>
    </w:p>
    <w:p w:rsidR="00907289" w:rsidRDefault="00907289" w:rsidP="006656A9">
      <w:pPr>
        <w:jc w:val="center"/>
        <w:outlineLvl w:val="0"/>
        <w:rPr>
          <w:rFonts w:ascii="Arial" w:hAnsi="Arial" w:cs="Arial"/>
          <w:b/>
          <w:sz w:val="22"/>
          <w:szCs w:val="22"/>
        </w:rPr>
      </w:pPr>
      <w:r>
        <w:rPr>
          <w:rFonts w:ascii="Arial" w:hAnsi="Arial" w:cs="Arial"/>
          <w:b/>
          <w:sz w:val="22"/>
          <w:szCs w:val="22"/>
        </w:rPr>
        <w:t>PHARMACOLOGY</w:t>
      </w:r>
    </w:p>
    <w:p w:rsidR="00907289" w:rsidRDefault="00907289" w:rsidP="006656A9">
      <w:pPr>
        <w:outlineLvl w:val="0"/>
        <w:rPr>
          <w:rFonts w:ascii="Arial" w:hAnsi="Arial" w:cs="Arial"/>
          <w:b/>
          <w:sz w:val="22"/>
          <w:szCs w:val="22"/>
        </w:rPr>
      </w:pPr>
      <w:r>
        <w:rPr>
          <w:rFonts w:ascii="Arial" w:hAnsi="Arial" w:cs="Arial"/>
          <w:b/>
          <w:sz w:val="22"/>
          <w:szCs w:val="22"/>
        </w:rPr>
        <w:t>Mechanism of Action</w:t>
      </w:r>
    </w:p>
    <w:p w:rsidR="00907289" w:rsidRDefault="00907289" w:rsidP="005D7CDE">
      <w:pPr>
        <w:spacing w:before="100" w:beforeAutospacing="1"/>
        <w:jc w:val="both"/>
        <w:outlineLvl w:val="0"/>
        <w:rPr>
          <w:rFonts w:ascii="Arial" w:hAnsi="Arial" w:cs="Arial"/>
          <w:i/>
          <w:sz w:val="22"/>
          <w:szCs w:val="22"/>
        </w:rPr>
      </w:pPr>
      <w:r>
        <w:rPr>
          <w:rFonts w:ascii="Arial" w:hAnsi="Arial" w:cs="Arial"/>
          <w:i/>
          <w:sz w:val="22"/>
          <w:szCs w:val="22"/>
        </w:rPr>
        <w:t>Sitagliptin phosphate monohydrate</w:t>
      </w:r>
    </w:p>
    <w:p w:rsidR="00907289" w:rsidRDefault="00907289" w:rsidP="005D7CDE">
      <w:pPr>
        <w:spacing w:after="100" w:afterAutospacing="1"/>
        <w:jc w:val="both"/>
        <w:rPr>
          <w:rFonts w:ascii="Arial" w:hAnsi="Arial" w:cs="Arial"/>
          <w:color w:val="000000"/>
          <w:sz w:val="22"/>
          <w:szCs w:val="22"/>
        </w:rPr>
      </w:pPr>
      <w:r>
        <w:rPr>
          <w:rFonts w:ascii="Arial" w:hAnsi="Arial" w:cs="Arial"/>
          <w:color w:val="000000"/>
          <w:sz w:val="22"/>
          <w:szCs w:val="22"/>
        </w:rPr>
        <w:t>Sitagliptin phosphate monohydrate is a member of a class of oral antihyperglycaemic agents called dipeptidyl peptidase 4 (DPP</w:t>
      </w:r>
      <w:r>
        <w:rPr>
          <w:rFonts w:ascii="Arial" w:hAnsi="Arial" w:cs="Arial"/>
          <w:color w:val="000000"/>
          <w:sz w:val="22"/>
          <w:szCs w:val="22"/>
        </w:rPr>
        <w:noBreakHyphen/>
        <w:t>4) inhibitors, which improve glycaemic control in patients with type 2 diabetes by enhancing the levels of active incretin hormones. Incretin hormones, including glucagon-like peptide-1 (GLP-1) and glucose-dependent insulinotropic polypeptide (GIP), are released by the intestine throughout the day, and levels are increased in response to a meal. The incretins are part of an endogenous system involved in the physiologic regulation of glucose homeostasis. When blood glucose concentrations are normal or elevated, GLP-1 and GIP increase insulin synthesis and release from pancreatic beta cells by intracellular signalling pathways involving cyclic AMP. Treatment with GLP-1 or with DPP</w:t>
      </w:r>
      <w:r>
        <w:rPr>
          <w:rFonts w:ascii="Arial" w:hAnsi="Arial" w:cs="Arial"/>
          <w:color w:val="000000"/>
          <w:sz w:val="22"/>
          <w:szCs w:val="22"/>
        </w:rPr>
        <w:noBreakHyphen/>
        <w:t xml:space="preserve">4 inhibitors in animal models of type 2 diabetes has been demonstrated to improve beta cell responsiveness to glucose and stimulate insulin biosynthesis and release. With higher insulin levels, tissue glucose uptake is enhanced. In addition, GLP-1 lowers glucagon secretion from pancreatic alpha cells. Decreased glucagon concentrations, along with higher insulin levels, lead to reduced hepatic glucose production, resulting in a decrease in blood glucose levels. The effects of GLP-1 and GIP are glucose-dependent such that when blood glucose concentrations are low, stimulation of insulin release and suppression of glucagon secretion by GLP-1 are not observed. </w:t>
      </w:r>
      <w:r>
        <w:rPr>
          <w:rFonts w:ascii="Arial" w:hAnsi="Arial" w:cs="Arial"/>
          <w:sz w:val="22"/>
          <w:szCs w:val="22"/>
        </w:rPr>
        <w:t xml:space="preserve">For both GLP-1 and GIP, stimulation of insulin- release is enhanced as glucose rises above normal concentrations. Further, </w:t>
      </w:r>
      <w:r>
        <w:rPr>
          <w:rFonts w:ascii="Arial" w:hAnsi="Arial" w:cs="Arial"/>
          <w:color w:val="000000"/>
          <w:sz w:val="22"/>
          <w:szCs w:val="22"/>
        </w:rPr>
        <w:t>GLP-1 does not impair the normal glucagon response to hypoglycaemia. The activity of GLP-1 and GIP is limited by the DPP</w:t>
      </w:r>
      <w:r>
        <w:rPr>
          <w:rFonts w:ascii="Arial" w:hAnsi="Arial" w:cs="Arial"/>
          <w:color w:val="000000"/>
          <w:sz w:val="22"/>
          <w:szCs w:val="22"/>
        </w:rPr>
        <w:noBreakHyphen/>
        <w:t>4 enzyme, which rapidly hydrolyses the incretin hormones to produce inactive products. Sitagliptin prevents the hydrolysis of incretin hormones by DPP</w:t>
      </w:r>
      <w:r>
        <w:rPr>
          <w:rFonts w:ascii="Arial" w:hAnsi="Arial" w:cs="Arial"/>
          <w:color w:val="000000"/>
          <w:sz w:val="22"/>
          <w:szCs w:val="22"/>
        </w:rPr>
        <w:noBreakHyphen/>
        <w:t>4, thereby increasing plasma concentrations of the active forms of GLP</w:t>
      </w:r>
      <w:r>
        <w:rPr>
          <w:rFonts w:ascii="Arial" w:hAnsi="Arial" w:cs="Arial"/>
          <w:color w:val="000000"/>
          <w:sz w:val="22"/>
          <w:szCs w:val="22"/>
        </w:rPr>
        <w:noBreakHyphen/>
        <w:t xml:space="preserve">1 and GIP. By enhancing active incretin levels, sitagliptin increases insulin release and decreases glucagon levels in a glucose-dependent manner. This glucose-dependent mechanism is unlike the mechanism seen with sulfonylureas, whereby insulin is released even when glucose levels are low and can lead to hypoglycaemia in patients with type 2 diabetes and in normal subjects. In patients with type 2 diabetes with hyperglycaemia, these changes in insulin and glucagon levels lead to lower haemoglobin </w:t>
      </w:r>
      <w:r>
        <w:rPr>
          <w:rFonts w:ascii="Arial" w:hAnsi="Arial" w:cs="Arial"/>
          <w:sz w:val="22"/>
          <w:szCs w:val="22"/>
        </w:rPr>
        <w:t>A</w:t>
      </w:r>
      <w:r>
        <w:rPr>
          <w:rFonts w:ascii="Arial" w:hAnsi="Arial" w:cs="Arial"/>
          <w:sz w:val="22"/>
          <w:szCs w:val="22"/>
          <w:vertAlign w:val="subscript"/>
        </w:rPr>
        <w:t>1c</w:t>
      </w:r>
      <w:r>
        <w:rPr>
          <w:rFonts w:ascii="Arial" w:hAnsi="Arial" w:cs="Arial"/>
          <w:sz w:val="22"/>
          <w:szCs w:val="22"/>
        </w:rPr>
        <w:t xml:space="preserve"> (HbA</w:t>
      </w:r>
      <w:r>
        <w:rPr>
          <w:rFonts w:ascii="Arial" w:hAnsi="Arial" w:cs="Arial"/>
          <w:sz w:val="22"/>
          <w:szCs w:val="22"/>
          <w:vertAlign w:val="subscript"/>
        </w:rPr>
        <w:t>1c</w:t>
      </w:r>
      <w:r>
        <w:rPr>
          <w:rFonts w:ascii="Arial" w:hAnsi="Arial" w:cs="Arial"/>
          <w:sz w:val="22"/>
          <w:szCs w:val="22"/>
        </w:rPr>
        <w:t>)</w:t>
      </w:r>
      <w:r>
        <w:rPr>
          <w:rFonts w:ascii="Arial" w:hAnsi="Arial" w:cs="Arial"/>
          <w:color w:val="000000"/>
          <w:sz w:val="22"/>
          <w:szCs w:val="22"/>
        </w:rPr>
        <w:t xml:space="preserve"> and lower fasting and postprandial glucose concentrations. </w:t>
      </w:r>
      <w:r>
        <w:rPr>
          <w:rFonts w:ascii="Arial" w:hAnsi="Arial"/>
          <w:sz w:val="22"/>
        </w:rPr>
        <w:t>Sitagliptin inhibits DPP-4  with nanomolar potency (IC</w:t>
      </w:r>
      <w:r>
        <w:rPr>
          <w:rFonts w:ascii="Arial" w:hAnsi="Arial"/>
          <w:sz w:val="22"/>
          <w:vertAlign w:val="subscript"/>
        </w:rPr>
        <w:t>50</w:t>
      </w:r>
      <w:r>
        <w:rPr>
          <w:rFonts w:ascii="Arial" w:hAnsi="Arial"/>
          <w:sz w:val="22"/>
        </w:rPr>
        <w:t xml:space="preserve"> 18 nM). It does not inhibit the closely-related enzymes DPP-8 or DPP-9 at therapeutic concentrations. Inhibition of DPP-8 or DPP-9 is associated with toxicity in preclinical animal models and alteration of immune function </w:t>
      </w:r>
      <w:r>
        <w:rPr>
          <w:rFonts w:ascii="Arial" w:hAnsi="Arial"/>
          <w:i/>
          <w:sz w:val="22"/>
        </w:rPr>
        <w:t>in vitro</w:t>
      </w:r>
      <w:r>
        <w:rPr>
          <w:rFonts w:ascii="Arial" w:hAnsi="Arial"/>
          <w:sz w:val="22"/>
        </w:rPr>
        <w:t>.</w:t>
      </w:r>
    </w:p>
    <w:p w:rsidR="00907289" w:rsidRDefault="005D7CDE" w:rsidP="006656A9">
      <w:pPr>
        <w:jc w:val="both"/>
        <w:outlineLvl w:val="0"/>
        <w:rPr>
          <w:rFonts w:ascii="Arial" w:hAnsi="Arial" w:cs="Arial"/>
          <w:i/>
          <w:sz w:val="22"/>
          <w:szCs w:val="22"/>
        </w:rPr>
      </w:pPr>
      <w:r>
        <w:rPr>
          <w:rFonts w:ascii="Arial" w:hAnsi="Arial" w:cs="Arial"/>
          <w:i/>
          <w:sz w:val="22"/>
          <w:szCs w:val="22"/>
        </w:rPr>
        <w:t>Metformin hydrochloride</w:t>
      </w:r>
    </w:p>
    <w:p w:rsidR="00907289" w:rsidRDefault="00907289">
      <w:pPr>
        <w:jc w:val="both"/>
        <w:rPr>
          <w:rFonts w:ascii="Arial" w:hAnsi="Arial" w:cs="Arial"/>
          <w:color w:val="000000"/>
          <w:sz w:val="22"/>
          <w:szCs w:val="22"/>
        </w:rPr>
      </w:pPr>
      <w:r>
        <w:rPr>
          <w:rFonts w:ascii="Arial" w:hAnsi="Arial" w:cs="Arial"/>
          <w:color w:val="000000"/>
          <w:sz w:val="22"/>
          <w:szCs w:val="22"/>
        </w:rPr>
        <w:t xml:space="preserve">Metformin is an antihyperglycaemic agent which improves glucose tolerance in patients with type 2 diabetes, lowering both basal and postprandial plasma glucose. Its pharmacologic mechanisms of action are different from other classes of oral antihyperglycaemic agents. Metformin decreases hepatic glucose production, decreases intestinal absorption of glucose, and improves insulin sensitivity by increasing peripheral glucose uptake and utilization. Unlike sulfonylureas, metformin does not produce hypoglycaemia in either patients with type 2 diabetes or normal subjects (except in special circumstances, see </w:t>
      </w:r>
      <w:r>
        <w:rPr>
          <w:rFonts w:ascii="Arial" w:hAnsi="Arial" w:cs="Arial"/>
          <w:b/>
          <w:color w:val="000000"/>
          <w:sz w:val="22"/>
          <w:szCs w:val="22"/>
        </w:rPr>
        <w:t>PRECAUTIONS</w:t>
      </w:r>
      <w:r>
        <w:rPr>
          <w:rFonts w:ascii="Arial" w:hAnsi="Arial" w:cs="Arial"/>
          <w:color w:val="000000"/>
          <w:sz w:val="22"/>
          <w:szCs w:val="22"/>
        </w:rPr>
        <w:t xml:space="preserve">, </w:t>
      </w:r>
      <w:r>
        <w:rPr>
          <w:rFonts w:ascii="Arial" w:hAnsi="Arial" w:cs="Arial"/>
          <w:i/>
          <w:color w:val="000000"/>
          <w:sz w:val="22"/>
          <w:szCs w:val="22"/>
        </w:rPr>
        <w:t>Metformin hydrochloride</w:t>
      </w:r>
      <w:r>
        <w:rPr>
          <w:rFonts w:ascii="Arial" w:hAnsi="Arial" w:cs="Arial"/>
          <w:color w:val="000000"/>
          <w:sz w:val="22"/>
          <w:szCs w:val="22"/>
        </w:rPr>
        <w:t>) and does not cause hyperinsulinaemia. With metformin therapy, insulin secretion remains unchanged while fasting insulin levels and day-long plasma insulin response may actually decrease.</w:t>
      </w:r>
    </w:p>
    <w:p w:rsidR="00907289" w:rsidRDefault="00B31CE6" w:rsidP="00B31CE6">
      <w:pPr>
        <w:spacing w:before="100" w:beforeAutospacing="1" w:after="100" w:afterAutospacing="1"/>
        <w:outlineLvl w:val="0"/>
        <w:rPr>
          <w:rFonts w:ascii="Arial" w:hAnsi="Arial" w:cs="Arial"/>
          <w:b/>
          <w:sz w:val="22"/>
          <w:szCs w:val="22"/>
        </w:rPr>
      </w:pPr>
      <w:r>
        <w:rPr>
          <w:rFonts w:ascii="Arial" w:hAnsi="Arial" w:cs="Arial"/>
          <w:b/>
          <w:sz w:val="22"/>
          <w:szCs w:val="22"/>
        </w:rPr>
        <w:br w:type="page"/>
      </w:r>
      <w:r w:rsidR="00907289">
        <w:rPr>
          <w:rFonts w:ascii="Arial" w:hAnsi="Arial" w:cs="Arial"/>
          <w:b/>
          <w:sz w:val="22"/>
          <w:szCs w:val="22"/>
        </w:rPr>
        <w:lastRenderedPageBreak/>
        <w:t>Pharmacokinetics</w:t>
      </w:r>
    </w:p>
    <w:p w:rsidR="00907289" w:rsidRDefault="00907289">
      <w:pPr>
        <w:jc w:val="both"/>
        <w:rPr>
          <w:rFonts w:ascii="Arial" w:hAnsi="Arial" w:cs="Arial"/>
          <w:sz w:val="22"/>
          <w:szCs w:val="22"/>
        </w:rPr>
      </w:pPr>
      <w:r>
        <w:rPr>
          <w:rFonts w:ascii="Arial" w:hAnsi="Arial" w:cs="Arial"/>
          <w:sz w:val="22"/>
          <w:szCs w:val="22"/>
        </w:rPr>
        <w:t>The results of a definitive bioequivalence study in healthy subjects demonstrated that the JANUMET (sitagliptin phosphate monohydrate/metformin hydrochloride) 50 mg/500 mg and    50 mg/1000 mg combination tablets are bioequivalent to co-administration of corresponding doses of sitagliptin phosphate monohydrate (JANUVIA</w:t>
      </w:r>
      <w:r w:rsidRPr="003C4953">
        <w:rPr>
          <w:rFonts w:ascii="Arial" w:hAnsi="Arial" w:cs="Arial"/>
          <w:sz w:val="22"/>
          <w:szCs w:val="22"/>
        </w:rPr>
        <w:t>®</w:t>
      </w:r>
      <w:r>
        <w:rPr>
          <w:rFonts w:ascii="Arial" w:hAnsi="Arial" w:cs="Arial"/>
          <w:sz w:val="22"/>
          <w:szCs w:val="22"/>
        </w:rPr>
        <w:t xml:space="preserve">) and metformin hydrochloride as individual tablets. </w:t>
      </w:r>
    </w:p>
    <w:p w:rsidR="00907289" w:rsidRDefault="00907289" w:rsidP="005D7CDE">
      <w:pPr>
        <w:spacing w:before="100" w:beforeAutospacing="1" w:after="100" w:afterAutospacing="1"/>
        <w:jc w:val="both"/>
        <w:rPr>
          <w:rFonts w:ascii="Arial" w:hAnsi="Arial" w:cs="Arial"/>
          <w:b/>
          <w:sz w:val="22"/>
          <w:szCs w:val="22"/>
        </w:rPr>
      </w:pPr>
      <w:r>
        <w:rPr>
          <w:rFonts w:ascii="Arial" w:hAnsi="Arial" w:cs="Arial"/>
          <w:sz w:val="22"/>
          <w:szCs w:val="22"/>
        </w:rPr>
        <w:t>Because bioequivalence is demonstrated at the lowest and highest combination tablet dose strengths available, bioequivalence is conferred to the (sitagliptin/metformin) 50 mg/850 mg fixed dose combination (FDC) tablet.</w:t>
      </w:r>
    </w:p>
    <w:p w:rsidR="00907289" w:rsidRDefault="00907289" w:rsidP="006656A9">
      <w:pPr>
        <w:jc w:val="both"/>
        <w:outlineLvl w:val="0"/>
        <w:rPr>
          <w:rFonts w:ascii="Arial" w:hAnsi="Arial" w:cs="Arial"/>
          <w:b/>
          <w:i/>
          <w:sz w:val="22"/>
          <w:szCs w:val="22"/>
        </w:rPr>
      </w:pPr>
      <w:r>
        <w:rPr>
          <w:rFonts w:ascii="Arial" w:hAnsi="Arial" w:cs="Arial"/>
          <w:b/>
          <w:i/>
          <w:sz w:val="22"/>
          <w:szCs w:val="22"/>
        </w:rPr>
        <w:t>Absorption</w:t>
      </w:r>
    </w:p>
    <w:p w:rsidR="00907289" w:rsidRDefault="00907289" w:rsidP="005D7CDE">
      <w:pPr>
        <w:spacing w:before="100" w:beforeAutospacing="1"/>
        <w:jc w:val="both"/>
        <w:outlineLvl w:val="0"/>
        <w:rPr>
          <w:rFonts w:ascii="Arial" w:hAnsi="Arial" w:cs="Arial"/>
          <w:i/>
          <w:sz w:val="22"/>
          <w:szCs w:val="22"/>
        </w:rPr>
      </w:pPr>
      <w:r>
        <w:rPr>
          <w:rFonts w:ascii="Arial" w:hAnsi="Arial" w:cs="Arial"/>
          <w:i/>
          <w:sz w:val="22"/>
          <w:szCs w:val="22"/>
        </w:rPr>
        <w:t>Sitagliptin phosphate monohydrate</w:t>
      </w:r>
    </w:p>
    <w:p w:rsidR="00907289" w:rsidRDefault="00907289">
      <w:pPr>
        <w:jc w:val="both"/>
        <w:rPr>
          <w:rFonts w:ascii="Arial" w:hAnsi="Arial" w:cs="Arial"/>
          <w:bCs/>
          <w:sz w:val="22"/>
          <w:szCs w:val="22"/>
        </w:rPr>
      </w:pPr>
      <w:r>
        <w:rPr>
          <w:rFonts w:ascii="Arial" w:hAnsi="Arial" w:cs="Arial"/>
          <w:sz w:val="22"/>
          <w:szCs w:val="22"/>
        </w:rPr>
        <w:t>The absolute bioavailability of sitagliptin is approximately 87%. Co-administration of a high-fat meal had no effect on the pharmacokinetics of sitagliptin.</w:t>
      </w:r>
    </w:p>
    <w:p w:rsidR="00907289" w:rsidRDefault="00907289" w:rsidP="005D7CDE">
      <w:pPr>
        <w:spacing w:before="100" w:beforeAutospacing="1"/>
        <w:jc w:val="both"/>
        <w:outlineLvl w:val="0"/>
        <w:rPr>
          <w:rFonts w:ascii="Arial" w:hAnsi="Arial" w:cs="Arial"/>
          <w:i/>
          <w:sz w:val="22"/>
          <w:szCs w:val="22"/>
        </w:rPr>
      </w:pPr>
      <w:r>
        <w:rPr>
          <w:rFonts w:ascii="Arial" w:hAnsi="Arial" w:cs="Arial"/>
          <w:i/>
          <w:sz w:val="22"/>
          <w:szCs w:val="22"/>
        </w:rPr>
        <w:t>Metformin hydrochloride</w:t>
      </w:r>
    </w:p>
    <w:p w:rsidR="00907289" w:rsidRDefault="00907289">
      <w:pPr>
        <w:jc w:val="both"/>
        <w:rPr>
          <w:rFonts w:ascii="Arial" w:hAnsi="Arial" w:cs="Arial"/>
          <w:sz w:val="22"/>
          <w:szCs w:val="22"/>
        </w:rPr>
      </w:pPr>
      <w:r>
        <w:rPr>
          <w:rFonts w:ascii="Arial" w:hAnsi="Arial" w:cs="Arial"/>
          <w:sz w:val="22"/>
          <w:szCs w:val="22"/>
        </w:rPr>
        <w:t>The absolute bioavailability of a metformin hydrochloride 500 mg tablet given under fasting conditions is approximately 50-60%. Studies using single oral doses of metformin hydrochloride tablets 500 mg to 1500 mg, and 850 mg to 2550 mg, indicate that there is a lack of dose proportionality with increasing doses, which is due to decreased absorption rather than an alteration in elimination. Food decreases the extent of and slightly delays the absorption of metformin, as shown by approximately a 40% lower mean peak plasma concentration (C</w:t>
      </w:r>
      <w:r>
        <w:rPr>
          <w:rFonts w:ascii="Arial" w:hAnsi="Arial" w:cs="Arial"/>
          <w:sz w:val="22"/>
          <w:szCs w:val="22"/>
          <w:vertAlign w:val="subscript"/>
        </w:rPr>
        <w:t>max</w:t>
      </w:r>
      <w:r>
        <w:rPr>
          <w:rFonts w:ascii="Arial" w:hAnsi="Arial" w:cs="Arial"/>
          <w:sz w:val="22"/>
          <w:szCs w:val="22"/>
        </w:rPr>
        <w:t>), a 25% lower area under the plasma concentration versus time curve (AUC), and a 35-minute prolongation of time to peak plasma concentration (T</w:t>
      </w:r>
      <w:r>
        <w:rPr>
          <w:rFonts w:ascii="Arial" w:hAnsi="Arial" w:cs="Arial"/>
          <w:sz w:val="22"/>
          <w:szCs w:val="22"/>
          <w:vertAlign w:val="subscript"/>
        </w:rPr>
        <w:t>max</w:t>
      </w:r>
      <w:r>
        <w:rPr>
          <w:rFonts w:ascii="Arial" w:hAnsi="Arial" w:cs="Arial"/>
          <w:sz w:val="22"/>
          <w:szCs w:val="22"/>
        </w:rPr>
        <w:t>) following administration of a single 850-mg tablet of metformin with food, compared to the same tablet strength administered fasting. The clinical relevance of these decreases is unknown.</w:t>
      </w:r>
    </w:p>
    <w:p w:rsidR="00907289" w:rsidRDefault="00907289" w:rsidP="005D7CDE">
      <w:pPr>
        <w:spacing w:before="100" w:beforeAutospacing="1" w:after="100" w:afterAutospacing="1"/>
        <w:jc w:val="both"/>
        <w:rPr>
          <w:rFonts w:ascii="Arial" w:hAnsi="Arial" w:cs="Arial"/>
          <w:b/>
          <w:i/>
          <w:sz w:val="22"/>
          <w:szCs w:val="22"/>
        </w:rPr>
      </w:pPr>
      <w:r>
        <w:rPr>
          <w:rFonts w:ascii="Arial" w:hAnsi="Arial" w:cs="Arial"/>
          <w:b/>
          <w:i/>
          <w:sz w:val="22"/>
          <w:szCs w:val="22"/>
        </w:rPr>
        <w:t>Distribution</w:t>
      </w:r>
    </w:p>
    <w:p w:rsidR="00907289" w:rsidRDefault="00907289" w:rsidP="006656A9">
      <w:pPr>
        <w:pStyle w:val="Body11pt"/>
        <w:outlineLvl w:val="0"/>
        <w:rPr>
          <w:i/>
          <w:sz w:val="22"/>
          <w:szCs w:val="22"/>
        </w:rPr>
      </w:pPr>
      <w:r>
        <w:rPr>
          <w:i/>
          <w:sz w:val="22"/>
          <w:szCs w:val="22"/>
        </w:rPr>
        <w:t>Sitagliptin phosphate monohydrate</w:t>
      </w:r>
    </w:p>
    <w:p w:rsidR="00907289" w:rsidRDefault="00907289">
      <w:pPr>
        <w:pStyle w:val="Body11pt"/>
        <w:rPr>
          <w:sz w:val="22"/>
          <w:szCs w:val="22"/>
        </w:rPr>
      </w:pPr>
      <w:r>
        <w:rPr>
          <w:sz w:val="22"/>
          <w:szCs w:val="22"/>
        </w:rPr>
        <w:t>The mean volume of distribution at steady state following a single 100-mg intravenous dose of sitagliptin to healthy subjects is approximately 198 liters. The fraction of sitagliptin reversibly bound to plasma proteins is low (38%).</w:t>
      </w:r>
    </w:p>
    <w:p w:rsidR="00907289" w:rsidRDefault="00907289" w:rsidP="005D7CDE">
      <w:pPr>
        <w:pStyle w:val="Body11pt"/>
        <w:spacing w:before="100" w:beforeAutospacing="1"/>
        <w:outlineLvl w:val="0"/>
        <w:rPr>
          <w:i/>
          <w:sz w:val="22"/>
          <w:szCs w:val="22"/>
        </w:rPr>
      </w:pPr>
      <w:r>
        <w:rPr>
          <w:i/>
          <w:sz w:val="22"/>
          <w:szCs w:val="22"/>
        </w:rPr>
        <w:t>Metformin hydrochloride</w:t>
      </w:r>
    </w:p>
    <w:p w:rsidR="00907289" w:rsidRDefault="00907289">
      <w:pPr>
        <w:pStyle w:val="Body11pt"/>
        <w:rPr>
          <w:sz w:val="22"/>
          <w:szCs w:val="22"/>
        </w:rPr>
      </w:pPr>
      <w:r>
        <w:rPr>
          <w:sz w:val="22"/>
          <w:szCs w:val="22"/>
        </w:rPr>
        <w:t>The apparent volume of distribution (V/F) of metformin following single oral doses of metformin hydrochloride tablets 850 mg averaged 654 ± 358 L. Metformin is negligibly bound to plasma proteins, in contrast to sulfonylureas, which are more than 90% protein bound. Metformin partitions into erythrocytes, most likely as a function of time. At usual clinical doses and dosing schedules of metformin hydrochloride tablets, steady state plasma concentrations of metformin are reached within 24-48 hours and are generally &lt;1 mcg/mL. During controlled clinical trials of metformin, maximum metformin plasma levels did not exceed 5 mcg/mL, even at maximum doses.</w:t>
      </w:r>
    </w:p>
    <w:p w:rsidR="00907289" w:rsidRDefault="00907289" w:rsidP="005D7CDE">
      <w:pPr>
        <w:spacing w:before="100" w:beforeAutospacing="1" w:after="100" w:afterAutospacing="1"/>
        <w:jc w:val="both"/>
        <w:outlineLvl w:val="0"/>
        <w:rPr>
          <w:rFonts w:ascii="Arial" w:hAnsi="Arial" w:cs="Arial"/>
          <w:b/>
          <w:i/>
          <w:sz w:val="22"/>
          <w:szCs w:val="22"/>
        </w:rPr>
      </w:pPr>
      <w:r>
        <w:rPr>
          <w:rFonts w:ascii="Arial" w:hAnsi="Arial" w:cs="Arial"/>
          <w:b/>
          <w:i/>
          <w:sz w:val="22"/>
          <w:szCs w:val="22"/>
        </w:rPr>
        <w:t>Metabolism</w:t>
      </w:r>
    </w:p>
    <w:p w:rsidR="00907289" w:rsidRDefault="00907289" w:rsidP="006656A9">
      <w:pPr>
        <w:jc w:val="both"/>
        <w:outlineLvl w:val="0"/>
        <w:rPr>
          <w:rFonts w:ascii="Arial" w:hAnsi="Arial" w:cs="Arial"/>
          <w:i/>
          <w:sz w:val="22"/>
          <w:szCs w:val="22"/>
        </w:rPr>
      </w:pPr>
      <w:r>
        <w:rPr>
          <w:rFonts w:ascii="Arial" w:hAnsi="Arial" w:cs="Arial"/>
          <w:i/>
          <w:sz w:val="22"/>
          <w:szCs w:val="22"/>
        </w:rPr>
        <w:t>Sitagliptin phosphate monohydrate</w:t>
      </w:r>
    </w:p>
    <w:p w:rsidR="00907289" w:rsidRDefault="00907289">
      <w:pPr>
        <w:jc w:val="both"/>
        <w:rPr>
          <w:rFonts w:ascii="Arial" w:hAnsi="Arial" w:cs="Arial"/>
          <w:sz w:val="22"/>
          <w:szCs w:val="22"/>
        </w:rPr>
      </w:pPr>
      <w:r>
        <w:rPr>
          <w:rFonts w:ascii="Arial" w:hAnsi="Arial" w:cs="Arial"/>
          <w:sz w:val="22"/>
          <w:szCs w:val="22"/>
        </w:rPr>
        <w:t>Sitagliptin is primarily eliminated unchanged in urine, and metabolism is a minor pathway. Approximately 79% of sitagliptin is e</w:t>
      </w:r>
      <w:r w:rsidR="005D7CDE">
        <w:rPr>
          <w:rFonts w:ascii="Arial" w:hAnsi="Arial" w:cs="Arial"/>
          <w:sz w:val="22"/>
          <w:szCs w:val="22"/>
        </w:rPr>
        <w:t>xcreted unchanged in the urine.</w:t>
      </w:r>
    </w:p>
    <w:p w:rsidR="00907289" w:rsidRDefault="00907289" w:rsidP="005D7CDE">
      <w:pPr>
        <w:spacing w:before="100" w:beforeAutospacing="1" w:after="100" w:afterAutospacing="1"/>
        <w:jc w:val="both"/>
        <w:rPr>
          <w:rFonts w:ascii="Arial" w:hAnsi="Arial" w:cs="Arial"/>
          <w:sz w:val="22"/>
          <w:szCs w:val="22"/>
        </w:rPr>
      </w:pPr>
      <w:r>
        <w:rPr>
          <w:rFonts w:ascii="Arial" w:hAnsi="Arial" w:cs="Arial"/>
          <w:sz w:val="22"/>
          <w:szCs w:val="22"/>
        </w:rPr>
        <w:lastRenderedPageBreak/>
        <w:t>Following a [</w:t>
      </w:r>
      <w:r>
        <w:rPr>
          <w:rFonts w:ascii="Arial" w:hAnsi="Arial" w:cs="Arial"/>
          <w:sz w:val="22"/>
          <w:szCs w:val="22"/>
          <w:vertAlign w:val="superscript"/>
        </w:rPr>
        <w:t>14</w:t>
      </w:r>
      <w:r>
        <w:rPr>
          <w:rFonts w:ascii="Arial" w:hAnsi="Arial" w:cs="Arial"/>
          <w:sz w:val="22"/>
          <w:szCs w:val="22"/>
        </w:rPr>
        <w:t>C]sitagliptin oral dose, approximately 16% of the radioactivity was excreted as metabolites of sitagliptin. Six metabolites were detected at trace levels and are not expected to contribute to the plasma DPP</w:t>
      </w:r>
      <w:r>
        <w:rPr>
          <w:rFonts w:ascii="Arial" w:hAnsi="Arial" w:cs="Arial"/>
          <w:sz w:val="22"/>
          <w:szCs w:val="22"/>
        </w:rPr>
        <w:noBreakHyphen/>
        <w:t xml:space="preserve">4 inhibitory activity of sitagliptin. </w:t>
      </w:r>
      <w:r>
        <w:rPr>
          <w:rFonts w:ascii="Arial" w:hAnsi="Arial" w:cs="Arial"/>
          <w:i/>
          <w:sz w:val="22"/>
          <w:szCs w:val="22"/>
        </w:rPr>
        <w:t>In vitro</w:t>
      </w:r>
      <w:r>
        <w:rPr>
          <w:rFonts w:ascii="Arial" w:hAnsi="Arial" w:cs="Arial"/>
          <w:sz w:val="22"/>
          <w:szCs w:val="22"/>
        </w:rPr>
        <w:t xml:space="preserve"> studies indicated that the primary enzyme responsible for the limited metabolism of sitagliptin was CYP3A4, with contribution from CYP2C8.</w:t>
      </w:r>
    </w:p>
    <w:p w:rsidR="00907289" w:rsidRDefault="00907289" w:rsidP="006656A9">
      <w:pPr>
        <w:jc w:val="both"/>
        <w:outlineLvl w:val="0"/>
        <w:rPr>
          <w:rFonts w:ascii="Arial" w:hAnsi="Arial" w:cs="Arial"/>
          <w:i/>
          <w:sz w:val="22"/>
          <w:szCs w:val="22"/>
        </w:rPr>
      </w:pPr>
      <w:r>
        <w:rPr>
          <w:rFonts w:ascii="Arial" w:hAnsi="Arial" w:cs="Arial"/>
          <w:i/>
          <w:sz w:val="22"/>
          <w:szCs w:val="22"/>
        </w:rPr>
        <w:t>Metformin hydrochloride</w:t>
      </w:r>
    </w:p>
    <w:p w:rsidR="00907289" w:rsidRDefault="00907289">
      <w:pPr>
        <w:jc w:val="both"/>
        <w:rPr>
          <w:rFonts w:ascii="Arial" w:hAnsi="Arial" w:cs="Arial"/>
          <w:sz w:val="22"/>
          <w:szCs w:val="22"/>
        </w:rPr>
      </w:pPr>
      <w:r>
        <w:rPr>
          <w:rFonts w:ascii="Arial" w:hAnsi="Arial" w:cs="Arial"/>
          <w:sz w:val="22"/>
          <w:szCs w:val="22"/>
        </w:rPr>
        <w:t>Intravenous single-dose studies in normal subjects demonstrate that metformin is excreted unchanged in the urine and does not undergo hepatic metabolism (no metabolites have been identified in humans) or biliary excretion.</w:t>
      </w:r>
    </w:p>
    <w:p w:rsidR="00907289" w:rsidRDefault="00907289" w:rsidP="005D7CDE">
      <w:pPr>
        <w:spacing w:before="100" w:beforeAutospacing="1" w:after="100" w:afterAutospacing="1"/>
        <w:jc w:val="both"/>
        <w:outlineLvl w:val="0"/>
        <w:rPr>
          <w:rFonts w:ascii="Arial" w:hAnsi="Arial" w:cs="Arial"/>
          <w:b/>
          <w:i/>
          <w:sz w:val="22"/>
          <w:szCs w:val="22"/>
        </w:rPr>
      </w:pPr>
      <w:r>
        <w:rPr>
          <w:rFonts w:ascii="Arial" w:hAnsi="Arial" w:cs="Arial"/>
          <w:b/>
          <w:i/>
          <w:sz w:val="22"/>
          <w:szCs w:val="22"/>
        </w:rPr>
        <w:t>Elimination</w:t>
      </w:r>
    </w:p>
    <w:p w:rsidR="00907289" w:rsidRDefault="00907289" w:rsidP="006656A9">
      <w:pPr>
        <w:ind w:right="-72"/>
        <w:jc w:val="both"/>
        <w:outlineLvl w:val="0"/>
        <w:rPr>
          <w:rFonts w:ascii="Arial" w:hAnsi="Arial" w:cs="Arial"/>
          <w:i/>
          <w:sz w:val="22"/>
          <w:szCs w:val="22"/>
        </w:rPr>
      </w:pPr>
      <w:r>
        <w:rPr>
          <w:rFonts w:ascii="Arial" w:hAnsi="Arial" w:cs="Arial"/>
          <w:i/>
          <w:sz w:val="22"/>
          <w:szCs w:val="22"/>
        </w:rPr>
        <w:t>Sitagliptin phosphate monohydrate</w:t>
      </w:r>
    </w:p>
    <w:p w:rsidR="00907289" w:rsidRDefault="00907289">
      <w:pPr>
        <w:ind w:right="-72"/>
        <w:jc w:val="both"/>
        <w:rPr>
          <w:rFonts w:ascii="Arial" w:hAnsi="Arial" w:cs="Arial"/>
          <w:sz w:val="22"/>
          <w:szCs w:val="22"/>
        </w:rPr>
      </w:pPr>
      <w:r>
        <w:rPr>
          <w:rFonts w:ascii="Arial" w:hAnsi="Arial" w:cs="Arial"/>
          <w:sz w:val="22"/>
          <w:szCs w:val="22"/>
        </w:rPr>
        <w:t>Following administration of an oral [</w:t>
      </w:r>
      <w:r>
        <w:rPr>
          <w:rFonts w:ascii="Arial" w:hAnsi="Arial" w:cs="Arial"/>
          <w:sz w:val="22"/>
          <w:szCs w:val="22"/>
          <w:vertAlign w:val="superscript"/>
        </w:rPr>
        <w:t>14</w:t>
      </w:r>
      <w:r>
        <w:rPr>
          <w:rFonts w:ascii="Arial" w:hAnsi="Arial" w:cs="Arial"/>
          <w:sz w:val="22"/>
          <w:szCs w:val="22"/>
        </w:rPr>
        <w:t>C]sitagliptin dose to healthy subjects, approximately 100% of the administered radioactivity was eliminated in faeces (13%) or urine (87%) within one week of dosing. The apparent terminal t</w:t>
      </w:r>
      <w:r>
        <w:rPr>
          <w:rFonts w:ascii="Arial" w:hAnsi="Arial" w:cs="Arial"/>
          <w:sz w:val="22"/>
          <w:szCs w:val="22"/>
          <w:vertAlign w:val="subscript"/>
        </w:rPr>
        <w:t xml:space="preserve">1/2 </w:t>
      </w:r>
      <w:r>
        <w:rPr>
          <w:rFonts w:ascii="Arial" w:hAnsi="Arial" w:cs="Arial"/>
          <w:sz w:val="22"/>
          <w:szCs w:val="22"/>
        </w:rPr>
        <w:t xml:space="preserve">following a 100-mg oral dose of sitagliptin was approximately 12.4 hours and </w:t>
      </w:r>
      <w:bookmarkStart w:id="0" w:name="OLE_LINK11"/>
      <w:r>
        <w:rPr>
          <w:rFonts w:ascii="Arial" w:hAnsi="Arial" w:cs="Arial"/>
          <w:sz w:val="22"/>
          <w:szCs w:val="22"/>
        </w:rPr>
        <w:t>renal clearance was approximately 350 mL/min</w:t>
      </w:r>
      <w:bookmarkEnd w:id="0"/>
      <w:r>
        <w:rPr>
          <w:rFonts w:ascii="Arial" w:hAnsi="Arial" w:cs="Arial"/>
          <w:sz w:val="22"/>
          <w:szCs w:val="22"/>
        </w:rPr>
        <w:t xml:space="preserve">. </w:t>
      </w:r>
    </w:p>
    <w:p w:rsidR="00907289" w:rsidRDefault="00907289" w:rsidP="005D7CDE">
      <w:pPr>
        <w:spacing w:before="100" w:beforeAutospacing="1" w:after="100" w:afterAutospacing="1"/>
        <w:ind w:right="-74"/>
        <w:jc w:val="both"/>
        <w:rPr>
          <w:rFonts w:ascii="Arial" w:hAnsi="Arial" w:cs="Arial"/>
          <w:sz w:val="22"/>
          <w:szCs w:val="22"/>
        </w:rPr>
      </w:pPr>
      <w:r>
        <w:rPr>
          <w:rFonts w:ascii="Arial" w:hAnsi="Arial" w:cs="Arial"/>
          <w:sz w:val="22"/>
          <w:szCs w:val="22"/>
        </w:rPr>
        <w:t>Elimination of sitagliptin occurs primarily via renal excretion and involves active tubular secretion. Sitagliptin is a substrate for human organic anion transporter-3 (h</w:t>
      </w:r>
      <w:smartTag w:uri="urn:schemas-microsoft-com:office:smarttags" w:element="PersonName">
        <w:r>
          <w:rPr>
            <w:rFonts w:ascii="Arial" w:hAnsi="Arial" w:cs="Arial"/>
            <w:sz w:val="22"/>
            <w:szCs w:val="22"/>
          </w:rPr>
          <w:t>OAT</w:t>
        </w:r>
      </w:smartTag>
      <w:r>
        <w:rPr>
          <w:rFonts w:ascii="Arial" w:hAnsi="Arial" w:cs="Arial"/>
          <w:sz w:val="22"/>
          <w:szCs w:val="22"/>
        </w:rPr>
        <w:t>-3), which may be involved in the renal elimination of sitagliptin. The clinical relevance of h</w:t>
      </w:r>
      <w:smartTag w:uri="urn:schemas-microsoft-com:office:smarttags" w:element="PersonName">
        <w:r>
          <w:rPr>
            <w:rFonts w:ascii="Arial" w:hAnsi="Arial" w:cs="Arial"/>
            <w:sz w:val="22"/>
            <w:szCs w:val="22"/>
          </w:rPr>
          <w:t>OAT</w:t>
        </w:r>
      </w:smartTag>
      <w:r>
        <w:rPr>
          <w:rFonts w:ascii="Arial" w:hAnsi="Arial" w:cs="Arial"/>
          <w:sz w:val="22"/>
          <w:szCs w:val="22"/>
        </w:rPr>
        <w:t>-3 in sitagliptin transport has not been established. Sitagliptin is also a substrate of p-glycoprotein, which may also be involved in mediating the renal elimination of sitagliptin. However, cyclosporin, a p-glycoprotein inhibitor, did not reduce the renal clearance of sitagliptin.</w:t>
      </w:r>
    </w:p>
    <w:p w:rsidR="00907289" w:rsidRDefault="00907289" w:rsidP="006656A9">
      <w:pPr>
        <w:ind w:right="-72"/>
        <w:jc w:val="both"/>
        <w:outlineLvl w:val="0"/>
        <w:rPr>
          <w:rFonts w:ascii="Arial" w:hAnsi="Arial" w:cs="Arial"/>
          <w:i/>
          <w:sz w:val="22"/>
          <w:szCs w:val="22"/>
        </w:rPr>
      </w:pPr>
      <w:r>
        <w:rPr>
          <w:rFonts w:ascii="Arial" w:hAnsi="Arial" w:cs="Arial"/>
          <w:i/>
          <w:sz w:val="22"/>
          <w:szCs w:val="22"/>
        </w:rPr>
        <w:t>Metformin hydrochloride</w:t>
      </w:r>
    </w:p>
    <w:p w:rsidR="00907289" w:rsidRDefault="00907289">
      <w:pPr>
        <w:ind w:right="-72"/>
        <w:jc w:val="both"/>
        <w:rPr>
          <w:rFonts w:ascii="Arial" w:hAnsi="Arial" w:cs="Arial"/>
          <w:sz w:val="22"/>
          <w:szCs w:val="22"/>
        </w:rPr>
      </w:pPr>
      <w:r>
        <w:rPr>
          <w:rFonts w:ascii="Arial" w:hAnsi="Arial" w:cs="Arial"/>
          <w:sz w:val="22"/>
          <w:szCs w:val="22"/>
        </w:rPr>
        <w:t xml:space="preserve">Renal clearance is approximately 3.5 times greater than </w:t>
      </w:r>
      <w:r>
        <w:rPr>
          <w:rFonts w:ascii="Arial" w:hAnsi="Arial" w:cs="Arial"/>
          <w:bCs/>
          <w:sz w:val="22"/>
          <w:szCs w:val="22"/>
        </w:rPr>
        <w:t>creatinine</w:t>
      </w:r>
      <w:r>
        <w:rPr>
          <w:rFonts w:ascii="Arial" w:hAnsi="Arial" w:cs="Arial"/>
          <w:sz w:val="22"/>
          <w:szCs w:val="22"/>
        </w:rPr>
        <w:t xml:space="preserve"> clearance, which indicates that tubular secretion is the major route of metformin elimination. Following oral administration, approximately 90% of the absorbed drug is eliminated via the renal route within the first 24 hours, with a plasma elimination half-life of approximately 6.2 hours. In blood, the elimination half-life is approximately 17.6 hours, suggesting that the erythrocyte mass may be a compartment of distribution.</w:t>
      </w:r>
    </w:p>
    <w:p w:rsidR="00907289" w:rsidRDefault="00907289" w:rsidP="005D7CDE">
      <w:pPr>
        <w:spacing w:before="100" w:beforeAutospacing="1" w:after="100" w:afterAutospacing="1"/>
        <w:outlineLvl w:val="0"/>
        <w:rPr>
          <w:rFonts w:ascii="Arial" w:hAnsi="Arial" w:cs="Arial"/>
          <w:b/>
          <w:sz w:val="22"/>
          <w:szCs w:val="22"/>
        </w:rPr>
      </w:pPr>
      <w:r>
        <w:rPr>
          <w:rFonts w:ascii="Arial" w:hAnsi="Arial" w:cs="Arial"/>
          <w:b/>
          <w:sz w:val="22"/>
          <w:szCs w:val="22"/>
        </w:rPr>
        <w:t>Characteristics in Patients</w:t>
      </w:r>
    </w:p>
    <w:p w:rsidR="00907289" w:rsidRDefault="00907289" w:rsidP="006656A9">
      <w:pPr>
        <w:jc w:val="both"/>
        <w:outlineLvl w:val="0"/>
        <w:rPr>
          <w:rFonts w:ascii="Arial" w:hAnsi="Arial" w:cs="Arial"/>
          <w:b/>
          <w:bCs/>
          <w:i/>
          <w:sz w:val="22"/>
          <w:szCs w:val="22"/>
        </w:rPr>
      </w:pPr>
      <w:r>
        <w:rPr>
          <w:rFonts w:ascii="Arial" w:hAnsi="Arial" w:cs="Arial"/>
          <w:b/>
          <w:bCs/>
          <w:i/>
          <w:sz w:val="22"/>
          <w:szCs w:val="22"/>
        </w:rPr>
        <w:t>Type 2 Diabetes</w:t>
      </w:r>
    </w:p>
    <w:p w:rsidR="00907289" w:rsidRDefault="00907289" w:rsidP="005D7CDE">
      <w:pPr>
        <w:spacing w:before="100" w:beforeAutospacing="1"/>
        <w:jc w:val="both"/>
        <w:outlineLvl w:val="0"/>
        <w:rPr>
          <w:rFonts w:ascii="Arial" w:hAnsi="Arial" w:cs="Arial"/>
          <w:bCs/>
          <w:i/>
          <w:sz w:val="22"/>
          <w:szCs w:val="22"/>
        </w:rPr>
      </w:pPr>
      <w:r>
        <w:rPr>
          <w:rFonts w:ascii="Arial" w:hAnsi="Arial" w:cs="Arial"/>
          <w:bCs/>
          <w:i/>
          <w:sz w:val="22"/>
          <w:szCs w:val="22"/>
        </w:rPr>
        <w:t>Sitagliptin phosphate monohydrate</w:t>
      </w:r>
    </w:p>
    <w:p w:rsidR="00907289" w:rsidRDefault="00907289">
      <w:pPr>
        <w:jc w:val="both"/>
        <w:rPr>
          <w:rFonts w:ascii="Arial" w:hAnsi="Arial" w:cs="Arial"/>
          <w:bCs/>
          <w:sz w:val="22"/>
          <w:szCs w:val="22"/>
        </w:rPr>
      </w:pPr>
      <w:r>
        <w:rPr>
          <w:rFonts w:ascii="Arial" w:hAnsi="Arial" w:cs="Arial"/>
          <w:bCs/>
          <w:sz w:val="22"/>
          <w:szCs w:val="22"/>
        </w:rPr>
        <w:t>The pharmacokinetics of sitagliptin in patients with type 2 diabetes are generally similar to those in healthy subjects.</w:t>
      </w:r>
    </w:p>
    <w:p w:rsidR="00907289" w:rsidRDefault="00907289" w:rsidP="005D7CDE">
      <w:pPr>
        <w:spacing w:before="100" w:beforeAutospacing="1"/>
        <w:jc w:val="both"/>
        <w:outlineLvl w:val="0"/>
        <w:rPr>
          <w:rFonts w:ascii="Arial" w:hAnsi="Arial" w:cs="Arial"/>
          <w:bCs/>
          <w:i/>
          <w:sz w:val="22"/>
          <w:szCs w:val="22"/>
        </w:rPr>
      </w:pPr>
      <w:r>
        <w:rPr>
          <w:rFonts w:ascii="Arial" w:hAnsi="Arial" w:cs="Arial"/>
          <w:bCs/>
          <w:i/>
          <w:sz w:val="22"/>
          <w:szCs w:val="22"/>
        </w:rPr>
        <w:t>Metformin hydrochloride</w:t>
      </w:r>
    </w:p>
    <w:p w:rsidR="00907289" w:rsidRDefault="00907289">
      <w:pPr>
        <w:jc w:val="both"/>
        <w:rPr>
          <w:rFonts w:ascii="Arial" w:hAnsi="Arial" w:cs="Arial"/>
          <w:bCs/>
          <w:sz w:val="22"/>
          <w:szCs w:val="22"/>
        </w:rPr>
      </w:pPr>
      <w:r>
        <w:rPr>
          <w:rFonts w:ascii="Arial" w:hAnsi="Arial" w:cs="Arial"/>
          <w:bCs/>
          <w:sz w:val="22"/>
          <w:szCs w:val="22"/>
        </w:rPr>
        <w:t>In the presence of normal renal function, there are no differences between single- or multiple-dose pharmacokinetics of metformin between patients with type 2 diabetes and normal subjects, nor is there any accumulation of metformin in either group at usual clinical doses.</w:t>
      </w:r>
    </w:p>
    <w:p w:rsidR="00907289" w:rsidRDefault="005D7CDE" w:rsidP="005D7CDE">
      <w:pPr>
        <w:spacing w:before="100" w:beforeAutospacing="1" w:after="100" w:afterAutospacing="1"/>
        <w:jc w:val="both"/>
        <w:outlineLvl w:val="0"/>
        <w:rPr>
          <w:rFonts w:ascii="Arial" w:hAnsi="Arial" w:cs="Arial"/>
          <w:b/>
          <w:bCs/>
          <w:i/>
          <w:sz w:val="22"/>
          <w:szCs w:val="22"/>
        </w:rPr>
      </w:pPr>
      <w:r>
        <w:rPr>
          <w:rFonts w:ascii="Arial" w:hAnsi="Arial" w:cs="Arial"/>
          <w:b/>
          <w:bCs/>
          <w:i/>
          <w:sz w:val="22"/>
          <w:szCs w:val="22"/>
        </w:rPr>
        <w:t>Renal Insufficiency</w:t>
      </w:r>
    </w:p>
    <w:p w:rsidR="00907289" w:rsidRDefault="00907289" w:rsidP="006656A9">
      <w:pPr>
        <w:jc w:val="both"/>
        <w:outlineLvl w:val="0"/>
        <w:rPr>
          <w:rFonts w:ascii="Arial" w:hAnsi="Arial" w:cs="Arial"/>
          <w:bCs/>
          <w:sz w:val="22"/>
          <w:szCs w:val="22"/>
        </w:rPr>
      </w:pPr>
      <w:r>
        <w:rPr>
          <w:rFonts w:ascii="Arial" w:hAnsi="Arial" w:cs="Arial"/>
          <w:bCs/>
          <w:sz w:val="22"/>
          <w:szCs w:val="22"/>
        </w:rPr>
        <w:t xml:space="preserve">JANUMET should not be used in patients with renal insufficiency (see </w:t>
      </w:r>
      <w:r>
        <w:rPr>
          <w:rFonts w:ascii="Arial" w:hAnsi="Arial" w:cs="Arial"/>
          <w:b/>
          <w:bCs/>
          <w:sz w:val="22"/>
          <w:szCs w:val="22"/>
        </w:rPr>
        <w:t>CONTRAINDICATIONS</w:t>
      </w:r>
      <w:r>
        <w:rPr>
          <w:rFonts w:ascii="Arial" w:hAnsi="Arial" w:cs="Arial"/>
          <w:bCs/>
          <w:sz w:val="22"/>
          <w:szCs w:val="22"/>
        </w:rPr>
        <w:t>).</w:t>
      </w:r>
    </w:p>
    <w:p w:rsidR="00907289" w:rsidRDefault="00B31CE6" w:rsidP="00B31CE6">
      <w:pPr>
        <w:spacing w:before="100" w:beforeAutospacing="1"/>
        <w:jc w:val="both"/>
        <w:outlineLvl w:val="0"/>
        <w:rPr>
          <w:rFonts w:ascii="Arial" w:hAnsi="Arial" w:cs="Arial"/>
          <w:bCs/>
          <w:i/>
          <w:sz w:val="22"/>
          <w:szCs w:val="22"/>
        </w:rPr>
      </w:pPr>
      <w:r>
        <w:rPr>
          <w:rFonts w:ascii="Arial" w:hAnsi="Arial" w:cs="Arial"/>
          <w:bCs/>
          <w:i/>
          <w:sz w:val="22"/>
          <w:szCs w:val="22"/>
        </w:rPr>
        <w:br w:type="page"/>
      </w:r>
      <w:r w:rsidR="00907289">
        <w:rPr>
          <w:rFonts w:ascii="Arial" w:hAnsi="Arial" w:cs="Arial"/>
          <w:bCs/>
          <w:i/>
          <w:sz w:val="22"/>
          <w:szCs w:val="22"/>
        </w:rPr>
        <w:lastRenderedPageBreak/>
        <w:t>Sitagliptin phosphate monohydrate</w:t>
      </w:r>
    </w:p>
    <w:p w:rsidR="00907289" w:rsidRDefault="00907289">
      <w:pPr>
        <w:jc w:val="both"/>
        <w:rPr>
          <w:rFonts w:ascii="Arial" w:hAnsi="Arial" w:cs="Arial"/>
          <w:bCs/>
          <w:sz w:val="22"/>
          <w:szCs w:val="22"/>
        </w:rPr>
      </w:pPr>
      <w:r>
        <w:rPr>
          <w:rFonts w:ascii="Arial" w:hAnsi="Arial" w:cs="Arial"/>
          <w:bCs/>
          <w:sz w:val="22"/>
          <w:szCs w:val="22"/>
        </w:rPr>
        <w:t>An approximately 2-fold increase in the plasma AUC of sitagliptin was observed in patients with moderate renal insufficiency, and an approximately 4-fold increase was observed in patients with severe renal insufficiency and in patients with ESRD on haemodialysis, as compared to normal healthy control subjects.</w:t>
      </w:r>
    </w:p>
    <w:p w:rsidR="00907289" w:rsidRDefault="00907289" w:rsidP="005D7CDE">
      <w:pPr>
        <w:spacing w:before="100" w:beforeAutospacing="1"/>
        <w:jc w:val="both"/>
        <w:outlineLvl w:val="0"/>
        <w:rPr>
          <w:rFonts w:ascii="Arial" w:hAnsi="Arial" w:cs="Arial"/>
          <w:bCs/>
          <w:i/>
          <w:sz w:val="22"/>
          <w:szCs w:val="22"/>
        </w:rPr>
      </w:pPr>
      <w:r>
        <w:rPr>
          <w:rFonts w:ascii="Arial" w:hAnsi="Arial" w:cs="Arial"/>
          <w:bCs/>
          <w:i/>
          <w:sz w:val="22"/>
          <w:szCs w:val="22"/>
        </w:rPr>
        <w:t>Metformin hydrochloride</w:t>
      </w:r>
    </w:p>
    <w:p w:rsidR="00907289" w:rsidRDefault="00907289">
      <w:pPr>
        <w:jc w:val="both"/>
        <w:rPr>
          <w:rFonts w:ascii="Arial" w:hAnsi="Arial" w:cs="Arial"/>
          <w:bCs/>
          <w:sz w:val="22"/>
          <w:szCs w:val="22"/>
        </w:rPr>
      </w:pPr>
      <w:r>
        <w:rPr>
          <w:rFonts w:ascii="Arial" w:hAnsi="Arial" w:cs="Arial"/>
          <w:bCs/>
          <w:sz w:val="22"/>
          <w:szCs w:val="22"/>
        </w:rPr>
        <w:t xml:space="preserve">In patients with decreased renal function (based on measured creatinine clearance), the plasma and blood half-life of metformin is prolonged and the renal clearance is decreased in proportion to the decrease in creatinine clearance. </w:t>
      </w:r>
    </w:p>
    <w:p w:rsidR="00907289" w:rsidRDefault="00907289" w:rsidP="005D7CDE">
      <w:pPr>
        <w:spacing w:before="100" w:beforeAutospacing="1" w:after="100" w:afterAutospacing="1"/>
        <w:jc w:val="both"/>
        <w:outlineLvl w:val="0"/>
        <w:rPr>
          <w:rFonts w:ascii="Arial" w:hAnsi="Arial" w:cs="Arial"/>
          <w:b/>
          <w:bCs/>
          <w:i/>
          <w:sz w:val="22"/>
          <w:szCs w:val="22"/>
        </w:rPr>
      </w:pPr>
      <w:r>
        <w:rPr>
          <w:rFonts w:ascii="Arial" w:hAnsi="Arial" w:cs="Arial"/>
          <w:b/>
          <w:bCs/>
          <w:i/>
          <w:sz w:val="22"/>
          <w:szCs w:val="22"/>
        </w:rPr>
        <w:t>Hepatic Insufficiency</w:t>
      </w:r>
    </w:p>
    <w:p w:rsidR="00907289" w:rsidRDefault="00907289" w:rsidP="006656A9">
      <w:pPr>
        <w:jc w:val="both"/>
        <w:outlineLvl w:val="0"/>
        <w:rPr>
          <w:rFonts w:ascii="Arial" w:hAnsi="Arial" w:cs="Arial"/>
          <w:bCs/>
          <w:i/>
          <w:sz w:val="22"/>
          <w:szCs w:val="22"/>
        </w:rPr>
      </w:pPr>
      <w:r>
        <w:rPr>
          <w:rFonts w:ascii="Arial" w:hAnsi="Arial" w:cs="Arial"/>
          <w:bCs/>
          <w:i/>
          <w:sz w:val="22"/>
          <w:szCs w:val="22"/>
        </w:rPr>
        <w:t>Sitagliptin phosphate monohydrate</w:t>
      </w:r>
    </w:p>
    <w:p w:rsidR="00907289" w:rsidRDefault="00907289">
      <w:pPr>
        <w:jc w:val="both"/>
        <w:rPr>
          <w:rFonts w:ascii="Arial" w:hAnsi="Arial" w:cs="Arial"/>
          <w:bCs/>
          <w:sz w:val="22"/>
          <w:szCs w:val="22"/>
        </w:rPr>
      </w:pPr>
      <w:r>
        <w:rPr>
          <w:rFonts w:ascii="Arial" w:hAnsi="Arial" w:cs="Arial"/>
          <w:bCs/>
          <w:sz w:val="22"/>
          <w:szCs w:val="22"/>
        </w:rPr>
        <w:t>In patients with moderate hepatic insufficiency (Child-Pugh score 7 to 9), mean AUC and C</w:t>
      </w:r>
      <w:r>
        <w:rPr>
          <w:rFonts w:ascii="Arial" w:hAnsi="Arial" w:cs="Arial"/>
          <w:bCs/>
          <w:sz w:val="22"/>
          <w:szCs w:val="22"/>
          <w:vertAlign w:val="subscript"/>
        </w:rPr>
        <w:t>max</w:t>
      </w:r>
      <w:r>
        <w:rPr>
          <w:rFonts w:ascii="Arial" w:hAnsi="Arial" w:cs="Arial"/>
          <w:bCs/>
          <w:sz w:val="22"/>
          <w:szCs w:val="22"/>
        </w:rPr>
        <w:t xml:space="preserve"> of sitagliptin increased approximately 21% and 13%, respectively, compared to healthy matched controls following administration of a single 100</w:t>
      </w:r>
      <w:r>
        <w:rPr>
          <w:rFonts w:ascii="Arial" w:hAnsi="Arial" w:cs="Arial"/>
          <w:bCs/>
          <w:sz w:val="22"/>
          <w:szCs w:val="22"/>
        </w:rPr>
        <w:noBreakHyphen/>
        <w:t>mg dose of sitagliptin. These differences are not considered to be clinically meaningful.</w:t>
      </w:r>
    </w:p>
    <w:p w:rsidR="00907289" w:rsidRDefault="00907289" w:rsidP="005D7CDE">
      <w:pPr>
        <w:spacing w:before="100" w:beforeAutospacing="1" w:after="100" w:afterAutospacing="1"/>
        <w:jc w:val="both"/>
        <w:rPr>
          <w:rFonts w:ascii="Arial" w:hAnsi="Arial" w:cs="Arial"/>
          <w:bCs/>
          <w:sz w:val="22"/>
          <w:szCs w:val="22"/>
        </w:rPr>
      </w:pPr>
      <w:r>
        <w:rPr>
          <w:rFonts w:ascii="Arial" w:hAnsi="Arial" w:cs="Arial"/>
          <w:bCs/>
          <w:sz w:val="22"/>
          <w:szCs w:val="22"/>
        </w:rPr>
        <w:t>There is no clinical experience in patients with severe hepatic insufficiency (Child-Pugh score &gt;9). However, because sitagliptin is primarily renally eliminated, severe hepatic insufficiency is not expected to affect the pharmacokinetics of sitagliptin.</w:t>
      </w:r>
    </w:p>
    <w:p w:rsidR="00907289" w:rsidRDefault="00907289" w:rsidP="006656A9">
      <w:pPr>
        <w:jc w:val="both"/>
        <w:outlineLvl w:val="0"/>
        <w:rPr>
          <w:rFonts w:ascii="Arial" w:hAnsi="Arial" w:cs="Arial"/>
          <w:bCs/>
          <w:i/>
          <w:sz w:val="22"/>
          <w:szCs w:val="22"/>
        </w:rPr>
      </w:pPr>
      <w:r>
        <w:rPr>
          <w:rFonts w:ascii="Arial" w:hAnsi="Arial" w:cs="Arial"/>
          <w:bCs/>
          <w:i/>
          <w:sz w:val="22"/>
          <w:szCs w:val="22"/>
        </w:rPr>
        <w:t>Metformin hydrochloride</w:t>
      </w:r>
    </w:p>
    <w:p w:rsidR="00907289" w:rsidRDefault="00907289">
      <w:pPr>
        <w:jc w:val="both"/>
        <w:rPr>
          <w:rFonts w:ascii="Arial" w:hAnsi="Arial" w:cs="Arial"/>
          <w:bCs/>
          <w:sz w:val="22"/>
          <w:szCs w:val="22"/>
        </w:rPr>
      </w:pPr>
      <w:r>
        <w:rPr>
          <w:rFonts w:ascii="Arial" w:hAnsi="Arial" w:cs="Arial"/>
          <w:bCs/>
          <w:sz w:val="22"/>
          <w:szCs w:val="22"/>
        </w:rPr>
        <w:t>No pharmacokinetic studies of metformin have been conducted in patients with hepatic insufficiency.</w:t>
      </w:r>
    </w:p>
    <w:p w:rsidR="00907289" w:rsidRDefault="00907289" w:rsidP="005D7CDE">
      <w:pPr>
        <w:spacing w:before="100" w:beforeAutospacing="1" w:after="100" w:afterAutospacing="1"/>
        <w:jc w:val="both"/>
        <w:outlineLvl w:val="0"/>
        <w:rPr>
          <w:rFonts w:ascii="Arial" w:hAnsi="Arial" w:cs="Arial"/>
          <w:b/>
          <w:bCs/>
          <w:i/>
          <w:sz w:val="22"/>
          <w:szCs w:val="22"/>
        </w:rPr>
      </w:pPr>
      <w:r>
        <w:rPr>
          <w:rFonts w:ascii="Arial" w:hAnsi="Arial" w:cs="Arial"/>
          <w:b/>
          <w:bCs/>
          <w:i/>
          <w:sz w:val="22"/>
          <w:szCs w:val="22"/>
        </w:rPr>
        <w:t>Gender</w:t>
      </w:r>
    </w:p>
    <w:p w:rsidR="00907289" w:rsidRDefault="00907289" w:rsidP="006656A9">
      <w:pPr>
        <w:jc w:val="both"/>
        <w:outlineLvl w:val="0"/>
        <w:rPr>
          <w:rFonts w:ascii="Arial" w:hAnsi="Arial" w:cs="Arial"/>
          <w:bCs/>
          <w:i/>
          <w:sz w:val="22"/>
          <w:szCs w:val="22"/>
        </w:rPr>
      </w:pPr>
      <w:r>
        <w:rPr>
          <w:rFonts w:ascii="Arial" w:hAnsi="Arial" w:cs="Arial"/>
          <w:bCs/>
          <w:i/>
          <w:sz w:val="22"/>
          <w:szCs w:val="22"/>
        </w:rPr>
        <w:t>Sitagliptin phosphate monohydrate</w:t>
      </w:r>
    </w:p>
    <w:p w:rsidR="00907289" w:rsidRDefault="00907289">
      <w:pPr>
        <w:jc w:val="both"/>
        <w:rPr>
          <w:rFonts w:ascii="Arial" w:hAnsi="Arial" w:cs="Arial"/>
          <w:bCs/>
          <w:sz w:val="22"/>
          <w:szCs w:val="22"/>
        </w:rPr>
      </w:pPr>
      <w:r>
        <w:rPr>
          <w:rFonts w:ascii="Arial" w:hAnsi="Arial" w:cs="Arial"/>
          <w:bCs/>
          <w:sz w:val="22"/>
          <w:szCs w:val="22"/>
        </w:rPr>
        <w:t xml:space="preserve">Gender had no clinically meaningful effect on the pharmacokinetics of sitagliptin based on a composite analysis of Phase I pharmacokinetic data and on a population pharmacokinetic analysis of Phase I and Phase II data. </w:t>
      </w:r>
    </w:p>
    <w:p w:rsidR="00907289" w:rsidRDefault="00907289" w:rsidP="005D7CDE">
      <w:pPr>
        <w:spacing w:before="100" w:beforeAutospacing="1"/>
        <w:jc w:val="both"/>
        <w:outlineLvl w:val="0"/>
        <w:rPr>
          <w:rFonts w:ascii="Arial" w:hAnsi="Arial" w:cs="Arial"/>
          <w:bCs/>
          <w:i/>
          <w:sz w:val="22"/>
          <w:szCs w:val="22"/>
        </w:rPr>
      </w:pPr>
      <w:r>
        <w:rPr>
          <w:rFonts w:ascii="Arial" w:hAnsi="Arial" w:cs="Arial"/>
          <w:bCs/>
          <w:i/>
          <w:sz w:val="22"/>
          <w:szCs w:val="22"/>
        </w:rPr>
        <w:t>Metformin hydrochloride</w:t>
      </w:r>
    </w:p>
    <w:p w:rsidR="00907289" w:rsidRDefault="00907289">
      <w:pPr>
        <w:jc w:val="both"/>
        <w:rPr>
          <w:rFonts w:ascii="Arial" w:hAnsi="Arial" w:cs="Arial"/>
          <w:bCs/>
          <w:sz w:val="22"/>
          <w:szCs w:val="22"/>
        </w:rPr>
      </w:pPr>
      <w:r>
        <w:rPr>
          <w:rFonts w:ascii="Arial" w:hAnsi="Arial" w:cs="Arial"/>
          <w:bCs/>
          <w:sz w:val="22"/>
          <w:szCs w:val="22"/>
        </w:rPr>
        <w:t>Metformin pharmacokinetic parameters did not differ significantly between normal subjects and patients with type 2 diabetes when analysed according to gender. Similarly, in controlled clinical studies in patients with type 2 diabetes, the antihyperglycaemic effect of metformin was comparable in males and females.</w:t>
      </w:r>
    </w:p>
    <w:p w:rsidR="00907289" w:rsidRDefault="00907289" w:rsidP="005D7CDE">
      <w:pPr>
        <w:spacing w:before="100" w:beforeAutospacing="1" w:after="100" w:afterAutospacing="1"/>
        <w:jc w:val="both"/>
        <w:outlineLvl w:val="0"/>
        <w:rPr>
          <w:rFonts w:ascii="Arial" w:hAnsi="Arial" w:cs="Arial"/>
          <w:b/>
          <w:bCs/>
          <w:i/>
          <w:sz w:val="22"/>
          <w:szCs w:val="22"/>
        </w:rPr>
      </w:pPr>
      <w:r>
        <w:rPr>
          <w:rFonts w:ascii="Arial" w:hAnsi="Arial" w:cs="Arial"/>
          <w:b/>
          <w:bCs/>
          <w:i/>
          <w:sz w:val="22"/>
          <w:szCs w:val="22"/>
        </w:rPr>
        <w:t>Elderly</w:t>
      </w:r>
    </w:p>
    <w:p w:rsidR="00907289" w:rsidRDefault="00907289" w:rsidP="006656A9">
      <w:pPr>
        <w:jc w:val="both"/>
        <w:outlineLvl w:val="0"/>
        <w:rPr>
          <w:rFonts w:ascii="Arial" w:hAnsi="Arial" w:cs="Arial"/>
          <w:bCs/>
          <w:i/>
          <w:sz w:val="22"/>
          <w:szCs w:val="22"/>
        </w:rPr>
      </w:pPr>
      <w:r>
        <w:rPr>
          <w:rFonts w:ascii="Arial" w:hAnsi="Arial" w:cs="Arial"/>
          <w:bCs/>
          <w:i/>
          <w:sz w:val="22"/>
          <w:szCs w:val="22"/>
        </w:rPr>
        <w:t>Sitagliptin phosphate monohydrate</w:t>
      </w:r>
    </w:p>
    <w:p w:rsidR="00907289" w:rsidRDefault="00907289">
      <w:pPr>
        <w:jc w:val="both"/>
        <w:rPr>
          <w:rFonts w:ascii="Arial" w:hAnsi="Arial" w:cs="Arial"/>
          <w:bCs/>
          <w:sz w:val="22"/>
          <w:szCs w:val="22"/>
        </w:rPr>
      </w:pPr>
      <w:r>
        <w:rPr>
          <w:rFonts w:ascii="Arial" w:hAnsi="Arial" w:cs="Arial"/>
          <w:bCs/>
          <w:sz w:val="22"/>
          <w:szCs w:val="22"/>
        </w:rPr>
        <w:t xml:space="preserve">Age did not have a clinically meaningful impact on the pharmacokinetics of sitagliptin based on a population pharmacokinetic analysis of </w:t>
      </w:r>
      <w:bookmarkStart w:id="1" w:name="OLE_LINK18"/>
      <w:r>
        <w:rPr>
          <w:rFonts w:ascii="Arial" w:hAnsi="Arial" w:cs="Arial"/>
          <w:bCs/>
          <w:sz w:val="22"/>
          <w:szCs w:val="22"/>
        </w:rPr>
        <w:t>Phase I</w:t>
      </w:r>
      <w:bookmarkEnd w:id="1"/>
      <w:r>
        <w:rPr>
          <w:rFonts w:ascii="Arial" w:hAnsi="Arial" w:cs="Arial"/>
          <w:bCs/>
          <w:sz w:val="22"/>
          <w:szCs w:val="22"/>
        </w:rPr>
        <w:t xml:space="preserve"> and Phase II data. Elderly subjects (65 to 80 years) had approximately 19% higher plasma concentrations of sitagliptin compared to younger subjects. </w:t>
      </w:r>
    </w:p>
    <w:p w:rsidR="00907289" w:rsidRDefault="00907289" w:rsidP="005D7CDE">
      <w:pPr>
        <w:spacing w:before="100" w:beforeAutospacing="1"/>
        <w:jc w:val="both"/>
        <w:outlineLvl w:val="0"/>
        <w:rPr>
          <w:rFonts w:ascii="Arial" w:hAnsi="Arial" w:cs="Arial"/>
          <w:bCs/>
          <w:i/>
          <w:sz w:val="22"/>
          <w:szCs w:val="22"/>
        </w:rPr>
      </w:pPr>
      <w:r>
        <w:rPr>
          <w:rFonts w:ascii="Arial" w:hAnsi="Arial" w:cs="Arial"/>
          <w:bCs/>
          <w:i/>
          <w:sz w:val="22"/>
          <w:szCs w:val="22"/>
        </w:rPr>
        <w:t>Metformin hydrochloride</w:t>
      </w:r>
    </w:p>
    <w:p w:rsidR="00907289" w:rsidRDefault="00907289">
      <w:pPr>
        <w:pStyle w:val="Body"/>
        <w:ind w:firstLine="0"/>
        <w:rPr>
          <w:rFonts w:cs="Arial"/>
          <w:sz w:val="22"/>
          <w:szCs w:val="22"/>
        </w:rPr>
      </w:pPr>
      <w:r>
        <w:rPr>
          <w:rFonts w:cs="Arial"/>
          <w:bCs/>
          <w:sz w:val="22"/>
          <w:szCs w:val="22"/>
        </w:rPr>
        <w:t>Limited data from controlled pharmacokinetic studies of metformin in healthy elderly subjects suggest that total plasma clearance of metformin is decreased, the half life is prolonged, and C</w:t>
      </w:r>
      <w:r>
        <w:rPr>
          <w:rFonts w:cs="Arial"/>
          <w:bCs/>
          <w:sz w:val="22"/>
          <w:szCs w:val="22"/>
          <w:vertAlign w:val="subscript"/>
        </w:rPr>
        <w:t xml:space="preserve">max </w:t>
      </w:r>
      <w:r>
        <w:rPr>
          <w:rFonts w:cs="Arial"/>
          <w:bCs/>
          <w:sz w:val="22"/>
          <w:szCs w:val="22"/>
        </w:rPr>
        <w:t xml:space="preserve">is increased, compared to healthy young subjects. From these data, it appears that the </w:t>
      </w:r>
      <w:r>
        <w:rPr>
          <w:rFonts w:cs="Arial"/>
          <w:bCs/>
          <w:sz w:val="22"/>
          <w:szCs w:val="22"/>
        </w:rPr>
        <w:lastRenderedPageBreak/>
        <w:t xml:space="preserve">change in metformin pharmacokinetics with aging is primarily accounted for by a change in renal function </w:t>
      </w:r>
      <w:r>
        <w:rPr>
          <w:rFonts w:cs="Arial"/>
          <w:sz w:val="22"/>
          <w:szCs w:val="22"/>
        </w:rPr>
        <w:t xml:space="preserve">(see </w:t>
      </w:r>
      <w:r>
        <w:rPr>
          <w:rFonts w:cs="Arial"/>
          <w:b/>
          <w:sz w:val="22"/>
          <w:szCs w:val="22"/>
        </w:rPr>
        <w:t>GLUCOPHAGE</w:t>
      </w:r>
      <w:r>
        <w:rPr>
          <w:rStyle w:val="FootnoteReference"/>
          <w:rFonts w:cs="Arial"/>
          <w:sz w:val="22"/>
          <w:szCs w:val="22"/>
        </w:rPr>
        <w:footnoteReference w:id="1"/>
      </w:r>
      <w:r>
        <w:rPr>
          <w:rFonts w:cs="Arial"/>
          <w:sz w:val="22"/>
          <w:szCs w:val="22"/>
        </w:rPr>
        <w:t xml:space="preserve"> US prescribing information: </w:t>
      </w:r>
      <w:r>
        <w:rPr>
          <w:rFonts w:cs="Arial"/>
          <w:b/>
          <w:sz w:val="22"/>
          <w:szCs w:val="22"/>
        </w:rPr>
        <w:t>CLINICAL PHARMACOLOGY</w:t>
      </w:r>
      <w:r>
        <w:rPr>
          <w:rFonts w:cs="Arial"/>
          <w:sz w:val="22"/>
          <w:szCs w:val="22"/>
        </w:rPr>
        <w:t>, Special Populations, Geriatrics).</w:t>
      </w:r>
    </w:p>
    <w:p w:rsidR="00907289" w:rsidRDefault="00907289" w:rsidP="005D7CDE">
      <w:pPr>
        <w:pStyle w:val="Body"/>
        <w:spacing w:before="100" w:beforeAutospacing="1" w:after="100" w:afterAutospacing="1"/>
        <w:ind w:firstLine="0"/>
        <w:rPr>
          <w:rFonts w:cs="Arial"/>
          <w:bCs/>
          <w:sz w:val="22"/>
          <w:szCs w:val="22"/>
        </w:rPr>
      </w:pPr>
      <w:r>
        <w:rPr>
          <w:rFonts w:cs="Arial"/>
          <w:bCs/>
          <w:sz w:val="22"/>
          <w:szCs w:val="22"/>
        </w:rPr>
        <w:t xml:space="preserve">JANUMET treatment should not be initiated in patients ≥80 years of age unless measurement of creatinine clearance demonstrates that renal function is not reduced (see </w:t>
      </w:r>
      <w:r>
        <w:rPr>
          <w:rFonts w:cs="Arial"/>
          <w:b/>
          <w:bCs/>
          <w:sz w:val="22"/>
          <w:szCs w:val="22"/>
        </w:rPr>
        <w:t>PRECAUTIONS</w:t>
      </w:r>
      <w:r>
        <w:rPr>
          <w:rFonts w:cs="Arial"/>
          <w:bCs/>
          <w:sz w:val="22"/>
          <w:szCs w:val="22"/>
        </w:rPr>
        <w:t xml:space="preserve">, </w:t>
      </w:r>
      <w:r>
        <w:rPr>
          <w:rFonts w:cs="Arial"/>
          <w:bCs/>
          <w:i/>
          <w:sz w:val="22"/>
          <w:szCs w:val="22"/>
        </w:rPr>
        <w:t>Metformin hydrochloride</w:t>
      </w:r>
      <w:r>
        <w:rPr>
          <w:rFonts w:cs="Arial"/>
          <w:bCs/>
          <w:sz w:val="22"/>
          <w:szCs w:val="22"/>
        </w:rPr>
        <w:t>).</w:t>
      </w:r>
    </w:p>
    <w:p w:rsidR="00907289" w:rsidRDefault="00907289" w:rsidP="006656A9">
      <w:pPr>
        <w:jc w:val="both"/>
        <w:outlineLvl w:val="0"/>
        <w:rPr>
          <w:rFonts w:ascii="Arial" w:hAnsi="Arial" w:cs="Arial"/>
          <w:b/>
          <w:bCs/>
          <w:i/>
          <w:sz w:val="22"/>
          <w:szCs w:val="22"/>
        </w:rPr>
      </w:pPr>
      <w:r>
        <w:rPr>
          <w:rFonts w:ascii="Arial" w:hAnsi="Arial" w:cs="Arial"/>
          <w:b/>
          <w:bCs/>
          <w:i/>
          <w:sz w:val="22"/>
          <w:szCs w:val="22"/>
        </w:rPr>
        <w:t>Paediatric</w:t>
      </w:r>
    </w:p>
    <w:p w:rsidR="00907289" w:rsidRDefault="00907289" w:rsidP="005D7CDE">
      <w:pPr>
        <w:spacing w:before="100" w:beforeAutospacing="1" w:after="100" w:afterAutospacing="1"/>
        <w:jc w:val="both"/>
        <w:outlineLvl w:val="0"/>
        <w:rPr>
          <w:rFonts w:ascii="Arial" w:hAnsi="Arial" w:cs="Arial"/>
          <w:bCs/>
          <w:sz w:val="22"/>
          <w:szCs w:val="22"/>
        </w:rPr>
      </w:pPr>
      <w:r>
        <w:rPr>
          <w:rFonts w:ascii="Arial" w:hAnsi="Arial" w:cs="Arial"/>
          <w:bCs/>
          <w:sz w:val="22"/>
          <w:szCs w:val="22"/>
        </w:rPr>
        <w:t>No studies with JANUMET have been performed in paediatric patients.</w:t>
      </w:r>
    </w:p>
    <w:p w:rsidR="00907289" w:rsidRDefault="00907289" w:rsidP="006656A9">
      <w:pPr>
        <w:jc w:val="both"/>
        <w:outlineLvl w:val="0"/>
        <w:rPr>
          <w:rFonts w:ascii="Arial" w:hAnsi="Arial" w:cs="Arial"/>
          <w:b/>
          <w:bCs/>
          <w:i/>
          <w:sz w:val="22"/>
          <w:szCs w:val="22"/>
        </w:rPr>
      </w:pPr>
      <w:r>
        <w:rPr>
          <w:rFonts w:ascii="Arial" w:hAnsi="Arial" w:cs="Arial"/>
          <w:b/>
          <w:bCs/>
          <w:i/>
          <w:sz w:val="22"/>
          <w:szCs w:val="22"/>
        </w:rPr>
        <w:t>Race</w:t>
      </w:r>
    </w:p>
    <w:p w:rsidR="00907289" w:rsidRDefault="00907289" w:rsidP="005D7CDE">
      <w:pPr>
        <w:spacing w:before="100" w:beforeAutospacing="1"/>
        <w:jc w:val="both"/>
        <w:outlineLvl w:val="0"/>
        <w:rPr>
          <w:rFonts w:ascii="Arial" w:hAnsi="Arial" w:cs="Arial"/>
          <w:bCs/>
          <w:i/>
          <w:sz w:val="22"/>
          <w:szCs w:val="22"/>
        </w:rPr>
      </w:pPr>
      <w:r>
        <w:rPr>
          <w:rFonts w:ascii="Arial" w:hAnsi="Arial" w:cs="Arial"/>
          <w:bCs/>
          <w:i/>
          <w:sz w:val="22"/>
          <w:szCs w:val="22"/>
        </w:rPr>
        <w:t>Sitagliptin phosphate monohydrate</w:t>
      </w:r>
    </w:p>
    <w:p w:rsidR="00907289" w:rsidRDefault="00907289">
      <w:pPr>
        <w:jc w:val="both"/>
        <w:rPr>
          <w:rFonts w:ascii="Arial" w:hAnsi="Arial" w:cs="Arial"/>
          <w:bCs/>
          <w:sz w:val="22"/>
          <w:szCs w:val="22"/>
        </w:rPr>
      </w:pPr>
      <w:r>
        <w:rPr>
          <w:rFonts w:ascii="Arial" w:hAnsi="Arial" w:cs="Arial"/>
          <w:bCs/>
          <w:sz w:val="22"/>
          <w:szCs w:val="22"/>
        </w:rPr>
        <w:t xml:space="preserve">Race had no clinically </w:t>
      </w:r>
      <w:r>
        <w:rPr>
          <w:rFonts w:ascii="Arial" w:hAnsi="Arial" w:cs="Arial"/>
          <w:bCs/>
          <w:iCs/>
          <w:sz w:val="22"/>
          <w:szCs w:val="22"/>
        </w:rPr>
        <w:t xml:space="preserve">meaningful effect </w:t>
      </w:r>
      <w:r>
        <w:rPr>
          <w:rFonts w:ascii="Arial" w:hAnsi="Arial" w:cs="Arial"/>
          <w:bCs/>
          <w:sz w:val="22"/>
          <w:szCs w:val="22"/>
        </w:rPr>
        <w:t xml:space="preserve">on the pharmacokinetics of sitagliptin based on a composite analysis of Phase I pharmacokinetic data and on a population pharmacokinetic analysis of Phase I and Phase II data, including subjects of white, Hispanic, black, </w:t>
      </w:r>
      <w:r w:rsidR="005D7CDE">
        <w:rPr>
          <w:rFonts w:ascii="Arial" w:hAnsi="Arial" w:cs="Arial"/>
          <w:bCs/>
          <w:sz w:val="22"/>
          <w:szCs w:val="22"/>
        </w:rPr>
        <w:t>Asian, and other racial groups.</w:t>
      </w:r>
    </w:p>
    <w:p w:rsidR="00907289" w:rsidRDefault="00907289" w:rsidP="005D7CDE">
      <w:pPr>
        <w:spacing w:before="100" w:beforeAutospacing="1"/>
        <w:jc w:val="both"/>
        <w:outlineLvl w:val="0"/>
        <w:rPr>
          <w:rFonts w:ascii="Arial" w:hAnsi="Arial" w:cs="Arial"/>
          <w:bCs/>
          <w:i/>
          <w:sz w:val="22"/>
          <w:szCs w:val="22"/>
        </w:rPr>
      </w:pPr>
      <w:r>
        <w:rPr>
          <w:rFonts w:ascii="Arial" w:hAnsi="Arial" w:cs="Arial"/>
          <w:bCs/>
          <w:i/>
          <w:sz w:val="22"/>
          <w:szCs w:val="22"/>
        </w:rPr>
        <w:t>Metformin hydrochloride</w:t>
      </w:r>
    </w:p>
    <w:p w:rsidR="00907289" w:rsidRDefault="00907289">
      <w:pPr>
        <w:jc w:val="both"/>
        <w:rPr>
          <w:rFonts w:ascii="Arial" w:hAnsi="Arial" w:cs="Arial"/>
          <w:bCs/>
          <w:sz w:val="22"/>
          <w:szCs w:val="22"/>
        </w:rPr>
      </w:pPr>
      <w:r>
        <w:rPr>
          <w:rFonts w:ascii="Arial" w:hAnsi="Arial" w:cs="Arial"/>
          <w:bCs/>
          <w:sz w:val="22"/>
          <w:szCs w:val="22"/>
        </w:rPr>
        <w:t>No studies of metformin pharmacokinetic parameters according to race have been performed. In controlled clinical studies of metformin in patients with type 2 diabetes, the antihyperglycaemic effect was comparable in whites (n=249), blacks (n= 51), and Hispanics (n=24).</w:t>
      </w:r>
    </w:p>
    <w:p w:rsidR="00907289" w:rsidRDefault="005D7CDE" w:rsidP="005D7CDE">
      <w:pPr>
        <w:spacing w:before="100" w:beforeAutospacing="1" w:after="100" w:afterAutospacing="1"/>
        <w:jc w:val="both"/>
        <w:outlineLvl w:val="0"/>
        <w:rPr>
          <w:rFonts w:ascii="Arial" w:hAnsi="Arial" w:cs="Arial"/>
          <w:b/>
          <w:bCs/>
          <w:i/>
          <w:sz w:val="22"/>
          <w:szCs w:val="22"/>
        </w:rPr>
      </w:pPr>
      <w:r>
        <w:rPr>
          <w:rFonts w:ascii="Arial" w:hAnsi="Arial" w:cs="Arial"/>
          <w:b/>
          <w:bCs/>
          <w:i/>
          <w:sz w:val="22"/>
          <w:szCs w:val="22"/>
        </w:rPr>
        <w:t>Body Mass Index (BMI)</w:t>
      </w:r>
    </w:p>
    <w:p w:rsidR="00907289" w:rsidRDefault="00907289" w:rsidP="006656A9">
      <w:pPr>
        <w:jc w:val="both"/>
        <w:outlineLvl w:val="0"/>
        <w:rPr>
          <w:rFonts w:ascii="Arial" w:hAnsi="Arial" w:cs="Arial"/>
          <w:bCs/>
          <w:i/>
          <w:sz w:val="22"/>
          <w:szCs w:val="22"/>
        </w:rPr>
      </w:pPr>
      <w:r>
        <w:rPr>
          <w:rFonts w:ascii="Arial" w:hAnsi="Arial" w:cs="Arial"/>
          <w:bCs/>
          <w:i/>
          <w:sz w:val="22"/>
          <w:szCs w:val="22"/>
        </w:rPr>
        <w:t>Sitagliptin phosphate monohydrate</w:t>
      </w:r>
    </w:p>
    <w:p w:rsidR="00907289" w:rsidRDefault="00907289">
      <w:pPr>
        <w:jc w:val="both"/>
        <w:rPr>
          <w:rFonts w:ascii="Arial" w:hAnsi="Arial" w:cs="Arial"/>
          <w:b/>
          <w:sz w:val="22"/>
          <w:szCs w:val="22"/>
        </w:rPr>
      </w:pPr>
      <w:r>
        <w:rPr>
          <w:rFonts w:ascii="Arial" w:hAnsi="Arial" w:cs="Arial"/>
          <w:bCs/>
          <w:sz w:val="22"/>
          <w:szCs w:val="22"/>
        </w:rPr>
        <w:t>Body mass index (BMI) had no clinically meaningful effect on the pharmacokinetics of sitagliptin based on a composite analysis of Phase I pharmacokinetic data and on a population pharmacokinetic analysis of Phase I and Phase II data.</w:t>
      </w:r>
    </w:p>
    <w:p w:rsidR="00907289" w:rsidRDefault="00907289">
      <w:pPr>
        <w:rPr>
          <w:rFonts w:ascii="Arial" w:hAnsi="Arial" w:cs="Arial"/>
          <w:b/>
          <w:sz w:val="22"/>
          <w:szCs w:val="22"/>
        </w:rPr>
      </w:pPr>
    </w:p>
    <w:p w:rsidR="00907289" w:rsidRDefault="00907289" w:rsidP="006656A9">
      <w:pPr>
        <w:outlineLvl w:val="0"/>
        <w:rPr>
          <w:rFonts w:ascii="Arial" w:hAnsi="Arial" w:cs="Arial"/>
          <w:b/>
          <w:sz w:val="22"/>
          <w:szCs w:val="22"/>
        </w:rPr>
      </w:pPr>
      <w:r>
        <w:rPr>
          <w:rFonts w:ascii="Arial" w:hAnsi="Arial" w:cs="Arial"/>
          <w:b/>
          <w:sz w:val="22"/>
          <w:szCs w:val="22"/>
        </w:rPr>
        <w:t>Pharmacodynamics</w:t>
      </w:r>
    </w:p>
    <w:p w:rsidR="00907289" w:rsidRDefault="00907289">
      <w:pPr>
        <w:rPr>
          <w:i/>
          <w:sz w:val="22"/>
          <w:szCs w:val="22"/>
        </w:rPr>
      </w:pPr>
    </w:p>
    <w:p w:rsidR="00907289" w:rsidRDefault="00907289" w:rsidP="006656A9">
      <w:pPr>
        <w:jc w:val="both"/>
        <w:outlineLvl w:val="0"/>
        <w:rPr>
          <w:rFonts w:ascii="Arial" w:hAnsi="Arial" w:cs="Arial"/>
          <w:i/>
          <w:sz w:val="22"/>
          <w:szCs w:val="22"/>
        </w:rPr>
      </w:pPr>
      <w:r>
        <w:rPr>
          <w:rFonts w:ascii="Arial" w:hAnsi="Arial" w:cs="Arial"/>
          <w:i/>
          <w:sz w:val="22"/>
          <w:szCs w:val="22"/>
        </w:rPr>
        <w:t>Sitagliptin phosphate monohydrate</w:t>
      </w:r>
    </w:p>
    <w:p w:rsidR="00907289" w:rsidRDefault="00907289">
      <w:pPr>
        <w:jc w:val="both"/>
        <w:rPr>
          <w:rFonts w:ascii="Arial" w:hAnsi="Arial" w:cs="Arial"/>
          <w:i/>
          <w:sz w:val="22"/>
          <w:szCs w:val="22"/>
        </w:rPr>
      </w:pPr>
    </w:p>
    <w:p w:rsidR="00907289" w:rsidRDefault="00907289" w:rsidP="006656A9">
      <w:pPr>
        <w:jc w:val="both"/>
        <w:outlineLvl w:val="0"/>
        <w:rPr>
          <w:rFonts w:ascii="Arial" w:hAnsi="Arial" w:cs="Arial"/>
          <w:b/>
          <w:i/>
          <w:sz w:val="22"/>
          <w:szCs w:val="22"/>
        </w:rPr>
      </w:pPr>
      <w:r>
        <w:rPr>
          <w:rFonts w:ascii="Arial" w:hAnsi="Arial" w:cs="Arial"/>
          <w:b/>
          <w:i/>
          <w:sz w:val="22"/>
          <w:szCs w:val="22"/>
        </w:rPr>
        <w:t>General</w:t>
      </w:r>
    </w:p>
    <w:p w:rsidR="00907289" w:rsidRDefault="00907289">
      <w:pPr>
        <w:jc w:val="both"/>
        <w:rPr>
          <w:rFonts w:ascii="Arial" w:hAnsi="Arial" w:cs="Arial"/>
          <w:sz w:val="22"/>
          <w:szCs w:val="22"/>
        </w:rPr>
      </w:pPr>
      <w:r>
        <w:rPr>
          <w:rFonts w:ascii="Arial" w:hAnsi="Arial" w:cs="Arial"/>
          <w:sz w:val="22"/>
          <w:szCs w:val="22"/>
        </w:rPr>
        <w:t>In patients with type 2 diabetes, administration of single oral doses of sitagliptin leads to inhibition of DPP-4 enzyme activity for a 24-hour period, resulting in a 2- to 3-fold increase in circulating levels of active GLP-1 and GIP, increased plasma levels of insulin and C-peptide, decreased glucagon concentrations, reduced fasting glucose, and reduced glucose excursion following an oral glucose load or a meal.</w:t>
      </w:r>
    </w:p>
    <w:p w:rsidR="00907289" w:rsidRDefault="00907289" w:rsidP="005D7CDE">
      <w:pPr>
        <w:spacing w:before="100" w:beforeAutospacing="1" w:after="100" w:afterAutospacing="1"/>
        <w:jc w:val="both"/>
        <w:rPr>
          <w:rFonts w:ascii="Arial" w:hAnsi="Arial" w:cs="Arial"/>
          <w:sz w:val="22"/>
          <w:szCs w:val="22"/>
        </w:rPr>
      </w:pPr>
      <w:r>
        <w:rPr>
          <w:rFonts w:ascii="Arial" w:hAnsi="Arial" w:cs="Arial"/>
          <w:sz w:val="22"/>
          <w:szCs w:val="22"/>
        </w:rPr>
        <w:t>In Phase III clinical studies of 18- and 24-week duration, treatment with sitagliptin 100 mg daily in patients with type 2 diabetes significantly improved beta cell function, as assessed by several markers, including HOMA-β (Homeostasis Model Assessment-β), proinsulin to insulin ratio, and measures of beta cell responsiveness from the frequently-sampled meal tolerance test. In Phase II studies, sitagliptin 50 mg twice daily provided similar glycaemic efficacy compared to sitagliptin 100 mg once daily.</w:t>
      </w:r>
    </w:p>
    <w:p w:rsidR="00907289" w:rsidRDefault="00907289" w:rsidP="005D7CDE">
      <w:pPr>
        <w:spacing w:after="100" w:afterAutospacing="1"/>
        <w:jc w:val="both"/>
        <w:rPr>
          <w:rFonts w:ascii="Arial" w:hAnsi="Arial" w:cs="Arial"/>
          <w:sz w:val="22"/>
          <w:szCs w:val="22"/>
        </w:rPr>
      </w:pPr>
      <w:bookmarkStart w:id="2" w:name="OLE_LINK25"/>
      <w:r>
        <w:rPr>
          <w:rFonts w:ascii="Arial" w:hAnsi="Arial" w:cs="Arial"/>
          <w:sz w:val="22"/>
          <w:szCs w:val="22"/>
        </w:rPr>
        <w:lastRenderedPageBreak/>
        <w:t>In a randomised, placebo-controlled, double-blind, double-dummy, four-period crossover two-day study in healthy adult subjects, the effects on post-meal plasma concentrations of active and total GLP-1 and glucose after co-administration of sitagliptin and metformin were compared with those after administration of sitagliptin alone, metformin alone or placebo, each administered for two days. The incremental 4-hour post-meal weighted mean active GLP-1 concentrations were increased approximately 2-fold after either administration of sitagliptin alone or metformin alone compared with placebo. The effect on active GLP-1 concentrations after co-administration of sitagliptin and metformin were additive, with active GLP-1 concentrations increased by approximately 4-fold compared with placebo. Sitagliptin alone increased only active GLP-1 concentrations, reflecting inhibition of DPP-4, whereas metformin alone increased active and total GLP-1 concentrations to a similar extent. These data are consistent with different mechanisms for the increase in active GLP-1 concentrations. Results from the study also demonstrated that sitagliptin, but not metformin, enhances active GIP concentrations.</w:t>
      </w:r>
    </w:p>
    <w:bookmarkEnd w:id="2"/>
    <w:p w:rsidR="00907289" w:rsidRDefault="00907289" w:rsidP="005D7CDE">
      <w:pPr>
        <w:spacing w:after="100" w:afterAutospacing="1"/>
        <w:jc w:val="both"/>
        <w:rPr>
          <w:rFonts w:ascii="Arial" w:hAnsi="Arial" w:cs="Arial"/>
          <w:sz w:val="22"/>
          <w:szCs w:val="22"/>
        </w:rPr>
      </w:pPr>
      <w:r>
        <w:rPr>
          <w:rFonts w:ascii="Arial" w:hAnsi="Arial" w:cs="Arial"/>
          <w:sz w:val="22"/>
          <w:szCs w:val="22"/>
        </w:rPr>
        <w:t>In studies with healthy subjects, sitagliptin did not lower blood glucose or cause hypoglycaemia, suggesting that the insulinotropic and glucagon suppressive actions of the drug are glucose dependent.</w:t>
      </w:r>
    </w:p>
    <w:p w:rsidR="00907289" w:rsidRDefault="00907289" w:rsidP="006656A9">
      <w:pPr>
        <w:jc w:val="both"/>
        <w:outlineLvl w:val="0"/>
        <w:rPr>
          <w:rFonts w:ascii="Arial" w:hAnsi="Arial" w:cs="Arial"/>
          <w:b/>
          <w:i/>
          <w:sz w:val="22"/>
          <w:szCs w:val="22"/>
        </w:rPr>
      </w:pPr>
      <w:r>
        <w:rPr>
          <w:rFonts w:ascii="Arial" w:hAnsi="Arial" w:cs="Arial"/>
          <w:b/>
          <w:i/>
          <w:sz w:val="22"/>
          <w:szCs w:val="22"/>
        </w:rPr>
        <w:t>Effects on blood pressure</w:t>
      </w:r>
    </w:p>
    <w:p w:rsidR="00907289" w:rsidRDefault="00907289" w:rsidP="005D7CDE">
      <w:pPr>
        <w:spacing w:after="100" w:afterAutospacing="1"/>
        <w:jc w:val="both"/>
        <w:rPr>
          <w:rFonts w:ascii="Arial" w:hAnsi="Arial" w:cs="Arial"/>
          <w:sz w:val="22"/>
          <w:szCs w:val="22"/>
        </w:rPr>
      </w:pPr>
      <w:r>
        <w:rPr>
          <w:rFonts w:ascii="Arial" w:hAnsi="Arial" w:cs="Arial"/>
          <w:sz w:val="22"/>
          <w:szCs w:val="22"/>
        </w:rPr>
        <w:t>In a randomised, placebo-controlled crossover study in hypertensive patients on one or more anti-hypertensive drugs (including angiotensin-converting enzyme inhibitors, angiotensin-II antagonists, calcium-channel blockers, beta-blockers and diuretics), co-administration with sitagliptin was generally well tolerated. In these patients, sitagliptin had a modest blood pressure lowering effect; 100 mg per day of sitagliptin reduced 24-hour mean ambulatory systolic blood pressure by approximately 2 mm Hg, as compared to placebo. Reductions have not been observed in subje</w:t>
      </w:r>
      <w:r w:rsidR="005D7CDE">
        <w:rPr>
          <w:rFonts w:ascii="Arial" w:hAnsi="Arial" w:cs="Arial"/>
          <w:sz w:val="22"/>
          <w:szCs w:val="22"/>
        </w:rPr>
        <w:t>cts with normal blood pressure.</w:t>
      </w:r>
    </w:p>
    <w:p w:rsidR="00907289" w:rsidRDefault="00907289" w:rsidP="006656A9">
      <w:pPr>
        <w:jc w:val="both"/>
        <w:outlineLvl w:val="0"/>
        <w:rPr>
          <w:rFonts w:ascii="Arial" w:hAnsi="Arial" w:cs="Arial"/>
          <w:b/>
          <w:i/>
          <w:sz w:val="22"/>
          <w:szCs w:val="22"/>
        </w:rPr>
      </w:pPr>
      <w:r>
        <w:rPr>
          <w:rFonts w:ascii="Arial" w:hAnsi="Arial" w:cs="Arial"/>
          <w:b/>
          <w:i/>
          <w:sz w:val="22"/>
          <w:szCs w:val="22"/>
        </w:rPr>
        <w:t>Cardiac Electrophysiology</w:t>
      </w:r>
    </w:p>
    <w:p w:rsidR="00907289" w:rsidRDefault="00907289">
      <w:pPr>
        <w:jc w:val="both"/>
        <w:rPr>
          <w:rFonts w:ascii="Arial" w:hAnsi="Arial" w:cs="Arial"/>
          <w:sz w:val="22"/>
          <w:szCs w:val="22"/>
        </w:rPr>
      </w:pPr>
      <w:r>
        <w:rPr>
          <w:rFonts w:ascii="Arial" w:hAnsi="Arial" w:cs="Arial"/>
          <w:sz w:val="22"/>
          <w:szCs w:val="22"/>
        </w:rPr>
        <w:t>In a randomised, placebo-controlled crossover study, 79 healthy subjects were administered a single oral dose of sitagliptin 100 mg, sitagliptin 800 mg (8 times the recommended dose), and placebo. At the recommended dose of 100 mg, there was no effect on the QTc interval obtained at the peak plasma concentration, or at any other time during the study. Following the 800</w:t>
      </w:r>
      <w:r>
        <w:rPr>
          <w:rFonts w:ascii="Arial" w:hAnsi="Arial" w:cs="Arial"/>
          <w:sz w:val="22"/>
          <w:szCs w:val="22"/>
        </w:rPr>
        <w:noBreakHyphen/>
        <w:t xml:space="preserve">mg dose, the maximum increase in the </w:t>
      </w:r>
      <w:bookmarkStart w:id="3" w:name="OLE_LINK20"/>
      <w:r>
        <w:rPr>
          <w:rFonts w:ascii="Arial" w:hAnsi="Arial" w:cs="Arial"/>
          <w:sz w:val="22"/>
          <w:szCs w:val="22"/>
        </w:rPr>
        <w:t xml:space="preserve">placebo-corrected mean change </w:t>
      </w:r>
      <w:bookmarkEnd w:id="3"/>
      <w:r>
        <w:rPr>
          <w:rFonts w:ascii="Arial" w:hAnsi="Arial" w:cs="Arial"/>
          <w:sz w:val="22"/>
          <w:szCs w:val="22"/>
        </w:rPr>
        <w:t>in QTc from baseline at 3 hours postdose was 8.0 msec. This small increase was not considered to be clinically significant. At the 800-mg dose, peak sitagliptin plasma concentrations were approximately 11 times higher than the peak concentrations following a 100</w:t>
      </w:r>
      <w:r>
        <w:rPr>
          <w:rFonts w:ascii="Arial" w:hAnsi="Arial" w:cs="Arial"/>
          <w:sz w:val="22"/>
          <w:szCs w:val="22"/>
        </w:rPr>
        <w:noBreakHyphen/>
        <w:t>mg dose.</w:t>
      </w:r>
    </w:p>
    <w:p w:rsidR="00907289" w:rsidRDefault="00907289" w:rsidP="005D7CDE">
      <w:pPr>
        <w:spacing w:before="100" w:beforeAutospacing="1" w:after="100" w:afterAutospacing="1"/>
        <w:jc w:val="both"/>
        <w:rPr>
          <w:rFonts w:ascii="Arial" w:hAnsi="Arial" w:cs="Arial"/>
          <w:sz w:val="22"/>
          <w:szCs w:val="22"/>
        </w:rPr>
      </w:pPr>
      <w:r>
        <w:rPr>
          <w:rFonts w:ascii="Arial" w:hAnsi="Arial" w:cs="Arial"/>
          <w:sz w:val="22"/>
          <w:szCs w:val="22"/>
        </w:rPr>
        <w:t>In patients with type 2 diabetes administered sitagliptin 100 mg (N=81) or sitagliptin 200 mg (N=63) daily, there were no meaningful changes in QTc interval based on ECG data obtained at the time of expected peak plasma concentration.</w:t>
      </w:r>
    </w:p>
    <w:p w:rsidR="00907289" w:rsidRDefault="00907289" w:rsidP="006656A9">
      <w:pPr>
        <w:outlineLvl w:val="0"/>
        <w:rPr>
          <w:rFonts w:ascii="Arial" w:hAnsi="Arial" w:cs="Arial"/>
          <w:b/>
          <w:sz w:val="22"/>
          <w:szCs w:val="22"/>
        </w:rPr>
      </w:pPr>
      <w:r>
        <w:rPr>
          <w:rFonts w:ascii="Arial" w:hAnsi="Arial" w:cs="Arial"/>
          <w:b/>
          <w:sz w:val="22"/>
          <w:szCs w:val="22"/>
        </w:rPr>
        <w:t>Clinical Studies</w:t>
      </w:r>
    </w:p>
    <w:p w:rsidR="00907289" w:rsidRDefault="00907289" w:rsidP="005D7CDE">
      <w:pPr>
        <w:spacing w:before="100" w:beforeAutospacing="1" w:after="100" w:afterAutospacing="1"/>
        <w:jc w:val="both"/>
        <w:rPr>
          <w:rFonts w:ascii="Arial" w:hAnsi="Arial" w:cs="Arial"/>
          <w:sz w:val="22"/>
          <w:szCs w:val="22"/>
        </w:rPr>
      </w:pPr>
      <w:r>
        <w:rPr>
          <w:rFonts w:ascii="Arial" w:hAnsi="Arial" w:cs="Arial"/>
          <w:sz w:val="22"/>
          <w:szCs w:val="22"/>
        </w:rPr>
        <w:t xml:space="preserve">Clinical studies of the co-administration of sitagliptin and metformin demonstrated significant improvements in glycaemic control in patients with type 2 diabetes. There have been no clinical efficacy studies conducted with JANUMET tablets; however, bioequivalence of JANUMET tablets with co-administered sitagliptin and metformin hydrochloride tablets was demonstrated. </w:t>
      </w:r>
    </w:p>
    <w:p w:rsidR="009939D0" w:rsidRPr="000445CD" w:rsidRDefault="00907289" w:rsidP="005D7CDE">
      <w:pPr>
        <w:spacing w:after="100" w:afterAutospacing="1"/>
        <w:jc w:val="both"/>
        <w:outlineLvl w:val="0"/>
        <w:rPr>
          <w:rFonts w:ascii="Arial" w:hAnsi="Arial" w:cs="Arial"/>
          <w:b/>
          <w:sz w:val="22"/>
          <w:szCs w:val="22"/>
        </w:rPr>
      </w:pPr>
      <w:r>
        <w:rPr>
          <w:rFonts w:ascii="Arial" w:hAnsi="Arial" w:cs="Arial"/>
          <w:b/>
          <w:sz w:val="22"/>
          <w:szCs w:val="22"/>
        </w:rPr>
        <w:t>Sitagliptin and Metformin as Initial Therapy in Patients with Type 2 Diabetes</w:t>
      </w:r>
    </w:p>
    <w:p w:rsidR="00907289" w:rsidRDefault="00F50991" w:rsidP="005D7CDE">
      <w:pPr>
        <w:pStyle w:val="Body"/>
        <w:spacing w:after="100" w:afterAutospacing="1"/>
        <w:ind w:firstLine="0"/>
        <w:rPr>
          <w:rFonts w:cs="Arial"/>
          <w:sz w:val="22"/>
          <w:szCs w:val="22"/>
        </w:rPr>
      </w:pPr>
      <w:r>
        <w:rPr>
          <w:rFonts w:cs="Arial"/>
          <w:sz w:val="22"/>
          <w:szCs w:val="22"/>
        </w:rPr>
        <w:t>This</w:t>
      </w:r>
      <w:r w:rsidRPr="00F50991">
        <w:rPr>
          <w:rFonts w:cs="Arial"/>
          <w:sz w:val="22"/>
          <w:szCs w:val="22"/>
        </w:rPr>
        <w:t xml:space="preserve"> study consisted of a 24-week, placebo-controlled Phase A, a</w:t>
      </w:r>
      <w:r>
        <w:rPr>
          <w:rFonts w:cs="Arial"/>
          <w:sz w:val="22"/>
          <w:szCs w:val="22"/>
        </w:rPr>
        <w:t xml:space="preserve"> </w:t>
      </w:r>
      <w:r w:rsidRPr="00F50991">
        <w:rPr>
          <w:rFonts w:cs="Arial"/>
          <w:sz w:val="22"/>
          <w:szCs w:val="22"/>
        </w:rPr>
        <w:t>30-week, active-controlled Phase B, and a 50-week active-controlled Extension Phase</w:t>
      </w:r>
      <w:r w:rsidR="00E24A0A">
        <w:rPr>
          <w:rFonts w:cs="Arial"/>
          <w:sz w:val="22"/>
          <w:szCs w:val="22"/>
        </w:rPr>
        <w:t>, where</w:t>
      </w:r>
      <w:r w:rsidR="00907289">
        <w:rPr>
          <w:rFonts w:cs="Arial"/>
          <w:sz w:val="22"/>
          <w:szCs w:val="22"/>
        </w:rPr>
        <w:t xml:space="preserve"> 1091 patients with type 2 diabetes and inadequate</w:t>
      </w:r>
      <w:r w:rsidR="00907289">
        <w:rPr>
          <w:rFonts w:cs="Arial"/>
          <w:sz w:val="22"/>
          <w:szCs w:val="22"/>
          <w:lang w:val="en-AU"/>
        </w:rPr>
        <w:t xml:space="preserve"> glycaemic</w:t>
      </w:r>
      <w:r w:rsidR="00907289">
        <w:rPr>
          <w:rFonts w:cs="Arial"/>
          <w:sz w:val="22"/>
          <w:szCs w:val="22"/>
        </w:rPr>
        <w:t xml:space="preserve"> control on diet and exercise </w:t>
      </w:r>
      <w:r>
        <w:rPr>
          <w:rFonts w:cs="Arial"/>
          <w:sz w:val="22"/>
          <w:szCs w:val="22"/>
        </w:rPr>
        <w:t xml:space="preserve">were enrolled </w:t>
      </w:r>
      <w:r w:rsidR="00907289">
        <w:rPr>
          <w:rFonts w:cs="Arial"/>
          <w:sz w:val="22"/>
          <w:szCs w:val="22"/>
        </w:rPr>
        <w:t xml:space="preserve">in a randomized, </w:t>
      </w:r>
      <w:r w:rsidR="00907289">
        <w:rPr>
          <w:rFonts w:cs="Arial"/>
          <w:sz w:val="22"/>
          <w:szCs w:val="22"/>
        </w:rPr>
        <w:lastRenderedPageBreak/>
        <w:t xml:space="preserve">double-blind, </w:t>
      </w:r>
      <w:r w:rsidR="00A20239" w:rsidRPr="00A20239">
        <w:rPr>
          <w:rFonts w:cs="Arial"/>
          <w:sz w:val="22"/>
          <w:szCs w:val="22"/>
        </w:rPr>
        <w:t>parallel-group</w:t>
      </w:r>
      <w:r w:rsidR="00907289">
        <w:rPr>
          <w:rFonts w:cs="Arial"/>
          <w:sz w:val="22"/>
          <w:szCs w:val="22"/>
        </w:rPr>
        <w:t xml:space="preserve"> factorial study designed to assess the safety and efficacy of initial therapy with the combination of sitagliptin and metformin. </w:t>
      </w:r>
      <w:r w:rsidR="00E24A0A" w:rsidRPr="00E24A0A">
        <w:rPr>
          <w:rFonts w:cs="Arial"/>
          <w:sz w:val="22"/>
          <w:szCs w:val="22"/>
        </w:rPr>
        <w:t>Patients on an antihyperglyc</w:t>
      </w:r>
      <w:r w:rsidR="00096F2C">
        <w:rPr>
          <w:rFonts w:cs="Arial"/>
          <w:sz w:val="22"/>
          <w:szCs w:val="22"/>
        </w:rPr>
        <w:t>a</w:t>
      </w:r>
      <w:r w:rsidR="00E24A0A" w:rsidRPr="00E24A0A">
        <w:rPr>
          <w:rFonts w:cs="Arial"/>
          <w:sz w:val="22"/>
          <w:szCs w:val="22"/>
        </w:rPr>
        <w:t>emic agent (N=541) underwent a diet, exercise, and drug washout period of up to 12 weeks duration. After the washout period, patients with inadequate glyc</w:t>
      </w:r>
      <w:r w:rsidR="00961C84">
        <w:rPr>
          <w:rFonts w:cs="Arial"/>
          <w:sz w:val="22"/>
          <w:szCs w:val="22"/>
        </w:rPr>
        <w:t>a</w:t>
      </w:r>
      <w:r w:rsidR="00E24A0A" w:rsidRPr="00E24A0A">
        <w:rPr>
          <w:rFonts w:cs="Arial"/>
          <w:sz w:val="22"/>
          <w:szCs w:val="22"/>
        </w:rPr>
        <w:t>emic control (A</w:t>
      </w:r>
      <w:r w:rsidR="00E24A0A" w:rsidRPr="00C20A10">
        <w:rPr>
          <w:rFonts w:cs="Arial"/>
          <w:sz w:val="22"/>
          <w:szCs w:val="22"/>
          <w:vertAlign w:val="subscript"/>
        </w:rPr>
        <w:t>1C</w:t>
      </w:r>
      <w:r w:rsidR="00E24A0A" w:rsidRPr="00E24A0A">
        <w:rPr>
          <w:rFonts w:cs="Arial"/>
          <w:sz w:val="22"/>
          <w:szCs w:val="22"/>
        </w:rPr>
        <w:t xml:space="preserve"> 7.5% to 11%) were randomized after completing a 2-week single-blind placebo run-in period. Patients not on antihyperglyc</w:t>
      </w:r>
      <w:r w:rsidR="00096F2C">
        <w:rPr>
          <w:rFonts w:cs="Arial"/>
          <w:sz w:val="22"/>
          <w:szCs w:val="22"/>
        </w:rPr>
        <w:t>a</w:t>
      </w:r>
      <w:r w:rsidR="00E24A0A" w:rsidRPr="00E24A0A">
        <w:rPr>
          <w:rFonts w:cs="Arial"/>
          <w:sz w:val="22"/>
          <w:szCs w:val="22"/>
        </w:rPr>
        <w:t>emic agents at study entry (N=550) with inadequate glyc</w:t>
      </w:r>
      <w:r w:rsidR="00096F2C">
        <w:rPr>
          <w:rFonts w:cs="Arial"/>
          <w:sz w:val="22"/>
          <w:szCs w:val="22"/>
        </w:rPr>
        <w:t>a</w:t>
      </w:r>
      <w:r w:rsidR="00E24A0A" w:rsidRPr="00E24A0A">
        <w:rPr>
          <w:rFonts w:cs="Arial"/>
          <w:sz w:val="22"/>
          <w:szCs w:val="22"/>
        </w:rPr>
        <w:t>emic control (A</w:t>
      </w:r>
      <w:r w:rsidR="00E24A0A" w:rsidRPr="00C20A10">
        <w:rPr>
          <w:rFonts w:cs="Arial"/>
          <w:sz w:val="22"/>
          <w:szCs w:val="22"/>
          <w:vertAlign w:val="subscript"/>
        </w:rPr>
        <w:t>1C</w:t>
      </w:r>
      <w:r w:rsidR="00E24A0A" w:rsidRPr="00E24A0A">
        <w:rPr>
          <w:rFonts w:cs="Arial"/>
          <w:sz w:val="22"/>
          <w:szCs w:val="22"/>
        </w:rPr>
        <w:t xml:space="preserve"> 7.5% to</w:t>
      </w:r>
      <w:r w:rsidR="00E24A0A">
        <w:rPr>
          <w:rFonts w:cs="Arial"/>
          <w:sz w:val="22"/>
          <w:szCs w:val="22"/>
        </w:rPr>
        <w:t xml:space="preserve"> 11%) immediately entered the 2</w:t>
      </w:r>
      <w:r w:rsidR="00E24A0A">
        <w:rPr>
          <w:rFonts w:cs="Arial"/>
          <w:sz w:val="22"/>
          <w:szCs w:val="22"/>
        </w:rPr>
        <w:noBreakHyphen/>
      </w:r>
      <w:r w:rsidR="00E24A0A" w:rsidRPr="00E24A0A">
        <w:rPr>
          <w:rFonts w:cs="Arial"/>
          <w:sz w:val="22"/>
          <w:szCs w:val="22"/>
        </w:rPr>
        <w:t>week single-blind placebo run-in period and then were randomized.</w:t>
      </w:r>
      <w:r w:rsidR="00E24A0A">
        <w:rPr>
          <w:rFonts w:cs="Arial"/>
          <w:sz w:val="22"/>
          <w:szCs w:val="22"/>
        </w:rPr>
        <w:t xml:space="preserve"> </w:t>
      </w:r>
      <w:r w:rsidRPr="00F50991">
        <w:rPr>
          <w:rFonts w:cs="Arial"/>
          <w:sz w:val="22"/>
          <w:szCs w:val="22"/>
        </w:rPr>
        <w:t>A total</w:t>
      </w:r>
      <w:r>
        <w:rPr>
          <w:rFonts w:cs="Arial"/>
          <w:sz w:val="22"/>
          <w:szCs w:val="22"/>
        </w:rPr>
        <w:t xml:space="preserve"> of 685 patients entered the 50</w:t>
      </w:r>
      <w:r>
        <w:rPr>
          <w:rFonts w:cs="Arial"/>
          <w:sz w:val="22"/>
          <w:szCs w:val="22"/>
        </w:rPr>
        <w:noBreakHyphen/>
      </w:r>
      <w:r w:rsidRPr="00F50991">
        <w:rPr>
          <w:rFonts w:cs="Arial"/>
          <w:sz w:val="22"/>
          <w:szCs w:val="22"/>
        </w:rPr>
        <w:t>week extension study, and among these patients, 517 (74.5%) completed the study.</w:t>
      </w:r>
      <w:r>
        <w:rPr>
          <w:rFonts w:cs="Arial"/>
          <w:sz w:val="22"/>
          <w:szCs w:val="22"/>
        </w:rPr>
        <w:t xml:space="preserve"> </w:t>
      </w:r>
      <w:r w:rsidR="00907289">
        <w:rPr>
          <w:rFonts w:cs="Arial"/>
          <w:sz w:val="22"/>
          <w:szCs w:val="22"/>
        </w:rPr>
        <w:t xml:space="preserve">Approximately equal numbers of patients were randomized to receive initial therapy with placebo; 100 mg of sitagliptin once daily; 500 mg or 1000 mg of metformin twice daily; or 50 mg of sitagliptin twice daily in combination with 500 mg or 1000 mg of metformin twice daily. </w:t>
      </w:r>
      <w:r w:rsidR="0031613B">
        <w:rPr>
          <w:rFonts w:cs="Arial"/>
          <w:sz w:val="22"/>
          <w:szCs w:val="22"/>
        </w:rPr>
        <w:t>Patients receiving active therapy continued with their assigned treatment regimen until the end of th</w:t>
      </w:r>
      <w:r w:rsidR="00872DD4">
        <w:rPr>
          <w:rFonts w:cs="Arial"/>
          <w:sz w:val="22"/>
          <w:szCs w:val="22"/>
        </w:rPr>
        <w:t>e study, unless rescue (</w:t>
      </w:r>
      <w:r w:rsidR="0031613B">
        <w:rPr>
          <w:rFonts w:cs="Arial"/>
          <w:sz w:val="22"/>
          <w:szCs w:val="22"/>
        </w:rPr>
        <w:t>glibenclamide) was required. Patients receiving placebo were switched to 1000 mg of metformin twice daily at the beginning of Phase B.</w:t>
      </w:r>
    </w:p>
    <w:p w:rsidR="00907289" w:rsidRDefault="00D74AEB" w:rsidP="005D7CDE">
      <w:pPr>
        <w:pStyle w:val="Body"/>
        <w:spacing w:after="100" w:afterAutospacing="1"/>
        <w:ind w:firstLine="0"/>
        <w:rPr>
          <w:rFonts w:cs="Arial"/>
          <w:sz w:val="22"/>
          <w:szCs w:val="22"/>
        </w:rPr>
      </w:pPr>
      <w:r w:rsidRPr="00D74AEB">
        <w:rPr>
          <w:rFonts w:cs="Arial"/>
          <w:sz w:val="22"/>
          <w:szCs w:val="22"/>
        </w:rPr>
        <w:t>Initial combination therapy with sitagliptin 100 mg and metformin 1000 mg or</w:t>
      </w:r>
      <w:r>
        <w:rPr>
          <w:rFonts w:cs="Arial"/>
          <w:sz w:val="22"/>
          <w:szCs w:val="22"/>
        </w:rPr>
        <w:t xml:space="preserve"> </w:t>
      </w:r>
      <w:r w:rsidRPr="00D74AEB">
        <w:rPr>
          <w:rFonts w:cs="Arial"/>
          <w:sz w:val="22"/>
          <w:szCs w:val="22"/>
        </w:rPr>
        <w:t>2000 mg daily provide</w:t>
      </w:r>
      <w:r w:rsidR="000445CD">
        <w:rPr>
          <w:rFonts w:cs="Arial"/>
          <w:sz w:val="22"/>
          <w:szCs w:val="22"/>
        </w:rPr>
        <w:t>d</w:t>
      </w:r>
      <w:r w:rsidRPr="00D74AEB">
        <w:rPr>
          <w:rFonts w:cs="Arial"/>
          <w:sz w:val="22"/>
          <w:szCs w:val="22"/>
        </w:rPr>
        <w:t xml:space="preserve"> sustained improvements in HbA</w:t>
      </w:r>
      <w:r w:rsidRPr="00C20A10">
        <w:rPr>
          <w:rFonts w:cs="Arial"/>
          <w:sz w:val="22"/>
          <w:szCs w:val="22"/>
          <w:vertAlign w:val="subscript"/>
        </w:rPr>
        <w:t>1c</w:t>
      </w:r>
      <w:r w:rsidRPr="00D74AEB">
        <w:rPr>
          <w:rFonts w:cs="Arial"/>
          <w:sz w:val="22"/>
          <w:szCs w:val="22"/>
        </w:rPr>
        <w:t xml:space="preserve"> and</w:t>
      </w:r>
      <w:r>
        <w:rPr>
          <w:rFonts w:cs="Arial"/>
          <w:sz w:val="22"/>
          <w:szCs w:val="22"/>
        </w:rPr>
        <w:t xml:space="preserve"> </w:t>
      </w:r>
      <w:r w:rsidRPr="00D74AEB">
        <w:rPr>
          <w:rFonts w:cs="Arial"/>
          <w:sz w:val="22"/>
          <w:szCs w:val="22"/>
        </w:rPr>
        <w:t xml:space="preserve">FPG and 2-hour PPG compared with either </w:t>
      </w:r>
      <w:r w:rsidR="0031613B">
        <w:rPr>
          <w:rFonts w:cs="Arial"/>
          <w:sz w:val="22"/>
          <w:szCs w:val="22"/>
        </w:rPr>
        <w:t xml:space="preserve">corresponding </w:t>
      </w:r>
      <w:r w:rsidRPr="00D74AEB">
        <w:rPr>
          <w:rFonts w:cs="Arial"/>
          <w:sz w:val="22"/>
          <w:szCs w:val="22"/>
        </w:rPr>
        <w:t xml:space="preserve">monotherapy </w:t>
      </w:r>
      <w:r w:rsidR="0031613B">
        <w:rPr>
          <w:rFonts w:cs="Arial"/>
          <w:sz w:val="22"/>
          <w:szCs w:val="22"/>
        </w:rPr>
        <w:t>dose</w:t>
      </w:r>
      <w:r w:rsidRPr="00D74AEB">
        <w:rPr>
          <w:rFonts w:cs="Arial"/>
          <w:sz w:val="22"/>
          <w:szCs w:val="22"/>
        </w:rPr>
        <w:t xml:space="preserve"> over 104 weeks</w:t>
      </w:r>
      <w:r w:rsidRPr="00D74AEB" w:rsidDel="00D74AEB">
        <w:rPr>
          <w:rFonts w:cs="Arial"/>
          <w:sz w:val="22"/>
          <w:szCs w:val="22"/>
        </w:rPr>
        <w:t xml:space="preserve"> </w:t>
      </w:r>
      <w:r w:rsidR="00907289">
        <w:rPr>
          <w:rFonts w:cs="Arial"/>
          <w:sz w:val="22"/>
          <w:szCs w:val="22"/>
        </w:rPr>
        <w:t xml:space="preserve">; </w:t>
      </w:r>
      <w:r w:rsidR="0031613B">
        <w:rPr>
          <w:rFonts w:cs="Arial"/>
          <w:sz w:val="22"/>
          <w:szCs w:val="22"/>
        </w:rPr>
        <w:t>(</w:t>
      </w:r>
      <w:r w:rsidR="00907289">
        <w:rPr>
          <w:rFonts w:cs="Arial"/>
          <w:sz w:val="22"/>
          <w:szCs w:val="22"/>
        </w:rPr>
        <w:t xml:space="preserve">Table </w:t>
      </w:r>
      <w:r w:rsidR="00096F2C">
        <w:rPr>
          <w:rFonts w:cs="Arial"/>
          <w:sz w:val="22"/>
          <w:szCs w:val="22"/>
        </w:rPr>
        <w:t>1</w:t>
      </w:r>
      <w:r w:rsidR="00907289">
        <w:rPr>
          <w:rFonts w:cs="Arial"/>
          <w:sz w:val="22"/>
          <w:szCs w:val="22"/>
        </w:rPr>
        <w:t xml:space="preserve">, Figure 1). An improvement in FPG, with near maximal FPG reduction, was achieved by the 3-week time point (the first time point assessed after initiation of therapy) and sustained </w:t>
      </w:r>
      <w:r>
        <w:rPr>
          <w:rFonts w:cs="Arial"/>
          <w:sz w:val="22"/>
          <w:szCs w:val="22"/>
        </w:rPr>
        <w:t>over time</w:t>
      </w:r>
      <w:r w:rsidR="00907289">
        <w:rPr>
          <w:rFonts w:cs="Arial"/>
          <w:sz w:val="22"/>
          <w:szCs w:val="22"/>
        </w:rPr>
        <w:t xml:space="preserve">. </w:t>
      </w:r>
      <w:r w:rsidR="0031613B">
        <w:rPr>
          <w:rFonts w:cs="Arial"/>
          <w:sz w:val="22"/>
          <w:szCs w:val="22"/>
        </w:rPr>
        <w:t>A slight upward trend in the reduction in HbA</w:t>
      </w:r>
      <w:r w:rsidR="0031613B">
        <w:rPr>
          <w:rFonts w:cs="Arial"/>
          <w:sz w:val="22"/>
          <w:szCs w:val="22"/>
          <w:vertAlign w:val="subscript"/>
        </w:rPr>
        <w:t>1c</w:t>
      </w:r>
      <w:r w:rsidR="0031613B">
        <w:rPr>
          <w:rFonts w:cs="Arial"/>
          <w:sz w:val="22"/>
          <w:szCs w:val="22"/>
        </w:rPr>
        <w:t xml:space="preserve"> was observed during the extension phase in each treatment group. </w:t>
      </w:r>
      <w:r w:rsidR="00907289">
        <w:rPr>
          <w:rFonts w:cs="Arial"/>
          <w:sz w:val="22"/>
          <w:szCs w:val="22"/>
        </w:rPr>
        <w:t>Measures of beta cell function,</w:t>
      </w:r>
      <w:r w:rsidR="00907289">
        <w:rPr>
          <w:rFonts w:cs="Arial"/>
          <w:sz w:val="22"/>
          <w:szCs w:val="22"/>
          <w:lang w:val="en-AU"/>
        </w:rPr>
        <w:t xml:space="preserve"> HOMA</w:t>
      </w:r>
      <w:r w:rsidR="00907289">
        <w:rPr>
          <w:rFonts w:cs="Arial"/>
          <w:sz w:val="22"/>
          <w:szCs w:val="22"/>
        </w:rPr>
        <w:t>-β and the</w:t>
      </w:r>
      <w:r w:rsidR="00907289">
        <w:rPr>
          <w:rFonts w:cs="Arial"/>
          <w:sz w:val="22"/>
          <w:szCs w:val="22"/>
          <w:lang w:val="en-AU"/>
        </w:rPr>
        <w:t xml:space="preserve"> proinsulin</w:t>
      </w:r>
      <w:r w:rsidR="00907289">
        <w:rPr>
          <w:rFonts w:cs="Arial"/>
          <w:sz w:val="22"/>
          <w:szCs w:val="22"/>
        </w:rPr>
        <w:t xml:space="preserve"> to insulin ratio </w:t>
      </w:r>
      <w:r>
        <w:rPr>
          <w:rFonts w:cs="Arial"/>
          <w:sz w:val="22"/>
          <w:szCs w:val="22"/>
        </w:rPr>
        <w:t xml:space="preserve">generally </w:t>
      </w:r>
      <w:r w:rsidR="00907289">
        <w:rPr>
          <w:rFonts w:cs="Arial"/>
          <w:sz w:val="22"/>
          <w:szCs w:val="22"/>
        </w:rPr>
        <w:t>showed greater improvement with the co-administration of sitagliptin and metformin compared with either monotherapy alone. Lipid effects were generally neutral. The decrease in body weight in the groups given sitagliptin in combination with metformin was similar to that in the groups given metformin alone or placebo. Mean reductions from baseline in HbA</w:t>
      </w:r>
      <w:r w:rsidR="00907289">
        <w:rPr>
          <w:rFonts w:cs="Arial"/>
          <w:sz w:val="22"/>
          <w:szCs w:val="22"/>
          <w:vertAlign w:val="subscript"/>
        </w:rPr>
        <w:t>1c</w:t>
      </w:r>
      <w:r w:rsidR="00907289">
        <w:rPr>
          <w:rFonts w:cs="Arial"/>
          <w:sz w:val="22"/>
          <w:szCs w:val="22"/>
        </w:rPr>
        <w:t xml:space="preserve"> compared with placebo were generally greater for patients with higher baseline HbA</w:t>
      </w:r>
      <w:r w:rsidR="00907289">
        <w:rPr>
          <w:rFonts w:cs="Arial"/>
          <w:sz w:val="22"/>
          <w:szCs w:val="22"/>
          <w:vertAlign w:val="subscript"/>
        </w:rPr>
        <w:t>1c</w:t>
      </w:r>
      <w:r w:rsidR="00907289">
        <w:rPr>
          <w:rFonts w:cs="Arial"/>
          <w:sz w:val="22"/>
          <w:szCs w:val="22"/>
        </w:rPr>
        <w:t xml:space="preserve"> values. The improvement in HbA</w:t>
      </w:r>
      <w:r w:rsidR="00907289">
        <w:rPr>
          <w:rFonts w:cs="Arial"/>
          <w:sz w:val="22"/>
          <w:szCs w:val="22"/>
          <w:vertAlign w:val="subscript"/>
        </w:rPr>
        <w:t>1c</w:t>
      </w:r>
      <w:r w:rsidR="00907289">
        <w:rPr>
          <w:rFonts w:cs="Arial"/>
          <w:sz w:val="22"/>
          <w:szCs w:val="22"/>
        </w:rPr>
        <w:t xml:space="preserve"> was generally consistent across subgroups defined by gender, age, race, or baseline BMI. Mean reductions from baseline in HbA</w:t>
      </w:r>
      <w:r w:rsidR="00907289">
        <w:rPr>
          <w:rFonts w:cs="Arial"/>
          <w:sz w:val="22"/>
          <w:szCs w:val="22"/>
          <w:vertAlign w:val="subscript"/>
        </w:rPr>
        <w:t>1c</w:t>
      </w:r>
      <w:r w:rsidR="00907289">
        <w:rPr>
          <w:rFonts w:cs="Arial"/>
          <w:sz w:val="22"/>
          <w:szCs w:val="22"/>
        </w:rPr>
        <w:t xml:space="preserve"> for patients not on an antihyperglycaemic agent at study entry were: sitagliptin 100 mg once daily, </w:t>
      </w:r>
      <w:r w:rsidR="00907289">
        <w:rPr>
          <w:rFonts w:cs="Arial"/>
          <w:sz w:val="22"/>
          <w:szCs w:val="22"/>
        </w:rPr>
        <w:noBreakHyphen/>
        <w:t>1.</w:t>
      </w:r>
      <w:r w:rsidR="00BF6F0E">
        <w:rPr>
          <w:rFonts w:cs="Arial"/>
          <w:sz w:val="22"/>
          <w:szCs w:val="22"/>
        </w:rPr>
        <w:t>14</w:t>
      </w:r>
      <w:r w:rsidR="00907289">
        <w:rPr>
          <w:rFonts w:cs="Arial"/>
          <w:sz w:val="22"/>
          <w:szCs w:val="22"/>
        </w:rPr>
        <w:t xml:space="preserve">%; metformin 500 mg bid, </w:t>
      </w:r>
      <w:r w:rsidR="00907289">
        <w:rPr>
          <w:rFonts w:cs="Arial"/>
          <w:sz w:val="22"/>
          <w:szCs w:val="22"/>
        </w:rPr>
        <w:noBreakHyphen/>
        <w:t>1.</w:t>
      </w:r>
      <w:r w:rsidR="00BF6F0E">
        <w:rPr>
          <w:rFonts w:cs="Arial"/>
          <w:sz w:val="22"/>
          <w:szCs w:val="22"/>
        </w:rPr>
        <w:t>20</w:t>
      </w:r>
      <w:r w:rsidR="00907289">
        <w:rPr>
          <w:rFonts w:cs="Arial"/>
          <w:sz w:val="22"/>
          <w:szCs w:val="22"/>
        </w:rPr>
        <w:t xml:space="preserve">%; metformin 1000 mg bid, </w:t>
      </w:r>
      <w:r w:rsidR="00907289">
        <w:rPr>
          <w:rFonts w:cs="Arial"/>
          <w:sz w:val="22"/>
          <w:szCs w:val="22"/>
        </w:rPr>
        <w:noBreakHyphen/>
        <w:t>1.</w:t>
      </w:r>
      <w:r w:rsidR="00BF6F0E">
        <w:rPr>
          <w:rFonts w:cs="Arial"/>
          <w:sz w:val="22"/>
          <w:szCs w:val="22"/>
        </w:rPr>
        <w:t>22</w:t>
      </w:r>
      <w:r w:rsidR="00907289">
        <w:rPr>
          <w:rFonts w:cs="Arial"/>
          <w:sz w:val="22"/>
          <w:szCs w:val="22"/>
        </w:rPr>
        <w:t xml:space="preserve">%; sitagliptin 50 mg bid with metformin 500 mg bid, </w:t>
      </w:r>
      <w:r w:rsidR="00907289">
        <w:rPr>
          <w:rFonts w:cs="Arial"/>
          <w:sz w:val="22"/>
          <w:szCs w:val="22"/>
        </w:rPr>
        <w:noBreakHyphen/>
        <w:t>1.</w:t>
      </w:r>
      <w:r w:rsidR="00BF6F0E">
        <w:rPr>
          <w:rFonts w:cs="Arial"/>
          <w:sz w:val="22"/>
          <w:szCs w:val="22"/>
        </w:rPr>
        <w:t>65</w:t>
      </w:r>
      <w:r w:rsidR="00907289">
        <w:rPr>
          <w:rFonts w:cs="Arial"/>
          <w:sz w:val="22"/>
          <w:szCs w:val="22"/>
        </w:rPr>
        <w:t xml:space="preserve">%; and sitagliptin 50 mg bid with metformin 1000 mg bid, </w:t>
      </w:r>
      <w:r w:rsidR="00907289">
        <w:rPr>
          <w:rFonts w:cs="Arial"/>
          <w:sz w:val="22"/>
          <w:szCs w:val="22"/>
        </w:rPr>
        <w:noBreakHyphen/>
        <w:t>1.</w:t>
      </w:r>
      <w:r w:rsidR="00BF6F0E">
        <w:rPr>
          <w:rFonts w:cs="Arial"/>
          <w:sz w:val="22"/>
          <w:szCs w:val="22"/>
        </w:rPr>
        <w:t>74</w:t>
      </w:r>
      <w:r w:rsidR="00907289">
        <w:rPr>
          <w:rFonts w:cs="Arial"/>
          <w:sz w:val="22"/>
          <w:szCs w:val="22"/>
        </w:rPr>
        <w:t>%; and for patients receiving placebo</w:t>
      </w:r>
      <w:r w:rsidR="000445CD">
        <w:rPr>
          <w:rFonts w:cs="Arial"/>
          <w:sz w:val="22"/>
          <w:szCs w:val="22"/>
        </w:rPr>
        <w:t>/metformin</w:t>
      </w:r>
      <w:r w:rsidR="00907289">
        <w:rPr>
          <w:rFonts w:cs="Arial"/>
          <w:sz w:val="22"/>
          <w:szCs w:val="22"/>
        </w:rPr>
        <w:t xml:space="preserve">, </w:t>
      </w:r>
      <w:r w:rsidR="00907289">
        <w:rPr>
          <w:rFonts w:cs="Arial"/>
          <w:sz w:val="22"/>
          <w:szCs w:val="22"/>
        </w:rPr>
        <w:noBreakHyphen/>
      </w:r>
      <w:r w:rsidR="00BF6F0E">
        <w:rPr>
          <w:rFonts w:cs="Arial"/>
          <w:sz w:val="22"/>
          <w:szCs w:val="22"/>
        </w:rPr>
        <w:t>1.11</w:t>
      </w:r>
      <w:r w:rsidR="005D7CDE">
        <w:rPr>
          <w:rFonts w:cs="Arial"/>
          <w:sz w:val="22"/>
          <w:szCs w:val="22"/>
        </w:rPr>
        <w:t>%.</w:t>
      </w:r>
    </w:p>
    <w:p w:rsidR="00907289" w:rsidRDefault="00907289" w:rsidP="00B31CE6">
      <w:pPr>
        <w:keepNext/>
        <w:spacing w:after="100" w:afterAutospacing="1"/>
        <w:jc w:val="center"/>
        <w:rPr>
          <w:rFonts w:ascii="Arial" w:hAnsi="Arial" w:cs="Arial"/>
          <w:sz w:val="22"/>
          <w:szCs w:val="22"/>
        </w:rPr>
      </w:pPr>
      <w:r>
        <w:rPr>
          <w:rFonts w:ascii="Arial" w:hAnsi="Arial" w:cs="Arial"/>
          <w:b/>
          <w:sz w:val="22"/>
          <w:szCs w:val="22"/>
        </w:rPr>
        <w:lastRenderedPageBreak/>
        <w:t>Figure 1: Mean Change from Baseline for HbA</w:t>
      </w:r>
      <w:r>
        <w:rPr>
          <w:rFonts w:ascii="Arial" w:hAnsi="Arial" w:cs="Arial"/>
          <w:b/>
          <w:sz w:val="22"/>
          <w:szCs w:val="22"/>
          <w:vertAlign w:val="subscript"/>
        </w:rPr>
        <w:t>1c</w:t>
      </w:r>
      <w:r>
        <w:rPr>
          <w:rFonts w:ascii="Arial" w:hAnsi="Arial" w:cs="Arial"/>
          <w:b/>
          <w:sz w:val="22"/>
          <w:szCs w:val="22"/>
        </w:rPr>
        <w:t xml:space="preserve"> over </w:t>
      </w:r>
      <w:r w:rsidR="008B68C5">
        <w:rPr>
          <w:rFonts w:ascii="Arial" w:hAnsi="Arial" w:cs="Arial"/>
          <w:b/>
          <w:sz w:val="22"/>
          <w:szCs w:val="22"/>
        </w:rPr>
        <w:t xml:space="preserve">104 </w:t>
      </w:r>
      <w:r>
        <w:rPr>
          <w:rFonts w:ascii="Arial" w:hAnsi="Arial" w:cs="Arial"/>
          <w:b/>
          <w:sz w:val="22"/>
          <w:szCs w:val="22"/>
        </w:rPr>
        <w:t>Weeks with Sitagliptin and Metformin, Alone and in Combination as Initial Therapy in Patients with Type 2 Diabetes</w:t>
      </w:r>
      <w:r w:rsidR="0031613B">
        <w:rPr>
          <w:rFonts w:ascii="Arial" w:hAnsi="Arial" w:cs="Arial"/>
          <w:b/>
          <w:sz w:val="22"/>
          <w:szCs w:val="22"/>
        </w:rPr>
        <w:t>*</w:t>
      </w:r>
    </w:p>
    <w:p w:rsidR="00907289" w:rsidRPr="008B68C5" w:rsidRDefault="009D48CF">
      <w:pPr>
        <w:pStyle w:val="Body"/>
        <w:ind w:firstLine="360"/>
        <w:rPr>
          <w:rFonts w:cs="Arial"/>
          <w:sz w:val="22"/>
          <w:szCs w:val="22"/>
        </w:rPr>
      </w:pPr>
      <w:r>
        <w:rPr>
          <w:rFonts w:cs="Arial"/>
          <w:noProof/>
          <w:sz w:val="22"/>
          <w:szCs w:val="22"/>
          <w:lang w:val="en-AU" w:eastAsia="en-AU"/>
        </w:rPr>
        <w:drawing>
          <wp:inline distT="0" distB="0" distL="0" distR="0">
            <wp:extent cx="5939155" cy="5054600"/>
            <wp:effectExtent l="19050" t="0" r="4445" b="0"/>
            <wp:docPr id="3" name="Picture 3" descr="Figure 1: Mean Change from Baseline for HbA1c over 104 Weeks with Sitagliptin and Metformin, Alone and in Combination as Initial Therapy in Patients with Type 2 Diabe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1: Mean Change from Baseline for HbA1c over 104 Weeks with Sitagliptin and Metformin, Alone and in Combination as Initial Therapy in Patients with Type 2 Diabetes*"/>
                    <pic:cNvPicPr>
                      <a:picLocks noChangeAspect="1" noChangeArrowheads="1"/>
                    </pic:cNvPicPr>
                  </pic:nvPicPr>
                  <pic:blipFill>
                    <a:blip r:embed="rId10" cstate="print"/>
                    <a:srcRect/>
                    <a:stretch>
                      <a:fillRect/>
                    </a:stretch>
                  </pic:blipFill>
                  <pic:spPr bwMode="auto">
                    <a:xfrm>
                      <a:off x="0" y="0"/>
                      <a:ext cx="5939155" cy="5054600"/>
                    </a:xfrm>
                    <a:prstGeom prst="rect">
                      <a:avLst/>
                    </a:prstGeom>
                    <a:noFill/>
                    <a:ln w="9525">
                      <a:noFill/>
                      <a:miter lim="800000"/>
                      <a:headEnd/>
                      <a:tailEnd/>
                    </a:ln>
                  </pic:spPr>
                </pic:pic>
              </a:graphicData>
            </a:graphic>
          </wp:inline>
        </w:drawing>
      </w:r>
    </w:p>
    <w:p w:rsidR="00907289" w:rsidRDefault="0031613B" w:rsidP="00AB425A">
      <w:pPr>
        <w:spacing w:after="100" w:afterAutospacing="1"/>
        <w:rPr>
          <w:rFonts w:ascii="Arial" w:hAnsi="Arial" w:cs="Arial"/>
          <w:sz w:val="16"/>
        </w:rPr>
      </w:pPr>
      <w:r w:rsidRPr="0031613B">
        <w:rPr>
          <w:rFonts w:ascii="Arial" w:hAnsi="Arial" w:cs="Arial"/>
          <w:sz w:val="16"/>
          <w:szCs w:val="16"/>
        </w:rPr>
        <w:t>* Statistical comparisons apply</w:t>
      </w:r>
      <w:r>
        <w:rPr>
          <w:rFonts w:ascii="Arial" w:hAnsi="Arial" w:cs="Arial"/>
          <w:sz w:val="16"/>
          <w:szCs w:val="16"/>
        </w:rPr>
        <w:t xml:space="preserve"> only to Phase A - formal statistical comparisons are not possible for Phase B and the extension phase.</w:t>
      </w:r>
    </w:p>
    <w:p w:rsidR="00907289" w:rsidRDefault="00907289" w:rsidP="006656A9">
      <w:pPr>
        <w:keepNext/>
        <w:keepLines/>
        <w:jc w:val="center"/>
        <w:outlineLvl w:val="0"/>
        <w:rPr>
          <w:rFonts w:ascii="Arial" w:hAnsi="Arial" w:cs="Arial"/>
          <w:b/>
          <w:sz w:val="22"/>
          <w:szCs w:val="22"/>
        </w:rPr>
      </w:pPr>
      <w:r>
        <w:rPr>
          <w:rFonts w:ascii="Arial" w:hAnsi="Arial" w:cs="Arial"/>
          <w:b/>
          <w:sz w:val="22"/>
          <w:szCs w:val="22"/>
        </w:rPr>
        <w:lastRenderedPageBreak/>
        <w:t>Table 1</w:t>
      </w:r>
    </w:p>
    <w:p w:rsidR="00907289" w:rsidRDefault="00907289">
      <w:pPr>
        <w:keepNext/>
        <w:keepLines/>
        <w:jc w:val="center"/>
        <w:rPr>
          <w:rFonts w:ascii="Arial" w:hAnsi="Arial" w:cs="Arial"/>
          <w:b/>
          <w:sz w:val="22"/>
          <w:szCs w:val="22"/>
        </w:rPr>
      </w:pPr>
      <w:r>
        <w:rPr>
          <w:rFonts w:ascii="Arial" w:hAnsi="Arial" w:cs="Arial"/>
          <w:b/>
          <w:sz w:val="22"/>
          <w:szCs w:val="22"/>
        </w:rPr>
        <w:t>Glycaemic Parameters and Body Weight at Final Visit (24-Week Study)</w:t>
      </w:r>
    </w:p>
    <w:p w:rsidR="00907289" w:rsidRDefault="00907289" w:rsidP="00AB425A">
      <w:pPr>
        <w:keepNext/>
        <w:keepLines/>
        <w:spacing w:after="100" w:afterAutospacing="1"/>
        <w:jc w:val="center"/>
        <w:rPr>
          <w:rFonts w:ascii="Arial" w:hAnsi="Arial" w:cs="Arial"/>
          <w:b/>
          <w:sz w:val="22"/>
          <w:szCs w:val="22"/>
        </w:rPr>
      </w:pPr>
      <w:r>
        <w:rPr>
          <w:rFonts w:ascii="Arial" w:hAnsi="Arial" w:cs="Arial"/>
          <w:b/>
          <w:sz w:val="22"/>
          <w:szCs w:val="22"/>
        </w:rPr>
        <w:t>for Sitagliptin and Metformin, Alone and in Combination as Initial Therapy</w:t>
      </w:r>
      <w:r>
        <w:rPr>
          <w:rFonts w:ascii="Arial" w:hAnsi="Arial" w:cs="Arial"/>
          <w:b/>
          <w:sz w:val="22"/>
          <w:szCs w:val="22"/>
          <w:vertAlign w:val="superscript"/>
        </w:rPr>
        <w:t>†</w:t>
      </w:r>
    </w:p>
    <w:tbl>
      <w:tblPr>
        <w:tblW w:w="96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5" w:type="dxa"/>
          <w:right w:w="115" w:type="dxa"/>
        </w:tblCellMar>
        <w:tblLook w:val="0000"/>
      </w:tblPr>
      <w:tblGrid>
        <w:gridCol w:w="3228"/>
        <w:gridCol w:w="1067"/>
        <w:gridCol w:w="1004"/>
        <w:gridCol w:w="1094"/>
        <w:gridCol w:w="1073"/>
        <w:gridCol w:w="1114"/>
        <w:gridCol w:w="1100"/>
      </w:tblGrid>
      <w:tr w:rsidR="00907289" w:rsidTr="005A4394">
        <w:tblPrEx>
          <w:tblCellMar>
            <w:top w:w="0" w:type="dxa"/>
            <w:bottom w:w="0" w:type="dxa"/>
          </w:tblCellMar>
        </w:tblPrEx>
        <w:trPr>
          <w:jc w:val="center"/>
        </w:trPr>
        <w:tc>
          <w:tcPr>
            <w:tcW w:w="3228" w:type="dxa"/>
            <w:tcBorders>
              <w:top w:val="single" w:sz="6" w:space="0" w:color="auto"/>
              <w:left w:val="single" w:sz="6" w:space="0" w:color="auto"/>
              <w:bottom w:val="single" w:sz="6" w:space="0" w:color="auto"/>
              <w:right w:val="single" w:sz="6" w:space="0" w:color="auto"/>
            </w:tcBorders>
          </w:tcPr>
          <w:p w:rsidR="00907289" w:rsidRDefault="00907289">
            <w:pPr>
              <w:keepNext/>
              <w:keepLines/>
              <w:jc w:val="center"/>
              <w:rPr>
                <w:rFonts w:ascii="Arial" w:hAnsi="Arial" w:cs="Arial"/>
                <w:b/>
                <w:sz w:val="16"/>
                <w:szCs w:val="16"/>
              </w:rPr>
            </w:pPr>
          </w:p>
        </w:tc>
        <w:tc>
          <w:tcPr>
            <w:tcW w:w="1067" w:type="dxa"/>
            <w:tcBorders>
              <w:top w:val="single" w:sz="6" w:space="0" w:color="auto"/>
              <w:left w:val="single" w:sz="6" w:space="0" w:color="auto"/>
              <w:bottom w:val="single" w:sz="6" w:space="0" w:color="auto"/>
              <w:right w:val="single" w:sz="6" w:space="0" w:color="auto"/>
            </w:tcBorders>
          </w:tcPr>
          <w:p w:rsidR="00907289" w:rsidRDefault="00907289">
            <w:pPr>
              <w:keepNext/>
              <w:keepLines/>
              <w:jc w:val="center"/>
              <w:rPr>
                <w:rFonts w:ascii="Arial" w:hAnsi="Arial" w:cs="Arial"/>
                <w:b/>
                <w:sz w:val="16"/>
                <w:szCs w:val="16"/>
              </w:rPr>
            </w:pPr>
          </w:p>
          <w:p w:rsidR="00907289" w:rsidRPr="00F84508" w:rsidRDefault="00907289">
            <w:pPr>
              <w:keepNext/>
              <w:keepLines/>
              <w:jc w:val="center"/>
              <w:rPr>
                <w:rFonts w:ascii="Arial" w:hAnsi="Arial" w:cs="Arial"/>
                <w:b/>
                <w:sz w:val="16"/>
                <w:szCs w:val="16"/>
              </w:rPr>
            </w:pPr>
            <w:r w:rsidRPr="00F84508">
              <w:rPr>
                <w:rFonts w:ascii="Arial" w:hAnsi="Arial" w:cs="Arial"/>
                <w:b/>
                <w:sz w:val="16"/>
                <w:szCs w:val="16"/>
              </w:rPr>
              <w:t>Placebo</w:t>
            </w:r>
          </w:p>
        </w:tc>
        <w:tc>
          <w:tcPr>
            <w:tcW w:w="1004" w:type="dxa"/>
            <w:tcBorders>
              <w:top w:val="single" w:sz="6" w:space="0" w:color="auto"/>
              <w:left w:val="single" w:sz="6" w:space="0" w:color="auto"/>
              <w:bottom w:val="single" w:sz="6" w:space="0" w:color="auto"/>
              <w:right w:val="single" w:sz="6" w:space="0" w:color="auto"/>
            </w:tcBorders>
          </w:tcPr>
          <w:p w:rsidR="00907289" w:rsidRPr="00F84508" w:rsidRDefault="00907289">
            <w:pPr>
              <w:keepNext/>
              <w:keepLines/>
              <w:jc w:val="center"/>
              <w:rPr>
                <w:rFonts w:ascii="Arial" w:hAnsi="Arial" w:cs="Arial"/>
                <w:b/>
                <w:sz w:val="16"/>
                <w:szCs w:val="16"/>
              </w:rPr>
            </w:pPr>
          </w:p>
          <w:p w:rsidR="00907289" w:rsidRDefault="00907289">
            <w:pPr>
              <w:keepNext/>
              <w:keepLines/>
              <w:jc w:val="center"/>
              <w:rPr>
                <w:rFonts w:ascii="Arial" w:hAnsi="Arial" w:cs="Arial"/>
                <w:b/>
                <w:sz w:val="16"/>
                <w:szCs w:val="16"/>
              </w:rPr>
            </w:pPr>
            <w:r>
              <w:rPr>
                <w:rFonts w:ascii="Arial" w:hAnsi="Arial" w:cs="Arial"/>
                <w:b/>
                <w:sz w:val="16"/>
                <w:szCs w:val="16"/>
              </w:rPr>
              <w:t>Sitagliptin</w:t>
            </w:r>
          </w:p>
          <w:p w:rsidR="00907289" w:rsidRDefault="00907289">
            <w:pPr>
              <w:keepNext/>
              <w:keepLines/>
              <w:jc w:val="center"/>
              <w:rPr>
                <w:rFonts w:ascii="Arial" w:hAnsi="Arial" w:cs="Arial"/>
                <w:b/>
                <w:sz w:val="16"/>
                <w:szCs w:val="16"/>
              </w:rPr>
            </w:pPr>
            <w:r>
              <w:rPr>
                <w:rFonts w:ascii="Arial" w:hAnsi="Arial" w:cs="Arial"/>
                <w:b/>
                <w:sz w:val="16"/>
                <w:szCs w:val="16"/>
              </w:rPr>
              <w:t xml:space="preserve">100 mg </w:t>
            </w:r>
          </w:p>
          <w:p w:rsidR="00907289" w:rsidRDefault="00907289">
            <w:pPr>
              <w:keepNext/>
              <w:keepLines/>
              <w:jc w:val="center"/>
              <w:rPr>
                <w:rFonts w:ascii="Arial" w:hAnsi="Arial" w:cs="Arial"/>
                <w:b/>
                <w:sz w:val="16"/>
                <w:szCs w:val="16"/>
              </w:rPr>
            </w:pPr>
            <w:r>
              <w:rPr>
                <w:rFonts w:ascii="Arial" w:hAnsi="Arial" w:cs="Arial"/>
                <w:b/>
                <w:sz w:val="16"/>
                <w:szCs w:val="16"/>
              </w:rPr>
              <w:t>q.d.</w:t>
            </w:r>
          </w:p>
        </w:tc>
        <w:tc>
          <w:tcPr>
            <w:tcW w:w="1094" w:type="dxa"/>
            <w:tcBorders>
              <w:top w:val="single" w:sz="6" w:space="0" w:color="auto"/>
              <w:left w:val="single" w:sz="6" w:space="0" w:color="auto"/>
              <w:bottom w:val="single" w:sz="6" w:space="0" w:color="auto"/>
              <w:right w:val="single" w:sz="6" w:space="0" w:color="auto"/>
            </w:tcBorders>
          </w:tcPr>
          <w:p w:rsidR="00907289" w:rsidRDefault="00907289">
            <w:pPr>
              <w:keepNext/>
              <w:keepLines/>
              <w:jc w:val="center"/>
              <w:rPr>
                <w:rFonts w:ascii="Arial" w:hAnsi="Arial" w:cs="Arial"/>
                <w:b/>
                <w:sz w:val="16"/>
                <w:szCs w:val="16"/>
                <w:lang w:val="nb-NO"/>
              </w:rPr>
            </w:pPr>
          </w:p>
          <w:p w:rsidR="00907289" w:rsidRDefault="00907289">
            <w:pPr>
              <w:keepNext/>
              <w:keepLines/>
              <w:jc w:val="center"/>
              <w:rPr>
                <w:rFonts w:ascii="Arial" w:hAnsi="Arial" w:cs="Arial"/>
                <w:b/>
                <w:sz w:val="16"/>
                <w:szCs w:val="16"/>
                <w:lang w:val="nb-NO"/>
              </w:rPr>
            </w:pPr>
            <w:r>
              <w:rPr>
                <w:rFonts w:ascii="Arial" w:hAnsi="Arial" w:cs="Arial"/>
                <w:b/>
                <w:sz w:val="16"/>
                <w:szCs w:val="16"/>
                <w:lang w:val="nb-NO"/>
              </w:rPr>
              <w:t>Metformin</w:t>
            </w:r>
          </w:p>
          <w:p w:rsidR="00907289" w:rsidRDefault="00907289">
            <w:pPr>
              <w:keepNext/>
              <w:keepLines/>
              <w:jc w:val="center"/>
              <w:rPr>
                <w:rFonts w:ascii="Arial" w:hAnsi="Arial" w:cs="Arial"/>
                <w:b/>
                <w:sz w:val="16"/>
                <w:szCs w:val="16"/>
                <w:lang w:val="nb-NO"/>
              </w:rPr>
            </w:pPr>
            <w:r>
              <w:rPr>
                <w:rFonts w:ascii="Arial" w:hAnsi="Arial" w:cs="Arial"/>
                <w:b/>
                <w:sz w:val="16"/>
                <w:szCs w:val="16"/>
                <w:lang w:val="nb-NO"/>
              </w:rPr>
              <w:t>500 mg b.i.d.</w:t>
            </w:r>
          </w:p>
        </w:tc>
        <w:tc>
          <w:tcPr>
            <w:tcW w:w="1073" w:type="dxa"/>
            <w:tcBorders>
              <w:top w:val="single" w:sz="6" w:space="0" w:color="auto"/>
              <w:left w:val="single" w:sz="6" w:space="0" w:color="auto"/>
              <w:bottom w:val="single" w:sz="6" w:space="0" w:color="auto"/>
              <w:right w:val="single" w:sz="6" w:space="0" w:color="auto"/>
            </w:tcBorders>
          </w:tcPr>
          <w:p w:rsidR="00907289" w:rsidRDefault="00907289">
            <w:pPr>
              <w:keepNext/>
              <w:keepLines/>
              <w:jc w:val="center"/>
              <w:rPr>
                <w:rFonts w:ascii="Arial" w:hAnsi="Arial" w:cs="Arial"/>
                <w:b/>
                <w:sz w:val="16"/>
                <w:szCs w:val="16"/>
                <w:lang w:val="nb-NO"/>
              </w:rPr>
            </w:pPr>
            <w:r>
              <w:rPr>
                <w:rFonts w:ascii="Arial" w:hAnsi="Arial" w:cs="Arial"/>
                <w:b/>
                <w:sz w:val="16"/>
                <w:szCs w:val="16"/>
                <w:lang w:val="nb-NO"/>
              </w:rPr>
              <w:t>Sitagliptin</w:t>
            </w:r>
          </w:p>
          <w:p w:rsidR="00907289" w:rsidRDefault="00907289">
            <w:pPr>
              <w:keepNext/>
              <w:keepLines/>
              <w:jc w:val="center"/>
              <w:rPr>
                <w:rFonts w:ascii="Arial" w:hAnsi="Arial" w:cs="Arial"/>
                <w:b/>
                <w:sz w:val="16"/>
                <w:szCs w:val="16"/>
                <w:lang w:val="nb-NO"/>
              </w:rPr>
            </w:pPr>
            <w:r>
              <w:rPr>
                <w:rFonts w:ascii="Arial" w:hAnsi="Arial" w:cs="Arial"/>
                <w:b/>
                <w:sz w:val="16"/>
                <w:szCs w:val="16"/>
                <w:lang w:val="nb-NO"/>
              </w:rPr>
              <w:t>50 mg b.i.d. +</w:t>
            </w:r>
          </w:p>
          <w:p w:rsidR="00907289" w:rsidRDefault="00907289">
            <w:pPr>
              <w:keepNext/>
              <w:keepLines/>
              <w:jc w:val="center"/>
              <w:rPr>
                <w:rFonts w:ascii="Arial" w:hAnsi="Arial" w:cs="Arial"/>
                <w:b/>
                <w:sz w:val="16"/>
                <w:szCs w:val="16"/>
                <w:lang w:val="nb-NO"/>
              </w:rPr>
            </w:pPr>
            <w:r>
              <w:rPr>
                <w:rFonts w:ascii="Arial" w:hAnsi="Arial" w:cs="Arial"/>
                <w:b/>
                <w:sz w:val="16"/>
                <w:szCs w:val="16"/>
                <w:lang w:val="nb-NO"/>
              </w:rPr>
              <w:t>Metformin</w:t>
            </w:r>
          </w:p>
          <w:p w:rsidR="00907289" w:rsidRDefault="00907289">
            <w:pPr>
              <w:keepNext/>
              <w:keepLines/>
              <w:jc w:val="center"/>
              <w:rPr>
                <w:rFonts w:ascii="Arial" w:hAnsi="Arial" w:cs="Arial"/>
                <w:b/>
                <w:sz w:val="16"/>
                <w:szCs w:val="16"/>
                <w:lang w:val="nb-NO"/>
              </w:rPr>
            </w:pPr>
            <w:r>
              <w:rPr>
                <w:rFonts w:ascii="Arial" w:hAnsi="Arial" w:cs="Arial"/>
                <w:b/>
                <w:sz w:val="16"/>
                <w:szCs w:val="16"/>
                <w:lang w:val="nb-NO"/>
              </w:rPr>
              <w:t>500 mg b.i.d.</w:t>
            </w:r>
          </w:p>
        </w:tc>
        <w:tc>
          <w:tcPr>
            <w:tcW w:w="1114" w:type="dxa"/>
            <w:tcBorders>
              <w:top w:val="single" w:sz="6" w:space="0" w:color="auto"/>
              <w:left w:val="single" w:sz="6" w:space="0" w:color="auto"/>
              <w:bottom w:val="single" w:sz="6" w:space="0" w:color="auto"/>
              <w:right w:val="single" w:sz="6" w:space="0" w:color="auto"/>
            </w:tcBorders>
          </w:tcPr>
          <w:p w:rsidR="00907289" w:rsidRDefault="00907289">
            <w:pPr>
              <w:keepNext/>
              <w:keepLines/>
              <w:jc w:val="center"/>
              <w:rPr>
                <w:rFonts w:ascii="Arial" w:hAnsi="Arial" w:cs="Arial"/>
                <w:b/>
                <w:sz w:val="16"/>
                <w:szCs w:val="16"/>
                <w:lang w:val="nb-NO"/>
              </w:rPr>
            </w:pPr>
          </w:p>
          <w:p w:rsidR="00907289" w:rsidRDefault="00907289">
            <w:pPr>
              <w:keepNext/>
              <w:keepLines/>
              <w:jc w:val="center"/>
              <w:rPr>
                <w:rFonts w:ascii="Arial" w:hAnsi="Arial" w:cs="Arial"/>
                <w:b/>
                <w:sz w:val="16"/>
                <w:szCs w:val="16"/>
                <w:lang w:val="nb-NO"/>
              </w:rPr>
            </w:pPr>
            <w:r>
              <w:rPr>
                <w:rFonts w:ascii="Arial" w:hAnsi="Arial" w:cs="Arial"/>
                <w:b/>
                <w:sz w:val="16"/>
                <w:szCs w:val="16"/>
                <w:lang w:val="nb-NO"/>
              </w:rPr>
              <w:t>Metformin</w:t>
            </w:r>
          </w:p>
          <w:p w:rsidR="00907289" w:rsidRDefault="00907289">
            <w:pPr>
              <w:keepNext/>
              <w:keepLines/>
              <w:jc w:val="center"/>
              <w:rPr>
                <w:rFonts w:ascii="Arial" w:hAnsi="Arial" w:cs="Arial"/>
                <w:b/>
                <w:sz w:val="16"/>
                <w:szCs w:val="16"/>
                <w:lang w:val="nb-NO"/>
              </w:rPr>
            </w:pPr>
            <w:r>
              <w:rPr>
                <w:rFonts w:ascii="Arial" w:hAnsi="Arial" w:cs="Arial"/>
                <w:b/>
                <w:sz w:val="16"/>
                <w:szCs w:val="16"/>
                <w:lang w:val="nb-NO"/>
              </w:rPr>
              <w:t>1000 mg b.i.d.</w:t>
            </w:r>
          </w:p>
        </w:tc>
        <w:tc>
          <w:tcPr>
            <w:tcW w:w="1100" w:type="dxa"/>
            <w:tcBorders>
              <w:top w:val="single" w:sz="6" w:space="0" w:color="auto"/>
              <w:left w:val="single" w:sz="6" w:space="0" w:color="auto"/>
              <w:bottom w:val="single" w:sz="6" w:space="0" w:color="auto"/>
              <w:right w:val="single" w:sz="6" w:space="0" w:color="auto"/>
            </w:tcBorders>
          </w:tcPr>
          <w:p w:rsidR="00907289" w:rsidRDefault="00907289">
            <w:pPr>
              <w:keepNext/>
              <w:keepLines/>
              <w:jc w:val="center"/>
              <w:rPr>
                <w:rFonts w:ascii="Arial" w:hAnsi="Arial" w:cs="Arial"/>
                <w:b/>
                <w:sz w:val="16"/>
                <w:szCs w:val="16"/>
                <w:lang w:val="nb-NO"/>
              </w:rPr>
            </w:pPr>
            <w:r>
              <w:rPr>
                <w:rFonts w:ascii="Arial" w:hAnsi="Arial" w:cs="Arial"/>
                <w:b/>
                <w:sz w:val="16"/>
                <w:szCs w:val="16"/>
                <w:lang w:val="nb-NO"/>
              </w:rPr>
              <w:t>Sitagliptin</w:t>
            </w:r>
          </w:p>
          <w:p w:rsidR="00907289" w:rsidRDefault="00907289">
            <w:pPr>
              <w:keepNext/>
              <w:keepLines/>
              <w:jc w:val="center"/>
              <w:rPr>
                <w:rFonts w:ascii="Arial" w:hAnsi="Arial" w:cs="Arial"/>
                <w:b/>
                <w:sz w:val="16"/>
                <w:szCs w:val="16"/>
                <w:lang w:val="nb-NO"/>
              </w:rPr>
            </w:pPr>
            <w:r>
              <w:rPr>
                <w:rFonts w:ascii="Arial" w:hAnsi="Arial" w:cs="Arial"/>
                <w:b/>
                <w:sz w:val="16"/>
                <w:szCs w:val="16"/>
                <w:lang w:val="nb-NO"/>
              </w:rPr>
              <w:t>50 mg b.i.d +</w:t>
            </w:r>
          </w:p>
          <w:p w:rsidR="00907289" w:rsidRDefault="00907289">
            <w:pPr>
              <w:keepNext/>
              <w:keepLines/>
              <w:jc w:val="center"/>
              <w:rPr>
                <w:rFonts w:ascii="Arial" w:hAnsi="Arial" w:cs="Arial"/>
                <w:b/>
                <w:sz w:val="16"/>
                <w:szCs w:val="16"/>
                <w:lang w:val="nb-NO"/>
              </w:rPr>
            </w:pPr>
            <w:r>
              <w:rPr>
                <w:rFonts w:ascii="Arial" w:hAnsi="Arial" w:cs="Arial"/>
                <w:b/>
                <w:sz w:val="16"/>
                <w:szCs w:val="16"/>
                <w:lang w:val="nb-NO"/>
              </w:rPr>
              <w:t>Metformin</w:t>
            </w:r>
          </w:p>
          <w:p w:rsidR="00907289" w:rsidRDefault="00907289">
            <w:pPr>
              <w:keepNext/>
              <w:keepLines/>
              <w:jc w:val="center"/>
              <w:rPr>
                <w:rFonts w:ascii="Arial" w:hAnsi="Arial" w:cs="Arial"/>
                <w:b/>
                <w:sz w:val="16"/>
                <w:szCs w:val="16"/>
                <w:lang w:val="nb-NO"/>
              </w:rPr>
            </w:pPr>
            <w:r>
              <w:rPr>
                <w:rFonts w:ascii="Arial" w:hAnsi="Arial" w:cs="Arial"/>
                <w:b/>
                <w:sz w:val="16"/>
                <w:szCs w:val="16"/>
                <w:lang w:val="nb-NO"/>
              </w:rPr>
              <w:t>1000 mg b.i.d.</w:t>
            </w:r>
          </w:p>
        </w:tc>
      </w:tr>
      <w:tr w:rsidR="00907289" w:rsidTr="005A4394">
        <w:tblPrEx>
          <w:tblCellMar>
            <w:top w:w="0" w:type="dxa"/>
            <w:bottom w:w="0" w:type="dxa"/>
          </w:tblCellMar>
        </w:tblPrEx>
        <w:trPr>
          <w:trHeight w:hRule="exact" w:val="288"/>
          <w:jc w:val="center"/>
        </w:trPr>
        <w:tc>
          <w:tcPr>
            <w:tcW w:w="3228" w:type="dxa"/>
            <w:tcBorders>
              <w:top w:val="single" w:sz="6" w:space="0" w:color="auto"/>
              <w:left w:val="single" w:sz="6" w:space="0" w:color="auto"/>
              <w:bottom w:val="single" w:sz="6" w:space="0" w:color="auto"/>
              <w:right w:val="single" w:sz="6" w:space="0" w:color="auto"/>
            </w:tcBorders>
          </w:tcPr>
          <w:p w:rsidR="00907289" w:rsidRDefault="00907289">
            <w:pPr>
              <w:keepNext/>
              <w:keepLines/>
              <w:spacing w:before="40"/>
              <w:rPr>
                <w:rFonts w:ascii="Arial" w:hAnsi="Arial" w:cs="Arial"/>
                <w:sz w:val="16"/>
                <w:szCs w:val="16"/>
              </w:rPr>
            </w:pPr>
            <w:r>
              <w:rPr>
                <w:rFonts w:ascii="Arial" w:hAnsi="Arial" w:cs="Arial"/>
                <w:b/>
                <w:sz w:val="16"/>
                <w:szCs w:val="16"/>
              </w:rPr>
              <w:t>HbA</w:t>
            </w:r>
            <w:r>
              <w:rPr>
                <w:rFonts w:ascii="Arial" w:hAnsi="Arial" w:cs="Arial"/>
                <w:b/>
                <w:sz w:val="16"/>
                <w:szCs w:val="16"/>
                <w:vertAlign w:val="subscript"/>
              </w:rPr>
              <w:t>1c</w:t>
            </w:r>
            <w:r>
              <w:rPr>
                <w:rFonts w:ascii="Arial" w:hAnsi="Arial" w:cs="Arial"/>
                <w:b/>
                <w:sz w:val="16"/>
                <w:szCs w:val="16"/>
              </w:rPr>
              <w:t xml:space="preserve"> (%)</w:t>
            </w:r>
            <w:r w:rsidR="009E39FD" w:rsidRPr="006E7C3B">
              <w:rPr>
                <w:rFonts w:ascii="Arial" w:hAnsi="Arial" w:cs="Arial"/>
                <w:sz w:val="16"/>
                <w:szCs w:val="16"/>
                <w:vertAlign w:val="superscript"/>
              </w:rPr>
              <w:t>þ</w:t>
            </w:r>
          </w:p>
        </w:tc>
        <w:tc>
          <w:tcPr>
            <w:tcW w:w="1067" w:type="dxa"/>
            <w:tcBorders>
              <w:top w:val="single" w:sz="6" w:space="0" w:color="auto"/>
              <w:left w:val="single" w:sz="6" w:space="0" w:color="auto"/>
              <w:bottom w:val="single" w:sz="6" w:space="0" w:color="auto"/>
              <w:right w:val="single" w:sz="6" w:space="0" w:color="auto"/>
            </w:tcBorders>
          </w:tcPr>
          <w:p w:rsidR="00907289" w:rsidRDefault="00907289">
            <w:pPr>
              <w:keepNext/>
              <w:keepLines/>
              <w:spacing w:before="40"/>
              <w:jc w:val="center"/>
              <w:rPr>
                <w:rFonts w:ascii="Arial" w:hAnsi="Arial" w:cs="Arial"/>
                <w:b/>
                <w:sz w:val="16"/>
                <w:szCs w:val="16"/>
              </w:rPr>
            </w:pPr>
            <w:r>
              <w:rPr>
                <w:rFonts w:ascii="Arial" w:hAnsi="Arial" w:cs="Arial"/>
                <w:b/>
                <w:sz w:val="16"/>
                <w:szCs w:val="16"/>
              </w:rPr>
              <w:t>N = 165</w:t>
            </w:r>
          </w:p>
        </w:tc>
        <w:tc>
          <w:tcPr>
            <w:tcW w:w="1004" w:type="dxa"/>
            <w:tcBorders>
              <w:top w:val="single" w:sz="6" w:space="0" w:color="auto"/>
              <w:left w:val="single" w:sz="6" w:space="0" w:color="auto"/>
              <w:bottom w:val="single" w:sz="6" w:space="0" w:color="auto"/>
              <w:right w:val="single" w:sz="6" w:space="0" w:color="auto"/>
            </w:tcBorders>
          </w:tcPr>
          <w:p w:rsidR="00907289" w:rsidRDefault="00907289">
            <w:pPr>
              <w:keepNext/>
              <w:keepLines/>
              <w:spacing w:before="40"/>
              <w:jc w:val="center"/>
              <w:rPr>
                <w:rFonts w:ascii="Arial" w:hAnsi="Arial" w:cs="Arial"/>
                <w:b/>
                <w:sz w:val="16"/>
                <w:szCs w:val="16"/>
              </w:rPr>
            </w:pPr>
            <w:r>
              <w:rPr>
                <w:rFonts w:ascii="Arial" w:hAnsi="Arial" w:cs="Arial"/>
                <w:b/>
                <w:sz w:val="16"/>
                <w:szCs w:val="16"/>
              </w:rPr>
              <w:t>N = 175</w:t>
            </w:r>
          </w:p>
        </w:tc>
        <w:tc>
          <w:tcPr>
            <w:tcW w:w="1094" w:type="dxa"/>
            <w:tcBorders>
              <w:top w:val="single" w:sz="6" w:space="0" w:color="auto"/>
              <w:left w:val="single" w:sz="6" w:space="0" w:color="auto"/>
              <w:bottom w:val="single" w:sz="6" w:space="0" w:color="auto"/>
              <w:right w:val="single" w:sz="6" w:space="0" w:color="auto"/>
            </w:tcBorders>
          </w:tcPr>
          <w:p w:rsidR="00907289" w:rsidRDefault="00907289">
            <w:pPr>
              <w:keepNext/>
              <w:keepLines/>
              <w:spacing w:before="40"/>
              <w:jc w:val="center"/>
              <w:rPr>
                <w:rFonts w:ascii="Arial" w:hAnsi="Arial" w:cs="Arial"/>
                <w:b/>
                <w:sz w:val="16"/>
                <w:szCs w:val="16"/>
              </w:rPr>
            </w:pPr>
            <w:r>
              <w:rPr>
                <w:rFonts w:ascii="Arial" w:hAnsi="Arial" w:cs="Arial"/>
                <w:b/>
                <w:sz w:val="16"/>
                <w:szCs w:val="16"/>
              </w:rPr>
              <w:t>N = 178</w:t>
            </w:r>
          </w:p>
        </w:tc>
        <w:tc>
          <w:tcPr>
            <w:tcW w:w="1073" w:type="dxa"/>
            <w:tcBorders>
              <w:top w:val="single" w:sz="6" w:space="0" w:color="auto"/>
              <w:left w:val="single" w:sz="6" w:space="0" w:color="auto"/>
              <w:bottom w:val="single" w:sz="6" w:space="0" w:color="auto"/>
              <w:right w:val="single" w:sz="6" w:space="0" w:color="auto"/>
            </w:tcBorders>
          </w:tcPr>
          <w:p w:rsidR="00907289" w:rsidRDefault="00907289">
            <w:pPr>
              <w:keepNext/>
              <w:keepLines/>
              <w:spacing w:before="40"/>
              <w:jc w:val="center"/>
              <w:rPr>
                <w:rFonts w:ascii="Arial" w:hAnsi="Arial" w:cs="Arial"/>
                <w:b/>
                <w:sz w:val="16"/>
                <w:szCs w:val="16"/>
              </w:rPr>
            </w:pPr>
            <w:r>
              <w:rPr>
                <w:rFonts w:ascii="Arial" w:hAnsi="Arial" w:cs="Arial"/>
                <w:b/>
                <w:sz w:val="16"/>
                <w:szCs w:val="16"/>
              </w:rPr>
              <w:t>N = 183</w:t>
            </w:r>
          </w:p>
        </w:tc>
        <w:tc>
          <w:tcPr>
            <w:tcW w:w="1114" w:type="dxa"/>
            <w:tcBorders>
              <w:top w:val="single" w:sz="6" w:space="0" w:color="auto"/>
              <w:left w:val="single" w:sz="6" w:space="0" w:color="auto"/>
              <w:bottom w:val="single" w:sz="6" w:space="0" w:color="auto"/>
              <w:right w:val="single" w:sz="6" w:space="0" w:color="auto"/>
            </w:tcBorders>
          </w:tcPr>
          <w:p w:rsidR="00907289" w:rsidRDefault="00907289">
            <w:pPr>
              <w:keepNext/>
              <w:keepLines/>
              <w:spacing w:before="40"/>
              <w:jc w:val="center"/>
              <w:rPr>
                <w:rFonts w:ascii="Arial" w:hAnsi="Arial" w:cs="Arial"/>
                <w:b/>
                <w:sz w:val="16"/>
                <w:szCs w:val="16"/>
              </w:rPr>
            </w:pPr>
            <w:r>
              <w:rPr>
                <w:rFonts w:ascii="Arial" w:hAnsi="Arial" w:cs="Arial"/>
                <w:b/>
                <w:sz w:val="16"/>
                <w:szCs w:val="16"/>
              </w:rPr>
              <w:t>N = 177</w:t>
            </w:r>
          </w:p>
        </w:tc>
        <w:tc>
          <w:tcPr>
            <w:tcW w:w="1100" w:type="dxa"/>
            <w:tcBorders>
              <w:top w:val="single" w:sz="6" w:space="0" w:color="auto"/>
              <w:left w:val="single" w:sz="6" w:space="0" w:color="auto"/>
              <w:bottom w:val="single" w:sz="6" w:space="0" w:color="auto"/>
              <w:right w:val="single" w:sz="6" w:space="0" w:color="auto"/>
            </w:tcBorders>
          </w:tcPr>
          <w:p w:rsidR="00907289" w:rsidRDefault="00907289">
            <w:pPr>
              <w:keepNext/>
              <w:keepLines/>
              <w:spacing w:before="40"/>
              <w:jc w:val="center"/>
              <w:rPr>
                <w:rFonts w:ascii="Arial" w:hAnsi="Arial" w:cs="Arial"/>
                <w:b/>
                <w:sz w:val="16"/>
                <w:szCs w:val="16"/>
              </w:rPr>
            </w:pPr>
            <w:r>
              <w:rPr>
                <w:rFonts w:ascii="Arial" w:hAnsi="Arial" w:cs="Arial"/>
                <w:b/>
                <w:sz w:val="16"/>
                <w:szCs w:val="16"/>
              </w:rPr>
              <w:t>N = 178</w:t>
            </w:r>
          </w:p>
        </w:tc>
      </w:tr>
      <w:tr w:rsidR="00907289" w:rsidTr="005A4394">
        <w:tblPrEx>
          <w:tblCellMar>
            <w:top w:w="0" w:type="dxa"/>
            <w:bottom w:w="0" w:type="dxa"/>
          </w:tblCellMar>
        </w:tblPrEx>
        <w:trPr>
          <w:trHeight w:hRule="exact" w:val="288"/>
          <w:jc w:val="center"/>
        </w:trPr>
        <w:tc>
          <w:tcPr>
            <w:tcW w:w="3228" w:type="dxa"/>
            <w:tcBorders>
              <w:top w:val="single" w:sz="6" w:space="0" w:color="auto"/>
              <w:left w:val="single" w:sz="6" w:space="0" w:color="auto"/>
              <w:bottom w:val="single" w:sz="6" w:space="0" w:color="auto"/>
              <w:right w:val="single" w:sz="6" w:space="0" w:color="auto"/>
            </w:tcBorders>
          </w:tcPr>
          <w:p w:rsidR="00907289" w:rsidRDefault="00907289">
            <w:pPr>
              <w:keepNext/>
              <w:keepLines/>
              <w:spacing w:before="40"/>
              <w:ind w:left="128"/>
              <w:rPr>
                <w:rFonts w:ascii="Arial" w:hAnsi="Arial" w:cs="Arial"/>
                <w:sz w:val="16"/>
                <w:szCs w:val="16"/>
              </w:rPr>
            </w:pPr>
            <w:r>
              <w:rPr>
                <w:rFonts w:ascii="Arial" w:hAnsi="Arial" w:cs="Arial"/>
                <w:sz w:val="16"/>
                <w:szCs w:val="16"/>
              </w:rPr>
              <w:t>Baseline (mean)</w:t>
            </w:r>
          </w:p>
        </w:tc>
        <w:tc>
          <w:tcPr>
            <w:tcW w:w="1067" w:type="dxa"/>
            <w:tcBorders>
              <w:top w:val="single" w:sz="6" w:space="0" w:color="auto"/>
              <w:left w:val="single" w:sz="6" w:space="0" w:color="auto"/>
              <w:bottom w:val="single" w:sz="6" w:space="0" w:color="auto"/>
              <w:right w:val="single" w:sz="6" w:space="0" w:color="auto"/>
            </w:tcBorders>
          </w:tcPr>
          <w:p w:rsidR="00907289" w:rsidRDefault="00907289">
            <w:pPr>
              <w:keepNext/>
              <w:keepLines/>
              <w:spacing w:before="40"/>
              <w:jc w:val="center"/>
              <w:rPr>
                <w:rFonts w:ascii="Arial" w:hAnsi="Arial" w:cs="Arial"/>
                <w:sz w:val="16"/>
                <w:szCs w:val="16"/>
              </w:rPr>
            </w:pPr>
            <w:r>
              <w:rPr>
                <w:rFonts w:ascii="Arial" w:hAnsi="Arial" w:cs="Arial"/>
                <w:sz w:val="16"/>
                <w:szCs w:val="16"/>
              </w:rPr>
              <w:t>8.68</w:t>
            </w:r>
          </w:p>
        </w:tc>
        <w:tc>
          <w:tcPr>
            <w:tcW w:w="1004" w:type="dxa"/>
            <w:tcBorders>
              <w:top w:val="single" w:sz="6" w:space="0" w:color="auto"/>
              <w:left w:val="single" w:sz="6" w:space="0" w:color="auto"/>
              <w:bottom w:val="single" w:sz="6" w:space="0" w:color="auto"/>
              <w:right w:val="single" w:sz="6" w:space="0" w:color="auto"/>
            </w:tcBorders>
          </w:tcPr>
          <w:p w:rsidR="00907289" w:rsidRDefault="00907289">
            <w:pPr>
              <w:keepNext/>
              <w:keepLines/>
              <w:spacing w:before="40"/>
              <w:jc w:val="center"/>
              <w:rPr>
                <w:rFonts w:ascii="Arial" w:hAnsi="Arial" w:cs="Arial"/>
                <w:sz w:val="16"/>
                <w:szCs w:val="16"/>
              </w:rPr>
            </w:pPr>
            <w:r>
              <w:rPr>
                <w:rFonts w:ascii="Arial" w:hAnsi="Arial" w:cs="Arial"/>
                <w:sz w:val="16"/>
                <w:szCs w:val="16"/>
              </w:rPr>
              <w:t>8.87</w:t>
            </w:r>
          </w:p>
        </w:tc>
        <w:tc>
          <w:tcPr>
            <w:tcW w:w="1094" w:type="dxa"/>
            <w:tcBorders>
              <w:top w:val="single" w:sz="6" w:space="0" w:color="auto"/>
              <w:left w:val="single" w:sz="6" w:space="0" w:color="auto"/>
              <w:bottom w:val="single" w:sz="6" w:space="0" w:color="auto"/>
              <w:right w:val="single" w:sz="6" w:space="0" w:color="auto"/>
            </w:tcBorders>
          </w:tcPr>
          <w:p w:rsidR="00907289" w:rsidRDefault="00907289">
            <w:pPr>
              <w:keepNext/>
              <w:keepLines/>
              <w:spacing w:before="40"/>
              <w:jc w:val="center"/>
              <w:rPr>
                <w:rFonts w:ascii="Arial" w:hAnsi="Arial" w:cs="Arial"/>
                <w:sz w:val="16"/>
                <w:szCs w:val="16"/>
              </w:rPr>
            </w:pPr>
            <w:r>
              <w:rPr>
                <w:rFonts w:ascii="Arial" w:hAnsi="Arial" w:cs="Arial"/>
                <w:sz w:val="16"/>
                <w:szCs w:val="16"/>
              </w:rPr>
              <w:t>8.90</w:t>
            </w:r>
          </w:p>
        </w:tc>
        <w:tc>
          <w:tcPr>
            <w:tcW w:w="1073" w:type="dxa"/>
            <w:tcBorders>
              <w:top w:val="single" w:sz="6" w:space="0" w:color="auto"/>
              <w:left w:val="single" w:sz="6" w:space="0" w:color="auto"/>
              <w:bottom w:val="single" w:sz="6" w:space="0" w:color="auto"/>
              <w:right w:val="single" w:sz="6" w:space="0" w:color="auto"/>
            </w:tcBorders>
          </w:tcPr>
          <w:p w:rsidR="00907289" w:rsidRDefault="00907289">
            <w:pPr>
              <w:keepNext/>
              <w:keepLines/>
              <w:spacing w:before="40"/>
              <w:jc w:val="center"/>
              <w:rPr>
                <w:rFonts w:ascii="Arial" w:hAnsi="Arial" w:cs="Arial"/>
                <w:sz w:val="16"/>
                <w:szCs w:val="16"/>
              </w:rPr>
            </w:pPr>
            <w:r>
              <w:rPr>
                <w:rFonts w:ascii="Arial" w:hAnsi="Arial" w:cs="Arial"/>
                <w:sz w:val="16"/>
                <w:szCs w:val="16"/>
              </w:rPr>
              <w:t>8.79</w:t>
            </w:r>
          </w:p>
        </w:tc>
        <w:tc>
          <w:tcPr>
            <w:tcW w:w="1114" w:type="dxa"/>
            <w:tcBorders>
              <w:top w:val="single" w:sz="6" w:space="0" w:color="auto"/>
              <w:left w:val="single" w:sz="6" w:space="0" w:color="auto"/>
              <w:bottom w:val="single" w:sz="6" w:space="0" w:color="auto"/>
              <w:right w:val="single" w:sz="6" w:space="0" w:color="auto"/>
            </w:tcBorders>
          </w:tcPr>
          <w:p w:rsidR="00907289" w:rsidRDefault="00907289">
            <w:pPr>
              <w:keepNext/>
              <w:keepLines/>
              <w:spacing w:before="40"/>
              <w:jc w:val="center"/>
              <w:rPr>
                <w:rFonts w:ascii="Arial" w:hAnsi="Arial" w:cs="Arial"/>
                <w:sz w:val="16"/>
                <w:szCs w:val="16"/>
              </w:rPr>
            </w:pPr>
            <w:r>
              <w:rPr>
                <w:rFonts w:ascii="Arial" w:hAnsi="Arial" w:cs="Arial"/>
                <w:sz w:val="16"/>
                <w:szCs w:val="16"/>
              </w:rPr>
              <w:t>8.68</w:t>
            </w:r>
          </w:p>
        </w:tc>
        <w:tc>
          <w:tcPr>
            <w:tcW w:w="1100" w:type="dxa"/>
            <w:tcBorders>
              <w:top w:val="single" w:sz="6" w:space="0" w:color="auto"/>
              <w:left w:val="single" w:sz="6" w:space="0" w:color="auto"/>
              <w:bottom w:val="single" w:sz="6" w:space="0" w:color="auto"/>
              <w:right w:val="single" w:sz="6" w:space="0" w:color="auto"/>
            </w:tcBorders>
          </w:tcPr>
          <w:p w:rsidR="00907289" w:rsidRDefault="00907289">
            <w:pPr>
              <w:keepNext/>
              <w:keepLines/>
              <w:spacing w:before="40"/>
              <w:jc w:val="center"/>
              <w:rPr>
                <w:rFonts w:ascii="Arial" w:hAnsi="Arial" w:cs="Arial"/>
                <w:sz w:val="16"/>
                <w:szCs w:val="16"/>
              </w:rPr>
            </w:pPr>
            <w:r>
              <w:rPr>
                <w:rFonts w:ascii="Arial" w:hAnsi="Arial" w:cs="Arial"/>
                <w:sz w:val="16"/>
                <w:szCs w:val="16"/>
              </w:rPr>
              <w:t>8.76</w:t>
            </w:r>
          </w:p>
        </w:tc>
      </w:tr>
      <w:tr w:rsidR="00907289" w:rsidTr="005A4394">
        <w:tblPrEx>
          <w:tblCellMar>
            <w:top w:w="0" w:type="dxa"/>
            <w:bottom w:w="0" w:type="dxa"/>
          </w:tblCellMar>
        </w:tblPrEx>
        <w:trPr>
          <w:trHeight w:hRule="exact" w:val="288"/>
          <w:jc w:val="center"/>
        </w:trPr>
        <w:tc>
          <w:tcPr>
            <w:tcW w:w="3228" w:type="dxa"/>
            <w:tcBorders>
              <w:top w:val="single" w:sz="6" w:space="0" w:color="auto"/>
              <w:left w:val="single" w:sz="6" w:space="0" w:color="auto"/>
              <w:bottom w:val="single" w:sz="6" w:space="0" w:color="auto"/>
              <w:right w:val="single" w:sz="6" w:space="0" w:color="auto"/>
            </w:tcBorders>
          </w:tcPr>
          <w:p w:rsidR="00907289" w:rsidRDefault="00907289">
            <w:pPr>
              <w:keepNext/>
              <w:keepLines/>
              <w:spacing w:before="40"/>
              <w:ind w:left="128"/>
              <w:rPr>
                <w:rFonts w:ascii="Arial" w:hAnsi="Arial" w:cs="Arial"/>
                <w:sz w:val="16"/>
                <w:szCs w:val="16"/>
              </w:rPr>
            </w:pPr>
            <w:r>
              <w:rPr>
                <w:rFonts w:ascii="Arial" w:hAnsi="Arial" w:cs="Arial"/>
                <w:sz w:val="16"/>
                <w:szCs w:val="16"/>
              </w:rPr>
              <w:t>Change from baseline (adjusted mean</w:t>
            </w:r>
            <w:r>
              <w:rPr>
                <w:rFonts w:ascii="Arial" w:hAnsi="Arial" w:cs="Arial"/>
                <w:sz w:val="16"/>
                <w:vertAlign w:val="superscript"/>
              </w:rPr>
              <w:t>‡</w:t>
            </w:r>
            <w:r>
              <w:rPr>
                <w:rFonts w:ascii="Arial" w:hAnsi="Arial" w:cs="Arial"/>
                <w:sz w:val="16"/>
                <w:szCs w:val="16"/>
              </w:rPr>
              <w:t>)</w:t>
            </w:r>
          </w:p>
        </w:tc>
        <w:tc>
          <w:tcPr>
            <w:tcW w:w="1067" w:type="dxa"/>
            <w:tcBorders>
              <w:top w:val="single" w:sz="6" w:space="0" w:color="auto"/>
              <w:left w:val="single" w:sz="6" w:space="0" w:color="auto"/>
              <w:bottom w:val="single" w:sz="6" w:space="0" w:color="auto"/>
              <w:right w:val="single" w:sz="6" w:space="0" w:color="auto"/>
            </w:tcBorders>
          </w:tcPr>
          <w:p w:rsidR="00907289" w:rsidRDefault="00907289">
            <w:pPr>
              <w:keepNext/>
              <w:keepLines/>
              <w:spacing w:before="40"/>
              <w:jc w:val="center"/>
              <w:rPr>
                <w:rFonts w:ascii="Arial" w:hAnsi="Arial" w:cs="Arial"/>
                <w:sz w:val="16"/>
                <w:szCs w:val="16"/>
              </w:rPr>
            </w:pPr>
            <w:r>
              <w:rPr>
                <w:rFonts w:ascii="Arial" w:hAnsi="Arial" w:cs="Arial"/>
                <w:sz w:val="16"/>
                <w:szCs w:val="16"/>
              </w:rPr>
              <w:t>0.17</w:t>
            </w:r>
          </w:p>
        </w:tc>
        <w:tc>
          <w:tcPr>
            <w:tcW w:w="1004" w:type="dxa"/>
            <w:tcBorders>
              <w:top w:val="single" w:sz="6" w:space="0" w:color="auto"/>
              <w:left w:val="single" w:sz="6" w:space="0" w:color="auto"/>
              <w:bottom w:val="single" w:sz="6" w:space="0" w:color="auto"/>
              <w:right w:val="single" w:sz="6" w:space="0" w:color="auto"/>
            </w:tcBorders>
          </w:tcPr>
          <w:p w:rsidR="00907289" w:rsidRDefault="00907289">
            <w:pPr>
              <w:keepNext/>
              <w:keepLines/>
              <w:spacing w:before="40"/>
              <w:jc w:val="center"/>
              <w:rPr>
                <w:rFonts w:ascii="Arial" w:hAnsi="Arial" w:cs="Arial"/>
                <w:sz w:val="16"/>
                <w:szCs w:val="16"/>
              </w:rPr>
            </w:pPr>
            <w:r>
              <w:rPr>
                <w:rFonts w:ascii="Arial" w:hAnsi="Arial" w:cs="Arial"/>
                <w:sz w:val="16"/>
                <w:szCs w:val="16"/>
              </w:rPr>
              <w:t>-0.66</w:t>
            </w:r>
          </w:p>
        </w:tc>
        <w:tc>
          <w:tcPr>
            <w:tcW w:w="1094" w:type="dxa"/>
            <w:tcBorders>
              <w:top w:val="single" w:sz="6" w:space="0" w:color="auto"/>
              <w:left w:val="single" w:sz="6" w:space="0" w:color="auto"/>
              <w:bottom w:val="single" w:sz="6" w:space="0" w:color="auto"/>
              <w:right w:val="single" w:sz="6" w:space="0" w:color="auto"/>
            </w:tcBorders>
          </w:tcPr>
          <w:p w:rsidR="00907289" w:rsidRDefault="00907289">
            <w:pPr>
              <w:keepNext/>
              <w:keepLines/>
              <w:spacing w:before="40"/>
              <w:jc w:val="center"/>
              <w:rPr>
                <w:rFonts w:ascii="Arial" w:hAnsi="Arial" w:cs="Arial"/>
                <w:sz w:val="16"/>
                <w:szCs w:val="16"/>
              </w:rPr>
            </w:pPr>
            <w:r>
              <w:rPr>
                <w:rFonts w:ascii="Arial" w:hAnsi="Arial" w:cs="Arial"/>
                <w:sz w:val="16"/>
                <w:szCs w:val="16"/>
              </w:rPr>
              <w:t>-0.82</w:t>
            </w:r>
          </w:p>
        </w:tc>
        <w:tc>
          <w:tcPr>
            <w:tcW w:w="1073" w:type="dxa"/>
            <w:tcBorders>
              <w:top w:val="single" w:sz="6" w:space="0" w:color="auto"/>
              <w:left w:val="single" w:sz="6" w:space="0" w:color="auto"/>
              <w:bottom w:val="single" w:sz="6" w:space="0" w:color="auto"/>
              <w:right w:val="single" w:sz="6" w:space="0" w:color="auto"/>
            </w:tcBorders>
          </w:tcPr>
          <w:p w:rsidR="00907289" w:rsidRDefault="00907289">
            <w:pPr>
              <w:keepNext/>
              <w:keepLines/>
              <w:spacing w:before="40"/>
              <w:jc w:val="center"/>
              <w:rPr>
                <w:rFonts w:ascii="Arial" w:hAnsi="Arial" w:cs="Arial"/>
                <w:sz w:val="16"/>
                <w:szCs w:val="16"/>
              </w:rPr>
            </w:pPr>
            <w:r>
              <w:rPr>
                <w:rFonts w:ascii="Arial" w:hAnsi="Arial" w:cs="Arial"/>
                <w:sz w:val="16"/>
                <w:szCs w:val="16"/>
              </w:rPr>
              <w:t>-1.40</w:t>
            </w:r>
          </w:p>
        </w:tc>
        <w:tc>
          <w:tcPr>
            <w:tcW w:w="1114" w:type="dxa"/>
            <w:tcBorders>
              <w:top w:val="single" w:sz="6" w:space="0" w:color="auto"/>
              <w:left w:val="single" w:sz="6" w:space="0" w:color="auto"/>
              <w:bottom w:val="single" w:sz="6" w:space="0" w:color="auto"/>
              <w:right w:val="single" w:sz="6" w:space="0" w:color="auto"/>
            </w:tcBorders>
          </w:tcPr>
          <w:p w:rsidR="00907289" w:rsidRDefault="00907289">
            <w:pPr>
              <w:keepNext/>
              <w:keepLines/>
              <w:spacing w:before="40"/>
              <w:jc w:val="center"/>
              <w:rPr>
                <w:rFonts w:ascii="Arial" w:hAnsi="Arial" w:cs="Arial"/>
                <w:sz w:val="16"/>
                <w:szCs w:val="16"/>
              </w:rPr>
            </w:pPr>
            <w:r>
              <w:rPr>
                <w:rFonts w:ascii="Arial" w:hAnsi="Arial" w:cs="Arial"/>
                <w:sz w:val="16"/>
                <w:szCs w:val="16"/>
              </w:rPr>
              <w:t>-1.13</w:t>
            </w:r>
          </w:p>
        </w:tc>
        <w:tc>
          <w:tcPr>
            <w:tcW w:w="1100" w:type="dxa"/>
            <w:tcBorders>
              <w:top w:val="single" w:sz="6" w:space="0" w:color="auto"/>
              <w:left w:val="single" w:sz="6" w:space="0" w:color="auto"/>
              <w:bottom w:val="single" w:sz="6" w:space="0" w:color="auto"/>
              <w:right w:val="single" w:sz="6" w:space="0" w:color="auto"/>
            </w:tcBorders>
          </w:tcPr>
          <w:p w:rsidR="00907289" w:rsidRDefault="00907289">
            <w:pPr>
              <w:keepNext/>
              <w:keepLines/>
              <w:spacing w:before="40"/>
              <w:jc w:val="center"/>
              <w:rPr>
                <w:rFonts w:ascii="Arial" w:hAnsi="Arial" w:cs="Arial"/>
                <w:sz w:val="16"/>
                <w:szCs w:val="16"/>
              </w:rPr>
            </w:pPr>
            <w:r>
              <w:rPr>
                <w:rFonts w:ascii="Arial" w:hAnsi="Arial" w:cs="Arial"/>
                <w:sz w:val="16"/>
                <w:szCs w:val="16"/>
              </w:rPr>
              <w:t>-1.90</w:t>
            </w:r>
          </w:p>
        </w:tc>
      </w:tr>
      <w:tr w:rsidR="00907289" w:rsidTr="005A4394">
        <w:tblPrEx>
          <w:tblCellMar>
            <w:top w:w="0" w:type="dxa"/>
            <w:bottom w:w="0" w:type="dxa"/>
          </w:tblCellMar>
        </w:tblPrEx>
        <w:trPr>
          <w:trHeight w:hRule="exact" w:val="288"/>
          <w:jc w:val="center"/>
        </w:trPr>
        <w:tc>
          <w:tcPr>
            <w:tcW w:w="3228" w:type="dxa"/>
            <w:tcBorders>
              <w:top w:val="single" w:sz="6" w:space="0" w:color="auto"/>
              <w:left w:val="single" w:sz="6" w:space="0" w:color="auto"/>
              <w:bottom w:val="single" w:sz="6" w:space="0" w:color="auto"/>
              <w:right w:val="single" w:sz="6" w:space="0" w:color="auto"/>
            </w:tcBorders>
          </w:tcPr>
          <w:p w:rsidR="00907289" w:rsidRDefault="00907289">
            <w:pPr>
              <w:keepNext/>
              <w:keepLines/>
              <w:spacing w:before="40"/>
              <w:ind w:left="128"/>
              <w:rPr>
                <w:rFonts w:ascii="Arial" w:hAnsi="Arial" w:cs="Arial"/>
                <w:sz w:val="16"/>
                <w:szCs w:val="16"/>
              </w:rPr>
            </w:pPr>
            <w:r>
              <w:rPr>
                <w:rFonts w:ascii="Arial" w:hAnsi="Arial" w:cs="Arial"/>
                <w:sz w:val="16"/>
                <w:szCs w:val="16"/>
              </w:rPr>
              <w:t>Difference from placebo (adjusted mean</w:t>
            </w:r>
            <w:r>
              <w:rPr>
                <w:rFonts w:ascii="Arial" w:hAnsi="Arial" w:cs="Arial"/>
                <w:sz w:val="16"/>
                <w:vertAlign w:val="superscript"/>
              </w:rPr>
              <w:t>‡</w:t>
            </w:r>
            <w:r>
              <w:rPr>
                <w:rFonts w:ascii="Arial" w:hAnsi="Arial" w:cs="Arial"/>
                <w:sz w:val="16"/>
                <w:szCs w:val="16"/>
              </w:rPr>
              <w:t>)</w:t>
            </w:r>
          </w:p>
        </w:tc>
        <w:tc>
          <w:tcPr>
            <w:tcW w:w="1067" w:type="dxa"/>
            <w:tcBorders>
              <w:top w:val="single" w:sz="6" w:space="0" w:color="auto"/>
              <w:left w:val="single" w:sz="6" w:space="0" w:color="auto"/>
              <w:bottom w:val="single" w:sz="6" w:space="0" w:color="auto"/>
              <w:right w:val="single" w:sz="6" w:space="0" w:color="auto"/>
            </w:tcBorders>
          </w:tcPr>
          <w:p w:rsidR="00907289" w:rsidRDefault="00907289">
            <w:pPr>
              <w:keepNext/>
              <w:keepLines/>
              <w:spacing w:before="40"/>
              <w:jc w:val="center"/>
              <w:rPr>
                <w:rFonts w:ascii="Arial" w:hAnsi="Arial" w:cs="Arial"/>
                <w:sz w:val="16"/>
                <w:szCs w:val="16"/>
              </w:rPr>
            </w:pPr>
            <w:r>
              <w:rPr>
                <w:rFonts w:ascii="Arial" w:hAnsi="Arial" w:cs="Arial"/>
                <w:sz w:val="16"/>
                <w:szCs w:val="16"/>
              </w:rPr>
              <w:t>-</w:t>
            </w:r>
          </w:p>
        </w:tc>
        <w:tc>
          <w:tcPr>
            <w:tcW w:w="1004" w:type="dxa"/>
            <w:tcBorders>
              <w:top w:val="single" w:sz="6" w:space="0" w:color="auto"/>
              <w:left w:val="single" w:sz="6" w:space="0" w:color="auto"/>
              <w:bottom w:val="single" w:sz="6" w:space="0" w:color="auto"/>
              <w:right w:val="single" w:sz="6" w:space="0" w:color="auto"/>
            </w:tcBorders>
          </w:tcPr>
          <w:p w:rsidR="00907289" w:rsidRDefault="00907289">
            <w:pPr>
              <w:keepNext/>
              <w:keepLines/>
              <w:spacing w:before="40"/>
              <w:jc w:val="center"/>
              <w:rPr>
                <w:rFonts w:ascii="Arial" w:hAnsi="Arial" w:cs="Arial"/>
                <w:sz w:val="16"/>
                <w:szCs w:val="16"/>
              </w:rPr>
            </w:pPr>
            <w:r>
              <w:rPr>
                <w:rFonts w:ascii="Arial" w:hAnsi="Arial" w:cs="Arial"/>
                <w:sz w:val="16"/>
                <w:szCs w:val="16"/>
              </w:rPr>
              <w:t>-0.83</w:t>
            </w:r>
            <w:r>
              <w:rPr>
                <w:rFonts w:ascii="Arial" w:hAnsi="Arial" w:cs="Arial"/>
                <w:sz w:val="16"/>
                <w:vertAlign w:val="superscript"/>
              </w:rPr>
              <w:t>§</w:t>
            </w:r>
          </w:p>
        </w:tc>
        <w:tc>
          <w:tcPr>
            <w:tcW w:w="1094" w:type="dxa"/>
            <w:tcBorders>
              <w:top w:val="single" w:sz="6" w:space="0" w:color="auto"/>
              <w:left w:val="single" w:sz="6" w:space="0" w:color="auto"/>
              <w:bottom w:val="single" w:sz="6" w:space="0" w:color="auto"/>
              <w:right w:val="single" w:sz="6" w:space="0" w:color="auto"/>
            </w:tcBorders>
          </w:tcPr>
          <w:p w:rsidR="00907289" w:rsidRDefault="00907289">
            <w:pPr>
              <w:keepNext/>
              <w:keepLines/>
              <w:spacing w:before="40"/>
              <w:jc w:val="center"/>
              <w:rPr>
                <w:rFonts w:ascii="Arial" w:hAnsi="Arial" w:cs="Arial"/>
                <w:sz w:val="16"/>
                <w:szCs w:val="16"/>
              </w:rPr>
            </w:pPr>
            <w:r>
              <w:rPr>
                <w:rFonts w:ascii="Arial" w:hAnsi="Arial" w:cs="Arial"/>
                <w:sz w:val="16"/>
                <w:szCs w:val="16"/>
              </w:rPr>
              <w:t>-0.99</w:t>
            </w:r>
            <w:r>
              <w:rPr>
                <w:rFonts w:ascii="Arial" w:hAnsi="Arial" w:cs="Arial"/>
                <w:sz w:val="16"/>
                <w:vertAlign w:val="superscript"/>
              </w:rPr>
              <w:t>§</w:t>
            </w:r>
          </w:p>
        </w:tc>
        <w:tc>
          <w:tcPr>
            <w:tcW w:w="1073" w:type="dxa"/>
            <w:tcBorders>
              <w:top w:val="single" w:sz="6" w:space="0" w:color="auto"/>
              <w:left w:val="single" w:sz="6" w:space="0" w:color="auto"/>
              <w:bottom w:val="single" w:sz="6" w:space="0" w:color="auto"/>
              <w:right w:val="single" w:sz="6" w:space="0" w:color="auto"/>
            </w:tcBorders>
          </w:tcPr>
          <w:p w:rsidR="00907289" w:rsidRDefault="00907289">
            <w:pPr>
              <w:keepNext/>
              <w:keepLines/>
              <w:spacing w:before="40"/>
              <w:jc w:val="center"/>
              <w:rPr>
                <w:rFonts w:ascii="Arial" w:hAnsi="Arial" w:cs="Arial"/>
                <w:sz w:val="16"/>
                <w:szCs w:val="16"/>
              </w:rPr>
            </w:pPr>
            <w:r>
              <w:rPr>
                <w:rFonts w:ascii="Arial" w:hAnsi="Arial" w:cs="Arial"/>
                <w:sz w:val="16"/>
                <w:szCs w:val="16"/>
              </w:rPr>
              <w:t>-1.57</w:t>
            </w:r>
            <w:r>
              <w:rPr>
                <w:rFonts w:ascii="Arial" w:hAnsi="Arial" w:cs="Arial"/>
                <w:sz w:val="16"/>
                <w:vertAlign w:val="superscript"/>
              </w:rPr>
              <w:t>§</w:t>
            </w:r>
          </w:p>
        </w:tc>
        <w:tc>
          <w:tcPr>
            <w:tcW w:w="1114" w:type="dxa"/>
            <w:tcBorders>
              <w:top w:val="single" w:sz="6" w:space="0" w:color="auto"/>
              <w:left w:val="single" w:sz="6" w:space="0" w:color="auto"/>
              <w:bottom w:val="single" w:sz="6" w:space="0" w:color="auto"/>
              <w:right w:val="single" w:sz="6" w:space="0" w:color="auto"/>
            </w:tcBorders>
          </w:tcPr>
          <w:p w:rsidR="00907289" w:rsidRDefault="00907289">
            <w:pPr>
              <w:keepNext/>
              <w:keepLines/>
              <w:spacing w:before="40"/>
              <w:jc w:val="center"/>
              <w:rPr>
                <w:rFonts w:ascii="Arial" w:hAnsi="Arial" w:cs="Arial"/>
                <w:sz w:val="16"/>
                <w:szCs w:val="16"/>
              </w:rPr>
            </w:pPr>
            <w:r>
              <w:rPr>
                <w:rFonts w:ascii="Arial" w:hAnsi="Arial" w:cs="Arial"/>
                <w:sz w:val="16"/>
                <w:szCs w:val="16"/>
              </w:rPr>
              <w:t>-1.30</w:t>
            </w:r>
            <w:r>
              <w:rPr>
                <w:rFonts w:ascii="Arial" w:hAnsi="Arial" w:cs="Arial"/>
                <w:sz w:val="16"/>
                <w:vertAlign w:val="superscript"/>
              </w:rPr>
              <w:t>§</w:t>
            </w:r>
          </w:p>
        </w:tc>
        <w:tc>
          <w:tcPr>
            <w:tcW w:w="1100" w:type="dxa"/>
            <w:tcBorders>
              <w:top w:val="single" w:sz="6" w:space="0" w:color="auto"/>
              <w:left w:val="single" w:sz="6" w:space="0" w:color="auto"/>
              <w:bottom w:val="single" w:sz="6" w:space="0" w:color="auto"/>
              <w:right w:val="single" w:sz="6" w:space="0" w:color="auto"/>
            </w:tcBorders>
          </w:tcPr>
          <w:p w:rsidR="00907289" w:rsidRDefault="00907289">
            <w:pPr>
              <w:keepNext/>
              <w:keepLines/>
              <w:spacing w:before="40"/>
              <w:jc w:val="center"/>
              <w:rPr>
                <w:rFonts w:ascii="Arial" w:hAnsi="Arial" w:cs="Arial"/>
                <w:sz w:val="16"/>
                <w:szCs w:val="16"/>
              </w:rPr>
            </w:pPr>
            <w:r>
              <w:rPr>
                <w:rFonts w:ascii="Arial" w:hAnsi="Arial" w:cs="Arial"/>
                <w:sz w:val="16"/>
                <w:szCs w:val="16"/>
              </w:rPr>
              <w:t>-2.07</w:t>
            </w:r>
            <w:r>
              <w:rPr>
                <w:rFonts w:ascii="Arial" w:hAnsi="Arial" w:cs="Arial"/>
                <w:sz w:val="16"/>
                <w:vertAlign w:val="superscript"/>
              </w:rPr>
              <w:t>§</w:t>
            </w:r>
          </w:p>
        </w:tc>
      </w:tr>
      <w:tr w:rsidR="00907289" w:rsidTr="005A4394">
        <w:tblPrEx>
          <w:tblCellMar>
            <w:top w:w="0" w:type="dxa"/>
            <w:bottom w:w="0" w:type="dxa"/>
          </w:tblCellMar>
        </w:tblPrEx>
        <w:trPr>
          <w:trHeight w:hRule="exact" w:val="288"/>
          <w:jc w:val="center"/>
        </w:trPr>
        <w:tc>
          <w:tcPr>
            <w:tcW w:w="3228" w:type="dxa"/>
            <w:tcBorders>
              <w:top w:val="single" w:sz="6" w:space="0" w:color="auto"/>
              <w:left w:val="single" w:sz="6" w:space="0" w:color="auto"/>
              <w:bottom w:val="single" w:sz="6" w:space="0" w:color="auto"/>
              <w:right w:val="single" w:sz="6" w:space="0" w:color="auto"/>
            </w:tcBorders>
          </w:tcPr>
          <w:p w:rsidR="00907289" w:rsidRDefault="00907289">
            <w:pPr>
              <w:keepNext/>
              <w:keepLines/>
              <w:spacing w:before="40"/>
              <w:ind w:left="128"/>
              <w:rPr>
                <w:rFonts w:ascii="Arial" w:hAnsi="Arial" w:cs="Arial"/>
                <w:sz w:val="16"/>
                <w:szCs w:val="16"/>
              </w:rPr>
            </w:pPr>
            <w:r>
              <w:rPr>
                <w:rFonts w:ascii="Arial" w:hAnsi="Arial" w:cs="Arial"/>
                <w:sz w:val="16"/>
                <w:szCs w:val="16"/>
              </w:rPr>
              <w:t>Patients (%) achieving HbA1c &lt;7%</w:t>
            </w:r>
          </w:p>
        </w:tc>
        <w:tc>
          <w:tcPr>
            <w:tcW w:w="1067" w:type="dxa"/>
            <w:tcBorders>
              <w:top w:val="single" w:sz="6" w:space="0" w:color="auto"/>
              <w:left w:val="single" w:sz="6" w:space="0" w:color="auto"/>
              <w:bottom w:val="single" w:sz="6" w:space="0" w:color="auto"/>
              <w:right w:val="single" w:sz="6" w:space="0" w:color="auto"/>
            </w:tcBorders>
          </w:tcPr>
          <w:p w:rsidR="00907289" w:rsidRDefault="00907289">
            <w:pPr>
              <w:keepNext/>
              <w:keepLines/>
              <w:spacing w:before="40"/>
              <w:jc w:val="center"/>
              <w:rPr>
                <w:rFonts w:ascii="Arial" w:hAnsi="Arial" w:cs="Arial"/>
                <w:color w:val="000000"/>
                <w:sz w:val="16"/>
                <w:szCs w:val="16"/>
              </w:rPr>
            </w:pPr>
            <w:r>
              <w:rPr>
                <w:rFonts w:ascii="Arial" w:hAnsi="Arial" w:cs="Arial"/>
                <w:color w:val="000000"/>
                <w:sz w:val="16"/>
                <w:szCs w:val="16"/>
              </w:rPr>
              <w:t>15 (9.1)</w:t>
            </w:r>
          </w:p>
        </w:tc>
        <w:tc>
          <w:tcPr>
            <w:tcW w:w="1004" w:type="dxa"/>
            <w:tcBorders>
              <w:top w:val="single" w:sz="6" w:space="0" w:color="auto"/>
              <w:left w:val="single" w:sz="6" w:space="0" w:color="auto"/>
              <w:bottom w:val="single" w:sz="6" w:space="0" w:color="auto"/>
              <w:right w:val="single" w:sz="6" w:space="0" w:color="auto"/>
            </w:tcBorders>
          </w:tcPr>
          <w:p w:rsidR="00907289" w:rsidRDefault="00907289">
            <w:pPr>
              <w:keepNext/>
              <w:keepLines/>
              <w:spacing w:before="40"/>
              <w:jc w:val="center"/>
              <w:rPr>
                <w:rFonts w:ascii="Arial" w:hAnsi="Arial" w:cs="Arial"/>
                <w:color w:val="000000"/>
                <w:sz w:val="16"/>
                <w:szCs w:val="16"/>
              </w:rPr>
            </w:pPr>
            <w:r>
              <w:rPr>
                <w:rFonts w:ascii="Arial" w:hAnsi="Arial" w:cs="Arial"/>
                <w:color w:val="000000"/>
                <w:sz w:val="16"/>
                <w:szCs w:val="16"/>
              </w:rPr>
              <w:t>35 (20.0)</w:t>
            </w:r>
          </w:p>
        </w:tc>
        <w:tc>
          <w:tcPr>
            <w:tcW w:w="1094" w:type="dxa"/>
            <w:tcBorders>
              <w:top w:val="single" w:sz="6" w:space="0" w:color="auto"/>
              <w:left w:val="single" w:sz="6" w:space="0" w:color="auto"/>
              <w:bottom w:val="single" w:sz="6" w:space="0" w:color="auto"/>
              <w:right w:val="single" w:sz="6" w:space="0" w:color="auto"/>
            </w:tcBorders>
          </w:tcPr>
          <w:p w:rsidR="00907289" w:rsidRDefault="00907289">
            <w:pPr>
              <w:keepNext/>
              <w:keepLines/>
              <w:spacing w:before="40"/>
              <w:jc w:val="center"/>
              <w:rPr>
                <w:rFonts w:ascii="Arial" w:hAnsi="Arial" w:cs="Arial"/>
                <w:color w:val="000000"/>
                <w:sz w:val="16"/>
                <w:szCs w:val="16"/>
              </w:rPr>
            </w:pPr>
            <w:r>
              <w:rPr>
                <w:rFonts w:ascii="Arial" w:hAnsi="Arial" w:cs="Arial"/>
                <w:color w:val="000000"/>
                <w:sz w:val="16"/>
                <w:szCs w:val="16"/>
              </w:rPr>
              <w:t>41 (23.0)</w:t>
            </w:r>
          </w:p>
        </w:tc>
        <w:tc>
          <w:tcPr>
            <w:tcW w:w="1073" w:type="dxa"/>
            <w:tcBorders>
              <w:top w:val="single" w:sz="6" w:space="0" w:color="auto"/>
              <w:left w:val="single" w:sz="6" w:space="0" w:color="auto"/>
              <w:bottom w:val="single" w:sz="6" w:space="0" w:color="auto"/>
              <w:right w:val="single" w:sz="6" w:space="0" w:color="auto"/>
            </w:tcBorders>
          </w:tcPr>
          <w:p w:rsidR="00907289" w:rsidRDefault="00907289">
            <w:pPr>
              <w:keepNext/>
              <w:keepLines/>
              <w:spacing w:before="40"/>
              <w:jc w:val="center"/>
              <w:rPr>
                <w:rFonts w:ascii="Arial" w:hAnsi="Arial" w:cs="Arial"/>
                <w:color w:val="000000"/>
                <w:sz w:val="16"/>
                <w:szCs w:val="16"/>
              </w:rPr>
            </w:pPr>
            <w:r>
              <w:rPr>
                <w:rFonts w:ascii="Arial" w:hAnsi="Arial" w:cs="Arial"/>
                <w:color w:val="000000"/>
                <w:sz w:val="16"/>
                <w:szCs w:val="16"/>
              </w:rPr>
              <w:t>79 (43.2)</w:t>
            </w:r>
          </w:p>
        </w:tc>
        <w:tc>
          <w:tcPr>
            <w:tcW w:w="1114" w:type="dxa"/>
            <w:tcBorders>
              <w:top w:val="single" w:sz="6" w:space="0" w:color="auto"/>
              <w:left w:val="single" w:sz="6" w:space="0" w:color="auto"/>
              <w:bottom w:val="single" w:sz="6" w:space="0" w:color="auto"/>
              <w:right w:val="single" w:sz="6" w:space="0" w:color="auto"/>
            </w:tcBorders>
          </w:tcPr>
          <w:p w:rsidR="00907289" w:rsidRDefault="00907289">
            <w:pPr>
              <w:keepNext/>
              <w:keepLines/>
              <w:spacing w:before="40"/>
              <w:jc w:val="center"/>
              <w:rPr>
                <w:rFonts w:ascii="Arial" w:hAnsi="Arial" w:cs="Arial"/>
                <w:color w:val="000000"/>
                <w:sz w:val="16"/>
                <w:szCs w:val="16"/>
              </w:rPr>
            </w:pPr>
            <w:r>
              <w:rPr>
                <w:rFonts w:ascii="Arial" w:hAnsi="Arial" w:cs="Arial"/>
                <w:color w:val="000000"/>
                <w:sz w:val="16"/>
                <w:szCs w:val="16"/>
              </w:rPr>
              <w:t>68 (38.4)</w:t>
            </w:r>
          </w:p>
        </w:tc>
        <w:tc>
          <w:tcPr>
            <w:tcW w:w="1100" w:type="dxa"/>
            <w:tcBorders>
              <w:top w:val="single" w:sz="6" w:space="0" w:color="auto"/>
              <w:left w:val="single" w:sz="6" w:space="0" w:color="auto"/>
              <w:bottom w:val="single" w:sz="6" w:space="0" w:color="auto"/>
              <w:right w:val="single" w:sz="6" w:space="0" w:color="auto"/>
            </w:tcBorders>
          </w:tcPr>
          <w:p w:rsidR="00907289" w:rsidRDefault="00907289">
            <w:pPr>
              <w:keepNext/>
              <w:keepLines/>
              <w:spacing w:before="40"/>
              <w:jc w:val="center"/>
              <w:rPr>
                <w:rFonts w:ascii="Arial" w:hAnsi="Arial" w:cs="Arial"/>
                <w:color w:val="000000"/>
                <w:sz w:val="16"/>
                <w:szCs w:val="16"/>
              </w:rPr>
            </w:pPr>
            <w:r>
              <w:rPr>
                <w:rFonts w:ascii="Arial" w:hAnsi="Arial" w:cs="Arial"/>
                <w:color w:val="000000"/>
                <w:sz w:val="16"/>
                <w:szCs w:val="16"/>
              </w:rPr>
              <w:t>118 (66.3)</w:t>
            </w:r>
          </w:p>
        </w:tc>
      </w:tr>
      <w:tr w:rsidR="005A4394" w:rsidTr="005A4394">
        <w:tblPrEx>
          <w:tblCellMar>
            <w:top w:w="0" w:type="dxa"/>
            <w:bottom w:w="0" w:type="dxa"/>
          </w:tblCellMar>
        </w:tblPrEx>
        <w:trPr>
          <w:trHeight w:hRule="exact" w:val="288"/>
          <w:jc w:val="center"/>
        </w:trPr>
        <w:tc>
          <w:tcPr>
            <w:tcW w:w="3228" w:type="dxa"/>
            <w:tcBorders>
              <w:top w:val="single" w:sz="6" w:space="0" w:color="auto"/>
              <w:left w:val="single" w:sz="6" w:space="0" w:color="auto"/>
              <w:bottom w:val="single" w:sz="6" w:space="0" w:color="auto"/>
              <w:right w:val="single" w:sz="6" w:space="0" w:color="auto"/>
            </w:tcBorders>
          </w:tcPr>
          <w:p w:rsidR="005A4394" w:rsidRDefault="005A4394">
            <w:pPr>
              <w:keepNext/>
              <w:keepLines/>
              <w:spacing w:before="40"/>
              <w:ind w:left="128"/>
              <w:rPr>
                <w:rFonts w:ascii="Arial" w:hAnsi="Arial" w:cs="Arial"/>
                <w:sz w:val="16"/>
                <w:szCs w:val="16"/>
              </w:rPr>
            </w:pPr>
            <w:r>
              <w:rPr>
                <w:rFonts w:ascii="Arial" w:hAnsi="Arial" w:cs="Arial"/>
                <w:sz w:val="16"/>
                <w:szCs w:val="16"/>
              </w:rPr>
              <w:t>% Patients receiving rescue medication</w:t>
            </w:r>
          </w:p>
        </w:tc>
        <w:tc>
          <w:tcPr>
            <w:tcW w:w="1067" w:type="dxa"/>
            <w:tcBorders>
              <w:top w:val="single" w:sz="6" w:space="0" w:color="auto"/>
              <w:left w:val="single" w:sz="6" w:space="0" w:color="auto"/>
              <w:bottom w:val="single" w:sz="6" w:space="0" w:color="auto"/>
              <w:right w:val="single" w:sz="6" w:space="0" w:color="auto"/>
            </w:tcBorders>
          </w:tcPr>
          <w:p w:rsidR="005A4394" w:rsidRDefault="005A4394">
            <w:pPr>
              <w:keepNext/>
              <w:keepLines/>
              <w:spacing w:before="40"/>
              <w:jc w:val="center"/>
              <w:rPr>
                <w:rFonts w:ascii="Arial" w:hAnsi="Arial" w:cs="Arial"/>
                <w:color w:val="000000"/>
                <w:sz w:val="16"/>
                <w:szCs w:val="16"/>
              </w:rPr>
            </w:pPr>
            <w:r>
              <w:rPr>
                <w:rFonts w:ascii="Arial" w:hAnsi="Arial" w:cs="Arial"/>
                <w:sz w:val="16"/>
                <w:szCs w:val="16"/>
              </w:rPr>
              <w:t>32</w:t>
            </w:r>
          </w:p>
        </w:tc>
        <w:tc>
          <w:tcPr>
            <w:tcW w:w="1004" w:type="dxa"/>
            <w:tcBorders>
              <w:top w:val="single" w:sz="6" w:space="0" w:color="auto"/>
              <w:left w:val="single" w:sz="6" w:space="0" w:color="auto"/>
              <w:bottom w:val="single" w:sz="6" w:space="0" w:color="auto"/>
              <w:right w:val="single" w:sz="6" w:space="0" w:color="auto"/>
            </w:tcBorders>
          </w:tcPr>
          <w:p w:rsidR="005A4394" w:rsidRDefault="005A4394">
            <w:pPr>
              <w:keepNext/>
              <w:keepLines/>
              <w:spacing w:before="40"/>
              <w:jc w:val="center"/>
              <w:rPr>
                <w:rFonts w:ascii="Arial" w:hAnsi="Arial" w:cs="Arial"/>
                <w:color w:val="000000"/>
                <w:sz w:val="16"/>
                <w:szCs w:val="16"/>
              </w:rPr>
            </w:pPr>
            <w:r>
              <w:rPr>
                <w:rFonts w:ascii="Arial" w:hAnsi="Arial" w:cs="Arial"/>
                <w:sz w:val="16"/>
                <w:szCs w:val="16"/>
              </w:rPr>
              <w:t>21</w:t>
            </w:r>
          </w:p>
        </w:tc>
        <w:tc>
          <w:tcPr>
            <w:tcW w:w="1094" w:type="dxa"/>
            <w:tcBorders>
              <w:top w:val="single" w:sz="6" w:space="0" w:color="auto"/>
              <w:left w:val="single" w:sz="6" w:space="0" w:color="auto"/>
              <w:bottom w:val="single" w:sz="6" w:space="0" w:color="auto"/>
              <w:right w:val="single" w:sz="6" w:space="0" w:color="auto"/>
            </w:tcBorders>
          </w:tcPr>
          <w:p w:rsidR="005A4394" w:rsidRDefault="005A4394">
            <w:pPr>
              <w:keepNext/>
              <w:keepLines/>
              <w:spacing w:before="40"/>
              <w:jc w:val="center"/>
              <w:rPr>
                <w:rFonts w:ascii="Arial" w:hAnsi="Arial" w:cs="Arial"/>
                <w:color w:val="000000"/>
                <w:sz w:val="16"/>
                <w:szCs w:val="16"/>
              </w:rPr>
            </w:pPr>
            <w:r>
              <w:rPr>
                <w:rFonts w:ascii="Arial" w:hAnsi="Arial" w:cs="Arial"/>
                <w:sz w:val="16"/>
                <w:szCs w:val="16"/>
              </w:rPr>
              <w:t>17</w:t>
            </w:r>
          </w:p>
        </w:tc>
        <w:tc>
          <w:tcPr>
            <w:tcW w:w="1073" w:type="dxa"/>
            <w:tcBorders>
              <w:top w:val="single" w:sz="6" w:space="0" w:color="auto"/>
              <w:left w:val="single" w:sz="6" w:space="0" w:color="auto"/>
              <w:bottom w:val="single" w:sz="6" w:space="0" w:color="auto"/>
              <w:right w:val="single" w:sz="6" w:space="0" w:color="auto"/>
            </w:tcBorders>
          </w:tcPr>
          <w:p w:rsidR="005A4394" w:rsidRDefault="005A4394">
            <w:pPr>
              <w:keepNext/>
              <w:keepLines/>
              <w:spacing w:before="40"/>
              <w:jc w:val="center"/>
              <w:rPr>
                <w:rFonts w:ascii="Arial" w:hAnsi="Arial" w:cs="Arial"/>
                <w:color w:val="000000"/>
                <w:sz w:val="16"/>
                <w:szCs w:val="16"/>
              </w:rPr>
            </w:pPr>
            <w:r>
              <w:rPr>
                <w:rFonts w:ascii="Arial" w:hAnsi="Arial" w:cs="Arial"/>
                <w:sz w:val="16"/>
                <w:szCs w:val="16"/>
              </w:rPr>
              <w:t>8</w:t>
            </w:r>
          </w:p>
        </w:tc>
        <w:tc>
          <w:tcPr>
            <w:tcW w:w="1114" w:type="dxa"/>
            <w:tcBorders>
              <w:top w:val="single" w:sz="6" w:space="0" w:color="auto"/>
              <w:left w:val="single" w:sz="6" w:space="0" w:color="auto"/>
              <w:bottom w:val="single" w:sz="6" w:space="0" w:color="auto"/>
              <w:right w:val="single" w:sz="6" w:space="0" w:color="auto"/>
            </w:tcBorders>
          </w:tcPr>
          <w:p w:rsidR="005A4394" w:rsidRDefault="005A4394">
            <w:pPr>
              <w:keepNext/>
              <w:keepLines/>
              <w:spacing w:before="40"/>
              <w:jc w:val="center"/>
              <w:rPr>
                <w:rFonts w:ascii="Arial" w:hAnsi="Arial" w:cs="Arial"/>
                <w:color w:val="000000"/>
                <w:sz w:val="16"/>
                <w:szCs w:val="16"/>
              </w:rPr>
            </w:pPr>
            <w:r>
              <w:rPr>
                <w:rFonts w:ascii="Arial" w:hAnsi="Arial" w:cs="Arial"/>
                <w:sz w:val="16"/>
                <w:szCs w:val="16"/>
              </w:rPr>
              <w:t>12</w:t>
            </w:r>
          </w:p>
        </w:tc>
        <w:tc>
          <w:tcPr>
            <w:tcW w:w="1100" w:type="dxa"/>
            <w:tcBorders>
              <w:top w:val="single" w:sz="6" w:space="0" w:color="auto"/>
              <w:left w:val="single" w:sz="6" w:space="0" w:color="auto"/>
              <w:bottom w:val="single" w:sz="6" w:space="0" w:color="auto"/>
              <w:right w:val="single" w:sz="6" w:space="0" w:color="auto"/>
            </w:tcBorders>
          </w:tcPr>
          <w:p w:rsidR="005A4394" w:rsidRDefault="005A4394">
            <w:pPr>
              <w:keepNext/>
              <w:keepLines/>
              <w:spacing w:before="40"/>
              <w:jc w:val="center"/>
              <w:rPr>
                <w:rFonts w:ascii="Arial" w:hAnsi="Arial" w:cs="Arial"/>
                <w:color w:val="000000"/>
                <w:sz w:val="16"/>
                <w:szCs w:val="16"/>
              </w:rPr>
            </w:pPr>
            <w:r>
              <w:rPr>
                <w:rFonts w:ascii="Arial" w:hAnsi="Arial" w:cs="Arial"/>
                <w:sz w:val="16"/>
                <w:szCs w:val="16"/>
              </w:rPr>
              <w:t>2</w:t>
            </w:r>
          </w:p>
        </w:tc>
      </w:tr>
      <w:tr w:rsidR="006866B3" w:rsidTr="005A4394">
        <w:tblPrEx>
          <w:tblCellMar>
            <w:top w:w="0" w:type="dxa"/>
            <w:bottom w:w="0" w:type="dxa"/>
          </w:tblCellMar>
        </w:tblPrEx>
        <w:trPr>
          <w:trHeight w:hRule="exact" w:val="288"/>
          <w:jc w:val="center"/>
        </w:trPr>
        <w:tc>
          <w:tcPr>
            <w:tcW w:w="3228" w:type="dxa"/>
            <w:tcBorders>
              <w:top w:val="single" w:sz="6" w:space="0" w:color="auto"/>
              <w:left w:val="single" w:sz="6" w:space="0" w:color="auto"/>
              <w:bottom w:val="single" w:sz="6" w:space="0" w:color="auto"/>
              <w:right w:val="single" w:sz="6" w:space="0" w:color="auto"/>
            </w:tcBorders>
          </w:tcPr>
          <w:p w:rsidR="006866B3" w:rsidRDefault="006866B3">
            <w:pPr>
              <w:keepNext/>
              <w:keepLines/>
              <w:spacing w:before="40"/>
              <w:rPr>
                <w:rFonts w:ascii="Arial" w:hAnsi="Arial" w:cs="Arial"/>
                <w:sz w:val="16"/>
                <w:szCs w:val="16"/>
              </w:rPr>
            </w:pPr>
            <w:r>
              <w:rPr>
                <w:rFonts w:ascii="Arial" w:hAnsi="Arial" w:cs="Arial"/>
                <w:b/>
                <w:sz w:val="16"/>
                <w:szCs w:val="16"/>
              </w:rPr>
              <w:t xml:space="preserve">FPG (mmol/L) </w:t>
            </w:r>
            <w:r w:rsidR="009E39FD" w:rsidRPr="006E7C3B">
              <w:rPr>
                <w:rFonts w:ascii="Arial" w:hAnsi="Arial" w:cs="Arial"/>
                <w:sz w:val="16"/>
                <w:szCs w:val="16"/>
                <w:vertAlign w:val="superscript"/>
              </w:rPr>
              <w:t>β</w:t>
            </w:r>
          </w:p>
        </w:tc>
        <w:tc>
          <w:tcPr>
            <w:tcW w:w="1067" w:type="dxa"/>
            <w:tcBorders>
              <w:top w:val="single" w:sz="6" w:space="0" w:color="auto"/>
              <w:left w:val="single" w:sz="6" w:space="0" w:color="auto"/>
              <w:bottom w:val="single" w:sz="6" w:space="0" w:color="auto"/>
              <w:right w:val="single" w:sz="6" w:space="0" w:color="auto"/>
            </w:tcBorders>
          </w:tcPr>
          <w:p w:rsidR="006866B3" w:rsidRDefault="006866B3">
            <w:pPr>
              <w:keepNext/>
              <w:keepLines/>
              <w:spacing w:before="40"/>
              <w:jc w:val="center"/>
              <w:rPr>
                <w:rFonts w:ascii="Arial" w:hAnsi="Arial" w:cs="Arial"/>
                <w:b/>
                <w:sz w:val="16"/>
                <w:szCs w:val="16"/>
              </w:rPr>
            </w:pPr>
            <w:r>
              <w:rPr>
                <w:rFonts w:ascii="Arial" w:hAnsi="Arial" w:cs="Arial"/>
                <w:b/>
                <w:sz w:val="16"/>
                <w:szCs w:val="16"/>
              </w:rPr>
              <w:t>N = 169</w:t>
            </w:r>
          </w:p>
        </w:tc>
        <w:tc>
          <w:tcPr>
            <w:tcW w:w="1004" w:type="dxa"/>
            <w:tcBorders>
              <w:top w:val="single" w:sz="6" w:space="0" w:color="auto"/>
              <w:left w:val="single" w:sz="6" w:space="0" w:color="auto"/>
              <w:bottom w:val="single" w:sz="6" w:space="0" w:color="auto"/>
              <w:right w:val="single" w:sz="6" w:space="0" w:color="auto"/>
            </w:tcBorders>
          </w:tcPr>
          <w:p w:rsidR="006866B3" w:rsidRDefault="006866B3">
            <w:pPr>
              <w:keepNext/>
              <w:keepLines/>
              <w:spacing w:before="40"/>
              <w:jc w:val="center"/>
              <w:rPr>
                <w:rFonts w:ascii="Arial" w:hAnsi="Arial" w:cs="Arial"/>
                <w:b/>
                <w:sz w:val="16"/>
                <w:szCs w:val="16"/>
              </w:rPr>
            </w:pPr>
            <w:r>
              <w:rPr>
                <w:rFonts w:ascii="Arial" w:hAnsi="Arial" w:cs="Arial"/>
                <w:b/>
                <w:sz w:val="16"/>
                <w:szCs w:val="16"/>
              </w:rPr>
              <w:t>N = 178</w:t>
            </w:r>
          </w:p>
        </w:tc>
        <w:tc>
          <w:tcPr>
            <w:tcW w:w="1094" w:type="dxa"/>
            <w:tcBorders>
              <w:top w:val="single" w:sz="6" w:space="0" w:color="auto"/>
              <w:left w:val="single" w:sz="6" w:space="0" w:color="auto"/>
              <w:bottom w:val="single" w:sz="6" w:space="0" w:color="auto"/>
              <w:right w:val="single" w:sz="6" w:space="0" w:color="auto"/>
            </w:tcBorders>
          </w:tcPr>
          <w:p w:rsidR="006866B3" w:rsidRDefault="006866B3">
            <w:pPr>
              <w:keepNext/>
              <w:keepLines/>
              <w:spacing w:before="40"/>
              <w:jc w:val="center"/>
              <w:rPr>
                <w:rFonts w:ascii="Arial" w:hAnsi="Arial" w:cs="Arial"/>
                <w:b/>
                <w:sz w:val="16"/>
                <w:szCs w:val="16"/>
              </w:rPr>
            </w:pPr>
            <w:r>
              <w:rPr>
                <w:rFonts w:ascii="Arial" w:hAnsi="Arial" w:cs="Arial"/>
                <w:b/>
                <w:sz w:val="16"/>
                <w:szCs w:val="16"/>
              </w:rPr>
              <w:t>N = 179</w:t>
            </w:r>
          </w:p>
        </w:tc>
        <w:tc>
          <w:tcPr>
            <w:tcW w:w="1073" w:type="dxa"/>
            <w:tcBorders>
              <w:top w:val="single" w:sz="6" w:space="0" w:color="auto"/>
              <w:left w:val="single" w:sz="6" w:space="0" w:color="auto"/>
              <w:bottom w:val="single" w:sz="6" w:space="0" w:color="auto"/>
              <w:right w:val="single" w:sz="6" w:space="0" w:color="auto"/>
            </w:tcBorders>
          </w:tcPr>
          <w:p w:rsidR="006866B3" w:rsidRDefault="006866B3">
            <w:pPr>
              <w:keepNext/>
              <w:keepLines/>
              <w:spacing w:before="40"/>
              <w:jc w:val="center"/>
              <w:rPr>
                <w:rFonts w:ascii="Arial" w:hAnsi="Arial" w:cs="Arial"/>
                <w:b/>
                <w:sz w:val="16"/>
                <w:szCs w:val="16"/>
              </w:rPr>
            </w:pPr>
            <w:r>
              <w:rPr>
                <w:rFonts w:ascii="Arial" w:hAnsi="Arial" w:cs="Arial"/>
                <w:b/>
                <w:sz w:val="16"/>
                <w:szCs w:val="16"/>
              </w:rPr>
              <w:t>N = 183</w:t>
            </w:r>
          </w:p>
        </w:tc>
        <w:tc>
          <w:tcPr>
            <w:tcW w:w="1114" w:type="dxa"/>
            <w:tcBorders>
              <w:top w:val="single" w:sz="6" w:space="0" w:color="auto"/>
              <w:left w:val="single" w:sz="6" w:space="0" w:color="auto"/>
              <w:bottom w:val="single" w:sz="6" w:space="0" w:color="auto"/>
              <w:right w:val="single" w:sz="6" w:space="0" w:color="auto"/>
            </w:tcBorders>
          </w:tcPr>
          <w:p w:rsidR="006866B3" w:rsidRDefault="006866B3">
            <w:pPr>
              <w:keepNext/>
              <w:keepLines/>
              <w:spacing w:before="40"/>
              <w:jc w:val="center"/>
              <w:rPr>
                <w:rFonts w:ascii="Arial" w:hAnsi="Arial" w:cs="Arial"/>
                <w:b/>
                <w:sz w:val="16"/>
                <w:szCs w:val="16"/>
              </w:rPr>
            </w:pPr>
            <w:r>
              <w:rPr>
                <w:rFonts w:ascii="Arial" w:hAnsi="Arial" w:cs="Arial"/>
                <w:b/>
                <w:sz w:val="16"/>
                <w:szCs w:val="16"/>
              </w:rPr>
              <w:t>N = 179</w:t>
            </w:r>
          </w:p>
        </w:tc>
        <w:tc>
          <w:tcPr>
            <w:tcW w:w="1100" w:type="dxa"/>
            <w:tcBorders>
              <w:top w:val="single" w:sz="6" w:space="0" w:color="auto"/>
              <w:left w:val="single" w:sz="6" w:space="0" w:color="auto"/>
              <w:bottom w:val="single" w:sz="6" w:space="0" w:color="auto"/>
              <w:right w:val="single" w:sz="6" w:space="0" w:color="auto"/>
            </w:tcBorders>
          </w:tcPr>
          <w:p w:rsidR="006866B3" w:rsidRDefault="006866B3">
            <w:pPr>
              <w:keepNext/>
              <w:keepLines/>
              <w:spacing w:before="40"/>
              <w:jc w:val="center"/>
              <w:rPr>
                <w:rFonts w:ascii="Arial" w:hAnsi="Arial" w:cs="Arial"/>
                <w:b/>
                <w:sz w:val="16"/>
                <w:szCs w:val="16"/>
              </w:rPr>
            </w:pPr>
            <w:r>
              <w:rPr>
                <w:rFonts w:ascii="Arial" w:hAnsi="Arial" w:cs="Arial"/>
                <w:b/>
                <w:sz w:val="16"/>
                <w:szCs w:val="16"/>
              </w:rPr>
              <w:t>N = 180</w:t>
            </w:r>
          </w:p>
        </w:tc>
      </w:tr>
      <w:tr w:rsidR="006866B3" w:rsidTr="005A4394">
        <w:tblPrEx>
          <w:tblCellMar>
            <w:top w:w="0" w:type="dxa"/>
            <w:bottom w:w="0" w:type="dxa"/>
          </w:tblCellMar>
        </w:tblPrEx>
        <w:trPr>
          <w:trHeight w:hRule="exact" w:val="288"/>
          <w:jc w:val="center"/>
        </w:trPr>
        <w:tc>
          <w:tcPr>
            <w:tcW w:w="3228" w:type="dxa"/>
            <w:tcBorders>
              <w:top w:val="single" w:sz="6" w:space="0" w:color="auto"/>
              <w:left w:val="single" w:sz="6" w:space="0" w:color="auto"/>
              <w:bottom w:val="single" w:sz="6" w:space="0" w:color="auto"/>
              <w:right w:val="single" w:sz="6" w:space="0" w:color="auto"/>
            </w:tcBorders>
          </w:tcPr>
          <w:p w:rsidR="006866B3" w:rsidRDefault="006866B3">
            <w:pPr>
              <w:keepNext/>
              <w:keepLines/>
              <w:spacing w:before="40"/>
              <w:ind w:left="128"/>
              <w:rPr>
                <w:rFonts w:ascii="Arial" w:hAnsi="Arial" w:cs="Arial"/>
                <w:sz w:val="16"/>
                <w:szCs w:val="16"/>
              </w:rPr>
            </w:pPr>
            <w:r>
              <w:rPr>
                <w:rFonts w:ascii="Arial" w:hAnsi="Arial" w:cs="Arial"/>
                <w:sz w:val="16"/>
                <w:szCs w:val="16"/>
              </w:rPr>
              <w:t xml:space="preserve">Baseline (mean) </w:t>
            </w:r>
          </w:p>
        </w:tc>
        <w:tc>
          <w:tcPr>
            <w:tcW w:w="1067" w:type="dxa"/>
            <w:tcBorders>
              <w:top w:val="single" w:sz="6" w:space="0" w:color="auto"/>
              <w:left w:val="single" w:sz="6" w:space="0" w:color="auto"/>
              <w:bottom w:val="single" w:sz="6" w:space="0" w:color="auto"/>
              <w:right w:val="single" w:sz="6" w:space="0" w:color="auto"/>
            </w:tcBorders>
          </w:tcPr>
          <w:p w:rsidR="006866B3" w:rsidRDefault="006866B3">
            <w:pPr>
              <w:keepNext/>
              <w:keepLines/>
              <w:spacing w:before="40"/>
              <w:jc w:val="center"/>
              <w:rPr>
                <w:rFonts w:ascii="Arial" w:hAnsi="Arial" w:cs="Arial"/>
                <w:sz w:val="16"/>
                <w:szCs w:val="16"/>
              </w:rPr>
            </w:pPr>
            <w:r>
              <w:rPr>
                <w:rFonts w:ascii="Arial" w:hAnsi="Arial" w:cs="Arial"/>
                <w:sz w:val="16"/>
                <w:szCs w:val="16"/>
              </w:rPr>
              <w:t>10.90</w:t>
            </w:r>
          </w:p>
        </w:tc>
        <w:tc>
          <w:tcPr>
            <w:tcW w:w="1004" w:type="dxa"/>
            <w:tcBorders>
              <w:top w:val="single" w:sz="6" w:space="0" w:color="auto"/>
              <w:left w:val="single" w:sz="6" w:space="0" w:color="auto"/>
              <w:bottom w:val="single" w:sz="6" w:space="0" w:color="auto"/>
              <w:right w:val="single" w:sz="6" w:space="0" w:color="auto"/>
            </w:tcBorders>
          </w:tcPr>
          <w:p w:rsidR="006866B3" w:rsidRDefault="006866B3">
            <w:pPr>
              <w:keepNext/>
              <w:keepLines/>
              <w:spacing w:before="40"/>
              <w:jc w:val="center"/>
              <w:rPr>
                <w:rFonts w:ascii="Arial" w:hAnsi="Arial" w:cs="Arial"/>
                <w:sz w:val="16"/>
                <w:szCs w:val="16"/>
              </w:rPr>
            </w:pPr>
            <w:r>
              <w:rPr>
                <w:rFonts w:ascii="Arial" w:hAnsi="Arial" w:cs="Arial"/>
                <w:sz w:val="16"/>
                <w:szCs w:val="16"/>
              </w:rPr>
              <w:t>11.18</w:t>
            </w:r>
          </w:p>
        </w:tc>
        <w:tc>
          <w:tcPr>
            <w:tcW w:w="1094" w:type="dxa"/>
            <w:tcBorders>
              <w:top w:val="single" w:sz="6" w:space="0" w:color="auto"/>
              <w:left w:val="single" w:sz="6" w:space="0" w:color="auto"/>
              <w:bottom w:val="single" w:sz="6" w:space="0" w:color="auto"/>
              <w:right w:val="single" w:sz="6" w:space="0" w:color="auto"/>
            </w:tcBorders>
          </w:tcPr>
          <w:p w:rsidR="006866B3" w:rsidRDefault="006866B3">
            <w:pPr>
              <w:keepNext/>
              <w:keepLines/>
              <w:spacing w:before="40"/>
              <w:jc w:val="center"/>
              <w:rPr>
                <w:rFonts w:ascii="Arial" w:hAnsi="Arial" w:cs="Arial"/>
                <w:sz w:val="16"/>
                <w:szCs w:val="16"/>
              </w:rPr>
            </w:pPr>
            <w:r>
              <w:rPr>
                <w:rFonts w:ascii="Arial" w:hAnsi="Arial" w:cs="Arial"/>
                <w:sz w:val="16"/>
                <w:szCs w:val="16"/>
              </w:rPr>
              <w:t>11.39</w:t>
            </w:r>
          </w:p>
        </w:tc>
        <w:tc>
          <w:tcPr>
            <w:tcW w:w="1073" w:type="dxa"/>
            <w:tcBorders>
              <w:top w:val="single" w:sz="6" w:space="0" w:color="auto"/>
              <w:left w:val="single" w:sz="6" w:space="0" w:color="auto"/>
              <w:bottom w:val="single" w:sz="6" w:space="0" w:color="auto"/>
              <w:right w:val="single" w:sz="6" w:space="0" w:color="auto"/>
            </w:tcBorders>
          </w:tcPr>
          <w:p w:rsidR="006866B3" w:rsidRDefault="006866B3">
            <w:pPr>
              <w:keepNext/>
              <w:keepLines/>
              <w:spacing w:before="40"/>
              <w:jc w:val="center"/>
              <w:rPr>
                <w:rFonts w:ascii="Arial" w:hAnsi="Arial" w:cs="Arial"/>
                <w:sz w:val="16"/>
                <w:szCs w:val="16"/>
              </w:rPr>
            </w:pPr>
            <w:r>
              <w:rPr>
                <w:rFonts w:ascii="Arial" w:hAnsi="Arial" w:cs="Arial"/>
                <w:sz w:val="16"/>
                <w:szCs w:val="16"/>
              </w:rPr>
              <w:t>11.32</w:t>
            </w:r>
          </w:p>
        </w:tc>
        <w:tc>
          <w:tcPr>
            <w:tcW w:w="1114" w:type="dxa"/>
            <w:tcBorders>
              <w:top w:val="single" w:sz="6" w:space="0" w:color="auto"/>
              <w:left w:val="single" w:sz="6" w:space="0" w:color="auto"/>
              <w:bottom w:val="single" w:sz="6" w:space="0" w:color="auto"/>
              <w:right w:val="single" w:sz="6" w:space="0" w:color="auto"/>
            </w:tcBorders>
          </w:tcPr>
          <w:p w:rsidR="006866B3" w:rsidRDefault="006866B3">
            <w:pPr>
              <w:keepNext/>
              <w:keepLines/>
              <w:spacing w:before="40"/>
              <w:jc w:val="center"/>
              <w:rPr>
                <w:rFonts w:ascii="Arial" w:hAnsi="Arial" w:cs="Arial"/>
                <w:sz w:val="16"/>
                <w:szCs w:val="16"/>
              </w:rPr>
            </w:pPr>
            <w:r>
              <w:rPr>
                <w:rFonts w:ascii="Arial" w:hAnsi="Arial" w:cs="Arial"/>
                <w:sz w:val="16"/>
                <w:szCs w:val="16"/>
              </w:rPr>
              <w:t>10.94</w:t>
            </w:r>
          </w:p>
        </w:tc>
        <w:tc>
          <w:tcPr>
            <w:tcW w:w="1100" w:type="dxa"/>
            <w:tcBorders>
              <w:top w:val="single" w:sz="6" w:space="0" w:color="auto"/>
              <w:left w:val="single" w:sz="6" w:space="0" w:color="auto"/>
              <w:bottom w:val="single" w:sz="6" w:space="0" w:color="auto"/>
              <w:right w:val="single" w:sz="6" w:space="0" w:color="auto"/>
            </w:tcBorders>
          </w:tcPr>
          <w:p w:rsidR="006866B3" w:rsidRDefault="006866B3">
            <w:pPr>
              <w:keepNext/>
              <w:keepLines/>
              <w:spacing w:before="40"/>
              <w:jc w:val="center"/>
              <w:rPr>
                <w:rFonts w:ascii="Arial" w:hAnsi="Arial" w:cs="Arial"/>
                <w:sz w:val="16"/>
                <w:szCs w:val="16"/>
              </w:rPr>
            </w:pPr>
            <w:r>
              <w:rPr>
                <w:rFonts w:ascii="Arial" w:hAnsi="Arial" w:cs="Arial"/>
                <w:sz w:val="16"/>
                <w:szCs w:val="16"/>
              </w:rPr>
              <w:t>10.92</w:t>
            </w:r>
          </w:p>
        </w:tc>
      </w:tr>
      <w:tr w:rsidR="006866B3" w:rsidTr="005A4394">
        <w:tblPrEx>
          <w:tblCellMar>
            <w:top w:w="0" w:type="dxa"/>
            <w:bottom w:w="0" w:type="dxa"/>
          </w:tblCellMar>
        </w:tblPrEx>
        <w:trPr>
          <w:trHeight w:hRule="exact" w:val="288"/>
          <w:jc w:val="center"/>
        </w:trPr>
        <w:tc>
          <w:tcPr>
            <w:tcW w:w="3228" w:type="dxa"/>
            <w:tcBorders>
              <w:top w:val="single" w:sz="6" w:space="0" w:color="auto"/>
              <w:left w:val="single" w:sz="6" w:space="0" w:color="auto"/>
              <w:bottom w:val="single" w:sz="6" w:space="0" w:color="auto"/>
              <w:right w:val="single" w:sz="6" w:space="0" w:color="auto"/>
            </w:tcBorders>
          </w:tcPr>
          <w:p w:rsidR="006866B3" w:rsidRDefault="006866B3">
            <w:pPr>
              <w:keepNext/>
              <w:keepLines/>
              <w:spacing w:before="40"/>
              <w:ind w:left="128"/>
              <w:rPr>
                <w:rFonts w:ascii="Arial" w:hAnsi="Arial" w:cs="Arial"/>
                <w:sz w:val="16"/>
                <w:szCs w:val="16"/>
              </w:rPr>
            </w:pPr>
            <w:r>
              <w:rPr>
                <w:rFonts w:ascii="Arial" w:hAnsi="Arial" w:cs="Arial"/>
                <w:sz w:val="16"/>
                <w:szCs w:val="16"/>
              </w:rPr>
              <w:t>Change from baseline (adjusted mean</w:t>
            </w:r>
            <w:r>
              <w:rPr>
                <w:rFonts w:ascii="Arial" w:hAnsi="Arial" w:cs="Arial"/>
                <w:sz w:val="16"/>
                <w:vertAlign w:val="superscript"/>
              </w:rPr>
              <w:t>‡</w:t>
            </w:r>
            <w:r>
              <w:rPr>
                <w:rFonts w:ascii="Arial" w:hAnsi="Arial" w:cs="Arial"/>
                <w:sz w:val="16"/>
                <w:szCs w:val="16"/>
              </w:rPr>
              <w:t>)</w:t>
            </w:r>
          </w:p>
        </w:tc>
        <w:tc>
          <w:tcPr>
            <w:tcW w:w="1067" w:type="dxa"/>
            <w:tcBorders>
              <w:top w:val="single" w:sz="6" w:space="0" w:color="auto"/>
              <w:left w:val="single" w:sz="6" w:space="0" w:color="auto"/>
              <w:bottom w:val="single" w:sz="6" w:space="0" w:color="auto"/>
              <w:right w:val="single" w:sz="6" w:space="0" w:color="auto"/>
            </w:tcBorders>
          </w:tcPr>
          <w:p w:rsidR="006866B3" w:rsidRDefault="006866B3">
            <w:pPr>
              <w:keepNext/>
              <w:keepLines/>
              <w:spacing w:before="40"/>
              <w:jc w:val="center"/>
              <w:rPr>
                <w:rFonts w:ascii="Arial" w:hAnsi="Arial" w:cs="Arial"/>
                <w:sz w:val="16"/>
                <w:szCs w:val="16"/>
              </w:rPr>
            </w:pPr>
            <w:r>
              <w:rPr>
                <w:rFonts w:ascii="Arial" w:hAnsi="Arial" w:cs="Arial"/>
                <w:sz w:val="16"/>
                <w:szCs w:val="16"/>
              </w:rPr>
              <w:t>0.32</w:t>
            </w:r>
          </w:p>
        </w:tc>
        <w:tc>
          <w:tcPr>
            <w:tcW w:w="1004" w:type="dxa"/>
            <w:tcBorders>
              <w:top w:val="single" w:sz="6" w:space="0" w:color="auto"/>
              <w:left w:val="single" w:sz="6" w:space="0" w:color="auto"/>
              <w:bottom w:val="single" w:sz="6" w:space="0" w:color="auto"/>
              <w:right w:val="single" w:sz="6" w:space="0" w:color="auto"/>
            </w:tcBorders>
          </w:tcPr>
          <w:p w:rsidR="006866B3" w:rsidRDefault="006866B3">
            <w:pPr>
              <w:keepNext/>
              <w:keepLines/>
              <w:spacing w:before="40"/>
              <w:jc w:val="center"/>
              <w:rPr>
                <w:rFonts w:ascii="Arial" w:hAnsi="Arial" w:cs="Arial"/>
                <w:sz w:val="16"/>
                <w:szCs w:val="16"/>
              </w:rPr>
            </w:pPr>
            <w:r>
              <w:rPr>
                <w:rFonts w:ascii="Arial" w:hAnsi="Arial" w:cs="Arial"/>
                <w:sz w:val="16"/>
                <w:szCs w:val="16"/>
              </w:rPr>
              <w:t xml:space="preserve"> -0.97</w:t>
            </w:r>
          </w:p>
        </w:tc>
        <w:tc>
          <w:tcPr>
            <w:tcW w:w="1094" w:type="dxa"/>
            <w:tcBorders>
              <w:top w:val="single" w:sz="6" w:space="0" w:color="auto"/>
              <w:left w:val="single" w:sz="6" w:space="0" w:color="auto"/>
              <w:bottom w:val="single" w:sz="6" w:space="0" w:color="auto"/>
              <w:right w:val="single" w:sz="6" w:space="0" w:color="auto"/>
            </w:tcBorders>
          </w:tcPr>
          <w:p w:rsidR="006866B3" w:rsidRDefault="006866B3">
            <w:pPr>
              <w:keepNext/>
              <w:keepLines/>
              <w:spacing w:before="40"/>
              <w:jc w:val="center"/>
              <w:rPr>
                <w:rFonts w:ascii="Arial" w:hAnsi="Arial" w:cs="Arial"/>
                <w:sz w:val="16"/>
                <w:szCs w:val="16"/>
              </w:rPr>
            </w:pPr>
            <w:r>
              <w:rPr>
                <w:rFonts w:ascii="Arial" w:hAnsi="Arial" w:cs="Arial"/>
                <w:sz w:val="16"/>
                <w:szCs w:val="16"/>
              </w:rPr>
              <w:t xml:space="preserve"> -1.52</w:t>
            </w:r>
          </w:p>
        </w:tc>
        <w:tc>
          <w:tcPr>
            <w:tcW w:w="1073" w:type="dxa"/>
            <w:tcBorders>
              <w:top w:val="single" w:sz="6" w:space="0" w:color="auto"/>
              <w:left w:val="single" w:sz="6" w:space="0" w:color="auto"/>
              <w:bottom w:val="single" w:sz="6" w:space="0" w:color="auto"/>
              <w:right w:val="single" w:sz="6" w:space="0" w:color="auto"/>
            </w:tcBorders>
          </w:tcPr>
          <w:p w:rsidR="006866B3" w:rsidRDefault="006866B3">
            <w:pPr>
              <w:keepNext/>
              <w:keepLines/>
              <w:spacing w:before="40"/>
              <w:jc w:val="center"/>
              <w:rPr>
                <w:rFonts w:ascii="Arial" w:hAnsi="Arial" w:cs="Arial"/>
                <w:sz w:val="16"/>
                <w:szCs w:val="16"/>
              </w:rPr>
            </w:pPr>
            <w:r>
              <w:rPr>
                <w:rFonts w:ascii="Arial" w:hAnsi="Arial" w:cs="Arial"/>
                <w:sz w:val="16"/>
                <w:szCs w:val="16"/>
              </w:rPr>
              <w:t xml:space="preserve"> -2.61</w:t>
            </w:r>
          </w:p>
        </w:tc>
        <w:tc>
          <w:tcPr>
            <w:tcW w:w="1114" w:type="dxa"/>
            <w:tcBorders>
              <w:top w:val="single" w:sz="6" w:space="0" w:color="auto"/>
              <w:left w:val="single" w:sz="6" w:space="0" w:color="auto"/>
              <w:bottom w:val="single" w:sz="6" w:space="0" w:color="auto"/>
              <w:right w:val="single" w:sz="6" w:space="0" w:color="auto"/>
            </w:tcBorders>
          </w:tcPr>
          <w:p w:rsidR="006866B3" w:rsidRDefault="006866B3">
            <w:pPr>
              <w:keepNext/>
              <w:keepLines/>
              <w:spacing w:before="40"/>
              <w:jc w:val="center"/>
              <w:rPr>
                <w:rFonts w:ascii="Arial" w:hAnsi="Arial" w:cs="Arial"/>
                <w:sz w:val="16"/>
                <w:szCs w:val="16"/>
              </w:rPr>
            </w:pPr>
            <w:r>
              <w:rPr>
                <w:rFonts w:ascii="Arial" w:hAnsi="Arial" w:cs="Arial"/>
                <w:sz w:val="16"/>
                <w:szCs w:val="16"/>
              </w:rPr>
              <w:t xml:space="preserve"> -1.63</w:t>
            </w:r>
          </w:p>
        </w:tc>
        <w:tc>
          <w:tcPr>
            <w:tcW w:w="1100" w:type="dxa"/>
            <w:tcBorders>
              <w:top w:val="single" w:sz="6" w:space="0" w:color="auto"/>
              <w:left w:val="single" w:sz="6" w:space="0" w:color="auto"/>
              <w:bottom w:val="single" w:sz="6" w:space="0" w:color="auto"/>
              <w:right w:val="single" w:sz="6" w:space="0" w:color="auto"/>
            </w:tcBorders>
          </w:tcPr>
          <w:p w:rsidR="006866B3" w:rsidRDefault="006866B3">
            <w:pPr>
              <w:keepNext/>
              <w:keepLines/>
              <w:spacing w:before="40"/>
              <w:jc w:val="center"/>
              <w:rPr>
                <w:rFonts w:ascii="Arial" w:hAnsi="Arial" w:cs="Arial"/>
                <w:sz w:val="16"/>
                <w:szCs w:val="16"/>
              </w:rPr>
            </w:pPr>
            <w:r>
              <w:rPr>
                <w:rFonts w:ascii="Arial" w:hAnsi="Arial" w:cs="Arial"/>
                <w:sz w:val="16"/>
                <w:szCs w:val="16"/>
              </w:rPr>
              <w:t xml:space="preserve"> -3.55</w:t>
            </w:r>
          </w:p>
        </w:tc>
      </w:tr>
      <w:tr w:rsidR="006866B3" w:rsidTr="0031613B">
        <w:tblPrEx>
          <w:tblCellMar>
            <w:top w:w="0" w:type="dxa"/>
            <w:bottom w:w="0" w:type="dxa"/>
          </w:tblCellMar>
        </w:tblPrEx>
        <w:trPr>
          <w:trHeight w:hRule="exact" w:val="509"/>
          <w:jc w:val="center"/>
        </w:trPr>
        <w:tc>
          <w:tcPr>
            <w:tcW w:w="3228" w:type="dxa"/>
            <w:tcBorders>
              <w:top w:val="single" w:sz="6" w:space="0" w:color="auto"/>
              <w:left w:val="single" w:sz="6" w:space="0" w:color="auto"/>
              <w:bottom w:val="single" w:sz="6" w:space="0" w:color="auto"/>
              <w:right w:val="single" w:sz="6" w:space="0" w:color="auto"/>
            </w:tcBorders>
          </w:tcPr>
          <w:p w:rsidR="006866B3" w:rsidRDefault="006866B3">
            <w:pPr>
              <w:keepNext/>
              <w:keepLines/>
              <w:spacing w:before="40"/>
              <w:ind w:left="128"/>
              <w:rPr>
                <w:rFonts w:ascii="Arial" w:hAnsi="Arial" w:cs="Arial"/>
                <w:sz w:val="16"/>
                <w:szCs w:val="16"/>
              </w:rPr>
            </w:pPr>
            <w:r>
              <w:rPr>
                <w:rFonts w:ascii="Arial" w:hAnsi="Arial" w:cs="Arial"/>
                <w:sz w:val="16"/>
                <w:szCs w:val="16"/>
              </w:rPr>
              <w:t>Difference from placebo (adjusted mean</w:t>
            </w:r>
            <w:r>
              <w:rPr>
                <w:rFonts w:ascii="Arial" w:hAnsi="Arial" w:cs="Arial"/>
                <w:sz w:val="16"/>
                <w:vertAlign w:val="superscript"/>
              </w:rPr>
              <w:t>‡</w:t>
            </w:r>
            <w:r>
              <w:rPr>
                <w:rFonts w:ascii="Arial" w:hAnsi="Arial" w:cs="Arial"/>
                <w:sz w:val="16"/>
                <w:szCs w:val="16"/>
              </w:rPr>
              <w:t>)</w:t>
            </w:r>
          </w:p>
        </w:tc>
        <w:tc>
          <w:tcPr>
            <w:tcW w:w="1067" w:type="dxa"/>
            <w:tcBorders>
              <w:top w:val="single" w:sz="6" w:space="0" w:color="auto"/>
              <w:left w:val="single" w:sz="6" w:space="0" w:color="auto"/>
              <w:bottom w:val="single" w:sz="6" w:space="0" w:color="auto"/>
              <w:right w:val="single" w:sz="6" w:space="0" w:color="auto"/>
            </w:tcBorders>
          </w:tcPr>
          <w:p w:rsidR="006866B3" w:rsidRDefault="006866B3">
            <w:pPr>
              <w:keepNext/>
              <w:keepLines/>
              <w:spacing w:before="40"/>
              <w:jc w:val="center"/>
              <w:rPr>
                <w:rFonts w:ascii="Arial" w:hAnsi="Arial" w:cs="Arial"/>
                <w:sz w:val="16"/>
                <w:szCs w:val="16"/>
              </w:rPr>
            </w:pPr>
            <w:r>
              <w:rPr>
                <w:rFonts w:ascii="Arial" w:hAnsi="Arial" w:cs="Arial"/>
                <w:sz w:val="16"/>
                <w:szCs w:val="16"/>
              </w:rPr>
              <w:t>-</w:t>
            </w:r>
          </w:p>
        </w:tc>
        <w:tc>
          <w:tcPr>
            <w:tcW w:w="1004" w:type="dxa"/>
            <w:tcBorders>
              <w:top w:val="single" w:sz="6" w:space="0" w:color="auto"/>
              <w:left w:val="single" w:sz="6" w:space="0" w:color="auto"/>
              <w:bottom w:val="single" w:sz="6" w:space="0" w:color="auto"/>
              <w:right w:val="single" w:sz="6" w:space="0" w:color="auto"/>
            </w:tcBorders>
          </w:tcPr>
          <w:p w:rsidR="006866B3" w:rsidRDefault="006866B3">
            <w:pPr>
              <w:keepNext/>
              <w:keepLines/>
              <w:spacing w:before="40"/>
              <w:jc w:val="center"/>
              <w:rPr>
                <w:rFonts w:ascii="Arial" w:hAnsi="Arial" w:cs="Arial"/>
                <w:sz w:val="16"/>
                <w:szCs w:val="16"/>
              </w:rPr>
            </w:pPr>
            <w:r>
              <w:rPr>
                <w:rFonts w:ascii="Arial" w:hAnsi="Arial" w:cs="Arial"/>
                <w:sz w:val="16"/>
                <w:szCs w:val="16"/>
              </w:rPr>
              <w:t xml:space="preserve"> -1.29</w:t>
            </w:r>
            <w:r>
              <w:rPr>
                <w:rFonts w:ascii="Arial" w:hAnsi="Arial" w:cs="Arial"/>
                <w:sz w:val="16"/>
                <w:vertAlign w:val="superscript"/>
              </w:rPr>
              <w:t>§</w:t>
            </w:r>
          </w:p>
        </w:tc>
        <w:tc>
          <w:tcPr>
            <w:tcW w:w="1094" w:type="dxa"/>
            <w:tcBorders>
              <w:top w:val="single" w:sz="6" w:space="0" w:color="auto"/>
              <w:left w:val="single" w:sz="6" w:space="0" w:color="auto"/>
              <w:bottom w:val="single" w:sz="6" w:space="0" w:color="auto"/>
              <w:right w:val="single" w:sz="6" w:space="0" w:color="auto"/>
            </w:tcBorders>
          </w:tcPr>
          <w:p w:rsidR="006866B3" w:rsidRDefault="006866B3">
            <w:pPr>
              <w:keepNext/>
              <w:keepLines/>
              <w:spacing w:before="40"/>
              <w:jc w:val="center"/>
              <w:rPr>
                <w:rFonts w:ascii="Arial" w:hAnsi="Arial" w:cs="Arial"/>
                <w:sz w:val="16"/>
                <w:szCs w:val="16"/>
              </w:rPr>
            </w:pPr>
            <w:r>
              <w:rPr>
                <w:rFonts w:ascii="Arial" w:hAnsi="Arial" w:cs="Arial"/>
                <w:sz w:val="16"/>
                <w:szCs w:val="16"/>
              </w:rPr>
              <w:t xml:space="preserve"> -1.84</w:t>
            </w:r>
            <w:r>
              <w:rPr>
                <w:rFonts w:ascii="Arial" w:hAnsi="Arial" w:cs="Arial"/>
                <w:sz w:val="16"/>
                <w:vertAlign w:val="superscript"/>
              </w:rPr>
              <w:t>§</w:t>
            </w:r>
          </w:p>
        </w:tc>
        <w:tc>
          <w:tcPr>
            <w:tcW w:w="1073" w:type="dxa"/>
            <w:tcBorders>
              <w:top w:val="single" w:sz="6" w:space="0" w:color="auto"/>
              <w:left w:val="single" w:sz="6" w:space="0" w:color="auto"/>
              <w:bottom w:val="single" w:sz="6" w:space="0" w:color="auto"/>
              <w:right w:val="single" w:sz="6" w:space="0" w:color="auto"/>
            </w:tcBorders>
          </w:tcPr>
          <w:p w:rsidR="006866B3" w:rsidRDefault="006866B3">
            <w:pPr>
              <w:keepNext/>
              <w:keepLines/>
              <w:spacing w:before="40"/>
              <w:jc w:val="center"/>
              <w:rPr>
                <w:rFonts w:ascii="Arial" w:hAnsi="Arial" w:cs="Arial"/>
                <w:sz w:val="16"/>
                <w:szCs w:val="16"/>
              </w:rPr>
            </w:pPr>
            <w:r>
              <w:rPr>
                <w:rFonts w:ascii="Arial" w:hAnsi="Arial" w:cs="Arial"/>
                <w:sz w:val="16"/>
                <w:szCs w:val="16"/>
              </w:rPr>
              <w:t xml:space="preserve"> -2.94</w:t>
            </w:r>
            <w:r>
              <w:rPr>
                <w:rFonts w:ascii="Arial" w:hAnsi="Arial" w:cs="Arial"/>
                <w:sz w:val="16"/>
                <w:vertAlign w:val="superscript"/>
              </w:rPr>
              <w:t>§</w:t>
            </w:r>
          </w:p>
        </w:tc>
        <w:tc>
          <w:tcPr>
            <w:tcW w:w="1114" w:type="dxa"/>
            <w:tcBorders>
              <w:top w:val="single" w:sz="6" w:space="0" w:color="auto"/>
              <w:left w:val="single" w:sz="6" w:space="0" w:color="auto"/>
              <w:bottom w:val="single" w:sz="6" w:space="0" w:color="auto"/>
              <w:right w:val="single" w:sz="6" w:space="0" w:color="auto"/>
            </w:tcBorders>
          </w:tcPr>
          <w:p w:rsidR="006866B3" w:rsidRDefault="006866B3">
            <w:pPr>
              <w:keepNext/>
              <w:keepLines/>
              <w:spacing w:before="40"/>
              <w:jc w:val="center"/>
              <w:rPr>
                <w:rFonts w:ascii="Arial" w:hAnsi="Arial" w:cs="Arial"/>
                <w:sz w:val="16"/>
                <w:szCs w:val="16"/>
              </w:rPr>
            </w:pPr>
            <w:r>
              <w:rPr>
                <w:rFonts w:ascii="Arial" w:hAnsi="Arial" w:cs="Arial"/>
                <w:sz w:val="16"/>
                <w:szCs w:val="16"/>
              </w:rPr>
              <w:t xml:space="preserve"> -1.95</w:t>
            </w:r>
            <w:r>
              <w:rPr>
                <w:rFonts w:ascii="Arial" w:hAnsi="Arial" w:cs="Arial"/>
                <w:sz w:val="16"/>
                <w:vertAlign w:val="superscript"/>
              </w:rPr>
              <w:t>§</w:t>
            </w:r>
          </w:p>
        </w:tc>
        <w:tc>
          <w:tcPr>
            <w:tcW w:w="1100" w:type="dxa"/>
            <w:tcBorders>
              <w:top w:val="single" w:sz="6" w:space="0" w:color="auto"/>
              <w:left w:val="single" w:sz="6" w:space="0" w:color="auto"/>
              <w:bottom w:val="single" w:sz="6" w:space="0" w:color="auto"/>
              <w:right w:val="single" w:sz="6" w:space="0" w:color="auto"/>
            </w:tcBorders>
          </w:tcPr>
          <w:p w:rsidR="006866B3" w:rsidRDefault="006866B3">
            <w:pPr>
              <w:keepNext/>
              <w:keepLines/>
              <w:spacing w:before="40"/>
              <w:jc w:val="center"/>
              <w:rPr>
                <w:rFonts w:ascii="Arial" w:hAnsi="Arial" w:cs="Arial"/>
                <w:sz w:val="16"/>
                <w:szCs w:val="16"/>
              </w:rPr>
            </w:pPr>
            <w:r>
              <w:rPr>
                <w:rFonts w:ascii="Arial" w:hAnsi="Arial" w:cs="Arial"/>
                <w:sz w:val="16"/>
                <w:szCs w:val="16"/>
              </w:rPr>
              <w:t xml:space="preserve"> -3.87</w:t>
            </w:r>
            <w:r>
              <w:rPr>
                <w:rFonts w:ascii="Arial" w:hAnsi="Arial" w:cs="Arial"/>
                <w:sz w:val="16"/>
                <w:vertAlign w:val="superscript"/>
              </w:rPr>
              <w:t>§</w:t>
            </w:r>
          </w:p>
        </w:tc>
      </w:tr>
      <w:tr w:rsidR="006866B3" w:rsidTr="005A4394">
        <w:tblPrEx>
          <w:tblCellMar>
            <w:top w:w="0" w:type="dxa"/>
            <w:bottom w:w="0" w:type="dxa"/>
          </w:tblCellMar>
        </w:tblPrEx>
        <w:trPr>
          <w:trHeight w:hRule="exact" w:val="288"/>
          <w:jc w:val="center"/>
        </w:trPr>
        <w:tc>
          <w:tcPr>
            <w:tcW w:w="3228" w:type="dxa"/>
            <w:tcBorders>
              <w:top w:val="single" w:sz="6" w:space="0" w:color="auto"/>
              <w:left w:val="single" w:sz="6" w:space="0" w:color="auto"/>
              <w:bottom w:val="single" w:sz="6" w:space="0" w:color="auto"/>
              <w:right w:val="single" w:sz="6" w:space="0" w:color="auto"/>
            </w:tcBorders>
          </w:tcPr>
          <w:p w:rsidR="006866B3" w:rsidRDefault="006866B3">
            <w:pPr>
              <w:keepNext/>
              <w:keepLines/>
              <w:spacing w:before="40"/>
              <w:rPr>
                <w:rFonts w:ascii="Arial" w:hAnsi="Arial" w:cs="Arial"/>
                <w:sz w:val="16"/>
                <w:szCs w:val="16"/>
              </w:rPr>
            </w:pPr>
            <w:r>
              <w:rPr>
                <w:rFonts w:ascii="Arial" w:hAnsi="Arial" w:cs="Arial"/>
                <w:b/>
                <w:sz w:val="16"/>
                <w:szCs w:val="16"/>
              </w:rPr>
              <w:t xml:space="preserve">2-hour PPG (mmol/L) </w:t>
            </w:r>
            <w:r w:rsidR="009E39FD" w:rsidRPr="006E7C3B">
              <w:rPr>
                <w:rFonts w:ascii="Arial" w:hAnsi="Arial" w:cs="Arial"/>
                <w:sz w:val="16"/>
                <w:szCs w:val="16"/>
                <w:vertAlign w:val="superscript"/>
              </w:rPr>
              <w:t>β</w:t>
            </w:r>
          </w:p>
        </w:tc>
        <w:tc>
          <w:tcPr>
            <w:tcW w:w="1067" w:type="dxa"/>
            <w:tcBorders>
              <w:top w:val="single" w:sz="6" w:space="0" w:color="auto"/>
              <w:left w:val="single" w:sz="6" w:space="0" w:color="auto"/>
              <w:bottom w:val="single" w:sz="6" w:space="0" w:color="auto"/>
              <w:right w:val="single" w:sz="6" w:space="0" w:color="auto"/>
            </w:tcBorders>
          </w:tcPr>
          <w:p w:rsidR="006866B3" w:rsidRDefault="006866B3">
            <w:pPr>
              <w:keepNext/>
              <w:keepLines/>
              <w:spacing w:before="40"/>
              <w:jc w:val="center"/>
              <w:rPr>
                <w:rFonts w:ascii="Arial" w:hAnsi="Arial" w:cs="Arial"/>
                <w:b/>
                <w:sz w:val="16"/>
                <w:szCs w:val="16"/>
              </w:rPr>
            </w:pPr>
            <w:r>
              <w:rPr>
                <w:rFonts w:ascii="Arial" w:hAnsi="Arial" w:cs="Arial"/>
                <w:b/>
                <w:sz w:val="16"/>
                <w:szCs w:val="16"/>
              </w:rPr>
              <w:t xml:space="preserve">N = 129 </w:t>
            </w:r>
          </w:p>
        </w:tc>
        <w:tc>
          <w:tcPr>
            <w:tcW w:w="1004" w:type="dxa"/>
            <w:tcBorders>
              <w:top w:val="single" w:sz="6" w:space="0" w:color="auto"/>
              <w:left w:val="single" w:sz="6" w:space="0" w:color="auto"/>
              <w:bottom w:val="single" w:sz="6" w:space="0" w:color="auto"/>
              <w:right w:val="single" w:sz="6" w:space="0" w:color="auto"/>
            </w:tcBorders>
          </w:tcPr>
          <w:p w:rsidR="006866B3" w:rsidRDefault="006866B3">
            <w:pPr>
              <w:keepNext/>
              <w:keepLines/>
              <w:spacing w:before="40"/>
              <w:jc w:val="center"/>
              <w:rPr>
                <w:rFonts w:ascii="Arial" w:hAnsi="Arial" w:cs="Arial"/>
                <w:b/>
                <w:sz w:val="16"/>
                <w:szCs w:val="16"/>
              </w:rPr>
            </w:pPr>
            <w:r>
              <w:rPr>
                <w:rFonts w:ascii="Arial" w:hAnsi="Arial" w:cs="Arial"/>
                <w:b/>
                <w:sz w:val="16"/>
                <w:szCs w:val="16"/>
              </w:rPr>
              <w:t>N = 136</w:t>
            </w:r>
          </w:p>
        </w:tc>
        <w:tc>
          <w:tcPr>
            <w:tcW w:w="1094" w:type="dxa"/>
            <w:tcBorders>
              <w:top w:val="single" w:sz="6" w:space="0" w:color="auto"/>
              <w:left w:val="single" w:sz="6" w:space="0" w:color="auto"/>
              <w:bottom w:val="single" w:sz="6" w:space="0" w:color="auto"/>
              <w:right w:val="single" w:sz="6" w:space="0" w:color="auto"/>
            </w:tcBorders>
          </w:tcPr>
          <w:p w:rsidR="006866B3" w:rsidRDefault="006866B3">
            <w:pPr>
              <w:keepNext/>
              <w:keepLines/>
              <w:spacing w:before="40"/>
              <w:jc w:val="center"/>
              <w:rPr>
                <w:rFonts w:ascii="Arial" w:hAnsi="Arial" w:cs="Arial"/>
                <w:b/>
                <w:sz w:val="16"/>
                <w:szCs w:val="16"/>
              </w:rPr>
            </w:pPr>
            <w:r>
              <w:rPr>
                <w:rFonts w:ascii="Arial" w:hAnsi="Arial" w:cs="Arial"/>
                <w:b/>
                <w:sz w:val="16"/>
                <w:szCs w:val="16"/>
              </w:rPr>
              <w:t>N = 141</w:t>
            </w:r>
          </w:p>
        </w:tc>
        <w:tc>
          <w:tcPr>
            <w:tcW w:w="1073" w:type="dxa"/>
            <w:tcBorders>
              <w:top w:val="single" w:sz="6" w:space="0" w:color="auto"/>
              <w:left w:val="single" w:sz="6" w:space="0" w:color="auto"/>
              <w:bottom w:val="single" w:sz="6" w:space="0" w:color="auto"/>
              <w:right w:val="single" w:sz="6" w:space="0" w:color="auto"/>
            </w:tcBorders>
          </w:tcPr>
          <w:p w:rsidR="006866B3" w:rsidRDefault="006866B3">
            <w:pPr>
              <w:keepNext/>
              <w:keepLines/>
              <w:spacing w:before="40"/>
              <w:jc w:val="center"/>
              <w:rPr>
                <w:rFonts w:ascii="Arial" w:hAnsi="Arial" w:cs="Arial"/>
                <w:b/>
                <w:sz w:val="16"/>
                <w:szCs w:val="16"/>
              </w:rPr>
            </w:pPr>
            <w:r>
              <w:rPr>
                <w:rFonts w:ascii="Arial" w:hAnsi="Arial" w:cs="Arial"/>
                <w:b/>
                <w:sz w:val="16"/>
                <w:szCs w:val="16"/>
              </w:rPr>
              <w:t>N = 147</w:t>
            </w:r>
          </w:p>
        </w:tc>
        <w:tc>
          <w:tcPr>
            <w:tcW w:w="1114" w:type="dxa"/>
            <w:tcBorders>
              <w:top w:val="single" w:sz="6" w:space="0" w:color="auto"/>
              <w:left w:val="single" w:sz="6" w:space="0" w:color="auto"/>
              <w:bottom w:val="single" w:sz="6" w:space="0" w:color="auto"/>
              <w:right w:val="single" w:sz="6" w:space="0" w:color="auto"/>
            </w:tcBorders>
          </w:tcPr>
          <w:p w:rsidR="006866B3" w:rsidRDefault="006866B3">
            <w:pPr>
              <w:keepNext/>
              <w:keepLines/>
              <w:spacing w:before="40"/>
              <w:jc w:val="center"/>
              <w:rPr>
                <w:rFonts w:ascii="Arial" w:hAnsi="Arial" w:cs="Arial"/>
                <w:b/>
                <w:sz w:val="16"/>
                <w:szCs w:val="16"/>
              </w:rPr>
            </w:pPr>
            <w:r>
              <w:rPr>
                <w:rFonts w:ascii="Arial" w:hAnsi="Arial" w:cs="Arial"/>
                <w:b/>
                <w:sz w:val="16"/>
                <w:szCs w:val="16"/>
              </w:rPr>
              <w:t>N = 138</w:t>
            </w:r>
          </w:p>
        </w:tc>
        <w:tc>
          <w:tcPr>
            <w:tcW w:w="1100" w:type="dxa"/>
            <w:tcBorders>
              <w:top w:val="single" w:sz="6" w:space="0" w:color="auto"/>
              <w:left w:val="single" w:sz="6" w:space="0" w:color="auto"/>
              <w:bottom w:val="single" w:sz="6" w:space="0" w:color="auto"/>
              <w:right w:val="single" w:sz="6" w:space="0" w:color="auto"/>
            </w:tcBorders>
          </w:tcPr>
          <w:p w:rsidR="006866B3" w:rsidRDefault="006866B3">
            <w:pPr>
              <w:keepNext/>
              <w:keepLines/>
              <w:spacing w:before="40"/>
              <w:jc w:val="center"/>
              <w:rPr>
                <w:rFonts w:ascii="Arial" w:hAnsi="Arial" w:cs="Arial"/>
                <w:b/>
                <w:sz w:val="16"/>
                <w:szCs w:val="16"/>
              </w:rPr>
            </w:pPr>
            <w:r>
              <w:rPr>
                <w:rFonts w:ascii="Arial" w:hAnsi="Arial" w:cs="Arial"/>
                <w:b/>
                <w:sz w:val="16"/>
                <w:szCs w:val="16"/>
              </w:rPr>
              <w:t>N = 152</w:t>
            </w:r>
          </w:p>
        </w:tc>
      </w:tr>
      <w:tr w:rsidR="006866B3" w:rsidTr="005A4394">
        <w:tblPrEx>
          <w:tblCellMar>
            <w:top w:w="0" w:type="dxa"/>
            <w:bottom w:w="0" w:type="dxa"/>
          </w:tblCellMar>
        </w:tblPrEx>
        <w:trPr>
          <w:trHeight w:hRule="exact" w:val="288"/>
          <w:jc w:val="center"/>
        </w:trPr>
        <w:tc>
          <w:tcPr>
            <w:tcW w:w="3228" w:type="dxa"/>
            <w:tcBorders>
              <w:top w:val="single" w:sz="6" w:space="0" w:color="auto"/>
              <w:left w:val="single" w:sz="6" w:space="0" w:color="auto"/>
              <w:bottom w:val="single" w:sz="6" w:space="0" w:color="auto"/>
              <w:right w:val="single" w:sz="6" w:space="0" w:color="auto"/>
            </w:tcBorders>
          </w:tcPr>
          <w:p w:rsidR="006866B3" w:rsidRDefault="006866B3">
            <w:pPr>
              <w:keepNext/>
              <w:keepLines/>
              <w:spacing w:before="40"/>
              <w:ind w:left="128"/>
              <w:rPr>
                <w:rFonts w:ascii="Arial" w:hAnsi="Arial" w:cs="Arial"/>
                <w:sz w:val="16"/>
                <w:szCs w:val="16"/>
              </w:rPr>
            </w:pPr>
            <w:r>
              <w:rPr>
                <w:rFonts w:ascii="Arial" w:hAnsi="Arial" w:cs="Arial"/>
                <w:sz w:val="16"/>
                <w:szCs w:val="16"/>
              </w:rPr>
              <w:t xml:space="preserve">Baseline (mean) </w:t>
            </w:r>
          </w:p>
        </w:tc>
        <w:tc>
          <w:tcPr>
            <w:tcW w:w="1067" w:type="dxa"/>
            <w:tcBorders>
              <w:top w:val="single" w:sz="6" w:space="0" w:color="auto"/>
              <w:left w:val="single" w:sz="6" w:space="0" w:color="auto"/>
              <w:bottom w:val="single" w:sz="6" w:space="0" w:color="auto"/>
              <w:right w:val="single" w:sz="6" w:space="0" w:color="auto"/>
            </w:tcBorders>
          </w:tcPr>
          <w:p w:rsidR="006866B3" w:rsidRDefault="006866B3">
            <w:pPr>
              <w:keepNext/>
              <w:keepLines/>
              <w:spacing w:before="40"/>
              <w:jc w:val="center"/>
              <w:rPr>
                <w:rFonts w:ascii="Arial" w:hAnsi="Arial" w:cs="Arial"/>
                <w:sz w:val="16"/>
                <w:szCs w:val="16"/>
              </w:rPr>
            </w:pPr>
            <w:r>
              <w:rPr>
                <w:rFonts w:ascii="Arial" w:hAnsi="Arial" w:cs="Arial"/>
                <w:sz w:val="16"/>
                <w:szCs w:val="16"/>
              </w:rPr>
              <w:t>15.37</w:t>
            </w:r>
          </w:p>
        </w:tc>
        <w:tc>
          <w:tcPr>
            <w:tcW w:w="1004" w:type="dxa"/>
            <w:tcBorders>
              <w:top w:val="single" w:sz="6" w:space="0" w:color="auto"/>
              <w:left w:val="single" w:sz="6" w:space="0" w:color="auto"/>
              <w:bottom w:val="single" w:sz="6" w:space="0" w:color="auto"/>
              <w:right w:val="single" w:sz="6" w:space="0" w:color="auto"/>
            </w:tcBorders>
          </w:tcPr>
          <w:p w:rsidR="006866B3" w:rsidRDefault="006866B3">
            <w:pPr>
              <w:keepNext/>
              <w:keepLines/>
              <w:spacing w:before="40"/>
              <w:jc w:val="center"/>
              <w:rPr>
                <w:rFonts w:ascii="Arial" w:hAnsi="Arial" w:cs="Arial"/>
                <w:sz w:val="16"/>
                <w:szCs w:val="16"/>
              </w:rPr>
            </w:pPr>
            <w:r>
              <w:rPr>
                <w:rFonts w:ascii="Arial" w:hAnsi="Arial" w:cs="Arial"/>
                <w:sz w:val="16"/>
                <w:szCs w:val="16"/>
              </w:rPr>
              <w:t>15.84</w:t>
            </w:r>
          </w:p>
        </w:tc>
        <w:tc>
          <w:tcPr>
            <w:tcW w:w="1094" w:type="dxa"/>
            <w:tcBorders>
              <w:top w:val="single" w:sz="6" w:space="0" w:color="auto"/>
              <w:left w:val="single" w:sz="6" w:space="0" w:color="auto"/>
              <w:bottom w:val="single" w:sz="6" w:space="0" w:color="auto"/>
              <w:right w:val="single" w:sz="6" w:space="0" w:color="auto"/>
            </w:tcBorders>
          </w:tcPr>
          <w:p w:rsidR="006866B3" w:rsidRDefault="006866B3">
            <w:pPr>
              <w:keepNext/>
              <w:keepLines/>
              <w:spacing w:before="40"/>
              <w:jc w:val="center"/>
              <w:rPr>
                <w:rFonts w:ascii="Arial" w:hAnsi="Arial" w:cs="Arial"/>
                <w:sz w:val="16"/>
                <w:szCs w:val="16"/>
              </w:rPr>
            </w:pPr>
            <w:r>
              <w:rPr>
                <w:rFonts w:ascii="Arial" w:hAnsi="Arial" w:cs="Arial"/>
                <w:sz w:val="16"/>
                <w:szCs w:val="16"/>
              </w:rPr>
              <w:t>16.25</w:t>
            </w:r>
          </w:p>
        </w:tc>
        <w:tc>
          <w:tcPr>
            <w:tcW w:w="1073" w:type="dxa"/>
            <w:tcBorders>
              <w:top w:val="single" w:sz="6" w:space="0" w:color="auto"/>
              <w:left w:val="single" w:sz="6" w:space="0" w:color="auto"/>
              <w:bottom w:val="single" w:sz="6" w:space="0" w:color="auto"/>
              <w:right w:val="single" w:sz="6" w:space="0" w:color="auto"/>
            </w:tcBorders>
          </w:tcPr>
          <w:p w:rsidR="006866B3" w:rsidRDefault="006866B3">
            <w:pPr>
              <w:keepNext/>
              <w:keepLines/>
              <w:spacing w:before="40"/>
              <w:jc w:val="center"/>
              <w:rPr>
                <w:rFonts w:ascii="Arial" w:hAnsi="Arial" w:cs="Arial"/>
                <w:sz w:val="16"/>
                <w:szCs w:val="16"/>
              </w:rPr>
            </w:pPr>
            <w:r>
              <w:rPr>
                <w:rFonts w:ascii="Arial" w:hAnsi="Arial" w:cs="Arial"/>
                <w:sz w:val="16"/>
                <w:szCs w:val="16"/>
              </w:rPr>
              <w:t>16.20</w:t>
            </w:r>
          </w:p>
        </w:tc>
        <w:tc>
          <w:tcPr>
            <w:tcW w:w="1114" w:type="dxa"/>
            <w:tcBorders>
              <w:top w:val="single" w:sz="6" w:space="0" w:color="auto"/>
              <w:left w:val="single" w:sz="6" w:space="0" w:color="auto"/>
              <w:bottom w:val="single" w:sz="6" w:space="0" w:color="auto"/>
              <w:right w:val="single" w:sz="6" w:space="0" w:color="auto"/>
            </w:tcBorders>
          </w:tcPr>
          <w:p w:rsidR="006866B3" w:rsidRDefault="006866B3">
            <w:pPr>
              <w:keepNext/>
              <w:keepLines/>
              <w:spacing w:before="40"/>
              <w:jc w:val="center"/>
              <w:rPr>
                <w:rFonts w:ascii="Arial" w:hAnsi="Arial" w:cs="Arial"/>
                <w:sz w:val="16"/>
                <w:szCs w:val="16"/>
              </w:rPr>
            </w:pPr>
            <w:r>
              <w:rPr>
                <w:rFonts w:ascii="Arial" w:hAnsi="Arial" w:cs="Arial"/>
                <w:sz w:val="16"/>
                <w:szCs w:val="16"/>
              </w:rPr>
              <w:t>15.73</w:t>
            </w:r>
          </w:p>
        </w:tc>
        <w:tc>
          <w:tcPr>
            <w:tcW w:w="1100" w:type="dxa"/>
            <w:tcBorders>
              <w:top w:val="single" w:sz="6" w:space="0" w:color="auto"/>
              <w:left w:val="single" w:sz="6" w:space="0" w:color="auto"/>
              <w:bottom w:val="single" w:sz="6" w:space="0" w:color="auto"/>
              <w:right w:val="single" w:sz="6" w:space="0" w:color="auto"/>
            </w:tcBorders>
          </w:tcPr>
          <w:p w:rsidR="006866B3" w:rsidRDefault="006866B3">
            <w:pPr>
              <w:keepNext/>
              <w:keepLines/>
              <w:spacing w:before="40"/>
              <w:jc w:val="center"/>
              <w:rPr>
                <w:rFonts w:ascii="Arial" w:hAnsi="Arial" w:cs="Arial"/>
                <w:sz w:val="16"/>
                <w:szCs w:val="16"/>
              </w:rPr>
            </w:pPr>
            <w:r>
              <w:rPr>
                <w:rFonts w:ascii="Arial" w:hAnsi="Arial" w:cs="Arial"/>
                <w:sz w:val="16"/>
                <w:szCs w:val="16"/>
              </w:rPr>
              <w:t>15.93</w:t>
            </w:r>
          </w:p>
        </w:tc>
      </w:tr>
      <w:tr w:rsidR="006866B3" w:rsidTr="005A4394">
        <w:tblPrEx>
          <w:tblCellMar>
            <w:top w:w="0" w:type="dxa"/>
            <w:bottom w:w="0" w:type="dxa"/>
          </w:tblCellMar>
        </w:tblPrEx>
        <w:trPr>
          <w:trHeight w:hRule="exact" w:val="288"/>
          <w:jc w:val="center"/>
        </w:trPr>
        <w:tc>
          <w:tcPr>
            <w:tcW w:w="3228" w:type="dxa"/>
            <w:tcBorders>
              <w:top w:val="single" w:sz="6" w:space="0" w:color="auto"/>
              <w:left w:val="single" w:sz="6" w:space="0" w:color="auto"/>
              <w:bottom w:val="single" w:sz="6" w:space="0" w:color="auto"/>
              <w:right w:val="single" w:sz="6" w:space="0" w:color="auto"/>
            </w:tcBorders>
          </w:tcPr>
          <w:p w:rsidR="006866B3" w:rsidRDefault="006866B3">
            <w:pPr>
              <w:keepNext/>
              <w:keepLines/>
              <w:spacing w:before="40"/>
              <w:ind w:left="128"/>
              <w:rPr>
                <w:rFonts w:ascii="Arial" w:hAnsi="Arial" w:cs="Arial"/>
                <w:sz w:val="16"/>
                <w:szCs w:val="16"/>
              </w:rPr>
            </w:pPr>
            <w:r>
              <w:rPr>
                <w:rFonts w:ascii="Arial" w:hAnsi="Arial" w:cs="Arial"/>
                <w:sz w:val="16"/>
                <w:szCs w:val="16"/>
              </w:rPr>
              <w:t>Change from baseline (adjusted mean</w:t>
            </w:r>
            <w:r>
              <w:rPr>
                <w:rFonts w:ascii="Arial" w:hAnsi="Arial" w:cs="Arial"/>
                <w:sz w:val="16"/>
                <w:vertAlign w:val="superscript"/>
              </w:rPr>
              <w:t>‡</w:t>
            </w:r>
            <w:r>
              <w:rPr>
                <w:rFonts w:ascii="Arial" w:hAnsi="Arial" w:cs="Arial"/>
                <w:sz w:val="16"/>
                <w:szCs w:val="16"/>
              </w:rPr>
              <w:t>)</w:t>
            </w:r>
          </w:p>
        </w:tc>
        <w:tc>
          <w:tcPr>
            <w:tcW w:w="1067" w:type="dxa"/>
            <w:tcBorders>
              <w:top w:val="single" w:sz="6" w:space="0" w:color="auto"/>
              <w:left w:val="single" w:sz="6" w:space="0" w:color="auto"/>
              <w:bottom w:val="single" w:sz="6" w:space="0" w:color="auto"/>
              <w:right w:val="single" w:sz="6" w:space="0" w:color="auto"/>
            </w:tcBorders>
          </w:tcPr>
          <w:p w:rsidR="006866B3" w:rsidRDefault="006866B3">
            <w:pPr>
              <w:keepNext/>
              <w:keepLines/>
              <w:spacing w:before="40"/>
              <w:jc w:val="center"/>
              <w:rPr>
                <w:rFonts w:ascii="Arial" w:hAnsi="Arial" w:cs="Arial"/>
                <w:sz w:val="16"/>
                <w:szCs w:val="16"/>
              </w:rPr>
            </w:pPr>
            <w:r>
              <w:rPr>
                <w:rFonts w:ascii="Arial" w:hAnsi="Arial" w:cs="Arial"/>
                <w:sz w:val="16"/>
                <w:szCs w:val="16"/>
              </w:rPr>
              <w:t>0.02</w:t>
            </w:r>
          </w:p>
        </w:tc>
        <w:tc>
          <w:tcPr>
            <w:tcW w:w="1004" w:type="dxa"/>
            <w:tcBorders>
              <w:top w:val="single" w:sz="6" w:space="0" w:color="auto"/>
              <w:left w:val="single" w:sz="6" w:space="0" w:color="auto"/>
              <w:bottom w:val="single" w:sz="6" w:space="0" w:color="auto"/>
              <w:right w:val="single" w:sz="6" w:space="0" w:color="auto"/>
            </w:tcBorders>
          </w:tcPr>
          <w:p w:rsidR="006866B3" w:rsidRDefault="006866B3">
            <w:pPr>
              <w:keepNext/>
              <w:keepLines/>
              <w:spacing w:before="40"/>
              <w:jc w:val="center"/>
              <w:rPr>
                <w:rFonts w:ascii="Arial" w:hAnsi="Arial" w:cs="Arial"/>
                <w:sz w:val="16"/>
                <w:szCs w:val="16"/>
              </w:rPr>
            </w:pPr>
            <w:r>
              <w:rPr>
                <w:rFonts w:ascii="Arial" w:hAnsi="Arial" w:cs="Arial"/>
                <w:sz w:val="16"/>
                <w:szCs w:val="16"/>
              </w:rPr>
              <w:t xml:space="preserve"> -2.88</w:t>
            </w:r>
          </w:p>
        </w:tc>
        <w:tc>
          <w:tcPr>
            <w:tcW w:w="1094" w:type="dxa"/>
            <w:tcBorders>
              <w:top w:val="single" w:sz="6" w:space="0" w:color="auto"/>
              <w:left w:val="single" w:sz="6" w:space="0" w:color="auto"/>
              <w:bottom w:val="single" w:sz="6" w:space="0" w:color="auto"/>
              <w:right w:val="single" w:sz="6" w:space="0" w:color="auto"/>
            </w:tcBorders>
          </w:tcPr>
          <w:p w:rsidR="006866B3" w:rsidRDefault="006866B3">
            <w:pPr>
              <w:keepNext/>
              <w:keepLines/>
              <w:spacing w:before="40"/>
              <w:jc w:val="center"/>
              <w:rPr>
                <w:rFonts w:ascii="Arial" w:hAnsi="Arial" w:cs="Arial"/>
                <w:sz w:val="16"/>
                <w:szCs w:val="16"/>
              </w:rPr>
            </w:pPr>
            <w:r>
              <w:rPr>
                <w:rFonts w:ascii="Arial" w:hAnsi="Arial" w:cs="Arial"/>
                <w:sz w:val="16"/>
                <w:szCs w:val="16"/>
              </w:rPr>
              <w:t xml:space="preserve"> -2.96</w:t>
            </w:r>
          </w:p>
        </w:tc>
        <w:tc>
          <w:tcPr>
            <w:tcW w:w="1073" w:type="dxa"/>
            <w:tcBorders>
              <w:top w:val="single" w:sz="6" w:space="0" w:color="auto"/>
              <w:left w:val="single" w:sz="6" w:space="0" w:color="auto"/>
              <w:bottom w:val="single" w:sz="6" w:space="0" w:color="auto"/>
              <w:right w:val="single" w:sz="6" w:space="0" w:color="auto"/>
            </w:tcBorders>
          </w:tcPr>
          <w:p w:rsidR="006866B3" w:rsidRDefault="006866B3">
            <w:pPr>
              <w:keepNext/>
              <w:keepLines/>
              <w:spacing w:before="40"/>
              <w:jc w:val="center"/>
              <w:rPr>
                <w:rFonts w:ascii="Arial" w:hAnsi="Arial" w:cs="Arial"/>
                <w:sz w:val="16"/>
                <w:szCs w:val="16"/>
              </w:rPr>
            </w:pPr>
            <w:r>
              <w:rPr>
                <w:rFonts w:ascii="Arial" w:hAnsi="Arial" w:cs="Arial"/>
                <w:sz w:val="16"/>
                <w:szCs w:val="16"/>
              </w:rPr>
              <w:t xml:space="preserve"> -5.13</w:t>
            </w:r>
          </w:p>
        </w:tc>
        <w:tc>
          <w:tcPr>
            <w:tcW w:w="1114" w:type="dxa"/>
            <w:tcBorders>
              <w:top w:val="single" w:sz="6" w:space="0" w:color="auto"/>
              <w:left w:val="single" w:sz="6" w:space="0" w:color="auto"/>
              <w:bottom w:val="single" w:sz="6" w:space="0" w:color="auto"/>
              <w:right w:val="single" w:sz="6" w:space="0" w:color="auto"/>
            </w:tcBorders>
          </w:tcPr>
          <w:p w:rsidR="006866B3" w:rsidRDefault="006866B3">
            <w:pPr>
              <w:keepNext/>
              <w:keepLines/>
              <w:spacing w:before="40"/>
              <w:jc w:val="center"/>
              <w:rPr>
                <w:rFonts w:ascii="Arial" w:hAnsi="Arial" w:cs="Arial"/>
                <w:sz w:val="16"/>
                <w:szCs w:val="16"/>
              </w:rPr>
            </w:pPr>
            <w:r>
              <w:rPr>
                <w:rFonts w:ascii="Arial" w:hAnsi="Arial" w:cs="Arial"/>
                <w:sz w:val="16"/>
                <w:szCs w:val="16"/>
              </w:rPr>
              <w:t xml:space="preserve"> -4.33</w:t>
            </w:r>
          </w:p>
        </w:tc>
        <w:tc>
          <w:tcPr>
            <w:tcW w:w="1100" w:type="dxa"/>
            <w:tcBorders>
              <w:top w:val="single" w:sz="6" w:space="0" w:color="auto"/>
              <w:left w:val="single" w:sz="6" w:space="0" w:color="auto"/>
              <w:bottom w:val="single" w:sz="6" w:space="0" w:color="auto"/>
              <w:right w:val="single" w:sz="6" w:space="0" w:color="auto"/>
            </w:tcBorders>
          </w:tcPr>
          <w:p w:rsidR="006866B3" w:rsidRDefault="006866B3">
            <w:pPr>
              <w:keepNext/>
              <w:keepLines/>
              <w:spacing w:before="40"/>
              <w:jc w:val="center"/>
              <w:rPr>
                <w:rFonts w:ascii="Arial" w:hAnsi="Arial" w:cs="Arial"/>
                <w:sz w:val="14"/>
                <w:szCs w:val="14"/>
              </w:rPr>
            </w:pPr>
            <w:r>
              <w:rPr>
                <w:rFonts w:ascii="Arial" w:hAnsi="Arial" w:cs="Arial"/>
                <w:sz w:val="16"/>
                <w:szCs w:val="16"/>
              </w:rPr>
              <w:t xml:space="preserve"> -6.47</w:t>
            </w:r>
          </w:p>
        </w:tc>
      </w:tr>
      <w:tr w:rsidR="006866B3" w:rsidTr="0031613B">
        <w:tblPrEx>
          <w:tblCellMar>
            <w:top w:w="0" w:type="dxa"/>
            <w:bottom w:w="0" w:type="dxa"/>
          </w:tblCellMar>
        </w:tblPrEx>
        <w:trPr>
          <w:trHeight w:hRule="exact" w:val="401"/>
          <w:jc w:val="center"/>
        </w:trPr>
        <w:tc>
          <w:tcPr>
            <w:tcW w:w="3228" w:type="dxa"/>
            <w:tcBorders>
              <w:top w:val="single" w:sz="6" w:space="0" w:color="auto"/>
              <w:left w:val="single" w:sz="6" w:space="0" w:color="auto"/>
              <w:bottom w:val="single" w:sz="6" w:space="0" w:color="auto"/>
              <w:right w:val="single" w:sz="6" w:space="0" w:color="auto"/>
            </w:tcBorders>
          </w:tcPr>
          <w:p w:rsidR="006866B3" w:rsidRDefault="006866B3">
            <w:pPr>
              <w:keepNext/>
              <w:keepLines/>
              <w:spacing w:before="40"/>
              <w:ind w:left="128"/>
              <w:rPr>
                <w:rFonts w:ascii="Arial" w:hAnsi="Arial" w:cs="Arial"/>
                <w:sz w:val="16"/>
                <w:szCs w:val="16"/>
              </w:rPr>
            </w:pPr>
            <w:r>
              <w:rPr>
                <w:rFonts w:ascii="Arial" w:hAnsi="Arial" w:cs="Arial"/>
                <w:sz w:val="16"/>
                <w:szCs w:val="16"/>
              </w:rPr>
              <w:t>Difference from placebo (adjusted mean</w:t>
            </w:r>
            <w:r>
              <w:rPr>
                <w:rFonts w:ascii="Arial" w:hAnsi="Arial" w:cs="Arial"/>
                <w:sz w:val="16"/>
                <w:vertAlign w:val="superscript"/>
              </w:rPr>
              <w:t>‡</w:t>
            </w:r>
            <w:r>
              <w:rPr>
                <w:rFonts w:ascii="Arial" w:hAnsi="Arial" w:cs="Arial"/>
                <w:sz w:val="16"/>
                <w:szCs w:val="16"/>
              </w:rPr>
              <w:t>)</w:t>
            </w:r>
          </w:p>
        </w:tc>
        <w:tc>
          <w:tcPr>
            <w:tcW w:w="1067" w:type="dxa"/>
            <w:tcBorders>
              <w:top w:val="single" w:sz="6" w:space="0" w:color="auto"/>
              <w:left w:val="single" w:sz="6" w:space="0" w:color="auto"/>
              <w:bottom w:val="single" w:sz="6" w:space="0" w:color="auto"/>
              <w:right w:val="single" w:sz="6" w:space="0" w:color="auto"/>
            </w:tcBorders>
          </w:tcPr>
          <w:p w:rsidR="006866B3" w:rsidRDefault="006866B3">
            <w:pPr>
              <w:keepNext/>
              <w:keepLines/>
              <w:spacing w:before="40"/>
              <w:jc w:val="center"/>
              <w:rPr>
                <w:rFonts w:ascii="Arial" w:hAnsi="Arial" w:cs="Arial"/>
                <w:sz w:val="16"/>
                <w:szCs w:val="16"/>
              </w:rPr>
            </w:pPr>
          </w:p>
        </w:tc>
        <w:tc>
          <w:tcPr>
            <w:tcW w:w="1004" w:type="dxa"/>
            <w:tcBorders>
              <w:top w:val="single" w:sz="6" w:space="0" w:color="auto"/>
              <w:left w:val="single" w:sz="6" w:space="0" w:color="auto"/>
              <w:bottom w:val="single" w:sz="6" w:space="0" w:color="auto"/>
              <w:right w:val="single" w:sz="6" w:space="0" w:color="auto"/>
            </w:tcBorders>
          </w:tcPr>
          <w:p w:rsidR="006866B3" w:rsidRDefault="006866B3">
            <w:pPr>
              <w:keepNext/>
              <w:keepLines/>
              <w:spacing w:before="40"/>
              <w:jc w:val="center"/>
              <w:rPr>
                <w:rFonts w:ascii="Arial" w:hAnsi="Arial" w:cs="Arial"/>
                <w:sz w:val="16"/>
                <w:szCs w:val="16"/>
              </w:rPr>
            </w:pPr>
            <w:r>
              <w:rPr>
                <w:rFonts w:ascii="Arial" w:hAnsi="Arial" w:cs="Arial"/>
                <w:sz w:val="16"/>
                <w:szCs w:val="16"/>
              </w:rPr>
              <w:t xml:space="preserve"> </w:t>
            </w:r>
            <w:r>
              <w:rPr>
                <w:rFonts w:ascii="Arial" w:hAnsi="Arial" w:cs="Arial"/>
                <w:sz w:val="13"/>
                <w:szCs w:val="13"/>
              </w:rPr>
              <w:t>-2.90</w:t>
            </w:r>
            <w:r>
              <w:rPr>
                <w:rFonts w:ascii="Arial" w:hAnsi="Arial" w:cs="Arial"/>
                <w:sz w:val="16"/>
                <w:szCs w:val="16"/>
                <w:vertAlign w:val="superscript"/>
              </w:rPr>
              <w:t>§</w:t>
            </w:r>
          </w:p>
        </w:tc>
        <w:tc>
          <w:tcPr>
            <w:tcW w:w="1094" w:type="dxa"/>
            <w:tcBorders>
              <w:top w:val="single" w:sz="6" w:space="0" w:color="auto"/>
              <w:left w:val="single" w:sz="6" w:space="0" w:color="auto"/>
              <w:bottom w:val="single" w:sz="6" w:space="0" w:color="auto"/>
              <w:right w:val="single" w:sz="6" w:space="0" w:color="auto"/>
            </w:tcBorders>
          </w:tcPr>
          <w:p w:rsidR="006866B3" w:rsidRDefault="006866B3">
            <w:pPr>
              <w:keepNext/>
              <w:keepLines/>
              <w:spacing w:before="40"/>
              <w:jc w:val="center"/>
              <w:rPr>
                <w:rFonts w:ascii="Arial" w:hAnsi="Arial" w:cs="Arial"/>
                <w:sz w:val="16"/>
                <w:szCs w:val="16"/>
              </w:rPr>
            </w:pPr>
            <w:r>
              <w:rPr>
                <w:rFonts w:ascii="Arial" w:hAnsi="Arial" w:cs="Arial"/>
                <w:sz w:val="16"/>
                <w:szCs w:val="16"/>
              </w:rPr>
              <w:t xml:space="preserve"> -2.98</w:t>
            </w:r>
            <w:r>
              <w:rPr>
                <w:rFonts w:ascii="Arial" w:hAnsi="Arial" w:cs="Arial"/>
                <w:sz w:val="16"/>
                <w:szCs w:val="16"/>
                <w:vertAlign w:val="superscript"/>
              </w:rPr>
              <w:t>§</w:t>
            </w:r>
          </w:p>
        </w:tc>
        <w:tc>
          <w:tcPr>
            <w:tcW w:w="1073" w:type="dxa"/>
            <w:tcBorders>
              <w:top w:val="single" w:sz="6" w:space="0" w:color="auto"/>
              <w:left w:val="single" w:sz="6" w:space="0" w:color="auto"/>
              <w:bottom w:val="single" w:sz="6" w:space="0" w:color="auto"/>
              <w:right w:val="single" w:sz="6" w:space="0" w:color="auto"/>
            </w:tcBorders>
          </w:tcPr>
          <w:p w:rsidR="006866B3" w:rsidRDefault="006866B3">
            <w:pPr>
              <w:keepNext/>
              <w:keepLines/>
              <w:spacing w:before="40"/>
              <w:jc w:val="center"/>
              <w:rPr>
                <w:rFonts w:ascii="Arial" w:hAnsi="Arial" w:cs="Arial"/>
                <w:sz w:val="16"/>
                <w:szCs w:val="16"/>
              </w:rPr>
            </w:pPr>
            <w:r>
              <w:rPr>
                <w:rFonts w:ascii="Arial" w:hAnsi="Arial" w:cs="Arial"/>
                <w:sz w:val="16"/>
                <w:szCs w:val="16"/>
              </w:rPr>
              <w:t xml:space="preserve"> -5.15</w:t>
            </w:r>
            <w:r>
              <w:rPr>
                <w:rFonts w:ascii="Arial" w:hAnsi="Arial" w:cs="Arial"/>
                <w:sz w:val="16"/>
                <w:szCs w:val="16"/>
                <w:vertAlign w:val="superscript"/>
              </w:rPr>
              <w:t>§</w:t>
            </w:r>
          </w:p>
        </w:tc>
        <w:tc>
          <w:tcPr>
            <w:tcW w:w="1114" w:type="dxa"/>
            <w:tcBorders>
              <w:top w:val="single" w:sz="6" w:space="0" w:color="auto"/>
              <w:left w:val="single" w:sz="6" w:space="0" w:color="auto"/>
              <w:bottom w:val="single" w:sz="6" w:space="0" w:color="auto"/>
              <w:right w:val="single" w:sz="6" w:space="0" w:color="auto"/>
            </w:tcBorders>
          </w:tcPr>
          <w:p w:rsidR="006866B3" w:rsidRDefault="006866B3">
            <w:pPr>
              <w:keepNext/>
              <w:keepLines/>
              <w:spacing w:before="40"/>
              <w:jc w:val="center"/>
              <w:rPr>
                <w:rFonts w:ascii="Arial" w:hAnsi="Arial" w:cs="Arial"/>
                <w:sz w:val="16"/>
                <w:szCs w:val="16"/>
              </w:rPr>
            </w:pPr>
            <w:r>
              <w:rPr>
                <w:rFonts w:ascii="Arial" w:hAnsi="Arial" w:cs="Arial"/>
                <w:sz w:val="16"/>
                <w:szCs w:val="16"/>
              </w:rPr>
              <w:t xml:space="preserve"> -4.35</w:t>
            </w:r>
            <w:r>
              <w:rPr>
                <w:rFonts w:ascii="Arial" w:hAnsi="Arial" w:cs="Arial"/>
                <w:sz w:val="16"/>
                <w:szCs w:val="16"/>
                <w:vertAlign w:val="superscript"/>
              </w:rPr>
              <w:t>§</w:t>
            </w:r>
          </w:p>
        </w:tc>
        <w:tc>
          <w:tcPr>
            <w:tcW w:w="1100" w:type="dxa"/>
            <w:tcBorders>
              <w:top w:val="single" w:sz="6" w:space="0" w:color="auto"/>
              <w:left w:val="single" w:sz="6" w:space="0" w:color="auto"/>
              <w:bottom w:val="single" w:sz="6" w:space="0" w:color="auto"/>
              <w:right w:val="single" w:sz="6" w:space="0" w:color="auto"/>
            </w:tcBorders>
          </w:tcPr>
          <w:p w:rsidR="006866B3" w:rsidRDefault="006866B3">
            <w:pPr>
              <w:keepNext/>
              <w:keepLines/>
              <w:spacing w:before="40"/>
              <w:jc w:val="center"/>
              <w:rPr>
                <w:rFonts w:ascii="Arial" w:hAnsi="Arial" w:cs="Arial"/>
                <w:sz w:val="16"/>
                <w:szCs w:val="16"/>
              </w:rPr>
            </w:pPr>
            <w:r>
              <w:rPr>
                <w:rFonts w:ascii="Arial" w:hAnsi="Arial" w:cs="Arial"/>
                <w:sz w:val="16"/>
                <w:szCs w:val="16"/>
              </w:rPr>
              <w:t xml:space="preserve"> </w:t>
            </w:r>
            <w:r>
              <w:rPr>
                <w:rFonts w:ascii="Arial" w:hAnsi="Arial" w:cs="Arial"/>
                <w:sz w:val="13"/>
                <w:szCs w:val="13"/>
              </w:rPr>
              <w:t>-6.49</w:t>
            </w:r>
            <w:r>
              <w:rPr>
                <w:rFonts w:ascii="Arial" w:hAnsi="Arial" w:cs="Arial"/>
                <w:sz w:val="16"/>
                <w:szCs w:val="16"/>
                <w:vertAlign w:val="superscript"/>
              </w:rPr>
              <w:t>§</w:t>
            </w:r>
          </w:p>
        </w:tc>
      </w:tr>
      <w:tr w:rsidR="006866B3" w:rsidTr="005A4394">
        <w:tblPrEx>
          <w:tblCellMar>
            <w:top w:w="0" w:type="dxa"/>
            <w:bottom w:w="0" w:type="dxa"/>
          </w:tblCellMar>
        </w:tblPrEx>
        <w:trPr>
          <w:trHeight w:hRule="exact" w:val="288"/>
          <w:jc w:val="center"/>
        </w:trPr>
        <w:tc>
          <w:tcPr>
            <w:tcW w:w="3228" w:type="dxa"/>
            <w:tcBorders>
              <w:top w:val="single" w:sz="6" w:space="0" w:color="auto"/>
              <w:left w:val="single" w:sz="6" w:space="0" w:color="auto"/>
              <w:bottom w:val="single" w:sz="6" w:space="0" w:color="auto"/>
              <w:right w:val="single" w:sz="6" w:space="0" w:color="auto"/>
            </w:tcBorders>
          </w:tcPr>
          <w:p w:rsidR="006866B3" w:rsidRDefault="006866B3">
            <w:pPr>
              <w:keepNext/>
              <w:keepLines/>
              <w:spacing w:before="40"/>
              <w:ind w:left="184" w:hanging="184"/>
              <w:rPr>
                <w:rFonts w:ascii="Arial" w:hAnsi="Arial" w:cs="Arial"/>
                <w:b/>
                <w:sz w:val="16"/>
                <w:szCs w:val="16"/>
              </w:rPr>
            </w:pPr>
            <w:r>
              <w:rPr>
                <w:rFonts w:ascii="Arial" w:hAnsi="Arial" w:cs="Arial"/>
                <w:b/>
                <w:sz w:val="16"/>
                <w:szCs w:val="16"/>
              </w:rPr>
              <w:t>Body Weight (kg)</w:t>
            </w:r>
            <w:r>
              <w:rPr>
                <w:rFonts w:ascii="Arial" w:hAnsi="Arial" w:cs="Arial"/>
                <w:sz w:val="16"/>
                <w:vertAlign w:val="superscript"/>
              </w:rPr>
              <w:sym w:font="Math Ext" w:char="F025"/>
            </w:r>
          </w:p>
        </w:tc>
        <w:tc>
          <w:tcPr>
            <w:tcW w:w="1067" w:type="dxa"/>
            <w:tcBorders>
              <w:top w:val="single" w:sz="6" w:space="0" w:color="auto"/>
              <w:left w:val="single" w:sz="6" w:space="0" w:color="auto"/>
              <w:bottom w:val="single" w:sz="6" w:space="0" w:color="auto"/>
              <w:right w:val="single" w:sz="6" w:space="0" w:color="auto"/>
            </w:tcBorders>
          </w:tcPr>
          <w:p w:rsidR="006866B3" w:rsidRDefault="006866B3">
            <w:pPr>
              <w:keepNext/>
              <w:keepLines/>
              <w:spacing w:before="40"/>
              <w:jc w:val="center"/>
              <w:rPr>
                <w:rFonts w:ascii="Arial" w:hAnsi="Arial" w:cs="Arial"/>
                <w:b/>
                <w:sz w:val="16"/>
                <w:szCs w:val="16"/>
              </w:rPr>
            </w:pPr>
            <w:r>
              <w:rPr>
                <w:rFonts w:ascii="Arial" w:hAnsi="Arial" w:cs="Arial"/>
                <w:b/>
                <w:sz w:val="16"/>
                <w:szCs w:val="16"/>
              </w:rPr>
              <w:t>N = 167</w:t>
            </w:r>
          </w:p>
        </w:tc>
        <w:tc>
          <w:tcPr>
            <w:tcW w:w="1004" w:type="dxa"/>
            <w:tcBorders>
              <w:top w:val="single" w:sz="6" w:space="0" w:color="auto"/>
              <w:left w:val="single" w:sz="6" w:space="0" w:color="auto"/>
              <w:bottom w:val="single" w:sz="6" w:space="0" w:color="auto"/>
              <w:right w:val="single" w:sz="6" w:space="0" w:color="auto"/>
            </w:tcBorders>
          </w:tcPr>
          <w:p w:rsidR="006866B3" w:rsidRDefault="006866B3">
            <w:pPr>
              <w:keepNext/>
              <w:keepLines/>
              <w:spacing w:before="40"/>
              <w:jc w:val="center"/>
              <w:rPr>
                <w:rFonts w:ascii="Arial" w:hAnsi="Arial" w:cs="Arial"/>
                <w:b/>
                <w:sz w:val="16"/>
                <w:szCs w:val="16"/>
              </w:rPr>
            </w:pPr>
            <w:r>
              <w:rPr>
                <w:rFonts w:ascii="Arial" w:hAnsi="Arial" w:cs="Arial"/>
                <w:b/>
                <w:sz w:val="16"/>
                <w:szCs w:val="16"/>
              </w:rPr>
              <w:t>N = 175</w:t>
            </w:r>
          </w:p>
        </w:tc>
        <w:tc>
          <w:tcPr>
            <w:tcW w:w="1094" w:type="dxa"/>
            <w:tcBorders>
              <w:top w:val="single" w:sz="6" w:space="0" w:color="auto"/>
              <w:left w:val="single" w:sz="6" w:space="0" w:color="auto"/>
              <w:bottom w:val="single" w:sz="6" w:space="0" w:color="auto"/>
              <w:right w:val="single" w:sz="6" w:space="0" w:color="auto"/>
            </w:tcBorders>
          </w:tcPr>
          <w:p w:rsidR="006866B3" w:rsidRDefault="006866B3">
            <w:pPr>
              <w:keepNext/>
              <w:keepLines/>
              <w:spacing w:before="40"/>
              <w:jc w:val="center"/>
              <w:rPr>
                <w:rFonts w:ascii="Arial" w:hAnsi="Arial" w:cs="Arial"/>
                <w:b/>
                <w:sz w:val="16"/>
                <w:szCs w:val="16"/>
              </w:rPr>
            </w:pPr>
            <w:r>
              <w:rPr>
                <w:rFonts w:ascii="Arial" w:hAnsi="Arial" w:cs="Arial"/>
                <w:b/>
                <w:sz w:val="16"/>
                <w:szCs w:val="16"/>
              </w:rPr>
              <w:t>N = 179</w:t>
            </w:r>
          </w:p>
        </w:tc>
        <w:tc>
          <w:tcPr>
            <w:tcW w:w="1073" w:type="dxa"/>
            <w:tcBorders>
              <w:top w:val="single" w:sz="6" w:space="0" w:color="auto"/>
              <w:left w:val="single" w:sz="6" w:space="0" w:color="auto"/>
              <w:bottom w:val="single" w:sz="6" w:space="0" w:color="auto"/>
              <w:right w:val="single" w:sz="6" w:space="0" w:color="auto"/>
            </w:tcBorders>
          </w:tcPr>
          <w:p w:rsidR="006866B3" w:rsidRDefault="006866B3">
            <w:pPr>
              <w:keepNext/>
              <w:keepLines/>
              <w:spacing w:before="40"/>
              <w:jc w:val="center"/>
              <w:rPr>
                <w:rFonts w:ascii="Arial" w:hAnsi="Arial" w:cs="Arial"/>
                <w:b/>
                <w:sz w:val="16"/>
                <w:szCs w:val="16"/>
              </w:rPr>
            </w:pPr>
            <w:r>
              <w:rPr>
                <w:rFonts w:ascii="Arial" w:hAnsi="Arial" w:cs="Arial"/>
                <w:b/>
                <w:sz w:val="16"/>
                <w:szCs w:val="16"/>
              </w:rPr>
              <w:t>N = 184</w:t>
            </w:r>
          </w:p>
        </w:tc>
        <w:tc>
          <w:tcPr>
            <w:tcW w:w="1114" w:type="dxa"/>
            <w:tcBorders>
              <w:top w:val="single" w:sz="6" w:space="0" w:color="auto"/>
              <w:left w:val="single" w:sz="6" w:space="0" w:color="auto"/>
              <w:bottom w:val="single" w:sz="6" w:space="0" w:color="auto"/>
              <w:right w:val="single" w:sz="6" w:space="0" w:color="auto"/>
            </w:tcBorders>
          </w:tcPr>
          <w:p w:rsidR="006866B3" w:rsidRDefault="006866B3">
            <w:pPr>
              <w:keepNext/>
              <w:keepLines/>
              <w:spacing w:before="40"/>
              <w:jc w:val="center"/>
              <w:rPr>
                <w:rFonts w:ascii="Arial" w:hAnsi="Arial" w:cs="Arial"/>
                <w:b/>
                <w:sz w:val="16"/>
                <w:szCs w:val="16"/>
              </w:rPr>
            </w:pPr>
            <w:r>
              <w:rPr>
                <w:rFonts w:ascii="Arial" w:hAnsi="Arial" w:cs="Arial"/>
                <w:b/>
                <w:sz w:val="16"/>
                <w:szCs w:val="16"/>
              </w:rPr>
              <w:t>N = 175</w:t>
            </w:r>
          </w:p>
        </w:tc>
        <w:tc>
          <w:tcPr>
            <w:tcW w:w="1100" w:type="dxa"/>
            <w:tcBorders>
              <w:top w:val="single" w:sz="6" w:space="0" w:color="auto"/>
              <w:left w:val="single" w:sz="6" w:space="0" w:color="auto"/>
              <w:bottom w:val="single" w:sz="6" w:space="0" w:color="auto"/>
              <w:right w:val="single" w:sz="6" w:space="0" w:color="auto"/>
            </w:tcBorders>
          </w:tcPr>
          <w:p w:rsidR="006866B3" w:rsidRDefault="006866B3">
            <w:pPr>
              <w:keepNext/>
              <w:keepLines/>
              <w:spacing w:before="40"/>
              <w:jc w:val="center"/>
              <w:rPr>
                <w:rFonts w:ascii="Arial" w:hAnsi="Arial" w:cs="Arial"/>
                <w:b/>
                <w:sz w:val="16"/>
                <w:szCs w:val="16"/>
              </w:rPr>
            </w:pPr>
            <w:r>
              <w:rPr>
                <w:rFonts w:ascii="Arial" w:hAnsi="Arial" w:cs="Arial"/>
                <w:b/>
                <w:sz w:val="16"/>
                <w:szCs w:val="16"/>
              </w:rPr>
              <w:t>N = 178</w:t>
            </w:r>
          </w:p>
        </w:tc>
      </w:tr>
      <w:tr w:rsidR="006866B3" w:rsidTr="005A4394">
        <w:tblPrEx>
          <w:tblCellMar>
            <w:top w:w="0" w:type="dxa"/>
            <w:bottom w:w="0" w:type="dxa"/>
          </w:tblCellMar>
        </w:tblPrEx>
        <w:trPr>
          <w:trHeight w:hRule="exact" w:val="288"/>
          <w:jc w:val="center"/>
        </w:trPr>
        <w:tc>
          <w:tcPr>
            <w:tcW w:w="3228" w:type="dxa"/>
            <w:tcBorders>
              <w:top w:val="single" w:sz="6" w:space="0" w:color="auto"/>
              <w:left w:val="single" w:sz="6" w:space="0" w:color="auto"/>
              <w:bottom w:val="single" w:sz="6" w:space="0" w:color="auto"/>
              <w:right w:val="single" w:sz="6" w:space="0" w:color="auto"/>
            </w:tcBorders>
          </w:tcPr>
          <w:p w:rsidR="006866B3" w:rsidRDefault="006866B3">
            <w:pPr>
              <w:keepNext/>
              <w:keepLines/>
              <w:spacing w:before="40"/>
              <w:ind w:left="128"/>
              <w:rPr>
                <w:rFonts w:ascii="Arial" w:hAnsi="Arial" w:cs="Arial"/>
                <w:sz w:val="16"/>
                <w:szCs w:val="16"/>
              </w:rPr>
            </w:pPr>
            <w:r>
              <w:rPr>
                <w:rFonts w:ascii="Arial" w:hAnsi="Arial" w:cs="Arial"/>
                <w:sz w:val="16"/>
                <w:szCs w:val="16"/>
              </w:rPr>
              <w:t>Baseline (mean)</w:t>
            </w:r>
          </w:p>
        </w:tc>
        <w:tc>
          <w:tcPr>
            <w:tcW w:w="1067" w:type="dxa"/>
            <w:tcBorders>
              <w:top w:val="single" w:sz="6" w:space="0" w:color="auto"/>
              <w:left w:val="single" w:sz="6" w:space="0" w:color="auto"/>
              <w:bottom w:val="single" w:sz="6" w:space="0" w:color="auto"/>
              <w:right w:val="single" w:sz="6" w:space="0" w:color="auto"/>
            </w:tcBorders>
          </w:tcPr>
          <w:p w:rsidR="006866B3" w:rsidRDefault="006866B3">
            <w:pPr>
              <w:keepNext/>
              <w:keepLines/>
              <w:spacing w:before="40"/>
              <w:jc w:val="center"/>
              <w:rPr>
                <w:rFonts w:ascii="Arial" w:hAnsi="Arial" w:cs="Arial"/>
                <w:sz w:val="16"/>
                <w:szCs w:val="16"/>
              </w:rPr>
            </w:pPr>
            <w:r>
              <w:rPr>
                <w:rFonts w:ascii="Arial" w:hAnsi="Arial" w:cs="Arial"/>
                <w:sz w:val="16"/>
                <w:szCs w:val="16"/>
              </w:rPr>
              <w:t>90.1</w:t>
            </w:r>
          </w:p>
        </w:tc>
        <w:tc>
          <w:tcPr>
            <w:tcW w:w="1004" w:type="dxa"/>
            <w:tcBorders>
              <w:top w:val="single" w:sz="6" w:space="0" w:color="auto"/>
              <w:left w:val="single" w:sz="6" w:space="0" w:color="auto"/>
              <w:bottom w:val="single" w:sz="6" w:space="0" w:color="auto"/>
              <w:right w:val="single" w:sz="6" w:space="0" w:color="auto"/>
            </w:tcBorders>
          </w:tcPr>
          <w:p w:rsidR="006866B3" w:rsidRDefault="006866B3">
            <w:pPr>
              <w:keepNext/>
              <w:keepLines/>
              <w:spacing w:before="40"/>
              <w:jc w:val="center"/>
              <w:rPr>
                <w:rFonts w:ascii="Arial" w:hAnsi="Arial" w:cs="Arial"/>
                <w:sz w:val="16"/>
                <w:szCs w:val="16"/>
              </w:rPr>
            </w:pPr>
            <w:r>
              <w:rPr>
                <w:rFonts w:ascii="Arial" w:hAnsi="Arial" w:cs="Arial"/>
                <w:sz w:val="16"/>
                <w:szCs w:val="16"/>
              </w:rPr>
              <w:t>85.9</w:t>
            </w:r>
          </w:p>
        </w:tc>
        <w:tc>
          <w:tcPr>
            <w:tcW w:w="1094" w:type="dxa"/>
            <w:tcBorders>
              <w:top w:val="single" w:sz="6" w:space="0" w:color="auto"/>
              <w:left w:val="single" w:sz="6" w:space="0" w:color="auto"/>
              <w:bottom w:val="single" w:sz="6" w:space="0" w:color="auto"/>
              <w:right w:val="single" w:sz="6" w:space="0" w:color="auto"/>
            </w:tcBorders>
          </w:tcPr>
          <w:p w:rsidR="006866B3" w:rsidRDefault="006866B3">
            <w:pPr>
              <w:keepNext/>
              <w:keepLines/>
              <w:spacing w:before="40"/>
              <w:jc w:val="center"/>
              <w:rPr>
                <w:rFonts w:ascii="Arial" w:hAnsi="Arial" w:cs="Arial"/>
                <w:sz w:val="16"/>
                <w:szCs w:val="16"/>
              </w:rPr>
            </w:pPr>
            <w:r>
              <w:rPr>
                <w:rFonts w:ascii="Arial" w:hAnsi="Arial" w:cs="Arial"/>
                <w:sz w:val="16"/>
                <w:szCs w:val="16"/>
              </w:rPr>
              <w:t>88.1</w:t>
            </w:r>
          </w:p>
        </w:tc>
        <w:tc>
          <w:tcPr>
            <w:tcW w:w="1073" w:type="dxa"/>
            <w:tcBorders>
              <w:top w:val="single" w:sz="6" w:space="0" w:color="auto"/>
              <w:left w:val="single" w:sz="6" w:space="0" w:color="auto"/>
              <w:bottom w:val="single" w:sz="6" w:space="0" w:color="auto"/>
              <w:right w:val="single" w:sz="6" w:space="0" w:color="auto"/>
            </w:tcBorders>
          </w:tcPr>
          <w:p w:rsidR="006866B3" w:rsidRDefault="006866B3">
            <w:pPr>
              <w:keepNext/>
              <w:keepLines/>
              <w:spacing w:before="40"/>
              <w:jc w:val="center"/>
              <w:rPr>
                <w:rFonts w:ascii="Arial" w:hAnsi="Arial" w:cs="Arial"/>
                <w:sz w:val="16"/>
                <w:szCs w:val="16"/>
              </w:rPr>
            </w:pPr>
            <w:r>
              <w:rPr>
                <w:rFonts w:ascii="Arial" w:hAnsi="Arial" w:cs="Arial"/>
                <w:sz w:val="16"/>
                <w:szCs w:val="16"/>
              </w:rPr>
              <w:t>90.0</w:t>
            </w:r>
          </w:p>
        </w:tc>
        <w:tc>
          <w:tcPr>
            <w:tcW w:w="1114" w:type="dxa"/>
            <w:tcBorders>
              <w:top w:val="single" w:sz="6" w:space="0" w:color="auto"/>
              <w:left w:val="single" w:sz="6" w:space="0" w:color="auto"/>
              <w:bottom w:val="single" w:sz="6" w:space="0" w:color="auto"/>
              <w:right w:val="single" w:sz="6" w:space="0" w:color="auto"/>
            </w:tcBorders>
          </w:tcPr>
          <w:p w:rsidR="006866B3" w:rsidRDefault="006866B3">
            <w:pPr>
              <w:keepNext/>
              <w:keepLines/>
              <w:spacing w:before="40"/>
              <w:jc w:val="center"/>
              <w:rPr>
                <w:rFonts w:ascii="Arial" w:hAnsi="Arial" w:cs="Arial"/>
                <w:sz w:val="16"/>
                <w:szCs w:val="16"/>
              </w:rPr>
            </w:pPr>
            <w:r>
              <w:rPr>
                <w:rFonts w:ascii="Arial" w:hAnsi="Arial" w:cs="Arial"/>
                <w:sz w:val="16"/>
                <w:szCs w:val="16"/>
              </w:rPr>
              <w:t>89.4</w:t>
            </w:r>
          </w:p>
        </w:tc>
        <w:tc>
          <w:tcPr>
            <w:tcW w:w="1100" w:type="dxa"/>
            <w:tcBorders>
              <w:top w:val="single" w:sz="6" w:space="0" w:color="auto"/>
              <w:left w:val="single" w:sz="6" w:space="0" w:color="auto"/>
              <w:bottom w:val="single" w:sz="6" w:space="0" w:color="auto"/>
              <w:right w:val="single" w:sz="6" w:space="0" w:color="auto"/>
            </w:tcBorders>
          </w:tcPr>
          <w:p w:rsidR="006866B3" w:rsidRDefault="006866B3">
            <w:pPr>
              <w:keepNext/>
              <w:keepLines/>
              <w:spacing w:before="40"/>
              <w:jc w:val="center"/>
              <w:rPr>
                <w:rFonts w:ascii="Arial" w:hAnsi="Arial" w:cs="Arial"/>
                <w:sz w:val="16"/>
                <w:szCs w:val="16"/>
              </w:rPr>
            </w:pPr>
            <w:r>
              <w:rPr>
                <w:rFonts w:ascii="Arial" w:hAnsi="Arial" w:cs="Arial"/>
                <w:sz w:val="16"/>
                <w:szCs w:val="16"/>
              </w:rPr>
              <w:t>88.2</w:t>
            </w:r>
          </w:p>
        </w:tc>
      </w:tr>
      <w:tr w:rsidR="006866B3" w:rsidTr="005A4394">
        <w:tblPrEx>
          <w:tblCellMar>
            <w:top w:w="0" w:type="dxa"/>
            <w:bottom w:w="0" w:type="dxa"/>
          </w:tblCellMar>
        </w:tblPrEx>
        <w:trPr>
          <w:trHeight w:hRule="exact" w:val="288"/>
          <w:jc w:val="center"/>
        </w:trPr>
        <w:tc>
          <w:tcPr>
            <w:tcW w:w="3228" w:type="dxa"/>
            <w:tcBorders>
              <w:top w:val="single" w:sz="6" w:space="0" w:color="auto"/>
              <w:left w:val="single" w:sz="6" w:space="0" w:color="auto"/>
              <w:bottom w:val="single" w:sz="6" w:space="0" w:color="auto"/>
              <w:right w:val="single" w:sz="6" w:space="0" w:color="auto"/>
            </w:tcBorders>
          </w:tcPr>
          <w:p w:rsidR="006866B3" w:rsidRDefault="006866B3">
            <w:pPr>
              <w:keepNext/>
              <w:keepLines/>
              <w:spacing w:before="40"/>
              <w:ind w:left="128"/>
              <w:rPr>
                <w:rFonts w:ascii="Arial" w:hAnsi="Arial" w:cs="Arial"/>
                <w:sz w:val="16"/>
                <w:szCs w:val="16"/>
              </w:rPr>
            </w:pPr>
            <w:r>
              <w:rPr>
                <w:rFonts w:ascii="Arial" w:hAnsi="Arial" w:cs="Arial"/>
                <w:sz w:val="16"/>
                <w:szCs w:val="16"/>
              </w:rPr>
              <w:t>Change from baseline (adjusted mean</w:t>
            </w:r>
            <w:r>
              <w:rPr>
                <w:rFonts w:ascii="Arial" w:hAnsi="Arial" w:cs="Arial"/>
                <w:sz w:val="16"/>
                <w:vertAlign w:val="superscript"/>
              </w:rPr>
              <w:t>‡</w:t>
            </w:r>
            <w:r>
              <w:rPr>
                <w:rFonts w:ascii="Arial" w:hAnsi="Arial" w:cs="Arial"/>
                <w:sz w:val="16"/>
                <w:szCs w:val="16"/>
              </w:rPr>
              <w:t>)</w:t>
            </w:r>
          </w:p>
        </w:tc>
        <w:tc>
          <w:tcPr>
            <w:tcW w:w="1067" w:type="dxa"/>
            <w:tcBorders>
              <w:top w:val="single" w:sz="6" w:space="0" w:color="auto"/>
              <w:left w:val="single" w:sz="6" w:space="0" w:color="auto"/>
              <w:bottom w:val="single" w:sz="6" w:space="0" w:color="auto"/>
              <w:right w:val="single" w:sz="6" w:space="0" w:color="auto"/>
            </w:tcBorders>
          </w:tcPr>
          <w:p w:rsidR="006866B3" w:rsidRDefault="006866B3">
            <w:pPr>
              <w:keepNext/>
              <w:keepLines/>
              <w:spacing w:before="40"/>
              <w:jc w:val="center"/>
              <w:rPr>
                <w:rFonts w:ascii="Arial" w:hAnsi="Arial" w:cs="Arial"/>
                <w:sz w:val="16"/>
                <w:szCs w:val="16"/>
              </w:rPr>
            </w:pPr>
            <w:r>
              <w:rPr>
                <w:rFonts w:ascii="Arial" w:hAnsi="Arial" w:cs="Arial"/>
                <w:sz w:val="16"/>
                <w:szCs w:val="16"/>
              </w:rPr>
              <w:t>-0.9</w:t>
            </w:r>
          </w:p>
        </w:tc>
        <w:tc>
          <w:tcPr>
            <w:tcW w:w="1004" w:type="dxa"/>
            <w:tcBorders>
              <w:top w:val="single" w:sz="6" w:space="0" w:color="auto"/>
              <w:left w:val="single" w:sz="6" w:space="0" w:color="auto"/>
              <w:bottom w:val="single" w:sz="6" w:space="0" w:color="auto"/>
              <w:right w:val="single" w:sz="6" w:space="0" w:color="auto"/>
            </w:tcBorders>
          </w:tcPr>
          <w:p w:rsidR="006866B3" w:rsidRDefault="006866B3">
            <w:pPr>
              <w:keepNext/>
              <w:keepLines/>
              <w:spacing w:before="40"/>
              <w:jc w:val="center"/>
              <w:rPr>
                <w:rFonts w:ascii="Arial" w:hAnsi="Arial" w:cs="Arial"/>
                <w:sz w:val="16"/>
                <w:szCs w:val="16"/>
              </w:rPr>
            </w:pPr>
            <w:r>
              <w:rPr>
                <w:rFonts w:ascii="Arial" w:hAnsi="Arial" w:cs="Arial"/>
                <w:sz w:val="16"/>
                <w:szCs w:val="16"/>
              </w:rPr>
              <w:t>0.0</w:t>
            </w:r>
          </w:p>
        </w:tc>
        <w:tc>
          <w:tcPr>
            <w:tcW w:w="1094" w:type="dxa"/>
            <w:tcBorders>
              <w:top w:val="single" w:sz="6" w:space="0" w:color="auto"/>
              <w:left w:val="single" w:sz="6" w:space="0" w:color="auto"/>
              <w:bottom w:val="single" w:sz="6" w:space="0" w:color="auto"/>
              <w:right w:val="single" w:sz="6" w:space="0" w:color="auto"/>
            </w:tcBorders>
          </w:tcPr>
          <w:p w:rsidR="006866B3" w:rsidRDefault="006866B3">
            <w:pPr>
              <w:keepNext/>
              <w:keepLines/>
              <w:spacing w:before="40"/>
              <w:jc w:val="center"/>
              <w:rPr>
                <w:rFonts w:ascii="Arial" w:hAnsi="Arial" w:cs="Arial"/>
                <w:sz w:val="16"/>
                <w:szCs w:val="16"/>
              </w:rPr>
            </w:pPr>
            <w:r>
              <w:rPr>
                <w:rFonts w:ascii="Arial" w:hAnsi="Arial" w:cs="Arial"/>
                <w:sz w:val="16"/>
                <w:szCs w:val="16"/>
              </w:rPr>
              <w:t>-0.9</w:t>
            </w:r>
          </w:p>
        </w:tc>
        <w:tc>
          <w:tcPr>
            <w:tcW w:w="1073" w:type="dxa"/>
            <w:tcBorders>
              <w:top w:val="single" w:sz="6" w:space="0" w:color="auto"/>
              <w:left w:val="single" w:sz="6" w:space="0" w:color="auto"/>
              <w:bottom w:val="single" w:sz="6" w:space="0" w:color="auto"/>
              <w:right w:val="single" w:sz="6" w:space="0" w:color="auto"/>
            </w:tcBorders>
          </w:tcPr>
          <w:p w:rsidR="006866B3" w:rsidRDefault="006866B3">
            <w:pPr>
              <w:keepNext/>
              <w:keepLines/>
              <w:spacing w:before="40"/>
              <w:jc w:val="center"/>
              <w:rPr>
                <w:rFonts w:ascii="Arial" w:hAnsi="Arial" w:cs="Arial"/>
                <w:sz w:val="16"/>
                <w:szCs w:val="16"/>
              </w:rPr>
            </w:pPr>
            <w:r>
              <w:rPr>
                <w:rFonts w:ascii="Arial" w:hAnsi="Arial" w:cs="Arial"/>
                <w:sz w:val="16"/>
                <w:szCs w:val="16"/>
              </w:rPr>
              <w:t>-0.6</w:t>
            </w:r>
          </w:p>
        </w:tc>
        <w:tc>
          <w:tcPr>
            <w:tcW w:w="1114" w:type="dxa"/>
            <w:tcBorders>
              <w:top w:val="single" w:sz="6" w:space="0" w:color="auto"/>
              <w:left w:val="single" w:sz="6" w:space="0" w:color="auto"/>
              <w:bottom w:val="single" w:sz="6" w:space="0" w:color="auto"/>
              <w:right w:val="single" w:sz="6" w:space="0" w:color="auto"/>
            </w:tcBorders>
          </w:tcPr>
          <w:p w:rsidR="006866B3" w:rsidRDefault="006866B3">
            <w:pPr>
              <w:keepNext/>
              <w:keepLines/>
              <w:spacing w:before="40"/>
              <w:jc w:val="center"/>
              <w:rPr>
                <w:rFonts w:ascii="Arial" w:hAnsi="Arial" w:cs="Arial"/>
                <w:sz w:val="16"/>
                <w:szCs w:val="16"/>
              </w:rPr>
            </w:pPr>
            <w:r>
              <w:rPr>
                <w:rFonts w:ascii="Arial" w:hAnsi="Arial" w:cs="Arial"/>
                <w:sz w:val="16"/>
                <w:szCs w:val="16"/>
              </w:rPr>
              <w:t>-1.1</w:t>
            </w:r>
          </w:p>
        </w:tc>
        <w:tc>
          <w:tcPr>
            <w:tcW w:w="1100" w:type="dxa"/>
            <w:tcBorders>
              <w:top w:val="single" w:sz="6" w:space="0" w:color="auto"/>
              <w:left w:val="single" w:sz="6" w:space="0" w:color="auto"/>
              <w:bottom w:val="single" w:sz="6" w:space="0" w:color="auto"/>
              <w:right w:val="single" w:sz="6" w:space="0" w:color="auto"/>
            </w:tcBorders>
          </w:tcPr>
          <w:p w:rsidR="006866B3" w:rsidRDefault="006866B3">
            <w:pPr>
              <w:keepNext/>
              <w:keepLines/>
              <w:spacing w:before="40"/>
              <w:jc w:val="center"/>
              <w:rPr>
                <w:rFonts w:ascii="Arial" w:hAnsi="Arial" w:cs="Arial"/>
                <w:sz w:val="16"/>
                <w:szCs w:val="16"/>
              </w:rPr>
            </w:pPr>
            <w:r>
              <w:rPr>
                <w:rFonts w:ascii="Arial" w:hAnsi="Arial" w:cs="Arial"/>
                <w:sz w:val="16"/>
                <w:szCs w:val="16"/>
              </w:rPr>
              <w:t>-1.3</w:t>
            </w:r>
          </w:p>
        </w:tc>
      </w:tr>
      <w:tr w:rsidR="006866B3" w:rsidTr="005A4394">
        <w:tblPrEx>
          <w:tblCellMar>
            <w:top w:w="0" w:type="dxa"/>
            <w:bottom w:w="0" w:type="dxa"/>
          </w:tblCellMar>
        </w:tblPrEx>
        <w:trPr>
          <w:trHeight w:hRule="exact" w:val="288"/>
          <w:jc w:val="center"/>
        </w:trPr>
        <w:tc>
          <w:tcPr>
            <w:tcW w:w="3228" w:type="dxa"/>
            <w:tcBorders>
              <w:top w:val="single" w:sz="6" w:space="0" w:color="auto"/>
              <w:left w:val="single" w:sz="6" w:space="0" w:color="auto"/>
              <w:bottom w:val="single" w:sz="6" w:space="0" w:color="auto"/>
              <w:right w:val="single" w:sz="6" w:space="0" w:color="auto"/>
            </w:tcBorders>
          </w:tcPr>
          <w:p w:rsidR="006866B3" w:rsidRDefault="006866B3">
            <w:pPr>
              <w:keepNext/>
              <w:keepLines/>
              <w:spacing w:before="40"/>
              <w:ind w:left="128"/>
              <w:rPr>
                <w:rFonts w:ascii="Arial" w:hAnsi="Arial" w:cs="Arial"/>
                <w:sz w:val="16"/>
                <w:szCs w:val="16"/>
              </w:rPr>
            </w:pPr>
            <w:r>
              <w:rPr>
                <w:rFonts w:ascii="Arial" w:hAnsi="Arial" w:cs="Arial"/>
                <w:sz w:val="16"/>
                <w:szCs w:val="16"/>
              </w:rPr>
              <w:t>Difference from placebo (adjusted mean</w:t>
            </w:r>
            <w:r>
              <w:rPr>
                <w:rFonts w:ascii="Arial" w:hAnsi="Arial" w:cs="Arial"/>
                <w:sz w:val="16"/>
                <w:vertAlign w:val="superscript"/>
              </w:rPr>
              <w:t>‡</w:t>
            </w:r>
            <w:r>
              <w:rPr>
                <w:rFonts w:ascii="Arial" w:hAnsi="Arial" w:cs="Arial"/>
                <w:sz w:val="16"/>
                <w:szCs w:val="16"/>
              </w:rPr>
              <w:t>)</w:t>
            </w:r>
          </w:p>
        </w:tc>
        <w:tc>
          <w:tcPr>
            <w:tcW w:w="1067" w:type="dxa"/>
            <w:tcBorders>
              <w:top w:val="single" w:sz="6" w:space="0" w:color="auto"/>
              <w:left w:val="single" w:sz="6" w:space="0" w:color="auto"/>
              <w:bottom w:val="single" w:sz="6" w:space="0" w:color="auto"/>
              <w:right w:val="single" w:sz="6" w:space="0" w:color="auto"/>
            </w:tcBorders>
          </w:tcPr>
          <w:p w:rsidR="006866B3" w:rsidRDefault="006866B3">
            <w:pPr>
              <w:keepNext/>
              <w:keepLines/>
              <w:spacing w:before="40"/>
              <w:jc w:val="center"/>
              <w:rPr>
                <w:rFonts w:ascii="Arial" w:hAnsi="Arial" w:cs="Arial"/>
                <w:sz w:val="16"/>
                <w:szCs w:val="16"/>
              </w:rPr>
            </w:pPr>
          </w:p>
        </w:tc>
        <w:tc>
          <w:tcPr>
            <w:tcW w:w="1004" w:type="dxa"/>
            <w:tcBorders>
              <w:top w:val="single" w:sz="6" w:space="0" w:color="auto"/>
              <w:left w:val="single" w:sz="6" w:space="0" w:color="auto"/>
              <w:bottom w:val="single" w:sz="6" w:space="0" w:color="auto"/>
              <w:right w:val="single" w:sz="6" w:space="0" w:color="auto"/>
            </w:tcBorders>
          </w:tcPr>
          <w:p w:rsidR="006866B3" w:rsidRDefault="006866B3">
            <w:pPr>
              <w:keepNext/>
              <w:keepLines/>
              <w:spacing w:before="40"/>
              <w:jc w:val="center"/>
              <w:rPr>
                <w:rFonts w:ascii="Arial" w:hAnsi="Arial" w:cs="Arial"/>
                <w:sz w:val="16"/>
                <w:szCs w:val="16"/>
              </w:rPr>
            </w:pPr>
            <w:r>
              <w:rPr>
                <w:rFonts w:ascii="Arial" w:hAnsi="Arial" w:cs="Arial"/>
                <w:sz w:val="16"/>
                <w:szCs w:val="16"/>
              </w:rPr>
              <w:t>0.9</w:t>
            </w:r>
            <w:r>
              <w:rPr>
                <w:rFonts w:ascii="Arial" w:hAnsi="Arial" w:cs="Arial"/>
                <w:sz w:val="16"/>
                <w:vertAlign w:val="superscript"/>
              </w:rPr>
              <w:t>¶</w:t>
            </w:r>
          </w:p>
        </w:tc>
        <w:tc>
          <w:tcPr>
            <w:tcW w:w="1094" w:type="dxa"/>
            <w:tcBorders>
              <w:top w:val="single" w:sz="6" w:space="0" w:color="auto"/>
              <w:left w:val="single" w:sz="6" w:space="0" w:color="auto"/>
              <w:bottom w:val="single" w:sz="6" w:space="0" w:color="auto"/>
              <w:right w:val="single" w:sz="6" w:space="0" w:color="auto"/>
            </w:tcBorders>
          </w:tcPr>
          <w:p w:rsidR="006866B3" w:rsidRDefault="006866B3">
            <w:pPr>
              <w:keepNext/>
              <w:keepLines/>
              <w:spacing w:before="40"/>
              <w:jc w:val="center"/>
              <w:rPr>
                <w:rFonts w:ascii="Arial" w:hAnsi="Arial" w:cs="Arial"/>
                <w:sz w:val="16"/>
                <w:szCs w:val="16"/>
              </w:rPr>
            </w:pPr>
            <w:r>
              <w:rPr>
                <w:rFonts w:ascii="Arial" w:hAnsi="Arial" w:cs="Arial"/>
                <w:sz w:val="16"/>
                <w:szCs w:val="16"/>
              </w:rPr>
              <w:t>0.1</w:t>
            </w:r>
            <w:r>
              <w:rPr>
                <w:rFonts w:ascii="Arial" w:hAnsi="Arial" w:cs="Arial"/>
                <w:sz w:val="16"/>
                <w:szCs w:val="16"/>
                <w:u w:val="double"/>
                <w:vertAlign w:val="superscript"/>
              </w:rPr>
              <w:t>#</w:t>
            </w:r>
          </w:p>
        </w:tc>
        <w:tc>
          <w:tcPr>
            <w:tcW w:w="1073" w:type="dxa"/>
            <w:tcBorders>
              <w:top w:val="single" w:sz="6" w:space="0" w:color="auto"/>
              <w:left w:val="single" w:sz="6" w:space="0" w:color="auto"/>
              <w:bottom w:val="single" w:sz="6" w:space="0" w:color="auto"/>
              <w:right w:val="single" w:sz="6" w:space="0" w:color="auto"/>
            </w:tcBorders>
          </w:tcPr>
          <w:p w:rsidR="006866B3" w:rsidRDefault="006866B3">
            <w:pPr>
              <w:keepNext/>
              <w:keepLines/>
              <w:spacing w:before="40"/>
              <w:jc w:val="center"/>
              <w:rPr>
                <w:rFonts w:ascii="Arial" w:hAnsi="Arial" w:cs="Arial"/>
                <w:sz w:val="16"/>
                <w:szCs w:val="16"/>
              </w:rPr>
            </w:pPr>
            <w:r>
              <w:rPr>
                <w:rFonts w:ascii="Arial" w:hAnsi="Arial" w:cs="Arial"/>
                <w:sz w:val="16"/>
                <w:szCs w:val="16"/>
              </w:rPr>
              <w:t>0.4</w:t>
            </w:r>
            <w:r>
              <w:rPr>
                <w:rFonts w:ascii="Arial" w:hAnsi="Arial" w:cs="Arial"/>
                <w:sz w:val="16"/>
                <w:szCs w:val="16"/>
                <w:u w:val="double"/>
                <w:vertAlign w:val="superscript"/>
              </w:rPr>
              <w:t>#</w:t>
            </w:r>
          </w:p>
        </w:tc>
        <w:tc>
          <w:tcPr>
            <w:tcW w:w="1114" w:type="dxa"/>
            <w:tcBorders>
              <w:top w:val="single" w:sz="6" w:space="0" w:color="auto"/>
              <w:left w:val="single" w:sz="6" w:space="0" w:color="auto"/>
              <w:bottom w:val="single" w:sz="6" w:space="0" w:color="auto"/>
              <w:right w:val="single" w:sz="6" w:space="0" w:color="auto"/>
            </w:tcBorders>
          </w:tcPr>
          <w:p w:rsidR="006866B3" w:rsidRDefault="006866B3">
            <w:pPr>
              <w:keepNext/>
              <w:keepLines/>
              <w:spacing w:before="40"/>
              <w:jc w:val="center"/>
              <w:rPr>
                <w:rFonts w:ascii="Arial" w:hAnsi="Arial" w:cs="Arial"/>
                <w:sz w:val="16"/>
                <w:szCs w:val="16"/>
              </w:rPr>
            </w:pPr>
            <w:r>
              <w:rPr>
                <w:rFonts w:ascii="Arial" w:hAnsi="Arial" w:cs="Arial"/>
                <w:sz w:val="16"/>
                <w:szCs w:val="16"/>
              </w:rPr>
              <w:t>-0.1</w:t>
            </w:r>
            <w:r>
              <w:rPr>
                <w:rFonts w:ascii="Arial" w:hAnsi="Arial" w:cs="Arial"/>
                <w:sz w:val="16"/>
                <w:szCs w:val="16"/>
                <w:u w:val="double"/>
                <w:vertAlign w:val="superscript"/>
              </w:rPr>
              <w:t>#</w:t>
            </w:r>
          </w:p>
        </w:tc>
        <w:tc>
          <w:tcPr>
            <w:tcW w:w="1100" w:type="dxa"/>
            <w:tcBorders>
              <w:top w:val="single" w:sz="6" w:space="0" w:color="auto"/>
              <w:left w:val="single" w:sz="6" w:space="0" w:color="auto"/>
              <w:bottom w:val="single" w:sz="6" w:space="0" w:color="auto"/>
              <w:right w:val="single" w:sz="6" w:space="0" w:color="auto"/>
            </w:tcBorders>
          </w:tcPr>
          <w:p w:rsidR="006866B3" w:rsidRDefault="006866B3">
            <w:pPr>
              <w:keepNext/>
              <w:keepLines/>
              <w:spacing w:before="40"/>
              <w:jc w:val="center"/>
              <w:rPr>
                <w:rFonts w:ascii="Arial" w:hAnsi="Arial" w:cs="Arial"/>
                <w:sz w:val="16"/>
                <w:szCs w:val="16"/>
              </w:rPr>
            </w:pPr>
            <w:r>
              <w:rPr>
                <w:rFonts w:ascii="Arial" w:hAnsi="Arial" w:cs="Arial"/>
                <w:sz w:val="16"/>
                <w:szCs w:val="16"/>
              </w:rPr>
              <w:t>-0.3</w:t>
            </w:r>
            <w:r>
              <w:rPr>
                <w:rFonts w:ascii="Arial" w:hAnsi="Arial" w:cs="Arial"/>
                <w:sz w:val="16"/>
                <w:szCs w:val="16"/>
                <w:u w:val="double"/>
                <w:vertAlign w:val="superscript"/>
              </w:rPr>
              <w:t>#</w:t>
            </w:r>
          </w:p>
        </w:tc>
      </w:tr>
    </w:tbl>
    <w:p w:rsidR="00907289" w:rsidRDefault="00907289">
      <w:pPr>
        <w:keepNext/>
        <w:keepLines/>
        <w:numPr>
          <w:ilvl w:val="12"/>
          <w:numId w:val="0"/>
        </w:numPr>
        <w:rPr>
          <w:rFonts w:ascii="Arial" w:hAnsi="Arial" w:cs="Arial"/>
          <w:sz w:val="16"/>
        </w:rPr>
      </w:pPr>
      <w:r>
        <w:rPr>
          <w:rFonts w:ascii="Arial" w:hAnsi="Arial" w:cs="Arial"/>
          <w:sz w:val="16"/>
          <w:vertAlign w:val="superscript"/>
        </w:rPr>
        <w:t>†</w:t>
      </w:r>
      <w:r>
        <w:rPr>
          <w:rFonts w:ascii="Arial" w:hAnsi="Arial" w:cs="Arial"/>
          <w:sz w:val="16"/>
        </w:rPr>
        <w:t xml:space="preserve"> All Patients Treated Population (an intention-to-treat analysis).</w:t>
      </w:r>
    </w:p>
    <w:p w:rsidR="00907289" w:rsidRDefault="00907289">
      <w:pPr>
        <w:keepNext/>
        <w:keepLines/>
        <w:numPr>
          <w:ilvl w:val="12"/>
          <w:numId w:val="0"/>
        </w:numPr>
        <w:rPr>
          <w:rFonts w:ascii="Arial" w:hAnsi="Arial" w:cs="Arial"/>
          <w:sz w:val="16"/>
        </w:rPr>
      </w:pPr>
      <w:r>
        <w:rPr>
          <w:rFonts w:ascii="Arial" w:hAnsi="Arial" w:cs="Arial"/>
          <w:sz w:val="16"/>
          <w:vertAlign w:val="superscript"/>
        </w:rPr>
        <w:t>‡</w:t>
      </w:r>
      <w:r>
        <w:rPr>
          <w:rFonts w:ascii="Arial" w:hAnsi="Arial" w:cs="Arial"/>
          <w:sz w:val="16"/>
        </w:rPr>
        <w:t xml:space="preserve"> Least squares means adjusted for prior antihyperglycaemic therapy status and baseline value.</w:t>
      </w:r>
    </w:p>
    <w:p w:rsidR="00907289" w:rsidRDefault="00907289">
      <w:pPr>
        <w:keepNext/>
        <w:keepLines/>
        <w:numPr>
          <w:ilvl w:val="12"/>
          <w:numId w:val="0"/>
        </w:numPr>
        <w:rPr>
          <w:rFonts w:ascii="Arial" w:hAnsi="Arial" w:cs="Arial"/>
          <w:sz w:val="16"/>
        </w:rPr>
      </w:pPr>
      <w:r>
        <w:rPr>
          <w:rFonts w:ascii="Arial" w:hAnsi="Arial" w:cs="Arial"/>
          <w:sz w:val="16"/>
          <w:vertAlign w:val="superscript"/>
        </w:rPr>
        <w:t>§</w:t>
      </w:r>
      <w:r>
        <w:rPr>
          <w:rFonts w:ascii="Arial" w:hAnsi="Arial" w:cs="Arial"/>
          <w:sz w:val="16"/>
        </w:rPr>
        <w:t xml:space="preserve"> p&lt;0.001 compared to placebo.</w:t>
      </w:r>
    </w:p>
    <w:p w:rsidR="00907289" w:rsidRDefault="00907289">
      <w:pPr>
        <w:keepNext/>
        <w:keepLines/>
        <w:numPr>
          <w:ilvl w:val="12"/>
          <w:numId w:val="0"/>
        </w:numPr>
        <w:rPr>
          <w:rFonts w:ascii="Arial" w:hAnsi="Arial" w:cs="Arial"/>
          <w:sz w:val="16"/>
        </w:rPr>
      </w:pPr>
      <w:r>
        <w:rPr>
          <w:rFonts w:ascii="Arial" w:hAnsi="Arial" w:cs="Arial"/>
          <w:sz w:val="16"/>
          <w:vertAlign w:val="superscript"/>
        </w:rPr>
        <w:sym w:font="Math Ext" w:char="F025"/>
      </w:r>
      <w:r>
        <w:rPr>
          <w:rFonts w:ascii="Arial" w:hAnsi="Arial" w:cs="Arial"/>
          <w:sz w:val="16"/>
        </w:rPr>
        <w:t xml:space="preserve"> All Patients as Treated (APaT) population, excluding patients given glycaemic rescue therapy.</w:t>
      </w:r>
    </w:p>
    <w:p w:rsidR="00907289" w:rsidRDefault="00907289">
      <w:pPr>
        <w:keepNext/>
        <w:keepLines/>
        <w:numPr>
          <w:ilvl w:val="12"/>
          <w:numId w:val="0"/>
        </w:numPr>
        <w:rPr>
          <w:rFonts w:ascii="Arial" w:hAnsi="Arial" w:cs="Arial"/>
          <w:sz w:val="16"/>
        </w:rPr>
      </w:pPr>
      <w:r>
        <w:rPr>
          <w:rFonts w:ascii="Arial" w:hAnsi="Arial" w:cs="Arial"/>
          <w:sz w:val="16"/>
          <w:vertAlign w:val="superscript"/>
        </w:rPr>
        <w:t>¶</w:t>
      </w:r>
      <w:r>
        <w:rPr>
          <w:rFonts w:ascii="Arial" w:hAnsi="Arial" w:cs="Arial"/>
          <w:sz w:val="16"/>
        </w:rPr>
        <w:t xml:space="preserve"> p=0.005 compared to placebo.</w:t>
      </w:r>
    </w:p>
    <w:p w:rsidR="00907289" w:rsidRDefault="00907289">
      <w:pPr>
        <w:keepNext/>
        <w:keepLines/>
        <w:numPr>
          <w:ilvl w:val="12"/>
          <w:numId w:val="0"/>
        </w:numPr>
        <w:rPr>
          <w:rFonts w:ascii="Arial" w:hAnsi="Arial" w:cs="Arial"/>
          <w:sz w:val="16"/>
        </w:rPr>
      </w:pPr>
      <w:r>
        <w:rPr>
          <w:rFonts w:ascii="Arial" w:hAnsi="Arial" w:cs="Arial"/>
          <w:sz w:val="16"/>
          <w:szCs w:val="16"/>
          <w:u w:val="double"/>
          <w:vertAlign w:val="superscript"/>
        </w:rPr>
        <w:t xml:space="preserve"># </w:t>
      </w:r>
      <w:r>
        <w:rPr>
          <w:rFonts w:ascii="Arial" w:hAnsi="Arial" w:cs="Arial"/>
          <w:sz w:val="16"/>
        </w:rPr>
        <w:t>Not statistically significant (p</w:t>
      </w:r>
      <w:r>
        <w:rPr>
          <w:rFonts w:ascii="Arial" w:hAnsi="Arial" w:cs="Arial"/>
          <w:sz w:val="16"/>
        </w:rPr>
        <w:sym w:font="Symbol" w:char="F0B3"/>
      </w:r>
      <w:r>
        <w:rPr>
          <w:rFonts w:ascii="Arial" w:hAnsi="Arial" w:cs="Arial"/>
          <w:sz w:val="16"/>
        </w:rPr>
        <w:t>0.05) compared to placebo.</w:t>
      </w:r>
    </w:p>
    <w:p w:rsidR="009E39FD" w:rsidRDefault="009E39FD" w:rsidP="009E39FD">
      <w:pPr>
        <w:keepNext/>
        <w:keepLines/>
        <w:numPr>
          <w:ilvl w:val="12"/>
          <w:numId w:val="0"/>
        </w:numPr>
        <w:rPr>
          <w:rFonts w:ascii="Arial" w:hAnsi="Arial" w:cs="Arial"/>
          <w:sz w:val="16"/>
        </w:rPr>
      </w:pPr>
      <w:r w:rsidRPr="009519D4">
        <w:rPr>
          <w:rFonts w:ascii="Arial" w:hAnsi="Arial" w:cs="Arial"/>
          <w:sz w:val="16"/>
          <w:vertAlign w:val="superscript"/>
        </w:rPr>
        <w:t>Þ</w:t>
      </w:r>
      <w:r>
        <w:rPr>
          <w:rFonts w:ascii="Arial" w:hAnsi="Arial" w:cs="Arial"/>
          <w:sz w:val="16"/>
          <w:vertAlign w:val="superscript"/>
        </w:rPr>
        <w:t xml:space="preserve"> </w:t>
      </w:r>
      <w:r>
        <w:rPr>
          <w:rFonts w:ascii="Arial" w:hAnsi="Arial" w:cs="Arial"/>
          <w:sz w:val="16"/>
        </w:rPr>
        <w:t>Primary efficacy outcome</w:t>
      </w:r>
    </w:p>
    <w:p w:rsidR="009E39FD" w:rsidRDefault="009E39FD" w:rsidP="00AB425A">
      <w:pPr>
        <w:keepNext/>
        <w:keepLines/>
        <w:numPr>
          <w:ilvl w:val="12"/>
          <w:numId w:val="0"/>
        </w:numPr>
        <w:spacing w:after="100" w:afterAutospacing="1"/>
        <w:rPr>
          <w:rFonts w:ascii="Arial" w:hAnsi="Arial" w:cs="Arial"/>
          <w:sz w:val="16"/>
        </w:rPr>
      </w:pPr>
      <w:r w:rsidRPr="006E7C3B">
        <w:rPr>
          <w:rFonts w:ascii="Arial" w:hAnsi="Arial" w:cs="Arial"/>
          <w:sz w:val="16"/>
          <w:szCs w:val="16"/>
          <w:vertAlign w:val="superscript"/>
        </w:rPr>
        <w:t xml:space="preserve">β </w:t>
      </w:r>
      <w:r w:rsidRPr="006E7C3B">
        <w:rPr>
          <w:rFonts w:ascii="Arial" w:hAnsi="Arial" w:cs="Arial"/>
          <w:sz w:val="16"/>
          <w:szCs w:val="16"/>
        </w:rPr>
        <w:t>Secondary efficacy outcome</w:t>
      </w:r>
    </w:p>
    <w:p w:rsidR="00907289" w:rsidRDefault="00907289">
      <w:pPr>
        <w:jc w:val="both"/>
        <w:rPr>
          <w:rFonts w:ascii="Arial" w:hAnsi="Arial" w:cs="Arial"/>
          <w:sz w:val="22"/>
          <w:szCs w:val="22"/>
        </w:rPr>
      </w:pPr>
      <w:r>
        <w:rPr>
          <w:rFonts w:ascii="Arial" w:hAnsi="Arial" w:cs="Arial"/>
          <w:sz w:val="22"/>
          <w:szCs w:val="22"/>
        </w:rPr>
        <w:t>In addition, this study included patients (N=117) with more severe hyperglycaemia (HbA</w:t>
      </w:r>
      <w:r>
        <w:rPr>
          <w:rFonts w:ascii="Arial" w:hAnsi="Arial" w:cs="Arial"/>
          <w:sz w:val="22"/>
          <w:szCs w:val="22"/>
          <w:vertAlign w:val="subscript"/>
        </w:rPr>
        <w:t>1c</w:t>
      </w:r>
      <w:r>
        <w:rPr>
          <w:rFonts w:ascii="Arial" w:hAnsi="Arial" w:cs="Arial"/>
          <w:sz w:val="22"/>
          <w:szCs w:val="22"/>
        </w:rPr>
        <w:t xml:space="preserve"> &gt;11% or blood glucose &gt;15.54 mmol/L) who were treated with open-label sitagliptin at 50 mg and metformin at 1000 mg twice daily</w:t>
      </w:r>
      <w:r w:rsidR="00E1521F">
        <w:rPr>
          <w:rFonts w:ascii="Arial" w:hAnsi="Arial" w:cs="Arial"/>
          <w:sz w:val="22"/>
          <w:szCs w:val="22"/>
        </w:rPr>
        <w:t xml:space="preserve"> for 24 weeks, but were not eligible to enter Phase B of the study</w:t>
      </w:r>
      <w:r>
        <w:rPr>
          <w:rFonts w:ascii="Arial" w:hAnsi="Arial" w:cs="Arial"/>
          <w:sz w:val="22"/>
          <w:szCs w:val="22"/>
        </w:rPr>
        <w:t>. In this group of patients, the baseline HbA</w:t>
      </w:r>
      <w:r>
        <w:rPr>
          <w:rFonts w:ascii="Arial" w:hAnsi="Arial" w:cs="Arial"/>
          <w:sz w:val="22"/>
          <w:szCs w:val="22"/>
          <w:vertAlign w:val="subscript"/>
        </w:rPr>
        <w:t>1c</w:t>
      </w:r>
      <w:r>
        <w:rPr>
          <w:rFonts w:ascii="Arial" w:hAnsi="Arial" w:cs="Arial"/>
          <w:sz w:val="22"/>
          <w:szCs w:val="22"/>
        </w:rPr>
        <w:t xml:space="preserve"> value was 11.15%, FPG was 17.45 mmol/L, and 2-hour PPG was 24.48 mmol/L. After 24 weeks, decreases from baseline of </w:t>
      </w:r>
      <w:r>
        <w:rPr>
          <w:rFonts w:ascii="Arial" w:hAnsi="Arial" w:cs="Arial"/>
          <w:sz w:val="22"/>
          <w:szCs w:val="22"/>
        </w:rPr>
        <w:noBreakHyphen/>
        <w:t>2.94 % for HbA</w:t>
      </w:r>
      <w:r>
        <w:rPr>
          <w:rFonts w:ascii="Arial" w:hAnsi="Arial" w:cs="Arial"/>
          <w:sz w:val="22"/>
          <w:szCs w:val="22"/>
          <w:vertAlign w:val="subscript"/>
        </w:rPr>
        <w:t>1c</w:t>
      </w:r>
      <w:r>
        <w:rPr>
          <w:rFonts w:ascii="Arial" w:hAnsi="Arial" w:cs="Arial"/>
          <w:sz w:val="22"/>
          <w:szCs w:val="22"/>
        </w:rPr>
        <w:t xml:space="preserve">, -7.03 mmol/L for FPG, and  -11.54 mmol/L for 2-hour PPG were observed. In this open-label cohort, a modest increase in body weight of 1.3 kg was observed at 24 weeks. </w:t>
      </w:r>
    </w:p>
    <w:p w:rsidR="00907289" w:rsidRDefault="00907289" w:rsidP="00AB425A">
      <w:pPr>
        <w:spacing w:before="100" w:beforeAutospacing="1" w:after="100" w:afterAutospacing="1"/>
        <w:jc w:val="both"/>
        <w:outlineLvl w:val="0"/>
        <w:rPr>
          <w:rFonts w:ascii="Arial" w:hAnsi="Arial" w:cs="Arial"/>
          <w:b/>
          <w:sz w:val="22"/>
          <w:szCs w:val="22"/>
        </w:rPr>
      </w:pPr>
      <w:bookmarkStart w:id="4" w:name="OLE_LINK1"/>
      <w:bookmarkStart w:id="5" w:name="OLE_LINK2"/>
      <w:r>
        <w:rPr>
          <w:rFonts w:ascii="Arial" w:hAnsi="Arial" w:cs="Arial"/>
          <w:b/>
          <w:sz w:val="22"/>
          <w:szCs w:val="22"/>
        </w:rPr>
        <w:t>Sitagliptin Add-on Therapy in Patients Inadequately Controlled on Metformin Alone</w:t>
      </w:r>
      <w:bookmarkEnd w:id="4"/>
      <w:bookmarkEnd w:id="5"/>
      <w:r>
        <w:rPr>
          <w:rFonts w:ascii="Arial" w:hAnsi="Arial" w:cs="Arial"/>
          <w:b/>
          <w:sz w:val="22"/>
          <w:szCs w:val="22"/>
        </w:rPr>
        <w:t>:</w:t>
      </w:r>
    </w:p>
    <w:p w:rsidR="00907289" w:rsidRDefault="00907289" w:rsidP="00B31CE6">
      <w:pPr>
        <w:spacing w:after="100" w:afterAutospacing="1"/>
        <w:jc w:val="both"/>
        <w:rPr>
          <w:rFonts w:ascii="Arial" w:hAnsi="Arial" w:cs="Arial"/>
          <w:sz w:val="22"/>
          <w:szCs w:val="22"/>
        </w:rPr>
      </w:pPr>
      <w:r>
        <w:rPr>
          <w:rFonts w:ascii="Arial" w:hAnsi="Arial" w:cs="Arial"/>
          <w:sz w:val="22"/>
          <w:szCs w:val="22"/>
        </w:rPr>
        <w:t>The combination of sitagliptin and metformin has been evaluated for safety and efficacy in two double-blind, placebo-controlled clinical studies in patients with type 2 diabetes mellitus. In both studies, patients with inadequate glycaemic control on stable doses of metformin ≥1500 mg were randomised to receive either sitagliptin 100 mg per day or placebo in addition to ongoing treatment with metformin.</w:t>
      </w:r>
    </w:p>
    <w:p w:rsidR="00907289" w:rsidRDefault="00907289">
      <w:pPr>
        <w:jc w:val="both"/>
        <w:rPr>
          <w:rFonts w:ascii="Arial" w:hAnsi="Arial" w:cs="Arial"/>
          <w:sz w:val="22"/>
          <w:szCs w:val="22"/>
        </w:rPr>
      </w:pPr>
      <w:r>
        <w:rPr>
          <w:rFonts w:ascii="Arial" w:hAnsi="Arial" w:cs="Arial"/>
          <w:sz w:val="22"/>
          <w:szCs w:val="22"/>
        </w:rPr>
        <w:lastRenderedPageBreak/>
        <w:t>In one study, 701 patients received 100 mg of sitagliptin or placebo once daily for 24 weeks. This study used the reduction from baseline in haemoglobin A1c (HbA1c) as the primary outcome variable. Pre-specified secondary endpoints included FPG and 2-hour PPG. The addition of sitagliptin to ongoing metformin treatment provided significant improvements compared with the addition of placebo to ongoing metformin treatment in HbA</w:t>
      </w:r>
      <w:r>
        <w:rPr>
          <w:rFonts w:ascii="Arial" w:hAnsi="Arial" w:cs="Arial"/>
          <w:sz w:val="22"/>
          <w:szCs w:val="22"/>
          <w:vertAlign w:val="subscript"/>
        </w:rPr>
        <w:t>1c</w:t>
      </w:r>
      <w:r>
        <w:rPr>
          <w:rFonts w:ascii="Arial" w:hAnsi="Arial" w:cs="Arial"/>
          <w:sz w:val="22"/>
          <w:szCs w:val="22"/>
        </w:rPr>
        <w:t xml:space="preserve"> (-0.65%), FPG ( -1.41 mmol/L), and 2-hour PPG ( -2.81 mmol/L) (see Figure 1 and Table 1). This improvement in HbA</w:t>
      </w:r>
      <w:r>
        <w:rPr>
          <w:rFonts w:ascii="Arial" w:hAnsi="Arial" w:cs="Arial"/>
          <w:sz w:val="22"/>
          <w:szCs w:val="22"/>
          <w:vertAlign w:val="subscript"/>
        </w:rPr>
        <w:t>1c</w:t>
      </w:r>
      <w:r>
        <w:rPr>
          <w:rFonts w:ascii="Arial" w:hAnsi="Arial" w:cs="Arial"/>
          <w:sz w:val="22"/>
          <w:szCs w:val="22"/>
        </w:rPr>
        <w:t xml:space="preserve"> compared to placebo was not affected by baseline HbA</w:t>
      </w:r>
      <w:r>
        <w:rPr>
          <w:rFonts w:ascii="Arial" w:hAnsi="Arial" w:cs="Arial"/>
          <w:sz w:val="22"/>
          <w:szCs w:val="22"/>
          <w:vertAlign w:val="subscript"/>
        </w:rPr>
        <w:t>1c</w:t>
      </w:r>
      <w:r>
        <w:rPr>
          <w:rFonts w:ascii="Arial" w:hAnsi="Arial" w:cs="Arial"/>
          <w:sz w:val="22"/>
          <w:szCs w:val="22"/>
        </w:rPr>
        <w:t xml:space="preserve"> value, prior antihyperglycaemic therapy, gender, age, baseline BMI, length of time since diagnosis of diabetes, presence of metabolic syndrome, or standard indices of insulin resistance (HOMA-IR) or insulin secretion (HOMA-β). </w:t>
      </w:r>
      <w:r>
        <w:rPr>
          <w:rFonts w:ascii="Arial" w:hAnsi="Arial" w:cs="Arial"/>
          <w:noProof/>
          <w:sz w:val="22"/>
          <w:szCs w:val="22"/>
        </w:rPr>
        <w:t>Compared to patients taking placebo, patients taking sitagliptin demonstrated slight decreases in total cholesterol, non-HDL cholesterol and triglycerides.</w:t>
      </w:r>
      <w:r>
        <w:rPr>
          <w:rFonts w:ascii="Arial" w:hAnsi="Arial" w:cs="Arial"/>
          <w:sz w:val="22"/>
          <w:szCs w:val="22"/>
        </w:rPr>
        <w:t xml:space="preserve"> A similar decrease in body weight was observed for both treatment groups.</w:t>
      </w:r>
    </w:p>
    <w:p w:rsidR="00907289" w:rsidRDefault="00907289" w:rsidP="00AB425A">
      <w:pPr>
        <w:spacing w:before="100" w:beforeAutospacing="1" w:after="100" w:afterAutospacing="1"/>
        <w:jc w:val="center"/>
        <w:rPr>
          <w:rFonts w:ascii="Arial" w:hAnsi="Arial" w:cs="Arial"/>
          <w:b/>
          <w:sz w:val="22"/>
          <w:szCs w:val="22"/>
          <w:vertAlign w:val="superscript"/>
        </w:rPr>
      </w:pPr>
      <w:r>
        <w:rPr>
          <w:rFonts w:ascii="Arial" w:hAnsi="Arial" w:cs="Arial"/>
          <w:b/>
          <w:sz w:val="22"/>
          <w:szCs w:val="22"/>
        </w:rPr>
        <w:t xml:space="preserve">Figure </w:t>
      </w:r>
      <w:r w:rsidR="00AA11EE">
        <w:rPr>
          <w:rFonts w:ascii="Arial" w:hAnsi="Arial" w:cs="Arial"/>
          <w:b/>
          <w:sz w:val="22"/>
          <w:szCs w:val="22"/>
        </w:rPr>
        <w:t>2</w:t>
      </w:r>
      <w:r>
        <w:rPr>
          <w:rFonts w:ascii="Arial" w:hAnsi="Arial" w:cs="Arial"/>
          <w:b/>
          <w:sz w:val="22"/>
          <w:szCs w:val="22"/>
        </w:rPr>
        <w:t>: Mean Change from Baseline for HbA</w:t>
      </w:r>
      <w:r>
        <w:rPr>
          <w:rFonts w:ascii="Arial" w:hAnsi="Arial" w:cs="Arial"/>
          <w:b/>
          <w:sz w:val="22"/>
          <w:szCs w:val="22"/>
          <w:vertAlign w:val="subscript"/>
        </w:rPr>
        <w:t>1c</w:t>
      </w:r>
      <w:r>
        <w:rPr>
          <w:rFonts w:ascii="Arial" w:hAnsi="Arial" w:cs="Arial"/>
          <w:sz w:val="22"/>
          <w:szCs w:val="22"/>
        </w:rPr>
        <w:t xml:space="preserve"> </w:t>
      </w:r>
      <w:r>
        <w:rPr>
          <w:rFonts w:ascii="Arial" w:hAnsi="Arial" w:cs="Arial"/>
          <w:b/>
          <w:sz w:val="22"/>
          <w:szCs w:val="22"/>
        </w:rPr>
        <w:t>(%) over 24 Weeks with Sitagliptin 100-mg Total Daily Dose added to Metformin (≥ 1500 mg) or Placebo added to Metformin (≥ 1500 mg) in Patients with Type 2 Diabetes</w:t>
      </w:r>
      <w:r>
        <w:rPr>
          <w:rFonts w:ascii="Arial" w:hAnsi="Arial" w:cs="Arial"/>
          <w:b/>
          <w:sz w:val="22"/>
          <w:szCs w:val="22"/>
          <w:vertAlign w:val="superscript"/>
        </w:rPr>
        <w:t xml:space="preserve">† </w:t>
      </w:r>
      <w:r>
        <w:rPr>
          <w:rFonts w:ascii="Arial" w:hAnsi="Arial" w:cs="Arial"/>
          <w:sz w:val="22"/>
          <w:szCs w:val="22"/>
          <w:vertAlign w:val="superscript"/>
        </w:rPr>
        <w:t>‡</w:t>
      </w:r>
    </w:p>
    <w:p w:rsidR="00907289" w:rsidRDefault="009D48CF">
      <w:pPr>
        <w:rPr>
          <w:rFonts w:ascii="Arial" w:hAnsi="Arial" w:cs="Arial"/>
          <w:color w:val="000000"/>
          <w:sz w:val="16"/>
          <w:szCs w:val="16"/>
        </w:rPr>
      </w:pPr>
      <w:r>
        <w:rPr>
          <w:rFonts w:ascii="Arial" w:hAnsi="Arial" w:cs="Arial"/>
          <w:noProof/>
        </w:rPr>
        <w:drawing>
          <wp:inline distT="0" distB="0" distL="0" distR="0">
            <wp:extent cx="3500755" cy="2705100"/>
            <wp:effectExtent l="0" t="0" r="0" b="0"/>
            <wp:docPr id="4" name="Picture 4" descr="Figure 2: Mean Change from Baseline for HbA1c (%) over 24 Weeks with Sitagliptin 100-mg Total Daily Dose added to Metformin (≥ 1500 mg) or Placebo added to Metformin (≥ 1500 mg) in Patients with Type 2 Diabet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ure 2: Mean Change from Baseline for HbA1c (%) over 24 Weeks with Sitagliptin 100-mg Total Daily Dose added to Metformin (≥ 1500 mg) or Placebo added to Metformin (≥ 1500 mg) in Patients with Type 2 Diabetes† ‡"/>
                    <pic:cNvPicPr>
                      <a:picLocks noChangeAspect="1" noChangeArrowheads="1"/>
                    </pic:cNvPicPr>
                  </pic:nvPicPr>
                  <pic:blipFill>
                    <a:blip r:embed="rId11" cstate="print"/>
                    <a:srcRect/>
                    <a:stretch>
                      <a:fillRect/>
                    </a:stretch>
                  </pic:blipFill>
                  <pic:spPr bwMode="auto">
                    <a:xfrm>
                      <a:off x="0" y="0"/>
                      <a:ext cx="3500755" cy="2705100"/>
                    </a:xfrm>
                    <a:prstGeom prst="rect">
                      <a:avLst/>
                    </a:prstGeom>
                    <a:noFill/>
                    <a:ln w="9525">
                      <a:noFill/>
                      <a:miter lim="800000"/>
                      <a:headEnd/>
                      <a:tailEnd/>
                    </a:ln>
                  </pic:spPr>
                </pic:pic>
              </a:graphicData>
            </a:graphic>
          </wp:inline>
        </w:drawing>
      </w:r>
      <w:r w:rsidR="00907289">
        <w:rPr>
          <w:rFonts w:ascii="Arial" w:hAnsi="Arial" w:cs="Arial"/>
          <w:color w:val="000000"/>
          <w:sz w:val="16"/>
          <w:szCs w:val="16"/>
        </w:rPr>
        <w:t xml:space="preserve"> </w:t>
      </w:r>
    </w:p>
    <w:p w:rsidR="00907289" w:rsidRDefault="00907289">
      <w:pPr>
        <w:rPr>
          <w:rFonts w:ascii="Arial" w:hAnsi="Arial" w:cs="Arial"/>
          <w:sz w:val="16"/>
          <w:vertAlign w:val="superscript"/>
        </w:rPr>
      </w:pPr>
      <w:r>
        <w:rPr>
          <w:rFonts w:ascii="Arial" w:hAnsi="Arial" w:cs="Arial"/>
          <w:sz w:val="16"/>
          <w:vertAlign w:val="superscript"/>
        </w:rPr>
        <w:t>†</w:t>
      </w:r>
      <w:r>
        <w:rPr>
          <w:rFonts w:ascii="Arial" w:hAnsi="Arial" w:cs="Arial"/>
          <w:sz w:val="16"/>
        </w:rPr>
        <w:t xml:space="preserve"> Patients with inadequate glycaemic control on metformin monotherapy.</w:t>
      </w:r>
    </w:p>
    <w:p w:rsidR="00907289" w:rsidRDefault="00907289">
      <w:pPr>
        <w:rPr>
          <w:rFonts w:ascii="Arial" w:hAnsi="Arial" w:cs="Arial"/>
          <w:sz w:val="16"/>
        </w:rPr>
      </w:pPr>
      <w:r>
        <w:rPr>
          <w:rFonts w:ascii="Arial" w:hAnsi="Arial" w:cs="Arial"/>
          <w:sz w:val="16"/>
          <w:vertAlign w:val="superscript"/>
        </w:rPr>
        <w:t xml:space="preserve">‡ </w:t>
      </w:r>
      <w:r>
        <w:rPr>
          <w:rFonts w:ascii="Arial" w:hAnsi="Arial" w:cs="Arial"/>
          <w:sz w:val="16"/>
        </w:rPr>
        <w:t>All Patients Treated Population Least squares means adjusted for prior antihyperglycaemic therapy and baseline value.</w:t>
      </w:r>
    </w:p>
    <w:p w:rsidR="00AF3639" w:rsidRDefault="00AF3639" w:rsidP="00AF3639">
      <w:pPr>
        <w:pStyle w:val="Body"/>
        <w:keepNext/>
        <w:ind w:firstLine="0"/>
        <w:jc w:val="center"/>
        <w:rPr>
          <w:rFonts w:cs="Arial"/>
          <w:b/>
          <w:sz w:val="22"/>
          <w:szCs w:val="22"/>
        </w:rPr>
      </w:pPr>
      <w:r>
        <w:rPr>
          <w:rFonts w:cs="Arial"/>
          <w:b/>
          <w:sz w:val="22"/>
          <w:szCs w:val="22"/>
        </w:rPr>
        <w:lastRenderedPageBreak/>
        <w:t>Table 2: Glycaemic Parameters and Body Weight at Final Visit (24-Week Study)</w:t>
      </w:r>
    </w:p>
    <w:p w:rsidR="00AF3639" w:rsidRDefault="00AF3639" w:rsidP="00AF3639">
      <w:pPr>
        <w:pStyle w:val="Body"/>
        <w:keepNext/>
        <w:ind w:firstLine="0"/>
        <w:jc w:val="center"/>
        <w:rPr>
          <w:rFonts w:cs="Arial"/>
          <w:b/>
          <w:sz w:val="22"/>
          <w:szCs w:val="22"/>
        </w:rPr>
      </w:pPr>
      <w:r>
        <w:rPr>
          <w:rFonts w:cs="Arial"/>
          <w:b/>
          <w:sz w:val="22"/>
          <w:szCs w:val="22"/>
        </w:rPr>
        <w:t>Sitagliptin as Add-on Therapy in Patients with</w:t>
      </w:r>
    </w:p>
    <w:p w:rsidR="00AF3639" w:rsidRDefault="00AF3639" w:rsidP="00AF3639">
      <w:pPr>
        <w:pStyle w:val="Body"/>
        <w:keepNext/>
        <w:ind w:firstLine="0"/>
        <w:jc w:val="center"/>
        <w:rPr>
          <w:rFonts w:cs="Arial"/>
          <w:b/>
          <w:sz w:val="22"/>
          <w:szCs w:val="22"/>
        </w:rPr>
      </w:pPr>
      <w:r>
        <w:rPr>
          <w:rFonts w:cs="Arial"/>
          <w:b/>
          <w:sz w:val="22"/>
          <w:szCs w:val="22"/>
        </w:rPr>
        <w:t>Inadequate Glycaemic Control on Metformin</w:t>
      </w:r>
      <w:r>
        <w:rPr>
          <w:rFonts w:cs="Arial"/>
          <w:b/>
          <w:sz w:val="22"/>
          <w:szCs w:val="22"/>
          <w:vertAlign w:val="superscript"/>
        </w:rPr>
        <w:t>†</w:t>
      </w:r>
    </w:p>
    <w:p w:rsidR="00907289" w:rsidRDefault="009D48CF">
      <w:pPr>
        <w:rPr>
          <w:sz w:val="22"/>
          <w:szCs w:val="22"/>
        </w:rPr>
      </w:pPr>
      <w:r>
        <w:rPr>
          <w:noProof/>
          <w:sz w:val="22"/>
          <w:szCs w:val="22"/>
        </w:rPr>
        <w:drawing>
          <wp:inline distT="0" distB="0" distL="0" distR="0">
            <wp:extent cx="5943600" cy="471995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t="10280"/>
                    <a:stretch>
                      <a:fillRect/>
                    </a:stretch>
                  </pic:blipFill>
                  <pic:spPr bwMode="auto">
                    <a:xfrm>
                      <a:off x="0" y="0"/>
                      <a:ext cx="5943600" cy="4719955"/>
                    </a:xfrm>
                    <a:prstGeom prst="rect">
                      <a:avLst/>
                    </a:prstGeom>
                    <a:noFill/>
                    <a:ln w="9525">
                      <a:noFill/>
                      <a:miter lim="800000"/>
                      <a:headEnd/>
                      <a:tailEnd/>
                    </a:ln>
                  </pic:spPr>
                </pic:pic>
              </a:graphicData>
            </a:graphic>
          </wp:inline>
        </w:drawing>
      </w:r>
    </w:p>
    <w:p w:rsidR="00907289" w:rsidRDefault="00907289" w:rsidP="00AB425A">
      <w:pPr>
        <w:spacing w:before="100" w:beforeAutospacing="1" w:after="100" w:afterAutospacing="1"/>
        <w:jc w:val="both"/>
        <w:rPr>
          <w:rFonts w:ascii="Arial" w:hAnsi="Arial" w:cs="Arial"/>
          <w:sz w:val="22"/>
          <w:szCs w:val="22"/>
        </w:rPr>
      </w:pPr>
      <w:r>
        <w:rPr>
          <w:rFonts w:ascii="Arial" w:hAnsi="Arial" w:cs="Arial"/>
          <w:sz w:val="22"/>
          <w:szCs w:val="22"/>
        </w:rPr>
        <w:t xml:space="preserve">In a separate study, 24-hour plasma glucose values were assessed. </w:t>
      </w:r>
      <w:r>
        <w:rPr>
          <w:rFonts w:ascii="Arial" w:hAnsi="Arial" w:cs="ArialMT"/>
          <w:sz w:val="22"/>
          <w:szCs w:val="22"/>
        </w:rPr>
        <w:t xml:space="preserve">This study used the reduction in 24-hour </w:t>
      </w:r>
      <w:r>
        <w:rPr>
          <w:rFonts w:ascii="Arial" w:hAnsi="Arial" w:cs="Arial"/>
          <w:sz w:val="22"/>
          <w:szCs w:val="22"/>
        </w:rPr>
        <w:t>weighted mean glucose</w:t>
      </w:r>
      <w:r>
        <w:rPr>
          <w:rFonts w:ascii="Arial" w:hAnsi="Arial" w:cs="ArialMT"/>
          <w:sz w:val="22"/>
          <w:szCs w:val="22"/>
        </w:rPr>
        <w:t xml:space="preserve"> (WMG) as the primary outcome variable. </w:t>
      </w:r>
      <w:r>
        <w:rPr>
          <w:rFonts w:ascii="Arial" w:hAnsi="Arial" w:cs="Arial"/>
          <w:sz w:val="22"/>
          <w:szCs w:val="22"/>
        </w:rPr>
        <w:t>Twenty-eight patients received either 50 mg sitagliptin or placebo twice daily for 4 weeks in addition to their twice daily metformin regimen. Following 4 weeks of treatment, the difference in glucose lowering efficacy was assessed as WMG based upon collection of multiple blood samples, including those obtained before and after meals as well as overnight. Sitagliptin 50 mg co-administered twice daily with metformin significantly lowered the 24-hour WMG (-1.82 mmol/L) compared to placebo co-administered with metformin. In addition, sitagliptin administered with metformin, compared with placebo administered with metformin, substantially lowered fasting glucose concentrations and demonstrated smaller glucose excursions after all three meals (see Figure 2). In patient-collected glucose measurements, treatment with sitagliptin administered with metformin also provided significant reductions compared to placebo administered with metformin in mean fasting plasma glucose ( -1.13 mmol/L), 7-point glucose average ( -1.55 mmol/L), and 2 hour post-glucose concentrations ( -2.03 mmol/L).</w:t>
      </w:r>
    </w:p>
    <w:p w:rsidR="00907289" w:rsidRDefault="00907289" w:rsidP="00AF3639">
      <w:pPr>
        <w:keepNext/>
        <w:tabs>
          <w:tab w:val="left" w:pos="100"/>
        </w:tabs>
        <w:jc w:val="center"/>
        <w:outlineLvl w:val="0"/>
        <w:rPr>
          <w:rFonts w:ascii="Arial" w:hAnsi="Arial" w:cs="Arial"/>
          <w:b/>
          <w:sz w:val="22"/>
          <w:szCs w:val="22"/>
        </w:rPr>
      </w:pPr>
      <w:r>
        <w:rPr>
          <w:rFonts w:ascii="Arial" w:hAnsi="Arial" w:cs="Arial"/>
          <w:b/>
          <w:sz w:val="22"/>
          <w:szCs w:val="22"/>
        </w:rPr>
        <w:lastRenderedPageBreak/>
        <w:t xml:space="preserve">Figure </w:t>
      </w:r>
      <w:r w:rsidR="00AA11EE">
        <w:rPr>
          <w:rFonts w:ascii="Arial" w:hAnsi="Arial" w:cs="Arial"/>
          <w:b/>
          <w:sz w:val="22"/>
          <w:szCs w:val="22"/>
        </w:rPr>
        <w:t>3</w:t>
      </w:r>
      <w:r>
        <w:rPr>
          <w:rFonts w:ascii="Arial" w:hAnsi="Arial" w:cs="Arial"/>
          <w:b/>
          <w:sz w:val="22"/>
          <w:szCs w:val="22"/>
        </w:rPr>
        <w:t>: 24-hour Plasma Glucose Profile after 4-Week Treatment with</w:t>
      </w:r>
    </w:p>
    <w:p w:rsidR="00907289" w:rsidRDefault="00907289" w:rsidP="00AF3639">
      <w:pPr>
        <w:pStyle w:val="Body"/>
        <w:keepNext/>
        <w:ind w:firstLine="0"/>
        <w:jc w:val="center"/>
        <w:rPr>
          <w:rFonts w:cs="Arial"/>
          <w:b/>
          <w:sz w:val="22"/>
          <w:szCs w:val="22"/>
        </w:rPr>
      </w:pPr>
      <w:r>
        <w:rPr>
          <w:rFonts w:cs="Arial"/>
          <w:b/>
          <w:sz w:val="22"/>
          <w:szCs w:val="22"/>
        </w:rPr>
        <w:t xml:space="preserve">Sitagliptin 50-mg Twice Daily and Metformin (≥ 1500 mg) or </w:t>
      </w:r>
    </w:p>
    <w:p w:rsidR="00907289" w:rsidRDefault="00907289" w:rsidP="00AF3639">
      <w:pPr>
        <w:pStyle w:val="Body"/>
        <w:keepNext/>
        <w:ind w:firstLine="0"/>
        <w:jc w:val="center"/>
        <w:rPr>
          <w:rFonts w:cs="Arial"/>
          <w:b/>
          <w:sz w:val="22"/>
          <w:szCs w:val="22"/>
        </w:rPr>
      </w:pPr>
      <w:r>
        <w:rPr>
          <w:rFonts w:cs="Arial"/>
          <w:b/>
          <w:sz w:val="22"/>
          <w:szCs w:val="22"/>
        </w:rPr>
        <w:t>Placebo and Metformin (≥ 1500 mg) in Patients with Type 2 Diabetes</w:t>
      </w:r>
      <w:r>
        <w:rPr>
          <w:rFonts w:cs="Arial"/>
          <w:b/>
          <w:sz w:val="22"/>
          <w:szCs w:val="22"/>
          <w:vertAlign w:val="superscript"/>
        </w:rPr>
        <w:t>†</w:t>
      </w:r>
    </w:p>
    <w:p w:rsidR="00B31CE6" w:rsidRDefault="009D48CF" w:rsidP="00B31CE6">
      <w:pPr>
        <w:tabs>
          <w:tab w:val="left" w:pos="1320"/>
          <w:tab w:val="left" w:pos="1680"/>
          <w:tab w:val="left" w:pos="1920"/>
          <w:tab w:val="left" w:pos="3960"/>
          <w:tab w:val="left" w:pos="6120"/>
          <w:tab w:val="left" w:pos="6480"/>
          <w:tab w:val="left" w:pos="6840"/>
        </w:tabs>
        <w:jc w:val="both"/>
      </w:pPr>
      <w:r>
        <w:rPr>
          <w:noProof/>
        </w:rPr>
        <w:drawing>
          <wp:inline distT="0" distB="0" distL="0" distR="0">
            <wp:extent cx="5139055" cy="3975100"/>
            <wp:effectExtent l="0" t="0" r="0" b="0"/>
            <wp:docPr id="6" name="Picture 6" descr="Figure 3: 24-hour Plasma Glucose Profile after 4-Week Treatment with&#10;Sitagliptin 50-mg Twice Daily and Metformin (≥ 1500 mg) or &#10;Placebo and Metformin (≥ 1500 mg) in Patients with Type 2 Diabete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gure 3: 24-hour Plasma Glucose Profile after 4-Week Treatment with&#10;Sitagliptin 50-mg Twice Daily and Metformin (≥ 1500 mg) or &#10;Placebo and Metformin (≥ 1500 mg) in Patients with Type 2 Diabetes†&#10;"/>
                    <pic:cNvPicPr>
                      <a:picLocks noChangeAspect="1" noChangeArrowheads="1"/>
                    </pic:cNvPicPr>
                  </pic:nvPicPr>
                  <pic:blipFill>
                    <a:blip r:embed="rId13" cstate="print"/>
                    <a:srcRect/>
                    <a:stretch>
                      <a:fillRect/>
                    </a:stretch>
                  </pic:blipFill>
                  <pic:spPr bwMode="auto">
                    <a:xfrm>
                      <a:off x="0" y="0"/>
                      <a:ext cx="5139055" cy="3975100"/>
                    </a:xfrm>
                    <a:prstGeom prst="rect">
                      <a:avLst/>
                    </a:prstGeom>
                    <a:noFill/>
                    <a:ln w="9525">
                      <a:noFill/>
                      <a:miter lim="800000"/>
                      <a:headEnd/>
                      <a:tailEnd/>
                    </a:ln>
                  </pic:spPr>
                </pic:pic>
              </a:graphicData>
            </a:graphic>
          </wp:inline>
        </w:drawing>
      </w:r>
    </w:p>
    <w:p w:rsidR="00907289" w:rsidRDefault="00907289" w:rsidP="00B31CE6">
      <w:pPr>
        <w:tabs>
          <w:tab w:val="left" w:pos="1320"/>
          <w:tab w:val="left" w:pos="1680"/>
          <w:tab w:val="left" w:pos="1920"/>
          <w:tab w:val="left" w:pos="3960"/>
          <w:tab w:val="left" w:pos="6120"/>
          <w:tab w:val="left" w:pos="6480"/>
          <w:tab w:val="left" w:pos="6840"/>
        </w:tabs>
        <w:jc w:val="both"/>
        <w:rPr>
          <w:rFonts w:ascii="Arial" w:hAnsi="Arial" w:cs="Arial"/>
        </w:rPr>
      </w:pPr>
      <w:r>
        <w:rPr>
          <w:rFonts w:ascii="Arial" w:hAnsi="Arial" w:cs="Arial"/>
          <w:vertAlign w:val="superscript"/>
        </w:rPr>
        <w:t>†</w:t>
      </w:r>
      <w:r>
        <w:rPr>
          <w:rFonts w:ascii="Arial" w:hAnsi="Arial" w:cs="Arial"/>
          <w:sz w:val="16"/>
          <w:szCs w:val="16"/>
        </w:rPr>
        <w:t>Patients with inadequate glycaemic control on metformin monotherapy.</w:t>
      </w:r>
    </w:p>
    <w:p w:rsidR="00907289" w:rsidRDefault="00907289" w:rsidP="00AB425A">
      <w:pPr>
        <w:spacing w:before="100" w:beforeAutospacing="1" w:after="100" w:afterAutospacing="1"/>
        <w:jc w:val="both"/>
        <w:outlineLvl w:val="0"/>
        <w:rPr>
          <w:rFonts w:ascii="Arial" w:hAnsi="Arial" w:cs="Arial"/>
          <w:b/>
          <w:sz w:val="22"/>
          <w:szCs w:val="22"/>
        </w:rPr>
      </w:pPr>
      <w:r>
        <w:rPr>
          <w:rFonts w:ascii="Arial" w:hAnsi="Arial" w:cs="Arial"/>
          <w:b/>
          <w:sz w:val="22"/>
          <w:szCs w:val="22"/>
        </w:rPr>
        <w:t xml:space="preserve">Active (Glipizide)-Controlled Study in Combination with Metformin </w:t>
      </w:r>
    </w:p>
    <w:p w:rsidR="00907289" w:rsidRDefault="00907289">
      <w:pPr>
        <w:jc w:val="both"/>
        <w:rPr>
          <w:rFonts w:ascii="Arial" w:hAnsi="Arial" w:cs="Arial"/>
          <w:sz w:val="22"/>
          <w:szCs w:val="22"/>
        </w:rPr>
      </w:pPr>
      <w:r>
        <w:rPr>
          <w:rFonts w:ascii="Arial" w:hAnsi="Arial" w:cs="Arial"/>
          <w:sz w:val="22"/>
          <w:szCs w:val="22"/>
        </w:rPr>
        <w:t>Long-term maintenance of effect was evaluated in a 52-week, double-blind, glipizide-controlled trial in patients with type 2 diabetes and inadequate glycaemic control on metformin monotherapy at ≥1500 mg/day. In this study, patients were randomised to the addition of either sitagliptin 100 mg daily (N = 588) or glipizide (N = 584) for 52 weeks. Patients receiving glipizide were given an initial dosage of 5 mg/day and then electively titrated by the investigator to a target FPG of &lt;6.11 mmol/L, without significant hypoglycaemia, over the next 18 weeks. A maximum dosage of 20 mg/day was allowed to optimise glycaemic control. Thereafter, the glipizide dose was to have been kept constant. The mean dose of glipizide after the titration period was 10.3 mg.</w:t>
      </w:r>
    </w:p>
    <w:p w:rsidR="00907289" w:rsidRDefault="00907289" w:rsidP="00AB425A">
      <w:pPr>
        <w:spacing w:before="100" w:beforeAutospacing="1" w:after="100" w:afterAutospacing="1"/>
        <w:jc w:val="both"/>
        <w:rPr>
          <w:rFonts w:ascii="Arial" w:hAnsi="Arial" w:cs="Arial"/>
          <w:sz w:val="22"/>
          <w:szCs w:val="22"/>
          <w:lang w:val="en-GB"/>
        </w:rPr>
      </w:pPr>
      <w:r>
        <w:rPr>
          <w:rFonts w:ascii="Arial" w:hAnsi="Arial" w:cs="Arial"/>
          <w:sz w:val="22"/>
          <w:szCs w:val="22"/>
        </w:rPr>
        <w:t>Both treatments resulted in a statistically significant improvement in glycaemic control from baseline. After 52 weeks, the reduction from baseline in HbA</w:t>
      </w:r>
      <w:r>
        <w:rPr>
          <w:rFonts w:ascii="Arial" w:hAnsi="Arial" w:cs="Arial"/>
          <w:sz w:val="22"/>
          <w:szCs w:val="22"/>
          <w:vertAlign w:val="subscript"/>
        </w:rPr>
        <w:t>1c</w:t>
      </w:r>
      <w:r>
        <w:rPr>
          <w:rFonts w:ascii="Arial" w:hAnsi="Arial" w:cs="Arial"/>
          <w:sz w:val="22"/>
          <w:szCs w:val="22"/>
        </w:rPr>
        <w:t xml:space="preserve"> was 0.67% for sitagliptin 100 mg daily and 0.67% for glipizide, confirming comparable efficacy of the two agents. The reduction in FPG was 0.56 mmol/L for sitagliptin and 0.42 mmol/L for glipizide. In a post-hoc analysis, patients with higher baseline HbA</w:t>
      </w:r>
      <w:r>
        <w:rPr>
          <w:rFonts w:ascii="Arial" w:hAnsi="Arial" w:cs="Arial"/>
          <w:sz w:val="22"/>
          <w:szCs w:val="22"/>
          <w:vertAlign w:val="subscript"/>
        </w:rPr>
        <w:t xml:space="preserve">1c </w:t>
      </w:r>
      <w:r>
        <w:rPr>
          <w:rFonts w:ascii="Arial" w:hAnsi="Arial" w:cs="Arial"/>
          <w:sz w:val="22"/>
          <w:szCs w:val="22"/>
        </w:rPr>
        <w:t>(≥9%) in both groups had greater reductions from baseline in HbA</w:t>
      </w:r>
      <w:r>
        <w:rPr>
          <w:rFonts w:ascii="Arial" w:hAnsi="Arial" w:cs="Arial"/>
          <w:sz w:val="22"/>
          <w:szCs w:val="22"/>
          <w:vertAlign w:val="subscript"/>
        </w:rPr>
        <w:t xml:space="preserve">1c </w:t>
      </w:r>
      <w:r>
        <w:rPr>
          <w:rFonts w:ascii="Arial" w:hAnsi="Arial" w:cs="Arial"/>
          <w:sz w:val="22"/>
          <w:szCs w:val="22"/>
        </w:rPr>
        <w:t>(sitagliptin, -1.68%; glipizide, -1.76%). In this study, the proinsulin to insulin ratio, a marker of efficiency of insulin synthesis and release, improved with sitagliptin and deteriorated with glipizide treatment. The incidence of hypoglycaemia in the sitagliptin group (4.9%) was</w:t>
      </w:r>
      <w:r>
        <w:rPr>
          <w:rFonts w:ascii="Arial" w:hAnsi="Arial" w:cs="Arial"/>
          <w:sz w:val="22"/>
          <w:szCs w:val="22"/>
          <w:u w:val="double"/>
        </w:rPr>
        <w:t xml:space="preserve"> </w:t>
      </w:r>
      <w:r>
        <w:rPr>
          <w:rFonts w:ascii="Arial" w:hAnsi="Arial" w:cs="Arial"/>
          <w:sz w:val="22"/>
          <w:szCs w:val="22"/>
          <w:lang w:val="en-GB"/>
        </w:rPr>
        <w:t>significantly lower than that in the glipizide group (32.0%). Patients treated with sitagliptin exhibited a significant mean decrease from baseline in body weight compared to a significant weight gain in patients administered glipizide (-1.5 kg vs. +1.1 kg).</w:t>
      </w:r>
    </w:p>
    <w:p w:rsidR="00907289" w:rsidRDefault="00AB425A" w:rsidP="003C4953">
      <w:pPr>
        <w:outlineLvl w:val="0"/>
        <w:rPr>
          <w:rFonts w:ascii="Arial" w:hAnsi="Arial" w:cs="Arial"/>
          <w:bCs/>
          <w:i/>
          <w:sz w:val="22"/>
          <w:szCs w:val="22"/>
        </w:rPr>
      </w:pPr>
      <w:r>
        <w:rPr>
          <w:rFonts w:ascii="Arial" w:hAnsi="Arial" w:cs="Arial"/>
          <w:bCs/>
          <w:i/>
          <w:sz w:val="22"/>
          <w:szCs w:val="22"/>
        </w:rPr>
        <w:br w:type="page"/>
      </w:r>
      <w:r w:rsidR="00907289">
        <w:rPr>
          <w:rFonts w:ascii="Arial" w:hAnsi="Arial" w:cs="Arial"/>
          <w:bCs/>
          <w:i/>
          <w:sz w:val="22"/>
          <w:szCs w:val="22"/>
        </w:rPr>
        <w:lastRenderedPageBreak/>
        <w:t>Metformin hydrochloride</w:t>
      </w:r>
    </w:p>
    <w:p w:rsidR="00907289" w:rsidRDefault="00907289">
      <w:pPr>
        <w:tabs>
          <w:tab w:val="left" w:pos="1320"/>
          <w:tab w:val="left" w:pos="1680"/>
          <w:tab w:val="left" w:pos="1920"/>
          <w:tab w:val="left" w:pos="3960"/>
          <w:tab w:val="left" w:pos="6120"/>
          <w:tab w:val="left" w:pos="6480"/>
          <w:tab w:val="left" w:pos="6840"/>
        </w:tabs>
        <w:rPr>
          <w:rFonts w:ascii="Arial" w:hAnsi="Arial" w:cs="Arial"/>
          <w:sz w:val="22"/>
          <w:szCs w:val="22"/>
        </w:rPr>
      </w:pPr>
      <w:r>
        <w:rPr>
          <w:rFonts w:ascii="Arial" w:hAnsi="Arial" w:cs="Arial"/>
          <w:sz w:val="22"/>
          <w:szCs w:val="22"/>
        </w:rPr>
        <w:t>The prospective randomised (UKPDS 34) study has established the long-term benefit of intensive blood glucose control in type 2 diabetes. Analysis of the results for overweight patients treated with metformin after failure of diet alone showed:</w:t>
      </w:r>
    </w:p>
    <w:p w:rsidR="00907289" w:rsidRDefault="00907289">
      <w:pPr>
        <w:tabs>
          <w:tab w:val="left" w:pos="1320"/>
          <w:tab w:val="left" w:pos="1680"/>
          <w:tab w:val="left" w:pos="1920"/>
          <w:tab w:val="left" w:pos="3960"/>
          <w:tab w:val="left" w:pos="6120"/>
          <w:tab w:val="left" w:pos="6480"/>
          <w:tab w:val="left" w:pos="6840"/>
        </w:tabs>
        <w:ind w:left="400"/>
        <w:rPr>
          <w:rFonts w:ascii="Arial" w:hAnsi="Arial" w:cs="Arial"/>
          <w:sz w:val="22"/>
          <w:szCs w:val="22"/>
        </w:rPr>
      </w:pPr>
      <w:r>
        <w:rPr>
          <w:rFonts w:ascii="Arial" w:hAnsi="Arial" w:cs="Arial"/>
          <w:sz w:val="22"/>
          <w:szCs w:val="22"/>
        </w:rPr>
        <w:t>- a significant reduction of the absolute risk of any diabetes-related complication in the metformin group (29.8 events/1000 patient-years) versus diet alone (43.3 events/1000 patient-years), p=0.0023, and versus the combined sulfonylurea and insulin monotherapy groups (40.1 events/1000 patient-years), p=0.0034.</w:t>
      </w:r>
    </w:p>
    <w:p w:rsidR="00907289" w:rsidRDefault="00907289">
      <w:pPr>
        <w:tabs>
          <w:tab w:val="left" w:pos="1320"/>
          <w:tab w:val="left" w:pos="1680"/>
          <w:tab w:val="left" w:pos="1920"/>
          <w:tab w:val="left" w:pos="3960"/>
          <w:tab w:val="left" w:pos="6120"/>
          <w:tab w:val="left" w:pos="6480"/>
          <w:tab w:val="left" w:pos="6840"/>
        </w:tabs>
        <w:ind w:left="400"/>
        <w:rPr>
          <w:rFonts w:ascii="Arial" w:hAnsi="Arial" w:cs="Arial"/>
          <w:sz w:val="22"/>
          <w:szCs w:val="22"/>
        </w:rPr>
      </w:pPr>
      <w:r>
        <w:rPr>
          <w:rFonts w:ascii="Arial" w:hAnsi="Arial" w:cs="Arial"/>
          <w:sz w:val="22"/>
          <w:szCs w:val="22"/>
        </w:rPr>
        <w:t>- a significant reduction of the absolute risk of diabetes-related mortality: metformin 7.5 events/1000 patient-years, diet alone 12.7 events/1000 patient-years, p=0.017.</w:t>
      </w:r>
    </w:p>
    <w:p w:rsidR="00907289" w:rsidRDefault="00907289">
      <w:pPr>
        <w:tabs>
          <w:tab w:val="left" w:pos="1320"/>
          <w:tab w:val="left" w:pos="1680"/>
          <w:tab w:val="left" w:pos="1920"/>
          <w:tab w:val="left" w:pos="3960"/>
          <w:tab w:val="left" w:pos="6120"/>
          <w:tab w:val="left" w:pos="6480"/>
          <w:tab w:val="left" w:pos="6840"/>
        </w:tabs>
        <w:ind w:left="400"/>
        <w:rPr>
          <w:rFonts w:ascii="Arial" w:hAnsi="Arial" w:cs="Arial"/>
          <w:sz w:val="22"/>
          <w:szCs w:val="22"/>
        </w:rPr>
      </w:pPr>
      <w:r>
        <w:rPr>
          <w:rFonts w:ascii="Arial" w:hAnsi="Arial" w:cs="Arial"/>
          <w:sz w:val="22"/>
          <w:szCs w:val="22"/>
        </w:rPr>
        <w:t>- a significant reduction of the absolute risk of overall mortality: metformin 13.5 events/1000 patient-years versus diet alone 20.6 events/1000 patient-years (p=0.011), and versus the combined sulfonylurea and insulin monotherapy groups 18.9 events/1000 patient-years (p=0.021).</w:t>
      </w:r>
    </w:p>
    <w:p w:rsidR="00907289" w:rsidRDefault="00907289">
      <w:pPr>
        <w:tabs>
          <w:tab w:val="left" w:pos="1320"/>
          <w:tab w:val="left" w:pos="1680"/>
          <w:tab w:val="left" w:pos="1920"/>
          <w:tab w:val="left" w:pos="3960"/>
          <w:tab w:val="left" w:pos="6120"/>
          <w:tab w:val="left" w:pos="6480"/>
          <w:tab w:val="left" w:pos="6840"/>
        </w:tabs>
        <w:ind w:left="400"/>
        <w:rPr>
          <w:rFonts w:ascii="Arial" w:hAnsi="Arial" w:cs="Arial"/>
          <w:sz w:val="22"/>
          <w:szCs w:val="22"/>
        </w:rPr>
      </w:pPr>
      <w:r>
        <w:rPr>
          <w:rFonts w:ascii="Arial" w:hAnsi="Arial" w:cs="Arial"/>
          <w:sz w:val="22"/>
          <w:szCs w:val="22"/>
        </w:rPr>
        <w:t>- a significant reduction in the absolute risk of myocardial infarction: metformin 11 events/1000 patient-years, diet alone 18 events/1000 patient-years (p=0.01).</w:t>
      </w:r>
    </w:p>
    <w:p w:rsidR="00907289" w:rsidRDefault="00907289" w:rsidP="00AB425A">
      <w:pPr>
        <w:spacing w:before="100" w:beforeAutospacing="1" w:after="100" w:afterAutospacing="1"/>
        <w:jc w:val="center"/>
        <w:outlineLvl w:val="0"/>
        <w:rPr>
          <w:rFonts w:ascii="Arial" w:hAnsi="Arial" w:cs="Arial"/>
          <w:b/>
          <w:sz w:val="22"/>
          <w:szCs w:val="22"/>
        </w:rPr>
      </w:pPr>
      <w:r>
        <w:rPr>
          <w:rFonts w:ascii="Arial" w:hAnsi="Arial" w:cs="Arial"/>
          <w:b/>
          <w:sz w:val="22"/>
          <w:szCs w:val="22"/>
        </w:rPr>
        <w:t>INDICATIONS</w:t>
      </w:r>
    </w:p>
    <w:p w:rsidR="00907289" w:rsidRDefault="00907289">
      <w:pPr>
        <w:rPr>
          <w:rFonts w:ascii="Arial" w:hAnsi="Arial" w:cs="Arial"/>
          <w:sz w:val="22"/>
          <w:szCs w:val="22"/>
        </w:rPr>
      </w:pPr>
      <w:bookmarkStart w:id="6" w:name="OLE_LINK3"/>
      <w:r>
        <w:rPr>
          <w:rFonts w:ascii="Arial" w:hAnsi="Arial" w:cs="Arial"/>
          <w:sz w:val="22"/>
          <w:szCs w:val="22"/>
        </w:rPr>
        <w:t>JANUMET is indicated as initial therapy in patients with type 2 diabetes mellitus to improve glyc</w:t>
      </w:r>
      <w:r w:rsidR="00AC34FF">
        <w:rPr>
          <w:rFonts w:ascii="Arial" w:hAnsi="Arial" w:cs="Arial"/>
          <w:sz w:val="22"/>
          <w:szCs w:val="22"/>
        </w:rPr>
        <w:t>a</w:t>
      </w:r>
      <w:r>
        <w:rPr>
          <w:rFonts w:ascii="Arial" w:hAnsi="Arial" w:cs="Arial"/>
          <w:sz w:val="22"/>
          <w:szCs w:val="22"/>
        </w:rPr>
        <w:t>emic control when diet and exercise do not provide adequate glyc</w:t>
      </w:r>
      <w:r w:rsidR="00AC34FF">
        <w:rPr>
          <w:rFonts w:ascii="Arial" w:hAnsi="Arial" w:cs="Arial"/>
          <w:sz w:val="22"/>
          <w:szCs w:val="22"/>
        </w:rPr>
        <w:t>a</w:t>
      </w:r>
      <w:r>
        <w:rPr>
          <w:rFonts w:ascii="Arial" w:hAnsi="Arial" w:cs="Arial"/>
          <w:sz w:val="22"/>
          <w:szCs w:val="22"/>
        </w:rPr>
        <w:t>emic control</w:t>
      </w:r>
      <w:r w:rsidR="001D0ADE">
        <w:rPr>
          <w:rFonts w:ascii="Arial" w:hAnsi="Arial" w:cs="Arial"/>
          <w:sz w:val="22"/>
          <w:szCs w:val="22"/>
        </w:rPr>
        <w:t>, when dual sitagliptin and metformin therapy is appropriate (i.e. high initial HbA</w:t>
      </w:r>
      <w:r w:rsidR="001D0ADE" w:rsidRPr="00B8406F">
        <w:rPr>
          <w:rFonts w:ascii="Arial" w:hAnsi="Arial" w:cs="Arial"/>
          <w:sz w:val="22"/>
          <w:szCs w:val="22"/>
          <w:vertAlign w:val="subscript"/>
        </w:rPr>
        <w:t>1c</w:t>
      </w:r>
      <w:r w:rsidR="001D0ADE">
        <w:rPr>
          <w:rFonts w:ascii="Arial" w:hAnsi="Arial" w:cs="Arial"/>
          <w:sz w:val="22"/>
          <w:szCs w:val="22"/>
        </w:rPr>
        <w:t xml:space="preserve"> levels and poor prospects of response to monotherapy)</w:t>
      </w:r>
      <w:r>
        <w:rPr>
          <w:rFonts w:ascii="Arial" w:hAnsi="Arial" w:cs="Arial"/>
          <w:sz w:val="22"/>
          <w:szCs w:val="22"/>
        </w:rPr>
        <w:t>.</w:t>
      </w:r>
    </w:p>
    <w:p w:rsidR="00CB451C" w:rsidRDefault="00907289" w:rsidP="00AB425A">
      <w:pPr>
        <w:spacing w:before="100" w:beforeAutospacing="1" w:after="100" w:afterAutospacing="1"/>
        <w:rPr>
          <w:rFonts w:ascii="Arial" w:hAnsi="Arial" w:cs="Arial"/>
          <w:b/>
          <w:sz w:val="22"/>
          <w:szCs w:val="22"/>
        </w:rPr>
      </w:pPr>
      <w:r>
        <w:rPr>
          <w:rFonts w:ascii="Arial" w:hAnsi="Arial" w:cs="Arial"/>
          <w:sz w:val="22"/>
          <w:szCs w:val="22"/>
        </w:rPr>
        <w:t>JANUMET is indicated as an adjunct to diet and exercise to improve glycaemic control in patients with type 2 diabetes mellitus inadequately controlled on sitagliptin or metformin alone or in patients already being treated with the combination of sitagliptin and metformin.</w:t>
      </w:r>
      <w:bookmarkEnd w:id="6"/>
    </w:p>
    <w:p w:rsidR="00907289" w:rsidRDefault="00907289" w:rsidP="006656A9">
      <w:pPr>
        <w:jc w:val="center"/>
        <w:outlineLvl w:val="0"/>
        <w:rPr>
          <w:rFonts w:ascii="Arial" w:hAnsi="Arial" w:cs="Arial"/>
          <w:b/>
          <w:sz w:val="22"/>
          <w:szCs w:val="22"/>
        </w:rPr>
      </w:pPr>
      <w:r>
        <w:rPr>
          <w:rFonts w:ascii="Arial" w:hAnsi="Arial" w:cs="Arial"/>
          <w:b/>
          <w:sz w:val="22"/>
          <w:szCs w:val="22"/>
        </w:rPr>
        <w:t>CONTRAINDICATIONS</w:t>
      </w:r>
    </w:p>
    <w:p w:rsidR="00907289" w:rsidRDefault="00907289" w:rsidP="00AB425A">
      <w:pPr>
        <w:spacing w:before="100" w:beforeAutospacing="1" w:after="100" w:afterAutospacing="1"/>
        <w:jc w:val="both"/>
        <w:rPr>
          <w:rFonts w:ascii="Arial" w:hAnsi="Arial" w:cs="Arial"/>
          <w:sz w:val="22"/>
          <w:szCs w:val="22"/>
        </w:rPr>
      </w:pPr>
      <w:bookmarkStart w:id="7" w:name="OLE_LINK4"/>
      <w:bookmarkStart w:id="8" w:name="OLE_LINK5"/>
      <w:r>
        <w:rPr>
          <w:rFonts w:ascii="Arial" w:hAnsi="Arial" w:cs="Arial"/>
          <w:sz w:val="22"/>
          <w:szCs w:val="22"/>
        </w:rPr>
        <w:t>JANUMET is contraindicated in patients with:</w:t>
      </w:r>
    </w:p>
    <w:p w:rsidR="00907289" w:rsidRDefault="00907289">
      <w:pPr>
        <w:numPr>
          <w:ilvl w:val="0"/>
          <w:numId w:val="1"/>
        </w:numPr>
        <w:overflowPunct w:val="0"/>
        <w:autoSpaceDE w:val="0"/>
        <w:autoSpaceDN w:val="0"/>
        <w:adjustRightInd w:val="0"/>
        <w:jc w:val="both"/>
        <w:textAlignment w:val="baseline"/>
        <w:rPr>
          <w:rFonts w:ascii="Arial" w:hAnsi="Arial" w:cs="Arial"/>
          <w:sz w:val="22"/>
          <w:szCs w:val="22"/>
        </w:rPr>
      </w:pPr>
      <w:r>
        <w:rPr>
          <w:rFonts w:ascii="Arial" w:hAnsi="Arial" w:cs="Arial"/>
          <w:sz w:val="22"/>
          <w:szCs w:val="22"/>
        </w:rPr>
        <w:t>Renal disease or renal dysfunction, e.g., as suggested by serum creatinine levels ≥133 micromol/L [males] or ≥124 micromol/L [females], or abnormal creatinine clearance (&lt;60 mL/min), which may also result from conditions such as cardiovascular collapse (shock), acute myocardial infarction, and septicaemia.</w:t>
      </w:r>
    </w:p>
    <w:p w:rsidR="00907289" w:rsidRDefault="00907289">
      <w:pPr>
        <w:numPr>
          <w:ilvl w:val="0"/>
          <w:numId w:val="1"/>
        </w:numPr>
        <w:overflowPunct w:val="0"/>
        <w:autoSpaceDE w:val="0"/>
        <w:autoSpaceDN w:val="0"/>
        <w:adjustRightInd w:val="0"/>
        <w:jc w:val="both"/>
        <w:textAlignment w:val="baseline"/>
        <w:rPr>
          <w:rFonts w:ascii="Arial" w:hAnsi="Arial" w:cs="Arial"/>
          <w:sz w:val="22"/>
          <w:szCs w:val="22"/>
        </w:rPr>
      </w:pPr>
      <w:r>
        <w:rPr>
          <w:rFonts w:ascii="Arial" w:hAnsi="Arial" w:cs="Arial"/>
          <w:sz w:val="22"/>
          <w:szCs w:val="22"/>
        </w:rPr>
        <w:t xml:space="preserve">Known hypersensitivity to sitagliptin phosphate monohydrate, metformin hydrochloride or any other component of JANUMET (see </w:t>
      </w:r>
      <w:r>
        <w:rPr>
          <w:rFonts w:ascii="Arial" w:hAnsi="Arial" w:cs="Arial"/>
          <w:b/>
          <w:sz w:val="22"/>
          <w:szCs w:val="22"/>
        </w:rPr>
        <w:t>PRECAUTIONS</w:t>
      </w:r>
      <w:r>
        <w:rPr>
          <w:rFonts w:ascii="Arial" w:hAnsi="Arial" w:cs="Arial"/>
          <w:sz w:val="22"/>
          <w:szCs w:val="22"/>
        </w:rPr>
        <w:t xml:space="preserve">, </w:t>
      </w:r>
      <w:r>
        <w:rPr>
          <w:rFonts w:ascii="Arial" w:hAnsi="Arial" w:cs="Arial"/>
          <w:i/>
          <w:sz w:val="22"/>
          <w:szCs w:val="22"/>
        </w:rPr>
        <w:t>Sitagliptin phosphate monohydrate</w:t>
      </w:r>
      <w:r>
        <w:rPr>
          <w:rFonts w:ascii="Arial" w:hAnsi="Arial" w:cs="Arial"/>
          <w:sz w:val="22"/>
          <w:szCs w:val="22"/>
        </w:rPr>
        <w:t xml:space="preserve">, Hypersensitivity Reactions and </w:t>
      </w:r>
      <w:r>
        <w:rPr>
          <w:rFonts w:ascii="Arial" w:hAnsi="Arial" w:cs="Arial"/>
          <w:b/>
          <w:sz w:val="22"/>
          <w:szCs w:val="22"/>
        </w:rPr>
        <w:t>ADVERSE REACTIONS</w:t>
      </w:r>
      <w:r>
        <w:rPr>
          <w:rFonts w:ascii="Arial" w:hAnsi="Arial" w:cs="Arial"/>
          <w:sz w:val="22"/>
          <w:szCs w:val="22"/>
        </w:rPr>
        <w:t xml:space="preserve">, </w:t>
      </w:r>
      <w:r>
        <w:rPr>
          <w:rFonts w:ascii="Arial" w:hAnsi="Arial" w:cs="Arial"/>
          <w:i/>
          <w:sz w:val="22"/>
          <w:szCs w:val="22"/>
        </w:rPr>
        <w:t>Postmarketing Experience</w:t>
      </w:r>
      <w:r>
        <w:rPr>
          <w:rFonts w:ascii="Arial" w:hAnsi="Arial" w:cs="Arial"/>
          <w:sz w:val="22"/>
          <w:szCs w:val="22"/>
        </w:rPr>
        <w:t>).</w:t>
      </w:r>
    </w:p>
    <w:p w:rsidR="00980CC8" w:rsidRDefault="00907289" w:rsidP="00980CC8">
      <w:pPr>
        <w:numPr>
          <w:ilvl w:val="0"/>
          <w:numId w:val="1"/>
        </w:numPr>
        <w:overflowPunct w:val="0"/>
        <w:autoSpaceDE w:val="0"/>
        <w:autoSpaceDN w:val="0"/>
        <w:adjustRightInd w:val="0"/>
        <w:jc w:val="both"/>
        <w:textAlignment w:val="baseline"/>
        <w:rPr>
          <w:rFonts w:ascii="Arial" w:hAnsi="Arial" w:cs="Arial"/>
          <w:sz w:val="22"/>
          <w:szCs w:val="22"/>
        </w:rPr>
      </w:pPr>
      <w:r>
        <w:rPr>
          <w:rFonts w:ascii="Arial" w:hAnsi="Arial" w:cs="Arial"/>
          <w:sz w:val="22"/>
          <w:szCs w:val="22"/>
        </w:rPr>
        <w:t>Acute or chronic metabolic acidosis, including diabetic ketoacidosis, with or without coma.</w:t>
      </w:r>
      <w:bookmarkEnd w:id="7"/>
      <w:bookmarkEnd w:id="8"/>
    </w:p>
    <w:p w:rsidR="00907289" w:rsidRDefault="00907289" w:rsidP="00AB425A">
      <w:pPr>
        <w:spacing w:before="100" w:beforeAutospacing="1" w:after="100" w:afterAutospacing="1"/>
        <w:jc w:val="both"/>
        <w:rPr>
          <w:rFonts w:ascii="Arial" w:hAnsi="Arial" w:cs="Arial"/>
          <w:sz w:val="22"/>
          <w:szCs w:val="22"/>
        </w:rPr>
      </w:pPr>
      <w:r>
        <w:rPr>
          <w:rFonts w:ascii="Arial" w:hAnsi="Arial" w:cs="Arial"/>
          <w:sz w:val="22"/>
          <w:szCs w:val="22"/>
        </w:rPr>
        <w:t xml:space="preserve">JANUMET should be temporarily discontinued in patients undergoing radiological studies involving intravascular administration of iodinated contrast materials, because the use of such products may result in acute alteration of renal function (see </w:t>
      </w:r>
      <w:r>
        <w:rPr>
          <w:rFonts w:ascii="Arial" w:hAnsi="Arial" w:cs="Arial"/>
          <w:b/>
          <w:sz w:val="22"/>
          <w:szCs w:val="22"/>
        </w:rPr>
        <w:t>PRECAUTIONS</w:t>
      </w:r>
      <w:r>
        <w:rPr>
          <w:rFonts w:ascii="Arial" w:hAnsi="Arial" w:cs="Arial"/>
          <w:sz w:val="22"/>
          <w:szCs w:val="22"/>
        </w:rPr>
        <w:t xml:space="preserve">; </w:t>
      </w:r>
      <w:r>
        <w:rPr>
          <w:rFonts w:ascii="Arial" w:hAnsi="Arial" w:cs="Arial"/>
          <w:i/>
          <w:sz w:val="22"/>
          <w:szCs w:val="22"/>
        </w:rPr>
        <w:t>Metformin hydrochloride</w:t>
      </w:r>
      <w:r>
        <w:rPr>
          <w:rFonts w:ascii="Arial" w:hAnsi="Arial" w:cs="Arial"/>
          <w:sz w:val="22"/>
          <w:szCs w:val="22"/>
        </w:rPr>
        <w:t>).</w:t>
      </w:r>
    </w:p>
    <w:p w:rsidR="00CB451C" w:rsidRDefault="00CB451C" w:rsidP="00AB425A">
      <w:pPr>
        <w:spacing w:before="100" w:beforeAutospacing="1" w:after="100" w:afterAutospacing="1"/>
        <w:jc w:val="both"/>
        <w:rPr>
          <w:rFonts w:ascii="Arial" w:hAnsi="Arial" w:cs="Arial"/>
          <w:sz w:val="22"/>
          <w:szCs w:val="22"/>
        </w:rPr>
      </w:pPr>
      <w:r>
        <w:rPr>
          <w:rFonts w:ascii="Arial" w:hAnsi="Arial" w:cs="Arial"/>
          <w:sz w:val="22"/>
          <w:szCs w:val="22"/>
        </w:rPr>
        <w:t>JANUMET is not currently indicated for use in children below 18 years</w:t>
      </w:r>
    </w:p>
    <w:p w:rsidR="00907289" w:rsidRDefault="00DE15A3" w:rsidP="006656A9">
      <w:pPr>
        <w:jc w:val="center"/>
        <w:outlineLvl w:val="0"/>
        <w:rPr>
          <w:rFonts w:ascii="Arial" w:hAnsi="Arial" w:cs="Arial"/>
          <w:b/>
          <w:sz w:val="22"/>
          <w:szCs w:val="22"/>
        </w:rPr>
      </w:pPr>
      <w:r>
        <w:rPr>
          <w:rFonts w:ascii="Arial" w:hAnsi="Arial" w:cs="Arial"/>
          <w:b/>
          <w:sz w:val="22"/>
          <w:szCs w:val="22"/>
        </w:rPr>
        <w:br w:type="page"/>
      </w:r>
      <w:r w:rsidR="00907289">
        <w:rPr>
          <w:rFonts w:ascii="Arial" w:hAnsi="Arial" w:cs="Arial"/>
          <w:b/>
          <w:sz w:val="22"/>
          <w:szCs w:val="22"/>
        </w:rPr>
        <w:lastRenderedPageBreak/>
        <w:t>PRECAUTIONS</w:t>
      </w:r>
    </w:p>
    <w:p w:rsidR="00907289" w:rsidRDefault="00907289" w:rsidP="006656A9">
      <w:pPr>
        <w:jc w:val="both"/>
        <w:outlineLvl w:val="0"/>
        <w:rPr>
          <w:rFonts w:ascii="Arial" w:hAnsi="Arial" w:cs="Arial"/>
          <w:i/>
          <w:sz w:val="22"/>
          <w:szCs w:val="22"/>
        </w:rPr>
      </w:pPr>
      <w:r>
        <w:rPr>
          <w:rFonts w:ascii="Arial" w:hAnsi="Arial" w:cs="Arial"/>
          <w:i/>
          <w:sz w:val="22"/>
          <w:szCs w:val="22"/>
        </w:rPr>
        <w:t>JANUMET</w:t>
      </w:r>
    </w:p>
    <w:p w:rsidR="00907289" w:rsidRDefault="00907289" w:rsidP="00E56E7B">
      <w:pPr>
        <w:spacing w:before="100" w:beforeAutospacing="1" w:after="100" w:afterAutospacing="1"/>
        <w:jc w:val="both"/>
        <w:rPr>
          <w:rFonts w:ascii="Arial" w:hAnsi="Arial" w:cs="Arial"/>
          <w:sz w:val="22"/>
          <w:szCs w:val="22"/>
        </w:rPr>
      </w:pPr>
      <w:r>
        <w:rPr>
          <w:rFonts w:ascii="Arial" w:hAnsi="Arial" w:cs="Arial"/>
          <w:sz w:val="22"/>
          <w:szCs w:val="22"/>
        </w:rPr>
        <w:t>JANUMET should not be used in patients with type 1 diabetes or for the treatmen</w:t>
      </w:r>
      <w:r w:rsidR="00E56E7B">
        <w:rPr>
          <w:rFonts w:ascii="Arial" w:hAnsi="Arial" w:cs="Arial"/>
          <w:sz w:val="22"/>
          <w:szCs w:val="22"/>
        </w:rPr>
        <w:t>t of diabetic ketoacidosis.</w:t>
      </w:r>
    </w:p>
    <w:p w:rsidR="00907289" w:rsidRDefault="00907289" w:rsidP="00E56E7B">
      <w:pPr>
        <w:spacing w:before="100" w:beforeAutospacing="1" w:after="100" w:afterAutospacing="1"/>
        <w:jc w:val="both"/>
        <w:rPr>
          <w:rFonts w:ascii="Arial" w:hAnsi="Arial" w:cs="Arial"/>
          <w:sz w:val="22"/>
          <w:szCs w:val="22"/>
        </w:rPr>
      </w:pPr>
      <w:r>
        <w:rPr>
          <w:rFonts w:ascii="Arial" w:hAnsi="Arial" w:cs="Arial"/>
          <w:i/>
          <w:sz w:val="22"/>
          <w:szCs w:val="22"/>
          <w:u w:val="single"/>
        </w:rPr>
        <w:t>Pancreatitis</w:t>
      </w:r>
      <w:r>
        <w:rPr>
          <w:rFonts w:ascii="Arial" w:hAnsi="Arial" w:cs="Arial"/>
          <w:i/>
          <w:sz w:val="22"/>
          <w:szCs w:val="22"/>
        </w:rPr>
        <w:t>:</w:t>
      </w:r>
      <w:r>
        <w:rPr>
          <w:rFonts w:ascii="Arial" w:hAnsi="Arial" w:cs="Arial"/>
          <w:i/>
          <w:iCs/>
          <w:sz w:val="22"/>
          <w:szCs w:val="22"/>
        </w:rPr>
        <w:t xml:space="preserve"> </w:t>
      </w:r>
      <w:r>
        <w:rPr>
          <w:rFonts w:ascii="Arial" w:hAnsi="Arial" w:cs="Arial"/>
          <w:sz w:val="22"/>
          <w:szCs w:val="22"/>
        </w:rPr>
        <w:t>In postmarketing experience there have been reports of acute pancreatitis</w:t>
      </w:r>
      <w:r>
        <w:rPr>
          <w:rFonts w:ascii="Arial" w:eastAsia="MS Mincho" w:hAnsi="Arial" w:cs="Arial"/>
          <w:sz w:val="22"/>
          <w:szCs w:val="22"/>
          <w:lang w:eastAsia="ja-JP"/>
        </w:rPr>
        <w:t xml:space="preserve">, including fatal and non-fatal haemorrhagic or necrotising pancreatitis (see </w:t>
      </w:r>
      <w:r>
        <w:rPr>
          <w:rFonts w:ascii="Arial" w:hAnsi="Arial" w:cs="Arial"/>
          <w:b/>
          <w:sz w:val="22"/>
          <w:szCs w:val="22"/>
        </w:rPr>
        <w:t>ADVERSE REACTIONS</w:t>
      </w:r>
      <w:r>
        <w:rPr>
          <w:rFonts w:ascii="Arial" w:hAnsi="Arial" w:cs="Arial"/>
          <w:sz w:val="22"/>
          <w:szCs w:val="22"/>
        </w:rPr>
        <w:t xml:space="preserve">, </w:t>
      </w:r>
      <w:r>
        <w:rPr>
          <w:rFonts w:ascii="Arial" w:hAnsi="Arial" w:cs="Arial"/>
          <w:i/>
          <w:sz w:val="22"/>
          <w:szCs w:val="22"/>
        </w:rPr>
        <w:t>Postmarketing Experience</w:t>
      </w:r>
      <w:r>
        <w:rPr>
          <w:rFonts w:ascii="Arial" w:eastAsia="MS Mincho" w:hAnsi="Arial" w:cs="Arial"/>
          <w:sz w:val="22"/>
          <w:szCs w:val="22"/>
          <w:lang w:eastAsia="ja-JP"/>
        </w:rPr>
        <w:t>), in patients taking sitagliptin</w:t>
      </w:r>
      <w:r>
        <w:rPr>
          <w:rFonts w:ascii="Arial" w:hAnsi="Arial" w:cs="Arial"/>
          <w:sz w:val="22"/>
          <w:szCs w:val="22"/>
        </w:rPr>
        <w:t>. Because these reports are made voluntarily from a population of uncertain size, it is generally not possible to reliably estimate their frequency or establish a causal relationship to drug exposure. Patients should be informed of the characteristic symptom of acute pancreatitis: persistent, severe abdominal pain. Resolution of pancreatitis has been observed after discontinuation of sitagliptin. If pancreatitis is suspected, JANUMET and other potentially suspect medicinal products should be discontinued.</w:t>
      </w:r>
    </w:p>
    <w:p w:rsidR="00907289" w:rsidRDefault="00907289" w:rsidP="00E56E7B">
      <w:pPr>
        <w:spacing w:before="100" w:beforeAutospacing="1" w:after="100" w:afterAutospacing="1"/>
        <w:jc w:val="both"/>
        <w:rPr>
          <w:rFonts w:ascii="Arial" w:hAnsi="Arial" w:cs="Arial"/>
          <w:sz w:val="22"/>
          <w:szCs w:val="22"/>
        </w:rPr>
      </w:pPr>
      <w:r>
        <w:rPr>
          <w:rFonts w:ascii="Arial" w:hAnsi="Arial" w:cs="Arial"/>
          <w:i/>
          <w:sz w:val="22"/>
          <w:szCs w:val="22"/>
          <w:u w:val="single"/>
        </w:rPr>
        <w:t>Monitoring of renal function:</w:t>
      </w:r>
      <w:r>
        <w:rPr>
          <w:rFonts w:ascii="Arial" w:hAnsi="Arial" w:cs="Arial"/>
          <w:sz w:val="22"/>
          <w:szCs w:val="22"/>
        </w:rPr>
        <w:t xml:space="preserve"> Metformin and sitagliptin are known to be substantially excreted by the kidney. The risk of metformin accumulation and lactic acidosis increases with the degree of impairment of renal function. Thus, patients with creatinine clearance &lt;60 mL/min or serum creatinine levels above the upper limit of normal for their age should not receive JANUMET. In patients with advanced age, JANUMET should be carefully titrated to establish the minimum dose for adequate glycaemic effect, because aging can be associated with reduced renal function. In elderly patients, particularly those ≥80 years of age, renal function should be monitored regularly.</w:t>
      </w:r>
    </w:p>
    <w:p w:rsidR="00907289" w:rsidRDefault="00907289" w:rsidP="00E56E7B">
      <w:pPr>
        <w:spacing w:before="100" w:beforeAutospacing="1" w:after="100" w:afterAutospacing="1"/>
        <w:jc w:val="both"/>
        <w:rPr>
          <w:rFonts w:ascii="Arial" w:hAnsi="Arial" w:cs="Arial"/>
          <w:sz w:val="22"/>
          <w:szCs w:val="22"/>
        </w:rPr>
      </w:pPr>
      <w:r>
        <w:rPr>
          <w:rFonts w:ascii="Arial" w:hAnsi="Arial" w:cs="Arial"/>
          <w:sz w:val="22"/>
          <w:szCs w:val="22"/>
        </w:rPr>
        <w:t>Before initiation of therapy with JANUMET and at least annually thereafter, renal function should be assessed and verified as normal. In patients in whom development of renal dysfunction is anticipated, renal function should be assessed more frequently and JANUMET discontinued if evidence of renal impairment is present.</w:t>
      </w:r>
    </w:p>
    <w:p w:rsidR="00907289" w:rsidRDefault="00907289" w:rsidP="00E56E7B">
      <w:pPr>
        <w:spacing w:before="100" w:beforeAutospacing="1" w:after="100" w:afterAutospacing="1"/>
        <w:jc w:val="both"/>
        <w:outlineLvl w:val="0"/>
        <w:rPr>
          <w:rFonts w:ascii="Arial" w:hAnsi="Arial" w:cs="Arial"/>
          <w:i/>
          <w:sz w:val="22"/>
          <w:szCs w:val="22"/>
        </w:rPr>
      </w:pPr>
      <w:r>
        <w:rPr>
          <w:rFonts w:ascii="Arial" w:hAnsi="Arial" w:cs="Arial"/>
          <w:i/>
          <w:sz w:val="22"/>
          <w:szCs w:val="22"/>
        </w:rPr>
        <w:t>Sitagliptin phosphate monohydrate</w:t>
      </w:r>
    </w:p>
    <w:p w:rsidR="00907289" w:rsidRDefault="00907289" w:rsidP="00E56E7B">
      <w:pPr>
        <w:spacing w:before="100" w:beforeAutospacing="1" w:after="100" w:afterAutospacing="1"/>
        <w:jc w:val="both"/>
        <w:rPr>
          <w:rFonts w:ascii="Arial" w:hAnsi="Arial" w:cs="Arial"/>
          <w:sz w:val="22"/>
          <w:szCs w:val="22"/>
        </w:rPr>
      </w:pPr>
      <w:r>
        <w:rPr>
          <w:rFonts w:ascii="Arial" w:hAnsi="Arial" w:cs="Arial"/>
          <w:i/>
          <w:sz w:val="22"/>
          <w:szCs w:val="22"/>
          <w:u w:val="single"/>
        </w:rPr>
        <w:t>Hypoglycaemia</w:t>
      </w:r>
      <w:r>
        <w:rPr>
          <w:rFonts w:ascii="Arial" w:hAnsi="Arial" w:cs="Arial"/>
          <w:sz w:val="22"/>
          <w:szCs w:val="22"/>
          <w:u w:val="single"/>
        </w:rPr>
        <w:t>:</w:t>
      </w:r>
      <w:r>
        <w:rPr>
          <w:rFonts w:ascii="Arial" w:hAnsi="Arial" w:cs="Arial"/>
          <w:sz w:val="22"/>
          <w:szCs w:val="22"/>
        </w:rPr>
        <w:t xml:space="preserve"> In clinical trials of sitagliptin as monotherapy and as part of combination therapy with agents not known to cause hypoglycaemia (i.e., metformin or pioglitazone), rates of hypoglycaemia reported with sitagliptin were similar to rates in patients taking placebo. The use of sitagliptin in combination with insulin has not been adequately studied.</w:t>
      </w:r>
    </w:p>
    <w:p w:rsidR="00907289" w:rsidRDefault="00907289" w:rsidP="00E56E7B">
      <w:pPr>
        <w:spacing w:before="100" w:beforeAutospacing="1" w:after="100" w:afterAutospacing="1"/>
        <w:jc w:val="both"/>
        <w:rPr>
          <w:rFonts w:ascii="Arial" w:hAnsi="Arial" w:cs="Arial"/>
          <w:sz w:val="22"/>
          <w:szCs w:val="22"/>
        </w:rPr>
      </w:pPr>
      <w:r>
        <w:rPr>
          <w:rFonts w:ascii="Arial" w:hAnsi="Arial" w:cs="Arial"/>
          <w:i/>
          <w:sz w:val="22"/>
          <w:szCs w:val="22"/>
          <w:u w:val="single"/>
        </w:rPr>
        <w:t>Hypersensitivity Reactions:</w:t>
      </w:r>
      <w:r>
        <w:rPr>
          <w:rFonts w:ascii="Arial" w:hAnsi="Arial" w:cs="Arial"/>
          <w:sz w:val="22"/>
          <w:szCs w:val="22"/>
        </w:rPr>
        <w:t xml:space="preserve"> There have been postmarketing reports of serious hypersensitivity reactions in patients treated with sitagliptin, one of the components of JANUMET. These reactions include anaphylaxis, angioedema, and exfoliative skin conditions including Stevens-Johnson syndrome. B</w:t>
      </w:r>
      <w:r>
        <w:rPr>
          <w:rFonts w:ascii="Arial" w:hAnsi="Arial" w:cs="Arial"/>
          <w:iCs/>
          <w:snapToGrid w:val="0"/>
          <w:sz w:val="22"/>
          <w:szCs w:val="22"/>
        </w:rPr>
        <w:t>ecause these reactions are reported voluntarily from a population of uncertain size, it is generally not possible to reliably estimate their frequency or establish a causal relationship to drug exposure</w:t>
      </w:r>
      <w:r>
        <w:rPr>
          <w:rFonts w:ascii="Arial" w:hAnsi="Arial" w:cs="Arial"/>
          <w:sz w:val="22"/>
          <w:szCs w:val="22"/>
        </w:rPr>
        <w:t>. Onset of these reactions occurred within the first 3 months after initiation of treatment with sitagliptin, with some reports occurring after the first dose. If a hypersensitivity reaction is suspected, discontinue JANUMET, assess for other potential causes for the event, and institute alternative treatment for diabetes. (See</w:t>
      </w:r>
      <w:r>
        <w:rPr>
          <w:rFonts w:ascii="Arial" w:hAnsi="Arial" w:cs="Arial"/>
          <w:b/>
          <w:sz w:val="22"/>
          <w:szCs w:val="22"/>
        </w:rPr>
        <w:t xml:space="preserve"> CONTRAINDICATIONS</w:t>
      </w:r>
      <w:r>
        <w:rPr>
          <w:rFonts w:ascii="Arial" w:hAnsi="Arial" w:cs="Arial"/>
          <w:sz w:val="22"/>
          <w:szCs w:val="22"/>
        </w:rPr>
        <w:t xml:space="preserve"> and</w:t>
      </w:r>
      <w:r>
        <w:rPr>
          <w:rFonts w:ascii="Arial" w:hAnsi="Arial" w:cs="Arial"/>
          <w:b/>
          <w:sz w:val="22"/>
          <w:szCs w:val="22"/>
        </w:rPr>
        <w:t xml:space="preserve"> </w:t>
      </w:r>
      <w:r>
        <w:rPr>
          <w:rFonts w:ascii="Arial" w:hAnsi="Arial" w:cs="Arial"/>
          <w:b/>
          <w:sz w:val="22"/>
        </w:rPr>
        <w:t>ADVERSE REACTIONS</w:t>
      </w:r>
      <w:r>
        <w:rPr>
          <w:rFonts w:ascii="Arial" w:hAnsi="Arial" w:cs="Arial"/>
          <w:caps/>
          <w:sz w:val="22"/>
          <w:szCs w:val="22"/>
        </w:rPr>
        <w:t>,</w:t>
      </w:r>
      <w:r>
        <w:rPr>
          <w:rFonts w:ascii="Arial" w:hAnsi="Arial" w:cs="Arial"/>
          <w:b/>
          <w:caps/>
          <w:sz w:val="22"/>
          <w:szCs w:val="22"/>
        </w:rPr>
        <w:t xml:space="preserve"> </w:t>
      </w:r>
      <w:r>
        <w:rPr>
          <w:rFonts w:ascii="Arial" w:hAnsi="Arial" w:cs="Arial"/>
          <w:i/>
          <w:sz w:val="22"/>
          <w:szCs w:val="22"/>
        </w:rPr>
        <w:t>Postmarketing Experience</w:t>
      </w:r>
      <w:r>
        <w:rPr>
          <w:rFonts w:ascii="Arial" w:hAnsi="Arial" w:cs="Arial"/>
          <w:sz w:val="22"/>
          <w:szCs w:val="22"/>
        </w:rPr>
        <w:t>.)</w:t>
      </w:r>
    </w:p>
    <w:p w:rsidR="00907289" w:rsidRDefault="00907289" w:rsidP="00E56E7B">
      <w:pPr>
        <w:spacing w:before="100" w:beforeAutospacing="1" w:after="100" w:afterAutospacing="1"/>
        <w:jc w:val="both"/>
        <w:outlineLvl w:val="0"/>
        <w:rPr>
          <w:rFonts w:ascii="Arial" w:hAnsi="Arial" w:cs="Arial"/>
          <w:i/>
          <w:sz w:val="22"/>
          <w:szCs w:val="22"/>
          <w:lang w:val="pt-BR"/>
        </w:rPr>
      </w:pPr>
      <w:r>
        <w:rPr>
          <w:rFonts w:ascii="Arial" w:hAnsi="Arial" w:cs="Arial"/>
          <w:i/>
          <w:sz w:val="22"/>
          <w:szCs w:val="22"/>
          <w:lang w:val="pt-BR"/>
        </w:rPr>
        <w:t>Metformin hydrochloride</w:t>
      </w:r>
    </w:p>
    <w:p w:rsidR="00907289" w:rsidRDefault="00907289" w:rsidP="00E56E7B">
      <w:pPr>
        <w:pStyle w:val="Body"/>
        <w:spacing w:before="100" w:beforeAutospacing="1" w:after="100" w:afterAutospacing="1"/>
        <w:ind w:firstLine="0"/>
        <w:rPr>
          <w:rFonts w:cs="Arial"/>
          <w:sz w:val="22"/>
          <w:szCs w:val="22"/>
        </w:rPr>
      </w:pPr>
      <w:r>
        <w:rPr>
          <w:rFonts w:cs="Arial"/>
          <w:i/>
          <w:sz w:val="22"/>
          <w:szCs w:val="22"/>
          <w:u w:val="single"/>
        </w:rPr>
        <w:t>Lactic Acidosis:</w:t>
      </w:r>
      <w:r>
        <w:rPr>
          <w:rFonts w:cs="Arial"/>
          <w:sz w:val="22"/>
          <w:szCs w:val="22"/>
        </w:rPr>
        <w:t xml:space="preserve"> Lactic acidosis is a rare, but serious, metabolic complication that can occur due to metformin accumulation during treatment with JANUMET; when it occurs, it is fatal in approximately 50% of cases. Lactic acidosis may also occur in association with a number of pathophysiologic conditions, including diabetes mellitus, and whenever there is significant tissue hypoperfusion and hypoxemia. Lactic acidosis is characterized by elevated blood lactate levels </w:t>
      </w:r>
      <w:r>
        <w:rPr>
          <w:rFonts w:cs="Arial"/>
          <w:sz w:val="22"/>
          <w:szCs w:val="22"/>
        </w:rPr>
        <w:lastRenderedPageBreak/>
        <w:t>(&gt;5 mmol/L), decreased blood pH, electrolyte disturbances with an increased anion gap, and an increased lactate/pyruvate ratio. When metformin is implicated as the cause of lactic acidosis, metformin plasma levels &gt;5 µg/mL are generally found.</w:t>
      </w:r>
    </w:p>
    <w:p w:rsidR="00907289" w:rsidRDefault="00907289">
      <w:pPr>
        <w:pStyle w:val="Body"/>
        <w:ind w:firstLine="0"/>
        <w:rPr>
          <w:rFonts w:cs="Arial"/>
          <w:sz w:val="22"/>
          <w:szCs w:val="22"/>
        </w:rPr>
      </w:pPr>
      <w:r>
        <w:rPr>
          <w:rFonts w:cs="Arial"/>
          <w:sz w:val="22"/>
          <w:szCs w:val="22"/>
        </w:rPr>
        <w:t>The reported incidence of lactic acidosis in patients receiving metformin hydrochloride is very low (approximately 0.03 cases/1000 patient-years, with approximately 0.015 fatal cases/1000 patient-years). In more than 20,000 patient-years exposure to metformin in clinical trials, there were no reports of lactic acidosis. Reported cases have occurred primarily in diabetic patients with significant renal insufficiency, including both intrinsic renal disease and renal hypoperfusion, often in the setting of multiple concomitant medical/surgical problems and multiple concomitant medications. Patients with congestive heart failure requiring pharmacologic management, in particular those with unstable or acute congestive heart failure who are at risk of hypoperfusion and hypoxemia, are at increased risk of lactic acidosis. The risk of lactic acidosis increases with the degree of renal dysfunction and the patient's age. The risk of lactic acidosis may, therefore, be significantly decreased by regular monitoring of renal function in patients taking metformin and by use of the minimum effective dose of metformin. In particular, treatment of the elderly should be accompanied by careful monitoring of renal function. Metformin treatment should not be initiated in patients ≥80 years of age unless measurement of creatinine clearance demonstrates that renal function is not reduced, as these patients are more susceptible to developing lactic acidosis. In addition, metformin should be promptly withheld in the presence of any condition associated with hypoxemia, dehydration, or sepsis. Because impaired hepatic function may significantly limit the ability to clear lactate, metformin should generally be avoided in patients with clinical or laboratory evidence of hepatic disease. Patients should be cautioned against excessive alcohol intake, either acute or chronic, when taking metformin, since alcohol potentiates the effects of metformin hydrochloride on lactate metabolism. In addition, metformin should be temporarily discontinued prior to any intravascular radiocontrast study and for any surgical procedure.</w:t>
      </w:r>
    </w:p>
    <w:p w:rsidR="00907289" w:rsidRDefault="00907289" w:rsidP="00E56E7B">
      <w:pPr>
        <w:pStyle w:val="Body"/>
        <w:spacing w:before="100" w:beforeAutospacing="1" w:after="100" w:afterAutospacing="1"/>
        <w:ind w:firstLine="0"/>
        <w:rPr>
          <w:rFonts w:cs="Arial"/>
          <w:sz w:val="22"/>
          <w:szCs w:val="22"/>
        </w:rPr>
      </w:pPr>
      <w:r>
        <w:rPr>
          <w:rFonts w:cs="Arial"/>
          <w:sz w:val="22"/>
          <w:szCs w:val="22"/>
        </w:rPr>
        <w:pict>
          <v:rect id="_x0000_s1030" style="position:absolute;left:0;text-align:left;margin-left:-5pt;margin-top:-182.75pt;width:425pt;height:414pt;z-index:251658752" filled="f" stroked="f">
            <v:stroke startarrowwidth="narrow" startarrowlength="short" endarrowwidth="narrow" endarrowlength="short"/>
            <v:textbox inset="2pt,2pt,2pt,2pt"/>
            <w10:wrap anchorx="margin"/>
          </v:rect>
        </w:pict>
      </w:r>
      <w:r>
        <w:rPr>
          <w:rFonts w:cs="Arial"/>
          <w:sz w:val="22"/>
          <w:szCs w:val="22"/>
        </w:rPr>
        <w:pict>
          <v:rect id="_x0000_s1027" style="position:absolute;left:0;text-align:left;margin-left:-10pt;margin-top:-191.75pt;width:430pt;height:423pt;z-index:251655680" filled="f" stroked="f">
            <v:stroke startarrowwidth="narrow" startarrowlength="short" endarrowwidth="narrow" endarrowlength="short"/>
            <v:textbox inset="2pt,2pt,2pt,2pt"/>
            <w10:wrap anchorx="margin"/>
          </v:rect>
        </w:pict>
      </w:r>
      <w:r>
        <w:rPr>
          <w:rFonts w:cs="Arial"/>
          <w:sz w:val="22"/>
          <w:szCs w:val="22"/>
        </w:rPr>
        <w:t>The onset of lactic acidosis often is subtle, and accompanied only by nonspecific symptoms such as malaise, myalgias, respiratory distress, increasing somnolence, and nonspecific abdominal distress. There may be associated hypothermia, hypotension, and resistant bradyarrhythmias with more marked acidosis. The patient and the patient's physician must be aware of the possible importance of such symptoms and the patient should be instructed to notify the physician immediately if they occur. Metformin should be withdrawn until the situation is clarified. Serum electrolytes, ketones, blood glucose, and if indicated, blood pH, lactate levels, and even blood metformin levels may be useful. Once a patient is stabilized on any dose level of metformin, gastrointestinal symptoms, which are common during initiation of therapy, are unlikely to be drug related. Later occurrence of gastrointestinal symptoms could be due to lactic acidosis or other serious disease.</w:t>
      </w:r>
    </w:p>
    <w:p w:rsidR="00907289" w:rsidRDefault="00907289" w:rsidP="00E56E7B">
      <w:pPr>
        <w:pStyle w:val="Body"/>
        <w:spacing w:before="100" w:beforeAutospacing="1" w:after="100" w:afterAutospacing="1"/>
        <w:ind w:firstLine="0"/>
        <w:rPr>
          <w:rFonts w:cs="Arial"/>
          <w:sz w:val="22"/>
          <w:szCs w:val="22"/>
        </w:rPr>
      </w:pPr>
      <w:r>
        <w:rPr>
          <w:rFonts w:cs="Arial"/>
          <w:sz w:val="22"/>
          <w:szCs w:val="22"/>
        </w:rPr>
        <w:t>Levels of fasting venous plasma lactate above the upper limit of normal but less than 5 mmol/L in patients taking metformin do not necessarily indicate impending lactic acidosis and may be explainable by other mechanisms, such as poorly controlled diabetes or obesity, vigorous physical activity, or technical problems in sample handling.</w:t>
      </w:r>
    </w:p>
    <w:p w:rsidR="00907289" w:rsidRDefault="00907289" w:rsidP="00E56E7B">
      <w:pPr>
        <w:pStyle w:val="Body"/>
        <w:spacing w:before="100" w:beforeAutospacing="1" w:after="100" w:afterAutospacing="1"/>
        <w:ind w:firstLine="0"/>
        <w:rPr>
          <w:rFonts w:cs="Arial"/>
          <w:sz w:val="22"/>
          <w:szCs w:val="22"/>
        </w:rPr>
      </w:pPr>
      <w:r>
        <w:rPr>
          <w:rFonts w:cs="Arial"/>
          <w:sz w:val="22"/>
          <w:szCs w:val="22"/>
        </w:rPr>
        <w:pict>
          <v:rect id="_x0000_s1029" style="position:absolute;left:0;text-align:left;margin-left:-5pt;margin-top:-54.85pt;width:425pt;height:3in;z-index:251657728" filled="f" stroked="f">
            <v:stroke startarrowwidth="narrow" startarrowlength="short" endarrowwidth="narrow" endarrowlength="short"/>
            <v:textbox inset="2pt,2pt,2pt,2pt"/>
            <w10:wrap anchorx="margin"/>
          </v:rect>
        </w:pict>
      </w:r>
      <w:r>
        <w:rPr>
          <w:rFonts w:cs="Arial"/>
          <w:sz w:val="22"/>
          <w:szCs w:val="22"/>
        </w:rPr>
        <w:pict>
          <v:rect id="_x0000_s1028" style="position:absolute;left:0;text-align:left;margin-left:-10pt;margin-top:-54.85pt;width:425pt;height:3in;z-index:251656704" filled="f" stroked="f">
            <v:stroke startarrowwidth="narrow" startarrowlength="short" endarrowwidth="narrow" endarrowlength="short"/>
            <v:textbox inset="2pt,2pt,2pt,2pt"/>
            <w10:wrap anchorx="margin"/>
          </v:rect>
        </w:pict>
      </w:r>
      <w:r>
        <w:rPr>
          <w:rFonts w:cs="Arial"/>
          <w:sz w:val="22"/>
          <w:szCs w:val="22"/>
        </w:rPr>
        <w:t>Lactic acidosis should be suspected in any diabetic patient with metabolic acidosis lacking evidence of ketoacidosis (ketonuria and ketonaemia).</w:t>
      </w:r>
    </w:p>
    <w:p w:rsidR="00907289" w:rsidRDefault="00907289" w:rsidP="00E56E7B">
      <w:pPr>
        <w:pStyle w:val="Body"/>
        <w:spacing w:before="100" w:beforeAutospacing="1" w:after="100" w:afterAutospacing="1"/>
        <w:ind w:firstLine="0"/>
        <w:rPr>
          <w:rFonts w:cs="Arial"/>
          <w:sz w:val="22"/>
          <w:szCs w:val="22"/>
        </w:rPr>
      </w:pPr>
      <w:r>
        <w:rPr>
          <w:rFonts w:cs="Arial"/>
          <w:sz w:val="22"/>
          <w:szCs w:val="22"/>
        </w:rPr>
        <w:t xml:space="preserve">Lactic acidosis is a medical emergency that must be treated in a hospital setting. In a patient with lactic acidosis who is taking metformin, the drug should be discontinued immediately and general supportive measures promptly instituted. Because metformin hydrochloride is dialysable (with a clearance of up to 170 mL/min under good haemodynamic conditions), prompt haemodialysis is recommended to correct the acidosis and remove the accumulated metformin. </w:t>
      </w:r>
      <w:r>
        <w:rPr>
          <w:rFonts w:cs="Arial"/>
          <w:sz w:val="22"/>
          <w:szCs w:val="22"/>
        </w:rPr>
        <w:lastRenderedPageBreak/>
        <w:t xml:space="preserve">Such management often results in prompt reversal of symptoms and recovery (see </w:t>
      </w:r>
      <w:r>
        <w:rPr>
          <w:rFonts w:cs="Arial"/>
          <w:b/>
          <w:sz w:val="22"/>
          <w:szCs w:val="22"/>
        </w:rPr>
        <w:t>CONTRAINDICATIONS</w:t>
      </w:r>
      <w:r>
        <w:rPr>
          <w:rFonts w:cs="Arial"/>
          <w:sz w:val="22"/>
          <w:szCs w:val="22"/>
        </w:rPr>
        <w:t>).</w:t>
      </w:r>
    </w:p>
    <w:p w:rsidR="00907289" w:rsidRDefault="00907289">
      <w:pPr>
        <w:jc w:val="both"/>
        <w:rPr>
          <w:rFonts w:ascii="Arial" w:hAnsi="Arial" w:cs="Arial"/>
          <w:sz w:val="22"/>
          <w:szCs w:val="22"/>
        </w:rPr>
      </w:pPr>
      <w:r>
        <w:rPr>
          <w:rFonts w:ascii="Arial" w:hAnsi="Arial" w:cs="Arial"/>
          <w:i/>
          <w:sz w:val="22"/>
          <w:szCs w:val="22"/>
          <w:u w:val="single"/>
        </w:rPr>
        <w:t>Hypoglycaemia:</w:t>
      </w:r>
      <w:r>
        <w:rPr>
          <w:rFonts w:ascii="Arial" w:hAnsi="Arial" w:cs="Arial"/>
          <w:sz w:val="22"/>
          <w:szCs w:val="22"/>
        </w:rPr>
        <w:t xml:space="preserve"> Hypoglycaemia does not occur in patients receiving metformin alone under usual circumstances of use, but could occur when caloric intake is deficient, when strenuous exercise is not compensated by caloric supplementation, or during concomitant use with other glucose-lowering agents (such as sulfonylureas and insulin) or ethanol. Elderly, debilitated, or malnourished patients, and those with adrenal or pituitary insufficiency or alcohol intoxication are particularly susceptible to hypoglycaemic effects. Hypoglycaemia may be difficult to recognize in the elderly, and in people who are taking β-adrenergic blocking drugs.</w:t>
      </w:r>
    </w:p>
    <w:p w:rsidR="00907289" w:rsidRDefault="00907289" w:rsidP="00E56E7B">
      <w:pPr>
        <w:spacing w:before="100" w:beforeAutospacing="1" w:after="100" w:afterAutospacing="1"/>
        <w:jc w:val="both"/>
        <w:rPr>
          <w:rFonts w:ascii="Arial" w:hAnsi="Arial" w:cs="Arial"/>
          <w:sz w:val="22"/>
          <w:szCs w:val="22"/>
        </w:rPr>
      </w:pPr>
      <w:r>
        <w:rPr>
          <w:rFonts w:ascii="Arial" w:hAnsi="Arial" w:cs="Arial"/>
          <w:i/>
          <w:sz w:val="22"/>
          <w:szCs w:val="22"/>
          <w:u w:val="single"/>
        </w:rPr>
        <w:t>Use of concomitant medications that may affect renal function or metformin disposition:</w:t>
      </w:r>
      <w:r>
        <w:rPr>
          <w:rFonts w:ascii="Arial" w:hAnsi="Arial" w:cs="Arial"/>
          <w:sz w:val="22"/>
          <w:szCs w:val="22"/>
        </w:rPr>
        <w:t xml:space="preserve"> Concomitant medication(s) that may affect renal function or result in significant haemodynamic change or may interfere with the disposition of metformin, such as cationic drugs that are eliminated by renal tubular secretion (see </w:t>
      </w:r>
      <w:r>
        <w:rPr>
          <w:rFonts w:ascii="Arial" w:hAnsi="Arial" w:cs="Arial"/>
          <w:b/>
          <w:sz w:val="22"/>
          <w:szCs w:val="22"/>
        </w:rPr>
        <w:t>DRUG INTERACTIONS</w:t>
      </w:r>
      <w:r>
        <w:rPr>
          <w:rFonts w:ascii="Arial" w:hAnsi="Arial" w:cs="Arial"/>
          <w:sz w:val="22"/>
          <w:szCs w:val="22"/>
        </w:rPr>
        <w:t xml:space="preserve">, </w:t>
      </w:r>
      <w:r>
        <w:rPr>
          <w:rFonts w:ascii="Arial" w:hAnsi="Arial" w:cs="Arial"/>
          <w:i/>
          <w:sz w:val="22"/>
          <w:szCs w:val="22"/>
        </w:rPr>
        <w:t>Metformin hydrochloride</w:t>
      </w:r>
      <w:r>
        <w:rPr>
          <w:rFonts w:ascii="Arial" w:hAnsi="Arial" w:cs="Arial"/>
          <w:sz w:val="22"/>
          <w:szCs w:val="22"/>
        </w:rPr>
        <w:t>), should be used with caution.</w:t>
      </w:r>
    </w:p>
    <w:p w:rsidR="00907289" w:rsidRDefault="00907289" w:rsidP="00E56E7B">
      <w:pPr>
        <w:spacing w:before="100" w:beforeAutospacing="1" w:after="100" w:afterAutospacing="1"/>
        <w:jc w:val="both"/>
        <w:rPr>
          <w:rFonts w:ascii="Arial" w:hAnsi="Arial" w:cs="Arial"/>
          <w:sz w:val="22"/>
          <w:szCs w:val="22"/>
        </w:rPr>
      </w:pPr>
      <w:r>
        <w:rPr>
          <w:rFonts w:ascii="Arial" w:hAnsi="Arial" w:cs="Arial"/>
          <w:i/>
          <w:sz w:val="22"/>
          <w:szCs w:val="22"/>
          <w:u w:val="single"/>
        </w:rPr>
        <w:t>Radiological studies involving the use of intravascular iodinated contrast materials (for example, intravenous urogram, intravenous cholangiography, angiography, and computed tomography (CT) scans with intravascular contrast materials):</w:t>
      </w:r>
      <w:r>
        <w:rPr>
          <w:rFonts w:ascii="Arial" w:hAnsi="Arial" w:cs="Arial"/>
          <w:i/>
          <w:sz w:val="22"/>
          <w:szCs w:val="22"/>
        </w:rPr>
        <w:t xml:space="preserve"> </w:t>
      </w:r>
      <w:r>
        <w:rPr>
          <w:rFonts w:ascii="Arial" w:hAnsi="Arial" w:cs="Arial"/>
          <w:sz w:val="22"/>
          <w:szCs w:val="22"/>
        </w:rPr>
        <w:t xml:space="preserve">Intravascular contrast studies with iodinated materials can lead to acute alteration of renal function and have been associated with lactic acidosis in patients receiving metformin (see </w:t>
      </w:r>
      <w:r>
        <w:rPr>
          <w:rFonts w:ascii="Arial" w:hAnsi="Arial" w:cs="Arial"/>
          <w:b/>
          <w:sz w:val="22"/>
          <w:szCs w:val="22"/>
        </w:rPr>
        <w:t>CONTRAINDICATIONS</w:t>
      </w:r>
      <w:r>
        <w:rPr>
          <w:rFonts w:ascii="Arial" w:hAnsi="Arial" w:cs="Arial"/>
          <w:sz w:val="22"/>
          <w:szCs w:val="22"/>
        </w:rPr>
        <w:t>). Therefore, in patients in whom any such study is planned, JANUMET should be temporarily discontinued at the time of or prior to the procedure, and withheld for 48 hours subsequent to the procedure and reinstituted only after renal function has been re-evaluated and found to be normal.</w:t>
      </w:r>
    </w:p>
    <w:p w:rsidR="00907289" w:rsidRDefault="00907289" w:rsidP="00E56E7B">
      <w:pPr>
        <w:spacing w:before="100" w:beforeAutospacing="1" w:after="100" w:afterAutospacing="1"/>
        <w:jc w:val="both"/>
        <w:rPr>
          <w:rFonts w:ascii="Arial" w:hAnsi="Arial" w:cs="Arial"/>
          <w:sz w:val="22"/>
          <w:szCs w:val="22"/>
        </w:rPr>
      </w:pPr>
      <w:r>
        <w:rPr>
          <w:rFonts w:ascii="Arial" w:hAnsi="Arial" w:cs="Arial"/>
          <w:i/>
          <w:sz w:val="22"/>
          <w:szCs w:val="22"/>
          <w:u w:val="single"/>
        </w:rPr>
        <w:t>Hypoxic states:</w:t>
      </w:r>
      <w:r>
        <w:rPr>
          <w:rFonts w:ascii="Arial" w:hAnsi="Arial" w:cs="Arial"/>
          <w:sz w:val="22"/>
          <w:szCs w:val="22"/>
        </w:rPr>
        <w:t xml:space="preserve"> Cardiovascular collapse (shock) from whatever cause, acute congestive heart failure, acute myocardial infarction and other conditions characterized by hypoxemia have been associated with lactic acidosis and may also cause prerenal azotaemia. When such events occur in patients on JANUMET therapy, the drug should be promptly discontinued.</w:t>
      </w:r>
    </w:p>
    <w:p w:rsidR="00907289" w:rsidRDefault="00907289" w:rsidP="00E56E7B">
      <w:pPr>
        <w:spacing w:before="100" w:beforeAutospacing="1" w:after="100" w:afterAutospacing="1"/>
        <w:jc w:val="both"/>
        <w:rPr>
          <w:rFonts w:ascii="Arial" w:hAnsi="Arial" w:cs="Arial"/>
          <w:sz w:val="22"/>
          <w:szCs w:val="22"/>
        </w:rPr>
      </w:pPr>
      <w:r>
        <w:rPr>
          <w:rFonts w:ascii="Arial" w:hAnsi="Arial" w:cs="Arial"/>
          <w:i/>
          <w:sz w:val="22"/>
          <w:szCs w:val="22"/>
          <w:u w:val="single"/>
        </w:rPr>
        <w:t>Surgical procedures:</w:t>
      </w:r>
      <w:r>
        <w:rPr>
          <w:rFonts w:ascii="Arial" w:hAnsi="Arial" w:cs="Arial"/>
          <w:sz w:val="22"/>
          <w:szCs w:val="22"/>
        </w:rPr>
        <w:t xml:space="preserve"> Use of JANUMET should be temporarily suspended for any surgical procedure (except minor procedures not associated with restricted intake of food and fluids) and should not be restarted until the patient's oral intake has resumed and renal function has been evaluated as normal.</w:t>
      </w:r>
    </w:p>
    <w:p w:rsidR="00907289" w:rsidRDefault="00907289" w:rsidP="00E56E7B">
      <w:pPr>
        <w:spacing w:before="100" w:beforeAutospacing="1" w:after="100" w:afterAutospacing="1"/>
        <w:jc w:val="both"/>
        <w:rPr>
          <w:rFonts w:ascii="Arial" w:hAnsi="Arial" w:cs="Arial"/>
          <w:sz w:val="22"/>
          <w:szCs w:val="22"/>
        </w:rPr>
      </w:pPr>
      <w:r>
        <w:rPr>
          <w:rFonts w:ascii="Arial" w:hAnsi="Arial" w:cs="Arial"/>
          <w:i/>
          <w:sz w:val="22"/>
          <w:szCs w:val="22"/>
          <w:u w:val="single"/>
        </w:rPr>
        <w:t>Alcohol intake:</w:t>
      </w:r>
      <w:r>
        <w:rPr>
          <w:rFonts w:ascii="Arial" w:hAnsi="Arial" w:cs="Arial"/>
          <w:sz w:val="22"/>
          <w:szCs w:val="22"/>
        </w:rPr>
        <w:t xml:space="preserve"> Alcohol is known to potentiate the effect of metformin on lactate metabolism. Patients, therefore, should be warned against excessive alcohol intake, acute or chronic, while receiving JANUMET.</w:t>
      </w:r>
    </w:p>
    <w:p w:rsidR="00907289" w:rsidRDefault="00907289" w:rsidP="00E56E7B">
      <w:pPr>
        <w:spacing w:before="100" w:beforeAutospacing="1" w:after="100" w:afterAutospacing="1"/>
        <w:jc w:val="both"/>
        <w:rPr>
          <w:rFonts w:ascii="Arial" w:hAnsi="Arial" w:cs="Arial"/>
          <w:sz w:val="22"/>
          <w:szCs w:val="22"/>
        </w:rPr>
      </w:pPr>
      <w:r>
        <w:rPr>
          <w:rFonts w:ascii="Arial" w:hAnsi="Arial" w:cs="Arial"/>
          <w:i/>
          <w:sz w:val="22"/>
          <w:szCs w:val="22"/>
          <w:u w:val="single"/>
        </w:rPr>
        <w:t>Impaired hepatic function:</w:t>
      </w:r>
      <w:r>
        <w:rPr>
          <w:rFonts w:ascii="Arial" w:hAnsi="Arial" w:cs="Arial"/>
          <w:sz w:val="22"/>
          <w:szCs w:val="22"/>
        </w:rPr>
        <w:t xml:space="preserve"> Since impaired hepatic function has been associated with some cases of lactic acidosis, JANUMET should generally be avoided in patients with clinical or laboratory evidence of hepatic disease.</w:t>
      </w:r>
    </w:p>
    <w:p w:rsidR="00907289" w:rsidRDefault="00907289" w:rsidP="00E56E7B">
      <w:pPr>
        <w:spacing w:before="100" w:beforeAutospacing="1" w:after="100" w:afterAutospacing="1"/>
        <w:jc w:val="both"/>
        <w:rPr>
          <w:rFonts w:ascii="Arial" w:hAnsi="Arial" w:cs="Arial"/>
          <w:sz w:val="22"/>
          <w:szCs w:val="22"/>
        </w:rPr>
      </w:pPr>
      <w:r>
        <w:rPr>
          <w:rFonts w:ascii="Arial" w:hAnsi="Arial" w:cs="Arial"/>
          <w:i/>
          <w:sz w:val="22"/>
          <w:szCs w:val="22"/>
          <w:u w:val="single"/>
        </w:rPr>
        <w:t>Vitamin B</w:t>
      </w:r>
      <w:r>
        <w:rPr>
          <w:rFonts w:ascii="Arial" w:hAnsi="Arial" w:cs="Arial"/>
          <w:i/>
          <w:sz w:val="22"/>
          <w:szCs w:val="22"/>
          <w:u w:val="single"/>
          <w:vertAlign w:val="subscript"/>
        </w:rPr>
        <w:t>12</w:t>
      </w:r>
      <w:r>
        <w:rPr>
          <w:rFonts w:ascii="Arial" w:hAnsi="Arial" w:cs="Arial"/>
          <w:i/>
          <w:sz w:val="22"/>
          <w:szCs w:val="22"/>
          <w:u w:val="single"/>
        </w:rPr>
        <w:t xml:space="preserve"> levels:</w:t>
      </w:r>
      <w:r>
        <w:rPr>
          <w:rFonts w:ascii="Arial" w:hAnsi="Arial" w:cs="Arial"/>
          <w:sz w:val="22"/>
          <w:szCs w:val="22"/>
        </w:rPr>
        <w:t xml:space="preserve"> In controlled clinical trials of metformin of 29 weeks duration, a decrease to subnormal levels of previously normal serum Vitamin B</w:t>
      </w:r>
      <w:r>
        <w:rPr>
          <w:rFonts w:ascii="Arial" w:hAnsi="Arial" w:cs="Arial"/>
          <w:sz w:val="22"/>
          <w:szCs w:val="22"/>
          <w:vertAlign w:val="subscript"/>
        </w:rPr>
        <w:t>12</w:t>
      </w:r>
      <w:r>
        <w:rPr>
          <w:rFonts w:ascii="Arial" w:hAnsi="Arial" w:cs="Arial"/>
          <w:sz w:val="22"/>
          <w:szCs w:val="22"/>
        </w:rPr>
        <w:t xml:space="preserve"> levels, without clinical manifestations, was observed in approximately 7% of patients. Such decrease, possibly due to interference with B</w:t>
      </w:r>
      <w:r>
        <w:rPr>
          <w:rFonts w:ascii="Arial" w:hAnsi="Arial" w:cs="Arial"/>
          <w:sz w:val="22"/>
          <w:szCs w:val="22"/>
          <w:vertAlign w:val="subscript"/>
        </w:rPr>
        <w:t>12</w:t>
      </w:r>
      <w:r>
        <w:rPr>
          <w:rFonts w:ascii="Arial" w:hAnsi="Arial" w:cs="Arial"/>
          <w:sz w:val="22"/>
          <w:szCs w:val="22"/>
        </w:rPr>
        <w:t xml:space="preserve"> absorption from the B</w:t>
      </w:r>
      <w:r>
        <w:rPr>
          <w:rFonts w:ascii="Arial" w:hAnsi="Arial" w:cs="Arial"/>
          <w:sz w:val="22"/>
          <w:szCs w:val="22"/>
          <w:vertAlign w:val="subscript"/>
        </w:rPr>
        <w:t>12</w:t>
      </w:r>
      <w:r>
        <w:rPr>
          <w:rFonts w:ascii="Arial" w:hAnsi="Arial" w:cs="Arial"/>
          <w:sz w:val="22"/>
          <w:szCs w:val="22"/>
        </w:rPr>
        <w:t>-intrinsic factor complex, is, however, very rarely associated with anaemia and appears to be rapidly reversible with discontinuation of metformin or Vitamin B</w:t>
      </w:r>
      <w:r>
        <w:rPr>
          <w:rFonts w:ascii="Arial" w:hAnsi="Arial" w:cs="Arial"/>
          <w:sz w:val="22"/>
          <w:szCs w:val="22"/>
          <w:vertAlign w:val="subscript"/>
        </w:rPr>
        <w:t>12</w:t>
      </w:r>
      <w:r>
        <w:rPr>
          <w:rFonts w:ascii="Arial" w:hAnsi="Arial" w:cs="Arial"/>
          <w:sz w:val="22"/>
          <w:szCs w:val="22"/>
        </w:rPr>
        <w:t xml:space="preserve"> supplementation. Measurement of haematologic parameters on an annual basis is advised in patients on JANUMET and any apparent abnormalities should be appropriately investigated and managed.</w:t>
      </w:r>
    </w:p>
    <w:p w:rsidR="00907289" w:rsidRDefault="00907289" w:rsidP="00E56E7B">
      <w:pPr>
        <w:spacing w:before="100" w:beforeAutospacing="1" w:after="100" w:afterAutospacing="1"/>
        <w:jc w:val="both"/>
        <w:rPr>
          <w:rFonts w:ascii="Arial" w:hAnsi="Arial" w:cs="Arial"/>
          <w:sz w:val="22"/>
          <w:szCs w:val="22"/>
        </w:rPr>
      </w:pPr>
      <w:r>
        <w:rPr>
          <w:rFonts w:ascii="Arial" w:hAnsi="Arial" w:cs="Arial"/>
          <w:sz w:val="22"/>
          <w:szCs w:val="22"/>
        </w:rPr>
        <w:lastRenderedPageBreak/>
        <w:t>Certain individuals (those with inadequate Vitamin B</w:t>
      </w:r>
      <w:r>
        <w:rPr>
          <w:rFonts w:ascii="Arial" w:hAnsi="Arial" w:cs="Arial"/>
          <w:sz w:val="22"/>
          <w:szCs w:val="22"/>
          <w:vertAlign w:val="subscript"/>
        </w:rPr>
        <w:t>12</w:t>
      </w:r>
      <w:r>
        <w:rPr>
          <w:rFonts w:ascii="Arial" w:hAnsi="Arial" w:cs="Arial"/>
          <w:sz w:val="22"/>
          <w:szCs w:val="22"/>
        </w:rPr>
        <w:t xml:space="preserve"> or calcium intake or absorption) appear to be predisposed to developing subnormal Vitamin B</w:t>
      </w:r>
      <w:r>
        <w:rPr>
          <w:rFonts w:ascii="Arial" w:hAnsi="Arial" w:cs="Arial"/>
          <w:sz w:val="22"/>
          <w:szCs w:val="22"/>
          <w:vertAlign w:val="subscript"/>
        </w:rPr>
        <w:t>12</w:t>
      </w:r>
      <w:r>
        <w:rPr>
          <w:rFonts w:ascii="Arial" w:hAnsi="Arial" w:cs="Arial"/>
          <w:sz w:val="22"/>
          <w:szCs w:val="22"/>
        </w:rPr>
        <w:t xml:space="preserve"> levels. In these patients, routine serum Vitamin B</w:t>
      </w:r>
      <w:r>
        <w:rPr>
          <w:rFonts w:ascii="Arial" w:hAnsi="Arial" w:cs="Arial"/>
          <w:sz w:val="22"/>
          <w:szCs w:val="22"/>
          <w:vertAlign w:val="subscript"/>
        </w:rPr>
        <w:t>12</w:t>
      </w:r>
      <w:r>
        <w:rPr>
          <w:rFonts w:ascii="Arial" w:hAnsi="Arial" w:cs="Arial"/>
          <w:sz w:val="22"/>
          <w:szCs w:val="22"/>
        </w:rPr>
        <w:t xml:space="preserve"> measurements at two- to three-year intervals may be useful.</w:t>
      </w:r>
    </w:p>
    <w:p w:rsidR="00907289" w:rsidRDefault="00907289" w:rsidP="00E56E7B">
      <w:pPr>
        <w:spacing w:before="100" w:beforeAutospacing="1" w:after="100" w:afterAutospacing="1"/>
        <w:jc w:val="both"/>
        <w:rPr>
          <w:rFonts w:ascii="Arial" w:hAnsi="Arial" w:cs="Arial"/>
          <w:sz w:val="22"/>
          <w:szCs w:val="22"/>
        </w:rPr>
      </w:pPr>
      <w:r>
        <w:rPr>
          <w:rFonts w:ascii="Arial" w:hAnsi="Arial" w:cs="Arial"/>
          <w:bCs/>
          <w:i/>
          <w:iCs/>
          <w:sz w:val="22"/>
          <w:szCs w:val="22"/>
          <w:u w:val="single"/>
        </w:rPr>
        <w:t>Change in clinical status of patients with previously controlled type 2 diabetes:</w:t>
      </w:r>
      <w:r>
        <w:rPr>
          <w:rFonts w:ascii="Arial" w:hAnsi="Arial" w:cs="Arial"/>
          <w:bCs/>
          <w:iCs/>
          <w:sz w:val="22"/>
          <w:szCs w:val="22"/>
        </w:rPr>
        <w:t xml:space="preserve"> </w:t>
      </w:r>
      <w:r>
        <w:rPr>
          <w:rFonts w:ascii="Arial" w:hAnsi="Arial" w:cs="Arial"/>
          <w:sz w:val="22"/>
          <w:szCs w:val="22"/>
        </w:rPr>
        <w:t>A patient with type 2 diabetes previously well controlled on JANUMET who develops laboratory abnormalities or clinical illness (especially vague and poorly defined illness) should be evaluated promptly for evidence of ketoacidosis or lactic acidosis. Evaluation should include serum electrolytes and ketones, blood glucose and, if indicated, blood pH, lactate, pyruvate, and metformin levels. If acidosis of either form occurs, JANUMET must be stopped immediately and other appropriate corrective measures initiated.</w:t>
      </w:r>
    </w:p>
    <w:p w:rsidR="00907289" w:rsidRDefault="00907289" w:rsidP="00E56E7B">
      <w:pPr>
        <w:spacing w:before="100" w:beforeAutospacing="1" w:after="100" w:afterAutospacing="1"/>
        <w:jc w:val="both"/>
        <w:rPr>
          <w:rFonts w:ascii="Arial" w:hAnsi="Arial" w:cs="Arial"/>
          <w:sz w:val="22"/>
          <w:szCs w:val="22"/>
        </w:rPr>
      </w:pPr>
      <w:r>
        <w:rPr>
          <w:rFonts w:ascii="Arial" w:hAnsi="Arial" w:cs="Arial"/>
          <w:i/>
          <w:sz w:val="22"/>
          <w:szCs w:val="22"/>
          <w:u w:val="single"/>
        </w:rPr>
        <w:t>Loss of control of blood glucose:</w:t>
      </w:r>
      <w:r>
        <w:rPr>
          <w:rFonts w:ascii="Arial" w:hAnsi="Arial" w:cs="Arial"/>
          <w:sz w:val="22"/>
          <w:szCs w:val="22"/>
        </w:rPr>
        <w:t xml:space="preserve"> When a patient stabilized on any diabetic regimen is exposed to stress such as fever, trauma, infection, or surgery, a temporary loss of glycaemic control may occur. At such times, it may be necessary to withhold JANUMET and temporarily administer insulin. JANUMET may be reinstituted after the acute episode is resolved.</w:t>
      </w:r>
    </w:p>
    <w:p w:rsidR="00907289" w:rsidRDefault="00907289" w:rsidP="00E56E7B">
      <w:pPr>
        <w:spacing w:before="100" w:beforeAutospacing="1" w:after="100" w:afterAutospacing="1"/>
        <w:jc w:val="both"/>
        <w:outlineLvl w:val="0"/>
        <w:rPr>
          <w:rFonts w:ascii="Arial" w:hAnsi="Arial" w:cs="Arial"/>
          <w:b/>
          <w:i/>
          <w:sz w:val="22"/>
          <w:szCs w:val="22"/>
        </w:rPr>
      </w:pPr>
      <w:r>
        <w:rPr>
          <w:rFonts w:ascii="Arial" w:hAnsi="Arial" w:cs="Arial"/>
          <w:b/>
          <w:i/>
          <w:sz w:val="22"/>
          <w:szCs w:val="22"/>
        </w:rPr>
        <w:t>Effects on fertility</w:t>
      </w:r>
    </w:p>
    <w:p w:rsidR="00907289" w:rsidRDefault="00907289" w:rsidP="00E56E7B">
      <w:pPr>
        <w:tabs>
          <w:tab w:val="left" w:pos="1320"/>
          <w:tab w:val="left" w:pos="1680"/>
          <w:tab w:val="left" w:pos="1920"/>
          <w:tab w:val="left" w:pos="3960"/>
          <w:tab w:val="left" w:pos="6120"/>
          <w:tab w:val="left" w:pos="6480"/>
          <w:tab w:val="left" w:pos="6840"/>
        </w:tabs>
        <w:spacing w:before="100" w:beforeAutospacing="1" w:after="100" w:afterAutospacing="1"/>
        <w:rPr>
          <w:rFonts w:ascii="Arial" w:hAnsi="Arial" w:cs="Arial"/>
          <w:sz w:val="22"/>
          <w:szCs w:val="22"/>
        </w:rPr>
      </w:pPr>
      <w:r>
        <w:rPr>
          <w:rFonts w:ascii="Arial" w:hAnsi="Arial" w:cs="Arial"/>
          <w:sz w:val="22"/>
          <w:szCs w:val="22"/>
        </w:rPr>
        <w:t>No studies have been conducted with the combined components of JANUMET to evaluate the effects on fertility.</w:t>
      </w:r>
    </w:p>
    <w:p w:rsidR="00907289" w:rsidRDefault="00907289" w:rsidP="006656A9">
      <w:pPr>
        <w:tabs>
          <w:tab w:val="left" w:pos="1320"/>
          <w:tab w:val="left" w:pos="1680"/>
          <w:tab w:val="left" w:pos="1920"/>
          <w:tab w:val="left" w:pos="3960"/>
          <w:tab w:val="left" w:pos="6120"/>
          <w:tab w:val="left" w:pos="6480"/>
          <w:tab w:val="left" w:pos="6840"/>
        </w:tabs>
        <w:jc w:val="both"/>
        <w:outlineLvl w:val="0"/>
        <w:rPr>
          <w:rFonts w:ascii="Arial" w:hAnsi="Arial" w:cs="Arial"/>
          <w:i/>
          <w:sz w:val="22"/>
          <w:szCs w:val="22"/>
        </w:rPr>
      </w:pPr>
      <w:r>
        <w:rPr>
          <w:rFonts w:ascii="Arial" w:hAnsi="Arial" w:cs="Arial"/>
          <w:i/>
          <w:sz w:val="22"/>
          <w:szCs w:val="22"/>
        </w:rPr>
        <w:t>Sitagliptin phosphate monohydrate</w:t>
      </w:r>
    </w:p>
    <w:p w:rsidR="00907289" w:rsidRDefault="00907289">
      <w:pPr>
        <w:jc w:val="both"/>
        <w:rPr>
          <w:rFonts w:ascii="Arial" w:hAnsi="Arial" w:cs="Arial"/>
          <w:color w:val="000000"/>
          <w:sz w:val="22"/>
          <w:szCs w:val="22"/>
        </w:rPr>
      </w:pPr>
      <w:r>
        <w:rPr>
          <w:rFonts w:ascii="Arial" w:hAnsi="Arial" w:cs="Arial"/>
          <w:color w:val="000000"/>
          <w:sz w:val="22"/>
          <w:szCs w:val="22"/>
        </w:rPr>
        <w:t>No adverse effects on fertility were observed in male and female rats given sitagliptin orally at doses up to 1000 mg/kg daily (up to approximately 100 times the human exposure based on the recommended daily adult human dose of 100 mg/day) prior to and throughout mating.</w:t>
      </w:r>
    </w:p>
    <w:p w:rsidR="00907289" w:rsidRDefault="00907289" w:rsidP="00E56E7B">
      <w:pPr>
        <w:tabs>
          <w:tab w:val="left" w:pos="1320"/>
          <w:tab w:val="left" w:pos="1680"/>
          <w:tab w:val="left" w:pos="1920"/>
          <w:tab w:val="left" w:pos="3960"/>
          <w:tab w:val="left" w:pos="6120"/>
          <w:tab w:val="left" w:pos="6480"/>
          <w:tab w:val="left" w:pos="6840"/>
        </w:tabs>
        <w:spacing w:before="100" w:beforeAutospacing="1"/>
        <w:jc w:val="both"/>
        <w:outlineLvl w:val="0"/>
        <w:rPr>
          <w:rFonts w:ascii="Arial" w:hAnsi="Arial" w:cs="Arial"/>
          <w:i/>
          <w:sz w:val="22"/>
          <w:szCs w:val="22"/>
        </w:rPr>
      </w:pPr>
      <w:r>
        <w:rPr>
          <w:rFonts w:ascii="Arial" w:hAnsi="Arial" w:cs="Arial"/>
          <w:i/>
          <w:sz w:val="22"/>
          <w:szCs w:val="22"/>
        </w:rPr>
        <w:t>Metformin hydrochloride</w:t>
      </w:r>
    </w:p>
    <w:p w:rsidR="00907289" w:rsidRDefault="00907289">
      <w:pPr>
        <w:jc w:val="both"/>
        <w:rPr>
          <w:rFonts w:ascii="Arial" w:hAnsi="Arial" w:cs="Arial"/>
          <w:color w:val="000000"/>
          <w:sz w:val="22"/>
          <w:szCs w:val="22"/>
        </w:rPr>
      </w:pPr>
      <w:r>
        <w:rPr>
          <w:rFonts w:ascii="Arial" w:hAnsi="Arial" w:cs="Arial"/>
          <w:color w:val="000000"/>
          <w:sz w:val="22"/>
          <w:szCs w:val="22"/>
        </w:rPr>
        <w:t>Fertility of male or female rats was unaffected by metformin when administered at doses as high as 600 mg/kg/day, which is approximately three times the maximum recommended human daily dose based on body surface area comparisons.</w:t>
      </w:r>
    </w:p>
    <w:p w:rsidR="00907289" w:rsidRDefault="00907289" w:rsidP="00E56E7B">
      <w:pPr>
        <w:spacing w:before="100" w:beforeAutospacing="1" w:after="100" w:afterAutospacing="1"/>
        <w:jc w:val="both"/>
        <w:outlineLvl w:val="0"/>
        <w:rPr>
          <w:rFonts w:ascii="Arial" w:hAnsi="Arial" w:cs="Arial"/>
          <w:b/>
          <w:i/>
          <w:sz w:val="22"/>
          <w:szCs w:val="22"/>
        </w:rPr>
      </w:pPr>
      <w:r>
        <w:rPr>
          <w:rFonts w:ascii="Arial" w:hAnsi="Arial" w:cs="Arial"/>
          <w:b/>
          <w:i/>
          <w:sz w:val="22"/>
          <w:szCs w:val="22"/>
        </w:rPr>
        <w:t>Use in Pregnancy (Category C)</w:t>
      </w:r>
    </w:p>
    <w:p w:rsidR="00907289" w:rsidRDefault="00907289" w:rsidP="00E56E7B">
      <w:pPr>
        <w:spacing w:before="100" w:beforeAutospacing="1" w:after="100" w:afterAutospacing="1"/>
        <w:jc w:val="both"/>
        <w:rPr>
          <w:rFonts w:ascii="Arial" w:hAnsi="Arial" w:cs="Arial"/>
          <w:noProof/>
          <w:sz w:val="22"/>
          <w:szCs w:val="22"/>
        </w:rPr>
      </w:pPr>
      <w:r>
        <w:rPr>
          <w:rFonts w:ascii="Arial" w:hAnsi="Arial" w:cs="Arial"/>
          <w:noProof/>
          <w:sz w:val="22"/>
          <w:szCs w:val="22"/>
        </w:rPr>
        <w:t xml:space="preserve">There are no adequate and well-controlled studies in pregnant women with JANUMET or its individual components; </w:t>
      </w:r>
      <w:r>
        <w:rPr>
          <w:rFonts w:ascii="Arial" w:hAnsi="Arial" w:cs="Arial"/>
          <w:bCs/>
          <w:iCs/>
          <w:noProof/>
          <w:sz w:val="22"/>
          <w:szCs w:val="22"/>
        </w:rPr>
        <w:t>therefore, the safety of JANUMET in pregnant women is not known. JANUMET, like other oral antihyperglycaemic agents, is not recommended for use in pregnancy</w:t>
      </w:r>
      <w:r>
        <w:rPr>
          <w:rFonts w:ascii="Arial" w:hAnsi="Arial" w:cs="Arial"/>
          <w:noProof/>
          <w:sz w:val="22"/>
          <w:szCs w:val="22"/>
        </w:rPr>
        <w:t>.</w:t>
      </w:r>
    </w:p>
    <w:p w:rsidR="00907289" w:rsidRDefault="00907289" w:rsidP="00E56E7B">
      <w:pPr>
        <w:spacing w:before="100" w:beforeAutospacing="1" w:after="100" w:afterAutospacing="1"/>
        <w:jc w:val="both"/>
        <w:rPr>
          <w:rFonts w:ascii="Arial" w:hAnsi="Arial" w:cs="Arial"/>
          <w:noProof/>
          <w:sz w:val="22"/>
          <w:szCs w:val="22"/>
        </w:rPr>
      </w:pPr>
      <w:r>
        <w:rPr>
          <w:rFonts w:ascii="Arial" w:hAnsi="Arial" w:cs="Arial"/>
          <w:noProof/>
          <w:sz w:val="22"/>
          <w:szCs w:val="22"/>
        </w:rPr>
        <w:t>No animal studies have been conducted with the combined components of  JANUMET to evaluate effects on reproduction. The following data are based on findings in studies performed with sitagliptin or metformin individually.</w:t>
      </w:r>
    </w:p>
    <w:p w:rsidR="00907289" w:rsidRDefault="00907289" w:rsidP="006656A9">
      <w:pPr>
        <w:jc w:val="both"/>
        <w:outlineLvl w:val="0"/>
        <w:rPr>
          <w:rFonts w:ascii="Arial" w:hAnsi="Arial" w:cs="Arial"/>
          <w:i/>
          <w:sz w:val="22"/>
          <w:szCs w:val="22"/>
        </w:rPr>
      </w:pPr>
      <w:r>
        <w:rPr>
          <w:rFonts w:ascii="Arial" w:hAnsi="Arial" w:cs="Arial"/>
          <w:i/>
          <w:sz w:val="22"/>
          <w:szCs w:val="22"/>
        </w:rPr>
        <w:t>Sitagliptin phosphate monohydrate</w:t>
      </w:r>
    </w:p>
    <w:p w:rsidR="00907289" w:rsidRDefault="00907289" w:rsidP="00E56E7B">
      <w:pPr>
        <w:spacing w:after="100" w:afterAutospacing="1"/>
        <w:jc w:val="both"/>
        <w:rPr>
          <w:rFonts w:ascii="Arial" w:hAnsi="Arial" w:cs="Arial"/>
          <w:noProof/>
          <w:sz w:val="22"/>
          <w:szCs w:val="22"/>
        </w:rPr>
      </w:pPr>
      <w:r>
        <w:rPr>
          <w:rFonts w:ascii="Arial" w:hAnsi="Arial" w:cs="Arial"/>
          <w:noProof/>
          <w:sz w:val="22"/>
          <w:szCs w:val="22"/>
        </w:rPr>
        <w:t>Sitagliptin</w:t>
      </w:r>
      <w:r>
        <w:rPr>
          <w:rFonts w:ascii="Arial" w:hAnsi="Arial" w:cs="Arial"/>
          <w:i/>
          <w:noProof/>
          <w:sz w:val="22"/>
          <w:szCs w:val="22"/>
        </w:rPr>
        <w:t xml:space="preserve"> </w:t>
      </w:r>
      <w:r>
        <w:rPr>
          <w:rFonts w:ascii="Arial" w:hAnsi="Arial" w:cs="Arial"/>
          <w:noProof/>
          <w:sz w:val="22"/>
          <w:szCs w:val="22"/>
        </w:rPr>
        <w:t>was not teratogenic in rats at oral doses up to 250 mg/kg/day or in rabbits given up to 125 mg/kg/day during organogenesis (up to 32 and 22 times, respectively, the human exposure based on the recommended daily adult human dose of 100 mg). In rats, a slight increase in the incidence of fetal rib malformations (absent, hypoplastic and wavy ribs) was observed at oral doses of 1000 mg/kg/day (approximately 100 times the human exposure based on the recommended daily adult human dose of 100 mg). Slight decreases in mean birth weight and preweaning and postweaning body weight gains were observed in the offspring of rats given sitagliptin at an oral dose of 1000 mg/kg/day from gestation day 6 to lactation day 20. However, animal reproduction studies are not always predictive of the human response. Sitagliptin crosses the placenta in rats and rabbits.</w:t>
      </w:r>
    </w:p>
    <w:p w:rsidR="00907289" w:rsidRDefault="00907289" w:rsidP="006656A9">
      <w:pPr>
        <w:jc w:val="both"/>
        <w:outlineLvl w:val="0"/>
        <w:rPr>
          <w:rFonts w:ascii="Arial" w:hAnsi="Arial" w:cs="Arial"/>
          <w:i/>
          <w:sz w:val="22"/>
          <w:szCs w:val="22"/>
        </w:rPr>
      </w:pPr>
      <w:r>
        <w:rPr>
          <w:rFonts w:ascii="Arial" w:hAnsi="Arial" w:cs="Arial"/>
          <w:i/>
          <w:sz w:val="22"/>
          <w:szCs w:val="22"/>
        </w:rPr>
        <w:lastRenderedPageBreak/>
        <w:t>Metformin hydrochloride</w:t>
      </w:r>
    </w:p>
    <w:p w:rsidR="00907289" w:rsidRDefault="00907289">
      <w:pPr>
        <w:jc w:val="both"/>
        <w:rPr>
          <w:rFonts w:ascii="Arial" w:hAnsi="Arial" w:cs="Arial"/>
          <w:bCs/>
          <w:iCs/>
          <w:sz w:val="22"/>
          <w:szCs w:val="22"/>
        </w:rPr>
      </w:pPr>
      <w:r>
        <w:rPr>
          <w:rFonts w:ascii="Arial" w:hAnsi="Arial" w:cs="Arial"/>
          <w:bCs/>
          <w:iCs/>
          <w:sz w:val="22"/>
          <w:szCs w:val="22"/>
        </w:rPr>
        <w:t>Metformin was not teratogenic in rats and rabbits at doses up to 600 mg/kg/day. This dose is about 3 and 6 times the maximum recommended human daily dose of 2,000 mg based on body surface area comparisons for rats and rabbits, respectively. Determination of foetal concentrations demonstrated a partial placental barrier to metformin.</w:t>
      </w:r>
    </w:p>
    <w:p w:rsidR="00907289" w:rsidRDefault="00907289" w:rsidP="00E56E7B">
      <w:pPr>
        <w:spacing w:before="100" w:beforeAutospacing="1" w:after="100" w:afterAutospacing="1"/>
        <w:jc w:val="both"/>
        <w:outlineLvl w:val="0"/>
        <w:rPr>
          <w:rFonts w:ascii="Arial" w:hAnsi="Arial" w:cs="Arial"/>
          <w:b/>
          <w:i/>
          <w:sz w:val="22"/>
          <w:szCs w:val="22"/>
        </w:rPr>
      </w:pPr>
      <w:r>
        <w:rPr>
          <w:rFonts w:ascii="Arial" w:hAnsi="Arial" w:cs="Arial"/>
          <w:b/>
          <w:i/>
          <w:sz w:val="22"/>
          <w:szCs w:val="22"/>
        </w:rPr>
        <w:t>Use in Lactation</w:t>
      </w:r>
    </w:p>
    <w:p w:rsidR="00907289" w:rsidRDefault="00907289" w:rsidP="00E56E7B">
      <w:pPr>
        <w:spacing w:before="100" w:beforeAutospacing="1" w:after="100" w:afterAutospacing="1"/>
        <w:jc w:val="both"/>
        <w:rPr>
          <w:rFonts w:ascii="Arial" w:hAnsi="Arial" w:cs="Arial"/>
          <w:bCs/>
          <w:iCs/>
          <w:sz w:val="22"/>
          <w:szCs w:val="22"/>
        </w:rPr>
      </w:pPr>
      <w:r>
        <w:rPr>
          <w:rFonts w:ascii="Arial" w:hAnsi="Arial" w:cs="Arial"/>
          <w:bCs/>
          <w:iCs/>
          <w:sz w:val="22"/>
          <w:szCs w:val="22"/>
        </w:rPr>
        <w:t>No studies in lactating animals have been conducted with the combined components of JANUMET. In studies performed with the individual components, both sitagliptin and metformin were excreted in the milk of lactating rats. For sitagliptin, excretion occurred at a milk to plasma ratio of 4:1. Treatment of rats with sitagliptin during pregnancy and lactation caused decreased pup body weight gain (see Use in Pregnancy). It is not known whether sitagliptin is excreted in human milk; some excretion of metformin in human milk has been observed. Therefore, JANUMET should not be used by a woman who is nursing.</w:t>
      </w:r>
    </w:p>
    <w:p w:rsidR="00907289" w:rsidRDefault="00907289" w:rsidP="00E56E7B">
      <w:pPr>
        <w:spacing w:before="100" w:beforeAutospacing="1" w:after="100" w:afterAutospacing="1"/>
        <w:jc w:val="both"/>
        <w:outlineLvl w:val="0"/>
        <w:rPr>
          <w:rFonts w:ascii="Arial" w:hAnsi="Arial" w:cs="Arial"/>
          <w:b/>
          <w:i/>
          <w:sz w:val="22"/>
          <w:szCs w:val="22"/>
        </w:rPr>
      </w:pPr>
      <w:r>
        <w:rPr>
          <w:rFonts w:ascii="Arial" w:hAnsi="Arial" w:cs="Arial"/>
          <w:b/>
          <w:i/>
          <w:sz w:val="22"/>
          <w:szCs w:val="22"/>
        </w:rPr>
        <w:t>Paediatric Use</w:t>
      </w:r>
    </w:p>
    <w:p w:rsidR="00907289" w:rsidRDefault="00907289" w:rsidP="00E56E7B">
      <w:pPr>
        <w:spacing w:before="100" w:beforeAutospacing="1" w:after="100" w:afterAutospacing="1"/>
        <w:jc w:val="both"/>
        <w:rPr>
          <w:rFonts w:ascii="Arial" w:hAnsi="Arial" w:cs="Arial"/>
          <w:sz w:val="22"/>
          <w:szCs w:val="22"/>
        </w:rPr>
      </w:pPr>
      <w:r>
        <w:rPr>
          <w:rFonts w:ascii="Arial" w:hAnsi="Arial" w:cs="Arial"/>
          <w:sz w:val="22"/>
          <w:szCs w:val="22"/>
        </w:rPr>
        <w:t>Safety and effectiveness of JANUMET in paediatric patients under 18 years have not been established.</w:t>
      </w:r>
    </w:p>
    <w:p w:rsidR="00907289" w:rsidRDefault="00907289" w:rsidP="00E56E7B">
      <w:pPr>
        <w:spacing w:before="100" w:beforeAutospacing="1" w:after="100" w:afterAutospacing="1"/>
        <w:jc w:val="both"/>
        <w:outlineLvl w:val="0"/>
        <w:rPr>
          <w:rFonts w:ascii="Arial" w:hAnsi="Arial" w:cs="Arial"/>
          <w:b/>
          <w:i/>
          <w:sz w:val="22"/>
          <w:szCs w:val="22"/>
        </w:rPr>
      </w:pPr>
      <w:r>
        <w:rPr>
          <w:rFonts w:ascii="Arial" w:hAnsi="Arial" w:cs="Arial"/>
          <w:b/>
          <w:i/>
          <w:sz w:val="22"/>
          <w:szCs w:val="22"/>
        </w:rPr>
        <w:t>Use in the elderly</w:t>
      </w:r>
    </w:p>
    <w:p w:rsidR="00907289" w:rsidRDefault="00907289" w:rsidP="006656A9">
      <w:pPr>
        <w:jc w:val="both"/>
        <w:outlineLvl w:val="0"/>
        <w:rPr>
          <w:rFonts w:ascii="Arial" w:hAnsi="Arial" w:cs="Arial"/>
          <w:i/>
          <w:sz w:val="22"/>
          <w:szCs w:val="22"/>
        </w:rPr>
      </w:pPr>
      <w:r>
        <w:rPr>
          <w:rFonts w:ascii="Arial" w:hAnsi="Arial" w:cs="Arial"/>
          <w:i/>
          <w:sz w:val="22"/>
          <w:szCs w:val="22"/>
        </w:rPr>
        <w:t>JANUMET</w:t>
      </w:r>
    </w:p>
    <w:p w:rsidR="00907289" w:rsidRDefault="00907289">
      <w:pPr>
        <w:jc w:val="both"/>
        <w:rPr>
          <w:rFonts w:ascii="Arial" w:hAnsi="Arial" w:cs="Arial"/>
          <w:bCs/>
          <w:sz w:val="22"/>
          <w:szCs w:val="22"/>
        </w:rPr>
      </w:pPr>
      <w:r>
        <w:rPr>
          <w:rFonts w:ascii="Arial" w:hAnsi="Arial" w:cs="Arial"/>
          <w:bCs/>
          <w:sz w:val="22"/>
          <w:szCs w:val="22"/>
        </w:rPr>
        <w:t>Because sitagliptin and metformin are substantially excreted by the kidney and because aging can be associated with reduced renal function, JANUMET should be used with caution as age increases. Care should be taken in dose selection and should be based on careful and regular monitoring of renal function (</w:t>
      </w:r>
      <w:r>
        <w:rPr>
          <w:rFonts w:ascii="Arial" w:hAnsi="Arial" w:cs="Arial"/>
          <w:color w:val="000000"/>
          <w:sz w:val="22"/>
          <w:szCs w:val="22"/>
        </w:rPr>
        <w:t>See</w:t>
      </w:r>
      <w:r>
        <w:rPr>
          <w:rFonts w:ascii="Arial" w:hAnsi="Arial" w:cs="Arial"/>
          <w:b/>
          <w:color w:val="000000"/>
          <w:sz w:val="22"/>
          <w:szCs w:val="22"/>
        </w:rPr>
        <w:t xml:space="preserve"> PRECAUTIONS, </w:t>
      </w:r>
      <w:r>
        <w:rPr>
          <w:rFonts w:ascii="Arial" w:hAnsi="Arial" w:cs="Arial"/>
          <w:color w:val="000000"/>
          <w:sz w:val="22"/>
          <w:szCs w:val="22"/>
        </w:rPr>
        <w:t>Monitoring of Renal Function).</w:t>
      </w:r>
    </w:p>
    <w:p w:rsidR="00907289" w:rsidRDefault="00907289" w:rsidP="00E56E7B">
      <w:pPr>
        <w:spacing w:before="100" w:beforeAutospacing="1"/>
        <w:jc w:val="both"/>
        <w:outlineLvl w:val="0"/>
        <w:rPr>
          <w:rFonts w:ascii="Arial" w:hAnsi="Arial" w:cs="Arial"/>
          <w:i/>
          <w:sz w:val="22"/>
          <w:szCs w:val="22"/>
        </w:rPr>
      </w:pPr>
      <w:r>
        <w:rPr>
          <w:rFonts w:ascii="Arial" w:hAnsi="Arial" w:cs="Arial"/>
          <w:i/>
          <w:sz w:val="22"/>
          <w:szCs w:val="22"/>
        </w:rPr>
        <w:t>Sitagliptin phosphate monohydrate</w:t>
      </w:r>
    </w:p>
    <w:p w:rsidR="00907289" w:rsidRDefault="00907289">
      <w:pPr>
        <w:jc w:val="both"/>
        <w:rPr>
          <w:rFonts w:ascii="Arial" w:hAnsi="Arial" w:cs="Arial"/>
          <w:sz w:val="22"/>
          <w:szCs w:val="22"/>
        </w:rPr>
      </w:pPr>
      <w:r>
        <w:rPr>
          <w:rFonts w:ascii="Arial" w:hAnsi="Arial" w:cs="Arial"/>
          <w:sz w:val="22"/>
          <w:szCs w:val="22"/>
        </w:rPr>
        <w:t>In clinical studies, the safety and effectiveness of sitagliptin in the elderly (</w:t>
      </w:r>
      <w:r>
        <w:rPr>
          <w:rFonts w:ascii="Arial" w:hAnsi="Arial" w:cs="Arial"/>
          <w:sz w:val="22"/>
          <w:szCs w:val="22"/>
        </w:rPr>
        <w:sym w:font="Symbol" w:char="F0B3"/>
      </w:r>
      <w:r>
        <w:rPr>
          <w:rFonts w:ascii="Arial" w:hAnsi="Arial" w:cs="Arial"/>
          <w:sz w:val="22"/>
          <w:szCs w:val="22"/>
        </w:rPr>
        <w:t>65 years,) were comparable to those seen in younger patients (&lt;65 years).</w:t>
      </w:r>
    </w:p>
    <w:p w:rsidR="00907289" w:rsidRDefault="00907289" w:rsidP="00E56E7B">
      <w:pPr>
        <w:spacing w:before="100" w:beforeAutospacing="1"/>
        <w:jc w:val="both"/>
        <w:outlineLvl w:val="0"/>
        <w:rPr>
          <w:rFonts w:ascii="Arial" w:hAnsi="Arial" w:cs="Arial"/>
          <w:i/>
          <w:sz w:val="22"/>
          <w:szCs w:val="22"/>
        </w:rPr>
      </w:pPr>
      <w:r>
        <w:rPr>
          <w:rFonts w:ascii="Arial" w:hAnsi="Arial" w:cs="Arial"/>
          <w:i/>
          <w:sz w:val="22"/>
          <w:szCs w:val="22"/>
        </w:rPr>
        <w:t>Metformin hydrochloride</w:t>
      </w:r>
    </w:p>
    <w:p w:rsidR="00907289" w:rsidRDefault="00907289">
      <w:pPr>
        <w:jc w:val="both"/>
        <w:rPr>
          <w:rFonts w:ascii="Arial" w:hAnsi="Arial" w:cs="Arial"/>
          <w:bCs/>
          <w:sz w:val="22"/>
          <w:szCs w:val="22"/>
        </w:rPr>
      </w:pPr>
      <w:r>
        <w:rPr>
          <w:rFonts w:ascii="Arial" w:hAnsi="Arial" w:cs="Arial"/>
          <w:sz w:val="22"/>
          <w:szCs w:val="22"/>
        </w:rPr>
        <w:t xml:space="preserve">Controlled clinical studies of metformin did not include sufficient numbers of elderly patients to determine whether they respond differently from younger patients, although other reported clinical experience has not identified differences in responses between the elderly and younger patients. Metformin is known to be substantially excreted by the kidney and because the risk of serious adverse reactions to the drug is greater in patients with impaired renal function, Metformin should only be used in patients with normal renal function (see </w:t>
      </w:r>
      <w:r>
        <w:rPr>
          <w:rFonts w:ascii="Arial" w:hAnsi="Arial" w:cs="Arial"/>
          <w:b/>
          <w:bCs/>
          <w:sz w:val="22"/>
          <w:szCs w:val="22"/>
        </w:rPr>
        <w:t>CONTRAINDICATIONS</w:t>
      </w:r>
      <w:r>
        <w:rPr>
          <w:rFonts w:ascii="Arial" w:hAnsi="Arial" w:cs="Arial"/>
          <w:bCs/>
          <w:sz w:val="22"/>
          <w:szCs w:val="22"/>
        </w:rPr>
        <w:t>).</w:t>
      </w:r>
    </w:p>
    <w:p w:rsidR="00907289" w:rsidRDefault="00907289" w:rsidP="00E56E7B">
      <w:pPr>
        <w:spacing w:before="100" w:beforeAutospacing="1" w:after="100" w:afterAutospacing="1"/>
        <w:jc w:val="both"/>
        <w:outlineLvl w:val="0"/>
        <w:rPr>
          <w:rFonts w:ascii="Arial" w:hAnsi="Arial" w:cs="Arial"/>
          <w:b/>
          <w:i/>
          <w:sz w:val="22"/>
          <w:szCs w:val="22"/>
        </w:rPr>
      </w:pPr>
      <w:r>
        <w:rPr>
          <w:rFonts w:ascii="Arial" w:hAnsi="Arial" w:cs="Arial"/>
          <w:b/>
          <w:i/>
          <w:sz w:val="22"/>
          <w:szCs w:val="22"/>
        </w:rPr>
        <w:t>Carcinogenicity</w:t>
      </w:r>
    </w:p>
    <w:p w:rsidR="00907289" w:rsidRDefault="00907289" w:rsidP="00E56E7B">
      <w:pPr>
        <w:spacing w:before="100" w:beforeAutospacing="1" w:after="100" w:afterAutospacing="1"/>
        <w:jc w:val="both"/>
        <w:outlineLvl w:val="0"/>
        <w:rPr>
          <w:rFonts w:ascii="Arial" w:hAnsi="Arial" w:cs="Arial"/>
          <w:color w:val="000000"/>
          <w:sz w:val="22"/>
          <w:szCs w:val="22"/>
        </w:rPr>
      </w:pPr>
      <w:r>
        <w:rPr>
          <w:rFonts w:ascii="Arial" w:hAnsi="Arial" w:cs="Arial"/>
          <w:color w:val="000000"/>
          <w:sz w:val="22"/>
          <w:szCs w:val="22"/>
        </w:rPr>
        <w:t>No carcinogenicity studies have been conducted with the combined components of JANUMET.</w:t>
      </w:r>
    </w:p>
    <w:p w:rsidR="00907289" w:rsidRDefault="00907289" w:rsidP="006656A9">
      <w:pPr>
        <w:jc w:val="both"/>
        <w:outlineLvl w:val="0"/>
        <w:rPr>
          <w:rFonts w:ascii="Arial" w:hAnsi="Arial" w:cs="Arial"/>
          <w:i/>
          <w:color w:val="000000"/>
          <w:sz w:val="22"/>
          <w:szCs w:val="22"/>
        </w:rPr>
      </w:pPr>
      <w:r>
        <w:rPr>
          <w:rFonts w:ascii="Arial" w:hAnsi="Arial" w:cs="Arial"/>
          <w:i/>
          <w:color w:val="000000"/>
          <w:sz w:val="22"/>
          <w:szCs w:val="22"/>
        </w:rPr>
        <w:t>Sitagliptin phosphate monohydrate</w:t>
      </w:r>
    </w:p>
    <w:p w:rsidR="00907289" w:rsidRDefault="00907289">
      <w:pPr>
        <w:jc w:val="both"/>
        <w:rPr>
          <w:rFonts w:ascii="Arial" w:hAnsi="Arial" w:cs="Arial"/>
          <w:color w:val="000000"/>
          <w:sz w:val="22"/>
          <w:szCs w:val="22"/>
        </w:rPr>
      </w:pPr>
      <w:r>
        <w:rPr>
          <w:rFonts w:ascii="Arial" w:hAnsi="Arial" w:cs="Arial"/>
          <w:color w:val="000000"/>
          <w:sz w:val="22"/>
          <w:szCs w:val="22"/>
        </w:rPr>
        <w:t xml:space="preserve">A two-year carcinogenicity study was conducted in rats given oral doses of sitagliptin of 50, 150, and 500 mg/kg/day. There was an increased incidence of preneoplastic lesions (altered hepatic foci) in both sexes at 150 and at 500mg/kg/day, and hepatic adenomas and carcinomas in males and hepatic carcinomas in females at 500 mg/kg/day. Systemic exposure in rats at 500 mg/kg/day is approximately 58 times that of humans at the recommended daily adult dose of 100 mg. This dose level was associated with hepatotoxicity in rats. The no-observed effect level for induction of hepatic neoplasia was 150 mg/kg/day, approximately 19-fold the human </w:t>
      </w:r>
      <w:r>
        <w:rPr>
          <w:rFonts w:ascii="Arial" w:hAnsi="Arial" w:cs="Arial"/>
          <w:color w:val="000000"/>
          <w:sz w:val="22"/>
          <w:szCs w:val="22"/>
        </w:rPr>
        <w:lastRenderedPageBreak/>
        <w:t xml:space="preserve">exposure at the 100-mg recommended dose. Since hepatotoxicity has been shown to correlate with induction of hepatic neoplasia in rats, this increased incidence of hepatic tumours in rats was likely secondary to chronic hepatic toxicity at this high dose. The clinical significance of these </w:t>
      </w:r>
      <w:r w:rsidR="00E56E7B">
        <w:rPr>
          <w:rFonts w:ascii="Arial" w:hAnsi="Arial" w:cs="Arial"/>
          <w:color w:val="000000"/>
          <w:sz w:val="22"/>
          <w:szCs w:val="22"/>
        </w:rPr>
        <w:t>findings for humans is unknown.</w:t>
      </w:r>
    </w:p>
    <w:p w:rsidR="00907289" w:rsidRDefault="00907289" w:rsidP="00E56E7B">
      <w:pPr>
        <w:spacing w:before="100" w:beforeAutospacing="1" w:after="100" w:afterAutospacing="1"/>
        <w:jc w:val="both"/>
        <w:rPr>
          <w:rFonts w:ascii="Arial" w:hAnsi="Arial" w:cs="Arial"/>
          <w:color w:val="000000"/>
          <w:sz w:val="22"/>
          <w:szCs w:val="22"/>
        </w:rPr>
      </w:pPr>
      <w:r>
        <w:rPr>
          <w:rFonts w:ascii="Arial" w:hAnsi="Arial" w:cs="Arial"/>
          <w:color w:val="000000"/>
          <w:sz w:val="22"/>
          <w:szCs w:val="22"/>
        </w:rPr>
        <w:t>In a two-year carcinogenicity study conducted in mice, sitagliptin did not increase tumour incidence at oral doses up to 500 mg/kg/day (approximately 68 times human exposure at th</w:t>
      </w:r>
      <w:r w:rsidR="00E56E7B">
        <w:rPr>
          <w:rFonts w:ascii="Arial" w:hAnsi="Arial" w:cs="Arial"/>
          <w:color w:val="000000"/>
          <w:sz w:val="22"/>
          <w:szCs w:val="22"/>
        </w:rPr>
        <w:t>e clinical dose of 100 mg/day).</w:t>
      </w:r>
    </w:p>
    <w:p w:rsidR="00907289" w:rsidRDefault="00907289" w:rsidP="006656A9">
      <w:pPr>
        <w:jc w:val="both"/>
        <w:outlineLvl w:val="0"/>
        <w:rPr>
          <w:rFonts w:ascii="Arial" w:hAnsi="Arial" w:cs="Arial"/>
          <w:i/>
          <w:color w:val="000000"/>
          <w:sz w:val="22"/>
          <w:szCs w:val="22"/>
        </w:rPr>
      </w:pPr>
      <w:r>
        <w:rPr>
          <w:rFonts w:ascii="Arial" w:hAnsi="Arial" w:cs="Arial"/>
          <w:i/>
          <w:color w:val="000000"/>
          <w:sz w:val="22"/>
          <w:szCs w:val="22"/>
        </w:rPr>
        <w:t>Metformin hydrochloride</w:t>
      </w:r>
    </w:p>
    <w:p w:rsidR="00907289" w:rsidRDefault="00907289">
      <w:pPr>
        <w:jc w:val="both"/>
        <w:rPr>
          <w:rFonts w:ascii="Arial" w:hAnsi="Arial" w:cs="Arial"/>
          <w:color w:val="000000"/>
          <w:sz w:val="22"/>
          <w:szCs w:val="22"/>
        </w:rPr>
      </w:pPr>
      <w:r>
        <w:rPr>
          <w:rFonts w:ascii="Arial" w:hAnsi="Arial" w:cs="Arial"/>
          <w:color w:val="000000"/>
          <w:sz w:val="22"/>
          <w:szCs w:val="22"/>
        </w:rPr>
        <w:t>Long-term carcinogenicity studies have been performed in rats (dosing duration of 104 weeks) and mice (dosing duration of 91 weeks) at doses up to and including 900 mg/kg/day and 1500 mg/kg/day, respectively. These doses are both approximately four times the maximum recommended human daily dose of 2000 mg based on body surface area comparisons. No evidence of carcinogenicity with metformin was found in either male or female mice. Similarly, there was no tumourigenic potential observed with metformin in male rats. There was, however, an increased incidence of benign stromal uterine polyps in female rats treated with 900 mg/kg/day.</w:t>
      </w:r>
    </w:p>
    <w:p w:rsidR="00907289" w:rsidRDefault="00907289" w:rsidP="00E56E7B">
      <w:pPr>
        <w:spacing w:before="100" w:beforeAutospacing="1" w:after="100" w:afterAutospacing="1"/>
        <w:jc w:val="both"/>
        <w:outlineLvl w:val="0"/>
        <w:rPr>
          <w:rFonts w:ascii="Arial" w:hAnsi="Arial" w:cs="Arial"/>
          <w:b/>
          <w:i/>
          <w:sz w:val="22"/>
          <w:szCs w:val="22"/>
        </w:rPr>
      </w:pPr>
      <w:r>
        <w:rPr>
          <w:rFonts w:ascii="Arial" w:hAnsi="Arial" w:cs="Arial"/>
          <w:b/>
          <w:i/>
          <w:sz w:val="22"/>
          <w:szCs w:val="22"/>
        </w:rPr>
        <w:t>Genotoxicity</w:t>
      </w:r>
    </w:p>
    <w:p w:rsidR="00907289" w:rsidRDefault="00907289" w:rsidP="003C4953">
      <w:pPr>
        <w:tabs>
          <w:tab w:val="left" w:pos="1320"/>
          <w:tab w:val="left" w:pos="1680"/>
          <w:tab w:val="left" w:pos="1920"/>
          <w:tab w:val="left" w:pos="3960"/>
          <w:tab w:val="left" w:pos="6120"/>
          <w:tab w:val="left" w:pos="6480"/>
          <w:tab w:val="left" w:pos="6840"/>
        </w:tabs>
        <w:jc w:val="both"/>
        <w:outlineLvl w:val="0"/>
        <w:rPr>
          <w:rFonts w:ascii="Arial" w:hAnsi="Arial" w:cs="Arial"/>
          <w:i/>
          <w:sz w:val="22"/>
          <w:szCs w:val="22"/>
        </w:rPr>
      </w:pPr>
      <w:r>
        <w:rPr>
          <w:rFonts w:ascii="Arial" w:hAnsi="Arial" w:cs="Arial"/>
          <w:i/>
          <w:sz w:val="22"/>
          <w:szCs w:val="22"/>
        </w:rPr>
        <w:t>Sitagliptin phosphate monohydrate</w:t>
      </w:r>
    </w:p>
    <w:p w:rsidR="00907289" w:rsidRDefault="00907289">
      <w:pPr>
        <w:tabs>
          <w:tab w:val="left" w:pos="1320"/>
          <w:tab w:val="left" w:pos="1680"/>
          <w:tab w:val="left" w:pos="1920"/>
          <w:tab w:val="left" w:pos="3960"/>
          <w:tab w:val="left" w:pos="6120"/>
          <w:tab w:val="left" w:pos="6480"/>
          <w:tab w:val="left" w:pos="6840"/>
        </w:tabs>
        <w:jc w:val="both"/>
        <w:rPr>
          <w:rFonts w:ascii="Arial" w:hAnsi="Arial" w:cs="Arial"/>
          <w:sz w:val="22"/>
          <w:szCs w:val="22"/>
        </w:rPr>
      </w:pPr>
      <w:r>
        <w:rPr>
          <w:rFonts w:ascii="Arial" w:hAnsi="Arial" w:cs="Arial"/>
          <w:sz w:val="22"/>
          <w:szCs w:val="22"/>
        </w:rPr>
        <w:t xml:space="preserve">Sitagliptin was not mutagenic or clastogenic in a battery of genetic toxicology studies, including the Ames bacterial mutagenicity assay, a chromosome aberration assay in Chinese hamster ovary cells, an in vitro rat hepatocyte DNA alkaline elution assay (an assay which measures the compound’s ability to induce single strand breaks in DNA), and an </w:t>
      </w:r>
      <w:r>
        <w:rPr>
          <w:rFonts w:ascii="Arial" w:hAnsi="Arial" w:cs="Arial"/>
          <w:i/>
          <w:sz w:val="22"/>
          <w:szCs w:val="22"/>
        </w:rPr>
        <w:t>in vivo</w:t>
      </w:r>
      <w:r w:rsidR="00E56E7B">
        <w:rPr>
          <w:rFonts w:ascii="Arial" w:hAnsi="Arial" w:cs="Arial"/>
          <w:sz w:val="22"/>
          <w:szCs w:val="22"/>
        </w:rPr>
        <w:t xml:space="preserve"> mouse micronucleus assay.</w:t>
      </w:r>
    </w:p>
    <w:p w:rsidR="00907289" w:rsidRDefault="00907289" w:rsidP="00E56E7B">
      <w:pPr>
        <w:tabs>
          <w:tab w:val="left" w:pos="1320"/>
          <w:tab w:val="left" w:pos="1680"/>
          <w:tab w:val="left" w:pos="1920"/>
          <w:tab w:val="left" w:pos="3960"/>
          <w:tab w:val="left" w:pos="6120"/>
          <w:tab w:val="left" w:pos="6480"/>
          <w:tab w:val="left" w:pos="6840"/>
        </w:tabs>
        <w:spacing w:before="100" w:beforeAutospacing="1"/>
        <w:jc w:val="both"/>
        <w:outlineLvl w:val="0"/>
        <w:rPr>
          <w:rFonts w:ascii="Arial" w:hAnsi="Arial" w:cs="Arial"/>
          <w:i/>
          <w:sz w:val="22"/>
          <w:szCs w:val="22"/>
        </w:rPr>
      </w:pPr>
      <w:r>
        <w:rPr>
          <w:rFonts w:ascii="Arial" w:hAnsi="Arial" w:cs="Arial"/>
          <w:i/>
          <w:sz w:val="22"/>
          <w:szCs w:val="22"/>
        </w:rPr>
        <w:t>Metformin hydrochloride</w:t>
      </w:r>
    </w:p>
    <w:p w:rsidR="00907289" w:rsidRDefault="00907289">
      <w:pPr>
        <w:jc w:val="both"/>
        <w:rPr>
          <w:rFonts w:ascii="Arial" w:hAnsi="Arial" w:cs="Arial"/>
          <w:color w:val="000000"/>
          <w:sz w:val="22"/>
          <w:szCs w:val="22"/>
        </w:rPr>
      </w:pPr>
      <w:r>
        <w:rPr>
          <w:rFonts w:ascii="Arial" w:hAnsi="Arial" w:cs="Arial"/>
          <w:color w:val="000000"/>
          <w:sz w:val="22"/>
          <w:szCs w:val="22"/>
        </w:rPr>
        <w:t xml:space="preserve">There was no evidence of a mutagenic potential of metformin in the following </w:t>
      </w:r>
      <w:r>
        <w:rPr>
          <w:rFonts w:ascii="Arial" w:hAnsi="Arial" w:cs="Arial"/>
          <w:i/>
          <w:color w:val="000000"/>
          <w:sz w:val="22"/>
          <w:szCs w:val="22"/>
        </w:rPr>
        <w:t>in vitro</w:t>
      </w:r>
      <w:r>
        <w:rPr>
          <w:rFonts w:ascii="Arial" w:hAnsi="Arial" w:cs="Arial"/>
          <w:color w:val="000000"/>
          <w:sz w:val="22"/>
          <w:szCs w:val="22"/>
        </w:rPr>
        <w:t xml:space="preserve"> tests: Ames test (</w:t>
      </w:r>
      <w:r>
        <w:rPr>
          <w:rFonts w:ascii="Arial" w:hAnsi="Arial" w:cs="Arial"/>
          <w:i/>
          <w:color w:val="000000"/>
          <w:sz w:val="22"/>
          <w:szCs w:val="22"/>
        </w:rPr>
        <w:t>S. typhimurium</w:t>
      </w:r>
      <w:r>
        <w:rPr>
          <w:rFonts w:ascii="Arial" w:hAnsi="Arial" w:cs="Arial"/>
          <w:color w:val="000000"/>
          <w:sz w:val="22"/>
          <w:szCs w:val="22"/>
        </w:rPr>
        <w:t xml:space="preserve">), gene mutation test (mouse lymphoma cells), or chromosomal aberrations test (human lymphocytes). Results in the </w:t>
      </w:r>
      <w:r>
        <w:rPr>
          <w:rFonts w:ascii="Arial" w:hAnsi="Arial" w:cs="Arial"/>
          <w:i/>
          <w:color w:val="000000"/>
          <w:sz w:val="22"/>
          <w:szCs w:val="22"/>
        </w:rPr>
        <w:t>in vivo</w:t>
      </w:r>
      <w:r>
        <w:rPr>
          <w:rFonts w:ascii="Arial" w:hAnsi="Arial" w:cs="Arial"/>
          <w:color w:val="000000"/>
          <w:sz w:val="22"/>
          <w:szCs w:val="22"/>
        </w:rPr>
        <w:t xml:space="preserve"> mouse micron</w:t>
      </w:r>
      <w:r w:rsidR="00E56E7B">
        <w:rPr>
          <w:rFonts w:ascii="Arial" w:hAnsi="Arial" w:cs="Arial"/>
          <w:color w:val="000000"/>
          <w:sz w:val="22"/>
          <w:szCs w:val="22"/>
        </w:rPr>
        <w:t>ucleus test were also negative.</w:t>
      </w:r>
    </w:p>
    <w:p w:rsidR="00907289" w:rsidRDefault="00907289" w:rsidP="00E56E7B">
      <w:pPr>
        <w:spacing w:before="100" w:beforeAutospacing="1" w:after="100" w:afterAutospacing="1"/>
        <w:jc w:val="both"/>
        <w:outlineLvl w:val="0"/>
        <w:rPr>
          <w:rFonts w:ascii="Arial" w:hAnsi="Arial" w:cs="Arial"/>
          <w:b/>
          <w:i/>
          <w:sz w:val="22"/>
          <w:szCs w:val="22"/>
        </w:rPr>
      </w:pPr>
      <w:r>
        <w:rPr>
          <w:rFonts w:ascii="Arial" w:hAnsi="Arial" w:cs="Arial"/>
          <w:b/>
          <w:i/>
          <w:sz w:val="22"/>
          <w:szCs w:val="22"/>
        </w:rPr>
        <w:t>Interactions with other medicines</w:t>
      </w:r>
    </w:p>
    <w:p w:rsidR="00907289" w:rsidRDefault="00907289" w:rsidP="006656A9">
      <w:pPr>
        <w:jc w:val="both"/>
        <w:outlineLvl w:val="0"/>
        <w:rPr>
          <w:rFonts w:ascii="Arial" w:hAnsi="Arial" w:cs="Arial"/>
          <w:bCs/>
          <w:i/>
          <w:iCs/>
          <w:sz w:val="22"/>
          <w:szCs w:val="22"/>
        </w:rPr>
      </w:pPr>
      <w:r>
        <w:rPr>
          <w:rFonts w:ascii="Arial" w:hAnsi="Arial" w:cs="Arial"/>
          <w:bCs/>
          <w:i/>
          <w:iCs/>
          <w:sz w:val="22"/>
          <w:szCs w:val="22"/>
        </w:rPr>
        <w:t>Sitagliptin and Metformin</w:t>
      </w:r>
    </w:p>
    <w:p w:rsidR="00907289" w:rsidRDefault="00907289">
      <w:pPr>
        <w:jc w:val="both"/>
        <w:rPr>
          <w:rFonts w:ascii="Arial" w:hAnsi="Arial" w:cs="Arial"/>
          <w:bCs/>
          <w:iCs/>
          <w:sz w:val="22"/>
          <w:szCs w:val="22"/>
        </w:rPr>
      </w:pPr>
      <w:r>
        <w:rPr>
          <w:rFonts w:ascii="Arial" w:hAnsi="Arial" w:cs="Arial"/>
          <w:bCs/>
          <w:iCs/>
          <w:sz w:val="22"/>
          <w:szCs w:val="22"/>
        </w:rPr>
        <w:t>Co-administration of multiple doses of sitagliptin (50 mg b.i.d.) and metformin (1000 mg b.i.d.) did not meaningfully alter the pharmacokinetics of either sitagliptin or metformin in patients with type 2 diabetes.</w:t>
      </w:r>
    </w:p>
    <w:p w:rsidR="00907289" w:rsidRDefault="00907289" w:rsidP="00E56E7B">
      <w:pPr>
        <w:spacing w:before="100" w:beforeAutospacing="1" w:after="100" w:afterAutospacing="1"/>
        <w:jc w:val="both"/>
        <w:rPr>
          <w:rFonts w:ascii="Arial" w:hAnsi="Arial" w:cs="Arial"/>
          <w:sz w:val="22"/>
          <w:szCs w:val="22"/>
        </w:rPr>
      </w:pPr>
      <w:r>
        <w:rPr>
          <w:rFonts w:ascii="Arial" w:hAnsi="Arial" w:cs="Arial"/>
          <w:bCs/>
          <w:iCs/>
          <w:sz w:val="22"/>
          <w:szCs w:val="22"/>
        </w:rPr>
        <w:t>Pharmacokinetic drug interaction studies with JANUMET have not been performed; however, such studies have been conducted with the individual components of JANUMET (sitagliptin phosphate monohydrate and metformin hydrochloride)</w:t>
      </w:r>
      <w:r>
        <w:rPr>
          <w:rFonts w:ascii="Arial" w:hAnsi="Arial" w:cs="Arial"/>
          <w:sz w:val="22"/>
          <w:szCs w:val="22"/>
        </w:rPr>
        <w:t>.</w:t>
      </w:r>
    </w:p>
    <w:p w:rsidR="00907289" w:rsidRDefault="00907289" w:rsidP="00E56E7B">
      <w:pPr>
        <w:tabs>
          <w:tab w:val="left" w:pos="3705"/>
        </w:tabs>
        <w:spacing w:before="100" w:beforeAutospacing="1" w:after="100" w:afterAutospacing="1"/>
        <w:jc w:val="both"/>
        <w:outlineLvl w:val="0"/>
        <w:rPr>
          <w:rFonts w:ascii="Arial" w:hAnsi="Arial" w:cs="Arial"/>
          <w:i/>
          <w:sz w:val="22"/>
          <w:szCs w:val="22"/>
        </w:rPr>
      </w:pPr>
      <w:r>
        <w:rPr>
          <w:rFonts w:ascii="Arial" w:hAnsi="Arial" w:cs="Arial"/>
          <w:i/>
          <w:sz w:val="22"/>
          <w:szCs w:val="22"/>
        </w:rPr>
        <w:t>Sitagliptin phosphate monohydrate</w:t>
      </w:r>
    </w:p>
    <w:p w:rsidR="00907289" w:rsidRDefault="00907289" w:rsidP="00E56E7B">
      <w:pPr>
        <w:spacing w:before="100" w:beforeAutospacing="1" w:after="100" w:afterAutospacing="1"/>
        <w:jc w:val="both"/>
        <w:outlineLvl w:val="0"/>
        <w:rPr>
          <w:rFonts w:ascii="Arial" w:hAnsi="Arial" w:cs="Arial"/>
          <w:b/>
          <w:sz w:val="22"/>
          <w:szCs w:val="22"/>
          <w:u w:val="single"/>
        </w:rPr>
      </w:pPr>
      <w:r>
        <w:rPr>
          <w:rFonts w:ascii="Arial" w:hAnsi="Arial" w:cs="Arial"/>
          <w:b/>
          <w:i/>
          <w:sz w:val="22"/>
          <w:szCs w:val="22"/>
          <w:u w:val="single"/>
        </w:rPr>
        <w:t>In Vitro</w:t>
      </w:r>
      <w:r>
        <w:rPr>
          <w:rFonts w:ascii="Arial" w:hAnsi="Arial" w:cs="Arial"/>
          <w:b/>
          <w:sz w:val="22"/>
          <w:szCs w:val="22"/>
          <w:u w:val="single"/>
        </w:rPr>
        <w:t xml:space="preserve"> </w:t>
      </w:r>
      <w:r w:rsidR="00E56E7B">
        <w:rPr>
          <w:rFonts w:ascii="Arial" w:hAnsi="Arial" w:cs="Arial"/>
          <w:b/>
          <w:sz w:val="22"/>
          <w:szCs w:val="22"/>
          <w:u w:val="single"/>
        </w:rPr>
        <w:t>Assessment of Drug Interactions</w:t>
      </w:r>
    </w:p>
    <w:p w:rsidR="00907289" w:rsidRDefault="00907289">
      <w:pPr>
        <w:pStyle w:val="Body"/>
        <w:ind w:firstLine="0"/>
        <w:rPr>
          <w:rFonts w:cs="Arial"/>
          <w:bCs/>
          <w:iCs/>
          <w:sz w:val="22"/>
          <w:szCs w:val="22"/>
        </w:rPr>
      </w:pPr>
      <w:r>
        <w:rPr>
          <w:rFonts w:cs="Arial"/>
          <w:bCs/>
          <w:iCs/>
          <w:sz w:val="22"/>
          <w:szCs w:val="22"/>
        </w:rPr>
        <w:t>Sitagliptin is not an inhibitor of CYP isozymes CYP3A4, 2C8, 2C9, 2D6, 1A2, 2C19 or 2B6 at therapeutic concentrations, and is not an inducer of CYP3A4. Sitagliptin is a p-glycoprotein substrate, but does not inhibit p-glycoprotein mediated transport of digoxin. Based on these results, sitagliptin is considered unlikely to cause interactions with other drugs that utilize these pathways.</w:t>
      </w:r>
    </w:p>
    <w:p w:rsidR="00907289" w:rsidRDefault="00907289" w:rsidP="00E56E7B">
      <w:pPr>
        <w:pStyle w:val="Body"/>
        <w:spacing w:before="100" w:beforeAutospacing="1" w:after="100" w:afterAutospacing="1"/>
        <w:ind w:firstLine="0"/>
        <w:rPr>
          <w:rFonts w:cs="Arial"/>
          <w:bCs/>
          <w:iCs/>
          <w:sz w:val="22"/>
          <w:szCs w:val="22"/>
        </w:rPr>
      </w:pPr>
      <w:r>
        <w:rPr>
          <w:rFonts w:cs="Arial"/>
          <w:bCs/>
          <w:iCs/>
          <w:sz w:val="22"/>
          <w:szCs w:val="22"/>
        </w:rPr>
        <w:lastRenderedPageBreak/>
        <w:t>Sitagliptin is not extensively bound to plasma proteins. Therefore, the propensity of sitagliptin to be involved in clinically meaningful drug-drug interactions mediated by plasma protein binding displacement is very low.</w:t>
      </w:r>
    </w:p>
    <w:p w:rsidR="00907289" w:rsidRDefault="00907289" w:rsidP="00E56E7B">
      <w:pPr>
        <w:spacing w:before="100" w:beforeAutospacing="1" w:after="100" w:afterAutospacing="1"/>
        <w:jc w:val="both"/>
        <w:outlineLvl w:val="0"/>
        <w:rPr>
          <w:rFonts w:ascii="Arial" w:hAnsi="Arial" w:cs="Arial"/>
          <w:b/>
          <w:sz w:val="22"/>
          <w:szCs w:val="22"/>
          <w:u w:val="single"/>
        </w:rPr>
      </w:pPr>
      <w:r>
        <w:rPr>
          <w:rFonts w:ascii="Arial" w:hAnsi="Arial" w:cs="Arial"/>
          <w:b/>
          <w:i/>
          <w:sz w:val="22"/>
          <w:szCs w:val="22"/>
          <w:u w:val="single"/>
        </w:rPr>
        <w:t>In Vivo</w:t>
      </w:r>
      <w:r>
        <w:rPr>
          <w:rFonts w:ascii="Arial" w:hAnsi="Arial" w:cs="Arial"/>
          <w:b/>
          <w:sz w:val="22"/>
          <w:szCs w:val="22"/>
          <w:u w:val="single"/>
        </w:rPr>
        <w:t xml:space="preserve"> Assessment of Drug Interactions</w:t>
      </w:r>
    </w:p>
    <w:p w:rsidR="00907289" w:rsidRDefault="00907289" w:rsidP="00E56E7B">
      <w:pPr>
        <w:spacing w:before="100" w:beforeAutospacing="1" w:after="100" w:afterAutospacing="1"/>
        <w:jc w:val="both"/>
        <w:outlineLvl w:val="0"/>
        <w:rPr>
          <w:rFonts w:ascii="Arial" w:hAnsi="Arial" w:cs="Arial"/>
          <w:b/>
          <w:i/>
          <w:sz w:val="22"/>
          <w:szCs w:val="22"/>
        </w:rPr>
      </w:pPr>
      <w:r>
        <w:rPr>
          <w:rFonts w:ascii="Arial" w:hAnsi="Arial" w:cs="Arial"/>
          <w:b/>
          <w:i/>
          <w:sz w:val="22"/>
          <w:szCs w:val="22"/>
        </w:rPr>
        <w:t>Effect of Sitagliptin on Other Drugs</w:t>
      </w:r>
    </w:p>
    <w:p w:rsidR="00907289" w:rsidRDefault="00907289">
      <w:pPr>
        <w:pStyle w:val="Body"/>
        <w:ind w:firstLine="0"/>
        <w:rPr>
          <w:rFonts w:cs="Arial"/>
          <w:bCs/>
          <w:iCs/>
          <w:sz w:val="22"/>
          <w:szCs w:val="22"/>
        </w:rPr>
      </w:pPr>
      <w:r>
        <w:rPr>
          <w:rFonts w:cs="Arial"/>
          <w:bCs/>
          <w:iCs/>
          <w:sz w:val="22"/>
          <w:szCs w:val="22"/>
        </w:rPr>
        <w:t xml:space="preserve">In clinical studies, as described below, sitagliptin did not meaningfully alter the pharmacokinetics of metformin, glibenclamide, simvastatin, rosiglitazone, warfarin, or oral contraceptives, providing </w:t>
      </w:r>
      <w:r>
        <w:rPr>
          <w:rFonts w:cs="Arial"/>
          <w:bCs/>
          <w:i/>
          <w:iCs/>
          <w:sz w:val="22"/>
          <w:szCs w:val="22"/>
        </w:rPr>
        <w:t>in vivo</w:t>
      </w:r>
      <w:r>
        <w:rPr>
          <w:rFonts w:cs="Arial"/>
          <w:bCs/>
          <w:iCs/>
          <w:sz w:val="22"/>
          <w:szCs w:val="22"/>
        </w:rPr>
        <w:t xml:space="preserve"> evidence of a low propensity for causing drug interactions with substrates of CYP3A4, CYP2C8, CYP2C9, and organic cationic transporter (OCT). Multiple doses of sitagliptin slightly increased digoxin concentrations; however, these increases are not considered likely to be clinically meaningful and are not attributed to a specific mechanism.</w:t>
      </w:r>
    </w:p>
    <w:p w:rsidR="00907289" w:rsidRDefault="00907289" w:rsidP="00E56E7B">
      <w:pPr>
        <w:pStyle w:val="Body"/>
        <w:spacing w:before="100" w:beforeAutospacing="1" w:after="100" w:afterAutospacing="1"/>
        <w:ind w:firstLine="0"/>
        <w:rPr>
          <w:rFonts w:cs="Arial"/>
          <w:bCs/>
          <w:iCs/>
          <w:sz w:val="22"/>
          <w:szCs w:val="22"/>
        </w:rPr>
      </w:pPr>
      <w:r>
        <w:rPr>
          <w:rFonts w:cs="Arial"/>
          <w:bCs/>
          <w:i/>
          <w:iCs/>
          <w:sz w:val="22"/>
          <w:szCs w:val="22"/>
        </w:rPr>
        <w:t>Sulfonylureas</w:t>
      </w:r>
      <w:r>
        <w:rPr>
          <w:rFonts w:cs="Arial"/>
          <w:bCs/>
          <w:iCs/>
          <w:sz w:val="22"/>
          <w:szCs w:val="22"/>
        </w:rPr>
        <w:t>: Single-dose pharmacokinetics of glibenclamide, a CYP2C9 substrate, were not meaningfully altered in subjects receiving multiple doses of sitagliptin. Clinically meaningful interactions would not be expected with other sulfonylureas (e.g., glipizide, tolbutamide, and glimepiride) which, like glibenclamide, are primarily eliminated by CYP2C9.</w:t>
      </w:r>
    </w:p>
    <w:p w:rsidR="00907289" w:rsidRDefault="00907289" w:rsidP="00E56E7B">
      <w:pPr>
        <w:pStyle w:val="Body"/>
        <w:spacing w:before="100" w:beforeAutospacing="1" w:after="100" w:afterAutospacing="1"/>
        <w:ind w:firstLine="0"/>
        <w:rPr>
          <w:rFonts w:cs="Arial"/>
          <w:bCs/>
          <w:iCs/>
          <w:sz w:val="22"/>
          <w:szCs w:val="22"/>
        </w:rPr>
      </w:pPr>
      <w:r>
        <w:rPr>
          <w:rFonts w:cs="Arial"/>
          <w:bCs/>
          <w:i/>
          <w:iCs/>
          <w:sz w:val="22"/>
          <w:szCs w:val="22"/>
        </w:rPr>
        <w:t>Simvastatin</w:t>
      </w:r>
      <w:r>
        <w:rPr>
          <w:rFonts w:cs="Arial"/>
          <w:bCs/>
          <w:iCs/>
          <w:sz w:val="22"/>
          <w:szCs w:val="22"/>
        </w:rPr>
        <w:t>: Single-dose pharmacokinetics of simvastatin, a CYP3A4 substrate, were not meaningfully altered in subjects receiving multiple daily doses of sitagliptin. Therefore, sitagliptin is not an inhibitor of CYP3A4-mediated metabolism.</w:t>
      </w:r>
    </w:p>
    <w:p w:rsidR="00907289" w:rsidRDefault="00907289" w:rsidP="00E56E7B">
      <w:pPr>
        <w:pStyle w:val="Body"/>
        <w:spacing w:before="100" w:beforeAutospacing="1" w:after="100" w:afterAutospacing="1"/>
        <w:ind w:firstLine="0"/>
        <w:rPr>
          <w:rFonts w:cs="Arial"/>
          <w:bCs/>
          <w:iCs/>
          <w:sz w:val="22"/>
          <w:szCs w:val="22"/>
        </w:rPr>
      </w:pPr>
      <w:r>
        <w:rPr>
          <w:rFonts w:cs="Arial"/>
          <w:bCs/>
          <w:i/>
          <w:iCs/>
          <w:sz w:val="22"/>
          <w:szCs w:val="22"/>
        </w:rPr>
        <w:t>Thiazolidinediones</w:t>
      </w:r>
      <w:r>
        <w:rPr>
          <w:rFonts w:cs="Arial"/>
          <w:bCs/>
          <w:iCs/>
          <w:sz w:val="22"/>
          <w:szCs w:val="22"/>
        </w:rPr>
        <w:t xml:space="preserve">: Single-dose pharmacokinetics of rosiglitazone were not meaningfully altered in subjects receiving multiple daily doses of sitagliptin. </w:t>
      </w:r>
      <w:bookmarkStart w:id="9" w:name="OLE_LINK21"/>
      <w:r>
        <w:rPr>
          <w:rFonts w:cs="Arial"/>
          <w:bCs/>
          <w:iCs/>
          <w:sz w:val="22"/>
          <w:szCs w:val="22"/>
        </w:rPr>
        <w:t>Therefore, sitagliptin is not an inhibitor of CYP2C8-mediated metabolism</w:t>
      </w:r>
      <w:bookmarkEnd w:id="9"/>
      <w:r>
        <w:rPr>
          <w:rFonts w:cs="Arial"/>
          <w:bCs/>
          <w:iCs/>
          <w:sz w:val="22"/>
          <w:szCs w:val="22"/>
        </w:rPr>
        <w:t>. Clinically meaningful interactions with pioglitazone are not expected because pioglitazone predominantly undergoes CYP2C8- or CYP3A4-mediated metabolism.</w:t>
      </w:r>
    </w:p>
    <w:p w:rsidR="00907289" w:rsidRDefault="00907289" w:rsidP="00E56E7B">
      <w:pPr>
        <w:pStyle w:val="Body"/>
        <w:spacing w:before="100" w:beforeAutospacing="1" w:after="100" w:afterAutospacing="1"/>
        <w:ind w:firstLine="0"/>
        <w:rPr>
          <w:rFonts w:cs="Arial"/>
          <w:bCs/>
          <w:iCs/>
          <w:sz w:val="22"/>
          <w:szCs w:val="22"/>
        </w:rPr>
      </w:pPr>
      <w:r>
        <w:rPr>
          <w:rFonts w:cs="Arial"/>
          <w:bCs/>
          <w:i/>
          <w:iCs/>
          <w:sz w:val="22"/>
          <w:szCs w:val="22"/>
        </w:rPr>
        <w:t>Warfarin</w:t>
      </w:r>
      <w:r>
        <w:rPr>
          <w:rFonts w:cs="Arial"/>
          <w:bCs/>
          <w:iCs/>
          <w:sz w:val="22"/>
          <w:szCs w:val="22"/>
        </w:rPr>
        <w:t>: Multiple daily doses of sitagliptin did not meaningfully alter the pharmacokinetics, as assessed by measurement of S(-) or R(+) warfarin enantiomers, or pharmacodynamics (as assessed by measurement of prothrombin INR) of a single dose of warfarin. Since S(-) warfarin is primarily metabolized by CYP2C9, these data also support the conclusion that sitagliptin is not a CYP2C9 inhibitor.</w:t>
      </w:r>
    </w:p>
    <w:p w:rsidR="00907289" w:rsidRDefault="00907289" w:rsidP="00E56E7B">
      <w:pPr>
        <w:pStyle w:val="Body"/>
        <w:spacing w:before="100" w:beforeAutospacing="1" w:after="100" w:afterAutospacing="1"/>
        <w:ind w:firstLine="0"/>
        <w:rPr>
          <w:rFonts w:cs="Arial"/>
          <w:bCs/>
          <w:iCs/>
          <w:sz w:val="22"/>
          <w:szCs w:val="22"/>
        </w:rPr>
      </w:pPr>
      <w:r>
        <w:rPr>
          <w:rFonts w:cs="Arial"/>
          <w:bCs/>
          <w:i/>
          <w:iCs/>
          <w:sz w:val="22"/>
          <w:szCs w:val="22"/>
        </w:rPr>
        <w:t>Oral Contraceptives:</w:t>
      </w:r>
      <w:r>
        <w:rPr>
          <w:rFonts w:cs="Arial"/>
          <w:bCs/>
          <w:iCs/>
          <w:sz w:val="22"/>
          <w:szCs w:val="22"/>
        </w:rPr>
        <w:t xml:space="preserve"> Co-administration with sitagliptin did not meaningfully alter the steady-state pharmacokinetics of norethindrone or ethinyl estradiol.</w:t>
      </w:r>
    </w:p>
    <w:p w:rsidR="00907289" w:rsidRDefault="00907289" w:rsidP="00E56E7B">
      <w:pPr>
        <w:pStyle w:val="Body"/>
        <w:spacing w:before="100" w:beforeAutospacing="1" w:after="100" w:afterAutospacing="1"/>
        <w:ind w:firstLine="0"/>
        <w:rPr>
          <w:rFonts w:cs="Arial"/>
          <w:bCs/>
          <w:iCs/>
          <w:sz w:val="22"/>
          <w:szCs w:val="22"/>
        </w:rPr>
      </w:pPr>
      <w:r>
        <w:rPr>
          <w:rFonts w:cs="Arial"/>
          <w:bCs/>
          <w:i/>
          <w:iCs/>
          <w:sz w:val="22"/>
          <w:szCs w:val="22"/>
        </w:rPr>
        <w:t>Digoxin:</w:t>
      </w:r>
      <w:r>
        <w:rPr>
          <w:rFonts w:cs="Arial"/>
          <w:bCs/>
          <w:iCs/>
          <w:sz w:val="22"/>
          <w:szCs w:val="22"/>
        </w:rPr>
        <w:t xml:space="preserve"> Sitagliptin had a minimal effect on the pharmacokinetics of digoxin. Following administration of 0.25 mg digoxin concomitantly with 100 mg of sitagliptin daily for 10 days, the plasma AUC of digoxin was increased by 11%, and the plasma C</w:t>
      </w:r>
      <w:r>
        <w:rPr>
          <w:rFonts w:cs="Arial"/>
          <w:bCs/>
          <w:iCs/>
          <w:sz w:val="22"/>
          <w:szCs w:val="22"/>
          <w:vertAlign w:val="subscript"/>
        </w:rPr>
        <w:t>max</w:t>
      </w:r>
      <w:r>
        <w:rPr>
          <w:rFonts w:cs="Arial"/>
          <w:bCs/>
          <w:iCs/>
          <w:sz w:val="22"/>
          <w:szCs w:val="22"/>
        </w:rPr>
        <w:t xml:space="preserve"> by 18%. These increases are not considered to be clinically meaningful. </w:t>
      </w:r>
    </w:p>
    <w:p w:rsidR="00907289" w:rsidRDefault="00907289" w:rsidP="00E56E7B">
      <w:pPr>
        <w:spacing w:before="100" w:beforeAutospacing="1" w:after="100" w:afterAutospacing="1"/>
        <w:jc w:val="both"/>
        <w:outlineLvl w:val="0"/>
        <w:rPr>
          <w:rFonts w:ascii="Arial" w:hAnsi="Arial" w:cs="Arial"/>
          <w:b/>
          <w:i/>
          <w:sz w:val="22"/>
          <w:szCs w:val="22"/>
        </w:rPr>
      </w:pPr>
      <w:r>
        <w:rPr>
          <w:rFonts w:ascii="Arial" w:hAnsi="Arial" w:cs="Arial"/>
          <w:b/>
          <w:i/>
          <w:sz w:val="22"/>
          <w:szCs w:val="22"/>
        </w:rPr>
        <w:t>Effect of Other Drugs on Sitagliptin</w:t>
      </w:r>
    </w:p>
    <w:p w:rsidR="00907289" w:rsidRDefault="00907289" w:rsidP="00E56E7B">
      <w:pPr>
        <w:pStyle w:val="Body"/>
        <w:spacing w:before="100" w:beforeAutospacing="1" w:after="100" w:afterAutospacing="1"/>
        <w:ind w:firstLine="0"/>
        <w:rPr>
          <w:rFonts w:cs="Arial"/>
          <w:bCs/>
          <w:iCs/>
          <w:sz w:val="22"/>
          <w:szCs w:val="22"/>
        </w:rPr>
      </w:pPr>
      <w:r>
        <w:rPr>
          <w:rFonts w:cs="Arial"/>
          <w:bCs/>
          <w:iCs/>
          <w:sz w:val="22"/>
          <w:szCs w:val="22"/>
        </w:rPr>
        <w:t>Clinical data described below suggest that sitagliptin is not susceptible to clinically meaningful interactions by co-administered medications:</w:t>
      </w:r>
    </w:p>
    <w:p w:rsidR="00907289" w:rsidRDefault="00907289" w:rsidP="00E56E7B">
      <w:pPr>
        <w:pStyle w:val="Body"/>
        <w:spacing w:before="100" w:beforeAutospacing="1" w:after="100" w:afterAutospacing="1"/>
        <w:ind w:firstLine="0"/>
        <w:rPr>
          <w:rFonts w:cs="Arial"/>
          <w:bCs/>
          <w:iCs/>
          <w:sz w:val="22"/>
          <w:szCs w:val="22"/>
        </w:rPr>
      </w:pPr>
      <w:r>
        <w:rPr>
          <w:rFonts w:cs="Arial"/>
          <w:bCs/>
          <w:i/>
          <w:iCs/>
          <w:sz w:val="22"/>
          <w:szCs w:val="22"/>
        </w:rPr>
        <w:t>Cyclosporin:</w:t>
      </w:r>
      <w:r>
        <w:rPr>
          <w:rFonts w:cs="Arial"/>
          <w:bCs/>
          <w:iCs/>
          <w:sz w:val="22"/>
          <w:szCs w:val="22"/>
        </w:rPr>
        <w:t xml:space="preserve"> A study was conducted to assess the effect of cyclosporin, a potent inhibitor of p</w:t>
      </w:r>
      <w:r>
        <w:rPr>
          <w:rFonts w:cs="Arial"/>
          <w:bCs/>
          <w:iCs/>
          <w:sz w:val="22"/>
          <w:szCs w:val="22"/>
        </w:rPr>
        <w:noBreakHyphen/>
        <w:t>glycoprotein, on the pharmacokinetics of sitagliptin. Co-administration of a single 100-mg oral dose of JANUVIA</w:t>
      </w:r>
      <w:r>
        <w:rPr>
          <w:rFonts w:cs="Arial"/>
          <w:bCs/>
          <w:iCs/>
          <w:sz w:val="22"/>
          <w:szCs w:val="22"/>
          <w:vertAlign w:val="superscript"/>
        </w:rPr>
        <w:t>®</w:t>
      </w:r>
      <w:r>
        <w:rPr>
          <w:rFonts w:cs="Arial"/>
          <w:bCs/>
          <w:iCs/>
          <w:sz w:val="22"/>
          <w:szCs w:val="22"/>
        </w:rPr>
        <w:t xml:space="preserve"> and a single 600</w:t>
      </w:r>
      <w:r>
        <w:rPr>
          <w:rFonts w:cs="Arial"/>
          <w:bCs/>
          <w:iCs/>
          <w:sz w:val="22"/>
          <w:szCs w:val="22"/>
        </w:rPr>
        <w:noBreakHyphen/>
        <w:t>mg oral dose of cyclosporin increased the AUC and C</w:t>
      </w:r>
      <w:r>
        <w:rPr>
          <w:rFonts w:cs="Arial"/>
          <w:bCs/>
          <w:iCs/>
          <w:sz w:val="22"/>
          <w:szCs w:val="22"/>
          <w:vertAlign w:val="subscript"/>
        </w:rPr>
        <w:t>max</w:t>
      </w:r>
      <w:r>
        <w:rPr>
          <w:rFonts w:cs="Arial"/>
          <w:bCs/>
          <w:iCs/>
          <w:sz w:val="22"/>
          <w:szCs w:val="22"/>
        </w:rPr>
        <w:t xml:space="preserve"> of sitagliptin by approximately 29% and 68%, respectively. These modest changes in sitagliptin </w:t>
      </w:r>
      <w:r>
        <w:rPr>
          <w:rFonts w:cs="Arial"/>
          <w:bCs/>
          <w:iCs/>
          <w:sz w:val="22"/>
          <w:szCs w:val="22"/>
        </w:rPr>
        <w:lastRenderedPageBreak/>
        <w:t>pharmacokinetics were not considered to be clinically meaningful. The renal clearance of sitagliptin was also not meaningfully altered. Therefore, meaningful interactions would not be expected with other p-glycoprotein inhibitors.</w:t>
      </w:r>
    </w:p>
    <w:p w:rsidR="00907289" w:rsidRDefault="00907289" w:rsidP="00E56E7B">
      <w:pPr>
        <w:spacing w:before="100" w:beforeAutospacing="1" w:after="100" w:afterAutospacing="1"/>
        <w:jc w:val="both"/>
        <w:rPr>
          <w:rFonts w:ascii="Arial" w:hAnsi="Arial" w:cs="Arial"/>
          <w:sz w:val="22"/>
          <w:szCs w:val="22"/>
        </w:rPr>
      </w:pPr>
      <w:r>
        <w:rPr>
          <w:rFonts w:ascii="Arial" w:hAnsi="Arial" w:cs="Arial"/>
          <w:bCs/>
          <w:iCs/>
          <w:sz w:val="22"/>
          <w:szCs w:val="22"/>
        </w:rPr>
        <w:t xml:space="preserve">Population Pharmacokinetics: </w:t>
      </w:r>
      <w:r>
        <w:rPr>
          <w:rFonts w:ascii="Arial" w:hAnsi="Arial" w:cs="Arial"/>
          <w:sz w:val="22"/>
          <w:szCs w:val="22"/>
        </w:rPr>
        <w:t>Population pharmacokinetic analyses have been conducted in patients with type 2 diabetes. Concomitant medications did not have a clinically meaningful effect on sitagliptin pharmacokinetics. Medications assessed were those that are commonly administered to patients with type 2 diabetes including cholesterol-lowering agents (e.g., statins, fibrates, ezetimibe), anti-platelet agents (e.g., clopidogrel), antihypertensives (e.g., ACE inhibitors, angiotensin receptor blockers, beta-blockers, calcium channel blockers, hydrochlorothiazide), analgesics and non-steroidal anti-inflammatory agents (e.g., naproxen, diclofenac, celecoxib), anti-depressants (e.g., bupropion, fluoxetine, sertraline), antihistamines (e.g., cetirizine), proton-pump inhibitors (e.g., omeprazole, lansoprazole), and medications for erectile dysfunction (e.g., sildenafil).</w:t>
      </w:r>
    </w:p>
    <w:p w:rsidR="00907289" w:rsidRDefault="00907289" w:rsidP="006656A9">
      <w:pPr>
        <w:jc w:val="both"/>
        <w:outlineLvl w:val="0"/>
        <w:rPr>
          <w:rFonts w:ascii="Arial" w:hAnsi="Arial" w:cs="Arial"/>
          <w:i/>
          <w:sz w:val="22"/>
          <w:szCs w:val="22"/>
        </w:rPr>
      </w:pPr>
      <w:r>
        <w:rPr>
          <w:rFonts w:ascii="Arial" w:hAnsi="Arial" w:cs="Arial"/>
          <w:i/>
          <w:sz w:val="22"/>
          <w:szCs w:val="22"/>
        </w:rPr>
        <w:t>Metformin hydrochloride</w:t>
      </w:r>
    </w:p>
    <w:p w:rsidR="00907289" w:rsidRDefault="00907289" w:rsidP="00E56E7B">
      <w:pPr>
        <w:spacing w:before="100" w:beforeAutospacing="1" w:after="100" w:afterAutospacing="1"/>
        <w:jc w:val="both"/>
        <w:rPr>
          <w:rFonts w:ascii="Arial" w:hAnsi="Arial" w:cs="Arial"/>
          <w:sz w:val="22"/>
          <w:szCs w:val="22"/>
        </w:rPr>
      </w:pPr>
      <w:r>
        <w:rPr>
          <w:rFonts w:ascii="Arial" w:hAnsi="Arial" w:cs="Arial"/>
          <w:i/>
          <w:sz w:val="22"/>
          <w:szCs w:val="22"/>
        </w:rPr>
        <w:t>Glibenclamide:</w:t>
      </w:r>
      <w:r>
        <w:rPr>
          <w:rFonts w:ascii="Arial" w:hAnsi="Arial" w:cs="Arial"/>
          <w:sz w:val="22"/>
          <w:szCs w:val="22"/>
        </w:rPr>
        <w:t xml:space="preserve"> In a single-dose interaction study in type 2 diabetes patients, co-administration of metformin and glibenclamide did not result in any changes in either metformin pharmacokinetics or pharmacodynamics. Decreases in glibenclamide AUC and C</w:t>
      </w:r>
      <w:r>
        <w:rPr>
          <w:rFonts w:ascii="Arial" w:hAnsi="Arial" w:cs="Arial"/>
          <w:sz w:val="22"/>
          <w:szCs w:val="22"/>
          <w:vertAlign w:val="subscript"/>
        </w:rPr>
        <w:t>max</w:t>
      </w:r>
      <w:r>
        <w:rPr>
          <w:rFonts w:ascii="Arial" w:hAnsi="Arial" w:cs="Arial"/>
          <w:sz w:val="22"/>
          <w:szCs w:val="22"/>
        </w:rPr>
        <w:t xml:space="preserve"> were observed, but were highly variable. The single-dose nature of this study and the lack of correlation between glibenclamide blood levels and pharmacodynamic effects make the clinical significance of this interaction uncertain.</w:t>
      </w:r>
    </w:p>
    <w:p w:rsidR="00907289" w:rsidRDefault="00907289" w:rsidP="00E56E7B">
      <w:pPr>
        <w:spacing w:before="100" w:beforeAutospacing="1" w:after="100" w:afterAutospacing="1"/>
        <w:jc w:val="both"/>
        <w:rPr>
          <w:rFonts w:ascii="Arial" w:hAnsi="Arial" w:cs="Arial"/>
          <w:bCs/>
          <w:iCs/>
          <w:sz w:val="22"/>
          <w:szCs w:val="22"/>
        </w:rPr>
      </w:pPr>
      <w:r>
        <w:rPr>
          <w:rFonts w:ascii="Arial" w:hAnsi="Arial" w:cs="Arial"/>
          <w:bCs/>
          <w:i/>
          <w:iCs/>
          <w:sz w:val="22"/>
          <w:szCs w:val="22"/>
        </w:rPr>
        <w:t>Frusemide:</w:t>
      </w:r>
      <w:r>
        <w:rPr>
          <w:rFonts w:ascii="Arial" w:hAnsi="Arial" w:cs="Arial"/>
          <w:bCs/>
          <w:iCs/>
          <w:sz w:val="22"/>
          <w:szCs w:val="22"/>
        </w:rPr>
        <w:t xml:space="preserve"> A single-dose, metformin-frusemide drug interaction study in healthy subjects demonstrated that pharmacokinetic parameters of both compounds were affected by co-administration. Frusemide increased the metformin plasma and blood C</w:t>
      </w:r>
      <w:r>
        <w:rPr>
          <w:rFonts w:ascii="Arial" w:hAnsi="Arial" w:cs="Arial"/>
          <w:bCs/>
          <w:iCs/>
          <w:sz w:val="22"/>
          <w:szCs w:val="22"/>
          <w:vertAlign w:val="subscript"/>
        </w:rPr>
        <w:t>max</w:t>
      </w:r>
      <w:r>
        <w:rPr>
          <w:rFonts w:ascii="Arial" w:hAnsi="Arial" w:cs="Arial"/>
          <w:bCs/>
          <w:iCs/>
          <w:sz w:val="22"/>
          <w:szCs w:val="22"/>
        </w:rPr>
        <w:t xml:space="preserve"> by 22% and blood AUC by 15%, without any significant change in metformin renal clearance. When administered with metformin, the C</w:t>
      </w:r>
      <w:r>
        <w:rPr>
          <w:rFonts w:ascii="Arial" w:hAnsi="Arial" w:cs="Arial"/>
          <w:bCs/>
          <w:iCs/>
          <w:sz w:val="22"/>
          <w:szCs w:val="22"/>
          <w:vertAlign w:val="subscript"/>
        </w:rPr>
        <w:t>max</w:t>
      </w:r>
      <w:r>
        <w:rPr>
          <w:rFonts w:ascii="Arial" w:hAnsi="Arial" w:cs="Arial"/>
          <w:bCs/>
          <w:iCs/>
          <w:sz w:val="22"/>
          <w:szCs w:val="22"/>
        </w:rPr>
        <w:t xml:space="preserve"> and AUC of frusemide were 31% and 12% smaller, respectively, than when administered alone, and the terminal half-life was decreased by 32%, without any significant change in frusemide renal clearance. No information is available about the interaction of metformin and frusemide when co-administered chronically.</w:t>
      </w:r>
    </w:p>
    <w:p w:rsidR="00907289" w:rsidRDefault="00907289" w:rsidP="00E56E7B">
      <w:pPr>
        <w:spacing w:before="100" w:beforeAutospacing="1" w:after="100" w:afterAutospacing="1"/>
        <w:jc w:val="both"/>
        <w:rPr>
          <w:rFonts w:ascii="Arial" w:hAnsi="Arial" w:cs="Arial"/>
          <w:bCs/>
          <w:iCs/>
          <w:sz w:val="22"/>
          <w:szCs w:val="22"/>
        </w:rPr>
      </w:pPr>
      <w:r>
        <w:rPr>
          <w:rFonts w:ascii="Arial" w:hAnsi="Arial" w:cs="Arial"/>
          <w:bCs/>
          <w:i/>
          <w:iCs/>
          <w:sz w:val="22"/>
          <w:szCs w:val="22"/>
        </w:rPr>
        <w:t>Nifedipine:</w:t>
      </w:r>
      <w:r>
        <w:rPr>
          <w:rFonts w:ascii="Arial" w:hAnsi="Arial" w:cs="Arial"/>
          <w:bCs/>
          <w:iCs/>
          <w:sz w:val="22"/>
          <w:szCs w:val="22"/>
        </w:rPr>
        <w:t xml:space="preserve"> A single-dose, metformin-nifedipine drug interaction study in normal healthy volunteers demonstrated that co-administration of nifedipine increased plasma metformin C</w:t>
      </w:r>
      <w:r>
        <w:rPr>
          <w:rFonts w:ascii="Arial" w:hAnsi="Arial" w:cs="Arial"/>
          <w:bCs/>
          <w:iCs/>
          <w:sz w:val="22"/>
          <w:szCs w:val="22"/>
          <w:vertAlign w:val="subscript"/>
        </w:rPr>
        <w:t>max</w:t>
      </w:r>
      <w:r>
        <w:rPr>
          <w:rFonts w:ascii="Arial" w:hAnsi="Arial" w:cs="Arial"/>
          <w:bCs/>
          <w:iCs/>
          <w:sz w:val="22"/>
          <w:szCs w:val="22"/>
        </w:rPr>
        <w:t xml:space="preserve"> and AUC by 20% and 9%, respectively, and increased the amount excreted in the urine. T</w:t>
      </w:r>
      <w:r>
        <w:rPr>
          <w:rFonts w:ascii="Arial" w:hAnsi="Arial" w:cs="Arial"/>
          <w:bCs/>
          <w:iCs/>
          <w:sz w:val="22"/>
          <w:szCs w:val="22"/>
          <w:vertAlign w:val="subscript"/>
        </w:rPr>
        <w:t>max</w:t>
      </w:r>
      <w:r>
        <w:rPr>
          <w:rFonts w:ascii="Arial" w:hAnsi="Arial" w:cs="Arial"/>
          <w:bCs/>
          <w:iCs/>
          <w:sz w:val="22"/>
          <w:szCs w:val="22"/>
        </w:rPr>
        <w:t xml:space="preserve"> and half-life were unaffected. Nifedipine appears to enhance the absorption of metformin. Metformin had minimal effects on nifedipine.</w:t>
      </w:r>
    </w:p>
    <w:p w:rsidR="00907289" w:rsidRDefault="00907289" w:rsidP="00E56E7B">
      <w:pPr>
        <w:spacing w:before="100" w:beforeAutospacing="1" w:after="100" w:afterAutospacing="1"/>
        <w:jc w:val="both"/>
        <w:rPr>
          <w:rFonts w:ascii="Arial" w:hAnsi="Arial" w:cs="Arial"/>
          <w:bCs/>
          <w:iCs/>
          <w:sz w:val="22"/>
          <w:szCs w:val="22"/>
        </w:rPr>
      </w:pPr>
      <w:r>
        <w:rPr>
          <w:rFonts w:ascii="Arial" w:hAnsi="Arial" w:cs="Arial"/>
          <w:bCs/>
          <w:i/>
          <w:iCs/>
          <w:sz w:val="22"/>
          <w:szCs w:val="22"/>
        </w:rPr>
        <w:t>Cationic drugs:</w:t>
      </w:r>
      <w:r>
        <w:rPr>
          <w:rFonts w:ascii="Arial" w:hAnsi="Arial" w:cs="Arial"/>
          <w:bCs/>
          <w:iCs/>
          <w:sz w:val="22"/>
          <w:szCs w:val="22"/>
        </w:rPr>
        <w:t xml:space="preserve"> Cationic drugs (e.g., amiloride, digoxin, morphine, procainamide, quinidine, quinine, ranitidine, triamterene, trimethoprim, or vancomycin) that are eliminated by renal tubular secretion theoretically have the potential for interaction with metformin by competing for common renal tubular transport systems. Such interaction between metformin and oral cimetidine has been observed in normal healthy volunteers in both single- and multiple-dose metformin-cimetidine drug interaction studies, with a 60% increase in peak metformin plasma and whole blood concentrations and a 40% increase in plasma and whole blood metformin AUC. There was no change in elimination half-life in the single-dose study. Metformin had no effect on cimetidine pharmacokinetics. Although such interactions remain theoretical (except for cimetidine), careful patient monitoring and dose adjustment of JANUMET and/or the interfering drug is recommended in patients who are taking cationic medications that are excreted via the proximal renal tubular secretory system.</w:t>
      </w:r>
    </w:p>
    <w:p w:rsidR="00907289" w:rsidRDefault="00907289" w:rsidP="00E56E7B">
      <w:pPr>
        <w:spacing w:before="100" w:beforeAutospacing="1" w:after="100" w:afterAutospacing="1"/>
        <w:jc w:val="both"/>
        <w:rPr>
          <w:rFonts w:ascii="Arial" w:hAnsi="Arial" w:cs="Arial"/>
          <w:bCs/>
          <w:iCs/>
          <w:sz w:val="22"/>
          <w:szCs w:val="22"/>
        </w:rPr>
      </w:pPr>
      <w:r>
        <w:rPr>
          <w:rFonts w:ascii="Arial" w:hAnsi="Arial" w:cs="Arial"/>
          <w:bCs/>
          <w:i/>
          <w:iCs/>
          <w:sz w:val="22"/>
          <w:szCs w:val="22"/>
        </w:rPr>
        <w:t>Other:</w:t>
      </w:r>
      <w:r>
        <w:rPr>
          <w:rFonts w:ascii="Arial" w:hAnsi="Arial" w:cs="Arial"/>
          <w:bCs/>
          <w:iCs/>
          <w:sz w:val="22"/>
          <w:szCs w:val="22"/>
        </w:rPr>
        <w:t xml:space="preserve"> Certain drugs tend to produce hyperglycaemia and may lead to loss of glycaemic control. These drugs include the thiazides and other diuretics, corticosteroids, phenothiazines, thyroid </w:t>
      </w:r>
      <w:r>
        <w:rPr>
          <w:rFonts w:ascii="Arial" w:hAnsi="Arial" w:cs="Arial"/>
          <w:bCs/>
          <w:iCs/>
          <w:sz w:val="22"/>
          <w:szCs w:val="22"/>
        </w:rPr>
        <w:lastRenderedPageBreak/>
        <w:t>products, estrogens, oral contraceptives, phenytoin, nicotinic acid, sympathomimetics, calcium channel blocking drugs, and isoniazid. When such drugs are administered to a patient receiving JANUMET the patient should be closely observed to maintain adequate glycaemic control.</w:t>
      </w:r>
    </w:p>
    <w:p w:rsidR="00907289" w:rsidRDefault="00907289" w:rsidP="00E56E7B">
      <w:pPr>
        <w:spacing w:before="100" w:beforeAutospacing="1" w:after="100" w:afterAutospacing="1"/>
        <w:jc w:val="both"/>
        <w:rPr>
          <w:rFonts w:ascii="Arial" w:hAnsi="Arial" w:cs="Arial"/>
          <w:bCs/>
          <w:iCs/>
          <w:sz w:val="22"/>
          <w:szCs w:val="22"/>
        </w:rPr>
      </w:pPr>
      <w:r>
        <w:rPr>
          <w:rFonts w:ascii="Arial" w:hAnsi="Arial" w:cs="Arial"/>
          <w:bCs/>
          <w:iCs/>
          <w:sz w:val="22"/>
          <w:szCs w:val="22"/>
        </w:rPr>
        <w:t xml:space="preserve">In healthy volunteers, the pharmacokinetics of metformin and propranolol, and metformin and ibuprofen were not affected when co-administered in single-dose interaction studies. </w:t>
      </w:r>
    </w:p>
    <w:p w:rsidR="00907289" w:rsidRDefault="00907289" w:rsidP="00E56E7B">
      <w:pPr>
        <w:spacing w:before="100" w:beforeAutospacing="1" w:after="100" w:afterAutospacing="1"/>
        <w:jc w:val="both"/>
        <w:rPr>
          <w:rFonts w:ascii="Arial" w:hAnsi="Arial" w:cs="Arial"/>
          <w:bCs/>
          <w:iCs/>
          <w:sz w:val="22"/>
          <w:szCs w:val="22"/>
        </w:rPr>
      </w:pPr>
      <w:r>
        <w:rPr>
          <w:rFonts w:ascii="Arial" w:hAnsi="Arial" w:cs="Arial"/>
          <w:bCs/>
          <w:iCs/>
          <w:sz w:val="22"/>
          <w:szCs w:val="22"/>
        </w:rPr>
        <w:t>Metformin is negligibly bound to plasma proteins and is, therefore, less likely to interact with highly protein-bound drugs such as salicylates, sulfonamides, chloramphenicol, and probenecid, as compared to the sulfonylureas, which are extensively bound to serum proteins.</w:t>
      </w:r>
    </w:p>
    <w:p w:rsidR="00907289" w:rsidRDefault="00907289" w:rsidP="00E56E7B">
      <w:pPr>
        <w:spacing w:after="100" w:afterAutospacing="1"/>
        <w:jc w:val="both"/>
        <w:outlineLvl w:val="0"/>
        <w:rPr>
          <w:rFonts w:ascii="Arial" w:hAnsi="Arial" w:cs="Arial"/>
          <w:b/>
          <w:i/>
          <w:sz w:val="22"/>
          <w:szCs w:val="22"/>
        </w:rPr>
      </w:pPr>
      <w:r>
        <w:rPr>
          <w:rFonts w:ascii="Arial" w:hAnsi="Arial" w:cs="Arial"/>
          <w:b/>
          <w:i/>
          <w:sz w:val="22"/>
          <w:szCs w:val="22"/>
        </w:rPr>
        <w:t>Effect on laboratory tests</w:t>
      </w:r>
    </w:p>
    <w:p w:rsidR="00907289" w:rsidRDefault="00907289" w:rsidP="006656A9">
      <w:pPr>
        <w:jc w:val="both"/>
        <w:outlineLvl w:val="0"/>
        <w:rPr>
          <w:rFonts w:ascii="Arial" w:hAnsi="Arial" w:cs="Arial"/>
          <w:i/>
          <w:sz w:val="22"/>
          <w:szCs w:val="22"/>
        </w:rPr>
      </w:pPr>
      <w:r>
        <w:rPr>
          <w:rFonts w:ascii="Arial" w:hAnsi="Arial" w:cs="Arial"/>
          <w:i/>
          <w:sz w:val="22"/>
          <w:szCs w:val="22"/>
        </w:rPr>
        <w:t>Sitagliptin phosphate monohydrate</w:t>
      </w:r>
    </w:p>
    <w:p w:rsidR="00907289" w:rsidRDefault="00907289" w:rsidP="00E56E7B">
      <w:pPr>
        <w:pStyle w:val="Body"/>
        <w:spacing w:after="100" w:afterAutospacing="1"/>
        <w:ind w:firstLine="0"/>
        <w:rPr>
          <w:rFonts w:cs="Arial"/>
          <w:sz w:val="22"/>
          <w:szCs w:val="22"/>
        </w:rPr>
      </w:pPr>
      <w:r>
        <w:rPr>
          <w:rFonts w:cs="Arial"/>
          <w:sz w:val="22"/>
          <w:szCs w:val="22"/>
        </w:rPr>
        <w:t xml:space="preserve">The incidence of laboratory adverse experiences was similar in patients treated with sitagliptin and metformin (7.6%) compared to patients treated with placebo and metformin (8.7%).  In most but not all studies, a small increase in white blood cell count (approximately 200 cells/microL difference in WBC vs placebo; mean baseline WBC approximately 6600 cells/microL) was observed due to a small increase in neutrophils. </w:t>
      </w:r>
      <w:r>
        <w:rPr>
          <w:rFonts w:cs="Arial"/>
          <w:noProof/>
          <w:sz w:val="22"/>
          <w:szCs w:val="22"/>
        </w:rPr>
        <w:t>This observation was seen in most but not all studies.</w:t>
      </w:r>
      <w:r>
        <w:rPr>
          <w:rFonts w:cs="Arial"/>
          <w:sz w:val="22"/>
          <w:szCs w:val="22"/>
        </w:rPr>
        <w:t xml:space="preserve"> This change in laboratory parameters is not considered to be clinically relevant.</w:t>
      </w:r>
    </w:p>
    <w:p w:rsidR="00907289" w:rsidRDefault="00907289" w:rsidP="003C4953">
      <w:pPr>
        <w:jc w:val="both"/>
        <w:outlineLvl w:val="0"/>
        <w:rPr>
          <w:rFonts w:ascii="Arial" w:hAnsi="Arial" w:cs="Arial"/>
          <w:i/>
          <w:sz w:val="22"/>
          <w:szCs w:val="22"/>
        </w:rPr>
      </w:pPr>
      <w:r>
        <w:rPr>
          <w:rFonts w:ascii="Arial" w:hAnsi="Arial" w:cs="Arial"/>
          <w:i/>
          <w:sz w:val="22"/>
          <w:szCs w:val="22"/>
        </w:rPr>
        <w:t>Metformin hydrochloride</w:t>
      </w:r>
    </w:p>
    <w:p w:rsidR="00907289" w:rsidRDefault="00907289">
      <w:pPr>
        <w:jc w:val="both"/>
        <w:rPr>
          <w:rFonts w:ascii="Arial" w:hAnsi="Arial" w:cs="Arial"/>
          <w:sz w:val="22"/>
          <w:szCs w:val="22"/>
        </w:rPr>
      </w:pPr>
      <w:r>
        <w:rPr>
          <w:rFonts w:ascii="Arial" w:hAnsi="Arial" w:cs="Arial"/>
          <w:sz w:val="22"/>
          <w:szCs w:val="22"/>
        </w:rPr>
        <w:t>In controlled clinical trials of metformin of 29 weeks duration, a decrease to subnormal levels of previously normal serum Vitamin B</w:t>
      </w:r>
      <w:r>
        <w:rPr>
          <w:rFonts w:ascii="Arial" w:hAnsi="Arial" w:cs="Arial"/>
          <w:sz w:val="22"/>
          <w:szCs w:val="22"/>
          <w:vertAlign w:val="subscript"/>
        </w:rPr>
        <w:t>12</w:t>
      </w:r>
      <w:r>
        <w:rPr>
          <w:rFonts w:ascii="Arial" w:hAnsi="Arial" w:cs="Arial"/>
          <w:sz w:val="22"/>
          <w:szCs w:val="22"/>
        </w:rPr>
        <w:t xml:space="preserve"> levels, without clinical manifestations, was observed in approximately 7% of patients. Such decrease, possibly due to interference with B</w:t>
      </w:r>
      <w:r>
        <w:rPr>
          <w:rFonts w:ascii="Arial" w:hAnsi="Arial" w:cs="Arial"/>
          <w:sz w:val="22"/>
          <w:szCs w:val="22"/>
          <w:vertAlign w:val="subscript"/>
        </w:rPr>
        <w:t>12</w:t>
      </w:r>
      <w:r>
        <w:rPr>
          <w:rFonts w:ascii="Arial" w:hAnsi="Arial" w:cs="Arial"/>
          <w:sz w:val="22"/>
          <w:szCs w:val="22"/>
        </w:rPr>
        <w:t xml:space="preserve"> absorption from the B</w:t>
      </w:r>
      <w:r>
        <w:rPr>
          <w:rFonts w:ascii="Arial" w:hAnsi="Arial" w:cs="Arial"/>
          <w:sz w:val="22"/>
          <w:szCs w:val="22"/>
          <w:vertAlign w:val="subscript"/>
        </w:rPr>
        <w:t>12</w:t>
      </w:r>
      <w:r>
        <w:rPr>
          <w:rFonts w:ascii="Arial" w:hAnsi="Arial" w:cs="Arial"/>
          <w:sz w:val="22"/>
          <w:szCs w:val="22"/>
        </w:rPr>
        <w:t>-intrinsic factor complex, is, however, very rarely associated with anaemia and appears to be rapidly reversible with discontinuation of metformin or Vitamin B</w:t>
      </w:r>
      <w:r>
        <w:rPr>
          <w:rFonts w:ascii="Arial" w:hAnsi="Arial" w:cs="Arial"/>
          <w:sz w:val="22"/>
          <w:szCs w:val="22"/>
          <w:vertAlign w:val="subscript"/>
        </w:rPr>
        <w:t>12</w:t>
      </w:r>
      <w:r>
        <w:rPr>
          <w:rFonts w:ascii="Arial" w:hAnsi="Arial" w:cs="Arial"/>
          <w:sz w:val="22"/>
          <w:szCs w:val="22"/>
        </w:rPr>
        <w:t xml:space="preserve"> supplementation (see </w:t>
      </w:r>
      <w:r>
        <w:rPr>
          <w:rFonts w:ascii="Arial" w:hAnsi="Arial" w:cs="Arial"/>
          <w:b/>
          <w:sz w:val="22"/>
          <w:szCs w:val="22"/>
        </w:rPr>
        <w:t>PRECAUTIONS</w:t>
      </w:r>
      <w:r>
        <w:rPr>
          <w:rFonts w:ascii="Arial" w:hAnsi="Arial" w:cs="Arial"/>
          <w:sz w:val="22"/>
          <w:szCs w:val="22"/>
        </w:rPr>
        <w:t xml:space="preserve">, </w:t>
      </w:r>
      <w:r>
        <w:rPr>
          <w:rFonts w:ascii="Arial" w:hAnsi="Arial" w:cs="Arial"/>
          <w:i/>
          <w:sz w:val="22"/>
          <w:szCs w:val="22"/>
        </w:rPr>
        <w:t>Metformin hydrochloride</w:t>
      </w:r>
      <w:r>
        <w:rPr>
          <w:rFonts w:ascii="Arial" w:hAnsi="Arial" w:cs="Arial"/>
          <w:sz w:val="22"/>
          <w:szCs w:val="22"/>
        </w:rPr>
        <w:t>).</w:t>
      </w:r>
    </w:p>
    <w:p w:rsidR="00907289" w:rsidRDefault="00907289" w:rsidP="00E56E7B">
      <w:pPr>
        <w:spacing w:before="100" w:beforeAutospacing="1" w:after="100" w:afterAutospacing="1"/>
        <w:jc w:val="center"/>
        <w:outlineLvl w:val="0"/>
        <w:rPr>
          <w:rFonts w:ascii="Arial" w:hAnsi="Arial" w:cs="Arial"/>
          <w:b/>
          <w:sz w:val="22"/>
          <w:szCs w:val="22"/>
        </w:rPr>
      </w:pPr>
      <w:r>
        <w:rPr>
          <w:rFonts w:ascii="Arial" w:hAnsi="Arial" w:cs="Arial"/>
          <w:b/>
          <w:sz w:val="22"/>
          <w:szCs w:val="22"/>
        </w:rPr>
        <w:t>ADVERSE REACTIONS</w:t>
      </w:r>
    </w:p>
    <w:p w:rsidR="00907289" w:rsidRDefault="00907289">
      <w:pPr>
        <w:jc w:val="both"/>
        <w:rPr>
          <w:rFonts w:ascii="Arial" w:hAnsi="Arial" w:cs="Arial"/>
          <w:bCs/>
          <w:sz w:val="22"/>
          <w:szCs w:val="22"/>
        </w:rPr>
      </w:pPr>
      <w:r>
        <w:rPr>
          <w:rFonts w:ascii="Arial" w:hAnsi="Arial" w:cs="Arial"/>
          <w:bCs/>
          <w:sz w:val="22"/>
          <w:szCs w:val="22"/>
        </w:rPr>
        <w:t>In placebo-controlled clinical trials, in patients with type 2 diabetes mellitus on metformin monotherapy, the addition of sitagliptin 100 mg daily was well tolerated. The overall incidence of adverse experiences reported in patients receiving sitagliptin and metformin was similar to that reported with patients receiving placebo and metformin.</w:t>
      </w:r>
    </w:p>
    <w:p w:rsidR="00907289" w:rsidRPr="009E39FD" w:rsidRDefault="00907289" w:rsidP="00E56E7B">
      <w:pPr>
        <w:spacing w:before="100" w:beforeAutospacing="1" w:after="100" w:afterAutospacing="1"/>
        <w:rPr>
          <w:sz w:val="22"/>
          <w:szCs w:val="22"/>
        </w:rPr>
      </w:pPr>
      <w:r w:rsidRPr="009E39FD">
        <w:rPr>
          <w:rFonts w:ascii="Arial" w:hAnsi="Arial" w:cs="Arial"/>
          <w:bCs/>
          <w:sz w:val="22"/>
          <w:szCs w:val="22"/>
        </w:rPr>
        <w:t xml:space="preserve">In an additional, </w:t>
      </w:r>
      <w:r w:rsidR="005B7521" w:rsidRPr="009E39FD">
        <w:rPr>
          <w:rFonts w:ascii="Arial" w:hAnsi="Arial" w:cs="Arial"/>
          <w:bCs/>
          <w:sz w:val="22"/>
          <w:szCs w:val="22"/>
        </w:rPr>
        <w:t>104</w:t>
      </w:r>
      <w:r w:rsidRPr="009E39FD">
        <w:rPr>
          <w:rFonts w:ascii="Arial" w:hAnsi="Arial" w:cs="Arial"/>
          <w:bCs/>
          <w:sz w:val="22"/>
          <w:szCs w:val="22"/>
        </w:rPr>
        <w:t xml:space="preserve">-week, placebo-controlled factorial study of initial therapy with sitagliptin in combination with metformin, the adverse reactions reported (regardless of investigator assessment of causality) in </w:t>
      </w:r>
      <w:r w:rsidRPr="009E39FD">
        <w:rPr>
          <w:rFonts w:ascii="Arial" w:hAnsi="Arial" w:cs="Arial"/>
          <w:bCs/>
          <w:sz w:val="22"/>
          <w:szCs w:val="22"/>
        </w:rPr>
        <w:sym w:font="Symbol" w:char="F0B3"/>
      </w:r>
      <w:r w:rsidRPr="009E39FD">
        <w:rPr>
          <w:rFonts w:ascii="Arial" w:hAnsi="Arial" w:cs="Arial"/>
          <w:bCs/>
          <w:sz w:val="22"/>
          <w:szCs w:val="22"/>
        </w:rPr>
        <w:t>5% of patients are shown in Table 3.</w:t>
      </w:r>
    </w:p>
    <w:p w:rsidR="00907289" w:rsidRDefault="00B31CE6" w:rsidP="006656A9">
      <w:pPr>
        <w:jc w:val="center"/>
        <w:outlineLvl w:val="0"/>
        <w:rPr>
          <w:szCs w:val="22"/>
        </w:rPr>
      </w:pPr>
      <w:r>
        <w:rPr>
          <w:rFonts w:ascii="Arial" w:hAnsi="Arial" w:cs="Arial"/>
          <w:b/>
          <w:sz w:val="18"/>
          <w:szCs w:val="18"/>
        </w:rPr>
        <w:br w:type="page"/>
      </w:r>
      <w:r w:rsidR="00907289">
        <w:rPr>
          <w:rFonts w:ascii="Arial" w:hAnsi="Arial" w:cs="Arial"/>
          <w:b/>
          <w:sz w:val="18"/>
          <w:szCs w:val="18"/>
        </w:rPr>
        <w:lastRenderedPageBreak/>
        <w:t>Table 3</w:t>
      </w:r>
    </w:p>
    <w:p w:rsidR="00907289" w:rsidRDefault="00907289">
      <w:pPr>
        <w:jc w:val="center"/>
        <w:rPr>
          <w:rFonts w:ascii="Arial" w:hAnsi="Arial" w:cs="Arial"/>
          <w:b/>
          <w:sz w:val="18"/>
          <w:szCs w:val="18"/>
        </w:rPr>
      </w:pPr>
      <w:r>
        <w:rPr>
          <w:rFonts w:ascii="Arial" w:hAnsi="Arial" w:cs="Arial"/>
          <w:b/>
          <w:sz w:val="18"/>
          <w:szCs w:val="18"/>
        </w:rPr>
        <w:t>Initial Therapy with Combination of Sitagliptin and Metformin:</w:t>
      </w:r>
    </w:p>
    <w:p w:rsidR="00907289" w:rsidRDefault="00907289">
      <w:pPr>
        <w:jc w:val="center"/>
        <w:rPr>
          <w:szCs w:val="22"/>
        </w:rPr>
      </w:pPr>
      <w:r>
        <w:rPr>
          <w:rFonts w:ascii="Arial" w:hAnsi="Arial" w:cs="Arial"/>
          <w:b/>
          <w:bCs/>
          <w:sz w:val="18"/>
          <w:szCs w:val="18"/>
        </w:rPr>
        <w:t xml:space="preserve">Adverse Reactions Reported (Regardless of Investigator Assessment of Causality) in </w:t>
      </w:r>
      <w:r>
        <w:rPr>
          <w:rFonts w:ascii="Arial" w:hAnsi="Arial" w:cs="Arial"/>
          <w:b/>
          <w:bCs/>
          <w:sz w:val="18"/>
          <w:szCs w:val="18"/>
        </w:rPr>
        <w:sym w:font="Symbol" w:char="F0B3"/>
      </w:r>
      <w:r>
        <w:rPr>
          <w:rFonts w:ascii="Arial" w:hAnsi="Arial" w:cs="Arial"/>
          <w:b/>
          <w:bCs/>
          <w:sz w:val="18"/>
          <w:szCs w:val="18"/>
        </w:rPr>
        <w:t>5% of Patients Receiving Combination Therapy (and Greater than in Patients Receiving Placebo)</w:t>
      </w:r>
      <w:r>
        <w:rPr>
          <w:rFonts w:ascii="Arial" w:hAnsi="Arial" w:cs="Arial"/>
          <w:b/>
          <w:sz w:val="18"/>
          <w:szCs w:val="18"/>
          <w:vertAlign w:val="superscript"/>
        </w:rPr>
        <w:t>†</w:t>
      </w:r>
    </w:p>
    <w:tbl>
      <w:tblPr>
        <w:tblW w:w="9076" w:type="dxa"/>
        <w:jc w:val="center"/>
        <w:tblInd w:w="4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5" w:type="dxa"/>
          <w:right w:w="115" w:type="dxa"/>
        </w:tblCellMar>
        <w:tblLook w:val="0000"/>
      </w:tblPr>
      <w:tblGrid>
        <w:gridCol w:w="2451"/>
        <w:gridCol w:w="1118"/>
        <w:gridCol w:w="1442"/>
        <w:gridCol w:w="1947"/>
        <w:gridCol w:w="2118"/>
      </w:tblGrid>
      <w:tr w:rsidR="00907289">
        <w:tblPrEx>
          <w:tblCellMar>
            <w:top w:w="0" w:type="dxa"/>
            <w:bottom w:w="0" w:type="dxa"/>
          </w:tblCellMar>
        </w:tblPrEx>
        <w:trPr>
          <w:jc w:val="center"/>
        </w:trPr>
        <w:tc>
          <w:tcPr>
            <w:tcW w:w="2451" w:type="dxa"/>
            <w:tcBorders>
              <w:top w:val="single" w:sz="6" w:space="0" w:color="auto"/>
              <w:left w:val="single" w:sz="6" w:space="0" w:color="auto"/>
              <w:bottom w:val="single" w:sz="6" w:space="0" w:color="auto"/>
              <w:right w:val="single" w:sz="6" w:space="0" w:color="auto"/>
            </w:tcBorders>
          </w:tcPr>
          <w:p w:rsidR="00907289" w:rsidRDefault="00907289">
            <w:pPr>
              <w:keepNext/>
              <w:keepLines/>
              <w:ind w:left="180"/>
              <w:jc w:val="center"/>
              <w:rPr>
                <w:rFonts w:ascii="Arial" w:hAnsi="Arial" w:cs="Arial"/>
                <w:b/>
                <w:sz w:val="18"/>
                <w:szCs w:val="18"/>
              </w:rPr>
            </w:pPr>
          </w:p>
        </w:tc>
        <w:tc>
          <w:tcPr>
            <w:tcW w:w="6625" w:type="dxa"/>
            <w:gridSpan w:val="4"/>
            <w:tcBorders>
              <w:top w:val="single" w:sz="6" w:space="0" w:color="auto"/>
              <w:left w:val="single" w:sz="6" w:space="0" w:color="auto"/>
              <w:bottom w:val="single" w:sz="6" w:space="0" w:color="auto"/>
              <w:right w:val="single" w:sz="6" w:space="0" w:color="auto"/>
            </w:tcBorders>
          </w:tcPr>
          <w:p w:rsidR="00907289" w:rsidRDefault="00907289">
            <w:pPr>
              <w:keepNext/>
              <w:keepLines/>
              <w:ind w:left="-14"/>
              <w:jc w:val="center"/>
              <w:rPr>
                <w:rFonts w:ascii="Arial" w:hAnsi="Arial" w:cs="Arial"/>
                <w:b/>
                <w:sz w:val="18"/>
                <w:szCs w:val="18"/>
              </w:rPr>
            </w:pPr>
            <w:r>
              <w:rPr>
                <w:rFonts w:ascii="Arial" w:hAnsi="Arial" w:cs="Arial"/>
                <w:b/>
                <w:sz w:val="18"/>
                <w:szCs w:val="18"/>
              </w:rPr>
              <w:t>Number of Patients (%)</w:t>
            </w:r>
          </w:p>
        </w:tc>
      </w:tr>
      <w:tr w:rsidR="00907289">
        <w:tblPrEx>
          <w:tblCellMar>
            <w:top w:w="0" w:type="dxa"/>
            <w:bottom w:w="0" w:type="dxa"/>
          </w:tblCellMar>
        </w:tblPrEx>
        <w:trPr>
          <w:jc w:val="center"/>
        </w:trPr>
        <w:tc>
          <w:tcPr>
            <w:tcW w:w="2451" w:type="dxa"/>
            <w:tcBorders>
              <w:top w:val="single" w:sz="6" w:space="0" w:color="auto"/>
              <w:left w:val="single" w:sz="6" w:space="0" w:color="auto"/>
              <w:bottom w:val="single" w:sz="6" w:space="0" w:color="auto"/>
              <w:right w:val="single" w:sz="6" w:space="0" w:color="auto"/>
            </w:tcBorders>
          </w:tcPr>
          <w:p w:rsidR="00907289" w:rsidRDefault="00907289">
            <w:pPr>
              <w:keepNext/>
              <w:keepLines/>
              <w:ind w:left="180"/>
              <w:jc w:val="center"/>
              <w:rPr>
                <w:rFonts w:ascii="Arial" w:hAnsi="Arial" w:cs="Arial"/>
                <w:b/>
                <w:sz w:val="18"/>
                <w:szCs w:val="18"/>
              </w:rPr>
            </w:pPr>
          </w:p>
        </w:tc>
        <w:tc>
          <w:tcPr>
            <w:tcW w:w="1118" w:type="dxa"/>
            <w:tcBorders>
              <w:top w:val="single" w:sz="6" w:space="0" w:color="auto"/>
              <w:left w:val="single" w:sz="6" w:space="0" w:color="auto"/>
              <w:bottom w:val="single" w:sz="6" w:space="0" w:color="auto"/>
              <w:right w:val="single" w:sz="6" w:space="0" w:color="auto"/>
            </w:tcBorders>
          </w:tcPr>
          <w:p w:rsidR="00907289" w:rsidRDefault="00907289">
            <w:pPr>
              <w:keepNext/>
              <w:keepLines/>
              <w:jc w:val="center"/>
              <w:rPr>
                <w:rFonts w:ascii="Arial" w:hAnsi="Arial" w:cs="Arial"/>
                <w:b/>
                <w:sz w:val="18"/>
                <w:szCs w:val="18"/>
              </w:rPr>
            </w:pPr>
          </w:p>
          <w:p w:rsidR="00907289" w:rsidRDefault="00907289">
            <w:pPr>
              <w:keepNext/>
              <w:keepLines/>
              <w:jc w:val="center"/>
              <w:rPr>
                <w:rFonts w:ascii="Arial" w:hAnsi="Arial" w:cs="Arial"/>
                <w:b/>
                <w:sz w:val="18"/>
                <w:szCs w:val="18"/>
              </w:rPr>
            </w:pPr>
            <w:r>
              <w:rPr>
                <w:rFonts w:ascii="Arial" w:hAnsi="Arial" w:cs="Arial"/>
                <w:b/>
                <w:sz w:val="18"/>
                <w:szCs w:val="18"/>
              </w:rPr>
              <w:t>Placebo</w:t>
            </w:r>
            <w:r w:rsidR="001378F4">
              <w:rPr>
                <w:rFonts w:ascii="Arial" w:hAnsi="Arial" w:cs="Arial"/>
                <w:b/>
                <w:sz w:val="18"/>
                <w:szCs w:val="18"/>
              </w:rPr>
              <w:t>/ Metformin 1000 mg bid</w:t>
            </w:r>
          </w:p>
        </w:tc>
        <w:tc>
          <w:tcPr>
            <w:tcW w:w="1442" w:type="dxa"/>
            <w:tcBorders>
              <w:top w:val="single" w:sz="6" w:space="0" w:color="auto"/>
              <w:left w:val="single" w:sz="6" w:space="0" w:color="auto"/>
              <w:bottom w:val="single" w:sz="6" w:space="0" w:color="auto"/>
              <w:right w:val="single" w:sz="6" w:space="0" w:color="auto"/>
            </w:tcBorders>
          </w:tcPr>
          <w:p w:rsidR="00907289" w:rsidRDefault="00907289">
            <w:pPr>
              <w:keepNext/>
              <w:keepLines/>
              <w:ind w:left="-132"/>
              <w:jc w:val="center"/>
              <w:rPr>
                <w:rFonts w:ascii="Arial" w:hAnsi="Arial" w:cs="Arial"/>
                <w:b/>
                <w:sz w:val="18"/>
                <w:szCs w:val="18"/>
              </w:rPr>
            </w:pPr>
            <w:r>
              <w:rPr>
                <w:rFonts w:ascii="Arial" w:hAnsi="Arial" w:cs="Arial"/>
                <w:b/>
                <w:sz w:val="18"/>
                <w:szCs w:val="18"/>
              </w:rPr>
              <w:t>Sitagliptin</w:t>
            </w:r>
          </w:p>
          <w:p w:rsidR="00907289" w:rsidRDefault="00907289">
            <w:pPr>
              <w:keepNext/>
              <w:keepLines/>
              <w:ind w:left="-132"/>
              <w:jc w:val="center"/>
              <w:rPr>
                <w:rFonts w:ascii="Arial" w:hAnsi="Arial" w:cs="Arial"/>
                <w:b/>
                <w:sz w:val="18"/>
                <w:szCs w:val="18"/>
              </w:rPr>
            </w:pPr>
            <w:r>
              <w:rPr>
                <w:rFonts w:ascii="Arial" w:hAnsi="Arial" w:cs="Arial"/>
                <w:b/>
                <w:sz w:val="18"/>
                <w:szCs w:val="18"/>
              </w:rPr>
              <w:t>(JANUVIA)</w:t>
            </w:r>
          </w:p>
          <w:p w:rsidR="00907289" w:rsidRDefault="00907289">
            <w:pPr>
              <w:keepNext/>
              <w:keepLines/>
              <w:ind w:left="-132"/>
              <w:jc w:val="center"/>
              <w:rPr>
                <w:rFonts w:ascii="Arial" w:hAnsi="Arial" w:cs="Arial"/>
                <w:b/>
                <w:sz w:val="18"/>
                <w:szCs w:val="18"/>
              </w:rPr>
            </w:pPr>
            <w:r>
              <w:rPr>
                <w:rFonts w:ascii="Arial" w:hAnsi="Arial" w:cs="Arial"/>
                <w:b/>
                <w:sz w:val="18"/>
                <w:szCs w:val="18"/>
              </w:rPr>
              <w:t>100 mg QD</w:t>
            </w:r>
          </w:p>
        </w:tc>
        <w:tc>
          <w:tcPr>
            <w:tcW w:w="1947" w:type="dxa"/>
            <w:tcBorders>
              <w:top w:val="single" w:sz="6" w:space="0" w:color="auto"/>
              <w:left w:val="single" w:sz="6" w:space="0" w:color="auto"/>
              <w:bottom w:val="single" w:sz="6" w:space="0" w:color="auto"/>
              <w:right w:val="single" w:sz="6" w:space="0" w:color="auto"/>
            </w:tcBorders>
            <w:shd w:val="clear" w:color="auto" w:fill="auto"/>
          </w:tcPr>
          <w:p w:rsidR="00907289" w:rsidRDefault="00907289">
            <w:pPr>
              <w:keepNext/>
              <w:keepLines/>
              <w:ind w:left="-56"/>
              <w:jc w:val="center"/>
              <w:rPr>
                <w:rFonts w:ascii="Arial" w:hAnsi="Arial" w:cs="Arial"/>
                <w:b/>
                <w:sz w:val="18"/>
                <w:szCs w:val="18"/>
              </w:rPr>
            </w:pPr>
          </w:p>
          <w:p w:rsidR="00907289" w:rsidRDefault="00907289">
            <w:pPr>
              <w:keepNext/>
              <w:keepLines/>
              <w:ind w:left="-56"/>
              <w:jc w:val="center"/>
              <w:rPr>
                <w:rFonts w:ascii="Arial" w:hAnsi="Arial" w:cs="Arial"/>
                <w:b/>
                <w:sz w:val="18"/>
                <w:szCs w:val="18"/>
              </w:rPr>
            </w:pPr>
            <w:r>
              <w:rPr>
                <w:rFonts w:ascii="Arial" w:hAnsi="Arial" w:cs="Arial"/>
                <w:b/>
                <w:sz w:val="18"/>
                <w:szCs w:val="18"/>
              </w:rPr>
              <w:t>Metformin</w:t>
            </w:r>
          </w:p>
          <w:p w:rsidR="00907289" w:rsidRDefault="00907289">
            <w:pPr>
              <w:keepNext/>
              <w:keepLines/>
              <w:ind w:left="-56"/>
              <w:jc w:val="center"/>
              <w:rPr>
                <w:rFonts w:ascii="Arial" w:hAnsi="Arial" w:cs="Arial"/>
                <w:b/>
                <w:sz w:val="18"/>
                <w:szCs w:val="18"/>
              </w:rPr>
            </w:pPr>
            <w:r>
              <w:rPr>
                <w:rFonts w:ascii="Arial" w:hAnsi="Arial" w:cs="Arial"/>
                <w:b/>
                <w:sz w:val="18"/>
                <w:szCs w:val="18"/>
              </w:rPr>
              <w:t>500 or 1000 mg bid</w:t>
            </w:r>
            <w:r>
              <w:rPr>
                <w:rFonts w:ascii="Arial" w:hAnsi="Arial" w:cs="Arial"/>
                <w:sz w:val="18"/>
                <w:szCs w:val="18"/>
                <w:vertAlign w:val="superscript"/>
              </w:rPr>
              <w:t xml:space="preserve"> ††</w:t>
            </w:r>
          </w:p>
        </w:tc>
        <w:tc>
          <w:tcPr>
            <w:tcW w:w="2118" w:type="dxa"/>
            <w:tcBorders>
              <w:top w:val="single" w:sz="6" w:space="0" w:color="auto"/>
              <w:left w:val="single" w:sz="6" w:space="0" w:color="auto"/>
              <w:bottom w:val="single" w:sz="6" w:space="0" w:color="auto"/>
              <w:right w:val="single" w:sz="6" w:space="0" w:color="auto"/>
            </w:tcBorders>
            <w:shd w:val="clear" w:color="auto" w:fill="auto"/>
          </w:tcPr>
          <w:p w:rsidR="00907289" w:rsidRDefault="00907289">
            <w:pPr>
              <w:keepNext/>
              <w:keepLines/>
              <w:ind w:left="-14"/>
              <w:jc w:val="center"/>
              <w:rPr>
                <w:rFonts w:ascii="Arial" w:hAnsi="Arial" w:cs="Arial"/>
                <w:b/>
                <w:sz w:val="18"/>
                <w:szCs w:val="18"/>
              </w:rPr>
            </w:pPr>
            <w:r>
              <w:rPr>
                <w:rFonts w:ascii="Arial" w:hAnsi="Arial" w:cs="Arial"/>
                <w:b/>
                <w:sz w:val="18"/>
                <w:szCs w:val="18"/>
              </w:rPr>
              <w:t>Sitagliptin</w:t>
            </w:r>
          </w:p>
          <w:p w:rsidR="00907289" w:rsidRDefault="00907289">
            <w:pPr>
              <w:keepNext/>
              <w:keepLines/>
              <w:ind w:left="-14"/>
              <w:jc w:val="center"/>
              <w:rPr>
                <w:rFonts w:ascii="Arial" w:hAnsi="Arial" w:cs="Arial"/>
                <w:b/>
                <w:sz w:val="18"/>
                <w:szCs w:val="18"/>
              </w:rPr>
            </w:pPr>
            <w:r>
              <w:rPr>
                <w:rFonts w:ascii="Arial" w:hAnsi="Arial" w:cs="Arial"/>
                <w:b/>
                <w:sz w:val="18"/>
                <w:szCs w:val="18"/>
              </w:rPr>
              <w:t>50 mg bid +</w:t>
            </w:r>
          </w:p>
          <w:p w:rsidR="00907289" w:rsidRDefault="00907289">
            <w:pPr>
              <w:keepNext/>
              <w:keepLines/>
              <w:ind w:left="-14"/>
              <w:jc w:val="center"/>
              <w:rPr>
                <w:rFonts w:ascii="Arial" w:hAnsi="Arial" w:cs="Arial"/>
                <w:b/>
                <w:sz w:val="18"/>
                <w:szCs w:val="18"/>
              </w:rPr>
            </w:pPr>
            <w:r>
              <w:rPr>
                <w:rFonts w:ascii="Arial" w:hAnsi="Arial" w:cs="Arial"/>
                <w:b/>
                <w:sz w:val="18"/>
                <w:szCs w:val="18"/>
              </w:rPr>
              <w:t>Metformin</w:t>
            </w:r>
          </w:p>
          <w:p w:rsidR="00907289" w:rsidRDefault="00907289">
            <w:pPr>
              <w:keepNext/>
              <w:keepLines/>
              <w:ind w:left="-14"/>
              <w:jc w:val="center"/>
              <w:rPr>
                <w:rFonts w:ascii="Arial" w:hAnsi="Arial" w:cs="Arial"/>
                <w:b/>
                <w:sz w:val="18"/>
                <w:szCs w:val="18"/>
              </w:rPr>
            </w:pPr>
            <w:r>
              <w:rPr>
                <w:rFonts w:ascii="Arial" w:hAnsi="Arial" w:cs="Arial"/>
                <w:b/>
                <w:sz w:val="18"/>
                <w:szCs w:val="18"/>
              </w:rPr>
              <w:t>500 or 1000 mg bid</w:t>
            </w:r>
            <w:r>
              <w:rPr>
                <w:rFonts w:ascii="Arial" w:hAnsi="Arial" w:cs="Arial"/>
                <w:sz w:val="18"/>
                <w:szCs w:val="18"/>
                <w:vertAlign w:val="superscript"/>
              </w:rPr>
              <w:t xml:space="preserve"> ††</w:t>
            </w:r>
          </w:p>
        </w:tc>
      </w:tr>
      <w:tr w:rsidR="00907289">
        <w:tblPrEx>
          <w:tblCellMar>
            <w:top w:w="0" w:type="dxa"/>
            <w:bottom w:w="0" w:type="dxa"/>
          </w:tblCellMar>
        </w:tblPrEx>
        <w:trPr>
          <w:jc w:val="center"/>
        </w:trPr>
        <w:tc>
          <w:tcPr>
            <w:tcW w:w="2451" w:type="dxa"/>
            <w:tcBorders>
              <w:top w:val="single" w:sz="6" w:space="0" w:color="auto"/>
              <w:left w:val="single" w:sz="6" w:space="0" w:color="auto"/>
              <w:bottom w:val="single" w:sz="6" w:space="0" w:color="auto"/>
              <w:right w:val="single" w:sz="6" w:space="0" w:color="auto"/>
            </w:tcBorders>
          </w:tcPr>
          <w:p w:rsidR="00907289" w:rsidRDefault="00907289">
            <w:pPr>
              <w:keepNext/>
              <w:keepLines/>
              <w:spacing w:before="40"/>
              <w:ind w:hanging="23"/>
              <w:rPr>
                <w:rFonts w:ascii="Arial" w:hAnsi="Arial" w:cs="Arial"/>
                <w:sz w:val="18"/>
                <w:szCs w:val="18"/>
              </w:rPr>
            </w:pPr>
          </w:p>
        </w:tc>
        <w:tc>
          <w:tcPr>
            <w:tcW w:w="1118" w:type="dxa"/>
            <w:tcBorders>
              <w:top w:val="single" w:sz="6" w:space="0" w:color="auto"/>
              <w:left w:val="single" w:sz="6" w:space="0" w:color="auto"/>
              <w:bottom w:val="single" w:sz="6" w:space="0" w:color="auto"/>
              <w:right w:val="single" w:sz="6" w:space="0" w:color="auto"/>
            </w:tcBorders>
          </w:tcPr>
          <w:p w:rsidR="00907289" w:rsidRDefault="00907289">
            <w:pPr>
              <w:keepNext/>
              <w:keepLines/>
              <w:spacing w:before="40"/>
              <w:jc w:val="center"/>
              <w:rPr>
                <w:rFonts w:ascii="Arial" w:hAnsi="Arial" w:cs="Arial"/>
                <w:sz w:val="18"/>
                <w:szCs w:val="18"/>
              </w:rPr>
            </w:pPr>
            <w:r>
              <w:rPr>
                <w:rFonts w:ascii="Arial" w:hAnsi="Arial" w:cs="Arial"/>
                <w:sz w:val="18"/>
                <w:szCs w:val="18"/>
              </w:rPr>
              <w:t>N = 176</w:t>
            </w:r>
          </w:p>
        </w:tc>
        <w:tc>
          <w:tcPr>
            <w:tcW w:w="1442" w:type="dxa"/>
            <w:tcBorders>
              <w:top w:val="single" w:sz="6" w:space="0" w:color="auto"/>
              <w:left w:val="single" w:sz="6" w:space="0" w:color="auto"/>
              <w:bottom w:val="single" w:sz="6" w:space="0" w:color="auto"/>
              <w:right w:val="single" w:sz="6" w:space="0" w:color="auto"/>
            </w:tcBorders>
          </w:tcPr>
          <w:p w:rsidR="00907289" w:rsidRDefault="00907289">
            <w:pPr>
              <w:keepNext/>
              <w:keepLines/>
              <w:spacing w:before="40"/>
              <w:ind w:left="-132"/>
              <w:jc w:val="center"/>
              <w:rPr>
                <w:rFonts w:ascii="Arial" w:hAnsi="Arial" w:cs="Arial"/>
                <w:sz w:val="18"/>
                <w:szCs w:val="18"/>
              </w:rPr>
            </w:pPr>
            <w:r>
              <w:rPr>
                <w:rFonts w:ascii="Arial" w:hAnsi="Arial" w:cs="Arial"/>
                <w:sz w:val="18"/>
                <w:szCs w:val="18"/>
              </w:rPr>
              <w:t>N = 179</w:t>
            </w:r>
          </w:p>
        </w:tc>
        <w:tc>
          <w:tcPr>
            <w:tcW w:w="1947" w:type="dxa"/>
            <w:tcBorders>
              <w:top w:val="single" w:sz="6" w:space="0" w:color="auto"/>
              <w:left w:val="single" w:sz="6" w:space="0" w:color="auto"/>
              <w:bottom w:val="single" w:sz="6" w:space="0" w:color="auto"/>
              <w:right w:val="single" w:sz="6" w:space="0" w:color="auto"/>
            </w:tcBorders>
            <w:shd w:val="clear" w:color="auto" w:fill="auto"/>
          </w:tcPr>
          <w:p w:rsidR="00907289" w:rsidRDefault="00907289">
            <w:pPr>
              <w:keepNext/>
              <w:keepLines/>
              <w:spacing w:before="40"/>
              <w:ind w:left="-56"/>
              <w:jc w:val="center"/>
              <w:rPr>
                <w:rFonts w:ascii="Arial" w:hAnsi="Arial" w:cs="Arial"/>
                <w:sz w:val="18"/>
                <w:szCs w:val="18"/>
              </w:rPr>
            </w:pPr>
            <w:r>
              <w:rPr>
                <w:rFonts w:ascii="Arial" w:hAnsi="Arial" w:cs="Arial"/>
                <w:sz w:val="18"/>
                <w:szCs w:val="18"/>
              </w:rPr>
              <w:t>N = 364</w:t>
            </w:r>
            <w:r>
              <w:rPr>
                <w:rFonts w:ascii="Arial" w:hAnsi="Arial" w:cs="Arial"/>
                <w:sz w:val="18"/>
                <w:szCs w:val="18"/>
                <w:vertAlign w:val="superscript"/>
              </w:rPr>
              <w:t>††</w:t>
            </w:r>
          </w:p>
        </w:tc>
        <w:tc>
          <w:tcPr>
            <w:tcW w:w="2118" w:type="dxa"/>
            <w:tcBorders>
              <w:top w:val="single" w:sz="6" w:space="0" w:color="auto"/>
              <w:left w:val="single" w:sz="6" w:space="0" w:color="auto"/>
              <w:bottom w:val="single" w:sz="6" w:space="0" w:color="auto"/>
              <w:right w:val="single" w:sz="6" w:space="0" w:color="auto"/>
            </w:tcBorders>
            <w:shd w:val="clear" w:color="auto" w:fill="auto"/>
          </w:tcPr>
          <w:p w:rsidR="00907289" w:rsidRDefault="00907289">
            <w:pPr>
              <w:keepNext/>
              <w:keepLines/>
              <w:spacing w:before="40"/>
              <w:ind w:left="-14"/>
              <w:jc w:val="center"/>
              <w:rPr>
                <w:rFonts w:ascii="Arial" w:hAnsi="Arial" w:cs="Arial"/>
                <w:sz w:val="18"/>
                <w:szCs w:val="18"/>
              </w:rPr>
            </w:pPr>
            <w:r>
              <w:rPr>
                <w:rFonts w:ascii="Arial" w:hAnsi="Arial" w:cs="Arial"/>
                <w:sz w:val="18"/>
                <w:szCs w:val="18"/>
              </w:rPr>
              <w:t>N = 372</w:t>
            </w:r>
            <w:r>
              <w:rPr>
                <w:rFonts w:ascii="Arial" w:hAnsi="Arial" w:cs="Arial"/>
                <w:sz w:val="18"/>
                <w:szCs w:val="18"/>
                <w:vertAlign w:val="superscript"/>
              </w:rPr>
              <w:t>††</w:t>
            </w:r>
          </w:p>
        </w:tc>
      </w:tr>
      <w:tr w:rsidR="00907289">
        <w:tblPrEx>
          <w:tblCellMar>
            <w:top w:w="0" w:type="dxa"/>
            <w:bottom w:w="0" w:type="dxa"/>
          </w:tblCellMar>
        </w:tblPrEx>
        <w:trPr>
          <w:jc w:val="center"/>
        </w:trPr>
        <w:tc>
          <w:tcPr>
            <w:tcW w:w="2451" w:type="dxa"/>
            <w:tcBorders>
              <w:top w:val="single" w:sz="6" w:space="0" w:color="auto"/>
              <w:left w:val="single" w:sz="6" w:space="0" w:color="auto"/>
              <w:bottom w:val="single" w:sz="6" w:space="0" w:color="auto"/>
              <w:right w:val="single" w:sz="6" w:space="0" w:color="auto"/>
            </w:tcBorders>
          </w:tcPr>
          <w:p w:rsidR="00907289" w:rsidRDefault="00907289">
            <w:pPr>
              <w:keepNext/>
              <w:keepLines/>
              <w:ind w:hanging="23"/>
              <w:rPr>
                <w:rFonts w:ascii="Arial" w:hAnsi="Arial" w:cs="Arial"/>
                <w:sz w:val="18"/>
                <w:szCs w:val="18"/>
              </w:rPr>
            </w:pPr>
            <w:r>
              <w:rPr>
                <w:rFonts w:ascii="Arial" w:hAnsi="Arial" w:cs="Arial"/>
                <w:sz w:val="18"/>
                <w:szCs w:val="18"/>
              </w:rPr>
              <w:t>Diarrh</w:t>
            </w:r>
            <w:r w:rsidR="000D1F60">
              <w:rPr>
                <w:rFonts w:ascii="Arial" w:hAnsi="Arial" w:cs="Arial"/>
                <w:sz w:val="18"/>
                <w:szCs w:val="18"/>
              </w:rPr>
              <w:t>o</w:t>
            </w:r>
            <w:r>
              <w:rPr>
                <w:rFonts w:ascii="Arial" w:hAnsi="Arial" w:cs="Arial"/>
                <w:sz w:val="18"/>
                <w:szCs w:val="18"/>
              </w:rPr>
              <w:t>ea</w:t>
            </w:r>
          </w:p>
        </w:tc>
        <w:tc>
          <w:tcPr>
            <w:tcW w:w="1118" w:type="dxa"/>
            <w:tcBorders>
              <w:top w:val="single" w:sz="6" w:space="0" w:color="auto"/>
              <w:left w:val="single" w:sz="6" w:space="0" w:color="auto"/>
              <w:bottom w:val="single" w:sz="6" w:space="0" w:color="auto"/>
              <w:right w:val="single" w:sz="6" w:space="0" w:color="auto"/>
            </w:tcBorders>
          </w:tcPr>
          <w:p w:rsidR="00907289" w:rsidRDefault="00E74DD8">
            <w:pPr>
              <w:keepNext/>
              <w:keepLines/>
              <w:spacing w:before="40"/>
              <w:jc w:val="center"/>
              <w:rPr>
                <w:rFonts w:ascii="Arial" w:hAnsi="Arial" w:cs="Arial"/>
                <w:sz w:val="18"/>
                <w:szCs w:val="18"/>
              </w:rPr>
            </w:pPr>
            <w:r>
              <w:rPr>
                <w:rFonts w:ascii="Arial" w:hAnsi="Arial" w:cs="Arial"/>
                <w:sz w:val="18"/>
                <w:szCs w:val="18"/>
              </w:rPr>
              <w:t>12 (6.8)</w:t>
            </w:r>
          </w:p>
        </w:tc>
        <w:tc>
          <w:tcPr>
            <w:tcW w:w="1442" w:type="dxa"/>
            <w:tcBorders>
              <w:top w:val="single" w:sz="6" w:space="0" w:color="auto"/>
              <w:left w:val="single" w:sz="6" w:space="0" w:color="auto"/>
              <w:bottom w:val="single" w:sz="6" w:space="0" w:color="auto"/>
              <w:right w:val="single" w:sz="6" w:space="0" w:color="auto"/>
            </w:tcBorders>
          </w:tcPr>
          <w:p w:rsidR="00907289" w:rsidRDefault="000D1F60">
            <w:pPr>
              <w:keepNext/>
              <w:keepLines/>
              <w:spacing w:before="40"/>
              <w:ind w:left="-132"/>
              <w:jc w:val="center"/>
              <w:rPr>
                <w:rFonts w:ascii="Arial" w:hAnsi="Arial" w:cs="Arial"/>
                <w:sz w:val="18"/>
                <w:szCs w:val="18"/>
              </w:rPr>
            </w:pPr>
            <w:r>
              <w:rPr>
                <w:rFonts w:ascii="Arial" w:hAnsi="Arial" w:cs="Arial"/>
                <w:sz w:val="18"/>
                <w:szCs w:val="18"/>
              </w:rPr>
              <w:t>8 (4.5)</w:t>
            </w:r>
          </w:p>
        </w:tc>
        <w:tc>
          <w:tcPr>
            <w:tcW w:w="1947" w:type="dxa"/>
            <w:tcBorders>
              <w:top w:val="single" w:sz="6" w:space="0" w:color="auto"/>
              <w:left w:val="single" w:sz="6" w:space="0" w:color="auto"/>
              <w:bottom w:val="single" w:sz="6" w:space="0" w:color="auto"/>
              <w:right w:val="single" w:sz="6" w:space="0" w:color="auto"/>
            </w:tcBorders>
            <w:shd w:val="clear" w:color="auto" w:fill="auto"/>
          </w:tcPr>
          <w:p w:rsidR="00907289" w:rsidRDefault="00E74DD8">
            <w:pPr>
              <w:keepNext/>
              <w:keepLines/>
              <w:spacing w:before="40"/>
              <w:ind w:left="-56"/>
              <w:jc w:val="center"/>
              <w:rPr>
                <w:rFonts w:ascii="Arial" w:hAnsi="Arial" w:cs="Arial"/>
                <w:sz w:val="18"/>
                <w:szCs w:val="18"/>
              </w:rPr>
            </w:pPr>
            <w:r>
              <w:rPr>
                <w:rFonts w:ascii="Arial" w:hAnsi="Arial" w:cs="Arial"/>
                <w:sz w:val="18"/>
                <w:szCs w:val="18"/>
              </w:rPr>
              <w:t>37 (10.1)</w:t>
            </w:r>
          </w:p>
        </w:tc>
        <w:tc>
          <w:tcPr>
            <w:tcW w:w="2118" w:type="dxa"/>
            <w:tcBorders>
              <w:top w:val="single" w:sz="6" w:space="0" w:color="auto"/>
              <w:left w:val="single" w:sz="6" w:space="0" w:color="auto"/>
              <w:bottom w:val="single" w:sz="6" w:space="0" w:color="auto"/>
              <w:right w:val="single" w:sz="6" w:space="0" w:color="auto"/>
            </w:tcBorders>
            <w:shd w:val="clear" w:color="auto" w:fill="auto"/>
          </w:tcPr>
          <w:p w:rsidR="00907289" w:rsidRDefault="00E74DD8">
            <w:pPr>
              <w:keepNext/>
              <w:keepLines/>
              <w:spacing w:before="40"/>
              <w:ind w:left="-14"/>
              <w:jc w:val="center"/>
              <w:rPr>
                <w:rFonts w:ascii="Arial" w:hAnsi="Arial" w:cs="Arial"/>
                <w:sz w:val="18"/>
                <w:szCs w:val="18"/>
              </w:rPr>
            </w:pPr>
            <w:r>
              <w:rPr>
                <w:rFonts w:ascii="Arial" w:hAnsi="Arial" w:cs="Arial"/>
                <w:sz w:val="18"/>
                <w:szCs w:val="18"/>
              </w:rPr>
              <w:t>44 (11.8)</w:t>
            </w:r>
          </w:p>
        </w:tc>
      </w:tr>
      <w:tr w:rsidR="000D1F60">
        <w:tblPrEx>
          <w:tblCellMar>
            <w:top w:w="0" w:type="dxa"/>
            <w:bottom w:w="0" w:type="dxa"/>
          </w:tblCellMar>
        </w:tblPrEx>
        <w:trPr>
          <w:jc w:val="center"/>
        </w:trPr>
        <w:tc>
          <w:tcPr>
            <w:tcW w:w="2451" w:type="dxa"/>
            <w:tcBorders>
              <w:top w:val="single" w:sz="6" w:space="0" w:color="auto"/>
              <w:left w:val="single" w:sz="6" w:space="0" w:color="auto"/>
              <w:bottom w:val="single" w:sz="6" w:space="0" w:color="auto"/>
              <w:right w:val="single" w:sz="6" w:space="0" w:color="auto"/>
            </w:tcBorders>
          </w:tcPr>
          <w:p w:rsidR="000D1F60" w:rsidRDefault="000D1F60">
            <w:pPr>
              <w:keepNext/>
              <w:keepLines/>
              <w:ind w:hanging="23"/>
              <w:rPr>
                <w:rFonts w:ascii="Arial" w:hAnsi="Arial" w:cs="Arial"/>
                <w:sz w:val="18"/>
                <w:szCs w:val="18"/>
              </w:rPr>
            </w:pPr>
            <w:r>
              <w:rPr>
                <w:rFonts w:ascii="Arial" w:hAnsi="Arial" w:cs="Arial"/>
                <w:sz w:val="18"/>
                <w:szCs w:val="18"/>
              </w:rPr>
              <w:t>Nausea</w:t>
            </w:r>
          </w:p>
        </w:tc>
        <w:tc>
          <w:tcPr>
            <w:tcW w:w="1118" w:type="dxa"/>
            <w:tcBorders>
              <w:top w:val="single" w:sz="6" w:space="0" w:color="auto"/>
              <w:left w:val="single" w:sz="6" w:space="0" w:color="auto"/>
              <w:bottom w:val="single" w:sz="6" w:space="0" w:color="auto"/>
              <w:right w:val="single" w:sz="6" w:space="0" w:color="auto"/>
            </w:tcBorders>
          </w:tcPr>
          <w:p w:rsidR="000D1F60" w:rsidDel="00D03486" w:rsidRDefault="00E74DD8">
            <w:pPr>
              <w:keepNext/>
              <w:keepLines/>
              <w:spacing w:before="40"/>
              <w:jc w:val="center"/>
              <w:rPr>
                <w:rFonts w:ascii="Arial" w:hAnsi="Arial" w:cs="Arial"/>
                <w:sz w:val="18"/>
                <w:szCs w:val="18"/>
              </w:rPr>
            </w:pPr>
            <w:r>
              <w:rPr>
                <w:rFonts w:ascii="Arial" w:hAnsi="Arial" w:cs="Arial"/>
                <w:sz w:val="18"/>
                <w:szCs w:val="18"/>
              </w:rPr>
              <w:t>4 (2.3)</w:t>
            </w:r>
          </w:p>
        </w:tc>
        <w:tc>
          <w:tcPr>
            <w:tcW w:w="1442" w:type="dxa"/>
            <w:tcBorders>
              <w:top w:val="single" w:sz="6" w:space="0" w:color="auto"/>
              <w:left w:val="single" w:sz="6" w:space="0" w:color="auto"/>
              <w:bottom w:val="single" w:sz="6" w:space="0" w:color="auto"/>
              <w:right w:val="single" w:sz="6" w:space="0" w:color="auto"/>
            </w:tcBorders>
          </w:tcPr>
          <w:p w:rsidR="000D1F60" w:rsidDel="00D03486" w:rsidRDefault="00E74DD8">
            <w:pPr>
              <w:keepNext/>
              <w:keepLines/>
              <w:spacing w:before="40"/>
              <w:ind w:left="-132"/>
              <w:jc w:val="center"/>
              <w:rPr>
                <w:rFonts w:ascii="Arial" w:hAnsi="Arial" w:cs="Arial"/>
                <w:sz w:val="18"/>
                <w:szCs w:val="18"/>
              </w:rPr>
            </w:pPr>
            <w:r>
              <w:rPr>
                <w:rFonts w:ascii="Arial" w:hAnsi="Arial" w:cs="Arial"/>
                <w:sz w:val="18"/>
                <w:szCs w:val="18"/>
              </w:rPr>
              <w:t>2 (1.1)</w:t>
            </w:r>
          </w:p>
        </w:tc>
        <w:tc>
          <w:tcPr>
            <w:tcW w:w="1947" w:type="dxa"/>
            <w:tcBorders>
              <w:top w:val="single" w:sz="6" w:space="0" w:color="auto"/>
              <w:left w:val="single" w:sz="6" w:space="0" w:color="auto"/>
              <w:bottom w:val="single" w:sz="6" w:space="0" w:color="auto"/>
              <w:right w:val="single" w:sz="6" w:space="0" w:color="auto"/>
            </w:tcBorders>
            <w:shd w:val="clear" w:color="auto" w:fill="auto"/>
          </w:tcPr>
          <w:p w:rsidR="000D1F60" w:rsidDel="00D03486" w:rsidRDefault="00E74DD8">
            <w:pPr>
              <w:keepNext/>
              <w:keepLines/>
              <w:spacing w:before="40"/>
              <w:ind w:left="-56"/>
              <w:jc w:val="center"/>
              <w:rPr>
                <w:rFonts w:ascii="Arial" w:hAnsi="Arial" w:cs="Arial"/>
                <w:sz w:val="18"/>
                <w:szCs w:val="18"/>
              </w:rPr>
            </w:pPr>
            <w:r>
              <w:rPr>
                <w:rFonts w:ascii="Arial" w:hAnsi="Arial" w:cs="Arial"/>
                <w:sz w:val="18"/>
                <w:szCs w:val="18"/>
              </w:rPr>
              <w:t>25 (6.9)</w:t>
            </w:r>
          </w:p>
        </w:tc>
        <w:tc>
          <w:tcPr>
            <w:tcW w:w="2118" w:type="dxa"/>
            <w:tcBorders>
              <w:top w:val="single" w:sz="6" w:space="0" w:color="auto"/>
              <w:left w:val="single" w:sz="6" w:space="0" w:color="auto"/>
              <w:bottom w:val="single" w:sz="6" w:space="0" w:color="auto"/>
              <w:right w:val="single" w:sz="6" w:space="0" w:color="auto"/>
            </w:tcBorders>
            <w:shd w:val="clear" w:color="auto" w:fill="auto"/>
          </w:tcPr>
          <w:p w:rsidR="000D1F60" w:rsidDel="00D03486" w:rsidRDefault="00E74DD8">
            <w:pPr>
              <w:keepNext/>
              <w:keepLines/>
              <w:spacing w:before="40"/>
              <w:ind w:left="-14"/>
              <w:jc w:val="center"/>
              <w:rPr>
                <w:rFonts w:ascii="Arial" w:hAnsi="Arial" w:cs="Arial"/>
                <w:sz w:val="18"/>
                <w:szCs w:val="18"/>
              </w:rPr>
            </w:pPr>
            <w:r>
              <w:rPr>
                <w:rFonts w:ascii="Arial" w:hAnsi="Arial" w:cs="Arial"/>
                <w:sz w:val="18"/>
                <w:szCs w:val="18"/>
              </w:rPr>
              <w:t>22 (5.9)</w:t>
            </w:r>
          </w:p>
        </w:tc>
      </w:tr>
      <w:tr w:rsidR="000D1F60">
        <w:tblPrEx>
          <w:tblCellMar>
            <w:top w:w="0" w:type="dxa"/>
            <w:bottom w:w="0" w:type="dxa"/>
          </w:tblCellMar>
        </w:tblPrEx>
        <w:trPr>
          <w:jc w:val="center"/>
        </w:trPr>
        <w:tc>
          <w:tcPr>
            <w:tcW w:w="2451" w:type="dxa"/>
            <w:tcBorders>
              <w:top w:val="single" w:sz="6" w:space="0" w:color="auto"/>
              <w:left w:val="single" w:sz="6" w:space="0" w:color="auto"/>
              <w:bottom w:val="single" w:sz="6" w:space="0" w:color="auto"/>
              <w:right w:val="single" w:sz="6" w:space="0" w:color="auto"/>
            </w:tcBorders>
          </w:tcPr>
          <w:p w:rsidR="000D1F60" w:rsidRDefault="000D1F60">
            <w:pPr>
              <w:keepNext/>
              <w:keepLines/>
              <w:ind w:hanging="23"/>
              <w:rPr>
                <w:rFonts w:ascii="Arial" w:hAnsi="Arial" w:cs="Arial"/>
                <w:sz w:val="18"/>
                <w:szCs w:val="18"/>
              </w:rPr>
            </w:pPr>
            <w:r>
              <w:rPr>
                <w:rFonts w:ascii="Arial" w:hAnsi="Arial" w:cs="Arial"/>
                <w:sz w:val="18"/>
                <w:szCs w:val="18"/>
              </w:rPr>
              <w:t>Bronchitis</w:t>
            </w:r>
          </w:p>
        </w:tc>
        <w:tc>
          <w:tcPr>
            <w:tcW w:w="1118" w:type="dxa"/>
            <w:tcBorders>
              <w:top w:val="single" w:sz="6" w:space="0" w:color="auto"/>
              <w:left w:val="single" w:sz="6" w:space="0" w:color="auto"/>
              <w:bottom w:val="single" w:sz="6" w:space="0" w:color="auto"/>
              <w:right w:val="single" w:sz="6" w:space="0" w:color="auto"/>
            </w:tcBorders>
          </w:tcPr>
          <w:p w:rsidR="000D1F60" w:rsidDel="00D03486" w:rsidRDefault="00E74DD8">
            <w:pPr>
              <w:keepNext/>
              <w:keepLines/>
              <w:spacing w:before="40"/>
              <w:jc w:val="center"/>
              <w:rPr>
                <w:rFonts w:ascii="Arial" w:hAnsi="Arial" w:cs="Arial"/>
                <w:sz w:val="18"/>
                <w:szCs w:val="18"/>
              </w:rPr>
            </w:pPr>
            <w:r>
              <w:rPr>
                <w:rFonts w:ascii="Arial" w:hAnsi="Arial" w:cs="Arial"/>
                <w:sz w:val="18"/>
                <w:szCs w:val="18"/>
              </w:rPr>
              <w:t>8 (4.5)</w:t>
            </w:r>
          </w:p>
        </w:tc>
        <w:tc>
          <w:tcPr>
            <w:tcW w:w="1442" w:type="dxa"/>
            <w:tcBorders>
              <w:top w:val="single" w:sz="6" w:space="0" w:color="auto"/>
              <w:left w:val="single" w:sz="6" w:space="0" w:color="auto"/>
              <w:bottom w:val="single" w:sz="6" w:space="0" w:color="auto"/>
              <w:right w:val="single" w:sz="6" w:space="0" w:color="auto"/>
            </w:tcBorders>
          </w:tcPr>
          <w:p w:rsidR="000D1F60" w:rsidDel="00D03486" w:rsidRDefault="00E74DD8">
            <w:pPr>
              <w:keepNext/>
              <w:keepLines/>
              <w:spacing w:before="40"/>
              <w:ind w:left="-132"/>
              <w:jc w:val="center"/>
              <w:rPr>
                <w:rFonts w:ascii="Arial" w:hAnsi="Arial" w:cs="Arial"/>
                <w:sz w:val="18"/>
                <w:szCs w:val="18"/>
              </w:rPr>
            </w:pPr>
            <w:r>
              <w:rPr>
                <w:rFonts w:ascii="Arial" w:hAnsi="Arial" w:cs="Arial"/>
                <w:sz w:val="18"/>
                <w:szCs w:val="18"/>
              </w:rPr>
              <w:t>3 (1.7)</w:t>
            </w:r>
          </w:p>
        </w:tc>
        <w:tc>
          <w:tcPr>
            <w:tcW w:w="1947" w:type="dxa"/>
            <w:tcBorders>
              <w:top w:val="single" w:sz="6" w:space="0" w:color="auto"/>
              <w:left w:val="single" w:sz="6" w:space="0" w:color="auto"/>
              <w:bottom w:val="single" w:sz="6" w:space="0" w:color="auto"/>
              <w:right w:val="single" w:sz="6" w:space="0" w:color="auto"/>
            </w:tcBorders>
            <w:shd w:val="clear" w:color="auto" w:fill="auto"/>
          </w:tcPr>
          <w:p w:rsidR="000D1F60" w:rsidDel="00D03486" w:rsidRDefault="00E74DD8">
            <w:pPr>
              <w:keepNext/>
              <w:keepLines/>
              <w:spacing w:before="40"/>
              <w:ind w:left="-56"/>
              <w:jc w:val="center"/>
              <w:rPr>
                <w:rFonts w:ascii="Arial" w:hAnsi="Arial" w:cs="Arial"/>
                <w:sz w:val="18"/>
                <w:szCs w:val="18"/>
              </w:rPr>
            </w:pPr>
            <w:r>
              <w:rPr>
                <w:rFonts w:ascii="Arial" w:hAnsi="Arial" w:cs="Arial"/>
                <w:sz w:val="18"/>
                <w:szCs w:val="18"/>
              </w:rPr>
              <w:t>14 (3.8)</w:t>
            </w:r>
          </w:p>
        </w:tc>
        <w:tc>
          <w:tcPr>
            <w:tcW w:w="2118" w:type="dxa"/>
            <w:tcBorders>
              <w:top w:val="single" w:sz="6" w:space="0" w:color="auto"/>
              <w:left w:val="single" w:sz="6" w:space="0" w:color="auto"/>
              <w:bottom w:val="single" w:sz="6" w:space="0" w:color="auto"/>
              <w:right w:val="single" w:sz="6" w:space="0" w:color="auto"/>
            </w:tcBorders>
            <w:shd w:val="clear" w:color="auto" w:fill="auto"/>
          </w:tcPr>
          <w:p w:rsidR="000D1F60" w:rsidDel="00D03486" w:rsidRDefault="00E74DD8">
            <w:pPr>
              <w:keepNext/>
              <w:keepLines/>
              <w:spacing w:before="40"/>
              <w:ind w:left="-14"/>
              <w:jc w:val="center"/>
              <w:rPr>
                <w:rFonts w:ascii="Arial" w:hAnsi="Arial" w:cs="Arial"/>
                <w:sz w:val="18"/>
                <w:szCs w:val="18"/>
              </w:rPr>
            </w:pPr>
            <w:r>
              <w:rPr>
                <w:rFonts w:ascii="Arial" w:hAnsi="Arial" w:cs="Arial"/>
                <w:sz w:val="18"/>
                <w:szCs w:val="18"/>
              </w:rPr>
              <w:t>27 (7.3)</w:t>
            </w:r>
          </w:p>
        </w:tc>
      </w:tr>
      <w:tr w:rsidR="000D1F60">
        <w:tblPrEx>
          <w:tblCellMar>
            <w:top w:w="0" w:type="dxa"/>
            <w:bottom w:w="0" w:type="dxa"/>
          </w:tblCellMar>
        </w:tblPrEx>
        <w:trPr>
          <w:jc w:val="center"/>
        </w:trPr>
        <w:tc>
          <w:tcPr>
            <w:tcW w:w="2451" w:type="dxa"/>
            <w:tcBorders>
              <w:top w:val="single" w:sz="6" w:space="0" w:color="auto"/>
              <w:left w:val="single" w:sz="6" w:space="0" w:color="auto"/>
              <w:bottom w:val="single" w:sz="6" w:space="0" w:color="auto"/>
              <w:right w:val="single" w:sz="6" w:space="0" w:color="auto"/>
            </w:tcBorders>
          </w:tcPr>
          <w:p w:rsidR="000D1F60" w:rsidRDefault="000D1F60">
            <w:pPr>
              <w:keepNext/>
              <w:keepLines/>
              <w:ind w:hanging="23"/>
              <w:rPr>
                <w:rFonts w:ascii="Arial" w:hAnsi="Arial" w:cs="Arial"/>
                <w:sz w:val="18"/>
                <w:szCs w:val="18"/>
              </w:rPr>
            </w:pPr>
            <w:r>
              <w:rPr>
                <w:rFonts w:ascii="Arial" w:hAnsi="Arial" w:cs="Arial"/>
                <w:sz w:val="18"/>
                <w:szCs w:val="18"/>
              </w:rPr>
              <w:t>Influenza</w:t>
            </w:r>
          </w:p>
        </w:tc>
        <w:tc>
          <w:tcPr>
            <w:tcW w:w="1118" w:type="dxa"/>
            <w:tcBorders>
              <w:top w:val="single" w:sz="6" w:space="0" w:color="auto"/>
              <w:left w:val="single" w:sz="6" w:space="0" w:color="auto"/>
              <w:bottom w:val="single" w:sz="6" w:space="0" w:color="auto"/>
              <w:right w:val="single" w:sz="6" w:space="0" w:color="auto"/>
            </w:tcBorders>
          </w:tcPr>
          <w:p w:rsidR="000D1F60" w:rsidDel="00D03486" w:rsidRDefault="00E74DD8">
            <w:pPr>
              <w:keepNext/>
              <w:keepLines/>
              <w:spacing w:before="40"/>
              <w:jc w:val="center"/>
              <w:rPr>
                <w:rFonts w:ascii="Arial" w:hAnsi="Arial" w:cs="Arial"/>
                <w:sz w:val="18"/>
                <w:szCs w:val="18"/>
              </w:rPr>
            </w:pPr>
            <w:r>
              <w:rPr>
                <w:rFonts w:ascii="Arial" w:hAnsi="Arial" w:cs="Arial"/>
                <w:sz w:val="18"/>
                <w:szCs w:val="18"/>
              </w:rPr>
              <w:t>5 (2.8)</w:t>
            </w:r>
          </w:p>
        </w:tc>
        <w:tc>
          <w:tcPr>
            <w:tcW w:w="1442" w:type="dxa"/>
            <w:tcBorders>
              <w:top w:val="single" w:sz="6" w:space="0" w:color="auto"/>
              <w:left w:val="single" w:sz="6" w:space="0" w:color="auto"/>
              <w:bottom w:val="single" w:sz="6" w:space="0" w:color="auto"/>
              <w:right w:val="single" w:sz="6" w:space="0" w:color="auto"/>
            </w:tcBorders>
          </w:tcPr>
          <w:p w:rsidR="000D1F60" w:rsidDel="00D03486" w:rsidRDefault="00E74DD8">
            <w:pPr>
              <w:keepNext/>
              <w:keepLines/>
              <w:spacing w:before="40"/>
              <w:ind w:left="-132"/>
              <w:jc w:val="center"/>
              <w:rPr>
                <w:rFonts w:ascii="Arial" w:hAnsi="Arial" w:cs="Arial"/>
                <w:sz w:val="18"/>
                <w:szCs w:val="18"/>
              </w:rPr>
            </w:pPr>
            <w:r>
              <w:rPr>
                <w:rFonts w:ascii="Arial" w:hAnsi="Arial" w:cs="Arial"/>
                <w:sz w:val="18"/>
                <w:szCs w:val="18"/>
              </w:rPr>
              <w:t>8 (4.5)</w:t>
            </w:r>
          </w:p>
        </w:tc>
        <w:tc>
          <w:tcPr>
            <w:tcW w:w="1947" w:type="dxa"/>
            <w:tcBorders>
              <w:top w:val="single" w:sz="6" w:space="0" w:color="auto"/>
              <w:left w:val="single" w:sz="6" w:space="0" w:color="auto"/>
              <w:bottom w:val="single" w:sz="6" w:space="0" w:color="auto"/>
              <w:right w:val="single" w:sz="6" w:space="0" w:color="auto"/>
            </w:tcBorders>
            <w:shd w:val="clear" w:color="auto" w:fill="auto"/>
          </w:tcPr>
          <w:p w:rsidR="000D1F60" w:rsidDel="00D03486" w:rsidRDefault="00E74DD8">
            <w:pPr>
              <w:keepNext/>
              <w:keepLines/>
              <w:spacing w:before="40"/>
              <w:ind w:left="-56"/>
              <w:jc w:val="center"/>
              <w:rPr>
                <w:rFonts w:ascii="Arial" w:hAnsi="Arial" w:cs="Arial"/>
                <w:sz w:val="18"/>
                <w:szCs w:val="18"/>
              </w:rPr>
            </w:pPr>
            <w:r>
              <w:rPr>
                <w:rFonts w:ascii="Arial" w:hAnsi="Arial" w:cs="Arial"/>
                <w:sz w:val="18"/>
                <w:szCs w:val="18"/>
              </w:rPr>
              <w:t>25 (6.9)</w:t>
            </w:r>
          </w:p>
        </w:tc>
        <w:tc>
          <w:tcPr>
            <w:tcW w:w="2118" w:type="dxa"/>
            <w:tcBorders>
              <w:top w:val="single" w:sz="6" w:space="0" w:color="auto"/>
              <w:left w:val="single" w:sz="6" w:space="0" w:color="auto"/>
              <w:bottom w:val="single" w:sz="6" w:space="0" w:color="auto"/>
              <w:right w:val="single" w:sz="6" w:space="0" w:color="auto"/>
            </w:tcBorders>
            <w:shd w:val="clear" w:color="auto" w:fill="auto"/>
          </w:tcPr>
          <w:p w:rsidR="000D1F60" w:rsidDel="00D03486" w:rsidRDefault="00E74DD8">
            <w:pPr>
              <w:keepNext/>
              <w:keepLines/>
              <w:spacing w:before="40"/>
              <w:ind w:left="-14"/>
              <w:jc w:val="center"/>
              <w:rPr>
                <w:rFonts w:ascii="Arial" w:hAnsi="Arial" w:cs="Arial"/>
                <w:sz w:val="18"/>
                <w:szCs w:val="18"/>
              </w:rPr>
            </w:pPr>
            <w:r>
              <w:rPr>
                <w:rFonts w:ascii="Arial" w:hAnsi="Arial" w:cs="Arial"/>
                <w:sz w:val="18"/>
                <w:szCs w:val="18"/>
              </w:rPr>
              <w:t>20 (5.4)</w:t>
            </w:r>
          </w:p>
        </w:tc>
      </w:tr>
      <w:tr w:rsidR="00907289">
        <w:tblPrEx>
          <w:tblCellMar>
            <w:top w:w="0" w:type="dxa"/>
            <w:bottom w:w="0" w:type="dxa"/>
          </w:tblCellMar>
        </w:tblPrEx>
        <w:trPr>
          <w:jc w:val="center"/>
        </w:trPr>
        <w:tc>
          <w:tcPr>
            <w:tcW w:w="2451" w:type="dxa"/>
            <w:tcBorders>
              <w:top w:val="single" w:sz="6" w:space="0" w:color="auto"/>
              <w:left w:val="single" w:sz="6" w:space="0" w:color="auto"/>
              <w:bottom w:val="single" w:sz="6" w:space="0" w:color="auto"/>
              <w:right w:val="single" w:sz="6" w:space="0" w:color="auto"/>
            </w:tcBorders>
          </w:tcPr>
          <w:p w:rsidR="00907289" w:rsidRDefault="00907289">
            <w:pPr>
              <w:keepNext/>
              <w:keepLines/>
              <w:ind w:hanging="23"/>
              <w:rPr>
                <w:rFonts w:ascii="Arial" w:hAnsi="Arial" w:cs="Arial"/>
                <w:sz w:val="18"/>
                <w:szCs w:val="18"/>
              </w:rPr>
            </w:pPr>
            <w:r>
              <w:rPr>
                <w:rFonts w:ascii="Arial" w:hAnsi="Arial" w:cs="Arial"/>
                <w:sz w:val="18"/>
                <w:szCs w:val="18"/>
              </w:rPr>
              <w:t>Upper Respiratory</w:t>
            </w:r>
            <w:r w:rsidR="001378F4">
              <w:rPr>
                <w:rFonts w:ascii="Arial" w:hAnsi="Arial" w:cs="Arial"/>
                <w:sz w:val="18"/>
                <w:szCs w:val="18"/>
              </w:rPr>
              <w:t xml:space="preserve"> Tract</w:t>
            </w:r>
            <w:r>
              <w:rPr>
                <w:rFonts w:ascii="Arial" w:hAnsi="Arial" w:cs="Arial"/>
                <w:sz w:val="18"/>
                <w:szCs w:val="18"/>
              </w:rPr>
              <w:t xml:space="preserve"> Infection</w:t>
            </w:r>
          </w:p>
        </w:tc>
        <w:tc>
          <w:tcPr>
            <w:tcW w:w="1118" w:type="dxa"/>
            <w:tcBorders>
              <w:top w:val="single" w:sz="6" w:space="0" w:color="auto"/>
              <w:left w:val="single" w:sz="6" w:space="0" w:color="auto"/>
              <w:bottom w:val="single" w:sz="6" w:space="0" w:color="auto"/>
              <w:right w:val="single" w:sz="6" w:space="0" w:color="auto"/>
            </w:tcBorders>
          </w:tcPr>
          <w:p w:rsidR="00907289" w:rsidRDefault="001378F4">
            <w:pPr>
              <w:keepNext/>
              <w:keepLines/>
              <w:spacing w:before="40"/>
              <w:jc w:val="center"/>
              <w:rPr>
                <w:rFonts w:ascii="Arial" w:hAnsi="Arial" w:cs="Arial"/>
                <w:color w:val="000000"/>
                <w:sz w:val="18"/>
                <w:szCs w:val="18"/>
              </w:rPr>
            </w:pPr>
            <w:r>
              <w:rPr>
                <w:rFonts w:ascii="Arial" w:hAnsi="Arial" w:cs="Arial"/>
                <w:sz w:val="18"/>
                <w:szCs w:val="18"/>
              </w:rPr>
              <w:t>13 (7.4)</w:t>
            </w:r>
          </w:p>
        </w:tc>
        <w:tc>
          <w:tcPr>
            <w:tcW w:w="1442" w:type="dxa"/>
            <w:tcBorders>
              <w:top w:val="single" w:sz="6" w:space="0" w:color="auto"/>
              <w:left w:val="single" w:sz="6" w:space="0" w:color="auto"/>
              <w:bottom w:val="single" w:sz="6" w:space="0" w:color="auto"/>
              <w:right w:val="single" w:sz="6" w:space="0" w:color="auto"/>
            </w:tcBorders>
          </w:tcPr>
          <w:p w:rsidR="00907289" w:rsidRDefault="001378F4">
            <w:pPr>
              <w:keepNext/>
              <w:keepLines/>
              <w:spacing w:before="40"/>
              <w:ind w:left="-132"/>
              <w:jc w:val="center"/>
              <w:rPr>
                <w:rFonts w:ascii="Arial" w:hAnsi="Arial" w:cs="Arial"/>
                <w:color w:val="000000"/>
                <w:sz w:val="18"/>
                <w:szCs w:val="18"/>
              </w:rPr>
            </w:pPr>
            <w:r>
              <w:rPr>
                <w:rFonts w:ascii="Arial" w:hAnsi="Arial" w:cs="Arial"/>
                <w:sz w:val="18"/>
                <w:szCs w:val="18"/>
              </w:rPr>
              <w:t>12 (6.7)</w:t>
            </w:r>
          </w:p>
        </w:tc>
        <w:tc>
          <w:tcPr>
            <w:tcW w:w="1947" w:type="dxa"/>
            <w:tcBorders>
              <w:top w:val="single" w:sz="6" w:space="0" w:color="auto"/>
              <w:left w:val="single" w:sz="6" w:space="0" w:color="auto"/>
              <w:bottom w:val="single" w:sz="6" w:space="0" w:color="auto"/>
              <w:right w:val="single" w:sz="6" w:space="0" w:color="auto"/>
            </w:tcBorders>
            <w:shd w:val="clear" w:color="auto" w:fill="auto"/>
          </w:tcPr>
          <w:p w:rsidR="00907289" w:rsidRDefault="001378F4">
            <w:pPr>
              <w:keepNext/>
              <w:keepLines/>
              <w:spacing w:before="40"/>
              <w:ind w:left="-56"/>
              <w:jc w:val="center"/>
              <w:rPr>
                <w:rFonts w:ascii="Arial" w:hAnsi="Arial" w:cs="Arial"/>
                <w:sz w:val="18"/>
                <w:szCs w:val="18"/>
              </w:rPr>
            </w:pPr>
            <w:r>
              <w:rPr>
                <w:rFonts w:ascii="Arial" w:hAnsi="Arial" w:cs="Arial"/>
                <w:sz w:val="18"/>
                <w:szCs w:val="18"/>
              </w:rPr>
              <w:t xml:space="preserve"> 37 (10.2)</w:t>
            </w:r>
          </w:p>
        </w:tc>
        <w:tc>
          <w:tcPr>
            <w:tcW w:w="2118" w:type="dxa"/>
            <w:tcBorders>
              <w:top w:val="single" w:sz="6" w:space="0" w:color="auto"/>
              <w:left w:val="single" w:sz="6" w:space="0" w:color="auto"/>
              <w:bottom w:val="single" w:sz="6" w:space="0" w:color="auto"/>
              <w:right w:val="single" w:sz="6" w:space="0" w:color="auto"/>
            </w:tcBorders>
            <w:shd w:val="clear" w:color="auto" w:fill="auto"/>
          </w:tcPr>
          <w:p w:rsidR="00907289" w:rsidRDefault="001378F4">
            <w:pPr>
              <w:keepNext/>
              <w:keepLines/>
              <w:spacing w:before="40"/>
              <w:ind w:left="-14"/>
              <w:jc w:val="center"/>
              <w:rPr>
                <w:rFonts w:ascii="Arial" w:hAnsi="Arial" w:cs="Arial"/>
                <w:sz w:val="18"/>
                <w:szCs w:val="18"/>
              </w:rPr>
            </w:pPr>
            <w:r>
              <w:rPr>
                <w:rFonts w:ascii="Arial" w:hAnsi="Arial" w:cs="Arial"/>
                <w:sz w:val="18"/>
                <w:szCs w:val="18"/>
              </w:rPr>
              <w:t>45 (12.1)</w:t>
            </w:r>
          </w:p>
        </w:tc>
      </w:tr>
      <w:tr w:rsidR="000D1F60">
        <w:tblPrEx>
          <w:tblCellMar>
            <w:top w:w="0" w:type="dxa"/>
            <w:bottom w:w="0" w:type="dxa"/>
          </w:tblCellMar>
        </w:tblPrEx>
        <w:trPr>
          <w:jc w:val="center"/>
        </w:trPr>
        <w:tc>
          <w:tcPr>
            <w:tcW w:w="2451" w:type="dxa"/>
            <w:tcBorders>
              <w:top w:val="single" w:sz="6" w:space="0" w:color="auto"/>
              <w:left w:val="single" w:sz="6" w:space="0" w:color="auto"/>
              <w:bottom w:val="single" w:sz="6" w:space="0" w:color="auto"/>
              <w:right w:val="single" w:sz="6" w:space="0" w:color="auto"/>
            </w:tcBorders>
          </w:tcPr>
          <w:p w:rsidR="000D1F60" w:rsidRDefault="000D1F60">
            <w:pPr>
              <w:keepNext/>
              <w:keepLines/>
              <w:ind w:hanging="23"/>
              <w:rPr>
                <w:rFonts w:ascii="Arial" w:hAnsi="Arial" w:cs="Arial"/>
                <w:sz w:val="18"/>
                <w:szCs w:val="18"/>
              </w:rPr>
            </w:pPr>
            <w:r>
              <w:rPr>
                <w:rFonts w:ascii="Arial" w:hAnsi="Arial" w:cs="Arial"/>
                <w:sz w:val="18"/>
                <w:szCs w:val="18"/>
              </w:rPr>
              <w:t>Urinary Tract Infection</w:t>
            </w:r>
          </w:p>
        </w:tc>
        <w:tc>
          <w:tcPr>
            <w:tcW w:w="1118" w:type="dxa"/>
            <w:tcBorders>
              <w:top w:val="single" w:sz="6" w:space="0" w:color="auto"/>
              <w:left w:val="single" w:sz="6" w:space="0" w:color="auto"/>
              <w:bottom w:val="single" w:sz="6" w:space="0" w:color="auto"/>
              <w:right w:val="single" w:sz="6" w:space="0" w:color="auto"/>
            </w:tcBorders>
          </w:tcPr>
          <w:p w:rsidR="000D1F60" w:rsidDel="00D03486" w:rsidRDefault="001378F4">
            <w:pPr>
              <w:keepNext/>
              <w:keepLines/>
              <w:spacing w:before="40"/>
              <w:jc w:val="center"/>
              <w:rPr>
                <w:rFonts w:ascii="Arial" w:hAnsi="Arial" w:cs="Arial"/>
                <w:sz w:val="18"/>
                <w:szCs w:val="18"/>
              </w:rPr>
            </w:pPr>
            <w:r>
              <w:rPr>
                <w:rFonts w:ascii="Arial" w:hAnsi="Arial" w:cs="Arial"/>
                <w:sz w:val="18"/>
                <w:szCs w:val="18"/>
              </w:rPr>
              <w:t>4 (2.3)</w:t>
            </w:r>
          </w:p>
        </w:tc>
        <w:tc>
          <w:tcPr>
            <w:tcW w:w="1442" w:type="dxa"/>
            <w:tcBorders>
              <w:top w:val="single" w:sz="6" w:space="0" w:color="auto"/>
              <w:left w:val="single" w:sz="6" w:space="0" w:color="auto"/>
              <w:bottom w:val="single" w:sz="6" w:space="0" w:color="auto"/>
              <w:right w:val="single" w:sz="6" w:space="0" w:color="auto"/>
            </w:tcBorders>
          </w:tcPr>
          <w:p w:rsidR="000D1F60" w:rsidDel="00D03486" w:rsidRDefault="001378F4">
            <w:pPr>
              <w:keepNext/>
              <w:keepLines/>
              <w:spacing w:before="40"/>
              <w:ind w:left="-132"/>
              <w:jc w:val="center"/>
              <w:rPr>
                <w:rFonts w:ascii="Arial" w:hAnsi="Arial" w:cs="Arial"/>
                <w:sz w:val="18"/>
                <w:szCs w:val="18"/>
              </w:rPr>
            </w:pPr>
            <w:r>
              <w:rPr>
                <w:rFonts w:ascii="Arial" w:hAnsi="Arial" w:cs="Arial"/>
                <w:sz w:val="18"/>
                <w:szCs w:val="18"/>
              </w:rPr>
              <w:t>0 (0)</w:t>
            </w:r>
          </w:p>
        </w:tc>
        <w:tc>
          <w:tcPr>
            <w:tcW w:w="1947" w:type="dxa"/>
            <w:tcBorders>
              <w:top w:val="single" w:sz="6" w:space="0" w:color="auto"/>
              <w:left w:val="single" w:sz="6" w:space="0" w:color="auto"/>
              <w:bottom w:val="single" w:sz="6" w:space="0" w:color="auto"/>
              <w:right w:val="single" w:sz="6" w:space="0" w:color="auto"/>
            </w:tcBorders>
            <w:shd w:val="clear" w:color="auto" w:fill="auto"/>
          </w:tcPr>
          <w:p w:rsidR="000D1F60" w:rsidDel="00D03486" w:rsidRDefault="001378F4">
            <w:pPr>
              <w:keepNext/>
              <w:keepLines/>
              <w:spacing w:before="40"/>
              <w:ind w:left="-56"/>
              <w:jc w:val="center"/>
              <w:rPr>
                <w:rFonts w:ascii="Arial" w:hAnsi="Arial" w:cs="Arial"/>
                <w:sz w:val="18"/>
                <w:szCs w:val="18"/>
              </w:rPr>
            </w:pPr>
            <w:r>
              <w:rPr>
                <w:rFonts w:ascii="Arial" w:hAnsi="Arial" w:cs="Arial"/>
                <w:sz w:val="18"/>
                <w:szCs w:val="18"/>
              </w:rPr>
              <w:t>21 (5.8)</w:t>
            </w:r>
          </w:p>
        </w:tc>
        <w:tc>
          <w:tcPr>
            <w:tcW w:w="2118" w:type="dxa"/>
            <w:tcBorders>
              <w:top w:val="single" w:sz="6" w:space="0" w:color="auto"/>
              <w:left w:val="single" w:sz="6" w:space="0" w:color="auto"/>
              <w:bottom w:val="single" w:sz="6" w:space="0" w:color="auto"/>
              <w:right w:val="single" w:sz="6" w:space="0" w:color="auto"/>
            </w:tcBorders>
            <w:shd w:val="clear" w:color="auto" w:fill="auto"/>
          </w:tcPr>
          <w:p w:rsidR="000D1F60" w:rsidDel="00D03486" w:rsidRDefault="001378F4">
            <w:pPr>
              <w:keepNext/>
              <w:keepLines/>
              <w:spacing w:before="40"/>
              <w:ind w:left="-14"/>
              <w:jc w:val="center"/>
              <w:rPr>
                <w:rFonts w:ascii="Arial" w:hAnsi="Arial" w:cs="Arial"/>
                <w:sz w:val="18"/>
                <w:szCs w:val="18"/>
              </w:rPr>
            </w:pPr>
            <w:r>
              <w:rPr>
                <w:rFonts w:ascii="Arial" w:hAnsi="Arial" w:cs="Arial"/>
                <w:sz w:val="18"/>
                <w:szCs w:val="18"/>
              </w:rPr>
              <w:t>19 (5.1)</w:t>
            </w:r>
          </w:p>
        </w:tc>
      </w:tr>
      <w:tr w:rsidR="000D1F60">
        <w:tblPrEx>
          <w:tblCellMar>
            <w:top w:w="0" w:type="dxa"/>
            <w:bottom w:w="0" w:type="dxa"/>
          </w:tblCellMar>
        </w:tblPrEx>
        <w:trPr>
          <w:jc w:val="center"/>
        </w:trPr>
        <w:tc>
          <w:tcPr>
            <w:tcW w:w="2451" w:type="dxa"/>
            <w:tcBorders>
              <w:top w:val="single" w:sz="6" w:space="0" w:color="auto"/>
              <w:left w:val="single" w:sz="6" w:space="0" w:color="auto"/>
              <w:bottom w:val="single" w:sz="6" w:space="0" w:color="auto"/>
              <w:right w:val="single" w:sz="6" w:space="0" w:color="auto"/>
            </w:tcBorders>
          </w:tcPr>
          <w:p w:rsidR="000D1F60" w:rsidRDefault="000D1F60">
            <w:pPr>
              <w:keepNext/>
              <w:keepLines/>
              <w:ind w:hanging="23"/>
              <w:rPr>
                <w:rFonts w:ascii="Arial" w:hAnsi="Arial" w:cs="Arial"/>
                <w:sz w:val="18"/>
                <w:szCs w:val="18"/>
              </w:rPr>
            </w:pPr>
            <w:r>
              <w:rPr>
                <w:rFonts w:ascii="Arial" w:hAnsi="Arial" w:cs="Arial"/>
                <w:sz w:val="18"/>
                <w:szCs w:val="18"/>
              </w:rPr>
              <w:t>Arthralgia</w:t>
            </w:r>
          </w:p>
        </w:tc>
        <w:tc>
          <w:tcPr>
            <w:tcW w:w="1118" w:type="dxa"/>
            <w:tcBorders>
              <w:top w:val="single" w:sz="6" w:space="0" w:color="auto"/>
              <w:left w:val="single" w:sz="6" w:space="0" w:color="auto"/>
              <w:bottom w:val="single" w:sz="6" w:space="0" w:color="auto"/>
              <w:right w:val="single" w:sz="6" w:space="0" w:color="auto"/>
            </w:tcBorders>
          </w:tcPr>
          <w:p w:rsidR="000D1F60" w:rsidDel="00D03486" w:rsidRDefault="001378F4">
            <w:pPr>
              <w:keepNext/>
              <w:keepLines/>
              <w:spacing w:before="40"/>
              <w:jc w:val="center"/>
              <w:rPr>
                <w:rFonts w:ascii="Arial" w:hAnsi="Arial" w:cs="Arial"/>
                <w:sz w:val="18"/>
                <w:szCs w:val="18"/>
              </w:rPr>
            </w:pPr>
            <w:r>
              <w:rPr>
                <w:rFonts w:ascii="Arial" w:hAnsi="Arial" w:cs="Arial"/>
                <w:sz w:val="18"/>
                <w:szCs w:val="18"/>
              </w:rPr>
              <w:t>3 (1.7)</w:t>
            </w:r>
          </w:p>
        </w:tc>
        <w:tc>
          <w:tcPr>
            <w:tcW w:w="1442" w:type="dxa"/>
            <w:tcBorders>
              <w:top w:val="single" w:sz="6" w:space="0" w:color="auto"/>
              <w:left w:val="single" w:sz="6" w:space="0" w:color="auto"/>
              <w:bottom w:val="single" w:sz="6" w:space="0" w:color="auto"/>
              <w:right w:val="single" w:sz="6" w:space="0" w:color="auto"/>
            </w:tcBorders>
          </w:tcPr>
          <w:p w:rsidR="000D1F60" w:rsidDel="00D03486" w:rsidRDefault="001378F4">
            <w:pPr>
              <w:keepNext/>
              <w:keepLines/>
              <w:spacing w:before="40"/>
              <w:ind w:left="-132"/>
              <w:jc w:val="center"/>
              <w:rPr>
                <w:rFonts w:ascii="Arial" w:hAnsi="Arial" w:cs="Arial"/>
                <w:sz w:val="18"/>
                <w:szCs w:val="18"/>
              </w:rPr>
            </w:pPr>
            <w:r>
              <w:rPr>
                <w:rFonts w:ascii="Arial" w:hAnsi="Arial" w:cs="Arial"/>
                <w:sz w:val="18"/>
                <w:szCs w:val="18"/>
              </w:rPr>
              <w:t>7 (3.9)</w:t>
            </w:r>
          </w:p>
        </w:tc>
        <w:tc>
          <w:tcPr>
            <w:tcW w:w="1947" w:type="dxa"/>
            <w:tcBorders>
              <w:top w:val="single" w:sz="6" w:space="0" w:color="auto"/>
              <w:left w:val="single" w:sz="6" w:space="0" w:color="auto"/>
              <w:bottom w:val="single" w:sz="6" w:space="0" w:color="auto"/>
              <w:right w:val="single" w:sz="6" w:space="0" w:color="auto"/>
            </w:tcBorders>
            <w:shd w:val="clear" w:color="auto" w:fill="auto"/>
          </w:tcPr>
          <w:p w:rsidR="000D1F60" w:rsidDel="00D03486" w:rsidRDefault="001378F4">
            <w:pPr>
              <w:keepNext/>
              <w:keepLines/>
              <w:spacing w:before="40"/>
              <w:ind w:left="-56"/>
              <w:jc w:val="center"/>
              <w:rPr>
                <w:rFonts w:ascii="Arial" w:hAnsi="Arial" w:cs="Arial"/>
                <w:sz w:val="18"/>
                <w:szCs w:val="18"/>
              </w:rPr>
            </w:pPr>
            <w:r>
              <w:rPr>
                <w:rFonts w:ascii="Arial" w:hAnsi="Arial" w:cs="Arial"/>
                <w:sz w:val="18"/>
                <w:szCs w:val="18"/>
              </w:rPr>
              <w:t>18 (4.9)</w:t>
            </w:r>
          </w:p>
        </w:tc>
        <w:tc>
          <w:tcPr>
            <w:tcW w:w="2118" w:type="dxa"/>
            <w:tcBorders>
              <w:top w:val="single" w:sz="6" w:space="0" w:color="auto"/>
              <w:left w:val="single" w:sz="6" w:space="0" w:color="auto"/>
              <w:bottom w:val="single" w:sz="6" w:space="0" w:color="auto"/>
              <w:right w:val="single" w:sz="6" w:space="0" w:color="auto"/>
            </w:tcBorders>
            <w:shd w:val="clear" w:color="auto" w:fill="auto"/>
          </w:tcPr>
          <w:p w:rsidR="000D1F60" w:rsidDel="00D03486" w:rsidRDefault="001378F4">
            <w:pPr>
              <w:keepNext/>
              <w:keepLines/>
              <w:spacing w:before="40"/>
              <w:ind w:left="-14"/>
              <w:jc w:val="center"/>
              <w:rPr>
                <w:rFonts w:ascii="Arial" w:hAnsi="Arial" w:cs="Arial"/>
                <w:sz w:val="18"/>
                <w:szCs w:val="18"/>
              </w:rPr>
            </w:pPr>
            <w:r>
              <w:rPr>
                <w:rFonts w:ascii="Arial" w:hAnsi="Arial" w:cs="Arial"/>
                <w:sz w:val="18"/>
                <w:szCs w:val="18"/>
              </w:rPr>
              <w:t>20 (5.4)</w:t>
            </w:r>
          </w:p>
        </w:tc>
      </w:tr>
      <w:tr w:rsidR="000D1F60">
        <w:tblPrEx>
          <w:tblCellMar>
            <w:top w:w="0" w:type="dxa"/>
            <w:bottom w:w="0" w:type="dxa"/>
          </w:tblCellMar>
        </w:tblPrEx>
        <w:trPr>
          <w:jc w:val="center"/>
        </w:trPr>
        <w:tc>
          <w:tcPr>
            <w:tcW w:w="2451" w:type="dxa"/>
            <w:tcBorders>
              <w:top w:val="single" w:sz="6" w:space="0" w:color="auto"/>
              <w:left w:val="single" w:sz="6" w:space="0" w:color="auto"/>
              <w:bottom w:val="single" w:sz="6" w:space="0" w:color="auto"/>
              <w:right w:val="single" w:sz="6" w:space="0" w:color="auto"/>
            </w:tcBorders>
          </w:tcPr>
          <w:p w:rsidR="000D1F60" w:rsidRDefault="000D1F60">
            <w:pPr>
              <w:keepNext/>
              <w:keepLines/>
              <w:ind w:hanging="23"/>
              <w:rPr>
                <w:rFonts w:ascii="Arial" w:hAnsi="Arial" w:cs="Arial"/>
                <w:sz w:val="18"/>
                <w:szCs w:val="18"/>
              </w:rPr>
            </w:pPr>
            <w:r>
              <w:rPr>
                <w:rFonts w:ascii="Arial" w:hAnsi="Arial" w:cs="Arial"/>
                <w:sz w:val="18"/>
                <w:szCs w:val="18"/>
              </w:rPr>
              <w:t>Back Pain</w:t>
            </w:r>
          </w:p>
        </w:tc>
        <w:tc>
          <w:tcPr>
            <w:tcW w:w="1118" w:type="dxa"/>
            <w:tcBorders>
              <w:top w:val="single" w:sz="6" w:space="0" w:color="auto"/>
              <w:left w:val="single" w:sz="6" w:space="0" w:color="auto"/>
              <w:bottom w:val="single" w:sz="6" w:space="0" w:color="auto"/>
              <w:right w:val="single" w:sz="6" w:space="0" w:color="auto"/>
            </w:tcBorders>
          </w:tcPr>
          <w:p w:rsidR="000D1F60" w:rsidDel="00D03486" w:rsidRDefault="001378F4">
            <w:pPr>
              <w:keepNext/>
              <w:keepLines/>
              <w:spacing w:before="40"/>
              <w:jc w:val="center"/>
              <w:rPr>
                <w:rFonts w:ascii="Arial" w:hAnsi="Arial" w:cs="Arial"/>
                <w:sz w:val="18"/>
                <w:szCs w:val="18"/>
              </w:rPr>
            </w:pPr>
            <w:r>
              <w:rPr>
                <w:rFonts w:ascii="Arial" w:hAnsi="Arial" w:cs="Arial"/>
                <w:sz w:val="18"/>
                <w:szCs w:val="18"/>
              </w:rPr>
              <w:t>9 (5.1)</w:t>
            </w:r>
          </w:p>
        </w:tc>
        <w:tc>
          <w:tcPr>
            <w:tcW w:w="1442" w:type="dxa"/>
            <w:tcBorders>
              <w:top w:val="single" w:sz="6" w:space="0" w:color="auto"/>
              <w:left w:val="single" w:sz="6" w:space="0" w:color="auto"/>
              <w:bottom w:val="single" w:sz="6" w:space="0" w:color="auto"/>
              <w:right w:val="single" w:sz="6" w:space="0" w:color="auto"/>
            </w:tcBorders>
          </w:tcPr>
          <w:p w:rsidR="000D1F60" w:rsidDel="00D03486" w:rsidRDefault="001378F4">
            <w:pPr>
              <w:keepNext/>
              <w:keepLines/>
              <w:spacing w:before="40"/>
              <w:ind w:left="-132"/>
              <w:jc w:val="center"/>
              <w:rPr>
                <w:rFonts w:ascii="Arial" w:hAnsi="Arial" w:cs="Arial"/>
                <w:sz w:val="18"/>
                <w:szCs w:val="18"/>
              </w:rPr>
            </w:pPr>
            <w:r>
              <w:rPr>
                <w:rFonts w:ascii="Arial" w:hAnsi="Arial" w:cs="Arial"/>
                <w:sz w:val="18"/>
                <w:szCs w:val="18"/>
              </w:rPr>
              <w:t>9 (5.0)</w:t>
            </w:r>
          </w:p>
        </w:tc>
        <w:tc>
          <w:tcPr>
            <w:tcW w:w="1947" w:type="dxa"/>
            <w:tcBorders>
              <w:top w:val="single" w:sz="6" w:space="0" w:color="auto"/>
              <w:left w:val="single" w:sz="6" w:space="0" w:color="auto"/>
              <w:bottom w:val="single" w:sz="6" w:space="0" w:color="auto"/>
              <w:right w:val="single" w:sz="6" w:space="0" w:color="auto"/>
            </w:tcBorders>
            <w:shd w:val="clear" w:color="auto" w:fill="auto"/>
          </w:tcPr>
          <w:p w:rsidR="000D1F60" w:rsidDel="00D03486" w:rsidRDefault="001378F4">
            <w:pPr>
              <w:keepNext/>
              <w:keepLines/>
              <w:spacing w:before="40"/>
              <w:ind w:left="-56"/>
              <w:jc w:val="center"/>
              <w:rPr>
                <w:rFonts w:ascii="Arial" w:hAnsi="Arial" w:cs="Arial"/>
                <w:sz w:val="18"/>
                <w:szCs w:val="18"/>
              </w:rPr>
            </w:pPr>
            <w:r>
              <w:rPr>
                <w:rFonts w:ascii="Arial" w:hAnsi="Arial" w:cs="Arial"/>
                <w:sz w:val="18"/>
                <w:szCs w:val="18"/>
              </w:rPr>
              <w:t>16 (4.4)</w:t>
            </w:r>
          </w:p>
        </w:tc>
        <w:tc>
          <w:tcPr>
            <w:tcW w:w="2118" w:type="dxa"/>
            <w:tcBorders>
              <w:top w:val="single" w:sz="6" w:space="0" w:color="auto"/>
              <w:left w:val="single" w:sz="6" w:space="0" w:color="auto"/>
              <w:bottom w:val="single" w:sz="6" w:space="0" w:color="auto"/>
              <w:right w:val="single" w:sz="6" w:space="0" w:color="auto"/>
            </w:tcBorders>
            <w:shd w:val="clear" w:color="auto" w:fill="auto"/>
          </w:tcPr>
          <w:p w:rsidR="000D1F60" w:rsidDel="00D03486" w:rsidRDefault="001378F4">
            <w:pPr>
              <w:keepNext/>
              <w:keepLines/>
              <w:spacing w:before="40"/>
              <w:ind w:left="-14"/>
              <w:jc w:val="center"/>
              <w:rPr>
                <w:rFonts w:ascii="Arial" w:hAnsi="Arial" w:cs="Arial"/>
                <w:sz w:val="18"/>
                <w:szCs w:val="18"/>
              </w:rPr>
            </w:pPr>
            <w:r>
              <w:rPr>
                <w:rFonts w:ascii="Arial" w:hAnsi="Arial" w:cs="Arial"/>
                <w:sz w:val="18"/>
                <w:szCs w:val="18"/>
              </w:rPr>
              <w:t>24 (6.5)</w:t>
            </w:r>
          </w:p>
        </w:tc>
      </w:tr>
      <w:tr w:rsidR="00907289">
        <w:tblPrEx>
          <w:tblCellMar>
            <w:top w:w="0" w:type="dxa"/>
            <w:bottom w:w="0" w:type="dxa"/>
          </w:tblCellMar>
        </w:tblPrEx>
        <w:trPr>
          <w:jc w:val="center"/>
        </w:trPr>
        <w:tc>
          <w:tcPr>
            <w:tcW w:w="2451" w:type="dxa"/>
            <w:tcBorders>
              <w:top w:val="single" w:sz="6" w:space="0" w:color="auto"/>
              <w:left w:val="single" w:sz="6" w:space="0" w:color="auto"/>
              <w:bottom w:val="single" w:sz="6" w:space="0" w:color="auto"/>
              <w:right w:val="single" w:sz="6" w:space="0" w:color="auto"/>
            </w:tcBorders>
          </w:tcPr>
          <w:p w:rsidR="00907289" w:rsidRDefault="00907289">
            <w:pPr>
              <w:keepNext/>
              <w:keepLines/>
              <w:ind w:hanging="23"/>
              <w:rPr>
                <w:rFonts w:ascii="Arial" w:hAnsi="Arial" w:cs="Arial"/>
                <w:sz w:val="18"/>
                <w:szCs w:val="18"/>
              </w:rPr>
            </w:pPr>
            <w:r>
              <w:rPr>
                <w:rFonts w:ascii="Arial" w:hAnsi="Arial" w:cs="Arial"/>
                <w:sz w:val="18"/>
                <w:szCs w:val="18"/>
              </w:rPr>
              <w:t>Headache</w:t>
            </w:r>
          </w:p>
        </w:tc>
        <w:tc>
          <w:tcPr>
            <w:tcW w:w="1118" w:type="dxa"/>
            <w:tcBorders>
              <w:top w:val="single" w:sz="6" w:space="0" w:color="auto"/>
              <w:left w:val="single" w:sz="6" w:space="0" w:color="auto"/>
              <w:bottom w:val="single" w:sz="6" w:space="0" w:color="auto"/>
              <w:right w:val="single" w:sz="6" w:space="0" w:color="auto"/>
            </w:tcBorders>
          </w:tcPr>
          <w:p w:rsidR="00907289" w:rsidRDefault="001378F4">
            <w:pPr>
              <w:keepNext/>
              <w:keepLines/>
              <w:spacing w:before="40"/>
              <w:jc w:val="center"/>
              <w:rPr>
                <w:rFonts w:ascii="Arial" w:hAnsi="Arial" w:cs="Arial"/>
                <w:sz w:val="18"/>
                <w:szCs w:val="18"/>
              </w:rPr>
            </w:pPr>
            <w:r>
              <w:rPr>
                <w:rFonts w:ascii="Arial" w:hAnsi="Arial" w:cs="Arial"/>
                <w:color w:val="000000"/>
                <w:sz w:val="18"/>
                <w:szCs w:val="18"/>
              </w:rPr>
              <w:t>7 (4.0)</w:t>
            </w:r>
          </w:p>
        </w:tc>
        <w:tc>
          <w:tcPr>
            <w:tcW w:w="1442" w:type="dxa"/>
            <w:tcBorders>
              <w:top w:val="single" w:sz="6" w:space="0" w:color="auto"/>
              <w:left w:val="single" w:sz="6" w:space="0" w:color="auto"/>
              <w:bottom w:val="single" w:sz="6" w:space="0" w:color="auto"/>
              <w:right w:val="single" w:sz="6" w:space="0" w:color="auto"/>
            </w:tcBorders>
          </w:tcPr>
          <w:p w:rsidR="00907289" w:rsidRDefault="001378F4">
            <w:pPr>
              <w:keepNext/>
              <w:keepLines/>
              <w:spacing w:before="40"/>
              <w:ind w:left="-132"/>
              <w:jc w:val="center"/>
              <w:rPr>
                <w:rFonts w:ascii="Arial" w:hAnsi="Arial" w:cs="Arial"/>
                <w:sz w:val="18"/>
                <w:szCs w:val="18"/>
              </w:rPr>
            </w:pPr>
            <w:r>
              <w:rPr>
                <w:rFonts w:ascii="Arial" w:hAnsi="Arial" w:cs="Arial"/>
                <w:color w:val="000000"/>
                <w:sz w:val="18"/>
                <w:szCs w:val="18"/>
              </w:rPr>
              <w:t>6 (3.4)</w:t>
            </w:r>
          </w:p>
        </w:tc>
        <w:tc>
          <w:tcPr>
            <w:tcW w:w="1947" w:type="dxa"/>
            <w:tcBorders>
              <w:top w:val="single" w:sz="6" w:space="0" w:color="auto"/>
              <w:left w:val="single" w:sz="6" w:space="0" w:color="auto"/>
              <w:bottom w:val="single" w:sz="6" w:space="0" w:color="auto"/>
              <w:right w:val="single" w:sz="6" w:space="0" w:color="auto"/>
            </w:tcBorders>
            <w:shd w:val="clear" w:color="auto" w:fill="auto"/>
          </w:tcPr>
          <w:p w:rsidR="00907289" w:rsidRDefault="001378F4">
            <w:pPr>
              <w:keepNext/>
              <w:keepLines/>
              <w:spacing w:before="40"/>
              <w:ind w:left="-56"/>
              <w:jc w:val="center"/>
              <w:rPr>
                <w:rFonts w:ascii="Arial" w:hAnsi="Arial" w:cs="Arial"/>
                <w:sz w:val="18"/>
                <w:szCs w:val="18"/>
              </w:rPr>
            </w:pPr>
            <w:r>
              <w:rPr>
                <w:rFonts w:ascii="Arial" w:hAnsi="Arial" w:cs="Arial"/>
                <w:sz w:val="18"/>
                <w:szCs w:val="18"/>
              </w:rPr>
              <w:t>21 (5.8)</w:t>
            </w:r>
          </w:p>
        </w:tc>
        <w:tc>
          <w:tcPr>
            <w:tcW w:w="2118" w:type="dxa"/>
            <w:tcBorders>
              <w:top w:val="single" w:sz="6" w:space="0" w:color="auto"/>
              <w:left w:val="single" w:sz="6" w:space="0" w:color="auto"/>
              <w:bottom w:val="single" w:sz="6" w:space="0" w:color="auto"/>
              <w:right w:val="single" w:sz="6" w:space="0" w:color="auto"/>
            </w:tcBorders>
            <w:shd w:val="clear" w:color="auto" w:fill="auto"/>
          </w:tcPr>
          <w:p w:rsidR="00907289" w:rsidRDefault="001378F4">
            <w:pPr>
              <w:keepNext/>
              <w:keepLines/>
              <w:spacing w:before="40"/>
              <w:ind w:left="-14"/>
              <w:jc w:val="center"/>
              <w:rPr>
                <w:rFonts w:ascii="Arial" w:hAnsi="Arial" w:cs="Arial"/>
                <w:sz w:val="18"/>
                <w:szCs w:val="18"/>
              </w:rPr>
            </w:pPr>
            <w:r>
              <w:rPr>
                <w:rFonts w:ascii="Arial" w:hAnsi="Arial" w:cs="Arial"/>
                <w:sz w:val="18"/>
                <w:szCs w:val="18"/>
              </w:rPr>
              <w:t>27 (7.3)</w:t>
            </w:r>
          </w:p>
        </w:tc>
      </w:tr>
    </w:tbl>
    <w:p w:rsidR="00907289" w:rsidRDefault="00907289">
      <w:pPr>
        <w:rPr>
          <w:rFonts w:ascii="Arial" w:hAnsi="Arial" w:cs="Arial"/>
          <w:sz w:val="18"/>
          <w:szCs w:val="18"/>
        </w:rPr>
      </w:pPr>
      <w:r>
        <w:rPr>
          <w:rFonts w:ascii="Arial" w:hAnsi="Arial" w:cs="Arial"/>
          <w:sz w:val="18"/>
          <w:szCs w:val="18"/>
          <w:vertAlign w:val="superscript"/>
        </w:rPr>
        <w:t>†</w:t>
      </w:r>
      <w:r>
        <w:rPr>
          <w:rFonts w:ascii="Arial" w:hAnsi="Arial" w:cs="Arial"/>
          <w:sz w:val="18"/>
          <w:szCs w:val="18"/>
        </w:rPr>
        <w:t xml:space="preserve"> Intent-to-treat population.</w:t>
      </w:r>
    </w:p>
    <w:p w:rsidR="00907289" w:rsidRDefault="00907289" w:rsidP="00E56E7B">
      <w:pPr>
        <w:spacing w:after="100" w:afterAutospacing="1"/>
        <w:rPr>
          <w:rFonts w:ascii="Arial" w:hAnsi="Arial" w:cs="Arial"/>
          <w:sz w:val="18"/>
          <w:szCs w:val="18"/>
        </w:rPr>
      </w:pPr>
      <w:r>
        <w:rPr>
          <w:rFonts w:ascii="Arial" w:hAnsi="Arial" w:cs="Arial"/>
          <w:sz w:val="18"/>
          <w:szCs w:val="18"/>
          <w:vertAlign w:val="superscript"/>
        </w:rPr>
        <w:t xml:space="preserve">†† </w:t>
      </w:r>
      <w:r>
        <w:rPr>
          <w:rFonts w:ascii="Arial" w:hAnsi="Arial" w:cs="Arial"/>
          <w:sz w:val="18"/>
          <w:szCs w:val="18"/>
        </w:rPr>
        <w:t>Data pooled for the patients given the lower and higher doses of metformin.</w:t>
      </w:r>
    </w:p>
    <w:p w:rsidR="00907289" w:rsidRPr="009E39FD" w:rsidRDefault="00F84508">
      <w:pPr>
        <w:rPr>
          <w:rFonts w:ascii="Arial" w:hAnsi="Arial"/>
          <w:bCs/>
          <w:sz w:val="22"/>
          <w:szCs w:val="22"/>
        </w:rPr>
      </w:pPr>
      <w:r w:rsidRPr="009E39FD">
        <w:rPr>
          <w:rFonts w:ascii="Arial" w:hAnsi="Arial"/>
          <w:bCs/>
          <w:sz w:val="22"/>
          <w:szCs w:val="22"/>
        </w:rPr>
        <w:t>Adverse reactions of hypoglycaemia were based on all reports of hypoglycaemia; a concurrent glucose measurement was not required. The overall incidence of pre-specified adverse reactions of hypoglycaemia in patients with type 2 diabetes mellitus inadequately controlled on diet and exercise was 2.8% in patients given placebo, 1.1% in patients given sitagliptin alone, 1.9% in patients given metformin alone and 3.8% in patients given sitagliptin in combination with metformin.</w:t>
      </w:r>
    </w:p>
    <w:p w:rsidR="00907289" w:rsidRPr="009E39FD" w:rsidRDefault="00907289" w:rsidP="00E56E7B">
      <w:pPr>
        <w:spacing w:before="100" w:beforeAutospacing="1" w:after="100" w:afterAutospacing="1"/>
        <w:rPr>
          <w:rFonts w:ascii="Arial" w:hAnsi="Arial"/>
          <w:bCs/>
          <w:sz w:val="22"/>
          <w:szCs w:val="22"/>
        </w:rPr>
      </w:pPr>
      <w:r w:rsidRPr="009E39FD">
        <w:rPr>
          <w:rFonts w:ascii="Arial" w:hAnsi="Arial"/>
          <w:bCs/>
          <w:sz w:val="22"/>
          <w:szCs w:val="22"/>
        </w:rPr>
        <w:t>With the combination of sitagliptin and metformin, no clinically meaningful changes in vital signs or in ECG (including in QTc interval) were observed.</w:t>
      </w:r>
    </w:p>
    <w:p w:rsidR="009E39FD" w:rsidRPr="009E39FD" w:rsidRDefault="009E39FD" w:rsidP="00E56E7B">
      <w:pPr>
        <w:spacing w:before="100" w:beforeAutospacing="1" w:after="100" w:afterAutospacing="1"/>
        <w:rPr>
          <w:rFonts w:ascii="Arial" w:hAnsi="Arial" w:cs="Arial"/>
          <w:sz w:val="22"/>
          <w:szCs w:val="22"/>
        </w:rPr>
      </w:pPr>
      <w:r w:rsidRPr="009E39FD">
        <w:rPr>
          <w:rFonts w:ascii="Arial" w:hAnsi="Arial" w:cs="Arial"/>
          <w:sz w:val="22"/>
          <w:szCs w:val="22"/>
        </w:rPr>
        <w:t>Treatment-emergent adverse events were reported in similar numbers across all treatment groups. Over the two-year treatment period, discontinuation due to loss of efficacy was reported more commonly in the 100 mg sitagliptin group than other treatment groups.</w:t>
      </w:r>
    </w:p>
    <w:p w:rsidR="00907289" w:rsidRDefault="00907289" w:rsidP="00E56E7B">
      <w:pPr>
        <w:spacing w:before="100" w:beforeAutospacing="1" w:after="100" w:afterAutospacing="1"/>
        <w:jc w:val="both"/>
        <w:outlineLvl w:val="0"/>
        <w:rPr>
          <w:rFonts w:ascii="Arial" w:hAnsi="Arial" w:cs="Arial"/>
          <w:b/>
          <w:sz w:val="22"/>
          <w:szCs w:val="22"/>
        </w:rPr>
      </w:pPr>
      <w:r>
        <w:rPr>
          <w:rFonts w:ascii="Arial" w:hAnsi="Arial" w:cs="Arial"/>
          <w:b/>
          <w:sz w:val="22"/>
          <w:szCs w:val="22"/>
        </w:rPr>
        <w:t>Sitagliptin as add-on Combination Therapy to Metformin</w:t>
      </w:r>
    </w:p>
    <w:p w:rsidR="00907289" w:rsidRDefault="00907289" w:rsidP="00E56E7B">
      <w:pPr>
        <w:pStyle w:val="Body"/>
        <w:spacing w:before="100" w:beforeAutospacing="1" w:after="100" w:afterAutospacing="1"/>
        <w:ind w:firstLine="0"/>
        <w:rPr>
          <w:rFonts w:cs="Arial"/>
          <w:bCs/>
          <w:sz w:val="22"/>
          <w:szCs w:val="22"/>
        </w:rPr>
      </w:pPr>
      <w:r>
        <w:rPr>
          <w:rFonts w:cs="Arial"/>
          <w:bCs/>
          <w:sz w:val="22"/>
          <w:szCs w:val="22"/>
        </w:rPr>
        <w:t>In a 24-week placebo-controlled trial of sitagliptin 100 mg administered once daily added to a twice daily metformin regimen (&gt;1500 mg), there were no adverse experiences reported regardless of investigator assessment of causality in ≥5% of patients and more commonly than in patients given placebo. Discontinuation of therapy due to clinical adverse experiences was similar to the placebo treatment group (sitagliptin and metformin, 1.9%; placebo and metformin, 2.5%).</w:t>
      </w:r>
    </w:p>
    <w:p w:rsidR="00907289" w:rsidRDefault="00907289" w:rsidP="006656A9">
      <w:pPr>
        <w:outlineLvl w:val="0"/>
        <w:rPr>
          <w:rFonts w:ascii="Arial" w:hAnsi="Arial" w:cs="Arial"/>
          <w:i/>
          <w:sz w:val="22"/>
          <w:szCs w:val="22"/>
        </w:rPr>
      </w:pPr>
      <w:r>
        <w:rPr>
          <w:rFonts w:ascii="Arial" w:hAnsi="Arial" w:cs="Arial"/>
          <w:i/>
          <w:sz w:val="22"/>
          <w:szCs w:val="22"/>
        </w:rPr>
        <w:t>Hypoglycaemia and Gastr</w:t>
      </w:r>
      <w:r w:rsidR="00E56E7B">
        <w:rPr>
          <w:rFonts w:ascii="Arial" w:hAnsi="Arial" w:cs="Arial"/>
          <w:i/>
          <w:sz w:val="22"/>
          <w:szCs w:val="22"/>
        </w:rPr>
        <w:t>ointestinal Adverse Experiences</w:t>
      </w:r>
    </w:p>
    <w:p w:rsidR="00907289" w:rsidRDefault="00907289" w:rsidP="00E56E7B">
      <w:pPr>
        <w:spacing w:after="100" w:afterAutospacing="1"/>
        <w:jc w:val="both"/>
        <w:rPr>
          <w:rFonts w:ascii="Arial" w:hAnsi="Arial" w:cs="Arial"/>
          <w:sz w:val="22"/>
          <w:szCs w:val="22"/>
        </w:rPr>
      </w:pPr>
      <w:r>
        <w:rPr>
          <w:rFonts w:ascii="Arial" w:hAnsi="Arial" w:cs="Arial"/>
          <w:sz w:val="22"/>
          <w:szCs w:val="22"/>
        </w:rPr>
        <w:t>In the placebo-controlled studies of combination therapy with sitagliptin and metformin, the incidence of hypoglycaemia (regardless of investigator assessment of causality) reported in patients treated with the combination of sitagliptin and metformin was similar to that reported for patients treated with metformin and placebo. Adverse experiences of hypoglycaemia were based on all reports of hypoglycaemia; a concurrent glucose measurement was not required. The incidences of pre-specified gastrointestinal adverse experiences in patients treated with the combination of sitagliptin and metformin were similar to those reported for patients treated with metformin alone. See Table 2.</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4140"/>
        <w:gridCol w:w="4140"/>
      </w:tblGrid>
      <w:tr w:rsidR="00907289" w:rsidRPr="00406595" w:rsidTr="00406595">
        <w:tc>
          <w:tcPr>
            <w:tcW w:w="9648" w:type="dxa"/>
            <w:gridSpan w:val="3"/>
            <w:shd w:val="clear" w:color="auto" w:fill="auto"/>
          </w:tcPr>
          <w:p w:rsidR="00907289" w:rsidRPr="00406595" w:rsidRDefault="00907289" w:rsidP="00406595">
            <w:pPr>
              <w:keepNext/>
              <w:keepLines/>
              <w:ind w:right="-29"/>
              <w:jc w:val="center"/>
              <w:rPr>
                <w:rFonts w:ascii="Arial" w:hAnsi="Arial" w:cs="Arial"/>
                <w:b/>
                <w:sz w:val="16"/>
                <w:szCs w:val="18"/>
              </w:rPr>
            </w:pPr>
            <w:r w:rsidRPr="00406595">
              <w:rPr>
                <w:rFonts w:ascii="Arial" w:hAnsi="Arial" w:cs="Arial"/>
                <w:b/>
                <w:sz w:val="16"/>
                <w:szCs w:val="18"/>
              </w:rPr>
              <w:lastRenderedPageBreak/>
              <w:t>Table</w:t>
            </w:r>
            <w:r w:rsidR="00AA11EE" w:rsidRPr="00406595">
              <w:rPr>
                <w:rFonts w:ascii="Arial" w:hAnsi="Arial" w:cs="Arial"/>
                <w:b/>
                <w:sz w:val="16"/>
                <w:szCs w:val="18"/>
              </w:rPr>
              <w:t>4</w:t>
            </w:r>
          </w:p>
          <w:p w:rsidR="00907289" w:rsidRPr="00406595" w:rsidRDefault="00907289" w:rsidP="00406595">
            <w:pPr>
              <w:keepNext/>
              <w:keepLines/>
              <w:jc w:val="center"/>
              <w:rPr>
                <w:rFonts w:ascii="Arial" w:hAnsi="Arial" w:cs="Arial"/>
                <w:b/>
                <w:bCs/>
                <w:sz w:val="16"/>
                <w:szCs w:val="18"/>
              </w:rPr>
            </w:pPr>
            <w:r w:rsidRPr="00406595">
              <w:rPr>
                <w:rFonts w:ascii="Arial" w:hAnsi="Arial" w:cs="Arial"/>
                <w:b/>
                <w:bCs/>
                <w:sz w:val="16"/>
                <w:szCs w:val="18"/>
              </w:rPr>
              <w:t>Hypoglycaemia and Pre-specified Gastrointestinal Intestinal Adverse Experiences (Regardless of Investigator Assessment of Causality) Reported in Patients Receiving Combination Therapy</w:t>
            </w:r>
          </w:p>
        </w:tc>
      </w:tr>
      <w:tr w:rsidR="00907289" w:rsidRPr="00406595" w:rsidTr="00406595">
        <w:tc>
          <w:tcPr>
            <w:tcW w:w="1368" w:type="dxa"/>
            <w:vMerge w:val="restart"/>
            <w:shd w:val="clear" w:color="auto" w:fill="auto"/>
          </w:tcPr>
          <w:p w:rsidR="00907289" w:rsidRPr="00406595" w:rsidRDefault="00907289" w:rsidP="00406595">
            <w:pPr>
              <w:keepNext/>
              <w:keepLines/>
              <w:jc w:val="both"/>
              <w:rPr>
                <w:rFonts w:ascii="Arial" w:hAnsi="Arial" w:cs="Arial"/>
                <w:sz w:val="22"/>
                <w:szCs w:val="22"/>
              </w:rPr>
            </w:pPr>
          </w:p>
        </w:tc>
        <w:tc>
          <w:tcPr>
            <w:tcW w:w="8280" w:type="dxa"/>
            <w:gridSpan w:val="2"/>
            <w:shd w:val="clear" w:color="auto" w:fill="auto"/>
          </w:tcPr>
          <w:p w:rsidR="00907289" w:rsidRPr="00406595" w:rsidRDefault="00907289" w:rsidP="00406595">
            <w:pPr>
              <w:keepNext/>
              <w:keepLines/>
              <w:jc w:val="center"/>
              <w:rPr>
                <w:rFonts w:ascii="Arial" w:hAnsi="Arial" w:cs="Arial"/>
                <w:sz w:val="22"/>
                <w:szCs w:val="22"/>
              </w:rPr>
            </w:pPr>
            <w:r w:rsidRPr="00406595">
              <w:rPr>
                <w:rFonts w:ascii="Arial" w:hAnsi="Arial" w:cs="Arial"/>
                <w:b/>
                <w:bCs/>
                <w:sz w:val="16"/>
                <w:szCs w:val="18"/>
              </w:rPr>
              <w:t>Number of Patients (%)</w:t>
            </w:r>
          </w:p>
        </w:tc>
      </w:tr>
      <w:tr w:rsidR="00907289" w:rsidRPr="00406595" w:rsidTr="00406595">
        <w:tc>
          <w:tcPr>
            <w:tcW w:w="1368" w:type="dxa"/>
            <w:vMerge/>
            <w:shd w:val="clear" w:color="auto" w:fill="auto"/>
          </w:tcPr>
          <w:p w:rsidR="00907289" w:rsidRPr="00406595" w:rsidRDefault="00907289" w:rsidP="00406595">
            <w:pPr>
              <w:keepNext/>
              <w:keepLines/>
              <w:jc w:val="both"/>
              <w:rPr>
                <w:rFonts w:ascii="Arial" w:hAnsi="Arial" w:cs="Arial"/>
                <w:sz w:val="22"/>
                <w:szCs w:val="22"/>
              </w:rPr>
            </w:pPr>
          </w:p>
        </w:tc>
        <w:tc>
          <w:tcPr>
            <w:tcW w:w="8280" w:type="dxa"/>
            <w:gridSpan w:val="2"/>
            <w:shd w:val="clear" w:color="auto" w:fill="auto"/>
          </w:tcPr>
          <w:p w:rsidR="00907289" w:rsidRPr="00406595" w:rsidRDefault="00907289" w:rsidP="00406595">
            <w:pPr>
              <w:keepNext/>
              <w:keepLines/>
              <w:jc w:val="center"/>
              <w:rPr>
                <w:rFonts w:ascii="Arial" w:hAnsi="Arial" w:cs="Arial"/>
                <w:sz w:val="22"/>
                <w:szCs w:val="22"/>
              </w:rPr>
            </w:pPr>
            <w:r w:rsidRPr="00406595">
              <w:rPr>
                <w:rFonts w:ascii="Arial" w:hAnsi="Arial" w:cs="Arial"/>
                <w:b/>
                <w:bCs/>
                <w:sz w:val="16"/>
                <w:szCs w:val="18"/>
              </w:rPr>
              <w:t>Study of Sitagliptin as Add-on to Metformin</w:t>
            </w:r>
          </w:p>
        </w:tc>
      </w:tr>
      <w:tr w:rsidR="00907289" w:rsidRPr="00406595" w:rsidTr="00406595">
        <w:trPr>
          <w:trHeight w:val="104"/>
        </w:trPr>
        <w:tc>
          <w:tcPr>
            <w:tcW w:w="1368" w:type="dxa"/>
            <w:vMerge/>
            <w:shd w:val="clear" w:color="auto" w:fill="auto"/>
          </w:tcPr>
          <w:p w:rsidR="00907289" w:rsidRPr="00406595" w:rsidRDefault="00907289" w:rsidP="00406595">
            <w:pPr>
              <w:keepNext/>
              <w:keepLines/>
              <w:jc w:val="both"/>
              <w:rPr>
                <w:rFonts w:ascii="Arial" w:hAnsi="Arial" w:cs="Arial"/>
                <w:sz w:val="22"/>
                <w:szCs w:val="22"/>
              </w:rPr>
            </w:pPr>
          </w:p>
        </w:tc>
        <w:tc>
          <w:tcPr>
            <w:tcW w:w="4140" w:type="dxa"/>
            <w:tcBorders>
              <w:left w:val="single" w:sz="4" w:space="0" w:color="auto"/>
              <w:bottom w:val="single" w:sz="4" w:space="0" w:color="auto"/>
            </w:tcBorders>
            <w:shd w:val="clear" w:color="auto" w:fill="auto"/>
          </w:tcPr>
          <w:p w:rsidR="00907289" w:rsidRPr="00406595" w:rsidRDefault="00907289" w:rsidP="00406595">
            <w:pPr>
              <w:keepNext/>
              <w:keepLines/>
              <w:jc w:val="center"/>
              <w:rPr>
                <w:rFonts w:ascii="Arial" w:hAnsi="Arial" w:cs="Arial"/>
                <w:b/>
                <w:bCs/>
                <w:sz w:val="16"/>
                <w:szCs w:val="18"/>
              </w:rPr>
            </w:pPr>
            <w:r w:rsidRPr="00406595">
              <w:rPr>
                <w:rFonts w:ascii="Arial" w:hAnsi="Arial" w:cs="Arial"/>
                <w:b/>
                <w:bCs/>
                <w:sz w:val="16"/>
                <w:szCs w:val="18"/>
              </w:rPr>
              <w:t xml:space="preserve">Placebo and Metformin </w:t>
            </w:r>
            <w:r w:rsidRPr="00406595">
              <w:rPr>
                <w:rFonts w:ascii="Arial" w:hAnsi="Arial" w:cs="Arial"/>
                <w:b/>
                <w:bCs/>
                <w:sz w:val="16"/>
                <w:szCs w:val="18"/>
              </w:rPr>
              <w:sym w:font="Symbol" w:char="F0B3"/>
            </w:r>
            <w:r w:rsidRPr="00406595">
              <w:rPr>
                <w:rFonts w:ascii="Arial" w:hAnsi="Arial" w:cs="Arial"/>
                <w:b/>
                <w:bCs/>
                <w:sz w:val="16"/>
                <w:szCs w:val="18"/>
              </w:rPr>
              <w:t>1500 mg daily</w:t>
            </w:r>
          </w:p>
        </w:tc>
        <w:tc>
          <w:tcPr>
            <w:tcW w:w="4140" w:type="dxa"/>
            <w:tcBorders>
              <w:bottom w:val="single" w:sz="4" w:space="0" w:color="auto"/>
            </w:tcBorders>
            <w:shd w:val="clear" w:color="auto" w:fill="auto"/>
          </w:tcPr>
          <w:p w:rsidR="00907289" w:rsidRPr="00406595" w:rsidRDefault="00907289" w:rsidP="00406595">
            <w:pPr>
              <w:keepNext/>
              <w:keepLines/>
              <w:ind w:left="-14"/>
              <w:jc w:val="center"/>
              <w:rPr>
                <w:rFonts w:ascii="Arial" w:hAnsi="Arial" w:cs="Arial"/>
                <w:b/>
                <w:sz w:val="16"/>
                <w:szCs w:val="16"/>
                <w:lang w:val="sv-SE"/>
              </w:rPr>
            </w:pPr>
            <w:r w:rsidRPr="00406595">
              <w:rPr>
                <w:rFonts w:ascii="Arial" w:hAnsi="Arial" w:cs="Arial"/>
                <w:b/>
                <w:sz w:val="16"/>
                <w:szCs w:val="16"/>
                <w:lang w:val="sv-SE"/>
              </w:rPr>
              <w:t xml:space="preserve">Sitagliptin 100 mg and Metformin </w:t>
            </w:r>
            <w:r w:rsidRPr="00406595">
              <w:rPr>
                <w:rFonts w:ascii="Arial" w:hAnsi="Arial" w:cs="Arial"/>
                <w:b/>
                <w:sz w:val="16"/>
                <w:szCs w:val="16"/>
                <w:lang w:val="sv-SE"/>
              </w:rPr>
              <w:sym w:font="Symbol" w:char="F0B3"/>
            </w:r>
            <w:r w:rsidRPr="00406595">
              <w:rPr>
                <w:rFonts w:ascii="Arial" w:hAnsi="Arial" w:cs="Arial"/>
                <w:b/>
                <w:sz w:val="16"/>
                <w:szCs w:val="16"/>
                <w:lang w:val="sv-SE"/>
              </w:rPr>
              <w:t>1500 mg daily</w:t>
            </w:r>
          </w:p>
        </w:tc>
      </w:tr>
      <w:tr w:rsidR="00907289" w:rsidRPr="00406595" w:rsidTr="00406595">
        <w:tc>
          <w:tcPr>
            <w:tcW w:w="1368" w:type="dxa"/>
            <w:vMerge/>
            <w:tcBorders>
              <w:bottom w:val="single" w:sz="4" w:space="0" w:color="auto"/>
            </w:tcBorders>
            <w:shd w:val="clear" w:color="auto" w:fill="auto"/>
          </w:tcPr>
          <w:p w:rsidR="00907289" w:rsidRPr="00406595" w:rsidRDefault="00907289" w:rsidP="00406595">
            <w:pPr>
              <w:keepNext/>
              <w:keepLines/>
              <w:jc w:val="both"/>
              <w:rPr>
                <w:rFonts w:ascii="Arial" w:hAnsi="Arial" w:cs="Arial"/>
                <w:sz w:val="22"/>
                <w:szCs w:val="22"/>
              </w:rPr>
            </w:pPr>
          </w:p>
        </w:tc>
        <w:tc>
          <w:tcPr>
            <w:tcW w:w="4140" w:type="dxa"/>
            <w:tcBorders>
              <w:left w:val="single" w:sz="4" w:space="0" w:color="auto"/>
              <w:bottom w:val="single" w:sz="4" w:space="0" w:color="auto"/>
            </w:tcBorders>
            <w:shd w:val="clear" w:color="auto" w:fill="auto"/>
          </w:tcPr>
          <w:p w:rsidR="00907289" w:rsidRPr="00406595" w:rsidRDefault="00907289" w:rsidP="00406595">
            <w:pPr>
              <w:keepNext/>
              <w:keepLines/>
              <w:spacing w:before="40"/>
              <w:ind w:left="-14"/>
              <w:jc w:val="center"/>
              <w:rPr>
                <w:rFonts w:ascii="Arial" w:hAnsi="Arial" w:cs="Arial"/>
                <w:b/>
                <w:sz w:val="16"/>
                <w:szCs w:val="16"/>
              </w:rPr>
            </w:pPr>
            <w:r w:rsidRPr="00406595">
              <w:rPr>
                <w:rFonts w:ascii="Arial" w:hAnsi="Arial" w:cs="Arial"/>
                <w:b/>
                <w:sz w:val="16"/>
                <w:szCs w:val="16"/>
              </w:rPr>
              <w:t>N= 237</w:t>
            </w:r>
          </w:p>
        </w:tc>
        <w:tc>
          <w:tcPr>
            <w:tcW w:w="4140" w:type="dxa"/>
            <w:tcBorders>
              <w:bottom w:val="single" w:sz="4" w:space="0" w:color="auto"/>
            </w:tcBorders>
            <w:shd w:val="clear" w:color="auto" w:fill="auto"/>
          </w:tcPr>
          <w:p w:rsidR="00907289" w:rsidRPr="00406595" w:rsidRDefault="00907289" w:rsidP="00406595">
            <w:pPr>
              <w:keepNext/>
              <w:keepLines/>
              <w:spacing w:before="40"/>
              <w:ind w:left="-14"/>
              <w:jc w:val="center"/>
              <w:rPr>
                <w:rFonts w:ascii="Arial" w:hAnsi="Arial" w:cs="Arial"/>
                <w:b/>
                <w:sz w:val="16"/>
                <w:szCs w:val="16"/>
              </w:rPr>
            </w:pPr>
            <w:r w:rsidRPr="00406595">
              <w:rPr>
                <w:rFonts w:ascii="Arial" w:hAnsi="Arial" w:cs="Arial"/>
                <w:b/>
                <w:sz w:val="16"/>
                <w:szCs w:val="16"/>
              </w:rPr>
              <w:t>N= 464</w:t>
            </w:r>
          </w:p>
        </w:tc>
      </w:tr>
      <w:tr w:rsidR="00907289" w:rsidRPr="00406595" w:rsidTr="00406595">
        <w:tc>
          <w:tcPr>
            <w:tcW w:w="1368" w:type="dxa"/>
            <w:tcBorders>
              <w:top w:val="single" w:sz="4" w:space="0" w:color="auto"/>
              <w:left w:val="single" w:sz="4" w:space="0" w:color="auto"/>
              <w:bottom w:val="single" w:sz="12" w:space="0" w:color="auto"/>
            </w:tcBorders>
            <w:shd w:val="clear" w:color="auto" w:fill="auto"/>
          </w:tcPr>
          <w:p w:rsidR="00907289" w:rsidRPr="00406595" w:rsidRDefault="00907289" w:rsidP="00406595">
            <w:pPr>
              <w:keepNext/>
              <w:keepLines/>
              <w:spacing w:before="40"/>
              <w:rPr>
                <w:rFonts w:ascii="Arial" w:hAnsi="Arial" w:cs="Arial"/>
                <w:sz w:val="16"/>
              </w:rPr>
            </w:pPr>
            <w:r w:rsidRPr="00406595">
              <w:rPr>
                <w:rFonts w:ascii="Arial" w:hAnsi="Arial" w:cs="Arial"/>
                <w:sz w:val="16"/>
              </w:rPr>
              <w:t>Hypoglycaemia</w:t>
            </w:r>
          </w:p>
        </w:tc>
        <w:tc>
          <w:tcPr>
            <w:tcW w:w="4140" w:type="dxa"/>
            <w:tcBorders>
              <w:top w:val="single" w:sz="4" w:space="0" w:color="auto"/>
              <w:left w:val="single" w:sz="4" w:space="0" w:color="auto"/>
              <w:bottom w:val="single" w:sz="12" w:space="0" w:color="auto"/>
              <w:right w:val="single" w:sz="8" w:space="0" w:color="auto"/>
            </w:tcBorders>
            <w:shd w:val="clear" w:color="auto" w:fill="auto"/>
          </w:tcPr>
          <w:p w:rsidR="00907289" w:rsidRPr="00406595" w:rsidRDefault="00907289" w:rsidP="00406595">
            <w:pPr>
              <w:keepNext/>
              <w:keepLines/>
              <w:spacing w:before="40"/>
              <w:ind w:left="-56"/>
              <w:jc w:val="center"/>
              <w:rPr>
                <w:rFonts w:ascii="Arial" w:hAnsi="Arial" w:cs="Arial"/>
                <w:sz w:val="16"/>
              </w:rPr>
            </w:pPr>
            <w:r w:rsidRPr="00406595">
              <w:rPr>
                <w:rFonts w:ascii="Arial" w:hAnsi="Arial" w:cs="Arial"/>
                <w:sz w:val="16"/>
              </w:rPr>
              <w:t>5 (2.1)</w:t>
            </w:r>
          </w:p>
        </w:tc>
        <w:tc>
          <w:tcPr>
            <w:tcW w:w="4140" w:type="dxa"/>
            <w:tcBorders>
              <w:top w:val="single" w:sz="4" w:space="0" w:color="auto"/>
              <w:left w:val="single" w:sz="8" w:space="0" w:color="auto"/>
              <w:bottom w:val="single" w:sz="12" w:space="0" w:color="auto"/>
              <w:right w:val="single" w:sz="4" w:space="0" w:color="auto"/>
            </w:tcBorders>
            <w:shd w:val="clear" w:color="auto" w:fill="auto"/>
          </w:tcPr>
          <w:p w:rsidR="00907289" w:rsidRPr="00406595" w:rsidRDefault="00907289" w:rsidP="00406595">
            <w:pPr>
              <w:keepNext/>
              <w:keepLines/>
              <w:spacing w:before="40"/>
              <w:ind w:left="-56"/>
              <w:jc w:val="center"/>
              <w:rPr>
                <w:rFonts w:ascii="Arial" w:hAnsi="Arial" w:cs="Arial"/>
                <w:sz w:val="16"/>
              </w:rPr>
            </w:pPr>
            <w:r w:rsidRPr="00406595">
              <w:rPr>
                <w:rFonts w:ascii="Arial" w:hAnsi="Arial" w:cs="Arial"/>
                <w:sz w:val="16"/>
              </w:rPr>
              <w:t>6 (1.3)</w:t>
            </w:r>
          </w:p>
        </w:tc>
      </w:tr>
      <w:tr w:rsidR="00907289" w:rsidRPr="00406595" w:rsidTr="00406595">
        <w:tc>
          <w:tcPr>
            <w:tcW w:w="1368" w:type="dxa"/>
            <w:tcBorders>
              <w:top w:val="single" w:sz="12" w:space="0" w:color="auto"/>
            </w:tcBorders>
            <w:shd w:val="clear" w:color="auto" w:fill="auto"/>
          </w:tcPr>
          <w:p w:rsidR="00907289" w:rsidRPr="00406595" w:rsidRDefault="00907289" w:rsidP="00406595">
            <w:pPr>
              <w:keepNext/>
              <w:keepLines/>
              <w:spacing w:before="40"/>
              <w:rPr>
                <w:rFonts w:ascii="Arial" w:hAnsi="Arial" w:cs="Arial"/>
                <w:sz w:val="16"/>
              </w:rPr>
            </w:pPr>
            <w:r w:rsidRPr="00406595">
              <w:rPr>
                <w:rFonts w:ascii="Arial" w:hAnsi="Arial" w:cs="Arial"/>
                <w:sz w:val="16"/>
              </w:rPr>
              <w:t>Diarrhoea</w:t>
            </w:r>
          </w:p>
        </w:tc>
        <w:tc>
          <w:tcPr>
            <w:tcW w:w="4140" w:type="dxa"/>
            <w:tcBorders>
              <w:top w:val="single" w:sz="12" w:space="0" w:color="auto"/>
              <w:left w:val="single" w:sz="4" w:space="0" w:color="auto"/>
            </w:tcBorders>
            <w:shd w:val="clear" w:color="auto" w:fill="auto"/>
          </w:tcPr>
          <w:p w:rsidR="00907289" w:rsidRPr="00406595" w:rsidRDefault="00907289" w:rsidP="00406595">
            <w:pPr>
              <w:keepNext/>
              <w:keepLines/>
              <w:spacing w:before="40"/>
              <w:jc w:val="center"/>
              <w:rPr>
                <w:rFonts w:ascii="Arial" w:hAnsi="Arial" w:cs="Arial"/>
                <w:sz w:val="16"/>
              </w:rPr>
            </w:pPr>
            <w:r w:rsidRPr="00406595">
              <w:rPr>
                <w:rFonts w:ascii="Arial" w:hAnsi="Arial" w:cs="Arial"/>
                <w:sz w:val="16"/>
              </w:rPr>
              <w:t>6 (2.5)</w:t>
            </w:r>
          </w:p>
        </w:tc>
        <w:tc>
          <w:tcPr>
            <w:tcW w:w="4140" w:type="dxa"/>
            <w:tcBorders>
              <w:top w:val="single" w:sz="12" w:space="0" w:color="auto"/>
            </w:tcBorders>
            <w:shd w:val="clear" w:color="auto" w:fill="auto"/>
          </w:tcPr>
          <w:p w:rsidR="00907289" w:rsidRPr="00406595" w:rsidRDefault="00907289" w:rsidP="00406595">
            <w:pPr>
              <w:keepNext/>
              <w:keepLines/>
              <w:spacing w:before="40"/>
              <w:jc w:val="center"/>
              <w:rPr>
                <w:rFonts w:ascii="Arial" w:hAnsi="Arial" w:cs="Arial"/>
                <w:sz w:val="16"/>
              </w:rPr>
            </w:pPr>
            <w:r w:rsidRPr="00406595">
              <w:rPr>
                <w:rFonts w:ascii="Arial" w:hAnsi="Arial" w:cs="Arial"/>
                <w:sz w:val="16"/>
              </w:rPr>
              <w:t>11 (2.4)</w:t>
            </w:r>
          </w:p>
        </w:tc>
      </w:tr>
      <w:tr w:rsidR="00907289" w:rsidRPr="00406595" w:rsidTr="00406595">
        <w:tc>
          <w:tcPr>
            <w:tcW w:w="1368" w:type="dxa"/>
            <w:shd w:val="clear" w:color="auto" w:fill="auto"/>
          </w:tcPr>
          <w:p w:rsidR="00907289" w:rsidRPr="00406595" w:rsidRDefault="00907289" w:rsidP="00406595">
            <w:pPr>
              <w:keepNext/>
              <w:keepLines/>
              <w:spacing w:before="40"/>
              <w:rPr>
                <w:rFonts w:ascii="Arial" w:hAnsi="Arial" w:cs="Arial"/>
                <w:sz w:val="16"/>
              </w:rPr>
            </w:pPr>
            <w:r w:rsidRPr="00406595">
              <w:rPr>
                <w:rFonts w:ascii="Arial" w:hAnsi="Arial" w:cs="Arial"/>
                <w:sz w:val="16"/>
              </w:rPr>
              <w:t>Nausea</w:t>
            </w:r>
          </w:p>
        </w:tc>
        <w:tc>
          <w:tcPr>
            <w:tcW w:w="4140" w:type="dxa"/>
            <w:tcBorders>
              <w:left w:val="single" w:sz="4" w:space="0" w:color="auto"/>
            </w:tcBorders>
            <w:shd w:val="clear" w:color="auto" w:fill="auto"/>
          </w:tcPr>
          <w:p w:rsidR="00907289" w:rsidRPr="00406595" w:rsidRDefault="00907289" w:rsidP="00406595">
            <w:pPr>
              <w:keepNext/>
              <w:keepLines/>
              <w:spacing w:before="40"/>
              <w:jc w:val="center"/>
              <w:rPr>
                <w:rFonts w:ascii="Arial" w:hAnsi="Arial" w:cs="Arial"/>
                <w:sz w:val="16"/>
              </w:rPr>
            </w:pPr>
            <w:r w:rsidRPr="00406595">
              <w:rPr>
                <w:rFonts w:ascii="Arial" w:hAnsi="Arial" w:cs="Arial"/>
                <w:sz w:val="16"/>
              </w:rPr>
              <w:t>2 (0.8)</w:t>
            </w:r>
          </w:p>
        </w:tc>
        <w:tc>
          <w:tcPr>
            <w:tcW w:w="4140" w:type="dxa"/>
            <w:shd w:val="clear" w:color="auto" w:fill="auto"/>
          </w:tcPr>
          <w:p w:rsidR="00907289" w:rsidRPr="00406595" w:rsidRDefault="00907289" w:rsidP="00406595">
            <w:pPr>
              <w:keepNext/>
              <w:keepLines/>
              <w:spacing w:before="40"/>
              <w:jc w:val="center"/>
              <w:rPr>
                <w:rFonts w:ascii="Arial" w:hAnsi="Arial" w:cs="Arial"/>
                <w:sz w:val="16"/>
              </w:rPr>
            </w:pPr>
            <w:r w:rsidRPr="00406595">
              <w:rPr>
                <w:rFonts w:ascii="Arial" w:hAnsi="Arial" w:cs="Arial"/>
                <w:sz w:val="16"/>
              </w:rPr>
              <w:t>6 (1.3)</w:t>
            </w:r>
          </w:p>
        </w:tc>
      </w:tr>
      <w:tr w:rsidR="00907289" w:rsidRPr="00406595" w:rsidTr="00406595">
        <w:tc>
          <w:tcPr>
            <w:tcW w:w="1368" w:type="dxa"/>
            <w:shd w:val="clear" w:color="auto" w:fill="auto"/>
          </w:tcPr>
          <w:p w:rsidR="00907289" w:rsidRPr="00406595" w:rsidRDefault="00907289" w:rsidP="00406595">
            <w:pPr>
              <w:keepNext/>
              <w:keepLines/>
              <w:spacing w:before="40"/>
              <w:rPr>
                <w:rFonts w:ascii="Arial" w:hAnsi="Arial" w:cs="Arial"/>
                <w:sz w:val="16"/>
              </w:rPr>
            </w:pPr>
            <w:r w:rsidRPr="00406595">
              <w:rPr>
                <w:rFonts w:ascii="Arial" w:hAnsi="Arial" w:cs="Arial"/>
                <w:sz w:val="16"/>
              </w:rPr>
              <w:t>Vomiting</w:t>
            </w:r>
          </w:p>
        </w:tc>
        <w:tc>
          <w:tcPr>
            <w:tcW w:w="4140" w:type="dxa"/>
            <w:tcBorders>
              <w:left w:val="single" w:sz="4" w:space="0" w:color="auto"/>
            </w:tcBorders>
            <w:shd w:val="clear" w:color="auto" w:fill="auto"/>
          </w:tcPr>
          <w:p w:rsidR="00907289" w:rsidRPr="00406595" w:rsidRDefault="00907289" w:rsidP="00406595">
            <w:pPr>
              <w:keepNext/>
              <w:keepLines/>
              <w:spacing w:before="40"/>
              <w:ind w:left="-56"/>
              <w:jc w:val="center"/>
              <w:rPr>
                <w:rFonts w:ascii="Arial" w:hAnsi="Arial" w:cs="Arial"/>
                <w:sz w:val="16"/>
              </w:rPr>
            </w:pPr>
            <w:r w:rsidRPr="00406595">
              <w:rPr>
                <w:rFonts w:ascii="Arial" w:hAnsi="Arial" w:cs="Arial"/>
                <w:sz w:val="16"/>
              </w:rPr>
              <w:t>2 (0.8)</w:t>
            </w:r>
          </w:p>
        </w:tc>
        <w:tc>
          <w:tcPr>
            <w:tcW w:w="4140" w:type="dxa"/>
            <w:shd w:val="clear" w:color="auto" w:fill="auto"/>
          </w:tcPr>
          <w:p w:rsidR="00907289" w:rsidRPr="00406595" w:rsidRDefault="00907289" w:rsidP="00406595">
            <w:pPr>
              <w:keepNext/>
              <w:keepLines/>
              <w:spacing w:before="40"/>
              <w:ind w:left="-56"/>
              <w:jc w:val="center"/>
              <w:rPr>
                <w:rFonts w:ascii="Arial" w:hAnsi="Arial" w:cs="Arial"/>
                <w:sz w:val="16"/>
              </w:rPr>
            </w:pPr>
            <w:r w:rsidRPr="00406595">
              <w:rPr>
                <w:rFonts w:ascii="Arial" w:hAnsi="Arial" w:cs="Arial"/>
                <w:sz w:val="16"/>
              </w:rPr>
              <w:t>5 (1.1)</w:t>
            </w:r>
          </w:p>
        </w:tc>
      </w:tr>
      <w:tr w:rsidR="00907289" w:rsidRPr="00406595" w:rsidTr="00406595">
        <w:tc>
          <w:tcPr>
            <w:tcW w:w="1368" w:type="dxa"/>
            <w:shd w:val="clear" w:color="auto" w:fill="auto"/>
          </w:tcPr>
          <w:p w:rsidR="00907289" w:rsidRPr="00406595" w:rsidRDefault="00907289" w:rsidP="00406595">
            <w:pPr>
              <w:keepNext/>
              <w:keepLines/>
              <w:spacing w:before="40"/>
              <w:rPr>
                <w:rFonts w:ascii="Arial" w:hAnsi="Arial" w:cs="Arial"/>
                <w:sz w:val="16"/>
              </w:rPr>
            </w:pPr>
            <w:r w:rsidRPr="00406595">
              <w:rPr>
                <w:rFonts w:ascii="Arial" w:hAnsi="Arial" w:cs="Arial"/>
                <w:sz w:val="16"/>
              </w:rPr>
              <w:t>Abdominal Pain</w:t>
            </w:r>
          </w:p>
        </w:tc>
        <w:tc>
          <w:tcPr>
            <w:tcW w:w="4140" w:type="dxa"/>
            <w:tcBorders>
              <w:left w:val="single" w:sz="4" w:space="0" w:color="auto"/>
            </w:tcBorders>
            <w:shd w:val="clear" w:color="auto" w:fill="auto"/>
          </w:tcPr>
          <w:p w:rsidR="00907289" w:rsidRPr="00406595" w:rsidRDefault="00907289" w:rsidP="00406595">
            <w:pPr>
              <w:keepNext/>
              <w:keepLines/>
              <w:spacing w:before="40"/>
              <w:ind w:left="-56"/>
              <w:jc w:val="center"/>
              <w:rPr>
                <w:rFonts w:ascii="Arial" w:hAnsi="Arial" w:cs="Arial"/>
                <w:sz w:val="16"/>
              </w:rPr>
            </w:pPr>
            <w:r w:rsidRPr="00406595">
              <w:rPr>
                <w:rFonts w:ascii="Arial" w:hAnsi="Arial" w:cs="Arial"/>
                <w:sz w:val="16"/>
              </w:rPr>
              <w:t>9 (3.8)</w:t>
            </w:r>
          </w:p>
        </w:tc>
        <w:tc>
          <w:tcPr>
            <w:tcW w:w="4140" w:type="dxa"/>
            <w:shd w:val="clear" w:color="auto" w:fill="auto"/>
          </w:tcPr>
          <w:p w:rsidR="00907289" w:rsidRPr="00406595" w:rsidRDefault="00907289" w:rsidP="00406595">
            <w:pPr>
              <w:keepNext/>
              <w:keepLines/>
              <w:spacing w:before="40"/>
              <w:ind w:left="-56"/>
              <w:jc w:val="center"/>
              <w:rPr>
                <w:rFonts w:ascii="Arial" w:hAnsi="Arial" w:cs="Arial"/>
                <w:sz w:val="16"/>
              </w:rPr>
            </w:pPr>
            <w:r w:rsidRPr="00406595">
              <w:rPr>
                <w:rFonts w:ascii="Arial" w:hAnsi="Arial" w:cs="Arial"/>
                <w:sz w:val="16"/>
              </w:rPr>
              <w:t>10 (2.2)</w:t>
            </w:r>
          </w:p>
        </w:tc>
      </w:tr>
    </w:tbl>
    <w:p w:rsidR="00907289" w:rsidRDefault="00907289" w:rsidP="00E56E7B">
      <w:pPr>
        <w:pStyle w:val="Body"/>
        <w:spacing w:before="100" w:beforeAutospacing="1" w:after="100" w:afterAutospacing="1"/>
        <w:ind w:firstLine="0"/>
        <w:rPr>
          <w:rFonts w:cs="Arial"/>
          <w:bCs/>
          <w:sz w:val="22"/>
          <w:szCs w:val="22"/>
        </w:rPr>
      </w:pPr>
      <w:r>
        <w:rPr>
          <w:rFonts w:cs="Arial"/>
          <w:bCs/>
          <w:sz w:val="22"/>
          <w:szCs w:val="22"/>
        </w:rPr>
        <w:t>With the combination of sitagliptin and metformin, no clinically meaningful changes in vital signs or in ECG (including in QTc interval) were observed.</w:t>
      </w:r>
    </w:p>
    <w:p w:rsidR="00907289" w:rsidRDefault="00907289">
      <w:pPr>
        <w:jc w:val="both"/>
        <w:rPr>
          <w:rFonts w:ascii="Arial" w:hAnsi="Arial" w:cs="Arial"/>
          <w:i/>
          <w:sz w:val="22"/>
          <w:szCs w:val="22"/>
        </w:rPr>
      </w:pPr>
      <w:r>
        <w:rPr>
          <w:rFonts w:ascii="Arial" w:hAnsi="Arial" w:cs="Arial"/>
          <w:i/>
          <w:sz w:val="22"/>
          <w:szCs w:val="22"/>
        </w:rPr>
        <w:t>Established Adverse Experiences with Sitagliptin:</w:t>
      </w:r>
    </w:p>
    <w:p w:rsidR="00907289" w:rsidRDefault="00907289">
      <w:pPr>
        <w:pStyle w:val="Body"/>
        <w:ind w:firstLine="0"/>
        <w:rPr>
          <w:rFonts w:cs="Arial"/>
          <w:bCs/>
          <w:sz w:val="22"/>
          <w:szCs w:val="22"/>
        </w:rPr>
      </w:pPr>
      <w:r>
        <w:rPr>
          <w:rFonts w:cs="Arial"/>
          <w:bCs/>
          <w:sz w:val="22"/>
          <w:szCs w:val="22"/>
        </w:rPr>
        <w:t>The most common adverse experience in sitagliptin monotherapy reported regardless of investigator assessment of causality in ≥5% of patients and more commonly than in patients given placebo was nasopharyngitis.</w:t>
      </w:r>
    </w:p>
    <w:p w:rsidR="00907289" w:rsidRDefault="00907289" w:rsidP="00E56E7B">
      <w:pPr>
        <w:spacing w:before="100" w:beforeAutospacing="1"/>
        <w:jc w:val="both"/>
        <w:rPr>
          <w:rFonts w:ascii="Arial" w:hAnsi="Arial" w:cs="Arial"/>
          <w:i/>
          <w:sz w:val="22"/>
          <w:szCs w:val="22"/>
        </w:rPr>
      </w:pPr>
      <w:r>
        <w:rPr>
          <w:rFonts w:ascii="Arial" w:hAnsi="Arial" w:cs="Arial"/>
          <w:i/>
          <w:sz w:val="22"/>
          <w:szCs w:val="22"/>
        </w:rPr>
        <w:t>Established Adverse Experiences with Metformin:</w:t>
      </w:r>
    </w:p>
    <w:p w:rsidR="00907289" w:rsidRDefault="00907289">
      <w:pPr>
        <w:jc w:val="both"/>
        <w:rPr>
          <w:rFonts w:ascii="Arial" w:hAnsi="Arial" w:cs="Arial"/>
          <w:bCs/>
          <w:sz w:val="22"/>
          <w:szCs w:val="22"/>
        </w:rPr>
      </w:pPr>
      <w:r>
        <w:rPr>
          <w:rFonts w:ascii="Arial" w:hAnsi="Arial" w:cs="Arial"/>
          <w:bCs/>
          <w:sz w:val="22"/>
          <w:szCs w:val="22"/>
        </w:rPr>
        <w:t>The most common (&gt;5%) established adverse experiences due to initiation of metformin therapy are diarrhoea, nausea/vomiting, flatulence, abdominal discomfort, indigestion, asthenia, and headache.</w:t>
      </w:r>
    </w:p>
    <w:p w:rsidR="00907289" w:rsidRDefault="00907289">
      <w:pPr>
        <w:jc w:val="both"/>
        <w:rPr>
          <w:rFonts w:ascii="Arial" w:hAnsi="Arial" w:cs="Arial"/>
          <w:i/>
          <w:iCs/>
          <w:sz w:val="22"/>
          <w:szCs w:val="22"/>
        </w:rPr>
      </w:pPr>
      <w:r>
        <w:rPr>
          <w:rFonts w:ascii="Arial" w:hAnsi="Arial" w:cs="Arial"/>
          <w:i/>
          <w:iCs/>
          <w:sz w:val="22"/>
          <w:szCs w:val="22"/>
        </w:rPr>
        <w:t>Postmarketing Experience:</w:t>
      </w:r>
    </w:p>
    <w:p w:rsidR="00A6722D" w:rsidRDefault="00907289">
      <w:pPr>
        <w:jc w:val="both"/>
        <w:rPr>
          <w:rFonts w:ascii="Arial" w:hAnsi="Arial" w:cs="Arial"/>
          <w:sz w:val="22"/>
          <w:szCs w:val="22"/>
        </w:rPr>
      </w:pPr>
      <w:r>
        <w:rPr>
          <w:rFonts w:ascii="Arial" w:hAnsi="Arial" w:cs="Arial"/>
          <w:sz w:val="22"/>
          <w:szCs w:val="22"/>
        </w:rPr>
        <w:t>Additional adverse reactions have been identified during postmarketing use of JANUMET or sitagliptin, one of the components of JANUMET. These reactions have been reported when JANUMET or sitagliptin have been used alone and/or in combination with other antihyperglycaemic agents. Because these reactions are reported voluntarily from a population of uncertain size, it is generally not possible to reliably estimate their frequency or establish a causal relationship to drug exposure.</w:t>
      </w:r>
    </w:p>
    <w:p w:rsidR="00907289" w:rsidRDefault="00907289" w:rsidP="003C4953">
      <w:pPr>
        <w:ind w:left="720"/>
        <w:rPr>
          <w:rFonts w:ascii="Arial" w:hAnsi="Arial" w:cs="Arial"/>
          <w:sz w:val="22"/>
          <w:szCs w:val="22"/>
        </w:rPr>
      </w:pPr>
      <w:r>
        <w:rPr>
          <w:rFonts w:ascii="Arial" w:hAnsi="Arial" w:cs="Arial"/>
          <w:sz w:val="22"/>
          <w:szCs w:val="22"/>
          <w:lang w:val="en-GB"/>
        </w:rPr>
        <w:t xml:space="preserve">Hypersensitivity reactions including anaphylaxis, angioedema, rash, urticaria, cutaneous vasculitis, </w:t>
      </w:r>
      <w:r>
        <w:rPr>
          <w:rFonts w:ascii="Arial" w:hAnsi="Arial"/>
          <w:sz w:val="22"/>
          <w:szCs w:val="22"/>
        </w:rPr>
        <w:t xml:space="preserve">and exfoliative skin conditions including Stevens-Johnson syndrome (see </w:t>
      </w:r>
      <w:r>
        <w:rPr>
          <w:rFonts w:ascii="Arial" w:hAnsi="Arial"/>
          <w:b/>
          <w:sz w:val="22"/>
          <w:szCs w:val="22"/>
        </w:rPr>
        <w:t>CONTRAINDICATIONS</w:t>
      </w:r>
      <w:r>
        <w:rPr>
          <w:rFonts w:ascii="Arial" w:hAnsi="Arial"/>
          <w:sz w:val="22"/>
          <w:szCs w:val="22"/>
        </w:rPr>
        <w:t xml:space="preserve"> and </w:t>
      </w:r>
      <w:r>
        <w:rPr>
          <w:rFonts w:ascii="Arial" w:hAnsi="Arial"/>
          <w:b/>
          <w:sz w:val="22"/>
          <w:szCs w:val="22"/>
        </w:rPr>
        <w:t>PRECAUTIONS</w:t>
      </w:r>
      <w:r>
        <w:rPr>
          <w:rFonts w:ascii="Arial" w:hAnsi="Arial"/>
          <w:sz w:val="22"/>
          <w:szCs w:val="22"/>
        </w:rPr>
        <w:t xml:space="preserve">, </w:t>
      </w:r>
      <w:r>
        <w:rPr>
          <w:rFonts w:ascii="Arial" w:hAnsi="Arial"/>
          <w:i/>
          <w:sz w:val="22"/>
          <w:szCs w:val="22"/>
        </w:rPr>
        <w:t>Sitagliptin phosphate monohydrate</w:t>
      </w:r>
      <w:r>
        <w:rPr>
          <w:rFonts w:ascii="Arial" w:hAnsi="Arial"/>
          <w:sz w:val="22"/>
          <w:szCs w:val="22"/>
        </w:rPr>
        <w:t>, Hypersensitivity Reactions)</w:t>
      </w:r>
      <w:r>
        <w:rPr>
          <w:rFonts w:ascii="Arial" w:hAnsi="Arial" w:cs="Arial"/>
          <w:sz w:val="22"/>
          <w:szCs w:val="22"/>
          <w:lang w:val="en-GB"/>
        </w:rPr>
        <w:t>; acute pancreatitis</w:t>
      </w:r>
      <w:r>
        <w:rPr>
          <w:rFonts w:ascii="Arial" w:hAnsi="Arial" w:cs="Arial"/>
          <w:snapToGrid w:val="0"/>
          <w:sz w:val="22"/>
          <w:szCs w:val="22"/>
        </w:rPr>
        <w:t xml:space="preserve">, including fatal and non-fatal </w:t>
      </w:r>
      <w:r>
        <w:rPr>
          <w:rFonts w:ascii="Arial" w:hAnsi="Arial" w:cs="Arial"/>
          <w:sz w:val="22"/>
          <w:szCs w:val="22"/>
        </w:rPr>
        <w:t>haemorrhagic</w:t>
      </w:r>
      <w:r>
        <w:rPr>
          <w:rFonts w:ascii="Arial" w:hAnsi="Arial" w:cs="Arial"/>
          <w:snapToGrid w:val="0"/>
          <w:sz w:val="22"/>
          <w:szCs w:val="22"/>
        </w:rPr>
        <w:t xml:space="preserve"> and necrotising pancreatitis (see </w:t>
      </w:r>
      <w:r>
        <w:rPr>
          <w:rFonts w:ascii="Arial" w:hAnsi="Arial" w:cs="Arial"/>
          <w:b/>
          <w:sz w:val="22"/>
          <w:szCs w:val="22"/>
        </w:rPr>
        <w:t>PRECAUTIONS</w:t>
      </w:r>
      <w:r>
        <w:rPr>
          <w:rFonts w:ascii="Arial" w:hAnsi="Arial" w:cs="Arial"/>
          <w:bCs/>
          <w:sz w:val="22"/>
          <w:szCs w:val="22"/>
        </w:rPr>
        <w:t xml:space="preserve">, </w:t>
      </w:r>
      <w:r>
        <w:rPr>
          <w:rFonts w:ascii="Arial" w:hAnsi="Arial" w:cs="Arial"/>
          <w:bCs/>
          <w:i/>
          <w:iCs/>
          <w:sz w:val="22"/>
          <w:szCs w:val="22"/>
          <w:u w:val="single"/>
        </w:rPr>
        <w:t>Pancreatitis</w:t>
      </w:r>
      <w:r>
        <w:rPr>
          <w:rFonts w:ascii="Arial" w:hAnsi="Arial" w:cs="Arial"/>
          <w:bCs/>
          <w:sz w:val="22"/>
          <w:szCs w:val="22"/>
          <w:u w:val="single"/>
        </w:rPr>
        <w:t>)</w:t>
      </w:r>
      <w:r>
        <w:rPr>
          <w:rFonts w:ascii="Arial" w:hAnsi="Arial" w:cs="Arial"/>
          <w:sz w:val="22"/>
          <w:szCs w:val="22"/>
          <w:lang w:val="en-GB"/>
        </w:rPr>
        <w:t>; worsening renal function, including acute renal failure (sometimes requiring dialysis); upper respiratory tract infection; nasopharyngitis; constipation; vomiting; headache</w:t>
      </w:r>
      <w:r w:rsidR="0031613B">
        <w:rPr>
          <w:rFonts w:ascii="Arial" w:hAnsi="Arial" w:cs="Arial"/>
          <w:sz w:val="22"/>
          <w:szCs w:val="22"/>
          <w:lang w:val="en-GB"/>
        </w:rPr>
        <w:t>; arthralgia</w:t>
      </w:r>
      <w:r w:rsidR="007F5CAF">
        <w:rPr>
          <w:rFonts w:ascii="Arial" w:hAnsi="Arial" w:cs="Arial"/>
          <w:sz w:val="22"/>
          <w:szCs w:val="22"/>
          <w:lang w:val="en-GB"/>
        </w:rPr>
        <w:t>;</w:t>
      </w:r>
      <w:r w:rsidR="0031613B">
        <w:rPr>
          <w:rFonts w:ascii="Arial" w:hAnsi="Arial" w:cs="Arial"/>
          <w:sz w:val="22"/>
          <w:szCs w:val="22"/>
          <w:lang w:val="en-GB"/>
        </w:rPr>
        <w:t xml:space="preserve"> myalgia; pain in extremity; back pain</w:t>
      </w:r>
      <w:r>
        <w:rPr>
          <w:rFonts w:ascii="Arial" w:hAnsi="Arial" w:cs="Arial"/>
          <w:sz w:val="22"/>
          <w:szCs w:val="22"/>
          <w:lang w:val="en-GB"/>
        </w:rPr>
        <w:t>.</w:t>
      </w:r>
    </w:p>
    <w:p w:rsidR="00907289" w:rsidRDefault="00907289" w:rsidP="00E56E7B">
      <w:pPr>
        <w:spacing w:before="100" w:beforeAutospacing="1" w:after="100" w:afterAutospacing="1"/>
        <w:jc w:val="center"/>
        <w:outlineLvl w:val="0"/>
        <w:rPr>
          <w:rFonts w:ascii="Arial" w:hAnsi="Arial" w:cs="Arial"/>
          <w:b/>
          <w:sz w:val="22"/>
          <w:szCs w:val="22"/>
        </w:rPr>
      </w:pPr>
      <w:r>
        <w:rPr>
          <w:rFonts w:ascii="Arial" w:hAnsi="Arial" w:cs="Arial"/>
          <w:b/>
          <w:sz w:val="22"/>
          <w:szCs w:val="22"/>
        </w:rPr>
        <w:t>DOSAGE AND ADMINISTRATION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907289" w:rsidRPr="00406595" w:rsidTr="00406595">
        <w:tc>
          <w:tcPr>
            <w:tcW w:w="9576" w:type="dxa"/>
            <w:shd w:val="clear" w:color="auto" w:fill="auto"/>
          </w:tcPr>
          <w:p w:rsidR="00907289" w:rsidRPr="00406595" w:rsidRDefault="00907289" w:rsidP="00406595">
            <w:pPr>
              <w:jc w:val="right"/>
              <w:rPr>
                <w:rFonts w:ascii="Arial" w:hAnsi="Arial" w:cs="Arial"/>
                <w:sz w:val="22"/>
                <w:szCs w:val="22"/>
              </w:rPr>
            </w:pPr>
          </w:p>
          <w:p w:rsidR="00907289" w:rsidRPr="00406595" w:rsidRDefault="00907289">
            <w:pPr>
              <w:rPr>
                <w:rFonts w:ascii="Arial" w:hAnsi="Arial" w:cs="Arial"/>
                <w:sz w:val="22"/>
                <w:szCs w:val="22"/>
              </w:rPr>
            </w:pPr>
            <w:r w:rsidRPr="00406595">
              <w:rPr>
                <w:rFonts w:ascii="Arial" w:hAnsi="Arial" w:cs="Arial"/>
                <w:sz w:val="22"/>
                <w:szCs w:val="22"/>
              </w:rPr>
              <w:t>Life-threatening lactic acidosis can occur due to accumulation of metformin. Risk factors include renal impairment, old age and the use of high doses of metformin above 2000 mg per day.</w:t>
            </w:r>
          </w:p>
          <w:p w:rsidR="00907289" w:rsidRPr="00406595" w:rsidRDefault="00907289">
            <w:pPr>
              <w:rPr>
                <w:rFonts w:ascii="Arial" w:hAnsi="Arial" w:cs="Arial"/>
                <w:sz w:val="22"/>
                <w:szCs w:val="22"/>
              </w:rPr>
            </w:pPr>
          </w:p>
        </w:tc>
      </w:tr>
    </w:tbl>
    <w:p w:rsidR="00907289" w:rsidRDefault="00907289" w:rsidP="00E56E7B">
      <w:pPr>
        <w:spacing w:before="100" w:beforeAutospacing="1"/>
        <w:jc w:val="both"/>
        <w:outlineLvl w:val="0"/>
        <w:rPr>
          <w:rFonts w:ascii="Arial" w:hAnsi="Arial" w:cs="Arial"/>
          <w:i/>
          <w:sz w:val="22"/>
          <w:szCs w:val="22"/>
        </w:rPr>
      </w:pPr>
      <w:r>
        <w:rPr>
          <w:rFonts w:ascii="Arial" w:hAnsi="Arial" w:cs="Arial"/>
          <w:i/>
          <w:sz w:val="22"/>
          <w:szCs w:val="22"/>
        </w:rPr>
        <w:t>General</w:t>
      </w:r>
    </w:p>
    <w:p w:rsidR="00907289" w:rsidRDefault="00907289">
      <w:pPr>
        <w:jc w:val="both"/>
        <w:rPr>
          <w:rFonts w:ascii="Arial" w:hAnsi="Arial" w:cs="Arial"/>
          <w:bCs/>
          <w:sz w:val="22"/>
          <w:szCs w:val="22"/>
        </w:rPr>
      </w:pPr>
      <w:r>
        <w:rPr>
          <w:rFonts w:ascii="Arial" w:hAnsi="Arial" w:cs="Arial"/>
          <w:bCs/>
          <w:sz w:val="22"/>
          <w:szCs w:val="22"/>
        </w:rPr>
        <w:t>The dosage of antihyperglycaemic therapy with JANUMET should be individualized on the basis of the patient’s current regimen, effectiveness and tolerability while not exceeding the maximum recommended daily dose of 100 mg sitagliptin</w:t>
      </w:r>
      <w:r w:rsidR="00857565">
        <w:rPr>
          <w:rFonts w:ascii="Arial" w:hAnsi="Arial" w:cs="Arial"/>
          <w:bCs/>
          <w:sz w:val="22"/>
          <w:szCs w:val="22"/>
        </w:rPr>
        <w:t xml:space="preserve"> and 2000 mg metformin</w:t>
      </w:r>
      <w:r>
        <w:rPr>
          <w:rFonts w:ascii="Arial" w:hAnsi="Arial" w:cs="Arial"/>
          <w:bCs/>
          <w:sz w:val="22"/>
          <w:szCs w:val="22"/>
        </w:rPr>
        <w:t>.</w:t>
      </w:r>
    </w:p>
    <w:p w:rsidR="00907289" w:rsidRDefault="00907289" w:rsidP="00E56E7B">
      <w:pPr>
        <w:spacing w:before="100" w:beforeAutospacing="1" w:after="100" w:afterAutospacing="1"/>
        <w:jc w:val="both"/>
        <w:rPr>
          <w:rFonts w:ascii="Arial" w:hAnsi="Arial" w:cs="Arial"/>
          <w:bCs/>
          <w:sz w:val="22"/>
          <w:szCs w:val="22"/>
        </w:rPr>
      </w:pPr>
      <w:r>
        <w:rPr>
          <w:rFonts w:ascii="Arial" w:hAnsi="Arial" w:cs="Arial"/>
          <w:bCs/>
          <w:sz w:val="22"/>
          <w:szCs w:val="22"/>
        </w:rPr>
        <w:t>JANUMET should generally be given twice daily with meals, with gradual dose escalation, to reduce the gastrointestinal (GI) side effects due to metformin.</w:t>
      </w:r>
      <w:r w:rsidR="009D051C">
        <w:rPr>
          <w:rFonts w:ascii="Arial" w:hAnsi="Arial" w:cs="Arial"/>
          <w:bCs/>
          <w:sz w:val="22"/>
          <w:szCs w:val="22"/>
        </w:rPr>
        <w:t xml:space="preserve"> Patients should </w:t>
      </w:r>
      <w:r w:rsidR="00074679">
        <w:rPr>
          <w:rFonts w:ascii="Arial" w:hAnsi="Arial" w:cs="Arial"/>
          <w:bCs/>
          <w:sz w:val="22"/>
          <w:szCs w:val="22"/>
        </w:rPr>
        <w:t xml:space="preserve">only </w:t>
      </w:r>
      <w:r w:rsidR="009D051C">
        <w:rPr>
          <w:rFonts w:ascii="Arial" w:hAnsi="Arial" w:cs="Arial"/>
          <w:bCs/>
          <w:sz w:val="22"/>
          <w:szCs w:val="22"/>
        </w:rPr>
        <w:t xml:space="preserve">be prescribed </w:t>
      </w:r>
      <w:r w:rsidR="00074679">
        <w:rPr>
          <w:rFonts w:ascii="Arial" w:hAnsi="Arial" w:cs="Arial"/>
          <w:bCs/>
          <w:sz w:val="22"/>
          <w:szCs w:val="22"/>
        </w:rPr>
        <w:t>one strength</w:t>
      </w:r>
      <w:r w:rsidR="009D051C">
        <w:rPr>
          <w:rFonts w:ascii="Arial" w:hAnsi="Arial" w:cs="Arial"/>
          <w:bCs/>
          <w:sz w:val="22"/>
          <w:szCs w:val="22"/>
        </w:rPr>
        <w:t xml:space="preserve"> of JANUMET</w:t>
      </w:r>
      <w:r w:rsidR="0031613B">
        <w:rPr>
          <w:rFonts w:ascii="Arial" w:hAnsi="Arial" w:cs="Arial"/>
          <w:bCs/>
          <w:sz w:val="22"/>
          <w:szCs w:val="22"/>
        </w:rPr>
        <w:t xml:space="preserve"> </w:t>
      </w:r>
      <w:r w:rsidR="009E39FD">
        <w:rPr>
          <w:rFonts w:ascii="Arial" w:hAnsi="Arial" w:cs="Arial"/>
          <w:bCs/>
          <w:sz w:val="22"/>
          <w:szCs w:val="22"/>
        </w:rPr>
        <w:t>a</w:t>
      </w:r>
      <w:r w:rsidR="00074679">
        <w:rPr>
          <w:rFonts w:ascii="Arial" w:hAnsi="Arial" w:cs="Arial"/>
          <w:bCs/>
          <w:sz w:val="22"/>
          <w:szCs w:val="22"/>
        </w:rPr>
        <w:t>t a</w:t>
      </w:r>
      <w:r w:rsidR="009E39FD">
        <w:rPr>
          <w:rFonts w:ascii="Arial" w:hAnsi="Arial" w:cs="Arial"/>
          <w:bCs/>
          <w:sz w:val="22"/>
          <w:szCs w:val="22"/>
        </w:rPr>
        <w:t xml:space="preserve"> time</w:t>
      </w:r>
      <w:r w:rsidR="0031613B">
        <w:rPr>
          <w:rFonts w:ascii="Arial" w:hAnsi="Arial" w:cs="Arial"/>
          <w:bCs/>
          <w:sz w:val="22"/>
          <w:szCs w:val="22"/>
        </w:rPr>
        <w:t>.</w:t>
      </w:r>
    </w:p>
    <w:p w:rsidR="00907289" w:rsidRDefault="00907289" w:rsidP="006656A9">
      <w:pPr>
        <w:jc w:val="both"/>
        <w:outlineLvl w:val="0"/>
        <w:rPr>
          <w:rFonts w:ascii="Arial" w:hAnsi="Arial" w:cs="Arial"/>
          <w:i/>
          <w:sz w:val="22"/>
          <w:szCs w:val="22"/>
        </w:rPr>
      </w:pPr>
      <w:r>
        <w:rPr>
          <w:rFonts w:ascii="Arial" w:hAnsi="Arial" w:cs="Arial"/>
          <w:i/>
          <w:sz w:val="22"/>
          <w:szCs w:val="22"/>
        </w:rPr>
        <w:lastRenderedPageBreak/>
        <w:t>Dosing Recommendations</w:t>
      </w:r>
    </w:p>
    <w:p w:rsidR="00907289" w:rsidRDefault="00907289">
      <w:pPr>
        <w:jc w:val="both"/>
        <w:rPr>
          <w:rFonts w:ascii="Arial" w:hAnsi="Arial" w:cs="Arial"/>
          <w:bCs/>
          <w:sz w:val="22"/>
          <w:szCs w:val="22"/>
        </w:rPr>
      </w:pPr>
      <w:r>
        <w:rPr>
          <w:rFonts w:ascii="Arial" w:hAnsi="Arial" w:cs="Arial"/>
          <w:bCs/>
          <w:sz w:val="22"/>
          <w:szCs w:val="22"/>
        </w:rPr>
        <w:t>The starting dose of JANUMET should be based on the patient’s current regimen. JANUMET should be given twice daily with meals. The following doses are available:</w:t>
      </w:r>
    </w:p>
    <w:p w:rsidR="00907289" w:rsidRDefault="00907289" w:rsidP="00E56E7B">
      <w:pPr>
        <w:spacing w:before="100" w:beforeAutospacing="1"/>
        <w:ind w:firstLine="720"/>
        <w:jc w:val="both"/>
        <w:rPr>
          <w:rFonts w:ascii="Arial" w:hAnsi="Arial" w:cs="Arial"/>
          <w:sz w:val="22"/>
          <w:szCs w:val="22"/>
        </w:rPr>
      </w:pPr>
      <w:r>
        <w:rPr>
          <w:rFonts w:ascii="Arial" w:hAnsi="Arial" w:cs="Arial"/>
          <w:sz w:val="22"/>
          <w:szCs w:val="22"/>
        </w:rPr>
        <w:t>50 mg sitagliptin/500 mg metformin hydrochloride</w:t>
      </w:r>
    </w:p>
    <w:p w:rsidR="00907289" w:rsidRDefault="00907289">
      <w:pPr>
        <w:ind w:firstLine="720"/>
        <w:jc w:val="both"/>
        <w:rPr>
          <w:rFonts w:ascii="Arial" w:hAnsi="Arial" w:cs="Arial"/>
          <w:sz w:val="22"/>
          <w:szCs w:val="22"/>
        </w:rPr>
      </w:pPr>
      <w:r>
        <w:rPr>
          <w:rFonts w:ascii="Arial" w:hAnsi="Arial" w:cs="Arial"/>
          <w:sz w:val="22"/>
          <w:szCs w:val="22"/>
        </w:rPr>
        <w:t>50 mg sitagliptin/850 mg metformin hydrochloride</w:t>
      </w:r>
    </w:p>
    <w:p w:rsidR="00907289" w:rsidRDefault="00907289">
      <w:pPr>
        <w:ind w:firstLine="700"/>
        <w:jc w:val="both"/>
        <w:rPr>
          <w:rFonts w:ascii="Arial" w:hAnsi="Arial" w:cs="Arial"/>
          <w:sz w:val="22"/>
          <w:szCs w:val="22"/>
        </w:rPr>
      </w:pPr>
      <w:r>
        <w:rPr>
          <w:rFonts w:ascii="Arial" w:hAnsi="Arial" w:cs="Arial"/>
          <w:sz w:val="22"/>
          <w:szCs w:val="22"/>
        </w:rPr>
        <w:t>50 mg sitagliptin/1000 mg metformin hydrochloride</w:t>
      </w:r>
    </w:p>
    <w:p w:rsidR="007766B5" w:rsidRPr="007766B5" w:rsidRDefault="007766B5" w:rsidP="00E56E7B">
      <w:pPr>
        <w:spacing w:before="100" w:beforeAutospacing="1"/>
        <w:jc w:val="both"/>
        <w:rPr>
          <w:rFonts w:ascii="Arial" w:hAnsi="Arial" w:cs="Arial"/>
          <w:i/>
          <w:sz w:val="22"/>
          <w:szCs w:val="22"/>
        </w:rPr>
      </w:pPr>
      <w:r w:rsidRPr="007766B5">
        <w:rPr>
          <w:rFonts w:ascii="Arial" w:hAnsi="Arial" w:cs="Arial"/>
          <w:i/>
          <w:sz w:val="22"/>
          <w:szCs w:val="22"/>
        </w:rPr>
        <w:t>As initial therapy:</w:t>
      </w:r>
    </w:p>
    <w:p w:rsidR="007766B5" w:rsidRDefault="007766B5" w:rsidP="007766B5">
      <w:pPr>
        <w:jc w:val="both"/>
        <w:rPr>
          <w:rFonts w:ascii="Arial" w:hAnsi="Arial" w:cs="Arial"/>
          <w:sz w:val="22"/>
          <w:szCs w:val="22"/>
        </w:rPr>
      </w:pPr>
      <w:r w:rsidRPr="007766B5">
        <w:rPr>
          <w:rFonts w:ascii="Arial" w:hAnsi="Arial" w:cs="Arial"/>
          <w:sz w:val="22"/>
          <w:szCs w:val="22"/>
        </w:rPr>
        <w:t>For patients with type 2 diabetes mellitus, whose hyperglyc</w:t>
      </w:r>
      <w:r>
        <w:rPr>
          <w:rFonts w:ascii="Arial" w:hAnsi="Arial" w:cs="Arial"/>
          <w:sz w:val="22"/>
          <w:szCs w:val="22"/>
        </w:rPr>
        <w:t>a</w:t>
      </w:r>
      <w:r w:rsidRPr="007766B5">
        <w:rPr>
          <w:rFonts w:ascii="Arial" w:hAnsi="Arial" w:cs="Arial"/>
          <w:sz w:val="22"/>
          <w:szCs w:val="22"/>
        </w:rPr>
        <w:t>emia is inadequately controlled with</w:t>
      </w:r>
      <w:r>
        <w:rPr>
          <w:rFonts w:ascii="Arial" w:hAnsi="Arial" w:cs="Arial"/>
          <w:sz w:val="22"/>
          <w:szCs w:val="22"/>
        </w:rPr>
        <w:t xml:space="preserve"> </w:t>
      </w:r>
      <w:r w:rsidRPr="007766B5">
        <w:rPr>
          <w:rFonts w:ascii="Arial" w:hAnsi="Arial" w:cs="Arial"/>
          <w:sz w:val="22"/>
          <w:szCs w:val="22"/>
        </w:rPr>
        <w:t>diet and exercise alone</w:t>
      </w:r>
      <w:r w:rsidR="002F3C95">
        <w:rPr>
          <w:rFonts w:ascii="Arial" w:hAnsi="Arial" w:cs="Arial"/>
          <w:sz w:val="22"/>
          <w:szCs w:val="22"/>
        </w:rPr>
        <w:t>, when dual therapy is appropriate</w:t>
      </w:r>
      <w:r w:rsidRPr="007766B5">
        <w:rPr>
          <w:rFonts w:ascii="Arial" w:hAnsi="Arial" w:cs="Arial"/>
          <w:sz w:val="22"/>
          <w:szCs w:val="22"/>
        </w:rPr>
        <w:t xml:space="preserve">, the recommended dose of JANUMET is </w:t>
      </w:r>
      <w:r w:rsidR="002F3C95">
        <w:rPr>
          <w:rFonts w:ascii="Arial" w:hAnsi="Arial" w:cs="Arial"/>
          <w:sz w:val="22"/>
          <w:szCs w:val="22"/>
        </w:rPr>
        <w:t>50</w:t>
      </w:r>
      <w:r>
        <w:rPr>
          <w:rFonts w:ascii="Arial" w:hAnsi="Arial" w:cs="Arial"/>
          <w:sz w:val="22"/>
          <w:szCs w:val="22"/>
        </w:rPr>
        <w:t> </w:t>
      </w:r>
      <w:r w:rsidR="002F3C95">
        <w:rPr>
          <w:rFonts w:ascii="Arial" w:hAnsi="Arial" w:cs="Arial"/>
          <w:sz w:val="22"/>
          <w:szCs w:val="22"/>
        </w:rPr>
        <w:t>mg sitagliptin/500 </w:t>
      </w:r>
      <w:r w:rsidRPr="007766B5">
        <w:rPr>
          <w:rFonts w:ascii="Arial" w:hAnsi="Arial" w:cs="Arial"/>
          <w:sz w:val="22"/>
          <w:szCs w:val="22"/>
        </w:rPr>
        <w:t>mg metformin hydrochloride</w:t>
      </w:r>
      <w:r w:rsidR="002F3C95">
        <w:rPr>
          <w:rFonts w:ascii="Arial" w:hAnsi="Arial" w:cs="Arial"/>
          <w:sz w:val="22"/>
          <w:szCs w:val="22"/>
        </w:rPr>
        <w:t xml:space="preserve"> twice daily</w:t>
      </w:r>
      <w:r w:rsidRPr="007766B5">
        <w:rPr>
          <w:rFonts w:ascii="Arial" w:hAnsi="Arial" w:cs="Arial"/>
          <w:sz w:val="22"/>
          <w:szCs w:val="22"/>
        </w:rPr>
        <w:t>.</w:t>
      </w:r>
      <w:r w:rsidR="002F3C95">
        <w:rPr>
          <w:rFonts w:ascii="Arial" w:hAnsi="Arial" w:cs="Arial"/>
          <w:sz w:val="22"/>
          <w:szCs w:val="22"/>
        </w:rPr>
        <w:t xml:space="preserve"> Patients </w:t>
      </w:r>
      <w:r w:rsidR="009D051C">
        <w:rPr>
          <w:rFonts w:ascii="Arial" w:hAnsi="Arial" w:cs="Arial"/>
          <w:sz w:val="22"/>
          <w:szCs w:val="22"/>
        </w:rPr>
        <w:t>with inadequate glycaemic control on this dose should have their metformin dose increased</w:t>
      </w:r>
      <w:r w:rsidR="002F3C95">
        <w:rPr>
          <w:rFonts w:ascii="Arial" w:hAnsi="Arial" w:cs="Arial"/>
          <w:sz w:val="22"/>
          <w:szCs w:val="22"/>
        </w:rPr>
        <w:t xml:space="preserve"> up to </w:t>
      </w:r>
      <w:r w:rsidR="009D051C">
        <w:rPr>
          <w:rFonts w:ascii="Arial" w:hAnsi="Arial" w:cs="Arial"/>
          <w:sz w:val="22"/>
          <w:szCs w:val="22"/>
        </w:rPr>
        <w:t xml:space="preserve">a maximum of </w:t>
      </w:r>
      <w:r w:rsidR="002F3C95">
        <w:rPr>
          <w:rFonts w:ascii="Arial" w:hAnsi="Arial" w:cs="Arial"/>
          <w:sz w:val="22"/>
          <w:szCs w:val="22"/>
        </w:rPr>
        <w:t>50 mg sitagliptin/1000 mg metformin hydrochloride twice daily.</w:t>
      </w:r>
    </w:p>
    <w:p w:rsidR="00851F6F" w:rsidRPr="00851F6F" w:rsidRDefault="00851F6F" w:rsidP="00E56E7B">
      <w:pPr>
        <w:spacing w:before="100" w:beforeAutospacing="1"/>
        <w:jc w:val="both"/>
        <w:rPr>
          <w:rFonts w:ascii="Arial" w:hAnsi="Arial" w:cs="Arial"/>
          <w:i/>
          <w:sz w:val="22"/>
          <w:szCs w:val="22"/>
        </w:rPr>
      </w:pPr>
      <w:r w:rsidRPr="00851F6F">
        <w:rPr>
          <w:rFonts w:ascii="Arial" w:hAnsi="Arial" w:cs="Arial"/>
          <w:i/>
          <w:sz w:val="22"/>
          <w:szCs w:val="22"/>
        </w:rPr>
        <w:t>For patients inadequately controlled on sitagliptin monotherapy:</w:t>
      </w:r>
    </w:p>
    <w:p w:rsidR="00851F6F" w:rsidRPr="00851F6F" w:rsidRDefault="00851F6F" w:rsidP="00E56E7B">
      <w:pPr>
        <w:spacing w:after="100" w:afterAutospacing="1"/>
        <w:jc w:val="both"/>
        <w:rPr>
          <w:rFonts w:ascii="Arial" w:hAnsi="Arial" w:cs="Arial"/>
          <w:sz w:val="22"/>
          <w:szCs w:val="22"/>
        </w:rPr>
      </w:pPr>
      <w:r w:rsidRPr="00851F6F">
        <w:rPr>
          <w:rFonts w:ascii="Arial" w:hAnsi="Arial" w:cs="Arial"/>
          <w:sz w:val="22"/>
          <w:szCs w:val="22"/>
        </w:rPr>
        <w:t xml:space="preserve">For patients inadequately controlled on sitagliptin alone, the recommended </w:t>
      </w:r>
      <w:r w:rsidR="002F3C95">
        <w:rPr>
          <w:rFonts w:ascii="Arial" w:hAnsi="Arial" w:cs="Arial"/>
          <w:sz w:val="22"/>
          <w:szCs w:val="22"/>
        </w:rPr>
        <w:t>starting dose of JANUMET is 50 mg sitagliptin and 500 </w:t>
      </w:r>
      <w:r w:rsidRPr="00851F6F">
        <w:rPr>
          <w:rFonts w:ascii="Arial" w:hAnsi="Arial" w:cs="Arial"/>
          <w:sz w:val="22"/>
          <w:szCs w:val="22"/>
        </w:rPr>
        <w:t>mg metformin hydrochloride</w:t>
      </w:r>
      <w:r w:rsidR="002F3C95">
        <w:rPr>
          <w:rFonts w:ascii="Arial" w:hAnsi="Arial" w:cs="Arial"/>
          <w:sz w:val="22"/>
          <w:szCs w:val="22"/>
        </w:rPr>
        <w:t xml:space="preserve"> twice daily</w:t>
      </w:r>
      <w:r w:rsidRPr="00851F6F">
        <w:rPr>
          <w:rFonts w:ascii="Arial" w:hAnsi="Arial" w:cs="Arial"/>
          <w:sz w:val="22"/>
          <w:szCs w:val="22"/>
        </w:rPr>
        <w:t xml:space="preserve">. </w:t>
      </w:r>
      <w:r w:rsidR="002F3C95">
        <w:rPr>
          <w:rFonts w:ascii="Arial" w:hAnsi="Arial" w:cs="Arial"/>
          <w:sz w:val="22"/>
          <w:szCs w:val="22"/>
        </w:rPr>
        <w:t>Patients may be titrated up to 50 mg sitagliptin/1000 mg metformin hydrochloride twice daily.</w:t>
      </w:r>
      <w:r w:rsidRPr="00851F6F">
        <w:rPr>
          <w:rFonts w:ascii="Arial" w:hAnsi="Arial" w:cs="Arial"/>
          <w:sz w:val="22"/>
          <w:szCs w:val="22"/>
        </w:rPr>
        <w:t xml:space="preserve"> Patients taking sitagliptin monotherapy dose-adjusted for renal insufficiency should not be switched to JANUMET (see </w:t>
      </w:r>
      <w:r w:rsidRPr="00851F6F">
        <w:rPr>
          <w:rFonts w:ascii="Arial" w:hAnsi="Arial" w:cs="Arial"/>
          <w:b/>
          <w:sz w:val="22"/>
          <w:szCs w:val="22"/>
        </w:rPr>
        <w:t>CONTRAINDICATIONS</w:t>
      </w:r>
      <w:r w:rsidRPr="00851F6F">
        <w:rPr>
          <w:rFonts w:ascii="Arial" w:hAnsi="Arial" w:cs="Arial"/>
          <w:sz w:val="22"/>
          <w:szCs w:val="22"/>
        </w:rPr>
        <w:t>).</w:t>
      </w:r>
    </w:p>
    <w:p w:rsidR="00907289" w:rsidRDefault="00907289" w:rsidP="006656A9">
      <w:pPr>
        <w:jc w:val="both"/>
        <w:outlineLvl w:val="0"/>
        <w:rPr>
          <w:rFonts w:ascii="Arial" w:hAnsi="Arial" w:cs="Arial"/>
          <w:bCs/>
          <w:i/>
          <w:sz w:val="22"/>
          <w:szCs w:val="22"/>
        </w:rPr>
      </w:pPr>
      <w:r>
        <w:rPr>
          <w:rFonts w:ascii="Arial" w:hAnsi="Arial" w:cs="Arial"/>
          <w:bCs/>
          <w:i/>
          <w:sz w:val="22"/>
          <w:szCs w:val="22"/>
        </w:rPr>
        <w:t>For patients inadequately controlled on metformin monotherapy</w:t>
      </w:r>
    </w:p>
    <w:p w:rsidR="00907289" w:rsidRDefault="00907289">
      <w:pPr>
        <w:jc w:val="both"/>
        <w:rPr>
          <w:rFonts w:ascii="Arial" w:hAnsi="Arial" w:cs="Arial"/>
          <w:sz w:val="22"/>
          <w:szCs w:val="22"/>
        </w:rPr>
      </w:pPr>
      <w:r>
        <w:rPr>
          <w:rFonts w:ascii="Arial" w:hAnsi="Arial" w:cs="Arial"/>
          <w:bCs/>
          <w:sz w:val="22"/>
          <w:szCs w:val="22"/>
        </w:rPr>
        <w:t>For patients not adequately controlled on metformin alone, the usual starting dose of JANUMET should provide sitagliptin dosed as 50 mg twice daily (100 mg total daily dose) plus the dose of metformin already being taken</w:t>
      </w:r>
      <w:r>
        <w:rPr>
          <w:rFonts w:ascii="Arial" w:hAnsi="Arial" w:cs="Arial"/>
          <w:sz w:val="22"/>
          <w:szCs w:val="22"/>
        </w:rPr>
        <w:t>.</w:t>
      </w:r>
    </w:p>
    <w:p w:rsidR="00907289" w:rsidRDefault="00907289" w:rsidP="00E56E7B">
      <w:pPr>
        <w:spacing w:before="100" w:beforeAutospacing="1"/>
        <w:jc w:val="both"/>
        <w:outlineLvl w:val="0"/>
        <w:rPr>
          <w:rFonts w:ascii="Arial" w:hAnsi="Arial" w:cs="Arial"/>
          <w:bCs/>
          <w:i/>
          <w:sz w:val="22"/>
          <w:szCs w:val="22"/>
        </w:rPr>
      </w:pPr>
      <w:r>
        <w:rPr>
          <w:rFonts w:ascii="Arial" w:hAnsi="Arial" w:cs="Arial"/>
          <w:bCs/>
          <w:i/>
          <w:sz w:val="22"/>
          <w:szCs w:val="22"/>
        </w:rPr>
        <w:t xml:space="preserve">For patients switching from sitagliptin co-administered with metformin </w:t>
      </w:r>
    </w:p>
    <w:p w:rsidR="00A6722D" w:rsidRPr="007766B5" w:rsidRDefault="00907289">
      <w:pPr>
        <w:jc w:val="both"/>
        <w:rPr>
          <w:rFonts w:ascii="Arial" w:hAnsi="Arial" w:cs="Arial"/>
          <w:bCs/>
          <w:sz w:val="22"/>
          <w:szCs w:val="22"/>
        </w:rPr>
      </w:pPr>
      <w:r>
        <w:rPr>
          <w:rFonts w:ascii="Arial" w:hAnsi="Arial" w:cs="Arial"/>
          <w:bCs/>
          <w:sz w:val="22"/>
          <w:szCs w:val="22"/>
        </w:rPr>
        <w:t>For patients switching from sitagliptin co-administrated with metformin, JANUMET may be initiated at the dose of sitagliptin and metformin already being taken.</w:t>
      </w:r>
    </w:p>
    <w:p w:rsidR="00907289" w:rsidRDefault="00907289" w:rsidP="00E56E7B">
      <w:pPr>
        <w:spacing w:before="100" w:beforeAutospacing="1"/>
        <w:ind w:left="249" w:hanging="249"/>
        <w:jc w:val="both"/>
        <w:outlineLvl w:val="0"/>
        <w:rPr>
          <w:rFonts w:ascii="Arial" w:hAnsi="Arial" w:cs="Arial"/>
          <w:i/>
          <w:sz w:val="22"/>
          <w:szCs w:val="22"/>
          <w:lang w:val="en-GB"/>
        </w:rPr>
      </w:pPr>
      <w:r>
        <w:rPr>
          <w:rFonts w:ascii="Arial" w:hAnsi="Arial" w:cs="Arial"/>
          <w:i/>
          <w:sz w:val="22"/>
          <w:szCs w:val="22"/>
          <w:lang w:val="en-GB"/>
        </w:rPr>
        <w:t>Patients with Renal Insufficiency</w:t>
      </w:r>
    </w:p>
    <w:p w:rsidR="00907289" w:rsidRDefault="00907289" w:rsidP="00E56E7B">
      <w:pPr>
        <w:spacing w:after="100" w:afterAutospacing="1"/>
        <w:jc w:val="both"/>
        <w:rPr>
          <w:rFonts w:ascii="Arial" w:hAnsi="Arial" w:cs="Arial"/>
          <w:i/>
          <w:sz w:val="22"/>
          <w:szCs w:val="22"/>
          <w:lang w:val="en-GB"/>
        </w:rPr>
      </w:pPr>
      <w:r>
        <w:rPr>
          <w:rFonts w:ascii="Arial" w:hAnsi="Arial" w:cs="Arial"/>
          <w:sz w:val="22"/>
          <w:szCs w:val="22"/>
          <w:lang w:val="en-GB"/>
        </w:rPr>
        <w:t xml:space="preserve">JANUMET should not be used in patients with renal failure or renal dysfunction e.g., </w:t>
      </w:r>
      <w:r>
        <w:rPr>
          <w:rFonts w:ascii="Arial" w:hAnsi="Arial" w:cs="Arial"/>
          <w:sz w:val="22"/>
          <w:szCs w:val="22"/>
        </w:rPr>
        <w:t>serum creatinine levels ≥133 micromol/L [males or ≥124 micromol/L</w:t>
      </w:r>
      <w:r>
        <w:rPr>
          <w:rFonts w:ascii="Arial" w:hAnsi="Arial" w:cs="Arial"/>
          <w:i/>
          <w:color w:val="FF0000"/>
          <w:sz w:val="22"/>
          <w:szCs w:val="22"/>
          <w:lang w:val="en-GB"/>
        </w:rPr>
        <w:t xml:space="preserve"> </w:t>
      </w:r>
      <w:r>
        <w:rPr>
          <w:rFonts w:ascii="Arial" w:hAnsi="Arial" w:cs="Arial"/>
          <w:sz w:val="22"/>
          <w:szCs w:val="22"/>
        </w:rPr>
        <w:t>[females],</w:t>
      </w:r>
      <w:r>
        <w:rPr>
          <w:rFonts w:ascii="Arial" w:hAnsi="Arial" w:cs="Arial"/>
          <w:sz w:val="22"/>
          <w:szCs w:val="22"/>
          <w:lang w:val="en-GB"/>
        </w:rPr>
        <w:t xml:space="preserve"> or abnormal creatinine clearance (&lt;60 mL/min) (see </w:t>
      </w:r>
      <w:r>
        <w:rPr>
          <w:rFonts w:ascii="Arial" w:hAnsi="Arial" w:cs="Arial"/>
          <w:b/>
          <w:sz w:val="22"/>
          <w:szCs w:val="22"/>
          <w:lang w:val="en-GB"/>
        </w:rPr>
        <w:t>CONTRAINDICATIONS</w:t>
      </w:r>
      <w:r>
        <w:rPr>
          <w:rFonts w:ascii="Arial" w:hAnsi="Arial" w:cs="Arial"/>
          <w:i/>
          <w:sz w:val="22"/>
          <w:szCs w:val="22"/>
          <w:lang w:val="en-GB"/>
        </w:rPr>
        <w:t>).</w:t>
      </w:r>
    </w:p>
    <w:p w:rsidR="00907289" w:rsidRDefault="00907289" w:rsidP="006656A9">
      <w:pPr>
        <w:ind w:left="252" w:hanging="252"/>
        <w:jc w:val="both"/>
        <w:outlineLvl w:val="0"/>
        <w:rPr>
          <w:rFonts w:ascii="Arial" w:hAnsi="Arial" w:cs="Arial"/>
          <w:i/>
          <w:sz w:val="22"/>
          <w:szCs w:val="22"/>
          <w:lang w:val="en-GB"/>
        </w:rPr>
      </w:pPr>
      <w:r>
        <w:rPr>
          <w:rFonts w:ascii="Arial" w:hAnsi="Arial" w:cs="Arial"/>
          <w:i/>
          <w:sz w:val="22"/>
          <w:szCs w:val="22"/>
          <w:lang w:val="en-GB"/>
        </w:rPr>
        <w:t>Elderly</w:t>
      </w:r>
    </w:p>
    <w:p w:rsidR="00907289" w:rsidRDefault="00907289" w:rsidP="00E56E7B">
      <w:pPr>
        <w:spacing w:after="100" w:afterAutospacing="1"/>
        <w:jc w:val="both"/>
        <w:rPr>
          <w:rFonts w:ascii="Arial" w:hAnsi="Arial" w:cs="Arial"/>
          <w:bCs/>
          <w:sz w:val="22"/>
          <w:szCs w:val="22"/>
        </w:rPr>
      </w:pPr>
      <w:r>
        <w:rPr>
          <w:rFonts w:ascii="Arial" w:hAnsi="Arial" w:cs="Arial"/>
          <w:bCs/>
          <w:noProof/>
          <w:sz w:val="22"/>
          <w:szCs w:val="22"/>
        </w:rPr>
        <w:pict>
          <v:shapetype id="_x0000_t202" coordsize="21600,21600" o:spt="202" path="m,l,21600r21600,l21600,xe">
            <v:stroke joinstyle="miter"/>
            <v:path gradientshapeok="t" o:connecttype="rect"/>
          </v:shapetype>
          <v:shape id="_x0000_s1031" type="#_x0000_t202" style="position:absolute;left:0;text-align:left;margin-left:15pt;margin-top:6.25pt;width:75pt;height:6pt;z-index:251659776" filled="f" stroked="f">
            <v:stroke startarrowwidth="narrow" startarrowlength="short" endarrowwidth="narrow" endarrowlength="short"/>
            <v:textbox style="mso-next-textbox:#_x0000_s1031" inset="2pt,2pt,2pt,2pt">
              <w:txbxContent>
                <w:p w:rsidR="00E56E7B" w:rsidRDefault="00E56E7B"/>
              </w:txbxContent>
            </v:textbox>
          </v:shape>
        </w:pict>
      </w:r>
      <w:r>
        <w:rPr>
          <w:rFonts w:ascii="Arial" w:hAnsi="Arial" w:cs="Arial"/>
          <w:bCs/>
          <w:sz w:val="22"/>
          <w:szCs w:val="22"/>
        </w:rPr>
        <w:t xml:space="preserve">As metformin and sitagliptin are excreted by the kidney, JANUMET should be used with caution as age increases. Monitoring of renal function is necessary to aid in prevention of metformin-associated lactic acidosis, particularly in the elderly (see </w:t>
      </w:r>
      <w:r>
        <w:rPr>
          <w:rFonts w:ascii="Arial" w:hAnsi="Arial" w:cs="Arial"/>
          <w:b/>
          <w:bCs/>
          <w:sz w:val="22"/>
          <w:szCs w:val="22"/>
        </w:rPr>
        <w:t>PRECAUTIONS</w:t>
      </w:r>
      <w:r>
        <w:rPr>
          <w:rFonts w:ascii="Arial" w:hAnsi="Arial" w:cs="Arial"/>
          <w:bCs/>
          <w:sz w:val="22"/>
          <w:szCs w:val="22"/>
        </w:rPr>
        <w:t xml:space="preserve">, </w:t>
      </w:r>
      <w:r>
        <w:rPr>
          <w:rFonts w:ascii="Arial" w:hAnsi="Arial" w:cs="Arial"/>
          <w:bCs/>
          <w:i/>
          <w:sz w:val="22"/>
          <w:szCs w:val="22"/>
        </w:rPr>
        <w:t>Metformin hydrochloride</w:t>
      </w:r>
      <w:r>
        <w:rPr>
          <w:rFonts w:ascii="Arial" w:hAnsi="Arial" w:cs="Arial"/>
          <w:bCs/>
          <w:sz w:val="22"/>
          <w:szCs w:val="22"/>
        </w:rPr>
        <w:t>, Lactic Acidosis).</w:t>
      </w:r>
    </w:p>
    <w:p w:rsidR="00907289" w:rsidRDefault="00907289" w:rsidP="006656A9">
      <w:pPr>
        <w:outlineLvl w:val="0"/>
        <w:rPr>
          <w:rFonts w:ascii="Arial" w:hAnsi="Arial" w:cs="Arial"/>
          <w:i/>
          <w:sz w:val="22"/>
          <w:szCs w:val="22"/>
        </w:rPr>
      </w:pPr>
      <w:r>
        <w:rPr>
          <w:rFonts w:ascii="Arial" w:hAnsi="Arial" w:cs="Arial"/>
          <w:i/>
          <w:sz w:val="22"/>
          <w:szCs w:val="22"/>
        </w:rPr>
        <w:t>Paediatric Population</w:t>
      </w:r>
    </w:p>
    <w:p w:rsidR="00907289" w:rsidRDefault="00907289">
      <w:pPr>
        <w:rPr>
          <w:rFonts w:ascii="Arial" w:hAnsi="Arial" w:cs="Arial"/>
          <w:sz w:val="22"/>
          <w:szCs w:val="22"/>
        </w:rPr>
      </w:pPr>
      <w:r>
        <w:rPr>
          <w:rFonts w:ascii="Arial" w:hAnsi="Arial" w:cs="Arial"/>
          <w:sz w:val="22"/>
          <w:szCs w:val="22"/>
        </w:rPr>
        <w:t>JANUMET is not recommended for use in children below 18 years of age due to lack of data on its safety and efficacy in this population.</w:t>
      </w:r>
    </w:p>
    <w:p w:rsidR="00907289" w:rsidRDefault="00907289" w:rsidP="00E56E7B">
      <w:pPr>
        <w:spacing w:before="100" w:beforeAutospacing="1" w:after="100" w:afterAutospacing="1"/>
        <w:jc w:val="center"/>
        <w:outlineLvl w:val="0"/>
        <w:rPr>
          <w:rFonts w:ascii="Arial" w:hAnsi="Arial" w:cs="Arial"/>
          <w:b/>
          <w:sz w:val="22"/>
          <w:szCs w:val="22"/>
        </w:rPr>
      </w:pPr>
      <w:r>
        <w:rPr>
          <w:rFonts w:ascii="Arial" w:hAnsi="Arial" w:cs="Arial"/>
          <w:b/>
          <w:sz w:val="22"/>
          <w:szCs w:val="22"/>
        </w:rPr>
        <w:t>OVERDOSAGE</w:t>
      </w:r>
    </w:p>
    <w:p w:rsidR="004C1D0B" w:rsidRPr="004C1D0B" w:rsidRDefault="004C1D0B" w:rsidP="004C1D0B">
      <w:pPr>
        <w:rPr>
          <w:rFonts w:ascii="Arial" w:hAnsi="Arial" w:cs="Arial"/>
          <w:sz w:val="22"/>
          <w:szCs w:val="22"/>
        </w:rPr>
      </w:pPr>
      <w:r w:rsidRPr="004C1D0B">
        <w:rPr>
          <w:rFonts w:ascii="Arial" w:hAnsi="Arial" w:cs="Arial"/>
          <w:sz w:val="22"/>
          <w:szCs w:val="22"/>
        </w:rPr>
        <w:t>For information on the management of overdose, contact the Poison Information Centre on 131126 (Australia).</w:t>
      </w:r>
    </w:p>
    <w:p w:rsidR="00907289" w:rsidRDefault="00907289" w:rsidP="00E56E7B">
      <w:pPr>
        <w:spacing w:before="100" w:beforeAutospacing="1"/>
        <w:jc w:val="both"/>
        <w:outlineLvl w:val="0"/>
        <w:rPr>
          <w:rFonts w:ascii="Arial" w:hAnsi="Arial" w:cs="Arial"/>
          <w:i/>
          <w:sz w:val="22"/>
          <w:szCs w:val="22"/>
        </w:rPr>
      </w:pPr>
      <w:r>
        <w:rPr>
          <w:rFonts w:ascii="Arial" w:hAnsi="Arial" w:cs="Arial"/>
          <w:i/>
          <w:sz w:val="22"/>
          <w:szCs w:val="22"/>
        </w:rPr>
        <w:t>Sitagliptin phosphate monohydrate</w:t>
      </w:r>
    </w:p>
    <w:p w:rsidR="00907289" w:rsidRDefault="00907289">
      <w:pPr>
        <w:jc w:val="both"/>
        <w:rPr>
          <w:rFonts w:ascii="Arial" w:hAnsi="Arial" w:cs="Arial"/>
          <w:sz w:val="22"/>
          <w:szCs w:val="22"/>
        </w:rPr>
      </w:pPr>
      <w:r>
        <w:rPr>
          <w:rFonts w:ascii="Arial" w:hAnsi="Arial" w:cs="Arial"/>
          <w:sz w:val="22"/>
          <w:szCs w:val="22"/>
        </w:rPr>
        <w:t xml:space="preserve">During controlled clinical trials in healthy subjects, single doses of up to 800 mg sitagliptin were generally well tolerated. Minimal increases in QTc, not considered to be clinically relevant, were </w:t>
      </w:r>
      <w:r>
        <w:rPr>
          <w:rFonts w:ascii="Arial" w:hAnsi="Arial" w:cs="Arial"/>
          <w:sz w:val="22"/>
          <w:szCs w:val="22"/>
        </w:rPr>
        <w:lastRenderedPageBreak/>
        <w:t xml:space="preserve">observed in one study at a dose of 800 mg sitagliptin (see </w:t>
      </w:r>
      <w:r>
        <w:rPr>
          <w:rFonts w:ascii="Arial" w:hAnsi="Arial" w:cs="Arial"/>
          <w:b/>
          <w:sz w:val="22"/>
          <w:szCs w:val="22"/>
        </w:rPr>
        <w:t>CLINICAL PHARMACOLOGY</w:t>
      </w:r>
      <w:r>
        <w:rPr>
          <w:rFonts w:ascii="Arial" w:hAnsi="Arial" w:cs="Arial"/>
          <w:sz w:val="22"/>
          <w:szCs w:val="22"/>
        </w:rPr>
        <w:t xml:space="preserve">, </w:t>
      </w:r>
      <w:r>
        <w:rPr>
          <w:rFonts w:ascii="Arial" w:hAnsi="Arial" w:cs="Arial"/>
          <w:b/>
          <w:i/>
          <w:sz w:val="22"/>
          <w:szCs w:val="22"/>
        </w:rPr>
        <w:t>Pharmacodynamics</w:t>
      </w:r>
      <w:r>
        <w:rPr>
          <w:rFonts w:ascii="Arial" w:hAnsi="Arial" w:cs="Arial"/>
          <w:sz w:val="22"/>
          <w:szCs w:val="22"/>
        </w:rPr>
        <w:t xml:space="preserve">, </w:t>
      </w:r>
      <w:r>
        <w:rPr>
          <w:rFonts w:ascii="Arial" w:hAnsi="Arial" w:cs="Arial"/>
          <w:b/>
          <w:i/>
          <w:sz w:val="22"/>
          <w:szCs w:val="22"/>
        </w:rPr>
        <w:t>Cardiac Electrophysiology</w:t>
      </w:r>
      <w:r>
        <w:rPr>
          <w:rFonts w:ascii="Arial" w:hAnsi="Arial" w:cs="Arial"/>
          <w:sz w:val="22"/>
          <w:szCs w:val="22"/>
        </w:rPr>
        <w:t>). There is no experience with doses above 800 mg in humans. In Phase I multiple-dose studies, there were no dose-related clinical adverse reactions observed with sitagliptin with doses of up to 600 mg per day for periods of up to 10 days and 400 mg per day for periods of up to 28 days.</w:t>
      </w:r>
    </w:p>
    <w:p w:rsidR="00907289" w:rsidRDefault="00907289" w:rsidP="00E56E7B">
      <w:pPr>
        <w:spacing w:before="100" w:beforeAutospacing="1" w:after="100" w:afterAutospacing="1"/>
        <w:jc w:val="both"/>
        <w:rPr>
          <w:rFonts w:ascii="Arial" w:hAnsi="Arial" w:cs="Arial"/>
          <w:sz w:val="22"/>
          <w:szCs w:val="22"/>
        </w:rPr>
      </w:pPr>
      <w:r>
        <w:rPr>
          <w:rFonts w:ascii="Arial" w:hAnsi="Arial" w:cs="Arial"/>
          <w:sz w:val="22"/>
          <w:szCs w:val="22"/>
        </w:rPr>
        <w:t>In the event of an overdose, it is reasonable to employ the usual supportive measures, e.g., remove unabsorbed material from the gastrointestinal tract, employ clinical monitoring (including obtaining an electrocardiogram), and institute supportive therapy if required.</w:t>
      </w:r>
    </w:p>
    <w:p w:rsidR="00907289" w:rsidRDefault="00907289" w:rsidP="00E56E7B">
      <w:pPr>
        <w:spacing w:before="100" w:beforeAutospacing="1" w:after="100" w:afterAutospacing="1"/>
        <w:jc w:val="both"/>
        <w:rPr>
          <w:rFonts w:ascii="Arial" w:hAnsi="Arial" w:cs="Arial"/>
          <w:sz w:val="22"/>
          <w:szCs w:val="22"/>
        </w:rPr>
      </w:pPr>
      <w:r>
        <w:rPr>
          <w:rFonts w:ascii="Arial" w:hAnsi="Arial" w:cs="Arial"/>
          <w:sz w:val="22"/>
          <w:szCs w:val="22"/>
        </w:rPr>
        <w:t>Sitagliptin is modestly dialysable. In clinical studies, approximately 13.5% of the dose was removed over a 3- to 4-hour haemodialysis session. Prolonged haemodialysis may be considered if clinically appropriate. It is not known if sitagliptin is dialysable by peritoneal dialysis.</w:t>
      </w:r>
    </w:p>
    <w:p w:rsidR="00907289" w:rsidRDefault="00907289" w:rsidP="006656A9">
      <w:pPr>
        <w:jc w:val="both"/>
        <w:outlineLvl w:val="0"/>
        <w:rPr>
          <w:rFonts w:ascii="Arial" w:hAnsi="Arial" w:cs="Arial"/>
          <w:i/>
          <w:sz w:val="22"/>
          <w:szCs w:val="22"/>
        </w:rPr>
      </w:pPr>
      <w:r>
        <w:rPr>
          <w:rFonts w:ascii="Arial" w:hAnsi="Arial" w:cs="Arial"/>
          <w:i/>
          <w:sz w:val="22"/>
          <w:szCs w:val="22"/>
        </w:rPr>
        <w:t>Metformin hydrochloride</w:t>
      </w:r>
    </w:p>
    <w:p w:rsidR="00907289" w:rsidRDefault="00907289" w:rsidP="00B31CE6">
      <w:pPr>
        <w:spacing w:after="100" w:afterAutospacing="1"/>
        <w:jc w:val="both"/>
        <w:rPr>
          <w:rFonts w:ascii="Arial" w:hAnsi="Arial" w:cs="Arial"/>
          <w:bCs/>
          <w:sz w:val="22"/>
          <w:szCs w:val="22"/>
        </w:rPr>
      </w:pPr>
      <w:r>
        <w:rPr>
          <w:rFonts w:ascii="Arial" w:hAnsi="Arial" w:cs="Arial"/>
          <w:bCs/>
          <w:sz w:val="22"/>
          <w:szCs w:val="22"/>
        </w:rPr>
        <w:t xml:space="preserve">Overdose of metformin hydrochloride has occurred, including ingestion of amounts greater than 50 grams. Hypoglycaemia was reported in approximately 10% of cases, but no causal association with metformin hydrochloride has been established. Lactic acidosis has been reported in approximately 32% of metformin overdose cases (see </w:t>
      </w:r>
      <w:r>
        <w:rPr>
          <w:rFonts w:ascii="Arial" w:hAnsi="Arial" w:cs="Arial"/>
          <w:b/>
          <w:bCs/>
          <w:sz w:val="22"/>
          <w:szCs w:val="22"/>
        </w:rPr>
        <w:t>PRECAUTIONS</w:t>
      </w:r>
      <w:r>
        <w:rPr>
          <w:rFonts w:ascii="Arial" w:hAnsi="Arial" w:cs="Arial"/>
          <w:bCs/>
          <w:sz w:val="22"/>
          <w:szCs w:val="22"/>
        </w:rPr>
        <w:t xml:space="preserve">, </w:t>
      </w:r>
      <w:r>
        <w:rPr>
          <w:rFonts w:ascii="Arial" w:hAnsi="Arial" w:cs="Arial"/>
          <w:bCs/>
          <w:i/>
          <w:sz w:val="22"/>
          <w:szCs w:val="22"/>
        </w:rPr>
        <w:t>Metformin hydrochloride</w:t>
      </w:r>
      <w:r>
        <w:rPr>
          <w:rFonts w:ascii="Arial" w:hAnsi="Arial" w:cs="Arial"/>
          <w:bCs/>
          <w:sz w:val="22"/>
          <w:szCs w:val="22"/>
        </w:rPr>
        <w:t>). Metformin is dialysable with a clearance of up to 170 mL/min under good haemodynamic conditions. Therefore, haemodialysis may be useful for removal of accumulated drug from patients in whom metformin overdosage is suspected.</w:t>
      </w:r>
    </w:p>
    <w:p w:rsidR="00907289" w:rsidRDefault="00907289" w:rsidP="006656A9">
      <w:pPr>
        <w:jc w:val="center"/>
        <w:outlineLvl w:val="0"/>
        <w:rPr>
          <w:rFonts w:ascii="Arial" w:hAnsi="Arial" w:cs="Arial"/>
          <w:b/>
          <w:sz w:val="22"/>
          <w:szCs w:val="22"/>
        </w:rPr>
      </w:pPr>
      <w:r>
        <w:rPr>
          <w:rFonts w:ascii="Arial" w:hAnsi="Arial" w:cs="Arial"/>
          <w:b/>
          <w:sz w:val="22"/>
          <w:szCs w:val="22"/>
        </w:rPr>
        <w:t>PRESENTATION AND STORAGE</w:t>
      </w:r>
    </w:p>
    <w:p w:rsidR="00907289" w:rsidRDefault="00907289" w:rsidP="003F1CDD">
      <w:pPr>
        <w:spacing w:before="100" w:beforeAutospacing="1" w:after="100" w:afterAutospacing="1"/>
        <w:rPr>
          <w:rFonts w:ascii="Arial" w:hAnsi="Arial" w:cs="Arial"/>
          <w:sz w:val="22"/>
          <w:szCs w:val="22"/>
        </w:rPr>
      </w:pPr>
      <w:r>
        <w:rPr>
          <w:rFonts w:ascii="Arial" w:hAnsi="Arial" w:cs="Arial"/>
          <w:sz w:val="22"/>
          <w:szCs w:val="22"/>
        </w:rPr>
        <w:t>JANUMET is available in the following presentations:</w:t>
      </w:r>
    </w:p>
    <w:p w:rsidR="00907289" w:rsidRDefault="00907289" w:rsidP="003F1CDD">
      <w:pPr>
        <w:spacing w:before="100" w:beforeAutospacing="1" w:after="100" w:afterAutospacing="1"/>
        <w:rPr>
          <w:rFonts w:ascii="Arial" w:hAnsi="Arial" w:cs="Arial"/>
          <w:sz w:val="22"/>
          <w:szCs w:val="22"/>
        </w:rPr>
      </w:pPr>
      <w:r>
        <w:rPr>
          <w:rFonts w:ascii="Arial" w:hAnsi="Arial" w:cs="Arial"/>
          <w:sz w:val="22"/>
          <w:szCs w:val="22"/>
        </w:rPr>
        <w:t>JANUMET Tablet 50 mg/500 mg - A light pink, film coated tablet with "575" on one side and plain on the other. Available in blister packs of 14(Starter Pack) and 56 tablets.</w:t>
      </w:r>
    </w:p>
    <w:p w:rsidR="00907289" w:rsidRDefault="00907289" w:rsidP="003F1CDD">
      <w:pPr>
        <w:spacing w:before="100" w:beforeAutospacing="1" w:after="100" w:afterAutospacing="1"/>
        <w:rPr>
          <w:rFonts w:ascii="Arial" w:hAnsi="Arial" w:cs="Arial"/>
          <w:sz w:val="22"/>
          <w:szCs w:val="22"/>
        </w:rPr>
      </w:pPr>
      <w:r>
        <w:rPr>
          <w:rFonts w:ascii="Arial" w:hAnsi="Arial" w:cs="Arial"/>
          <w:sz w:val="22"/>
          <w:szCs w:val="22"/>
        </w:rPr>
        <w:t>JANUMET Tablet 50 mg/850 mg - A pink, film coated tablet with "515" on one side and plain on the other. Available in blister packs of 14(Starter Pack) and 56 tablets.</w:t>
      </w:r>
    </w:p>
    <w:p w:rsidR="00907289" w:rsidRDefault="00907289" w:rsidP="003F1CDD">
      <w:pPr>
        <w:spacing w:before="100" w:beforeAutospacing="1" w:after="100" w:afterAutospacing="1"/>
        <w:rPr>
          <w:rFonts w:ascii="Arial" w:hAnsi="Arial" w:cs="Arial"/>
          <w:sz w:val="22"/>
          <w:szCs w:val="22"/>
        </w:rPr>
      </w:pPr>
      <w:r>
        <w:rPr>
          <w:rFonts w:ascii="Arial" w:hAnsi="Arial" w:cs="Arial"/>
          <w:sz w:val="22"/>
          <w:szCs w:val="22"/>
        </w:rPr>
        <w:t>JANUMET Tablet 50 mg/1000 mg - A red, film coated tablet with "577" on one side and plain on the other. Available in blister packs of 14(Starter Pack) and 56 tablets.</w:t>
      </w:r>
    </w:p>
    <w:p w:rsidR="00907289" w:rsidRDefault="00907289" w:rsidP="003F1CDD">
      <w:pPr>
        <w:spacing w:before="100" w:beforeAutospacing="1" w:after="100" w:afterAutospacing="1"/>
        <w:outlineLvl w:val="0"/>
        <w:rPr>
          <w:rFonts w:ascii="Arial" w:hAnsi="Arial" w:cs="Arial"/>
          <w:sz w:val="22"/>
          <w:szCs w:val="22"/>
        </w:rPr>
      </w:pPr>
      <w:r>
        <w:rPr>
          <w:rFonts w:ascii="Arial" w:hAnsi="Arial" w:cs="Arial"/>
          <w:sz w:val="22"/>
          <w:szCs w:val="22"/>
        </w:rPr>
        <w:t>Store below 30</w:t>
      </w:r>
      <w:r>
        <w:rPr>
          <w:rFonts w:ascii="Arial" w:hAnsi="Arial" w:cs="Arial"/>
          <w:sz w:val="22"/>
          <w:szCs w:val="22"/>
          <w:vertAlign w:val="superscript"/>
        </w:rPr>
        <w:t>o</w:t>
      </w:r>
      <w:r>
        <w:rPr>
          <w:rFonts w:ascii="Arial" w:hAnsi="Arial" w:cs="Arial"/>
          <w:sz w:val="22"/>
          <w:szCs w:val="22"/>
        </w:rPr>
        <w:t>C. Store in original packaging.</w:t>
      </w:r>
    </w:p>
    <w:p w:rsidR="00907289" w:rsidRDefault="00907289" w:rsidP="003F1CDD">
      <w:pPr>
        <w:spacing w:before="100" w:beforeAutospacing="1" w:after="100" w:afterAutospacing="1"/>
        <w:jc w:val="center"/>
        <w:outlineLvl w:val="0"/>
        <w:rPr>
          <w:rFonts w:ascii="Arial" w:hAnsi="Arial" w:cs="Arial"/>
          <w:b/>
          <w:sz w:val="22"/>
          <w:szCs w:val="22"/>
        </w:rPr>
      </w:pPr>
      <w:r>
        <w:rPr>
          <w:rFonts w:ascii="Arial" w:hAnsi="Arial" w:cs="Arial"/>
          <w:b/>
          <w:sz w:val="22"/>
          <w:szCs w:val="22"/>
        </w:rPr>
        <w:t>NAME AND ADDRESS OF SPONSOR</w:t>
      </w:r>
    </w:p>
    <w:p w:rsidR="00907289" w:rsidRDefault="00907289" w:rsidP="006656A9">
      <w:pPr>
        <w:jc w:val="center"/>
        <w:outlineLvl w:val="0"/>
        <w:rPr>
          <w:rFonts w:ascii="Arial" w:hAnsi="Arial" w:cs="Arial"/>
          <w:sz w:val="22"/>
          <w:szCs w:val="22"/>
        </w:rPr>
      </w:pPr>
      <w:r>
        <w:rPr>
          <w:rFonts w:ascii="Arial" w:hAnsi="Arial" w:cs="Arial"/>
          <w:sz w:val="22"/>
          <w:szCs w:val="22"/>
        </w:rPr>
        <w:t>MERCK SHARP &amp; DOHME (</w:t>
      </w:r>
      <w:smartTag w:uri="urn:schemas-microsoft-com:office:smarttags" w:element="country-region">
        <w:smartTag w:uri="urn:schemas-microsoft-com:office:smarttags" w:element="place">
          <w:r>
            <w:rPr>
              <w:rFonts w:ascii="Arial" w:hAnsi="Arial" w:cs="Arial"/>
              <w:sz w:val="22"/>
              <w:szCs w:val="22"/>
            </w:rPr>
            <w:t>AUSTRALIA</w:t>
          </w:r>
        </w:smartTag>
      </w:smartTag>
      <w:r>
        <w:rPr>
          <w:rFonts w:ascii="Arial" w:hAnsi="Arial" w:cs="Arial"/>
          <w:sz w:val="22"/>
          <w:szCs w:val="22"/>
        </w:rPr>
        <w:t>) PTY LIMITED</w:t>
      </w:r>
    </w:p>
    <w:p w:rsidR="00907289" w:rsidRDefault="00907289">
      <w:pPr>
        <w:jc w:val="center"/>
        <w:rPr>
          <w:rFonts w:ascii="Arial" w:hAnsi="Arial" w:cs="Arial"/>
          <w:sz w:val="22"/>
          <w:szCs w:val="22"/>
        </w:rPr>
      </w:pPr>
      <w:smartTag w:uri="urn:schemas-microsoft-com:office:smarttags" w:element="Street">
        <w:smartTag w:uri="urn:schemas-microsoft-com:office:smarttags" w:element="address">
          <w:r>
            <w:rPr>
              <w:rFonts w:ascii="Arial" w:hAnsi="Arial" w:cs="Arial"/>
              <w:sz w:val="22"/>
              <w:szCs w:val="22"/>
            </w:rPr>
            <w:t>54-68 FERNDELL STREET</w:t>
          </w:r>
        </w:smartTag>
      </w:smartTag>
    </w:p>
    <w:p w:rsidR="00907289" w:rsidRDefault="00907289">
      <w:pPr>
        <w:jc w:val="center"/>
        <w:rPr>
          <w:rFonts w:ascii="Arial" w:hAnsi="Arial" w:cs="Arial"/>
          <w:sz w:val="22"/>
          <w:szCs w:val="22"/>
        </w:rPr>
      </w:pPr>
      <w:smartTag w:uri="urn:schemas-microsoft-com:office:smarttags" w:element="place">
        <w:r>
          <w:rPr>
            <w:rFonts w:ascii="Arial" w:hAnsi="Arial" w:cs="Arial"/>
            <w:sz w:val="22"/>
            <w:szCs w:val="22"/>
          </w:rPr>
          <w:t>SOUTH GRANVILLE</w:t>
        </w:r>
      </w:smartTag>
      <w:r>
        <w:rPr>
          <w:rFonts w:ascii="Arial" w:hAnsi="Arial" w:cs="Arial"/>
          <w:sz w:val="22"/>
          <w:szCs w:val="22"/>
        </w:rPr>
        <w:t xml:space="preserve"> NSW 2142</w:t>
      </w:r>
    </w:p>
    <w:p w:rsidR="00907289" w:rsidRDefault="00907289" w:rsidP="003F1CDD">
      <w:pPr>
        <w:spacing w:before="100" w:beforeAutospacing="1" w:after="100" w:afterAutospacing="1"/>
        <w:jc w:val="center"/>
        <w:outlineLvl w:val="0"/>
        <w:rPr>
          <w:rFonts w:ascii="Arial" w:hAnsi="Arial" w:cs="Arial"/>
          <w:b/>
          <w:sz w:val="22"/>
          <w:szCs w:val="22"/>
        </w:rPr>
      </w:pPr>
      <w:r>
        <w:rPr>
          <w:rFonts w:ascii="Arial" w:hAnsi="Arial" w:cs="Arial"/>
          <w:b/>
          <w:sz w:val="22"/>
          <w:szCs w:val="22"/>
        </w:rPr>
        <w:t>POISON SCHEDULE</w:t>
      </w:r>
    </w:p>
    <w:p w:rsidR="00907289" w:rsidRDefault="00907289" w:rsidP="003F1CDD">
      <w:pPr>
        <w:spacing w:before="100" w:beforeAutospacing="1" w:after="100" w:afterAutospacing="1"/>
        <w:jc w:val="center"/>
        <w:outlineLvl w:val="0"/>
        <w:rPr>
          <w:rFonts w:ascii="Arial" w:hAnsi="Arial" w:cs="Arial"/>
          <w:sz w:val="22"/>
          <w:szCs w:val="22"/>
        </w:rPr>
      </w:pPr>
      <w:r>
        <w:rPr>
          <w:rFonts w:ascii="Arial" w:hAnsi="Arial" w:cs="Arial"/>
          <w:sz w:val="22"/>
          <w:szCs w:val="22"/>
        </w:rPr>
        <w:t>Prescription Only Medicine (Schedule 4)</w:t>
      </w:r>
    </w:p>
    <w:p w:rsidR="00907289" w:rsidRDefault="00907289">
      <w:pPr>
        <w:rPr>
          <w:rFonts w:ascii="Arial" w:hAnsi="Arial" w:cs="Arial"/>
          <w:sz w:val="22"/>
          <w:szCs w:val="22"/>
        </w:rPr>
      </w:pPr>
      <w:r>
        <w:rPr>
          <w:rFonts w:ascii="Arial" w:hAnsi="Arial" w:cs="Arial"/>
          <w:sz w:val="22"/>
          <w:szCs w:val="22"/>
        </w:rPr>
        <w:t xml:space="preserve">This document was approved by the Therapeutic Goods Administration on 20th April 2009. </w:t>
      </w:r>
    </w:p>
    <w:p w:rsidR="00907289" w:rsidRDefault="00907289">
      <w:pPr>
        <w:rPr>
          <w:rFonts w:ascii="Arial" w:hAnsi="Arial" w:cs="Arial"/>
          <w:sz w:val="22"/>
          <w:szCs w:val="22"/>
        </w:rPr>
      </w:pPr>
      <w:r>
        <w:rPr>
          <w:rFonts w:ascii="Arial" w:hAnsi="Arial"/>
          <w:sz w:val="22"/>
        </w:rPr>
        <w:t>Date of most recent amendment</w:t>
      </w:r>
      <w:r w:rsidR="007F5CAF">
        <w:rPr>
          <w:rFonts w:ascii="Arial" w:hAnsi="Arial"/>
          <w:sz w:val="22"/>
        </w:rPr>
        <w:t xml:space="preserve"> </w:t>
      </w:r>
      <w:r w:rsidR="00C61D34">
        <w:rPr>
          <w:rFonts w:ascii="Arial" w:hAnsi="Arial"/>
          <w:sz w:val="22"/>
        </w:rPr>
        <w:t>10 September 2012</w:t>
      </w:r>
      <w:r>
        <w:rPr>
          <w:rFonts w:ascii="Arial" w:hAnsi="Arial"/>
          <w:sz w:val="22"/>
        </w:rPr>
        <w:t>.</w:t>
      </w:r>
    </w:p>
    <w:sectPr w:rsidR="00907289">
      <w:headerReference w:type="even" r:id="rId14"/>
      <w:headerReference w:type="default" r:id="rId15"/>
      <w:pgSz w:w="11906" w:h="16838"/>
      <w:pgMar w:top="1258" w:right="1286" w:bottom="1079" w:left="12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40CB" w:rsidRDefault="00DE40CB">
      <w:r>
        <w:separator/>
      </w:r>
    </w:p>
  </w:endnote>
  <w:endnote w:type="continuationSeparator" w:id="0">
    <w:p w:rsidR="00DE40CB" w:rsidRDefault="00DE40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th Ext">
    <w:altName w:val="Symbol"/>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40CB" w:rsidRDefault="00DE40CB">
      <w:r>
        <w:separator/>
      </w:r>
    </w:p>
  </w:footnote>
  <w:footnote w:type="continuationSeparator" w:id="0">
    <w:p w:rsidR="00DE40CB" w:rsidRDefault="00DE40CB">
      <w:r>
        <w:continuationSeparator/>
      </w:r>
    </w:p>
  </w:footnote>
  <w:footnote w:id="1">
    <w:p w:rsidR="00E56E7B" w:rsidRDefault="00E56E7B">
      <w:pPr>
        <w:pStyle w:val="FootnoteText"/>
        <w:rPr>
          <w:rFonts w:cs="Arial"/>
          <w:sz w:val="14"/>
          <w:szCs w:val="14"/>
        </w:rPr>
      </w:pPr>
      <w:r>
        <w:rPr>
          <w:rStyle w:val="FootnoteReference"/>
          <w:rFonts w:cs="Arial"/>
          <w:sz w:val="14"/>
          <w:szCs w:val="14"/>
        </w:rPr>
        <w:footnoteRef/>
      </w:r>
      <w:r>
        <w:rPr>
          <w:rFonts w:cs="Arial"/>
          <w:sz w:val="14"/>
          <w:szCs w:val="14"/>
        </w:rPr>
        <w:t xml:space="preserve"> </w:t>
      </w:r>
      <w:r>
        <w:rPr>
          <w:rFonts w:cs="Arial"/>
          <w:b/>
          <w:sz w:val="14"/>
          <w:szCs w:val="14"/>
        </w:rPr>
        <w:t>GLUCOPHAGE®</w:t>
      </w:r>
      <w:r>
        <w:rPr>
          <w:rFonts w:cs="Arial"/>
          <w:sz w:val="14"/>
          <w:szCs w:val="14"/>
        </w:rPr>
        <w:t xml:space="preserve"> in the </w:t>
      </w:r>
      <w:smartTag w:uri="urn:schemas-microsoft-com:office:smarttags" w:element="country-region">
        <w:r>
          <w:rPr>
            <w:rFonts w:cs="Arial"/>
            <w:sz w:val="14"/>
            <w:szCs w:val="14"/>
          </w:rPr>
          <w:t>US</w:t>
        </w:r>
      </w:smartTag>
      <w:r>
        <w:rPr>
          <w:rFonts w:cs="Arial"/>
          <w:sz w:val="14"/>
          <w:szCs w:val="14"/>
        </w:rPr>
        <w:t xml:space="preserve"> is a registered trademark of Merck Sante S.A.S, an associate of Merck KGaA of </w:t>
      </w:r>
      <w:smartTag w:uri="urn:schemas-microsoft-com:office:smarttags" w:element="place">
        <w:smartTag w:uri="urn:schemas-microsoft-com:office:smarttags" w:element="City">
          <w:r>
            <w:rPr>
              <w:rFonts w:cs="Arial"/>
              <w:sz w:val="14"/>
              <w:szCs w:val="14"/>
            </w:rPr>
            <w:t>Darmstadt</w:t>
          </w:r>
        </w:smartTag>
        <w:r>
          <w:rPr>
            <w:rFonts w:cs="Arial"/>
            <w:sz w:val="14"/>
            <w:szCs w:val="14"/>
          </w:rPr>
          <w:t xml:space="preserve">, </w:t>
        </w:r>
        <w:smartTag w:uri="urn:schemas-microsoft-com:office:smarttags" w:element="country-region">
          <w:r>
            <w:rPr>
              <w:rFonts w:cs="Arial"/>
              <w:sz w:val="14"/>
              <w:szCs w:val="14"/>
            </w:rPr>
            <w:t>Germany</w:t>
          </w:r>
        </w:smartTag>
      </w:smartTag>
      <w:r>
        <w:rPr>
          <w:rFonts w:cs="Arial"/>
          <w:sz w:val="14"/>
          <w:szCs w:val="14"/>
        </w:rPr>
        <w:t xml:space="preserve">. </w:t>
      </w:r>
    </w:p>
    <w:p w:rsidR="00E56E7B" w:rsidRDefault="00E56E7B">
      <w:pPr>
        <w:pStyle w:val="FootnoteText"/>
        <w:ind w:left="100"/>
        <w:rPr>
          <w:rFonts w:cs="Arial"/>
          <w:sz w:val="14"/>
          <w:szCs w:val="14"/>
        </w:rPr>
      </w:pPr>
      <w:r>
        <w:rPr>
          <w:rFonts w:cs="Arial"/>
          <w:sz w:val="14"/>
          <w:szCs w:val="14"/>
        </w:rPr>
        <w:t>Licensed to Bristol-Meyers Squibb Company.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E7B" w:rsidRDefault="00E56E7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25</w:t>
    </w:r>
    <w:r>
      <w:rPr>
        <w:rStyle w:val="PageNumber"/>
      </w:rPr>
      <w:fldChar w:fldCharType="end"/>
    </w:r>
  </w:p>
  <w:p w:rsidR="00E56E7B" w:rsidRDefault="00E56E7B">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E7B" w:rsidRPr="00CC5B2F" w:rsidRDefault="00E56E7B">
    <w:pPr>
      <w:pStyle w:val="Header"/>
      <w:framePr w:wrap="around" w:vAnchor="text" w:hAnchor="margin" w:xAlign="right" w:y="1"/>
      <w:rPr>
        <w:rStyle w:val="PageNumber"/>
        <w:rFonts w:ascii="Arial" w:hAnsi="Arial" w:cs="Arial"/>
        <w:sz w:val="20"/>
        <w:szCs w:val="20"/>
      </w:rPr>
    </w:pPr>
    <w:r w:rsidRPr="00CC5B2F">
      <w:rPr>
        <w:rStyle w:val="PageNumber"/>
        <w:rFonts w:ascii="Arial" w:hAnsi="Arial" w:cs="Arial"/>
        <w:sz w:val="20"/>
        <w:szCs w:val="20"/>
      </w:rPr>
      <w:fldChar w:fldCharType="begin"/>
    </w:r>
    <w:r w:rsidRPr="00CC5B2F">
      <w:rPr>
        <w:rStyle w:val="PageNumber"/>
        <w:rFonts w:ascii="Arial" w:hAnsi="Arial" w:cs="Arial"/>
        <w:sz w:val="20"/>
        <w:szCs w:val="20"/>
      </w:rPr>
      <w:instrText xml:space="preserve">PAGE  </w:instrText>
    </w:r>
    <w:r w:rsidRPr="00CC5B2F">
      <w:rPr>
        <w:rStyle w:val="PageNumber"/>
        <w:rFonts w:ascii="Arial" w:hAnsi="Arial" w:cs="Arial"/>
        <w:sz w:val="20"/>
        <w:szCs w:val="20"/>
      </w:rPr>
      <w:fldChar w:fldCharType="separate"/>
    </w:r>
    <w:r w:rsidR="009D48CF">
      <w:rPr>
        <w:rStyle w:val="PageNumber"/>
        <w:rFonts w:ascii="Arial" w:hAnsi="Arial" w:cs="Arial"/>
        <w:noProof/>
        <w:sz w:val="20"/>
        <w:szCs w:val="20"/>
      </w:rPr>
      <w:t>27</w:t>
    </w:r>
    <w:r w:rsidRPr="00CC5B2F">
      <w:rPr>
        <w:rStyle w:val="PageNumber"/>
        <w:rFonts w:ascii="Arial" w:hAnsi="Arial" w:cs="Arial"/>
        <w:sz w:val="20"/>
        <w:szCs w:val="20"/>
      </w:rPr>
      <w:fldChar w:fldCharType="end"/>
    </w:r>
  </w:p>
  <w:p w:rsidR="00E56E7B" w:rsidRDefault="00E56E7B" w:rsidP="00D709DC">
    <w:pPr>
      <w:pStyle w:val="Header"/>
      <w:ind w:right="360"/>
      <w:rPr>
        <w:rFonts w:ascii="Arial" w:hAnsi="Arial"/>
        <w:b/>
        <w:caps/>
        <w:sz w:val="20"/>
        <w:szCs w:val="20"/>
      </w:rPr>
    </w:pPr>
    <w:bookmarkStart w:id="10" w:name="TRACER"/>
    <w:r w:rsidRPr="00CC5B2F">
      <w:rPr>
        <w:rFonts w:ascii="Arial" w:hAnsi="Arial"/>
        <w:b/>
        <w:caps/>
        <w:sz w:val="20"/>
        <w:szCs w:val="20"/>
      </w:rPr>
      <w:t>0431A-AUS-2012-005067</w:t>
    </w:r>
    <w:bookmarkEnd w:id="10"/>
  </w:p>
  <w:p w:rsidR="00D61AEC" w:rsidRPr="00BE06A1" w:rsidRDefault="00D61AEC" w:rsidP="00B31CE6">
    <w:pPr>
      <w:pBdr>
        <w:top w:val="single" w:sz="4" w:space="1" w:color="auto"/>
        <w:left w:val="single" w:sz="4" w:space="4" w:color="auto"/>
        <w:bottom w:val="single" w:sz="4" w:space="1" w:color="auto"/>
        <w:right w:val="single" w:sz="4" w:space="4" w:color="auto"/>
      </w:pBdr>
      <w:shd w:val="clear" w:color="auto" w:fill="E4F2E0"/>
      <w:spacing w:before="40" w:after="40"/>
      <w:rPr>
        <w:b/>
        <w:sz w:val="20"/>
        <w:szCs w:val="20"/>
      </w:rPr>
    </w:pPr>
    <w:r w:rsidRPr="00B31CE6">
      <w:rPr>
        <w:rFonts w:ascii="Cambria" w:hAnsi="Cambria"/>
        <w:b/>
        <w:sz w:val="20"/>
        <w:szCs w:val="20"/>
      </w:rPr>
      <w:t>Attachment 1: Product information for AusPAR Janumet Sitagliptin Merck Sharpe and Dohme (MSD) Australia Pty Ltd PM-2011-01226-3-5 Final 14 January 2013. This Product Information was approved at the time this AusPAR was published.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912B58"/>
    <w:multiLevelType w:val="hybridMultilevel"/>
    <w:tmpl w:val="808C14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stylePaneFormatFilter w:val="3F01"/>
  <w:defaultTabStop w:val="720"/>
  <w:characterSpacingControl w:val="doNotCompress"/>
  <w:hdrShapeDefaults>
    <o:shapedefaults v:ext="edit" spidmax="3074"/>
  </w:hdrShapeDefaults>
  <w:footnotePr>
    <w:footnote w:id="-1"/>
    <w:footnote w:id="0"/>
  </w:footnotePr>
  <w:endnotePr>
    <w:endnote w:id="-1"/>
    <w:endnote w:id="0"/>
  </w:endnotePr>
  <w:compat/>
  <w:rsids>
    <w:rsidRoot w:val="00EF039B"/>
    <w:rsid w:val="00000D7D"/>
    <w:rsid w:val="00002128"/>
    <w:rsid w:val="00006E3F"/>
    <w:rsid w:val="000171AB"/>
    <w:rsid w:val="00022E05"/>
    <w:rsid w:val="000445CD"/>
    <w:rsid w:val="00074679"/>
    <w:rsid w:val="00096F2C"/>
    <w:rsid w:val="000D0E62"/>
    <w:rsid w:val="000D1F60"/>
    <w:rsid w:val="000D2452"/>
    <w:rsid w:val="00104CA6"/>
    <w:rsid w:val="00125A96"/>
    <w:rsid w:val="00130B10"/>
    <w:rsid w:val="001378F4"/>
    <w:rsid w:val="001448D1"/>
    <w:rsid w:val="001B4787"/>
    <w:rsid w:val="001D0ADE"/>
    <w:rsid w:val="001E0177"/>
    <w:rsid w:val="001F1A13"/>
    <w:rsid w:val="00210F15"/>
    <w:rsid w:val="002437DA"/>
    <w:rsid w:val="00254CA9"/>
    <w:rsid w:val="00260326"/>
    <w:rsid w:val="00294479"/>
    <w:rsid w:val="002E1DB0"/>
    <w:rsid w:val="002F3C95"/>
    <w:rsid w:val="002F40AF"/>
    <w:rsid w:val="0031613B"/>
    <w:rsid w:val="00334018"/>
    <w:rsid w:val="003509C1"/>
    <w:rsid w:val="00357954"/>
    <w:rsid w:val="00357F0B"/>
    <w:rsid w:val="00362E11"/>
    <w:rsid w:val="003763F9"/>
    <w:rsid w:val="00387CDA"/>
    <w:rsid w:val="003903DC"/>
    <w:rsid w:val="003A758D"/>
    <w:rsid w:val="003B2C6A"/>
    <w:rsid w:val="003C4953"/>
    <w:rsid w:val="003E1645"/>
    <w:rsid w:val="003E20B9"/>
    <w:rsid w:val="003F1CDD"/>
    <w:rsid w:val="00404BA5"/>
    <w:rsid w:val="00406595"/>
    <w:rsid w:val="004510DB"/>
    <w:rsid w:val="00463568"/>
    <w:rsid w:val="00465317"/>
    <w:rsid w:val="00484A5C"/>
    <w:rsid w:val="004C1D0B"/>
    <w:rsid w:val="004E3663"/>
    <w:rsid w:val="00501A85"/>
    <w:rsid w:val="00512704"/>
    <w:rsid w:val="00532F0B"/>
    <w:rsid w:val="00533012"/>
    <w:rsid w:val="00557F07"/>
    <w:rsid w:val="005674B1"/>
    <w:rsid w:val="005A4394"/>
    <w:rsid w:val="005B7521"/>
    <w:rsid w:val="005D7CDE"/>
    <w:rsid w:val="005E4CD5"/>
    <w:rsid w:val="00601309"/>
    <w:rsid w:val="006049EA"/>
    <w:rsid w:val="00636033"/>
    <w:rsid w:val="006418E6"/>
    <w:rsid w:val="00653B3A"/>
    <w:rsid w:val="006579C5"/>
    <w:rsid w:val="006656A9"/>
    <w:rsid w:val="00672935"/>
    <w:rsid w:val="006866B3"/>
    <w:rsid w:val="006905AF"/>
    <w:rsid w:val="006915CE"/>
    <w:rsid w:val="006B46B9"/>
    <w:rsid w:val="006C1C5A"/>
    <w:rsid w:val="006C55C4"/>
    <w:rsid w:val="006F51B0"/>
    <w:rsid w:val="00707BAE"/>
    <w:rsid w:val="00720CE6"/>
    <w:rsid w:val="007452A6"/>
    <w:rsid w:val="00751868"/>
    <w:rsid w:val="00764719"/>
    <w:rsid w:val="007766B5"/>
    <w:rsid w:val="00780D50"/>
    <w:rsid w:val="007A0694"/>
    <w:rsid w:val="007B4BA0"/>
    <w:rsid w:val="007F5CAF"/>
    <w:rsid w:val="00807CCB"/>
    <w:rsid w:val="00831C0C"/>
    <w:rsid w:val="00837B5A"/>
    <w:rsid w:val="00851F6F"/>
    <w:rsid w:val="00857565"/>
    <w:rsid w:val="00861816"/>
    <w:rsid w:val="00872DD4"/>
    <w:rsid w:val="008B68C5"/>
    <w:rsid w:val="008C236B"/>
    <w:rsid w:val="008C322C"/>
    <w:rsid w:val="008E09CD"/>
    <w:rsid w:val="008E14C4"/>
    <w:rsid w:val="008E1570"/>
    <w:rsid w:val="008F1EC4"/>
    <w:rsid w:val="00907289"/>
    <w:rsid w:val="009442BD"/>
    <w:rsid w:val="00961C84"/>
    <w:rsid w:val="00980CC8"/>
    <w:rsid w:val="009939D0"/>
    <w:rsid w:val="009D051C"/>
    <w:rsid w:val="009D48CF"/>
    <w:rsid w:val="009D6A2F"/>
    <w:rsid w:val="009D7A06"/>
    <w:rsid w:val="009E0D43"/>
    <w:rsid w:val="009E39FD"/>
    <w:rsid w:val="009E70A1"/>
    <w:rsid w:val="00A20239"/>
    <w:rsid w:val="00A27655"/>
    <w:rsid w:val="00A6722D"/>
    <w:rsid w:val="00A72EF5"/>
    <w:rsid w:val="00A90AAD"/>
    <w:rsid w:val="00AA11EE"/>
    <w:rsid w:val="00AA425C"/>
    <w:rsid w:val="00AB425A"/>
    <w:rsid w:val="00AB681F"/>
    <w:rsid w:val="00AC3107"/>
    <w:rsid w:val="00AC34FF"/>
    <w:rsid w:val="00AF3639"/>
    <w:rsid w:val="00B31CE6"/>
    <w:rsid w:val="00B6035C"/>
    <w:rsid w:val="00B8406F"/>
    <w:rsid w:val="00BB758D"/>
    <w:rsid w:val="00BE0097"/>
    <w:rsid w:val="00BE06A1"/>
    <w:rsid w:val="00BF1749"/>
    <w:rsid w:val="00BF6F0E"/>
    <w:rsid w:val="00C03107"/>
    <w:rsid w:val="00C12262"/>
    <w:rsid w:val="00C20A10"/>
    <w:rsid w:val="00C24A89"/>
    <w:rsid w:val="00C36C47"/>
    <w:rsid w:val="00C40FB6"/>
    <w:rsid w:val="00C61D34"/>
    <w:rsid w:val="00CB451C"/>
    <w:rsid w:val="00CB5D1B"/>
    <w:rsid w:val="00CC5B2F"/>
    <w:rsid w:val="00CE41E3"/>
    <w:rsid w:val="00CF6FE6"/>
    <w:rsid w:val="00D03486"/>
    <w:rsid w:val="00D2457C"/>
    <w:rsid w:val="00D343F4"/>
    <w:rsid w:val="00D430E4"/>
    <w:rsid w:val="00D61AEC"/>
    <w:rsid w:val="00D709DC"/>
    <w:rsid w:val="00D71141"/>
    <w:rsid w:val="00D74AEB"/>
    <w:rsid w:val="00D8684B"/>
    <w:rsid w:val="00D951EC"/>
    <w:rsid w:val="00DA1147"/>
    <w:rsid w:val="00DB53BC"/>
    <w:rsid w:val="00DD46D0"/>
    <w:rsid w:val="00DE15A3"/>
    <w:rsid w:val="00DE40CB"/>
    <w:rsid w:val="00DF42FC"/>
    <w:rsid w:val="00E02F4F"/>
    <w:rsid w:val="00E1521F"/>
    <w:rsid w:val="00E24A0A"/>
    <w:rsid w:val="00E41F19"/>
    <w:rsid w:val="00E46565"/>
    <w:rsid w:val="00E56E7B"/>
    <w:rsid w:val="00E66A7C"/>
    <w:rsid w:val="00E74DD8"/>
    <w:rsid w:val="00ED1E2C"/>
    <w:rsid w:val="00EF039B"/>
    <w:rsid w:val="00F007BA"/>
    <w:rsid w:val="00F50991"/>
    <w:rsid w:val="00F84508"/>
    <w:rsid w:val="00FA42F4"/>
    <w:rsid w:val="00FC199D"/>
    <w:rsid w:val="00FC7D72"/>
    <w:rsid w:val="00FD115C"/>
    <w:rsid w:val="00FD2BF8"/>
    <w:rsid w:val="00FD333F"/>
    <w:rsid w:val="00FF74E1"/>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ersonName"/>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customStyle="1" w:styleId="Footnote">
    <w:name w:val="Footnote"/>
    <w:basedOn w:val="Normal"/>
    <w:next w:val="Normal"/>
    <w:pPr>
      <w:keepLines/>
      <w:tabs>
        <w:tab w:val="right" w:pos="317"/>
        <w:tab w:val="left" w:pos="346"/>
      </w:tabs>
      <w:ind w:left="346" w:hanging="346"/>
    </w:pPr>
    <w:rPr>
      <w:rFonts w:ascii="Arial" w:hAnsi="Arial"/>
      <w:sz w:val="14"/>
      <w:szCs w:val="20"/>
      <w:lang w:val="en-US" w:eastAsia="en-US"/>
    </w:rPr>
  </w:style>
  <w:style w:type="paragraph" w:customStyle="1" w:styleId="Body">
    <w:name w:val="Body"/>
    <w:basedOn w:val="Normal"/>
    <w:link w:val="BodyChar"/>
    <w:pPr>
      <w:overflowPunct w:val="0"/>
      <w:autoSpaceDE w:val="0"/>
      <w:autoSpaceDN w:val="0"/>
      <w:adjustRightInd w:val="0"/>
      <w:ind w:firstLine="288"/>
      <w:jc w:val="both"/>
      <w:textAlignment w:val="baseline"/>
    </w:pPr>
    <w:rPr>
      <w:rFonts w:ascii="Arial" w:hAnsi="Arial"/>
      <w:sz w:val="20"/>
      <w:szCs w:val="20"/>
      <w:lang w:val="en-US" w:eastAsia="en-US"/>
    </w:rPr>
  </w:style>
  <w:style w:type="character" w:customStyle="1" w:styleId="BodyChar">
    <w:name w:val="Body Char"/>
    <w:link w:val="Body"/>
    <w:rPr>
      <w:rFonts w:ascii="Arial" w:hAnsi="Arial"/>
      <w:lang w:val="en-US" w:eastAsia="en-US" w:bidi="ar-SA"/>
    </w:rPr>
  </w:style>
  <w:style w:type="paragraph" w:customStyle="1" w:styleId="Body11pt">
    <w:name w:val="Body + 11 pt"/>
    <w:basedOn w:val="Normal"/>
    <w:pPr>
      <w:overflowPunct w:val="0"/>
      <w:autoSpaceDE w:val="0"/>
      <w:autoSpaceDN w:val="0"/>
      <w:adjustRightInd w:val="0"/>
      <w:jc w:val="both"/>
      <w:textAlignment w:val="baseline"/>
    </w:pPr>
    <w:rPr>
      <w:rFonts w:ascii="Arial" w:hAnsi="Arial"/>
      <w:sz w:val="20"/>
      <w:szCs w:val="20"/>
      <w:lang w:val="en-US" w:eastAsia="en-US"/>
    </w:rPr>
  </w:style>
  <w:style w:type="table" w:styleId="TableGrid">
    <w:name w:val="Table Grid"/>
    <w:basedOn w:val="TableNormal"/>
    <w:uiPriority w:val="59"/>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153"/>
        <w:tab w:val="right" w:pos="8306"/>
      </w:tabs>
    </w:pPr>
  </w:style>
  <w:style w:type="character" w:styleId="FollowedHyperlink">
    <w:name w:val="FollowedHyperlink"/>
    <w:rPr>
      <w:color w:val="606420"/>
      <w:u w:val="single"/>
    </w:rPr>
  </w:style>
  <w:style w:type="paragraph" w:customStyle="1" w:styleId="Bodynotabindent">
    <w:name w:val="Body: no tab. indent"/>
    <w:basedOn w:val="Body"/>
    <w:next w:val="Body"/>
    <w:pPr>
      <w:overflowPunct/>
      <w:autoSpaceDE/>
      <w:autoSpaceDN/>
      <w:adjustRightInd/>
      <w:ind w:left="288" w:firstLine="0"/>
      <w:jc w:val="left"/>
      <w:textAlignment w:val="auto"/>
    </w:pPr>
    <w:rPr>
      <w:lang w:val="en-AU" w:eastAsia="en-AU"/>
    </w:rPr>
  </w:style>
  <w:style w:type="paragraph" w:styleId="DocumentMap">
    <w:name w:val="Document Map"/>
    <w:basedOn w:val="Normal"/>
    <w:semiHidden/>
    <w:rsid w:val="006656A9"/>
    <w:pPr>
      <w:shd w:val="clear" w:color="auto" w:fill="000080"/>
    </w:pPr>
    <w:rPr>
      <w:rFonts w:ascii="Tahoma" w:hAnsi="Tahoma" w:cs="Tahoma"/>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30DB9FD-CC8D-41C7-B040-4E1DE2016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10937</Words>
  <Characters>66063</Characters>
  <Application>Microsoft Office Word</Application>
  <DocSecurity>0</DocSecurity>
  <Lines>1270</Lines>
  <Paragraphs>626</Paragraphs>
  <ScaleCrop>false</ScaleCrop>
  <HeadingPairs>
    <vt:vector size="2" baseType="variant">
      <vt:variant>
        <vt:lpstr>Title</vt:lpstr>
      </vt:variant>
      <vt:variant>
        <vt:i4>1</vt:i4>
      </vt:variant>
    </vt:vector>
  </HeadingPairs>
  <TitlesOfParts>
    <vt:vector size="1" baseType="lpstr">
      <vt:lpstr>Product Information for Sitagliptin/Metformin</vt:lpstr>
    </vt:vector>
  </TitlesOfParts>
  <Company>Merck &amp; Co., Inc.</Company>
  <LinksUpToDate>false</LinksUpToDate>
  <CharactersWithSpaces>76374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Information for Sitagliptin/Metformin</dc:title>
  <dc:subject>prescription medicine regulation</dc:subject>
  <dc:creator>Merck Sharp &amp; Dohme (Australia) Pty Limited</dc:creator>
  <cp:keywords>product, information, prescription, medicine, assessment, regulation, australia, sitagliptin, metformin, janumet</cp:keywords>
  <cp:lastModifiedBy>Sheppard, Fran</cp:lastModifiedBy>
  <cp:revision>2</cp:revision>
  <cp:lastPrinted>2012-09-05T04:51:00Z</cp:lastPrinted>
  <dcterms:created xsi:type="dcterms:W3CDTF">2013-03-20T05:33:00Z</dcterms:created>
  <dcterms:modified xsi:type="dcterms:W3CDTF">2013-03-20T05:33:00Z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