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404F2A3" w14:textId="77777777" w:rsidTr="00BF1190">
        <w:trPr>
          <w:trHeight w:val="1863"/>
        </w:trPr>
        <w:tc>
          <w:tcPr>
            <w:tcW w:w="3652" w:type="dxa"/>
            <w:tcBorders>
              <w:top w:val="nil"/>
              <w:left w:val="nil"/>
              <w:bottom w:val="nil"/>
              <w:right w:val="nil"/>
            </w:tcBorders>
          </w:tcPr>
          <w:p w14:paraId="5C43E715" w14:textId="30E6BD01" w:rsidR="008E7846" w:rsidRPr="00096AA7" w:rsidRDefault="00E461E3" w:rsidP="00096AA7">
            <w:pPr>
              <w:rPr>
                <w:rFonts w:ascii="Arial" w:hAnsi="Arial" w:cs="Arial"/>
                <w:b/>
                <w:color w:val="002C47"/>
                <w:sz w:val="36"/>
                <w:szCs w:val="36"/>
              </w:rPr>
            </w:pPr>
            <w:r>
              <w:rPr>
                <w:rFonts w:ascii="Arial" w:hAnsi="Arial" w:cs="Arial"/>
                <w:b/>
                <w:color w:val="002C47"/>
                <w:sz w:val="36"/>
                <w:szCs w:val="36"/>
              </w:rPr>
              <w:t xml:space="preserve">December </w:t>
            </w:r>
            <w:r w:rsidR="00120286">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A4E532E" w14:textId="77777777" w:rsidTr="0032583B">
        <w:trPr>
          <w:trHeight w:val="868"/>
        </w:trPr>
        <w:tc>
          <w:tcPr>
            <w:tcW w:w="9079" w:type="dxa"/>
          </w:tcPr>
          <w:p w14:paraId="3CDD212B"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120286">
              <w:rPr>
                <w:color w:val="FFFFFF" w:themeColor="background1"/>
              </w:rPr>
              <w:t>S</w:t>
            </w:r>
            <w:r w:rsidR="00120286" w:rsidRPr="00120286">
              <w:rPr>
                <w:color w:val="FFFFFF" w:themeColor="background1"/>
              </w:rPr>
              <w:t>iponimod</w:t>
            </w:r>
            <w:proofErr w:type="spellEnd"/>
          </w:p>
        </w:tc>
      </w:tr>
      <w:tr w:rsidR="0032583B" w:rsidRPr="00B64760" w14:paraId="3029B5E3" w14:textId="77777777" w:rsidTr="0032583B">
        <w:tc>
          <w:tcPr>
            <w:tcW w:w="9079" w:type="dxa"/>
          </w:tcPr>
          <w:p w14:paraId="79D9B60B" w14:textId="77777777" w:rsidR="0032583B" w:rsidRPr="008E7846" w:rsidRDefault="00120286" w:rsidP="00120286">
            <w:pPr>
              <w:pStyle w:val="Subtitle"/>
              <w:rPr>
                <w:color w:val="FFFFFF" w:themeColor="background1"/>
              </w:rPr>
            </w:pPr>
            <w:r>
              <w:rPr>
                <w:color w:val="FFFFFF" w:themeColor="background1"/>
              </w:rPr>
              <w:t xml:space="preserve">Proprietary Product Name: </w:t>
            </w:r>
            <w:r w:rsidRPr="00120286">
              <w:rPr>
                <w:color w:val="FFFFFF" w:themeColor="background1"/>
              </w:rPr>
              <w:t>Mayzent</w:t>
            </w:r>
          </w:p>
        </w:tc>
      </w:tr>
      <w:tr w:rsidR="0032583B" w:rsidRPr="00B64760" w14:paraId="16FD3ECE" w14:textId="77777777" w:rsidTr="0032583B">
        <w:trPr>
          <w:trHeight w:val="486"/>
        </w:trPr>
        <w:tc>
          <w:tcPr>
            <w:tcW w:w="9079" w:type="dxa"/>
          </w:tcPr>
          <w:p w14:paraId="4B33A2E6"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120286" w:rsidRPr="00120286">
              <w:rPr>
                <w:color w:val="FFFFFF" w:themeColor="background1"/>
              </w:rPr>
              <w:t>Novartis Pharmaceuticals Australia Pty Ltd</w:t>
            </w:r>
          </w:p>
        </w:tc>
      </w:tr>
    </w:tbl>
    <w:p w14:paraId="0C5F11DF" w14:textId="77777777" w:rsidR="008E7846" w:rsidRPr="0085156D" w:rsidRDefault="008E7846" w:rsidP="0085156D">
      <w:r w:rsidRPr="0085156D">
        <w:br w:type="page"/>
      </w:r>
    </w:p>
    <w:p w14:paraId="363D51DB" w14:textId="77777777" w:rsidR="008E7846" w:rsidRPr="001F6CBA" w:rsidRDefault="008E7846" w:rsidP="008E7846">
      <w:pPr>
        <w:pStyle w:val="NonTOCHeading2"/>
      </w:pPr>
      <w:r w:rsidRPr="001F6CBA">
        <w:lastRenderedPageBreak/>
        <w:t>About the Therapeutic Goods Administration (TGA)</w:t>
      </w:r>
    </w:p>
    <w:p w14:paraId="697A2116" w14:textId="77777777" w:rsidR="008E7846" w:rsidRDefault="008E7846" w:rsidP="007901B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D5443BA" w14:textId="77777777" w:rsidR="008E7846" w:rsidRDefault="00C80137" w:rsidP="007901B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4B6FE46" w14:textId="77777777" w:rsidR="008E7846" w:rsidRDefault="008E7846" w:rsidP="007901B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B45BD1D" w14:textId="77777777" w:rsidR="008E7846" w:rsidRDefault="008E7846" w:rsidP="007901B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D74DAC7" w14:textId="77777777" w:rsidR="00441C3F" w:rsidRDefault="008E7846" w:rsidP="007901B9">
      <w:pPr>
        <w:pStyle w:val="ListBullet"/>
        <w:numPr>
          <w:ilvl w:val="0"/>
          <w:numId w:val="1"/>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76F9C494" w14:textId="77777777" w:rsidR="008E7846" w:rsidRDefault="008E7846" w:rsidP="00875A6B">
      <w:pPr>
        <w:pStyle w:val="NonTOCHeading2"/>
      </w:pPr>
      <w:r>
        <w:t>About AusPARs</w:t>
      </w:r>
    </w:p>
    <w:p w14:paraId="66F75C1F" w14:textId="77777777" w:rsidR="008E7846" w:rsidRDefault="008E7846" w:rsidP="007901B9">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A9602EE" w14:textId="77777777" w:rsidR="008E7846" w:rsidRDefault="008E7846" w:rsidP="007901B9">
      <w:pPr>
        <w:pStyle w:val="ListBullet"/>
        <w:numPr>
          <w:ilvl w:val="0"/>
          <w:numId w:val="1"/>
        </w:numPr>
        <w:ind w:left="357" w:hanging="357"/>
      </w:pPr>
      <w:r>
        <w:t>AusPARs are prepared and published by the TGA.</w:t>
      </w:r>
    </w:p>
    <w:p w14:paraId="27FB2CFE" w14:textId="77777777" w:rsidR="008E7846" w:rsidRDefault="008E7846" w:rsidP="007901B9">
      <w:pPr>
        <w:pStyle w:val="ListBullet"/>
        <w:numPr>
          <w:ilvl w:val="0"/>
          <w:numId w:val="1"/>
        </w:numPr>
        <w:ind w:left="357" w:hanging="357"/>
      </w:pPr>
      <w:r>
        <w:t>An AusPAR is prepared for submissions that relate to new chemical entities, generic medicines, major variations and extensions of indications.</w:t>
      </w:r>
    </w:p>
    <w:p w14:paraId="69F9DF84" w14:textId="77777777" w:rsidR="008E7846" w:rsidRDefault="008E7846" w:rsidP="007901B9">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3200C397" w14:textId="77777777" w:rsidR="00B452CE" w:rsidRDefault="008E7846" w:rsidP="007901B9">
      <w:pPr>
        <w:pStyle w:val="ListBullet"/>
        <w:numPr>
          <w:ilvl w:val="0"/>
          <w:numId w:val="1"/>
        </w:numPr>
        <w:ind w:left="357" w:hanging="357"/>
      </w:pPr>
      <w:r>
        <w:t>A new AusPAR will be developed to reflect changes to indications and/or major variations to a prescription medicine subject to evaluation by the TGA.</w:t>
      </w:r>
    </w:p>
    <w:p w14:paraId="625C3C43" w14:textId="77777777" w:rsidR="00924482" w:rsidRPr="00DF1D7F" w:rsidRDefault="00924482" w:rsidP="00F54B65">
      <w:pPr>
        <w:pStyle w:val="LegalSubheading"/>
        <w:spacing w:before="3120"/>
      </w:pPr>
      <w:r w:rsidRPr="00DF1D7F">
        <w:t>Copyright</w:t>
      </w:r>
    </w:p>
    <w:p w14:paraId="0780D054"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73C4CEE6"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0424A15" w14:textId="77777777" w:rsidR="0089635C" w:rsidRPr="0089635C" w:rsidRDefault="0089635C" w:rsidP="0010788A">
          <w:pPr>
            <w:pStyle w:val="Contents"/>
          </w:pPr>
          <w:r w:rsidRPr="0010788A">
            <w:t>Con</w:t>
          </w:r>
          <w:bookmarkStart w:id="2" w:name="_GoBack"/>
          <w:bookmarkEnd w:id="2"/>
          <w:r w:rsidRPr="0010788A">
            <w:t>tents</w:t>
          </w:r>
        </w:p>
        <w:p w14:paraId="633B95C1" w14:textId="2C8AF7F1" w:rsidR="00243CB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8868675" w:history="1">
            <w:r w:rsidR="00243CBB" w:rsidRPr="00FD4531">
              <w:rPr>
                <w:rStyle w:val="Hyperlink"/>
                <w:noProof/>
              </w:rPr>
              <w:t>Common abbreviations</w:t>
            </w:r>
            <w:r w:rsidR="00243CBB">
              <w:rPr>
                <w:noProof/>
                <w:webHidden/>
              </w:rPr>
              <w:tab/>
            </w:r>
            <w:r w:rsidR="00243CBB">
              <w:rPr>
                <w:noProof/>
                <w:webHidden/>
              </w:rPr>
              <w:fldChar w:fldCharType="begin"/>
            </w:r>
            <w:r w:rsidR="00243CBB">
              <w:rPr>
                <w:noProof/>
                <w:webHidden/>
              </w:rPr>
              <w:instrText xml:space="preserve"> PAGEREF _Toc28868675 \h </w:instrText>
            </w:r>
            <w:r w:rsidR="00243CBB">
              <w:rPr>
                <w:noProof/>
                <w:webHidden/>
              </w:rPr>
            </w:r>
            <w:r w:rsidR="00243CBB">
              <w:rPr>
                <w:noProof/>
                <w:webHidden/>
              </w:rPr>
              <w:fldChar w:fldCharType="separate"/>
            </w:r>
            <w:r w:rsidR="00243CBB">
              <w:rPr>
                <w:noProof/>
                <w:webHidden/>
              </w:rPr>
              <w:t>4</w:t>
            </w:r>
            <w:r w:rsidR="00243CBB">
              <w:rPr>
                <w:noProof/>
                <w:webHidden/>
              </w:rPr>
              <w:fldChar w:fldCharType="end"/>
            </w:r>
          </w:hyperlink>
        </w:p>
        <w:p w14:paraId="7FECF256" w14:textId="3C230DC3" w:rsidR="00243CBB" w:rsidRDefault="00243CBB">
          <w:pPr>
            <w:pStyle w:val="TOC2"/>
            <w:rPr>
              <w:rFonts w:asciiTheme="minorHAnsi" w:eastAsiaTheme="minorEastAsia" w:hAnsiTheme="minorHAnsi" w:cstheme="minorBidi"/>
              <w:b w:val="0"/>
              <w:noProof/>
              <w:sz w:val="22"/>
              <w:lang w:eastAsia="en-AU"/>
            </w:rPr>
          </w:pPr>
          <w:hyperlink w:anchor="_Toc28868676" w:history="1">
            <w:r w:rsidRPr="00FD4531">
              <w:rPr>
                <w:rStyle w:val="Hyperlink"/>
                <w:noProof/>
              </w:rPr>
              <w:t>I. Introduction to product submission</w:t>
            </w:r>
            <w:r>
              <w:rPr>
                <w:noProof/>
                <w:webHidden/>
              </w:rPr>
              <w:tab/>
            </w:r>
            <w:r>
              <w:rPr>
                <w:noProof/>
                <w:webHidden/>
              </w:rPr>
              <w:fldChar w:fldCharType="begin"/>
            </w:r>
            <w:r>
              <w:rPr>
                <w:noProof/>
                <w:webHidden/>
              </w:rPr>
              <w:instrText xml:space="preserve"> PAGEREF _Toc28868676 \h </w:instrText>
            </w:r>
            <w:r>
              <w:rPr>
                <w:noProof/>
                <w:webHidden/>
              </w:rPr>
            </w:r>
            <w:r>
              <w:rPr>
                <w:noProof/>
                <w:webHidden/>
              </w:rPr>
              <w:fldChar w:fldCharType="separate"/>
            </w:r>
            <w:r>
              <w:rPr>
                <w:noProof/>
                <w:webHidden/>
              </w:rPr>
              <w:t>8</w:t>
            </w:r>
            <w:r>
              <w:rPr>
                <w:noProof/>
                <w:webHidden/>
              </w:rPr>
              <w:fldChar w:fldCharType="end"/>
            </w:r>
          </w:hyperlink>
        </w:p>
        <w:p w14:paraId="4019DCA8" w14:textId="674C9052" w:rsidR="00243CBB" w:rsidRDefault="00243CBB">
          <w:pPr>
            <w:pStyle w:val="TOC3"/>
            <w:rPr>
              <w:rFonts w:asciiTheme="minorHAnsi" w:eastAsiaTheme="minorEastAsia" w:hAnsiTheme="minorHAnsi" w:cstheme="minorBidi"/>
              <w:noProof/>
              <w:lang w:eastAsia="en-AU"/>
            </w:rPr>
          </w:pPr>
          <w:hyperlink w:anchor="_Toc28868677" w:history="1">
            <w:r w:rsidRPr="00FD4531">
              <w:rPr>
                <w:rStyle w:val="Hyperlink"/>
                <w:noProof/>
                <w:lang w:eastAsia="en-AU"/>
              </w:rPr>
              <w:t>Submission details</w:t>
            </w:r>
            <w:r>
              <w:rPr>
                <w:noProof/>
                <w:webHidden/>
              </w:rPr>
              <w:tab/>
            </w:r>
            <w:r>
              <w:rPr>
                <w:noProof/>
                <w:webHidden/>
              </w:rPr>
              <w:fldChar w:fldCharType="begin"/>
            </w:r>
            <w:r>
              <w:rPr>
                <w:noProof/>
                <w:webHidden/>
              </w:rPr>
              <w:instrText xml:space="preserve"> PAGEREF _Toc28868677 \h </w:instrText>
            </w:r>
            <w:r>
              <w:rPr>
                <w:noProof/>
                <w:webHidden/>
              </w:rPr>
            </w:r>
            <w:r>
              <w:rPr>
                <w:noProof/>
                <w:webHidden/>
              </w:rPr>
              <w:fldChar w:fldCharType="separate"/>
            </w:r>
            <w:r>
              <w:rPr>
                <w:noProof/>
                <w:webHidden/>
              </w:rPr>
              <w:t>8</w:t>
            </w:r>
            <w:r>
              <w:rPr>
                <w:noProof/>
                <w:webHidden/>
              </w:rPr>
              <w:fldChar w:fldCharType="end"/>
            </w:r>
          </w:hyperlink>
        </w:p>
        <w:p w14:paraId="3B32E5FC" w14:textId="2C29CC05" w:rsidR="00243CBB" w:rsidRDefault="00243CBB">
          <w:pPr>
            <w:pStyle w:val="TOC3"/>
            <w:rPr>
              <w:rFonts w:asciiTheme="minorHAnsi" w:eastAsiaTheme="minorEastAsia" w:hAnsiTheme="minorHAnsi" w:cstheme="minorBidi"/>
              <w:noProof/>
              <w:lang w:eastAsia="en-AU"/>
            </w:rPr>
          </w:pPr>
          <w:hyperlink w:anchor="_Toc28868678" w:history="1">
            <w:r w:rsidRPr="00FD4531">
              <w:rPr>
                <w:rStyle w:val="Hyperlink"/>
                <w:noProof/>
              </w:rPr>
              <w:t>Product background</w:t>
            </w:r>
            <w:r>
              <w:rPr>
                <w:noProof/>
                <w:webHidden/>
              </w:rPr>
              <w:tab/>
            </w:r>
            <w:r>
              <w:rPr>
                <w:noProof/>
                <w:webHidden/>
              </w:rPr>
              <w:fldChar w:fldCharType="begin"/>
            </w:r>
            <w:r>
              <w:rPr>
                <w:noProof/>
                <w:webHidden/>
              </w:rPr>
              <w:instrText xml:space="preserve"> PAGEREF _Toc28868678 \h </w:instrText>
            </w:r>
            <w:r>
              <w:rPr>
                <w:noProof/>
                <w:webHidden/>
              </w:rPr>
            </w:r>
            <w:r>
              <w:rPr>
                <w:noProof/>
                <w:webHidden/>
              </w:rPr>
              <w:fldChar w:fldCharType="separate"/>
            </w:r>
            <w:r>
              <w:rPr>
                <w:noProof/>
                <w:webHidden/>
              </w:rPr>
              <w:t>9</w:t>
            </w:r>
            <w:r>
              <w:rPr>
                <w:noProof/>
                <w:webHidden/>
              </w:rPr>
              <w:fldChar w:fldCharType="end"/>
            </w:r>
          </w:hyperlink>
        </w:p>
        <w:p w14:paraId="2AADBCEE" w14:textId="3A82756C" w:rsidR="00243CBB" w:rsidRDefault="00243CBB">
          <w:pPr>
            <w:pStyle w:val="TOC3"/>
            <w:rPr>
              <w:rFonts w:asciiTheme="minorHAnsi" w:eastAsiaTheme="minorEastAsia" w:hAnsiTheme="minorHAnsi" w:cstheme="minorBidi"/>
              <w:noProof/>
              <w:lang w:eastAsia="en-AU"/>
            </w:rPr>
          </w:pPr>
          <w:hyperlink w:anchor="_Toc28868679" w:history="1">
            <w:r w:rsidRPr="00FD4531">
              <w:rPr>
                <w:rStyle w:val="Hyperlink"/>
                <w:noProof/>
              </w:rPr>
              <w:t>Regulatory status</w:t>
            </w:r>
            <w:r>
              <w:rPr>
                <w:noProof/>
                <w:webHidden/>
              </w:rPr>
              <w:tab/>
            </w:r>
            <w:r>
              <w:rPr>
                <w:noProof/>
                <w:webHidden/>
              </w:rPr>
              <w:fldChar w:fldCharType="begin"/>
            </w:r>
            <w:r>
              <w:rPr>
                <w:noProof/>
                <w:webHidden/>
              </w:rPr>
              <w:instrText xml:space="preserve"> PAGEREF _Toc28868679 \h </w:instrText>
            </w:r>
            <w:r>
              <w:rPr>
                <w:noProof/>
                <w:webHidden/>
              </w:rPr>
            </w:r>
            <w:r>
              <w:rPr>
                <w:noProof/>
                <w:webHidden/>
              </w:rPr>
              <w:fldChar w:fldCharType="separate"/>
            </w:r>
            <w:r>
              <w:rPr>
                <w:noProof/>
                <w:webHidden/>
              </w:rPr>
              <w:t>10</w:t>
            </w:r>
            <w:r>
              <w:rPr>
                <w:noProof/>
                <w:webHidden/>
              </w:rPr>
              <w:fldChar w:fldCharType="end"/>
            </w:r>
          </w:hyperlink>
        </w:p>
        <w:p w14:paraId="6635BBC5" w14:textId="0541ED0A" w:rsidR="00243CBB" w:rsidRDefault="00243CBB">
          <w:pPr>
            <w:pStyle w:val="TOC3"/>
            <w:rPr>
              <w:rFonts w:asciiTheme="minorHAnsi" w:eastAsiaTheme="minorEastAsia" w:hAnsiTheme="minorHAnsi" w:cstheme="minorBidi"/>
              <w:noProof/>
              <w:lang w:eastAsia="en-AU"/>
            </w:rPr>
          </w:pPr>
          <w:hyperlink w:anchor="_Toc28868680" w:history="1">
            <w:r w:rsidRPr="00FD4531">
              <w:rPr>
                <w:rStyle w:val="Hyperlink"/>
                <w:noProof/>
              </w:rPr>
              <w:t>Product Information</w:t>
            </w:r>
            <w:r>
              <w:rPr>
                <w:noProof/>
                <w:webHidden/>
              </w:rPr>
              <w:tab/>
            </w:r>
            <w:r>
              <w:rPr>
                <w:noProof/>
                <w:webHidden/>
              </w:rPr>
              <w:fldChar w:fldCharType="begin"/>
            </w:r>
            <w:r>
              <w:rPr>
                <w:noProof/>
                <w:webHidden/>
              </w:rPr>
              <w:instrText xml:space="preserve"> PAGEREF _Toc28868680 \h </w:instrText>
            </w:r>
            <w:r>
              <w:rPr>
                <w:noProof/>
                <w:webHidden/>
              </w:rPr>
            </w:r>
            <w:r>
              <w:rPr>
                <w:noProof/>
                <w:webHidden/>
              </w:rPr>
              <w:fldChar w:fldCharType="separate"/>
            </w:r>
            <w:r>
              <w:rPr>
                <w:noProof/>
                <w:webHidden/>
              </w:rPr>
              <w:t>11</w:t>
            </w:r>
            <w:r>
              <w:rPr>
                <w:noProof/>
                <w:webHidden/>
              </w:rPr>
              <w:fldChar w:fldCharType="end"/>
            </w:r>
          </w:hyperlink>
        </w:p>
        <w:p w14:paraId="36714F15" w14:textId="4D4E376E" w:rsidR="00243CBB" w:rsidRDefault="00243CBB">
          <w:pPr>
            <w:pStyle w:val="TOC2"/>
            <w:rPr>
              <w:rFonts w:asciiTheme="minorHAnsi" w:eastAsiaTheme="minorEastAsia" w:hAnsiTheme="minorHAnsi" w:cstheme="minorBidi"/>
              <w:b w:val="0"/>
              <w:noProof/>
              <w:sz w:val="22"/>
              <w:lang w:eastAsia="en-AU"/>
            </w:rPr>
          </w:pPr>
          <w:hyperlink w:anchor="_Toc28868681" w:history="1">
            <w:r w:rsidRPr="00FD4531">
              <w:rPr>
                <w:rStyle w:val="Hyperlink"/>
                <w:noProof/>
              </w:rPr>
              <w:t>II. Registration timeline</w:t>
            </w:r>
            <w:r>
              <w:rPr>
                <w:noProof/>
                <w:webHidden/>
              </w:rPr>
              <w:tab/>
            </w:r>
            <w:r>
              <w:rPr>
                <w:noProof/>
                <w:webHidden/>
              </w:rPr>
              <w:fldChar w:fldCharType="begin"/>
            </w:r>
            <w:r>
              <w:rPr>
                <w:noProof/>
                <w:webHidden/>
              </w:rPr>
              <w:instrText xml:space="preserve"> PAGEREF _Toc28868681 \h </w:instrText>
            </w:r>
            <w:r>
              <w:rPr>
                <w:noProof/>
                <w:webHidden/>
              </w:rPr>
            </w:r>
            <w:r>
              <w:rPr>
                <w:noProof/>
                <w:webHidden/>
              </w:rPr>
              <w:fldChar w:fldCharType="separate"/>
            </w:r>
            <w:r>
              <w:rPr>
                <w:noProof/>
                <w:webHidden/>
              </w:rPr>
              <w:t>11</w:t>
            </w:r>
            <w:r>
              <w:rPr>
                <w:noProof/>
                <w:webHidden/>
              </w:rPr>
              <w:fldChar w:fldCharType="end"/>
            </w:r>
          </w:hyperlink>
        </w:p>
        <w:p w14:paraId="33F39C4A" w14:textId="4B675EDB" w:rsidR="00243CBB" w:rsidRDefault="00243CBB">
          <w:pPr>
            <w:pStyle w:val="TOC2"/>
            <w:rPr>
              <w:rFonts w:asciiTheme="minorHAnsi" w:eastAsiaTheme="minorEastAsia" w:hAnsiTheme="minorHAnsi" w:cstheme="minorBidi"/>
              <w:b w:val="0"/>
              <w:noProof/>
              <w:sz w:val="22"/>
              <w:lang w:eastAsia="en-AU"/>
            </w:rPr>
          </w:pPr>
          <w:hyperlink w:anchor="_Toc28868682" w:history="1">
            <w:r w:rsidRPr="00FD4531">
              <w:rPr>
                <w:rStyle w:val="Hyperlink"/>
                <w:noProof/>
              </w:rPr>
              <w:t>III. Submission overview and risk/benefit assessment</w:t>
            </w:r>
            <w:r>
              <w:rPr>
                <w:noProof/>
                <w:webHidden/>
              </w:rPr>
              <w:tab/>
            </w:r>
            <w:r>
              <w:rPr>
                <w:noProof/>
                <w:webHidden/>
              </w:rPr>
              <w:fldChar w:fldCharType="begin"/>
            </w:r>
            <w:r>
              <w:rPr>
                <w:noProof/>
                <w:webHidden/>
              </w:rPr>
              <w:instrText xml:space="preserve"> PAGEREF _Toc28868682 \h </w:instrText>
            </w:r>
            <w:r>
              <w:rPr>
                <w:noProof/>
                <w:webHidden/>
              </w:rPr>
            </w:r>
            <w:r>
              <w:rPr>
                <w:noProof/>
                <w:webHidden/>
              </w:rPr>
              <w:fldChar w:fldCharType="separate"/>
            </w:r>
            <w:r>
              <w:rPr>
                <w:noProof/>
                <w:webHidden/>
              </w:rPr>
              <w:t>12</w:t>
            </w:r>
            <w:r>
              <w:rPr>
                <w:noProof/>
                <w:webHidden/>
              </w:rPr>
              <w:fldChar w:fldCharType="end"/>
            </w:r>
          </w:hyperlink>
        </w:p>
        <w:p w14:paraId="23BF9D8C" w14:textId="40D6860D" w:rsidR="00243CBB" w:rsidRDefault="00243CBB">
          <w:pPr>
            <w:pStyle w:val="TOC3"/>
            <w:rPr>
              <w:rFonts w:asciiTheme="minorHAnsi" w:eastAsiaTheme="minorEastAsia" w:hAnsiTheme="minorHAnsi" w:cstheme="minorBidi"/>
              <w:noProof/>
              <w:lang w:eastAsia="en-AU"/>
            </w:rPr>
          </w:pPr>
          <w:hyperlink w:anchor="_Toc28868683" w:history="1">
            <w:r w:rsidRPr="00FD4531">
              <w:rPr>
                <w:rStyle w:val="Hyperlink"/>
                <w:noProof/>
              </w:rPr>
              <w:t>Quality</w:t>
            </w:r>
            <w:r>
              <w:rPr>
                <w:noProof/>
                <w:webHidden/>
              </w:rPr>
              <w:tab/>
            </w:r>
            <w:r>
              <w:rPr>
                <w:noProof/>
                <w:webHidden/>
              </w:rPr>
              <w:fldChar w:fldCharType="begin"/>
            </w:r>
            <w:r>
              <w:rPr>
                <w:noProof/>
                <w:webHidden/>
              </w:rPr>
              <w:instrText xml:space="preserve"> PAGEREF _Toc28868683 \h </w:instrText>
            </w:r>
            <w:r>
              <w:rPr>
                <w:noProof/>
                <w:webHidden/>
              </w:rPr>
            </w:r>
            <w:r>
              <w:rPr>
                <w:noProof/>
                <w:webHidden/>
              </w:rPr>
              <w:fldChar w:fldCharType="separate"/>
            </w:r>
            <w:r>
              <w:rPr>
                <w:noProof/>
                <w:webHidden/>
              </w:rPr>
              <w:t>12</w:t>
            </w:r>
            <w:r>
              <w:rPr>
                <w:noProof/>
                <w:webHidden/>
              </w:rPr>
              <w:fldChar w:fldCharType="end"/>
            </w:r>
          </w:hyperlink>
        </w:p>
        <w:p w14:paraId="090BD576" w14:textId="6B7B12FD" w:rsidR="00243CBB" w:rsidRDefault="00243CBB">
          <w:pPr>
            <w:pStyle w:val="TOC3"/>
            <w:rPr>
              <w:rFonts w:asciiTheme="minorHAnsi" w:eastAsiaTheme="minorEastAsia" w:hAnsiTheme="minorHAnsi" w:cstheme="minorBidi"/>
              <w:noProof/>
              <w:lang w:eastAsia="en-AU"/>
            </w:rPr>
          </w:pPr>
          <w:hyperlink w:anchor="_Toc28868684" w:history="1">
            <w:r w:rsidRPr="00FD4531">
              <w:rPr>
                <w:rStyle w:val="Hyperlink"/>
                <w:noProof/>
              </w:rPr>
              <w:t>Nonclinical</w:t>
            </w:r>
            <w:r>
              <w:rPr>
                <w:noProof/>
                <w:webHidden/>
              </w:rPr>
              <w:tab/>
            </w:r>
            <w:r>
              <w:rPr>
                <w:noProof/>
                <w:webHidden/>
              </w:rPr>
              <w:fldChar w:fldCharType="begin"/>
            </w:r>
            <w:r>
              <w:rPr>
                <w:noProof/>
                <w:webHidden/>
              </w:rPr>
              <w:instrText xml:space="preserve"> PAGEREF _Toc28868684 \h </w:instrText>
            </w:r>
            <w:r>
              <w:rPr>
                <w:noProof/>
                <w:webHidden/>
              </w:rPr>
            </w:r>
            <w:r>
              <w:rPr>
                <w:noProof/>
                <w:webHidden/>
              </w:rPr>
              <w:fldChar w:fldCharType="separate"/>
            </w:r>
            <w:r>
              <w:rPr>
                <w:noProof/>
                <w:webHidden/>
              </w:rPr>
              <w:t>14</w:t>
            </w:r>
            <w:r>
              <w:rPr>
                <w:noProof/>
                <w:webHidden/>
              </w:rPr>
              <w:fldChar w:fldCharType="end"/>
            </w:r>
          </w:hyperlink>
        </w:p>
        <w:p w14:paraId="2608BBED" w14:textId="36F53CAF" w:rsidR="00243CBB" w:rsidRDefault="00243CBB">
          <w:pPr>
            <w:pStyle w:val="TOC3"/>
            <w:rPr>
              <w:rFonts w:asciiTheme="minorHAnsi" w:eastAsiaTheme="minorEastAsia" w:hAnsiTheme="minorHAnsi" w:cstheme="minorBidi"/>
              <w:noProof/>
              <w:lang w:eastAsia="en-AU"/>
            </w:rPr>
          </w:pPr>
          <w:hyperlink w:anchor="_Toc28868685" w:history="1">
            <w:r w:rsidRPr="00FD4531">
              <w:rPr>
                <w:rStyle w:val="Hyperlink"/>
                <w:noProof/>
              </w:rPr>
              <w:t>Clinical</w:t>
            </w:r>
            <w:r>
              <w:rPr>
                <w:noProof/>
                <w:webHidden/>
              </w:rPr>
              <w:tab/>
            </w:r>
            <w:r>
              <w:rPr>
                <w:noProof/>
                <w:webHidden/>
              </w:rPr>
              <w:fldChar w:fldCharType="begin"/>
            </w:r>
            <w:r>
              <w:rPr>
                <w:noProof/>
                <w:webHidden/>
              </w:rPr>
              <w:instrText xml:space="preserve"> PAGEREF _Toc28868685 \h </w:instrText>
            </w:r>
            <w:r>
              <w:rPr>
                <w:noProof/>
                <w:webHidden/>
              </w:rPr>
            </w:r>
            <w:r>
              <w:rPr>
                <w:noProof/>
                <w:webHidden/>
              </w:rPr>
              <w:fldChar w:fldCharType="separate"/>
            </w:r>
            <w:r>
              <w:rPr>
                <w:noProof/>
                <w:webHidden/>
              </w:rPr>
              <w:t>16</w:t>
            </w:r>
            <w:r>
              <w:rPr>
                <w:noProof/>
                <w:webHidden/>
              </w:rPr>
              <w:fldChar w:fldCharType="end"/>
            </w:r>
          </w:hyperlink>
        </w:p>
        <w:p w14:paraId="381E4572" w14:textId="642934B6" w:rsidR="00243CBB" w:rsidRDefault="00243CBB">
          <w:pPr>
            <w:pStyle w:val="TOC3"/>
            <w:rPr>
              <w:rFonts w:asciiTheme="minorHAnsi" w:eastAsiaTheme="minorEastAsia" w:hAnsiTheme="minorHAnsi" w:cstheme="minorBidi"/>
              <w:noProof/>
              <w:lang w:eastAsia="en-AU"/>
            </w:rPr>
          </w:pPr>
          <w:hyperlink w:anchor="_Toc28868686" w:history="1">
            <w:r w:rsidRPr="00FD4531">
              <w:rPr>
                <w:rStyle w:val="Hyperlink"/>
                <w:noProof/>
                <w:lang w:eastAsia="en-AU"/>
              </w:rPr>
              <w:t>Risk management plan</w:t>
            </w:r>
            <w:r>
              <w:rPr>
                <w:noProof/>
                <w:webHidden/>
              </w:rPr>
              <w:tab/>
            </w:r>
            <w:r>
              <w:rPr>
                <w:noProof/>
                <w:webHidden/>
              </w:rPr>
              <w:fldChar w:fldCharType="begin"/>
            </w:r>
            <w:r>
              <w:rPr>
                <w:noProof/>
                <w:webHidden/>
              </w:rPr>
              <w:instrText xml:space="preserve"> PAGEREF _Toc28868686 \h </w:instrText>
            </w:r>
            <w:r>
              <w:rPr>
                <w:noProof/>
                <w:webHidden/>
              </w:rPr>
            </w:r>
            <w:r>
              <w:rPr>
                <w:noProof/>
                <w:webHidden/>
              </w:rPr>
              <w:fldChar w:fldCharType="separate"/>
            </w:r>
            <w:r>
              <w:rPr>
                <w:noProof/>
                <w:webHidden/>
              </w:rPr>
              <w:t>36</w:t>
            </w:r>
            <w:r>
              <w:rPr>
                <w:noProof/>
                <w:webHidden/>
              </w:rPr>
              <w:fldChar w:fldCharType="end"/>
            </w:r>
          </w:hyperlink>
        </w:p>
        <w:p w14:paraId="7C5AF1CA" w14:textId="6C4F6E78" w:rsidR="00243CBB" w:rsidRDefault="00243CBB">
          <w:pPr>
            <w:pStyle w:val="TOC3"/>
            <w:rPr>
              <w:rFonts w:asciiTheme="minorHAnsi" w:eastAsiaTheme="minorEastAsia" w:hAnsiTheme="minorHAnsi" w:cstheme="minorBidi"/>
              <w:noProof/>
              <w:lang w:eastAsia="en-AU"/>
            </w:rPr>
          </w:pPr>
          <w:hyperlink w:anchor="_Toc28868687" w:history="1">
            <w:r w:rsidRPr="00FD4531">
              <w:rPr>
                <w:rStyle w:val="Hyperlink"/>
                <w:noProof/>
              </w:rPr>
              <w:t>Risk-benefit analysis</w:t>
            </w:r>
            <w:r>
              <w:rPr>
                <w:noProof/>
                <w:webHidden/>
              </w:rPr>
              <w:tab/>
            </w:r>
            <w:r>
              <w:rPr>
                <w:noProof/>
                <w:webHidden/>
              </w:rPr>
              <w:fldChar w:fldCharType="begin"/>
            </w:r>
            <w:r>
              <w:rPr>
                <w:noProof/>
                <w:webHidden/>
              </w:rPr>
              <w:instrText xml:space="preserve"> PAGEREF _Toc28868687 \h </w:instrText>
            </w:r>
            <w:r>
              <w:rPr>
                <w:noProof/>
                <w:webHidden/>
              </w:rPr>
            </w:r>
            <w:r>
              <w:rPr>
                <w:noProof/>
                <w:webHidden/>
              </w:rPr>
              <w:fldChar w:fldCharType="separate"/>
            </w:r>
            <w:r>
              <w:rPr>
                <w:noProof/>
                <w:webHidden/>
              </w:rPr>
              <w:t>38</w:t>
            </w:r>
            <w:r>
              <w:rPr>
                <w:noProof/>
                <w:webHidden/>
              </w:rPr>
              <w:fldChar w:fldCharType="end"/>
            </w:r>
          </w:hyperlink>
        </w:p>
        <w:p w14:paraId="47FAC83F" w14:textId="219CEDD4" w:rsidR="00243CBB" w:rsidRDefault="00243CBB">
          <w:pPr>
            <w:pStyle w:val="TOC3"/>
            <w:rPr>
              <w:rFonts w:asciiTheme="minorHAnsi" w:eastAsiaTheme="minorEastAsia" w:hAnsiTheme="minorHAnsi" w:cstheme="minorBidi"/>
              <w:noProof/>
              <w:lang w:eastAsia="en-AU"/>
            </w:rPr>
          </w:pPr>
          <w:hyperlink w:anchor="_Toc28868688" w:history="1">
            <w:r w:rsidRPr="00FD4531">
              <w:rPr>
                <w:rStyle w:val="Hyperlink"/>
                <w:noProof/>
              </w:rPr>
              <w:t>Outcome</w:t>
            </w:r>
            <w:r>
              <w:rPr>
                <w:noProof/>
                <w:webHidden/>
              </w:rPr>
              <w:tab/>
            </w:r>
            <w:r>
              <w:rPr>
                <w:noProof/>
                <w:webHidden/>
              </w:rPr>
              <w:fldChar w:fldCharType="begin"/>
            </w:r>
            <w:r>
              <w:rPr>
                <w:noProof/>
                <w:webHidden/>
              </w:rPr>
              <w:instrText xml:space="preserve"> PAGEREF _Toc28868688 \h </w:instrText>
            </w:r>
            <w:r>
              <w:rPr>
                <w:noProof/>
                <w:webHidden/>
              </w:rPr>
            </w:r>
            <w:r>
              <w:rPr>
                <w:noProof/>
                <w:webHidden/>
              </w:rPr>
              <w:fldChar w:fldCharType="separate"/>
            </w:r>
            <w:r>
              <w:rPr>
                <w:noProof/>
                <w:webHidden/>
              </w:rPr>
              <w:t>41</w:t>
            </w:r>
            <w:r>
              <w:rPr>
                <w:noProof/>
                <w:webHidden/>
              </w:rPr>
              <w:fldChar w:fldCharType="end"/>
            </w:r>
          </w:hyperlink>
        </w:p>
        <w:p w14:paraId="7AE0E815" w14:textId="700B6497" w:rsidR="00243CBB" w:rsidRDefault="00243CBB">
          <w:pPr>
            <w:pStyle w:val="TOC2"/>
            <w:rPr>
              <w:rFonts w:asciiTheme="minorHAnsi" w:eastAsiaTheme="minorEastAsia" w:hAnsiTheme="minorHAnsi" w:cstheme="minorBidi"/>
              <w:b w:val="0"/>
              <w:noProof/>
              <w:sz w:val="22"/>
              <w:lang w:eastAsia="en-AU"/>
            </w:rPr>
          </w:pPr>
          <w:hyperlink w:anchor="_Toc28868689" w:history="1">
            <w:r w:rsidRPr="00FD4531">
              <w:rPr>
                <w:rStyle w:val="Hyperlink"/>
                <w:noProof/>
              </w:rPr>
              <w:t>Attachment 1. Product Information</w:t>
            </w:r>
            <w:r>
              <w:rPr>
                <w:noProof/>
                <w:webHidden/>
              </w:rPr>
              <w:tab/>
            </w:r>
            <w:r>
              <w:rPr>
                <w:noProof/>
                <w:webHidden/>
              </w:rPr>
              <w:fldChar w:fldCharType="begin"/>
            </w:r>
            <w:r>
              <w:rPr>
                <w:noProof/>
                <w:webHidden/>
              </w:rPr>
              <w:instrText xml:space="preserve"> PAGEREF _Toc28868689 \h </w:instrText>
            </w:r>
            <w:r>
              <w:rPr>
                <w:noProof/>
                <w:webHidden/>
              </w:rPr>
            </w:r>
            <w:r>
              <w:rPr>
                <w:noProof/>
                <w:webHidden/>
              </w:rPr>
              <w:fldChar w:fldCharType="separate"/>
            </w:r>
            <w:r>
              <w:rPr>
                <w:noProof/>
                <w:webHidden/>
              </w:rPr>
              <w:t>42</w:t>
            </w:r>
            <w:r>
              <w:rPr>
                <w:noProof/>
                <w:webHidden/>
              </w:rPr>
              <w:fldChar w:fldCharType="end"/>
            </w:r>
          </w:hyperlink>
        </w:p>
        <w:p w14:paraId="53D44C2E" w14:textId="4D5F7C97" w:rsidR="003A7F6C" w:rsidRPr="00B811C6" w:rsidRDefault="00DB6124" w:rsidP="00B811C6">
          <w:pPr>
            <w:pStyle w:val="TOC2"/>
          </w:pPr>
          <w:r>
            <w:fldChar w:fldCharType="end"/>
          </w:r>
        </w:p>
      </w:sdtContent>
    </w:sdt>
    <w:bookmarkStart w:id="3" w:name="_Toc314842482" w:displacedByCustomXml="prev"/>
    <w:p w14:paraId="127B5695" w14:textId="77777777" w:rsidR="00FD119B" w:rsidRDefault="00FD119B">
      <w:pPr>
        <w:spacing w:before="0" w:after="200" w:line="0" w:lineRule="auto"/>
      </w:pPr>
      <w:r>
        <w:br w:type="page"/>
      </w:r>
    </w:p>
    <w:p w14:paraId="20B54BC0" w14:textId="77777777" w:rsidR="00C52E24" w:rsidRPr="00C52E24" w:rsidRDefault="00441C3F" w:rsidP="007901B9">
      <w:pPr>
        <w:pStyle w:val="Heading2"/>
      </w:pPr>
      <w:bookmarkStart w:id="4" w:name="_Toc351716269"/>
      <w:bookmarkStart w:id="5" w:name="_Toc351718881"/>
      <w:bookmarkStart w:id="6" w:name="_Toc355338616"/>
      <w:bookmarkStart w:id="7" w:name="_Toc356306144"/>
      <w:bookmarkStart w:id="8" w:name="_Toc28868675"/>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8852C3" w14:paraId="494B6041" w14:textId="77777777" w:rsidTr="007901B9">
        <w:trPr>
          <w:cnfStyle w:val="100000000000" w:firstRow="1" w:lastRow="0" w:firstColumn="0" w:lastColumn="0" w:oddVBand="0" w:evenVBand="0" w:oddHBand="0" w:evenHBand="0" w:firstRowFirstColumn="0" w:firstRowLastColumn="0" w:lastRowFirstColumn="0" w:lastRowLastColumn="0"/>
        </w:trPr>
        <w:tc>
          <w:tcPr>
            <w:tcW w:w="1809" w:type="dxa"/>
          </w:tcPr>
          <w:p w14:paraId="6627D260" w14:textId="77777777" w:rsidR="00FD119B" w:rsidRPr="008852C3" w:rsidRDefault="00FD119B" w:rsidP="007901B9">
            <w:pPr>
              <w:keepNext w:val="0"/>
              <w:ind w:left="0" w:right="0"/>
              <w:rPr>
                <w:sz w:val="21"/>
                <w:lang w:eastAsia="en-US"/>
              </w:rPr>
            </w:pPr>
            <w:r w:rsidRPr="008852C3">
              <w:rPr>
                <w:sz w:val="21"/>
                <w:lang w:eastAsia="en-US"/>
              </w:rPr>
              <w:t>Abbreviation</w:t>
            </w:r>
          </w:p>
        </w:tc>
        <w:tc>
          <w:tcPr>
            <w:tcW w:w="6911" w:type="dxa"/>
          </w:tcPr>
          <w:p w14:paraId="20BE8D9C" w14:textId="77777777" w:rsidR="00FD119B" w:rsidRPr="008852C3" w:rsidRDefault="00FD119B" w:rsidP="007901B9">
            <w:pPr>
              <w:keepNext w:val="0"/>
              <w:ind w:left="0" w:right="0"/>
              <w:rPr>
                <w:sz w:val="21"/>
                <w:lang w:eastAsia="en-US"/>
              </w:rPr>
            </w:pPr>
            <w:r w:rsidRPr="008852C3">
              <w:rPr>
                <w:sz w:val="21"/>
                <w:lang w:eastAsia="en-US"/>
              </w:rPr>
              <w:t>Meaning</w:t>
            </w:r>
          </w:p>
        </w:tc>
      </w:tr>
      <w:tr w:rsidR="007901B9" w:rsidRPr="008852C3" w14:paraId="4041510C" w14:textId="77777777" w:rsidTr="007901B9">
        <w:tc>
          <w:tcPr>
            <w:tcW w:w="1809" w:type="dxa"/>
          </w:tcPr>
          <w:p w14:paraId="6BB87B7F" w14:textId="77777777" w:rsidR="007901B9" w:rsidRPr="008852C3" w:rsidRDefault="007901B9" w:rsidP="007901B9">
            <w:pPr>
              <w:rPr>
                <w:sz w:val="21"/>
              </w:rPr>
            </w:pPr>
            <w:r w:rsidRPr="008852C3">
              <w:rPr>
                <w:sz w:val="21"/>
              </w:rPr>
              <w:t>9-HPT</w:t>
            </w:r>
          </w:p>
        </w:tc>
        <w:tc>
          <w:tcPr>
            <w:tcW w:w="6911" w:type="dxa"/>
          </w:tcPr>
          <w:p w14:paraId="1F66A7D5" w14:textId="77777777" w:rsidR="007901B9" w:rsidRPr="008852C3" w:rsidRDefault="00510154" w:rsidP="00510154">
            <w:pPr>
              <w:rPr>
                <w:sz w:val="21"/>
              </w:rPr>
            </w:pPr>
            <w:r w:rsidRPr="008852C3">
              <w:rPr>
                <w:sz w:val="21"/>
              </w:rPr>
              <w:t>Nine Hole Peg Test</w:t>
            </w:r>
          </w:p>
        </w:tc>
      </w:tr>
      <w:tr w:rsidR="00E461E3" w:rsidRPr="008852C3" w14:paraId="2EFF49A1" w14:textId="77777777" w:rsidTr="007901B9">
        <w:tc>
          <w:tcPr>
            <w:tcW w:w="1809" w:type="dxa"/>
          </w:tcPr>
          <w:p w14:paraId="21076410" w14:textId="4BA3238F" w:rsidR="00E461E3" w:rsidRPr="008852C3" w:rsidRDefault="00E461E3" w:rsidP="007901B9">
            <w:pPr>
              <w:rPr>
                <w:sz w:val="21"/>
              </w:rPr>
            </w:pPr>
            <w:r w:rsidRPr="008852C3">
              <w:rPr>
                <w:sz w:val="21"/>
              </w:rPr>
              <w:t>ACM</w:t>
            </w:r>
          </w:p>
        </w:tc>
        <w:tc>
          <w:tcPr>
            <w:tcW w:w="6911" w:type="dxa"/>
          </w:tcPr>
          <w:p w14:paraId="33967B27" w14:textId="4C97F160" w:rsidR="00E461E3" w:rsidRPr="008852C3" w:rsidRDefault="00E461E3" w:rsidP="00510154">
            <w:pPr>
              <w:rPr>
                <w:sz w:val="21"/>
              </w:rPr>
            </w:pPr>
            <w:r w:rsidRPr="008852C3">
              <w:rPr>
                <w:sz w:val="21"/>
              </w:rPr>
              <w:t>Australian Committee on Medicines</w:t>
            </w:r>
          </w:p>
        </w:tc>
      </w:tr>
      <w:tr w:rsidR="00292D5B" w:rsidRPr="008852C3" w14:paraId="7945D857" w14:textId="77777777" w:rsidTr="007901B9">
        <w:tc>
          <w:tcPr>
            <w:tcW w:w="1809" w:type="dxa"/>
          </w:tcPr>
          <w:p w14:paraId="24CF1BD1" w14:textId="77777777" w:rsidR="00292D5B" w:rsidRPr="008852C3" w:rsidRDefault="00292D5B" w:rsidP="007901B9">
            <w:pPr>
              <w:rPr>
                <w:sz w:val="21"/>
              </w:rPr>
            </w:pPr>
            <w:r w:rsidRPr="008852C3">
              <w:rPr>
                <w:sz w:val="21"/>
              </w:rPr>
              <w:t>ADEM</w:t>
            </w:r>
          </w:p>
        </w:tc>
        <w:tc>
          <w:tcPr>
            <w:tcW w:w="6911" w:type="dxa"/>
          </w:tcPr>
          <w:p w14:paraId="386AEE54" w14:textId="77777777" w:rsidR="00292D5B" w:rsidRPr="008852C3" w:rsidRDefault="00292D5B" w:rsidP="00292D5B">
            <w:pPr>
              <w:rPr>
                <w:sz w:val="21"/>
              </w:rPr>
            </w:pPr>
            <w:r w:rsidRPr="008852C3">
              <w:rPr>
                <w:sz w:val="21"/>
              </w:rPr>
              <w:t>Acute disseminated encephalomyelitis</w:t>
            </w:r>
          </w:p>
        </w:tc>
      </w:tr>
      <w:tr w:rsidR="007901B9" w:rsidRPr="008852C3" w14:paraId="08C71D56" w14:textId="77777777" w:rsidTr="007901B9">
        <w:tc>
          <w:tcPr>
            <w:tcW w:w="1809" w:type="dxa"/>
          </w:tcPr>
          <w:p w14:paraId="07897AEB" w14:textId="77777777" w:rsidR="007901B9" w:rsidRPr="008852C3" w:rsidRDefault="007901B9" w:rsidP="007901B9">
            <w:pPr>
              <w:rPr>
                <w:sz w:val="21"/>
              </w:rPr>
            </w:pPr>
            <w:r w:rsidRPr="008852C3">
              <w:rPr>
                <w:sz w:val="21"/>
              </w:rPr>
              <w:t>AE</w:t>
            </w:r>
          </w:p>
        </w:tc>
        <w:tc>
          <w:tcPr>
            <w:tcW w:w="6911" w:type="dxa"/>
          </w:tcPr>
          <w:p w14:paraId="403D3FD8" w14:textId="77777777" w:rsidR="007901B9" w:rsidRPr="008852C3" w:rsidRDefault="007901B9" w:rsidP="007901B9">
            <w:pPr>
              <w:rPr>
                <w:sz w:val="21"/>
              </w:rPr>
            </w:pPr>
            <w:r w:rsidRPr="008852C3">
              <w:rPr>
                <w:sz w:val="21"/>
              </w:rPr>
              <w:t>Adverse event</w:t>
            </w:r>
            <w:r w:rsidR="00ED2839" w:rsidRPr="008852C3">
              <w:rPr>
                <w:sz w:val="21"/>
              </w:rPr>
              <w:t>(s)</w:t>
            </w:r>
          </w:p>
        </w:tc>
      </w:tr>
      <w:tr w:rsidR="007901B9" w:rsidRPr="008852C3" w14:paraId="1E8FF19F" w14:textId="77777777" w:rsidTr="007901B9">
        <w:tc>
          <w:tcPr>
            <w:tcW w:w="1809" w:type="dxa"/>
          </w:tcPr>
          <w:p w14:paraId="59BD13E1" w14:textId="77777777" w:rsidR="007901B9" w:rsidRPr="008852C3" w:rsidRDefault="007901B9" w:rsidP="007901B9">
            <w:pPr>
              <w:rPr>
                <w:sz w:val="21"/>
              </w:rPr>
            </w:pPr>
            <w:r w:rsidRPr="008852C3">
              <w:rPr>
                <w:sz w:val="21"/>
              </w:rPr>
              <w:t>ALC</w:t>
            </w:r>
          </w:p>
        </w:tc>
        <w:tc>
          <w:tcPr>
            <w:tcW w:w="6911" w:type="dxa"/>
          </w:tcPr>
          <w:p w14:paraId="45B07BF3" w14:textId="77777777" w:rsidR="007901B9" w:rsidRPr="008852C3" w:rsidRDefault="007901B9" w:rsidP="007901B9">
            <w:pPr>
              <w:rPr>
                <w:sz w:val="21"/>
              </w:rPr>
            </w:pPr>
            <w:r w:rsidRPr="008852C3">
              <w:rPr>
                <w:bCs/>
                <w:sz w:val="21"/>
              </w:rPr>
              <w:t>Absolute lymphocyte count</w:t>
            </w:r>
          </w:p>
        </w:tc>
      </w:tr>
      <w:tr w:rsidR="007901B9" w:rsidRPr="008852C3" w14:paraId="6CB02721" w14:textId="77777777" w:rsidTr="007901B9">
        <w:tc>
          <w:tcPr>
            <w:tcW w:w="1809" w:type="dxa"/>
          </w:tcPr>
          <w:p w14:paraId="13351A29" w14:textId="77777777" w:rsidR="007901B9" w:rsidRPr="008852C3" w:rsidRDefault="007901B9" w:rsidP="007901B9">
            <w:pPr>
              <w:rPr>
                <w:sz w:val="21"/>
              </w:rPr>
            </w:pPr>
            <w:r w:rsidRPr="008852C3">
              <w:rPr>
                <w:sz w:val="21"/>
              </w:rPr>
              <w:t>ALT</w:t>
            </w:r>
          </w:p>
        </w:tc>
        <w:tc>
          <w:tcPr>
            <w:tcW w:w="6911" w:type="dxa"/>
          </w:tcPr>
          <w:p w14:paraId="77394F9D" w14:textId="77777777" w:rsidR="007901B9" w:rsidRPr="008852C3" w:rsidRDefault="007901B9" w:rsidP="007901B9">
            <w:pPr>
              <w:rPr>
                <w:sz w:val="21"/>
              </w:rPr>
            </w:pPr>
            <w:r w:rsidRPr="008852C3">
              <w:rPr>
                <w:sz w:val="21"/>
              </w:rPr>
              <w:t>Alanine aminotransferase</w:t>
            </w:r>
          </w:p>
        </w:tc>
      </w:tr>
      <w:tr w:rsidR="007901B9" w:rsidRPr="008852C3" w14:paraId="366402F5" w14:textId="77777777" w:rsidTr="007901B9">
        <w:tc>
          <w:tcPr>
            <w:tcW w:w="1809" w:type="dxa"/>
          </w:tcPr>
          <w:p w14:paraId="3CDA08D0" w14:textId="77777777" w:rsidR="007901B9" w:rsidRPr="008852C3" w:rsidRDefault="007901B9" w:rsidP="007901B9">
            <w:pPr>
              <w:rPr>
                <w:sz w:val="21"/>
              </w:rPr>
            </w:pPr>
            <w:r w:rsidRPr="008852C3">
              <w:rPr>
                <w:sz w:val="21"/>
              </w:rPr>
              <w:t>ARR</w:t>
            </w:r>
          </w:p>
        </w:tc>
        <w:tc>
          <w:tcPr>
            <w:tcW w:w="6911" w:type="dxa"/>
          </w:tcPr>
          <w:p w14:paraId="1390D5BA" w14:textId="77777777" w:rsidR="007901B9" w:rsidRPr="008852C3" w:rsidRDefault="007901B9" w:rsidP="007901B9">
            <w:pPr>
              <w:rPr>
                <w:sz w:val="21"/>
              </w:rPr>
            </w:pPr>
            <w:r w:rsidRPr="008852C3">
              <w:rPr>
                <w:sz w:val="21"/>
              </w:rPr>
              <w:t>Annualised relapse rate</w:t>
            </w:r>
          </w:p>
        </w:tc>
      </w:tr>
      <w:tr w:rsidR="008B1F57" w:rsidRPr="008852C3" w14:paraId="4300B82F" w14:textId="77777777" w:rsidTr="007901B9">
        <w:tc>
          <w:tcPr>
            <w:tcW w:w="1809" w:type="dxa"/>
          </w:tcPr>
          <w:p w14:paraId="35D2484C" w14:textId="77777777" w:rsidR="008B1F57" w:rsidRPr="008852C3" w:rsidRDefault="008B1F57" w:rsidP="007901B9">
            <w:pPr>
              <w:rPr>
                <w:sz w:val="21"/>
              </w:rPr>
            </w:pPr>
            <w:r w:rsidRPr="008852C3">
              <w:rPr>
                <w:sz w:val="21"/>
              </w:rPr>
              <w:t>ARTG</w:t>
            </w:r>
          </w:p>
        </w:tc>
        <w:tc>
          <w:tcPr>
            <w:tcW w:w="6911" w:type="dxa"/>
          </w:tcPr>
          <w:p w14:paraId="5F2C5689" w14:textId="77777777" w:rsidR="008B1F57" w:rsidRPr="008852C3" w:rsidRDefault="008B1F57" w:rsidP="007901B9">
            <w:pPr>
              <w:rPr>
                <w:sz w:val="21"/>
              </w:rPr>
            </w:pPr>
            <w:r w:rsidRPr="008852C3">
              <w:rPr>
                <w:sz w:val="21"/>
              </w:rPr>
              <w:t>Australian Register of Therapeutic Goods</w:t>
            </w:r>
          </w:p>
        </w:tc>
      </w:tr>
      <w:tr w:rsidR="009936F9" w:rsidRPr="008852C3" w14:paraId="393CFC28" w14:textId="77777777" w:rsidTr="007901B9">
        <w:tc>
          <w:tcPr>
            <w:tcW w:w="1809" w:type="dxa"/>
          </w:tcPr>
          <w:p w14:paraId="0DA6CAEE" w14:textId="77777777" w:rsidR="009936F9" w:rsidRPr="008852C3" w:rsidRDefault="009936F9" w:rsidP="007901B9">
            <w:pPr>
              <w:rPr>
                <w:sz w:val="21"/>
              </w:rPr>
            </w:pPr>
            <w:r w:rsidRPr="008852C3">
              <w:rPr>
                <w:sz w:val="21"/>
              </w:rPr>
              <w:t>ASA</w:t>
            </w:r>
          </w:p>
        </w:tc>
        <w:tc>
          <w:tcPr>
            <w:tcW w:w="6911" w:type="dxa"/>
          </w:tcPr>
          <w:p w14:paraId="52C3B67F" w14:textId="77777777" w:rsidR="009936F9" w:rsidRPr="008852C3" w:rsidRDefault="009936F9" w:rsidP="009936F9">
            <w:pPr>
              <w:rPr>
                <w:sz w:val="21"/>
              </w:rPr>
            </w:pPr>
            <w:r w:rsidRPr="008852C3">
              <w:rPr>
                <w:sz w:val="21"/>
              </w:rPr>
              <w:t>Australian Specific Annex</w:t>
            </w:r>
          </w:p>
        </w:tc>
      </w:tr>
      <w:tr w:rsidR="007901B9" w:rsidRPr="008852C3" w14:paraId="2733914B" w14:textId="77777777" w:rsidTr="007901B9">
        <w:tc>
          <w:tcPr>
            <w:tcW w:w="1809" w:type="dxa"/>
          </w:tcPr>
          <w:p w14:paraId="73A25216" w14:textId="77777777" w:rsidR="007901B9" w:rsidRPr="008852C3" w:rsidRDefault="007901B9" w:rsidP="007901B9">
            <w:pPr>
              <w:rPr>
                <w:sz w:val="21"/>
              </w:rPr>
            </w:pPr>
            <w:r w:rsidRPr="008852C3">
              <w:rPr>
                <w:sz w:val="21"/>
              </w:rPr>
              <w:t>AUC</w:t>
            </w:r>
          </w:p>
        </w:tc>
        <w:tc>
          <w:tcPr>
            <w:tcW w:w="6911" w:type="dxa"/>
          </w:tcPr>
          <w:p w14:paraId="353401BD" w14:textId="77777777" w:rsidR="007901B9" w:rsidRPr="008852C3" w:rsidRDefault="007901B9" w:rsidP="007901B9">
            <w:pPr>
              <w:rPr>
                <w:rFonts w:eastAsiaTheme="minorHAnsi" w:cs="Arial"/>
                <w:sz w:val="21"/>
              </w:rPr>
            </w:pPr>
            <w:r w:rsidRPr="008852C3">
              <w:rPr>
                <w:rFonts w:eastAsiaTheme="minorHAnsi" w:cs="Arial"/>
                <w:sz w:val="21"/>
              </w:rPr>
              <w:t xml:space="preserve">Area under the </w:t>
            </w:r>
            <w:r w:rsidR="00B64D8B" w:rsidRPr="008852C3">
              <w:rPr>
                <w:rFonts w:eastAsiaTheme="minorHAnsi" w:cs="Arial"/>
                <w:sz w:val="21"/>
              </w:rPr>
              <w:t xml:space="preserve">plasma concentration-time </w:t>
            </w:r>
            <w:r w:rsidRPr="008852C3">
              <w:rPr>
                <w:rFonts w:eastAsiaTheme="minorHAnsi" w:cs="Arial"/>
                <w:sz w:val="21"/>
              </w:rPr>
              <w:t>curve</w:t>
            </w:r>
          </w:p>
        </w:tc>
      </w:tr>
      <w:tr w:rsidR="007901B9" w:rsidRPr="008852C3" w14:paraId="091B8031" w14:textId="77777777" w:rsidTr="007901B9">
        <w:tc>
          <w:tcPr>
            <w:tcW w:w="1809" w:type="dxa"/>
          </w:tcPr>
          <w:p w14:paraId="0059B7BA" w14:textId="77777777" w:rsidR="007901B9" w:rsidRPr="008852C3" w:rsidRDefault="007901B9" w:rsidP="00445936">
            <w:pPr>
              <w:rPr>
                <w:sz w:val="21"/>
                <w:vertAlign w:val="subscript"/>
              </w:rPr>
            </w:pPr>
            <w:r w:rsidRPr="008852C3">
              <w:rPr>
                <w:sz w:val="21"/>
              </w:rPr>
              <w:t>AUC</w:t>
            </w:r>
            <w:r w:rsidR="00445936" w:rsidRPr="008852C3">
              <w:rPr>
                <w:sz w:val="21"/>
                <w:vertAlign w:val="subscript"/>
              </w:rPr>
              <w:t>∞</w:t>
            </w:r>
          </w:p>
        </w:tc>
        <w:tc>
          <w:tcPr>
            <w:tcW w:w="6911" w:type="dxa"/>
          </w:tcPr>
          <w:p w14:paraId="0CEA0702" w14:textId="77777777" w:rsidR="007901B9" w:rsidRPr="008852C3" w:rsidRDefault="007901B9" w:rsidP="007901B9">
            <w:pPr>
              <w:rPr>
                <w:sz w:val="21"/>
              </w:rPr>
            </w:pPr>
            <w:r w:rsidRPr="008852C3">
              <w:rPr>
                <w:rFonts w:eastAsiaTheme="minorHAnsi" w:cs="Arial"/>
                <w:sz w:val="21"/>
              </w:rPr>
              <w:t>Area under the plasma concentration-time curve from time 0 to infinity</w:t>
            </w:r>
          </w:p>
        </w:tc>
      </w:tr>
      <w:tr w:rsidR="007901B9" w:rsidRPr="008852C3" w14:paraId="768823A9" w14:textId="77777777" w:rsidTr="007901B9">
        <w:tc>
          <w:tcPr>
            <w:tcW w:w="1809" w:type="dxa"/>
          </w:tcPr>
          <w:p w14:paraId="7F119CF2" w14:textId="77777777" w:rsidR="007901B9" w:rsidRPr="008852C3" w:rsidRDefault="007901B9" w:rsidP="007901B9">
            <w:pPr>
              <w:rPr>
                <w:sz w:val="21"/>
                <w:vertAlign w:val="subscript"/>
              </w:rPr>
            </w:pPr>
            <w:proofErr w:type="spellStart"/>
            <w:r w:rsidRPr="008852C3">
              <w:rPr>
                <w:sz w:val="21"/>
              </w:rPr>
              <w:t>AUC</w:t>
            </w:r>
            <w:r w:rsidRPr="008852C3">
              <w:rPr>
                <w:sz w:val="21"/>
                <w:vertAlign w:val="subscript"/>
              </w:rPr>
              <w:t>last</w:t>
            </w:r>
            <w:proofErr w:type="spellEnd"/>
          </w:p>
        </w:tc>
        <w:tc>
          <w:tcPr>
            <w:tcW w:w="6911" w:type="dxa"/>
          </w:tcPr>
          <w:p w14:paraId="61BEF9F5" w14:textId="77777777" w:rsidR="007901B9" w:rsidRPr="008852C3" w:rsidRDefault="007901B9" w:rsidP="007901B9">
            <w:pPr>
              <w:autoSpaceDE w:val="0"/>
              <w:autoSpaceDN w:val="0"/>
              <w:adjustRightInd w:val="0"/>
              <w:rPr>
                <w:sz w:val="21"/>
              </w:rPr>
            </w:pPr>
            <w:r w:rsidRPr="008852C3">
              <w:rPr>
                <w:rFonts w:eastAsiaTheme="minorHAnsi" w:cs="Arial"/>
                <w:sz w:val="21"/>
              </w:rPr>
              <w:t>Area under the plasma concentration-time curve from time 0 to the time of the last quantifiable concentration</w:t>
            </w:r>
          </w:p>
        </w:tc>
      </w:tr>
      <w:tr w:rsidR="00B64D8B" w:rsidRPr="008852C3" w14:paraId="7D12C984" w14:textId="77777777" w:rsidTr="007901B9">
        <w:tc>
          <w:tcPr>
            <w:tcW w:w="1809" w:type="dxa"/>
          </w:tcPr>
          <w:p w14:paraId="5FCD0DAB" w14:textId="77777777" w:rsidR="00B64D8B" w:rsidRPr="008852C3" w:rsidRDefault="00B64D8B" w:rsidP="007901B9">
            <w:pPr>
              <w:rPr>
                <w:sz w:val="21"/>
              </w:rPr>
            </w:pPr>
            <w:proofErr w:type="spellStart"/>
            <w:r w:rsidRPr="008852C3">
              <w:rPr>
                <w:sz w:val="21"/>
              </w:rPr>
              <w:t>AUC</w:t>
            </w:r>
            <w:r w:rsidRPr="008852C3">
              <w:rPr>
                <w:sz w:val="21"/>
                <w:vertAlign w:val="subscript"/>
              </w:rPr>
              <w:t>ss</w:t>
            </w:r>
            <w:proofErr w:type="spellEnd"/>
          </w:p>
        </w:tc>
        <w:tc>
          <w:tcPr>
            <w:tcW w:w="6911" w:type="dxa"/>
          </w:tcPr>
          <w:p w14:paraId="58923BF3" w14:textId="77777777" w:rsidR="00B64D8B" w:rsidRPr="008852C3" w:rsidRDefault="00B64D8B" w:rsidP="007901B9">
            <w:pPr>
              <w:autoSpaceDE w:val="0"/>
              <w:autoSpaceDN w:val="0"/>
              <w:adjustRightInd w:val="0"/>
              <w:rPr>
                <w:rFonts w:eastAsiaTheme="minorHAnsi" w:cs="Arial"/>
                <w:sz w:val="21"/>
              </w:rPr>
            </w:pPr>
            <w:r w:rsidRPr="008852C3">
              <w:rPr>
                <w:rFonts w:eastAsiaTheme="minorHAnsi" w:cs="Arial"/>
                <w:sz w:val="21"/>
              </w:rPr>
              <w:t>Steady state area under the plasma concentration-time curve</w:t>
            </w:r>
          </w:p>
        </w:tc>
      </w:tr>
      <w:tr w:rsidR="00B64D8B" w:rsidRPr="008852C3" w14:paraId="4758B7AF" w14:textId="77777777" w:rsidTr="007901B9">
        <w:tc>
          <w:tcPr>
            <w:tcW w:w="1809" w:type="dxa"/>
          </w:tcPr>
          <w:p w14:paraId="54C9D0E7" w14:textId="77777777" w:rsidR="00B64D8B" w:rsidRPr="008852C3" w:rsidRDefault="00B64D8B" w:rsidP="007901B9">
            <w:pPr>
              <w:rPr>
                <w:sz w:val="21"/>
              </w:rPr>
            </w:pPr>
            <w:proofErr w:type="spellStart"/>
            <w:r w:rsidRPr="008852C3">
              <w:rPr>
                <w:sz w:val="21"/>
              </w:rPr>
              <w:t>AUC</w:t>
            </w:r>
            <w:r w:rsidRPr="008852C3">
              <w:rPr>
                <w:sz w:val="21"/>
                <w:vertAlign w:val="subscript"/>
              </w:rPr>
              <w:t>tau,ss</w:t>
            </w:r>
            <w:proofErr w:type="spellEnd"/>
          </w:p>
        </w:tc>
        <w:tc>
          <w:tcPr>
            <w:tcW w:w="6911" w:type="dxa"/>
          </w:tcPr>
          <w:p w14:paraId="5D6002CF" w14:textId="77777777" w:rsidR="00B64D8B" w:rsidRPr="008852C3" w:rsidRDefault="00B64D8B" w:rsidP="00B64D8B">
            <w:pPr>
              <w:autoSpaceDE w:val="0"/>
              <w:autoSpaceDN w:val="0"/>
              <w:adjustRightInd w:val="0"/>
              <w:rPr>
                <w:rFonts w:eastAsiaTheme="minorHAnsi" w:cs="Arial"/>
                <w:sz w:val="21"/>
              </w:rPr>
            </w:pPr>
            <w:r w:rsidRPr="008852C3">
              <w:rPr>
                <w:sz w:val="21"/>
              </w:rPr>
              <w:t>Steady state area under the concentration-time curve over a uniform dosing interval tau</w:t>
            </w:r>
          </w:p>
        </w:tc>
      </w:tr>
      <w:tr w:rsidR="007901B9" w:rsidRPr="008852C3" w14:paraId="52A22BBA" w14:textId="77777777" w:rsidTr="007901B9">
        <w:tc>
          <w:tcPr>
            <w:tcW w:w="1809" w:type="dxa"/>
          </w:tcPr>
          <w:p w14:paraId="318B9169" w14:textId="77777777" w:rsidR="007901B9" w:rsidRPr="008852C3" w:rsidRDefault="007901B9" w:rsidP="007901B9">
            <w:pPr>
              <w:rPr>
                <w:sz w:val="21"/>
              </w:rPr>
            </w:pPr>
            <w:r w:rsidRPr="008852C3">
              <w:rPr>
                <w:sz w:val="21"/>
              </w:rPr>
              <w:t>AV</w:t>
            </w:r>
          </w:p>
        </w:tc>
        <w:tc>
          <w:tcPr>
            <w:tcW w:w="6911" w:type="dxa"/>
          </w:tcPr>
          <w:p w14:paraId="52564501" w14:textId="77777777" w:rsidR="007901B9" w:rsidRPr="008852C3" w:rsidRDefault="007901B9" w:rsidP="007901B9">
            <w:pPr>
              <w:rPr>
                <w:sz w:val="21"/>
              </w:rPr>
            </w:pPr>
            <w:r w:rsidRPr="008852C3">
              <w:rPr>
                <w:sz w:val="21"/>
              </w:rPr>
              <w:t>Atrioventricular</w:t>
            </w:r>
          </w:p>
        </w:tc>
      </w:tr>
      <w:tr w:rsidR="007901B9" w:rsidRPr="008852C3" w14:paraId="3E2B1965" w14:textId="77777777" w:rsidTr="007901B9">
        <w:tc>
          <w:tcPr>
            <w:tcW w:w="1809" w:type="dxa"/>
          </w:tcPr>
          <w:p w14:paraId="32745BC8" w14:textId="77777777" w:rsidR="007901B9" w:rsidRPr="008852C3" w:rsidRDefault="007901B9" w:rsidP="007901B9">
            <w:pPr>
              <w:rPr>
                <w:sz w:val="21"/>
              </w:rPr>
            </w:pPr>
            <w:r w:rsidRPr="008852C3">
              <w:rPr>
                <w:sz w:val="21"/>
              </w:rPr>
              <w:t>BA</w:t>
            </w:r>
          </w:p>
        </w:tc>
        <w:tc>
          <w:tcPr>
            <w:tcW w:w="6911" w:type="dxa"/>
          </w:tcPr>
          <w:p w14:paraId="34F1DFFF" w14:textId="77777777" w:rsidR="007901B9" w:rsidRPr="008852C3" w:rsidRDefault="007901B9" w:rsidP="007901B9">
            <w:pPr>
              <w:rPr>
                <w:sz w:val="21"/>
              </w:rPr>
            </w:pPr>
            <w:r w:rsidRPr="008852C3">
              <w:rPr>
                <w:sz w:val="21"/>
              </w:rPr>
              <w:t>Bioavailability</w:t>
            </w:r>
          </w:p>
        </w:tc>
      </w:tr>
      <w:tr w:rsidR="007901B9" w:rsidRPr="008852C3" w14:paraId="7E56ACFF" w14:textId="77777777" w:rsidTr="007901B9">
        <w:tc>
          <w:tcPr>
            <w:tcW w:w="1809" w:type="dxa"/>
          </w:tcPr>
          <w:p w14:paraId="167A16C7" w14:textId="77777777" w:rsidR="007901B9" w:rsidRPr="008852C3" w:rsidRDefault="007901B9" w:rsidP="007901B9">
            <w:pPr>
              <w:rPr>
                <w:sz w:val="21"/>
              </w:rPr>
            </w:pPr>
            <w:r w:rsidRPr="008852C3">
              <w:rPr>
                <w:sz w:val="21"/>
              </w:rPr>
              <w:t>BAF312</w:t>
            </w:r>
          </w:p>
        </w:tc>
        <w:tc>
          <w:tcPr>
            <w:tcW w:w="6911" w:type="dxa"/>
          </w:tcPr>
          <w:p w14:paraId="64C89706" w14:textId="77777777" w:rsidR="007901B9" w:rsidRPr="008852C3" w:rsidRDefault="007901B9" w:rsidP="007901B9">
            <w:pPr>
              <w:rPr>
                <w:sz w:val="21"/>
              </w:rPr>
            </w:pPr>
            <w:proofErr w:type="spellStart"/>
            <w:r w:rsidRPr="008852C3">
              <w:rPr>
                <w:sz w:val="21"/>
              </w:rPr>
              <w:t>Siponimod</w:t>
            </w:r>
            <w:proofErr w:type="spellEnd"/>
            <w:r w:rsidR="0005519B" w:rsidRPr="008852C3">
              <w:rPr>
                <w:sz w:val="21"/>
              </w:rPr>
              <w:t xml:space="preserve"> (drug development name)</w:t>
            </w:r>
          </w:p>
        </w:tc>
      </w:tr>
      <w:tr w:rsidR="007901B9" w:rsidRPr="008852C3" w14:paraId="0FAA1B1B" w14:textId="77777777" w:rsidTr="007901B9">
        <w:tc>
          <w:tcPr>
            <w:tcW w:w="1809" w:type="dxa"/>
          </w:tcPr>
          <w:p w14:paraId="5E37C173" w14:textId="77777777" w:rsidR="007901B9" w:rsidRPr="008852C3" w:rsidRDefault="007901B9" w:rsidP="007901B9">
            <w:pPr>
              <w:rPr>
                <w:sz w:val="21"/>
              </w:rPr>
            </w:pPr>
            <w:r w:rsidRPr="008852C3">
              <w:rPr>
                <w:sz w:val="21"/>
              </w:rPr>
              <w:t>BID</w:t>
            </w:r>
          </w:p>
        </w:tc>
        <w:tc>
          <w:tcPr>
            <w:tcW w:w="6911" w:type="dxa"/>
          </w:tcPr>
          <w:p w14:paraId="1C053AB6" w14:textId="77777777" w:rsidR="007901B9" w:rsidRPr="008852C3" w:rsidRDefault="00B64D8B" w:rsidP="007901B9">
            <w:pPr>
              <w:rPr>
                <w:sz w:val="21"/>
              </w:rPr>
            </w:pPr>
            <w:r w:rsidRPr="008852C3">
              <w:rPr>
                <w:sz w:val="21"/>
              </w:rPr>
              <w:t xml:space="preserve">Twice </w:t>
            </w:r>
            <w:r w:rsidR="007901B9" w:rsidRPr="008852C3">
              <w:rPr>
                <w:sz w:val="21"/>
              </w:rPr>
              <w:t>daily</w:t>
            </w:r>
          </w:p>
        </w:tc>
      </w:tr>
      <w:tr w:rsidR="007901B9" w:rsidRPr="008852C3" w14:paraId="568B0F8A" w14:textId="77777777" w:rsidTr="007901B9">
        <w:tc>
          <w:tcPr>
            <w:tcW w:w="1809" w:type="dxa"/>
          </w:tcPr>
          <w:p w14:paraId="0BDE9D20" w14:textId="77777777" w:rsidR="007901B9" w:rsidRPr="008852C3" w:rsidRDefault="007901B9" w:rsidP="007901B9">
            <w:pPr>
              <w:rPr>
                <w:sz w:val="21"/>
              </w:rPr>
            </w:pPr>
            <w:r w:rsidRPr="008852C3">
              <w:rPr>
                <w:sz w:val="21"/>
              </w:rPr>
              <w:t>bpm</w:t>
            </w:r>
          </w:p>
        </w:tc>
        <w:tc>
          <w:tcPr>
            <w:tcW w:w="6911" w:type="dxa"/>
          </w:tcPr>
          <w:p w14:paraId="763E7E95" w14:textId="77777777" w:rsidR="007901B9" w:rsidRPr="008852C3" w:rsidRDefault="007901B9" w:rsidP="007901B9">
            <w:pPr>
              <w:rPr>
                <w:rFonts w:eastAsiaTheme="minorHAnsi" w:cs="Arial"/>
                <w:sz w:val="21"/>
              </w:rPr>
            </w:pPr>
            <w:r w:rsidRPr="008852C3">
              <w:rPr>
                <w:rFonts w:eastAsiaTheme="minorHAnsi" w:cs="Arial"/>
                <w:sz w:val="21"/>
              </w:rPr>
              <w:t>Beats per minute</w:t>
            </w:r>
          </w:p>
        </w:tc>
      </w:tr>
      <w:tr w:rsidR="007901B9" w:rsidRPr="008852C3" w14:paraId="76DF73F3" w14:textId="77777777" w:rsidTr="007901B9">
        <w:tc>
          <w:tcPr>
            <w:tcW w:w="1809" w:type="dxa"/>
          </w:tcPr>
          <w:p w14:paraId="2FE01340" w14:textId="77777777" w:rsidR="007901B9" w:rsidRPr="008852C3" w:rsidRDefault="007901B9" w:rsidP="007901B9">
            <w:pPr>
              <w:rPr>
                <w:sz w:val="21"/>
              </w:rPr>
            </w:pPr>
            <w:r w:rsidRPr="008852C3">
              <w:rPr>
                <w:sz w:val="21"/>
              </w:rPr>
              <w:t>BVMT-R</w:t>
            </w:r>
          </w:p>
        </w:tc>
        <w:tc>
          <w:tcPr>
            <w:tcW w:w="6911" w:type="dxa"/>
          </w:tcPr>
          <w:p w14:paraId="424F4A3A" w14:textId="77777777" w:rsidR="007901B9" w:rsidRPr="008852C3" w:rsidRDefault="007901B9" w:rsidP="007901B9">
            <w:pPr>
              <w:rPr>
                <w:sz w:val="21"/>
              </w:rPr>
            </w:pPr>
            <w:r w:rsidRPr="008852C3">
              <w:rPr>
                <w:sz w:val="21"/>
              </w:rPr>
              <w:t>Brief Visuospatial Memory Test-Revised</w:t>
            </w:r>
          </w:p>
        </w:tc>
      </w:tr>
      <w:tr w:rsidR="00501ACC" w:rsidRPr="008852C3" w14:paraId="1BB0D74A" w14:textId="77777777" w:rsidTr="007901B9">
        <w:tc>
          <w:tcPr>
            <w:tcW w:w="1809" w:type="dxa"/>
          </w:tcPr>
          <w:p w14:paraId="75702C28" w14:textId="77777777" w:rsidR="00501ACC" w:rsidRPr="008852C3" w:rsidRDefault="00501ACC" w:rsidP="007901B9">
            <w:pPr>
              <w:rPr>
                <w:sz w:val="21"/>
              </w:rPr>
            </w:pPr>
            <w:r w:rsidRPr="008852C3">
              <w:rPr>
                <w:sz w:val="21"/>
                <w:lang w:eastAsia="ja-JP"/>
              </w:rPr>
              <w:t>CD52</w:t>
            </w:r>
          </w:p>
        </w:tc>
        <w:tc>
          <w:tcPr>
            <w:tcW w:w="6911" w:type="dxa"/>
          </w:tcPr>
          <w:p w14:paraId="6B5AF689" w14:textId="77777777" w:rsidR="00501ACC" w:rsidRPr="008852C3" w:rsidRDefault="00501ACC" w:rsidP="00501ACC">
            <w:pPr>
              <w:rPr>
                <w:sz w:val="21"/>
              </w:rPr>
            </w:pPr>
            <w:r w:rsidRPr="008852C3">
              <w:rPr>
                <w:sz w:val="21"/>
                <w:lang w:eastAsia="ja-JP"/>
              </w:rPr>
              <w:t>Cluster of differentiation 52</w:t>
            </w:r>
          </w:p>
        </w:tc>
      </w:tr>
      <w:tr w:rsidR="007901B9" w:rsidRPr="008852C3" w14:paraId="3460439D" w14:textId="77777777" w:rsidTr="007901B9">
        <w:tc>
          <w:tcPr>
            <w:tcW w:w="1809" w:type="dxa"/>
          </w:tcPr>
          <w:p w14:paraId="6A3FEC8D" w14:textId="77777777" w:rsidR="007901B9" w:rsidRPr="008852C3" w:rsidRDefault="007901B9" w:rsidP="007901B9">
            <w:pPr>
              <w:rPr>
                <w:sz w:val="21"/>
              </w:rPr>
            </w:pPr>
            <w:r w:rsidRPr="008852C3">
              <w:rPr>
                <w:sz w:val="21"/>
              </w:rPr>
              <w:t>CDP</w:t>
            </w:r>
          </w:p>
        </w:tc>
        <w:tc>
          <w:tcPr>
            <w:tcW w:w="6911" w:type="dxa"/>
          </w:tcPr>
          <w:p w14:paraId="3162BFAE" w14:textId="77777777" w:rsidR="007901B9" w:rsidRPr="008852C3" w:rsidRDefault="007901B9" w:rsidP="007901B9">
            <w:pPr>
              <w:rPr>
                <w:sz w:val="21"/>
              </w:rPr>
            </w:pPr>
            <w:r w:rsidRPr="008852C3">
              <w:rPr>
                <w:sz w:val="21"/>
              </w:rPr>
              <w:t>Confirmed disability progression</w:t>
            </w:r>
          </w:p>
        </w:tc>
      </w:tr>
      <w:tr w:rsidR="009936F9" w:rsidRPr="008852C3" w14:paraId="0DD3F246" w14:textId="77777777" w:rsidTr="007901B9">
        <w:tc>
          <w:tcPr>
            <w:tcW w:w="1809" w:type="dxa"/>
          </w:tcPr>
          <w:p w14:paraId="6C0EA9DC" w14:textId="77777777" w:rsidR="009936F9" w:rsidRPr="008852C3" w:rsidRDefault="009936F9" w:rsidP="007901B9">
            <w:pPr>
              <w:rPr>
                <w:sz w:val="21"/>
              </w:rPr>
            </w:pPr>
            <w:r w:rsidRPr="008852C3">
              <w:rPr>
                <w:sz w:val="21"/>
              </w:rPr>
              <w:t>CHMP</w:t>
            </w:r>
          </w:p>
        </w:tc>
        <w:tc>
          <w:tcPr>
            <w:tcW w:w="6911" w:type="dxa"/>
          </w:tcPr>
          <w:p w14:paraId="0997563C" w14:textId="7C13D433" w:rsidR="009936F9" w:rsidRPr="008852C3" w:rsidRDefault="009936F9" w:rsidP="009936F9">
            <w:pPr>
              <w:rPr>
                <w:sz w:val="21"/>
              </w:rPr>
            </w:pPr>
            <w:r w:rsidRPr="008852C3">
              <w:rPr>
                <w:sz w:val="21"/>
              </w:rPr>
              <w:t>Committee for Medicinal Products for Human Use</w:t>
            </w:r>
            <w:r w:rsidR="00E461E3" w:rsidRPr="008852C3">
              <w:rPr>
                <w:sz w:val="21"/>
              </w:rPr>
              <w:t xml:space="preserve"> (EU)</w:t>
            </w:r>
          </w:p>
        </w:tc>
      </w:tr>
      <w:tr w:rsidR="007901B9" w:rsidRPr="008852C3" w14:paraId="30DE2014" w14:textId="77777777" w:rsidTr="007901B9">
        <w:tc>
          <w:tcPr>
            <w:tcW w:w="1809" w:type="dxa"/>
          </w:tcPr>
          <w:p w14:paraId="17021CEE" w14:textId="77777777" w:rsidR="007901B9" w:rsidRPr="008852C3" w:rsidRDefault="007901B9" w:rsidP="007901B9">
            <w:pPr>
              <w:rPr>
                <w:sz w:val="21"/>
              </w:rPr>
            </w:pPr>
            <w:r w:rsidRPr="008852C3">
              <w:rPr>
                <w:sz w:val="21"/>
              </w:rPr>
              <w:t>CI</w:t>
            </w:r>
          </w:p>
        </w:tc>
        <w:tc>
          <w:tcPr>
            <w:tcW w:w="6911" w:type="dxa"/>
          </w:tcPr>
          <w:p w14:paraId="471CA476" w14:textId="77777777" w:rsidR="007901B9" w:rsidRPr="008852C3" w:rsidRDefault="007901B9" w:rsidP="007901B9">
            <w:pPr>
              <w:rPr>
                <w:rFonts w:eastAsiaTheme="minorHAnsi" w:cs="Arial"/>
                <w:sz w:val="21"/>
              </w:rPr>
            </w:pPr>
            <w:r w:rsidRPr="008852C3">
              <w:rPr>
                <w:rFonts w:eastAsiaTheme="minorHAnsi" w:cs="Arial"/>
                <w:sz w:val="21"/>
              </w:rPr>
              <w:t>Confidence interval</w:t>
            </w:r>
          </w:p>
        </w:tc>
      </w:tr>
      <w:tr w:rsidR="007901B9" w:rsidRPr="008852C3" w14:paraId="0A8A4C43" w14:textId="77777777" w:rsidTr="007901B9">
        <w:tc>
          <w:tcPr>
            <w:tcW w:w="1809" w:type="dxa"/>
          </w:tcPr>
          <w:p w14:paraId="5481779B" w14:textId="77777777" w:rsidR="007901B9" w:rsidRPr="008852C3" w:rsidRDefault="007901B9" w:rsidP="007901B9">
            <w:pPr>
              <w:rPr>
                <w:sz w:val="21"/>
              </w:rPr>
            </w:pPr>
            <w:r w:rsidRPr="008852C3">
              <w:rPr>
                <w:sz w:val="21"/>
              </w:rPr>
              <w:lastRenderedPageBreak/>
              <w:t>CL/F</w:t>
            </w:r>
          </w:p>
        </w:tc>
        <w:tc>
          <w:tcPr>
            <w:tcW w:w="6911" w:type="dxa"/>
          </w:tcPr>
          <w:p w14:paraId="05D65512" w14:textId="77777777" w:rsidR="007901B9" w:rsidRPr="008852C3" w:rsidRDefault="007901B9" w:rsidP="007901B9">
            <w:pPr>
              <w:rPr>
                <w:rFonts w:eastAsiaTheme="minorHAnsi" w:cs="Arial"/>
                <w:sz w:val="21"/>
              </w:rPr>
            </w:pPr>
            <w:r w:rsidRPr="008852C3">
              <w:rPr>
                <w:rFonts w:eastAsiaTheme="minorHAnsi" w:cs="Arial"/>
                <w:sz w:val="21"/>
              </w:rPr>
              <w:t>Apparent oral clearance</w:t>
            </w:r>
          </w:p>
        </w:tc>
      </w:tr>
      <w:tr w:rsidR="007901B9" w:rsidRPr="008852C3" w14:paraId="3185ACF3" w14:textId="77777777" w:rsidTr="007901B9">
        <w:tc>
          <w:tcPr>
            <w:tcW w:w="1809" w:type="dxa"/>
          </w:tcPr>
          <w:p w14:paraId="769C6D12" w14:textId="77777777" w:rsidR="007901B9" w:rsidRPr="008852C3" w:rsidRDefault="007901B9" w:rsidP="007901B9">
            <w:pPr>
              <w:rPr>
                <w:sz w:val="21"/>
              </w:rPr>
            </w:pPr>
            <w:proofErr w:type="spellStart"/>
            <w:r w:rsidRPr="008852C3">
              <w:rPr>
                <w:sz w:val="21"/>
              </w:rPr>
              <w:t>C</w:t>
            </w:r>
            <w:r w:rsidRPr="008852C3">
              <w:rPr>
                <w:sz w:val="21"/>
                <w:vertAlign w:val="subscript"/>
              </w:rPr>
              <w:t>max</w:t>
            </w:r>
            <w:proofErr w:type="spellEnd"/>
          </w:p>
        </w:tc>
        <w:tc>
          <w:tcPr>
            <w:tcW w:w="6911" w:type="dxa"/>
          </w:tcPr>
          <w:p w14:paraId="6A11375C" w14:textId="77777777" w:rsidR="007901B9" w:rsidRPr="008852C3" w:rsidRDefault="00445936" w:rsidP="007901B9">
            <w:pPr>
              <w:rPr>
                <w:sz w:val="21"/>
              </w:rPr>
            </w:pPr>
            <w:r w:rsidRPr="008852C3">
              <w:rPr>
                <w:rFonts w:eastAsiaTheme="minorHAnsi" w:cs="Arial"/>
                <w:sz w:val="21"/>
              </w:rPr>
              <w:t>M</w:t>
            </w:r>
            <w:r w:rsidR="007901B9" w:rsidRPr="008852C3">
              <w:rPr>
                <w:rFonts w:eastAsiaTheme="minorHAnsi" w:cs="Arial"/>
                <w:sz w:val="21"/>
              </w:rPr>
              <w:t>aximum plasma concentrati</w:t>
            </w:r>
            <w:r w:rsidRPr="008852C3">
              <w:rPr>
                <w:rFonts w:eastAsiaTheme="minorHAnsi" w:cs="Arial"/>
                <w:sz w:val="21"/>
              </w:rPr>
              <w:t>on</w:t>
            </w:r>
          </w:p>
        </w:tc>
      </w:tr>
      <w:tr w:rsidR="00B64D8B" w:rsidRPr="008852C3" w14:paraId="4D1412BA" w14:textId="77777777" w:rsidTr="007901B9">
        <w:tc>
          <w:tcPr>
            <w:tcW w:w="1809" w:type="dxa"/>
          </w:tcPr>
          <w:p w14:paraId="7048A8A9" w14:textId="77777777" w:rsidR="00B64D8B" w:rsidRPr="008852C3" w:rsidRDefault="00B64D8B" w:rsidP="007901B9">
            <w:pPr>
              <w:rPr>
                <w:sz w:val="21"/>
              </w:rPr>
            </w:pPr>
            <w:proofErr w:type="spellStart"/>
            <w:r w:rsidRPr="008852C3">
              <w:rPr>
                <w:sz w:val="21"/>
              </w:rPr>
              <w:t>C</w:t>
            </w:r>
            <w:r w:rsidRPr="008852C3">
              <w:rPr>
                <w:sz w:val="21"/>
                <w:vertAlign w:val="subscript"/>
              </w:rPr>
              <w:t>max,ss</w:t>
            </w:r>
            <w:proofErr w:type="spellEnd"/>
          </w:p>
        </w:tc>
        <w:tc>
          <w:tcPr>
            <w:tcW w:w="6911" w:type="dxa"/>
          </w:tcPr>
          <w:p w14:paraId="2E7B590D" w14:textId="77777777" w:rsidR="00B64D8B" w:rsidRPr="008852C3" w:rsidRDefault="00B64D8B" w:rsidP="007901B9">
            <w:pPr>
              <w:rPr>
                <w:rFonts w:eastAsiaTheme="minorHAnsi" w:cs="Arial"/>
                <w:sz w:val="21"/>
              </w:rPr>
            </w:pPr>
            <w:r w:rsidRPr="008852C3">
              <w:rPr>
                <w:rFonts w:eastAsiaTheme="minorHAnsi" w:cs="Arial"/>
                <w:sz w:val="21"/>
              </w:rPr>
              <w:t>Maximum steady state plasma concentration</w:t>
            </w:r>
          </w:p>
        </w:tc>
      </w:tr>
      <w:tr w:rsidR="000176AC" w:rsidRPr="008852C3" w14:paraId="6E745B43" w14:textId="77777777" w:rsidTr="007901B9">
        <w:tc>
          <w:tcPr>
            <w:tcW w:w="1809" w:type="dxa"/>
          </w:tcPr>
          <w:p w14:paraId="161F3C98" w14:textId="77777777" w:rsidR="000176AC" w:rsidRPr="008852C3" w:rsidRDefault="000176AC" w:rsidP="007901B9">
            <w:pPr>
              <w:rPr>
                <w:sz w:val="21"/>
              </w:rPr>
            </w:pPr>
            <w:r w:rsidRPr="008852C3">
              <w:rPr>
                <w:sz w:val="21"/>
              </w:rPr>
              <w:t>CMI</w:t>
            </w:r>
          </w:p>
        </w:tc>
        <w:tc>
          <w:tcPr>
            <w:tcW w:w="6911" w:type="dxa"/>
          </w:tcPr>
          <w:p w14:paraId="47645096" w14:textId="77777777" w:rsidR="000176AC" w:rsidRPr="008852C3" w:rsidRDefault="000176AC" w:rsidP="007901B9">
            <w:pPr>
              <w:rPr>
                <w:rFonts w:eastAsiaTheme="minorHAnsi" w:cs="Arial"/>
                <w:sz w:val="21"/>
              </w:rPr>
            </w:pPr>
            <w:r w:rsidRPr="008852C3">
              <w:rPr>
                <w:rFonts w:eastAsiaTheme="minorHAnsi" w:cs="Arial"/>
                <w:sz w:val="21"/>
              </w:rPr>
              <w:t>Consumer Medicines Information</w:t>
            </w:r>
          </w:p>
        </w:tc>
      </w:tr>
      <w:tr w:rsidR="007901B9" w:rsidRPr="008852C3" w14:paraId="0BD5909A" w14:textId="77777777" w:rsidTr="007901B9">
        <w:tc>
          <w:tcPr>
            <w:tcW w:w="1809" w:type="dxa"/>
          </w:tcPr>
          <w:p w14:paraId="00DE1234" w14:textId="77777777" w:rsidR="007901B9" w:rsidRPr="008852C3" w:rsidRDefault="007901B9" w:rsidP="007901B9">
            <w:pPr>
              <w:rPr>
                <w:sz w:val="21"/>
              </w:rPr>
            </w:pPr>
            <w:r w:rsidRPr="008852C3">
              <w:rPr>
                <w:sz w:val="21"/>
              </w:rPr>
              <w:t>CNS</w:t>
            </w:r>
          </w:p>
        </w:tc>
        <w:tc>
          <w:tcPr>
            <w:tcW w:w="6911" w:type="dxa"/>
          </w:tcPr>
          <w:p w14:paraId="626D07EA" w14:textId="77777777" w:rsidR="007901B9" w:rsidRPr="008852C3" w:rsidRDefault="007901B9" w:rsidP="007901B9">
            <w:pPr>
              <w:rPr>
                <w:sz w:val="21"/>
              </w:rPr>
            </w:pPr>
            <w:r w:rsidRPr="008852C3">
              <w:rPr>
                <w:sz w:val="21"/>
              </w:rPr>
              <w:t>Central nervous system</w:t>
            </w:r>
          </w:p>
        </w:tc>
      </w:tr>
      <w:tr w:rsidR="00C1339A" w:rsidRPr="008852C3" w14:paraId="24C63280" w14:textId="77777777" w:rsidTr="007901B9">
        <w:tc>
          <w:tcPr>
            <w:tcW w:w="1809" w:type="dxa"/>
          </w:tcPr>
          <w:p w14:paraId="1B1914CD" w14:textId="77777777" w:rsidR="00C1339A" w:rsidRPr="008852C3" w:rsidRDefault="00C1339A" w:rsidP="007901B9">
            <w:pPr>
              <w:rPr>
                <w:sz w:val="21"/>
              </w:rPr>
            </w:pPr>
            <w:r w:rsidRPr="008852C3">
              <w:rPr>
                <w:sz w:val="21"/>
              </w:rPr>
              <w:t>COPD</w:t>
            </w:r>
          </w:p>
        </w:tc>
        <w:tc>
          <w:tcPr>
            <w:tcW w:w="6911" w:type="dxa"/>
          </w:tcPr>
          <w:p w14:paraId="2C3FC06F" w14:textId="77777777" w:rsidR="00C1339A" w:rsidRPr="008852C3" w:rsidRDefault="00C1339A" w:rsidP="007901B9">
            <w:pPr>
              <w:rPr>
                <w:sz w:val="21"/>
              </w:rPr>
            </w:pPr>
            <w:r w:rsidRPr="008852C3">
              <w:rPr>
                <w:sz w:val="21"/>
              </w:rPr>
              <w:t>Chronic obstructive pulmonary disease</w:t>
            </w:r>
          </w:p>
        </w:tc>
      </w:tr>
      <w:tr w:rsidR="007901B9" w:rsidRPr="008852C3" w14:paraId="5236CE43" w14:textId="77777777" w:rsidTr="007901B9">
        <w:tc>
          <w:tcPr>
            <w:tcW w:w="1809" w:type="dxa"/>
          </w:tcPr>
          <w:p w14:paraId="628C199C" w14:textId="77777777" w:rsidR="007901B9" w:rsidRPr="008852C3" w:rsidRDefault="007901B9" w:rsidP="007901B9">
            <w:pPr>
              <w:rPr>
                <w:sz w:val="21"/>
              </w:rPr>
            </w:pPr>
            <w:r w:rsidRPr="008852C3">
              <w:rPr>
                <w:sz w:val="21"/>
              </w:rPr>
              <w:t>CUAL</w:t>
            </w:r>
          </w:p>
        </w:tc>
        <w:tc>
          <w:tcPr>
            <w:tcW w:w="6911" w:type="dxa"/>
          </w:tcPr>
          <w:p w14:paraId="33BF6FF5" w14:textId="77777777" w:rsidR="007901B9" w:rsidRPr="008852C3" w:rsidRDefault="007901B9" w:rsidP="007901B9">
            <w:pPr>
              <w:rPr>
                <w:sz w:val="21"/>
              </w:rPr>
            </w:pPr>
            <w:r w:rsidRPr="008852C3">
              <w:rPr>
                <w:sz w:val="21"/>
              </w:rPr>
              <w:t>Combined unique active lesion</w:t>
            </w:r>
          </w:p>
        </w:tc>
      </w:tr>
      <w:tr w:rsidR="00D76ED3" w:rsidRPr="008852C3" w14:paraId="086E346D" w14:textId="77777777" w:rsidTr="007901B9">
        <w:tc>
          <w:tcPr>
            <w:tcW w:w="1809" w:type="dxa"/>
          </w:tcPr>
          <w:p w14:paraId="1B93CC64" w14:textId="77777777" w:rsidR="00D76ED3" w:rsidRPr="008852C3" w:rsidRDefault="00D76ED3" w:rsidP="007901B9">
            <w:pPr>
              <w:rPr>
                <w:sz w:val="21"/>
              </w:rPr>
            </w:pPr>
            <w:r w:rsidRPr="008852C3">
              <w:rPr>
                <w:sz w:val="21"/>
              </w:rPr>
              <w:t>CYP450</w:t>
            </w:r>
          </w:p>
        </w:tc>
        <w:tc>
          <w:tcPr>
            <w:tcW w:w="6911" w:type="dxa"/>
          </w:tcPr>
          <w:p w14:paraId="1014C8F6" w14:textId="77777777" w:rsidR="00D76ED3" w:rsidRPr="008852C3" w:rsidRDefault="00D76ED3" w:rsidP="00D76ED3">
            <w:pPr>
              <w:rPr>
                <w:rFonts w:eastAsiaTheme="minorHAnsi" w:cs="Arial"/>
                <w:sz w:val="21"/>
              </w:rPr>
            </w:pPr>
            <w:r w:rsidRPr="008852C3">
              <w:rPr>
                <w:sz w:val="21"/>
              </w:rPr>
              <w:t>Cytochrome P450</w:t>
            </w:r>
          </w:p>
        </w:tc>
      </w:tr>
      <w:tr w:rsidR="007901B9" w:rsidRPr="008852C3" w14:paraId="542E9BDB" w14:textId="77777777" w:rsidTr="007901B9">
        <w:tc>
          <w:tcPr>
            <w:tcW w:w="1809" w:type="dxa"/>
          </w:tcPr>
          <w:p w14:paraId="06DDEFC6" w14:textId="77777777" w:rsidR="007901B9" w:rsidRPr="008852C3" w:rsidRDefault="007901B9" w:rsidP="007901B9">
            <w:pPr>
              <w:rPr>
                <w:sz w:val="21"/>
              </w:rPr>
            </w:pPr>
            <w:r w:rsidRPr="008852C3">
              <w:rPr>
                <w:sz w:val="21"/>
              </w:rPr>
              <w:t>DDI</w:t>
            </w:r>
          </w:p>
        </w:tc>
        <w:tc>
          <w:tcPr>
            <w:tcW w:w="6911" w:type="dxa"/>
          </w:tcPr>
          <w:p w14:paraId="0B443EEC" w14:textId="77777777" w:rsidR="007901B9" w:rsidRPr="008852C3" w:rsidRDefault="007901B9" w:rsidP="007901B9">
            <w:pPr>
              <w:rPr>
                <w:rFonts w:eastAsiaTheme="minorHAnsi" w:cs="Arial"/>
                <w:sz w:val="21"/>
              </w:rPr>
            </w:pPr>
            <w:r w:rsidRPr="008852C3">
              <w:rPr>
                <w:rFonts w:eastAsiaTheme="minorHAnsi" w:cs="Arial"/>
                <w:sz w:val="21"/>
              </w:rPr>
              <w:t>Drug-drug interaction</w:t>
            </w:r>
          </w:p>
        </w:tc>
      </w:tr>
      <w:tr w:rsidR="00445936" w:rsidRPr="008852C3" w14:paraId="5735CC3A" w14:textId="77777777" w:rsidTr="007901B9">
        <w:tc>
          <w:tcPr>
            <w:tcW w:w="1809" w:type="dxa"/>
          </w:tcPr>
          <w:p w14:paraId="1B1DFC46" w14:textId="77777777" w:rsidR="00445936" w:rsidRPr="008852C3" w:rsidRDefault="00445936" w:rsidP="007901B9">
            <w:pPr>
              <w:rPr>
                <w:sz w:val="21"/>
              </w:rPr>
            </w:pPr>
            <w:r w:rsidRPr="008852C3">
              <w:rPr>
                <w:sz w:val="21"/>
              </w:rPr>
              <w:t>EC</w:t>
            </w:r>
            <w:r w:rsidRPr="008852C3">
              <w:rPr>
                <w:sz w:val="21"/>
                <w:vertAlign w:val="subscript"/>
              </w:rPr>
              <w:t>50</w:t>
            </w:r>
          </w:p>
        </w:tc>
        <w:tc>
          <w:tcPr>
            <w:tcW w:w="6911" w:type="dxa"/>
          </w:tcPr>
          <w:p w14:paraId="6863C97E" w14:textId="77777777" w:rsidR="00445936" w:rsidRPr="008852C3" w:rsidRDefault="00445936" w:rsidP="007901B9">
            <w:pPr>
              <w:rPr>
                <w:sz w:val="21"/>
              </w:rPr>
            </w:pPr>
            <w:r w:rsidRPr="008852C3">
              <w:rPr>
                <w:sz w:val="21"/>
              </w:rPr>
              <w:t>Half maximal effective concentration</w:t>
            </w:r>
          </w:p>
        </w:tc>
      </w:tr>
      <w:tr w:rsidR="007901B9" w:rsidRPr="008852C3" w14:paraId="25503619" w14:textId="77777777" w:rsidTr="007901B9">
        <w:tc>
          <w:tcPr>
            <w:tcW w:w="1809" w:type="dxa"/>
          </w:tcPr>
          <w:p w14:paraId="45E8A4A9" w14:textId="77777777" w:rsidR="007901B9" w:rsidRPr="008852C3" w:rsidRDefault="007901B9" w:rsidP="007901B9">
            <w:pPr>
              <w:rPr>
                <w:sz w:val="21"/>
              </w:rPr>
            </w:pPr>
            <w:r w:rsidRPr="008852C3">
              <w:rPr>
                <w:sz w:val="21"/>
              </w:rPr>
              <w:t>EDSS</w:t>
            </w:r>
          </w:p>
        </w:tc>
        <w:tc>
          <w:tcPr>
            <w:tcW w:w="6911" w:type="dxa"/>
          </w:tcPr>
          <w:p w14:paraId="0901CE33" w14:textId="77777777" w:rsidR="007901B9" w:rsidRPr="008852C3" w:rsidRDefault="007901B9" w:rsidP="007901B9">
            <w:pPr>
              <w:rPr>
                <w:rFonts w:cs="Arial"/>
                <w:bCs/>
                <w:sz w:val="21"/>
              </w:rPr>
            </w:pPr>
            <w:r w:rsidRPr="008852C3">
              <w:rPr>
                <w:rFonts w:cs="Arial"/>
                <w:bCs/>
                <w:sz w:val="21"/>
              </w:rPr>
              <w:t>Expanded disability status scale</w:t>
            </w:r>
          </w:p>
        </w:tc>
      </w:tr>
      <w:tr w:rsidR="007901B9" w:rsidRPr="008852C3" w14:paraId="0FB3BF86" w14:textId="77777777" w:rsidTr="007901B9">
        <w:tc>
          <w:tcPr>
            <w:tcW w:w="1809" w:type="dxa"/>
          </w:tcPr>
          <w:p w14:paraId="11382012" w14:textId="77777777" w:rsidR="007901B9" w:rsidRPr="008852C3" w:rsidRDefault="007901B9" w:rsidP="007901B9">
            <w:pPr>
              <w:rPr>
                <w:sz w:val="21"/>
              </w:rPr>
            </w:pPr>
            <w:r w:rsidRPr="008852C3">
              <w:rPr>
                <w:sz w:val="21"/>
              </w:rPr>
              <w:t>EM</w:t>
            </w:r>
          </w:p>
        </w:tc>
        <w:tc>
          <w:tcPr>
            <w:tcW w:w="6911" w:type="dxa"/>
          </w:tcPr>
          <w:p w14:paraId="313314DA" w14:textId="77777777" w:rsidR="007901B9" w:rsidRPr="008852C3" w:rsidRDefault="007901B9" w:rsidP="007901B9">
            <w:pPr>
              <w:rPr>
                <w:bCs/>
                <w:sz w:val="21"/>
              </w:rPr>
            </w:pPr>
            <w:r w:rsidRPr="008852C3">
              <w:rPr>
                <w:bCs/>
                <w:sz w:val="21"/>
              </w:rPr>
              <w:t>Extensive metaboliser</w:t>
            </w:r>
          </w:p>
        </w:tc>
      </w:tr>
      <w:tr w:rsidR="007B1903" w:rsidRPr="008852C3" w14:paraId="154E672D" w14:textId="77777777" w:rsidTr="007901B9">
        <w:tc>
          <w:tcPr>
            <w:tcW w:w="1809" w:type="dxa"/>
          </w:tcPr>
          <w:p w14:paraId="7DC7205D" w14:textId="77777777" w:rsidR="007B1903" w:rsidRPr="008852C3" w:rsidRDefault="007B1903" w:rsidP="007901B9">
            <w:pPr>
              <w:rPr>
                <w:sz w:val="21"/>
              </w:rPr>
            </w:pPr>
            <w:r w:rsidRPr="008852C3">
              <w:rPr>
                <w:sz w:val="21"/>
              </w:rPr>
              <w:t>EMA</w:t>
            </w:r>
          </w:p>
        </w:tc>
        <w:tc>
          <w:tcPr>
            <w:tcW w:w="6911" w:type="dxa"/>
          </w:tcPr>
          <w:p w14:paraId="5B3181D3" w14:textId="1FC0B10D" w:rsidR="007B1903" w:rsidRPr="008852C3" w:rsidRDefault="007B1903" w:rsidP="007901B9">
            <w:pPr>
              <w:rPr>
                <w:bCs/>
                <w:sz w:val="21"/>
              </w:rPr>
            </w:pPr>
            <w:r w:rsidRPr="008852C3">
              <w:rPr>
                <w:bCs/>
                <w:sz w:val="21"/>
              </w:rPr>
              <w:t>European Medicines Agency</w:t>
            </w:r>
            <w:r w:rsidR="00E461E3" w:rsidRPr="008852C3">
              <w:rPr>
                <w:bCs/>
                <w:sz w:val="21"/>
              </w:rPr>
              <w:t xml:space="preserve"> (EU)</w:t>
            </w:r>
          </w:p>
        </w:tc>
      </w:tr>
      <w:tr w:rsidR="007901B9" w:rsidRPr="008852C3" w14:paraId="5CB346FD" w14:textId="77777777" w:rsidTr="007901B9">
        <w:tc>
          <w:tcPr>
            <w:tcW w:w="1809" w:type="dxa"/>
          </w:tcPr>
          <w:p w14:paraId="7BD8F5EC" w14:textId="77777777" w:rsidR="007901B9" w:rsidRPr="008852C3" w:rsidRDefault="007901B9" w:rsidP="007901B9">
            <w:pPr>
              <w:rPr>
                <w:sz w:val="21"/>
              </w:rPr>
            </w:pPr>
            <w:proofErr w:type="spellStart"/>
            <w:r w:rsidRPr="008852C3">
              <w:rPr>
                <w:sz w:val="21"/>
              </w:rPr>
              <w:t>E</w:t>
            </w:r>
            <w:r w:rsidRPr="008852C3">
              <w:rPr>
                <w:sz w:val="21"/>
                <w:vertAlign w:val="subscript"/>
              </w:rPr>
              <w:t>max</w:t>
            </w:r>
            <w:proofErr w:type="spellEnd"/>
          </w:p>
        </w:tc>
        <w:tc>
          <w:tcPr>
            <w:tcW w:w="6911" w:type="dxa"/>
          </w:tcPr>
          <w:p w14:paraId="4D5F5100" w14:textId="77777777" w:rsidR="00E26D6F" w:rsidRPr="008852C3" w:rsidRDefault="00E26D6F" w:rsidP="00E26D6F">
            <w:pPr>
              <w:rPr>
                <w:bCs/>
                <w:sz w:val="21"/>
              </w:rPr>
            </w:pPr>
            <w:r w:rsidRPr="008852C3">
              <w:rPr>
                <w:bCs/>
                <w:sz w:val="21"/>
              </w:rPr>
              <w:t>Maximum effect</w:t>
            </w:r>
          </w:p>
        </w:tc>
      </w:tr>
      <w:tr w:rsidR="007901B9" w:rsidRPr="008852C3" w14:paraId="32D33635" w14:textId="77777777" w:rsidTr="007901B9">
        <w:tc>
          <w:tcPr>
            <w:tcW w:w="1809" w:type="dxa"/>
          </w:tcPr>
          <w:p w14:paraId="64B73784" w14:textId="77777777" w:rsidR="007901B9" w:rsidRPr="008852C3" w:rsidRDefault="007901B9" w:rsidP="007901B9">
            <w:pPr>
              <w:rPr>
                <w:sz w:val="21"/>
              </w:rPr>
            </w:pPr>
            <w:r w:rsidRPr="008852C3">
              <w:rPr>
                <w:sz w:val="21"/>
              </w:rPr>
              <w:t>EQ-5D</w:t>
            </w:r>
          </w:p>
        </w:tc>
        <w:tc>
          <w:tcPr>
            <w:tcW w:w="6911" w:type="dxa"/>
          </w:tcPr>
          <w:p w14:paraId="63D9BA76" w14:textId="0F70E445" w:rsidR="007901B9" w:rsidRPr="008852C3" w:rsidRDefault="00E461E3" w:rsidP="007901B9">
            <w:pPr>
              <w:rPr>
                <w:sz w:val="21"/>
              </w:rPr>
            </w:pPr>
            <w:proofErr w:type="spellStart"/>
            <w:r w:rsidRPr="008852C3">
              <w:rPr>
                <w:sz w:val="21"/>
              </w:rPr>
              <w:t>EuroQoL</w:t>
            </w:r>
            <w:proofErr w:type="spellEnd"/>
            <w:r w:rsidRPr="008852C3">
              <w:rPr>
                <w:sz w:val="21"/>
              </w:rPr>
              <w:t xml:space="preserve"> (</w:t>
            </w:r>
            <w:r w:rsidR="00C20745" w:rsidRPr="008852C3">
              <w:rPr>
                <w:sz w:val="21"/>
              </w:rPr>
              <w:t>European Quality of Life</w:t>
            </w:r>
            <w:r w:rsidRPr="008852C3">
              <w:rPr>
                <w:sz w:val="21"/>
              </w:rPr>
              <w:t>)</w:t>
            </w:r>
            <w:r w:rsidR="00C20745" w:rsidRPr="008852C3">
              <w:rPr>
                <w:sz w:val="21"/>
              </w:rPr>
              <w:t>–</w:t>
            </w:r>
            <w:r w:rsidR="007901B9" w:rsidRPr="008852C3">
              <w:rPr>
                <w:sz w:val="21"/>
              </w:rPr>
              <w:t>5 dimensions</w:t>
            </w:r>
            <w:r w:rsidRPr="008852C3">
              <w:rPr>
                <w:sz w:val="21"/>
              </w:rPr>
              <w:t xml:space="preserve"> (questionnaire)</w:t>
            </w:r>
          </w:p>
        </w:tc>
      </w:tr>
      <w:tr w:rsidR="00E461E3" w:rsidRPr="008852C3" w14:paraId="02AA3A12" w14:textId="77777777" w:rsidTr="007901B9">
        <w:tc>
          <w:tcPr>
            <w:tcW w:w="1809" w:type="dxa"/>
          </w:tcPr>
          <w:p w14:paraId="38CBAC81" w14:textId="57828640" w:rsidR="00E461E3" w:rsidRPr="008852C3" w:rsidRDefault="00E461E3" w:rsidP="007901B9">
            <w:pPr>
              <w:rPr>
                <w:sz w:val="21"/>
              </w:rPr>
            </w:pPr>
            <w:r w:rsidRPr="008852C3">
              <w:rPr>
                <w:sz w:val="21"/>
              </w:rPr>
              <w:t>EU</w:t>
            </w:r>
          </w:p>
        </w:tc>
        <w:tc>
          <w:tcPr>
            <w:tcW w:w="6911" w:type="dxa"/>
          </w:tcPr>
          <w:p w14:paraId="78A590A0" w14:textId="45652A8E" w:rsidR="00E461E3" w:rsidRPr="008852C3" w:rsidRDefault="00E461E3" w:rsidP="00C1339A">
            <w:pPr>
              <w:rPr>
                <w:sz w:val="21"/>
              </w:rPr>
            </w:pPr>
            <w:r w:rsidRPr="008852C3">
              <w:rPr>
                <w:sz w:val="21"/>
              </w:rPr>
              <w:t>European Union</w:t>
            </w:r>
          </w:p>
        </w:tc>
      </w:tr>
      <w:tr w:rsidR="00C1339A" w:rsidRPr="008852C3" w14:paraId="7AC0238C" w14:textId="77777777" w:rsidTr="007901B9">
        <w:tc>
          <w:tcPr>
            <w:tcW w:w="1809" w:type="dxa"/>
          </w:tcPr>
          <w:p w14:paraId="6BD353F6" w14:textId="77777777" w:rsidR="00C1339A" w:rsidRPr="008852C3" w:rsidRDefault="00C1339A" w:rsidP="007901B9">
            <w:pPr>
              <w:rPr>
                <w:sz w:val="21"/>
              </w:rPr>
            </w:pPr>
            <w:r w:rsidRPr="008852C3">
              <w:rPr>
                <w:sz w:val="21"/>
              </w:rPr>
              <w:t>EU-RMP</w:t>
            </w:r>
          </w:p>
        </w:tc>
        <w:tc>
          <w:tcPr>
            <w:tcW w:w="6911" w:type="dxa"/>
          </w:tcPr>
          <w:p w14:paraId="2548F3DD" w14:textId="77777777" w:rsidR="00C1339A" w:rsidRPr="008852C3" w:rsidRDefault="00C1339A" w:rsidP="00C1339A">
            <w:pPr>
              <w:rPr>
                <w:sz w:val="21"/>
              </w:rPr>
            </w:pPr>
            <w:r w:rsidRPr="008852C3">
              <w:rPr>
                <w:sz w:val="21"/>
              </w:rPr>
              <w:t>European Union-Risk Management Plan</w:t>
            </w:r>
          </w:p>
        </w:tc>
      </w:tr>
      <w:tr w:rsidR="007901B9" w:rsidRPr="008852C3" w14:paraId="36F1EC59" w14:textId="77777777" w:rsidTr="007901B9">
        <w:tc>
          <w:tcPr>
            <w:tcW w:w="1809" w:type="dxa"/>
          </w:tcPr>
          <w:p w14:paraId="3820AFE4" w14:textId="77777777" w:rsidR="007901B9" w:rsidRPr="008852C3" w:rsidRDefault="007901B9" w:rsidP="007901B9">
            <w:pPr>
              <w:rPr>
                <w:sz w:val="21"/>
              </w:rPr>
            </w:pPr>
            <w:r w:rsidRPr="008852C3">
              <w:rPr>
                <w:sz w:val="21"/>
              </w:rPr>
              <w:t>FEV1</w:t>
            </w:r>
          </w:p>
        </w:tc>
        <w:tc>
          <w:tcPr>
            <w:tcW w:w="6911" w:type="dxa"/>
          </w:tcPr>
          <w:p w14:paraId="59088562" w14:textId="77777777" w:rsidR="007901B9" w:rsidRPr="008852C3" w:rsidRDefault="007901B9" w:rsidP="007901B9">
            <w:pPr>
              <w:rPr>
                <w:sz w:val="21"/>
              </w:rPr>
            </w:pPr>
            <w:r w:rsidRPr="008852C3">
              <w:rPr>
                <w:rFonts w:eastAsiaTheme="minorHAnsi" w:cs="Arial"/>
                <w:sz w:val="21"/>
              </w:rPr>
              <w:t>Forced expiratory volume in 1 second</w:t>
            </w:r>
          </w:p>
        </w:tc>
      </w:tr>
      <w:tr w:rsidR="007901B9" w:rsidRPr="008852C3" w14:paraId="46F0A845" w14:textId="77777777" w:rsidTr="007901B9">
        <w:tc>
          <w:tcPr>
            <w:tcW w:w="1809" w:type="dxa"/>
          </w:tcPr>
          <w:p w14:paraId="7A04F3CF" w14:textId="77777777" w:rsidR="007901B9" w:rsidRPr="008852C3" w:rsidRDefault="007901B9" w:rsidP="007901B9">
            <w:pPr>
              <w:rPr>
                <w:sz w:val="21"/>
              </w:rPr>
            </w:pPr>
            <w:r w:rsidRPr="008852C3">
              <w:rPr>
                <w:sz w:val="21"/>
              </w:rPr>
              <w:t>FMI</w:t>
            </w:r>
          </w:p>
        </w:tc>
        <w:tc>
          <w:tcPr>
            <w:tcW w:w="6911" w:type="dxa"/>
          </w:tcPr>
          <w:p w14:paraId="2B0A5877" w14:textId="081DE603" w:rsidR="007901B9" w:rsidRPr="008852C3" w:rsidRDefault="005070B9" w:rsidP="00E461E3">
            <w:pPr>
              <w:rPr>
                <w:sz w:val="21"/>
              </w:rPr>
            </w:pPr>
            <w:r w:rsidRPr="008852C3">
              <w:rPr>
                <w:sz w:val="21"/>
              </w:rPr>
              <w:t xml:space="preserve">Final </w:t>
            </w:r>
            <w:r w:rsidR="00E461E3" w:rsidRPr="008852C3">
              <w:rPr>
                <w:sz w:val="21"/>
              </w:rPr>
              <w:t>market i</w:t>
            </w:r>
            <w:r w:rsidR="007901B9" w:rsidRPr="008852C3">
              <w:rPr>
                <w:sz w:val="21"/>
              </w:rPr>
              <w:t>mage</w:t>
            </w:r>
          </w:p>
        </w:tc>
      </w:tr>
      <w:tr w:rsidR="007901B9" w:rsidRPr="008852C3" w14:paraId="7C019231" w14:textId="77777777" w:rsidTr="007901B9">
        <w:tc>
          <w:tcPr>
            <w:tcW w:w="1809" w:type="dxa"/>
          </w:tcPr>
          <w:p w14:paraId="19742D25" w14:textId="77777777" w:rsidR="007901B9" w:rsidRPr="008852C3" w:rsidRDefault="007901B9" w:rsidP="007901B9">
            <w:pPr>
              <w:rPr>
                <w:sz w:val="21"/>
              </w:rPr>
            </w:pPr>
            <w:proofErr w:type="spellStart"/>
            <w:r w:rsidRPr="008852C3">
              <w:rPr>
                <w:sz w:val="21"/>
              </w:rPr>
              <w:t>Gd</w:t>
            </w:r>
            <w:proofErr w:type="spellEnd"/>
          </w:p>
        </w:tc>
        <w:tc>
          <w:tcPr>
            <w:tcW w:w="6911" w:type="dxa"/>
          </w:tcPr>
          <w:p w14:paraId="18F4A243" w14:textId="77777777" w:rsidR="007901B9" w:rsidRPr="008852C3" w:rsidRDefault="007901B9" w:rsidP="007901B9">
            <w:pPr>
              <w:rPr>
                <w:sz w:val="21"/>
              </w:rPr>
            </w:pPr>
            <w:r w:rsidRPr="008852C3">
              <w:rPr>
                <w:sz w:val="21"/>
              </w:rPr>
              <w:t>Gadolinium</w:t>
            </w:r>
          </w:p>
        </w:tc>
      </w:tr>
      <w:tr w:rsidR="00ED2839" w:rsidRPr="008852C3" w14:paraId="76BADB58" w14:textId="77777777" w:rsidTr="007901B9">
        <w:tc>
          <w:tcPr>
            <w:tcW w:w="1809" w:type="dxa"/>
          </w:tcPr>
          <w:p w14:paraId="6352684C" w14:textId="77777777" w:rsidR="00ED2839" w:rsidRPr="008852C3" w:rsidRDefault="00ED2839" w:rsidP="007901B9">
            <w:pPr>
              <w:rPr>
                <w:sz w:val="21"/>
              </w:rPr>
            </w:pPr>
            <w:r w:rsidRPr="008852C3">
              <w:rPr>
                <w:sz w:val="21"/>
              </w:rPr>
              <w:t>GGT</w:t>
            </w:r>
          </w:p>
        </w:tc>
        <w:tc>
          <w:tcPr>
            <w:tcW w:w="6911" w:type="dxa"/>
          </w:tcPr>
          <w:p w14:paraId="6B78073F" w14:textId="77777777" w:rsidR="00ED2839" w:rsidRPr="008852C3" w:rsidRDefault="00ED2839" w:rsidP="007901B9">
            <w:pPr>
              <w:rPr>
                <w:sz w:val="21"/>
              </w:rPr>
            </w:pPr>
            <w:r w:rsidRPr="008852C3">
              <w:rPr>
                <w:sz w:val="21"/>
              </w:rPr>
              <w:t>Gamma-</w:t>
            </w:r>
            <w:proofErr w:type="spellStart"/>
            <w:r w:rsidRPr="008852C3">
              <w:rPr>
                <w:sz w:val="21"/>
              </w:rPr>
              <w:t>glutamyl</w:t>
            </w:r>
            <w:proofErr w:type="spellEnd"/>
            <w:r w:rsidRPr="008852C3">
              <w:rPr>
                <w:sz w:val="21"/>
              </w:rPr>
              <w:t xml:space="preserve"> transferase</w:t>
            </w:r>
          </w:p>
        </w:tc>
      </w:tr>
      <w:tr w:rsidR="008B1F57" w:rsidRPr="008852C3" w14:paraId="5305EB2B" w14:textId="77777777" w:rsidTr="007901B9">
        <w:tc>
          <w:tcPr>
            <w:tcW w:w="1809" w:type="dxa"/>
          </w:tcPr>
          <w:p w14:paraId="797DA8B0" w14:textId="77777777" w:rsidR="008B1F57" w:rsidRPr="008852C3" w:rsidRDefault="008B1F57" w:rsidP="007901B9">
            <w:pPr>
              <w:rPr>
                <w:sz w:val="21"/>
              </w:rPr>
            </w:pPr>
            <w:r w:rsidRPr="008852C3">
              <w:rPr>
                <w:sz w:val="21"/>
              </w:rPr>
              <w:t>GLP</w:t>
            </w:r>
          </w:p>
        </w:tc>
        <w:tc>
          <w:tcPr>
            <w:tcW w:w="6911" w:type="dxa"/>
          </w:tcPr>
          <w:p w14:paraId="64BD7387" w14:textId="77777777" w:rsidR="008B1F57" w:rsidRPr="008852C3" w:rsidRDefault="008B1F57" w:rsidP="008B1F57">
            <w:pPr>
              <w:rPr>
                <w:sz w:val="21"/>
              </w:rPr>
            </w:pPr>
            <w:r w:rsidRPr="008852C3">
              <w:rPr>
                <w:sz w:val="21"/>
              </w:rPr>
              <w:t>Good Laboratory Practice</w:t>
            </w:r>
          </w:p>
        </w:tc>
      </w:tr>
      <w:tr w:rsidR="008B1F57" w:rsidRPr="008852C3" w14:paraId="7D290060" w14:textId="77777777" w:rsidTr="007901B9">
        <w:tc>
          <w:tcPr>
            <w:tcW w:w="1809" w:type="dxa"/>
          </w:tcPr>
          <w:p w14:paraId="251BA465" w14:textId="77777777" w:rsidR="008B1F57" w:rsidRPr="008852C3" w:rsidRDefault="008B1F57" w:rsidP="007901B9">
            <w:pPr>
              <w:rPr>
                <w:sz w:val="21"/>
              </w:rPr>
            </w:pPr>
            <w:r w:rsidRPr="008852C3">
              <w:rPr>
                <w:sz w:val="21"/>
              </w:rPr>
              <w:t>GMP</w:t>
            </w:r>
          </w:p>
        </w:tc>
        <w:tc>
          <w:tcPr>
            <w:tcW w:w="6911" w:type="dxa"/>
          </w:tcPr>
          <w:p w14:paraId="307E6D04" w14:textId="77777777" w:rsidR="008B1F57" w:rsidRPr="008852C3" w:rsidRDefault="00AD3E79" w:rsidP="008B1F57">
            <w:pPr>
              <w:rPr>
                <w:sz w:val="21"/>
              </w:rPr>
            </w:pPr>
            <w:r w:rsidRPr="008852C3">
              <w:rPr>
                <w:sz w:val="21"/>
              </w:rPr>
              <w:t>Good Manufacturing P</w:t>
            </w:r>
            <w:r w:rsidR="008B1F57" w:rsidRPr="008852C3">
              <w:rPr>
                <w:sz w:val="21"/>
              </w:rPr>
              <w:t>ractice</w:t>
            </w:r>
          </w:p>
        </w:tc>
      </w:tr>
      <w:tr w:rsidR="007901B9" w:rsidRPr="008852C3" w14:paraId="730320B1" w14:textId="77777777" w:rsidTr="007901B9">
        <w:tc>
          <w:tcPr>
            <w:tcW w:w="1809" w:type="dxa"/>
          </w:tcPr>
          <w:p w14:paraId="29005F7C" w14:textId="77777777" w:rsidR="007901B9" w:rsidRPr="008852C3" w:rsidRDefault="007901B9" w:rsidP="007901B9">
            <w:pPr>
              <w:rPr>
                <w:sz w:val="21"/>
              </w:rPr>
            </w:pPr>
            <w:r w:rsidRPr="008852C3">
              <w:rPr>
                <w:sz w:val="21"/>
              </w:rPr>
              <w:t>GMR</w:t>
            </w:r>
          </w:p>
        </w:tc>
        <w:tc>
          <w:tcPr>
            <w:tcW w:w="6911" w:type="dxa"/>
          </w:tcPr>
          <w:p w14:paraId="0E5BCE39" w14:textId="77777777" w:rsidR="007901B9" w:rsidRPr="008852C3" w:rsidRDefault="007901B9" w:rsidP="007901B9">
            <w:pPr>
              <w:rPr>
                <w:sz w:val="21"/>
              </w:rPr>
            </w:pPr>
            <w:r w:rsidRPr="008852C3">
              <w:rPr>
                <w:sz w:val="21"/>
              </w:rPr>
              <w:t>Geometric mean ratio</w:t>
            </w:r>
          </w:p>
        </w:tc>
      </w:tr>
      <w:tr w:rsidR="007901B9" w:rsidRPr="008852C3" w14:paraId="7A898A3F" w14:textId="77777777" w:rsidTr="007901B9">
        <w:tc>
          <w:tcPr>
            <w:tcW w:w="1809" w:type="dxa"/>
          </w:tcPr>
          <w:p w14:paraId="5A0A2B26" w14:textId="77777777" w:rsidR="007901B9" w:rsidRPr="008852C3" w:rsidRDefault="007901B9" w:rsidP="007901B9">
            <w:pPr>
              <w:rPr>
                <w:sz w:val="21"/>
              </w:rPr>
            </w:pPr>
            <w:r w:rsidRPr="008852C3">
              <w:rPr>
                <w:sz w:val="21"/>
              </w:rPr>
              <w:t>GPCR</w:t>
            </w:r>
          </w:p>
        </w:tc>
        <w:tc>
          <w:tcPr>
            <w:tcW w:w="6911" w:type="dxa"/>
          </w:tcPr>
          <w:p w14:paraId="53262C97" w14:textId="77777777" w:rsidR="007901B9" w:rsidRPr="008852C3" w:rsidRDefault="007901B9" w:rsidP="007901B9">
            <w:pPr>
              <w:rPr>
                <w:sz w:val="21"/>
              </w:rPr>
            </w:pPr>
            <w:r w:rsidRPr="008852C3">
              <w:rPr>
                <w:sz w:val="21"/>
              </w:rPr>
              <w:t>G-protein-coupled receptors</w:t>
            </w:r>
          </w:p>
        </w:tc>
      </w:tr>
      <w:tr w:rsidR="007901B9" w:rsidRPr="008852C3" w14:paraId="291E41DF" w14:textId="77777777" w:rsidTr="007901B9">
        <w:tc>
          <w:tcPr>
            <w:tcW w:w="1809" w:type="dxa"/>
          </w:tcPr>
          <w:p w14:paraId="09899A96" w14:textId="77777777" w:rsidR="007901B9" w:rsidRPr="008852C3" w:rsidRDefault="007901B9" w:rsidP="007901B9">
            <w:pPr>
              <w:rPr>
                <w:sz w:val="21"/>
              </w:rPr>
            </w:pPr>
            <w:r w:rsidRPr="008852C3">
              <w:rPr>
                <w:sz w:val="21"/>
              </w:rPr>
              <w:t>h</w:t>
            </w:r>
          </w:p>
        </w:tc>
        <w:tc>
          <w:tcPr>
            <w:tcW w:w="6911" w:type="dxa"/>
          </w:tcPr>
          <w:p w14:paraId="7EFC1E2B" w14:textId="376AE4DB" w:rsidR="007901B9" w:rsidRPr="008852C3" w:rsidRDefault="007901B9" w:rsidP="007901B9">
            <w:pPr>
              <w:rPr>
                <w:sz w:val="21"/>
              </w:rPr>
            </w:pPr>
            <w:r w:rsidRPr="008852C3">
              <w:rPr>
                <w:sz w:val="21"/>
              </w:rPr>
              <w:t>Hour</w:t>
            </w:r>
            <w:r w:rsidR="00E461E3" w:rsidRPr="008852C3">
              <w:rPr>
                <w:sz w:val="21"/>
              </w:rPr>
              <w:t>(</w:t>
            </w:r>
            <w:r w:rsidRPr="008852C3">
              <w:rPr>
                <w:sz w:val="21"/>
              </w:rPr>
              <w:t>s</w:t>
            </w:r>
            <w:r w:rsidR="00E461E3" w:rsidRPr="008852C3">
              <w:rPr>
                <w:sz w:val="21"/>
              </w:rPr>
              <w:t>)</w:t>
            </w:r>
          </w:p>
        </w:tc>
      </w:tr>
      <w:tr w:rsidR="00292D5B" w:rsidRPr="008852C3" w14:paraId="357FD318" w14:textId="77777777" w:rsidTr="007901B9">
        <w:tc>
          <w:tcPr>
            <w:tcW w:w="1809" w:type="dxa"/>
          </w:tcPr>
          <w:p w14:paraId="08D1D15F" w14:textId="77777777" w:rsidR="00292D5B" w:rsidRPr="008852C3" w:rsidRDefault="00292D5B" w:rsidP="007901B9">
            <w:pPr>
              <w:rPr>
                <w:sz w:val="21"/>
              </w:rPr>
            </w:pPr>
            <w:r w:rsidRPr="008852C3">
              <w:rPr>
                <w:sz w:val="21"/>
              </w:rPr>
              <w:lastRenderedPageBreak/>
              <w:t>HCP</w:t>
            </w:r>
          </w:p>
        </w:tc>
        <w:tc>
          <w:tcPr>
            <w:tcW w:w="6911" w:type="dxa"/>
          </w:tcPr>
          <w:p w14:paraId="7459D651" w14:textId="77777777" w:rsidR="00292D5B" w:rsidRPr="008852C3" w:rsidRDefault="00292D5B" w:rsidP="00292D5B">
            <w:pPr>
              <w:rPr>
                <w:sz w:val="21"/>
              </w:rPr>
            </w:pPr>
            <w:r w:rsidRPr="008852C3">
              <w:rPr>
                <w:sz w:val="21"/>
              </w:rPr>
              <w:t>Healthcare professional</w:t>
            </w:r>
          </w:p>
        </w:tc>
      </w:tr>
      <w:tr w:rsidR="00D76ED3" w:rsidRPr="008852C3" w14:paraId="3C170E4D" w14:textId="77777777" w:rsidTr="007901B9">
        <w:tc>
          <w:tcPr>
            <w:tcW w:w="1809" w:type="dxa"/>
          </w:tcPr>
          <w:p w14:paraId="03D20854" w14:textId="77777777" w:rsidR="00D76ED3" w:rsidRPr="008852C3" w:rsidRDefault="00D76ED3" w:rsidP="007901B9">
            <w:pPr>
              <w:rPr>
                <w:sz w:val="21"/>
              </w:rPr>
            </w:pPr>
            <w:proofErr w:type="spellStart"/>
            <w:r w:rsidRPr="008852C3">
              <w:rPr>
                <w:sz w:val="21"/>
              </w:rPr>
              <w:t>hERG</w:t>
            </w:r>
            <w:proofErr w:type="spellEnd"/>
          </w:p>
        </w:tc>
        <w:tc>
          <w:tcPr>
            <w:tcW w:w="6911" w:type="dxa"/>
          </w:tcPr>
          <w:p w14:paraId="2B96325E" w14:textId="77777777" w:rsidR="00D76ED3" w:rsidRPr="008852C3" w:rsidRDefault="00D76ED3" w:rsidP="00D76ED3">
            <w:pPr>
              <w:rPr>
                <w:sz w:val="21"/>
              </w:rPr>
            </w:pPr>
            <w:r w:rsidRPr="008852C3">
              <w:rPr>
                <w:sz w:val="21"/>
              </w:rPr>
              <w:t>Human ether-à-go-go-related gene</w:t>
            </w:r>
          </w:p>
        </w:tc>
      </w:tr>
      <w:tr w:rsidR="007901B9" w:rsidRPr="008852C3" w14:paraId="53F485E9" w14:textId="77777777" w:rsidTr="007901B9">
        <w:tc>
          <w:tcPr>
            <w:tcW w:w="1809" w:type="dxa"/>
          </w:tcPr>
          <w:p w14:paraId="5B8C64C1" w14:textId="77777777" w:rsidR="007901B9" w:rsidRPr="008852C3" w:rsidRDefault="007901B9" w:rsidP="007901B9">
            <w:pPr>
              <w:rPr>
                <w:sz w:val="21"/>
              </w:rPr>
            </w:pPr>
            <w:r w:rsidRPr="008852C3">
              <w:rPr>
                <w:sz w:val="21"/>
              </w:rPr>
              <w:t>HR</w:t>
            </w:r>
          </w:p>
        </w:tc>
        <w:tc>
          <w:tcPr>
            <w:tcW w:w="6911" w:type="dxa"/>
          </w:tcPr>
          <w:p w14:paraId="34023693" w14:textId="77777777" w:rsidR="007901B9" w:rsidRPr="008852C3" w:rsidRDefault="00AD097A" w:rsidP="007901B9">
            <w:pPr>
              <w:rPr>
                <w:sz w:val="21"/>
              </w:rPr>
            </w:pPr>
            <w:r w:rsidRPr="008852C3">
              <w:rPr>
                <w:sz w:val="21"/>
              </w:rPr>
              <w:t>Hazard ratio</w:t>
            </w:r>
          </w:p>
        </w:tc>
      </w:tr>
      <w:tr w:rsidR="007901B9" w:rsidRPr="008852C3" w14:paraId="6AFE09DB" w14:textId="77777777" w:rsidTr="007901B9">
        <w:tc>
          <w:tcPr>
            <w:tcW w:w="1809" w:type="dxa"/>
          </w:tcPr>
          <w:p w14:paraId="66C213AF" w14:textId="77777777" w:rsidR="007901B9" w:rsidRPr="008852C3" w:rsidRDefault="007901B9" w:rsidP="007901B9">
            <w:pPr>
              <w:rPr>
                <w:sz w:val="21"/>
              </w:rPr>
            </w:pPr>
            <w:r w:rsidRPr="008852C3">
              <w:rPr>
                <w:rFonts w:eastAsiaTheme="minorHAnsi" w:cs="Arial"/>
                <w:sz w:val="21"/>
              </w:rPr>
              <w:t>IC</w:t>
            </w:r>
            <w:r w:rsidRPr="008852C3">
              <w:rPr>
                <w:rFonts w:eastAsiaTheme="minorHAnsi" w:cs="Arial"/>
                <w:sz w:val="21"/>
                <w:vertAlign w:val="subscript"/>
              </w:rPr>
              <w:t>50</w:t>
            </w:r>
          </w:p>
        </w:tc>
        <w:tc>
          <w:tcPr>
            <w:tcW w:w="6911" w:type="dxa"/>
          </w:tcPr>
          <w:p w14:paraId="3E7A0AD3" w14:textId="77777777" w:rsidR="007901B9" w:rsidRPr="008852C3" w:rsidRDefault="00C816F8" w:rsidP="007901B9">
            <w:pPr>
              <w:rPr>
                <w:bCs/>
                <w:sz w:val="21"/>
              </w:rPr>
            </w:pPr>
            <w:r w:rsidRPr="008852C3">
              <w:rPr>
                <w:sz w:val="21"/>
              </w:rPr>
              <w:t>Half maximal inhibitory concentration</w:t>
            </w:r>
          </w:p>
        </w:tc>
      </w:tr>
      <w:tr w:rsidR="00445936" w:rsidRPr="008852C3" w14:paraId="5382A30C" w14:textId="77777777" w:rsidTr="007901B9">
        <w:tc>
          <w:tcPr>
            <w:tcW w:w="1809" w:type="dxa"/>
          </w:tcPr>
          <w:p w14:paraId="2ECD0228" w14:textId="77777777" w:rsidR="00445936" w:rsidRPr="008852C3" w:rsidRDefault="00445936" w:rsidP="007901B9">
            <w:pPr>
              <w:rPr>
                <w:rFonts w:eastAsiaTheme="minorHAnsi" w:cs="Arial"/>
                <w:sz w:val="21"/>
              </w:rPr>
            </w:pPr>
            <w:r w:rsidRPr="008852C3">
              <w:rPr>
                <w:sz w:val="21"/>
              </w:rPr>
              <w:t>ICH</w:t>
            </w:r>
          </w:p>
        </w:tc>
        <w:tc>
          <w:tcPr>
            <w:tcW w:w="6911" w:type="dxa"/>
          </w:tcPr>
          <w:p w14:paraId="09D88C14" w14:textId="7D54B85E" w:rsidR="00445936" w:rsidRPr="008852C3" w:rsidRDefault="00445936" w:rsidP="00E461E3">
            <w:pPr>
              <w:rPr>
                <w:rFonts w:eastAsiaTheme="minorHAnsi" w:cs="Arial"/>
                <w:sz w:val="21"/>
              </w:rPr>
            </w:pPr>
            <w:r w:rsidRPr="008852C3">
              <w:rPr>
                <w:sz w:val="21"/>
              </w:rPr>
              <w:t xml:space="preserve">International </w:t>
            </w:r>
            <w:r w:rsidR="00E461E3" w:rsidRPr="008852C3">
              <w:rPr>
                <w:sz w:val="21"/>
              </w:rPr>
              <w:t>Conference on</w:t>
            </w:r>
            <w:r w:rsidRPr="008852C3">
              <w:rPr>
                <w:sz w:val="21"/>
              </w:rPr>
              <w:t xml:space="preserve"> Harmonisation</w:t>
            </w:r>
          </w:p>
        </w:tc>
      </w:tr>
      <w:tr w:rsidR="007901B9" w:rsidRPr="008852C3" w14:paraId="03A15C44" w14:textId="77777777" w:rsidTr="007901B9">
        <w:tc>
          <w:tcPr>
            <w:tcW w:w="1809" w:type="dxa"/>
          </w:tcPr>
          <w:p w14:paraId="55B5DDA6" w14:textId="77777777" w:rsidR="007901B9" w:rsidRPr="008852C3" w:rsidRDefault="007901B9" w:rsidP="007901B9">
            <w:pPr>
              <w:rPr>
                <w:sz w:val="21"/>
              </w:rPr>
            </w:pPr>
            <w:r w:rsidRPr="008852C3">
              <w:rPr>
                <w:sz w:val="21"/>
              </w:rPr>
              <w:t>IIV</w:t>
            </w:r>
          </w:p>
        </w:tc>
        <w:tc>
          <w:tcPr>
            <w:tcW w:w="6911" w:type="dxa"/>
          </w:tcPr>
          <w:p w14:paraId="3D04FE6C" w14:textId="77777777" w:rsidR="007901B9" w:rsidRPr="008852C3" w:rsidRDefault="007901B9" w:rsidP="007901B9">
            <w:pPr>
              <w:rPr>
                <w:bCs/>
                <w:sz w:val="21"/>
              </w:rPr>
            </w:pPr>
            <w:r w:rsidRPr="008852C3">
              <w:rPr>
                <w:rFonts w:eastAsiaTheme="minorHAnsi" w:cs="Arial"/>
                <w:sz w:val="21"/>
              </w:rPr>
              <w:t>Inter-individual variability</w:t>
            </w:r>
          </w:p>
        </w:tc>
      </w:tr>
      <w:tr w:rsidR="007901B9" w:rsidRPr="008852C3" w14:paraId="433AC2A9" w14:textId="77777777" w:rsidTr="007901B9">
        <w:tc>
          <w:tcPr>
            <w:tcW w:w="1809" w:type="dxa"/>
          </w:tcPr>
          <w:p w14:paraId="605D46D0" w14:textId="77777777" w:rsidR="007901B9" w:rsidRPr="008852C3" w:rsidRDefault="007901B9" w:rsidP="007901B9">
            <w:pPr>
              <w:rPr>
                <w:sz w:val="21"/>
              </w:rPr>
            </w:pPr>
            <w:r w:rsidRPr="008852C3">
              <w:rPr>
                <w:sz w:val="21"/>
              </w:rPr>
              <w:t>I</w:t>
            </w:r>
            <w:r w:rsidRPr="008852C3">
              <w:rPr>
                <w:sz w:val="21"/>
                <w:vertAlign w:val="subscript"/>
              </w:rPr>
              <w:t>max</w:t>
            </w:r>
          </w:p>
        </w:tc>
        <w:tc>
          <w:tcPr>
            <w:tcW w:w="6911" w:type="dxa"/>
          </w:tcPr>
          <w:p w14:paraId="7572768C" w14:textId="77777777" w:rsidR="007901B9" w:rsidRPr="008852C3" w:rsidRDefault="007901B9" w:rsidP="007901B9">
            <w:pPr>
              <w:rPr>
                <w:bCs/>
                <w:sz w:val="21"/>
              </w:rPr>
            </w:pPr>
            <w:r w:rsidRPr="008852C3">
              <w:rPr>
                <w:rFonts w:eastAsiaTheme="minorHAnsi" w:cs="Arial"/>
                <w:sz w:val="21"/>
              </w:rPr>
              <w:t>Maximum effect</w:t>
            </w:r>
          </w:p>
        </w:tc>
      </w:tr>
      <w:tr w:rsidR="007901B9" w:rsidRPr="008852C3" w14:paraId="6DF64C48" w14:textId="77777777" w:rsidTr="007901B9">
        <w:tc>
          <w:tcPr>
            <w:tcW w:w="1809" w:type="dxa"/>
          </w:tcPr>
          <w:p w14:paraId="404A9327" w14:textId="77777777" w:rsidR="007901B9" w:rsidRPr="008852C3" w:rsidRDefault="007901B9" w:rsidP="007901B9">
            <w:pPr>
              <w:rPr>
                <w:sz w:val="21"/>
              </w:rPr>
            </w:pPr>
            <w:r w:rsidRPr="008852C3">
              <w:rPr>
                <w:sz w:val="21"/>
              </w:rPr>
              <w:t>IV</w:t>
            </w:r>
          </w:p>
        </w:tc>
        <w:tc>
          <w:tcPr>
            <w:tcW w:w="6911" w:type="dxa"/>
          </w:tcPr>
          <w:p w14:paraId="07FC1D22" w14:textId="77777777" w:rsidR="007901B9" w:rsidRPr="008852C3" w:rsidRDefault="007901B9" w:rsidP="007901B9">
            <w:pPr>
              <w:rPr>
                <w:sz w:val="21"/>
              </w:rPr>
            </w:pPr>
            <w:r w:rsidRPr="008852C3">
              <w:rPr>
                <w:bCs/>
                <w:sz w:val="21"/>
              </w:rPr>
              <w:t>Intravenous</w:t>
            </w:r>
          </w:p>
        </w:tc>
      </w:tr>
      <w:tr w:rsidR="00D76ED3" w:rsidRPr="008852C3" w14:paraId="5102CCA0" w14:textId="77777777" w:rsidTr="007901B9">
        <w:tc>
          <w:tcPr>
            <w:tcW w:w="1809" w:type="dxa"/>
          </w:tcPr>
          <w:p w14:paraId="1CD9696F" w14:textId="77777777" w:rsidR="00D76ED3" w:rsidRPr="008852C3" w:rsidRDefault="00D76ED3" w:rsidP="007901B9">
            <w:pPr>
              <w:rPr>
                <w:sz w:val="21"/>
              </w:rPr>
            </w:pPr>
            <w:r w:rsidRPr="008852C3">
              <w:rPr>
                <w:sz w:val="21"/>
              </w:rPr>
              <w:t>K+</w:t>
            </w:r>
          </w:p>
        </w:tc>
        <w:tc>
          <w:tcPr>
            <w:tcW w:w="6911" w:type="dxa"/>
          </w:tcPr>
          <w:p w14:paraId="5BAE83CA" w14:textId="77777777" w:rsidR="00D76ED3" w:rsidRPr="008852C3" w:rsidRDefault="00D76ED3" w:rsidP="00D76ED3">
            <w:pPr>
              <w:rPr>
                <w:bCs/>
                <w:sz w:val="21"/>
              </w:rPr>
            </w:pPr>
            <w:r w:rsidRPr="008852C3">
              <w:rPr>
                <w:sz w:val="21"/>
              </w:rPr>
              <w:t>Potassium</w:t>
            </w:r>
          </w:p>
        </w:tc>
      </w:tr>
      <w:tr w:rsidR="007901B9" w:rsidRPr="008852C3" w14:paraId="40B3FF57" w14:textId="77777777" w:rsidTr="007901B9">
        <w:tc>
          <w:tcPr>
            <w:tcW w:w="1809" w:type="dxa"/>
          </w:tcPr>
          <w:p w14:paraId="7370F3B5" w14:textId="77777777" w:rsidR="007901B9" w:rsidRPr="008852C3" w:rsidRDefault="007901B9" w:rsidP="007901B9">
            <w:pPr>
              <w:rPr>
                <w:sz w:val="21"/>
                <w:lang w:eastAsia="ja-JP"/>
              </w:rPr>
            </w:pPr>
            <w:r w:rsidRPr="008852C3">
              <w:rPr>
                <w:sz w:val="21"/>
                <w:lang w:eastAsia="ja-JP"/>
              </w:rPr>
              <w:t>LC-MS/MS</w:t>
            </w:r>
          </w:p>
        </w:tc>
        <w:tc>
          <w:tcPr>
            <w:tcW w:w="6911" w:type="dxa"/>
          </w:tcPr>
          <w:p w14:paraId="4F4261EF" w14:textId="77777777" w:rsidR="007901B9" w:rsidRPr="008852C3" w:rsidRDefault="005070B9" w:rsidP="005070B9">
            <w:pPr>
              <w:autoSpaceDE w:val="0"/>
              <w:autoSpaceDN w:val="0"/>
              <w:adjustRightInd w:val="0"/>
              <w:rPr>
                <w:rFonts w:cs="ArialMT"/>
                <w:bCs/>
                <w:sz w:val="21"/>
              </w:rPr>
            </w:pPr>
            <w:r w:rsidRPr="008852C3">
              <w:rPr>
                <w:sz w:val="21"/>
              </w:rPr>
              <w:t>Liquid chromatography-tandem mass spectrometry</w:t>
            </w:r>
          </w:p>
        </w:tc>
      </w:tr>
      <w:tr w:rsidR="00F46030" w:rsidRPr="008852C3" w14:paraId="21FE91FF" w14:textId="77777777" w:rsidTr="007901B9">
        <w:tc>
          <w:tcPr>
            <w:tcW w:w="1809" w:type="dxa"/>
          </w:tcPr>
          <w:p w14:paraId="54578D90" w14:textId="77777777" w:rsidR="00F46030" w:rsidRPr="008852C3" w:rsidRDefault="00F46030" w:rsidP="007901B9">
            <w:pPr>
              <w:rPr>
                <w:sz w:val="21"/>
                <w:lang w:eastAsia="ja-JP"/>
              </w:rPr>
            </w:pPr>
            <w:r w:rsidRPr="008852C3">
              <w:rPr>
                <w:sz w:val="21"/>
              </w:rPr>
              <w:t>LCVA</w:t>
            </w:r>
          </w:p>
        </w:tc>
        <w:tc>
          <w:tcPr>
            <w:tcW w:w="6911" w:type="dxa"/>
          </w:tcPr>
          <w:p w14:paraId="3DDEA8CD" w14:textId="7A697951" w:rsidR="00F46030" w:rsidRPr="008852C3" w:rsidRDefault="00F46030" w:rsidP="00E461E3">
            <w:pPr>
              <w:autoSpaceDE w:val="0"/>
              <w:autoSpaceDN w:val="0"/>
              <w:adjustRightInd w:val="0"/>
              <w:rPr>
                <w:sz w:val="21"/>
              </w:rPr>
            </w:pPr>
            <w:r w:rsidRPr="008852C3">
              <w:rPr>
                <w:sz w:val="21"/>
              </w:rPr>
              <w:t xml:space="preserve">Low </w:t>
            </w:r>
            <w:r w:rsidR="00E461E3" w:rsidRPr="008852C3">
              <w:rPr>
                <w:sz w:val="21"/>
              </w:rPr>
              <w:t>contrast visual a</w:t>
            </w:r>
            <w:r w:rsidRPr="008852C3">
              <w:rPr>
                <w:sz w:val="21"/>
              </w:rPr>
              <w:t>cuity</w:t>
            </w:r>
          </w:p>
        </w:tc>
      </w:tr>
      <w:tr w:rsidR="007901B9" w:rsidRPr="008852C3" w14:paraId="6A8DF8A7" w14:textId="77777777" w:rsidTr="007901B9">
        <w:tc>
          <w:tcPr>
            <w:tcW w:w="1809" w:type="dxa"/>
          </w:tcPr>
          <w:p w14:paraId="3E33AF17" w14:textId="77777777" w:rsidR="007901B9" w:rsidRPr="008852C3" w:rsidRDefault="007901B9" w:rsidP="007901B9">
            <w:pPr>
              <w:rPr>
                <w:sz w:val="21"/>
                <w:lang w:eastAsia="ja-JP"/>
              </w:rPr>
            </w:pPr>
            <w:r w:rsidRPr="008852C3">
              <w:rPr>
                <w:sz w:val="21"/>
                <w:lang w:eastAsia="ja-JP"/>
              </w:rPr>
              <w:t>LFT</w:t>
            </w:r>
          </w:p>
        </w:tc>
        <w:tc>
          <w:tcPr>
            <w:tcW w:w="6911" w:type="dxa"/>
          </w:tcPr>
          <w:p w14:paraId="5FD0DBD2" w14:textId="77777777" w:rsidR="007901B9" w:rsidRPr="008852C3" w:rsidRDefault="007901B9" w:rsidP="007901B9">
            <w:pPr>
              <w:rPr>
                <w:rFonts w:cs="Arial"/>
                <w:bCs/>
                <w:sz w:val="21"/>
              </w:rPr>
            </w:pPr>
            <w:r w:rsidRPr="008852C3">
              <w:rPr>
                <w:rFonts w:cs="Arial"/>
                <w:bCs/>
                <w:sz w:val="21"/>
              </w:rPr>
              <w:t>Liver function test</w:t>
            </w:r>
          </w:p>
        </w:tc>
      </w:tr>
      <w:tr w:rsidR="00E26D6F" w:rsidRPr="008852C3" w14:paraId="68A1C8E9" w14:textId="77777777" w:rsidTr="007901B9">
        <w:tc>
          <w:tcPr>
            <w:tcW w:w="1809" w:type="dxa"/>
          </w:tcPr>
          <w:p w14:paraId="6389180D" w14:textId="77777777" w:rsidR="00E26D6F" w:rsidRPr="008852C3" w:rsidRDefault="00E26D6F" w:rsidP="007901B9">
            <w:pPr>
              <w:rPr>
                <w:sz w:val="21"/>
                <w:lang w:eastAsia="ja-JP"/>
              </w:rPr>
            </w:pPr>
            <w:r w:rsidRPr="008852C3">
              <w:rPr>
                <w:sz w:val="21"/>
                <w:lang w:eastAsia="ja-JP"/>
              </w:rPr>
              <w:t>MABP</w:t>
            </w:r>
          </w:p>
        </w:tc>
        <w:tc>
          <w:tcPr>
            <w:tcW w:w="6911" w:type="dxa"/>
          </w:tcPr>
          <w:p w14:paraId="1D6C8E74" w14:textId="77777777" w:rsidR="00E26D6F" w:rsidRPr="008852C3" w:rsidRDefault="00E26D6F" w:rsidP="007901B9">
            <w:pPr>
              <w:rPr>
                <w:rFonts w:cs="Arial"/>
                <w:bCs/>
                <w:sz w:val="21"/>
              </w:rPr>
            </w:pPr>
            <w:r w:rsidRPr="008852C3">
              <w:rPr>
                <w:rFonts w:cs="Arial"/>
                <w:bCs/>
                <w:sz w:val="21"/>
              </w:rPr>
              <w:t xml:space="preserve">Mean </w:t>
            </w:r>
            <w:r w:rsidR="00A312CD" w:rsidRPr="008852C3">
              <w:rPr>
                <w:rFonts w:cs="Arial"/>
                <w:bCs/>
                <w:sz w:val="21"/>
              </w:rPr>
              <w:t>arterial blood pressure</w:t>
            </w:r>
          </w:p>
        </w:tc>
      </w:tr>
      <w:tr w:rsidR="007901B9" w:rsidRPr="008852C3" w14:paraId="143184F9" w14:textId="77777777" w:rsidTr="007901B9">
        <w:tc>
          <w:tcPr>
            <w:tcW w:w="1809" w:type="dxa"/>
          </w:tcPr>
          <w:p w14:paraId="21A58B82" w14:textId="77777777" w:rsidR="007901B9" w:rsidRPr="008852C3" w:rsidRDefault="007901B9" w:rsidP="007901B9">
            <w:pPr>
              <w:rPr>
                <w:sz w:val="21"/>
              </w:rPr>
            </w:pPr>
            <w:r w:rsidRPr="008852C3">
              <w:rPr>
                <w:sz w:val="21"/>
              </w:rPr>
              <w:t>MF</w:t>
            </w:r>
          </w:p>
        </w:tc>
        <w:tc>
          <w:tcPr>
            <w:tcW w:w="6911" w:type="dxa"/>
          </w:tcPr>
          <w:p w14:paraId="66E5AD2D" w14:textId="2F3AE29F" w:rsidR="007901B9" w:rsidRPr="008852C3" w:rsidRDefault="005070B9" w:rsidP="007901B9">
            <w:pPr>
              <w:rPr>
                <w:bCs/>
                <w:sz w:val="21"/>
              </w:rPr>
            </w:pPr>
            <w:r w:rsidRPr="008852C3">
              <w:rPr>
                <w:sz w:val="21"/>
              </w:rPr>
              <w:t xml:space="preserve">Market </w:t>
            </w:r>
            <w:r w:rsidR="00E461E3" w:rsidRPr="008852C3">
              <w:rPr>
                <w:sz w:val="21"/>
              </w:rPr>
              <w:t>f</w:t>
            </w:r>
            <w:r w:rsidR="007901B9" w:rsidRPr="008852C3">
              <w:rPr>
                <w:sz w:val="21"/>
              </w:rPr>
              <w:t>ormulation</w:t>
            </w:r>
          </w:p>
        </w:tc>
      </w:tr>
      <w:tr w:rsidR="007901B9" w:rsidRPr="008852C3" w14:paraId="4CD4A711" w14:textId="77777777" w:rsidTr="007901B9">
        <w:tc>
          <w:tcPr>
            <w:tcW w:w="1809" w:type="dxa"/>
          </w:tcPr>
          <w:p w14:paraId="4AC6EDF8" w14:textId="77777777" w:rsidR="007901B9" w:rsidRPr="008852C3" w:rsidRDefault="007901B9" w:rsidP="007901B9">
            <w:pPr>
              <w:rPr>
                <w:sz w:val="21"/>
              </w:rPr>
            </w:pPr>
            <w:r w:rsidRPr="008852C3">
              <w:rPr>
                <w:sz w:val="21"/>
              </w:rPr>
              <w:t>MRI</w:t>
            </w:r>
          </w:p>
        </w:tc>
        <w:tc>
          <w:tcPr>
            <w:tcW w:w="6911" w:type="dxa"/>
          </w:tcPr>
          <w:p w14:paraId="4CA40EB2" w14:textId="77777777" w:rsidR="007901B9" w:rsidRPr="008852C3" w:rsidRDefault="007901B9" w:rsidP="007901B9">
            <w:pPr>
              <w:rPr>
                <w:sz w:val="21"/>
              </w:rPr>
            </w:pPr>
            <w:r w:rsidRPr="008852C3">
              <w:rPr>
                <w:sz w:val="21"/>
              </w:rPr>
              <w:t>Magnetic resonance imaging</w:t>
            </w:r>
          </w:p>
        </w:tc>
      </w:tr>
      <w:tr w:rsidR="007901B9" w:rsidRPr="008852C3" w14:paraId="4BF43EB6" w14:textId="77777777" w:rsidTr="007901B9">
        <w:tc>
          <w:tcPr>
            <w:tcW w:w="1809" w:type="dxa"/>
          </w:tcPr>
          <w:p w14:paraId="151A204E" w14:textId="77777777" w:rsidR="007901B9" w:rsidRPr="008852C3" w:rsidRDefault="007901B9" w:rsidP="007901B9">
            <w:pPr>
              <w:rPr>
                <w:sz w:val="21"/>
              </w:rPr>
            </w:pPr>
            <w:r w:rsidRPr="008852C3">
              <w:rPr>
                <w:sz w:val="21"/>
              </w:rPr>
              <w:t>MS</w:t>
            </w:r>
          </w:p>
        </w:tc>
        <w:tc>
          <w:tcPr>
            <w:tcW w:w="6911" w:type="dxa"/>
          </w:tcPr>
          <w:p w14:paraId="2655FDBF" w14:textId="77777777" w:rsidR="007901B9" w:rsidRPr="008852C3" w:rsidRDefault="007901B9" w:rsidP="007901B9">
            <w:pPr>
              <w:rPr>
                <w:sz w:val="21"/>
              </w:rPr>
            </w:pPr>
            <w:r w:rsidRPr="008852C3">
              <w:rPr>
                <w:sz w:val="21"/>
              </w:rPr>
              <w:t>Multiple sclerosis</w:t>
            </w:r>
          </w:p>
        </w:tc>
      </w:tr>
      <w:tr w:rsidR="007901B9" w:rsidRPr="008852C3" w14:paraId="5131F6B2" w14:textId="77777777" w:rsidTr="007901B9">
        <w:tc>
          <w:tcPr>
            <w:tcW w:w="1809" w:type="dxa"/>
          </w:tcPr>
          <w:p w14:paraId="74169A0A" w14:textId="77777777" w:rsidR="007901B9" w:rsidRPr="008852C3" w:rsidRDefault="007901B9" w:rsidP="007901B9">
            <w:pPr>
              <w:rPr>
                <w:sz w:val="21"/>
              </w:rPr>
            </w:pPr>
            <w:proofErr w:type="spellStart"/>
            <w:r w:rsidRPr="008852C3">
              <w:rPr>
                <w:sz w:val="21"/>
              </w:rPr>
              <w:t>msec</w:t>
            </w:r>
            <w:proofErr w:type="spellEnd"/>
          </w:p>
        </w:tc>
        <w:tc>
          <w:tcPr>
            <w:tcW w:w="6911" w:type="dxa"/>
          </w:tcPr>
          <w:p w14:paraId="22206E3E" w14:textId="77777777" w:rsidR="007901B9" w:rsidRPr="008852C3" w:rsidRDefault="007901B9" w:rsidP="007901B9">
            <w:pPr>
              <w:rPr>
                <w:bCs/>
                <w:sz w:val="21"/>
              </w:rPr>
            </w:pPr>
            <w:r w:rsidRPr="008852C3">
              <w:rPr>
                <w:rFonts w:eastAsia="TimesNewRoman" w:cs="TimesNewRoman"/>
                <w:sz w:val="21"/>
              </w:rPr>
              <w:t>Milliseconds</w:t>
            </w:r>
          </w:p>
        </w:tc>
      </w:tr>
      <w:tr w:rsidR="007901B9" w:rsidRPr="008852C3" w14:paraId="058246E7" w14:textId="77777777" w:rsidTr="007901B9">
        <w:tc>
          <w:tcPr>
            <w:tcW w:w="1809" w:type="dxa"/>
          </w:tcPr>
          <w:p w14:paraId="04D1F105" w14:textId="77777777" w:rsidR="007901B9" w:rsidRPr="008852C3" w:rsidRDefault="007901B9" w:rsidP="007901B9">
            <w:pPr>
              <w:rPr>
                <w:sz w:val="21"/>
              </w:rPr>
            </w:pPr>
            <w:r w:rsidRPr="008852C3">
              <w:rPr>
                <w:sz w:val="21"/>
              </w:rPr>
              <w:t>MSFC</w:t>
            </w:r>
          </w:p>
        </w:tc>
        <w:tc>
          <w:tcPr>
            <w:tcW w:w="6911" w:type="dxa"/>
          </w:tcPr>
          <w:p w14:paraId="051804F1" w14:textId="77777777" w:rsidR="007901B9" w:rsidRPr="008852C3" w:rsidRDefault="00F46030" w:rsidP="007901B9">
            <w:pPr>
              <w:rPr>
                <w:sz w:val="21"/>
              </w:rPr>
            </w:pPr>
            <w:r w:rsidRPr="008852C3">
              <w:rPr>
                <w:sz w:val="21"/>
              </w:rPr>
              <w:t>Multiple Sclerosis</w:t>
            </w:r>
            <w:r w:rsidR="007901B9" w:rsidRPr="008852C3">
              <w:rPr>
                <w:sz w:val="21"/>
              </w:rPr>
              <w:t xml:space="preserve"> Functional Composite</w:t>
            </w:r>
          </w:p>
        </w:tc>
      </w:tr>
      <w:tr w:rsidR="007901B9" w:rsidRPr="008852C3" w14:paraId="42DEE1F5" w14:textId="77777777" w:rsidTr="007901B9">
        <w:tc>
          <w:tcPr>
            <w:tcW w:w="1809" w:type="dxa"/>
          </w:tcPr>
          <w:p w14:paraId="71E6CBFB" w14:textId="77777777" w:rsidR="007901B9" w:rsidRPr="008852C3" w:rsidRDefault="007901B9" w:rsidP="007901B9">
            <w:pPr>
              <w:rPr>
                <w:sz w:val="21"/>
              </w:rPr>
            </w:pPr>
            <w:r w:rsidRPr="008852C3">
              <w:rPr>
                <w:sz w:val="21"/>
              </w:rPr>
              <w:t>MSIS-29</w:t>
            </w:r>
          </w:p>
        </w:tc>
        <w:tc>
          <w:tcPr>
            <w:tcW w:w="6911" w:type="dxa"/>
          </w:tcPr>
          <w:p w14:paraId="3E2C41A3" w14:textId="77777777" w:rsidR="007901B9" w:rsidRPr="008852C3" w:rsidRDefault="007901B9" w:rsidP="007901B9">
            <w:pPr>
              <w:rPr>
                <w:sz w:val="21"/>
              </w:rPr>
            </w:pPr>
            <w:r w:rsidRPr="008852C3">
              <w:rPr>
                <w:sz w:val="21"/>
              </w:rPr>
              <w:t>M</w:t>
            </w:r>
            <w:r w:rsidR="00C20745" w:rsidRPr="008852C3">
              <w:rPr>
                <w:sz w:val="21"/>
              </w:rPr>
              <w:t xml:space="preserve">ultiple </w:t>
            </w:r>
            <w:r w:rsidRPr="008852C3">
              <w:rPr>
                <w:sz w:val="21"/>
              </w:rPr>
              <w:t>S</w:t>
            </w:r>
            <w:r w:rsidR="00C20745" w:rsidRPr="008852C3">
              <w:rPr>
                <w:sz w:val="21"/>
              </w:rPr>
              <w:t>clerosis</w:t>
            </w:r>
            <w:r w:rsidRPr="008852C3">
              <w:rPr>
                <w:sz w:val="21"/>
              </w:rPr>
              <w:t xml:space="preserve"> Impact Scale </w:t>
            </w:r>
            <w:r w:rsidR="00C20745" w:rsidRPr="008852C3">
              <w:rPr>
                <w:sz w:val="21"/>
              </w:rPr>
              <w:t>29</w:t>
            </w:r>
          </w:p>
        </w:tc>
      </w:tr>
      <w:tr w:rsidR="007901B9" w:rsidRPr="008852C3" w14:paraId="09E3DA46" w14:textId="77777777" w:rsidTr="007901B9">
        <w:tc>
          <w:tcPr>
            <w:tcW w:w="1809" w:type="dxa"/>
          </w:tcPr>
          <w:p w14:paraId="7B8F4260" w14:textId="77777777" w:rsidR="007901B9" w:rsidRPr="008852C3" w:rsidRDefault="007901B9" w:rsidP="007901B9">
            <w:pPr>
              <w:rPr>
                <w:sz w:val="21"/>
              </w:rPr>
            </w:pPr>
            <w:r w:rsidRPr="008852C3">
              <w:rPr>
                <w:sz w:val="21"/>
              </w:rPr>
              <w:t>MSWS-12</w:t>
            </w:r>
          </w:p>
        </w:tc>
        <w:tc>
          <w:tcPr>
            <w:tcW w:w="6911" w:type="dxa"/>
          </w:tcPr>
          <w:p w14:paraId="41F25CED" w14:textId="77777777" w:rsidR="007901B9" w:rsidRPr="008852C3" w:rsidRDefault="00247DEA" w:rsidP="007901B9">
            <w:pPr>
              <w:rPr>
                <w:sz w:val="21"/>
              </w:rPr>
            </w:pPr>
            <w:r w:rsidRPr="008852C3">
              <w:rPr>
                <w:sz w:val="21"/>
              </w:rPr>
              <w:t>Multiple Sclerosis</w:t>
            </w:r>
            <w:r w:rsidR="007901B9" w:rsidRPr="008852C3">
              <w:rPr>
                <w:sz w:val="21"/>
              </w:rPr>
              <w:t xml:space="preserve"> Walking Scale</w:t>
            </w:r>
            <w:r w:rsidRPr="008852C3">
              <w:rPr>
                <w:sz w:val="21"/>
              </w:rPr>
              <w:t>-12</w:t>
            </w:r>
          </w:p>
        </w:tc>
      </w:tr>
      <w:tr w:rsidR="008B1F57" w:rsidRPr="008852C3" w14:paraId="7D2FF97D" w14:textId="77777777" w:rsidTr="007901B9">
        <w:tc>
          <w:tcPr>
            <w:tcW w:w="1809" w:type="dxa"/>
          </w:tcPr>
          <w:p w14:paraId="053971AC" w14:textId="77777777" w:rsidR="008B1F57" w:rsidRPr="008852C3" w:rsidRDefault="008B1F57" w:rsidP="007901B9">
            <w:pPr>
              <w:rPr>
                <w:sz w:val="21"/>
              </w:rPr>
            </w:pPr>
            <w:proofErr w:type="spellStart"/>
            <w:r w:rsidRPr="008852C3">
              <w:rPr>
                <w:sz w:val="21"/>
              </w:rPr>
              <w:t>nM</w:t>
            </w:r>
            <w:proofErr w:type="spellEnd"/>
          </w:p>
        </w:tc>
        <w:tc>
          <w:tcPr>
            <w:tcW w:w="6911" w:type="dxa"/>
          </w:tcPr>
          <w:p w14:paraId="07CA767B" w14:textId="77777777" w:rsidR="008B1F57" w:rsidRPr="008852C3" w:rsidRDefault="008B1F57" w:rsidP="008B1F57">
            <w:pPr>
              <w:rPr>
                <w:sz w:val="21"/>
              </w:rPr>
            </w:pPr>
            <w:proofErr w:type="spellStart"/>
            <w:r w:rsidRPr="008852C3">
              <w:rPr>
                <w:sz w:val="21"/>
              </w:rPr>
              <w:t>Nanomolar</w:t>
            </w:r>
            <w:proofErr w:type="spellEnd"/>
          </w:p>
        </w:tc>
      </w:tr>
      <w:tr w:rsidR="00D76ED3" w:rsidRPr="008852C3" w14:paraId="3083423A" w14:textId="77777777" w:rsidTr="007901B9">
        <w:tc>
          <w:tcPr>
            <w:tcW w:w="1809" w:type="dxa"/>
          </w:tcPr>
          <w:p w14:paraId="34832214" w14:textId="77777777" w:rsidR="00D76ED3" w:rsidRPr="008852C3" w:rsidRDefault="00D76ED3" w:rsidP="007901B9">
            <w:pPr>
              <w:rPr>
                <w:sz w:val="21"/>
              </w:rPr>
            </w:pPr>
            <w:r w:rsidRPr="008852C3">
              <w:rPr>
                <w:sz w:val="21"/>
              </w:rPr>
              <w:t>NOAEL</w:t>
            </w:r>
          </w:p>
        </w:tc>
        <w:tc>
          <w:tcPr>
            <w:tcW w:w="6911" w:type="dxa"/>
          </w:tcPr>
          <w:p w14:paraId="25BF21E0" w14:textId="77777777" w:rsidR="00D76ED3" w:rsidRPr="008852C3" w:rsidRDefault="00D76ED3" w:rsidP="00D76ED3">
            <w:pPr>
              <w:rPr>
                <w:sz w:val="21"/>
              </w:rPr>
            </w:pPr>
            <w:r w:rsidRPr="008852C3">
              <w:rPr>
                <w:sz w:val="21"/>
              </w:rPr>
              <w:t>No observed adverse effect level</w:t>
            </w:r>
          </w:p>
        </w:tc>
      </w:tr>
      <w:tr w:rsidR="007901B9" w:rsidRPr="008852C3" w14:paraId="635B65DF" w14:textId="77777777" w:rsidTr="007901B9">
        <w:tc>
          <w:tcPr>
            <w:tcW w:w="1809" w:type="dxa"/>
          </w:tcPr>
          <w:p w14:paraId="36907939" w14:textId="77777777" w:rsidR="007901B9" w:rsidRPr="008852C3" w:rsidRDefault="007901B9" w:rsidP="007901B9">
            <w:pPr>
              <w:rPr>
                <w:sz w:val="21"/>
              </w:rPr>
            </w:pPr>
            <w:r w:rsidRPr="008852C3">
              <w:rPr>
                <w:sz w:val="21"/>
              </w:rPr>
              <w:t>PASAT</w:t>
            </w:r>
          </w:p>
        </w:tc>
        <w:tc>
          <w:tcPr>
            <w:tcW w:w="6911" w:type="dxa"/>
          </w:tcPr>
          <w:p w14:paraId="5F87447D" w14:textId="77777777" w:rsidR="007901B9" w:rsidRPr="008852C3" w:rsidRDefault="007901B9" w:rsidP="007901B9">
            <w:pPr>
              <w:rPr>
                <w:sz w:val="21"/>
              </w:rPr>
            </w:pPr>
            <w:r w:rsidRPr="008852C3">
              <w:rPr>
                <w:sz w:val="21"/>
              </w:rPr>
              <w:t>Paced Auditory Serial Addition Test</w:t>
            </w:r>
          </w:p>
        </w:tc>
      </w:tr>
      <w:tr w:rsidR="007901B9" w:rsidRPr="008852C3" w14:paraId="63CF574E" w14:textId="77777777" w:rsidTr="007901B9">
        <w:tc>
          <w:tcPr>
            <w:tcW w:w="1809" w:type="dxa"/>
          </w:tcPr>
          <w:p w14:paraId="445FFC85" w14:textId="77777777" w:rsidR="007901B9" w:rsidRPr="008852C3" w:rsidRDefault="007901B9" w:rsidP="007901B9">
            <w:pPr>
              <w:rPr>
                <w:sz w:val="21"/>
              </w:rPr>
            </w:pPr>
            <w:r w:rsidRPr="008852C3">
              <w:rPr>
                <w:sz w:val="21"/>
              </w:rPr>
              <w:t>PBVC</w:t>
            </w:r>
          </w:p>
        </w:tc>
        <w:tc>
          <w:tcPr>
            <w:tcW w:w="6911" w:type="dxa"/>
          </w:tcPr>
          <w:p w14:paraId="3167525C" w14:textId="77777777" w:rsidR="007901B9" w:rsidRPr="008852C3" w:rsidRDefault="007901B9" w:rsidP="007901B9">
            <w:pPr>
              <w:rPr>
                <w:sz w:val="21"/>
              </w:rPr>
            </w:pPr>
            <w:r w:rsidRPr="008852C3">
              <w:rPr>
                <w:sz w:val="21"/>
              </w:rPr>
              <w:t>Percent brain volume change</w:t>
            </w:r>
          </w:p>
        </w:tc>
      </w:tr>
      <w:tr w:rsidR="007901B9" w:rsidRPr="008852C3" w14:paraId="4277EA80" w14:textId="77777777" w:rsidTr="007901B9">
        <w:tc>
          <w:tcPr>
            <w:tcW w:w="1809" w:type="dxa"/>
          </w:tcPr>
          <w:p w14:paraId="24553AE8" w14:textId="77777777" w:rsidR="007901B9" w:rsidRPr="008852C3" w:rsidRDefault="007901B9" w:rsidP="007901B9">
            <w:pPr>
              <w:rPr>
                <w:sz w:val="21"/>
              </w:rPr>
            </w:pPr>
            <w:r w:rsidRPr="008852C3">
              <w:rPr>
                <w:sz w:val="21"/>
              </w:rPr>
              <w:t>PD</w:t>
            </w:r>
          </w:p>
        </w:tc>
        <w:tc>
          <w:tcPr>
            <w:tcW w:w="6911" w:type="dxa"/>
          </w:tcPr>
          <w:p w14:paraId="74C19B83" w14:textId="77777777" w:rsidR="007901B9" w:rsidRPr="008852C3" w:rsidRDefault="0037666F" w:rsidP="007901B9">
            <w:pPr>
              <w:rPr>
                <w:sz w:val="21"/>
              </w:rPr>
            </w:pPr>
            <w:proofErr w:type="spellStart"/>
            <w:r w:rsidRPr="008852C3">
              <w:rPr>
                <w:sz w:val="21"/>
              </w:rPr>
              <w:t>Pharmacodynamic</w:t>
            </w:r>
            <w:proofErr w:type="spellEnd"/>
            <w:r w:rsidRPr="008852C3">
              <w:rPr>
                <w:sz w:val="21"/>
              </w:rPr>
              <w:t>(</w:t>
            </w:r>
            <w:r w:rsidR="007901B9" w:rsidRPr="008852C3">
              <w:rPr>
                <w:sz w:val="21"/>
              </w:rPr>
              <w:t>s</w:t>
            </w:r>
            <w:r w:rsidRPr="008852C3">
              <w:rPr>
                <w:sz w:val="21"/>
              </w:rPr>
              <w:t>)</w:t>
            </w:r>
          </w:p>
        </w:tc>
      </w:tr>
      <w:tr w:rsidR="007901B9" w:rsidRPr="008852C3" w14:paraId="2B30A06D" w14:textId="77777777" w:rsidTr="007901B9">
        <w:tc>
          <w:tcPr>
            <w:tcW w:w="1809" w:type="dxa"/>
          </w:tcPr>
          <w:p w14:paraId="0D6BF85C" w14:textId="77777777" w:rsidR="007901B9" w:rsidRPr="008852C3" w:rsidRDefault="007901B9" w:rsidP="007901B9">
            <w:pPr>
              <w:rPr>
                <w:sz w:val="21"/>
              </w:rPr>
            </w:pPr>
            <w:r w:rsidRPr="008852C3">
              <w:rPr>
                <w:sz w:val="21"/>
              </w:rPr>
              <w:t>PK</w:t>
            </w:r>
          </w:p>
        </w:tc>
        <w:tc>
          <w:tcPr>
            <w:tcW w:w="6911" w:type="dxa"/>
          </w:tcPr>
          <w:p w14:paraId="02239C52" w14:textId="77777777" w:rsidR="007901B9" w:rsidRPr="008852C3" w:rsidRDefault="0037666F" w:rsidP="007901B9">
            <w:pPr>
              <w:rPr>
                <w:sz w:val="21"/>
              </w:rPr>
            </w:pPr>
            <w:r w:rsidRPr="008852C3">
              <w:rPr>
                <w:sz w:val="21"/>
              </w:rPr>
              <w:t>Pharmacokinetic(</w:t>
            </w:r>
            <w:r w:rsidR="007901B9" w:rsidRPr="008852C3">
              <w:rPr>
                <w:sz w:val="21"/>
              </w:rPr>
              <w:t>s</w:t>
            </w:r>
            <w:r w:rsidRPr="008852C3">
              <w:rPr>
                <w:sz w:val="21"/>
              </w:rPr>
              <w:t>)</w:t>
            </w:r>
          </w:p>
        </w:tc>
      </w:tr>
      <w:tr w:rsidR="007901B9" w:rsidRPr="008852C3" w14:paraId="63AF2A4C" w14:textId="77777777" w:rsidTr="007901B9">
        <w:tc>
          <w:tcPr>
            <w:tcW w:w="1809" w:type="dxa"/>
          </w:tcPr>
          <w:p w14:paraId="038736A4" w14:textId="77777777" w:rsidR="007901B9" w:rsidRPr="008852C3" w:rsidRDefault="007901B9" w:rsidP="007901B9">
            <w:pPr>
              <w:rPr>
                <w:sz w:val="21"/>
              </w:rPr>
            </w:pPr>
            <w:r w:rsidRPr="008852C3">
              <w:rPr>
                <w:sz w:val="21"/>
              </w:rPr>
              <w:lastRenderedPageBreak/>
              <w:t>PM</w:t>
            </w:r>
          </w:p>
        </w:tc>
        <w:tc>
          <w:tcPr>
            <w:tcW w:w="6911" w:type="dxa"/>
          </w:tcPr>
          <w:p w14:paraId="7547EF2B" w14:textId="77777777" w:rsidR="007901B9" w:rsidRPr="008852C3" w:rsidRDefault="007901B9" w:rsidP="007901B9">
            <w:pPr>
              <w:rPr>
                <w:sz w:val="21"/>
              </w:rPr>
            </w:pPr>
            <w:r w:rsidRPr="008852C3">
              <w:rPr>
                <w:sz w:val="21"/>
              </w:rPr>
              <w:t>Poor metaboliser</w:t>
            </w:r>
          </w:p>
        </w:tc>
      </w:tr>
      <w:tr w:rsidR="009936F9" w:rsidRPr="008852C3" w14:paraId="3306EDD5" w14:textId="77777777" w:rsidTr="007901B9">
        <w:tc>
          <w:tcPr>
            <w:tcW w:w="1809" w:type="dxa"/>
          </w:tcPr>
          <w:p w14:paraId="51F6922E" w14:textId="77777777" w:rsidR="009936F9" w:rsidRPr="008852C3" w:rsidRDefault="009936F9" w:rsidP="007901B9">
            <w:pPr>
              <w:rPr>
                <w:sz w:val="21"/>
              </w:rPr>
            </w:pPr>
            <w:r w:rsidRPr="008852C3">
              <w:rPr>
                <w:sz w:val="21"/>
              </w:rPr>
              <w:t>PML</w:t>
            </w:r>
          </w:p>
        </w:tc>
        <w:tc>
          <w:tcPr>
            <w:tcW w:w="6911" w:type="dxa"/>
          </w:tcPr>
          <w:p w14:paraId="7B52D01D" w14:textId="77777777" w:rsidR="009936F9" w:rsidRPr="008852C3" w:rsidRDefault="009936F9" w:rsidP="009936F9">
            <w:pPr>
              <w:rPr>
                <w:sz w:val="21"/>
              </w:rPr>
            </w:pPr>
            <w:r w:rsidRPr="008852C3">
              <w:rPr>
                <w:sz w:val="21"/>
              </w:rPr>
              <w:t>Progressive multifocal leukoencephalopathy</w:t>
            </w:r>
          </w:p>
        </w:tc>
      </w:tr>
      <w:tr w:rsidR="00445936" w:rsidRPr="008852C3" w14:paraId="397626F9" w14:textId="77777777" w:rsidTr="007901B9">
        <w:tc>
          <w:tcPr>
            <w:tcW w:w="1809" w:type="dxa"/>
          </w:tcPr>
          <w:p w14:paraId="2BDEE39D" w14:textId="77777777" w:rsidR="00445936" w:rsidRPr="008852C3" w:rsidRDefault="00445936" w:rsidP="007901B9">
            <w:pPr>
              <w:rPr>
                <w:sz w:val="21"/>
              </w:rPr>
            </w:pPr>
            <w:r w:rsidRPr="008852C3">
              <w:rPr>
                <w:sz w:val="21"/>
              </w:rPr>
              <w:t>PO</w:t>
            </w:r>
          </w:p>
        </w:tc>
        <w:tc>
          <w:tcPr>
            <w:tcW w:w="6911" w:type="dxa"/>
          </w:tcPr>
          <w:p w14:paraId="20CED2B5" w14:textId="3314ADF5" w:rsidR="00445936" w:rsidRPr="008852C3" w:rsidRDefault="00445936" w:rsidP="00445936">
            <w:pPr>
              <w:rPr>
                <w:sz w:val="21"/>
              </w:rPr>
            </w:pPr>
            <w:r w:rsidRPr="008852C3">
              <w:rPr>
                <w:sz w:val="21"/>
              </w:rPr>
              <w:t>By mouth</w:t>
            </w:r>
            <w:r w:rsidR="00E461E3" w:rsidRPr="008852C3">
              <w:rPr>
                <w:sz w:val="21"/>
              </w:rPr>
              <w:t xml:space="preserve"> (</w:t>
            </w:r>
            <w:r w:rsidRPr="008852C3">
              <w:rPr>
                <w:sz w:val="21"/>
              </w:rPr>
              <w:t xml:space="preserve">Latin: </w:t>
            </w:r>
            <w:r w:rsidRPr="008852C3">
              <w:rPr>
                <w:i/>
                <w:sz w:val="21"/>
              </w:rPr>
              <w:t xml:space="preserve">per </w:t>
            </w:r>
            <w:proofErr w:type="spellStart"/>
            <w:r w:rsidRPr="008852C3">
              <w:rPr>
                <w:i/>
                <w:sz w:val="21"/>
              </w:rPr>
              <w:t>os</w:t>
            </w:r>
            <w:proofErr w:type="spellEnd"/>
            <w:r w:rsidR="00E461E3" w:rsidRPr="008852C3">
              <w:rPr>
                <w:i/>
                <w:sz w:val="21"/>
              </w:rPr>
              <w:t>)</w:t>
            </w:r>
          </w:p>
        </w:tc>
      </w:tr>
      <w:tr w:rsidR="007F41B8" w:rsidRPr="008852C3" w14:paraId="44B3A01D" w14:textId="77777777" w:rsidTr="007901B9">
        <w:tc>
          <w:tcPr>
            <w:tcW w:w="1809" w:type="dxa"/>
          </w:tcPr>
          <w:p w14:paraId="04C1E14C" w14:textId="77777777" w:rsidR="007F41B8" w:rsidRPr="008852C3" w:rsidRDefault="007F41B8" w:rsidP="007901B9">
            <w:pPr>
              <w:rPr>
                <w:sz w:val="21"/>
              </w:rPr>
            </w:pPr>
            <w:r w:rsidRPr="008852C3">
              <w:rPr>
                <w:sz w:val="21"/>
              </w:rPr>
              <w:t>PPMS</w:t>
            </w:r>
          </w:p>
        </w:tc>
        <w:tc>
          <w:tcPr>
            <w:tcW w:w="6911" w:type="dxa"/>
          </w:tcPr>
          <w:p w14:paraId="1CECD4FD" w14:textId="77777777" w:rsidR="007F41B8" w:rsidRPr="008852C3" w:rsidRDefault="007F41B8" w:rsidP="007F41B8">
            <w:pPr>
              <w:rPr>
                <w:sz w:val="21"/>
              </w:rPr>
            </w:pPr>
            <w:r w:rsidRPr="008852C3">
              <w:rPr>
                <w:sz w:val="21"/>
              </w:rPr>
              <w:t>Primary progressive multiple sclerosis</w:t>
            </w:r>
          </w:p>
        </w:tc>
      </w:tr>
      <w:tr w:rsidR="00292D5B" w:rsidRPr="008852C3" w14:paraId="744C6715" w14:textId="77777777" w:rsidTr="007901B9">
        <w:tc>
          <w:tcPr>
            <w:tcW w:w="1809" w:type="dxa"/>
          </w:tcPr>
          <w:p w14:paraId="3A1246D6" w14:textId="77777777" w:rsidR="00292D5B" w:rsidRPr="008852C3" w:rsidRDefault="00292D5B" w:rsidP="007901B9">
            <w:pPr>
              <w:rPr>
                <w:sz w:val="21"/>
              </w:rPr>
            </w:pPr>
            <w:r w:rsidRPr="008852C3">
              <w:rPr>
                <w:sz w:val="21"/>
              </w:rPr>
              <w:t>PRES</w:t>
            </w:r>
          </w:p>
        </w:tc>
        <w:tc>
          <w:tcPr>
            <w:tcW w:w="6911" w:type="dxa"/>
          </w:tcPr>
          <w:p w14:paraId="6A345276" w14:textId="77777777" w:rsidR="00292D5B" w:rsidRPr="008852C3" w:rsidRDefault="00292D5B" w:rsidP="00292D5B">
            <w:pPr>
              <w:rPr>
                <w:sz w:val="21"/>
              </w:rPr>
            </w:pPr>
            <w:r w:rsidRPr="008852C3">
              <w:rPr>
                <w:sz w:val="21"/>
              </w:rPr>
              <w:t>Posterior reversible encephalopathy syndrome</w:t>
            </w:r>
          </w:p>
        </w:tc>
      </w:tr>
      <w:tr w:rsidR="00501ACC" w:rsidRPr="008852C3" w14:paraId="64923807" w14:textId="77777777" w:rsidTr="007901B9">
        <w:tc>
          <w:tcPr>
            <w:tcW w:w="1809" w:type="dxa"/>
          </w:tcPr>
          <w:p w14:paraId="321B9840" w14:textId="77777777" w:rsidR="00501ACC" w:rsidRPr="008852C3" w:rsidRDefault="00501ACC" w:rsidP="007901B9">
            <w:pPr>
              <w:rPr>
                <w:sz w:val="21"/>
              </w:rPr>
            </w:pPr>
            <w:r w:rsidRPr="008852C3">
              <w:rPr>
                <w:sz w:val="21"/>
              </w:rPr>
              <w:t>PRMS</w:t>
            </w:r>
          </w:p>
        </w:tc>
        <w:tc>
          <w:tcPr>
            <w:tcW w:w="6911" w:type="dxa"/>
          </w:tcPr>
          <w:p w14:paraId="67ACA065" w14:textId="77777777" w:rsidR="00501ACC" w:rsidRPr="008852C3" w:rsidRDefault="00501ACC" w:rsidP="00501ACC">
            <w:pPr>
              <w:rPr>
                <w:sz w:val="21"/>
              </w:rPr>
            </w:pPr>
            <w:r w:rsidRPr="008852C3">
              <w:rPr>
                <w:sz w:val="21"/>
              </w:rPr>
              <w:t>Progressive relapsing multiple sclerosis</w:t>
            </w:r>
          </w:p>
        </w:tc>
      </w:tr>
      <w:tr w:rsidR="007901B9" w:rsidRPr="008852C3" w14:paraId="11D104AD" w14:textId="77777777" w:rsidTr="007901B9">
        <w:tc>
          <w:tcPr>
            <w:tcW w:w="1809" w:type="dxa"/>
          </w:tcPr>
          <w:p w14:paraId="587C4F9D" w14:textId="77777777" w:rsidR="007901B9" w:rsidRPr="008852C3" w:rsidRDefault="007901B9" w:rsidP="007901B9">
            <w:pPr>
              <w:rPr>
                <w:sz w:val="21"/>
              </w:rPr>
            </w:pPr>
            <w:r w:rsidRPr="008852C3">
              <w:rPr>
                <w:sz w:val="21"/>
              </w:rPr>
              <w:t>QD</w:t>
            </w:r>
          </w:p>
        </w:tc>
        <w:tc>
          <w:tcPr>
            <w:tcW w:w="6911" w:type="dxa"/>
          </w:tcPr>
          <w:p w14:paraId="34072988" w14:textId="77777777" w:rsidR="007901B9" w:rsidRPr="008852C3" w:rsidRDefault="00F97303" w:rsidP="007901B9">
            <w:pPr>
              <w:rPr>
                <w:sz w:val="21"/>
              </w:rPr>
            </w:pPr>
            <w:r w:rsidRPr="008852C3">
              <w:rPr>
                <w:sz w:val="21"/>
              </w:rPr>
              <w:t xml:space="preserve">Once </w:t>
            </w:r>
            <w:r w:rsidR="007901B9" w:rsidRPr="008852C3">
              <w:rPr>
                <w:sz w:val="21"/>
              </w:rPr>
              <w:t>daily</w:t>
            </w:r>
          </w:p>
        </w:tc>
      </w:tr>
      <w:tr w:rsidR="007901B9" w:rsidRPr="008852C3" w14:paraId="5AADCA36" w14:textId="77777777" w:rsidTr="007901B9">
        <w:tc>
          <w:tcPr>
            <w:tcW w:w="1809" w:type="dxa"/>
          </w:tcPr>
          <w:p w14:paraId="1AAD1227" w14:textId="77777777" w:rsidR="007901B9" w:rsidRPr="008852C3" w:rsidRDefault="007901B9" w:rsidP="007901B9">
            <w:pPr>
              <w:rPr>
                <w:sz w:val="21"/>
              </w:rPr>
            </w:pPr>
            <w:proofErr w:type="spellStart"/>
            <w:r w:rsidRPr="008852C3">
              <w:rPr>
                <w:sz w:val="21"/>
              </w:rPr>
              <w:t>QTc</w:t>
            </w:r>
            <w:proofErr w:type="spellEnd"/>
          </w:p>
        </w:tc>
        <w:tc>
          <w:tcPr>
            <w:tcW w:w="6911" w:type="dxa"/>
          </w:tcPr>
          <w:p w14:paraId="7C9E2992" w14:textId="77777777" w:rsidR="007901B9" w:rsidRPr="008852C3" w:rsidRDefault="007901B9" w:rsidP="007901B9">
            <w:pPr>
              <w:rPr>
                <w:sz w:val="21"/>
              </w:rPr>
            </w:pPr>
            <w:r w:rsidRPr="008852C3">
              <w:rPr>
                <w:sz w:val="21"/>
              </w:rPr>
              <w:t>Corrected QT interval</w:t>
            </w:r>
          </w:p>
        </w:tc>
      </w:tr>
      <w:tr w:rsidR="007901B9" w:rsidRPr="008852C3" w14:paraId="5A59258E" w14:textId="77777777" w:rsidTr="007901B9">
        <w:tc>
          <w:tcPr>
            <w:tcW w:w="1809" w:type="dxa"/>
          </w:tcPr>
          <w:p w14:paraId="58336357" w14:textId="77777777" w:rsidR="007901B9" w:rsidRPr="008852C3" w:rsidRDefault="007901B9" w:rsidP="007901B9">
            <w:pPr>
              <w:rPr>
                <w:sz w:val="21"/>
              </w:rPr>
            </w:pPr>
            <w:proofErr w:type="spellStart"/>
            <w:r w:rsidRPr="008852C3">
              <w:rPr>
                <w:sz w:val="21"/>
              </w:rPr>
              <w:t>QTcF</w:t>
            </w:r>
            <w:proofErr w:type="spellEnd"/>
          </w:p>
        </w:tc>
        <w:tc>
          <w:tcPr>
            <w:tcW w:w="6911" w:type="dxa"/>
          </w:tcPr>
          <w:p w14:paraId="4676E5C2" w14:textId="77777777" w:rsidR="007901B9" w:rsidRPr="008852C3" w:rsidRDefault="007901B9" w:rsidP="007901B9">
            <w:pPr>
              <w:rPr>
                <w:sz w:val="21"/>
              </w:rPr>
            </w:pPr>
            <w:r w:rsidRPr="008852C3">
              <w:rPr>
                <w:rFonts w:eastAsiaTheme="minorHAnsi" w:cs="Arial"/>
                <w:sz w:val="21"/>
              </w:rPr>
              <w:t xml:space="preserve">QT interval corrected for heart rate using </w:t>
            </w:r>
            <w:proofErr w:type="spellStart"/>
            <w:r w:rsidRPr="008852C3">
              <w:rPr>
                <w:rFonts w:eastAsiaTheme="minorHAnsi" w:cs="Arial"/>
                <w:sz w:val="21"/>
              </w:rPr>
              <w:t>Fridericia’s</w:t>
            </w:r>
            <w:proofErr w:type="spellEnd"/>
            <w:r w:rsidRPr="008852C3">
              <w:rPr>
                <w:rFonts w:eastAsiaTheme="minorHAnsi" w:cs="Arial"/>
                <w:sz w:val="21"/>
              </w:rPr>
              <w:t xml:space="preserve"> formula</w:t>
            </w:r>
          </w:p>
        </w:tc>
      </w:tr>
      <w:tr w:rsidR="007901B9" w:rsidRPr="008852C3" w14:paraId="195F8C7D" w14:textId="77777777" w:rsidTr="007901B9">
        <w:tc>
          <w:tcPr>
            <w:tcW w:w="1809" w:type="dxa"/>
          </w:tcPr>
          <w:p w14:paraId="2902AFE0" w14:textId="77777777" w:rsidR="007901B9" w:rsidRPr="008852C3" w:rsidRDefault="007901B9" w:rsidP="007901B9">
            <w:pPr>
              <w:rPr>
                <w:sz w:val="21"/>
              </w:rPr>
            </w:pPr>
            <w:proofErr w:type="spellStart"/>
            <w:r w:rsidRPr="008852C3">
              <w:rPr>
                <w:sz w:val="21"/>
              </w:rPr>
              <w:t>Racc</w:t>
            </w:r>
            <w:proofErr w:type="spellEnd"/>
          </w:p>
        </w:tc>
        <w:tc>
          <w:tcPr>
            <w:tcW w:w="6911" w:type="dxa"/>
          </w:tcPr>
          <w:p w14:paraId="6721DE71" w14:textId="77777777" w:rsidR="007901B9" w:rsidRPr="008852C3" w:rsidRDefault="007901B9" w:rsidP="007901B9">
            <w:pPr>
              <w:rPr>
                <w:sz w:val="21"/>
              </w:rPr>
            </w:pPr>
            <w:r w:rsidRPr="008852C3">
              <w:rPr>
                <w:sz w:val="21"/>
              </w:rPr>
              <w:t>Accumulation ratio</w:t>
            </w:r>
          </w:p>
        </w:tc>
      </w:tr>
      <w:tr w:rsidR="007901B9" w:rsidRPr="008852C3" w14:paraId="10584627" w14:textId="77777777" w:rsidTr="007901B9">
        <w:tc>
          <w:tcPr>
            <w:tcW w:w="1809" w:type="dxa"/>
          </w:tcPr>
          <w:p w14:paraId="019D5F6C" w14:textId="77777777" w:rsidR="007901B9" w:rsidRPr="008852C3" w:rsidRDefault="007901B9" w:rsidP="007901B9">
            <w:pPr>
              <w:rPr>
                <w:sz w:val="21"/>
              </w:rPr>
            </w:pPr>
            <w:r w:rsidRPr="008852C3">
              <w:rPr>
                <w:sz w:val="21"/>
              </w:rPr>
              <w:t>RRMS</w:t>
            </w:r>
          </w:p>
        </w:tc>
        <w:tc>
          <w:tcPr>
            <w:tcW w:w="6911" w:type="dxa"/>
          </w:tcPr>
          <w:p w14:paraId="0D6254B4" w14:textId="77777777" w:rsidR="007901B9" w:rsidRPr="008852C3" w:rsidRDefault="007901B9" w:rsidP="007901B9">
            <w:pPr>
              <w:rPr>
                <w:sz w:val="21"/>
              </w:rPr>
            </w:pPr>
            <w:r w:rsidRPr="008852C3">
              <w:rPr>
                <w:rFonts w:cs="Arial"/>
                <w:bCs/>
                <w:sz w:val="21"/>
              </w:rPr>
              <w:t>Relapsing-remitting multiple sclerosis</w:t>
            </w:r>
          </w:p>
        </w:tc>
      </w:tr>
      <w:tr w:rsidR="007901B9" w:rsidRPr="008852C3" w14:paraId="04EF17BE" w14:textId="77777777" w:rsidTr="007901B9">
        <w:tc>
          <w:tcPr>
            <w:tcW w:w="1809" w:type="dxa"/>
          </w:tcPr>
          <w:p w14:paraId="2587ED18" w14:textId="77777777" w:rsidR="007901B9" w:rsidRPr="008852C3" w:rsidRDefault="007901B9" w:rsidP="007901B9">
            <w:pPr>
              <w:rPr>
                <w:sz w:val="21"/>
              </w:rPr>
            </w:pPr>
            <w:r w:rsidRPr="008852C3">
              <w:rPr>
                <w:sz w:val="21"/>
              </w:rPr>
              <w:t>S1P</w:t>
            </w:r>
          </w:p>
        </w:tc>
        <w:tc>
          <w:tcPr>
            <w:tcW w:w="6911" w:type="dxa"/>
          </w:tcPr>
          <w:p w14:paraId="6A9F8646" w14:textId="77777777" w:rsidR="007901B9" w:rsidRPr="008852C3" w:rsidRDefault="007901B9" w:rsidP="007901B9">
            <w:pPr>
              <w:rPr>
                <w:sz w:val="21"/>
              </w:rPr>
            </w:pPr>
            <w:r w:rsidRPr="008852C3">
              <w:rPr>
                <w:sz w:val="21"/>
              </w:rPr>
              <w:t>Sphingosine-1-phosphate</w:t>
            </w:r>
          </w:p>
        </w:tc>
      </w:tr>
      <w:tr w:rsidR="00094A72" w:rsidRPr="008852C3" w14:paraId="74AD42FB" w14:textId="77777777" w:rsidTr="007901B9">
        <w:tc>
          <w:tcPr>
            <w:tcW w:w="1809" w:type="dxa"/>
          </w:tcPr>
          <w:p w14:paraId="636E89D2" w14:textId="77777777" w:rsidR="00094A72" w:rsidRPr="008852C3" w:rsidRDefault="00094A72" w:rsidP="007901B9">
            <w:pPr>
              <w:rPr>
                <w:sz w:val="21"/>
              </w:rPr>
            </w:pPr>
            <w:r w:rsidRPr="008852C3">
              <w:rPr>
                <w:sz w:val="21"/>
                <w:lang w:eastAsia="ja-JP"/>
              </w:rPr>
              <w:t>S1P1-5</w:t>
            </w:r>
          </w:p>
        </w:tc>
        <w:tc>
          <w:tcPr>
            <w:tcW w:w="6911" w:type="dxa"/>
          </w:tcPr>
          <w:p w14:paraId="22AA272A" w14:textId="77777777" w:rsidR="00094A72" w:rsidRPr="008852C3" w:rsidRDefault="00094A72" w:rsidP="00094A72">
            <w:pPr>
              <w:rPr>
                <w:sz w:val="21"/>
              </w:rPr>
            </w:pPr>
            <w:r w:rsidRPr="008852C3">
              <w:rPr>
                <w:sz w:val="21"/>
                <w:lang w:eastAsia="ja-JP"/>
              </w:rPr>
              <w:t xml:space="preserve">Sphingosine-1-phosphate </w:t>
            </w:r>
            <w:r w:rsidR="00D76ED3" w:rsidRPr="008852C3">
              <w:rPr>
                <w:sz w:val="21"/>
                <w:lang w:eastAsia="ja-JP"/>
              </w:rPr>
              <w:t xml:space="preserve">receptor isoforms </w:t>
            </w:r>
            <w:r w:rsidRPr="008852C3">
              <w:rPr>
                <w:sz w:val="21"/>
                <w:lang w:eastAsia="ja-JP"/>
              </w:rPr>
              <w:t>1-5</w:t>
            </w:r>
          </w:p>
        </w:tc>
      </w:tr>
      <w:tr w:rsidR="007901B9" w:rsidRPr="008852C3" w14:paraId="73966079" w14:textId="77777777" w:rsidTr="007901B9">
        <w:tc>
          <w:tcPr>
            <w:tcW w:w="1809" w:type="dxa"/>
          </w:tcPr>
          <w:p w14:paraId="35EF9763" w14:textId="77777777" w:rsidR="007901B9" w:rsidRPr="008852C3" w:rsidRDefault="007901B9" w:rsidP="007901B9">
            <w:pPr>
              <w:rPr>
                <w:sz w:val="21"/>
              </w:rPr>
            </w:pPr>
            <w:r w:rsidRPr="008852C3">
              <w:rPr>
                <w:sz w:val="21"/>
              </w:rPr>
              <w:t>SPMS</w:t>
            </w:r>
          </w:p>
        </w:tc>
        <w:tc>
          <w:tcPr>
            <w:tcW w:w="6911" w:type="dxa"/>
          </w:tcPr>
          <w:p w14:paraId="438F82B6" w14:textId="77777777" w:rsidR="007901B9" w:rsidRPr="008852C3" w:rsidRDefault="007901B9" w:rsidP="007901B9">
            <w:pPr>
              <w:rPr>
                <w:sz w:val="21"/>
              </w:rPr>
            </w:pPr>
            <w:r w:rsidRPr="008852C3">
              <w:rPr>
                <w:sz w:val="21"/>
              </w:rPr>
              <w:t>Secondary progressive multiple sclerosis</w:t>
            </w:r>
          </w:p>
        </w:tc>
      </w:tr>
      <w:tr w:rsidR="007901B9" w:rsidRPr="008852C3" w14:paraId="4E4586F9" w14:textId="77777777" w:rsidTr="007901B9">
        <w:tc>
          <w:tcPr>
            <w:tcW w:w="1809" w:type="dxa"/>
          </w:tcPr>
          <w:p w14:paraId="6AFFF26C" w14:textId="77777777" w:rsidR="007901B9" w:rsidRPr="008852C3" w:rsidRDefault="007901B9" w:rsidP="007901B9">
            <w:pPr>
              <w:rPr>
                <w:sz w:val="21"/>
                <w:vertAlign w:val="subscript"/>
              </w:rPr>
            </w:pPr>
            <w:r w:rsidRPr="008852C3">
              <w:rPr>
                <w:sz w:val="21"/>
              </w:rPr>
              <w:t>t</w:t>
            </w:r>
            <w:r w:rsidRPr="008852C3">
              <w:rPr>
                <w:sz w:val="21"/>
                <w:vertAlign w:val="subscript"/>
              </w:rPr>
              <w:t>1/2</w:t>
            </w:r>
          </w:p>
        </w:tc>
        <w:tc>
          <w:tcPr>
            <w:tcW w:w="6911" w:type="dxa"/>
          </w:tcPr>
          <w:p w14:paraId="78040BCC" w14:textId="77777777" w:rsidR="007901B9" w:rsidRPr="008852C3" w:rsidRDefault="00B749AC" w:rsidP="007901B9">
            <w:pPr>
              <w:rPr>
                <w:sz w:val="21"/>
              </w:rPr>
            </w:pPr>
            <w:r w:rsidRPr="008852C3">
              <w:rPr>
                <w:rFonts w:cs="Arial"/>
                <w:bCs/>
                <w:sz w:val="21"/>
              </w:rPr>
              <w:t>Biological</w:t>
            </w:r>
            <w:r w:rsidR="007901B9" w:rsidRPr="008852C3">
              <w:rPr>
                <w:rFonts w:cs="Arial"/>
                <w:bCs/>
                <w:sz w:val="21"/>
              </w:rPr>
              <w:t xml:space="preserve"> half-life</w:t>
            </w:r>
          </w:p>
        </w:tc>
      </w:tr>
      <w:tr w:rsidR="007901B9" w:rsidRPr="008852C3" w14:paraId="6322C012" w14:textId="77777777" w:rsidTr="007901B9">
        <w:tc>
          <w:tcPr>
            <w:tcW w:w="1809" w:type="dxa"/>
          </w:tcPr>
          <w:p w14:paraId="5C57CDA8" w14:textId="77777777" w:rsidR="007901B9" w:rsidRPr="008852C3" w:rsidRDefault="007901B9" w:rsidP="007901B9">
            <w:pPr>
              <w:rPr>
                <w:sz w:val="21"/>
              </w:rPr>
            </w:pPr>
            <w:r w:rsidRPr="008852C3">
              <w:rPr>
                <w:sz w:val="21"/>
              </w:rPr>
              <w:t>T25W</w:t>
            </w:r>
          </w:p>
        </w:tc>
        <w:tc>
          <w:tcPr>
            <w:tcW w:w="6911" w:type="dxa"/>
          </w:tcPr>
          <w:p w14:paraId="2F797FA6" w14:textId="3F56752D" w:rsidR="007901B9" w:rsidRPr="008852C3" w:rsidRDefault="007901B9" w:rsidP="00E461E3">
            <w:pPr>
              <w:rPr>
                <w:sz w:val="21"/>
              </w:rPr>
            </w:pPr>
            <w:r w:rsidRPr="008852C3">
              <w:rPr>
                <w:sz w:val="21"/>
              </w:rPr>
              <w:t xml:space="preserve">Timed 25-Foot Walk </w:t>
            </w:r>
            <w:r w:rsidR="00E461E3" w:rsidRPr="008852C3">
              <w:rPr>
                <w:sz w:val="21"/>
              </w:rPr>
              <w:t>test</w:t>
            </w:r>
          </w:p>
        </w:tc>
      </w:tr>
      <w:tr w:rsidR="007901B9" w:rsidRPr="008852C3" w14:paraId="0475E6A7" w14:textId="77777777" w:rsidTr="007901B9">
        <w:tc>
          <w:tcPr>
            <w:tcW w:w="1809" w:type="dxa"/>
          </w:tcPr>
          <w:p w14:paraId="472F584B" w14:textId="77777777" w:rsidR="007901B9" w:rsidRPr="008852C3" w:rsidRDefault="007901B9" w:rsidP="007901B9">
            <w:pPr>
              <w:rPr>
                <w:sz w:val="21"/>
              </w:rPr>
            </w:pPr>
            <w:proofErr w:type="spellStart"/>
            <w:r w:rsidRPr="008852C3">
              <w:rPr>
                <w:sz w:val="21"/>
              </w:rPr>
              <w:t>T</w:t>
            </w:r>
            <w:r w:rsidRPr="008852C3">
              <w:rPr>
                <w:sz w:val="21"/>
                <w:vertAlign w:val="subscript"/>
              </w:rPr>
              <w:t>max</w:t>
            </w:r>
            <w:proofErr w:type="spellEnd"/>
          </w:p>
        </w:tc>
        <w:tc>
          <w:tcPr>
            <w:tcW w:w="6911" w:type="dxa"/>
          </w:tcPr>
          <w:p w14:paraId="7E5B0258" w14:textId="77777777" w:rsidR="007901B9" w:rsidRPr="008852C3" w:rsidRDefault="007901B9" w:rsidP="005070B9">
            <w:pPr>
              <w:rPr>
                <w:sz w:val="21"/>
              </w:rPr>
            </w:pPr>
            <w:r w:rsidRPr="008852C3">
              <w:rPr>
                <w:rFonts w:eastAsiaTheme="minorHAnsi" w:cs="Arial"/>
                <w:sz w:val="21"/>
              </w:rPr>
              <w:t xml:space="preserve">Time to maximum </w:t>
            </w:r>
            <w:r w:rsidR="005070B9" w:rsidRPr="008852C3">
              <w:rPr>
                <w:rFonts w:eastAsiaTheme="minorHAnsi" w:cs="Arial"/>
                <w:sz w:val="21"/>
              </w:rPr>
              <w:t>plasma concentration</w:t>
            </w:r>
          </w:p>
        </w:tc>
      </w:tr>
      <w:tr w:rsidR="007901B9" w:rsidRPr="008852C3" w14:paraId="02AE74EF" w14:textId="77777777" w:rsidTr="007901B9">
        <w:tc>
          <w:tcPr>
            <w:tcW w:w="1809" w:type="dxa"/>
          </w:tcPr>
          <w:p w14:paraId="3A1E51BC" w14:textId="77777777" w:rsidR="007901B9" w:rsidRPr="008852C3" w:rsidRDefault="007901B9" w:rsidP="007901B9">
            <w:pPr>
              <w:rPr>
                <w:sz w:val="21"/>
              </w:rPr>
            </w:pPr>
            <w:r w:rsidRPr="008852C3">
              <w:rPr>
                <w:sz w:val="21"/>
              </w:rPr>
              <w:t>ULN</w:t>
            </w:r>
          </w:p>
        </w:tc>
        <w:tc>
          <w:tcPr>
            <w:tcW w:w="6911" w:type="dxa"/>
          </w:tcPr>
          <w:p w14:paraId="3832748F" w14:textId="77777777" w:rsidR="007901B9" w:rsidRPr="008852C3" w:rsidRDefault="007901B9" w:rsidP="007901B9">
            <w:pPr>
              <w:rPr>
                <w:sz w:val="21"/>
              </w:rPr>
            </w:pPr>
            <w:r w:rsidRPr="008852C3">
              <w:rPr>
                <w:sz w:val="21"/>
              </w:rPr>
              <w:t>Upper limit of normal</w:t>
            </w:r>
          </w:p>
        </w:tc>
      </w:tr>
      <w:tr w:rsidR="00C20745" w:rsidRPr="008852C3" w14:paraId="09A7764A" w14:textId="77777777" w:rsidTr="007901B9">
        <w:tc>
          <w:tcPr>
            <w:tcW w:w="1809" w:type="dxa"/>
          </w:tcPr>
          <w:p w14:paraId="79C8A646" w14:textId="77777777" w:rsidR="00C20745" w:rsidRPr="008852C3" w:rsidRDefault="00C20745" w:rsidP="007901B9">
            <w:pPr>
              <w:rPr>
                <w:sz w:val="21"/>
              </w:rPr>
            </w:pPr>
            <w:r w:rsidRPr="008852C3">
              <w:rPr>
                <w:sz w:val="21"/>
              </w:rPr>
              <w:t>VAS</w:t>
            </w:r>
          </w:p>
        </w:tc>
        <w:tc>
          <w:tcPr>
            <w:tcW w:w="6911" w:type="dxa"/>
          </w:tcPr>
          <w:p w14:paraId="219FC724" w14:textId="77777777" w:rsidR="00C20745" w:rsidRPr="008852C3" w:rsidRDefault="00C20745" w:rsidP="00C20745">
            <w:pPr>
              <w:rPr>
                <w:sz w:val="21"/>
              </w:rPr>
            </w:pPr>
            <w:r w:rsidRPr="008852C3">
              <w:rPr>
                <w:sz w:val="21"/>
              </w:rPr>
              <w:t>Visual Analogue Scale</w:t>
            </w:r>
          </w:p>
        </w:tc>
      </w:tr>
      <w:tr w:rsidR="007901B9" w:rsidRPr="008852C3" w14:paraId="3AC97024" w14:textId="77777777" w:rsidTr="007901B9">
        <w:tc>
          <w:tcPr>
            <w:tcW w:w="1809" w:type="dxa"/>
          </w:tcPr>
          <w:p w14:paraId="7871AFEC" w14:textId="77777777" w:rsidR="007901B9" w:rsidRPr="008852C3" w:rsidRDefault="007901B9" w:rsidP="007901B9">
            <w:pPr>
              <w:rPr>
                <w:sz w:val="21"/>
              </w:rPr>
            </w:pPr>
            <w:proofErr w:type="spellStart"/>
            <w:r w:rsidRPr="008852C3">
              <w:rPr>
                <w:sz w:val="21"/>
              </w:rPr>
              <w:t>Vc</w:t>
            </w:r>
            <w:proofErr w:type="spellEnd"/>
            <w:r w:rsidRPr="008852C3">
              <w:rPr>
                <w:sz w:val="21"/>
              </w:rPr>
              <w:t>/F</w:t>
            </w:r>
          </w:p>
        </w:tc>
        <w:tc>
          <w:tcPr>
            <w:tcW w:w="6911" w:type="dxa"/>
          </w:tcPr>
          <w:p w14:paraId="3C76F608" w14:textId="77777777" w:rsidR="007901B9" w:rsidRPr="008852C3" w:rsidRDefault="007901B9" w:rsidP="007901B9">
            <w:pPr>
              <w:autoSpaceDE w:val="0"/>
              <w:autoSpaceDN w:val="0"/>
              <w:adjustRightInd w:val="0"/>
              <w:rPr>
                <w:rFonts w:eastAsiaTheme="minorHAnsi" w:cs="Arial"/>
                <w:sz w:val="21"/>
              </w:rPr>
            </w:pPr>
            <w:r w:rsidRPr="008852C3">
              <w:rPr>
                <w:rFonts w:eastAsiaTheme="minorHAnsi" w:cs="Arial"/>
                <w:sz w:val="21"/>
              </w:rPr>
              <w:t>Apparent volume of central compartment</w:t>
            </w:r>
          </w:p>
        </w:tc>
      </w:tr>
      <w:tr w:rsidR="007901B9" w:rsidRPr="008852C3" w14:paraId="346517EE" w14:textId="77777777" w:rsidTr="007901B9">
        <w:tc>
          <w:tcPr>
            <w:tcW w:w="1809" w:type="dxa"/>
          </w:tcPr>
          <w:p w14:paraId="5CDFE9BF" w14:textId="77777777" w:rsidR="007901B9" w:rsidRPr="008852C3" w:rsidRDefault="00E652A9" w:rsidP="00E652A9">
            <w:pPr>
              <w:ind w:left="142"/>
              <w:rPr>
                <w:sz w:val="21"/>
              </w:rPr>
            </w:pPr>
            <w:proofErr w:type="spellStart"/>
            <w:r w:rsidRPr="008852C3">
              <w:rPr>
                <w:sz w:val="21"/>
              </w:rPr>
              <w:t>Vz</w:t>
            </w:r>
            <w:proofErr w:type="spellEnd"/>
          </w:p>
        </w:tc>
        <w:tc>
          <w:tcPr>
            <w:tcW w:w="6911" w:type="dxa"/>
          </w:tcPr>
          <w:p w14:paraId="151727F8" w14:textId="3E1ED2C3" w:rsidR="007901B9" w:rsidRPr="008852C3" w:rsidRDefault="007901B9" w:rsidP="007901B9">
            <w:pPr>
              <w:autoSpaceDE w:val="0"/>
              <w:autoSpaceDN w:val="0"/>
              <w:adjustRightInd w:val="0"/>
              <w:rPr>
                <w:sz w:val="21"/>
              </w:rPr>
            </w:pPr>
            <w:r w:rsidRPr="008852C3">
              <w:rPr>
                <w:rFonts w:eastAsiaTheme="minorHAnsi" w:cs="Arial"/>
                <w:sz w:val="21"/>
              </w:rPr>
              <w:t xml:space="preserve">Apparent volume of distribution </w:t>
            </w:r>
            <w:r w:rsidR="00E461E3" w:rsidRPr="008852C3">
              <w:rPr>
                <w:rFonts w:eastAsiaTheme="minorHAnsi" w:cs="Arial"/>
                <w:sz w:val="21"/>
              </w:rPr>
              <w:t>(</w:t>
            </w:r>
            <w:r w:rsidRPr="008852C3">
              <w:rPr>
                <w:rFonts w:eastAsiaTheme="minorHAnsi" w:cs="Arial"/>
                <w:sz w:val="21"/>
              </w:rPr>
              <w:t xml:space="preserve">of </w:t>
            </w:r>
            <w:proofErr w:type="spellStart"/>
            <w:r w:rsidRPr="008852C3">
              <w:rPr>
                <w:rFonts w:eastAsiaTheme="minorHAnsi" w:cs="Arial"/>
                <w:sz w:val="21"/>
              </w:rPr>
              <w:t>siponimod</w:t>
            </w:r>
            <w:proofErr w:type="spellEnd"/>
            <w:r w:rsidRPr="008852C3">
              <w:rPr>
                <w:rFonts w:eastAsiaTheme="minorHAnsi" w:cs="Arial"/>
                <w:sz w:val="21"/>
              </w:rPr>
              <w:t xml:space="preserve"> after oral administration during the terminal elimination phase</w:t>
            </w:r>
            <w:r w:rsidR="00E461E3" w:rsidRPr="008852C3">
              <w:rPr>
                <w:rFonts w:eastAsiaTheme="minorHAnsi" w:cs="Arial"/>
                <w:sz w:val="21"/>
              </w:rPr>
              <w:t>)</w:t>
            </w:r>
          </w:p>
        </w:tc>
      </w:tr>
      <w:tr w:rsidR="007901B9" w:rsidRPr="008852C3" w14:paraId="574AB005" w14:textId="77777777" w:rsidTr="007901B9">
        <w:tc>
          <w:tcPr>
            <w:tcW w:w="1809" w:type="dxa"/>
          </w:tcPr>
          <w:p w14:paraId="2553E033" w14:textId="77777777" w:rsidR="007901B9" w:rsidRPr="008852C3" w:rsidRDefault="007901B9" w:rsidP="007901B9">
            <w:pPr>
              <w:rPr>
                <w:sz w:val="21"/>
              </w:rPr>
            </w:pPr>
            <w:r w:rsidRPr="008852C3">
              <w:rPr>
                <w:sz w:val="21"/>
              </w:rPr>
              <w:t>VZV</w:t>
            </w:r>
          </w:p>
        </w:tc>
        <w:tc>
          <w:tcPr>
            <w:tcW w:w="6911" w:type="dxa"/>
          </w:tcPr>
          <w:p w14:paraId="1DCCDD18" w14:textId="77777777" w:rsidR="007901B9" w:rsidRPr="008852C3" w:rsidRDefault="007901B9" w:rsidP="007901B9">
            <w:pPr>
              <w:rPr>
                <w:sz w:val="21"/>
              </w:rPr>
            </w:pPr>
            <w:r w:rsidRPr="008852C3">
              <w:rPr>
                <w:sz w:val="21"/>
              </w:rPr>
              <w:t>V</w:t>
            </w:r>
            <w:r w:rsidR="009936F9" w:rsidRPr="008852C3">
              <w:rPr>
                <w:sz w:val="21"/>
              </w:rPr>
              <w:t>aricella zoster virus</w:t>
            </w:r>
          </w:p>
        </w:tc>
      </w:tr>
      <w:tr w:rsidR="00B64D8B" w:rsidRPr="008852C3" w14:paraId="3C1F5E2B" w14:textId="77777777" w:rsidTr="007901B9">
        <w:tc>
          <w:tcPr>
            <w:tcW w:w="1809" w:type="dxa"/>
          </w:tcPr>
          <w:p w14:paraId="674F8289" w14:textId="77777777" w:rsidR="00B64D8B" w:rsidRPr="008852C3" w:rsidRDefault="00B64D8B" w:rsidP="007901B9">
            <w:pPr>
              <w:ind w:left="142"/>
              <w:rPr>
                <w:sz w:val="21"/>
              </w:rPr>
            </w:pPr>
            <w:r w:rsidRPr="008852C3">
              <w:rPr>
                <w:sz w:val="21"/>
              </w:rPr>
              <w:t>WT</w:t>
            </w:r>
          </w:p>
        </w:tc>
        <w:tc>
          <w:tcPr>
            <w:tcW w:w="6911" w:type="dxa"/>
          </w:tcPr>
          <w:p w14:paraId="704FAFFD" w14:textId="77777777" w:rsidR="00B64D8B" w:rsidRPr="008852C3" w:rsidRDefault="00B64D8B" w:rsidP="007901B9">
            <w:pPr>
              <w:autoSpaceDE w:val="0"/>
              <w:autoSpaceDN w:val="0"/>
              <w:adjustRightInd w:val="0"/>
              <w:rPr>
                <w:rFonts w:eastAsiaTheme="minorHAnsi" w:cs="Arial"/>
                <w:sz w:val="21"/>
              </w:rPr>
            </w:pPr>
            <w:r w:rsidRPr="008852C3">
              <w:rPr>
                <w:rFonts w:eastAsiaTheme="minorHAnsi" w:cs="Arial"/>
                <w:sz w:val="21"/>
              </w:rPr>
              <w:t>Wild type</w:t>
            </w:r>
          </w:p>
        </w:tc>
      </w:tr>
      <w:tr w:rsidR="00E26D6F" w:rsidRPr="008852C3" w14:paraId="21DFC535" w14:textId="77777777" w:rsidTr="007901B9">
        <w:tc>
          <w:tcPr>
            <w:tcW w:w="1809" w:type="dxa"/>
          </w:tcPr>
          <w:p w14:paraId="1A6C68C5" w14:textId="77777777" w:rsidR="00E26D6F" w:rsidRPr="008852C3" w:rsidRDefault="00E26D6F" w:rsidP="007901B9">
            <w:pPr>
              <w:ind w:left="142"/>
              <w:rPr>
                <w:sz w:val="21"/>
              </w:rPr>
            </w:pPr>
            <w:proofErr w:type="spellStart"/>
            <w:r w:rsidRPr="008852C3">
              <w:rPr>
                <w:sz w:val="21"/>
              </w:rPr>
              <w:t>ΔΔQTcF</w:t>
            </w:r>
            <w:proofErr w:type="spellEnd"/>
          </w:p>
        </w:tc>
        <w:tc>
          <w:tcPr>
            <w:tcW w:w="6911" w:type="dxa"/>
          </w:tcPr>
          <w:p w14:paraId="4BFC1C8A" w14:textId="77777777" w:rsidR="00E26D6F" w:rsidRPr="008852C3" w:rsidRDefault="00E26D6F" w:rsidP="00E26D6F">
            <w:pPr>
              <w:autoSpaceDE w:val="0"/>
              <w:autoSpaceDN w:val="0"/>
              <w:adjustRightInd w:val="0"/>
              <w:rPr>
                <w:rFonts w:eastAsiaTheme="minorHAnsi" w:cs="Arial"/>
                <w:sz w:val="21"/>
              </w:rPr>
            </w:pPr>
            <w:r w:rsidRPr="008852C3">
              <w:rPr>
                <w:sz w:val="21"/>
              </w:rPr>
              <w:t xml:space="preserve">Placebo corrected, baseline adjusted mean </w:t>
            </w:r>
            <w:r w:rsidRPr="008852C3">
              <w:rPr>
                <w:rFonts w:eastAsiaTheme="minorHAnsi" w:cs="Arial"/>
                <w:sz w:val="21"/>
              </w:rPr>
              <w:t xml:space="preserve">QT interval corrected for heart rate using </w:t>
            </w:r>
            <w:proofErr w:type="spellStart"/>
            <w:r w:rsidRPr="008852C3">
              <w:rPr>
                <w:rFonts w:eastAsiaTheme="minorHAnsi" w:cs="Arial"/>
                <w:sz w:val="21"/>
              </w:rPr>
              <w:t>Fridericia’s</w:t>
            </w:r>
            <w:proofErr w:type="spellEnd"/>
            <w:r w:rsidRPr="008852C3">
              <w:rPr>
                <w:rFonts w:eastAsiaTheme="minorHAnsi" w:cs="Arial"/>
                <w:sz w:val="21"/>
              </w:rPr>
              <w:t xml:space="preserve"> formula</w:t>
            </w:r>
            <w:r w:rsidRPr="008852C3">
              <w:rPr>
                <w:rFonts w:cs="Arial"/>
                <w:sz w:val="21"/>
              </w:rPr>
              <w:t xml:space="preserve"> effect</w:t>
            </w:r>
          </w:p>
        </w:tc>
      </w:tr>
    </w:tbl>
    <w:p w14:paraId="209D4B63" w14:textId="77777777" w:rsidR="00FD119B" w:rsidRDefault="00FD119B" w:rsidP="00FD119B"/>
    <w:p w14:paraId="4D61D33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CF1561A" w14:textId="77777777" w:rsidR="008E7846" w:rsidRDefault="00F53C07" w:rsidP="008E7846">
      <w:pPr>
        <w:pStyle w:val="Heading2"/>
      </w:pPr>
      <w:bookmarkStart w:id="9" w:name="_Toc28868676"/>
      <w:r>
        <w:lastRenderedPageBreak/>
        <w:t>I.</w:t>
      </w:r>
      <w:r w:rsidR="008E7846">
        <w:t xml:space="preserve"> Introduction to product submission</w:t>
      </w:r>
      <w:bookmarkEnd w:id="3"/>
      <w:bookmarkEnd w:id="0"/>
      <w:bookmarkEnd w:id="9"/>
    </w:p>
    <w:p w14:paraId="1180EADB" w14:textId="77777777" w:rsidR="008E7846" w:rsidRDefault="008E7846" w:rsidP="008E7846">
      <w:pPr>
        <w:pStyle w:val="Heading3"/>
        <w:rPr>
          <w:lang w:eastAsia="en-AU"/>
        </w:rPr>
      </w:pPr>
      <w:bookmarkStart w:id="10" w:name="_Toc247691502"/>
      <w:bookmarkStart w:id="11" w:name="_Toc314842483"/>
      <w:bookmarkStart w:id="12" w:name="_Toc28868677"/>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77692424" w14:textId="77777777" w:rsidTr="003735BC">
        <w:tc>
          <w:tcPr>
            <w:tcW w:w="2907" w:type="dxa"/>
          </w:tcPr>
          <w:p w14:paraId="19BE8B02"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3DE78F16" w14:textId="77777777" w:rsidR="008E7846" w:rsidRPr="003D1E62" w:rsidRDefault="008E7846" w:rsidP="00120286">
            <w:r w:rsidRPr="003D1E62">
              <w:t xml:space="preserve">New </w:t>
            </w:r>
            <w:r w:rsidR="001B5C90">
              <w:t>c</w:t>
            </w:r>
            <w:r w:rsidRPr="003D1E62">
              <w:t xml:space="preserve">hemical </w:t>
            </w:r>
            <w:r w:rsidR="001B5C90">
              <w:t>e</w:t>
            </w:r>
            <w:r w:rsidR="00120286">
              <w:t>ntity</w:t>
            </w:r>
          </w:p>
        </w:tc>
      </w:tr>
      <w:tr w:rsidR="008E7846" w:rsidRPr="003D1E62" w14:paraId="2C364E40" w14:textId="77777777" w:rsidTr="003735BC">
        <w:tc>
          <w:tcPr>
            <w:tcW w:w="2907" w:type="dxa"/>
          </w:tcPr>
          <w:p w14:paraId="179C8186" w14:textId="77777777" w:rsidR="008E7846" w:rsidRPr="003D1E62" w:rsidRDefault="008E7846" w:rsidP="003D1E62">
            <w:r w:rsidRPr="003D1E62">
              <w:rPr>
                <w:i/>
              </w:rPr>
              <w:t>Decision</w:t>
            </w:r>
            <w:r w:rsidRPr="003D1E62">
              <w:t>:</w:t>
            </w:r>
          </w:p>
        </w:tc>
        <w:tc>
          <w:tcPr>
            <w:tcW w:w="6307" w:type="dxa"/>
          </w:tcPr>
          <w:p w14:paraId="6A21C2AD" w14:textId="77777777" w:rsidR="008E7846" w:rsidRPr="003D1E62" w:rsidRDefault="00120286" w:rsidP="00120286">
            <w:r>
              <w:t>Approved</w:t>
            </w:r>
          </w:p>
        </w:tc>
      </w:tr>
      <w:tr w:rsidR="008E7846" w:rsidRPr="003D1E62" w14:paraId="7BCAB3BC" w14:textId="77777777" w:rsidTr="003735BC">
        <w:tc>
          <w:tcPr>
            <w:tcW w:w="2907" w:type="dxa"/>
          </w:tcPr>
          <w:p w14:paraId="3A64BA3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5482545" w14:textId="77777777" w:rsidR="008E7846" w:rsidRPr="003D1E62" w:rsidRDefault="00120286" w:rsidP="001B5C90">
            <w:r>
              <w:t>25 October 2019</w:t>
            </w:r>
          </w:p>
        </w:tc>
      </w:tr>
      <w:tr w:rsidR="00ED2922" w:rsidRPr="003D1E62" w14:paraId="72CA3563" w14:textId="77777777" w:rsidTr="003735BC">
        <w:tc>
          <w:tcPr>
            <w:tcW w:w="2907" w:type="dxa"/>
          </w:tcPr>
          <w:p w14:paraId="2A5E342D" w14:textId="77777777" w:rsidR="00ED2922" w:rsidRPr="00441C3F" w:rsidRDefault="00ED2922" w:rsidP="001B5C90">
            <w:pPr>
              <w:rPr>
                <w:i/>
              </w:rPr>
            </w:pPr>
            <w:r w:rsidRPr="00441C3F">
              <w:rPr>
                <w:i/>
              </w:rPr>
              <w:t>Date of entry onto ARTG</w:t>
            </w:r>
            <w:r w:rsidR="00500337">
              <w:rPr>
                <w:i/>
              </w:rPr>
              <w:t>:</w:t>
            </w:r>
          </w:p>
        </w:tc>
        <w:tc>
          <w:tcPr>
            <w:tcW w:w="6307" w:type="dxa"/>
          </w:tcPr>
          <w:p w14:paraId="7B046601" w14:textId="77777777" w:rsidR="00ED2922" w:rsidRPr="00441C3F" w:rsidRDefault="00120286" w:rsidP="00D153D8">
            <w:pPr>
              <w:rPr>
                <w:i/>
              </w:rPr>
            </w:pPr>
            <w:r>
              <w:t>1 November 2019</w:t>
            </w:r>
          </w:p>
        </w:tc>
      </w:tr>
      <w:tr w:rsidR="00500337" w:rsidRPr="003D1E62" w14:paraId="2D8BB051" w14:textId="77777777" w:rsidTr="003735BC">
        <w:tc>
          <w:tcPr>
            <w:tcW w:w="2907" w:type="dxa"/>
          </w:tcPr>
          <w:p w14:paraId="526F0F13" w14:textId="77777777" w:rsidR="00500337" w:rsidRPr="00441C3F" w:rsidRDefault="00120286" w:rsidP="001B5C90">
            <w:pPr>
              <w:rPr>
                <w:i/>
              </w:rPr>
            </w:pPr>
            <w:r>
              <w:rPr>
                <w:i/>
              </w:rPr>
              <w:t>ARTG numbers</w:t>
            </w:r>
            <w:r w:rsidR="00500337">
              <w:rPr>
                <w:i/>
              </w:rPr>
              <w:t>:</w:t>
            </w:r>
          </w:p>
        </w:tc>
        <w:tc>
          <w:tcPr>
            <w:tcW w:w="6307" w:type="dxa"/>
          </w:tcPr>
          <w:p w14:paraId="09A22C57" w14:textId="77777777" w:rsidR="00500337" w:rsidRPr="00441C3F" w:rsidRDefault="00120286" w:rsidP="00EC463D">
            <w:r w:rsidRPr="00883D13">
              <w:t>310498, 310499</w:t>
            </w:r>
          </w:p>
        </w:tc>
      </w:tr>
      <w:tr w:rsidR="003735BC" w:rsidRPr="003D1E62" w14:paraId="247B6DAC" w14:textId="77777777" w:rsidTr="003735BC">
        <w:tc>
          <w:tcPr>
            <w:tcW w:w="2907" w:type="dxa"/>
          </w:tcPr>
          <w:p w14:paraId="62F7DB6E"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59A9FA27" w14:textId="77777777" w:rsidR="003735BC" w:rsidRDefault="00120286" w:rsidP="003735BC">
            <w:r>
              <w:t>Yes</w:t>
            </w:r>
          </w:p>
          <w:p w14:paraId="68EE9949" w14:textId="77777777" w:rsidR="003735BC" w:rsidRPr="00487162" w:rsidRDefault="003735BC" w:rsidP="003735BC">
            <w:r>
              <w:t xml:space="preserve">This product will remain in the scheme for 5 years, starting on the date the product is first supplied in </w:t>
            </w:r>
            <w:r w:rsidR="00120286">
              <w:t>Australia</w:t>
            </w:r>
          </w:p>
        </w:tc>
      </w:tr>
      <w:tr w:rsidR="008E7846" w:rsidRPr="00487162" w14:paraId="37EBDC49" w14:textId="77777777" w:rsidTr="00BF1190">
        <w:tc>
          <w:tcPr>
            <w:tcW w:w="2907" w:type="dxa"/>
          </w:tcPr>
          <w:p w14:paraId="4846593A" w14:textId="77777777" w:rsidR="008E7846" w:rsidRPr="00487162" w:rsidRDefault="001B5C90" w:rsidP="00E45619">
            <w:pPr>
              <w:rPr>
                <w:i/>
              </w:rPr>
            </w:pPr>
            <w:r>
              <w:rPr>
                <w:i/>
              </w:rPr>
              <w:t>Active in</w:t>
            </w:r>
            <w:r w:rsidR="00120286">
              <w:rPr>
                <w:i/>
              </w:rPr>
              <w:t>gredient</w:t>
            </w:r>
            <w:r>
              <w:rPr>
                <w:i/>
              </w:rPr>
              <w:t>:</w:t>
            </w:r>
          </w:p>
        </w:tc>
        <w:tc>
          <w:tcPr>
            <w:tcW w:w="6307" w:type="dxa"/>
          </w:tcPr>
          <w:p w14:paraId="4DD9CF20" w14:textId="77777777" w:rsidR="008E7846" w:rsidRPr="00487162" w:rsidRDefault="00120286" w:rsidP="00E55CB0">
            <w:proofErr w:type="spellStart"/>
            <w:r w:rsidRPr="00A229B5">
              <w:t>Siponimod</w:t>
            </w:r>
            <w:proofErr w:type="spellEnd"/>
          </w:p>
        </w:tc>
      </w:tr>
      <w:tr w:rsidR="008E7846" w:rsidRPr="00487162" w14:paraId="552E6844" w14:textId="77777777" w:rsidTr="00BF1190">
        <w:tc>
          <w:tcPr>
            <w:tcW w:w="2907" w:type="dxa"/>
          </w:tcPr>
          <w:p w14:paraId="6E6EB84E" w14:textId="77777777" w:rsidR="008E7846" w:rsidRPr="00487162" w:rsidRDefault="008E7846" w:rsidP="001B5C90">
            <w:pPr>
              <w:rPr>
                <w:i/>
              </w:rPr>
            </w:pPr>
            <w:r w:rsidRPr="00487162">
              <w:rPr>
                <w:i/>
              </w:rPr>
              <w:t>Product</w:t>
            </w:r>
            <w:r w:rsidR="00120286">
              <w:rPr>
                <w:i/>
              </w:rPr>
              <w:t xml:space="preserve"> name</w:t>
            </w:r>
            <w:r w:rsidR="001B5C90">
              <w:rPr>
                <w:i/>
              </w:rPr>
              <w:t>:</w:t>
            </w:r>
          </w:p>
        </w:tc>
        <w:tc>
          <w:tcPr>
            <w:tcW w:w="6307" w:type="dxa"/>
          </w:tcPr>
          <w:p w14:paraId="28A175BC" w14:textId="77777777" w:rsidR="008E7846" w:rsidRPr="00487162" w:rsidRDefault="00120286" w:rsidP="00E45619">
            <w:r w:rsidRPr="00A229B5">
              <w:t>Mayzent</w:t>
            </w:r>
          </w:p>
        </w:tc>
      </w:tr>
      <w:tr w:rsidR="008E7846" w:rsidRPr="00487162" w14:paraId="0B2980D9" w14:textId="77777777" w:rsidTr="00BF1190">
        <w:tc>
          <w:tcPr>
            <w:tcW w:w="2907" w:type="dxa"/>
          </w:tcPr>
          <w:p w14:paraId="7062D0AB"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9EC1367" w14:textId="77777777" w:rsidR="00120286" w:rsidRPr="00820649" w:rsidRDefault="00120286" w:rsidP="00120286">
            <w:pPr>
              <w:rPr>
                <w:rFonts w:cs="Cambria"/>
                <w:lang w:eastAsia="en-AU"/>
              </w:rPr>
            </w:pPr>
            <w:r w:rsidRPr="00820649">
              <w:rPr>
                <w:rFonts w:cs="Cambria"/>
                <w:lang w:eastAsia="en-AU"/>
              </w:rPr>
              <w:t>Novartis Pharmaceuticals Australia Pty Ltd</w:t>
            </w:r>
          </w:p>
          <w:p w14:paraId="10B123D2" w14:textId="77777777" w:rsidR="00120286" w:rsidRDefault="00120286" w:rsidP="00120286">
            <w:pPr>
              <w:rPr>
                <w:rFonts w:cs="Cambria"/>
                <w:lang w:eastAsia="en-AU"/>
              </w:rPr>
            </w:pPr>
            <w:r w:rsidRPr="00820649">
              <w:rPr>
                <w:rFonts w:cs="Cambria"/>
                <w:lang w:eastAsia="en-AU"/>
              </w:rPr>
              <w:t>54 Waterloo Rd</w:t>
            </w:r>
            <w:r>
              <w:rPr>
                <w:rFonts w:cs="Cambria"/>
                <w:lang w:eastAsia="en-AU"/>
              </w:rPr>
              <w:t>,</w:t>
            </w:r>
          </w:p>
          <w:p w14:paraId="76B7FB1D" w14:textId="77777777" w:rsidR="008E7846" w:rsidRPr="00487162" w:rsidRDefault="00120286" w:rsidP="00120286">
            <w:r w:rsidRPr="00820649">
              <w:rPr>
                <w:rFonts w:cs="Cambria"/>
                <w:lang w:eastAsia="en-AU"/>
              </w:rPr>
              <w:t>North Ryde NSW 2113</w:t>
            </w:r>
          </w:p>
        </w:tc>
      </w:tr>
      <w:tr w:rsidR="008E7846" w:rsidRPr="00487162" w14:paraId="7BA92186" w14:textId="77777777" w:rsidTr="00BF1190">
        <w:tc>
          <w:tcPr>
            <w:tcW w:w="2907" w:type="dxa"/>
          </w:tcPr>
          <w:p w14:paraId="5240BB4E" w14:textId="77777777" w:rsidR="008E7846" w:rsidRPr="00487162" w:rsidRDefault="00120286" w:rsidP="00E45619">
            <w:pPr>
              <w:rPr>
                <w:i/>
              </w:rPr>
            </w:pPr>
            <w:r>
              <w:rPr>
                <w:i/>
              </w:rPr>
              <w:t>Dose form</w:t>
            </w:r>
            <w:r w:rsidR="001B5C90">
              <w:rPr>
                <w:i/>
              </w:rPr>
              <w:t>:</w:t>
            </w:r>
          </w:p>
        </w:tc>
        <w:tc>
          <w:tcPr>
            <w:tcW w:w="6307" w:type="dxa"/>
          </w:tcPr>
          <w:p w14:paraId="185E7B33" w14:textId="77777777" w:rsidR="008E7846" w:rsidRPr="00487162" w:rsidRDefault="00120286" w:rsidP="00E45619">
            <w:r>
              <w:rPr>
                <w:rFonts w:eastAsia="Calibri"/>
              </w:rPr>
              <w:t xml:space="preserve">Film </w:t>
            </w:r>
            <w:r w:rsidRPr="00A229B5">
              <w:rPr>
                <w:rFonts w:eastAsia="Calibri"/>
              </w:rPr>
              <w:t>coated tablet</w:t>
            </w:r>
          </w:p>
        </w:tc>
      </w:tr>
      <w:tr w:rsidR="008E7846" w:rsidRPr="00487162" w14:paraId="2F4D0E66" w14:textId="77777777" w:rsidTr="00BF1190">
        <w:tc>
          <w:tcPr>
            <w:tcW w:w="2907" w:type="dxa"/>
          </w:tcPr>
          <w:p w14:paraId="22781542" w14:textId="77777777" w:rsidR="008E7846" w:rsidRPr="00487162" w:rsidRDefault="00120286" w:rsidP="00E45619">
            <w:pPr>
              <w:rPr>
                <w:i/>
              </w:rPr>
            </w:pPr>
            <w:r>
              <w:rPr>
                <w:i/>
              </w:rPr>
              <w:t>Strengths</w:t>
            </w:r>
            <w:r w:rsidR="008E7846" w:rsidRPr="00487162">
              <w:rPr>
                <w:i/>
              </w:rPr>
              <w:t xml:space="preserve">: </w:t>
            </w:r>
          </w:p>
        </w:tc>
        <w:tc>
          <w:tcPr>
            <w:tcW w:w="6307" w:type="dxa"/>
          </w:tcPr>
          <w:p w14:paraId="73D436F3" w14:textId="77777777" w:rsidR="008E7846" w:rsidRPr="00487162" w:rsidRDefault="00120286" w:rsidP="00E45619">
            <w:r w:rsidRPr="00A229B5">
              <w:rPr>
                <w:rFonts w:eastAsia="Calibri"/>
              </w:rPr>
              <w:t>0.25 mg and 2 mg</w:t>
            </w:r>
          </w:p>
        </w:tc>
      </w:tr>
      <w:tr w:rsidR="008E7846" w:rsidRPr="00487162" w14:paraId="13C911CE" w14:textId="77777777" w:rsidTr="00BF1190">
        <w:tc>
          <w:tcPr>
            <w:tcW w:w="2907" w:type="dxa"/>
          </w:tcPr>
          <w:p w14:paraId="3A2E3E4A" w14:textId="77777777" w:rsidR="008E7846" w:rsidRPr="00487162" w:rsidRDefault="00120286" w:rsidP="00E45619">
            <w:pPr>
              <w:rPr>
                <w:i/>
              </w:rPr>
            </w:pPr>
            <w:r>
              <w:rPr>
                <w:i/>
              </w:rPr>
              <w:t>Container</w:t>
            </w:r>
            <w:r w:rsidR="008E7846" w:rsidRPr="00487162">
              <w:rPr>
                <w:i/>
              </w:rPr>
              <w:t>:</w:t>
            </w:r>
          </w:p>
        </w:tc>
        <w:tc>
          <w:tcPr>
            <w:tcW w:w="6307" w:type="dxa"/>
          </w:tcPr>
          <w:p w14:paraId="1B18718E" w14:textId="77777777" w:rsidR="008E7846" w:rsidRPr="00487162" w:rsidRDefault="00120286" w:rsidP="00E45619">
            <w:r w:rsidRPr="00A229B5">
              <w:rPr>
                <w:lang w:eastAsia="en-AU"/>
              </w:rPr>
              <w:t>Blister pack</w:t>
            </w:r>
          </w:p>
        </w:tc>
      </w:tr>
      <w:tr w:rsidR="008E7846" w:rsidRPr="00487162" w14:paraId="115FB1BC" w14:textId="77777777" w:rsidTr="00BF1190">
        <w:tc>
          <w:tcPr>
            <w:tcW w:w="2907" w:type="dxa"/>
          </w:tcPr>
          <w:p w14:paraId="23BCCEAD" w14:textId="77777777" w:rsidR="008E7846" w:rsidRPr="00487162" w:rsidRDefault="008B1F57" w:rsidP="00E45619">
            <w:pPr>
              <w:rPr>
                <w:i/>
              </w:rPr>
            </w:pPr>
            <w:r>
              <w:rPr>
                <w:i/>
              </w:rPr>
              <w:t>Pack sizes</w:t>
            </w:r>
            <w:r w:rsidR="008E7846" w:rsidRPr="00487162">
              <w:rPr>
                <w:i/>
              </w:rPr>
              <w:t>:</w:t>
            </w:r>
          </w:p>
        </w:tc>
        <w:tc>
          <w:tcPr>
            <w:tcW w:w="6307" w:type="dxa"/>
          </w:tcPr>
          <w:p w14:paraId="1D51773A" w14:textId="77777777" w:rsidR="00120286" w:rsidRPr="00176E10" w:rsidRDefault="00120286" w:rsidP="00120286">
            <w:pPr>
              <w:rPr>
                <w:lang w:eastAsia="en-AU"/>
              </w:rPr>
            </w:pPr>
            <w:r w:rsidRPr="00176E10">
              <w:rPr>
                <w:lang w:eastAsia="en-AU"/>
              </w:rPr>
              <w:t>0.25 mg: 12 film coated tablets (titration pack)</w:t>
            </w:r>
            <w:r>
              <w:rPr>
                <w:lang w:eastAsia="en-AU"/>
              </w:rPr>
              <w:t xml:space="preserve"> and 120 film coated tablets.</w:t>
            </w:r>
          </w:p>
          <w:p w14:paraId="59579E45" w14:textId="77777777" w:rsidR="008E7846" w:rsidRPr="00487162" w:rsidRDefault="00120286" w:rsidP="00120286">
            <w:r w:rsidRPr="00176E10">
              <w:rPr>
                <w:lang w:eastAsia="en-AU"/>
              </w:rPr>
              <w:t>2 mg: 28 film coated tablets</w:t>
            </w:r>
            <w:r>
              <w:rPr>
                <w:lang w:eastAsia="en-AU"/>
              </w:rPr>
              <w:t>.</w:t>
            </w:r>
          </w:p>
        </w:tc>
      </w:tr>
      <w:tr w:rsidR="008E7846" w:rsidRPr="00487162" w14:paraId="38E096B9" w14:textId="77777777" w:rsidTr="00BF1190">
        <w:tc>
          <w:tcPr>
            <w:tcW w:w="2907" w:type="dxa"/>
          </w:tcPr>
          <w:p w14:paraId="1F3225A8"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61DB65E3" w14:textId="77777777" w:rsidR="008E7846" w:rsidRPr="00487162" w:rsidRDefault="00120286" w:rsidP="00E45619">
            <w:pPr>
              <w:rPr>
                <w:rFonts w:eastAsia="MS Mincho"/>
                <w:lang w:eastAsia="ja-JP"/>
              </w:rPr>
            </w:pPr>
            <w:r w:rsidRPr="00A229B5">
              <w:rPr>
                <w:i/>
                <w:lang w:eastAsia="en-AU"/>
              </w:rPr>
              <w:t>Mayzent is indicated for the treatment of adult patients with secondary progressive multiple sclerosis (SPMS).</w:t>
            </w:r>
          </w:p>
        </w:tc>
      </w:tr>
      <w:tr w:rsidR="008E7846" w:rsidRPr="00487162" w14:paraId="6E51FC32" w14:textId="77777777" w:rsidTr="00BF1190">
        <w:tc>
          <w:tcPr>
            <w:tcW w:w="2907" w:type="dxa"/>
          </w:tcPr>
          <w:p w14:paraId="1B030835" w14:textId="77777777" w:rsidR="008E7846" w:rsidRPr="00487162" w:rsidRDefault="008B1F57" w:rsidP="00E45619">
            <w:pPr>
              <w:rPr>
                <w:i/>
              </w:rPr>
            </w:pPr>
            <w:r>
              <w:rPr>
                <w:i/>
              </w:rPr>
              <w:t>Route</w:t>
            </w:r>
            <w:r w:rsidR="008E7846" w:rsidRPr="00487162">
              <w:rPr>
                <w:i/>
              </w:rPr>
              <w:t xml:space="preserve"> of administration:</w:t>
            </w:r>
          </w:p>
        </w:tc>
        <w:tc>
          <w:tcPr>
            <w:tcW w:w="6307" w:type="dxa"/>
          </w:tcPr>
          <w:p w14:paraId="5E5E9A4A" w14:textId="77777777" w:rsidR="008E7846" w:rsidRPr="00487162" w:rsidRDefault="00120286" w:rsidP="00E45619">
            <w:r w:rsidRPr="00820649">
              <w:t>Oral</w:t>
            </w:r>
          </w:p>
        </w:tc>
      </w:tr>
      <w:tr w:rsidR="008E7846" w:rsidRPr="00487162" w14:paraId="62D232DE" w14:textId="77777777" w:rsidTr="00BF1190">
        <w:tc>
          <w:tcPr>
            <w:tcW w:w="2907" w:type="dxa"/>
          </w:tcPr>
          <w:p w14:paraId="5A44F8E8" w14:textId="77777777" w:rsidR="008E7846" w:rsidRPr="00487162" w:rsidRDefault="008E7846" w:rsidP="00E45619">
            <w:pPr>
              <w:rPr>
                <w:i/>
              </w:rPr>
            </w:pPr>
            <w:r w:rsidRPr="00487162">
              <w:rPr>
                <w:i/>
              </w:rPr>
              <w:t>Dosage:</w:t>
            </w:r>
          </w:p>
        </w:tc>
        <w:tc>
          <w:tcPr>
            <w:tcW w:w="6307" w:type="dxa"/>
          </w:tcPr>
          <w:p w14:paraId="230DC81B" w14:textId="77777777" w:rsidR="00120286" w:rsidRPr="00A229B5" w:rsidRDefault="00120286" w:rsidP="00120286">
            <w:pPr>
              <w:rPr>
                <w:lang w:eastAsia="en-AU"/>
              </w:rPr>
            </w:pPr>
            <w:r w:rsidRPr="00A229B5">
              <w:rPr>
                <w:lang w:eastAsia="en-AU"/>
              </w:rPr>
              <w:t>Before initiation of treatment with Mayzent the CYP2C9 genotype of the patient should be determined. Mayzent should not be used in patients with a CYP2C9*3*3 genotype.</w:t>
            </w:r>
          </w:p>
          <w:p w14:paraId="4FDDDAFF" w14:textId="154ED31C" w:rsidR="00E461E3" w:rsidRDefault="00120286" w:rsidP="00120286">
            <w:r w:rsidRPr="00A229B5">
              <w:rPr>
                <w:lang w:eastAsia="en-AU"/>
              </w:rPr>
              <w:t>Treatment has to be initiated with a titration pack that lasts for 5</w:t>
            </w:r>
            <w:r w:rsidR="00E461E3">
              <w:rPr>
                <w:lang w:eastAsia="en-AU"/>
              </w:rPr>
              <w:t> </w:t>
            </w:r>
            <w:r w:rsidRPr="00A229B5">
              <w:rPr>
                <w:lang w:eastAsia="en-AU"/>
              </w:rPr>
              <w:t xml:space="preserve">days. The dose titration starts with 0.25 mg once daily on </w:t>
            </w:r>
            <w:r w:rsidR="00E461E3">
              <w:rPr>
                <w:lang w:eastAsia="en-AU"/>
              </w:rPr>
              <w:t>D</w:t>
            </w:r>
            <w:r w:rsidRPr="00A229B5">
              <w:rPr>
                <w:lang w:eastAsia="en-AU"/>
              </w:rPr>
              <w:t>ay</w:t>
            </w:r>
            <w:r w:rsidR="00E461E3">
              <w:rPr>
                <w:lang w:eastAsia="en-AU"/>
              </w:rPr>
              <w:t> </w:t>
            </w:r>
            <w:r w:rsidRPr="00A229B5">
              <w:rPr>
                <w:lang w:eastAsia="en-AU"/>
              </w:rPr>
              <w:t xml:space="preserve">1 and 2, followed by once daily doses of 0.5 mg on </w:t>
            </w:r>
            <w:r w:rsidR="00E461E3">
              <w:rPr>
                <w:lang w:eastAsia="en-AU"/>
              </w:rPr>
              <w:t>D</w:t>
            </w:r>
            <w:r w:rsidRPr="00A229B5">
              <w:rPr>
                <w:lang w:eastAsia="en-AU"/>
              </w:rPr>
              <w:t>ay</w:t>
            </w:r>
            <w:r w:rsidR="00E461E3">
              <w:rPr>
                <w:lang w:eastAsia="en-AU"/>
              </w:rPr>
              <w:t> </w:t>
            </w:r>
            <w:r w:rsidRPr="00A229B5">
              <w:rPr>
                <w:lang w:eastAsia="en-AU"/>
              </w:rPr>
              <w:t xml:space="preserve">3 (two tablets of 0.25 mg), 0.75 mg on </w:t>
            </w:r>
            <w:r w:rsidR="00E461E3">
              <w:rPr>
                <w:lang w:eastAsia="en-AU"/>
              </w:rPr>
              <w:t>D</w:t>
            </w:r>
            <w:r w:rsidRPr="00A229B5">
              <w:rPr>
                <w:lang w:eastAsia="en-AU"/>
              </w:rPr>
              <w:t>ay 4 (three tablets of 0.25</w:t>
            </w:r>
            <w:r w:rsidR="00E461E3">
              <w:rPr>
                <w:lang w:eastAsia="en-AU"/>
              </w:rPr>
              <w:t> </w:t>
            </w:r>
            <w:r w:rsidRPr="00A229B5">
              <w:rPr>
                <w:lang w:eastAsia="en-AU"/>
              </w:rPr>
              <w:t xml:space="preserve">mg), and 1.25 mg on </w:t>
            </w:r>
            <w:r w:rsidR="00E461E3">
              <w:rPr>
                <w:lang w:eastAsia="en-AU"/>
              </w:rPr>
              <w:t>D</w:t>
            </w:r>
            <w:r w:rsidRPr="00A229B5">
              <w:rPr>
                <w:lang w:eastAsia="en-AU"/>
              </w:rPr>
              <w:t xml:space="preserve">ay 5 (five tablets of 0.25 mg), to reach the maintenance dose of 2 mg Mayzent starting on </w:t>
            </w:r>
            <w:r w:rsidR="00E461E3">
              <w:rPr>
                <w:lang w:eastAsia="en-AU"/>
              </w:rPr>
              <w:t>D</w:t>
            </w:r>
            <w:r w:rsidRPr="00A229B5">
              <w:rPr>
                <w:lang w:eastAsia="en-AU"/>
              </w:rPr>
              <w:t>ay</w:t>
            </w:r>
            <w:r w:rsidR="00E461E3">
              <w:rPr>
                <w:lang w:eastAsia="en-AU"/>
              </w:rPr>
              <w:t> </w:t>
            </w:r>
            <w:r w:rsidRPr="00A229B5">
              <w:rPr>
                <w:lang w:eastAsia="en-AU"/>
              </w:rPr>
              <w:t>6.</w:t>
            </w:r>
          </w:p>
          <w:p w14:paraId="62C275E5" w14:textId="29A394E6" w:rsidR="00120286" w:rsidRPr="00A229B5" w:rsidRDefault="00E461E3" w:rsidP="00120286">
            <w:r>
              <w:t xml:space="preserve">Note: </w:t>
            </w:r>
            <w:r w:rsidR="00120286" w:rsidRPr="00A229B5">
              <w:t>The recommended maintenance dose is 1 mg daily for patients with CYP2C9 *2*3 or *1*3 genotype</w:t>
            </w:r>
            <w:r w:rsidR="00120286">
              <w:t xml:space="preserve"> (for further </w:t>
            </w:r>
            <w:r w:rsidR="00120286">
              <w:lastRenderedPageBreak/>
              <w:t>information on maintenance dosing</w:t>
            </w:r>
            <w:r>
              <w:t>,</w:t>
            </w:r>
            <w:r w:rsidR="00120286">
              <w:t xml:space="preserve"> please see the Product Information)</w:t>
            </w:r>
            <w:r w:rsidR="00120286" w:rsidRPr="00A229B5">
              <w:t>. During the first 6 days of treatment initiation the recommended daily dose should be taken once daily in the morning with or without food.</w:t>
            </w:r>
          </w:p>
          <w:p w14:paraId="5931B3F9" w14:textId="77777777" w:rsidR="008E7846" w:rsidRPr="00487162" w:rsidRDefault="00120286" w:rsidP="00120286">
            <w:r w:rsidRPr="00A229B5">
              <w:t>For further information refer to the Product Information.</w:t>
            </w:r>
          </w:p>
        </w:tc>
      </w:tr>
    </w:tbl>
    <w:p w14:paraId="34F65F91" w14:textId="77777777" w:rsidR="008E7846" w:rsidRDefault="008E7846" w:rsidP="008E7846">
      <w:pPr>
        <w:pStyle w:val="Heading3"/>
      </w:pPr>
      <w:bookmarkStart w:id="13" w:name="_Toc247691503"/>
      <w:bookmarkStart w:id="14" w:name="_Toc314842484"/>
      <w:bookmarkStart w:id="15" w:name="_Toc28868678"/>
      <w:r>
        <w:lastRenderedPageBreak/>
        <w:t>Product background</w:t>
      </w:r>
      <w:bookmarkEnd w:id="13"/>
      <w:bookmarkEnd w:id="14"/>
      <w:bookmarkEnd w:id="15"/>
    </w:p>
    <w:p w14:paraId="6ABD0D3F" w14:textId="77777777" w:rsidR="008E7846" w:rsidRDefault="00940A89" w:rsidP="00940A89">
      <w:r w:rsidRPr="00940A89">
        <w:t xml:space="preserve">This AusPAR describes the application by </w:t>
      </w:r>
      <w:r w:rsidR="00523C73" w:rsidRPr="00820649">
        <w:rPr>
          <w:rFonts w:cs="Cambria"/>
          <w:lang w:eastAsia="en-AU"/>
        </w:rPr>
        <w:t>Novartis Pharmaceuticals Australia Pty Ltd</w:t>
      </w:r>
      <w:r w:rsidR="00523C73" w:rsidRPr="00940A89">
        <w:t xml:space="preserve"> </w:t>
      </w:r>
      <w:r w:rsidR="00523C73">
        <w:t>(</w:t>
      </w:r>
      <w:r w:rsidRPr="00940A89">
        <w:t>the sponsor</w:t>
      </w:r>
      <w:r w:rsidR="00523C73">
        <w:t xml:space="preserve">) to register </w:t>
      </w:r>
      <w:r w:rsidR="00523C73" w:rsidRPr="00A229B5">
        <w:t>Mayzent (</w:t>
      </w:r>
      <w:proofErr w:type="spellStart"/>
      <w:r w:rsidR="00523C73" w:rsidRPr="00A229B5">
        <w:t>siponimod</w:t>
      </w:r>
      <w:proofErr w:type="spellEnd"/>
      <w:r w:rsidR="00523C73">
        <w:t>) film coated tablets</w:t>
      </w:r>
      <w:r w:rsidRPr="00940A89">
        <w:t xml:space="preserve"> f</w:t>
      </w:r>
      <w:r w:rsidR="00523C73">
        <w:t>or the following proposed indication:</w:t>
      </w:r>
    </w:p>
    <w:p w14:paraId="71B22657" w14:textId="77777777" w:rsidR="00523C73" w:rsidRDefault="00523C73" w:rsidP="00523C73">
      <w:pPr>
        <w:ind w:left="720"/>
        <w:rPr>
          <w:i/>
          <w:lang w:eastAsia="en-AU"/>
        </w:rPr>
      </w:pPr>
      <w:r w:rsidRPr="00A229B5">
        <w:rPr>
          <w:i/>
          <w:lang w:eastAsia="en-AU"/>
        </w:rPr>
        <w:t>Mayzent is indicated for the treatment of patients with secondary progressive multiple sclerosis (SPMS).</w:t>
      </w:r>
    </w:p>
    <w:p w14:paraId="5A75CC7E" w14:textId="77777777" w:rsidR="007901B9" w:rsidRDefault="007901B9" w:rsidP="007901B9">
      <w:bookmarkStart w:id="16" w:name="_Toc314842485"/>
      <w:bookmarkStart w:id="17" w:name="_Toc247691504"/>
      <w:r>
        <w:t xml:space="preserve">Multiple </w:t>
      </w:r>
      <w:r w:rsidRPr="00EC4B94">
        <w:t>sclerosis (MS</w:t>
      </w:r>
      <w:r>
        <w:t>) is an inflammatory condition which damages myelin in the central nervous system (CNS) causing neurological impairment and disability. MS affects more than two million people worldwide with prevalence rates varying between regions and races. In Australia, more than 25,000 patients live with MS and approximately ten new cases are diagnosed each week. MS is the leading cause of neurologic disability in young and middle-aged adults and typically presents between the ages of 20 and 40 years with a 2:1 female to male ratio.</w:t>
      </w:r>
    </w:p>
    <w:p w14:paraId="7432E565" w14:textId="77777777" w:rsidR="007901B9" w:rsidRDefault="007901B9" w:rsidP="007901B9">
      <w:r>
        <w:t>The aetiology of MS is unclear but it is assumed to be an autoimmune process possibly triggered by an infection in subjects with a genetic predisposition. The disease is characterised by acute inflammatory lesions, glio</w:t>
      </w:r>
      <w:r w:rsidR="00EC4B94">
        <w:t>sis, demyelination, impaired re</w:t>
      </w:r>
      <w:r w:rsidR="00EC4B94">
        <w:noBreakHyphen/>
      </w:r>
      <w:r>
        <w:t>myelination, and neuronal and axonal loss. Relapses are ascribed to acute inflammatory lesions, and progression is ascribed to demyelination and neuronal loss. Typical symptoms associated with these pathological findings are spasticity and ataxia leading to walking disability, bladder and bowel disturbance, weakness and fatigue and cognitive disturbance.</w:t>
      </w:r>
    </w:p>
    <w:p w14:paraId="5F975BE9" w14:textId="4FEBD9A9" w:rsidR="007901B9" w:rsidRPr="00EC4B94" w:rsidRDefault="007901B9" w:rsidP="004D4BF1">
      <w:r>
        <w:t xml:space="preserve">Approximately 85% of patients present with relapsing-remitting </w:t>
      </w:r>
      <w:r w:rsidRPr="00EC4B94">
        <w:t>MS (RRMS) which is characterised by unpredictable episodes of acute neurological dysfunction (relapses) followed by variable intervals of recovery and disease stability (remissions). Within ten years of diagnosis, more than half of patients with RRMS develop sustained disability with or without superimposed relapses. Secondary progressive MS (SPMS) presents with steady progression in disability</w:t>
      </w:r>
      <w:r w:rsidRPr="00EC4B94">
        <w:rPr>
          <w:i/>
        </w:rPr>
        <w:t xml:space="preserve"> </w:t>
      </w:r>
      <w:r w:rsidRPr="00EC4B94">
        <w:t>with fewer inflammatory episodes and more degenerative symptomatology</w:t>
      </w:r>
      <w:r w:rsidR="007F41B8">
        <w:t>;</w:t>
      </w:r>
      <w:bookmarkStart w:id="18" w:name="_Ref25221998"/>
      <w:r w:rsidR="007F41B8">
        <w:rPr>
          <w:rStyle w:val="FootnoteReference"/>
        </w:rPr>
        <w:footnoteReference w:id="1"/>
      </w:r>
      <w:bookmarkEnd w:id="18"/>
      <w:r w:rsidR="008D1DDE" w:rsidRPr="00AE583B">
        <w:rPr>
          <w:vertAlign w:val="superscript"/>
        </w:rPr>
        <w:t>,</w:t>
      </w:r>
      <w:bookmarkStart w:id="19" w:name="_Ref25221999"/>
      <w:r w:rsidR="007F41B8">
        <w:rPr>
          <w:rStyle w:val="FootnoteReference"/>
        </w:rPr>
        <w:footnoteReference w:id="2"/>
      </w:r>
      <w:bookmarkEnd w:id="19"/>
      <w:r w:rsidR="007F41B8">
        <w:t xml:space="preserve"> that is, </w:t>
      </w:r>
      <w:r w:rsidRPr="00EC4B94">
        <w:t xml:space="preserve">deterioration in the absence of relapses. Approximately 15% of patients present </w:t>
      </w:r>
      <w:r w:rsidRPr="00036FC0">
        <w:t>with sustained neurological dysfunction</w:t>
      </w:r>
      <w:r w:rsidRPr="00EC4B94">
        <w:t xml:space="preserve"> known as primary progressive MS (PPMS). Some patients present with progressive deterioration with unresolved relapses known as progressive relapsing MS (PRMS).</w:t>
      </w:r>
    </w:p>
    <w:p w14:paraId="4CADDC2D" w14:textId="03AAEB3D" w:rsidR="004D4BF1" w:rsidRDefault="007901B9" w:rsidP="004D4BF1">
      <w:r>
        <w:t>Patients with SPMS are characterised by reduced ambulation, bulbar dysfunction, visual impairment, impaired arm function, fatigue, pain, depression and loss of sphincter control. Cognitive impairment and reduced cognitive processing speed are also common.</w:t>
      </w:r>
      <w:bookmarkStart w:id="20" w:name="_Ref25222015"/>
      <w:r w:rsidR="00501ACC">
        <w:rPr>
          <w:rStyle w:val="FootnoteReference"/>
        </w:rPr>
        <w:footnoteReference w:id="3"/>
      </w:r>
      <w:bookmarkEnd w:id="20"/>
      <w:r>
        <w:t xml:space="preserve"> The diagnosis of SPMS is made retrospectively based on evidence that disability progression </w:t>
      </w:r>
      <w:r>
        <w:lastRenderedPageBreak/>
        <w:t>has occurred independently of relapses, although some relapses may continue to be experienced</w:t>
      </w:r>
      <w:r w:rsidRPr="008D1DDE">
        <w:t>.</w:t>
      </w:r>
      <w:bookmarkStart w:id="21" w:name="_Ref25222027"/>
      <w:r w:rsidR="00501ACC" w:rsidRPr="008D1DDE">
        <w:rPr>
          <w:rStyle w:val="FootnoteReference"/>
        </w:rPr>
        <w:footnoteReference w:id="4"/>
      </w:r>
      <w:bookmarkEnd w:id="21"/>
      <w:r w:rsidR="008D1DDE" w:rsidRPr="00767EF1">
        <w:rPr>
          <w:vertAlign w:val="superscript"/>
        </w:rPr>
        <w:t>,</w:t>
      </w:r>
      <w:bookmarkStart w:id="22" w:name="_Ref25222029"/>
      <w:r w:rsidR="00501ACC" w:rsidRPr="008D1DDE">
        <w:rPr>
          <w:rStyle w:val="FootnoteReference"/>
        </w:rPr>
        <w:footnoteReference w:id="5"/>
      </w:r>
      <w:bookmarkEnd w:id="22"/>
      <w:r w:rsidR="008D1DDE" w:rsidRPr="00767EF1">
        <w:rPr>
          <w:vertAlign w:val="superscript"/>
        </w:rPr>
        <w:t>,</w:t>
      </w:r>
      <w:bookmarkStart w:id="23" w:name="_Ref25222031"/>
      <w:r w:rsidR="00501ACC" w:rsidRPr="008D1DDE">
        <w:rPr>
          <w:rStyle w:val="FootnoteReference"/>
        </w:rPr>
        <w:footnoteReference w:id="6"/>
      </w:r>
      <w:bookmarkEnd w:id="23"/>
      <w:r w:rsidR="008D1DDE" w:rsidRPr="00767EF1">
        <w:rPr>
          <w:vertAlign w:val="superscript"/>
        </w:rPr>
        <w:t>,</w:t>
      </w:r>
      <w:bookmarkStart w:id="24" w:name="_Ref25222032"/>
      <w:r w:rsidR="00501ACC" w:rsidRPr="008D1DDE">
        <w:rPr>
          <w:rStyle w:val="FootnoteReference"/>
        </w:rPr>
        <w:footnoteReference w:id="7"/>
      </w:r>
      <w:bookmarkEnd w:id="24"/>
    </w:p>
    <w:p w14:paraId="44E47EB8" w14:textId="77777777" w:rsidR="007901B9" w:rsidRDefault="004D4BF1" w:rsidP="004D4BF1">
      <w:pPr>
        <w:rPr>
          <w:lang w:eastAsia="ja-JP"/>
        </w:rPr>
      </w:pPr>
      <w:r>
        <w:rPr>
          <w:lang w:eastAsia="ja-JP"/>
        </w:rPr>
        <w:t>The term relapsing MS (RMS) is applied to patients with RRMS or SPMS with superimposed relapses. There are no agreed criteria defining the transition from RRMS to SPMS.</w:t>
      </w:r>
    </w:p>
    <w:p w14:paraId="0CDE208E" w14:textId="274E91A7" w:rsidR="004D4BF1" w:rsidRDefault="004D4BF1" w:rsidP="004D4BF1">
      <w:pPr>
        <w:rPr>
          <w:lang w:eastAsia="ja-JP"/>
        </w:rPr>
      </w:pPr>
      <w:r>
        <w:rPr>
          <w:lang w:eastAsia="ja-JP"/>
        </w:rPr>
        <w:t xml:space="preserve">Several disease modifying treatments which suppress or modulate the immune responses associated with MS are approved for use in Australia. These include older beta-interferon products which regulate the immune system and slow down disease activity although their exact mechanism of action is unclear. </w:t>
      </w:r>
      <w:proofErr w:type="spellStart"/>
      <w:r>
        <w:rPr>
          <w:lang w:eastAsia="ja-JP"/>
        </w:rPr>
        <w:t>Aubagio</w:t>
      </w:r>
      <w:proofErr w:type="spellEnd"/>
      <w:r>
        <w:rPr>
          <w:lang w:eastAsia="ja-JP"/>
        </w:rPr>
        <w:t xml:space="preserve"> (</w:t>
      </w:r>
      <w:proofErr w:type="spellStart"/>
      <w:r>
        <w:rPr>
          <w:lang w:eastAsia="ja-JP"/>
        </w:rPr>
        <w:t>teriflunomide</w:t>
      </w:r>
      <w:proofErr w:type="spellEnd"/>
      <w:r>
        <w:rPr>
          <w:lang w:eastAsia="ja-JP"/>
        </w:rPr>
        <w:t xml:space="preserve">) is a pyrimidine synthesis inhibitor which acts as an immunomodulatory agent with anti-inflammatory properties. </w:t>
      </w:r>
      <w:proofErr w:type="spellStart"/>
      <w:r>
        <w:rPr>
          <w:lang w:eastAsia="ja-JP"/>
        </w:rPr>
        <w:t>Tecfidera</w:t>
      </w:r>
      <w:proofErr w:type="spellEnd"/>
      <w:r>
        <w:rPr>
          <w:lang w:eastAsia="ja-JP"/>
        </w:rPr>
        <w:t xml:space="preserve"> (dimethyl fumarate) is an immunotherapy with an unclear mechanism of action for use in patients with RRMS. </w:t>
      </w:r>
      <w:proofErr w:type="spellStart"/>
      <w:r>
        <w:rPr>
          <w:lang w:eastAsia="ja-JP"/>
        </w:rPr>
        <w:t>Copa</w:t>
      </w:r>
      <w:r w:rsidR="00501ACC">
        <w:rPr>
          <w:lang w:eastAsia="ja-JP"/>
        </w:rPr>
        <w:t>xone</w:t>
      </w:r>
      <w:proofErr w:type="spellEnd"/>
      <w:r w:rsidR="00501ACC">
        <w:rPr>
          <w:lang w:eastAsia="ja-JP"/>
        </w:rPr>
        <w:t xml:space="preserve"> (</w:t>
      </w:r>
      <w:proofErr w:type="spellStart"/>
      <w:r w:rsidR="00501ACC">
        <w:rPr>
          <w:lang w:eastAsia="ja-JP"/>
        </w:rPr>
        <w:t>glatiramer</w:t>
      </w:r>
      <w:proofErr w:type="spellEnd"/>
      <w:r w:rsidR="00501ACC">
        <w:rPr>
          <w:lang w:eastAsia="ja-JP"/>
        </w:rPr>
        <w:t>) blocks myelin</w:t>
      </w:r>
      <w:r w:rsidR="00501ACC">
        <w:rPr>
          <w:lang w:eastAsia="ja-JP"/>
        </w:rPr>
        <w:noBreakHyphen/>
      </w:r>
      <w:r>
        <w:rPr>
          <w:lang w:eastAsia="ja-JP"/>
        </w:rPr>
        <w:t xml:space="preserve">specific autoimmune responses in patients with RRMS. </w:t>
      </w:r>
      <w:proofErr w:type="spellStart"/>
      <w:r>
        <w:rPr>
          <w:lang w:eastAsia="ja-JP"/>
        </w:rPr>
        <w:t>Mavenclad</w:t>
      </w:r>
      <w:proofErr w:type="spellEnd"/>
      <w:r>
        <w:rPr>
          <w:lang w:eastAsia="ja-JP"/>
        </w:rPr>
        <w:t xml:space="preserve"> (</w:t>
      </w:r>
      <w:proofErr w:type="spellStart"/>
      <w:r>
        <w:rPr>
          <w:lang w:eastAsia="ja-JP"/>
        </w:rPr>
        <w:t>claciribine</w:t>
      </w:r>
      <w:proofErr w:type="spellEnd"/>
      <w:r>
        <w:rPr>
          <w:lang w:eastAsia="ja-JP"/>
        </w:rPr>
        <w:t>) is oral n</w:t>
      </w:r>
      <w:r w:rsidR="00501ACC">
        <w:rPr>
          <w:lang w:eastAsia="ja-JP"/>
        </w:rPr>
        <w:t>ucleoside analogue affecting B and T lymphocyte</w:t>
      </w:r>
      <w:r>
        <w:rPr>
          <w:lang w:eastAsia="ja-JP"/>
        </w:rPr>
        <w:t xml:space="preserve"> DNA synthesis and function in patients with RRMS. Effective specific biologic therapies have recently been developed including three monoclonal antibodies approved in Australia. </w:t>
      </w:r>
      <w:proofErr w:type="spellStart"/>
      <w:r>
        <w:rPr>
          <w:lang w:eastAsia="ja-JP"/>
        </w:rPr>
        <w:t>Lemtrada</w:t>
      </w:r>
      <w:proofErr w:type="spellEnd"/>
      <w:r>
        <w:rPr>
          <w:lang w:eastAsia="ja-JP"/>
        </w:rPr>
        <w:t xml:space="preserve"> (</w:t>
      </w:r>
      <w:proofErr w:type="spellStart"/>
      <w:r>
        <w:rPr>
          <w:lang w:eastAsia="ja-JP"/>
        </w:rPr>
        <w:t>alemtuzumab</w:t>
      </w:r>
      <w:proofErr w:type="spellEnd"/>
      <w:r>
        <w:rPr>
          <w:lang w:eastAsia="ja-JP"/>
        </w:rPr>
        <w:t xml:space="preserve">) binds to the cell surface glycoprotein </w:t>
      </w:r>
      <w:r w:rsidR="00501ACC">
        <w:rPr>
          <w:lang w:eastAsia="ja-JP"/>
        </w:rPr>
        <w:t>cluster of d</w:t>
      </w:r>
      <w:r w:rsidR="00501ACC" w:rsidRPr="00501ACC">
        <w:rPr>
          <w:lang w:eastAsia="ja-JP"/>
        </w:rPr>
        <w:t>ifferentiation</w:t>
      </w:r>
      <w:r w:rsidR="00501ACC">
        <w:rPr>
          <w:lang w:eastAsia="ja-JP"/>
        </w:rPr>
        <w:t xml:space="preserve"> 52</w:t>
      </w:r>
      <w:r w:rsidR="00501ACC" w:rsidRPr="00501ACC">
        <w:rPr>
          <w:lang w:eastAsia="ja-JP"/>
        </w:rPr>
        <w:t xml:space="preserve"> </w:t>
      </w:r>
      <w:r w:rsidR="00501ACC">
        <w:rPr>
          <w:lang w:eastAsia="ja-JP"/>
        </w:rPr>
        <w:t>(</w:t>
      </w:r>
      <w:r>
        <w:rPr>
          <w:lang w:eastAsia="ja-JP"/>
        </w:rPr>
        <w:t>CD52</w:t>
      </w:r>
      <w:r w:rsidR="00501ACC">
        <w:rPr>
          <w:lang w:eastAsia="ja-JP"/>
        </w:rPr>
        <w:t>)</w:t>
      </w:r>
      <w:r>
        <w:rPr>
          <w:lang w:eastAsia="ja-JP"/>
        </w:rPr>
        <w:t xml:space="preserve"> on B and T</w:t>
      </w:r>
      <w:r w:rsidR="008D1DDE">
        <w:rPr>
          <w:lang w:eastAsia="ja-JP"/>
        </w:rPr>
        <w:t> </w:t>
      </w:r>
      <w:r>
        <w:rPr>
          <w:lang w:eastAsia="ja-JP"/>
        </w:rPr>
        <w:t xml:space="preserve">lymphocytes and is approved for use in RRMS. </w:t>
      </w:r>
      <w:proofErr w:type="spellStart"/>
      <w:r>
        <w:rPr>
          <w:lang w:eastAsia="ja-JP"/>
        </w:rPr>
        <w:t>Ocrevus</w:t>
      </w:r>
      <w:proofErr w:type="spellEnd"/>
      <w:r>
        <w:rPr>
          <w:lang w:eastAsia="ja-JP"/>
        </w:rPr>
        <w:t xml:space="preserve"> (</w:t>
      </w:r>
      <w:proofErr w:type="spellStart"/>
      <w:r>
        <w:rPr>
          <w:lang w:eastAsia="ja-JP"/>
        </w:rPr>
        <w:t>o</w:t>
      </w:r>
      <w:r w:rsidR="00501ACC">
        <w:rPr>
          <w:lang w:eastAsia="ja-JP"/>
        </w:rPr>
        <w:t>crelizumab</w:t>
      </w:r>
      <w:proofErr w:type="spellEnd"/>
      <w:r w:rsidR="00501ACC">
        <w:rPr>
          <w:lang w:eastAsia="ja-JP"/>
        </w:rPr>
        <w:t>) is an anti CD20 B </w:t>
      </w:r>
      <w:r>
        <w:rPr>
          <w:lang w:eastAsia="ja-JP"/>
        </w:rPr>
        <w:t xml:space="preserve">cell inhibitor approved for use in RRMS and PPMS. </w:t>
      </w:r>
      <w:proofErr w:type="spellStart"/>
      <w:r>
        <w:rPr>
          <w:lang w:eastAsia="ja-JP"/>
        </w:rPr>
        <w:t>Tysabri</w:t>
      </w:r>
      <w:proofErr w:type="spellEnd"/>
      <w:r>
        <w:rPr>
          <w:lang w:eastAsia="ja-JP"/>
        </w:rPr>
        <w:t xml:space="preserve"> (</w:t>
      </w:r>
      <w:proofErr w:type="spellStart"/>
      <w:r>
        <w:rPr>
          <w:lang w:eastAsia="ja-JP"/>
        </w:rPr>
        <w:t>natalizumab</w:t>
      </w:r>
      <w:proofErr w:type="spellEnd"/>
      <w:r>
        <w:rPr>
          <w:lang w:eastAsia="ja-JP"/>
        </w:rPr>
        <w:t>) is one of a family of leucocyte selective adhesion molecule inhibitors for use in RRMS.</w:t>
      </w:r>
    </w:p>
    <w:p w14:paraId="4093948B" w14:textId="23CFFC59" w:rsidR="004D4BF1" w:rsidRDefault="004D4BF1" w:rsidP="004D4BF1">
      <w:pPr>
        <w:rPr>
          <w:lang w:eastAsia="ja-JP"/>
        </w:rPr>
      </w:pPr>
      <w:proofErr w:type="spellStart"/>
      <w:r>
        <w:rPr>
          <w:lang w:eastAsia="ja-JP"/>
        </w:rPr>
        <w:t>Gilenya</w:t>
      </w:r>
      <w:proofErr w:type="spellEnd"/>
      <w:r>
        <w:rPr>
          <w:lang w:eastAsia="ja-JP"/>
        </w:rPr>
        <w:t xml:space="preserve"> (</w:t>
      </w:r>
      <w:proofErr w:type="spellStart"/>
      <w:r>
        <w:rPr>
          <w:lang w:eastAsia="ja-JP"/>
        </w:rPr>
        <w:t>fingolimod</w:t>
      </w:r>
      <w:proofErr w:type="spellEnd"/>
      <w:r>
        <w:rPr>
          <w:lang w:eastAsia="ja-JP"/>
        </w:rPr>
        <w:t xml:space="preserve">) is the first of the class of oral </w:t>
      </w:r>
      <w:r w:rsidR="00501ACC">
        <w:rPr>
          <w:lang w:eastAsia="ja-JP"/>
        </w:rPr>
        <w:t>sphingosine-1-phosphate (</w:t>
      </w:r>
      <w:r>
        <w:rPr>
          <w:lang w:eastAsia="ja-JP"/>
        </w:rPr>
        <w:t>S1P</w:t>
      </w:r>
      <w:r w:rsidR="00501ACC">
        <w:rPr>
          <w:lang w:eastAsia="ja-JP"/>
        </w:rPr>
        <w:t>)</w:t>
      </w:r>
      <w:r>
        <w:rPr>
          <w:lang w:eastAsia="ja-JP"/>
        </w:rPr>
        <w:t xml:space="preserve"> receptor modulators acting on lymphocytes which destroy the myelin sheath. </w:t>
      </w:r>
      <w:proofErr w:type="spellStart"/>
      <w:r>
        <w:rPr>
          <w:lang w:eastAsia="ja-JP"/>
        </w:rPr>
        <w:t>Fingolimod</w:t>
      </w:r>
      <w:proofErr w:type="spellEnd"/>
      <w:r>
        <w:rPr>
          <w:lang w:eastAsia="ja-JP"/>
        </w:rPr>
        <w:t xml:space="preserve"> blocks the egress of lymphocytes from lymph nodes causing a re-distribution rather than depletion of lymphocytes. It </w:t>
      </w:r>
      <w:r w:rsidR="009E635B">
        <w:rPr>
          <w:lang w:eastAsia="ja-JP"/>
        </w:rPr>
        <w:t>was</w:t>
      </w:r>
      <w:r>
        <w:rPr>
          <w:lang w:eastAsia="ja-JP"/>
        </w:rPr>
        <w:t xml:space="preserve"> approved for use in patients with RRMS and SPMS with superimposed relapses to delay the progression of physical disability and reduce the frequency of relapse. </w:t>
      </w:r>
      <w:r w:rsidR="009E635B">
        <w:rPr>
          <w:lang w:eastAsia="ja-JP"/>
        </w:rPr>
        <w:t xml:space="preserve">Following approval of the paediatric indication, it is now approved </w:t>
      </w:r>
      <w:r w:rsidR="009E635B">
        <w:t>for the treatment of a</w:t>
      </w:r>
      <w:r w:rsidR="009E635B" w:rsidRPr="00E1231F">
        <w:t xml:space="preserve">dult and paediatric patients of 10 years of age and above with relapsing forms of </w:t>
      </w:r>
      <w:r w:rsidR="008D1DDE">
        <w:t>MS</w:t>
      </w:r>
      <w:r w:rsidR="009E635B">
        <w:t xml:space="preserve"> to</w:t>
      </w:r>
      <w:r w:rsidR="009E635B" w:rsidRPr="00E1231F">
        <w:t xml:space="preserve"> reduce the frequency of relapse</w:t>
      </w:r>
      <w:r w:rsidR="009E635B">
        <w:t>s and</w:t>
      </w:r>
      <w:r w:rsidR="009E635B" w:rsidRPr="00E1231F" w:rsidDel="00064B47">
        <w:t xml:space="preserve"> </w:t>
      </w:r>
      <w:r w:rsidR="009E635B" w:rsidRPr="00E1231F">
        <w:t>to delay the progression of disability</w:t>
      </w:r>
      <w:r w:rsidR="009E635B">
        <w:t xml:space="preserve">. </w:t>
      </w:r>
    </w:p>
    <w:p w14:paraId="78B671BC" w14:textId="549D3F6B" w:rsidR="004D4BF1" w:rsidRDefault="004D4BF1" w:rsidP="004D4BF1">
      <w:r>
        <w:rPr>
          <w:lang w:eastAsia="ja-JP"/>
        </w:rPr>
        <w:t xml:space="preserve">The sponsor proposes that therapeutic options for the treatment of SPMS are limited to agents approved for RMS but which have limited efficacy in slowing disease progression in SPMS. There is a high unmet medical need in patients with SPMS. </w:t>
      </w:r>
      <w:proofErr w:type="spellStart"/>
      <w:r>
        <w:rPr>
          <w:lang w:eastAsia="ja-JP"/>
        </w:rPr>
        <w:t>Siponimod</w:t>
      </w:r>
      <w:proofErr w:type="spellEnd"/>
      <w:r>
        <w:rPr>
          <w:lang w:eastAsia="ja-JP"/>
        </w:rPr>
        <w:t xml:space="preserve"> is a new member of </w:t>
      </w:r>
      <w:r w:rsidR="00094A72">
        <w:rPr>
          <w:lang w:eastAsia="ja-JP"/>
        </w:rPr>
        <w:t>class of S1P</w:t>
      </w:r>
      <w:r>
        <w:rPr>
          <w:lang w:eastAsia="ja-JP"/>
        </w:rPr>
        <w:t xml:space="preserve"> receptor modulators. S1P is a natural ligand with key roles in the immune, cardiovascular and central nervous systems via five G-protein coupled receptors</w:t>
      </w:r>
      <w:r w:rsidR="00F67F85">
        <w:rPr>
          <w:lang w:eastAsia="ja-JP"/>
        </w:rPr>
        <w:t xml:space="preserve"> (</w:t>
      </w:r>
      <w:r w:rsidR="00F67F85" w:rsidRPr="007901B9">
        <w:rPr>
          <w:rFonts w:asciiTheme="minorHAnsi" w:hAnsiTheme="minorHAnsi"/>
        </w:rPr>
        <w:t>G-protein-coupled receptors</w:t>
      </w:r>
      <w:r w:rsidR="00F67F85">
        <w:rPr>
          <w:rFonts w:asciiTheme="minorHAnsi" w:hAnsiTheme="minorHAnsi"/>
        </w:rPr>
        <w:t>)</w:t>
      </w:r>
      <w:r w:rsidR="00094A72">
        <w:rPr>
          <w:lang w:eastAsia="ja-JP"/>
        </w:rPr>
        <w:t>, s</w:t>
      </w:r>
      <w:r w:rsidR="00094A72" w:rsidRPr="00094A72">
        <w:rPr>
          <w:lang w:eastAsia="ja-JP"/>
        </w:rPr>
        <w:t>phingosine-1-phosphate 1</w:t>
      </w:r>
      <w:r w:rsidR="00094A72">
        <w:rPr>
          <w:lang w:eastAsia="ja-JP"/>
        </w:rPr>
        <w:t>-5</w:t>
      </w:r>
      <w:r>
        <w:rPr>
          <w:lang w:eastAsia="ja-JP"/>
        </w:rPr>
        <w:t xml:space="preserve"> (S1P1-5)</w:t>
      </w:r>
      <w:r w:rsidR="00094A72">
        <w:rPr>
          <w:lang w:eastAsia="ja-JP"/>
        </w:rPr>
        <w:t xml:space="preserve"> receptors</w:t>
      </w:r>
      <w:r>
        <w:rPr>
          <w:lang w:eastAsia="ja-JP"/>
        </w:rPr>
        <w:t xml:space="preserve">. </w:t>
      </w:r>
      <w:proofErr w:type="spellStart"/>
      <w:r w:rsidR="00094A72">
        <w:rPr>
          <w:lang w:eastAsia="ja-JP"/>
        </w:rPr>
        <w:t>Siponimod</w:t>
      </w:r>
      <w:proofErr w:type="spellEnd"/>
      <w:r w:rsidR="00094A72">
        <w:rPr>
          <w:lang w:eastAsia="ja-JP"/>
        </w:rPr>
        <w:t xml:space="preserve"> is an orally active selective inhibitor of S1P1 and S1P5 receptors with a half-life of approximately 30 hours. This submission sought to demonstrate</w:t>
      </w:r>
      <w:r>
        <w:rPr>
          <w:lang w:eastAsia="ja-JP"/>
        </w:rPr>
        <w:t xml:space="preserve"> that Mayzent (</w:t>
      </w:r>
      <w:proofErr w:type="spellStart"/>
      <w:r>
        <w:rPr>
          <w:lang w:eastAsia="ja-JP"/>
        </w:rPr>
        <w:t>siponimod</w:t>
      </w:r>
      <w:proofErr w:type="spellEnd"/>
      <w:r>
        <w:rPr>
          <w:lang w:eastAsia="ja-JP"/>
        </w:rPr>
        <w:t>) may offer clinically meaningful efficacy on disability progression with an acceptable safety profile</w:t>
      </w:r>
      <w:r w:rsidR="0020103B">
        <w:rPr>
          <w:lang w:eastAsia="ja-JP"/>
        </w:rPr>
        <w:t xml:space="preserve"> in patients with SPMS</w:t>
      </w:r>
      <w:r>
        <w:rPr>
          <w:lang w:eastAsia="ja-JP"/>
        </w:rPr>
        <w:t>.</w:t>
      </w:r>
    </w:p>
    <w:p w14:paraId="0A361FF4" w14:textId="77777777" w:rsidR="008E7846" w:rsidRPr="003F31A2" w:rsidRDefault="00386150" w:rsidP="008E7846">
      <w:pPr>
        <w:pStyle w:val="Heading3"/>
      </w:pPr>
      <w:bookmarkStart w:id="25" w:name="_Toc28868679"/>
      <w:r>
        <w:t>Regulatory s</w:t>
      </w:r>
      <w:r w:rsidR="008E7846">
        <w:t>tatus</w:t>
      </w:r>
      <w:bookmarkEnd w:id="16"/>
      <w:bookmarkEnd w:id="17"/>
      <w:bookmarkEnd w:id="25"/>
    </w:p>
    <w:p w14:paraId="5974816C" w14:textId="77777777" w:rsidR="00940A89" w:rsidRDefault="00523C73" w:rsidP="00940A89">
      <w:bookmarkStart w:id="26" w:name="_Toc247691505"/>
      <w:bookmarkStart w:id="27" w:name="_Toc314842486"/>
      <w:r w:rsidRPr="00A229B5">
        <w:t>Mayzent (</w:t>
      </w:r>
      <w:proofErr w:type="spellStart"/>
      <w:r w:rsidRPr="00A229B5">
        <w:t>siponimod</w:t>
      </w:r>
      <w:proofErr w:type="spellEnd"/>
      <w:r>
        <w:t>) is considered a new chemical entity for Australian regulatory purposes.</w:t>
      </w:r>
    </w:p>
    <w:p w14:paraId="6595E566" w14:textId="3402A1CC" w:rsidR="00940A89" w:rsidRDefault="00940A89" w:rsidP="00940A89">
      <w:r w:rsidRPr="00940A89">
        <w:lastRenderedPageBreak/>
        <w:t xml:space="preserve">At the time the TGA considered this application, a similar application had been approved </w:t>
      </w:r>
      <w:r w:rsidR="00E75B58">
        <w:t>in the United States of America (USA; approved 26 March 2019)</w:t>
      </w:r>
      <w:r w:rsidRPr="00940A89">
        <w:t xml:space="preserve"> </w:t>
      </w:r>
      <w:r w:rsidR="008D1DDE">
        <w:t xml:space="preserve">and </w:t>
      </w:r>
      <w:r w:rsidRPr="00940A89">
        <w:t>was under co</w:t>
      </w:r>
      <w:r>
        <w:t xml:space="preserve">nsideration in </w:t>
      </w:r>
      <w:r w:rsidR="00E75B58">
        <w:t>the European Union (EU), Switzerland, and Canada (</w:t>
      </w:r>
      <w:r w:rsidR="008D1DDE">
        <w:t xml:space="preserve">see </w:t>
      </w:r>
      <w:r w:rsidR="00E75B58">
        <w:fldChar w:fldCharType="begin"/>
      </w:r>
      <w:r w:rsidR="00E75B58">
        <w:instrText xml:space="preserve"> REF _Ref24707990 \h </w:instrText>
      </w:r>
      <w:r w:rsidR="00E75B58">
        <w:fldChar w:fldCharType="separate"/>
      </w:r>
      <w:r w:rsidR="00E75B58">
        <w:t xml:space="preserve">Table </w:t>
      </w:r>
      <w:r w:rsidR="00E75B58">
        <w:rPr>
          <w:noProof/>
        </w:rPr>
        <w:t>1</w:t>
      </w:r>
      <w:r w:rsidR="00E75B58">
        <w:fldChar w:fldCharType="end"/>
      </w:r>
      <w:r w:rsidR="00E75B58">
        <w:t>)</w:t>
      </w:r>
      <w:r>
        <w:t>.</w:t>
      </w:r>
    </w:p>
    <w:p w14:paraId="428E59BD" w14:textId="494EAB5D" w:rsidR="00E75B58" w:rsidRDefault="00E75B58" w:rsidP="00E75B58">
      <w:pPr>
        <w:pStyle w:val="TableTitle"/>
      </w:pPr>
      <w:bookmarkStart w:id="28" w:name="_Ref24707990"/>
      <w:r>
        <w:t xml:space="preserve">Table </w:t>
      </w:r>
      <w:fldSimple w:instr=" SEQ Table \* ARABIC ">
        <w:r w:rsidR="00C20E52">
          <w:rPr>
            <w:noProof/>
          </w:rPr>
          <w:t>1</w:t>
        </w:r>
      </w:fldSimple>
      <w:bookmarkEnd w:id="28"/>
      <w:r>
        <w:t xml:space="preserve">: International regulatory status of </w:t>
      </w:r>
      <w:r w:rsidRPr="00A229B5">
        <w:t>Mayzent (</w:t>
      </w:r>
      <w:proofErr w:type="spellStart"/>
      <w:r w:rsidRPr="00A229B5">
        <w:t>siponimod</w:t>
      </w:r>
      <w:proofErr w:type="spellEnd"/>
      <w:r>
        <w:t>) as of 6</w:t>
      </w:r>
      <w:r w:rsidR="008D1DDE">
        <w:t> </w:t>
      </w:r>
      <w:r>
        <w:t>September</w:t>
      </w:r>
      <w:r w:rsidR="008D1DDE">
        <w:t> </w:t>
      </w:r>
      <w:r>
        <w:t>2019</w:t>
      </w:r>
    </w:p>
    <w:tbl>
      <w:tblPr>
        <w:tblStyle w:val="TableTGAblue"/>
        <w:tblW w:w="0" w:type="auto"/>
        <w:tblLook w:val="04A0" w:firstRow="1" w:lastRow="0" w:firstColumn="1" w:lastColumn="0" w:noHBand="0" w:noVBand="1"/>
      </w:tblPr>
      <w:tblGrid>
        <w:gridCol w:w="2180"/>
        <w:gridCol w:w="2180"/>
        <w:gridCol w:w="2180"/>
        <w:gridCol w:w="2180"/>
      </w:tblGrid>
      <w:tr w:rsidR="00E75B58" w:rsidRPr="00E75B58" w14:paraId="3A8A2EB6" w14:textId="77777777" w:rsidTr="00E75B58">
        <w:trPr>
          <w:cnfStyle w:val="100000000000" w:firstRow="1" w:lastRow="0" w:firstColumn="0" w:lastColumn="0" w:oddVBand="0" w:evenVBand="0" w:oddHBand="0" w:evenHBand="0" w:firstRowFirstColumn="0" w:firstRowLastColumn="0" w:lastRowFirstColumn="0" w:lastRowLastColumn="0"/>
        </w:trPr>
        <w:tc>
          <w:tcPr>
            <w:tcW w:w="2180" w:type="dxa"/>
          </w:tcPr>
          <w:p w14:paraId="6A157FC6" w14:textId="77777777" w:rsidR="00E75B58" w:rsidRPr="00E75B58" w:rsidRDefault="00E75B58" w:rsidP="00E75B58">
            <w:pPr>
              <w:ind w:left="0" w:right="0"/>
              <w:rPr>
                <w:sz w:val="20"/>
                <w:szCs w:val="20"/>
              </w:rPr>
            </w:pPr>
            <w:r w:rsidRPr="00E75B58">
              <w:rPr>
                <w:sz w:val="20"/>
                <w:szCs w:val="20"/>
              </w:rPr>
              <w:t>Region</w:t>
            </w:r>
          </w:p>
        </w:tc>
        <w:tc>
          <w:tcPr>
            <w:tcW w:w="2180" w:type="dxa"/>
          </w:tcPr>
          <w:p w14:paraId="55D3C025" w14:textId="77777777" w:rsidR="00E75B58" w:rsidRPr="00E75B58" w:rsidRDefault="00E75B58" w:rsidP="00E75B58">
            <w:pPr>
              <w:ind w:left="0" w:right="0"/>
              <w:rPr>
                <w:sz w:val="20"/>
                <w:szCs w:val="20"/>
              </w:rPr>
            </w:pPr>
            <w:r w:rsidRPr="00E75B58">
              <w:rPr>
                <w:sz w:val="20"/>
                <w:szCs w:val="20"/>
              </w:rPr>
              <w:t>Submission date</w:t>
            </w:r>
          </w:p>
        </w:tc>
        <w:tc>
          <w:tcPr>
            <w:tcW w:w="2180" w:type="dxa"/>
          </w:tcPr>
          <w:p w14:paraId="377F36E4" w14:textId="77777777" w:rsidR="00E75B58" w:rsidRPr="00E75B58" w:rsidRDefault="00E75B58" w:rsidP="00E75B58">
            <w:pPr>
              <w:ind w:left="0" w:right="0"/>
              <w:rPr>
                <w:sz w:val="20"/>
                <w:szCs w:val="20"/>
              </w:rPr>
            </w:pPr>
            <w:r w:rsidRPr="00E75B58">
              <w:rPr>
                <w:sz w:val="20"/>
                <w:szCs w:val="20"/>
              </w:rPr>
              <w:t>Status</w:t>
            </w:r>
          </w:p>
        </w:tc>
        <w:tc>
          <w:tcPr>
            <w:tcW w:w="2180" w:type="dxa"/>
          </w:tcPr>
          <w:p w14:paraId="26698E70" w14:textId="77777777" w:rsidR="00E75B58" w:rsidRPr="00E75B58" w:rsidRDefault="00E75B58" w:rsidP="00E75B58">
            <w:pPr>
              <w:ind w:left="0" w:right="0"/>
              <w:rPr>
                <w:sz w:val="20"/>
                <w:szCs w:val="20"/>
              </w:rPr>
            </w:pPr>
            <w:r w:rsidRPr="00E75B58">
              <w:rPr>
                <w:sz w:val="20"/>
                <w:szCs w:val="20"/>
              </w:rPr>
              <w:t>Indications</w:t>
            </w:r>
          </w:p>
        </w:tc>
      </w:tr>
      <w:tr w:rsidR="00E75B58" w:rsidRPr="00E75B58" w14:paraId="3743313E" w14:textId="77777777" w:rsidTr="00E75B58">
        <w:tc>
          <w:tcPr>
            <w:tcW w:w="2180" w:type="dxa"/>
          </w:tcPr>
          <w:p w14:paraId="622ED5A8" w14:textId="77777777" w:rsidR="00E75B58" w:rsidRPr="00E75B58" w:rsidRDefault="00E75B58" w:rsidP="00E75B58">
            <w:pPr>
              <w:ind w:left="0" w:right="0"/>
              <w:rPr>
                <w:sz w:val="20"/>
                <w:szCs w:val="20"/>
              </w:rPr>
            </w:pPr>
            <w:r w:rsidRPr="00E75B58">
              <w:rPr>
                <w:sz w:val="20"/>
                <w:szCs w:val="20"/>
              </w:rPr>
              <w:t>USA</w:t>
            </w:r>
          </w:p>
        </w:tc>
        <w:tc>
          <w:tcPr>
            <w:tcW w:w="2180" w:type="dxa"/>
          </w:tcPr>
          <w:p w14:paraId="39C76A32" w14:textId="77777777" w:rsidR="00E75B58" w:rsidRPr="00E75B58" w:rsidRDefault="00E75B58" w:rsidP="00E75B58">
            <w:pPr>
              <w:ind w:left="0" w:right="0"/>
              <w:rPr>
                <w:sz w:val="20"/>
                <w:szCs w:val="20"/>
              </w:rPr>
            </w:pPr>
            <w:r w:rsidRPr="00E75B58">
              <w:rPr>
                <w:sz w:val="20"/>
                <w:szCs w:val="20"/>
              </w:rPr>
              <w:t>26 July 2018</w:t>
            </w:r>
          </w:p>
        </w:tc>
        <w:tc>
          <w:tcPr>
            <w:tcW w:w="2180" w:type="dxa"/>
          </w:tcPr>
          <w:p w14:paraId="3241C3AD" w14:textId="77777777" w:rsidR="00E75B58" w:rsidRPr="00E75B58" w:rsidRDefault="00E75B58" w:rsidP="00E75B58">
            <w:pPr>
              <w:ind w:left="0" w:right="0"/>
              <w:rPr>
                <w:sz w:val="20"/>
                <w:szCs w:val="20"/>
              </w:rPr>
            </w:pPr>
            <w:r w:rsidRPr="00E75B58">
              <w:rPr>
                <w:sz w:val="20"/>
                <w:szCs w:val="20"/>
              </w:rPr>
              <w:t>Approved 26 March 2019</w:t>
            </w:r>
          </w:p>
        </w:tc>
        <w:tc>
          <w:tcPr>
            <w:tcW w:w="2180" w:type="dxa"/>
          </w:tcPr>
          <w:p w14:paraId="1FFC9094" w14:textId="77777777" w:rsidR="00E75B58" w:rsidRPr="00094A72" w:rsidRDefault="00E75B58" w:rsidP="00E75B58">
            <w:pPr>
              <w:ind w:left="0" w:right="0"/>
              <w:rPr>
                <w:i/>
                <w:sz w:val="20"/>
                <w:szCs w:val="20"/>
              </w:rPr>
            </w:pPr>
            <w:r w:rsidRPr="00094A72">
              <w:rPr>
                <w:i/>
                <w:sz w:val="20"/>
                <w:szCs w:val="20"/>
              </w:rPr>
              <w:t>Mayzent is indicated for the treatment of relapsing forms of multiple sclerosis, to include clinically isolated syndrome, relapsing-remitting disease, and secondary progressive multiple sclerosis with active disease, in adults.</w:t>
            </w:r>
          </w:p>
        </w:tc>
      </w:tr>
      <w:tr w:rsidR="00E75B58" w:rsidRPr="00E75B58" w14:paraId="14DE1368" w14:textId="77777777" w:rsidTr="00E75B58">
        <w:tc>
          <w:tcPr>
            <w:tcW w:w="2180" w:type="dxa"/>
          </w:tcPr>
          <w:p w14:paraId="27C4E932" w14:textId="38A8D743" w:rsidR="00E75B58" w:rsidRPr="00E75B58" w:rsidRDefault="00E75B58" w:rsidP="00E75B58">
            <w:pPr>
              <w:ind w:left="0" w:right="0"/>
              <w:rPr>
                <w:sz w:val="20"/>
                <w:szCs w:val="20"/>
              </w:rPr>
            </w:pPr>
            <w:r w:rsidRPr="00E75B58">
              <w:rPr>
                <w:sz w:val="20"/>
                <w:szCs w:val="20"/>
              </w:rPr>
              <w:t>EU (</w:t>
            </w:r>
            <w:r w:rsidR="008D1DDE">
              <w:rPr>
                <w:sz w:val="20"/>
                <w:szCs w:val="20"/>
              </w:rPr>
              <w:t xml:space="preserve">via the </w:t>
            </w:r>
            <w:r w:rsidRPr="00E75B58">
              <w:rPr>
                <w:sz w:val="20"/>
                <w:szCs w:val="20"/>
              </w:rPr>
              <w:t>Centralised Procedure)</w:t>
            </w:r>
          </w:p>
        </w:tc>
        <w:tc>
          <w:tcPr>
            <w:tcW w:w="2180" w:type="dxa"/>
          </w:tcPr>
          <w:p w14:paraId="4832FC8E" w14:textId="77777777" w:rsidR="00E75B58" w:rsidRPr="00E75B58" w:rsidRDefault="00E75B58" w:rsidP="00E75B58">
            <w:pPr>
              <w:ind w:left="0" w:right="0"/>
              <w:rPr>
                <w:sz w:val="20"/>
                <w:szCs w:val="20"/>
              </w:rPr>
            </w:pPr>
            <w:r w:rsidRPr="00E75B58">
              <w:rPr>
                <w:sz w:val="20"/>
                <w:szCs w:val="20"/>
              </w:rPr>
              <w:t>13 September 2018</w:t>
            </w:r>
          </w:p>
        </w:tc>
        <w:tc>
          <w:tcPr>
            <w:tcW w:w="2180" w:type="dxa"/>
          </w:tcPr>
          <w:p w14:paraId="670FA1CF" w14:textId="77777777" w:rsidR="00E75B58" w:rsidRPr="00E75B58" w:rsidRDefault="00E75B58" w:rsidP="00E75B58">
            <w:pPr>
              <w:ind w:left="0" w:right="0"/>
              <w:rPr>
                <w:sz w:val="20"/>
                <w:szCs w:val="20"/>
              </w:rPr>
            </w:pPr>
            <w:r w:rsidRPr="00E75B58">
              <w:rPr>
                <w:sz w:val="20"/>
                <w:szCs w:val="20"/>
              </w:rPr>
              <w:t>Under evaluation</w:t>
            </w:r>
          </w:p>
        </w:tc>
        <w:tc>
          <w:tcPr>
            <w:tcW w:w="2180" w:type="dxa"/>
          </w:tcPr>
          <w:p w14:paraId="5DBF7450" w14:textId="77777777" w:rsidR="00E75B58" w:rsidRPr="00E75B58" w:rsidRDefault="00E75B58" w:rsidP="00E75B58">
            <w:pPr>
              <w:ind w:left="0" w:right="0"/>
              <w:rPr>
                <w:sz w:val="20"/>
                <w:szCs w:val="20"/>
              </w:rPr>
            </w:pPr>
            <w:r w:rsidRPr="00E75B58">
              <w:rPr>
                <w:sz w:val="20"/>
                <w:szCs w:val="20"/>
              </w:rPr>
              <w:t>Under evaluation</w:t>
            </w:r>
          </w:p>
        </w:tc>
      </w:tr>
      <w:tr w:rsidR="00E75B58" w:rsidRPr="00E75B58" w14:paraId="5DC05744" w14:textId="77777777" w:rsidTr="00E75B58">
        <w:tc>
          <w:tcPr>
            <w:tcW w:w="2180" w:type="dxa"/>
          </w:tcPr>
          <w:p w14:paraId="269B374D" w14:textId="77777777" w:rsidR="00E75B58" w:rsidRPr="00E75B58" w:rsidRDefault="00E75B58" w:rsidP="00E75B58">
            <w:pPr>
              <w:ind w:left="0" w:right="0"/>
              <w:rPr>
                <w:sz w:val="20"/>
                <w:szCs w:val="20"/>
              </w:rPr>
            </w:pPr>
            <w:r w:rsidRPr="00E75B58">
              <w:rPr>
                <w:sz w:val="20"/>
                <w:szCs w:val="20"/>
              </w:rPr>
              <w:t>Switzerland</w:t>
            </w:r>
          </w:p>
        </w:tc>
        <w:tc>
          <w:tcPr>
            <w:tcW w:w="2180" w:type="dxa"/>
          </w:tcPr>
          <w:p w14:paraId="2BA5597E" w14:textId="77777777" w:rsidR="00E75B58" w:rsidRPr="00E75B58" w:rsidRDefault="00E75B58" w:rsidP="00E75B58">
            <w:pPr>
              <w:ind w:left="0" w:right="0"/>
              <w:rPr>
                <w:sz w:val="20"/>
                <w:szCs w:val="20"/>
              </w:rPr>
            </w:pPr>
            <w:r w:rsidRPr="00E75B58">
              <w:rPr>
                <w:sz w:val="20"/>
                <w:szCs w:val="20"/>
              </w:rPr>
              <w:t>23 October 2018</w:t>
            </w:r>
          </w:p>
        </w:tc>
        <w:tc>
          <w:tcPr>
            <w:tcW w:w="2180" w:type="dxa"/>
          </w:tcPr>
          <w:p w14:paraId="01670C6C" w14:textId="77777777" w:rsidR="00E75B58" w:rsidRPr="00E75B58" w:rsidRDefault="00E75B58" w:rsidP="00E75B58">
            <w:pPr>
              <w:ind w:left="0" w:right="0"/>
              <w:rPr>
                <w:sz w:val="20"/>
                <w:szCs w:val="20"/>
              </w:rPr>
            </w:pPr>
            <w:r w:rsidRPr="00E75B58">
              <w:rPr>
                <w:sz w:val="20"/>
                <w:szCs w:val="20"/>
              </w:rPr>
              <w:t>Under evaluation</w:t>
            </w:r>
          </w:p>
        </w:tc>
        <w:tc>
          <w:tcPr>
            <w:tcW w:w="2180" w:type="dxa"/>
          </w:tcPr>
          <w:p w14:paraId="69542FF2" w14:textId="77777777" w:rsidR="00E75B58" w:rsidRPr="00E75B58" w:rsidRDefault="00E75B58" w:rsidP="00E75B58">
            <w:pPr>
              <w:ind w:left="0" w:right="0"/>
              <w:rPr>
                <w:sz w:val="20"/>
                <w:szCs w:val="20"/>
              </w:rPr>
            </w:pPr>
            <w:r w:rsidRPr="00E75B58">
              <w:rPr>
                <w:sz w:val="20"/>
                <w:szCs w:val="20"/>
              </w:rPr>
              <w:t>Under evaluation</w:t>
            </w:r>
          </w:p>
        </w:tc>
      </w:tr>
      <w:tr w:rsidR="00E75B58" w:rsidRPr="00E75B58" w14:paraId="43B7E10C" w14:textId="77777777" w:rsidTr="00E75B58">
        <w:tc>
          <w:tcPr>
            <w:tcW w:w="2180" w:type="dxa"/>
          </w:tcPr>
          <w:p w14:paraId="36E0B6C7" w14:textId="77777777" w:rsidR="00E75B58" w:rsidRPr="00E75B58" w:rsidRDefault="00E75B58" w:rsidP="00E75B58">
            <w:pPr>
              <w:ind w:left="0" w:right="0"/>
              <w:rPr>
                <w:sz w:val="20"/>
                <w:szCs w:val="20"/>
              </w:rPr>
            </w:pPr>
            <w:r w:rsidRPr="00E75B58">
              <w:rPr>
                <w:sz w:val="20"/>
                <w:szCs w:val="20"/>
              </w:rPr>
              <w:t>Canada</w:t>
            </w:r>
          </w:p>
        </w:tc>
        <w:tc>
          <w:tcPr>
            <w:tcW w:w="2180" w:type="dxa"/>
          </w:tcPr>
          <w:p w14:paraId="65D0B96C" w14:textId="77777777" w:rsidR="00E75B58" w:rsidRPr="00E75B58" w:rsidRDefault="00E75B58" w:rsidP="00E75B58">
            <w:pPr>
              <w:ind w:left="0" w:right="0"/>
              <w:rPr>
                <w:sz w:val="20"/>
                <w:szCs w:val="20"/>
              </w:rPr>
            </w:pPr>
            <w:r w:rsidRPr="00E75B58">
              <w:rPr>
                <w:sz w:val="20"/>
                <w:szCs w:val="20"/>
              </w:rPr>
              <w:t>20 December 2018</w:t>
            </w:r>
          </w:p>
        </w:tc>
        <w:tc>
          <w:tcPr>
            <w:tcW w:w="2180" w:type="dxa"/>
          </w:tcPr>
          <w:p w14:paraId="136648DE" w14:textId="77777777" w:rsidR="00E75B58" w:rsidRPr="00E75B58" w:rsidRDefault="00E75B58" w:rsidP="00E75B58">
            <w:pPr>
              <w:ind w:left="0" w:right="0"/>
              <w:rPr>
                <w:sz w:val="20"/>
                <w:szCs w:val="20"/>
              </w:rPr>
            </w:pPr>
            <w:r w:rsidRPr="00E75B58">
              <w:rPr>
                <w:sz w:val="20"/>
                <w:szCs w:val="20"/>
              </w:rPr>
              <w:t>Under evaluation</w:t>
            </w:r>
          </w:p>
        </w:tc>
        <w:tc>
          <w:tcPr>
            <w:tcW w:w="2180" w:type="dxa"/>
          </w:tcPr>
          <w:p w14:paraId="56061DF3" w14:textId="77777777" w:rsidR="00E75B58" w:rsidRPr="00E75B58" w:rsidRDefault="00E75B58" w:rsidP="00E75B58">
            <w:pPr>
              <w:ind w:left="0" w:right="0"/>
              <w:rPr>
                <w:sz w:val="20"/>
                <w:szCs w:val="20"/>
              </w:rPr>
            </w:pPr>
            <w:r w:rsidRPr="00E75B58">
              <w:rPr>
                <w:sz w:val="20"/>
                <w:szCs w:val="20"/>
              </w:rPr>
              <w:t>Under evaluation</w:t>
            </w:r>
          </w:p>
        </w:tc>
      </w:tr>
    </w:tbl>
    <w:p w14:paraId="681FC658" w14:textId="77777777" w:rsidR="008E7846" w:rsidRDefault="008E7846" w:rsidP="00940A89">
      <w:pPr>
        <w:pStyle w:val="Heading3"/>
      </w:pPr>
      <w:bookmarkStart w:id="29" w:name="_Toc28868680"/>
      <w:r>
        <w:t>Product Information</w:t>
      </w:r>
      <w:bookmarkEnd w:id="26"/>
      <w:bookmarkEnd w:id="27"/>
      <w:bookmarkEnd w:id="29"/>
    </w:p>
    <w:p w14:paraId="26090320" w14:textId="77777777" w:rsidR="00940A89" w:rsidRDefault="006136D7" w:rsidP="00940A89">
      <w:bookmarkStart w:id="30" w:name="_Toc247691506"/>
      <w:bookmarkStart w:id="31"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42C9ACBB" w14:textId="77777777" w:rsidR="00500337" w:rsidRDefault="007565E0" w:rsidP="00500337">
      <w:pPr>
        <w:pStyle w:val="Heading2"/>
      </w:pPr>
      <w:bookmarkStart w:id="32" w:name="_Toc504480011"/>
      <w:bookmarkStart w:id="33" w:name="_Toc28868681"/>
      <w:r>
        <w:t>II. Registration time</w:t>
      </w:r>
      <w:r w:rsidR="00500337">
        <w:t>line</w:t>
      </w:r>
      <w:bookmarkEnd w:id="32"/>
      <w:bookmarkEnd w:id="33"/>
    </w:p>
    <w:p w14:paraId="4DF44E0F" w14:textId="77777777" w:rsidR="00500337" w:rsidRDefault="00652333" w:rsidP="00500337">
      <w:r>
        <w:fldChar w:fldCharType="begin"/>
      </w:r>
      <w:r>
        <w:instrText xml:space="preserve"> REF _Ref24708254 \h </w:instrText>
      </w:r>
      <w:r>
        <w:fldChar w:fldCharType="separate"/>
      </w:r>
      <w:r>
        <w:t xml:space="preserve">Table </w:t>
      </w:r>
      <w:r>
        <w:rPr>
          <w:noProof/>
        </w:rPr>
        <w:t>2</w:t>
      </w:r>
      <w:r>
        <w:fldChar w:fldCharType="end"/>
      </w:r>
      <w:r>
        <w:t xml:space="preserve"> </w:t>
      </w:r>
      <w:r w:rsidR="00500337">
        <w:t>captures the key steps and dates for this application and which are detailed and discussed in this Au</w:t>
      </w:r>
      <w:r w:rsidR="00E75B58">
        <w:t>sPAR</w:t>
      </w:r>
      <w:r w:rsidR="00500337">
        <w:t>.</w:t>
      </w:r>
    </w:p>
    <w:p w14:paraId="30638445" w14:textId="77777777" w:rsidR="00500337" w:rsidRPr="00377BD4" w:rsidRDefault="00652333" w:rsidP="00F91554">
      <w:pPr>
        <w:pStyle w:val="TableTitle"/>
      </w:pPr>
      <w:bookmarkStart w:id="34" w:name="_Ref24708254"/>
      <w:r>
        <w:t xml:space="preserve">Table </w:t>
      </w:r>
      <w:fldSimple w:instr=" SEQ Table \* ARABIC ">
        <w:r w:rsidR="00C20E52">
          <w:rPr>
            <w:noProof/>
          </w:rPr>
          <w:t>2</w:t>
        </w:r>
      </w:fldSimple>
      <w:bookmarkEnd w:id="34"/>
      <w:r>
        <w:t xml:space="preserve">: </w:t>
      </w:r>
      <w:r w:rsidR="006A58A8" w:rsidRPr="006A58A8">
        <w:t xml:space="preserve">Timeline for Submission </w:t>
      </w:r>
      <w:r w:rsidR="00E75B58" w:rsidRPr="00E75B58">
        <w:t>PM-2018-04434-1-1</w:t>
      </w:r>
    </w:p>
    <w:tbl>
      <w:tblPr>
        <w:tblStyle w:val="TableTGAblue"/>
        <w:tblW w:w="0" w:type="auto"/>
        <w:tblLook w:val="04A0" w:firstRow="1" w:lastRow="0" w:firstColumn="1" w:lastColumn="0" w:noHBand="0" w:noVBand="1"/>
      </w:tblPr>
      <w:tblGrid>
        <w:gridCol w:w="4360"/>
        <w:gridCol w:w="4360"/>
      </w:tblGrid>
      <w:tr w:rsidR="00500337" w14:paraId="4485F0E5"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74D61757" w14:textId="77777777" w:rsidR="00500337" w:rsidRDefault="00500337" w:rsidP="00500337">
            <w:pPr>
              <w:ind w:left="0" w:right="0"/>
            </w:pPr>
            <w:r>
              <w:t>Description</w:t>
            </w:r>
          </w:p>
        </w:tc>
        <w:tc>
          <w:tcPr>
            <w:tcW w:w="4360" w:type="dxa"/>
          </w:tcPr>
          <w:p w14:paraId="544A615C" w14:textId="77777777" w:rsidR="00500337" w:rsidRDefault="00500337" w:rsidP="00500337">
            <w:pPr>
              <w:ind w:left="0" w:right="0"/>
            </w:pPr>
            <w:r>
              <w:t>Date</w:t>
            </w:r>
          </w:p>
        </w:tc>
      </w:tr>
      <w:tr w:rsidR="00E75B58" w14:paraId="1B6581ED" w14:textId="77777777" w:rsidTr="00E75B58">
        <w:tc>
          <w:tcPr>
            <w:tcW w:w="4360" w:type="dxa"/>
          </w:tcPr>
          <w:p w14:paraId="61775F4D" w14:textId="77777777" w:rsidR="00E75B58" w:rsidRDefault="00E75B58" w:rsidP="00E75B58">
            <w:pPr>
              <w:ind w:left="0" w:right="0"/>
            </w:pPr>
            <w:r>
              <w:t>Submission dossier accepted and first round evaluation commenced</w:t>
            </w:r>
          </w:p>
        </w:tc>
        <w:tc>
          <w:tcPr>
            <w:tcW w:w="4360" w:type="dxa"/>
            <w:vAlign w:val="center"/>
          </w:tcPr>
          <w:p w14:paraId="3B8FEC35" w14:textId="77777777" w:rsidR="00E75B58" w:rsidRPr="007574E8" w:rsidRDefault="00E75B58" w:rsidP="00E75B58">
            <w:pPr>
              <w:spacing w:before="0" w:after="0" w:line="240" w:lineRule="auto"/>
              <w:rPr>
                <w:color w:val="auto"/>
              </w:rPr>
            </w:pPr>
            <w:r w:rsidRPr="007574E8">
              <w:rPr>
                <w:color w:val="auto"/>
              </w:rPr>
              <w:t>30 November 2018</w:t>
            </w:r>
          </w:p>
        </w:tc>
      </w:tr>
      <w:tr w:rsidR="00E75B58" w14:paraId="45EA0114" w14:textId="77777777" w:rsidTr="00E75B58">
        <w:tc>
          <w:tcPr>
            <w:tcW w:w="4360" w:type="dxa"/>
          </w:tcPr>
          <w:p w14:paraId="20361E51" w14:textId="77777777" w:rsidR="00E75B58" w:rsidRDefault="00E75B58" w:rsidP="00E75B58">
            <w:pPr>
              <w:ind w:left="0" w:right="0"/>
            </w:pPr>
            <w:r>
              <w:t>First round evaluation completed</w:t>
            </w:r>
          </w:p>
        </w:tc>
        <w:tc>
          <w:tcPr>
            <w:tcW w:w="4360" w:type="dxa"/>
            <w:vAlign w:val="center"/>
          </w:tcPr>
          <w:p w14:paraId="5735CC43" w14:textId="77777777" w:rsidR="00E75B58" w:rsidRPr="007574E8" w:rsidRDefault="00E75B58" w:rsidP="00E75B58">
            <w:pPr>
              <w:spacing w:before="0" w:after="0" w:line="240" w:lineRule="auto"/>
              <w:rPr>
                <w:color w:val="auto"/>
              </w:rPr>
            </w:pPr>
            <w:r w:rsidRPr="007574E8">
              <w:rPr>
                <w:color w:val="auto"/>
              </w:rPr>
              <w:t>5 June 2019</w:t>
            </w:r>
          </w:p>
        </w:tc>
      </w:tr>
      <w:tr w:rsidR="00E75B58" w14:paraId="7960EEEE" w14:textId="77777777" w:rsidTr="00767EF1">
        <w:trPr>
          <w:cantSplit/>
        </w:trPr>
        <w:tc>
          <w:tcPr>
            <w:tcW w:w="4360" w:type="dxa"/>
          </w:tcPr>
          <w:p w14:paraId="3D3834D5" w14:textId="77777777" w:rsidR="00E75B58" w:rsidRDefault="00E75B58" w:rsidP="00E75B58">
            <w:pPr>
              <w:ind w:left="0" w:right="0"/>
            </w:pPr>
            <w:r>
              <w:t>Sponsor provides responses on questions raised in first round evaluation</w:t>
            </w:r>
          </w:p>
        </w:tc>
        <w:tc>
          <w:tcPr>
            <w:tcW w:w="4360" w:type="dxa"/>
            <w:vAlign w:val="center"/>
          </w:tcPr>
          <w:p w14:paraId="304F9DAE" w14:textId="77777777" w:rsidR="00E75B58" w:rsidRPr="007574E8" w:rsidRDefault="00E75B58" w:rsidP="00E75B58">
            <w:pPr>
              <w:spacing w:before="0" w:after="0" w:line="240" w:lineRule="auto"/>
              <w:rPr>
                <w:color w:val="auto"/>
              </w:rPr>
            </w:pPr>
            <w:r w:rsidRPr="007574E8">
              <w:rPr>
                <w:color w:val="auto"/>
              </w:rPr>
              <w:t>27 June 2019</w:t>
            </w:r>
          </w:p>
        </w:tc>
      </w:tr>
      <w:tr w:rsidR="00E75B58" w14:paraId="24B44E77" w14:textId="77777777" w:rsidTr="00E75B58">
        <w:tc>
          <w:tcPr>
            <w:tcW w:w="4360" w:type="dxa"/>
          </w:tcPr>
          <w:p w14:paraId="16BB0EAF" w14:textId="77777777" w:rsidR="00E75B58" w:rsidRDefault="00E75B58" w:rsidP="00E75B58">
            <w:pPr>
              <w:ind w:left="0" w:right="0"/>
            </w:pPr>
            <w:r>
              <w:t>Second round evaluation completed</w:t>
            </w:r>
          </w:p>
        </w:tc>
        <w:tc>
          <w:tcPr>
            <w:tcW w:w="4360" w:type="dxa"/>
            <w:vAlign w:val="center"/>
          </w:tcPr>
          <w:p w14:paraId="212F0A8C" w14:textId="77777777" w:rsidR="00E75B58" w:rsidRPr="007574E8" w:rsidRDefault="00E75B58" w:rsidP="00E75B58">
            <w:pPr>
              <w:spacing w:before="0" w:after="0" w:line="240" w:lineRule="auto"/>
              <w:rPr>
                <w:color w:val="auto"/>
              </w:rPr>
            </w:pPr>
            <w:r w:rsidRPr="007574E8">
              <w:rPr>
                <w:color w:val="auto"/>
              </w:rPr>
              <w:t>22 August 2019</w:t>
            </w:r>
          </w:p>
        </w:tc>
      </w:tr>
      <w:tr w:rsidR="00E75B58" w14:paraId="58E42836" w14:textId="77777777" w:rsidTr="00E75B58">
        <w:tc>
          <w:tcPr>
            <w:tcW w:w="4360" w:type="dxa"/>
          </w:tcPr>
          <w:p w14:paraId="3432E826" w14:textId="77777777" w:rsidR="00E75B58" w:rsidRDefault="00E75B58" w:rsidP="00E75B58">
            <w:pPr>
              <w:ind w:left="0" w:right="0"/>
            </w:pPr>
            <w:r>
              <w:t xml:space="preserve">Delegate’s Overall benefit-risk assessment </w:t>
            </w:r>
            <w:r>
              <w:lastRenderedPageBreak/>
              <w:t>and request for Advisory Committee advice</w:t>
            </w:r>
          </w:p>
        </w:tc>
        <w:tc>
          <w:tcPr>
            <w:tcW w:w="4360" w:type="dxa"/>
            <w:vAlign w:val="center"/>
          </w:tcPr>
          <w:p w14:paraId="2000C722" w14:textId="77777777" w:rsidR="00E75B58" w:rsidRPr="007574E8" w:rsidRDefault="00E75B58" w:rsidP="00E75B58">
            <w:pPr>
              <w:spacing w:before="0" w:after="0" w:line="240" w:lineRule="auto"/>
              <w:rPr>
                <w:color w:val="auto"/>
              </w:rPr>
            </w:pPr>
            <w:r w:rsidRPr="007574E8">
              <w:rPr>
                <w:color w:val="auto"/>
              </w:rPr>
              <w:lastRenderedPageBreak/>
              <w:t>3 September 2019</w:t>
            </w:r>
          </w:p>
        </w:tc>
      </w:tr>
      <w:tr w:rsidR="00E75B58" w14:paraId="025BFCC9" w14:textId="77777777" w:rsidTr="00E75B58">
        <w:tc>
          <w:tcPr>
            <w:tcW w:w="4360" w:type="dxa"/>
          </w:tcPr>
          <w:p w14:paraId="43E776AF" w14:textId="77777777" w:rsidR="00E75B58" w:rsidRDefault="00E75B58" w:rsidP="00E75B58">
            <w:pPr>
              <w:ind w:left="0" w:right="0"/>
            </w:pPr>
            <w:r>
              <w:t>Sponsor’s pre-Advisory Committee response</w:t>
            </w:r>
          </w:p>
        </w:tc>
        <w:tc>
          <w:tcPr>
            <w:tcW w:w="4360" w:type="dxa"/>
            <w:vAlign w:val="center"/>
          </w:tcPr>
          <w:p w14:paraId="21C0F3F7" w14:textId="77777777" w:rsidR="00E75B58" w:rsidRPr="007574E8" w:rsidRDefault="00E75B58" w:rsidP="00E75B58">
            <w:pPr>
              <w:spacing w:before="0" w:after="0" w:line="240" w:lineRule="auto"/>
              <w:rPr>
                <w:color w:val="auto"/>
              </w:rPr>
            </w:pPr>
            <w:r w:rsidRPr="007574E8">
              <w:rPr>
                <w:color w:val="auto"/>
              </w:rPr>
              <w:t>16 September 2019</w:t>
            </w:r>
          </w:p>
        </w:tc>
      </w:tr>
      <w:tr w:rsidR="00E75B58" w14:paraId="0397BDCA" w14:textId="77777777" w:rsidTr="00E75B58">
        <w:tc>
          <w:tcPr>
            <w:tcW w:w="4360" w:type="dxa"/>
          </w:tcPr>
          <w:p w14:paraId="1DFD6B63" w14:textId="77777777" w:rsidR="00E75B58" w:rsidRDefault="00E75B58" w:rsidP="00E75B58">
            <w:pPr>
              <w:ind w:left="0" w:right="0"/>
            </w:pPr>
            <w:r>
              <w:t>Advisory Committee meeting</w:t>
            </w:r>
          </w:p>
        </w:tc>
        <w:tc>
          <w:tcPr>
            <w:tcW w:w="4360" w:type="dxa"/>
            <w:vAlign w:val="center"/>
          </w:tcPr>
          <w:p w14:paraId="1E0D6992" w14:textId="77777777" w:rsidR="00E75B58" w:rsidRPr="007574E8" w:rsidRDefault="00E75B58" w:rsidP="00E75B58">
            <w:pPr>
              <w:spacing w:before="0" w:after="0" w:line="240" w:lineRule="auto"/>
              <w:rPr>
                <w:color w:val="auto"/>
              </w:rPr>
            </w:pPr>
            <w:r w:rsidRPr="007574E8">
              <w:rPr>
                <w:color w:val="auto"/>
              </w:rPr>
              <w:t>4 October 2019</w:t>
            </w:r>
          </w:p>
        </w:tc>
      </w:tr>
      <w:tr w:rsidR="00E75B58" w14:paraId="44DCD6E3" w14:textId="77777777" w:rsidTr="00E75B58">
        <w:tc>
          <w:tcPr>
            <w:tcW w:w="4360" w:type="dxa"/>
          </w:tcPr>
          <w:p w14:paraId="6F58A740" w14:textId="77777777" w:rsidR="00E75B58" w:rsidRDefault="00E75B58" w:rsidP="00E75B58">
            <w:pPr>
              <w:ind w:left="0" w:right="0"/>
            </w:pPr>
            <w:r>
              <w:t>Registration decision (Outcome)</w:t>
            </w:r>
          </w:p>
        </w:tc>
        <w:tc>
          <w:tcPr>
            <w:tcW w:w="4360" w:type="dxa"/>
            <w:vAlign w:val="center"/>
          </w:tcPr>
          <w:p w14:paraId="37153D48" w14:textId="77777777" w:rsidR="00E75B58" w:rsidRPr="007574E8" w:rsidRDefault="00E75B58" w:rsidP="00E75B58">
            <w:pPr>
              <w:spacing w:before="0" w:after="0" w:line="240" w:lineRule="auto"/>
              <w:rPr>
                <w:color w:val="auto"/>
              </w:rPr>
            </w:pPr>
            <w:r w:rsidRPr="007574E8">
              <w:rPr>
                <w:color w:val="auto"/>
              </w:rPr>
              <w:t>25 October 2019</w:t>
            </w:r>
          </w:p>
        </w:tc>
      </w:tr>
      <w:tr w:rsidR="00E75B58" w14:paraId="4C2ACF58" w14:textId="77777777" w:rsidTr="00E75B58">
        <w:tc>
          <w:tcPr>
            <w:tcW w:w="4360" w:type="dxa"/>
          </w:tcPr>
          <w:p w14:paraId="672C933C" w14:textId="405708C5" w:rsidR="00E75B58" w:rsidRDefault="00E75B58" w:rsidP="00E75B58">
            <w:pPr>
              <w:ind w:left="0" w:right="0"/>
            </w:pPr>
            <w:r>
              <w:t xml:space="preserve">Completion of administrative activities and registration on </w:t>
            </w:r>
            <w:r w:rsidR="008D1DDE">
              <w:t xml:space="preserve">the </w:t>
            </w:r>
            <w:r>
              <w:t>ARTG</w:t>
            </w:r>
          </w:p>
        </w:tc>
        <w:tc>
          <w:tcPr>
            <w:tcW w:w="4360" w:type="dxa"/>
            <w:vAlign w:val="center"/>
          </w:tcPr>
          <w:p w14:paraId="34195DA8" w14:textId="77777777" w:rsidR="00E75B58" w:rsidRPr="00493AB0" w:rsidRDefault="00E75B58" w:rsidP="00E75B58">
            <w:pPr>
              <w:spacing w:before="0" w:after="0" w:line="240" w:lineRule="auto"/>
              <w:rPr>
                <w:color w:val="auto"/>
              </w:rPr>
            </w:pPr>
            <w:r w:rsidRPr="00493AB0">
              <w:rPr>
                <w:color w:val="auto"/>
              </w:rPr>
              <w:t>1 November 2019</w:t>
            </w:r>
          </w:p>
        </w:tc>
      </w:tr>
      <w:tr w:rsidR="00E75B58" w14:paraId="77205188" w14:textId="77777777" w:rsidTr="00E75B58">
        <w:tc>
          <w:tcPr>
            <w:tcW w:w="4360" w:type="dxa"/>
          </w:tcPr>
          <w:p w14:paraId="21615097" w14:textId="77777777" w:rsidR="00E75B58" w:rsidRDefault="00E75B58" w:rsidP="00E75B58">
            <w:pPr>
              <w:ind w:left="0" w:right="0"/>
            </w:pPr>
            <w:r>
              <w:t>Number of working days from submission dossier acceptance to registration decision*</w:t>
            </w:r>
          </w:p>
        </w:tc>
        <w:tc>
          <w:tcPr>
            <w:tcW w:w="4360" w:type="dxa"/>
            <w:vAlign w:val="center"/>
          </w:tcPr>
          <w:p w14:paraId="2D5D80BB" w14:textId="77777777" w:rsidR="00E75B58" w:rsidRPr="003E0BDA" w:rsidRDefault="00E75B58" w:rsidP="00E75B58">
            <w:pPr>
              <w:spacing w:before="0" w:after="0" w:line="240" w:lineRule="auto"/>
              <w:rPr>
                <w:color w:val="auto"/>
                <w:highlight w:val="lightGray"/>
              </w:rPr>
            </w:pPr>
            <w:r w:rsidRPr="007574E8">
              <w:rPr>
                <w:color w:val="auto"/>
              </w:rPr>
              <w:t>209</w:t>
            </w:r>
          </w:p>
        </w:tc>
      </w:tr>
    </w:tbl>
    <w:p w14:paraId="2DE4D92D"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F6C561C" w14:textId="77777777" w:rsidR="008E7846" w:rsidRPr="00792A32" w:rsidRDefault="00456765" w:rsidP="008E7846">
      <w:pPr>
        <w:pStyle w:val="Heading2"/>
      </w:pPr>
      <w:bookmarkStart w:id="35" w:name="_Toc196046504"/>
      <w:bookmarkStart w:id="36" w:name="_Toc247691527"/>
      <w:bookmarkStart w:id="37" w:name="_Toc314842510"/>
      <w:bookmarkStart w:id="38" w:name="_Toc163441390"/>
      <w:bookmarkStart w:id="39" w:name="_Toc28868682"/>
      <w:bookmarkEnd w:id="30"/>
      <w:bookmarkEnd w:id="31"/>
      <w:bookmarkEnd w:id="1"/>
      <w:r>
        <w:t>I</w:t>
      </w:r>
      <w:r w:rsidR="00DA64CB">
        <w:t>I</w:t>
      </w:r>
      <w:r w:rsidR="008E7846">
        <w:t xml:space="preserve">I. </w:t>
      </w:r>
      <w:r w:rsidR="00E75B58">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35"/>
      <w:bookmarkEnd w:id="36"/>
      <w:bookmarkEnd w:id="37"/>
      <w:bookmarkEnd w:id="39"/>
    </w:p>
    <w:p w14:paraId="3A3043F1" w14:textId="77777777" w:rsidR="008E7846" w:rsidRDefault="008E7846" w:rsidP="008E7846">
      <w:bookmarkStart w:id="40" w:name="_Toc247691528"/>
      <w:r>
        <w:t xml:space="preserve">The submission was summarised in the following </w:t>
      </w:r>
      <w:r w:rsidRPr="00EF5C48">
        <w:t xml:space="preserve">Delegate’s </w:t>
      </w:r>
      <w:r>
        <w:t>overview</w:t>
      </w:r>
      <w:r w:rsidRPr="00EF5C48">
        <w:t xml:space="preserve"> and recommendation</w:t>
      </w:r>
      <w:r w:rsidR="00E75B58">
        <w:t>s.</w:t>
      </w:r>
    </w:p>
    <w:p w14:paraId="68AB513C" w14:textId="77777777" w:rsidR="008E7846" w:rsidRDefault="008E7846" w:rsidP="008E7846">
      <w:pPr>
        <w:pStyle w:val="Heading3"/>
      </w:pPr>
      <w:bookmarkStart w:id="41" w:name="_Toc314842511"/>
      <w:bookmarkStart w:id="42" w:name="_Toc28868683"/>
      <w:r>
        <w:t>Quality</w:t>
      </w:r>
      <w:bookmarkEnd w:id="40"/>
      <w:bookmarkEnd w:id="41"/>
      <w:bookmarkEnd w:id="42"/>
    </w:p>
    <w:p w14:paraId="0F585F17" w14:textId="77777777" w:rsidR="00F91554" w:rsidRDefault="00F91554" w:rsidP="00F91554">
      <w:r>
        <w:t xml:space="preserve">Summary of the quality </w:t>
      </w:r>
      <w:r w:rsidR="00036FC0">
        <w:t>evaluation</w:t>
      </w:r>
      <w:r>
        <w:t>:</w:t>
      </w:r>
    </w:p>
    <w:p w14:paraId="4C44A53C" w14:textId="2B02F57B" w:rsidR="00F91554" w:rsidRDefault="00F91554" w:rsidP="00F91554">
      <w:pPr>
        <w:pStyle w:val="ListBullet"/>
      </w:pPr>
      <w:proofErr w:type="spellStart"/>
      <w:r>
        <w:t>Siponimod</w:t>
      </w:r>
      <w:proofErr w:type="spellEnd"/>
      <w:r>
        <w:t xml:space="preserve"> </w:t>
      </w:r>
      <w:proofErr w:type="spellStart"/>
      <w:r>
        <w:t>hemifumarate</w:t>
      </w:r>
      <w:proofErr w:type="spellEnd"/>
      <w:r>
        <w:t xml:space="preserve"> is described as a white to almost white, non-hygroscopic cryst</w:t>
      </w:r>
      <w:r w:rsidR="00094A72">
        <w:t xml:space="preserve">alline powder, and exists as a </w:t>
      </w:r>
      <w:proofErr w:type="spellStart"/>
      <w:r w:rsidR="00094A72">
        <w:t>s</w:t>
      </w:r>
      <w:r>
        <w:t>iponimod</w:t>
      </w:r>
      <w:proofErr w:type="spellEnd"/>
      <w:r>
        <w:t xml:space="preserve"> </w:t>
      </w:r>
      <w:r w:rsidR="00B25E31">
        <w:t>[</w:t>
      </w:r>
      <w:r w:rsidR="00AE583B">
        <w:t>I</w:t>
      </w:r>
      <w:r w:rsidR="00B25E31">
        <w:t xml:space="preserve">nformation redacted] </w:t>
      </w:r>
      <w:r>
        <w:t xml:space="preserve">co-crystallised with </w:t>
      </w:r>
      <w:proofErr w:type="spellStart"/>
      <w:r>
        <w:t>fumaric</w:t>
      </w:r>
      <w:proofErr w:type="spellEnd"/>
      <w:r>
        <w:t xml:space="preserve"> acid rather than as the fumarate salt. The drug substance is insoluble or practically insoluble in water (&lt;</w:t>
      </w:r>
      <w:r w:rsidR="00036FC0">
        <w:t xml:space="preserve"> </w:t>
      </w:r>
      <w:r>
        <w:t>0.0006 mg/mL at 25°C) and acidic media and only slightly soluble in basic media.</w:t>
      </w:r>
    </w:p>
    <w:p w14:paraId="0083CB43" w14:textId="77777777" w:rsidR="00F91554" w:rsidRDefault="00F91554" w:rsidP="00F91554">
      <w:pPr>
        <w:pStyle w:val="ListBullet"/>
      </w:pPr>
      <w:r>
        <w:t xml:space="preserve">There are no products currently registered on the </w:t>
      </w:r>
      <w:r w:rsidR="008B1F57">
        <w:t>Australian Register of Therapeutic Goods (</w:t>
      </w:r>
      <w:r>
        <w:t>ARTG</w:t>
      </w:r>
      <w:r w:rsidR="008B1F57">
        <w:t>)</w:t>
      </w:r>
      <w:r>
        <w:t xml:space="preserve"> containing </w:t>
      </w:r>
      <w:proofErr w:type="spellStart"/>
      <w:r>
        <w:t>siponimod</w:t>
      </w:r>
      <w:proofErr w:type="spellEnd"/>
      <w:r>
        <w:t>.</w:t>
      </w:r>
    </w:p>
    <w:p w14:paraId="5B19825C" w14:textId="77777777" w:rsidR="00F91554" w:rsidRDefault="00F91554" w:rsidP="00F91554">
      <w:pPr>
        <w:pStyle w:val="ListBullet"/>
      </w:pPr>
      <w:r>
        <w:t xml:space="preserve">The proposed products are pale red (0.25 mg) or pale yellow (2 </w:t>
      </w:r>
      <w:r w:rsidR="00036FC0">
        <w:t>mg), round, film </w:t>
      </w:r>
      <w:r>
        <w:t xml:space="preserve">coated tablets </w:t>
      </w:r>
      <w:r w:rsidR="00036FC0">
        <w:t>debossed with a company logo</w:t>
      </w:r>
      <w:r>
        <w:t xml:space="preserve"> on one side and ‘T’ (0.25 mg) or ‘II’ (2 mg) on the othe</w:t>
      </w:r>
      <w:r w:rsidR="00036FC0">
        <w:t>r. The tablets are not scored.</w:t>
      </w:r>
    </w:p>
    <w:p w14:paraId="7CAAE606" w14:textId="101EF915" w:rsidR="00F91554" w:rsidRDefault="00F91554" w:rsidP="00F91554">
      <w:pPr>
        <w:pStyle w:val="ListBullet"/>
      </w:pPr>
      <w:r>
        <w:t>The tablets are to be packaged in b</w:t>
      </w:r>
      <w:r w:rsidR="00094A72">
        <w:t>listers, in packs of 12 and 120 </w:t>
      </w:r>
      <w:r w:rsidR="008B1F57">
        <w:t xml:space="preserve">tablets for the </w:t>
      </w:r>
      <w:r w:rsidR="00CA6750">
        <w:t>0</w:t>
      </w:r>
      <w:r w:rsidR="008B1F57">
        <w:t>.25 </w:t>
      </w:r>
      <w:r>
        <w:t xml:space="preserve">mg strength and, in pack of 28 </w:t>
      </w:r>
      <w:r w:rsidR="00036FC0">
        <w:t xml:space="preserve">tablets for the 2 mg strength. </w:t>
      </w:r>
      <w:r>
        <w:t>The 12 tablet pack for the 0.25 mg strength is labelled as the ‘titration pack’ to be used for the initiation of treatment.</w:t>
      </w:r>
    </w:p>
    <w:p w14:paraId="43478158" w14:textId="77777777" w:rsidR="00F91554" w:rsidRDefault="00F91554" w:rsidP="00F91554">
      <w:pPr>
        <w:pStyle w:val="ListBullet"/>
      </w:pPr>
      <w:r>
        <w:t>The maximum daily dose stated in the proposed PI is 2 mg, taken as o</w:t>
      </w:r>
      <w:r w:rsidR="00094A72">
        <w:t>ne tablet of the 2 </w:t>
      </w:r>
      <w:r>
        <w:t>mg strength, once daily.</w:t>
      </w:r>
    </w:p>
    <w:p w14:paraId="2939EEE7" w14:textId="77777777" w:rsidR="00F91554" w:rsidRDefault="00F91554" w:rsidP="00F91554">
      <w:pPr>
        <w:pStyle w:val="ListBullet"/>
      </w:pPr>
      <w:r>
        <w:t>All test and limits proposed for the drug substance specification are considered acceptable.</w:t>
      </w:r>
    </w:p>
    <w:p w14:paraId="2E8ED6E8" w14:textId="77777777" w:rsidR="00F91554" w:rsidRDefault="00F91554" w:rsidP="00F91554">
      <w:pPr>
        <w:pStyle w:val="ListBullet"/>
      </w:pPr>
      <w:r>
        <w:t>The analytical methods used for the routine quality control assessment of the drug substance were all adequately validated and appropriate for use.</w:t>
      </w:r>
    </w:p>
    <w:p w14:paraId="38D74498" w14:textId="07B24786" w:rsidR="00F91554" w:rsidRDefault="00F91554" w:rsidP="00F91554">
      <w:pPr>
        <w:pStyle w:val="ListBullet"/>
      </w:pPr>
      <w:r>
        <w:lastRenderedPageBreak/>
        <w:t xml:space="preserve">A bioequivalence study (Study CBAF312A2111) compared the 0.25 mg and 4 mg strengths of the </w:t>
      </w:r>
      <w:r w:rsidR="008D1DDE">
        <w:t>market f</w:t>
      </w:r>
      <w:r>
        <w:t xml:space="preserve">ormulation (MF) and </w:t>
      </w:r>
      <w:r w:rsidR="008D1DDE">
        <w:t>f</w:t>
      </w:r>
      <w:r>
        <w:t xml:space="preserve">inal </w:t>
      </w:r>
      <w:r w:rsidR="008D1DDE">
        <w:t>m</w:t>
      </w:r>
      <w:r>
        <w:t xml:space="preserve">arket </w:t>
      </w:r>
      <w:r w:rsidR="008D1DDE">
        <w:t>i</w:t>
      </w:r>
      <w:r>
        <w:t>mage (FMI) formulations in order to demonstrate that the two formulations were bioequivalent.</w:t>
      </w:r>
    </w:p>
    <w:p w14:paraId="356F4B8B" w14:textId="77777777" w:rsidR="00F91554" w:rsidRDefault="00AD3E79" w:rsidP="008B1F57">
      <w:pPr>
        <w:pStyle w:val="ListBullet"/>
      </w:pPr>
      <w:r>
        <w:t>Good Manufacturing P</w:t>
      </w:r>
      <w:r w:rsidR="008B1F57" w:rsidRPr="008B1F57">
        <w:t>ractice</w:t>
      </w:r>
      <w:r w:rsidR="008B1F57">
        <w:t xml:space="preserve"> (</w:t>
      </w:r>
      <w:r w:rsidR="00F91554">
        <w:t>GMP</w:t>
      </w:r>
      <w:r w:rsidR="008B1F57">
        <w:t>)</w:t>
      </w:r>
      <w:r w:rsidR="00F91554">
        <w:t xml:space="preserve"> clearances for all drug substance and drug product manufacturing sites are considered acceptable.</w:t>
      </w:r>
    </w:p>
    <w:p w14:paraId="09B1E28D" w14:textId="77777777" w:rsidR="00F91554" w:rsidRDefault="00F91554" w:rsidP="00F91554">
      <w:pPr>
        <w:pStyle w:val="ListBullet"/>
      </w:pPr>
      <w:r>
        <w:t>The analytical methods used to analyse the drug products were adequately described and validated.</w:t>
      </w:r>
    </w:p>
    <w:p w14:paraId="084CE08A" w14:textId="3CA776B9" w:rsidR="00F91554" w:rsidRDefault="00F91554" w:rsidP="00F91554">
      <w:pPr>
        <w:pStyle w:val="ListBullet"/>
      </w:pPr>
      <w:r>
        <w:t xml:space="preserve">A shelf life of 18 months for the </w:t>
      </w:r>
      <w:r w:rsidR="00036FC0">
        <w:t>Mayzent</w:t>
      </w:r>
      <w:r>
        <w:t xml:space="preserve"> </w:t>
      </w:r>
      <w:proofErr w:type="spellStart"/>
      <w:r>
        <w:t>siponimod</w:t>
      </w:r>
      <w:proofErr w:type="spellEnd"/>
      <w:r>
        <w:t xml:space="preserve"> </w:t>
      </w:r>
      <w:r w:rsidR="005070B9">
        <w:t xml:space="preserve">(as </w:t>
      </w:r>
      <w:proofErr w:type="spellStart"/>
      <w:r w:rsidR="005070B9">
        <w:t>hemifumarate</w:t>
      </w:r>
      <w:proofErr w:type="spellEnd"/>
      <w:r w:rsidR="005070B9">
        <w:t>) 0.25 mg and 2 </w:t>
      </w:r>
      <w:r>
        <w:t>mg is supported when stored und</w:t>
      </w:r>
      <w:r w:rsidR="005070B9">
        <w:t xml:space="preserve">er refrigerated conditions at 2 to </w:t>
      </w:r>
      <w:r>
        <w:t>8°C in the proposed container c</w:t>
      </w:r>
      <w:r w:rsidR="005070B9">
        <w:t xml:space="preserve">losure system described above. </w:t>
      </w:r>
      <w:r>
        <w:t xml:space="preserve">Additional storage conditions of ‘Refrigerate. </w:t>
      </w:r>
      <w:r w:rsidR="00CA6750" w:rsidRPr="00261D18">
        <w:t>Do not freeze</w:t>
      </w:r>
      <w:r w:rsidRPr="00261D18">
        <w:t>’</w:t>
      </w:r>
      <w:r>
        <w:t xml:space="preserve"> and ‘Store in original container’ are also proposed for registration.</w:t>
      </w:r>
    </w:p>
    <w:p w14:paraId="084ED325" w14:textId="77777777" w:rsidR="00F91554" w:rsidRDefault="00F91554" w:rsidP="00F91554">
      <w:pPr>
        <w:pStyle w:val="ListBullet"/>
      </w:pPr>
      <w:r>
        <w:t xml:space="preserve">The </w:t>
      </w:r>
      <w:r w:rsidR="005070B9">
        <w:t>PI</w:t>
      </w:r>
      <w:r>
        <w:t xml:space="preserve"> document has been finalised from a pharmaceutical chemistry and quality control perspective</w:t>
      </w:r>
      <w:r w:rsidR="005070B9">
        <w:t>.</w:t>
      </w:r>
    </w:p>
    <w:p w14:paraId="5306F115" w14:textId="161EDBBB" w:rsidR="00F91554" w:rsidRDefault="00F91554" w:rsidP="00F91554">
      <w:pPr>
        <w:pStyle w:val="ListBullet"/>
      </w:pPr>
      <w:r>
        <w:t xml:space="preserve">The </w:t>
      </w:r>
      <w:r w:rsidR="008D1DDE">
        <w:t>product l</w:t>
      </w:r>
      <w:r>
        <w:t>abelling has been finalised from a pharmaceutical chemistry perspective and complies with the requirements of TGO 91.</w:t>
      </w:r>
      <w:r w:rsidR="005070B9">
        <w:rPr>
          <w:rStyle w:val="FootnoteReference"/>
        </w:rPr>
        <w:footnoteReference w:id="8"/>
      </w:r>
    </w:p>
    <w:p w14:paraId="4C5B86C6" w14:textId="77777777" w:rsidR="00F91554" w:rsidRDefault="00F91554" w:rsidP="005070B9">
      <w:pPr>
        <w:pStyle w:val="ListBullet"/>
      </w:pPr>
      <w:r>
        <w:t xml:space="preserve">Regarding biopharmaceutics, the </w:t>
      </w:r>
      <w:r w:rsidR="005070B9">
        <w:t>l</w:t>
      </w:r>
      <w:r w:rsidR="005070B9" w:rsidRPr="005070B9">
        <w:t xml:space="preserve">iquid chromatography-tandem mass spectrometry </w:t>
      </w:r>
      <w:r w:rsidR="005070B9">
        <w:t>(</w:t>
      </w:r>
      <w:r>
        <w:t>LC-MS/MS</w:t>
      </w:r>
      <w:r w:rsidR="005070B9">
        <w:t>)</w:t>
      </w:r>
      <w:r>
        <w:t xml:space="preserve"> bioanalytical m</w:t>
      </w:r>
      <w:r w:rsidR="005070B9">
        <w:t xml:space="preserve">ethod used for the analysis of </w:t>
      </w:r>
      <w:proofErr w:type="spellStart"/>
      <w:r w:rsidR="005070B9">
        <w:t>s</w:t>
      </w:r>
      <w:r>
        <w:t>iponimod</w:t>
      </w:r>
      <w:proofErr w:type="spellEnd"/>
      <w:r>
        <w:t xml:space="preserve"> concentrations in study plasma samples, taken during the absolute bioavailability </w:t>
      </w:r>
      <w:r w:rsidR="002D063E">
        <w:t xml:space="preserve">(BA) </w:t>
      </w:r>
      <w:r>
        <w:t>study and the food effect study was, adequately validated and found to be acceptable for use.</w:t>
      </w:r>
    </w:p>
    <w:p w14:paraId="6E4E3318" w14:textId="4A2F4EAE" w:rsidR="00F91554" w:rsidRDefault="00F91554" w:rsidP="00F91554">
      <w:pPr>
        <w:pStyle w:val="ListBullet"/>
      </w:pPr>
      <w:r>
        <w:t>S</w:t>
      </w:r>
      <w:r w:rsidR="005070B9">
        <w:t xml:space="preserve">tudy </w:t>
      </w:r>
      <w:r>
        <w:t>A2126 wa</w:t>
      </w:r>
      <w:r w:rsidR="005070B9">
        <w:t xml:space="preserve">s on absolute </w:t>
      </w:r>
      <w:r w:rsidR="002D063E">
        <w:t>BA</w:t>
      </w:r>
      <w:r w:rsidR="005070B9">
        <w:t>: a randomi</w:t>
      </w:r>
      <w:r w:rsidR="008D1DDE">
        <w:t>s</w:t>
      </w:r>
      <w:r w:rsidR="005070B9">
        <w:t xml:space="preserve">ed, open label, 2 </w:t>
      </w:r>
      <w:r>
        <w:t xml:space="preserve">part study to measure the absolute </w:t>
      </w:r>
      <w:r w:rsidR="002D063E">
        <w:t>BA</w:t>
      </w:r>
      <w:r>
        <w:t>, safety, tolerability, and pharmacody</w:t>
      </w:r>
      <w:r w:rsidR="005070B9">
        <w:t xml:space="preserve">namics of oral and intravenous (IV) </w:t>
      </w:r>
      <w:proofErr w:type="spellStart"/>
      <w:r w:rsidR="005070B9">
        <w:t>s</w:t>
      </w:r>
      <w:r>
        <w:t>iponimod</w:t>
      </w:r>
      <w:proofErr w:type="spellEnd"/>
      <w:r>
        <w:t xml:space="preserve"> in healthy subjects.</w:t>
      </w:r>
    </w:p>
    <w:p w14:paraId="490AFF67" w14:textId="77777777" w:rsidR="00F91554" w:rsidRDefault="00F91554" w:rsidP="00F91554">
      <w:pPr>
        <w:pStyle w:val="ListBullet2"/>
      </w:pPr>
      <w:r>
        <w:t>The ‘Test’ formulation, 0.25 mg tablet batch 1010</w:t>
      </w:r>
      <w:r w:rsidR="005070B9">
        <w:t>004141 is identical to the 0.25 </w:t>
      </w:r>
      <w:r>
        <w:t>mg tablet formulation proposed for commercialisatio</w:t>
      </w:r>
      <w:r w:rsidR="005070B9">
        <w:t>n and distribution in Australia, that is, the FMI formulation</w:t>
      </w:r>
      <w:r>
        <w:t>.</w:t>
      </w:r>
    </w:p>
    <w:p w14:paraId="45F4EA9C" w14:textId="2F78BCDC" w:rsidR="00F91554" w:rsidRDefault="00F91554" w:rsidP="005070B9">
      <w:pPr>
        <w:pStyle w:val="ListBullet2"/>
      </w:pPr>
      <w:r>
        <w:t>T</w:t>
      </w:r>
      <w:r w:rsidR="005070B9">
        <w:t xml:space="preserve">he absolute </w:t>
      </w:r>
      <w:r w:rsidR="002D063E">
        <w:t>BA</w:t>
      </w:r>
      <w:r w:rsidR="005070B9">
        <w:t xml:space="preserve"> of </w:t>
      </w:r>
      <w:proofErr w:type="spellStart"/>
      <w:r w:rsidR="005070B9">
        <w:t>s</w:t>
      </w:r>
      <w:r>
        <w:t>iponimod</w:t>
      </w:r>
      <w:proofErr w:type="spellEnd"/>
      <w:r>
        <w:t xml:space="preserve"> as a single 0.25 mg dose (Treatment A) administered orally was 84%, as compared with a single 0.25 mg </w:t>
      </w:r>
      <w:proofErr w:type="spellStart"/>
      <w:r w:rsidR="008D1DDE">
        <w:t>s</w:t>
      </w:r>
      <w:r>
        <w:t>iponimod</w:t>
      </w:r>
      <w:proofErr w:type="spellEnd"/>
      <w:r>
        <w:t xml:space="preserve"> IV dose (Treatment B) administered over 3 hours in healthy subjects. Mean peak exposure of oral </w:t>
      </w:r>
      <w:proofErr w:type="spellStart"/>
      <w:r w:rsidR="008D1DDE">
        <w:t>s</w:t>
      </w:r>
      <w:r>
        <w:t>iponimod</w:t>
      </w:r>
      <w:proofErr w:type="spellEnd"/>
      <w:r>
        <w:t xml:space="preserve"> was approxima</w:t>
      </w:r>
      <w:r w:rsidR="005070B9">
        <w:t xml:space="preserve">tely 48% lower than that of IV </w:t>
      </w:r>
      <w:proofErr w:type="spellStart"/>
      <w:r w:rsidR="005070B9">
        <w:t>s</w:t>
      </w:r>
      <w:r>
        <w:t>iponimod</w:t>
      </w:r>
      <w:proofErr w:type="spellEnd"/>
      <w:r>
        <w:t xml:space="preserve"> </w:t>
      </w:r>
      <w:r w:rsidR="005070B9">
        <w:t xml:space="preserve">(both at 0.25 mg). Median oral </w:t>
      </w:r>
      <w:proofErr w:type="spellStart"/>
      <w:r w:rsidR="005070B9">
        <w:t>s</w:t>
      </w:r>
      <w:r>
        <w:t>iponimod</w:t>
      </w:r>
      <w:proofErr w:type="spellEnd"/>
      <w:r>
        <w:t xml:space="preserve"> </w:t>
      </w:r>
      <w:r w:rsidR="005070B9">
        <w:t>t</w:t>
      </w:r>
      <w:r w:rsidR="005070B9" w:rsidRPr="005070B9">
        <w:t xml:space="preserve">ime to maximum plasma concentration </w:t>
      </w:r>
      <w:r w:rsidR="005070B9">
        <w:t>(</w:t>
      </w:r>
      <w:proofErr w:type="spellStart"/>
      <w:r>
        <w:t>T</w:t>
      </w:r>
      <w:r w:rsidRPr="005070B9">
        <w:rPr>
          <w:vertAlign w:val="subscript"/>
        </w:rPr>
        <w:t>max</w:t>
      </w:r>
      <w:proofErr w:type="spellEnd"/>
      <w:r w:rsidR="005070B9">
        <w:t>)</w:t>
      </w:r>
      <w:r>
        <w:t xml:space="preserve"> was observed 8 hours</w:t>
      </w:r>
      <w:r w:rsidR="005070B9">
        <w:t xml:space="preserve"> after dosing, while median IV </w:t>
      </w:r>
      <w:proofErr w:type="spellStart"/>
      <w:r w:rsidR="005070B9">
        <w:t>s</w:t>
      </w:r>
      <w:r>
        <w:t>iponimod</w:t>
      </w:r>
      <w:proofErr w:type="spellEnd"/>
      <w:r>
        <w:t xml:space="preserve"> </w:t>
      </w:r>
      <w:r w:rsidR="005070B9">
        <w:t>(</w:t>
      </w:r>
      <w:proofErr w:type="spellStart"/>
      <w:r>
        <w:t>T</w:t>
      </w:r>
      <w:r w:rsidRPr="005070B9">
        <w:rPr>
          <w:vertAlign w:val="subscript"/>
        </w:rPr>
        <w:t>max</w:t>
      </w:r>
      <w:proofErr w:type="spellEnd"/>
      <w:r w:rsidR="005070B9">
        <w:t>)</w:t>
      </w:r>
      <w:r>
        <w:t xml:space="preserve"> w</w:t>
      </w:r>
      <w:r w:rsidR="005070B9">
        <w:t xml:space="preserve">as observed at the end of the 3 </w:t>
      </w:r>
      <w:r>
        <w:t>hour infusion.</w:t>
      </w:r>
    </w:p>
    <w:p w14:paraId="5FD9347E" w14:textId="467A2BD7" w:rsidR="00F91554" w:rsidRDefault="00F91554" w:rsidP="00F91554">
      <w:pPr>
        <w:pStyle w:val="ListBullet"/>
      </w:pPr>
      <w:r>
        <w:t>S</w:t>
      </w:r>
      <w:r w:rsidR="005070B9">
        <w:t xml:space="preserve">tudy </w:t>
      </w:r>
      <w:r>
        <w:t xml:space="preserve">A2111 was on </w:t>
      </w:r>
      <w:r w:rsidR="00E95EA5">
        <w:t xml:space="preserve">the BA </w:t>
      </w:r>
      <w:r>
        <w:t>of market and c</w:t>
      </w:r>
      <w:r w:rsidR="005070B9">
        <w:t xml:space="preserve">linical trial formulations and food effect: a randomised, open label, three </w:t>
      </w:r>
      <w:r>
        <w:t xml:space="preserve">period crossover study to assess both the </w:t>
      </w:r>
      <w:r w:rsidR="00E95EA5">
        <w:t xml:space="preserve">BA </w:t>
      </w:r>
      <w:r>
        <w:t xml:space="preserve">of the </w:t>
      </w:r>
      <w:proofErr w:type="spellStart"/>
      <w:r w:rsidR="00445936">
        <w:t>siponimod</w:t>
      </w:r>
      <w:proofErr w:type="spellEnd"/>
      <w:r>
        <w:t xml:space="preserve"> </w:t>
      </w:r>
      <w:r w:rsidR="00445936">
        <w:t>FMI</w:t>
      </w:r>
      <w:r>
        <w:t xml:space="preserve"> tablet formulation as compared to the </w:t>
      </w:r>
      <w:proofErr w:type="spellStart"/>
      <w:r w:rsidR="00445936">
        <w:t>siponimod</w:t>
      </w:r>
      <w:proofErr w:type="spellEnd"/>
      <w:r>
        <w:t xml:space="preserve"> </w:t>
      </w:r>
      <w:r w:rsidR="00445936">
        <w:t>MF</w:t>
      </w:r>
      <w:r>
        <w:t xml:space="preserve"> and the effect of food on the relative </w:t>
      </w:r>
      <w:r w:rsidR="002D063E">
        <w:t>BA</w:t>
      </w:r>
      <w:r>
        <w:t xml:space="preserve"> of the FMI after single 0.25 mg and 4 mg doses in healthy volunteers.</w:t>
      </w:r>
    </w:p>
    <w:p w14:paraId="2ABFAD1A" w14:textId="77777777" w:rsidR="00F91554" w:rsidRDefault="00F91554" w:rsidP="00F91554">
      <w:pPr>
        <w:pStyle w:val="ListBullet2"/>
      </w:pPr>
      <w:r>
        <w:t>The ‘T</w:t>
      </w:r>
      <w:r w:rsidR="00445936">
        <w:t xml:space="preserve">est’ formulation (Treatment B; fasted; Treatment C; </w:t>
      </w:r>
      <w:r>
        <w:t>fed), 0.25 mg tablet batch X198 0811 is identical to the 0.25 mg tablet formulation proposed for commercialisatio</w:t>
      </w:r>
      <w:r w:rsidR="00445936">
        <w:t>n and distribution in Australia, that is, the FMI formulation</w:t>
      </w:r>
      <w:r w:rsidR="00036FC0">
        <w:t xml:space="preserve">. </w:t>
      </w:r>
      <w:r w:rsidR="00445936">
        <w:t xml:space="preserve">The </w:t>
      </w:r>
      <w:proofErr w:type="spellStart"/>
      <w:r w:rsidR="00445936">
        <w:t>s</w:t>
      </w:r>
      <w:r>
        <w:t>iponimod</w:t>
      </w:r>
      <w:proofErr w:type="spellEnd"/>
      <w:r>
        <w:t xml:space="preserve"> 4 mg tablet is not intended for registration in Australia at this point in time.</w:t>
      </w:r>
    </w:p>
    <w:p w14:paraId="1660846E" w14:textId="4AA28AAB" w:rsidR="00F91554" w:rsidRDefault="00F91554" w:rsidP="00445936">
      <w:pPr>
        <w:pStyle w:val="ListBullet2"/>
      </w:pPr>
      <w:r>
        <w:t xml:space="preserve">Results of this study showed that the FMI and MF formulations of </w:t>
      </w:r>
      <w:proofErr w:type="spellStart"/>
      <w:r w:rsidR="00445936">
        <w:t>siponimod</w:t>
      </w:r>
      <w:proofErr w:type="spellEnd"/>
      <w:r>
        <w:t xml:space="preserve"> were bioequivalent for both 0.25 mg and 4 mg doses in terms of </w:t>
      </w:r>
      <w:r w:rsidR="00445936">
        <w:rPr>
          <w:rFonts w:asciiTheme="minorHAnsi" w:eastAsiaTheme="minorHAnsi" w:hAnsiTheme="minorHAnsi" w:cs="Arial"/>
        </w:rPr>
        <w:t>m</w:t>
      </w:r>
      <w:r w:rsidR="00445936" w:rsidRPr="007901B9">
        <w:rPr>
          <w:rFonts w:asciiTheme="minorHAnsi" w:eastAsiaTheme="minorHAnsi" w:hAnsiTheme="minorHAnsi" w:cs="Arial"/>
        </w:rPr>
        <w:t>aximum plasma concentrati</w:t>
      </w:r>
      <w:r w:rsidR="00445936">
        <w:rPr>
          <w:rFonts w:asciiTheme="minorHAnsi" w:eastAsiaTheme="minorHAnsi" w:hAnsiTheme="minorHAnsi" w:cs="Arial"/>
        </w:rPr>
        <w:t>on</w:t>
      </w:r>
      <w:r w:rsidR="00445936">
        <w:t xml:space="preserve"> (</w:t>
      </w:r>
      <w:proofErr w:type="spellStart"/>
      <w:r>
        <w:t>C</w:t>
      </w:r>
      <w:r w:rsidRPr="00445936">
        <w:rPr>
          <w:vertAlign w:val="subscript"/>
        </w:rPr>
        <w:t>max</w:t>
      </w:r>
      <w:proofErr w:type="spellEnd"/>
      <w:r w:rsidR="00445936">
        <w:t>)</w:t>
      </w:r>
      <w:r>
        <w:t xml:space="preserve">, </w:t>
      </w:r>
      <w:r w:rsidR="00445936">
        <w:t>a</w:t>
      </w:r>
      <w:r w:rsidR="00445936" w:rsidRPr="00445936">
        <w:t xml:space="preserve">rea under the plasma concentration-time curve from time 0 </w:t>
      </w:r>
      <w:r w:rsidR="00445936" w:rsidRPr="00445936">
        <w:lastRenderedPageBreak/>
        <w:t xml:space="preserve">to the time of the last quantifiable concentration </w:t>
      </w:r>
      <w:r w:rsidR="00445936">
        <w:t>(</w:t>
      </w:r>
      <w:proofErr w:type="spellStart"/>
      <w:r>
        <w:t>AUC</w:t>
      </w:r>
      <w:r w:rsidRPr="00445936">
        <w:rPr>
          <w:vertAlign w:val="subscript"/>
        </w:rPr>
        <w:t>last</w:t>
      </w:r>
      <w:proofErr w:type="spellEnd"/>
      <w:r w:rsidR="00445936">
        <w:t>)</w:t>
      </w:r>
      <w:r>
        <w:t xml:space="preserve"> and </w:t>
      </w:r>
      <w:r w:rsidR="00445936">
        <w:t>a</w:t>
      </w:r>
      <w:r w:rsidR="00445936" w:rsidRPr="00445936">
        <w:t xml:space="preserve">rea under the plasma concentration-time curve from time 0 to infinity </w:t>
      </w:r>
      <w:r w:rsidR="00445936">
        <w:t>(</w:t>
      </w:r>
      <w:r>
        <w:t>AUC</w:t>
      </w:r>
      <w:r w:rsidRPr="00445936">
        <w:rPr>
          <w:vertAlign w:val="subscript"/>
        </w:rPr>
        <w:t>0-∞</w:t>
      </w:r>
      <w:r w:rsidR="00445936">
        <w:t>)</w:t>
      </w:r>
      <w:r>
        <w:t>. Similarly, FMI fasted and FMI fed fulfilled the bioequi</w:t>
      </w:r>
      <w:r w:rsidR="00445936">
        <w:t>valence criteria at both doses.</w:t>
      </w:r>
    </w:p>
    <w:p w14:paraId="0FC53C77" w14:textId="77777777" w:rsidR="00F91554" w:rsidRDefault="00F91554" w:rsidP="00F91554">
      <w:pPr>
        <w:pStyle w:val="ListBullet2"/>
      </w:pPr>
      <w:r>
        <w:t xml:space="preserve">The slightly increased </w:t>
      </w:r>
      <w:proofErr w:type="spellStart"/>
      <w:r>
        <w:t>T</w:t>
      </w:r>
      <w:r w:rsidRPr="00445936">
        <w:rPr>
          <w:vertAlign w:val="subscript"/>
        </w:rPr>
        <w:t>max</w:t>
      </w:r>
      <w:proofErr w:type="spellEnd"/>
      <w:r>
        <w:t xml:space="preserve"> in both dose groups and the 10% lower </w:t>
      </w:r>
      <w:proofErr w:type="spellStart"/>
      <w:r>
        <w:t>C</w:t>
      </w:r>
      <w:r w:rsidRPr="00445936">
        <w:rPr>
          <w:vertAlign w:val="subscript"/>
        </w:rPr>
        <w:t>max</w:t>
      </w:r>
      <w:proofErr w:type="spellEnd"/>
      <w:r>
        <w:t xml:space="preserve"> in the 4 mg FMI fed group were considered clinically non relevant.</w:t>
      </w:r>
    </w:p>
    <w:p w14:paraId="1CAD662B" w14:textId="77777777" w:rsidR="00F91554" w:rsidRDefault="00F91554" w:rsidP="00F91554">
      <w:pPr>
        <w:pStyle w:val="ListBullet"/>
      </w:pPr>
      <w:r>
        <w:t>On recommendation, approvability is supported from a pharmaceutical chemistry and quality control perspective. The acceptability of the pharmacoki</w:t>
      </w:r>
      <w:r w:rsidR="00445936">
        <w:t xml:space="preserve">netic data is a matter for the </w:t>
      </w:r>
      <w:r>
        <w:t>Delegate.</w:t>
      </w:r>
    </w:p>
    <w:p w14:paraId="4335374B" w14:textId="77777777" w:rsidR="00730F8A" w:rsidRDefault="00F91554" w:rsidP="00F91554">
      <w:r>
        <w:t>The Delegate commented that the PK data is acceptable from the clinical point of view.</w:t>
      </w:r>
    </w:p>
    <w:p w14:paraId="6B971082" w14:textId="77777777" w:rsidR="008E7846" w:rsidRDefault="008E7846" w:rsidP="008E7846">
      <w:pPr>
        <w:pStyle w:val="Heading3"/>
      </w:pPr>
      <w:bookmarkStart w:id="43" w:name="_Toc314842512"/>
      <w:bookmarkStart w:id="44" w:name="_Toc28868684"/>
      <w:r>
        <w:t>Nonclinical</w:t>
      </w:r>
      <w:bookmarkEnd w:id="43"/>
      <w:bookmarkEnd w:id="44"/>
    </w:p>
    <w:p w14:paraId="1D614A62" w14:textId="77777777" w:rsidR="00F91554" w:rsidRDefault="00F91554" w:rsidP="00F91554">
      <w:r>
        <w:t>Summary of the nonclinical evaluation:</w:t>
      </w:r>
    </w:p>
    <w:p w14:paraId="386F4E85" w14:textId="77777777" w:rsidR="00F91554" w:rsidRDefault="00F91554" w:rsidP="00F91554">
      <w:pPr>
        <w:pStyle w:val="ListBullet"/>
      </w:pPr>
      <w:r>
        <w:t xml:space="preserve">The proposed maintenance dose </w:t>
      </w:r>
      <w:r w:rsidR="00036FC0">
        <w:t xml:space="preserve">of Mayzent </w:t>
      </w:r>
      <w:r>
        <w:t xml:space="preserve">is 2 mg per day </w:t>
      </w:r>
      <w:r w:rsidR="00445936">
        <w:t>by mouth (</w:t>
      </w:r>
      <w:r w:rsidR="00445936" w:rsidRPr="00445936">
        <w:rPr>
          <w:i/>
        </w:rPr>
        <w:t xml:space="preserve">per </w:t>
      </w:r>
      <w:proofErr w:type="spellStart"/>
      <w:r w:rsidR="00445936" w:rsidRPr="00445936">
        <w:rPr>
          <w:i/>
        </w:rPr>
        <w:t>os</w:t>
      </w:r>
      <w:proofErr w:type="spellEnd"/>
      <w:r w:rsidR="00445936">
        <w:t xml:space="preserve">, PO) </w:t>
      </w:r>
      <w:r>
        <w:t>for an indefinite period.</w:t>
      </w:r>
    </w:p>
    <w:p w14:paraId="212411A5" w14:textId="4D637B5B" w:rsidR="00F91554" w:rsidRDefault="00F91554" w:rsidP="00445936">
      <w:pPr>
        <w:pStyle w:val="ListBullet"/>
      </w:pPr>
      <w:r>
        <w:t xml:space="preserve">The submitted </w:t>
      </w:r>
      <w:r w:rsidR="00036FC0">
        <w:t>nonclinical</w:t>
      </w:r>
      <w:r>
        <w:t xml:space="preserve"> dossier was in accordance with the relevant </w:t>
      </w:r>
      <w:r w:rsidR="00445936" w:rsidRPr="00445936">
        <w:t xml:space="preserve">International </w:t>
      </w:r>
      <w:r w:rsidR="00E95EA5" w:rsidRPr="00445936">
        <w:t>C</w:t>
      </w:r>
      <w:r w:rsidR="00E95EA5">
        <w:t>onference</w:t>
      </w:r>
      <w:r w:rsidR="00E95EA5" w:rsidRPr="00445936">
        <w:t xml:space="preserve"> </w:t>
      </w:r>
      <w:r w:rsidR="00E95EA5">
        <w:t>on</w:t>
      </w:r>
      <w:r w:rsidR="00445936" w:rsidRPr="00445936">
        <w:t xml:space="preserve"> Harmonisation </w:t>
      </w:r>
      <w:r w:rsidR="00445936">
        <w:t>(</w:t>
      </w:r>
      <w:r>
        <w:t>ICH</w:t>
      </w:r>
      <w:r w:rsidR="00445936">
        <w:t>)</w:t>
      </w:r>
      <w:r>
        <w:t xml:space="preserve"> guideline.</w:t>
      </w:r>
      <w:bookmarkStart w:id="45" w:name="_Ref25221367"/>
      <w:r w:rsidR="00445936">
        <w:rPr>
          <w:rStyle w:val="FootnoteReference"/>
        </w:rPr>
        <w:footnoteReference w:id="9"/>
      </w:r>
      <w:bookmarkEnd w:id="45"/>
      <w:r>
        <w:t xml:space="preserve"> The overall quality of the nonclinical dossier was high. All pivotal safety-related studies were </w:t>
      </w:r>
      <w:r w:rsidR="008B1F57">
        <w:t>Good Laboratory Practice (</w:t>
      </w:r>
      <w:r>
        <w:t>GLP</w:t>
      </w:r>
      <w:r w:rsidR="008B1F57">
        <w:t>)</w:t>
      </w:r>
      <w:r>
        <w:t xml:space="preserve"> compliant.</w:t>
      </w:r>
    </w:p>
    <w:p w14:paraId="7FC5ABCC" w14:textId="77777777" w:rsidR="00F91554" w:rsidRDefault="00F91554" w:rsidP="00D76ED3">
      <w:pPr>
        <w:pStyle w:val="ListBullet"/>
      </w:pPr>
      <w:r w:rsidRPr="00445936">
        <w:rPr>
          <w:i/>
        </w:rPr>
        <w:t>In vitro</w:t>
      </w:r>
      <w:r w:rsidR="00445936">
        <w:t xml:space="preserve">, </w:t>
      </w:r>
      <w:proofErr w:type="spellStart"/>
      <w:r w:rsidR="00445936">
        <w:t>s</w:t>
      </w:r>
      <w:r>
        <w:t>iponimod</w:t>
      </w:r>
      <w:proofErr w:type="spellEnd"/>
      <w:r>
        <w:t xml:space="preserve"> showed </w:t>
      </w:r>
      <w:r w:rsidR="00D76ED3">
        <w:t>h</w:t>
      </w:r>
      <w:r w:rsidR="00D76ED3" w:rsidRPr="00D76ED3">
        <w:t xml:space="preserve">alf maximal effective concentration </w:t>
      </w:r>
      <w:r w:rsidR="00D76ED3">
        <w:t>(</w:t>
      </w:r>
      <w:r>
        <w:t>EC</w:t>
      </w:r>
      <w:r w:rsidRPr="00445936">
        <w:rPr>
          <w:vertAlign w:val="subscript"/>
        </w:rPr>
        <w:t>50</w:t>
      </w:r>
      <w:r w:rsidR="00D76ED3">
        <w:t>)</w:t>
      </w:r>
      <w:r>
        <w:t xml:space="preserve"> values for activation of the S1P receptor isoforms S1P1 and S1P5 of 0.39 </w:t>
      </w:r>
      <w:proofErr w:type="spellStart"/>
      <w:r w:rsidR="008B1F57">
        <w:t>nanomolar</w:t>
      </w:r>
      <w:proofErr w:type="spellEnd"/>
      <w:r w:rsidR="008B1F57">
        <w:t xml:space="preserve"> (</w:t>
      </w:r>
      <w:proofErr w:type="spellStart"/>
      <w:r>
        <w:t>nM</w:t>
      </w:r>
      <w:proofErr w:type="spellEnd"/>
      <w:r w:rsidR="008B1F57">
        <w:t>)</w:t>
      </w:r>
      <w:r>
        <w:t xml:space="preserve"> and 0.98 </w:t>
      </w:r>
      <w:proofErr w:type="spellStart"/>
      <w:r>
        <w:t>nM</w:t>
      </w:r>
      <w:proofErr w:type="spellEnd"/>
      <w:r>
        <w:t xml:space="preserve">, respectively. </w:t>
      </w:r>
      <w:proofErr w:type="spellStart"/>
      <w:r>
        <w:t>Siponimod</w:t>
      </w:r>
      <w:proofErr w:type="spellEnd"/>
      <w:r>
        <w:t xml:space="preserve"> showed little or no activity towards the other S1P receptor isoforms. In support of the proposed clinical indic</w:t>
      </w:r>
      <w:r w:rsidR="00D76ED3">
        <w:t xml:space="preserve">ation, </w:t>
      </w:r>
      <w:proofErr w:type="spellStart"/>
      <w:r w:rsidR="00D76ED3">
        <w:t>s</w:t>
      </w:r>
      <w:r>
        <w:t>iponimod</w:t>
      </w:r>
      <w:proofErr w:type="spellEnd"/>
      <w:r>
        <w:t xml:space="preserve"> showed therapeutic efficacy against experimental autoimmune encephalomyelitis in</w:t>
      </w:r>
      <w:r w:rsidR="00D76ED3">
        <w:t xml:space="preserve">duced in mice and rats and dose </w:t>
      </w:r>
      <w:r>
        <w:t xml:space="preserve">dependent </w:t>
      </w:r>
      <w:proofErr w:type="spellStart"/>
      <w:r>
        <w:t>lymphopaenic</w:t>
      </w:r>
      <w:proofErr w:type="spellEnd"/>
      <w:r>
        <w:t xml:space="preserve"> effects in monkeys of similar amplitude an</w:t>
      </w:r>
      <w:r w:rsidR="00D76ED3">
        <w:t xml:space="preserve">d kinetics to those induced by </w:t>
      </w:r>
      <w:proofErr w:type="spellStart"/>
      <w:r w:rsidR="00D76ED3">
        <w:t>f</w:t>
      </w:r>
      <w:r>
        <w:t>ingolimod</w:t>
      </w:r>
      <w:proofErr w:type="spellEnd"/>
      <w:r>
        <w:t xml:space="preserve"> (the prototype S1P receptor inhibitor).</w:t>
      </w:r>
    </w:p>
    <w:p w14:paraId="5D5CAE8A" w14:textId="77777777" w:rsidR="00F91554" w:rsidRDefault="00F91554" w:rsidP="00F91554">
      <w:pPr>
        <w:pStyle w:val="ListBullet"/>
      </w:pPr>
      <w:r>
        <w:t>Screening against 98 different protein targets failed to reveal fur</w:t>
      </w:r>
      <w:r w:rsidR="00D76ED3">
        <w:t xml:space="preserve">ther high affinity targets for </w:t>
      </w:r>
      <w:proofErr w:type="spellStart"/>
      <w:r w:rsidR="00D76ED3">
        <w:t>s</w:t>
      </w:r>
      <w:r>
        <w:t>iponimod</w:t>
      </w:r>
      <w:proofErr w:type="spellEnd"/>
      <w:r>
        <w:t>.</w:t>
      </w:r>
    </w:p>
    <w:p w14:paraId="47A0C0AB" w14:textId="2CA30A6A" w:rsidR="00F91554" w:rsidRDefault="00F91554" w:rsidP="00D76ED3">
      <w:pPr>
        <w:pStyle w:val="ListBullet"/>
      </w:pPr>
      <w:r>
        <w:t xml:space="preserve">Safety pharmacology studies, assessing effects on the cardiovascular, respiratory, </w:t>
      </w:r>
      <w:r w:rsidR="00F034D5">
        <w:t xml:space="preserve">and </w:t>
      </w:r>
      <w:r>
        <w:t>central nervous</w:t>
      </w:r>
      <w:r w:rsidR="008124D4">
        <w:t xml:space="preserve"> systems</w:t>
      </w:r>
      <w:r>
        <w:t xml:space="preserve">, showed no significant adverse effects aside from the known transient </w:t>
      </w:r>
      <w:proofErr w:type="spellStart"/>
      <w:r>
        <w:t>bradyarrythmic</w:t>
      </w:r>
      <w:proofErr w:type="spellEnd"/>
      <w:r>
        <w:t xml:space="preserve"> effects of this class of drugs. No significant inhibition of </w:t>
      </w:r>
      <w:r w:rsidR="00D76ED3">
        <w:t>human ether-à-go-go-related g</w:t>
      </w:r>
      <w:r w:rsidR="00D76ED3" w:rsidRPr="00D76ED3">
        <w:t xml:space="preserve">ene </w:t>
      </w:r>
      <w:r w:rsidR="00D76ED3">
        <w:t>(</w:t>
      </w:r>
      <w:proofErr w:type="spellStart"/>
      <w:r>
        <w:t>hERG</w:t>
      </w:r>
      <w:proofErr w:type="spellEnd"/>
      <w:r w:rsidR="00D76ED3">
        <w:t>) potassium</w:t>
      </w:r>
      <w:r>
        <w:t xml:space="preserve"> </w:t>
      </w:r>
      <w:r w:rsidR="00E95EA5">
        <w:t xml:space="preserve">ion </w:t>
      </w:r>
      <w:r w:rsidR="00D76ED3">
        <w:t>(</w:t>
      </w:r>
      <w:r>
        <w:t>K</w:t>
      </w:r>
      <w:r w:rsidRPr="00767EF1">
        <w:rPr>
          <w:vertAlign w:val="superscript"/>
        </w:rPr>
        <w:t>+</w:t>
      </w:r>
      <w:r w:rsidR="00D76ED3">
        <w:t>)</w:t>
      </w:r>
      <w:r>
        <w:t xml:space="preserve"> channel tail current was observed at clinically-relevant concentrations. </w:t>
      </w:r>
      <w:proofErr w:type="spellStart"/>
      <w:r>
        <w:t>Siponimod</w:t>
      </w:r>
      <w:proofErr w:type="spellEnd"/>
      <w:r>
        <w:t xml:space="preserve"> is not predicted to prolong the QT interval in patients.</w:t>
      </w:r>
    </w:p>
    <w:p w14:paraId="7D0C4678" w14:textId="13157CEF" w:rsidR="00F91554" w:rsidRDefault="00F91554" w:rsidP="00F91554">
      <w:pPr>
        <w:pStyle w:val="ListBullet"/>
      </w:pPr>
      <w:proofErr w:type="spellStart"/>
      <w:r>
        <w:t>Siponimod</w:t>
      </w:r>
      <w:proofErr w:type="spellEnd"/>
      <w:r>
        <w:t xml:space="preserve"> was fairly slowly absorbed in all species. Half-life values for plasma clearance were quite variable between spec</w:t>
      </w:r>
      <w:r w:rsidR="00D76ED3">
        <w:t xml:space="preserve">ies. Plasma protein binding of </w:t>
      </w:r>
      <w:proofErr w:type="spellStart"/>
      <w:r w:rsidR="00D76ED3">
        <w:t>s</w:t>
      </w:r>
      <w:r>
        <w:t>iponimod</w:t>
      </w:r>
      <w:proofErr w:type="spellEnd"/>
      <w:r>
        <w:t xml:space="preserve"> was very high (&gt;</w:t>
      </w:r>
      <w:r w:rsidR="00D76ED3">
        <w:t xml:space="preserve"> </w:t>
      </w:r>
      <w:r>
        <w:t>99.9%) in all animal species and humans. Tissue</w:t>
      </w:r>
      <w:r w:rsidR="00D76ED3">
        <w:t xml:space="preserve"> distribution of </w:t>
      </w:r>
      <w:proofErr w:type="spellStart"/>
      <w:r w:rsidR="00D76ED3">
        <w:t>s</w:t>
      </w:r>
      <w:r>
        <w:t>iponimod</w:t>
      </w:r>
      <w:proofErr w:type="spellEnd"/>
      <w:r>
        <w:t xml:space="preserve"> in mice and rats was wide, and included brain, spinal </w:t>
      </w:r>
      <w:r w:rsidR="00CA6750">
        <w:t>cord</w:t>
      </w:r>
      <w:r>
        <w:t>, and reproductive organs. The major human metabolites were also identified in one or more animal species, although levels could differ significantly between species. Drug</w:t>
      </w:r>
      <w:r w:rsidR="00D76ED3">
        <w:t> </w:t>
      </w:r>
      <w:r>
        <w:t>related material was excreted predominantly via faeces in humans and animals. Overall, the pharmacokinetic results for the laboratory animal species suggested sufficient similarity to allow them to act as appropriat</w:t>
      </w:r>
      <w:r w:rsidR="00D76ED3">
        <w:t xml:space="preserve">e models for the assessment of </w:t>
      </w:r>
      <w:proofErr w:type="spellStart"/>
      <w:r w:rsidR="00D76ED3">
        <w:t>s</w:t>
      </w:r>
      <w:r>
        <w:t>iponimod</w:t>
      </w:r>
      <w:proofErr w:type="spellEnd"/>
      <w:r>
        <w:t xml:space="preserve"> toxicity in humans.</w:t>
      </w:r>
    </w:p>
    <w:p w14:paraId="5AF86E71" w14:textId="77777777" w:rsidR="00F91554" w:rsidRDefault="00F91554" w:rsidP="00D76ED3">
      <w:pPr>
        <w:pStyle w:val="ListBullet"/>
      </w:pPr>
      <w:proofErr w:type="spellStart"/>
      <w:r>
        <w:lastRenderedPageBreak/>
        <w:t>Siponimod</w:t>
      </w:r>
      <w:proofErr w:type="spellEnd"/>
      <w:r>
        <w:t xml:space="preserve"> showed no significant inhibition of or ability to induce the activity of a panel of clinically significant </w:t>
      </w:r>
      <w:r w:rsidR="00D76ED3">
        <w:t>c</w:t>
      </w:r>
      <w:r w:rsidR="00D76ED3" w:rsidRPr="00D76ED3">
        <w:t xml:space="preserve">ytochrome P450 </w:t>
      </w:r>
      <w:r w:rsidR="00D76ED3">
        <w:t>(</w:t>
      </w:r>
      <w:r>
        <w:t>CYP450</w:t>
      </w:r>
      <w:r w:rsidR="00D76ED3">
        <w:t>)</w:t>
      </w:r>
      <w:r>
        <w:t xml:space="preserve"> enzymes. </w:t>
      </w:r>
      <w:proofErr w:type="spellStart"/>
      <w:r>
        <w:t>Siponimod</w:t>
      </w:r>
      <w:proofErr w:type="spellEnd"/>
      <w:r>
        <w:t xml:space="preserve"> is therefore not expected to alter the exposure of co-administered drugs that are CYP450 substrates. </w:t>
      </w:r>
      <w:proofErr w:type="spellStart"/>
      <w:r>
        <w:t>Siponimod</w:t>
      </w:r>
      <w:proofErr w:type="spellEnd"/>
      <w:r>
        <w:t xml:space="preserve"> also showed no significant inhibitory activity towards various uptake transporters and efflux pumps.</w:t>
      </w:r>
    </w:p>
    <w:p w14:paraId="07B1C0D7" w14:textId="77777777" w:rsidR="00F91554" w:rsidRDefault="00F91554" w:rsidP="00F91554">
      <w:pPr>
        <w:pStyle w:val="ListBullet"/>
      </w:pPr>
      <w:proofErr w:type="spellStart"/>
      <w:r>
        <w:t>Siponimod</w:t>
      </w:r>
      <w:proofErr w:type="spellEnd"/>
      <w:r>
        <w:t xml:space="preserve"> showed a low level of acute oral toxicity in mice, rats, and </w:t>
      </w:r>
      <w:proofErr w:type="spellStart"/>
      <w:r>
        <w:t>cynomolgus</w:t>
      </w:r>
      <w:proofErr w:type="spellEnd"/>
      <w:r>
        <w:t xml:space="preserve"> monkeys.</w:t>
      </w:r>
    </w:p>
    <w:p w14:paraId="493FBF23" w14:textId="6EB372BB" w:rsidR="00F91554" w:rsidRDefault="00D76ED3" w:rsidP="00D76ED3">
      <w:pPr>
        <w:pStyle w:val="ListBullet"/>
      </w:pPr>
      <w:r>
        <w:t xml:space="preserve">Repeat </w:t>
      </w:r>
      <w:r w:rsidR="00F91554">
        <w:t>dose toxicity studies by the oral route w</w:t>
      </w:r>
      <w:r w:rsidR="008B1F57">
        <w:t>ere conducted in mice (up to 13 </w:t>
      </w:r>
      <w:r w:rsidR="00F91554">
        <w:t xml:space="preserve">weeks), rats (up to 6 months), and </w:t>
      </w:r>
      <w:proofErr w:type="spellStart"/>
      <w:r w:rsidR="00F91554">
        <w:t>cynomolgus</w:t>
      </w:r>
      <w:proofErr w:type="spellEnd"/>
      <w:r w:rsidR="00F91554">
        <w:t xml:space="preserve"> monkeys (up to 1 year). Exposure ratios (AUC) at the </w:t>
      </w:r>
      <w:r>
        <w:t xml:space="preserve">no observed adverse effect </w:t>
      </w:r>
      <w:r w:rsidRPr="00D76ED3">
        <w:t xml:space="preserve">level </w:t>
      </w:r>
      <w:r>
        <w:t>(</w:t>
      </w:r>
      <w:r w:rsidR="00F91554">
        <w:t>NOAEL</w:t>
      </w:r>
      <w:r>
        <w:t>)</w:t>
      </w:r>
      <w:r w:rsidR="00F91554">
        <w:t xml:space="preserve"> doses in these studies were generally high in the three species used. Various target organs for toxicity were noted: kidney in mouse, lung and vascular system in rats, intestinal tract in monkeys, however, the high exposure ratios at which these toxicities were noted made their relevance for humans appear doubtful.</w:t>
      </w:r>
      <w:r w:rsidR="008E75BB">
        <w:t xml:space="preserve"> There were no </w:t>
      </w:r>
      <w:r w:rsidR="008124D4">
        <w:t xml:space="preserve">significant adverse </w:t>
      </w:r>
      <w:r w:rsidR="008E75BB">
        <w:t>effect</w:t>
      </w:r>
      <w:r w:rsidR="008124D4">
        <w:t>s</w:t>
      </w:r>
      <w:r w:rsidR="008E75BB">
        <w:t xml:space="preserve"> on the ocular system.</w:t>
      </w:r>
    </w:p>
    <w:p w14:paraId="2D94830C" w14:textId="77777777" w:rsidR="00F91554" w:rsidRDefault="00F91554" w:rsidP="00F91554">
      <w:pPr>
        <w:pStyle w:val="ListBullet"/>
      </w:pPr>
      <w:proofErr w:type="spellStart"/>
      <w:r>
        <w:t>Siponimod</w:t>
      </w:r>
      <w:proofErr w:type="spellEnd"/>
      <w:r>
        <w:t xml:space="preserve"> was not mutagenic in the bacterial mutation assay or </w:t>
      </w:r>
      <w:proofErr w:type="spellStart"/>
      <w:r>
        <w:t>clastogenic</w:t>
      </w:r>
      <w:proofErr w:type="spellEnd"/>
      <w:r>
        <w:t xml:space="preserve"> </w:t>
      </w:r>
      <w:r w:rsidRPr="00D76ED3">
        <w:rPr>
          <w:i/>
        </w:rPr>
        <w:t>in vitro</w:t>
      </w:r>
      <w:r>
        <w:t xml:space="preserve"> (human lymphocytes) or </w:t>
      </w:r>
      <w:r w:rsidRPr="00D76ED3">
        <w:rPr>
          <w:i/>
        </w:rPr>
        <w:t>in vivo</w:t>
      </w:r>
      <w:r>
        <w:t xml:space="preserve"> (mouse </w:t>
      </w:r>
      <w:r w:rsidR="00D76ED3">
        <w:t xml:space="preserve">and rat micronucleus test). Two </w:t>
      </w:r>
      <w:r>
        <w:t xml:space="preserve">year oral carcinogenicity studies, performed using mice and rats, showed induction of </w:t>
      </w:r>
      <w:proofErr w:type="spellStart"/>
      <w:r>
        <w:t>haemangiosarcomas</w:t>
      </w:r>
      <w:proofErr w:type="spellEnd"/>
      <w:r>
        <w:t xml:space="preserve"> and haemangiomas in male and female mice and of lymphomas in female mice, whilst male rats showed an increase in the incidence of thyroid follicular cell adenoma/carcinoma. The induction of </w:t>
      </w:r>
      <w:proofErr w:type="spellStart"/>
      <w:r>
        <w:t>haemangiosarcoma</w:t>
      </w:r>
      <w:r w:rsidR="00D76ED3">
        <w:t>s</w:t>
      </w:r>
      <w:proofErr w:type="spellEnd"/>
      <w:r w:rsidR="00D76ED3">
        <w:t xml:space="preserve">/haemangiomas was linked with </w:t>
      </w:r>
      <w:proofErr w:type="spellStart"/>
      <w:r w:rsidR="00D76ED3">
        <w:t>s</w:t>
      </w:r>
      <w:r>
        <w:t>iponimod</w:t>
      </w:r>
      <w:proofErr w:type="spellEnd"/>
      <w:r>
        <w:t>-induced proliferation of mouse vascular endothelial cells, the lymphomas were linked to a very high spontaneous incidence of lymphoma in the particular mouse strain, and the thyroid tumours were ascribed to xenobiotic-induced compensatory thyroid hypertrophy in rats. Accordingly, it was concluded that these findings were unlikely to b</w:t>
      </w:r>
      <w:r w:rsidR="00D76ED3">
        <w:t xml:space="preserve">e of relevance to human use of </w:t>
      </w:r>
      <w:proofErr w:type="spellStart"/>
      <w:r w:rsidR="00D76ED3">
        <w:t>s</w:t>
      </w:r>
      <w:r>
        <w:t>iponimod</w:t>
      </w:r>
      <w:proofErr w:type="spellEnd"/>
      <w:r>
        <w:t>.</w:t>
      </w:r>
    </w:p>
    <w:p w14:paraId="35743B53" w14:textId="77777777" w:rsidR="00F91554" w:rsidRDefault="00F91554" w:rsidP="00F91554">
      <w:pPr>
        <w:pStyle w:val="ListBullet"/>
      </w:pPr>
      <w:r w:rsidRPr="006124C9">
        <w:t>Fertility in male and female rats</w:t>
      </w:r>
      <w:r w:rsidR="008B1F57" w:rsidRPr="006124C9">
        <w:t xml:space="preserve"> was unaffected by dosing with </w:t>
      </w:r>
      <w:proofErr w:type="spellStart"/>
      <w:r w:rsidR="008B1F57" w:rsidRPr="006124C9">
        <w:t>s</w:t>
      </w:r>
      <w:r w:rsidRPr="006124C9">
        <w:t>iponimod</w:t>
      </w:r>
      <w:proofErr w:type="spellEnd"/>
      <w:r w:rsidRPr="006124C9">
        <w:t xml:space="preserve"> at exposure levels &gt;</w:t>
      </w:r>
      <w:r w:rsidR="00D76ED3" w:rsidRPr="006124C9">
        <w:t xml:space="preserve"> 50 </w:t>
      </w:r>
      <w:r w:rsidRPr="006124C9">
        <w:t>times (males) or ≥</w:t>
      </w:r>
      <w:r w:rsidR="00D76ED3" w:rsidRPr="006124C9">
        <w:t xml:space="preserve"> 16 </w:t>
      </w:r>
      <w:r w:rsidRPr="006124C9">
        <w:t>times (females) the clinical AUC.</w:t>
      </w:r>
      <w:r>
        <w:t xml:space="preserve"> </w:t>
      </w:r>
      <w:proofErr w:type="spellStart"/>
      <w:r>
        <w:t>Embryofetal</w:t>
      </w:r>
      <w:proofErr w:type="spellEnd"/>
      <w:r>
        <w:t xml:space="preserve"> development studies in rats showed </w:t>
      </w:r>
      <w:proofErr w:type="spellStart"/>
      <w:r>
        <w:t>embryotoxic</w:t>
      </w:r>
      <w:proofErr w:type="spellEnd"/>
      <w:r>
        <w:t xml:space="preserve">, </w:t>
      </w:r>
      <w:proofErr w:type="spellStart"/>
      <w:r>
        <w:t>fetotoxic</w:t>
      </w:r>
      <w:proofErr w:type="spellEnd"/>
      <w:r>
        <w:t>, and teratogenic (skeletal and limb malformations) effects at ≥</w:t>
      </w:r>
      <w:r w:rsidR="00D76ED3">
        <w:t xml:space="preserve"> </w:t>
      </w:r>
      <w:r>
        <w:t>1 mg/kg/day (a NOAEL was not determine</w:t>
      </w:r>
      <w:r w:rsidR="00D76ED3">
        <w:t xml:space="preserve">d), whilst in rabbits, </w:t>
      </w:r>
      <w:proofErr w:type="spellStart"/>
      <w:r w:rsidR="00D76ED3">
        <w:t>s</w:t>
      </w:r>
      <w:r>
        <w:t>iponimod</w:t>
      </w:r>
      <w:proofErr w:type="spellEnd"/>
      <w:r>
        <w:t xml:space="preserve"> produced </w:t>
      </w:r>
      <w:proofErr w:type="spellStart"/>
      <w:r>
        <w:t>embryotoxicity</w:t>
      </w:r>
      <w:proofErr w:type="spellEnd"/>
      <w:r>
        <w:t>/</w:t>
      </w:r>
      <w:proofErr w:type="spellStart"/>
      <w:r>
        <w:t>fetotoxicity</w:t>
      </w:r>
      <w:proofErr w:type="spellEnd"/>
      <w:r>
        <w:t xml:space="preserve"> and skeletal variations at ≥</w:t>
      </w:r>
      <w:r w:rsidR="00D76ED3">
        <w:t xml:space="preserve"> </w:t>
      </w:r>
      <w:r>
        <w:t xml:space="preserve">1 mg/kg/day (NOAEL = 0.1 mg/kg/day). The exposure levels producing adverse effects in animals may be comparable with those in patients taking the recommended </w:t>
      </w:r>
      <w:r w:rsidR="00D76ED3">
        <w:t xml:space="preserve">dose of </w:t>
      </w:r>
      <w:proofErr w:type="spellStart"/>
      <w:r w:rsidR="00D76ED3">
        <w:t>s</w:t>
      </w:r>
      <w:r>
        <w:t>iponimod</w:t>
      </w:r>
      <w:proofErr w:type="spellEnd"/>
      <w:r>
        <w:t>. Therefore, Australian Pregnancy Category D is recommended.</w:t>
      </w:r>
      <w:bookmarkStart w:id="46" w:name="_Ref25048175"/>
      <w:r w:rsidR="0037666F">
        <w:rPr>
          <w:rStyle w:val="FootnoteReference"/>
        </w:rPr>
        <w:footnoteReference w:id="10"/>
      </w:r>
      <w:bookmarkEnd w:id="46"/>
    </w:p>
    <w:p w14:paraId="4714C26F" w14:textId="77777777" w:rsidR="00F91554" w:rsidRDefault="00F91554" w:rsidP="00F91554">
      <w:pPr>
        <w:pStyle w:val="ListBullet"/>
      </w:pPr>
      <w:r>
        <w:t xml:space="preserve">Studies with rats and </w:t>
      </w:r>
      <w:proofErr w:type="spellStart"/>
      <w:r>
        <w:t>cynomolgu</w:t>
      </w:r>
      <w:r w:rsidR="0037666F">
        <w:t>s</w:t>
      </w:r>
      <w:proofErr w:type="spellEnd"/>
      <w:r w:rsidR="0037666F">
        <w:t xml:space="preserve"> monkeys showed that although </w:t>
      </w:r>
      <w:proofErr w:type="spellStart"/>
      <w:r w:rsidR="0037666F">
        <w:t>s</w:t>
      </w:r>
      <w:r>
        <w:t>iponimod</w:t>
      </w:r>
      <w:proofErr w:type="spellEnd"/>
      <w:r>
        <w:t xml:space="preserve"> dosing can induce a profound </w:t>
      </w:r>
      <w:proofErr w:type="spellStart"/>
      <w:r>
        <w:t>lymphopaenia</w:t>
      </w:r>
      <w:proofErr w:type="spellEnd"/>
      <w:r>
        <w:t>, the effects on B and T cell subsets in peripheral blood and lymphoid organs can be completely or part</w:t>
      </w:r>
      <w:r w:rsidR="0037666F">
        <w:t>ially reversed following a drug </w:t>
      </w:r>
      <w:r>
        <w:t>free recovery period.</w:t>
      </w:r>
    </w:p>
    <w:p w14:paraId="0273E9A8" w14:textId="77777777" w:rsidR="00F91554" w:rsidRDefault="00F91554" w:rsidP="0037666F">
      <w:pPr>
        <w:pStyle w:val="ListBullet"/>
      </w:pPr>
      <w:r>
        <w:t xml:space="preserve">The proposed specifications for impurities/degradants in the drug substance/product are below the ICH qualification thresholds or have been adequately qualified. All identified impurities have been assessed for potential mutagenicity and are considered non-mutagenic or are below the </w:t>
      </w:r>
      <w:r w:rsidR="0037666F">
        <w:t>threshold of toxicological c</w:t>
      </w:r>
      <w:r w:rsidR="0037666F" w:rsidRPr="0037666F">
        <w:t>oncern</w:t>
      </w:r>
      <w:r>
        <w:t>.</w:t>
      </w:r>
    </w:p>
    <w:p w14:paraId="33D77087" w14:textId="7E7903EF" w:rsidR="00F91554" w:rsidRDefault="00F91554" w:rsidP="00F91554">
      <w:pPr>
        <w:pStyle w:val="ListBullet"/>
      </w:pPr>
      <w:r>
        <w:t xml:space="preserve">The sponsor has proposed Pregnancy Category D for </w:t>
      </w:r>
      <w:r w:rsidR="00E95EA5">
        <w:t>s</w:t>
      </w:r>
      <w:r>
        <w:t>iponimod</w:t>
      </w:r>
      <w:r w:rsidR="00E95EA5">
        <w:t>;</w:t>
      </w:r>
      <w:r w:rsidR="0037666F">
        <w:fldChar w:fldCharType="begin"/>
      </w:r>
      <w:r w:rsidR="0037666F">
        <w:instrText xml:space="preserve"> NOTEREF _Ref25048175 \f \h </w:instrText>
      </w:r>
      <w:r w:rsidR="0037666F">
        <w:fldChar w:fldCharType="separate"/>
      </w:r>
      <w:r w:rsidR="0037666F" w:rsidRPr="0037666F">
        <w:rPr>
          <w:rStyle w:val="FootnoteReference"/>
        </w:rPr>
        <w:t>10</w:t>
      </w:r>
      <w:r w:rsidR="0037666F">
        <w:fldChar w:fldCharType="end"/>
      </w:r>
      <w:r>
        <w:t xml:space="preserve"> which is acceptable and consistent with the nonclinical data and the previou</w:t>
      </w:r>
      <w:r w:rsidR="0037666F">
        <w:t xml:space="preserve">s categorisation of </w:t>
      </w:r>
      <w:proofErr w:type="spellStart"/>
      <w:r w:rsidR="00E95EA5">
        <w:t>fingolimod</w:t>
      </w:r>
      <w:proofErr w:type="spellEnd"/>
      <w:r w:rsidR="0037666F">
        <w:t>.</w:t>
      </w:r>
    </w:p>
    <w:p w14:paraId="6B04C21C" w14:textId="77777777" w:rsidR="00F91554" w:rsidRDefault="00F91554" w:rsidP="00F91554">
      <w:pPr>
        <w:pStyle w:val="ListBullet"/>
      </w:pPr>
      <w:r>
        <w:t>There are no nonclinical obj</w:t>
      </w:r>
      <w:r w:rsidR="0037666F">
        <w:t xml:space="preserve">ections to the registration of </w:t>
      </w:r>
      <w:proofErr w:type="spellStart"/>
      <w:r w:rsidR="0037666F">
        <w:t>s</w:t>
      </w:r>
      <w:r>
        <w:t>iponimod</w:t>
      </w:r>
      <w:proofErr w:type="spellEnd"/>
      <w:r>
        <w:t>.</w:t>
      </w:r>
    </w:p>
    <w:p w14:paraId="30979F90" w14:textId="77777777" w:rsidR="00DC1948" w:rsidRPr="00DC1948" w:rsidRDefault="00F91554" w:rsidP="00F91554">
      <w:pPr>
        <w:pStyle w:val="ListBullet"/>
      </w:pPr>
      <w:r>
        <w:lastRenderedPageBreak/>
        <w:t xml:space="preserve">The draft </w:t>
      </w:r>
      <w:r w:rsidR="0037666F">
        <w:t>PI accompanying the s</w:t>
      </w:r>
      <w:r>
        <w:t xml:space="preserve">ponsor’s </w:t>
      </w:r>
      <w:r w:rsidR="0037666F">
        <w:t>response to TGA questions</w:t>
      </w:r>
      <w:r>
        <w:t xml:space="preserve"> is acceptable from a nonclinical viewpoint.</w:t>
      </w:r>
    </w:p>
    <w:p w14:paraId="43D126A9" w14:textId="77777777" w:rsidR="008E7846" w:rsidRDefault="008E7846" w:rsidP="008E7846">
      <w:pPr>
        <w:pStyle w:val="Heading3"/>
      </w:pPr>
      <w:bookmarkStart w:id="47" w:name="_Toc247691530"/>
      <w:bookmarkStart w:id="48" w:name="_Toc314842513"/>
      <w:bookmarkStart w:id="49" w:name="_Toc28868685"/>
      <w:r>
        <w:t>Clinical</w:t>
      </w:r>
      <w:bookmarkEnd w:id="47"/>
      <w:bookmarkEnd w:id="48"/>
      <w:bookmarkEnd w:id="49"/>
    </w:p>
    <w:p w14:paraId="49C508F2" w14:textId="77777777" w:rsidR="00B768B2" w:rsidRPr="00B768B2" w:rsidRDefault="00B768B2" w:rsidP="00B768B2">
      <w:pPr>
        <w:rPr>
          <w:b/>
        </w:rPr>
      </w:pPr>
      <w:bookmarkStart w:id="50" w:name="_Toc314842514"/>
      <w:r>
        <w:t>The clinical dossier consisted of:</w:t>
      </w:r>
    </w:p>
    <w:p w14:paraId="26F506CE" w14:textId="77777777" w:rsidR="00B768B2" w:rsidRDefault="00B768B2" w:rsidP="00B768B2">
      <w:pPr>
        <w:pStyle w:val="ListBullet"/>
      </w:pPr>
      <w:r>
        <w:t>20 clinical pharmacology studies:</w:t>
      </w:r>
    </w:p>
    <w:p w14:paraId="2112CCFA" w14:textId="77777777" w:rsidR="00B768B2" w:rsidRPr="0007125C" w:rsidRDefault="0037666F" w:rsidP="00B768B2">
      <w:pPr>
        <w:pStyle w:val="ListBullet2"/>
      </w:pPr>
      <w:r>
        <w:t>A</w:t>
      </w:r>
      <w:r w:rsidR="00B768B2">
        <w:t xml:space="preserve">ll of </w:t>
      </w:r>
      <w:r>
        <w:t xml:space="preserve">which contain </w:t>
      </w:r>
      <w:r>
        <w:rPr>
          <w:rFonts w:asciiTheme="minorHAnsi" w:hAnsiTheme="minorHAnsi"/>
        </w:rPr>
        <w:t>pharmacokinetic (</w:t>
      </w:r>
      <w:r>
        <w:t>PK) data.</w:t>
      </w:r>
    </w:p>
    <w:p w14:paraId="694E58E0" w14:textId="77777777" w:rsidR="00B768B2" w:rsidRPr="0007125C" w:rsidRDefault="00B768B2" w:rsidP="0037666F">
      <w:pPr>
        <w:pStyle w:val="ListBullet2"/>
      </w:pPr>
      <w:r w:rsidRPr="0007125C">
        <w:t xml:space="preserve">12 of which contain </w:t>
      </w:r>
      <w:proofErr w:type="spellStart"/>
      <w:r w:rsidR="0037666F">
        <w:t>p</w:t>
      </w:r>
      <w:r w:rsidR="0037666F" w:rsidRPr="0037666F">
        <w:t>harmacodynamic</w:t>
      </w:r>
      <w:proofErr w:type="spellEnd"/>
      <w:r w:rsidR="0037666F" w:rsidRPr="0037666F">
        <w:t xml:space="preserve"> </w:t>
      </w:r>
      <w:r w:rsidR="0037666F">
        <w:t>(</w:t>
      </w:r>
      <w:r w:rsidRPr="0007125C">
        <w:t>PD</w:t>
      </w:r>
      <w:r w:rsidR="0037666F">
        <w:t>)</w:t>
      </w:r>
      <w:r w:rsidRPr="0007125C">
        <w:t xml:space="preserve"> data.</w:t>
      </w:r>
    </w:p>
    <w:p w14:paraId="7DB48334" w14:textId="77777777" w:rsidR="00B768B2" w:rsidRDefault="00B768B2" w:rsidP="00B768B2">
      <w:pPr>
        <w:pStyle w:val="ListBullet"/>
      </w:pPr>
      <w:r w:rsidRPr="007D46F4">
        <w:t>Three</w:t>
      </w:r>
      <w:r w:rsidR="0037666F">
        <w:t xml:space="preserve"> </w:t>
      </w:r>
      <w:r>
        <w:t>mod</w:t>
      </w:r>
      <w:r w:rsidR="0037666F">
        <w:t xml:space="preserve">elling studies, which assess population </w:t>
      </w:r>
      <w:r>
        <w:t>PK/PD data a</w:t>
      </w:r>
      <w:r w:rsidR="0037666F">
        <w:t xml:space="preserve">nd the influence of smoking on </w:t>
      </w:r>
      <w:proofErr w:type="spellStart"/>
      <w:r w:rsidR="0037666F">
        <w:t>s</w:t>
      </w:r>
      <w:r>
        <w:t>iponimod</w:t>
      </w:r>
      <w:proofErr w:type="spellEnd"/>
      <w:r>
        <w:t xml:space="preserve"> exposure.</w:t>
      </w:r>
    </w:p>
    <w:p w14:paraId="111A6F6F" w14:textId="345AF2C7" w:rsidR="00B768B2" w:rsidRPr="007D46F4" w:rsidRDefault="0037666F" w:rsidP="00B768B2">
      <w:pPr>
        <w:pStyle w:val="ListBullet"/>
      </w:pPr>
      <w:r>
        <w:t>One pivotal Phase III</w:t>
      </w:r>
      <w:r w:rsidR="00B768B2" w:rsidRPr="007D46F4">
        <w:t xml:space="preserve"> study (</w:t>
      </w:r>
      <w:r>
        <w:t xml:space="preserve">Study </w:t>
      </w:r>
      <w:r w:rsidR="00B768B2" w:rsidRPr="007D46F4">
        <w:t>A2304) conducted in patients with</w:t>
      </w:r>
      <w:r w:rsidR="00B768B2" w:rsidRPr="007D46F4">
        <w:rPr>
          <w:spacing w:val="-18"/>
        </w:rPr>
        <w:t xml:space="preserve"> </w:t>
      </w:r>
      <w:r w:rsidR="00B768B2" w:rsidRPr="007D46F4">
        <w:t>SPMS</w:t>
      </w:r>
      <w:r>
        <w:t>.</w:t>
      </w:r>
    </w:p>
    <w:p w14:paraId="3E31AD72" w14:textId="77777777" w:rsidR="00B768B2" w:rsidRPr="00B768B2" w:rsidRDefault="0037666F" w:rsidP="00B768B2">
      <w:pPr>
        <w:pStyle w:val="ListBullet"/>
      </w:pPr>
      <w:r>
        <w:t>One Phase II</w:t>
      </w:r>
      <w:r w:rsidR="00B768B2" w:rsidRPr="007D46F4">
        <w:t xml:space="preserve">, dose-ranging study </w:t>
      </w:r>
      <w:r w:rsidR="00B768B2" w:rsidRPr="007D46F4">
        <w:rPr>
          <w:spacing w:val="-3"/>
        </w:rPr>
        <w:t>(</w:t>
      </w:r>
      <w:r>
        <w:rPr>
          <w:spacing w:val="-3"/>
        </w:rPr>
        <w:t xml:space="preserve">Study </w:t>
      </w:r>
      <w:r w:rsidR="00B768B2" w:rsidRPr="007D46F4">
        <w:rPr>
          <w:spacing w:val="-3"/>
        </w:rPr>
        <w:t xml:space="preserve">A2201) </w:t>
      </w:r>
      <w:r w:rsidR="00B768B2" w:rsidRPr="007D46F4">
        <w:t>in</w:t>
      </w:r>
      <w:r>
        <w:t xml:space="preserve"> patients with RRMS with a long </w:t>
      </w:r>
      <w:r w:rsidR="00B768B2" w:rsidRPr="007D46F4">
        <w:t>term extension study</w:t>
      </w:r>
      <w:r w:rsidR="00B768B2" w:rsidRPr="007D46F4">
        <w:rPr>
          <w:spacing w:val="-1"/>
        </w:rPr>
        <w:t xml:space="preserve"> </w:t>
      </w:r>
      <w:r w:rsidR="00B768B2" w:rsidRPr="007D46F4">
        <w:t>(</w:t>
      </w:r>
      <w:r>
        <w:t xml:space="preserve">Study </w:t>
      </w:r>
      <w:r w:rsidR="00B768B2" w:rsidRPr="007D46F4">
        <w:t>A2201E1)</w:t>
      </w:r>
      <w:r>
        <w:t>.</w:t>
      </w:r>
    </w:p>
    <w:p w14:paraId="12D7CA21" w14:textId="2AE802F1" w:rsidR="00B768B2" w:rsidRPr="00BE3E78" w:rsidRDefault="00E95EA5" w:rsidP="00B768B2">
      <w:pPr>
        <w:pStyle w:val="ListBullet"/>
      </w:pPr>
      <w:r>
        <w:t>A c</w:t>
      </w:r>
      <w:r w:rsidR="00B768B2" w:rsidRPr="00BE3E78">
        <w:t>linical overview</w:t>
      </w:r>
      <w:r>
        <w:t xml:space="preserve"> and</w:t>
      </w:r>
      <w:r w:rsidR="00B768B2" w:rsidRPr="00BE3E78">
        <w:t xml:space="preserve"> summary of clinical efficacy</w:t>
      </w:r>
      <w:r w:rsidR="00B768B2">
        <w:t xml:space="preserve"> and </w:t>
      </w:r>
      <w:r w:rsidR="00B768B2" w:rsidRPr="00BE3E78">
        <w:t>safety</w:t>
      </w:r>
      <w:r w:rsidR="0037666F">
        <w:t>.</w:t>
      </w:r>
    </w:p>
    <w:p w14:paraId="7B72140C" w14:textId="77777777" w:rsidR="007B6132" w:rsidRDefault="00B768B2" w:rsidP="00B768B2">
      <w:pPr>
        <w:pStyle w:val="Heading4"/>
      </w:pPr>
      <w:r>
        <w:t>Pharmacokinetics</w:t>
      </w:r>
    </w:p>
    <w:p w14:paraId="62781C2C" w14:textId="77777777" w:rsidR="00B768B2" w:rsidRDefault="00B768B2" w:rsidP="00B768B2">
      <w:r w:rsidRPr="00B768B2">
        <w:t xml:space="preserve">Studies identified by the </w:t>
      </w:r>
      <w:r w:rsidR="0037666F">
        <w:t xml:space="preserve">clinical evaluator as containing PK data are shown in </w:t>
      </w:r>
      <w:r w:rsidR="0037666F">
        <w:fldChar w:fldCharType="begin"/>
      </w:r>
      <w:r w:rsidR="0037666F">
        <w:instrText xml:space="preserve"> REF _Ref25048545 \h </w:instrText>
      </w:r>
      <w:r w:rsidR="0037666F">
        <w:fldChar w:fldCharType="separate"/>
      </w:r>
      <w:r w:rsidR="0037666F">
        <w:t xml:space="preserve">Table </w:t>
      </w:r>
      <w:r w:rsidR="0037666F">
        <w:rPr>
          <w:noProof/>
        </w:rPr>
        <w:t>3</w:t>
      </w:r>
      <w:r w:rsidR="0037666F">
        <w:fldChar w:fldCharType="end"/>
      </w:r>
      <w:r w:rsidR="0037666F">
        <w:t>.</w:t>
      </w:r>
    </w:p>
    <w:p w14:paraId="34DDC217" w14:textId="77777777" w:rsidR="00235CDE" w:rsidRDefault="00235CDE" w:rsidP="00235CDE">
      <w:pPr>
        <w:pStyle w:val="TableTitle"/>
      </w:pPr>
      <w:bookmarkStart w:id="51" w:name="_Ref25048545"/>
      <w:r>
        <w:t xml:space="preserve">Table </w:t>
      </w:r>
      <w:fldSimple w:instr=" SEQ Table \* ARABIC ">
        <w:r w:rsidR="00C20E52">
          <w:rPr>
            <w:noProof/>
          </w:rPr>
          <w:t>3</w:t>
        </w:r>
      </w:fldSimple>
      <w:bookmarkEnd w:id="51"/>
      <w:r>
        <w:t>: Studies containing pharmacokinetic data</w:t>
      </w:r>
    </w:p>
    <w:tbl>
      <w:tblPr>
        <w:tblStyle w:val="TableTGAblue"/>
        <w:tblW w:w="8333" w:type="dxa"/>
        <w:tblLayout w:type="fixed"/>
        <w:tblLook w:val="01E0" w:firstRow="1" w:lastRow="1" w:firstColumn="1" w:lastColumn="1" w:noHBand="0" w:noVBand="0"/>
      </w:tblPr>
      <w:tblGrid>
        <w:gridCol w:w="1384"/>
        <w:gridCol w:w="1701"/>
        <w:gridCol w:w="1134"/>
        <w:gridCol w:w="4114"/>
      </w:tblGrid>
      <w:tr w:rsidR="00B768B2" w:rsidRPr="00B768B2" w14:paraId="482E8410" w14:textId="77777777" w:rsidTr="00B768B2">
        <w:trPr>
          <w:cnfStyle w:val="100000000000" w:firstRow="1" w:lastRow="0" w:firstColumn="0" w:lastColumn="0" w:oddVBand="0" w:evenVBand="0" w:oddHBand="0" w:evenHBand="0" w:firstRowFirstColumn="0" w:firstRowLastColumn="0" w:lastRowFirstColumn="0" w:lastRowLastColumn="0"/>
          <w:trHeight w:val="229"/>
        </w:trPr>
        <w:tc>
          <w:tcPr>
            <w:tcW w:w="1384" w:type="dxa"/>
          </w:tcPr>
          <w:p w14:paraId="3A6BBABB" w14:textId="77777777" w:rsidR="00B768B2" w:rsidRPr="00B768B2" w:rsidRDefault="00B768B2" w:rsidP="00B768B2">
            <w:pPr>
              <w:ind w:left="0" w:right="0"/>
              <w:rPr>
                <w:b w:val="0"/>
                <w:sz w:val="20"/>
                <w:szCs w:val="20"/>
              </w:rPr>
            </w:pPr>
            <w:r w:rsidRPr="00B768B2">
              <w:rPr>
                <w:sz w:val="20"/>
                <w:szCs w:val="20"/>
              </w:rPr>
              <w:t>PK topic</w:t>
            </w:r>
          </w:p>
        </w:tc>
        <w:tc>
          <w:tcPr>
            <w:tcW w:w="1701" w:type="dxa"/>
          </w:tcPr>
          <w:p w14:paraId="51E7719F" w14:textId="77777777" w:rsidR="00B768B2" w:rsidRPr="00B768B2" w:rsidRDefault="00B768B2" w:rsidP="00B768B2">
            <w:pPr>
              <w:ind w:left="0" w:right="0"/>
              <w:rPr>
                <w:b w:val="0"/>
                <w:sz w:val="20"/>
                <w:szCs w:val="20"/>
              </w:rPr>
            </w:pPr>
            <w:r w:rsidRPr="00B768B2">
              <w:rPr>
                <w:sz w:val="20"/>
                <w:szCs w:val="20"/>
              </w:rPr>
              <w:t>Subtopic</w:t>
            </w:r>
          </w:p>
        </w:tc>
        <w:tc>
          <w:tcPr>
            <w:tcW w:w="1134" w:type="dxa"/>
          </w:tcPr>
          <w:p w14:paraId="36FECADC" w14:textId="77777777" w:rsidR="00B768B2" w:rsidRPr="00B768B2" w:rsidRDefault="00B768B2" w:rsidP="00B768B2">
            <w:pPr>
              <w:ind w:left="0" w:right="0"/>
              <w:rPr>
                <w:b w:val="0"/>
                <w:sz w:val="20"/>
                <w:szCs w:val="20"/>
              </w:rPr>
            </w:pPr>
            <w:r w:rsidRPr="00B768B2">
              <w:rPr>
                <w:sz w:val="20"/>
                <w:szCs w:val="20"/>
              </w:rPr>
              <w:t>Study ID</w:t>
            </w:r>
          </w:p>
        </w:tc>
        <w:tc>
          <w:tcPr>
            <w:tcW w:w="4114" w:type="dxa"/>
          </w:tcPr>
          <w:p w14:paraId="67B93B8D" w14:textId="77777777" w:rsidR="00B768B2" w:rsidRPr="00B768B2" w:rsidRDefault="0037666F" w:rsidP="00B768B2">
            <w:pPr>
              <w:ind w:left="0" w:right="0"/>
              <w:rPr>
                <w:b w:val="0"/>
                <w:sz w:val="20"/>
                <w:szCs w:val="20"/>
              </w:rPr>
            </w:pPr>
            <w:r>
              <w:rPr>
                <w:w w:val="101"/>
                <w:sz w:val="20"/>
                <w:szCs w:val="20"/>
              </w:rPr>
              <w:t>Primary PK aim of the study</w:t>
            </w:r>
          </w:p>
        </w:tc>
      </w:tr>
      <w:tr w:rsidR="00B768B2" w:rsidRPr="00B768B2" w14:paraId="1DF8D969" w14:textId="77777777" w:rsidTr="00B768B2">
        <w:trPr>
          <w:trHeight w:val="695"/>
        </w:trPr>
        <w:tc>
          <w:tcPr>
            <w:tcW w:w="1384" w:type="dxa"/>
            <w:vMerge w:val="restart"/>
          </w:tcPr>
          <w:p w14:paraId="3B8D2C9C" w14:textId="77777777" w:rsidR="00B768B2" w:rsidRPr="00B768B2" w:rsidRDefault="00B768B2" w:rsidP="00B768B2">
            <w:pPr>
              <w:ind w:left="0" w:right="0"/>
              <w:rPr>
                <w:sz w:val="20"/>
                <w:szCs w:val="20"/>
              </w:rPr>
            </w:pPr>
            <w:r w:rsidRPr="00B768B2">
              <w:rPr>
                <w:sz w:val="20"/>
                <w:szCs w:val="20"/>
              </w:rPr>
              <w:t>PK in healthy adults</w:t>
            </w:r>
          </w:p>
        </w:tc>
        <w:tc>
          <w:tcPr>
            <w:tcW w:w="1701" w:type="dxa"/>
            <w:vMerge w:val="restart"/>
          </w:tcPr>
          <w:p w14:paraId="31F52B7F" w14:textId="77777777" w:rsidR="0037666F" w:rsidRDefault="0037666F" w:rsidP="00B768B2">
            <w:pPr>
              <w:ind w:left="0" w:right="0"/>
              <w:rPr>
                <w:sz w:val="20"/>
                <w:szCs w:val="20"/>
              </w:rPr>
            </w:pPr>
            <w:r>
              <w:rPr>
                <w:sz w:val="20"/>
                <w:szCs w:val="20"/>
              </w:rPr>
              <w:t>General PK</w:t>
            </w:r>
          </w:p>
          <w:p w14:paraId="25928446" w14:textId="77777777" w:rsidR="00B768B2" w:rsidRPr="00B768B2" w:rsidRDefault="00B768B2" w:rsidP="00B768B2">
            <w:pPr>
              <w:ind w:left="0" w:right="0"/>
              <w:rPr>
                <w:sz w:val="20"/>
                <w:szCs w:val="20"/>
              </w:rPr>
            </w:pPr>
            <w:r w:rsidRPr="00B768B2">
              <w:rPr>
                <w:sz w:val="20"/>
                <w:szCs w:val="20"/>
              </w:rPr>
              <w:t>Single dose</w:t>
            </w:r>
          </w:p>
        </w:tc>
        <w:tc>
          <w:tcPr>
            <w:tcW w:w="1134" w:type="dxa"/>
          </w:tcPr>
          <w:p w14:paraId="00E942CE" w14:textId="77777777" w:rsidR="00B768B2" w:rsidRPr="00B768B2" w:rsidRDefault="00B768B2" w:rsidP="00B768B2">
            <w:pPr>
              <w:ind w:left="0" w:right="0"/>
              <w:rPr>
                <w:sz w:val="20"/>
                <w:szCs w:val="20"/>
              </w:rPr>
            </w:pPr>
            <w:r w:rsidRPr="00B768B2">
              <w:rPr>
                <w:sz w:val="20"/>
                <w:szCs w:val="20"/>
              </w:rPr>
              <w:t>A2126</w:t>
            </w:r>
          </w:p>
        </w:tc>
        <w:tc>
          <w:tcPr>
            <w:tcW w:w="4114" w:type="dxa"/>
          </w:tcPr>
          <w:p w14:paraId="0FB4965B" w14:textId="77777777" w:rsidR="00B768B2" w:rsidRPr="00B768B2" w:rsidRDefault="00B768B2" w:rsidP="002D063E">
            <w:pPr>
              <w:ind w:left="0" w:right="0"/>
              <w:rPr>
                <w:sz w:val="20"/>
                <w:szCs w:val="20"/>
              </w:rPr>
            </w:pPr>
            <w:r w:rsidRPr="00B768B2">
              <w:rPr>
                <w:sz w:val="20"/>
                <w:szCs w:val="20"/>
              </w:rPr>
              <w:t xml:space="preserve">Absolute </w:t>
            </w:r>
            <w:r w:rsidR="002D063E">
              <w:rPr>
                <w:sz w:val="20"/>
                <w:szCs w:val="20"/>
              </w:rPr>
              <w:t>BA</w:t>
            </w:r>
            <w:r w:rsidR="0005519B">
              <w:rPr>
                <w:sz w:val="20"/>
                <w:szCs w:val="20"/>
              </w:rPr>
              <w:t xml:space="preserve">, safety, tolerability and PD of oral and IV </w:t>
            </w:r>
            <w:proofErr w:type="spellStart"/>
            <w:r w:rsidR="0005519B">
              <w:rPr>
                <w:sz w:val="20"/>
                <w:szCs w:val="20"/>
              </w:rPr>
              <w:t>s</w:t>
            </w:r>
            <w:r w:rsidRPr="00B768B2">
              <w:rPr>
                <w:sz w:val="20"/>
                <w:szCs w:val="20"/>
              </w:rPr>
              <w:t>iponimod</w:t>
            </w:r>
            <w:proofErr w:type="spellEnd"/>
            <w:r w:rsidRPr="00B768B2">
              <w:rPr>
                <w:sz w:val="20"/>
                <w:szCs w:val="20"/>
              </w:rPr>
              <w:t xml:space="preserve"> in</w:t>
            </w:r>
            <w:r>
              <w:rPr>
                <w:sz w:val="20"/>
                <w:szCs w:val="20"/>
              </w:rPr>
              <w:t xml:space="preserve"> </w:t>
            </w:r>
            <w:r w:rsidRPr="00B768B2">
              <w:rPr>
                <w:sz w:val="20"/>
                <w:szCs w:val="20"/>
              </w:rPr>
              <w:t>healthy subjects</w:t>
            </w:r>
          </w:p>
        </w:tc>
      </w:tr>
      <w:tr w:rsidR="00B768B2" w:rsidRPr="00B768B2" w14:paraId="2976A8D8" w14:textId="77777777" w:rsidTr="00B768B2">
        <w:trPr>
          <w:trHeight w:val="700"/>
        </w:trPr>
        <w:tc>
          <w:tcPr>
            <w:tcW w:w="1384" w:type="dxa"/>
            <w:vMerge/>
          </w:tcPr>
          <w:p w14:paraId="6EB94089" w14:textId="77777777" w:rsidR="00B768B2" w:rsidRPr="00B768B2" w:rsidRDefault="00B768B2" w:rsidP="00B768B2">
            <w:pPr>
              <w:ind w:left="0" w:right="0"/>
              <w:rPr>
                <w:sz w:val="20"/>
                <w:szCs w:val="20"/>
              </w:rPr>
            </w:pPr>
          </w:p>
        </w:tc>
        <w:tc>
          <w:tcPr>
            <w:tcW w:w="1701" w:type="dxa"/>
            <w:vMerge/>
          </w:tcPr>
          <w:p w14:paraId="53EDB07B" w14:textId="77777777" w:rsidR="00B768B2" w:rsidRPr="00B768B2" w:rsidRDefault="00B768B2" w:rsidP="00B768B2">
            <w:pPr>
              <w:ind w:left="0" w:right="0"/>
              <w:rPr>
                <w:sz w:val="20"/>
                <w:szCs w:val="20"/>
              </w:rPr>
            </w:pPr>
          </w:p>
        </w:tc>
        <w:tc>
          <w:tcPr>
            <w:tcW w:w="1134" w:type="dxa"/>
          </w:tcPr>
          <w:p w14:paraId="609845B5" w14:textId="77777777" w:rsidR="00B768B2" w:rsidRPr="00B768B2" w:rsidRDefault="00B768B2" w:rsidP="00B768B2">
            <w:pPr>
              <w:ind w:left="0" w:right="0"/>
              <w:rPr>
                <w:sz w:val="20"/>
                <w:szCs w:val="20"/>
              </w:rPr>
            </w:pPr>
            <w:r w:rsidRPr="00B768B2">
              <w:rPr>
                <w:sz w:val="20"/>
                <w:szCs w:val="20"/>
              </w:rPr>
              <w:t>A2101</w:t>
            </w:r>
          </w:p>
        </w:tc>
        <w:tc>
          <w:tcPr>
            <w:tcW w:w="4114" w:type="dxa"/>
          </w:tcPr>
          <w:p w14:paraId="4CB72797" w14:textId="77777777" w:rsidR="00B768B2" w:rsidRPr="00B768B2" w:rsidRDefault="00B768B2" w:rsidP="00B768B2">
            <w:pPr>
              <w:ind w:left="0" w:right="0"/>
              <w:rPr>
                <w:sz w:val="20"/>
                <w:szCs w:val="20"/>
              </w:rPr>
            </w:pPr>
            <w:r w:rsidRPr="00B768B2">
              <w:rPr>
                <w:sz w:val="20"/>
                <w:szCs w:val="20"/>
              </w:rPr>
              <w:t>Firs</w:t>
            </w:r>
            <w:r w:rsidR="0005519B">
              <w:rPr>
                <w:sz w:val="20"/>
                <w:szCs w:val="20"/>
              </w:rPr>
              <w:t xml:space="preserve">t in </w:t>
            </w:r>
            <w:r w:rsidRPr="00B768B2">
              <w:rPr>
                <w:sz w:val="20"/>
                <w:szCs w:val="20"/>
              </w:rPr>
              <w:t>human study to explo</w:t>
            </w:r>
            <w:r w:rsidR="0005519B">
              <w:rPr>
                <w:sz w:val="20"/>
                <w:szCs w:val="20"/>
              </w:rPr>
              <w:t>re the safety, tolerability, PK and PD</w:t>
            </w:r>
            <w:r w:rsidRPr="00B768B2">
              <w:rPr>
                <w:sz w:val="20"/>
                <w:szCs w:val="20"/>
              </w:rPr>
              <w:t xml:space="preserve"> of oral</w:t>
            </w:r>
            <w:r>
              <w:rPr>
                <w:sz w:val="20"/>
                <w:szCs w:val="20"/>
              </w:rPr>
              <w:t xml:space="preserve"> </w:t>
            </w:r>
            <w:proofErr w:type="spellStart"/>
            <w:r w:rsidR="0005519B">
              <w:rPr>
                <w:sz w:val="20"/>
                <w:szCs w:val="20"/>
              </w:rPr>
              <w:t>s</w:t>
            </w:r>
            <w:r w:rsidRPr="00B768B2">
              <w:rPr>
                <w:sz w:val="20"/>
                <w:szCs w:val="20"/>
              </w:rPr>
              <w:t>iponimod</w:t>
            </w:r>
            <w:proofErr w:type="spellEnd"/>
            <w:r w:rsidRPr="00B768B2">
              <w:rPr>
                <w:sz w:val="20"/>
                <w:szCs w:val="20"/>
              </w:rPr>
              <w:t xml:space="preserve"> in healthy volunteers</w:t>
            </w:r>
          </w:p>
        </w:tc>
      </w:tr>
      <w:tr w:rsidR="00B768B2" w:rsidRPr="00B768B2" w14:paraId="13A50CDE" w14:textId="77777777" w:rsidTr="00B768B2">
        <w:trPr>
          <w:trHeight w:val="925"/>
        </w:trPr>
        <w:tc>
          <w:tcPr>
            <w:tcW w:w="1384" w:type="dxa"/>
            <w:vMerge/>
          </w:tcPr>
          <w:p w14:paraId="483829E7" w14:textId="77777777" w:rsidR="00B768B2" w:rsidRPr="00B768B2" w:rsidRDefault="00B768B2" w:rsidP="00B768B2">
            <w:pPr>
              <w:ind w:left="0" w:right="0"/>
              <w:rPr>
                <w:sz w:val="20"/>
                <w:szCs w:val="20"/>
              </w:rPr>
            </w:pPr>
          </w:p>
        </w:tc>
        <w:tc>
          <w:tcPr>
            <w:tcW w:w="1701" w:type="dxa"/>
            <w:vMerge/>
          </w:tcPr>
          <w:p w14:paraId="2DAC6F0A" w14:textId="77777777" w:rsidR="00B768B2" w:rsidRPr="00B768B2" w:rsidRDefault="00B768B2" w:rsidP="00B768B2">
            <w:pPr>
              <w:ind w:left="0" w:right="0"/>
              <w:rPr>
                <w:sz w:val="20"/>
                <w:szCs w:val="20"/>
              </w:rPr>
            </w:pPr>
          </w:p>
        </w:tc>
        <w:tc>
          <w:tcPr>
            <w:tcW w:w="1134" w:type="dxa"/>
          </w:tcPr>
          <w:p w14:paraId="4B2CB098" w14:textId="77777777" w:rsidR="00B768B2" w:rsidRPr="00B768B2" w:rsidRDefault="00B768B2" w:rsidP="00B768B2">
            <w:pPr>
              <w:ind w:left="0" w:right="0"/>
              <w:rPr>
                <w:sz w:val="20"/>
                <w:szCs w:val="20"/>
              </w:rPr>
            </w:pPr>
            <w:r w:rsidRPr="00B768B2">
              <w:rPr>
                <w:sz w:val="20"/>
                <w:szCs w:val="20"/>
              </w:rPr>
              <w:t>A2104</w:t>
            </w:r>
          </w:p>
        </w:tc>
        <w:tc>
          <w:tcPr>
            <w:tcW w:w="4114" w:type="dxa"/>
          </w:tcPr>
          <w:p w14:paraId="0C7F8885" w14:textId="77777777" w:rsidR="00B768B2" w:rsidRPr="00B768B2" w:rsidRDefault="0005519B" w:rsidP="00B768B2">
            <w:pPr>
              <w:ind w:left="0" w:right="0"/>
              <w:rPr>
                <w:sz w:val="20"/>
                <w:szCs w:val="20"/>
              </w:rPr>
            </w:pPr>
            <w:r>
              <w:rPr>
                <w:sz w:val="20"/>
                <w:szCs w:val="20"/>
              </w:rPr>
              <w:t>Absorption, PK</w:t>
            </w:r>
            <w:r w:rsidR="00B768B2" w:rsidRPr="00B768B2">
              <w:rPr>
                <w:sz w:val="20"/>
                <w:szCs w:val="20"/>
              </w:rPr>
              <w:t>, distribution, metabolism, and elimination of 10 mg of [</w:t>
            </w:r>
            <w:r w:rsidR="00B768B2" w:rsidRPr="00B768B2">
              <w:rPr>
                <w:sz w:val="20"/>
                <w:szCs w:val="20"/>
                <w:vertAlign w:val="superscript"/>
              </w:rPr>
              <w:t>14</w:t>
            </w:r>
            <w:r w:rsidR="00B768B2" w:rsidRPr="00B768B2">
              <w:rPr>
                <w:sz w:val="20"/>
                <w:szCs w:val="20"/>
              </w:rPr>
              <w:t>C]BAF312 in healthy male</w:t>
            </w:r>
            <w:r w:rsidR="00B768B2">
              <w:rPr>
                <w:sz w:val="20"/>
                <w:szCs w:val="20"/>
              </w:rPr>
              <w:t xml:space="preserve"> </w:t>
            </w:r>
            <w:r w:rsidR="00B768B2" w:rsidRPr="00B768B2">
              <w:rPr>
                <w:sz w:val="20"/>
                <w:szCs w:val="20"/>
              </w:rPr>
              <w:t>subjects</w:t>
            </w:r>
          </w:p>
        </w:tc>
      </w:tr>
      <w:tr w:rsidR="00B768B2" w:rsidRPr="00B768B2" w14:paraId="0BB1D11B" w14:textId="77777777" w:rsidTr="00B768B2">
        <w:trPr>
          <w:trHeight w:val="695"/>
        </w:trPr>
        <w:tc>
          <w:tcPr>
            <w:tcW w:w="1384" w:type="dxa"/>
            <w:vMerge/>
          </w:tcPr>
          <w:p w14:paraId="3DEB5D1E" w14:textId="77777777" w:rsidR="00B768B2" w:rsidRPr="00B768B2" w:rsidRDefault="00B768B2" w:rsidP="00B768B2">
            <w:pPr>
              <w:ind w:left="0" w:right="0"/>
              <w:rPr>
                <w:sz w:val="20"/>
                <w:szCs w:val="20"/>
              </w:rPr>
            </w:pPr>
          </w:p>
        </w:tc>
        <w:tc>
          <w:tcPr>
            <w:tcW w:w="1701" w:type="dxa"/>
            <w:vMerge w:val="restart"/>
          </w:tcPr>
          <w:p w14:paraId="096011C8" w14:textId="77777777" w:rsidR="00B768B2" w:rsidRPr="00B768B2" w:rsidRDefault="00B768B2" w:rsidP="00B768B2">
            <w:pPr>
              <w:ind w:left="0" w:right="0"/>
              <w:rPr>
                <w:sz w:val="20"/>
                <w:szCs w:val="20"/>
              </w:rPr>
            </w:pPr>
            <w:r w:rsidRPr="00B768B2">
              <w:rPr>
                <w:sz w:val="20"/>
                <w:szCs w:val="20"/>
              </w:rPr>
              <w:t>Multi-dose</w:t>
            </w:r>
          </w:p>
        </w:tc>
        <w:tc>
          <w:tcPr>
            <w:tcW w:w="1134" w:type="dxa"/>
          </w:tcPr>
          <w:p w14:paraId="4596DCE1" w14:textId="77777777" w:rsidR="00B768B2" w:rsidRPr="00B768B2" w:rsidRDefault="00B768B2" w:rsidP="00B768B2">
            <w:pPr>
              <w:ind w:left="0" w:right="0"/>
              <w:rPr>
                <w:sz w:val="20"/>
                <w:szCs w:val="20"/>
              </w:rPr>
            </w:pPr>
            <w:r w:rsidRPr="00B768B2">
              <w:rPr>
                <w:sz w:val="20"/>
                <w:szCs w:val="20"/>
              </w:rPr>
              <w:t>A2102</w:t>
            </w:r>
          </w:p>
        </w:tc>
        <w:tc>
          <w:tcPr>
            <w:tcW w:w="4114" w:type="dxa"/>
          </w:tcPr>
          <w:p w14:paraId="47A4788F" w14:textId="77777777" w:rsidR="00B768B2" w:rsidRPr="00B768B2" w:rsidRDefault="0005519B" w:rsidP="00B768B2">
            <w:pPr>
              <w:ind w:left="0" w:right="0"/>
              <w:rPr>
                <w:sz w:val="20"/>
                <w:szCs w:val="20"/>
              </w:rPr>
            </w:pPr>
            <w:r>
              <w:rPr>
                <w:sz w:val="20"/>
                <w:szCs w:val="20"/>
              </w:rPr>
              <w:t xml:space="preserve">Time </w:t>
            </w:r>
            <w:r w:rsidR="00B768B2" w:rsidRPr="00B768B2">
              <w:rPr>
                <w:sz w:val="20"/>
                <w:szCs w:val="20"/>
              </w:rPr>
              <w:t>lagged,</w:t>
            </w:r>
            <w:r>
              <w:rPr>
                <w:sz w:val="20"/>
                <w:szCs w:val="20"/>
              </w:rPr>
              <w:t xml:space="preserve"> ascending, multiple </w:t>
            </w:r>
            <w:r w:rsidR="00B768B2" w:rsidRPr="00B768B2">
              <w:rPr>
                <w:sz w:val="20"/>
                <w:szCs w:val="20"/>
              </w:rPr>
              <w:t>dose, PK, PD, sa</w:t>
            </w:r>
            <w:r>
              <w:rPr>
                <w:sz w:val="20"/>
                <w:szCs w:val="20"/>
              </w:rPr>
              <w:t xml:space="preserve">fety and tolerability study of </w:t>
            </w:r>
            <w:proofErr w:type="spellStart"/>
            <w:r>
              <w:rPr>
                <w:sz w:val="20"/>
                <w:szCs w:val="20"/>
              </w:rPr>
              <w:t>s</w:t>
            </w:r>
            <w:r w:rsidR="00B768B2" w:rsidRPr="00B768B2">
              <w:rPr>
                <w:sz w:val="20"/>
                <w:szCs w:val="20"/>
              </w:rPr>
              <w:t>iponimod</w:t>
            </w:r>
            <w:proofErr w:type="spellEnd"/>
          </w:p>
        </w:tc>
      </w:tr>
      <w:tr w:rsidR="00B768B2" w:rsidRPr="00B768B2" w14:paraId="4861416D" w14:textId="77777777" w:rsidTr="00B768B2">
        <w:trPr>
          <w:trHeight w:val="695"/>
        </w:trPr>
        <w:tc>
          <w:tcPr>
            <w:tcW w:w="1384" w:type="dxa"/>
            <w:vMerge/>
          </w:tcPr>
          <w:p w14:paraId="3FAFB367" w14:textId="77777777" w:rsidR="00B768B2" w:rsidRPr="00B768B2" w:rsidRDefault="00B768B2" w:rsidP="00B768B2">
            <w:pPr>
              <w:ind w:left="0" w:right="0"/>
              <w:rPr>
                <w:sz w:val="20"/>
                <w:szCs w:val="20"/>
              </w:rPr>
            </w:pPr>
          </w:p>
        </w:tc>
        <w:tc>
          <w:tcPr>
            <w:tcW w:w="1701" w:type="dxa"/>
            <w:vMerge/>
          </w:tcPr>
          <w:p w14:paraId="528251E8" w14:textId="77777777" w:rsidR="00B768B2" w:rsidRPr="00B768B2" w:rsidRDefault="00B768B2" w:rsidP="00B768B2">
            <w:pPr>
              <w:ind w:left="0" w:right="0"/>
              <w:rPr>
                <w:sz w:val="20"/>
                <w:szCs w:val="20"/>
              </w:rPr>
            </w:pPr>
          </w:p>
        </w:tc>
        <w:tc>
          <w:tcPr>
            <w:tcW w:w="1134" w:type="dxa"/>
          </w:tcPr>
          <w:p w14:paraId="6C8D02CD" w14:textId="77777777" w:rsidR="00B768B2" w:rsidRPr="00B768B2" w:rsidRDefault="00B768B2" w:rsidP="00B768B2">
            <w:pPr>
              <w:ind w:left="0" w:right="0"/>
              <w:rPr>
                <w:sz w:val="20"/>
                <w:szCs w:val="20"/>
              </w:rPr>
            </w:pPr>
            <w:r w:rsidRPr="00B768B2">
              <w:rPr>
                <w:sz w:val="20"/>
                <w:szCs w:val="20"/>
              </w:rPr>
              <w:t>A2105</w:t>
            </w:r>
          </w:p>
        </w:tc>
        <w:tc>
          <w:tcPr>
            <w:tcW w:w="4114" w:type="dxa"/>
          </w:tcPr>
          <w:p w14:paraId="78B16449" w14:textId="77777777" w:rsidR="00B768B2" w:rsidRPr="00B768B2" w:rsidRDefault="0005519B" w:rsidP="00B768B2">
            <w:pPr>
              <w:ind w:left="0" w:right="0"/>
              <w:rPr>
                <w:sz w:val="20"/>
                <w:szCs w:val="20"/>
              </w:rPr>
            </w:pPr>
            <w:r>
              <w:rPr>
                <w:sz w:val="20"/>
                <w:szCs w:val="20"/>
              </w:rPr>
              <w:t xml:space="preserve">Ascending, multiple </w:t>
            </w:r>
            <w:r w:rsidR="00B768B2" w:rsidRPr="00B768B2">
              <w:rPr>
                <w:sz w:val="20"/>
                <w:szCs w:val="20"/>
              </w:rPr>
              <w:t>dose, PK, PD,</w:t>
            </w:r>
            <w:r w:rsidR="00B768B2">
              <w:rPr>
                <w:sz w:val="20"/>
                <w:szCs w:val="20"/>
              </w:rPr>
              <w:t xml:space="preserve"> </w:t>
            </w:r>
            <w:r w:rsidR="00B768B2" w:rsidRPr="00B768B2">
              <w:rPr>
                <w:sz w:val="20"/>
                <w:szCs w:val="20"/>
              </w:rPr>
              <w:t>sa</w:t>
            </w:r>
            <w:r>
              <w:rPr>
                <w:sz w:val="20"/>
                <w:szCs w:val="20"/>
              </w:rPr>
              <w:t xml:space="preserve">fety and tolerability study of </w:t>
            </w:r>
            <w:proofErr w:type="spellStart"/>
            <w:r>
              <w:rPr>
                <w:sz w:val="20"/>
                <w:szCs w:val="20"/>
              </w:rPr>
              <w:t>s</w:t>
            </w:r>
            <w:r w:rsidR="00B768B2" w:rsidRPr="00B768B2">
              <w:rPr>
                <w:sz w:val="20"/>
                <w:szCs w:val="20"/>
              </w:rPr>
              <w:t>iponimod</w:t>
            </w:r>
            <w:proofErr w:type="spellEnd"/>
          </w:p>
        </w:tc>
      </w:tr>
      <w:tr w:rsidR="00B768B2" w:rsidRPr="00B768B2" w14:paraId="061B4A6D" w14:textId="77777777" w:rsidTr="00B768B2">
        <w:trPr>
          <w:trHeight w:val="1161"/>
        </w:trPr>
        <w:tc>
          <w:tcPr>
            <w:tcW w:w="1384" w:type="dxa"/>
            <w:vMerge/>
          </w:tcPr>
          <w:p w14:paraId="5617C4A5" w14:textId="77777777" w:rsidR="00B768B2" w:rsidRPr="00B768B2" w:rsidRDefault="00B768B2" w:rsidP="00B768B2">
            <w:pPr>
              <w:ind w:left="0" w:right="0"/>
              <w:rPr>
                <w:sz w:val="20"/>
                <w:szCs w:val="20"/>
              </w:rPr>
            </w:pPr>
          </w:p>
        </w:tc>
        <w:tc>
          <w:tcPr>
            <w:tcW w:w="1701" w:type="dxa"/>
            <w:vMerge w:val="restart"/>
          </w:tcPr>
          <w:p w14:paraId="68DFC3CF" w14:textId="77777777" w:rsidR="00B768B2" w:rsidRPr="00F97303" w:rsidRDefault="00B768B2" w:rsidP="00B768B2">
            <w:pPr>
              <w:ind w:left="0" w:right="0"/>
              <w:rPr>
                <w:sz w:val="20"/>
                <w:szCs w:val="20"/>
              </w:rPr>
            </w:pPr>
            <w:r w:rsidRPr="00F97303">
              <w:rPr>
                <w:sz w:val="20"/>
                <w:szCs w:val="20"/>
              </w:rPr>
              <w:t>Bioequivalence†</w:t>
            </w:r>
          </w:p>
          <w:p w14:paraId="6B67BC2E" w14:textId="77777777" w:rsidR="00B768B2" w:rsidRPr="00F97303" w:rsidRDefault="00B768B2" w:rsidP="00B768B2">
            <w:pPr>
              <w:ind w:left="0" w:right="0"/>
              <w:rPr>
                <w:sz w:val="20"/>
                <w:szCs w:val="20"/>
              </w:rPr>
            </w:pPr>
            <w:r w:rsidRPr="00F97303">
              <w:rPr>
                <w:sz w:val="20"/>
                <w:szCs w:val="20"/>
              </w:rPr>
              <w:t>Single dose</w:t>
            </w:r>
          </w:p>
        </w:tc>
        <w:tc>
          <w:tcPr>
            <w:tcW w:w="1134" w:type="dxa"/>
          </w:tcPr>
          <w:p w14:paraId="05AB24B4" w14:textId="77777777" w:rsidR="00B768B2" w:rsidRPr="00F97303" w:rsidRDefault="00B768B2" w:rsidP="00B768B2">
            <w:pPr>
              <w:ind w:left="0" w:right="0"/>
              <w:rPr>
                <w:sz w:val="20"/>
                <w:szCs w:val="20"/>
              </w:rPr>
            </w:pPr>
            <w:r w:rsidRPr="00F97303">
              <w:rPr>
                <w:sz w:val="20"/>
                <w:szCs w:val="20"/>
              </w:rPr>
              <w:t>A2111</w:t>
            </w:r>
          </w:p>
        </w:tc>
        <w:tc>
          <w:tcPr>
            <w:tcW w:w="4114" w:type="dxa"/>
          </w:tcPr>
          <w:p w14:paraId="11ABC7C3" w14:textId="09365983" w:rsidR="00B768B2" w:rsidRPr="00F97303" w:rsidRDefault="0005519B" w:rsidP="002D063E">
            <w:pPr>
              <w:ind w:left="0" w:right="0"/>
              <w:rPr>
                <w:sz w:val="20"/>
                <w:szCs w:val="20"/>
              </w:rPr>
            </w:pPr>
            <w:r w:rsidRPr="00F97303">
              <w:rPr>
                <w:sz w:val="20"/>
                <w:szCs w:val="20"/>
              </w:rPr>
              <w:t>Bioequivalence</w:t>
            </w:r>
            <w:r w:rsidR="00B768B2" w:rsidRPr="00F97303">
              <w:rPr>
                <w:sz w:val="20"/>
                <w:szCs w:val="20"/>
              </w:rPr>
              <w:t xml:space="preserve"> of the FMI tablet formulation as compared to the MF and the effect of food on the relative </w:t>
            </w:r>
            <w:r w:rsidR="002D063E">
              <w:rPr>
                <w:sz w:val="20"/>
                <w:szCs w:val="20"/>
              </w:rPr>
              <w:t>BA</w:t>
            </w:r>
            <w:r w:rsidR="00B768B2" w:rsidRPr="00F97303">
              <w:rPr>
                <w:sz w:val="20"/>
                <w:szCs w:val="20"/>
              </w:rPr>
              <w:t xml:space="preserve"> of the FMI after single 0.25</w:t>
            </w:r>
            <w:r w:rsidR="00E95EA5">
              <w:rPr>
                <w:sz w:val="20"/>
                <w:szCs w:val="20"/>
              </w:rPr>
              <w:t> </w:t>
            </w:r>
            <w:r w:rsidR="00B768B2" w:rsidRPr="00F97303">
              <w:rPr>
                <w:sz w:val="20"/>
                <w:szCs w:val="20"/>
              </w:rPr>
              <w:t>mg and 4 mg doses</w:t>
            </w:r>
          </w:p>
        </w:tc>
      </w:tr>
      <w:tr w:rsidR="00B768B2" w:rsidRPr="00B768B2" w14:paraId="491B2C01" w14:textId="77777777" w:rsidTr="00B768B2">
        <w:trPr>
          <w:trHeight w:val="695"/>
        </w:trPr>
        <w:tc>
          <w:tcPr>
            <w:tcW w:w="1384" w:type="dxa"/>
            <w:vMerge/>
          </w:tcPr>
          <w:p w14:paraId="6002EF1E" w14:textId="77777777" w:rsidR="00B768B2" w:rsidRPr="00B768B2" w:rsidRDefault="00B768B2" w:rsidP="00B768B2">
            <w:pPr>
              <w:ind w:left="0" w:right="0"/>
              <w:rPr>
                <w:sz w:val="20"/>
                <w:szCs w:val="20"/>
              </w:rPr>
            </w:pPr>
          </w:p>
        </w:tc>
        <w:tc>
          <w:tcPr>
            <w:tcW w:w="1701" w:type="dxa"/>
            <w:vMerge/>
          </w:tcPr>
          <w:p w14:paraId="6B9C4297" w14:textId="77777777" w:rsidR="00B768B2" w:rsidRPr="00F97303" w:rsidRDefault="00B768B2" w:rsidP="00B768B2">
            <w:pPr>
              <w:ind w:left="0" w:right="0"/>
              <w:rPr>
                <w:sz w:val="20"/>
                <w:szCs w:val="20"/>
              </w:rPr>
            </w:pPr>
          </w:p>
        </w:tc>
        <w:tc>
          <w:tcPr>
            <w:tcW w:w="1134" w:type="dxa"/>
          </w:tcPr>
          <w:p w14:paraId="64B37BE3" w14:textId="77777777" w:rsidR="00B768B2" w:rsidRPr="00F97303" w:rsidRDefault="00B768B2" w:rsidP="00B768B2">
            <w:pPr>
              <w:ind w:left="0" w:right="0"/>
              <w:rPr>
                <w:sz w:val="20"/>
                <w:szCs w:val="20"/>
              </w:rPr>
            </w:pPr>
            <w:r w:rsidRPr="00F97303">
              <w:rPr>
                <w:sz w:val="20"/>
                <w:szCs w:val="20"/>
              </w:rPr>
              <w:t>A2119</w:t>
            </w:r>
          </w:p>
        </w:tc>
        <w:tc>
          <w:tcPr>
            <w:tcW w:w="4114" w:type="dxa"/>
          </w:tcPr>
          <w:p w14:paraId="54A495FF" w14:textId="77777777" w:rsidR="00B768B2" w:rsidRPr="00F97303" w:rsidRDefault="0005519B" w:rsidP="0005519B">
            <w:pPr>
              <w:ind w:left="0" w:right="0"/>
              <w:rPr>
                <w:sz w:val="20"/>
                <w:szCs w:val="20"/>
              </w:rPr>
            </w:pPr>
            <w:r w:rsidRPr="00F97303">
              <w:rPr>
                <w:sz w:val="20"/>
                <w:szCs w:val="20"/>
              </w:rPr>
              <w:t>Tolerability, PD and PK</w:t>
            </w:r>
            <w:r w:rsidR="00B768B2" w:rsidRPr="00F97303">
              <w:rPr>
                <w:sz w:val="20"/>
                <w:szCs w:val="20"/>
              </w:rPr>
              <w:t xml:space="preserve"> of two </w:t>
            </w:r>
            <w:r w:rsidRPr="00F97303">
              <w:rPr>
                <w:sz w:val="20"/>
                <w:szCs w:val="20"/>
              </w:rPr>
              <w:t>modified release</w:t>
            </w:r>
            <w:r w:rsidR="00B768B2" w:rsidRPr="00F97303">
              <w:rPr>
                <w:sz w:val="20"/>
                <w:szCs w:val="20"/>
              </w:rPr>
              <w:t xml:space="preserve"> </w:t>
            </w:r>
            <w:proofErr w:type="spellStart"/>
            <w:r w:rsidRPr="00F97303">
              <w:rPr>
                <w:sz w:val="20"/>
                <w:szCs w:val="20"/>
              </w:rPr>
              <w:t>s</w:t>
            </w:r>
            <w:r w:rsidR="00B768B2" w:rsidRPr="00F97303">
              <w:rPr>
                <w:sz w:val="20"/>
                <w:szCs w:val="20"/>
              </w:rPr>
              <w:t>ipo</w:t>
            </w:r>
            <w:r w:rsidRPr="00F97303">
              <w:rPr>
                <w:sz w:val="20"/>
                <w:szCs w:val="20"/>
              </w:rPr>
              <w:t>nimod</w:t>
            </w:r>
            <w:proofErr w:type="spellEnd"/>
            <w:r w:rsidRPr="00F97303">
              <w:rPr>
                <w:sz w:val="20"/>
                <w:szCs w:val="20"/>
              </w:rPr>
              <w:t xml:space="preserve"> tablets compared to the immediate release</w:t>
            </w:r>
            <w:r w:rsidR="00B768B2" w:rsidRPr="00F97303">
              <w:rPr>
                <w:sz w:val="20"/>
                <w:szCs w:val="20"/>
              </w:rPr>
              <w:t xml:space="preserve"> tablet and placebo</w:t>
            </w:r>
          </w:p>
        </w:tc>
      </w:tr>
      <w:tr w:rsidR="00B768B2" w:rsidRPr="00B768B2" w14:paraId="79A146C7" w14:textId="77777777" w:rsidTr="00B768B2">
        <w:trPr>
          <w:trHeight w:val="930"/>
        </w:trPr>
        <w:tc>
          <w:tcPr>
            <w:tcW w:w="1384" w:type="dxa"/>
            <w:vMerge w:val="restart"/>
          </w:tcPr>
          <w:p w14:paraId="3274106F" w14:textId="77777777" w:rsidR="00B768B2" w:rsidRPr="00B768B2" w:rsidRDefault="00B768B2" w:rsidP="00B768B2">
            <w:pPr>
              <w:ind w:left="0" w:right="0"/>
              <w:rPr>
                <w:sz w:val="20"/>
                <w:szCs w:val="20"/>
              </w:rPr>
            </w:pPr>
            <w:r w:rsidRPr="00B768B2">
              <w:rPr>
                <w:sz w:val="20"/>
                <w:szCs w:val="20"/>
              </w:rPr>
              <w:lastRenderedPageBreak/>
              <w:t xml:space="preserve">PK in special </w:t>
            </w:r>
            <w:r w:rsidRPr="00B768B2">
              <w:rPr>
                <w:spacing w:val="-1"/>
                <w:sz w:val="20"/>
                <w:szCs w:val="20"/>
              </w:rPr>
              <w:t>populations</w:t>
            </w:r>
          </w:p>
        </w:tc>
        <w:tc>
          <w:tcPr>
            <w:tcW w:w="1701" w:type="dxa"/>
          </w:tcPr>
          <w:p w14:paraId="29A745A5" w14:textId="77777777" w:rsidR="00B768B2" w:rsidRPr="00B768B2" w:rsidRDefault="00B768B2" w:rsidP="00B768B2">
            <w:pPr>
              <w:ind w:left="0" w:right="0"/>
              <w:rPr>
                <w:sz w:val="20"/>
                <w:szCs w:val="20"/>
              </w:rPr>
            </w:pPr>
            <w:r w:rsidRPr="00B768B2">
              <w:rPr>
                <w:sz w:val="20"/>
                <w:szCs w:val="20"/>
              </w:rPr>
              <w:t>Hepatic impairment</w:t>
            </w:r>
          </w:p>
        </w:tc>
        <w:tc>
          <w:tcPr>
            <w:tcW w:w="1134" w:type="dxa"/>
          </w:tcPr>
          <w:p w14:paraId="1127A42F" w14:textId="77777777" w:rsidR="00B768B2" w:rsidRPr="00B768B2" w:rsidRDefault="00B768B2" w:rsidP="00B768B2">
            <w:pPr>
              <w:ind w:left="0" w:right="0"/>
              <w:rPr>
                <w:sz w:val="20"/>
                <w:szCs w:val="20"/>
              </w:rPr>
            </w:pPr>
            <w:r w:rsidRPr="00B768B2">
              <w:rPr>
                <w:sz w:val="20"/>
                <w:szCs w:val="20"/>
              </w:rPr>
              <w:t>A2122</w:t>
            </w:r>
          </w:p>
        </w:tc>
        <w:tc>
          <w:tcPr>
            <w:tcW w:w="4114" w:type="dxa"/>
          </w:tcPr>
          <w:p w14:paraId="38D25F5D" w14:textId="77777777" w:rsidR="00B768B2" w:rsidRPr="00B768B2" w:rsidRDefault="00FB56EA" w:rsidP="00B768B2">
            <w:pPr>
              <w:ind w:left="0" w:right="0"/>
              <w:rPr>
                <w:sz w:val="20"/>
                <w:szCs w:val="20"/>
              </w:rPr>
            </w:pPr>
            <w:proofErr w:type="spellStart"/>
            <w:r>
              <w:rPr>
                <w:sz w:val="20"/>
                <w:szCs w:val="20"/>
              </w:rPr>
              <w:t>Siponimod</w:t>
            </w:r>
            <w:proofErr w:type="spellEnd"/>
            <w:r>
              <w:rPr>
                <w:sz w:val="20"/>
                <w:szCs w:val="20"/>
              </w:rPr>
              <w:t xml:space="preserve"> PK</w:t>
            </w:r>
            <w:r w:rsidR="00B768B2" w:rsidRPr="00B768B2">
              <w:rPr>
                <w:sz w:val="20"/>
                <w:szCs w:val="20"/>
              </w:rPr>
              <w:t xml:space="preserve"> in subjects with mild, moderate and severe hepatic impairment compared to healthy</w:t>
            </w:r>
            <w:r w:rsidR="00B768B2">
              <w:rPr>
                <w:sz w:val="20"/>
                <w:szCs w:val="20"/>
              </w:rPr>
              <w:t xml:space="preserve"> </w:t>
            </w:r>
            <w:r w:rsidR="00B768B2" w:rsidRPr="00B768B2">
              <w:rPr>
                <w:sz w:val="20"/>
                <w:szCs w:val="20"/>
              </w:rPr>
              <w:t>control subjects</w:t>
            </w:r>
          </w:p>
        </w:tc>
      </w:tr>
      <w:tr w:rsidR="00B768B2" w:rsidRPr="00B768B2" w14:paraId="118D026E" w14:textId="77777777" w:rsidTr="00B768B2">
        <w:trPr>
          <w:trHeight w:val="695"/>
        </w:trPr>
        <w:tc>
          <w:tcPr>
            <w:tcW w:w="1384" w:type="dxa"/>
            <w:vMerge/>
          </w:tcPr>
          <w:p w14:paraId="3B2531E3" w14:textId="77777777" w:rsidR="00B768B2" w:rsidRPr="00B768B2" w:rsidRDefault="00B768B2" w:rsidP="00B768B2">
            <w:pPr>
              <w:ind w:left="0" w:right="0"/>
              <w:rPr>
                <w:sz w:val="20"/>
                <w:szCs w:val="20"/>
              </w:rPr>
            </w:pPr>
          </w:p>
        </w:tc>
        <w:tc>
          <w:tcPr>
            <w:tcW w:w="1701" w:type="dxa"/>
          </w:tcPr>
          <w:p w14:paraId="1CF79308" w14:textId="77777777" w:rsidR="00B768B2" w:rsidRPr="00B768B2" w:rsidRDefault="00B768B2" w:rsidP="00B768B2">
            <w:pPr>
              <w:ind w:left="0" w:right="0"/>
              <w:rPr>
                <w:sz w:val="20"/>
                <w:szCs w:val="20"/>
              </w:rPr>
            </w:pPr>
            <w:r w:rsidRPr="00B768B2">
              <w:rPr>
                <w:sz w:val="20"/>
                <w:szCs w:val="20"/>
              </w:rPr>
              <w:t>Renal impairment</w:t>
            </w:r>
          </w:p>
        </w:tc>
        <w:tc>
          <w:tcPr>
            <w:tcW w:w="1134" w:type="dxa"/>
          </w:tcPr>
          <w:p w14:paraId="60D04AE8" w14:textId="77777777" w:rsidR="00B768B2" w:rsidRPr="00B768B2" w:rsidRDefault="00B768B2" w:rsidP="00B768B2">
            <w:pPr>
              <w:ind w:left="0" w:right="0"/>
              <w:rPr>
                <w:sz w:val="20"/>
                <w:szCs w:val="20"/>
              </w:rPr>
            </w:pPr>
            <w:r w:rsidRPr="00B768B2">
              <w:rPr>
                <w:sz w:val="20"/>
                <w:szCs w:val="20"/>
              </w:rPr>
              <w:t>A2129</w:t>
            </w:r>
          </w:p>
        </w:tc>
        <w:tc>
          <w:tcPr>
            <w:tcW w:w="4114" w:type="dxa"/>
          </w:tcPr>
          <w:p w14:paraId="31D69E8B" w14:textId="77777777" w:rsidR="00B768B2" w:rsidRPr="00B768B2" w:rsidRDefault="00B768B2" w:rsidP="00B768B2">
            <w:pPr>
              <w:ind w:left="0" w:right="0"/>
              <w:rPr>
                <w:sz w:val="20"/>
                <w:szCs w:val="20"/>
              </w:rPr>
            </w:pPr>
            <w:proofErr w:type="spellStart"/>
            <w:r w:rsidRPr="00B768B2">
              <w:rPr>
                <w:sz w:val="20"/>
                <w:szCs w:val="20"/>
              </w:rPr>
              <w:t>Siponimod</w:t>
            </w:r>
            <w:proofErr w:type="spellEnd"/>
            <w:r w:rsidRPr="00B768B2">
              <w:rPr>
                <w:sz w:val="20"/>
                <w:szCs w:val="20"/>
              </w:rPr>
              <w:t xml:space="preserve"> PKs in subjects with renal impairment compared to subjects</w:t>
            </w:r>
            <w:r>
              <w:rPr>
                <w:sz w:val="20"/>
                <w:szCs w:val="20"/>
              </w:rPr>
              <w:t xml:space="preserve"> </w:t>
            </w:r>
            <w:r w:rsidRPr="00B768B2">
              <w:rPr>
                <w:sz w:val="20"/>
                <w:szCs w:val="20"/>
              </w:rPr>
              <w:t>with normal renal function</w:t>
            </w:r>
          </w:p>
        </w:tc>
      </w:tr>
      <w:tr w:rsidR="00B768B2" w:rsidRPr="00B768B2" w14:paraId="48E279FB" w14:textId="77777777" w:rsidTr="00B768B2">
        <w:trPr>
          <w:trHeight w:val="695"/>
        </w:trPr>
        <w:tc>
          <w:tcPr>
            <w:tcW w:w="1384" w:type="dxa"/>
            <w:vMerge/>
          </w:tcPr>
          <w:p w14:paraId="69A2F7D2" w14:textId="77777777" w:rsidR="00B768B2" w:rsidRPr="00B768B2" w:rsidRDefault="00B768B2" w:rsidP="00B768B2">
            <w:pPr>
              <w:ind w:left="0" w:right="0"/>
              <w:rPr>
                <w:sz w:val="20"/>
                <w:szCs w:val="20"/>
              </w:rPr>
            </w:pPr>
          </w:p>
        </w:tc>
        <w:tc>
          <w:tcPr>
            <w:tcW w:w="1701" w:type="dxa"/>
          </w:tcPr>
          <w:p w14:paraId="2C0A2688" w14:textId="77777777" w:rsidR="00B768B2" w:rsidRPr="00B768B2" w:rsidRDefault="00B768B2" w:rsidP="00B768B2">
            <w:pPr>
              <w:ind w:left="0" w:right="0"/>
              <w:rPr>
                <w:sz w:val="20"/>
                <w:szCs w:val="20"/>
              </w:rPr>
            </w:pPr>
            <w:r w:rsidRPr="00B768B2">
              <w:rPr>
                <w:sz w:val="20"/>
                <w:szCs w:val="20"/>
              </w:rPr>
              <w:t>Other special population</w:t>
            </w:r>
          </w:p>
        </w:tc>
        <w:tc>
          <w:tcPr>
            <w:tcW w:w="1134" w:type="dxa"/>
          </w:tcPr>
          <w:p w14:paraId="1C74F0D2" w14:textId="77777777" w:rsidR="00B768B2" w:rsidRPr="00B768B2" w:rsidRDefault="00B768B2" w:rsidP="00B768B2">
            <w:pPr>
              <w:ind w:left="0" w:right="0"/>
              <w:rPr>
                <w:sz w:val="20"/>
                <w:szCs w:val="20"/>
              </w:rPr>
            </w:pPr>
            <w:r w:rsidRPr="00B768B2">
              <w:rPr>
                <w:sz w:val="20"/>
                <w:szCs w:val="20"/>
              </w:rPr>
              <w:t>A1101</w:t>
            </w:r>
          </w:p>
        </w:tc>
        <w:tc>
          <w:tcPr>
            <w:tcW w:w="4114" w:type="dxa"/>
          </w:tcPr>
          <w:p w14:paraId="4D4771B8" w14:textId="77777777" w:rsidR="00B768B2" w:rsidRPr="00B768B2" w:rsidRDefault="00F97303" w:rsidP="00B768B2">
            <w:pPr>
              <w:ind w:left="0" w:right="0"/>
              <w:rPr>
                <w:sz w:val="20"/>
                <w:szCs w:val="20"/>
              </w:rPr>
            </w:pPr>
            <w:r>
              <w:rPr>
                <w:sz w:val="20"/>
                <w:szCs w:val="20"/>
              </w:rPr>
              <w:t xml:space="preserve">Safety, tolerability, PK and PD of </w:t>
            </w:r>
            <w:proofErr w:type="spellStart"/>
            <w:r>
              <w:rPr>
                <w:sz w:val="20"/>
                <w:szCs w:val="20"/>
              </w:rPr>
              <w:t>s</w:t>
            </w:r>
            <w:r w:rsidR="00B768B2" w:rsidRPr="00B768B2">
              <w:rPr>
                <w:sz w:val="20"/>
                <w:szCs w:val="20"/>
              </w:rPr>
              <w:t>iponimod</w:t>
            </w:r>
            <w:proofErr w:type="spellEnd"/>
            <w:r w:rsidR="00B768B2" w:rsidRPr="00B768B2">
              <w:rPr>
                <w:sz w:val="20"/>
                <w:szCs w:val="20"/>
              </w:rPr>
              <w:t xml:space="preserve"> in Japanese healthy male</w:t>
            </w:r>
            <w:r w:rsidR="00B768B2">
              <w:rPr>
                <w:sz w:val="20"/>
                <w:szCs w:val="20"/>
              </w:rPr>
              <w:t xml:space="preserve"> </w:t>
            </w:r>
            <w:r w:rsidR="00B768B2" w:rsidRPr="00B768B2">
              <w:rPr>
                <w:sz w:val="20"/>
                <w:szCs w:val="20"/>
              </w:rPr>
              <w:t>subjects</w:t>
            </w:r>
          </w:p>
        </w:tc>
      </w:tr>
      <w:tr w:rsidR="00B768B2" w:rsidRPr="00B768B2" w14:paraId="6DEE2BA4" w14:textId="77777777" w:rsidTr="00B768B2">
        <w:trPr>
          <w:trHeight w:val="695"/>
        </w:trPr>
        <w:tc>
          <w:tcPr>
            <w:tcW w:w="1384" w:type="dxa"/>
          </w:tcPr>
          <w:p w14:paraId="336E7FBB" w14:textId="77777777" w:rsidR="00B768B2" w:rsidRPr="00B768B2" w:rsidRDefault="00B768B2" w:rsidP="00B768B2">
            <w:pPr>
              <w:ind w:left="0" w:right="0"/>
              <w:rPr>
                <w:sz w:val="20"/>
                <w:szCs w:val="20"/>
              </w:rPr>
            </w:pPr>
            <w:r w:rsidRPr="00B768B2">
              <w:rPr>
                <w:sz w:val="20"/>
                <w:szCs w:val="20"/>
              </w:rPr>
              <w:t>Genetic related PK</w:t>
            </w:r>
          </w:p>
        </w:tc>
        <w:tc>
          <w:tcPr>
            <w:tcW w:w="1701" w:type="dxa"/>
          </w:tcPr>
          <w:p w14:paraId="3126F1D7" w14:textId="77777777" w:rsidR="00B768B2" w:rsidRPr="00B768B2" w:rsidRDefault="00B768B2" w:rsidP="00B768B2">
            <w:pPr>
              <w:ind w:left="0" w:right="0"/>
              <w:rPr>
                <w:sz w:val="20"/>
                <w:szCs w:val="20"/>
              </w:rPr>
            </w:pPr>
            <w:r w:rsidRPr="00B768B2">
              <w:rPr>
                <w:sz w:val="20"/>
                <w:szCs w:val="20"/>
              </w:rPr>
              <w:t>Other genetic variable</w:t>
            </w:r>
          </w:p>
        </w:tc>
        <w:tc>
          <w:tcPr>
            <w:tcW w:w="1134" w:type="dxa"/>
          </w:tcPr>
          <w:p w14:paraId="3E1894D4" w14:textId="77777777" w:rsidR="00B768B2" w:rsidRPr="00B768B2" w:rsidRDefault="00B768B2" w:rsidP="00B768B2">
            <w:pPr>
              <w:ind w:left="0" w:right="0"/>
              <w:rPr>
                <w:sz w:val="20"/>
                <w:szCs w:val="20"/>
              </w:rPr>
            </w:pPr>
            <w:r w:rsidRPr="00B768B2">
              <w:rPr>
                <w:sz w:val="20"/>
                <w:szCs w:val="20"/>
              </w:rPr>
              <w:t>A2128</w:t>
            </w:r>
          </w:p>
        </w:tc>
        <w:tc>
          <w:tcPr>
            <w:tcW w:w="4114" w:type="dxa"/>
          </w:tcPr>
          <w:p w14:paraId="50126D0B" w14:textId="77777777" w:rsidR="00B768B2" w:rsidRPr="00B768B2" w:rsidRDefault="00F97303" w:rsidP="00B768B2">
            <w:pPr>
              <w:ind w:left="0" w:right="0"/>
              <w:rPr>
                <w:sz w:val="20"/>
                <w:szCs w:val="20"/>
              </w:rPr>
            </w:pPr>
            <w:r>
              <w:rPr>
                <w:sz w:val="20"/>
                <w:szCs w:val="20"/>
              </w:rPr>
              <w:t xml:space="preserve">PK, safety and tolerability of </w:t>
            </w:r>
            <w:proofErr w:type="spellStart"/>
            <w:r>
              <w:rPr>
                <w:sz w:val="20"/>
                <w:szCs w:val="20"/>
              </w:rPr>
              <w:t>s</w:t>
            </w:r>
            <w:r w:rsidR="00B768B2" w:rsidRPr="00B768B2">
              <w:rPr>
                <w:sz w:val="20"/>
                <w:szCs w:val="20"/>
              </w:rPr>
              <w:t>iponimod</w:t>
            </w:r>
            <w:proofErr w:type="spellEnd"/>
            <w:r w:rsidR="00B768B2" w:rsidRPr="00B768B2">
              <w:rPr>
                <w:sz w:val="20"/>
                <w:szCs w:val="20"/>
              </w:rPr>
              <w:t xml:space="preserve"> in healthy subjects with</w:t>
            </w:r>
            <w:r w:rsidR="00B768B2">
              <w:rPr>
                <w:sz w:val="20"/>
                <w:szCs w:val="20"/>
              </w:rPr>
              <w:t xml:space="preserve"> </w:t>
            </w:r>
            <w:r w:rsidR="00B768B2" w:rsidRPr="00B768B2">
              <w:rPr>
                <w:sz w:val="20"/>
                <w:szCs w:val="20"/>
              </w:rPr>
              <w:t xml:space="preserve">CYP2C9 </w:t>
            </w:r>
            <w:r>
              <w:rPr>
                <w:sz w:val="20"/>
                <w:szCs w:val="20"/>
              </w:rPr>
              <w:t>e</w:t>
            </w:r>
            <w:r w:rsidRPr="00F97303">
              <w:rPr>
                <w:sz w:val="20"/>
                <w:szCs w:val="20"/>
              </w:rPr>
              <w:t xml:space="preserve">xtensive metaboliser </w:t>
            </w:r>
            <w:r>
              <w:rPr>
                <w:sz w:val="20"/>
                <w:szCs w:val="20"/>
              </w:rPr>
              <w:t>(</w:t>
            </w:r>
            <w:r w:rsidR="00B768B2" w:rsidRPr="00B768B2">
              <w:rPr>
                <w:sz w:val="20"/>
                <w:szCs w:val="20"/>
              </w:rPr>
              <w:t>EM</w:t>
            </w:r>
            <w:r>
              <w:rPr>
                <w:sz w:val="20"/>
                <w:szCs w:val="20"/>
              </w:rPr>
              <w:t>)</w:t>
            </w:r>
            <w:r w:rsidR="00B768B2" w:rsidRPr="00B768B2">
              <w:rPr>
                <w:sz w:val="20"/>
                <w:szCs w:val="20"/>
              </w:rPr>
              <w:t xml:space="preserve"> and </w:t>
            </w:r>
            <w:r>
              <w:rPr>
                <w:sz w:val="20"/>
                <w:szCs w:val="20"/>
              </w:rPr>
              <w:t>p</w:t>
            </w:r>
            <w:r w:rsidRPr="00F97303">
              <w:rPr>
                <w:sz w:val="20"/>
                <w:szCs w:val="20"/>
              </w:rPr>
              <w:t xml:space="preserve">oor metaboliser </w:t>
            </w:r>
            <w:r>
              <w:rPr>
                <w:sz w:val="20"/>
                <w:szCs w:val="20"/>
              </w:rPr>
              <w:t>(</w:t>
            </w:r>
            <w:r w:rsidR="00B768B2" w:rsidRPr="00B768B2">
              <w:rPr>
                <w:sz w:val="20"/>
                <w:szCs w:val="20"/>
              </w:rPr>
              <w:t>PM</w:t>
            </w:r>
            <w:r>
              <w:rPr>
                <w:sz w:val="20"/>
                <w:szCs w:val="20"/>
              </w:rPr>
              <w:t>)</w:t>
            </w:r>
            <w:r w:rsidR="00B768B2" w:rsidRPr="00B768B2">
              <w:rPr>
                <w:sz w:val="20"/>
                <w:szCs w:val="20"/>
              </w:rPr>
              <w:t xml:space="preserve"> phenotype</w:t>
            </w:r>
          </w:p>
        </w:tc>
      </w:tr>
      <w:tr w:rsidR="00B768B2" w:rsidRPr="00B768B2" w14:paraId="7F689347" w14:textId="77777777" w:rsidTr="00B768B2">
        <w:trPr>
          <w:trHeight w:val="1161"/>
        </w:trPr>
        <w:tc>
          <w:tcPr>
            <w:tcW w:w="1384" w:type="dxa"/>
            <w:vMerge w:val="restart"/>
          </w:tcPr>
          <w:p w14:paraId="650D1AF4" w14:textId="77777777" w:rsidR="00B768B2" w:rsidRPr="00B768B2" w:rsidRDefault="00B768B2" w:rsidP="00B768B2">
            <w:pPr>
              <w:ind w:left="0" w:right="0"/>
              <w:rPr>
                <w:sz w:val="20"/>
                <w:szCs w:val="20"/>
              </w:rPr>
            </w:pPr>
            <w:r w:rsidRPr="00B768B2">
              <w:rPr>
                <w:sz w:val="20"/>
                <w:szCs w:val="20"/>
              </w:rPr>
              <w:t>PK</w:t>
            </w:r>
          </w:p>
          <w:p w14:paraId="42CFDD87" w14:textId="77777777" w:rsidR="00B768B2" w:rsidRPr="00B768B2" w:rsidRDefault="00B768B2" w:rsidP="00B768B2">
            <w:pPr>
              <w:ind w:left="0" w:right="0"/>
              <w:rPr>
                <w:sz w:val="20"/>
                <w:szCs w:val="20"/>
              </w:rPr>
            </w:pPr>
            <w:r w:rsidRPr="00B768B2">
              <w:rPr>
                <w:sz w:val="20"/>
                <w:szCs w:val="20"/>
              </w:rPr>
              <w:t>interactions</w:t>
            </w:r>
          </w:p>
        </w:tc>
        <w:tc>
          <w:tcPr>
            <w:tcW w:w="1701" w:type="dxa"/>
          </w:tcPr>
          <w:p w14:paraId="3B726A8C" w14:textId="77777777" w:rsidR="00B768B2" w:rsidRPr="00B768B2" w:rsidRDefault="00B768B2" w:rsidP="00B768B2">
            <w:pPr>
              <w:ind w:left="0" w:right="0"/>
              <w:rPr>
                <w:sz w:val="20"/>
                <w:szCs w:val="20"/>
              </w:rPr>
            </w:pPr>
            <w:proofErr w:type="spellStart"/>
            <w:r w:rsidRPr="00B768B2">
              <w:rPr>
                <w:sz w:val="20"/>
                <w:szCs w:val="20"/>
              </w:rPr>
              <w:t>Itraconazole</w:t>
            </w:r>
            <w:proofErr w:type="spellEnd"/>
          </w:p>
        </w:tc>
        <w:tc>
          <w:tcPr>
            <w:tcW w:w="1134" w:type="dxa"/>
          </w:tcPr>
          <w:p w14:paraId="2F6E42EB" w14:textId="77777777" w:rsidR="00B768B2" w:rsidRPr="00B768B2" w:rsidRDefault="00B768B2" w:rsidP="00B768B2">
            <w:pPr>
              <w:ind w:left="0" w:right="0"/>
              <w:rPr>
                <w:sz w:val="20"/>
                <w:szCs w:val="20"/>
              </w:rPr>
            </w:pPr>
            <w:r w:rsidRPr="00B768B2">
              <w:rPr>
                <w:sz w:val="20"/>
                <w:szCs w:val="20"/>
              </w:rPr>
              <w:t>A2124</w:t>
            </w:r>
          </w:p>
        </w:tc>
        <w:tc>
          <w:tcPr>
            <w:tcW w:w="4114" w:type="dxa"/>
          </w:tcPr>
          <w:p w14:paraId="340A04D8" w14:textId="77777777" w:rsidR="00B768B2" w:rsidRPr="00B768B2" w:rsidRDefault="00B768B2" w:rsidP="00B768B2">
            <w:pPr>
              <w:ind w:left="0" w:right="0"/>
              <w:rPr>
                <w:sz w:val="20"/>
                <w:szCs w:val="20"/>
              </w:rPr>
            </w:pPr>
            <w:r w:rsidRPr="00B768B2">
              <w:rPr>
                <w:sz w:val="20"/>
                <w:szCs w:val="20"/>
              </w:rPr>
              <w:t>Effect of the CY</w:t>
            </w:r>
            <w:r w:rsidR="00F97303">
              <w:rPr>
                <w:sz w:val="20"/>
                <w:szCs w:val="20"/>
              </w:rPr>
              <w:t xml:space="preserve">P3A4 inhibitor </w:t>
            </w:r>
            <w:proofErr w:type="spellStart"/>
            <w:r w:rsidR="00F97303">
              <w:rPr>
                <w:sz w:val="20"/>
                <w:szCs w:val="20"/>
              </w:rPr>
              <w:t>itraconazole</w:t>
            </w:r>
            <w:proofErr w:type="spellEnd"/>
            <w:r w:rsidR="00F97303">
              <w:rPr>
                <w:sz w:val="20"/>
                <w:szCs w:val="20"/>
              </w:rPr>
              <w:t xml:space="preserve"> on </w:t>
            </w:r>
            <w:proofErr w:type="spellStart"/>
            <w:r w:rsidR="00F97303">
              <w:rPr>
                <w:sz w:val="20"/>
                <w:szCs w:val="20"/>
              </w:rPr>
              <w:t>siponimod</w:t>
            </w:r>
            <w:proofErr w:type="spellEnd"/>
            <w:r w:rsidR="00F97303">
              <w:rPr>
                <w:sz w:val="20"/>
                <w:szCs w:val="20"/>
              </w:rPr>
              <w:t xml:space="preserve"> single dose PK</w:t>
            </w:r>
            <w:r w:rsidRPr="00B768B2">
              <w:rPr>
                <w:sz w:val="20"/>
                <w:szCs w:val="20"/>
              </w:rPr>
              <w:t>, safety, and tolerability in healthy subjects with CYP2C9*1*2 and *1*3</w:t>
            </w:r>
            <w:r>
              <w:rPr>
                <w:sz w:val="20"/>
                <w:szCs w:val="20"/>
              </w:rPr>
              <w:t xml:space="preserve"> </w:t>
            </w:r>
            <w:r w:rsidRPr="00B768B2">
              <w:rPr>
                <w:sz w:val="20"/>
                <w:szCs w:val="20"/>
              </w:rPr>
              <w:t>genotypes</w:t>
            </w:r>
          </w:p>
        </w:tc>
      </w:tr>
      <w:tr w:rsidR="00B768B2" w:rsidRPr="00B768B2" w14:paraId="67143363" w14:textId="77777777" w:rsidTr="00B768B2">
        <w:trPr>
          <w:trHeight w:val="926"/>
        </w:trPr>
        <w:tc>
          <w:tcPr>
            <w:tcW w:w="1384" w:type="dxa"/>
            <w:vMerge/>
          </w:tcPr>
          <w:p w14:paraId="69E70F90" w14:textId="77777777" w:rsidR="00B768B2" w:rsidRPr="00B768B2" w:rsidRDefault="00B768B2" w:rsidP="00B768B2">
            <w:pPr>
              <w:ind w:left="0" w:right="0"/>
              <w:rPr>
                <w:sz w:val="20"/>
                <w:szCs w:val="20"/>
              </w:rPr>
            </w:pPr>
          </w:p>
        </w:tc>
        <w:tc>
          <w:tcPr>
            <w:tcW w:w="1701" w:type="dxa"/>
          </w:tcPr>
          <w:p w14:paraId="604D026B" w14:textId="77777777" w:rsidR="00B768B2" w:rsidRPr="00B768B2" w:rsidRDefault="00B768B2" w:rsidP="00B768B2">
            <w:pPr>
              <w:ind w:left="0" w:right="0"/>
              <w:rPr>
                <w:sz w:val="20"/>
                <w:szCs w:val="20"/>
              </w:rPr>
            </w:pPr>
            <w:proofErr w:type="spellStart"/>
            <w:r w:rsidRPr="00B768B2">
              <w:rPr>
                <w:sz w:val="20"/>
                <w:szCs w:val="20"/>
              </w:rPr>
              <w:t>Rifampin</w:t>
            </w:r>
            <w:proofErr w:type="spellEnd"/>
          </w:p>
        </w:tc>
        <w:tc>
          <w:tcPr>
            <w:tcW w:w="1134" w:type="dxa"/>
          </w:tcPr>
          <w:p w14:paraId="0562AD6C" w14:textId="77777777" w:rsidR="00B768B2" w:rsidRPr="00B768B2" w:rsidRDefault="00B768B2" w:rsidP="00B768B2">
            <w:pPr>
              <w:ind w:left="0" w:right="0"/>
              <w:rPr>
                <w:sz w:val="20"/>
                <w:szCs w:val="20"/>
              </w:rPr>
            </w:pPr>
            <w:r w:rsidRPr="00B768B2">
              <w:rPr>
                <w:sz w:val="20"/>
                <w:szCs w:val="20"/>
              </w:rPr>
              <w:t>A2125</w:t>
            </w:r>
          </w:p>
        </w:tc>
        <w:tc>
          <w:tcPr>
            <w:tcW w:w="4114" w:type="dxa"/>
          </w:tcPr>
          <w:p w14:paraId="35A3C6F3" w14:textId="77777777" w:rsidR="00B768B2" w:rsidRPr="00B768B2" w:rsidRDefault="00B768B2" w:rsidP="00B768B2">
            <w:pPr>
              <w:ind w:left="0" w:right="0"/>
              <w:rPr>
                <w:sz w:val="20"/>
                <w:szCs w:val="20"/>
              </w:rPr>
            </w:pPr>
            <w:r w:rsidRPr="00B768B2">
              <w:rPr>
                <w:sz w:val="20"/>
                <w:szCs w:val="20"/>
              </w:rPr>
              <w:t>Study in healthy subjects with the CYP2C9*1*1 (wild type) genotype to evaluate the effect of the CYP2C9/3A4</w:t>
            </w:r>
            <w:r>
              <w:rPr>
                <w:sz w:val="20"/>
                <w:szCs w:val="20"/>
              </w:rPr>
              <w:t xml:space="preserve"> </w:t>
            </w:r>
            <w:r w:rsidR="00F97303">
              <w:rPr>
                <w:sz w:val="20"/>
                <w:szCs w:val="20"/>
              </w:rPr>
              <w:t xml:space="preserve">inducer </w:t>
            </w:r>
            <w:proofErr w:type="spellStart"/>
            <w:r w:rsidR="00F97303">
              <w:rPr>
                <w:sz w:val="20"/>
                <w:szCs w:val="20"/>
              </w:rPr>
              <w:t>rifampin</w:t>
            </w:r>
            <w:proofErr w:type="spellEnd"/>
            <w:r w:rsidR="00F97303">
              <w:rPr>
                <w:sz w:val="20"/>
                <w:szCs w:val="20"/>
              </w:rPr>
              <w:t xml:space="preserve"> on </w:t>
            </w:r>
            <w:proofErr w:type="spellStart"/>
            <w:r w:rsidR="00F97303">
              <w:rPr>
                <w:sz w:val="20"/>
                <w:szCs w:val="20"/>
              </w:rPr>
              <w:t>siponimod</w:t>
            </w:r>
            <w:proofErr w:type="spellEnd"/>
            <w:r w:rsidR="00F97303">
              <w:rPr>
                <w:sz w:val="20"/>
                <w:szCs w:val="20"/>
              </w:rPr>
              <w:t xml:space="preserve"> PK</w:t>
            </w:r>
          </w:p>
        </w:tc>
      </w:tr>
      <w:tr w:rsidR="00B768B2" w:rsidRPr="00B768B2" w14:paraId="1D0DB410" w14:textId="77777777" w:rsidTr="00B768B2">
        <w:trPr>
          <w:trHeight w:val="930"/>
        </w:trPr>
        <w:tc>
          <w:tcPr>
            <w:tcW w:w="1384" w:type="dxa"/>
            <w:vMerge/>
          </w:tcPr>
          <w:p w14:paraId="0D045860" w14:textId="77777777" w:rsidR="00B768B2" w:rsidRPr="00B768B2" w:rsidRDefault="00B768B2" w:rsidP="00B768B2">
            <w:pPr>
              <w:ind w:left="0" w:right="0"/>
              <w:rPr>
                <w:sz w:val="20"/>
                <w:szCs w:val="20"/>
              </w:rPr>
            </w:pPr>
          </w:p>
        </w:tc>
        <w:tc>
          <w:tcPr>
            <w:tcW w:w="1701" w:type="dxa"/>
          </w:tcPr>
          <w:p w14:paraId="7ABF1491" w14:textId="77777777" w:rsidR="00B768B2" w:rsidRPr="00B768B2" w:rsidRDefault="00B768B2" w:rsidP="00B768B2">
            <w:pPr>
              <w:ind w:left="0" w:right="0"/>
              <w:rPr>
                <w:sz w:val="20"/>
                <w:szCs w:val="20"/>
              </w:rPr>
            </w:pPr>
            <w:r w:rsidRPr="00B768B2">
              <w:rPr>
                <w:sz w:val="20"/>
                <w:szCs w:val="20"/>
              </w:rPr>
              <w:t>Fluconazole</w:t>
            </w:r>
          </w:p>
        </w:tc>
        <w:tc>
          <w:tcPr>
            <w:tcW w:w="1134" w:type="dxa"/>
          </w:tcPr>
          <w:p w14:paraId="0F84F9A3" w14:textId="77777777" w:rsidR="00B768B2" w:rsidRPr="00B768B2" w:rsidRDefault="00B768B2" w:rsidP="00B768B2">
            <w:pPr>
              <w:ind w:left="0" w:right="0"/>
              <w:rPr>
                <w:sz w:val="20"/>
                <w:szCs w:val="20"/>
              </w:rPr>
            </w:pPr>
            <w:r w:rsidRPr="00B768B2">
              <w:rPr>
                <w:sz w:val="20"/>
                <w:szCs w:val="20"/>
              </w:rPr>
              <w:t>A2108</w:t>
            </w:r>
          </w:p>
        </w:tc>
        <w:tc>
          <w:tcPr>
            <w:tcW w:w="4114" w:type="dxa"/>
          </w:tcPr>
          <w:p w14:paraId="7B699889" w14:textId="77777777" w:rsidR="00B768B2" w:rsidRPr="00B768B2" w:rsidRDefault="00F97303" w:rsidP="00B768B2">
            <w:pPr>
              <w:ind w:left="0" w:right="0"/>
              <w:rPr>
                <w:sz w:val="20"/>
                <w:szCs w:val="20"/>
              </w:rPr>
            </w:pPr>
            <w:r>
              <w:rPr>
                <w:sz w:val="20"/>
                <w:szCs w:val="20"/>
              </w:rPr>
              <w:t xml:space="preserve">PK, safety and tolerability of </w:t>
            </w:r>
            <w:proofErr w:type="spellStart"/>
            <w:r>
              <w:rPr>
                <w:sz w:val="20"/>
                <w:szCs w:val="20"/>
              </w:rPr>
              <w:t>s</w:t>
            </w:r>
            <w:r w:rsidR="00B768B2" w:rsidRPr="00B768B2">
              <w:rPr>
                <w:sz w:val="20"/>
                <w:szCs w:val="20"/>
              </w:rPr>
              <w:t>iponimod</w:t>
            </w:r>
            <w:proofErr w:type="spellEnd"/>
            <w:r w:rsidR="00B768B2" w:rsidRPr="00B768B2">
              <w:rPr>
                <w:sz w:val="20"/>
                <w:szCs w:val="20"/>
              </w:rPr>
              <w:t xml:space="preserve"> when given alone and in combination with chronic fluconazole</w:t>
            </w:r>
            <w:r w:rsidR="00B768B2">
              <w:rPr>
                <w:sz w:val="20"/>
                <w:szCs w:val="20"/>
              </w:rPr>
              <w:t xml:space="preserve"> </w:t>
            </w:r>
            <w:r w:rsidR="00B768B2" w:rsidRPr="00B768B2">
              <w:rPr>
                <w:sz w:val="20"/>
                <w:szCs w:val="20"/>
              </w:rPr>
              <w:t>treatment in healthy volunteers</w:t>
            </w:r>
          </w:p>
        </w:tc>
      </w:tr>
      <w:tr w:rsidR="00B768B2" w:rsidRPr="00B768B2" w14:paraId="18CBFC67" w14:textId="77777777" w:rsidTr="00B768B2">
        <w:trPr>
          <w:trHeight w:val="930"/>
        </w:trPr>
        <w:tc>
          <w:tcPr>
            <w:tcW w:w="1384" w:type="dxa"/>
            <w:vMerge/>
          </w:tcPr>
          <w:p w14:paraId="31C179B1" w14:textId="77777777" w:rsidR="00B768B2" w:rsidRPr="00B768B2" w:rsidRDefault="00B768B2" w:rsidP="00B768B2">
            <w:pPr>
              <w:ind w:left="0" w:right="0"/>
              <w:rPr>
                <w:sz w:val="20"/>
                <w:szCs w:val="20"/>
              </w:rPr>
            </w:pPr>
          </w:p>
        </w:tc>
        <w:tc>
          <w:tcPr>
            <w:tcW w:w="1701" w:type="dxa"/>
          </w:tcPr>
          <w:p w14:paraId="666657C3" w14:textId="77777777" w:rsidR="00B768B2" w:rsidRPr="00B768B2" w:rsidRDefault="00B768B2" w:rsidP="00B768B2">
            <w:pPr>
              <w:ind w:left="0" w:right="0"/>
              <w:rPr>
                <w:sz w:val="20"/>
                <w:szCs w:val="20"/>
              </w:rPr>
            </w:pPr>
            <w:r w:rsidRPr="00B768B2">
              <w:rPr>
                <w:sz w:val="20"/>
                <w:szCs w:val="20"/>
              </w:rPr>
              <w:t>Oral contraceptive</w:t>
            </w:r>
          </w:p>
        </w:tc>
        <w:tc>
          <w:tcPr>
            <w:tcW w:w="1134" w:type="dxa"/>
          </w:tcPr>
          <w:p w14:paraId="7F41B338" w14:textId="77777777" w:rsidR="00B768B2" w:rsidRPr="00B768B2" w:rsidRDefault="00B768B2" w:rsidP="00B768B2">
            <w:pPr>
              <w:ind w:left="0" w:right="0"/>
              <w:rPr>
                <w:sz w:val="20"/>
                <w:szCs w:val="20"/>
              </w:rPr>
            </w:pPr>
            <w:r w:rsidRPr="00B768B2">
              <w:rPr>
                <w:sz w:val="20"/>
                <w:szCs w:val="20"/>
              </w:rPr>
              <w:t>A2121</w:t>
            </w:r>
          </w:p>
        </w:tc>
        <w:tc>
          <w:tcPr>
            <w:tcW w:w="4114" w:type="dxa"/>
          </w:tcPr>
          <w:p w14:paraId="16857451" w14:textId="77777777" w:rsidR="00B768B2" w:rsidRPr="00B768B2" w:rsidRDefault="00B768B2" w:rsidP="00B768B2">
            <w:pPr>
              <w:ind w:left="0" w:right="0"/>
              <w:rPr>
                <w:sz w:val="20"/>
                <w:szCs w:val="20"/>
              </w:rPr>
            </w:pPr>
            <w:r w:rsidRPr="00B768B2">
              <w:rPr>
                <w:sz w:val="20"/>
                <w:szCs w:val="20"/>
              </w:rPr>
              <w:t>Ef</w:t>
            </w:r>
            <w:r w:rsidR="00F97303">
              <w:rPr>
                <w:sz w:val="20"/>
                <w:szCs w:val="20"/>
              </w:rPr>
              <w:t xml:space="preserve">fect of oral </w:t>
            </w:r>
            <w:proofErr w:type="spellStart"/>
            <w:r w:rsidR="00F97303">
              <w:rPr>
                <w:sz w:val="20"/>
                <w:szCs w:val="20"/>
              </w:rPr>
              <w:t>siponimod</w:t>
            </w:r>
            <w:proofErr w:type="spellEnd"/>
            <w:r w:rsidR="00F97303">
              <w:rPr>
                <w:sz w:val="20"/>
                <w:szCs w:val="20"/>
              </w:rPr>
              <w:t xml:space="preserve"> on the PK and PD</w:t>
            </w:r>
            <w:r w:rsidRPr="00B768B2">
              <w:rPr>
                <w:sz w:val="20"/>
                <w:szCs w:val="20"/>
              </w:rPr>
              <w:t xml:space="preserve"> of a monophasic oral contraceptive in healthy female</w:t>
            </w:r>
            <w:r>
              <w:rPr>
                <w:sz w:val="20"/>
                <w:szCs w:val="20"/>
              </w:rPr>
              <w:t xml:space="preserve"> </w:t>
            </w:r>
            <w:r w:rsidRPr="00B768B2">
              <w:rPr>
                <w:sz w:val="20"/>
                <w:szCs w:val="20"/>
              </w:rPr>
              <w:t>volunteers</w:t>
            </w:r>
          </w:p>
        </w:tc>
      </w:tr>
      <w:tr w:rsidR="00B768B2" w:rsidRPr="00B768B2" w14:paraId="76741AFC" w14:textId="77777777" w:rsidTr="00B768B2">
        <w:trPr>
          <w:trHeight w:val="930"/>
        </w:trPr>
        <w:tc>
          <w:tcPr>
            <w:tcW w:w="1384" w:type="dxa"/>
            <w:vMerge/>
          </w:tcPr>
          <w:p w14:paraId="649EBF00" w14:textId="77777777" w:rsidR="00B768B2" w:rsidRPr="00B768B2" w:rsidRDefault="00B768B2" w:rsidP="00B768B2">
            <w:pPr>
              <w:ind w:left="0" w:right="0"/>
              <w:rPr>
                <w:sz w:val="20"/>
                <w:szCs w:val="20"/>
              </w:rPr>
            </w:pPr>
          </w:p>
        </w:tc>
        <w:tc>
          <w:tcPr>
            <w:tcW w:w="1701" w:type="dxa"/>
          </w:tcPr>
          <w:p w14:paraId="39125D0F" w14:textId="77777777" w:rsidR="00B768B2" w:rsidRPr="00B768B2" w:rsidRDefault="00B768B2" w:rsidP="00B768B2">
            <w:pPr>
              <w:ind w:left="0" w:right="0"/>
              <w:rPr>
                <w:sz w:val="20"/>
                <w:szCs w:val="20"/>
              </w:rPr>
            </w:pPr>
            <w:r w:rsidRPr="00B768B2">
              <w:rPr>
                <w:sz w:val="20"/>
                <w:szCs w:val="20"/>
              </w:rPr>
              <w:t>Propranolol</w:t>
            </w:r>
          </w:p>
        </w:tc>
        <w:tc>
          <w:tcPr>
            <w:tcW w:w="1134" w:type="dxa"/>
          </w:tcPr>
          <w:p w14:paraId="1088DE2C" w14:textId="77777777" w:rsidR="00B768B2" w:rsidRPr="00B768B2" w:rsidRDefault="00B768B2" w:rsidP="00B768B2">
            <w:pPr>
              <w:ind w:left="0" w:right="0"/>
              <w:rPr>
                <w:sz w:val="20"/>
                <w:szCs w:val="20"/>
              </w:rPr>
            </w:pPr>
            <w:r w:rsidRPr="00B768B2">
              <w:rPr>
                <w:sz w:val="20"/>
                <w:szCs w:val="20"/>
              </w:rPr>
              <w:t>A2116</w:t>
            </w:r>
          </w:p>
        </w:tc>
        <w:tc>
          <w:tcPr>
            <w:tcW w:w="4114" w:type="dxa"/>
          </w:tcPr>
          <w:p w14:paraId="6DBFE9AA" w14:textId="77777777" w:rsidR="00B768B2" w:rsidRPr="00B768B2" w:rsidRDefault="00F97303" w:rsidP="00B768B2">
            <w:pPr>
              <w:ind w:left="0" w:right="0"/>
              <w:rPr>
                <w:sz w:val="20"/>
                <w:szCs w:val="20"/>
              </w:rPr>
            </w:pPr>
            <w:r>
              <w:rPr>
                <w:sz w:val="20"/>
                <w:szCs w:val="20"/>
              </w:rPr>
              <w:t xml:space="preserve">PD and/or PK interaction of </w:t>
            </w:r>
            <w:proofErr w:type="spellStart"/>
            <w:r>
              <w:rPr>
                <w:sz w:val="20"/>
                <w:szCs w:val="20"/>
              </w:rPr>
              <w:t>s</w:t>
            </w:r>
            <w:r w:rsidR="00B768B2" w:rsidRPr="00B768B2">
              <w:rPr>
                <w:sz w:val="20"/>
                <w:szCs w:val="20"/>
              </w:rPr>
              <w:t>iponimod</w:t>
            </w:r>
            <w:proofErr w:type="spellEnd"/>
            <w:r w:rsidR="00B768B2" w:rsidRPr="00B768B2">
              <w:rPr>
                <w:sz w:val="20"/>
                <w:szCs w:val="20"/>
              </w:rPr>
              <w:t xml:space="preserve"> and propranolol when co-administered in healthy subjects</w:t>
            </w:r>
          </w:p>
        </w:tc>
      </w:tr>
      <w:tr w:rsidR="00B768B2" w:rsidRPr="00B768B2" w14:paraId="50418344" w14:textId="77777777" w:rsidTr="00B768B2">
        <w:trPr>
          <w:trHeight w:val="930"/>
        </w:trPr>
        <w:tc>
          <w:tcPr>
            <w:tcW w:w="1384" w:type="dxa"/>
            <w:vMerge w:val="restart"/>
          </w:tcPr>
          <w:p w14:paraId="5F3C3C0B" w14:textId="77777777" w:rsidR="00B768B2" w:rsidRPr="00B768B2" w:rsidRDefault="00B768B2" w:rsidP="00B768B2">
            <w:pPr>
              <w:ind w:left="0" w:right="0"/>
              <w:rPr>
                <w:sz w:val="20"/>
                <w:szCs w:val="20"/>
              </w:rPr>
            </w:pPr>
            <w:r w:rsidRPr="00B768B2">
              <w:rPr>
                <w:sz w:val="20"/>
                <w:szCs w:val="20"/>
              </w:rPr>
              <w:t>Population PK analyses</w:t>
            </w:r>
          </w:p>
        </w:tc>
        <w:tc>
          <w:tcPr>
            <w:tcW w:w="1701" w:type="dxa"/>
            <w:vMerge w:val="restart"/>
          </w:tcPr>
          <w:p w14:paraId="24D84DA3" w14:textId="77777777" w:rsidR="00B768B2" w:rsidRPr="00B768B2" w:rsidRDefault="00B768B2" w:rsidP="00B768B2">
            <w:pPr>
              <w:ind w:left="0" w:right="0"/>
              <w:rPr>
                <w:sz w:val="20"/>
                <w:szCs w:val="20"/>
              </w:rPr>
            </w:pPr>
            <w:r w:rsidRPr="00B768B2">
              <w:rPr>
                <w:sz w:val="20"/>
                <w:szCs w:val="20"/>
              </w:rPr>
              <w:t>Target population</w:t>
            </w:r>
          </w:p>
        </w:tc>
        <w:tc>
          <w:tcPr>
            <w:tcW w:w="1134" w:type="dxa"/>
          </w:tcPr>
          <w:p w14:paraId="0CE90347" w14:textId="46E4D40E" w:rsidR="00B768B2" w:rsidRPr="00B768B2" w:rsidRDefault="00B768B2" w:rsidP="00B768B2">
            <w:pPr>
              <w:ind w:left="0" w:right="0"/>
              <w:rPr>
                <w:sz w:val="20"/>
                <w:szCs w:val="20"/>
              </w:rPr>
            </w:pPr>
            <w:r w:rsidRPr="00B768B2">
              <w:rPr>
                <w:sz w:val="20"/>
                <w:szCs w:val="20"/>
              </w:rPr>
              <w:t>BAF312</w:t>
            </w:r>
            <w:r w:rsidR="00E95EA5">
              <w:rPr>
                <w:sz w:val="20"/>
                <w:szCs w:val="20"/>
              </w:rPr>
              <w:t xml:space="preserve"> </w:t>
            </w:r>
            <w:r w:rsidRPr="00B768B2">
              <w:rPr>
                <w:sz w:val="20"/>
                <w:szCs w:val="20"/>
              </w:rPr>
              <w:t>Modelling Report</w:t>
            </w:r>
          </w:p>
        </w:tc>
        <w:tc>
          <w:tcPr>
            <w:tcW w:w="4114" w:type="dxa"/>
          </w:tcPr>
          <w:p w14:paraId="622F6BA5" w14:textId="77777777" w:rsidR="00B768B2" w:rsidRPr="00B768B2" w:rsidRDefault="00B768B2" w:rsidP="00B768B2">
            <w:pPr>
              <w:ind w:left="0" w:right="0"/>
              <w:rPr>
                <w:sz w:val="20"/>
                <w:szCs w:val="20"/>
              </w:rPr>
            </w:pPr>
            <w:r w:rsidRPr="00B768B2">
              <w:rPr>
                <w:sz w:val="20"/>
                <w:szCs w:val="20"/>
              </w:rPr>
              <w:t>Pop</w:t>
            </w:r>
            <w:r w:rsidR="00F97303">
              <w:rPr>
                <w:sz w:val="20"/>
                <w:szCs w:val="20"/>
              </w:rPr>
              <w:t xml:space="preserve">ulation PK of </w:t>
            </w:r>
            <w:proofErr w:type="spellStart"/>
            <w:r w:rsidR="00F97303">
              <w:rPr>
                <w:sz w:val="20"/>
                <w:szCs w:val="20"/>
              </w:rPr>
              <w:t>s</w:t>
            </w:r>
            <w:r w:rsidRPr="00B768B2">
              <w:rPr>
                <w:sz w:val="20"/>
                <w:szCs w:val="20"/>
              </w:rPr>
              <w:t>iponimod</w:t>
            </w:r>
            <w:proofErr w:type="spellEnd"/>
            <w:r w:rsidRPr="00B768B2">
              <w:rPr>
                <w:sz w:val="20"/>
                <w:szCs w:val="20"/>
              </w:rPr>
              <w:t xml:space="preserve"> in MS patients/healthy volunteers</w:t>
            </w:r>
          </w:p>
        </w:tc>
      </w:tr>
      <w:tr w:rsidR="00B768B2" w:rsidRPr="00B768B2" w14:paraId="68C999D9" w14:textId="77777777" w:rsidTr="00B768B2">
        <w:trPr>
          <w:trHeight w:val="930"/>
        </w:trPr>
        <w:tc>
          <w:tcPr>
            <w:tcW w:w="1384" w:type="dxa"/>
            <w:vMerge/>
          </w:tcPr>
          <w:p w14:paraId="7C5597DF" w14:textId="77777777" w:rsidR="00B768B2" w:rsidRPr="00B768B2" w:rsidRDefault="00B768B2" w:rsidP="00B768B2">
            <w:pPr>
              <w:ind w:left="0" w:right="0"/>
              <w:rPr>
                <w:sz w:val="20"/>
                <w:szCs w:val="20"/>
              </w:rPr>
            </w:pPr>
          </w:p>
        </w:tc>
        <w:tc>
          <w:tcPr>
            <w:tcW w:w="1701" w:type="dxa"/>
            <w:vMerge/>
          </w:tcPr>
          <w:p w14:paraId="7AB053D9" w14:textId="77777777" w:rsidR="00B768B2" w:rsidRPr="00B768B2" w:rsidRDefault="00B768B2" w:rsidP="00B768B2">
            <w:pPr>
              <w:ind w:left="0" w:right="0"/>
              <w:rPr>
                <w:sz w:val="20"/>
                <w:szCs w:val="20"/>
              </w:rPr>
            </w:pPr>
          </w:p>
        </w:tc>
        <w:tc>
          <w:tcPr>
            <w:tcW w:w="1134" w:type="dxa"/>
          </w:tcPr>
          <w:p w14:paraId="2A2D711B" w14:textId="6F3FA22E" w:rsidR="00B768B2" w:rsidRPr="00B768B2" w:rsidRDefault="00B768B2" w:rsidP="00B768B2">
            <w:pPr>
              <w:ind w:left="0" w:right="0"/>
              <w:rPr>
                <w:sz w:val="20"/>
                <w:szCs w:val="20"/>
              </w:rPr>
            </w:pPr>
            <w:r w:rsidRPr="00B768B2">
              <w:rPr>
                <w:sz w:val="20"/>
                <w:szCs w:val="20"/>
              </w:rPr>
              <w:t>BAF312A</w:t>
            </w:r>
            <w:r w:rsidR="00E95EA5">
              <w:rPr>
                <w:sz w:val="20"/>
                <w:szCs w:val="20"/>
              </w:rPr>
              <w:t xml:space="preserve"> </w:t>
            </w:r>
            <w:r w:rsidRPr="00B768B2">
              <w:rPr>
                <w:sz w:val="20"/>
                <w:szCs w:val="20"/>
              </w:rPr>
              <w:t>Modelling Report</w:t>
            </w:r>
          </w:p>
        </w:tc>
        <w:tc>
          <w:tcPr>
            <w:tcW w:w="4114" w:type="dxa"/>
          </w:tcPr>
          <w:p w14:paraId="2C58E157" w14:textId="77777777" w:rsidR="00B768B2" w:rsidRPr="00B768B2" w:rsidRDefault="00B768B2" w:rsidP="00B768B2">
            <w:pPr>
              <w:ind w:left="0" w:right="0"/>
              <w:rPr>
                <w:sz w:val="20"/>
                <w:szCs w:val="20"/>
              </w:rPr>
            </w:pPr>
            <w:r w:rsidRPr="00B768B2">
              <w:rPr>
                <w:sz w:val="20"/>
                <w:szCs w:val="20"/>
              </w:rPr>
              <w:t>Pop</w:t>
            </w:r>
            <w:r w:rsidR="00F97303">
              <w:rPr>
                <w:sz w:val="20"/>
                <w:szCs w:val="20"/>
              </w:rPr>
              <w:t xml:space="preserve">ulation PK and PK-PD analyses of </w:t>
            </w:r>
            <w:proofErr w:type="spellStart"/>
            <w:r w:rsidR="00F97303">
              <w:rPr>
                <w:sz w:val="20"/>
                <w:szCs w:val="20"/>
              </w:rPr>
              <w:t>s</w:t>
            </w:r>
            <w:r w:rsidRPr="00B768B2">
              <w:rPr>
                <w:sz w:val="20"/>
                <w:szCs w:val="20"/>
              </w:rPr>
              <w:t>iponimod</w:t>
            </w:r>
            <w:proofErr w:type="spellEnd"/>
            <w:r w:rsidRPr="00B768B2">
              <w:rPr>
                <w:sz w:val="20"/>
                <w:szCs w:val="20"/>
              </w:rPr>
              <w:t xml:space="preserve"> effect on lymphocytes, </w:t>
            </w:r>
            <w:r w:rsidR="00F97303" w:rsidRPr="00F97303">
              <w:rPr>
                <w:sz w:val="20"/>
                <w:szCs w:val="20"/>
              </w:rPr>
              <w:t xml:space="preserve">Expanded Disability Status Scale </w:t>
            </w:r>
            <w:r w:rsidR="00F97303">
              <w:rPr>
                <w:sz w:val="20"/>
                <w:szCs w:val="20"/>
              </w:rPr>
              <w:t>(</w:t>
            </w:r>
            <w:r w:rsidRPr="00B768B2">
              <w:rPr>
                <w:sz w:val="20"/>
                <w:szCs w:val="20"/>
              </w:rPr>
              <w:t>EDSS</w:t>
            </w:r>
            <w:r w:rsidR="00F97303">
              <w:rPr>
                <w:sz w:val="20"/>
                <w:szCs w:val="20"/>
              </w:rPr>
              <w:t>)</w:t>
            </w:r>
            <w:r w:rsidRPr="00B768B2">
              <w:rPr>
                <w:sz w:val="20"/>
                <w:szCs w:val="20"/>
              </w:rPr>
              <w:t xml:space="preserve"> and infections in SPMS Patients</w:t>
            </w:r>
          </w:p>
        </w:tc>
      </w:tr>
      <w:tr w:rsidR="00B768B2" w:rsidRPr="00B768B2" w14:paraId="0E2E36C8" w14:textId="77777777" w:rsidTr="00767EF1">
        <w:trPr>
          <w:trHeight w:val="619"/>
        </w:trPr>
        <w:tc>
          <w:tcPr>
            <w:tcW w:w="1384" w:type="dxa"/>
            <w:vMerge/>
          </w:tcPr>
          <w:p w14:paraId="19201278" w14:textId="77777777" w:rsidR="00B768B2" w:rsidRPr="00B768B2" w:rsidRDefault="00B768B2" w:rsidP="00B768B2">
            <w:pPr>
              <w:ind w:left="0" w:right="0"/>
              <w:rPr>
                <w:sz w:val="20"/>
                <w:szCs w:val="20"/>
              </w:rPr>
            </w:pPr>
          </w:p>
        </w:tc>
        <w:tc>
          <w:tcPr>
            <w:tcW w:w="1701" w:type="dxa"/>
          </w:tcPr>
          <w:p w14:paraId="7E714A00" w14:textId="77777777" w:rsidR="00B768B2" w:rsidRPr="00B768B2" w:rsidRDefault="00B768B2" w:rsidP="00B768B2">
            <w:pPr>
              <w:ind w:left="0" w:right="0"/>
              <w:rPr>
                <w:sz w:val="20"/>
                <w:szCs w:val="20"/>
              </w:rPr>
            </w:pPr>
            <w:r w:rsidRPr="00B768B2">
              <w:rPr>
                <w:sz w:val="20"/>
                <w:szCs w:val="20"/>
              </w:rPr>
              <w:t>Other</w:t>
            </w:r>
          </w:p>
        </w:tc>
        <w:tc>
          <w:tcPr>
            <w:tcW w:w="1134" w:type="dxa"/>
          </w:tcPr>
          <w:p w14:paraId="5B30DBFB" w14:textId="77777777" w:rsidR="00B768B2" w:rsidRPr="00B768B2" w:rsidRDefault="00B768B2" w:rsidP="00B768B2">
            <w:pPr>
              <w:ind w:left="0" w:right="0"/>
              <w:rPr>
                <w:sz w:val="20"/>
                <w:szCs w:val="20"/>
              </w:rPr>
            </w:pPr>
            <w:r w:rsidRPr="00B768B2">
              <w:rPr>
                <w:sz w:val="20"/>
                <w:szCs w:val="20"/>
              </w:rPr>
              <w:t>A2304</w:t>
            </w:r>
          </w:p>
        </w:tc>
        <w:tc>
          <w:tcPr>
            <w:tcW w:w="4114" w:type="dxa"/>
          </w:tcPr>
          <w:p w14:paraId="7C74214B" w14:textId="77777777" w:rsidR="00B768B2" w:rsidRPr="00B768B2" w:rsidRDefault="00B768B2" w:rsidP="00B768B2">
            <w:pPr>
              <w:ind w:left="0" w:right="0"/>
              <w:rPr>
                <w:sz w:val="20"/>
                <w:szCs w:val="20"/>
              </w:rPr>
            </w:pPr>
            <w:r w:rsidRPr="00B768B2">
              <w:rPr>
                <w:sz w:val="20"/>
                <w:szCs w:val="20"/>
              </w:rPr>
              <w:t xml:space="preserve">Investigation of the influence </w:t>
            </w:r>
            <w:r w:rsidR="00F97303">
              <w:rPr>
                <w:sz w:val="20"/>
                <w:szCs w:val="20"/>
              </w:rPr>
              <w:t xml:space="preserve">of smoking status on </w:t>
            </w:r>
            <w:proofErr w:type="spellStart"/>
            <w:r w:rsidR="00F97303">
              <w:rPr>
                <w:sz w:val="20"/>
                <w:szCs w:val="20"/>
              </w:rPr>
              <w:t>s</w:t>
            </w:r>
            <w:r w:rsidRPr="00B768B2">
              <w:rPr>
                <w:sz w:val="20"/>
                <w:szCs w:val="20"/>
              </w:rPr>
              <w:t>iponimod</w:t>
            </w:r>
            <w:proofErr w:type="spellEnd"/>
            <w:r>
              <w:rPr>
                <w:sz w:val="20"/>
                <w:szCs w:val="20"/>
              </w:rPr>
              <w:t xml:space="preserve"> </w:t>
            </w:r>
            <w:r w:rsidRPr="00B768B2">
              <w:rPr>
                <w:sz w:val="20"/>
                <w:szCs w:val="20"/>
              </w:rPr>
              <w:t>exposure in MS patients</w:t>
            </w:r>
          </w:p>
        </w:tc>
      </w:tr>
    </w:tbl>
    <w:p w14:paraId="1DF845F0" w14:textId="77777777" w:rsidR="0037666F" w:rsidRDefault="0037666F" w:rsidP="0037666F">
      <w:pPr>
        <w:pStyle w:val="TableDescription"/>
      </w:pPr>
      <w:r>
        <w:t>† Bioequivalence of different formulations.</w:t>
      </w:r>
    </w:p>
    <w:p w14:paraId="589FD344" w14:textId="77777777" w:rsidR="00174558" w:rsidRDefault="00B64D8B" w:rsidP="00B64D8B">
      <w:pPr>
        <w:pStyle w:val="Heading5"/>
      </w:pPr>
      <w:r>
        <w:t>Summary of pharmacokinetics</w:t>
      </w:r>
    </w:p>
    <w:p w14:paraId="0678B1B2" w14:textId="77777777" w:rsidR="00B64D8B" w:rsidRPr="00B64D8B" w:rsidRDefault="00B64D8B" w:rsidP="00B64D8B">
      <w:r>
        <w:t>As outlined in the clinical evaluation report:</w:t>
      </w:r>
    </w:p>
    <w:p w14:paraId="5F45B2E8" w14:textId="77777777" w:rsidR="00174558" w:rsidRDefault="00174558" w:rsidP="00F97303">
      <w:pPr>
        <w:pStyle w:val="ListBullet"/>
      </w:pPr>
      <w:r>
        <w:lastRenderedPageBreak/>
        <w:t>The conduct of the studies that were provided in support of the current submission was satisfactory, the data analyses undertaken were appropriate and the analytical methods used to measure exposure levels were validated.</w:t>
      </w:r>
    </w:p>
    <w:p w14:paraId="0FED65CC" w14:textId="77777777" w:rsidR="00174558" w:rsidRDefault="00174558" w:rsidP="00F97303">
      <w:pPr>
        <w:pStyle w:val="ListBullet"/>
      </w:pPr>
      <w:proofErr w:type="spellStart"/>
      <w:r>
        <w:t>Siponimod</w:t>
      </w:r>
      <w:proofErr w:type="spellEnd"/>
      <w:r>
        <w:t xml:space="preserve"> is to be administered orally, </w:t>
      </w:r>
      <w:r w:rsidR="002D063E">
        <w:t>once daily (</w:t>
      </w:r>
      <w:r>
        <w:t>QD</w:t>
      </w:r>
      <w:r w:rsidR="002D063E">
        <w:t>) with or without food.</w:t>
      </w:r>
    </w:p>
    <w:p w14:paraId="2166EBB9" w14:textId="77777777" w:rsidR="00174558" w:rsidRDefault="00174558" w:rsidP="00F97303">
      <w:pPr>
        <w:pStyle w:val="ListBullet"/>
      </w:pPr>
      <w:r>
        <w:t xml:space="preserve">Following a single dose of either 0.25 mg or 4 mg of the FMI under fasted conditions, the </w:t>
      </w:r>
      <w:proofErr w:type="spellStart"/>
      <w:r>
        <w:t>T</w:t>
      </w:r>
      <w:r w:rsidRPr="002D063E">
        <w:rPr>
          <w:vertAlign w:val="subscript"/>
        </w:rPr>
        <w:t>max</w:t>
      </w:r>
      <w:proofErr w:type="spellEnd"/>
      <w:r>
        <w:t xml:space="preserve"> occurred at 4 h</w:t>
      </w:r>
      <w:r w:rsidR="002D063E">
        <w:t xml:space="preserve">ours post dose. The absolute BA of </w:t>
      </w:r>
      <w:proofErr w:type="spellStart"/>
      <w:r w:rsidR="002D063E">
        <w:t>s</w:t>
      </w:r>
      <w:r>
        <w:t>iponimod</w:t>
      </w:r>
      <w:proofErr w:type="spellEnd"/>
      <w:r>
        <w:t xml:space="preserve"> was 84%.</w:t>
      </w:r>
    </w:p>
    <w:p w14:paraId="046DDCEC" w14:textId="77777777" w:rsidR="00174558" w:rsidRDefault="00174558" w:rsidP="00F97303">
      <w:pPr>
        <w:pStyle w:val="ListBullet"/>
      </w:pPr>
      <w:r>
        <w:t>In healthy subjects who were of the homozygous CYP2C9*1 genotype, the MF and FMI formulations were bioequivalent at the 0.25 mg and 4 mg dose strengths.</w:t>
      </w:r>
    </w:p>
    <w:p w14:paraId="05C0EC81" w14:textId="77777777" w:rsidR="00174558" w:rsidRPr="00B749AC" w:rsidRDefault="00174558" w:rsidP="00F97303">
      <w:pPr>
        <w:pStyle w:val="ListBullet"/>
      </w:pPr>
      <w:r w:rsidRPr="00B749AC">
        <w:t>Dose normalisation of the PK parameters for 0.25 mg and 4 m</w:t>
      </w:r>
      <w:r w:rsidR="002D063E" w:rsidRPr="00B749AC">
        <w:t xml:space="preserve">g doses of the to be </w:t>
      </w:r>
      <w:r w:rsidRPr="00B749AC">
        <w:t>market</w:t>
      </w:r>
      <w:r w:rsidR="002D063E" w:rsidRPr="00B749AC">
        <w:t xml:space="preserve">ed formulation indicates, that </w:t>
      </w:r>
      <w:proofErr w:type="spellStart"/>
      <w:r w:rsidR="002D063E" w:rsidRPr="00B749AC">
        <w:t>s</w:t>
      </w:r>
      <w:r w:rsidRPr="00B749AC">
        <w:t>iponimod</w:t>
      </w:r>
      <w:proofErr w:type="spellEnd"/>
      <w:r w:rsidRPr="00B749AC">
        <w:t xml:space="preserve"> </w:t>
      </w:r>
      <w:proofErr w:type="spellStart"/>
      <w:r w:rsidRPr="00B749AC">
        <w:t>C</w:t>
      </w:r>
      <w:r w:rsidRPr="00B749AC">
        <w:rPr>
          <w:vertAlign w:val="subscript"/>
        </w:rPr>
        <w:t>max</w:t>
      </w:r>
      <w:proofErr w:type="spellEnd"/>
      <w:r w:rsidRPr="00B749AC">
        <w:t xml:space="preserve"> and AUC increase in a dose proportional manner.</w:t>
      </w:r>
    </w:p>
    <w:p w14:paraId="553DCF21" w14:textId="77777777" w:rsidR="00174558" w:rsidRPr="00B749AC" w:rsidRDefault="002D063E" w:rsidP="00C023EB">
      <w:pPr>
        <w:pStyle w:val="ListBullet"/>
      </w:pPr>
      <w:r w:rsidRPr="00B749AC">
        <w:t xml:space="preserve">A high </w:t>
      </w:r>
      <w:r w:rsidR="00174558" w:rsidRPr="00B749AC">
        <w:t xml:space="preserve">fat breakfast had no effect on the </w:t>
      </w:r>
      <w:proofErr w:type="spellStart"/>
      <w:r w:rsidR="00174558" w:rsidRPr="00B749AC">
        <w:t>C</w:t>
      </w:r>
      <w:r w:rsidR="00174558" w:rsidRPr="00B749AC">
        <w:rPr>
          <w:vertAlign w:val="subscript"/>
        </w:rPr>
        <w:t>max</w:t>
      </w:r>
      <w:proofErr w:type="spellEnd"/>
      <w:r w:rsidR="00174558" w:rsidRPr="00B749AC">
        <w:t xml:space="preserve"> and AUC values of </w:t>
      </w:r>
      <w:proofErr w:type="spellStart"/>
      <w:r w:rsidR="00174558" w:rsidRPr="00B749AC">
        <w:t>siponimod</w:t>
      </w:r>
      <w:proofErr w:type="spellEnd"/>
      <w:r w:rsidR="00174558" w:rsidRPr="00B749AC">
        <w:t xml:space="preserve">, whereas, median </w:t>
      </w:r>
      <w:proofErr w:type="spellStart"/>
      <w:r w:rsidR="00174558" w:rsidRPr="00B749AC">
        <w:t>T</w:t>
      </w:r>
      <w:r w:rsidR="00174558" w:rsidRPr="00B749AC">
        <w:rPr>
          <w:vertAlign w:val="subscript"/>
        </w:rPr>
        <w:t>max</w:t>
      </w:r>
      <w:proofErr w:type="spellEnd"/>
      <w:r w:rsidR="00174558" w:rsidRPr="00B749AC">
        <w:t xml:space="preserve"> was slightly delayed in the fed group for both doses by 2 h</w:t>
      </w:r>
      <w:r w:rsidRPr="00B749AC">
        <w:t>ours</w:t>
      </w:r>
      <w:r w:rsidR="00174558" w:rsidRPr="00B749AC">
        <w:t xml:space="preserve"> to 3 h</w:t>
      </w:r>
      <w:r w:rsidRPr="00B749AC">
        <w:t>ours</w:t>
      </w:r>
      <w:r w:rsidR="00C023EB">
        <w:t xml:space="preserve"> compared to the fasted. </w:t>
      </w:r>
      <w:r w:rsidR="00B749AC">
        <w:t>The Delegate commented that a</w:t>
      </w:r>
      <w:r w:rsidR="00174558" w:rsidRPr="00B749AC">
        <w:t xml:space="preserve">t steady state, the effect of food on </w:t>
      </w:r>
      <w:proofErr w:type="spellStart"/>
      <w:r w:rsidR="00174558" w:rsidRPr="00B749AC">
        <w:t>T</w:t>
      </w:r>
      <w:r w:rsidR="00174558" w:rsidRPr="00C023EB">
        <w:rPr>
          <w:vertAlign w:val="subscript"/>
        </w:rPr>
        <w:t>max</w:t>
      </w:r>
      <w:proofErr w:type="spellEnd"/>
      <w:r w:rsidR="00174558" w:rsidRPr="00B749AC">
        <w:t xml:space="preserve"> should</w:t>
      </w:r>
      <w:r w:rsidR="00B749AC">
        <w:t xml:space="preserve"> not be clinically significant.</w:t>
      </w:r>
    </w:p>
    <w:p w14:paraId="3F3FFCA8" w14:textId="77777777" w:rsidR="00174558" w:rsidRPr="00B749AC" w:rsidRDefault="00174558" w:rsidP="00F97303">
      <w:pPr>
        <w:pStyle w:val="ListBullet"/>
      </w:pPr>
      <w:r w:rsidRPr="00B749AC">
        <w:t xml:space="preserve">When administered as a single oral dose of the </w:t>
      </w:r>
      <w:r w:rsidR="00B749AC">
        <w:rPr>
          <w:rFonts w:asciiTheme="minorHAnsi" w:eastAsiaTheme="minorHAnsi" w:hAnsiTheme="minorHAnsi" w:cs="Arial"/>
        </w:rPr>
        <w:t>c</w:t>
      </w:r>
      <w:r w:rsidR="00B749AC" w:rsidRPr="007901B9">
        <w:rPr>
          <w:rFonts w:asciiTheme="minorHAnsi" w:eastAsiaTheme="minorHAnsi" w:hAnsiTheme="minorHAnsi" w:cs="Arial"/>
        </w:rPr>
        <w:t>linical service formulation</w:t>
      </w:r>
      <w:r w:rsidRPr="00B749AC">
        <w:t xml:space="preserve">, </w:t>
      </w:r>
      <w:proofErr w:type="spellStart"/>
      <w:r w:rsidRPr="00B749AC">
        <w:t>siponimod</w:t>
      </w:r>
      <w:proofErr w:type="spellEnd"/>
      <w:r w:rsidRPr="00B749AC">
        <w:t xml:space="preserve"> AUC values increased dose proportionately over the dose range 0.1 mg to 75 mg.</w:t>
      </w:r>
    </w:p>
    <w:p w14:paraId="14CC8071" w14:textId="3ED8F51D" w:rsidR="00174558" w:rsidRPr="00B749AC" w:rsidRDefault="00174558" w:rsidP="00F97303">
      <w:pPr>
        <w:pStyle w:val="ListBullet"/>
      </w:pPr>
      <w:r w:rsidRPr="00B749AC">
        <w:t xml:space="preserve">Following 6 days of QD doses of the </w:t>
      </w:r>
      <w:r w:rsidR="00B749AC">
        <w:rPr>
          <w:rFonts w:asciiTheme="minorHAnsi" w:eastAsiaTheme="minorHAnsi" w:hAnsiTheme="minorHAnsi" w:cs="Arial"/>
        </w:rPr>
        <w:t>c</w:t>
      </w:r>
      <w:r w:rsidR="00B749AC" w:rsidRPr="007901B9">
        <w:rPr>
          <w:rFonts w:asciiTheme="minorHAnsi" w:eastAsiaTheme="minorHAnsi" w:hAnsiTheme="minorHAnsi" w:cs="Arial"/>
        </w:rPr>
        <w:t>linical service formulation</w:t>
      </w:r>
      <w:r w:rsidRPr="00B749AC">
        <w:t>, ranging from 0.3 mg to 20 mg, the mean accumulation ratio (</w:t>
      </w:r>
      <w:proofErr w:type="spellStart"/>
      <w:r w:rsidRPr="00B749AC">
        <w:t>R</w:t>
      </w:r>
      <w:r w:rsidRPr="00767EF1">
        <w:rPr>
          <w:vertAlign w:val="subscript"/>
        </w:rPr>
        <w:t>acc</w:t>
      </w:r>
      <w:proofErr w:type="spellEnd"/>
      <w:r w:rsidRPr="00B749AC">
        <w:t xml:space="preserve">) ranged from </w:t>
      </w:r>
      <w:r w:rsidR="00767EF1">
        <w:t xml:space="preserve">1.88 to </w:t>
      </w:r>
      <w:r w:rsidR="00CE4D15">
        <w:t>2.72</w:t>
      </w:r>
      <w:r w:rsidR="00767EF1">
        <w:t xml:space="preserve"> </w:t>
      </w:r>
      <w:r w:rsidRPr="00B749AC">
        <w:t xml:space="preserve">and </w:t>
      </w:r>
      <w:r w:rsidR="00B749AC">
        <w:t>biological half-life (</w:t>
      </w:r>
      <w:r w:rsidRPr="00B749AC">
        <w:t>t</w:t>
      </w:r>
      <w:r w:rsidRPr="00B749AC">
        <w:rPr>
          <w:vertAlign w:val="subscript"/>
        </w:rPr>
        <w:t>1/2</w:t>
      </w:r>
      <w:r w:rsidR="00B749AC">
        <w:t>)</w:t>
      </w:r>
      <w:r w:rsidRPr="00B749AC">
        <w:rPr>
          <w:vertAlign w:val="subscript"/>
        </w:rPr>
        <w:t xml:space="preserve"> </w:t>
      </w:r>
      <w:r w:rsidRPr="00B749AC">
        <w:t>ranged from approximately 69 h</w:t>
      </w:r>
      <w:r w:rsidR="00B749AC">
        <w:t>ours</w:t>
      </w:r>
      <w:r w:rsidRPr="00B749AC">
        <w:t xml:space="preserve"> to 110 h</w:t>
      </w:r>
      <w:r w:rsidR="00B749AC">
        <w:t>ours</w:t>
      </w:r>
      <w:r w:rsidRPr="00B749AC">
        <w:t xml:space="preserve">. In addition, across the dose range, </w:t>
      </w:r>
      <w:proofErr w:type="spellStart"/>
      <w:r w:rsidRPr="00B749AC">
        <w:t>C</w:t>
      </w:r>
      <w:r w:rsidRPr="00B749AC">
        <w:rPr>
          <w:vertAlign w:val="subscript"/>
        </w:rPr>
        <w:t>max</w:t>
      </w:r>
      <w:proofErr w:type="spellEnd"/>
      <w:r w:rsidRPr="00B749AC">
        <w:t xml:space="preserve"> and AUC valu</w:t>
      </w:r>
      <w:r w:rsidR="00B13060">
        <w:t xml:space="preserve">es increased approximately dose </w:t>
      </w:r>
      <w:r w:rsidRPr="00B749AC">
        <w:t>proportionally following both single and multiple doses.</w:t>
      </w:r>
    </w:p>
    <w:p w14:paraId="04682680" w14:textId="77777777" w:rsidR="00174558" w:rsidRDefault="00174558" w:rsidP="00B13060">
      <w:pPr>
        <w:pStyle w:val="ListBullet"/>
      </w:pPr>
      <w:r>
        <w:t xml:space="preserve">Following a single dose of 0.25 mg or 4 mg of the FMI formulation, the </w:t>
      </w:r>
      <w:r w:rsidR="00B13060">
        <w:t>a</w:t>
      </w:r>
      <w:r w:rsidR="00B13060" w:rsidRPr="00B13060">
        <w:t xml:space="preserve">pparent volume of distribution </w:t>
      </w:r>
      <w:r w:rsidR="00B13060">
        <w:t>(</w:t>
      </w:r>
      <w:proofErr w:type="spellStart"/>
      <w:r>
        <w:t>Vz</w:t>
      </w:r>
      <w:proofErr w:type="spellEnd"/>
      <w:r w:rsidR="00B13060">
        <w:t xml:space="preserve">) of </w:t>
      </w:r>
      <w:proofErr w:type="spellStart"/>
      <w:r w:rsidR="00B13060">
        <w:t>s</w:t>
      </w:r>
      <w:r>
        <w:t>iponimod</w:t>
      </w:r>
      <w:proofErr w:type="spellEnd"/>
      <w:r>
        <w:t xml:space="preserve"> was estimated to be 156 L and 256 L, respectively.</w:t>
      </w:r>
    </w:p>
    <w:p w14:paraId="2A99BFDD" w14:textId="77777777" w:rsidR="00174558" w:rsidRDefault="00174558" w:rsidP="00F97303">
      <w:pPr>
        <w:pStyle w:val="ListBullet"/>
      </w:pPr>
      <w:proofErr w:type="spellStart"/>
      <w:r>
        <w:t>Siponimod</w:t>
      </w:r>
      <w:proofErr w:type="spellEnd"/>
      <w:r>
        <w:t xml:space="preserve"> was highly bound to plasma proteins (</w:t>
      </w:r>
      <w:r w:rsidRPr="00A8541D">
        <w:t xml:space="preserve">≥ </w:t>
      </w:r>
      <w:r w:rsidRPr="006124C9">
        <w:t>99.8</w:t>
      </w:r>
      <w:r>
        <w:t>%) and estimat</w:t>
      </w:r>
      <w:r w:rsidR="00B13060">
        <w:t xml:space="preserve">es of the mean blood/plasma AUC </w:t>
      </w:r>
      <w:r>
        <w:t>ratio ranged from 0.67 to 0.77.</w:t>
      </w:r>
    </w:p>
    <w:p w14:paraId="67624013" w14:textId="77777777" w:rsidR="00174558" w:rsidRDefault="00174558" w:rsidP="00F97303">
      <w:pPr>
        <w:pStyle w:val="ListBullet"/>
      </w:pPr>
      <w:r w:rsidRPr="00B13060">
        <w:rPr>
          <w:i/>
        </w:rPr>
        <w:t>Ex vivo</w:t>
      </w:r>
      <w:r>
        <w:t xml:space="preserve"> and </w:t>
      </w:r>
      <w:r w:rsidRPr="00B13060">
        <w:rPr>
          <w:i/>
        </w:rPr>
        <w:t>in vitro</w:t>
      </w:r>
      <w:r w:rsidR="00B13060">
        <w:t xml:space="preserve"> studies indicated that </w:t>
      </w:r>
      <w:proofErr w:type="spellStart"/>
      <w:r w:rsidR="00B13060">
        <w:t>s</w:t>
      </w:r>
      <w:r>
        <w:t>iponimod</w:t>
      </w:r>
      <w:proofErr w:type="spellEnd"/>
      <w:r>
        <w:t xml:space="preserve"> displayed little to no affinity for erythrocytes.</w:t>
      </w:r>
    </w:p>
    <w:p w14:paraId="3F40FAFC" w14:textId="77777777" w:rsidR="00174558" w:rsidRDefault="00174558" w:rsidP="00F97303">
      <w:pPr>
        <w:pStyle w:val="ListBullet"/>
      </w:pPr>
      <w:r>
        <w:t>The primary metabolic</w:t>
      </w:r>
      <w:r w:rsidR="00B13060">
        <w:t xml:space="preserve"> pathway for </w:t>
      </w:r>
      <w:proofErr w:type="spellStart"/>
      <w:r w:rsidR="00B13060">
        <w:t>s</w:t>
      </w:r>
      <w:r>
        <w:t>iponimod</w:t>
      </w:r>
      <w:proofErr w:type="spellEnd"/>
      <w:r>
        <w:t xml:space="preserve"> was via hydroxylation to form </w:t>
      </w:r>
      <w:r w:rsidR="00B13060">
        <w:t xml:space="preserve">metabolites </w:t>
      </w:r>
      <w:r>
        <w:t xml:space="preserve">M5, M6 and M7 and subsequent </w:t>
      </w:r>
      <w:proofErr w:type="spellStart"/>
      <w:r>
        <w:t>glucuronidation</w:t>
      </w:r>
      <w:proofErr w:type="spellEnd"/>
      <w:r>
        <w:t xml:space="preserve"> of M5 yields M3. A further cholesterol ester metabolite, M17, was also identified in humans.</w:t>
      </w:r>
    </w:p>
    <w:p w14:paraId="3AE96678" w14:textId="74008AF7" w:rsidR="00174558" w:rsidRDefault="00174558" w:rsidP="00F97303">
      <w:pPr>
        <w:pStyle w:val="ListBullet"/>
      </w:pPr>
      <w:r w:rsidRPr="00B13060">
        <w:rPr>
          <w:i/>
        </w:rPr>
        <w:t>In vitro</w:t>
      </w:r>
      <w:r>
        <w:t xml:space="preserve"> studies indicated that CYP2C9 was involved in the formation of the 3</w:t>
      </w:r>
      <w:r w:rsidR="00E95EA5">
        <w:t> </w:t>
      </w:r>
      <w:proofErr w:type="spellStart"/>
      <w:r>
        <w:t>hydroxylated</w:t>
      </w:r>
      <w:proofErr w:type="spellEnd"/>
      <w:r>
        <w:t xml:space="preserve"> metabolites M5, M6 and M7 and that CYP2C9 was primarily responsible for the o</w:t>
      </w:r>
      <w:r w:rsidR="00B13060">
        <w:t xml:space="preserve">xidative metabolism (79.3%) of </w:t>
      </w:r>
      <w:proofErr w:type="spellStart"/>
      <w:r w:rsidR="00B13060">
        <w:t>s</w:t>
      </w:r>
      <w:r>
        <w:t>iponimod</w:t>
      </w:r>
      <w:proofErr w:type="spellEnd"/>
      <w:r>
        <w:t>, with a contribution from CYP3A of 18.5%.</w:t>
      </w:r>
    </w:p>
    <w:p w14:paraId="270CEA07" w14:textId="5A51ED7C" w:rsidR="00174558" w:rsidRDefault="00174558" w:rsidP="00F97303">
      <w:pPr>
        <w:pStyle w:val="ListBullet"/>
      </w:pPr>
      <w:r>
        <w:t xml:space="preserve">M3 and M17 are the main circulating metabolites of </w:t>
      </w:r>
      <w:proofErr w:type="spellStart"/>
      <w:r w:rsidR="00E95EA5">
        <w:t>siponimod</w:t>
      </w:r>
      <w:proofErr w:type="spellEnd"/>
      <w:r w:rsidR="00E95EA5">
        <w:t xml:space="preserve"> </w:t>
      </w:r>
      <w:r>
        <w:t xml:space="preserve">in humans and unbound </w:t>
      </w:r>
      <w:proofErr w:type="spellStart"/>
      <w:r>
        <w:t>C</w:t>
      </w:r>
      <w:r w:rsidRPr="00B13060">
        <w:rPr>
          <w:vertAlign w:val="subscript"/>
        </w:rPr>
        <w:t>max</w:t>
      </w:r>
      <w:proofErr w:type="spellEnd"/>
      <w:r>
        <w:t xml:space="preserve"> and EC</w:t>
      </w:r>
      <w:r w:rsidRPr="00B13060">
        <w:rPr>
          <w:vertAlign w:val="subscript"/>
        </w:rPr>
        <w:t>50</w:t>
      </w:r>
      <w:r>
        <w:t xml:space="preserve"> values, suggest that M3 and M17 systemic exposure are unlikely to translate into a significant increase in pharmacological activity.</w:t>
      </w:r>
    </w:p>
    <w:p w14:paraId="357ADF9E" w14:textId="77777777" w:rsidR="00174558" w:rsidRDefault="00174558" w:rsidP="00F97303">
      <w:pPr>
        <w:pStyle w:val="ListBullet"/>
      </w:pPr>
      <w:r w:rsidRPr="00B13060">
        <w:rPr>
          <w:i/>
        </w:rPr>
        <w:t>In vitro</w:t>
      </w:r>
      <w:r>
        <w:t xml:space="preserve"> studies showed that compared to CYP2C9*1*1, substant</w:t>
      </w:r>
      <w:r w:rsidR="00B13060">
        <w:t xml:space="preserve">ially lower metabolic rates of </w:t>
      </w:r>
      <w:proofErr w:type="spellStart"/>
      <w:r w:rsidR="00B13060">
        <w:t>s</w:t>
      </w:r>
      <w:r>
        <w:t>iponimod</w:t>
      </w:r>
      <w:proofErr w:type="spellEnd"/>
      <w:r>
        <w:t xml:space="preserve"> we</w:t>
      </w:r>
      <w:r w:rsidR="00B13060">
        <w:t xml:space="preserve">re observed for CYP2C9*2*2 (2.9 </w:t>
      </w:r>
      <w:r>
        <w:t>fold redu</w:t>
      </w:r>
      <w:r w:rsidR="00B13060">
        <w:t xml:space="preserve">ction) and CYP2C9*3*3 (up to 10 </w:t>
      </w:r>
      <w:r>
        <w:t>fold reduction) donors.</w:t>
      </w:r>
    </w:p>
    <w:p w14:paraId="45E17868" w14:textId="77777777" w:rsidR="00174558" w:rsidRDefault="00174558" w:rsidP="00F97303">
      <w:pPr>
        <w:pStyle w:val="ListBullet"/>
      </w:pPr>
      <w:proofErr w:type="spellStart"/>
      <w:r>
        <w:t>Siponimod</w:t>
      </w:r>
      <w:proofErr w:type="spellEnd"/>
      <w:r>
        <w:t xml:space="preserve"> was primarily excreted via the biliary/faecal route with the bulk of the dose recovered within 216 h</w:t>
      </w:r>
      <w:r w:rsidR="00B13060">
        <w:t>ours</w:t>
      </w:r>
      <w:r>
        <w:t xml:space="preserve"> in faeces and urine.</w:t>
      </w:r>
    </w:p>
    <w:p w14:paraId="75D4F69C" w14:textId="77777777" w:rsidR="00174558" w:rsidRDefault="00174558" w:rsidP="00B64D8B">
      <w:pPr>
        <w:pStyle w:val="ListBullet"/>
      </w:pPr>
      <w:r>
        <w:t>In special populations:</w:t>
      </w:r>
    </w:p>
    <w:p w14:paraId="0605ADCB" w14:textId="77777777" w:rsidR="00174558" w:rsidRDefault="00174558" w:rsidP="00B64D8B">
      <w:pPr>
        <w:pStyle w:val="ListBullet2"/>
      </w:pPr>
      <w:proofErr w:type="spellStart"/>
      <w:r>
        <w:lastRenderedPageBreak/>
        <w:t>Siponimod</w:t>
      </w:r>
      <w:proofErr w:type="spellEnd"/>
      <w:r>
        <w:t xml:space="preserve"> </w:t>
      </w:r>
      <w:proofErr w:type="spellStart"/>
      <w:r>
        <w:t>C</w:t>
      </w:r>
      <w:r w:rsidRPr="00B13060">
        <w:rPr>
          <w:vertAlign w:val="subscript"/>
        </w:rPr>
        <w:t>max</w:t>
      </w:r>
      <w:proofErr w:type="spellEnd"/>
      <w:r>
        <w:t xml:space="preserve"> and AUC values were only marginally affected in </w:t>
      </w:r>
      <w:proofErr w:type="spellStart"/>
      <w:r>
        <w:t>hepatically</w:t>
      </w:r>
      <w:proofErr w:type="spellEnd"/>
      <w:r>
        <w:t xml:space="preserve"> impaired subjects compared to healthy matched subjects, with maximum increases of 16% and 15%, respectively.</w:t>
      </w:r>
    </w:p>
    <w:p w14:paraId="22E9069C" w14:textId="77777777" w:rsidR="00174558" w:rsidRDefault="00174558" w:rsidP="00B64D8B">
      <w:pPr>
        <w:pStyle w:val="ListBullet2"/>
      </w:pPr>
      <w:r>
        <w:t>Severe renal i</w:t>
      </w:r>
      <w:r w:rsidR="00C023EB">
        <w:t xml:space="preserve">mpairment had little effect on </w:t>
      </w:r>
      <w:proofErr w:type="spellStart"/>
      <w:r w:rsidR="00C023EB">
        <w:t>s</w:t>
      </w:r>
      <w:r>
        <w:t>iponimod</w:t>
      </w:r>
      <w:proofErr w:type="spellEnd"/>
      <w:r>
        <w:t xml:space="preserve"> </w:t>
      </w:r>
      <w:proofErr w:type="spellStart"/>
      <w:r>
        <w:t>C</w:t>
      </w:r>
      <w:r w:rsidRPr="00B13060">
        <w:rPr>
          <w:vertAlign w:val="subscript"/>
        </w:rPr>
        <w:t>max</w:t>
      </w:r>
      <w:proofErr w:type="spellEnd"/>
      <w:r>
        <w:t xml:space="preserve"> and AUC, with slightly lower </w:t>
      </w:r>
      <w:proofErr w:type="spellStart"/>
      <w:r>
        <w:t>C</w:t>
      </w:r>
      <w:r w:rsidRPr="00B13060">
        <w:rPr>
          <w:vertAlign w:val="subscript"/>
        </w:rPr>
        <w:t>max</w:t>
      </w:r>
      <w:proofErr w:type="spellEnd"/>
      <w:r w:rsidR="00B13060">
        <w:t xml:space="preserve"> (8%) and a 23 to 24% increase in AUC</w:t>
      </w:r>
      <w:r>
        <w:t xml:space="preserve"> compared to healthy matched subjects.</w:t>
      </w:r>
    </w:p>
    <w:p w14:paraId="60AF5B8C" w14:textId="77777777" w:rsidR="00174558" w:rsidRDefault="00B13060" w:rsidP="00B64D8B">
      <w:pPr>
        <w:pStyle w:val="ListBullet2"/>
      </w:pPr>
      <w:proofErr w:type="spellStart"/>
      <w:r>
        <w:t>Siponimod</w:t>
      </w:r>
      <w:proofErr w:type="spellEnd"/>
      <w:r>
        <w:t xml:space="preserve"> AUC</w:t>
      </w:r>
      <w:r w:rsidRPr="00B13060">
        <w:rPr>
          <w:vertAlign w:val="subscript"/>
        </w:rPr>
        <w:t>∞</w:t>
      </w:r>
      <w:r w:rsidR="00174558">
        <w:t xml:space="preserve"> and </w:t>
      </w:r>
      <w:proofErr w:type="spellStart"/>
      <w:r w:rsidR="00174558">
        <w:t>AUC</w:t>
      </w:r>
      <w:r w:rsidR="00174558" w:rsidRPr="00B13060">
        <w:rPr>
          <w:vertAlign w:val="subscript"/>
        </w:rPr>
        <w:t>last</w:t>
      </w:r>
      <w:proofErr w:type="spellEnd"/>
      <w:r>
        <w:t xml:space="preserve"> were approximately 2 and 4 </w:t>
      </w:r>
      <w:r w:rsidR="00174558">
        <w:t xml:space="preserve">fold higher, whereas, </w:t>
      </w:r>
      <w:proofErr w:type="spellStart"/>
      <w:r w:rsidR="00174558">
        <w:t>C</w:t>
      </w:r>
      <w:r w:rsidR="00174558" w:rsidRPr="00B13060">
        <w:rPr>
          <w:vertAlign w:val="subscript"/>
        </w:rPr>
        <w:t>max</w:t>
      </w:r>
      <w:proofErr w:type="spellEnd"/>
      <w:r w:rsidR="00174558">
        <w:t xml:space="preserve"> was only 21% and 16% greater in subjects with the CYP2C9*2/*3 and CYP2C9*3/*3 genotype respectively, compared to subjects with the wild type CYP2C9*1/*1 genotype.</w:t>
      </w:r>
    </w:p>
    <w:p w14:paraId="4257F1A3" w14:textId="3CC1B2F4" w:rsidR="00174558" w:rsidRDefault="00174558" w:rsidP="00B64D8B">
      <w:pPr>
        <w:pStyle w:val="ListBullet2"/>
      </w:pPr>
      <w:r>
        <w:t>In healthy Japanese ma</w:t>
      </w:r>
      <w:r w:rsidR="00B13060">
        <w:t xml:space="preserve">les, as in healthy Caucasians, </w:t>
      </w:r>
      <w:proofErr w:type="spellStart"/>
      <w:r w:rsidR="00B13060">
        <w:t>s</w:t>
      </w:r>
      <w:r>
        <w:t>iponimod</w:t>
      </w:r>
      <w:proofErr w:type="spellEnd"/>
      <w:r>
        <w:t xml:space="preserve"> </w:t>
      </w:r>
      <w:proofErr w:type="spellStart"/>
      <w:r>
        <w:t>T</w:t>
      </w:r>
      <w:r w:rsidRPr="00B13060">
        <w:rPr>
          <w:vertAlign w:val="subscript"/>
        </w:rPr>
        <w:t>max</w:t>
      </w:r>
      <w:proofErr w:type="spellEnd"/>
      <w:r>
        <w:t xml:space="preserve"> occurred at 4</w:t>
      </w:r>
      <w:r w:rsidR="00C51B51">
        <w:t> </w:t>
      </w:r>
      <w:r>
        <w:t>h</w:t>
      </w:r>
      <w:r w:rsidR="00B13060">
        <w:t>ours post</w:t>
      </w:r>
      <w:r>
        <w:t xml:space="preserve"> dose. In addition, dose proportionality was demonstrated over a dose range of 0.5 to 10 mg, for AUC</w:t>
      </w:r>
      <w:r w:rsidRPr="00B13060">
        <w:rPr>
          <w:vertAlign w:val="subscript"/>
        </w:rPr>
        <w:t>0-24h</w:t>
      </w:r>
      <w:r>
        <w:t xml:space="preserve">, whereas, although the slope estimates were close to 1.0, it was not shown for </w:t>
      </w:r>
      <w:proofErr w:type="spellStart"/>
      <w:r>
        <w:t>C</w:t>
      </w:r>
      <w:r w:rsidRPr="00B13060">
        <w:rPr>
          <w:vertAlign w:val="subscript"/>
        </w:rPr>
        <w:t>max</w:t>
      </w:r>
      <w:proofErr w:type="spellEnd"/>
      <w:r>
        <w:t xml:space="preserve">, </w:t>
      </w:r>
      <w:proofErr w:type="spellStart"/>
      <w:r>
        <w:t>AUC</w:t>
      </w:r>
      <w:r w:rsidRPr="00B13060">
        <w:rPr>
          <w:vertAlign w:val="subscript"/>
        </w:rPr>
        <w:t>last</w:t>
      </w:r>
      <w:proofErr w:type="spellEnd"/>
      <w:r w:rsidR="00B13060">
        <w:t xml:space="preserve"> and AUC</w:t>
      </w:r>
      <w:r w:rsidR="00B13060" w:rsidRPr="00B13060">
        <w:rPr>
          <w:vertAlign w:val="subscript"/>
        </w:rPr>
        <w:t>∞</w:t>
      </w:r>
      <w:r w:rsidR="00B13060">
        <w:t xml:space="preserve">. Moreover, population </w:t>
      </w:r>
      <w:r>
        <w:t>PK analysis indicated that ethnicity was n</w:t>
      </w:r>
      <w:r w:rsidR="00B13060">
        <w:t xml:space="preserve">ot a significant covariate for </w:t>
      </w:r>
      <w:proofErr w:type="spellStart"/>
      <w:r w:rsidR="00B13060">
        <w:t>siponimod</w:t>
      </w:r>
      <w:proofErr w:type="spellEnd"/>
      <w:r w:rsidR="00B13060">
        <w:t xml:space="preserve"> PK</w:t>
      </w:r>
      <w:r>
        <w:t>.</w:t>
      </w:r>
    </w:p>
    <w:p w14:paraId="42DDC3A5" w14:textId="77777777" w:rsidR="00174558" w:rsidRDefault="00174558" w:rsidP="00B64D8B">
      <w:pPr>
        <w:pStyle w:val="ListBullet"/>
      </w:pPr>
      <w:r>
        <w:t>Drug-drug interaction (DDI) assessments revealed that:</w:t>
      </w:r>
    </w:p>
    <w:p w14:paraId="50A76B14" w14:textId="7108D442" w:rsidR="00174558" w:rsidRPr="00B64D8B" w:rsidRDefault="00174558" w:rsidP="00B64D8B">
      <w:pPr>
        <w:pStyle w:val="ListBullet2"/>
      </w:pPr>
      <w:r w:rsidRPr="00B64D8B">
        <w:t xml:space="preserve">In healthy subjects with CYP2C9*1*2 and *1*3 genotypes, </w:t>
      </w:r>
      <w:proofErr w:type="spellStart"/>
      <w:r w:rsidRPr="00B64D8B">
        <w:t>itraconazole</w:t>
      </w:r>
      <w:proofErr w:type="spellEnd"/>
      <w:r w:rsidRPr="00B64D8B">
        <w:t xml:space="preserve"> 100 mg </w:t>
      </w:r>
      <w:r w:rsidR="00B64D8B">
        <w:rPr>
          <w:rFonts w:asciiTheme="minorHAnsi" w:hAnsiTheme="minorHAnsi"/>
        </w:rPr>
        <w:t xml:space="preserve">twice </w:t>
      </w:r>
      <w:r w:rsidR="00B64D8B" w:rsidRPr="007901B9">
        <w:rPr>
          <w:rFonts w:asciiTheme="minorHAnsi" w:hAnsiTheme="minorHAnsi"/>
        </w:rPr>
        <w:t>daily</w:t>
      </w:r>
      <w:r w:rsidR="00B64D8B" w:rsidRPr="00B64D8B">
        <w:t xml:space="preserve"> </w:t>
      </w:r>
      <w:r w:rsidR="00B64D8B">
        <w:t>(</w:t>
      </w:r>
      <w:r w:rsidRPr="00B64D8B">
        <w:t>BID</w:t>
      </w:r>
      <w:r w:rsidR="00B64D8B">
        <w:t>)</w:t>
      </w:r>
      <w:r w:rsidR="00C023EB">
        <w:t xml:space="preserve"> had no effect on </w:t>
      </w:r>
      <w:proofErr w:type="spellStart"/>
      <w:r w:rsidR="00C023EB">
        <w:t>s</w:t>
      </w:r>
      <w:r w:rsidRPr="00B64D8B">
        <w:t>iponimod</w:t>
      </w:r>
      <w:proofErr w:type="spellEnd"/>
      <w:r w:rsidRPr="00B64D8B">
        <w:t xml:space="preserve"> </w:t>
      </w:r>
      <w:proofErr w:type="spellStart"/>
      <w:r w:rsidRPr="00B64D8B">
        <w:t>C</w:t>
      </w:r>
      <w:r w:rsidRPr="00B64D8B">
        <w:rPr>
          <w:vertAlign w:val="subscript"/>
        </w:rPr>
        <w:t>max</w:t>
      </w:r>
      <w:proofErr w:type="spellEnd"/>
      <w:r w:rsidRPr="00B64D8B">
        <w:t xml:space="preserve"> in either CYP2C9 genotype, whereas, co-administration resulted in relat</w:t>
      </w:r>
      <w:r w:rsidR="00B64D8B">
        <w:t xml:space="preserve">ively small decreases, 10% and </w:t>
      </w:r>
      <w:r w:rsidRPr="00B64D8B">
        <w:t>24%,</w:t>
      </w:r>
      <w:r w:rsidR="00B64D8B">
        <w:t xml:space="preserve"> regarding </w:t>
      </w:r>
      <w:proofErr w:type="spellStart"/>
      <w:r w:rsidR="00B64D8B">
        <w:t>s</w:t>
      </w:r>
      <w:r w:rsidRPr="00B64D8B">
        <w:t>iponimod</w:t>
      </w:r>
      <w:proofErr w:type="spellEnd"/>
      <w:r w:rsidRPr="00B64D8B">
        <w:t xml:space="preserve"> AUC in subjects with the *1*2 and *1*3 genotypes, respectively.</w:t>
      </w:r>
    </w:p>
    <w:p w14:paraId="41C3CBD0" w14:textId="6DF3F593" w:rsidR="00174558" w:rsidRDefault="00174558" w:rsidP="00B64D8B">
      <w:pPr>
        <w:pStyle w:val="ListBullet2"/>
      </w:pPr>
      <w:r>
        <w:t xml:space="preserve">Co-administration of </w:t>
      </w:r>
      <w:proofErr w:type="spellStart"/>
      <w:r>
        <w:t>rifampin</w:t>
      </w:r>
      <w:proofErr w:type="spellEnd"/>
      <w:r>
        <w:t xml:space="preserve"> significantly decreased exposure to </w:t>
      </w:r>
      <w:proofErr w:type="spellStart"/>
      <w:r>
        <w:t>siponimod</w:t>
      </w:r>
      <w:proofErr w:type="spellEnd"/>
      <w:r>
        <w:t xml:space="preserve"> with </w:t>
      </w:r>
      <w:r w:rsidR="00B64D8B">
        <w:rPr>
          <w:rFonts w:asciiTheme="minorHAnsi" w:hAnsiTheme="minorHAnsi"/>
        </w:rPr>
        <w:t>g</w:t>
      </w:r>
      <w:r w:rsidR="00B64D8B" w:rsidRPr="007901B9">
        <w:rPr>
          <w:rFonts w:asciiTheme="minorHAnsi" w:hAnsiTheme="minorHAnsi"/>
        </w:rPr>
        <w:t>eometric mean ratio</w:t>
      </w:r>
      <w:r w:rsidR="00B64D8B">
        <w:rPr>
          <w:rFonts w:asciiTheme="minorHAnsi" w:hAnsiTheme="minorHAnsi"/>
        </w:rPr>
        <w:t>s</w:t>
      </w:r>
      <w:r w:rsidR="00B64D8B">
        <w:t xml:space="preserve"> (</w:t>
      </w:r>
      <w:r>
        <w:t>GMR</w:t>
      </w:r>
      <w:r w:rsidR="00B64D8B">
        <w:t xml:space="preserve">) for </w:t>
      </w:r>
      <w:proofErr w:type="spellStart"/>
      <w:r w:rsidR="00B64D8B">
        <w:t>s</w:t>
      </w:r>
      <w:r>
        <w:t>ipon</w:t>
      </w:r>
      <w:r w:rsidR="00B64D8B">
        <w:t>imod</w:t>
      </w:r>
      <w:proofErr w:type="spellEnd"/>
      <w:r w:rsidR="00B64D8B">
        <w:t xml:space="preserve"> m</w:t>
      </w:r>
      <w:r w:rsidR="00B64D8B" w:rsidRPr="00B64D8B">
        <w:t xml:space="preserve">aximum steady state plasma concentration </w:t>
      </w:r>
      <w:r w:rsidR="00B64D8B">
        <w:t>(</w:t>
      </w:r>
      <w:proofErr w:type="spellStart"/>
      <w:r w:rsidR="00B64D8B">
        <w:t>C</w:t>
      </w:r>
      <w:r w:rsidR="00B64D8B" w:rsidRPr="00B64D8B">
        <w:rPr>
          <w:vertAlign w:val="subscript"/>
        </w:rPr>
        <w:t>max,ss</w:t>
      </w:r>
      <w:proofErr w:type="spellEnd"/>
      <w:r w:rsidR="00B64D8B">
        <w:t xml:space="preserve">) and </w:t>
      </w:r>
      <w:r w:rsidR="00B64D8B">
        <w:rPr>
          <w:rFonts w:asciiTheme="minorHAnsi" w:eastAsiaTheme="minorHAnsi" w:hAnsiTheme="minorHAnsi" w:cs="Arial"/>
        </w:rPr>
        <w:t>steady state a</w:t>
      </w:r>
      <w:r w:rsidR="00B64D8B" w:rsidRPr="007901B9">
        <w:rPr>
          <w:rFonts w:asciiTheme="minorHAnsi" w:eastAsiaTheme="minorHAnsi" w:hAnsiTheme="minorHAnsi" w:cs="Arial"/>
        </w:rPr>
        <w:t xml:space="preserve">rea under the </w:t>
      </w:r>
      <w:r w:rsidR="00B64D8B">
        <w:rPr>
          <w:rFonts w:asciiTheme="minorHAnsi" w:eastAsiaTheme="minorHAnsi" w:hAnsiTheme="minorHAnsi" w:cs="Arial"/>
        </w:rPr>
        <w:t xml:space="preserve">plasma concentration-time </w:t>
      </w:r>
      <w:r w:rsidR="00B64D8B" w:rsidRPr="007901B9">
        <w:rPr>
          <w:rFonts w:asciiTheme="minorHAnsi" w:eastAsiaTheme="minorHAnsi" w:hAnsiTheme="minorHAnsi" w:cs="Arial"/>
        </w:rPr>
        <w:t>curve</w:t>
      </w:r>
      <w:r w:rsidR="00B64D8B">
        <w:t xml:space="preserve"> (</w:t>
      </w:r>
      <w:proofErr w:type="spellStart"/>
      <w:r w:rsidR="00B64D8B">
        <w:t>AUC</w:t>
      </w:r>
      <w:r w:rsidR="00B64D8B" w:rsidRPr="00B64D8B">
        <w:rPr>
          <w:vertAlign w:val="subscript"/>
        </w:rPr>
        <w:t>ss</w:t>
      </w:r>
      <w:proofErr w:type="spellEnd"/>
      <w:r w:rsidR="00B64D8B">
        <w:t xml:space="preserve">) of 0.55 </w:t>
      </w:r>
      <w:r>
        <w:t>and 0.43, respectively.</w:t>
      </w:r>
    </w:p>
    <w:p w14:paraId="0F6EB379" w14:textId="77777777" w:rsidR="00174558" w:rsidRDefault="00174558" w:rsidP="00B64D8B">
      <w:pPr>
        <w:pStyle w:val="ListBullet2"/>
      </w:pPr>
      <w:r>
        <w:t>There was no apparent d</w:t>
      </w:r>
      <w:r w:rsidR="00B64D8B">
        <w:t xml:space="preserve">ifference in mean steady-state </w:t>
      </w:r>
      <w:proofErr w:type="spellStart"/>
      <w:r w:rsidR="00B64D8B">
        <w:t>s</w:t>
      </w:r>
      <w:r>
        <w:t>iponimod</w:t>
      </w:r>
      <w:proofErr w:type="spellEnd"/>
      <w:r>
        <w:t xml:space="preserve"> concentrations between smokers and non-smokers across all the GMR CYP2C9 genotypes.</w:t>
      </w:r>
    </w:p>
    <w:p w14:paraId="24E7D252" w14:textId="77777777" w:rsidR="00174558" w:rsidRDefault="00174558" w:rsidP="00B64D8B">
      <w:pPr>
        <w:pStyle w:val="ListBullet2"/>
      </w:pPr>
      <w:r>
        <w:t>Co-administration with flucon</w:t>
      </w:r>
      <w:r w:rsidR="00B64D8B">
        <w:t xml:space="preserve">azole led to an approximately 2 fold increase in </w:t>
      </w:r>
      <w:proofErr w:type="spellStart"/>
      <w:r w:rsidR="00B64D8B">
        <w:t>s</w:t>
      </w:r>
      <w:r>
        <w:t>iponimod</w:t>
      </w:r>
      <w:proofErr w:type="spellEnd"/>
      <w:r>
        <w:t xml:space="preserve"> </w:t>
      </w:r>
      <w:proofErr w:type="spellStart"/>
      <w:r>
        <w:t>AUC</w:t>
      </w:r>
      <w:r w:rsidRPr="00B64D8B">
        <w:rPr>
          <w:vertAlign w:val="subscript"/>
        </w:rPr>
        <w:t>las</w:t>
      </w:r>
      <w:r w:rsidR="00B64D8B" w:rsidRPr="00767EF1">
        <w:rPr>
          <w:vertAlign w:val="subscript"/>
        </w:rPr>
        <w:t>t</w:t>
      </w:r>
      <w:proofErr w:type="spellEnd"/>
      <w:r w:rsidR="00B64D8B">
        <w:t xml:space="preserve"> and AUC</w:t>
      </w:r>
      <w:r w:rsidR="00B64D8B" w:rsidRPr="00B64D8B">
        <w:rPr>
          <w:vertAlign w:val="subscript"/>
        </w:rPr>
        <w:t>∞</w:t>
      </w:r>
      <w:r>
        <w:t>. Moreover, t</w:t>
      </w:r>
      <w:r w:rsidRPr="00B64D8B">
        <w:rPr>
          <w:vertAlign w:val="subscript"/>
        </w:rPr>
        <w:t>1/2</w:t>
      </w:r>
      <w:r>
        <w:t xml:space="preserve"> was increased by 50% and </w:t>
      </w:r>
      <w:proofErr w:type="spellStart"/>
      <w:r>
        <w:t>C</w:t>
      </w:r>
      <w:r w:rsidRPr="00B64D8B">
        <w:rPr>
          <w:vertAlign w:val="subscript"/>
        </w:rPr>
        <w:t>max</w:t>
      </w:r>
      <w:proofErr w:type="spellEnd"/>
      <w:r>
        <w:t xml:space="preserve"> by 10%.</w:t>
      </w:r>
    </w:p>
    <w:p w14:paraId="6C7C5174" w14:textId="77777777" w:rsidR="00174558" w:rsidRDefault="00B64D8B" w:rsidP="00B64D8B">
      <w:pPr>
        <w:pStyle w:val="ListBullet2"/>
      </w:pPr>
      <w:r>
        <w:t xml:space="preserve">Co-administration of </w:t>
      </w:r>
      <w:proofErr w:type="spellStart"/>
      <w:r>
        <w:t>s</w:t>
      </w:r>
      <w:r w:rsidR="00174558">
        <w:t>i</w:t>
      </w:r>
      <w:r>
        <w:t>ponimod</w:t>
      </w:r>
      <w:proofErr w:type="spellEnd"/>
      <w:r>
        <w:t xml:space="preserve"> had no effect on the PK</w:t>
      </w:r>
      <w:r w:rsidR="00174558">
        <w:t xml:space="preserve"> of </w:t>
      </w:r>
      <w:proofErr w:type="spellStart"/>
      <w:r>
        <w:rPr>
          <w:rFonts w:asciiTheme="minorHAnsi" w:hAnsiTheme="minorHAnsi" w:cs="Arial"/>
          <w:bCs/>
        </w:rPr>
        <w:t>e</w:t>
      </w:r>
      <w:r w:rsidRPr="007901B9">
        <w:rPr>
          <w:rFonts w:asciiTheme="minorHAnsi" w:hAnsiTheme="minorHAnsi" w:cs="Arial"/>
          <w:bCs/>
        </w:rPr>
        <w:t>thinylestradiol</w:t>
      </w:r>
      <w:proofErr w:type="spellEnd"/>
      <w:r w:rsidR="00174558">
        <w:t xml:space="preserve">, whereas, the </w:t>
      </w:r>
      <w:r>
        <w:t xml:space="preserve">steady state </w:t>
      </w:r>
      <w:r w:rsidRPr="00B64D8B">
        <w:t xml:space="preserve">area under the concentration-time curve over a uniform dosing interval tau </w:t>
      </w:r>
      <w:r>
        <w:t>(</w:t>
      </w:r>
      <w:proofErr w:type="spellStart"/>
      <w:r w:rsidR="00174558">
        <w:t>AUC</w:t>
      </w:r>
      <w:r w:rsidR="00174558" w:rsidRPr="00B64D8B">
        <w:rPr>
          <w:vertAlign w:val="subscript"/>
        </w:rPr>
        <w:t>tau,ss</w:t>
      </w:r>
      <w:proofErr w:type="spellEnd"/>
      <w:r w:rsidR="00174558" w:rsidRPr="00B64D8B">
        <w:rPr>
          <w:vertAlign w:val="subscript"/>
        </w:rPr>
        <w:t xml:space="preserve"> </w:t>
      </w:r>
      <w:r>
        <w:t xml:space="preserve">) </w:t>
      </w:r>
      <w:r w:rsidR="00174558">
        <w:t xml:space="preserve">and </w:t>
      </w:r>
      <w:proofErr w:type="spellStart"/>
      <w:r w:rsidR="00174558">
        <w:t>C</w:t>
      </w:r>
      <w:r w:rsidR="00174558" w:rsidRPr="00B64D8B">
        <w:rPr>
          <w:vertAlign w:val="subscript"/>
        </w:rPr>
        <w:t>max,ss</w:t>
      </w:r>
      <w:proofErr w:type="spellEnd"/>
      <w:r w:rsidR="00174558">
        <w:t xml:space="preserve"> values for </w:t>
      </w:r>
      <w:proofErr w:type="spellStart"/>
      <w:r>
        <w:rPr>
          <w:rFonts w:asciiTheme="minorHAnsi" w:hAnsiTheme="minorHAnsi" w:cs="Arial"/>
          <w:bCs/>
        </w:rPr>
        <w:t>l</w:t>
      </w:r>
      <w:r w:rsidRPr="007901B9">
        <w:rPr>
          <w:rFonts w:asciiTheme="minorHAnsi" w:hAnsiTheme="minorHAnsi" w:cs="Arial"/>
          <w:bCs/>
        </w:rPr>
        <w:t>evonorgestrel</w:t>
      </w:r>
      <w:proofErr w:type="spellEnd"/>
      <w:r w:rsidR="00174558">
        <w:t xml:space="preserve"> were increased by 28% and 18%, respectively.</w:t>
      </w:r>
    </w:p>
    <w:p w14:paraId="784DBBC9" w14:textId="017CB4BB" w:rsidR="00174558" w:rsidRDefault="00B64D8B" w:rsidP="00B64D8B">
      <w:pPr>
        <w:pStyle w:val="ListBullet2"/>
      </w:pPr>
      <w:r>
        <w:t xml:space="preserve">Co-administration of </w:t>
      </w:r>
      <w:proofErr w:type="spellStart"/>
      <w:r>
        <w:t>s</w:t>
      </w:r>
      <w:r w:rsidR="00174558">
        <w:t>iponimod</w:t>
      </w:r>
      <w:proofErr w:type="spellEnd"/>
      <w:r w:rsidR="00174558">
        <w:t xml:space="preserve"> and propranolol resulted in a decrease in </w:t>
      </w:r>
      <w:proofErr w:type="spellStart"/>
      <w:r w:rsidR="00C51B51">
        <w:t>siponimod</w:t>
      </w:r>
      <w:proofErr w:type="spellEnd"/>
      <w:r w:rsidR="00C51B51">
        <w:t xml:space="preserve"> </w:t>
      </w:r>
      <w:proofErr w:type="spellStart"/>
      <w:r w:rsidR="00174558">
        <w:t>AUC</w:t>
      </w:r>
      <w:r w:rsidR="00174558" w:rsidRPr="00B64D8B">
        <w:rPr>
          <w:vertAlign w:val="subscript"/>
        </w:rPr>
        <w:t>tau,ss</w:t>
      </w:r>
      <w:proofErr w:type="spellEnd"/>
      <w:r w:rsidR="00174558" w:rsidRPr="00B64D8B">
        <w:rPr>
          <w:vertAlign w:val="subscript"/>
        </w:rPr>
        <w:t xml:space="preserve"> </w:t>
      </w:r>
      <w:r w:rsidR="00174558">
        <w:t xml:space="preserve">and </w:t>
      </w:r>
      <w:proofErr w:type="spellStart"/>
      <w:r w:rsidR="00174558">
        <w:t>C</w:t>
      </w:r>
      <w:r w:rsidR="00174558" w:rsidRPr="00B64D8B">
        <w:rPr>
          <w:vertAlign w:val="subscript"/>
        </w:rPr>
        <w:t>max,ss</w:t>
      </w:r>
      <w:proofErr w:type="spellEnd"/>
      <w:r w:rsidR="00174558" w:rsidRPr="00B64D8B">
        <w:rPr>
          <w:vertAlign w:val="subscript"/>
        </w:rPr>
        <w:t xml:space="preserve"> </w:t>
      </w:r>
      <w:r w:rsidR="00174558">
        <w:t xml:space="preserve">by approximately 7% and a decrease in propranolol </w:t>
      </w:r>
      <w:proofErr w:type="spellStart"/>
      <w:r w:rsidR="00174558">
        <w:t>AUC</w:t>
      </w:r>
      <w:r w:rsidR="00174558" w:rsidRPr="00B64D8B">
        <w:rPr>
          <w:vertAlign w:val="subscript"/>
        </w:rPr>
        <w:t>tau,ss</w:t>
      </w:r>
      <w:proofErr w:type="spellEnd"/>
      <w:r w:rsidR="00174558" w:rsidRPr="00B64D8B">
        <w:rPr>
          <w:vertAlign w:val="subscript"/>
        </w:rPr>
        <w:t xml:space="preserve"> </w:t>
      </w:r>
      <w:r w:rsidR="00174558">
        <w:t xml:space="preserve">and </w:t>
      </w:r>
      <w:proofErr w:type="spellStart"/>
      <w:r w:rsidR="00174558">
        <w:t>C</w:t>
      </w:r>
      <w:r w:rsidR="00174558" w:rsidRPr="00B64D8B">
        <w:rPr>
          <w:vertAlign w:val="subscript"/>
        </w:rPr>
        <w:t>max,ss</w:t>
      </w:r>
      <w:proofErr w:type="spellEnd"/>
      <w:r w:rsidR="00174558" w:rsidRPr="00B64D8B">
        <w:rPr>
          <w:vertAlign w:val="subscript"/>
        </w:rPr>
        <w:t xml:space="preserve"> </w:t>
      </w:r>
      <w:r w:rsidR="00174558">
        <w:t>of approximately 18% and 15% respectively.</w:t>
      </w:r>
    </w:p>
    <w:p w14:paraId="5929F68B" w14:textId="77777777" w:rsidR="00174558" w:rsidRDefault="00174558" w:rsidP="00F97303">
      <w:pPr>
        <w:pStyle w:val="ListBullet"/>
      </w:pPr>
      <w:r>
        <w:t xml:space="preserve">Overall, the proposed PI appears to accurately </w:t>
      </w:r>
      <w:r w:rsidR="00B64D8B">
        <w:t xml:space="preserve">reflect the PK data related to </w:t>
      </w:r>
      <w:proofErr w:type="spellStart"/>
      <w:r w:rsidR="00B64D8B">
        <w:t>s</w:t>
      </w:r>
      <w:r>
        <w:t>iponimod</w:t>
      </w:r>
      <w:proofErr w:type="spellEnd"/>
      <w:r>
        <w:t>.</w:t>
      </w:r>
    </w:p>
    <w:p w14:paraId="39E41B52" w14:textId="1FCF1C6D" w:rsidR="00174558" w:rsidRDefault="00B64D8B" w:rsidP="00B64D8B">
      <w:pPr>
        <w:pStyle w:val="Heading5"/>
      </w:pPr>
      <w:r>
        <w:t xml:space="preserve">Assessment of population </w:t>
      </w:r>
      <w:r w:rsidR="00C51B51">
        <w:t>pharmacokinetics</w:t>
      </w:r>
    </w:p>
    <w:p w14:paraId="7EF8F70C" w14:textId="2E612865" w:rsidR="00B64D8B" w:rsidRDefault="00C51B51" w:rsidP="00235CDE">
      <w:r>
        <w:t>The c</w:t>
      </w:r>
      <w:r w:rsidR="00B64D8B">
        <w:t>linical evaluator’s assessment of population PK</w:t>
      </w:r>
      <w:r>
        <w:t xml:space="preserve"> follows</w:t>
      </w:r>
      <w:r w:rsidR="00B64D8B">
        <w:t>:</w:t>
      </w:r>
    </w:p>
    <w:p w14:paraId="302A7488" w14:textId="77777777" w:rsidR="00174558" w:rsidRDefault="00174558" w:rsidP="00F97303">
      <w:pPr>
        <w:pStyle w:val="ListBullet"/>
      </w:pPr>
      <w:r>
        <w:t>Pop</w:t>
      </w:r>
      <w:r w:rsidR="00B64D8B">
        <w:t xml:space="preserve">ulation PK analyses indicated that </w:t>
      </w:r>
      <w:proofErr w:type="spellStart"/>
      <w:r w:rsidR="00B64D8B">
        <w:t>siponimod</w:t>
      </w:r>
      <w:proofErr w:type="spellEnd"/>
      <w:r w:rsidR="00B64D8B">
        <w:t xml:space="preserve"> PK</w:t>
      </w:r>
      <w:r>
        <w:t xml:space="preserve"> in healthy subjects and subjects with</w:t>
      </w:r>
      <w:r w:rsidR="00B64D8B">
        <w:t xml:space="preserve"> MS could be described by a two </w:t>
      </w:r>
      <w:r>
        <w:t>compartme</w:t>
      </w:r>
      <w:r w:rsidR="00B64D8B">
        <w:t xml:space="preserve">nt disposition model with first </w:t>
      </w:r>
      <w:r>
        <w:t>or</w:t>
      </w:r>
      <w:r w:rsidR="00B64D8B">
        <w:t xml:space="preserve">der elimination and mixed zero and first </w:t>
      </w:r>
      <w:r>
        <w:t>order absorption. For the tar</w:t>
      </w:r>
      <w:r w:rsidR="00B64D8B">
        <w:t xml:space="preserve">get population, population </w:t>
      </w:r>
      <w:r>
        <w:t xml:space="preserve">PK analysis indicated that there </w:t>
      </w:r>
      <w:r w:rsidR="00B64D8B">
        <w:t xml:space="preserve">was little difference in the PK of </w:t>
      </w:r>
      <w:proofErr w:type="spellStart"/>
      <w:r w:rsidR="00B64D8B">
        <w:t>s</w:t>
      </w:r>
      <w:r>
        <w:t>iponimod</w:t>
      </w:r>
      <w:proofErr w:type="spellEnd"/>
      <w:r>
        <w:t xml:space="preserve"> in healthy subjects and patients with MS.</w:t>
      </w:r>
    </w:p>
    <w:p w14:paraId="67C551E8" w14:textId="77777777" w:rsidR="00174558" w:rsidRDefault="00B64D8B" w:rsidP="00F97303">
      <w:pPr>
        <w:pStyle w:val="ListBullet"/>
      </w:pPr>
      <w:r>
        <w:lastRenderedPageBreak/>
        <w:t xml:space="preserve">Estimates for </w:t>
      </w:r>
      <w:proofErr w:type="spellStart"/>
      <w:r>
        <w:t>s</w:t>
      </w:r>
      <w:r w:rsidR="00174558">
        <w:t>iponimod</w:t>
      </w:r>
      <w:proofErr w:type="spellEnd"/>
      <w:r w:rsidR="00174558">
        <w:t xml:space="preserve"> </w:t>
      </w:r>
      <w:r>
        <w:rPr>
          <w:rFonts w:asciiTheme="minorHAnsi" w:eastAsiaTheme="minorHAnsi" w:hAnsiTheme="minorHAnsi" w:cs="Arial"/>
        </w:rPr>
        <w:t>a</w:t>
      </w:r>
      <w:r w:rsidRPr="007901B9">
        <w:rPr>
          <w:rFonts w:asciiTheme="minorHAnsi" w:eastAsiaTheme="minorHAnsi" w:hAnsiTheme="minorHAnsi" w:cs="Arial"/>
        </w:rPr>
        <w:t>pparent oral clearance</w:t>
      </w:r>
      <w:r>
        <w:t xml:space="preserve"> (</w:t>
      </w:r>
      <w:r w:rsidR="00174558">
        <w:t>CL/F</w:t>
      </w:r>
      <w:r>
        <w:t>)</w:t>
      </w:r>
      <w:r w:rsidR="00174558">
        <w:t xml:space="preserve"> and </w:t>
      </w:r>
      <w:r>
        <w:rPr>
          <w:rFonts w:asciiTheme="minorHAnsi" w:eastAsiaTheme="minorHAnsi" w:hAnsiTheme="minorHAnsi" w:cs="Arial"/>
        </w:rPr>
        <w:t>a</w:t>
      </w:r>
      <w:r w:rsidRPr="007901B9">
        <w:rPr>
          <w:rFonts w:asciiTheme="minorHAnsi" w:eastAsiaTheme="minorHAnsi" w:hAnsiTheme="minorHAnsi" w:cs="Arial"/>
        </w:rPr>
        <w:t>pparent volume of central compartment</w:t>
      </w:r>
      <w:r>
        <w:t xml:space="preserve"> (</w:t>
      </w:r>
      <w:proofErr w:type="spellStart"/>
      <w:r w:rsidR="00174558">
        <w:t>Vc</w:t>
      </w:r>
      <w:proofErr w:type="spellEnd"/>
      <w:r w:rsidR="00174558">
        <w:t>/F</w:t>
      </w:r>
      <w:r>
        <w:t>)</w:t>
      </w:r>
      <w:r w:rsidR="00174558">
        <w:t xml:space="preserve"> were 3.11 L/h and 126 L, respectively.</w:t>
      </w:r>
    </w:p>
    <w:p w14:paraId="17E41C95" w14:textId="77777777" w:rsidR="00174558" w:rsidRDefault="00174558" w:rsidP="00F97303">
      <w:pPr>
        <w:pStyle w:val="ListBullet"/>
      </w:pPr>
      <w:r>
        <w:t>As for inter-individual variability (II</w:t>
      </w:r>
      <w:r w:rsidR="00B64D8B">
        <w:t xml:space="preserve">V), a population </w:t>
      </w:r>
      <w:r>
        <w:t>PK analysis wh</w:t>
      </w:r>
      <w:r w:rsidR="00B64D8B">
        <w:t>ich included data from a Phase III</w:t>
      </w:r>
      <w:r>
        <w:t xml:space="preserve"> study, provided IIV estimates for CL/F and </w:t>
      </w:r>
      <w:proofErr w:type="spellStart"/>
      <w:r>
        <w:t>Vc</w:t>
      </w:r>
      <w:proofErr w:type="spellEnd"/>
      <w:r>
        <w:t>/F of 24% and 33% respectively and, a residual error of 0.32.</w:t>
      </w:r>
    </w:p>
    <w:p w14:paraId="252937CD" w14:textId="77777777" w:rsidR="00174558" w:rsidRDefault="00174558" w:rsidP="00F97303">
      <w:pPr>
        <w:pStyle w:val="ListBullet"/>
      </w:pPr>
      <w:r>
        <w:t xml:space="preserve">Of the evaluated covariates, only weight and CYP2C9 genotypes were significant predictors of </w:t>
      </w:r>
      <w:proofErr w:type="spellStart"/>
      <w:r w:rsidR="00B64D8B">
        <w:t>s</w:t>
      </w:r>
      <w:r>
        <w:t>iponimod</w:t>
      </w:r>
      <w:proofErr w:type="spellEnd"/>
      <w:r>
        <w:t xml:space="preserve"> PK. For instance, over the weight range of 40 to 142 kg, </w:t>
      </w:r>
      <w:proofErr w:type="spellStart"/>
      <w:r>
        <w:t>Vc</w:t>
      </w:r>
      <w:proofErr w:type="spellEnd"/>
      <w:r>
        <w:t>/F ranged from 43% lower to 101% higher and CL/F ranged from 35% lower t</w:t>
      </w:r>
      <w:r w:rsidR="00B64D8B">
        <w:t xml:space="preserve">o 69% higher compared to a 70.5 </w:t>
      </w:r>
      <w:r>
        <w:t>kg individual.</w:t>
      </w:r>
    </w:p>
    <w:p w14:paraId="394E8BBD" w14:textId="77777777" w:rsidR="00174558" w:rsidRDefault="00174558" w:rsidP="00F97303">
      <w:pPr>
        <w:pStyle w:val="ListBullet"/>
      </w:pPr>
      <w:r>
        <w:t xml:space="preserve">Compared to CYP2C9 genotypes </w:t>
      </w:r>
      <w:r w:rsidR="00B64D8B">
        <w:t>wild type/wild type (</w:t>
      </w:r>
      <w:r>
        <w:t>WT/WT</w:t>
      </w:r>
      <w:r w:rsidR="00B64D8B">
        <w:t>)</w:t>
      </w:r>
      <w:r>
        <w:t xml:space="preserve"> and WT/*2 in the analysis populat</w:t>
      </w:r>
      <w:r w:rsidR="00B64D8B">
        <w:t xml:space="preserve">ion, </w:t>
      </w:r>
      <w:proofErr w:type="spellStart"/>
      <w:r w:rsidR="00B64D8B">
        <w:t>s</w:t>
      </w:r>
      <w:r>
        <w:t>iponimod</w:t>
      </w:r>
      <w:proofErr w:type="spellEnd"/>
      <w:r>
        <w:t xml:space="preserve"> CL/F was 48% lower (95% </w:t>
      </w:r>
      <w:r w:rsidR="00B64D8B">
        <w:t>confidence interval (</w:t>
      </w:r>
      <w:r>
        <w:t>CI</w:t>
      </w:r>
      <w:r w:rsidR="00B64D8B">
        <w:t>)</w:t>
      </w:r>
      <w:r>
        <w:t xml:space="preserve">: 42% to 53% lower) for CYP2C9 genotype *2/*3, 38% lower (95% CI: 35% to 41% lower) for CYP2C9 genotype WT/*3 and 20% lower (95% CI: 9% to 30% lower) for CYP2C9 genotype *2/*2. </w:t>
      </w:r>
      <w:proofErr w:type="spellStart"/>
      <w:r>
        <w:t>Siponimod</w:t>
      </w:r>
      <w:proofErr w:type="spellEnd"/>
      <w:r>
        <w:t xml:space="preserve"> CL/F for CYP2C9 genotypes WT/WT and WT/*2 were found not to be significantly different.</w:t>
      </w:r>
    </w:p>
    <w:p w14:paraId="1553AA74" w14:textId="77777777" w:rsidR="00B768B2" w:rsidRDefault="00174558" w:rsidP="00F97303">
      <w:pPr>
        <w:pStyle w:val="ListBullet"/>
      </w:pPr>
      <w:r>
        <w:t>There was no evidence that other covariates (gender, age, co-medications affecting CYP2C9 or CYP3A4 enz</w:t>
      </w:r>
      <w:r w:rsidR="00B64D8B">
        <w:t xml:space="preserve">ymes and ethnicity) influenced </w:t>
      </w:r>
      <w:proofErr w:type="spellStart"/>
      <w:r w:rsidR="00B64D8B">
        <w:t>siponimod</w:t>
      </w:r>
      <w:proofErr w:type="spellEnd"/>
      <w:r w:rsidR="00B64D8B">
        <w:t xml:space="preserve"> PK</w:t>
      </w:r>
      <w:r>
        <w:t>.</w:t>
      </w:r>
    </w:p>
    <w:p w14:paraId="45BEE0FB" w14:textId="7F34F278" w:rsidR="00235CDE" w:rsidRDefault="00B64D8B" w:rsidP="00F97303">
      <w:pPr>
        <w:pStyle w:val="ListBullet"/>
      </w:pPr>
      <w:r>
        <w:t>The Delegate commented that i</w:t>
      </w:r>
      <w:r w:rsidR="00C023EB">
        <w:t>n their</w:t>
      </w:r>
      <w:r w:rsidR="00235CDE">
        <w:t xml:space="preserve"> response to the </w:t>
      </w:r>
      <w:r w:rsidR="00C51B51">
        <w:t>r</w:t>
      </w:r>
      <w:r>
        <w:t xml:space="preserve">isk </w:t>
      </w:r>
      <w:r w:rsidR="00C51B51">
        <w:t>m</w:t>
      </w:r>
      <w:r>
        <w:t xml:space="preserve">anagement </w:t>
      </w:r>
      <w:r w:rsidR="00C51B51">
        <w:t>p</w:t>
      </w:r>
      <w:r>
        <w:t>lan</w:t>
      </w:r>
      <w:r w:rsidR="00235CDE">
        <w:t xml:space="preserve"> </w:t>
      </w:r>
      <w:r w:rsidR="00C023EB">
        <w:t xml:space="preserve">(RMP) </w:t>
      </w:r>
      <w:r>
        <w:t>second round report, the sponsor stated ‘</w:t>
      </w:r>
      <w:r w:rsidR="00235CDE">
        <w:t>Upon EU</w:t>
      </w:r>
      <w:r w:rsidR="00C51B51">
        <w:noBreakHyphen/>
      </w:r>
      <w:r w:rsidR="00235CDE">
        <w:t>RMP approval and availability of education material, Novartis Australia will prepare local material and provide to TGA for revi</w:t>
      </w:r>
      <w:r>
        <w:t>ew and approval prior to launch’</w:t>
      </w:r>
      <w:r w:rsidR="00235CDE">
        <w:t xml:space="preserve">. It is suggested that such educational material specially highlights the possibility of </w:t>
      </w:r>
      <w:proofErr w:type="spellStart"/>
      <w:r w:rsidR="00235CDE">
        <w:t>phenoconversion</w:t>
      </w:r>
      <w:proofErr w:type="spellEnd"/>
      <w:r w:rsidR="00235CDE">
        <w:t xml:space="preserve"> and, the need for monitoring.</w:t>
      </w:r>
    </w:p>
    <w:p w14:paraId="46C9E9E8" w14:textId="77777777" w:rsidR="00235CDE" w:rsidRDefault="00235CDE" w:rsidP="00235CDE">
      <w:pPr>
        <w:pStyle w:val="Heading4"/>
      </w:pPr>
      <w:r w:rsidRPr="009A671E">
        <w:t>Pharmacodynamics</w:t>
      </w:r>
    </w:p>
    <w:p w14:paraId="4B1F3243" w14:textId="77777777" w:rsidR="00235CDE" w:rsidRDefault="00235CDE" w:rsidP="00235CDE">
      <w:r>
        <w:t>Many of the submitted clinical pharmacolo</w:t>
      </w:r>
      <w:r w:rsidR="00B64D8B">
        <w:t xml:space="preserve">gy studies that examined the PD of </w:t>
      </w:r>
      <w:proofErr w:type="spellStart"/>
      <w:r w:rsidR="00B64D8B">
        <w:t>s</w:t>
      </w:r>
      <w:r>
        <w:t>iponimod</w:t>
      </w:r>
      <w:proofErr w:type="spellEnd"/>
      <w:r>
        <w:t xml:space="preserve"> also included PK data; therefore, the following table </w:t>
      </w:r>
      <w:r w:rsidR="00B64D8B">
        <w:t>(</w:t>
      </w:r>
      <w:r w:rsidR="00B64D8B">
        <w:fldChar w:fldCharType="begin"/>
      </w:r>
      <w:r w:rsidR="00B64D8B">
        <w:instrText xml:space="preserve"> REF _Ref25053314 \h </w:instrText>
      </w:r>
      <w:r w:rsidR="00B64D8B">
        <w:fldChar w:fldCharType="separate"/>
      </w:r>
      <w:r w:rsidR="00B64D8B">
        <w:t xml:space="preserve">Table </w:t>
      </w:r>
      <w:r w:rsidR="00B64D8B">
        <w:rPr>
          <w:noProof/>
        </w:rPr>
        <w:t>4</w:t>
      </w:r>
      <w:r w:rsidR="00B64D8B">
        <w:fldChar w:fldCharType="end"/>
      </w:r>
      <w:r w:rsidR="00B64D8B">
        <w:t xml:space="preserve">) </w:t>
      </w:r>
      <w:r>
        <w:t xml:space="preserve">only includes studies not previously summarised in the </w:t>
      </w:r>
      <w:r w:rsidR="00B64D8B">
        <w:t xml:space="preserve">table of </w:t>
      </w:r>
      <w:r>
        <w:t xml:space="preserve">PK </w:t>
      </w:r>
      <w:r w:rsidR="00B64D8B">
        <w:t xml:space="preserve">studies, </w:t>
      </w:r>
      <w:r>
        <w:t>above</w:t>
      </w:r>
      <w:r w:rsidR="00B64D8B">
        <w:t xml:space="preserve"> (</w:t>
      </w:r>
      <w:r w:rsidR="00B64D8B">
        <w:fldChar w:fldCharType="begin"/>
      </w:r>
      <w:r w:rsidR="00B64D8B">
        <w:instrText xml:space="preserve"> REF _Ref25048545 \h </w:instrText>
      </w:r>
      <w:r w:rsidR="00B64D8B">
        <w:fldChar w:fldCharType="separate"/>
      </w:r>
      <w:r w:rsidR="00B64D8B">
        <w:t xml:space="preserve">Table </w:t>
      </w:r>
      <w:r w:rsidR="00B64D8B">
        <w:rPr>
          <w:noProof/>
        </w:rPr>
        <w:t>3</w:t>
      </w:r>
      <w:r w:rsidR="00B64D8B">
        <w:fldChar w:fldCharType="end"/>
      </w:r>
      <w:r w:rsidR="00B64D8B">
        <w:t>)</w:t>
      </w:r>
      <w:r>
        <w:t>.</w:t>
      </w:r>
    </w:p>
    <w:p w14:paraId="06D80B09" w14:textId="77777777" w:rsidR="00235CDE" w:rsidRDefault="00235CDE" w:rsidP="00235CDE">
      <w:pPr>
        <w:pStyle w:val="TableTitle"/>
      </w:pPr>
      <w:bookmarkStart w:id="52" w:name="_Ref25053314"/>
      <w:r>
        <w:t xml:space="preserve">Table </w:t>
      </w:r>
      <w:fldSimple w:instr=" SEQ Table \* ARABIC ">
        <w:r w:rsidR="00C20E52">
          <w:rPr>
            <w:noProof/>
          </w:rPr>
          <w:t>4</w:t>
        </w:r>
      </w:fldSimple>
      <w:bookmarkEnd w:id="52"/>
      <w:r>
        <w:t xml:space="preserve">: Studies containing </w:t>
      </w:r>
      <w:proofErr w:type="spellStart"/>
      <w:r>
        <w:t>pharmacodynamic</w:t>
      </w:r>
      <w:proofErr w:type="spellEnd"/>
      <w:r>
        <w:t xml:space="preserve"> data</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702"/>
        <w:gridCol w:w="1128"/>
        <w:gridCol w:w="3543"/>
      </w:tblGrid>
      <w:tr w:rsidR="00235CDE" w:rsidRPr="00235CDE" w14:paraId="4E47E385" w14:textId="77777777" w:rsidTr="00235CDE">
        <w:trPr>
          <w:cnfStyle w:val="100000000000" w:firstRow="1" w:lastRow="0" w:firstColumn="0" w:lastColumn="0" w:oddVBand="0" w:evenVBand="0" w:oddHBand="0" w:evenHBand="0" w:firstRowFirstColumn="0" w:firstRowLastColumn="0" w:lastRowFirstColumn="0" w:lastRowLastColumn="0"/>
          <w:trHeight w:val="723"/>
        </w:trPr>
        <w:tc>
          <w:tcPr>
            <w:tcW w:w="1818" w:type="dxa"/>
          </w:tcPr>
          <w:p w14:paraId="292C11D1" w14:textId="77777777" w:rsidR="00235CDE" w:rsidRPr="00235CDE" w:rsidRDefault="00235CDE" w:rsidP="00235CDE">
            <w:pPr>
              <w:ind w:left="0" w:right="0"/>
              <w:rPr>
                <w:b w:val="0"/>
                <w:sz w:val="20"/>
                <w:szCs w:val="20"/>
              </w:rPr>
            </w:pPr>
            <w:r w:rsidRPr="00235CDE">
              <w:rPr>
                <w:sz w:val="20"/>
                <w:szCs w:val="20"/>
              </w:rPr>
              <w:t>PD Topic</w:t>
            </w:r>
          </w:p>
        </w:tc>
        <w:tc>
          <w:tcPr>
            <w:tcW w:w="1702" w:type="dxa"/>
          </w:tcPr>
          <w:p w14:paraId="1AB44596" w14:textId="77777777" w:rsidR="00235CDE" w:rsidRPr="00235CDE" w:rsidRDefault="00235CDE" w:rsidP="00235CDE">
            <w:pPr>
              <w:ind w:left="0" w:right="0"/>
              <w:rPr>
                <w:b w:val="0"/>
                <w:sz w:val="20"/>
                <w:szCs w:val="20"/>
              </w:rPr>
            </w:pPr>
            <w:r w:rsidRPr="00235CDE">
              <w:rPr>
                <w:sz w:val="20"/>
                <w:szCs w:val="20"/>
              </w:rPr>
              <w:t>Subtopic</w:t>
            </w:r>
          </w:p>
        </w:tc>
        <w:tc>
          <w:tcPr>
            <w:tcW w:w="1128" w:type="dxa"/>
          </w:tcPr>
          <w:p w14:paraId="10DE49FC" w14:textId="77777777" w:rsidR="00235CDE" w:rsidRPr="00235CDE" w:rsidRDefault="00235CDE" w:rsidP="00235CDE">
            <w:pPr>
              <w:ind w:left="0" w:right="0"/>
              <w:rPr>
                <w:b w:val="0"/>
                <w:sz w:val="20"/>
                <w:szCs w:val="20"/>
              </w:rPr>
            </w:pPr>
            <w:r w:rsidRPr="00235CDE">
              <w:rPr>
                <w:sz w:val="20"/>
                <w:szCs w:val="20"/>
              </w:rPr>
              <w:t>Study ID</w:t>
            </w:r>
          </w:p>
        </w:tc>
        <w:tc>
          <w:tcPr>
            <w:tcW w:w="3543" w:type="dxa"/>
          </w:tcPr>
          <w:p w14:paraId="3AC90EC1" w14:textId="77777777" w:rsidR="00235CDE" w:rsidRPr="00235CDE" w:rsidRDefault="00C745E0" w:rsidP="00235CDE">
            <w:pPr>
              <w:ind w:left="0" w:right="0"/>
              <w:rPr>
                <w:b w:val="0"/>
                <w:sz w:val="20"/>
                <w:szCs w:val="20"/>
              </w:rPr>
            </w:pPr>
            <w:r>
              <w:rPr>
                <w:w w:val="101"/>
                <w:sz w:val="20"/>
                <w:szCs w:val="20"/>
              </w:rPr>
              <w:t>Primary PD aim of the study</w:t>
            </w:r>
          </w:p>
        </w:tc>
      </w:tr>
      <w:tr w:rsidR="00235CDE" w:rsidRPr="00235CDE" w14:paraId="1F9A2B73" w14:textId="77777777" w:rsidTr="00235CDE">
        <w:trPr>
          <w:trHeight w:val="959"/>
        </w:trPr>
        <w:tc>
          <w:tcPr>
            <w:tcW w:w="1818" w:type="dxa"/>
            <w:vMerge w:val="restart"/>
          </w:tcPr>
          <w:p w14:paraId="36F04440" w14:textId="77777777" w:rsidR="00235CDE" w:rsidRPr="00235CDE" w:rsidRDefault="00B64D8B" w:rsidP="00235CDE">
            <w:pPr>
              <w:ind w:left="0" w:right="0"/>
              <w:rPr>
                <w:sz w:val="20"/>
                <w:szCs w:val="20"/>
              </w:rPr>
            </w:pPr>
            <w:r>
              <w:rPr>
                <w:sz w:val="20"/>
                <w:szCs w:val="20"/>
              </w:rPr>
              <w:t>Secondary p</w:t>
            </w:r>
            <w:r w:rsidR="00235CDE" w:rsidRPr="00235CDE">
              <w:rPr>
                <w:sz w:val="20"/>
                <w:szCs w:val="20"/>
              </w:rPr>
              <w:t>harmacology</w:t>
            </w:r>
          </w:p>
        </w:tc>
        <w:tc>
          <w:tcPr>
            <w:tcW w:w="1702" w:type="dxa"/>
            <w:vMerge w:val="restart"/>
          </w:tcPr>
          <w:p w14:paraId="3A772A69" w14:textId="77777777" w:rsidR="00235CDE" w:rsidRPr="00235CDE" w:rsidRDefault="00235CDE" w:rsidP="00235CDE">
            <w:pPr>
              <w:ind w:left="0" w:right="0"/>
              <w:rPr>
                <w:sz w:val="20"/>
                <w:szCs w:val="20"/>
              </w:rPr>
            </w:pPr>
            <w:r w:rsidRPr="00235CDE">
              <w:rPr>
                <w:sz w:val="20"/>
                <w:szCs w:val="20"/>
              </w:rPr>
              <w:t>Chronotropic effects</w:t>
            </w:r>
          </w:p>
        </w:tc>
        <w:tc>
          <w:tcPr>
            <w:tcW w:w="1128" w:type="dxa"/>
          </w:tcPr>
          <w:p w14:paraId="08A2CBD9" w14:textId="77777777" w:rsidR="00235CDE" w:rsidRPr="00235CDE" w:rsidRDefault="00235CDE" w:rsidP="00235CDE">
            <w:pPr>
              <w:ind w:left="0" w:right="0"/>
              <w:rPr>
                <w:sz w:val="20"/>
                <w:szCs w:val="20"/>
              </w:rPr>
            </w:pPr>
            <w:r w:rsidRPr="00235CDE">
              <w:rPr>
                <w:sz w:val="20"/>
                <w:szCs w:val="20"/>
              </w:rPr>
              <w:t>A2110</w:t>
            </w:r>
          </w:p>
        </w:tc>
        <w:tc>
          <w:tcPr>
            <w:tcW w:w="3543" w:type="dxa"/>
          </w:tcPr>
          <w:p w14:paraId="6873052B" w14:textId="77777777" w:rsidR="00235CDE" w:rsidRPr="00235CDE" w:rsidRDefault="00235CDE" w:rsidP="00235CDE">
            <w:pPr>
              <w:ind w:left="0" w:right="0"/>
              <w:rPr>
                <w:sz w:val="20"/>
                <w:szCs w:val="20"/>
              </w:rPr>
            </w:pPr>
            <w:r w:rsidRPr="00235CDE">
              <w:rPr>
                <w:sz w:val="20"/>
                <w:szCs w:val="20"/>
              </w:rPr>
              <w:t>E</w:t>
            </w:r>
            <w:r w:rsidR="00B64D8B">
              <w:rPr>
                <w:sz w:val="20"/>
                <w:szCs w:val="20"/>
              </w:rPr>
              <w:t xml:space="preserve">ffect of </w:t>
            </w:r>
            <w:proofErr w:type="spellStart"/>
            <w:r w:rsidR="00B64D8B">
              <w:rPr>
                <w:sz w:val="20"/>
                <w:szCs w:val="20"/>
              </w:rPr>
              <w:t>siponimod</w:t>
            </w:r>
            <w:proofErr w:type="spellEnd"/>
            <w:r w:rsidR="00B64D8B">
              <w:rPr>
                <w:sz w:val="20"/>
                <w:szCs w:val="20"/>
              </w:rPr>
              <w:t xml:space="preserve"> treatment re</w:t>
            </w:r>
            <w:r w:rsidR="00B64D8B">
              <w:rPr>
                <w:sz w:val="20"/>
                <w:szCs w:val="20"/>
              </w:rPr>
              <w:noBreakHyphen/>
            </w:r>
            <w:r w:rsidRPr="00235CDE">
              <w:rPr>
                <w:sz w:val="20"/>
                <w:szCs w:val="20"/>
              </w:rPr>
              <w:t>initiation on the initial negative chronotropic effect in healthy subjects</w:t>
            </w:r>
          </w:p>
        </w:tc>
      </w:tr>
      <w:tr w:rsidR="00235CDE" w:rsidRPr="00235CDE" w14:paraId="184DA56E" w14:textId="77777777" w:rsidTr="00235CDE">
        <w:trPr>
          <w:trHeight w:val="1199"/>
        </w:trPr>
        <w:tc>
          <w:tcPr>
            <w:tcW w:w="1818" w:type="dxa"/>
            <w:vMerge/>
          </w:tcPr>
          <w:p w14:paraId="788192AC" w14:textId="77777777" w:rsidR="00235CDE" w:rsidRPr="00235CDE" w:rsidRDefault="00235CDE" w:rsidP="00235CDE">
            <w:pPr>
              <w:ind w:left="0" w:right="0"/>
              <w:rPr>
                <w:sz w:val="20"/>
                <w:szCs w:val="20"/>
              </w:rPr>
            </w:pPr>
          </w:p>
        </w:tc>
        <w:tc>
          <w:tcPr>
            <w:tcW w:w="1702" w:type="dxa"/>
            <w:vMerge/>
          </w:tcPr>
          <w:p w14:paraId="1DE4BDA8" w14:textId="77777777" w:rsidR="00235CDE" w:rsidRPr="00235CDE" w:rsidRDefault="00235CDE" w:rsidP="00235CDE">
            <w:pPr>
              <w:ind w:left="0" w:right="0"/>
              <w:rPr>
                <w:sz w:val="20"/>
                <w:szCs w:val="20"/>
              </w:rPr>
            </w:pPr>
          </w:p>
        </w:tc>
        <w:tc>
          <w:tcPr>
            <w:tcW w:w="1128" w:type="dxa"/>
          </w:tcPr>
          <w:p w14:paraId="6B4CA288" w14:textId="77777777" w:rsidR="00235CDE" w:rsidRPr="00235CDE" w:rsidRDefault="00235CDE" w:rsidP="00235CDE">
            <w:pPr>
              <w:ind w:left="0" w:right="0"/>
              <w:rPr>
                <w:sz w:val="20"/>
                <w:szCs w:val="20"/>
              </w:rPr>
            </w:pPr>
            <w:r w:rsidRPr="00235CDE">
              <w:rPr>
                <w:sz w:val="20"/>
                <w:szCs w:val="20"/>
              </w:rPr>
              <w:t>A2107</w:t>
            </w:r>
          </w:p>
        </w:tc>
        <w:tc>
          <w:tcPr>
            <w:tcW w:w="3543" w:type="dxa"/>
          </w:tcPr>
          <w:p w14:paraId="760426B3" w14:textId="77777777" w:rsidR="00235CDE" w:rsidRPr="00235CDE" w:rsidRDefault="00235CDE" w:rsidP="00235CDE">
            <w:pPr>
              <w:ind w:left="0" w:right="0"/>
              <w:rPr>
                <w:sz w:val="20"/>
                <w:szCs w:val="20"/>
              </w:rPr>
            </w:pPr>
            <w:r w:rsidRPr="00235CDE">
              <w:rPr>
                <w:sz w:val="20"/>
                <w:szCs w:val="20"/>
              </w:rPr>
              <w:t xml:space="preserve">Study to </w:t>
            </w:r>
            <w:r w:rsidR="00B64D8B">
              <w:rPr>
                <w:sz w:val="20"/>
                <w:szCs w:val="20"/>
              </w:rPr>
              <w:t xml:space="preserve">investigate two different dose </w:t>
            </w:r>
            <w:r w:rsidRPr="00235CDE">
              <w:rPr>
                <w:sz w:val="20"/>
                <w:szCs w:val="20"/>
              </w:rPr>
              <w:t xml:space="preserve">titration regimens of </w:t>
            </w:r>
            <w:proofErr w:type="spellStart"/>
            <w:r w:rsidRPr="00235CDE">
              <w:rPr>
                <w:sz w:val="20"/>
                <w:szCs w:val="20"/>
              </w:rPr>
              <w:t>siponimod</w:t>
            </w:r>
            <w:proofErr w:type="spellEnd"/>
            <w:r w:rsidRPr="00235CDE">
              <w:rPr>
                <w:sz w:val="20"/>
                <w:szCs w:val="20"/>
              </w:rPr>
              <w:t xml:space="preserve"> on the negative chronotropic effect in healthy subjects</w:t>
            </w:r>
          </w:p>
        </w:tc>
      </w:tr>
      <w:tr w:rsidR="00235CDE" w:rsidRPr="00235CDE" w14:paraId="2A47DA8A" w14:textId="77777777" w:rsidTr="00235CDE">
        <w:trPr>
          <w:trHeight w:val="1199"/>
        </w:trPr>
        <w:tc>
          <w:tcPr>
            <w:tcW w:w="1818" w:type="dxa"/>
            <w:vMerge/>
          </w:tcPr>
          <w:p w14:paraId="75D01EEF" w14:textId="77777777" w:rsidR="00235CDE" w:rsidRPr="00235CDE" w:rsidRDefault="00235CDE" w:rsidP="00235CDE">
            <w:pPr>
              <w:ind w:left="0" w:right="0"/>
              <w:rPr>
                <w:sz w:val="20"/>
                <w:szCs w:val="20"/>
              </w:rPr>
            </w:pPr>
          </w:p>
        </w:tc>
        <w:tc>
          <w:tcPr>
            <w:tcW w:w="1702" w:type="dxa"/>
          </w:tcPr>
          <w:p w14:paraId="4C3FBCF2" w14:textId="77777777" w:rsidR="00235CDE" w:rsidRPr="00235CDE" w:rsidRDefault="00235CDE" w:rsidP="00235CDE">
            <w:pPr>
              <w:ind w:left="0" w:right="0"/>
              <w:rPr>
                <w:sz w:val="20"/>
                <w:szCs w:val="20"/>
              </w:rPr>
            </w:pPr>
            <w:r w:rsidRPr="00235CDE">
              <w:rPr>
                <w:sz w:val="20"/>
                <w:szCs w:val="20"/>
              </w:rPr>
              <w:t>QT interval</w:t>
            </w:r>
          </w:p>
        </w:tc>
        <w:tc>
          <w:tcPr>
            <w:tcW w:w="1128" w:type="dxa"/>
          </w:tcPr>
          <w:p w14:paraId="44406F26" w14:textId="77777777" w:rsidR="00235CDE" w:rsidRPr="00235CDE" w:rsidRDefault="00235CDE" w:rsidP="00235CDE">
            <w:pPr>
              <w:ind w:left="0" w:right="0"/>
              <w:rPr>
                <w:sz w:val="20"/>
                <w:szCs w:val="20"/>
              </w:rPr>
            </w:pPr>
            <w:r w:rsidRPr="00235CDE">
              <w:rPr>
                <w:sz w:val="20"/>
                <w:szCs w:val="20"/>
              </w:rPr>
              <w:t>A2118</w:t>
            </w:r>
          </w:p>
        </w:tc>
        <w:tc>
          <w:tcPr>
            <w:tcW w:w="3543" w:type="dxa"/>
          </w:tcPr>
          <w:p w14:paraId="76F4D978" w14:textId="77777777" w:rsidR="00235CDE" w:rsidRPr="00235CDE" w:rsidRDefault="00B64D8B" w:rsidP="00235CDE">
            <w:pPr>
              <w:ind w:left="0" w:right="0"/>
              <w:rPr>
                <w:sz w:val="20"/>
                <w:szCs w:val="20"/>
              </w:rPr>
            </w:pPr>
            <w:r>
              <w:rPr>
                <w:sz w:val="20"/>
                <w:szCs w:val="20"/>
              </w:rPr>
              <w:t xml:space="preserve">Placebo and </w:t>
            </w:r>
            <w:proofErr w:type="spellStart"/>
            <w:r>
              <w:rPr>
                <w:sz w:val="20"/>
                <w:szCs w:val="20"/>
              </w:rPr>
              <w:t>moxifloxacin</w:t>
            </w:r>
            <w:proofErr w:type="spellEnd"/>
            <w:r>
              <w:rPr>
                <w:sz w:val="20"/>
                <w:szCs w:val="20"/>
              </w:rPr>
              <w:t xml:space="preserve"> </w:t>
            </w:r>
            <w:r w:rsidR="00235CDE" w:rsidRPr="00235CDE">
              <w:rPr>
                <w:sz w:val="20"/>
                <w:szCs w:val="20"/>
              </w:rPr>
              <w:t>controlled multipl</w:t>
            </w:r>
            <w:r>
              <w:rPr>
                <w:sz w:val="20"/>
                <w:szCs w:val="20"/>
              </w:rPr>
              <w:t xml:space="preserve">e </w:t>
            </w:r>
            <w:r w:rsidR="00235CDE" w:rsidRPr="00235CDE">
              <w:rPr>
                <w:sz w:val="20"/>
                <w:szCs w:val="20"/>
              </w:rPr>
              <w:t xml:space="preserve">dose study to assess the QT interval after oral administration of </w:t>
            </w:r>
            <w:proofErr w:type="spellStart"/>
            <w:r w:rsidR="00235CDE" w:rsidRPr="00235CDE">
              <w:rPr>
                <w:sz w:val="20"/>
                <w:szCs w:val="20"/>
              </w:rPr>
              <w:t>siponimod</w:t>
            </w:r>
            <w:proofErr w:type="spellEnd"/>
            <w:r w:rsidR="00235CDE" w:rsidRPr="00235CDE">
              <w:rPr>
                <w:sz w:val="20"/>
                <w:szCs w:val="20"/>
              </w:rPr>
              <w:t xml:space="preserve"> in healthy subjects</w:t>
            </w:r>
          </w:p>
        </w:tc>
      </w:tr>
      <w:tr w:rsidR="00235CDE" w:rsidRPr="00235CDE" w14:paraId="4064E312" w14:textId="77777777" w:rsidTr="00235CDE">
        <w:trPr>
          <w:trHeight w:val="1679"/>
        </w:trPr>
        <w:tc>
          <w:tcPr>
            <w:tcW w:w="1818" w:type="dxa"/>
            <w:vMerge/>
          </w:tcPr>
          <w:p w14:paraId="2197A30C" w14:textId="77777777" w:rsidR="00235CDE" w:rsidRPr="00235CDE" w:rsidRDefault="00235CDE" w:rsidP="00235CDE">
            <w:pPr>
              <w:ind w:left="0" w:right="0"/>
              <w:rPr>
                <w:sz w:val="20"/>
                <w:szCs w:val="20"/>
              </w:rPr>
            </w:pPr>
          </w:p>
        </w:tc>
        <w:tc>
          <w:tcPr>
            <w:tcW w:w="1702" w:type="dxa"/>
          </w:tcPr>
          <w:p w14:paraId="5156BEB4" w14:textId="77777777" w:rsidR="00235CDE" w:rsidRPr="00235CDE" w:rsidRDefault="00235CDE" w:rsidP="00235CDE">
            <w:pPr>
              <w:ind w:left="0" w:right="0"/>
              <w:rPr>
                <w:sz w:val="20"/>
                <w:szCs w:val="20"/>
              </w:rPr>
            </w:pPr>
            <w:r w:rsidRPr="00235CDE">
              <w:rPr>
                <w:sz w:val="20"/>
                <w:szCs w:val="20"/>
              </w:rPr>
              <w:t>Immune response</w:t>
            </w:r>
          </w:p>
        </w:tc>
        <w:tc>
          <w:tcPr>
            <w:tcW w:w="1128" w:type="dxa"/>
          </w:tcPr>
          <w:p w14:paraId="07DED3D7" w14:textId="77777777" w:rsidR="00235CDE" w:rsidRPr="00235CDE" w:rsidRDefault="00235CDE" w:rsidP="00235CDE">
            <w:pPr>
              <w:ind w:left="0" w:right="0"/>
              <w:rPr>
                <w:sz w:val="20"/>
                <w:szCs w:val="20"/>
              </w:rPr>
            </w:pPr>
            <w:r w:rsidRPr="00235CDE">
              <w:rPr>
                <w:sz w:val="20"/>
                <w:szCs w:val="20"/>
              </w:rPr>
              <w:t>A2130</w:t>
            </w:r>
          </w:p>
        </w:tc>
        <w:tc>
          <w:tcPr>
            <w:tcW w:w="3543" w:type="dxa"/>
          </w:tcPr>
          <w:p w14:paraId="0A71876C" w14:textId="77777777" w:rsidR="00235CDE" w:rsidRPr="00235CDE" w:rsidRDefault="00235CDE" w:rsidP="00235CDE">
            <w:pPr>
              <w:ind w:left="0" w:right="0"/>
              <w:rPr>
                <w:sz w:val="20"/>
                <w:szCs w:val="20"/>
              </w:rPr>
            </w:pPr>
            <w:r w:rsidRPr="00235CDE">
              <w:rPr>
                <w:sz w:val="20"/>
                <w:szCs w:val="20"/>
              </w:rPr>
              <w:t>Mod</w:t>
            </w:r>
            <w:r w:rsidR="00B64D8B">
              <w:rPr>
                <w:sz w:val="20"/>
                <w:szCs w:val="20"/>
              </w:rPr>
              <w:t xml:space="preserve">ulation of immune response to T cell dependent and T </w:t>
            </w:r>
            <w:r w:rsidRPr="00235CDE">
              <w:rPr>
                <w:sz w:val="20"/>
                <w:szCs w:val="20"/>
              </w:rPr>
              <w:t xml:space="preserve">cell independent antigen stimuli by preceding, concomitant and interrupted administration of multiple therapeutic doses of </w:t>
            </w:r>
            <w:proofErr w:type="spellStart"/>
            <w:r w:rsidRPr="00235CDE">
              <w:rPr>
                <w:sz w:val="20"/>
                <w:szCs w:val="20"/>
              </w:rPr>
              <w:t>siponimod</w:t>
            </w:r>
            <w:proofErr w:type="spellEnd"/>
            <w:r w:rsidRPr="00235CDE">
              <w:rPr>
                <w:sz w:val="20"/>
                <w:szCs w:val="20"/>
              </w:rPr>
              <w:t xml:space="preserve"> in healthy subjects</w:t>
            </w:r>
          </w:p>
        </w:tc>
      </w:tr>
    </w:tbl>
    <w:p w14:paraId="79680326" w14:textId="77777777" w:rsidR="00C816F8" w:rsidRDefault="00C816F8" w:rsidP="00C816F8">
      <w:pPr>
        <w:pStyle w:val="Heading5"/>
      </w:pPr>
      <w:r>
        <w:t>Overall conclusions on pharmacodynamics</w:t>
      </w:r>
    </w:p>
    <w:p w14:paraId="264DD24D" w14:textId="77777777" w:rsidR="00C816F8" w:rsidRDefault="00C816F8" w:rsidP="00235CDE">
      <w:r>
        <w:t>Clinical evaluator’s overall conclusions on PD:</w:t>
      </w:r>
    </w:p>
    <w:p w14:paraId="12899371" w14:textId="3BBAFB4D" w:rsidR="00235CDE" w:rsidRDefault="00D97E5A" w:rsidP="00C816F8">
      <w:pPr>
        <w:pStyle w:val="ListBullet"/>
      </w:pPr>
      <w:proofErr w:type="spellStart"/>
      <w:r>
        <w:t>Siponimod</w:t>
      </w:r>
      <w:proofErr w:type="spellEnd"/>
      <w:r>
        <w:t xml:space="preserve"> is a S1P receptor</w:t>
      </w:r>
      <w:r w:rsidR="00B25E31">
        <w:t xml:space="preserve"> modulator</w:t>
      </w:r>
      <w:r>
        <w:t xml:space="preserve">, </w:t>
      </w:r>
      <w:r w:rsidR="00235CDE">
        <w:t xml:space="preserve">which binds selectively on two out of five </w:t>
      </w:r>
      <w:r w:rsidR="00C51B51">
        <w:t>G-protein coupled receptors (</w:t>
      </w:r>
      <w:r w:rsidR="00235CDE">
        <w:t>GPCR</w:t>
      </w:r>
      <w:r w:rsidR="00C51B51">
        <w:t>)</w:t>
      </w:r>
      <w:r w:rsidR="00235CDE">
        <w:t xml:space="preserve"> for S1P, namely S1P1 and S1P5 to prevent the egress of lymphocytes from lymph nodes.</w:t>
      </w:r>
    </w:p>
    <w:p w14:paraId="42EA03C2" w14:textId="77777777" w:rsidR="00235CDE" w:rsidRDefault="00235CDE" w:rsidP="00C816F8">
      <w:pPr>
        <w:pStyle w:val="ListBullet"/>
      </w:pPr>
      <w:r>
        <w:t>In hea</w:t>
      </w:r>
      <w:r w:rsidR="00C816F8">
        <w:t xml:space="preserve">lthy subjects, </w:t>
      </w:r>
      <w:proofErr w:type="spellStart"/>
      <w:r w:rsidR="00C816F8">
        <w:t>s</w:t>
      </w:r>
      <w:r>
        <w:t>iponimod</w:t>
      </w:r>
      <w:proofErr w:type="spellEnd"/>
      <w:r>
        <w:t xml:space="preserve"> reduces </w:t>
      </w:r>
      <w:r w:rsidR="00C816F8">
        <w:rPr>
          <w:rFonts w:asciiTheme="minorHAnsi" w:hAnsiTheme="minorHAnsi"/>
          <w:bCs/>
        </w:rPr>
        <w:t>a</w:t>
      </w:r>
      <w:r w:rsidR="00C816F8" w:rsidRPr="007901B9">
        <w:rPr>
          <w:rFonts w:asciiTheme="minorHAnsi" w:hAnsiTheme="minorHAnsi"/>
          <w:bCs/>
        </w:rPr>
        <w:t>bsolute lymphocyte count</w:t>
      </w:r>
      <w:r w:rsidR="00C816F8">
        <w:t xml:space="preserve"> (</w:t>
      </w:r>
      <w:r>
        <w:t>ALC</w:t>
      </w:r>
      <w:r w:rsidR="00C816F8">
        <w:t>) dose</w:t>
      </w:r>
      <w:r w:rsidR="00C816F8">
        <w:noBreakHyphen/>
      </w:r>
      <w:r>
        <w:t>dependently.</w:t>
      </w:r>
    </w:p>
    <w:p w14:paraId="269EFBAD" w14:textId="7B6E101E" w:rsidR="00235CDE" w:rsidRDefault="00235CDE" w:rsidP="00C816F8">
      <w:pPr>
        <w:pStyle w:val="ListBullet"/>
      </w:pPr>
      <w:r>
        <w:t>Pop</w:t>
      </w:r>
      <w:r w:rsidR="00C816F8">
        <w:t xml:space="preserve">ulation </w:t>
      </w:r>
      <w:r>
        <w:t xml:space="preserve">PK/PD analysis indicates that in both healthy subjects and patients with MS, </w:t>
      </w:r>
      <w:r w:rsidR="00C816F8">
        <w:t xml:space="preserve">inhibition of ALC increases as </w:t>
      </w:r>
      <w:proofErr w:type="spellStart"/>
      <w:r w:rsidR="00C816F8">
        <w:t>s</w:t>
      </w:r>
      <w:r>
        <w:t>iponimod</w:t>
      </w:r>
      <w:proofErr w:type="spellEnd"/>
      <w:r>
        <w:t xml:space="preserve"> concentrations increase; however, inhibition of ALC was saturable and the maximum decrease in production </w:t>
      </w:r>
      <w:r w:rsidR="00C816F8">
        <w:t xml:space="preserve">rate that may be achieved with </w:t>
      </w:r>
      <w:proofErr w:type="spellStart"/>
      <w:r w:rsidR="00C816F8">
        <w:t>s</w:t>
      </w:r>
      <w:r>
        <w:t>iponimod</w:t>
      </w:r>
      <w:proofErr w:type="spellEnd"/>
      <w:r>
        <w:t xml:space="preserve">, </w:t>
      </w:r>
      <w:r w:rsidR="00C51B51">
        <w:t>maximum inhibition (</w:t>
      </w:r>
      <w:r>
        <w:t>I</w:t>
      </w:r>
      <w:r w:rsidRPr="00C816F8">
        <w:rPr>
          <w:vertAlign w:val="subscript"/>
        </w:rPr>
        <w:t>max</w:t>
      </w:r>
      <w:r w:rsidR="00C51B51">
        <w:t>)</w:t>
      </w:r>
      <w:r>
        <w:t>, was e</w:t>
      </w:r>
      <w:r w:rsidR="00C816F8">
        <w:t xml:space="preserve">stimated to be 79% (95% CI: 78% to 80%). The </w:t>
      </w:r>
      <w:proofErr w:type="spellStart"/>
      <w:r w:rsidR="00C816F8">
        <w:t>s</w:t>
      </w:r>
      <w:r>
        <w:t>iponimod</w:t>
      </w:r>
      <w:proofErr w:type="spellEnd"/>
      <w:r>
        <w:t xml:space="preserve"> concentrations at which half of the maximum effect was attained, </w:t>
      </w:r>
      <w:r w:rsidR="00C816F8">
        <w:t>half maximal inhibitory concentration (</w:t>
      </w:r>
      <w:r>
        <w:t>IC</w:t>
      </w:r>
      <w:r w:rsidRPr="00C816F8">
        <w:rPr>
          <w:vertAlign w:val="subscript"/>
        </w:rPr>
        <w:t>50</w:t>
      </w:r>
      <w:r w:rsidR="00C816F8">
        <w:t>), was estimated to be 4.94 </w:t>
      </w:r>
      <w:r>
        <w:t>ng/</w:t>
      </w:r>
      <w:proofErr w:type="spellStart"/>
      <w:r>
        <w:t>mL.</w:t>
      </w:r>
      <w:proofErr w:type="spellEnd"/>
    </w:p>
    <w:p w14:paraId="3C29D94A" w14:textId="57D833E7" w:rsidR="00235CDE" w:rsidRDefault="00235CDE" w:rsidP="00C816F8">
      <w:pPr>
        <w:pStyle w:val="ListBullet"/>
      </w:pPr>
      <w:r>
        <w:t xml:space="preserve">In contrast to </w:t>
      </w:r>
      <w:proofErr w:type="spellStart"/>
      <w:r>
        <w:t>moxifloxac</w:t>
      </w:r>
      <w:r w:rsidR="00C816F8">
        <w:t>in</w:t>
      </w:r>
      <w:proofErr w:type="spellEnd"/>
      <w:r w:rsidR="00C816F8">
        <w:t xml:space="preserve">, the upper bounds of the two sided 90% CIs for the time matched, placebo corrected, baseline </w:t>
      </w:r>
      <w:r>
        <w:t xml:space="preserve">adjusted mean </w:t>
      </w:r>
      <w:r w:rsidR="00E26D6F" w:rsidRPr="00C816F8">
        <w:rPr>
          <w:rFonts w:eastAsiaTheme="minorHAnsi" w:cs="Arial"/>
        </w:rPr>
        <w:t xml:space="preserve">QT interval corrected for heart rate using </w:t>
      </w:r>
      <w:proofErr w:type="spellStart"/>
      <w:r w:rsidR="00E26D6F" w:rsidRPr="00C816F8">
        <w:rPr>
          <w:rFonts w:eastAsiaTheme="minorHAnsi" w:cs="Arial"/>
        </w:rPr>
        <w:t>Fridericia’s</w:t>
      </w:r>
      <w:proofErr w:type="spellEnd"/>
      <w:r w:rsidR="00E26D6F" w:rsidRPr="00C816F8">
        <w:rPr>
          <w:rFonts w:eastAsiaTheme="minorHAnsi" w:cs="Arial"/>
        </w:rPr>
        <w:t xml:space="preserve"> formula</w:t>
      </w:r>
      <w:r w:rsidR="00E26D6F" w:rsidRPr="001328DC">
        <w:rPr>
          <w:rFonts w:cs="Arial"/>
        </w:rPr>
        <w:t xml:space="preserve"> </w:t>
      </w:r>
      <w:r w:rsidR="00E26D6F">
        <w:rPr>
          <w:rFonts w:cs="Arial"/>
        </w:rPr>
        <w:t>(</w:t>
      </w:r>
      <w:proofErr w:type="spellStart"/>
      <w:r w:rsidR="00C816F8" w:rsidRPr="001328DC">
        <w:rPr>
          <w:rFonts w:cs="Arial"/>
        </w:rPr>
        <w:t>QTcF</w:t>
      </w:r>
      <w:proofErr w:type="spellEnd"/>
      <w:r w:rsidR="00E26D6F">
        <w:rPr>
          <w:rFonts w:cs="Arial"/>
        </w:rPr>
        <w:t>)</w:t>
      </w:r>
      <w:r w:rsidR="00C816F8" w:rsidRPr="001328DC">
        <w:rPr>
          <w:rFonts w:cs="Arial"/>
        </w:rPr>
        <w:t xml:space="preserve"> effect </w:t>
      </w:r>
      <w:r w:rsidR="00C816F8">
        <w:rPr>
          <w:rFonts w:cs="Arial"/>
        </w:rPr>
        <w:t>(</w:t>
      </w:r>
      <w:proofErr w:type="spellStart"/>
      <w:r>
        <w:t>ΔΔQTcF</w:t>
      </w:r>
      <w:proofErr w:type="spellEnd"/>
      <w:r w:rsidR="00C816F8">
        <w:t>)</w:t>
      </w:r>
      <w:r>
        <w:t xml:space="preserve"> at therapeutic</w:t>
      </w:r>
      <w:r w:rsidR="00C816F8">
        <w:t xml:space="preserve"> and </w:t>
      </w:r>
      <w:proofErr w:type="spellStart"/>
      <w:r w:rsidR="00C816F8">
        <w:t>supratherapeutic</w:t>
      </w:r>
      <w:proofErr w:type="spellEnd"/>
      <w:r w:rsidR="00C816F8">
        <w:t xml:space="preserve"> doses of </w:t>
      </w:r>
      <w:proofErr w:type="spellStart"/>
      <w:r w:rsidR="00C816F8">
        <w:t>s</w:t>
      </w:r>
      <w:r>
        <w:t>iponimod</w:t>
      </w:r>
      <w:proofErr w:type="spellEnd"/>
      <w:r>
        <w:t xml:space="preserve"> were below the threshold of 10 </w:t>
      </w:r>
      <w:r w:rsidR="00E26D6F">
        <w:t>milliseconds</w:t>
      </w:r>
      <w:r>
        <w:t xml:space="preserve"> at all on-treatment time points. The time profil</w:t>
      </w:r>
      <w:r w:rsidR="00E26D6F">
        <w:t xml:space="preserve">e of the effect of </w:t>
      </w:r>
      <w:proofErr w:type="spellStart"/>
      <w:r w:rsidR="00E26D6F">
        <w:t>s</w:t>
      </w:r>
      <w:r>
        <w:t>iponimod</w:t>
      </w:r>
      <w:proofErr w:type="spellEnd"/>
      <w:r>
        <w:t xml:space="preserve"> was in line with the</w:t>
      </w:r>
      <w:r w:rsidR="00E26D6F">
        <w:t xml:space="preserve"> concentration-time profile of </w:t>
      </w:r>
      <w:proofErr w:type="spellStart"/>
      <w:r w:rsidR="00E26D6F">
        <w:t>s</w:t>
      </w:r>
      <w:r>
        <w:t>iponimod</w:t>
      </w:r>
      <w:proofErr w:type="spellEnd"/>
      <w:r>
        <w:t xml:space="preserve"> with a median </w:t>
      </w:r>
      <w:proofErr w:type="spellStart"/>
      <w:r>
        <w:t>T</w:t>
      </w:r>
      <w:r w:rsidRPr="00E26D6F">
        <w:rPr>
          <w:vertAlign w:val="subscript"/>
        </w:rPr>
        <w:t>max</w:t>
      </w:r>
      <w:proofErr w:type="spellEnd"/>
      <w:r>
        <w:t xml:space="preserve"> (range) at therapeutic and </w:t>
      </w:r>
      <w:proofErr w:type="spellStart"/>
      <w:r>
        <w:t>supratherapeutic</w:t>
      </w:r>
      <w:proofErr w:type="spellEnd"/>
      <w:r>
        <w:t xml:space="preserve"> doses of 4.03 h</w:t>
      </w:r>
      <w:r w:rsidR="00E26D6F">
        <w:t>ours</w:t>
      </w:r>
      <w:r>
        <w:t xml:space="preserve"> (2.02</w:t>
      </w:r>
      <w:r w:rsidR="00C51B51">
        <w:t xml:space="preserve"> to </w:t>
      </w:r>
      <w:r>
        <w:t>12.1 h</w:t>
      </w:r>
      <w:r w:rsidR="00E26D6F">
        <w:t>ours) and 4.02 </w:t>
      </w:r>
      <w:r>
        <w:t>h</w:t>
      </w:r>
      <w:r w:rsidR="00E26D6F">
        <w:t>ours</w:t>
      </w:r>
      <w:r>
        <w:t xml:space="preserve"> (2.02</w:t>
      </w:r>
      <w:r w:rsidR="00C51B51">
        <w:t xml:space="preserve"> to </w:t>
      </w:r>
      <w:r>
        <w:t>6.05 h</w:t>
      </w:r>
      <w:r w:rsidR="00E26D6F">
        <w:t>ours</w:t>
      </w:r>
      <w:r>
        <w:t>) on Day 10 and Day 18, respectively.</w:t>
      </w:r>
    </w:p>
    <w:p w14:paraId="2C81C3A0" w14:textId="67019F09" w:rsidR="00235CDE" w:rsidRDefault="00235CDE" w:rsidP="00C816F8">
      <w:pPr>
        <w:pStyle w:val="ListBullet"/>
      </w:pPr>
      <w:r>
        <w:t>Immune respo</w:t>
      </w:r>
      <w:r w:rsidR="00E26D6F">
        <w:t xml:space="preserve">nse to T cell </w:t>
      </w:r>
      <w:r>
        <w:t>dependent a</w:t>
      </w:r>
      <w:r w:rsidR="00E26D6F">
        <w:t xml:space="preserve">ntigen was not affected by pre-treatment with </w:t>
      </w:r>
      <w:proofErr w:type="spellStart"/>
      <w:r w:rsidR="00E26D6F">
        <w:t>siponimod</w:t>
      </w:r>
      <w:proofErr w:type="spellEnd"/>
      <w:r w:rsidR="00E26D6F">
        <w:t xml:space="preserve">. However, when </w:t>
      </w:r>
      <w:proofErr w:type="spellStart"/>
      <w:r w:rsidR="00E26D6F">
        <w:t>s</w:t>
      </w:r>
      <w:r>
        <w:t>iponimod</w:t>
      </w:r>
      <w:proofErr w:type="spellEnd"/>
      <w:r w:rsidR="00E26D6F">
        <w:t xml:space="preserve"> treatment was interrupted (that is,</w:t>
      </w:r>
      <w:r>
        <w:t xml:space="preserve"> paused from 10 days prior to 14 d</w:t>
      </w:r>
      <w:r w:rsidR="00E26D6F">
        <w:t xml:space="preserve">ays after vaccination) or when </w:t>
      </w:r>
      <w:proofErr w:type="spellStart"/>
      <w:r w:rsidR="00E26D6F">
        <w:t>s</w:t>
      </w:r>
      <w:r>
        <w:t>iponimod</w:t>
      </w:r>
      <w:proofErr w:type="spellEnd"/>
      <w:r>
        <w:t xml:space="preserve"> was administered concomitantly there was a modest impairment of influenza vaccination efficacy, with responder rates approximately 15% to 30% lower, respectively, than on placebo. By contrast, PPV</w:t>
      </w:r>
      <w:r w:rsidR="00E26D6F">
        <w:t>-23 vaccine</w:t>
      </w:r>
      <w:r w:rsidR="00C51B51">
        <w:t>;</w:t>
      </w:r>
      <w:r w:rsidR="00C51B51">
        <w:rPr>
          <w:rStyle w:val="FootnoteReference"/>
        </w:rPr>
        <w:footnoteReference w:id="11"/>
      </w:r>
      <w:r w:rsidR="00E26D6F">
        <w:t xml:space="preserve"> which mediates a T </w:t>
      </w:r>
      <w:r>
        <w:t>cell i</w:t>
      </w:r>
      <w:r w:rsidR="00E26D6F">
        <w:t>ndependent response, can be co</w:t>
      </w:r>
      <w:r w:rsidR="00E26D6F">
        <w:noBreakHyphen/>
      </w:r>
      <w:r>
        <w:t xml:space="preserve">administered with </w:t>
      </w:r>
      <w:proofErr w:type="spellStart"/>
      <w:r w:rsidR="00C816F8">
        <w:t>s</w:t>
      </w:r>
      <w:r>
        <w:t>iponimod</w:t>
      </w:r>
      <w:proofErr w:type="spellEnd"/>
      <w:r>
        <w:t xml:space="preserve"> without compromising immune response and vaccination efficacy.</w:t>
      </w:r>
    </w:p>
    <w:p w14:paraId="093A9F81" w14:textId="77777777" w:rsidR="00235CDE" w:rsidRDefault="00235CDE" w:rsidP="00C816F8">
      <w:pPr>
        <w:pStyle w:val="ListBullet"/>
      </w:pPr>
      <w:r>
        <w:t xml:space="preserve">The magnitude of the negative </w:t>
      </w:r>
      <w:r w:rsidR="00E26D6F">
        <w:t xml:space="preserve">chronotropic effects following </w:t>
      </w:r>
      <w:proofErr w:type="spellStart"/>
      <w:r w:rsidR="00E26D6F">
        <w:t>s</w:t>
      </w:r>
      <w:r>
        <w:t>iponimod</w:t>
      </w:r>
      <w:proofErr w:type="spellEnd"/>
      <w:r>
        <w:t xml:space="preserve"> re-initiation appeared to be dependent on both the dose and the duration of treatment discontinuation. However, the negative</w:t>
      </w:r>
      <w:r w:rsidR="00E26D6F">
        <w:t xml:space="preserve"> chronotropic effects of </w:t>
      </w:r>
      <w:proofErr w:type="spellStart"/>
      <w:r w:rsidR="00E26D6F">
        <w:t>s</w:t>
      </w:r>
      <w:r>
        <w:t>iponimod</w:t>
      </w:r>
      <w:proofErr w:type="spellEnd"/>
      <w:r>
        <w:t xml:space="preserve"> can be circumvented by dose titration.</w:t>
      </w:r>
    </w:p>
    <w:p w14:paraId="2905CB31" w14:textId="3E49E1E3" w:rsidR="00235CDE" w:rsidRDefault="00235CDE" w:rsidP="00C816F8">
      <w:pPr>
        <w:pStyle w:val="ListBullet"/>
      </w:pPr>
      <w:r>
        <w:t xml:space="preserve">For ALC response, </w:t>
      </w:r>
      <w:r w:rsidR="00D97E5A">
        <w:t xml:space="preserve">relevant </w:t>
      </w:r>
      <w:r w:rsidR="00B3427B">
        <w:t>covariates</w:t>
      </w:r>
      <w:r w:rsidR="00D97E5A">
        <w:t xml:space="preserve"> </w:t>
      </w:r>
      <w:r>
        <w:t xml:space="preserve">were identified as population type, gender and ethnicity. For instance, both RRMS and SPMS patients had a 17% (95% CI: 15% to </w:t>
      </w:r>
      <w:r>
        <w:lastRenderedPageBreak/>
        <w:t>19%) lower baseline lymphocyte count than healthy volunteers, Japanese patients had a 10% (95% CI: 7% to 13%) higher I</w:t>
      </w:r>
      <w:r w:rsidRPr="00E26D6F">
        <w:rPr>
          <w:vertAlign w:val="subscript"/>
        </w:rPr>
        <w:t>max</w:t>
      </w:r>
      <w:r>
        <w:t xml:space="preserve"> than non-Japanese, females had </w:t>
      </w:r>
      <w:r w:rsidR="00E26D6F">
        <w:t>lower (37% (95% CI: 31% to 43%)</w:t>
      </w:r>
      <w:r>
        <w:t>) IC</w:t>
      </w:r>
      <w:r w:rsidRPr="00E26D6F">
        <w:rPr>
          <w:vertAlign w:val="subscript"/>
        </w:rPr>
        <w:t>50</w:t>
      </w:r>
      <w:r>
        <w:t xml:space="preserve"> than males and</w:t>
      </w:r>
      <w:r w:rsidR="00E26D6F">
        <w:t>, SPMS patients had lower (39% (95% CI: 34% to 45%)</w:t>
      </w:r>
      <w:r>
        <w:t>) IC</w:t>
      </w:r>
      <w:r w:rsidRPr="00E26D6F">
        <w:rPr>
          <w:vertAlign w:val="subscript"/>
        </w:rPr>
        <w:t>50</w:t>
      </w:r>
      <w:r>
        <w:t xml:space="preserve"> than both RRMS patients and healthy volunteers.</w:t>
      </w:r>
    </w:p>
    <w:p w14:paraId="5E50DA89" w14:textId="77777777" w:rsidR="00235CDE" w:rsidRDefault="00235CDE" w:rsidP="00C816F8">
      <w:pPr>
        <w:pStyle w:val="ListBullet"/>
      </w:pPr>
      <w:proofErr w:type="spellStart"/>
      <w:r>
        <w:t>Siponimod</w:t>
      </w:r>
      <w:proofErr w:type="spellEnd"/>
      <w:r>
        <w:t xml:space="preserve"> co-administration with a monophasic contraceptive had no effect on the contraceptives efficacy.</w:t>
      </w:r>
    </w:p>
    <w:p w14:paraId="5EDC9B66" w14:textId="6A93E6E1" w:rsidR="00235CDE" w:rsidRDefault="00E26D6F" w:rsidP="00C816F8">
      <w:pPr>
        <w:pStyle w:val="ListBullet"/>
      </w:pPr>
      <w:r>
        <w:t xml:space="preserve">Following co-administration of </w:t>
      </w:r>
      <w:proofErr w:type="spellStart"/>
      <w:r>
        <w:t>s</w:t>
      </w:r>
      <w:r w:rsidR="00235CDE">
        <w:t>iponimod</w:t>
      </w:r>
      <w:proofErr w:type="spellEnd"/>
      <w:r w:rsidR="00235CDE">
        <w:t xml:space="preserve"> with propranolol, mean </w:t>
      </w:r>
      <w:r>
        <w:t>maximum effect (</w:t>
      </w:r>
      <w:proofErr w:type="spellStart"/>
      <w:r w:rsidR="00235CDE">
        <w:t>E</w:t>
      </w:r>
      <w:r w:rsidR="00235CDE" w:rsidRPr="00E26D6F">
        <w:rPr>
          <w:vertAlign w:val="subscript"/>
        </w:rPr>
        <w:t>max</w:t>
      </w:r>
      <w:proofErr w:type="spellEnd"/>
      <w:r>
        <w:t>)</w:t>
      </w:r>
      <w:r w:rsidR="00235CDE">
        <w:t xml:space="preserve"> </w:t>
      </w:r>
      <w:r w:rsidR="00AD097A">
        <w:t>heart rate</w:t>
      </w:r>
      <w:r w:rsidR="00235CDE">
        <w:t xml:space="preserve"> decreased by an additional 6.21 </w:t>
      </w:r>
      <w:r w:rsidR="00510154">
        <w:t>beats per minute (</w:t>
      </w:r>
      <w:r w:rsidR="00235CDE">
        <w:t>b</w:t>
      </w:r>
      <w:r>
        <w:t>pm</w:t>
      </w:r>
      <w:r w:rsidR="00510154">
        <w:t>)</w:t>
      </w:r>
      <w:r>
        <w:t xml:space="preserve"> at steady </w:t>
      </w:r>
      <w:r w:rsidR="00235CDE">
        <w:t xml:space="preserve">state, compared to when propranolol was administered alone. In addition, combination treatment at steady state displayed an additional </w:t>
      </w:r>
      <w:proofErr w:type="spellStart"/>
      <w:r w:rsidR="00235CDE">
        <w:t>E</w:t>
      </w:r>
      <w:r w:rsidR="00235CDE" w:rsidRPr="00E26D6F">
        <w:rPr>
          <w:vertAlign w:val="subscript"/>
        </w:rPr>
        <w:t>max</w:t>
      </w:r>
      <w:proofErr w:type="spellEnd"/>
      <w:r w:rsidR="00235CDE">
        <w:t xml:space="preserve"> </w:t>
      </w:r>
      <w:r w:rsidR="00A312CD">
        <w:rPr>
          <w:rFonts w:cs="Arial"/>
          <w:bCs/>
        </w:rPr>
        <w:t>mean arterial blood pressure</w:t>
      </w:r>
      <w:r w:rsidR="00A312CD">
        <w:t xml:space="preserve"> (</w:t>
      </w:r>
      <w:r w:rsidR="00235CDE">
        <w:t>MABP</w:t>
      </w:r>
      <w:r w:rsidR="00A312CD">
        <w:t>)</w:t>
      </w:r>
      <w:r w:rsidR="00235CDE">
        <w:t xml:space="preserve"> decrease of 2.93 mmHg and an incr</w:t>
      </w:r>
      <w:r w:rsidR="00A312CD">
        <w:t>ease of PR interval by 2.45</w:t>
      </w:r>
      <w:r w:rsidR="009B430F">
        <w:t> </w:t>
      </w:r>
      <w:r w:rsidR="00A312CD">
        <w:t>millisecond</w:t>
      </w:r>
      <w:r w:rsidR="009B430F">
        <w:t>s</w:t>
      </w:r>
      <w:r w:rsidR="00235CDE">
        <w:t xml:space="preserve"> at 2.5 h</w:t>
      </w:r>
      <w:r w:rsidR="00A312CD">
        <w:t>ours post-dose and 7.06 millisecond</w:t>
      </w:r>
      <w:r w:rsidR="009B430F">
        <w:t>s</w:t>
      </w:r>
      <w:r w:rsidR="00235CDE">
        <w:t xml:space="preserve"> at 6.5 h</w:t>
      </w:r>
      <w:r w:rsidR="00A312CD">
        <w:t xml:space="preserve">ours post </w:t>
      </w:r>
      <w:r w:rsidR="00235CDE">
        <w:t>dose, in comparison to when propranolol was administered alone.</w:t>
      </w:r>
    </w:p>
    <w:p w14:paraId="50428BE5" w14:textId="77777777" w:rsidR="00235CDE" w:rsidRDefault="00235CDE" w:rsidP="00235CDE">
      <w:pPr>
        <w:pStyle w:val="Heading4"/>
      </w:pPr>
      <w:r>
        <w:t>Dose selection</w:t>
      </w:r>
    </w:p>
    <w:p w14:paraId="23FDA2FD" w14:textId="77777777" w:rsidR="00A312CD" w:rsidRDefault="00A312CD" w:rsidP="00A312CD">
      <w:pPr>
        <w:pStyle w:val="Heading5"/>
      </w:pPr>
      <w:r>
        <w:t>PK and PD studies</w:t>
      </w:r>
    </w:p>
    <w:p w14:paraId="546292BC" w14:textId="0FADC47A" w:rsidR="00235CDE" w:rsidRDefault="00A312CD" w:rsidP="00235CDE">
      <w:r>
        <w:t>Studies A2101 and</w:t>
      </w:r>
      <w:r w:rsidR="00777DB6">
        <w:t xml:space="preserve"> </w:t>
      </w:r>
      <w:r w:rsidR="00D97E5A">
        <w:t>A210</w:t>
      </w:r>
      <w:r w:rsidR="00B3427B">
        <w:t>5</w:t>
      </w:r>
      <w:r w:rsidR="00235CDE">
        <w:t xml:space="preserve"> indicated that:</w:t>
      </w:r>
    </w:p>
    <w:p w14:paraId="64A4136E" w14:textId="77777777" w:rsidR="00235CDE" w:rsidRDefault="00A312CD" w:rsidP="00A312CD">
      <w:pPr>
        <w:pStyle w:val="ListBullet"/>
      </w:pPr>
      <w:r>
        <w:t>M</w:t>
      </w:r>
      <w:r w:rsidR="00235CDE">
        <w:t xml:space="preserve">ean </w:t>
      </w:r>
      <w:r>
        <w:t xml:space="preserve">ALC values demonstrated a </w:t>
      </w:r>
      <w:r w:rsidR="00235CDE">
        <w:t>do</w:t>
      </w:r>
      <w:r w:rsidR="00777DB6">
        <w:t xml:space="preserve">se-dependent decline following </w:t>
      </w:r>
      <w:proofErr w:type="spellStart"/>
      <w:r w:rsidR="00777DB6">
        <w:t>s</w:t>
      </w:r>
      <w:r w:rsidR="00235CDE">
        <w:t>iponimod</w:t>
      </w:r>
      <w:proofErr w:type="spellEnd"/>
      <w:r w:rsidR="00235CDE">
        <w:t xml:space="preserve"> doses ranging from 0.3 mg to 10 mg and an ALC reduction of at least 80% was reach</w:t>
      </w:r>
      <w:r w:rsidR="00777DB6">
        <w:t>ed at the 10 mg dose or higher.</w:t>
      </w:r>
    </w:p>
    <w:p w14:paraId="058A5AB3" w14:textId="77777777" w:rsidR="00235CDE" w:rsidRDefault="00777DB6" w:rsidP="00A312CD">
      <w:pPr>
        <w:pStyle w:val="ListBullet"/>
      </w:pPr>
      <w:r>
        <w:t xml:space="preserve">Although population </w:t>
      </w:r>
      <w:r w:rsidR="00235CDE">
        <w:t>PK/PD analysi</w:t>
      </w:r>
      <w:r>
        <w:t xml:space="preserve">s confirmed that the effect of </w:t>
      </w:r>
      <w:proofErr w:type="spellStart"/>
      <w:r>
        <w:t>s</w:t>
      </w:r>
      <w:r w:rsidR="00235CDE">
        <w:t>iponimod</w:t>
      </w:r>
      <w:proofErr w:type="spellEnd"/>
      <w:r w:rsidR="00235CDE">
        <w:t xml:space="preserve"> on ALC is dose- dependent, it also identified that the effect is saturable, and the concentration at which the IC</w:t>
      </w:r>
      <w:r w:rsidR="00235CDE" w:rsidRPr="00777DB6">
        <w:rPr>
          <w:vertAlign w:val="subscript"/>
        </w:rPr>
        <w:t>50</w:t>
      </w:r>
      <w:r w:rsidR="00235CDE">
        <w:t xml:space="preserve"> was attained was estimate</w:t>
      </w:r>
      <w:r>
        <w:t>d to be 4.94 ng/</w:t>
      </w:r>
      <w:proofErr w:type="spellStart"/>
      <w:r>
        <w:t>mL.</w:t>
      </w:r>
      <w:proofErr w:type="spellEnd"/>
    </w:p>
    <w:p w14:paraId="27C6428C" w14:textId="77777777" w:rsidR="00235CDE" w:rsidRDefault="00235CDE" w:rsidP="00A312CD">
      <w:pPr>
        <w:pStyle w:val="ListBullet"/>
      </w:pPr>
      <w:r>
        <w:t>Studi</w:t>
      </w:r>
      <w:r w:rsidR="000149D7">
        <w:t xml:space="preserve">es also indicate that although </w:t>
      </w:r>
      <w:proofErr w:type="spellStart"/>
      <w:r w:rsidR="000149D7">
        <w:t>s</w:t>
      </w:r>
      <w:r>
        <w:t>iponimod</w:t>
      </w:r>
      <w:proofErr w:type="spellEnd"/>
      <w:r>
        <w:t xml:space="preserve"> induces negative chronotropic effects, these effects can be minimised by dose titration when first initiating the drug.</w:t>
      </w:r>
    </w:p>
    <w:p w14:paraId="7BF3AD34" w14:textId="77777777" w:rsidR="00235CDE" w:rsidRDefault="00777DB6" w:rsidP="00777DB6">
      <w:pPr>
        <w:pStyle w:val="Heading5"/>
      </w:pPr>
      <w:r>
        <w:t>Phase II studies</w:t>
      </w:r>
    </w:p>
    <w:p w14:paraId="4E489482" w14:textId="77777777" w:rsidR="00235CDE" w:rsidRDefault="00777DB6" w:rsidP="00235CDE">
      <w:r>
        <w:t xml:space="preserve">Phase II dose </w:t>
      </w:r>
      <w:r w:rsidR="00235CDE">
        <w:t xml:space="preserve">ranging studies in patients with SPMS were not feasible due to the slowly progressive nature of the disease and lack of </w:t>
      </w:r>
      <w:r>
        <w:t>predictive efficacy biomarkers.</w:t>
      </w:r>
    </w:p>
    <w:p w14:paraId="5176195D" w14:textId="77777777" w:rsidR="00235CDE" w:rsidRDefault="00777DB6" w:rsidP="00235CDE">
      <w:r>
        <w:t xml:space="preserve">The 2 mg </w:t>
      </w:r>
      <w:proofErr w:type="spellStart"/>
      <w:r>
        <w:t>s</w:t>
      </w:r>
      <w:r w:rsidR="00235CDE">
        <w:t>iponimod</w:t>
      </w:r>
      <w:proofErr w:type="spellEnd"/>
      <w:r w:rsidR="00235CDE">
        <w:t xml:space="preserve"> dose in the pivota</w:t>
      </w:r>
      <w:r>
        <w:t>l study was based on the Phase II S</w:t>
      </w:r>
      <w:r w:rsidR="00235CDE">
        <w:t>tudy A2201in pati</w:t>
      </w:r>
      <w:r>
        <w:t xml:space="preserve">ents with RRMS, who were given </w:t>
      </w:r>
      <w:proofErr w:type="spellStart"/>
      <w:r>
        <w:t>s</w:t>
      </w:r>
      <w:r w:rsidR="00235CDE">
        <w:t>iponimod</w:t>
      </w:r>
      <w:proofErr w:type="spellEnd"/>
      <w:r w:rsidR="00235CDE">
        <w:t xml:space="preserve"> doses ranging from 0.25 mg to 10 mg. The primary outcome was the number of combined unique act</w:t>
      </w:r>
      <w:r>
        <w:t>ive lesions (CUALs). Findings:</w:t>
      </w:r>
    </w:p>
    <w:p w14:paraId="3AB7F255" w14:textId="77777777" w:rsidR="00235CDE" w:rsidRDefault="00235CDE" w:rsidP="00777DB6">
      <w:pPr>
        <w:pStyle w:val="ListBullet"/>
      </w:pPr>
      <w:r>
        <w:t>Multiple comparison procedures with modelling techniques demonstrated</w:t>
      </w:r>
      <w:r w:rsidR="00777DB6">
        <w:t xml:space="preserve"> an 80% reduction in CUALs for </w:t>
      </w:r>
      <w:proofErr w:type="spellStart"/>
      <w:r w:rsidR="00777DB6">
        <w:t>siponimod</w:t>
      </w:r>
      <w:proofErr w:type="spellEnd"/>
      <w:r w:rsidR="00777DB6">
        <w:t xml:space="preserve"> compared with placebo.</w:t>
      </w:r>
    </w:p>
    <w:p w14:paraId="3DD86FC9" w14:textId="77777777" w:rsidR="00235CDE" w:rsidRDefault="00235CDE" w:rsidP="00777DB6">
      <w:pPr>
        <w:pStyle w:val="ListBullet"/>
      </w:pPr>
      <w:r>
        <w:t xml:space="preserve">The </w:t>
      </w:r>
      <w:r w:rsidR="00777DB6">
        <w:t>m</w:t>
      </w:r>
      <w:r w:rsidR="00777DB6" w:rsidRPr="00C816F8">
        <w:t>agnetic resonance imaging</w:t>
      </w:r>
      <w:r w:rsidR="00777DB6">
        <w:t xml:space="preserve"> (</w:t>
      </w:r>
      <w:r>
        <w:t>MRI</w:t>
      </w:r>
      <w:r w:rsidR="00777DB6">
        <w:t>)</w:t>
      </w:r>
      <w:r>
        <w:t xml:space="preserve"> dose response curve indicated near maximal activity for the 2 mg dose, compared with the 0.5 mg dose whi</w:t>
      </w:r>
      <w:r w:rsidR="00777DB6">
        <w:t xml:space="preserve">ch showed suboptimal efficacy (approximately </w:t>
      </w:r>
      <w:r>
        <w:t>50% CUAL reduction versus placebo).</w:t>
      </w:r>
    </w:p>
    <w:p w14:paraId="334541BF" w14:textId="501183C4" w:rsidR="00235CDE" w:rsidRDefault="00235CDE" w:rsidP="00777DB6">
      <w:pPr>
        <w:pStyle w:val="ListBullet"/>
      </w:pPr>
      <w:r>
        <w:t>The annualised relapse rate (ARR</w:t>
      </w:r>
      <w:r w:rsidR="00777DB6">
        <w:t xml:space="preserve">) was significantly lower with </w:t>
      </w:r>
      <w:proofErr w:type="spellStart"/>
      <w:r w:rsidR="00777DB6">
        <w:t>s</w:t>
      </w:r>
      <w:r>
        <w:t>iponimod</w:t>
      </w:r>
      <w:proofErr w:type="spellEnd"/>
      <w:r>
        <w:t xml:space="preserve"> 2 mg compa</w:t>
      </w:r>
      <w:r w:rsidR="00777DB6">
        <w:t>red with placebo (0.20 versus</w:t>
      </w:r>
      <w:r>
        <w:t xml:space="preserve"> 0.58; p</w:t>
      </w:r>
      <w:r w:rsidR="00777DB6">
        <w:t xml:space="preserve"> </w:t>
      </w:r>
      <w:r>
        <w:t>=</w:t>
      </w:r>
      <w:r w:rsidR="00777DB6">
        <w:t xml:space="preserve"> </w:t>
      </w:r>
      <w:r>
        <w:t xml:space="preserve">0.044). The ARR </w:t>
      </w:r>
      <w:r w:rsidR="00B3427B">
        <w:t xml:space="preserve">was only 0.61 </w:t>
      </w:r>
      <w:r>
        <w:t>for the 0.5 mg dose and no greater efficacy was seen at the 10 mg dose level</w:t>
      </w:r>
      <w:r w:rsidR="00B3427B">
        <w:t>.</w:t>
      </w:r>
      <w:r>
        <w:t>.</w:t>
      </w:r>
    </w:p>
    <w:p w14:paraId="02F7FA0F" w14:textId="77777777" w:rsidR="00235CDE" w:rsidRDefault="00235CDE" w:rsidP="00777DB6">
      <w:pPr>
        <w:pStyle w:val="ListBullet"/>
      </w:pPr>
      <w:proofErr w:type="spellStart"/>
      <w:r>
        <w:t>Bradyarrhythmic</w:t>
      </w:r>
      <w:proofErr w:type="spellEnd"/>
      <w:r>
        <w:t xml:space="preserve"> events were observed during the early phase of the study, so initial dose titration was introduced. Following initial dose titration, no symptomatic </w:t>
      </w:r>
      <w:proofErr w:type="spellStart"/>
      <w:r>
        <w:t>bradyarrhythmic</w:t>
      </w:r>
      <w:proofErr w:type="spellEnd"/>
      <w:r>
        <w:t xml:space="preserve"> events or asymptomatic </w:t>
      </w:r>
      <w:r w:rsidR="00777DB6">
        <w:t>a</w:t>
      </w:r>
      <w:r w:rsidR="00777DB6" w:rsidRPr="00C816F8">
        <w:t>trioventricular</w:t>
      </w:r>
      <w:r w:rsidR="00777DB6">
        <w:t xml:space="preserve"> (</w:t>
      </w:r>
      <w:r>
        <w:t>AV</w:t>
      </w:r>
      <w:r w:rsidR="00777DB6">
        <w:t>)</w:t>
      </w:r>
      <w:r>
        <w:t xml:space="preserve"> blocks of concern were noted.</w:t>
      </w:r>
    </w:p>
    <w:p w14:paraId="7E40B15D" w14:textId="77777777" w:rsidR="00777DB6" w:rsidRDefault="00777DB6" w:rsidP="00777DB6">
      <w:pPr>
        <w:pStyle w:val="Heading5"/>
      </w:pPr>
      <w:r>
        <w:t>Conclusions</w:t>
      </w:r>
    </w:p>
    <w:p w14:paraId="12E14B87" w14:textId="476F12F9" w:rsidR="00777DB6" w:rsidRPr="00777DB6" w:rsidRDefault="009B430F" w:rsidP="00777DB6">
      <w:r>
        <w:t>The c</w:t>
      </w:r>
      <w:r w:rsidR="00777DB6">
        <w:t>linical evaluator’s conclusion on dose finding studies</w:t>
      </w:r>
      <w:r>
        <w:t xml:space="preserve"> follows</w:t>
      </w:r>
      <w:r w:rsidR="00777DB6">
        <w:t>:</w:t>
      </w:r>
    </w:p>
    <w:p w14:paraId="681B457E" w14:textId="77777777" w:rsidR="00A315B0" w:rsidRDefault="00A315B0" w:rsidP="00777DB6">
      <w:pPr>
        <w:pStyle w:val="ListBullet"/>
      </w:pPr>
      <w:r>
        <w:t>The dose finding studies were satisfactory.</w:t>
      </w:r>
    </w:p>
    <w:p w14:paraId="7945EF9A" w14:textId="77777777" w:rsidR="00A315B0" w:rsidRDefault="00777DB6" w:rsidP="00777DB6">
      <w:pPr>
        <w:pStyle w:val="ListBullet"/>
      </w:pPr>
      <w:r>
        <w:lastRenderedPageBreak/>
        <w:t>D</w:t>
      </w:r>
      <w:r w:rsidR="00A315B0">
        <w:t>ose-ranging studies in SPMS patients are not feasible due to slow disease progression and the lack of predictive biomarkers.</w:t>
      </w:r>
    </w:p>
    <w:p w14:paraId="0B05D851" w14:textId="77777777" w:rsidR="00A315B0" w:rsidRDefault="00A315B0" w:rsidP="00777DB6">
      <w:pPr>
        <w:pStyle w:val="ListBullet"/>
      </w:pPr>
      <w:r>
        <w:t>There was a dose-related response</w:t>
      </w:r>
      <w:r w:rsidR="00777DB6">
        <w:t xml:space="preserve"> in RRMS patients treated with </w:t>
      </w:r>
      <w:proofErr w:type="spellStart"/>
      <w:r w:rsidR="00777DB6">
        <w:t>s</w:t>
      </w:r>
      <w:r>
        <w:t>iponimod</w:t>
      </w:r>
      <w:proofErr w:type="spellEnd"/>
      <w:r>
        <w:t xml:space="preserve"> 0</w:t>
      </w:r>
      <w:r w:rsidR="00777DB6">
        <w:t>.25 to 10 </w:t>
      </w:r>
      <w:r>
        <w:t>mg daily, wi</w:t>
      </w:r>
      <w:r w:rsidR="00777DB6">
        <w:t xml:space="preserve">th a plateau of effect in the 2 to </w:t>
      </w:r>
      <w:r>
        <w:t>10 mg range.</w:t>
      </w:r>
    </w:p>
    <w:p w14:paraId="7A484828" w14:textId="77777777" w:rsidR="00A315B0" w:rsidRDefault="00A315B0" w:rsidP="00777DB6">
      <w:pPr>
        <w:pStyle w:val="ListBullet"/>
      </w:pPr>
      <w:r>
        <w:t>In conjunction with the safety and tolerability data discussed below, the dose of 2 mg daily is considered appropriate.</w:t>
      </w:r>
    </w:p>
    <w:p w14:paraId="4205113B" w14:textId="77777777" w:rsidR="00A315B0" w:rsidRDefault="00A315B0" w:rsidP="00A315B0">
      <w:pPr>
        <w:pStyle w:val="Heading4"/>
      </w:pPr>
      <w:r>
        <w:t>Efficacy</w:t>
      </w:r>
    </w:p>
    <w:p w14:paraId="5772D116" w14:textId="77777777" w:rsidR="00A315B0" w:rsidRDefault="000F62D9" w:rsidP="00A315B0">
      <w:pPr>
        <w:pStyle w:val="Heading5"/>
      </w:pPr>
      <w:r>
        <w:t>Pivotal study: Study A2304</w:t>
      </w:r>
    </w:p>
    <w:p w14:paraId="6ACC0BDC" w14:textId="123A81EB" w:rsidR="000F62D9" w:rsidRDefault="00777DB6" w:rsidP="000F62D9">
      <w:r>
        <w:t>One pivotal Phase III</w:t>
      </w:r>
      <w:r w:rsidR="00A315B0" w:rsidRPr="00A315B0">
        <w:t xml:space="preserve"> study (</w:t>
      </w:r>
      <w:r>
        <w:t xml:space="preserve">Study </w:t>
      </w:r>
      <w:r w:rsidR="00A315B0" w:rsidRPr="00A315B0">
        <w:t xml:space="preserve">A2304) </w:t>
      </w:r>
      <w:r>
        <w:t xml:space="preserve">was </w:t>
      </w:r>
      <w:r w:rsidR="00A315B0" w:rsidRPr="00A315B0">
        <w:t>condu</w:t>
      </w:r>
      <w:r>
        <w:t xml:space="preserve">cted in </w:t>
      </w:r>
      <w:r w:rsidR="00994F03">
        <w:t xml:space="preserve">1651 </w:t>
      </w:r>
      <w:r>
        <w:t>SPMS patients.</w:t>
      </w:r>
    </w:p>
    <w:p w14:paraId="30EFF314" w14:textId="7824C5F7" w:rsidR="000F62D9" w:rsidRDefault="000F62D9" w:rsidP="000F62D9">
      <w:r>
        <w:t>Study A2304 was a Phase III, multicentre, randomised, double blind, parallel group, placebo controlled and variable treatment duration</w:t>
      </w:r>
      <w:r w:rsidR="00A42921">
        <w:t xml:space="preserve"> (event-driven design)</w:t>
      </w:r>
      <w:r>
        <w:t xml:space="preserve">, of the efficacy and safety of </w:t>
      </w:r>
      <w:proofErr w:type="spellStart"/>
      <w:r>
        <w:t>siponimod</w:t>
      </w:r>
      <w:proofErr w:type="spellEnd"/>
      <w:r>
        <w:t xml:space="preserve"> in patients with SPMS, followed by an extension period of open label treatment with </w:t>
      </w:r>
      <w:proofErr w:type="spellStart"/>
      <w:r w:rsidR="009B430F">
        <w:t>s</w:t>
      </w:r>
      <w:r>
        <w:t>iponimod</w:t>
      </w:r>
      <w:proofErr w:type="spellEnd"/>
      <w:r>
        <w:t xml:space="preserve">. The study was performed in two parts, a randomised </w:t>
      </w:r>
      <w:r w:rsidR="009B430F">
        <w:t>core p</w:t>
      </w:r>
      <w:r>
        <w:t xml:space="preserve">art (CP) and an open </w:t>
      </w:r>
      <w:r w:rsidR="009B430F">
        <w:t>e</w:t>
      </w:r>
      <w:r>
        <w:t xml:space="preserve">xtension </w:t>
      </w:r>
      <w:r w:rsidR="009B430F">
        <w:t>p</w:t>
      </w:r>
      <w:r>
        <w:t>art (EP, no data yet available for evaluation at the time this submission was under consideration).</w:t>
      </w:r>
      <w:bookmarkStart w:id="53" w:name="_Ref25917310"/>
      <w:r w:rsidR="00531C9B">
        <w:rPr>
          <w:rStyle w:val="FootnoteReference"/>
        </w:rPr>
        <w:footnoteReference w:id="12"/>
      </w:r>
      <w:bookmarkEnd w:id="53"/>
    </w:p>
    <w:p w14:paraId="004D1F5C" w14:textId="77777777" w:rsidR="000F62D9" w:rsidRDefault="000F62D9" w:rsidP="000F62D9">
      <w:r>
        <w:t xml:space="preserve">The Delegate commented that the EP data on efficacy and safety should be submitted to the TGA when available, to justify the prolonged use of </w:t>
      </w:r>
      <w:proofErr w:type="spellStart"/>
      <w:r>
        <w:t>siponimod</w:t>
      </w:r>
      <w:proofErr w:type="spellEnd"/>
      <w:r>
        <w:t xml:space="preserve"> in clinical practice.</w:t>
      </w:r>
    </w:p>
    <w:p w14:paraId="29B8BEC6" w14:textId="2EFCC79B" w:rsidR="00A315B0" w:rsidRDefault="000F62D9" w:rsidP="000F62D9">
      <w:r>
        <w:t>For the CP, a screening period was followed by a double-blind treatment period of variable duration</w:t>
      </w:r>
      <w:r w:rsidR="00AD0543">
        <w:t xml:space="preserve"> of exposure to study drug</w:t>
      </w:r>
      <w:r>
        <w:t xml:space="preserve"> </w:t>
      </w:r>
      <w:r w:rsidR="00A75C3B">
        <w:t>(&lt;</w:t>
      </w:r>
      <w:r w:rsidR="00782DD4">
        <w:t xml:space="preserve"> </w:t>
      </w:r>
      <w:r w:rsidR="00A75C3B">
        <w:t>1 month to 37 months)</w:t>
      </w:r>
      <w:r>
        <w:t xml:space="preserve"> for the </w:t>
      </w:r>
      <w:r w:rsidR="00A75C3B">
        <w:t xml:space="preserve">individual </w:t>
      </w:r>
      <w:r>
        <w:t xml:space="preserve">patients, and a post-treatment follow-up period. The median study duration </w:t>
      </w:r>
      <w:r w:rsidR="00A75C3B">
        <w:t xml:space="preserve">across all patients </w:t>
      </w:r>
      <w:r w:rsidR="00AD0543">
        <w:t xml:space="preserve">in the CP </w:t>
      </w:r>
      <w:r>
        <w:t xml:space="preserve">was </w:t>
      </w:r>
      <w:r w:rsidR="00BE5DAD">
        <w:t xml:space="preserve">21 </w:t>
      </w:r>
      <w:r>
        <w:t xml:space="preserve">months (range </w:t>
      </w:r>
      <w:r w:rsidR="00A75C3B">
        <w:t>&lt;</w:t>
      </w:r>
      <w:r w:rsidR="009B430F">
        <w:t xml:space="preserve"> </w:t>
      </w:r>
      <w:r>
        <w:t>1 to 37 months).</w:t>
      </w:r>
    </w:p>
    <w:p w14:paraId="2F7B8E2B" w14:textId="366FE8BF" w:rsidR="000F62D9" w:rsidRDefault="000F62D9" w:rsidP="000F62D9">
      <w:r>
        <w:t>The primary endpoint was t</w:t>
      </w:r>
      <w:r w:rsidRPr="000F62D9">
        <w:t xml:space="preserve">o demonstrate the efficacy of </w:t>
      </w:r>
      <w:proofErr w:type="spellStart"/>
      <w:r w:rsidRPr="000F62D9">
        <w:t>siponimod</w:t>
      </w:r>
      <w:proofErr w:type="spellEnd"/>
      <w:r w:rsidRPr="000F62D9">
        <w:t>, compared with pla</w:t>
      </w:r>
      <w:r>
        <w:t xml:space="preserve">cebo, in delaying the time to 3 </w:t>
      </w:r>
      <w:r w:rsidRPr="000F62D9">
        <w:t xml:space="preserve">month </w:t>
      </w:r>
      <w:r w:rsidR="009B430F" w:rsidRPr="000F62D9">
        <w:t>confir</w:t>
      </w:r>
      <w:r w:rsidR="009B430F">
        <w:t>med disability progression</w:t>
      </w:r>
      <w:r>
        <w:t xml:space="preserve"> (CDP</w:t>
      </w:r>
      <w:r w:rsidRPr="000F62D9">
        <w:t>)</w:t>
      </w:r>
      <w:r>
        <w:t xml:space="preserve"> </w:t>
      </w:r>
      <w:r w:rsidRPr="000F62D9">
        <w:t xml:space="preserve">in patients with SPMS, as measured by the </w:t>
      </w:r>
      <w:r>
        <w:t>EDSS</w:t>
      </w:r>
      <w:r w:rsidRPr="000F62D9">
        <w:t>.</w:t>
      </w:r>
      <w:r>
        <w:t xml:space="preserve"> There are two tiers: </w:t>
      </w:r>
      <w:r w:rsidR="00AD097A">
        <w:t xml:space="preserve">1 </w:t>
      </w:r>
      <w:r>
        <w:t xml:space="preserve">point increase </w:t>
      </w:r>
      <w:r w:rsidRPr="000F62D9">
        <w:t>in EDSS for pat</w:t>
      </w:r>
      <w:r>
        <w:t xml:space="preserve">ients with baseline EDSS of </w:t>
      </w:r>
      <w:r w:rsidR="00AD097A">
        <w:t xml:space="preserve">less than 5.5 and, 0.5 </w:t>
      </w:r>
      <w:r w:rsidRPr="000F62D9">
        <w:t>poin</w:t>
      </w:r>
      <w:r>
        <w:t xml:space="preserve">t increase in EDSS for patients </w:t>
      </w:r>
      <w:r w:rsidRPr="000F62D9">
        <w:t>with baseline EDSS of 5.5</w:t>
      </w:r>
      <w:r w:rsidR="00A75C3B">
        <w:t xml:space="preserve"> or more</w:t>
      </w:r>
      <w:r w:rsidRPr="000F62D9">
        <w:t>.</w:t>
      </w:r>
    </w:p>
    <w:p w14:paraId="3209E07D" w14:textId="77777777" w:rsidR="00A315B0" w:rsidRPr="00EA6655" w:rsidRDefault="000F62D9" w:rsidP="000F62D9">
      <w:pPr>
        <w:pStyle w:val="Heading6"/>
      </w:pPr>
      <w:r>
        <w:t>Results: p</w:t>
      </w:r>
      <w:r w:rsidR="00A315B0" w:rsidRPr="00EA6655">
        <w:t>rimary</w:t>
      </w:r>
      <w:r>
        <w:t xml:space="preserve"> endpoints</w:t>
      </w:r>
    </w:p>
    <w:p w14:paraId="3FF5DF38" w14:textId="77777777" w:rsidR="00A315B0" w:rsidRDefault="00A315B0" w:rsidP="000F62D9">
      <w:r>
        <w:t xml:space="preserve">There was a statistically significant 21.2% risk reduction for </w:t>
      </w:r>
      <w:proofErr w:type="spellStart"/>
      <w:r>
        <w:t>siponimod</w:t>
      </w:r>
      <w:proofErr w:type="spellEnd"/>
      <w:r>
        <w:t xml:space="preserve"> comp</w:t>
      </w:r>
      <w:r w:rsidR="00AD097A">
        <w:t>ared with placebo for time to 3 month CDP, based on EDSS (hazard ratio (</w:t>
      </w:r>
      <w:r>
        <w:t>HR</w:t>
      </w:r>
      <w:r w:rsidR="00AD097A">
        <w:t>)</w:t>
      </w:r>
      <w:r>
        <w:t xml:space="preserve"> 0.79 (95% CI: 0.65, 0.95; p</w:t>
      </w:r>
      <w:r w:rsidR="00AD097A">
        <w:t xml:space="preserve"> </w:t>
      </w:r>
      <w:r>
        <w:t>=</w:t>
      </w:r>
      <w:r w:rsidR="00AD097A">
        <w:t xml:space="preserve"> 0.0134)).</w:t>
      </w:r>
    </w:p>
    <w:p w14:paraId="56814FF1" w14:textId="5D9A0E98" w:rsidR="00A315B0" w:rsidRDefault="00AD097A" w:rsidP="000F62D9">
      <w:r>
        <w:t>The Kaplan Meier</w:t>
      </w:r>
      <w:r w:rsidR="00A315B0">
        <w:t xml:space="preserve"> estimates for the percentage of</w:t>
      </w:r>
      <w:r>
        <w:t xml:space="preserve"> patients free of 3 </w:t>
      </w:r>
      <w:r w:rsidR="00A315B0">
        <w:t>month CDP events at Month</w:t>
      </w:r>
      <w:r w:rsidR="00830FE6">
        <w:t xml:space="preserve">s 12, 24 and 36 are shown in </w:t>
      </w:r>
      <w:r w:rsidR="00830FE6">
        <w:fldChar w:fldCharType="begin"/>
      </w:r>
      <w:r w:rsidR="00830FE6">
        <w:instrText xml:space="preserve"> REF _Ref25218600 \h </w:instrText>
      </w:r>
      <w:r w:rsidR="00830FE6">
        <w:fldChar w:fldCharType="separate"/>
      </w:r>
      <w:r w:rsidR="00830FE6">
        <w:t xml:space="preserve">Figure </w:t>
      </w:r>
      <w:r w:rsidR="00830FE6">
        <w:rPr>
          <w:noProof/>
        </w:rPr>
        <w:t>1</w:t>
      </w:r>
      <w:r w:rsidR="00830FE6">
        <w:fldChar w:fldCharType="end"/>
      </w:r>
      <w:r w:rsidR="00830FE6">
        <w:t>.</w:t>
      </w:r>
    </w:p>
    <w:p w14:paraId="39E4C045" w14:textId="6411CD23" w:rsidR="00AD097A" w:rsidRDefault="00AD097A" w:rsidP="00AD097A">
      <w:pPr>
        <w:pStyle w:val="FigureTitle"/>
      </w:pPr>
      <w:bookmarkStart w:id="54" w:name="_Ref25218600"/>
      <w:r>
        <w:lastRenderedPageBreak/>
        <w:t xml:space="preserve">Figure </w:t>
      </w:r>
      <w:fldSimple w:instr=" SEQ Figure \* ARABIC ">
        <w:r w:rsidR="00F46030">
          <w:rPr>
            <w:noProof/>
          </w:rPr>
          <w:t>1</w:t>
        </w:r>
      </w:fldSimple>
      <w:bookmarkEnd w:id="54"/>
      <w:r>
        <w:t xml:space="preserve">: Study </w:t>
      </w:r>
      <w:r w:rsidRPr="00A315B0">
        <w:t>A2304</w:t>
      </w:r>
      <w:r>
        <w:t xml:space="preserve"> </w:t>
      </w:r>
      <w:r w:rsidR="009B430F">
        <w:t>P</w:t>
      </w:r>
      <w:r>
        <w:t>atients free of 3 month CDP based on EDSS, Kaplan Meier curves, Full Analysis Set</w:t>
      </w:r>
    </w:p>
    <w:p w14:paraId="17B0EA3D" w14:textId="77777777" w:rsidR="00A315B0" w:rsidRDefault="00AD097A" w:rsidP="00AD097A">
      <w:r>
        <w:rPr>
          <w:noProof/>
          <w:lang w:eastAsia="en-AU"/>
        </w:rPr>
        <w:drawing>
          <wp:inline distT="0" distB="0" distL="0" distR="0" wp14:anchorId="395C5C96" wp14:editId="2758AB21">
            <wp:extent cx="4901184" cy="3404432"/>
            <wp:effectExtent l="0" t="0" r="0" b="5715"/>
            <wp:docPr id="1" name="Picture 1" descr="Study A2304 patients free of 3 month CDP based on EDSS, Kaplan Meier curv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4412" cy="3406674"/>
                    </a:xfrm>
                    <a:prstGeom prst="rect">
                      <a:avLst/>
                    </a:prstGeom>
                  </pic:spPr>
                </pic:pic>
              </a:graphicData>
            </a:graphic>
          </wp:inline>
        </w:drawing>
      </w:r>
    </w:p>
    <w:p w14:paraId="7916F176" w14:textId="77777777" w:rsidR="00A315B0" w:rsidRDefault="00A315B0" w:rsidP="00AD097A">
      <w:r>
        <w:t xml:space="preserve">There was a significant difference in favour of </w:t>
      </w:r>
      <w:proofErr w:type="spellStart"/>
      <w:r>
        <w:t>siponimod</w:t>
      </w:r>
      <w:proofErr w:type="spellEnd"/>
      <w:r>
        <w:t xml:space="preserve"> compared with placebo (p</w:t>
      </w:r>
      <w:r w:rsidR="00AD097A">
        <w:t> </w:t>
      </w:r>
      <w:r>
        <w:t>=</w:t>
      </w:r>
      <w:r w:rsidR="00AD097A">
        <w:t> </w:t>
      </w:r>
      <w:r>
        <w:t>0.0129) with the curves showing a treatment effect emerging at approximately six months after starting treatment. The curves</w:t>
      </w:r>
      <w:r w:rsidR="00AD097A">
        <w:t xml:space="preserve"> were still divergent at study M</w:t>
      </w:r>
      <w:r>
        <w:t>onth 36 although, onl</w:t>
      </w:r>
      <w:r w:rsidR="00AD097A">
        <w:t xml:space="preserve">y six patients were exposed to </w:t>
      </w:r>
      <w:proofErr w:type="spellStart"/>
      <w:r w:rsidR="00AD097A">
        <w:t>s</w:t>
      </w:r>
      <w:r>
        <w:t>iponimod</w:t>
      </w:r>
      <w:proofErr w:type="spellEnd"/>
      <w:r>
        <w:t xml:space="preserve"> for ≥</w:t>
      </w:r>
      <w:r w:rsidR="00AD097A">
        <w:t xml:space="preserve"> 36 months.</w:t>
      </w:r>
    </w:p>
    <w:p w14:paraId="003A2AC4" w14:textId="77777777" w:rsidR="00A315B0" w:rsidRDefault="00A315B0" w:rsidP="00AD097A">
      <w:r>
        <w:t xml:space="preserve">The primary analysis was confirmed by multiple sensitivity analyses as shown </w:t>
      </w:r>
      <w:r w:rsidR="00AD097A">
        <w:t xml:space="preserve">in </w:t>
      </w:r>
      <w:r w:rsidR="00AD097A">
        <w:fldChar w:fldCharType="begin"/>
      </w:r>
      <w:r w:rsidR="00AD097A">
        <w:instrText xml:space="preserve"> REF _Ref25063039 \h </w:instrText>
      </w:r>
      <w:r w:rsidR="00AD097A">
        <w:fldChar w:fldCharType="separate"/>
      </w:r>
      <w:r w:rsidR="00AD097A">
        <w:t xml:space="preserve">Table </w:t>
      </w:r>
      <w:r w:rsidR="00AD097A">
        <w:rPr>
          <w:noProof/>
        </w:rPr>
        <w:t>5</w:t>
      </w:r>
      <w:r w:rsidR="00AD097A">
        <w:fldChar w:fldCharType="end"/>
      </w:r>
      <w:r w:rsidR="00AD097A">
        <w:t>.</w:t>
      </w:r>
    </w:p>
    <w:p w14:paraId="52874E16" w14:textId="24A312EA" w:rsidR="00AD097A" w:rsidRDefault="00AD097A" w:rsidP="00AD097A">
      <w:pPr>
        <w:pStyle w:val="TableTitle"/>
      </w:pPr>
      <w:bookmarkStart w:id="55" w:name="_Ref25063039"/>
      <w:r>
        <w:t xml:space="preserve">Table </w:t>
      </w:r>
      <w:fldSimple w:instr=" SEQ Table \* ARABIC ">
        <w:r w:rsidR="00C20E52">
          <w:rPr>
            <w:noProof/>
          </w:rPr>
          <w:t>5</w:t>
        </w:r>
      </w:fldSimple>
      <w:bookmarkEnd w:id="55"/>
      <w:r>
        <w:t xml:space="preserve">: Study A2304 </w:t>
      </w:r>
      <w:r w:rsidR="009B430F">
        <w:t>P</w:t>
      </w:r>
      <w:r>
        <w:t>rimary analysis and sensitivity analysis for the 3 month CDP, Cox proportional hazards model</w:t>
      </w:r>
    </w:p>
    <w:p w14:paraId="2BCB7444" w14:textId="77777777" w:rsidR="00A315B0" w:rsidRDefault="00AD097A" w:rsidP="00AD097A">
      <w:r>
        <w:rPr>
          <w:noProof/>
          <w:lang w:eastAsia="en-AU"/>
        </w:rPr>
        <w:drawing>
          <wp:inline distT="0" distB="0" distL="0" distR="0" wp14:anchorId="0FA9D327" wp14:editId="0116418F">
            <wp:extent cx="4930444" cy="3103559"/>
            <wp:effectExtent l="0" t="0" r="3810" b="1905"/>
            <wp:docPr id="2" name="Picture 2" descr="Study A2304 primary analysis and sensitivity analysis for the 3 month CDP, Cox proportional hazard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3172" cy="3105276"/>
                    </a:xfrm>
                    <a:prstGeom prst="rect">
                      <a:avLst/>
                    </a:prstGeom>
                  </pic:spPr>
                </pic:pic>
              </a:graphicData>
            </a:graphic>
          </wp:inline>
        </w:drawing>
      </w:r>
    </w:p>
    <w:p w14:paraId="37382780" w14:textId="77777777" w:rsidR="00A315B0" w:rsidRDefault="00A315B0" w:rsidP="00AD097A">
      <w:r>
        <w:t>In each sensitivity analysis, there was a statistically significa</w:t>
      </w:r>
      <w:r w:rsidR="00874C95">
        <w:t xml:space="preserve">nt risk reduction in favour of </w:t>
      </w:r>
      <w:proofErr w:type="spellStart"/>
      <w:r w:rsidR="00874C95">
        <w:t>siponimod</w:t>
      </w:r>
      <w:proofErr w:type="spellEnd"/>
      <w:r w:rsidR="00874C95">
        <w:t xml:space="preserve">. Time to 3 </w:t>
      </w:r>
      <w:r>
        <w:t xml:space="preserve">month CDP sustained until last observation showed a statistically </w:t>
      </w:r>
      <w:r>
        <w:lastRenderedPageBreak/>
        <w:t>significant (p</w:t>
      </w:r>
      <w:r w:rsidR="00874C95">
        <w:t xml:space="preserve"> </w:t>
      </w:r>
      <w:r>
        <w:t>=</w:t>
      </w:r>
      <w:r w:rsidR="00874C95">
        <w:t xml:space="preserve"> </w:t>
      </w:r>
      <w:r>
        <w:t>0.0060) risk r</w:t>
      </w:r>
      <w:r w:rsidR="00874C95">
        <w:t xml:space="preserve">eduction of 25.1% in favour of </w:t>
      </w:r>
      <w:proofErr w:type="spellStart"/>
      <w:r w:rsidR="00874C95">
        <w:t>s</w:t>
      </w:r>
      <w:r>
        <w:t>iponimod</w:t>
      </w:r>
      <w:proofErr w:type="spellEnd"/>
      <w:r>
        <w:t xml:space="preserve"> compared with placebo as per</w:t>
      </w:r>
      <w:r w:rsidR="00874C95">
        <w:t xml:space="preserve"> </w:t>
      </w:r>
      <w:r w:rsidR="00874C95">
        <w:fldChar w:fldCharType="begin"/>
      </w:r>
      <w:r w:rsidR="00874C95">
        <w:instrText xml:space="preserve"> REF _Ref25063347 \h </w:instrText>
      </w:r>
      <w:r w:rsidR="00874C95">
        <w:fldChar w:fldCharType="separate"/>
      </w:r>
      <w:r w:rsidR="00874C95">
        <w:t xml:space="preserve">Figure </w:t>
      </w:r>
      <w:r w:rsidR="00874C95">
        <w:rPr>
          <w:noProof/>
        </w:rPr>
        <w:t>2</w:t>
      </w:r>
      <w:r w:rsidR="00874C95">
        <w:fldChar w:fldCharType="end"/>
      </w:r>
      <w:r w:rsidR="00874C95">
        <w:t>.</w:t>
      </w:r>
    </w:p>
    <w:p w14:paraId="00502854" w14:textId="4542E73E" w:rsidR="00874C95" w:rsidRDefault="00874C95" w:rsidP="00874C95">
      <w:pPr>
        <w:pStyle w:val="FigureTitle"/>
      </w:pPr>
      <w:bookmarkStart w:id="56" w:name="_Ref25063347"/>
      <w:r>
        <w:t xml:space="preserve">Figure </w:t>
      </w:r>
      <w:fldSimple w:instr=" SEQ Figure \* ARABIC ">
        <w:r w:rsidR="00F46030">
          <w:rPr>
            <w:noProof/>
          </w:rPr>
          <w:t>2</w:t>
        </w:r>
      </w:fldSimple>
      <w:bookmarkEnd w:id="56"/>
      <w:r>
        <w:t xml:space="preserve">: Study A2304 </w:t>
      </w:r>
      <w:r w:rsidR="009B430F">
        <w:t>P</w:t>
      </w:r>
      <w:r>
        <w:t xml:space="preserve">atients free of 3 month CDP based on EDSS and sustained until the end of </w:t>
      </w:r>
      <w:r w:rsidR="009B430F">
        <w:t>c</w:t>
      </w:r>
      <w:r>
        <w:t xml:space="preserve">ore </w:t>
      </w:r>
      <w:r w:rsidR="009B430F">
        <w:t>p</w:t>
      </w:r>
      <w:r>
        <w:t>art</w:t>
      </w:r>
      <w:r w:rsidR="009B430F">
        <w:t xml:space="preserve"> of study</w:t>
      </w:r>
      <w:r>
        <w:t>, Kaplan Meier curves, Full Analysis Set</w:t>
      </w:r>
    </w:p>
    <w:p w14:paraId="1E27D54A" w14:textId="77777777" w:rsidR="00A315B0" w:rsidRDefault="00874C95" w:rsidP="00874C95">
      <w:r>
        <w:rPr>
          <w:noProof/>
          <w:lang w:eastAsia="en-AU"/>
        </w:rPr>
        <w:drawing>
          <wp:inline distT="0" distB="0" distL="0" distR="0" wp14:anchorId="4DDDBBE0" wp14:editId="4E7D71AB">
            <wp:extent cx="5400040" cy="3018155"/>
            <wp:effectExtent l="0" t="0" r="0" b="0"/>
            <wp:docPr id="3" name="Picture 3" descr="Study A2304 patients free of 3 month CDP based on EDSS and sustained until the end of Core Part, Kaplan Meier curv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018155"/>
                    </a:xfrm>
                    <a:prstGeom prst="rect">
                      <a:avLst/>
                    </a:prstGeom>
                  </pic:spPr>
                </pic:pic>
              </a:graphicData>
            </a:graphic>
          </wp:inline>
        </w:drawing>
      </w:r>
    </w:p>
    <w:p w14:paraId="792E4941" w14:textId="77777777" w:rsidR="00A315B0" w:rsidRDefault="00874C95" w:rsidP="00874C95">
      <w:pPr>
        <w:pStyle w:val="Heading6"/>
      </w:pPr>
      <w:r>
        <w:t>Results: secondary (k</w:t>
      </w:r>
      <w:r w:rsidR="00A315B0">
        <w:t>ey)</w:t>
      </w:r>
      <w:r>
        <w:t xml:space="preserve"> endpoints</w:t>
      </w:r>
    </w:p>
    <w:p w14:paraId="7FBD34E0" w14:textId="4F379DEC" w:rsidR="00A315B0" w:rsidRDefault="00874C95" w:rsidP="00874C95">
      <w:r>
        <w:t xml:space="preserve">The time to 3 </w:t>
      </w:r>
      <w:r w:rsidR="00A315B0">
        <w:t xml:space="preserve">month confirmed worsening in </w:t>
      </w:r>
      <w:r>
        <w:t xml:space="preserve">Timed 25 </w:t>
      </w:r>
      <w:r w:rsidRPr="00874C95">
        <w:t xml:space="preserve">Foot Walk </w:t>
      </w:r>
      <w:r w:rsidR="009B430F">
        <w:t>t</w:t>
      </w:r>
      <w:r w:rsidRPr="00874C95">
        <w:t xml:space="preserve">est </w:t>
      </w:r>
      <w:r>
        <w:t>(</w:t>
      </w:r>
      <w:r w:rsidR="00A315B0">
        <w:t>T25W</w:t>
      </w:r>
      <w:r>
        <w:t>)</w:t>
      </w:r>
      <w:r w:rsidR="00A315B0">
        <w:t xml:space="preserve"> of at least 20% from </w:t>
      </w:r>
      <w:r w:rsidR="009B430F">
        <w:t>B</w:t>
      </w:r>
      <w:r w:rsidR="00A315B0">
        <w:t xml:space="preserve">aseline is shown </w:t>
      </w:r>
      <w:r>
        <w:t xml:space="preserve">in </w:t>
      </w:r>
      <w:r w:rsidR="002A5BDC">
        <w:fldChar w:fldCharType="begin"/>
      </w:r>
      <w:r w:rsidR="002A5BDC">
        <w:instrText xml:space="preserve"> REF _Ref25064008 \h </w:instrText>
      </w:r>
      <w:r w:rsidR="002A5BDC">
        <w:fldChar w:fldCharType="separate"/>
      </w:r>
      <w:r w:rsidR="002A5BDC">
        <w:t xml:space="preserve">Table </w:t>
      </w:r>
      <w:r w:rsidR="002A5BDC">
        <w:rPr>
          <w:noProof/>
        </w:rPr>
        <w:t>6</w:t>
      </w:r>
      <w:r w:rsidR="002A5BDC">
        <w:fldChar w:fldCharType="end"/>
      </w:r>
      <w:r w:rsidR="002A5BDC">
        <w:t>.</w:t>
      </w:r>
    </w:p>
    <w:p w14:paraId="18A275BB" w14:textId="72461BD6" w:rsidR="00A315B0" w:rsidRDefault="00874C95" w:rsidP="00874C95">
      <w:pPr>
        <w:pStyle w:val="TableTitle"/>
      </w:pPr>
      <w:bookmarkStart w:id="57" w:name="_Ref25064008"/>
      <w:r>
        <w:t xml:space="preserve">Table </w:t>
      </w:r>
      <w:fldSimple w:instr=" SEQ Table \* ARABIC ">
        <w:r w:rsidR="00C20E52">
          <w:rPr>
            <w:noProof/>
          </w:rPr>
          <w:t>6</w:t>
        </w:r>
      </w:fldSimple>
      <w:bookmarkEnd w:id="57"/>
      <w:r>
        <w:t>: Time to 3 month confirmed worsening in T25W</w:t>
      </w:r>
      <w:r w:rsidR="009B430F">
        <w:t xml:space="preserve"> test</w:t>
      </w:r>
      <w:r>
        <w:t xml:space="preserve"> of at least 20% from Baseline, Cox proportional hazards model, Full Analysis Set</w:t>
      </w:r>
    </w:p>
    <w:p w14:paraId="2B8B4041" w14:textId="77777777" w:rsidR="00A315B0" w:rsidRDefault="00874C95" w:rsidP="00874C95">
      <w:r>
        <w:rPr>
          <w:noProof/>
          <w:lang w:eastAsia="en-AU"/>
        </w:rPr>
        <w:drawing>
          <wp:inline distT="0" distB="0" distL="0" distR="0" wp14:anchorId="3D7E84A3" wp14:editId="39B3410D">
            <wp:extent cx="5400040" cy="2160905"/>
            <wp:effectExtent l="0" t="0" r="0" b="0"/>
            <wp:docPr id="5" name="Picture 5" descr="Time to 3 month confirmed worsening in T25W of at least 20% from Baseline, Cox proportional hazards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160905"/>
                    </a:xfrm>
                    <a:prstGeom prst="rect">
                      <a:avLst/>
                    </a:prstGeom>
                  </pic:spPr>
                </pic:pic>
              </a:graphicData>
            </a:graphic>
          </wp:inline>
        </w:drawing>
      </w:r>
    </w:p>
    <w:p w14:paraId="182CD5BB" w14:textId="77777777" w:rsidR="00A315B0" w:rsidRPr="00874C95" w:rsidRDefault="00A315B0" w:rsidP="00874C95">
      <w:r>
        <w:t>There was a 6.</w:t>
      </w:r>
      <w:r w:rsidR="00874C95">
        <w:t xml:space="preserve">2% risk reduction in favour of </w:t>
      </w:r>
      <w:proofErr w:type="spellStart"/>
      <w:r w:rsidR="00874C95">
        <w:t>s</w:t>
      </w:r>
      <w:r>
        <w:t>iponimod</w:t>
      </w:r>
      <w:proofErr w:type="spellEnd"/>
      <w:r>
        <w:t xml:space="preserve"> compared with placebo, which did not ac</w:t>
      </w:r>
      <w:r w:rsidR="00874C95">
        <w:t>hieve statistical significance (</w:t>
      </w:r>
      <w:r>
        <w:t>HR 0.94</w:t>
      </w:r>
      <w:r w:rsidR="00874C95">
        <w:t xml:space="preserve"> (95% CI: 0.80, 1.10; p = 0.4398))</w:t>
      </w:r>
      <w:r>
        <w:t>. Additional exploratory analyses were performed to explain the failure to achieve this key secondary endpoint. However, all the exploratory analyses confirmed the primary analysis.</w:t>
      </w:r>
    </w:p>
    <w:p w14:paraId="0B1031CA" w14:textId="47467B70" w:rsidR="00A315B0" w:rsidRPr="00B87BC6" w:rsidRDefault="00874C95" w:rsidP="00874C95">
      <w:r>
        <w:rPr>
          <w:rFonts w:ascii="Calibri"/>
        </w:rPr>
        <w:t>T</w:t>
      </w:r>
      <w:r w:rsidR="00A315B0" w:rsidRPr="00B87BC6">
        <w:t xml:space="preserve">he sponsor suggested a possible explanation for the lack of statistically </w:t>
      </w:r>
      <w:r w:rsidR="00A315B0">
        <w:t>s</w:t>
      </w:r>
      <w:r w:rsidR="00A315B0" w:rsidRPr="00B87BC6">
        <w:t>ignificant</w:t>
      </w:r>
      <w:r w:rsidR="00A315B0">
        <w:t xml:space="preserve"> </w:t>
      </w:r>
      <w:r>
        <w:t xml:space="preserve">benefit in favour of </w:t>
      </w:r>
      <w:proofErr w:type="spellStart"/>
      <w:r>
        <w:t>s</w:t>
      </w:r>
      <w:r w:rsidR="00A315B0" w:rsidRPr="00B87BC6">
        <w:t>iponimod</w:t>
      </w:r>
      <w:proofErr w:type="spellEnd"/>
      <w:r w:rsidR="00A315B0" w:rsidRPr="00B87BC6">
        <w:t xml:space="preserve"> for the</w:t>
      </w:r>
      <w:r w:rsidR="00A315B0">
        <w:t xml:space="preserve"> </w:t>
      </w:r>
      <w:r w:rsidR="002A5BDC">
        <w:t xml:space="preserve">time to 3 </w:t>
      </w:r>
      <w:r w:rsidR="00A315B0" w:rsidRPr="00B87BC6">
        <w:t xml:space="preserve">month confirmed </w:t>
      </w:r>
      <w:r w:rsidR="00A315B0">
        <w:t>worsening</w:t>
      </w:r>
      <w:r w:rsidR="002A5BDC">
        <w:t xml:space="preserve"> in T25W</w:t>
      </w:r>
      <w:r w:rsidR="009B430F">
        <w:t xml:space="preserve"> test scores</w:t>
      </w:r>
      <w:r w:rsidR="002A5BDC">
        <w:t>;</w:t>
      </w:r>
      <w:r>
        <w:t xml:space="preserve"> m</w:t>
      </w:r>
      <w:r w:rsidR="00A315B0" w:rsidRPr="00B87BC6">
        <w:t xml:space="preserve">ore than half of the SPMS patients had an EDSS 6.0 or higher (requiring a walking aid) at baseline, with the T25W test covering a broad range of durations (including durations above three minutes). This high variability in T25W would be expected to confound the </w:t>
      </w:r>
      <w:r w:rsidR="00A315B0" w:rsidRPr="00B87BC6">
        <w:lastRenderedPageBreak/>
        <w:t xml:space="preserve">statistical analyses of the key secondary endpoint and composite endpoints. The </w:t>
      </w:r>
      <w:r w:rsidR="002A5BDC">
        <w:t xml:space="preserve">clinical evaluator considered the </w:t>
      </w:r>
      <w:r w:rsidR="00A315B0" w:rsidRPr="00B87BC6">
        <w:t>spon</w:t>
      </w:r>
      <w:r w:rsidR="002A5BDC">
        <w:t>sor’s explanation is plausible.</w:t>
      </w:r>
    </w:p>
    <w:p w14:paraId="0752D778" w14:textId="77777777" w:rsidR="00A315B0" w:rsidRDefault="00A315B0" w:rsidP="002A5BDC">
      <w:r w:rsidRPr="008E3CFD">
        <w:t>The changes from baselin</w:t>
      </w:r>
      <w:r w:rsidR="002A5BDC">
        <w:t>e in T2 lesion volume at study M</w:t>
      </w:r>
      <w:r w:rsidRPr="008E3CFD">
        <w:t>onths</w:t>
      </w:r>
      <w:r w:rsidR="002A5BDC">
        <w:t xml:space="preserve"> 12 and 24 are summarised in </w:t>
      </w:r>
      <w:r w:rsidR="002A5BDC">
        <w:fldChar w:fldCharType="begin"/>
      </w:r>
      <w:r w:rsidR="002A5BDC">
        <w:instrText xml:space="preserve"> REF _Ref25063998 \h </w:instrText>
      </w:r>
      <w:r w:rsidR="002A5BDC">
        <w:fldChar w:fldCharType="separate"/>
      </w:r>
      <w:r w:rsidR="002A5BDC">
        <w:t xml:space="preserve">Table </w:t>
      </w:r>
      <w:r w:rsidR="002A5BDC">
        <w:rPr>
          <w:noProof/>
        </w:rPr>
        <w:t>7</w:t>
      </w:r>
      <w:r w:rsidR="002A5BDC">
        <w:fldChar w:fldCharType="end"/>
      </w:r>
      <w:r w:rsidR="002A5BDC">
        <w:t>.</w:t>
      </w:r>
    </w:p>
    <w:p w14:paraId="1020DC35" w14:textId="6DB3FA22" w:rsidR="002A5BDC" w:rsidRDefault="002A5BDC" w:rsidP="002A5BDC">
      <w:pPr>
        <w:pStyle w:val="TableTitle"/>
      </w:pPr>
      <w:bookmarkStart w:id="58" w:name="_Ref25063998"/>
      <w:r>
        <w:t xml:space="preserve">Table </w:t>
      </w:r>
      <w:fldSimple w:instr=" SEQ Table \* ARABIC ">
        <w:r w:rsidR="00C20E52">
          <w:rPr>
            <w:noProof/>
          </w:rPr>
          <w:t>7</w:t>
        </w:r>
      </w:fldSimple>
      <w:bookmarkEnd w:id="58"/>
      <w:r>
        <w:t xml:space="preserve">: Study A2304 </w:t>
      </w:r>
      <w:r w:rsidR="009B430F">
        <w:t xml:space="preserve">Change </w:t>
      </w:r>
      <w:r>
        <w:t>from Baseline in T2 lesion volume (mm</w:t>
      </w:r>
      <w:r w:rsidRPr="002A5BDC">
        <w:rPr>
          <w:vertAlign w:val="superscript"/>
        </w:rPr>
        <w:t>3</w:t>
      </w:r>
      <w:r>
        <w:t>) by time point (Month 12 and 24), repeated measures model, Full Analysis Set</w:t>
      </w:r>
    </w:p>
    <w:p w14:paraId="57AC86EA" w14:textId="77777777" w:rsidR="00A315B0" w:rsidRDefault="002A5BDC" w:rsidP="002A5BDC">
      <w:r>
        <w:rPr>
          <w:noProof/>
          <w:lang w:eastAsia="en-AU"/>
        </w:rPr>
        <w:drawing>
          <wp:inline distT="0" distB="0" distL="0" distR="0" wp14:anchorId="2CD34F6A" wp14:editId="419A581F">
            <wp:extent cx="5400040" cy="2506980"/>
            <wp:effectExtent l="0" t="0" r="0" b="7620"/>
            <wp:docPr id="6" name="Picture 6" descr="Study A2304 change from Baseline in T2 lesion volume (mm3) by time point (Month 12 and 24), repeated measures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506980"/>
                    </a:xfrm>
                    <a:prstGeom prst="rect">
                      <a:avLst/>
                    </a:prstGeom>
                  </pic:spPr>
                </pic:pic>
              </a:graphicData>
            </a:graphic>
          </wp:inline>
        </w:drawing>
      </w:r>
    </w:p>
    <w:p w14:paraId="10C0988D" w14:textId="778D5BF2" w:rsidR="00A315B0" w:rsidRDefault="002A5BDC" w:rsidP="002A5BDC">
      <w:r>
        <w:t>Averaged over study M</w:t>
      </w:r>
      <w:r w:rsidR="00A315B0">
        <w:t>onths 12 and 24, there was a statistically significant reduction in lesion volume of -695.3 mm</w:t>
      </w:r>
      <w:r w:rsidR="00A315B0">
        <w:rPr>
          <w:position w:val="5"/>
          <w:sz w:val="14"/>
        </w:rPr>
        <w:t xml:space="preserve">3 </w:t>
      </w:r>
      <w:r w:rsidR="00830FE6">
        <w:t xml:space="preserve">in favour of </w:t>
      </w:r>
      <w:proofErr w:type="spellStart"/>
      <w:r w:rsidR="00830FE6">
        <w:t>s</w:t>
      </w:r>
      <w:r w:rsidR="00A315B0">
        <w:t>iponimod</w:t>
      </w:r>
      <w:proofErr w:type="spellEnd"/>
      <w:r w:rsidR="00A315B0">
        <w:t xml:space="preserve"> compared with placebo (95%</w:t>
      </w:r>
      <w:r w:rsidR="009B430F">
        <w:t> </w:t>
      </w:r>
      <w:r>
        <w:t xml:space="preserve">CI: </w:t>
      </w:r>
      <w:r>
        <w:noBreakHyphen/>
        <w:t>877.3, -513.3; p &lt; 0.0001).</w:t>
      </w:r>
    </w:p>
    <w:p w14:paraId="47A90F05" w14:textId="77777777" w:rsidR="00A315B0" w:rsidRDefault="002A5BDC" w:rsidP="002A5BDC">
      <w:pPr>
        <w:pStyle w:val="Heading6"/>
      </w:pPr>
      <w:r>
        <w:t>Results: s</w:t>
      </w:r>
      <w:r w:rsidR="00A315B0" w:rsidRPr="00095A28">
        <w:t>econdary (</w:t>
      </w:r>
      <w:r>
        <w:t>a</w:t>
      </w:r>
      <w:r w:rsidR="00A315B0">
        <w:t>dditional)</w:t>
      </w:r>
      <w:r>
        <w:t xml:space="preserve"> endpoints</w:t>
      </w:r>
    </w:p>
    <w:p w14:paraId="3BB21CB1" w14:textId="77777777" w:rsidR="00A315B0" w:rsidRPr="006E7962" w:rsidRDefault="002A5BDC" w:rsidP="002A5BDC">
      <w:pPr>
        <w:rPr>
          <w:b/>
        </w:rPr>
      </w:pPr>
      <w:r>
        <w:t xml:space="preserve">Compared with placebo, </w:t>
      </w:r>
      <w:proofErr w:type="spellStart"/>
      <w:r>
        <w:t>s</w:t>
      </w:r>
      <w:r w:rsidR="00A315B0">
        <w:t>iponimod</w:t>
      </w:r>
      <w:proofErr w:type="spellEnd"/>
      <w:r w:rsidR="00A315B0">
        <w:t xml:space="preserve"> sign</w:t>
      </w:r>
      <w:r>
        <w:t>ificantly delayed the time to 6</w:t>
      </w:r>
      <w:r w:rsidR="00A315B0">
        <w:t xml:space="preserve"> month CDP </w:t>
      </w:r>
      <w:r w:rsidR="00DA2694">
        <w:t>with a risk reduction of 25.9% (</w:t>
      </w:r>
      <w:r w:rsidR="00A315B0">
        <w:t>HR 0.74 (95% CI: 0.60, 0.92; p</w:t>
      </w:r>
      <w:r w:rsidR="00DA2694">
        <w:t xml:space="preserve"> </w:t>
      </w:r>
      <w:r w:rsidR="00A315B0">
        <w:t>=</w:t>
      </w:r>
      <w:r w:rsidR="00DA2694">
        <w:t xml:space="preserve"> </w:t>
      </w:r>
      <w:r w:rsidR="00A315B0">
        <w:t>0.0058)</w:t>
      </w:r>
      <w:r w:rsidR="00DA2694">
        <w:t>)</w:t>
      </w:r>
      <w:r w:rsidR="00AC5FED">
        <w:t xml:space="preserve"> as per </w:t>
      </w:r>
      <w:r w:rsidR="00AC5FED">
        <w:fldChar w:fldCharType="begin"/>
      </w:r>
      <w:r w:rsidR="00AC5FED">
        <w:instrText xml:space="preserve"> REF _Ref25064909 \h </w:instrText>
      </w:r>
      <w:r w:rsidR="00AC5FED">
        <w:fldChar w:fldCharType="separate"/>
      </w:r>
      <w:r w:rsidR="00AC5FED">
        <w:t xml:space="preserve">Table </w:t>
      </w:r>
      <w:r w:rsidR="00AC5FED">
        <w:rPr>
          <w:noProof/>
        </w:rPr>
        <w:t>8</w:t>
      </w:r>
      <w:r w:rsidR="00AC5FED">
        <w:fldChar w:fldCharType="end"/>
      </w:r>
      <w:r w:rsidR="00AC5FED">
        <w:t>.</w:t>
      </w:r>
    </w:p>
    <w:p w14:paraId="3B037F07" w14:textId="77777777" w:rsidR="00A315B0" w:rsidRDefault="00AC5FED" w:rsidP="00AC5FED">
      <w:pPr>
        <w:pStyle w:val="TableTitle"/>
      </w:pPr>
      <w:bookmarkStart w:id="59" w:name="_Ref25064909"/>
      <w:r>
        <w:t xml:space="preserve">Table </w:t>
      </w:r>
      <w:fldSimple w:instr=" SEQ Table \* ARABIC ">
        <w:r w:rsidR="00C20E52">
          <w:rPr>
            <w:noProof/>
          </w:rPr>
          <w:t>8</w:t>
        </w:r>
      </w:fldSimple>
      <w:bookmarkEnd w:id="59"/>
      <w:r>
        <w:t xml:space="preserve">: </w:t>
      </w:r>
      <w:r w:rsidR="00DA2694">
        <w:t>Time to 6 month CDP based on EDSS, Cox proportional hazards model, Full Analysis Set</w:t>
      </w:r>
    </w:p>
    <w:p w14:paraId="102D0963" w14:textId="77777777" w:rsidR="00A315B0" w:rsidRPr="00AC5FED" w:rsidRDefault="00AC5FED" w:rsidP="00AC5FED">
      <w:r>
        <w:rPr>
          <w:noProof/>
          <w:lang w:eastAsia="en-AU"/>
        </w:rPr>
        <w:drawing>
          <wp:inline distT="0" distB="0" distL="0" distR="0" wp14:anchorId="59336318" wp14:editId="236D74A6">
            <wp:extent cx="5400040" cy="1876425"/>
            <wp:effectExtent l="0" t="0" r="0" b="9525"/>
            <wp:docPr id="9" name="Picture 9" descr="Time to 6 month CDP based on EDSS, Cox proportional hazards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876425"/>
                    </a:xfrm>
                    <a:prstGeom prst="rect">
                      <a:avLst/>
                    </a:prstGeom>
                  </pic:spPr>
                </pic:pic>
              </a:graphicData>
            </a:graphic>
          </wp:inline>
        </w:drawing>
      </w:r>
    </w:p>
    <w:p w14:paraId="2ACDC646" w14:textId="780CC86F" w:rsidR="00A315B0" w:rsidRDefault="00A315B0" w:rsidP="00AC5FED">
      <w:pPr>
        <w:pStyle w:val="BodyText"/>
        <w:spacing w:before="117"/>
        <w:ind w:right="811"/>
      </w:pPr>
      <w:r w:rsidRPr="009C3D59">
        <w:t xml:space="preserve">When </w:t>
      </w:r>
      <w:proofErr w:type="spellStart"/>
      <w:r w:rsidRPr="009C3D59">
        <w:t>siponimod</w:t>
      </w:r>
      <w:proofErr w:type="spellEnd"/>
      <w:r w:rsidRPr="009C3D59">
        <w:t xml:space="preserve"> was compared to placebo regarding</w:t>
      </w:r>
      <w:r w:rsidR="00AC5FED">
        <w:t xml:space="preserve"> </w:t>
      </w:r>
      <w:r w:rsidRPr="009C3D59">
        <w:t xml:space="preserve">variables related to relapse, there was a statistically significant 55.5% rate reduction in </w:t>
      </w:r>
      <w:r w:rsidR="009C4CE6">
        <w:t>annualised relapse rate (</w:t>
      </w:r>
      <w:r>
        <w:t>A</w:t>
      </w:r>
      <w:r w:rsidRPr="009C3D59">
        <w:t>RR</w:t>
      </w:r>
      <w:r w:rsidR="009C4CE6">
        <w:t>)</w:t>
      </w:r>
      <w:r>
        <w:t xml:space="preserve"> </w:t>
      </w:r>
      <w:r w:rsidR="00AC5FED">
        <w:t xml:space="preserve">in favour of </w:t>
      </w:r>
      <w:proofErr w:type="spellStart"/>
      <w:r w:rsidR="00AC5FED">
        <w:t>siponimod</w:t>
      </w:r>
      <w:proofErr w:type="spellEnd"/>
      <w:r w:rsidR="00AC5FED">
        <w:t xml:space="preserve"> (</w:t>
      </w:r>
      <w:r w:rsidRPr="009C3D59">
        <w:t>ARR 0.445 (95% CI: 0.337, 0.587; p</w:t>
      </w:r>
      <w:r w:rsidR="00AC5FED">
        <w:t xml:space="preserve"> </w:t>
      </w:r>
      <w:r w:rsidRPr="009C3D59">
        <w:t>&lt;</w:t>
      </w:r>
      <w:r w:rsidR="00AC5FED">
        <w:t xml:space="preserve"> </w:t>
      </w:r>
      <w:r w:rsidRPr="009C3D59">
        <w:t>0.0001</w:t>
      </w:r>
      <w:r w:rsidR="00AC5FED">
        <w:t>)</w:t>
      </w:r>
      <w:r w:rsidR="005811A3">
        <w:t xml:space="preserve"> as shown in </w:t>
      </w:r>
      <w:r w:rsidR="005811A3">
        <w:fldChar w:fldCharType="begin"/>
      </w:r>
      <w:r w:rsidR="005811A3">
        <w:instrText xml:space="preserve"> REF _Ref25065428 \h </w:instrText>
      </w:r>
      <w:r w:rsidR="005811A3">
        <w:fldChar w:fldCharType="separate"/>
      </w:r>
      <w:r w:rsidR="005811A3">
        <w:t xml:space="preserve">Table </w:t>
      </w:r>
      <w:r w:rsidR="005811A3">
        <w:rPr>
          <w:noProof/>
        </w:rPr>
        <w:t>9</w:t>
      </w:r>
      <w:r w:rsidR="005811A3">
        <w:fldChar w:fldCharType="end"/>
      </w:r>
      <w:r w:rsidR="005811A3">
        <w:t>.</w:t>
      </w:r>
    </w:p>
    <w:p w14:paraId="333C44D2" w14:textId="3E0C5487" w:rsidR="00AC5FED" w:rsidRDefault="00AC5FED" w:rsidP="00AC5FED">
      <w:pPr>
        <w:pStyle w:val="TableTitle"/>
      </w:pPr>
      <w:bookmarkStart w:id="60" w:name="_Ref25065428"/>
      <w:r>
        <w:lastRenderedPageBreak/>
        <w:t xml:space="preserve">Table </w:t>
      </w:r>
      <w:fldSimple w:instr=" SEQ Table \* ARABIC ">
        <w:r w:rsidR="00C20E52">
          <w:rPr>
            <w:noProof/>
          </w:rPr>
          <w:t>9</w:t>
        </w:r>
      </w:fldSimple>
      <w:bookmarkEnd w:id="60"/>
      <w:r>
        <w:t xml:space="preserve">: Study A2304 </w:t>
      </w:r>
      <w:r w:rsidR="009C4CE6">
        <w:t>A</w:t>
      </w:r>
      <w:r w:rsidRPr="00C816F8">
        <w:t>nnualised relapse rate</w:t>
      </w:r>
      <w:r>
        <w:t xml:space="preserve"> for confirmed relapses, negative binomial regression, Full Analysis Set</w:t>
      </w:r>
    </w:p>
    <w:p w14:paraId="2A28FA84" w14:textId="77777777" w:rsidR="00A315B0" w:rsidRDefault="00AC5FED" w:rsidP="00AC5FED">
      <w:r>
        <w:rPr>
          <w:noProof/>
          <w:lang w:eastAsia="en-AU"/>
        </w:rPr>
        <w:drawing>
          <wp:inline distT="0" distB="0" distL="0" distR="0" wp14:anchorId="3920D17B" wp14:editId="3B1138F8">
            <wp:extent cx="5400040" cy="1857375"/>
            <wp:effectExtent l="0" t="0" r="0" b="9525"/>
            <wp:docPr id="10" name="Picture 10" descr="Study A2304 annualised relapse rate for confirmed relapses, negative binomial regress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857375"/>
                    </a:xfrm>
                    <a:prstGeom prst="rect">
                      <a:avLst/>
                    </a:prstGeom>
                  </pic:spPr>
                </pic:pic>
              </a:graphicData>
            </a:graphic>
          </wp:inline>
        </w:drawing>
      </w:r>
    </w:p>
    <w:p w14:paraId="011F65B6" w14:textId="77777777" w:rsidR="005811A3" w:rsidRDefault="00AC5FED" w:rsidP="00AC5FED">
      <w:r w:rsidRPr="009C3D59">
        <w:t xml:space="preserve">When </w:t>
      </w:r>
      <w:proofErr w:type="spellStart"/>
      <w:r w:rsidRPr="009C3D59">
        <w:t>siponimod</w:t>
      </w:r>
      <w:proofErr w:type="spellEnd"/>
      <w:r w:rsidRPr="009C3D59">
        <w:t xml:space="preserve"> was compared to placebo regarding</w:t>
      </w:r>
      <w:r>
        <w:t xml:space="preserve"> </w:t>
      </w:r>
      <w:r w:rsidRPr="009C3D59">
        <w:t>variables related to</w:t>
      </w:r>
      <w:r>
        <w:t xml:space="preserve"> </w:t>
      </w:r>
      <w:r w:rsidR="00A315B0">
        <w:t xml:space="preserve">risk reduction, there was a statistically significant reduction of 46.4% for time to first confirmed </w:t>
      </w:r>
      <w:r w:rsidR="005811A3">
        <w:t xml:space="preserve">relapse in favour of </w:t>
      </w:r>
      <w:proofErr w:type="spellStart"/>
      <w:r w:rsidR="005811A3">
        <w:t>s</w:t>
      </w:r>
      <w:r>
        <w:t>iponimod</w:t>
      </w:r>
      <w:proofErr w:type="spellEnd"/>
      <w:r>
        <w:t xml:space="preserve"> (</w:t>
      </w:r>
      <w:r w:rsidR="00A315B0">
        <w:t>HR 0.54 (95% CI: 0.41, 0.70; p</w:t>
      </w:r>
      <w:r>
        <w:t xml:space="preserve"> </w:t>
      </w:r>
      <w:r w:rsidR="00A315B0">
        <w:t>&lt;</w:t>
      </w:r>
      <w:r>
        <w:t xml:space="preserve"> 0.0001))</w:t>
      </w:r>
      <w:r w:rsidR="005811A3">
        <w:t xml:space="preserve"> as per </w:t>
      </w:r>
      <w:r w:rsidR="005811A3">
        <w:fldChar w:fldCharType="begin"/>
      </w:r>
      <w:r w:rsidR="005811A3">
        <w:instrText xml:space="preserve"> REF _Ref25065354 \h </w:instrText>
      </w:r>
      <w:r w:rsidR="005811A3">
        <w:fldChar w:fldCharType="separate"/>
      </w:r>
      <w:r w:rsidR="005811A3">
        <w:t xml:space="preserve">Table </w:t>
      </w:r>
      <w:r w:rsidR="005811A3">
        <w:rPr>
          <w:noProof/>
        </w:rPr>
        <w:t>10</w:t>
      </w:r>
      <w:r w:rsidR="005811A3">
        <w:fldChar w:fldCharType="end"/>
      </w:r>
      <w:r w:rsidR="005811A3">
        <w:t>.</w:t>
      </w:r>
    </w:p>
    <w:p w14:paraId="2C8D9CBC" w14:textId="3DE059D2" w:rsidR="00A315B0" w:rsidRDefault="005811A3" w:rsidP="005811A3">
      <w:pPr>
        <w:pStyle w:val="TableTitle"/>
      </w:pPr>
      <w:bookmarkStart w:id="61" w:name="_Ref25065354"/>
      <w:r>
        <w:t xml:space="preserve">Table </w:t>
      </w:r>
      <w:fldSimple w:instr=" SEQ Table \* ARABIC ">
        <w:r w:rsidR="00C20E52">
          <w:rPr>
            <w:noProof/>
          </w:rPr>
          <w:t>10</w:t>
        </w:r>
      </w:fldSimple>
      <w:bookmarkEnd w:id="61"/>
      <w:r>
        <w:t xml:space="preserve">: Study A2304 </w:t>
      </w:r>
      <w:r w:rsidR="009C4CE6">
        <w:t>T</w:t>
      </w:r>
      <w:r>
        <w:t>ime to first confirmed relapse, Cox proportional hazards model, Full Analysis Set</w:t>
      </w:r>
    </w:p>
    <w:p w14:paraId="4FC292D1" w14:textId="77777777" w:rsidR="00A315B0" w:rsidRDefault="005811A3" w:rsidP="005811A3">
      <w:r>
        <w:rPr>
          <w:noProof/>
          <w:lang w:eastAsia="en-AU"/>
        </w:rPr>
        <w:drawing>
          <wp:inline distT="0" distB="0" distL="0" distR="0" wp14:anchorId="1EC36168" wp14:editId="487C880E">
            <wp:extent cx="5400040" cy="1725930"/>
            <wp:effectExtent l="0" t="0" r="0" b="7620"/>
            <wp:docPr id="11" name="Picture 11" descr="Study A2304 time to first confirmed relapse, Cox proportional hazards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725930"/>
                    </a:xfrm>
                    <a:prstGeom prst="rect">
                      <a:avLst/>
                    </a:prstGeom>
                  </pic:spPr>
                </pic:pic>
              </a:graphicData>
            </a:graphic>
          </wp:inline>
        </w:drawing>
      </w:r>
    </w:p>
    <w:p w14:paraId="76873BF2" w14:textId="77777777" w:rsidR="00A315B0" w:rsidRDefault="005811A3" w:rsidP="005811A3">
      <w:r>
        <w:t>Kaplan Meier</w:t>
      </w:r>
      <w:r w:rsidR="00A315B0">
        <w:t xml:space="preserve"> cur</w:t>
      </w:r>
      <w:r>
        <w:t xml:space="preserve">ves showed a difference between </w:t>
      </w:r>
      <w:proofErr w:type="spellStart"/>
      <w:r>
        <w:t>s</w:t>
      </w:r>
      <w:r w:rsidR="00A315B0">
        <w:t>iponimod</w:t>
      </w:r>
      <w:proofErr w:type="spellEnd"/>
      <w:r w:rsidR="00A315B0">
        <w:t xml:space="preserve"> and placebo in the percentage of patients free of rel</w:t>
      </w:r>
      <w:r>
        <w:t xml:space="preserve">apse (p &lt; </w:t>
      </w:r>
      <w:r w:rsidR="00247DEA">
        <w:t xml:space="preserve">0.0001) as shown in </w:t>
      </w:r>
      <w:r w:rsidR="00247DEA">
        <w:fldChar w:fldCharType="begin"/>
      </w:r>
      <w:r w:rsidR="00247DEA">
        <w:instrText xml:space="preserve"> REF _Ref25066032 \h </w:instrText>
      </w:r>
      <w:r w:rsidR="00247DEA">
        <w:fldChar w:fldCharType="separate"/>
      </w:r>
      <w:r w:rsidR="00247DEA">
        <w:t xml:space="preserve">Figure </w:t>
      </w:r>
      <w:r w:rsidR="00247DEA">
        <w:rPr>
          <w:noProof/>
        </w:rPr>
        <w:t>3</w:t>
      </w:r>
      <w:r w:rsidR="00247DEA">
        <w:fldChar w:fldCharType="end"/>
      </w:r>
      <w:r w:rsidR="00247DEA">
        <w:t>.</w:t>
      </w:r>
    </w:p>
    <w:p w14:paraId="3D13972B" w14:textId="5022C593" w:rsidR="00247DEA" w:rsidRDefault="00247DEA" w:rsidP="00247DEA">
      <w:pPr>
        <w:pStyle w:val="FigureTitle"/>
      </w:pPr>
      <w:bookmarkStart w:id="62" w:name="_Ref25066032"/>
      <w:r>
        <w:lastRenderedPageBreak/>
        <w:t xml:space="preserve">Figure </w:t>
      </w:r>
      <w:fldSimple w:instr=" SEQ Figure \* ARABIC ">
        <w:r w:rsidR="00F46030">
          <w:rPr>
            <w:noProof/>
          </w:rPr>
          <w:t>3</w:t>
        </w:r>
      </w:fldSimple>
      <w:bookmarkEnd w:id="62"/>
      <w:r>
        <w:t xml:space="preserve">: Study A2304 </w:t>
      </w:r>
      <w:r w:rsidR="009C4CE6">
        <w:t>P</w:t>
      </w:r>
      <w:r>
        <w:t>ercentage of relapse-free (confirmed relapse) subjects, Kaplan Meier curves, Full Analysis Set</w:t>
      </w:r>
    </w:p>
    <w:p w14:paraId="339B27F6" w14:textId="77777777" w:rsidR="00A315B0" w:rsidRDefault="00247DEA" w:rsidP="00247DEA">
      <w:r>
        <w:rPr>
          <w:noProof/>
          <w:lang w:eastAsia="en-AU"/>
        </w:rPr>
        <w:drawing>
          <wp:inline distT="0" distB="0" distL="0" distR="0" wp14:anchorId="6C7C608B" wp14:editId="7A909E11">
            <wp:extent cx="4923129" cy="3450937"/>
            <wp:effectExtent l="0" t="0" r="0" b="0"/>
            <wp:docPr id="12" name="Picture 12" descr="Study A2304 percentage of relapse-free (confirmed relapse) subjects, Kaplan Meier curve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30883" cy="3456372"/>
                    </a:xfrm>
                    <a:prstGeom prst="rect">
                      <a:avLst/>
                    </a:prstGeom>
                  </pic:spPr>
                </pic:pic>
              </a:graphicData>
            </a:graphic>
          </wp:inline>
        </w:drawing>
      </w:r>
    </w:p>
    <w:p w14:paraId="6258CBF3" w14:textId="77777777" w:rsidR="00A315B0" w:rsidRDefault="00A315B0" w:rsidP="00247DEA">
      <w:r>
        <w:t>The proportion of patie</w:t>
      </w:r>
      <w:r w:rsidR="00247DEA">
        <w:t xml:space="preserve">nts with relapse is shown in </w:t>
      </w:r>
      <w:r w:rsidR="00247DEA">
        <w:fldChar w:fldCharType="begin"/>
      </w:r>
      <w:r w:rsidR="00247DEA">
        <w:instrText xml:space="preserve"> REF _Ref25066264 \h </w:instrText>
      </w:r>
      <w:r w:rsidR="00247DEA">
        <w:fldChar w:fldCharType="separate"/>
      </w:r>
      <w:r w:rsidR="00247DEA">
        <w:t xml:space="preserve">Table </w:t>
      </w:r>
      <w:r w:rsidR="00247DEA">
        <w:rPr>
          <w:noProof/>
        </w:rPr>
        <w:t>11</w:t>
      </w:r>
      <w:r w:rsidR="00247DEA">
        <w:fldChar w:fldCharType="end"/>
      </w:r>
      <w:r w:rsidR="00247DEA">
        <w:t>.</w:t>
      </w:r>
    </w:p>
    <w:p w14:paraId="03952357" w14:textId="174AB8EB" w:rsidR="00247DEA" w:rsidRDefault="00247DEA" w:rsidP="00247DEA">
      <w:pPr>
        <w:pStyle w:val="TableTitle"/>
      </w:pPr>
      <w:bookmarkStart w:id="63" w:name="_Ref25066264"/>
      <w:r>
        <w:t xml:space="preserve">Table </w:t>
      </w:r>
      <w:fldSimple w:instr=" SEQ Table \* ARABIC ">
        <w:r w:rsidR="00C20E52">
          <w:rPr>
            <w:noProof/>
          </w:rPr>
          <w:t>11</w:t>
        </w:r>
      </w:fldSimple>
      <w:bookmarkEnd w:id="63"/>
      <w:r>
        <w:t xml:space="preserve">: Study A2304 </w:t>
      </w:r>
      <w:r w:rsidR="009C4CE6">
        <w:t>P</w:t>
      </w:r>
      <w:r>
        <w:t>roportion of patients with relapse, Full Analysis Set</w:t>
      </w:r>
    </w:p>
    <w:p w14:paraId="0B796FF7" w14:textId="77777777" w:rsidR="00A315B0" w:rsidRDefault="00247DEA" w:rsidP="00247DEA">
      <w:r>
        <w:rPr>
          <w:noProof/>
          <w:lang w:eastAsia="en-AU"/>
        </w:rPr>
        <w:drawing>
          <wp:inline distT="0" distB="0" distL="0" distR="0" wp14:anchorId="190CEFD5" wp14:editId="20598962">
            <wp:extent cx="5098694" cy="1340626"/>
            <wp:effectExtent l="0" t="0" r="6985" b="0"/>
            <wp:docPr id="13" name="Picture 13" descr="Study A2304 proportion of patients with relaps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19602" cy="1346124"/>
                    </a:xfrm>
                    <a:prstGeom prst="rect">
                      <a:avLst/>
                    </a:prstGeom>
                  </pic:spPr>
                </pic:pic>
              </a:graphicData>
            </a:graphic>
          </wp:inline>
        </w:drawing>
      </w:r>
    </w:p>
    <w:p w14:paraId="4CC9026A" w14:textId="77777777" w:rsidR="00A315B0" w:rsidRDefault="00A315B0" w:rsidP="00247DEA">
      <w:r>
        <w:t>Relapses (confirmed and unconfirmed) were obs</w:t>
      </w:r>
      <w:r w:rsidR="00247DEA">
        <w:t xml:space="preserve">erved in fewer patients in the </w:t>
      </w:r>
      <w:proofErr w:type="spellStart"/>
      <w:r w:rsidR="00247DEA">
        <w:t>s</w:t>
      </w:r>
      <w:r>
        <w:t>iponimod</w:t>
      </w:r>
      <w:proofErr w:type="spellEnd"/>
      <w:r>
        <w:t xml:space="preserve"> group compared with</w:t>
      </w:r>
      <w:r w:rsidR="00247DEA">
        <w:t xml:space="preserve"> placebo (16.7% versus 26.0%).</w:t>
      </w:r>
    </w:p>
    <w:p w14:paraId="566E7260" w14:textId="78EC6629" w:rsidR="00A315B0" w:rsidRDefault="00A315B0" w:rsidP="00247DEA">
      <w:r>
        <w:t xml:space="preserve">Changes from </w:t>
      </w:r>
      <w:r w:rsidR="009C4CE6">
        <w:t>B</w:t>
      </w:r>
      <w:r>
        <w:t>aseline in Multiple S</w:t>
      </w:r>
      <w:r w:rsidR="00247DEA">
        <w:t>clerosis Walking Scale-12 (MSWS-12) at study M</w:t>
      </w:r>
      <w:r>
        <w:t xml:space="preserve">onths 12 and 24 are shown </w:t>
      </w:r>
      <w:r w:rsidR="00247DEA">
        <w:t xml:space="preserve">in </w:t>
      </w:r>
      <w:r w:rsidR="00247DEA">
        <w:fldChar w:fldCharType="begin"/>
      </w:r>
      <w:r w:rsidR="00247DEA">
        <w:instrText xml:space="preserve"> REF _Ref25066427 \h </w:instrText>
      </w:r>
      <w:r w:rsidR="00247DEA">
        <w:fldChar w:fldCharType="separate"/>
      </w:r>
      <w:r w:rsidR="00247DEA">
        <w:t xml:space="preserve">Table </w:t>
      </w:r>
      <w:r w:rsidR="00247DEA">
        <w:rPr>
          <w:noProof/>
        </w:rPr>
        <w:t>12</w:t>
      </w:r>
      <w:r w:rsidR="00247DEA">
        <w:fldChar w:fldCharType="end"/>
      </w:r>
      <w:r w:rsidR="00247DEA">
        <w:t>.</w:t>
      </w:r>
    </w:p>
    <w:p w14:paraId="6626ACDB" w14:textId="4BB94413" w:rsidR="00A315B0" w:rsidRDefault="00247DEA" w:rsidP="00247DEA">
      <w:pPr>
        <w:pStyle w:val="TableTitle"/>
      </w:pPr>
      <w:bookmarkStart w:id="64" w:name="_Ref25066427"/>
      <w:r>
        <w:lastRenderedPageBreak/>
        <w:t xml:space="preserve">Table </w:t>
      </w:r>
      <w:fldSimple w:instr=" SEQ Table \* ARABIC ">
        <w:r w:rsidR="00C20E52">
          <w:rPr>
            <w:noProof/>
          </w:rPr>
          <w:t>12</w:t>
        </w:r>
      </w:fldSimple>
      <w:bookmarkEnd w:id="64"/>
      <w:r>
        <w:t>: Change from Baseline in MSWS-12 concerted score, by time point (Months</w:t>
      </w:r>
      <w:r w:rsidR="009C4CE6">
        <w:t> </w:t>
      </w:r>
      <w:r>
        <w:t>12 and 24) repeated measures model, Full Analysis Set</w:t>
      </w:r>
    </w:p>
    <w:p w14:paraId="74C2418B" w14:textId="77777777" w:rsidR="00A315B0" w:rsidRDefault="00247DEA" w:rsidP="00247DEA">
      <w:r>
        <w:rPr>
          <w:noProof/>
          <w:lang w:eastAsia="en-AU"/>
        </w:rPr>
        <w:drawing>
          <wp:inline distT="0" distB="0" distL="0" distR="0" wp14:anchorId="25F847A0" wp14:editId="40E0827E">
            <wp:extent cx="5400040" cy="1958975"/>
            <wp:effectExtent l="0" t="0" r="0" b="3175"/>
            <wp:docPr id="14" name="Picture 14" descr="Change from Baseline in MSWS-12 concerted score, by time point (Months 12 and 24) repeated measures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958975"/>
                    </a:xfrm>
                    <a:prstGeom prst="rect">
                      <a:avLst/>
                    </a:prstGeom>
                  </pic:spPr>
                </pic:pic>
              </a:graphicData>
            </a:graphic>
          </wp:inline>
        </w:drawing>
      </w:r>
    </w:p>
    <w:p w14:paraId="5B597897" w14:textId="77777777" w:rsidR="00A315B0" w:rsidRDefault="00A315B0" w:rsidP="00C20E52">
      <w:r>
        <w:t>The ta</w:t>
      </w:r>
      <w:r w:rsidR="00247DEA">
        <w:t xml:space="preserve">ble shows that patients in the </w:t>
      </w:r>
      <w:proofErr w:type="spellStart"/>
      <w:r w:rsidR="00247DEA">
        <w:t>s</w:t>
      </w:r>
      <w:r>
        <w:t>iponimod</w:t>
      </w:r>
      <w:proofErr w:type="spellEnd"/>
      <w:r>
        <w:t xml:space="preserve"> group showed smaller increases from baseline compared with placebo; however, the treatment difference was not statistically significant.</w:t>
      </w:r>
    </w:p>
    <w:p w14:paraId="127425E1" w14:textId="77777777" w:rsidR="00A315B0" w:rsidRDefault="00A315B0" w:rsidP="00C20E52">
      <w:r w:rsidRPr="009C44FD">
        <w:t xml:space="preserve">Regarding MRI related variables, the proportion of patients free of T1 </w:t>
      </w:r>
      <w:r w:rsidR="00AD3E79">
        <w:t>g</w:t>
      </w:r>
      <w:r w:rsidR="00AD3E79" w:rsidRPr="00C816F8">
        <w:t>adolinium</w:t>
      </w:r>
      <w:r w:rsidR="00AD3E79">
        <w:t> (</w:t>
      </w:r>
      <w:proofErr w:type="spellStart"/>
      <w:r w:rsidRPr="009C44FD">
        <w:t>Gd</w:t>
      </w:r>
      <w:proofErr w:type="spellEnd"/>
      <w:r w:rsidR="00AD3E79">
        <w:t>)</w:t>
      </w:r>
      <w:r w:rsidR="00AD3E79">
        <w:noBreakHyphen/>
      </w:r>
      <w:r w:rsidRPr="009C44FD">
        <w:t>enhanc</w:t>
      </w:r>
      <w:r w:rsidR="00C20E52">
        <w:t xml:space="preserve">ing lesions is summarised in </w:t>
      </w:r>
      <w:r w:rsidR="00C20E52">
        <w:fldChar w:fldCharType="begin"/>
      </w:r>
      <w:r w:rsidR="00C20E52">
        <w:instrText xml:space="preserve"> REF _Ref25066824 \h </w:instrText>
      </w:r>
      <w:r w:rsidR="00C20E52">
        <w:fldChar w:fldCharType="separate"/>
      </w:r>
      <w:r w:rsidR="00C20E52">
        <w:t xml:space="preserve">Table </w:t>
      </w:r>
      <w:r w:rsidR="00C20E52">
        <w:rPr>
          <w:noProof/>
        </w:rPr>
        <w:t>13</w:t>
      </w:r>
      <w:r w:rsidR="00C20E52">
        <w:fldChar w:fldCharType="end"/>
      </w:r>
      <w:r w:rsidR="00C20E52">
        <w:t>.</w:t>
      </w:r>
    </w:p>
    <w:p w14:paraId="0CDDE73B" w14:textId="45460A9A" w:rsidR="00C20E52" w:rsidRDefault="00C20E52" w:rsidP="00C20E52">
      <w:pPr>
        <w:pStyle w:val="TableTitle"/>
      </w:pPr>
      <w:bookmarkStart w:id="65" w:name="_Ref25066824"/>
      <w:r>
        <w:t xml:space="preserve">Table </w:t>
      </w:r>
      <w:fldSimple w:instr=" SEQ Table \* ARABIC ">
        <w:r>
          <w:rPr>
            <w:noProof/>
          </w:rPr>
          <w:t>13</w:t>
        </w:r>
      </w:fldSimple>
      <w:bookmarkEnd w:id="65"/>
      <w:r>
        <w:t xml:space="preserve">: Study A2304 </w:t>
      </w:r>
      <w:r w:rsidR="009C4CE6">
        <w:t>P</w:t>
      </w:r>
      <w:r>
        <w:t xml:space="preserve">roportion of patients free of T1 </w:t>
      </w:r>
      <w:proofErr w:type="spellStart"/>
      <w:r>
        <w:t>Gd</w:t>
      </w:r>
      <w:proofErr w:type="spellEnd"/>
      <w:r>
        <w:t>-enhancing lesions, by time point (Month 12 and 24), summary statistics, Full Analysis Set</w:t>
      </w:r>
    </w:p>
    <w:p w14:paraId="37FC88A4" w14:textId="77777777" w:rsidR="00A315B0" w:rsidRDefault="00C20E52" w:rsidP="00C20E52">
      <w:r>
        <w:rPr>
          <w:noProof/>
          <w:lang w:eastAsia="en-AU"/>
        </w:rPr>
        <w:drawing>
          <wp:inline distT="0" distB="0" distL="0" distR="0" wp14:anchorId="7FFAEC8B" wp14:editId="5851895B">
            <wp:extent cx="5400040" cy="2052955"/>
            <wp:effectExtent l="0" t="0" r="0" b="4445"/>
            <wp:docPr id="15" name="Picture 15" descr="Study A2304 proportion of patients free of T1 Gd-enhancing lesions, by time point (Month 12 and 24), summary statistic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052955"/>
                    </a:xfrm>
                    <a:prstGeom prst="rect">
                      <a:avLst/>
                    </a:prstGeom>
                  </pic:spPr>
                </pic:pic>
              </a:graphicData>
            </a:graphic>
          </wp:inline>
        </w:drawing>
      </w:r>
    </w:p>
    <w:p w14:paraId="6E12DCFB" w14:textId="258FC7AF" w:rsidR="00A315B0" w:rsidRDefault="00A315B0" w:rsidP="00C20E52">
      <w:r>
        <w:t xml:space="preserve">At </w:t>
      </w:r>
      <w:r w:rsidR="009C4CE6">
        <w:t>B</w:t>
      </w:r>
      <w:r>
        <w:t xml:space="preserve">aseline, approximately 75% </w:t>
      </w:r>
      <w:r w:rsidR="00C20E52">
        <w:t xml:space="preserve">of patients did not have T1 </w:t>
      </w:r>
      <w:proofErr w:type="spellStart"/>
      <w:r w:rsidR="00C20E52">
        <w:t>Gd</w:t>
      </w:r>
      <w:proofErr w:type="spellEnd"/>
      <w:r w:rsidR="00C20E52">
        <w:t>-</w:t>
      </w:r>
      <w:r>
        <w:t>enhancing lesions. In all</w:t>
      </w:r>
      <w:r w:rsidR="00C20E52">
        <w:t xml:space="preserve"> post-baseline scans, 89.4% of </w:t>
      </w:r>
      <w:proofErr w:type="spellStart"/>
      <w:r w:rsidR="00C20E52">
        <w:t>s</w:t>
      </w:r>
      <w:r>
        <w:t>iponimod</w:t>
      </w:r>
      <w:proofErr w:type="spellEnd"/>
      <w:r>
        <w:t xml:space="preserve"> patients and 66.9% of placebo patients were free of T1 </w:t>
      </w:r>
      <w:proofErr w:type="spellStart"/>
      <w:r>
        <w:t>Gd</w:t>
      </w:r>
      <w:proofErr w:type="spellEnd"/>
      <w:r>
        <w:t>-enhancing lesions. The proportion of patients with new or enla</w:t>
      </w:r>
      <w:r w:rsidR="00C20E52">
        <w:t xml:space="preserve">rging T2 lesions is shown in </w:t>
      </w:r>
      <w:r w:rsidR="00C20E52">
        <w:fldChar w:fldCharType="begin"/>
      </w:r>
      <w:r w:rsidR="00C20E52">
        <w:instrText xml:space="preserve"> REF _Ref25066839 \h </w:instrText>
      </w:r>
      <w:r w:rsidR="00C20E52">
        <w:fldChar w:fldCharType="separate"/>
      </w:r>
      <w:r w:rsidR="00C20E52">
        <w:t xml:space="preserve">Table </w:t>
      </w:r>
      <w:r w:rsidR="00C20E52">
        <w:rPr>
          <w:noProof/>
        </w:rPr>
        <w:t>14</w:t>
      </w:r>
      <w:r w:rsidR="00C20E52">
        <w:fldChar w:fldCharType="end"/>
      </w:r>
      <w:r w:rsidR="00C20E52">
        <w:t>.</w:t>
      </w:r>
    </w:p>
    <w:p w14:paraId="64B48E7B" w14:textId="69892150" w:rsidR="00C20E52" w:rsidRDefault="00C20E52" w:rsidP="00C20E52">
      <w:pPr>
        <w:pStyle w:val="TableTitle"/>
      </w:pPr>
      <w:bookmarkStart w:id="66" w:name="_Ref25066839"/>
      <w:r>
        <w:lastRenderedPageBreak/>
        <w:t xml:space="preserve">Table </w:t>
      </w:r>
      <w:fldSimple w:instr=" SEQ Table \* ARABIC ">
        <w:r>
          <w:rPr>
            <w:noProof/>
          </w:rPr>
          <w:t>14</w:t>
        </w:r>
      </w:fldSimple>
      <w:bookmarkEnd w:id="66"/>
      <w:r>
        <w:t xml:space="preserve">: Study A2304 </w:t>
      </w:r>
      <w:r w:rsidR="009C4CE6">
        <w:t>P</w:t>
      </w:r>
      <w:r>
        <w:t>roportion of patients free of new or enlarging T2 lesions, by time point (Month 12 and 24 relative to previous time point), summary statistics, Full Analysis Set</w:t>
      </w:r>
    </w:p>
    <w:p w14:paraId="7DCAE3EA" w14:textId="77777777" w:rsidR="00A315B0" w:rsidRDefault="00C20E52" w:rsidP="00C20E52">
      <w:r>
        <w:rPr>
          <w:noProof/>
          <w:lang w:eastAsia="en-AU"/>
        </w:rPr>
        <w:drawing>
          <wp:inline distT="0" distB="0" distL="0" distR="0" wp14:anchorId="4B0F4173" wp14:editId="234EA701">
            <wp:extent cx="5400040" cy="2245360"/>
            <wp:effectExtent l="0" t="0" r="0" b="2540"/>
            <wp:docPr id="16" name="Picture 16" descr="Study A2304 proportion of patients free of new or enlarging T2 lesions, by time point (Month 12 and 24 relative to previous time point), summary statistic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245360"/>
                    </a:xfrm>
                    <a:prstGeom prst="rect">
                      <a:avLst/>
                    </a:prstGeom>
                  </pic:spPr>
                </pic:pic>
              </a:graphicData>
            </a:graphic>
          </wp:inline>
        </w:drawing>
      </w:r>
    </w:p>
    <w:p w14:paraId="6B96830A" w14:textId="47417C9B" w:rsidR="00A315B0" w:rsidRDefault="00A315B0" w:rsidP="00C20E52">
      <w:r>
        <w:t xml:space="preserve">The proportions of patients free of new or enlarging T2 lesions compared to the previous scan were 62.2% and 78.8% at study months 12 and 24, respectively for </w:t>
      </w:r>
      <w:proofErr w:type="spellStart"/>
      <w:r w:rsidR="009C4CE6">
        <w:t>siponimod</w:t>
      </w:r>
      <w:proofErr w:type="spellEnd"/>
      <w:r>
        <w:t xml:space="preserve">, and 46.2% and 50.7%, respectively for placebo. For all post- baseline scans, 56.9% of </w:t>
      </w:r>
      <w:proofErr w:type="spellStart"/>
      <w:r w:rsidR="009C4CE6">
        <w:t>s</w:t>
      </w:r>
      <w:r>
        <w:t>iponimod</w:t>
      </w:r>
      <w:proofErr w:type="spellEnd"/>
      <w:r>
        <w:t xml:space="preserve"> patients and 37.3% of placebo patients were free of new or enlarging T2 lesions.</w:t>
      </w:r>
    </w:p>
    <w:p w14:paraId="082DFA5E" w14:textId="6EA2178A" w:rsidR="00A315B0" w:rsidRDefault="00A315B0" w:rsidP="00C20E52">
      <w:r>
        <w:t xml:space="preserve">Increase from baseline in the volume of T1 hypo-intensive lesions, was smaller in the </w:t>
      </w:r>
      <w:proofErr w:type="spellStart"/>
      <w:r w:rsidR="009C4CE6">
        <w:t>s</w:t>
      </w:r>
      <w:r>
        <w:t>iponimod</w:t>
      </w:r>
      <w:proofErr w:type="spellEnd"/>
      <w:r>
        <w:t xml:space="preserve"> group at study month 12 (541 mm</w:t>
      </w:r>
      <w:r>
        <w:rPr>
          <w:position w:val="5"/>
          <w:sz w:val="14"/>
        </w:rPr>
        <w:t>3</w:t>
      </w:r>
      <w:r>
        <w:t>) than in the placebo group (635.7 mm</w:t>
      </w:r>
      <w:r>
        <w:rPr>
          <w:position w:val="5"/>
          <w:sz w:val="14"/>
        </w:rPr>
        <w:t>3</w:t>
      </w:r>
      <w:r>
        <w:t xml:space="preserve">). The difference between groups was also sustained at study months 24 and 36. </w:t>
      </w:r>
    </w:p>
    <w:p w14:paraId="66EA92A1" w14:textId="77777777" w:rsidR="00A315B0" w:rsidRDefault="00A315B0" w:rsidP="00C20E52">
      <w:r>
        <w:t>The analysis of percent brain volume change (PBVC) relative to baseline is prov</w:t>
      </w:r>
      <w:r w:rsidR="00C20E52">
        <w:t xml:space="preserve">ided by time-point as per </w:t>
      </w:r>
      <w:r w:rsidR="00C20E52">
        <w:fldChar w:fldCharType="begin"/>
      </w:r>
      <w:r w:rsidR="00C20E52">
        <w:instrText xml:space="preserve"> REF _Ref25067015 \h </w:instrText>
      </w:r>
      <w:r w:rsidR="00C20E52">
        <w:fldChar w:fldCharType="separate"/>
      </w:r>
      <w:r w:rsidR="00C20E52">
        <w:t xml:space="preserve">Table </w:t>
      </w:r>
      <w:r w:rsidR="00C20E52">
        <w:rPr>
          <w:noProof/>
        </w:rPr>
        <w:t>15</w:t>
      </w:r>
      <w:r w:rsidR="00C20E52">
        <w:fldChar w:fldCharType="end"/>
      </w:r>
      <w:r w:rsidR="00C20E52">
        <w:t>.</w:t>
      </w:r>
    </w:p>
    <w:p w14:paraId="50082A51" w14:textId="4B523892" w:rsidR="00C20E52" w:rsidRDefault="00C20E52" w:rsidP="00C20E52">
      <w:pPr>
        <w:pStyle w:val="TableTitle"/>
      </w:pPr>
      <w:bookmarkStart w:id="67" w:name="_Ref25067015"/>
      <w:r>
        <w:t xml:space="preserve">Table </w:t>
      </w:r>
      <w:fldSimple w:instr=" SEQ Table \* ARABIC ">
        <w:r>
          <w:rPr>
            <w:noProof/>
          </w:rPr>
          <w:t>15</w:t>
        </w:r>
      </w:fldSimple>
      <w:bookmarkEnd w:id="67"/>
      <w:r>
        <w:t xml:space="preserve">: Study A2304 </w:t>
      </w:r>
      <w:r w:rsidR="009C4CE6">
        <w:t>P</w:t>
      </w:r>
      <w:r>
        <w:t xml:space="preserve">ercent brain volume change relative to </w:t>
      </w:r>
      <w:r w:rsidR="009C4CE6">
        <w:t>B</w:t>
      </w:r>
      <w:r>
        <w:t>aseline, by time point (Month 12 and 24), repeated measures model, Full Analysis Set</w:t>
      </w:r>
    </w:p>
    <w:p w14:paraId="644C3A9E" w14:textId="77777777" w:rsidR="00A315B0" w:rsidRDefault="00C20E52" w:rsidP="00C20E52">
      <w:r>
        <w:rPr>
          <w:noProof/>
          <w:lang w:eastAsia="en-AU"/>
        </w:rPr>
        <w:drawing>
          <wp:inline distT="0" distB="0" distL="0" distR="0" wp14:anchorId="1B699D1E" wp14:editId="3DBD53E0">
            <wp:extent cx="5400040" cy="2556510"/>
            <wp:effectExtent l="0" t="0" r="0" b="0"/>
            <wp:docPr id="17" name="Picture 17" descr="Study A2304 percent brain volume change relative to baseline, by time point (Month 12 and 24), repeated measures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556510"/>
                    </a:xfrm>
                    <a:prstGeom prst="rect">
                      <a:avLst/>
                    </a:prstGeom>
                  </pic:spPr>
                </pic:pic>
              </a:graphicData>
            </a:graphic>
          </wp:inline>
        </w:drawing>
      </w:r>
    </w:p>
    <w:p w14:paraId="5B71AD64" w14:textId="77777777" w:rsidR="00A315B0" w:rsidRDefault="00A315B0" w:rsidP="00C20E52">
      <w:r>
        <w:t>PBVC de</w:t>
      </w:r>
      <w:r w:rsidR="00C20E52">
        <w:t xml:space="preserve">creased at a lower rate in the </w:t>
      </w:r>
      <w:proofErr w:type="spellStart"/>
      <w:r w:rsidR="00C20E52">
        <w:t>s</w:t>
      </w:r>
      <w:r>
        <w:t>iponimod</w:t>
      </w:r>
      <w:proofErr w:type="spellEnd"/>
      <w:r>
        <w:t xml:space="preserve"> group co</w:t>
      </w:r>
      <w:r w:rsidR="00C20E52">
        <w:t>mpared with placebo over study M</w:t>
      </w:r>
      <w:r>
        <w:t>onths 12 (-0.5%) and 24 (-0.65%) with an adjusted mean difference between groups of 0.15% (95% CI: 0.07, 0.23; p</w:t>
      </w:r>
      <w:r w:rsidR="00C20E52">
        <w:t xml:space="preserve"> </w:t>
      </w:r>
      <w:r>
        <w:t>&lt;</w:t>
      </w:r>
      <w:r w:rsidR="00C20E52">
        <w:t xml:space="preserve"> </w:t>
      </w:r>
      <w:r>
        <w:t>0.001).</w:t>
      </w:r>
    </w:p>
    <w:p w14:paraId="3315C80B" w14:textId="77777777" w:rsidR="00A315B0" w:rsidRPr="00C92171" w:rsidRDefault="00C20E52" w:rsidP="00C20E52">
      <w:pPr>
        <w:pStyle w:val="Heading6"/>
      </w:pPr>
      <w:r>
        <w:lastRenderedPageBreak/>
        <w:t>Results (exploratory)</w:t>
      </w:r>
    </w:p>
    <w:p w14:paraId="65A82B5B" w14:textId="607E2CCB" w:rsidR="00A315B0" w:rsidRDefault="00A315B0" w:rsidP="00F46030">
      <w:r>
        <w:t xml:space="preserve">Efficacy in subgroups (incorporating SPMS group, previous treatment, severity of disease, age, gender, MRI status at </w:t>
      </w:r>
      <w:r w:rsidR="009C4CE6">
        <w:t>B</w:t>
      </w:r>
      <w:r>
        <w:t>aseline and duration of MS) is summaris</w:t>
      </w:r>
      <w:r w:rsidR="00F46030">
        <w:t>ed below as per the forest plot (</w:t>
      </w:r>
      <w:r w:rsidR="00F46030">
        <w:fldChar w:fldCharType="begin"/>
      </w:r>
      <w:r w:rsidR="00F46030">
        <w:instrText xml:space="preserve"> REF _Ref25067273 \h </w:instrText>
      </w:r>
      <w:r w:rsidR="00F46030">
        <w:fldChar w:fldCharType="separate"/>
      </w:r>
      <w:r w:rsidR="00F46030">
        <w:t xml:space="preserve">Figure </w:t>
      </w:r>
      <w:r w:rsidR="00F46030">
        <w:rPr>
          <w:noProof/>
        </w:rPr>
        <w:t>4</w:t>
      </w:r>
      <w:r w:rsidR="00F46030">
        <w:fldChar w:fldCharType="end"/>
      </w:r>
      <w:r w:rsidR="00F46030">
        <w:t>).</w:t>
      </w:r>
    </w:p>
    <w:p w14:paraId="7F942855" w14:textId="5B58316B" w:rsidR="00F46030" w:rsidRDefault="00F46030" w:rsidP="00F46030">
      <w:pPr>
        <w:pStyle w:val="FigureTitle"/>
      </w:pPr>
      <w:bookmarkStart w:id="68" w:name="_Ref25067273"/>
      <w:r>
        <w:t xml:space="preserve">Figure </w:t>
      </w:r>
      <w:fldSimple w:instr=" SEQ Figure \* ARABIC ">
        <w:r>
          <w:rPr>
            <w:noProof/>
          </w:rPr>
          <w:t>4</w:t>
        </w:r>
      </w:fldSimple>
      <w:bookmarkEnd w:id="68"/>
      <w:r>
        <w:t xml:space="preserve">: Study A2304 </w:t>
      </w:r>
      <w:r w:rsidR="009C4CE6">
        <w:t>T</w:t>
      </w:r>
      <w:r>
        <w:t>ime to 3 month CDP based on EDSS, forest plot displaying hazard ratios, by subgroup, Full Analysis Set</w:t>
      </w:r>
    </w:p>
    <w:p w14:paraId="71DC42C1" w14:textId="77777777" w:rsidR="00A315B0" w:rsidRDefault="00F46030" w:rsidP="00F46030">
      <w:r>
        <w:rPr>
          <w:noProof/>
          <w:lang w:eastAsia="en-AU"/>
        </w:rPr>
        <w:drawing>
          <wp:inline distT="0" distB="0" distL="0" distR="0" wp14:anchorId="23479942" wp14:editId="0CCF4D80">
            <wp:extent cx="5230368" cy="4229956"/>
            <wp:effectExtent l="0" t="0" r="8890" b="0"/>
            <wp:docPr id="18" name="Picture 18" descr="Study A2304 time to 3 month CDP based on EDSS, forest plot displaying hazard ratios, by sub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9079" cy="4237001"/>
                    </a:xfrm>
                    <a:prstGeom prst="rect">
                      <a:avLst/>
                    </a:prstGeom>
                  </pic:spPr>
                </pic:pic>
              </a:graphicData>
            </a:graphic>
          </wp:inline>
        </w:drawing>
      </w:r>
    </w:p>
    <w:p w14:paraId="29F9EC50" w14:textId="77777777" w:rsidR="00A315B0" w:rsidRDefault="00A315B0" w:rsidP="00F46030">
      <w:r>
        <w:t xml:space="preserve">As shown above, the reduction in the risk of disability progression with </w:t>
      </w:r>
      <w:proofErr w:type="spellStart"/>
      <w:r>
        <w:t>siponimod</w:t>
      </w:r>
      <w:proofErr w:type="spellEnd"/>
      <w:r>
        <w:t xml:space="preserve"> in all subgroups was comparable with the treatment effect in the overall population. Of relevance for the proposed indication, there were no meaningful differences in outcomes between patient subgroups with and without superimposed relapses during the study (using the post-treatment definition).</w:t>
      </w:r>
    </w:p>
    <w:p w14:paraId="73EB78D3" w14:textId="218B5B7B" w:rsidR="00A315B0" w:rsidRDefault="00F46030" w:rsidP="00F46030">
      <w:pPr>
        <w:pStyle w:val="ListBullet"/>
      </w:pPr>
      <w:r>
        <w:t xml:space="preserve">The composite endpoint for 3 </w:t>
      </w:r>
      <w:r w:rsidR="00A315B0">
        <w:t>month CDP was derived from disability progression events, based on EDSS, T25W</w:t>
      </w:r>
      <w:r w:rsidR="009C4CE6">
        <w:t xml:space="preserve"> test</w:t>
      </w:r>
      <w:r w:rsidR="00A315B0">
        <w:t xml:space="preserve"> and </w:t>
      </w:r>
      <w:r w:rsidRPr="00C816F8">
        <w:t>Nine Hole Peg Test</w:t>
      </w:r>
      <w:r>
        <w:t xml:space="preserve"> (</w:t>
      </w:r>
      <w:r w:rsidR="00A315B0">
        <w:t>9-HPT</w:t>
      </w:r>
      <w:r>
        <w:t>)</w:t>
      </w:r>
      <w:r w:rsidR="00A315B0">
        <w:t xml:space="preserve"> scores. There was a risk </w:t>
      </w:r>
      <w:r>
        <w:t xml:space="preserve">reduction of 9.1% in favour of </w:t>
      </w:r>
      <w:proofErr w:type="spellStart"/>
      <w:r>
        <w:t>s</w:t>
      </w:r>
      <w:r w:rsidR="00A315B0">
        <w:t>iponimod</w:t>
      </w:r>
      <w:proofErr w:type="spellEnd"/>
      <w:r w:rsidR="00A315B0">
        <w:t xml:space="preserve"> but the difference between treatment groups was not statistically significant (p</w:t>
      </w:r>
      <w:r>
        <w:t xml:space="preserve"> </w:t>
      </w:r>
      <w:r w:rsidR="00A315B0">
        <w:t>=</w:t>
      </w:r>
      <w:r>
        <w:t xml:space="preserve"> </w:t>
      </w:r>
      <w:r w:rsidR="00A315B0">
        <w:t>0.1775).</w:t>
      </w:r>
    </w:p>
    <w:p w14:paraId="2B872699" w14:textId="44DB10CD" w:rsidR="00A315B0" w:rsidRPr="00F46030" w:rsidRDefault="00F46030" w:rsidP="00F46030">
      <w:pPr>
        <w:pStyle w:val="ListBullet"/>
      </w:pPr>
      <w:r>
        <w:t xml:space="preserve">The impact of relapses on 3 </w:t>
      </w:r>
      <w:r w:rsidR="00A315B0">
        <w:t xml:space="preserve">month CDP based on EDSS, showed </w:t>
      </w:r>
      <w:r>
        <w:t xml:space="preserve">a similar benefit in favour of </w:t>
      </w:r>
      <w:proofErr w:type="spellStart"/>
      <w:r>
        <w:t>s</w:t>
      </w:r>
      <w:r w:rsidR="00A315B0">
        <w:t>iponimod</w:t>
      </w:r>
      <w:proofErr w:type="spellEnd"/>
      <w:r w:rsidR="00A315B0">
        <w:t xml:space="preserve"> in subgroups of patients with and without confirmed relapses during the study.</w:t>
      </w:r>
      <w:r>
        <w:t xml:space="preserve"> Only 10.</w:t>
      </w:r>
      <w:r w:rsidR="008A19A0">
        <w:t>3</w:t>
      </w:r>
      <w:r>
        <w:t xml:space="preserve">% of patients in the </w:t>
      </w:r>
      <w:proofErr w:type="spellStart"/>
      <w:r>
        <w:t>s</w:t>
      </w:r>
      <w:r w:rsidR="00A315B0">
        <w:t>iponimod</w:t>
      </w:r>
      <w:proofErr w:type="spellEnd"/>
      <w:r w:rsidR="00A315B0">
        <w:t xml:space="preserve"> group and 18.</w:t>
      </w:r>
      <w:r w:rsidR="008A19A0">
        <w:t>7</w:t>
      </w:r>
      <w:r w:rsidR="00A315B0">
        <w:t xml:space="preserve">% of patients in the placebo group had confirmed relapses. In 215 patients with superimposed relapses during </w:t>
      </w:r>
      <w:r>
        <w:t xml:space="preserve">the study, the HR in favour of </w:t>
      </w:r>
      <w:proofErr w:type="spellStart"/>
      <w:r>
        <w:t>s</w:t>
      </w:r>
      <w:r w:rsidR="00A315B0">
        <w:t>iponimod</w:t>
      </w:r>
      <w:proofErr w:type="spellEnd"/>
      <w:r w:rsidR="00A315B0">
        <w:t xml:space="preserve"> compared with placebo was 0.80 (95% CI: 0.53, 1.19). In 1430 patients without superimposed relapses during the study, the </w:t>
      </w:r>
      <w:r>
        <w:t xml:space="preserve">HR in favour of </w:t>
      </w:r>
      <w:proofErr w:type="spellStart"/>
      <w:r>
        <w:t>s</w:t>
      </w:r>
      <w:r w:rsidR="00A315B0">
        <w:t>iponimod</w:t>
      </w:r>
      <w:proofErr w:type="spellEnd"/>
      <w:r w:rsidR="00A315B0">
        <w:t xml:space="preserve"> compared with placebo</w:t>
      </w:r>
      <w:r>
        <w:t xml:space="preserve"> was 0.85 (95% CI: 0.69, 1.06).</w:t>
      </w:r>
    </w:p>
    <w:p w14:paraId="7AE07D71" w14:textId="77777777" w:rsidR="00A315B0" w:rsidRPr="007A185F" w:rsidRDefault="00A315B0" w:rsidP="00F46030">
      <w:pPr>
        <w:pStyle w:val="ListBullet"/>
      </w:pPr>
      <w:r w:rsidRPr="007A185F">
        <w:lastRenderedPageBreak/>
        <w:t>For the evolution of acute lesions into chronic black holes, the averag</w:t>
      </w:r>
      <w:r w:rsidR="00F46030">
        <w:t xml:space="preserve">e patient level rates of T1 </w:t>
      </w:r>
      <w:proofErr w:type="spellStart"/>
      <w:r w:rsidR="00F46030">
        <w:t>Gd</w:t>
      </w:r>
      <w:proofErr w:type="spellEnd"/>
      <w:r w:rsidR="00F46030">
        <w:t>-</w:t>
      </w:r>
      <w:r w:rsidRPr="007A185F">
        <w:t>enhancing lesions that evolved into hypo-intense lesions were similar in each group</w:t>
      </w:r>
      <w:r>
        <w:t>,</w:t>
      </w:r>
      <w:r w:rsidR="00F46030">
        <w:t xml:space="preserve"> at study Month 12 (</w:t>
      </w:r>
      <w:proofErr w:type="spellStart"/>
      <w:r w:rsidR="00F46030">
        <w:t>s</w:t>
      </w:r>
      <w:r w:rsidRPr="007A185F">
        <w:t>iponimod</w:t>
      </w:r>
      <w:proofErr w:type="spellEnd"/>
      <w:r w:rsidRPr="007A185F">
        <w:t xml:space="preserve"> 0.63; placebo 0.60).</w:t>
      </w:r>
    </w:p>
    <w:p w14:paraId="11394B4B" w14:textId="7A4134E7" w:rsidR="00A315B0" w:rsidRDefault="00A315B0" w:rsidP="00F46030">
      <w:pPr>
        <w:pStyle w:val="ListBullet"/>
      </w:pPr>
      <w:r>
        <w:t>There were no meaningful differences in MS Functional Composite (MSFC) z-scores (composites of T25W</w:t>
      </w:r>
      <w:r w:rsidR="009C4CE6">
        <w:t xml:space="preserve"> test</w:t>
      </w:r>
      <w:r>
        <w:t>, 9-HPT and Paced Auditory Serial Addition Test (PASAT)</w:t>
      </w:r>
      <w:r w:rsidR="009936F9">
        <w:t>)</w:t>
      </w:r>
      <w:r>
        <w:t xml:space="preserve"> between th</w:t>
      </w:r>
      <w:r w:rsidR="00F46030">
        <w:t xml:space="preserve">e </w:t>
      </w:r>
      <w:proofErr w:type="spellStart"/>
      <w:r w:rsidR="00F46030">
        <w:t>siponimod</w:t>
      </w:r>
      <w:proofErr w:type="spellEnd"/>
      <w:r w:rsidR="00F46030">
        <w:t xml:space="preserve"> and placebo groups.</w:t>
      </w:r>
    </w:p>
    <w:p w14:paraId="5E0A3DCF" w14:textId="126D699C" w:rsidR="00A315B0" w:rsidRPr="00A33A54" w:rsidRDefault="00A315B0" w:rsidP="00F46030">
      <w:pPr>
        <w:pStyle w:val="ListBullet"/>
      </w:pPr>
      <w:r w:rsidRPr="00A33A54">
        <w:t xml:space="preserve">Cognitive function tests revealed a </w:t>
      </w:r>
      <w:r w:rsidR="00F46030">
        <w:t xml:space="preserve">small benefit in favour of </w:t>
      </w:r>
      <w:proofErr w:type="spellStart"/>
      <w:r w:rsidR="00F46030">
        <w:t>s</w:t>
      </w:r>
      <w:r w:rsidRPr="00A33A54">
        <w:t>iponimod</w:t>
      </w:r>
      <w:proofErr w:type="spellEnd"/>
      <w:r w:rsidRPr="00A33A54">
        <w:t xml:space="preserve"> compared with placebo for Symbol Digit Modalities Test (SDMT) oral score. The differences in score were </w:t>
      </w:r>
      <w:r w:rsidR="00354E0A" w:rsidRPr="00767EF1">
        <w:t>1.085</w:t>
      </w:r>
      <w:r w:rsidRPr="00767EF1">
        <w:t xml:space="preserve"> (p</w:t>
      </w:r>
      <w:r w:rsidR="00F46030" w:rsidRPr="00767EF1">
        <w:t xml:space="preserve"> </w:t>
      </w:r>
      <w:r w:rsidRPr="00767EF1">
        <w:t>=</w:t>
      </w:r>
      <w:r w:rsidR="00F46030" w:rsidRPr="00767EF1">
        <w:t xml:space="preserve"> </w:t>
      </w:r>
      <w:r w:rsidR="00354E0A" w:rsidRPr="00767EF1">
        <w:t>0.0132</w:t>
      </w:r>
      <w:r w:rsidR="00F46030" w:rsidRPr="00767EF1">
        <w:t>) at study M</w:t>
      </w:r>
      <w:r w:rsidRPr="00767EF1">
        <w:t xml:space="preserve">onth </w:t>
      </w:r>
      <w:r w:rsidR="00F46030" w:rsidRPr="00767EF1">
        <w:t xml:space="preserve">12 and </w:t>
      </w:r>
      <w:r w:rsidR="00354E0A" w:rsidRPr="00767EF1">
        <w:t>2.303</w:t>
      </w:r>
      <w:r w:rsidR="00354E0A" w:rsidRPr="00767EF1" w:rsidDel="00354E0A">
        <w:t xml:space="preserve"> </w:t>
      </w:r>
      <w:r w:rsidR="00F46030" w:rsidRPr="00767EF1">
        <w:t xml:space="preserve">(p = </w:t>
      </w:r>
      <w:r w:rsidR="00354E0A" w:rsidRPr="00767EF1">
        <w:t xml:space="preserve">0.0002 </w:t>
      </w:r>
      <w:r w:rsidR="00F46030" w:rsidRPr="00767EF1">
        <w:t>) at</w:t>
      </w:r>
      <w:r w:rsidR="00F46030">
        <w:t xml:space="preserve"> study M</w:t>
      </w:r>
      <w:r w:rsidRPr="00A33A54">
        <w:t>onth 24. There were no statistically significant differences between treatment groups for PASAT score or Brief Visuospatial Memory Test-Revised (BVMT</w:t>
      </w:r>
      <w:r w:rsidR="009C4CE6">
        <w:rPr>
          <w:vertAlign w:val="superscript"/>
        </w:rPr>
        <w:noBreakHyphen/>
      </w:r>
      <w:r w:rsidRPr="00A33A54">
        <w:t xml:space="preserve">R). For </w:t>
      </w:r>
      <w:r w:rsidR="009C4CE6" w:rsidRPr="00A33A54">
        <w:t xml:space="preserve">low contrast visual acuity </w:t>
      </w:r>
      <w:r w:rsidRPr="00A33A54">
        <w:t>(LCVA), there wa</w:t>
      </w:r>
      <w:r w:rsidR="00F46030">
        <w:t xml:space="preserve">s a small benefit in favour of </w:t>
      </w:r>
      <w:proofErr w:type="spellStart"/>
      <w:r w:rsidR="00F46030">
        <w:t>s</w:t>
      </w:r>
      <w:r w:rsidRPr="00A33A54">
        <w:t>iponimod</w:t>
      </w:r>
      <w:proofErr w:type="spellEnd"/>
      <w:r w:rsidRPr="00A33A54">
        <w:t xml:space="preserve"> but the treatment differences were not statistically significant </w:t>
      </w:r>
      <w:r w:rsidR="00F46030">
        <w:t>at study M</w:t>
      </w:r>
      <w:r w:rsidRPr="00A33A54">
        <w:t>onths 12 or 24.</w:t>
      </w:r>
    </w:p>
    <w:p w14:paraId="49F20591" w14:textId="4E04A2EC" w:rsidR="00A315B0" w:rsidRDefault="00A315B0" w:rsidP="00F46030">
      <w:pPr>
        <w:pStyle w:val="ListBullet"/>
      </w:pPr>
      <w:r w:rsidRPr="001F0988">
        <w:t xml:space="preserve">For patient reported outcomes, there was a </w:t>
      </w:r>
      <w:r w:rsidR="00F46030">
        <w:t xml:space="preserve">treatment benefit in favour of </w:t>
      </w:r>
      <w:proofErr w:type="spellStart"/>
      <w:r w:rsidR="00F46030">
        <w:t>s</w:t>
      </w:r>
      <w:r w:rsidRPr="001F0988">
        <w:t>iponimod</w:t>
      </w:r>
      <w:proofErr w:type="spellEnd"/>
      <w:r w:rsidRPr="001F0988">
        <w:t xml:space="preserve"> for the physical scores of the MS Impact Scale-29 (MSIS-29). For physical scores, the adjusted mean treatmen</w:t>
      </w:r>
      <w:r w:rsidR="00C20745">
        <w:t>t difference was-2.89 at study M</w:t>
      </w:r>
      <w:r w:rsidRPr="001F0988">
        <w:t>onth 12 (p</w:t>
      </w:r>
      <w:r w:rsidR="00C20745">
        <w:t xml:space="preserve"> </w:t>
      </w:r>
      <w:r w:rsidRPr="001F0988">
        <w:t>=</w:t>
      </w:r>
      <w:r w:rsidR="00C20745">
        <w:t xml:space="preserve"> </w:t>
      </w:r>
      <w:r w:rsidRPr="001F0988">
        <w:t>0.0034) but the difference was not stat</w:t>
      </w:r>
      <w:r w:rsidR="00C20745">
        <w:t xml:space="preserve">istically significant at study Month 24. Between </w:t>
      </w:r>
      <w:r w:rsidRPr="001F0988">
        <w:t>group differences for psychological impact scores were not si</w:t>
      </w:r>
      <w:r w:rsidR="00C20745">
        <w:t>gnificantly different at study M</w:t>
      </w:r>
      <w:r w:rsidRPr="001F0988">
        <w:t>onth 12 (p</w:t>
      </w:r>
      <w:r w:rsidR="00C20745">
        <w:t xml:space="preserve"> </w:t>
      </w:r>
      <w:r w:rsidRPr="001F0988">
        <w:t>=</w:t>
      </w:r>
      <w:r w:rsidR="00C20745">
        <w:t xml:space="preserve"> 0.0604) or study M</w:t>
      </w:r>
      <w:r w:rsidRPr="001F0988">
        <w:t>onth 24 (p</w:t>
      </w:r>
      <w:r w:rsidR="00C20745">
        <w:t xml:space="preserve"> </w:t>
      </w:r>
      <w:r w:rsidRPr="001F0988">
        <w:t>=</w:t>
      </w:r>
      <w:r w:rsidR="00C20745">
        <w:t xml:space="preserve"> </w:t>
      </w:r>
      <w:r w:rsidRPr="001F0988">
        <w:t xml:space="preserve">0.6703). For the </w:t>
      </w:r>
      <w:proofErr w:type="spellStart"/>
      <w:r w:rsidR="009C4CE6">
        <w:t>EuroQoL</w:t>
      </w:r>
      <w:proofErr w:type="spellEnd"/>
      <w:r w:rsidR="009C4CE6">
        <w:t xml:space="preserve"> (</w:t>
      </w:r>
      <w:r w:rsidRPr="001F0988">
        <w:t>European Qua</w:t>
      </w:r>
      <w:r w:rsidR="00C20745">
        <w:t>lity of Life</w:t>
      </w:r>
      <w:r w:rsidR="009C4CE6">
        <w:t>)</w:t>
      </w:r>
      <w:r w:rsidRPr="001F0988">
        <w:t>-5 dimensions (EQ-5D) utility scores, there was a small adjuste</w:t>
      </w:r>
      <w:r w:rsidR="00C20745">
        <w:t xml:space="preserve">d mean difference in favour of </w:t>
      </w:r>
      <w:proofErr w:type="spellStart"/>
      <w:r w:rsidR="00C20745">
        <w:t>s</w:t>
      </w:r>
      <w:r w:rsidRPr="001F0988">
        <w:t>iponimod</w:t>
      </w:r>
      <w:proofErr w:type="spellEnd"/>
      <w:r w:rsidRPr="001F0988">
        <w:t xml:space="preserve"> compared </w:t>
      </w:r>
      <w:r w:rsidR="00C20745">
        <w:t>with placebo of 0.026 at study M</w:t>
      </w:r>
      <w:r w:rsidRPr="001F0988">
        <w:t>onth 12 (p</w:t>
      </w:r>
      <w:r w:rsidR="00C20745">
        <w:t> </w:t>
      </w:r>
      <w:r w:rsidRPr="001F0988">
        <w:t>=</w:t>
      </w:r>
      <w:r w:rsidR="00C20745">
        <w:t> </w:t>
      </w:r>
      <w:r w:rsidRPr="001F0988">
        <w:t>0.0368). However, the treatment difference was not stat</w:t>
      </w:r>
      <w:r w:rsidR="00C20745">
        <w:t>istically significant at study M</w:t>
      </w:r>
      <w:r w:rsidRPr="001F0988">
        <w:t>onth 24 (p</w:t>
      </w:r>
      <w:r w:rsidR="00C20745">
        <w:t xml:space="preserve"> </w:t>
      </w:r>
      <w:r w:rsidRPr="001F0988">
        <w:t>=</w:t>
      </w:r>
      <w:r w:rsidR="00C20745">
        <w:t xml:space="preserve"> </w:t>
      </w:r>
      <w:r w:rsidRPr="001F0988">
        <w:t xml:space="preserve">0.0877). There were no statistically significant treatment differences for the </w:t>
      </w:r>
      <w:r w:rsidR="00C20745">
        <w:t>Visual Analogue Scale (</w:t>
      </w:r>
      <w:r w:rsidRPr="001F0988">
        <w:t>VAS</w:t>
      </w:r>
      <w:r w:rsidR="00C20745">
        <w:t>)</w:t>
      </w:r>
      <w:r w:rsidRPr="001F0988">
        <w:t xml:space="preserve"> score.</w:t>
      </w:r>
    </w:p>
    <w:p w14:paraId="64CC5D92" w14:textId="77777777" w:rsidR="00A315B0" w:rsidRDefault="00A315B0" w:rsidP="00036FC0">
      <w:pPr>
        <w:pStyle w:val="Heading5"/>
      </w:pPr>
      <w:bookmarkStart w:id="69" w:name="_Toc13736617"/>
      <w:bookmarkStart w:id="70" w:name="_Toc18067822"/>
      <w:r w:rsidRPr="00D265B1">
        <w:t>Other efficacy studies</w:t>
      </w:r>
      <w:bookmarkEnd w:id="69"/>
      <w:bookmarkEnd w:id="70"/>
    </w:p>
    <w:p w14:paraId="0F2E9856" w14:textId="77777777" w:rsidR="00A315B0" w:rsidRDefault="00A315B0" w:rsidP="00036FC0">
      <w:pPr>
        <w:pStyle w:val="Heading6"/>
      </w:pPr>
      <w:r w:rsidRPr="007736FA">
        <w:t>Study A2201</w:t>
      </w:r>
    </w:p>
    <w:p w14:paraId="0996DD1C" w14:textId="7D66B40E" w:rsidR="00A315B0" w:rsidRDefault="00C20745" w:rsidP="000309CC">
      <w:pPr>
        <w:rPr>
          <w:lang w:eastAsia="ja-JP"/>
        </w:rPr>
      </w:pPr>
      <w:r>
        <w:rPr>
          <w:lang w:eastAsia="ja-JP"/>
        </w:rPr>
        <w:t xml:space="preserve">This was a Phase II, double </w:t>
      </w:r>
      <w:r w:rsidR="00A315B0" w:rsidRPr="00D265B1">
        <w:rPr>
          <w:lang w:eastAsia="ja-JP"/>
        </w:rPr>
        <w:t>blind, randomi</w:t>
      </w:r>
      <w:r>
        <w:rPr>
          <w:lang w:eastAsia="ja-JP"/>
        </w:rPr>
        <w:t xml:space="preserve">sed, multicentre, adaptive dose ranging, placebo controlled, parallel </w:t>
      </w:r>
      <w:r w:rsidR="00A315B0" w:rsidRPr="00D265B1">
        <w:rPr>
          <w:lang w:eastAsia="ja-JP"/>
        </w:rPr>
        <w:t>group study evaluat</w:t>
      </w:r>
      <w:r>
        <w:rPr>
          <w:lang w:eastAsia="ja-JP"/>
        </w:rPr>
        <w:t xml:space="preserve">ing the efficacy and safety of </w:t>
      </w:r>
      <w:proofErr w:type="spellStart"/>
      <w:r>
        <w:rPr>
          <w:lang w:eastAsia="ja-JP"/>
        </w:rPr>
        <w:t>s</w:t>
      </w:r>
      <w:r w:rsidR="00A315B0" w:rsidRPr="00D265B1">
        <w:rPr>
          <w:lang w:eastAsia="ja-JP"/>
        </w:rPr>
        <w:t>iponimod</w:t>
      </w:r>
      <w:proofErr w:type="spellEnd"/>
      <w:r w:rsidR="00A315B0" w:rsidRPr="00D265B1">
        <w:rPr>
          <w:lang w:eastAsia="ja-JP"/>
        </w:rPr>
        <w:t xml:space="preserve"> on MRI lesion parameters in </w:t>
      </w:r>
      <w:r w:rsidR="00994F03">
        <w:rPr>
          <w:lang w:eastAsia="ja-JP"/>
        </w:rPr>
        <w:t>297</w:t>
      </w:r>
      <w:r>
        <w:rPr>
          <w:lang w:eastAsia="ja-JP"/>
        </w:rPr>
        <w:t xml:space="preserve"> patients with RRMS.</w:t>
      </w:r>
    </w:p>
    <w:p w14:paraId="7BAD21AF" w14:textId="77777777" w:rsidR="00A315B0" w:rsidRDefault="00C20745" w:rsidP="00C20745">
      <w:pPr>
        <w:rPr>
          <w:lang w:eastAsia="ja-JP"/>
        </w:rPr>
      </w:pPr>
      <w:r>
        <w:rPr>
          <w:lang w:eastAsia="ja-JP"/>
        </w:rPr>
        <w:t>The Delegate commented the following in relation to this study</w:t>
      </w:r>
      <w:r w:rsidR="00A315B0">
        <w:rPr>
          <w:lang w:eastAsia="ja-JP"/>
        </w:rPr>
        <w:t>:</w:t>
      </w:r>
    </w:p>
    <w:p w14:paraId="3BF21E5A" w14:textId="77777777" w:rsidR="00A315B0" w:rsidRDefault="00C20745" w:rsidP="009936F9">
      <w:pPr>
        <w:pStyle w:val="ListBullet"/>
      </w:pPr>
      <w:r>
        <w:t>As stated by the clinical evaluator</w:t>
      </w:r>
      <w:r w:rsidR="00A315B0">
        <w:t xml:space="preserve">, the relevance of the study to the proposed indication is questionable. The latter will be in line with the </w:t>
      </w:r>
      <w:r w:rsidR="009936F9" w:rsidRPr="009936F9">
        <w:t>Committee for Medicinal Products for Human Use</w:t>
      </w:r>
      <w:r w:rsidR="009936F9">
        <w:t xml:space="preserve"> (</w:t>
      </w:r>
      <w:r w:rsidR="00A315B0">
        <w:t>CHMP</w:t>
      </w:r>
      <w:r w:rsidR="009936F9">
        <w:t>)</w:t>
      </w:r>
      <w:r w:rsidR="00A315B0">
        <w:t>’s advice on the pivotal study design.</w:t>
      </w:r>
    </w:p>
    <w:p w14:paraId="52832C33" w14:textId="77777777" w:rsidR="00A315B0" w:rsidRDefault="00C20745" w:rsidP="00C20745">
      <w:pPr>
        <w:pStyle w:val="ListBullet"/>
      </w:pPr>
      <w:r>
        <w:t>I</w:t>
      </w:r>
      <w:r w:rsidR="00A315B0">
        <w:t>t i</w:t>
      </w:r>
      <w:r>
        <w:t xml:space="preserve">s noted however, that the 2 mg </w:t>
      </w:r>
      <w:proofErr w:type="spellStart"/>
      <w:r>
        <w:t>s</w:t>
      </w:r>
      <w:r w:rsidR="00A315B0">
        <w:t>iponimod</w:t>
      </w:r>
      <w:proofErr w:type="spellEnd"/>
      <w:r w:rsidR="00A315B0">
        <w:t xml:space="preserve"> dose in the pivota</w:t>
      </w:r>
      <w:r>
        <w:t>l study was based on the Phase II S</w:t>
      </w:r>
      <w:r w:rsidR="00A315B0">
        <w:t>tudy A2201in pati</w:t>
      </w:r>
      <w:r>
        <w:t xml:space="preserve">ents with RRMS, who were given </w:t>
      </w:r>
      <w:proofErr w:type="spellStart"/>
      <w:r>
        <w:t>s</w:t>
      </w:r>
      <w:r w:rsidR="00A315B0">
        <w:t>iponimod</w:t>
      </w:r>
      <w:proofErr w:type="spellEnd"/>
      <w:r w:rsidR="00A315B0">
        <w:t xml:space="preserve"> doses ranging from 0.25 mg to 10 mg.</w:t>
      </w:r>
    </w:p>
    <w:p w14:paraId="0D4381A3" w14:textId="77777777" w:rsidR="00A315B0" w:rsidRDefault="00C20745" w:rsidP="00C20745">
      <w:pPr>
        <w:pStyle w:val="ListBullet"/>
      </w:pPr>
      <w:r>
        <w:t xml:space="preserve">Phase II dose </w:t>
      </w:r>
      <w:r w:rsidR="00A315B0">
        <w:t>rangin</w:t>
      </w:r>
      <w:r>
        <w:t xml:space="preserve">g studies in patients with SPMS </w:t>
      </w:r>
      <w:r w:rsidR="00A315B0">
        <w:t xml:space="preserve">were not feasible, as acknowledged by the CHMP, due to the slowly progressive nature of the disease and lack of </w:t>
      </w:r>
      <w:r>
        <w:t>predictive efficacy biomarkers.</w:t>
      </w:r>
    </w:p>
    <w:p w14:paraId="71D10D46" w14:textId="77777777" w:rsidR="00A315B0" w:rsidRDefault="00A315B0" w:rsidP="00C20745">
      <w:pPr>
        <w:pStyle w:val="ListBullet"/>
      </w:pPr>
      <w:r>
        <w:t xml:space="preserve">The </w:t>
      </w:r>
      <w:r w:rsidR="00C20745">
        <w:t>study might provide safety data.</w:t>
      </w:r>
    </w:p>
    <w:p w14:paraId="7BF72612" w14:textId="77777777" w:rsidR="00A315B0" w:rsidRPr="00CB01C5" w:rsidRDefault="00A315B0" w:rsidP="00036FC0">
      <w:pPr>
        <w:pStyle w:val="Heading6"/>
      </w:pPr>
      <w:r w:rsidRPr="00CB01C5">
        <w:t>Study A2201E1</w:t>
      </w:r>
    </w:p>
    <w:p w14:paraId="537C7341" w14:textId="77777777" w:rsidR="00A315B0" w:rsidRDefault="00A315B0" w:rsidP="00C20745">
      <w:pPr>
        <w:rPr>
          <w:rFonts w:asciiTheme="minorHAnsi" w:hAnsiTheme="minorHAnsi"/>
          <w:sz w:val="24"/>
          <w:szCs w:val="24"/>
        </w:rPr>
      </w:pPr>
      <w:r>
        <w:t xml:space="preserve">This was an extension study to the A2201 study, to evaluate the long-term efficacy and safety of </w:t>
      </w:r>
      <w:proofErr w:type="spellStart"/>
      <w:r>
        <w:t>Siponimod</w:t>
      </w:r>
      <w:proofErr w:type="spellEnd"/>
      <w:r>
        <w:t xml:space="preserve"> given orally once daily in patients with RRMS.</w:t>
      </w:r>
    </w:p>
    <w:p w14:paraId="685E620C" w14:textId="77777777" w:rsidR="00A315B0" w:rsidRDefault="00C20745" w:rsidP="00A315B0">
      <w:pPr>
        <w:pStyle w:val="ListParagraph"/>
        <w:widowControl w:val="0"/>
        <w:tabs>
          <w:tab w:val="left" w:pos="0"/>
        </w:tabs>
        <w:autoSpaceDE w:val="0"/>
        <w:autoSpaceDN w:val="0"/>
        <w:spacing w:before="124" w:after="0" w:line="237" w:lineRule="auto"/>
        <w:ind w:left="0" w:right="746"/>
        <w:rPr>
          <w:rFonts w:asciiTheme="minorHAnsi" w:hAnsiTheme="minorHAnsi"/>
          <w:b/>
          <w:szCs w:val="22"/>
        </w:rPr>
      </w:pPr>
      <w:r>
        <w:t>The Delegate commented the following in relation to this study:</w:t>
      </w:r>
    </w:p>
    <w:p w14:paraId="07E4539C" w14:textId="77777777" w:rsidR="00A315B0" w:rsidRPr="00CB01C5" w:rsidRDefault="00A315B0" w:rsidP="007B1903">
      <w:pPr>
        <w:pStyle w:val="ListBullet"/>
      </w:pPr>
      <w:r w:rsidRPr="00CB01C5">
        <w:t>As stated above</w:t>
      </w:r>
      <w:r w:rsidR="007B1903">
        <w:t>, for Study A2201E1</w:t>
      </w:r>
      <w:r>
        <w:t>.</w:t>
      </w:r>
    </w:p>
    <w:p w14:paraId="5D6834B4" w14:textId="77777777" w:rsidR="007B1903" w:rsidRDefault="007B1903" w:rsidP="007B1903">
      <w:pPr>
        <w:pStyle w:val="Heading5"/>
      </w:pPr>
      <w:r>
        <w:lastRenderedPageBreak/>
        <w:t>Conclusions on clinical efficacy</w:t>
      </w:r>
    </w:p>
    <w:p w14:paraId="01BABD9A" w14:textId="77777777" w:rsidR="007B1903" w:rsidRDefault="007B1903" w:rsidP="007B1903">
      <w:r>
        <w:t>Clinical evaluator’s conclusions on clinical efficacy:</w:t>
      </w:r>
    </w:p>
    <w:p w14:paraId="7408791C" w14:textId="77777777" w:rsidR="00A315B0" w:rsidRDefault="00A315B0" w:rsidP="007B1903">
      <w:pPr>
        <w:pStyle w:val="ListBullet"/>
      </w:pPr>
      <w:r>
        <w:t>The su</w:t>
      </w:r>
      <w:r w:rsidR="007B1903">
        <w:t>bmission is based on the Phase III S</w:t>
      </w:r>
      <w:r>
        <w:t xml:space="preserve">tudy A2304 in patients with the target indication of SPMS. </w:t>
      </w:r>
      <w:r w:rsidR="007B1903">
        <w:t xml:space="preserve">A supportive Phase II, dose </w:t>
      </w:r>
      <w:r>
        <w:t>ranging study was conducted in RRMS patients. The selected dose of 2 mg daily is considered appropriate despite the different patient pop</w:t>
      </w:r>
      <w:r w:rsidR="007B1903">
        <w:t>ulation and efficacy endpoints.</w:t>
      </w:r>
    </w:p>
    <w:p w14:paraId="041B21E9" w14:textId="22EB291A" w:rsidR="00A315B0" w:rsidRDefault="00A315B0" w:rsidP="007B1903">
      <w:pPr>
        <w:pStyle w:val="ListBullet"/>
      </w:pPr>
      <w:r>
        <w:t xml:space="preserve">The </w:t>
      </w:r>
      <w:r w:rsidR="007B1903">
        <w:rPr>
          <w:bCs/>
        </w:rPr>
        <w:t>European Medicines Agency</w:t>
      </w:r>
      <w:r w:rsidR="007B1903">
        <w:t xml:space="preserve"> (</w:t>
      </w:r>
      <w:r>
        <w:t>EMA</w:t>
      </w:r>
      <w:r w:rsidR="007B1903">
        <w:t>)</w:t>
      </w:r>
      <w:r>
        <w:t xml:space="preserve"> guideline </w:t>
      </w:r>
      <w:r w:rsidRPr="007B1903">
        <w:rPr>
          <w:rFonts w:asciiTheme="minorHAnsi" w:eastAsiaTheme="minorHAnsi" w:hAnsiTheme="minorHAnsi" w:cs="Verdana"/>
          <w:color w:val="000000"/>
          <w:szCs w:val="14"/>
        </w:rPr>
        <w:t xml:space="preserve">on clinical investigation of medicinal products for the treatment of multiple </w:t>
      </w:r>
      <w:r w:rsidRPr="007B1903">
        <w:rPr>
          <w:rFonts w:asciiTheme="minorHAnsi" w:eastAsiaTheme="minorHAnsi" w:hAnsiTheme="minorHAnsi" w:cs="Verdana"/>
          <w:color w:val="000000"/>
        </w:rPr>
        <w:t xml:space="preserve">sclerosis </w:t>
      </w:r>
      <w:r w:rsidR="007B1903">
        <w:rPr>
          <w:rFonts w:asciiTheme="minorHAnsi" w:hAnsiTheme="minorHAnsi"/>
        </w:rPr>
        <w:t xml:space="preserve">recommends large scale, long term, placebo </w:t>
      </w:r>
      <w:r w:rsidRPr="007B1903">
        <w:rPr>
          <w:rFonts w:asciiTheme="minorHAnsi" w:hAnsiTheme="minorHAnsi"/>
        </w:rPr>
        <w:t xml:space="preserve">controlled, parallel group trials. </w:t>
      </w:r>
      <w:r w:rsidRPr="007B1903">
        <w:rPr>
          <w:rFonts w:asciiTheme="minorHAnsi" w:eastAsiaTheme="minorHAnsi" w:hAnsiTheme="minorHAnsi" w:cs="Verdana"/>
          <w:color w:val="000000"/>
        </w:rPr>
        <w:t>The revised McDonald’s criteria (2010)</w:t>
      </w:r>
      <w:bookmarkStart w:id="71" w:name="_Ref25222161"/>
      <w:r w:rsidR="009C4CE6">
        <w:rPr>
          <w:rFonts w:asciiTheme="minorHAnsi" w:eastAsiaTheme="minorHAnsi" w:hAnsiTheme="minorHAnsi" w:cs="Verdana"/>
          <w:color w:val="000000"/>
        </w:rPr>
        <w:t>;</w:t>
      </w:r>
      <w:r w:rsidR="007B1903">
        <w:rPr>
          <w:rStyle w:val="FootnoteReference"/>
          <w:rFonts w:asciiTheme="minorHAnsi" w:eastAsiaTheme="minorHAnsi" w:hAnsiTheme="minorHAnsi" w:cs="Verdana"/>
          <w:color w:val="000000"/>
        </w:rPr>
        <w:footnoteReference w:id="13"/>
      </w:r>
      <w:bookmarkEnd w:id="71"/>
      <w:r w:rsidRPr="007B1903">
        <w:rPr>
          <w:rFonts w:asciiTheme="minorHAnsi" w:eastAsiaTheme="minorHAnsi" w:hAnsiTheme="minorHAnsi" w:cs="Verdana"/>
          <w:color w:val="000000"/>
        </w:rPr>
        <w:t xml:space="preserve"> incorporating MRI criteria for dissemination in time and space are widely accepted. </w:t>
      </w:r>
      <w:r w:rsidRPr="007B1903">
        <w:rPr>
          <w:rFonts w:asciiTheme="minorHAnsi" w:hAnsiTheme="minorHAnsi"/>
        </w:rPr>
        <w:t>The target population of SPMS patients should show evidence of recent progression without recent relapses and no MRI activity suggestive of active inflammation. Any occurrence of relapse activity should be assessed during the study and taken into</w:t>
      </w:r>
      <w:r w:rsidRPr="007B1903">
        <w:rPr>
          <w:sz w:val="28"/>
        </w:rPr>
        <w:t xml:space="preserve"> </w:t>
      </w:r>
      <w:r>
        <w:t>account when determining confi</w:t>
      </w:r>
      <w:r w:rsidR="007B1903">
        <w:t>rmed progression of disability.</w:t>
      </w:r>
    </w:p>
    <w:p w14:paraId="1FF0A011" w14:textId="77777777" w:rsidR="00A315B0" w:rsidRDefault="00A315B0" w:rsidP="007B1903">
      <w:pPr>
        <w:pStyle w:val="ListBullet"/>
      </w:pPr>
      <w:r>
        <w:t>The primary efficacy parameter in confirmatory trials should be a clinically measured prevention or delay of the disability progression. Fo</w:t>
      </w:r>
      <w:r w:rsidR="007B1903">
        <w:t>r an SPMS indication, a relapse</w:t>
      </w:r>
      <w:r w:rsidR="007B1903">
        <w:noBreakHyphen/>
      </w:r>
      <w:r>
        <w:t xml:space="preserve">based primary endpoint cannot be taken as a surrogate for disability progression. It is also highly desirable to evaluate if the effect on progression is maintained on a long-term basis which may need 5 years or even longer follow-up. However, these data might be generated post-approval. The </w:t>
      </w:r>
      <w:proofErr w:type="spellStart"/>
      <w:r>
        <w:t>Kurtzke’s</w:t>
      </w:r>
      <w:proofErr w:type="spellEnd"/>
      <w:r>
        <w:t xml:space="preserve"> Expanded Disability Status Scale (EDSS) is the most widely used and well known scale to assess changes in disability in MS with limited inter- and intra-observer variability. Acceptable secondary endpoints include relapses, MRI derived parameters, absence of disease activity, cognitive and other efficacy scales, and patient a</w:t>
      </w:r>
      <w:r w:rsidR="007B1903">
        <w:t>nd physician reported outcomes.</w:t>
      </w:r>
    </w:p>
    <w:p w14:paraId="6D397D65" w14:textId="77777777" w:rsidR="00A315B0" w:rsidRDefault="00A315B0" w:rsidP="007B1903">
      <w:pPr>
        <w:pStyle w:val="ListBullet"/>
      </w:pPr>
      <w:r>
        <w:t>The pivotal study design was consistent with the EMA guideline published at the time.</w:t>
      </w:r>
      <w:r w:rsidR="009936F9">
        <w:fldChar w:fldCharType="begin"/>
      </w:r>
      <w:r w:rsidR="009936F9">
        <w:instrText xml:space="preserve"> NOTEREF _Ref25221367 \f \h </w:instrText>
      </w:r>
      <w:r w:rsidR="009936F9">
        <w:fldChar w:fldCharType="separate"/>
      </w:r>
      <w:r w:rsidR="009936F9" w:rsidRPr="009936F9">
        <w:rPr>
          <w:rStyle w:val="FootnoteReference"/>
        </w:rPr>
        <w:t>9</w:t>
      </w:r>
      <w:r w:rsidR="009936F9">
        <w:fldChar w:fldCharType="end"/>
      </w:r>
      <w:r>
        <w:t xml:space="preserve"> The population of ambulatory SPMS patients was similar to populations in other SPMS trials, but different from those of RRMS and RMS studies. As discussed in the clinical evaluation report, the primary</w:t>
      </w:r>
      <w:r w:rsidR="007B1903">
        <w:t xml:space="preserve"> efficacy endpoint of time to 3 </w:t>
      </w:r>
      <w:r>
        <w:t>month CDP based on EDSS h</w:t>
      </w:r>
      <w:r w:rsidR="007B1903">
        <w:t xml:space="preserve">ad been superseded by time to 6 </w:t>
      </w:r>
      <w:r>
        <w:t xml:space="preserve">month CDP in the updated guideline. However, time </w:t>
      </w:r>
      <w:r w:rsidR="007B1903">
        <w:t xml:space="preserve">to 6 </w:t>
      </w:r>
      <w:r w:rsidRPr="00203487">
        <w:t xml:space="preserve">month CDP was a pre-defined secondary endpoint and the result (25.9% risk reduction in favour of </w:t>
      </w:r>
      <w:proofErr w:type="spellStart"/>
      <w:r w:rsidR="007B1903">
        <w:t>s</w:t>
      </w:r>
      <w:r>
        <w:t>iponimod</w:t>
      </w:r>
      <w:proofErr w:type="spellEnd"/>
      <w:r w:rsidR="007B1903">
        <w:t xml:space="preserve">) was consistent with the 3 </w:t>
      </w:r>
      <w:r w:rsidRPr="00203487">
        <w:t xml:space="preserve">month CDP analysis (21.2% risk reduction in favour of </w:t>
      </w:r>
      <w:proofErr w:type="spellStart"/>
      <w:r w:rsidR="007B1903">
        <w:t>s</w:t>
      </w:r>
      <w:r>
        <w:t>iponimod</w:t>
      </w:r>
      <w:proofErr w:type="spellEnd"/>
      <w:r w:rsidRPr="00203487">
        <w:t>).</w:t>
      </w:r>
    </w:p>
    <w:p w14:paraId="518C87FF" w14:textId="77777777" w:rsidR="00A315B0" w:rsidRPr="00FB1FBF" w:rsidRDefault="00A315B0" w:rsidP="007B1903">
      <w:pPr>
        <w:pStyle w:val="ListBullet"/>
      </w:pPr>
      <w:r>
        <w:t xml:space="preserve">The results were supported by sensitivity analyses and were consistent in key subgroups. Relapses </w:t>
      </w:r>
      <w:r w:rsidR="007B1903">
        <w:t xml:space="preserve">were reported less commonly in </w:t>
      </w:r>
      <w:proofErr w:type="spellStart"/>
      <w:r w:rsidR="007B1903">
        <w:t>s</w:t>
      </w:r>
      <w:r>
        <w:t>iponimod</w:t>
      </w:r>
      <w:proofErr w:type="spellEnd"/>
      <w:r>
        <w:t xml:space="preserve"> patients compared with placebo and clinical outcomes were comparable in SPMS patients with or without superimposed relapses. </w:t>
      </w:r>
      <w:r w:rsidR="007B1903">
        <w:rPr>
          <w:rFonts w:asciiTheme="minorHAnsi" w:hAnsiTheme="minorHAnsi" w:cstheme="minorHAnsi"/>
        </w:rPr>
        <w:t xml:space="preserve">The benefit in 3 </w:t>
      </w:r>
      <w:r w:rsidRPr="007B1903">
        <w:rPr>
          <w:rFonts w:asciiTheme="minorHAnsi" w:hAnsiTheme="minorHAnsi" w:cstheme="minorHAnsi"/>
        </w:rPr>
        <w:t>month CDP was higher in relapsing patients (HR 0.85) than in non-relapsing patie</w:t>
      </w:r>
      <w:r w:rsidR="007B1903">
        <w:rPr>
          <w:rFonts w:asciiTheme="minorHAnsi" w:hAnsiTheme="minorHAnsi" w:cstheme="minorHAnsi"/>
        </w:rPr>
        <w:t xml:space="preserve">nts (HR 0.87). The benefit in 6 </w:t>
      </w:r>
      <w:r w:rsidRPr="007B1903">
        <w:rPr>
          <w:rFonts w:asciiTheme="minorHAnsi" w:hAnsiTheme="minorHAnsi" w:cstheme="minorHAnsi"/>
        </w:rPr>
        <w:t>month CDP was also higher in relapsing patients (HR 0.76) than in non-relapsing patients (HR 0.82).</w:t>
      </w:r>
    </w:p>
    <w:p w14:paraId="174A28AA" w14:textId="7228DC17" w:rsidR="00A315B0" w:rsidRPr="007B1903" w:rsidRDefault="00A315B0" w:rsidP="007B1903">
      <w:pPr>
        <w:pStyle w:val="ListBullet"/>
        <w:rPr>
          <w:rFonts w:ascii="Verdana" w:eastAsiaTheme="minorHAnsi" w:hAnsi="Verdana" w:cs="Verdana"/>
          <w:color w:val="000000"/>
          <w:sz w:val="18"/>
          <w:szCs w:val="18"/>
        </w:rPr>
      </w:pPr>
      <w:r>
        <w:t xml:space="preserve">These positive outcomes were supported by a </w:t>
      </w:r>
      <w:r w:rsidR="007B1903">
        <w:t xml:space="preserve">treatment benefit in favour of </w:t>
      </w:r>
      <w:proofErr w:type="spellStart"/>
      <w:r w:rsidR="007B1903">
        <w:t>s</w:t>
      </w:r>
      <w:r>
        <w:t>iponimod</w:t>
      </w:r>
      <w:proofErr w:type="spellEnd"/>
      <w:r>
        <w:t xml:space="preserve"> compared with placebo for MRI secondary and exploratory endpoints, and for cognitive function. As discussed previously, there was on</w:t>
      </w:r>
      <w:r w:rsidR="007B1903">
        <w:t xml:space="preserve">ly a 6.2% benefit in favour of </w:t>
      </w:r>
      <w:proofErr w:type="spellStart"/>
      <w:r w:rsidR="007B1903">
        <w:t>s</w:t>
      </w:r>
      <w:r>
        <w:t>iponimod</w:t>
      </w:r>
      <w:proofErr w:type="spellEnd"/>
      <w:r>
        <w:t xml:space="preserve"> compared with placebo for </w:t>
      </w:r>
      <w:r w:rsidR="009C4CE6">
        <w:t xml:space="preserve">the </w:t>
      </w:r>
      <w:r>
        <w:t>T25W</w:t>
      </w:r>
      <w:r w:rsidR="009C4CE6">
        <w:t xml:space="preserve"> test</w:t>
      </w:r>
      <w:r>
        <w:t>. However, this negative outcome does not invalidate the overall conclusions of the study.</w:t>
      </w:r>
    </w:p>
    <w:p w14:paraId="1306D23C" w14:textId="528BB34C" w:rsidR="00A315B0" w:rsidRPr="00A315B0" w:rsidRDefault="00A315B0" w:rsidP="007B1903">
      <w:pPr>
        <w:pStyle w:val="ListBullet"/>
      </w:pPr>
      <w:r>
        <w:t>Overal</w:t>
      </w:r>
      <w:r w:rsidR="007B1903">
        <w:t xml:space="preserve">l, the results of the study of </w:t>
      </w:r>
      <w:proofErr w:type="spellStart"/>
      <w:r w:rsidR="007B1903">
        <w:t>s</w:t>
      </w:r>
      <w:r>
        <w:t>iponimod</w:t>
      </w:r>
      <w:proofErr w:type="spellEnd"/>
      <w:r>
        <w:t xml:space="preserve"> treatment for up to </w:t>
      </w:r>
      <w:r w:rsidR="008A19A0">
        <w:t xml:space="preserve">37 </w:t>
      </w:r>
      <w:r>
        <w:t>months support the proposed indication for use in SPMS patients. The benefit in favour</w:t>
      </w:r>
      <w:r w:rsidR="007B1903">
        <w:t xml:space="preserve"> of </w:t>
      </w:r>
      <w:proofErr w:type="spellStart"/>
      <w:r w:rsidR="007B1903">
        <w:t>s</w:t>
      </w:r>
      <w:r>
        <w:t>iponimod</w:t>
      </w:r>
      <w:proofErr w:type="spellEnd"/>
      <w:r>
        <w:t xml:space="preserve"> compared with placebo was statistically significant and clinically meaningful. </w:t>
      </w:r>
      <w:r>
        <w:lastRenderedPageBreak/>
        <w:t xml:space="preserve">However, efficacy data beyond </w:t>
      </w:r>
      <w:r w:rsidR="00F65846">
        <w:t xml:space="preserve">the Core part </w:t>
      </w:r>
      <w:r>
        <w:t xml:space="preserve">should be provided to confirm sustained long-term efficacy as data from the </w:t>
      </w:r>
      <w:r w:rsidR="007B1903">
        <w:t xml:space="preserve">Study A2304 extension </w:t>
      </w:r>
      <w:r>
        <w:t>emerge</w:t>
      </w:r>
      <w:r w:rsidRPr="00043234">
        <w:t>.</w:t>
      </w:r>
      <w:r w:rsidR="00FE69D2">
        <w:fldChar w:fldCharType="begin"/>
      </w:r>
      <w:r w:rsidR="00FE69D2">
        <w:instrText xml:space="preserve"> NOTEREF _Ref25917310 \f \h </w:instrText>
      </w:r>
      <w:r w:rsidR="00FE69D2">
        <w:fldChar w:fldCharType="separate"/>
      </w:r>
      <w:r w:rsidR="00FE69D2" w:rsidRPr="00767EF1">
        <w:rPr>
          <w:rStyle w:val="FootnoteReference"/>
        </w:rPr>
        <w:t>11</w:t>
      </w:r>
      <w:r w:rsidR="00FE69D2">
        <w:fldChar w:fldCharType="end"/>
      </w:r>
    </w:p>
    <w:p w14:paraId="07BBFE6C" w14:textId="77777777" w:rsidR="00A315B0" w:rsidRDefault="00A315B0" w:rsidP="00A315B0">
      <w:pPr>
        <w:pStyle w:val="Heading4"/>
      </w:pPr>
      <w:r>
        <w:t>Safety</w:t>
      </w:r>
    </w:p>
    <w:p w14:paraId="521C38AB" w14:textId="77777777" w:rsidR="00A315B0" w:rsidRPr="00741453" w:rsidRDefault="00A315B0" w:rsidP="007B1903">
      <w:r w:rsidRPr="00741453">
        <w:rPr>
          <w:lang w:eastAsia="ja-JP"/>
        </w:rPr>
        <w:t>Regarding the overall conclusions on clinical safety</w:t>
      </w:r>
      <w:r w:rsidR="007B1903">
        <w:rPr>
          <w:lang w:eastAsia="ja-JP"/>
        </w:rPr>
        <w:t>, the clinical evaluator</w:t>
      </w:r>
      <w:r w:rsidRPr="00741453">
        <w:rPr>
          <w:lang w:eastAsia="ja-JP"/>
        </w:rPr>
        <w:t xml:space="preserve"> stated that:</w:t>
      </w:r>
    </w:p>
    <w:p w14:paraId="1FB6E43F" w14:textId="77777777" w:rsidR="00A315B0" w:rsidRDefault="00A315B0" w:rsidP="00ED2839">
      <w:pPr>
        <w:pStyle w:val="ListBullet"/>
      </w:pPr>
      <w:r w:rsidRPr="00C738D5">
        <w:t>Safety was</w:t>
      </w:r>
      <w:r w:rsidR="00ED2839">
        <w:t xml:space="preserve"> assessed in the pivotal Phase III</w:t>
      </w:r>
      <w:r w:rsidRPr="00C738D5">
        <w:t xml:space="preserve"> study in patient</w:t>
      </w:r>
      <w:r w:rsidR="00ED2839">
        <w:t>s with SPMS and in the Phase II S</w:t>
      </w:r>
      <w:r w:rsidRPr="00C738D5">
        <w:t>tudy A2201/A2201E1 in patients with R</w:t>
      </w:r>
      <w:r w:rsidR="007B1903">
        <w:t>RMS.</w:t>
      </w:r>
    </w:p>
    <w:p w14:paraId="465EFC7C" w14:textId="77777777" w:rsidR="00A315B0" w:rsidRDefault="00A315B0" w:rsidP="00ED2839">
      <w:pPr>
        <w:pStyle w:val="ListBullet"/>
      </w:pPr>
      <w:r w:rsidRPr="00C738D5">
        <w:t>In the efficacy studies,</w:t>
      </w:r>
      <w:r>
        <w:t xml:space="preserve"> including RRMS patients,</w:t>
      </w:r>
      <w:r w:rsidRPr="00C738D5">
        <w:t xml:space="preserve"> a total of 1784</w:t>
      </w:r>
      <w:r w:rsidR="00ED2839">
        <w:t xml:space="preserve"> MS patients received doses of </w:t>
      </w:r>
      <w:proofErr w:type="spellStart"/>
      <w:r w:rsidR="00ED2839">
        <w:t>s</w:t>
      </w:r>
      <w:r w:rsidRPr="00C738D5">
        <w:t>iponimod</w:t>
      </w:r>
      <w:proofErr w:type="spellEnd"/>
      <w:r w:rsidRPr="00C738D5">
        <w:t xml:space="preserve"> ranging from 0.25 to 10 mg daily. Of these, 1737 patients were tre</w:t>
      </w:r>
      <w:r w:rsidR="00ED2839">
        <w:t xml:space="preserve">ated with at least one dose of </w:t>
      </w:r>
      <w:proofErr w:type="spellStart"/>
      <w:r w:rsidR="00ED2839">
        <w:t>s</w:t>
      </w:r>
      <w:r w:rsidRPr="00C738D5">
        <w:t>iponimod</w:t>
      </w:r>
      <w:proofErr w:type="spellEnd"/>
      <w:r w:rsidRPr="00C738D5">
        <w:t xml:space="preserve"> 2 mg (or higher). The cumulative exp</w:t>
      </w:r>
      <w:r w:rsidR="00ED2839">
        <w:t xml:space="preserve">osure to </w:t>
      </w:r>
      <w:proofErr w:type="spellStart"/>
      <w:r w:rsidR="00ED2839">
        <w:t>s</w:t>
      </w:r>
      <w:r w:rsidRPr="00C738D5">
        <w:t>ipon</w:t>
      </w:r>
      <w:r w:rsidR="00ED2839">
        <w:t>imod</w:t>
      </w:r>
      <w:proofErr w:type="spellEnd"/>
      <w:r w:rsidR="00ED2839">
        <w:t xml:space="preserve"> was more than 4000 patient </w:t>
      </w:r>
      <w:r w:rsidRPr="00C738D5">
        <w:t>years.</w:t>
      </w:r>
    </w:p>
    <w:p w14:paraId="4508F258" w14:textId="06B9F1CB" w:rsidR="00A315B0" w:rsidRDefault="00ED2839" w:rsidP="00ED2839">
      <w:pPr>
        <w:pStyle w:val="ListBullet"/>
      </w:pPr>
      <w:r>
        <w:t xml:space="preserve">Overall, </w:t>
      </w:r>
      <w:proofErr w:type="spellStart"/>
      <w:r>
        <w:t>s</w:t>
      </w:r>
      <w:r w:rsidR="00A315B0">
        <w:t>iponimod</w:t>
      </w:r>
      <w:proofErr w:type="spellEnd"/>
      <w:r w:rsidR="00A315B0">
        <w:t xml:space="preserve"> was well tolerated. The safety profile was comparable to the first i</w:t>
      </w:r>
      <w:r>
        <w:t xml:space="preserve">n class S1P receptor inhibitor </w:t>
      </w:r>
      <w:proofErr w:type="spellStart"/>
      <w:r>
        <w:t>f</w:t>
      </w:r>
      <w:r w:rsidR="00A315B0">
        <w:t>ingolimod</w:t>
      </w:r>
      <w:proofErr w:type="spellEnd"/>
      <w:r w:rsidR="00A315B0">
        <w:t xml:space="preserve"> (</w:t>
      </w:r>
      <w:proofErr w:type="spellStart"/>
      <w:r w:rsidR="00A315B0">
        <w:t>Gilenya</w:t>
      </w:r>
      <w:proofErr w:type="spellEnd"/>
      <w:r w:rsidR="00A315B0">
        <w:t>)</w:t>
      </w:r>
      <w:r w:rsidR="00FE69D2">
        <w:t>, which, at the time this submission was under consideration, was approved for use in patients with RRMS and SPMS with superimposed relapses.</w:t>
      </w:r>
      <w:bookmarkStart w:id="72" w:name="_Ref25754790"/>
      <w:r w:rsidR="00FE69D2">
        <w:rPr>
          <w:rStyle w:val="FootnoteReference"/>
        </w:rPr>
        <w:footnoteReference w:id="14"/>
      </w:r>
      <w:bookmarkEnd w:id="72"/>
      <w:r w:rsidR="00FE69D2">
        <w:t>,</w:t>
      </w:r>
      <w:r w:rsidR="00A315B0">
        <w:t xml:space="preserve"> </w:t>
      </w:r>
      <w:proofErr w:type="spellStart"/>
      <w:r>
        <w:t>Fingolimod</w:t>
      </w:r>
      <w:proofErr w:type="spellEnd"/>
      <w:r>
        <w:t xml:space="preserve"> and </w:t>
      </w:r>
      <w:proofErr w:type="spellStart"/>
      <w:r>
        <w:t>siponimod</w:t>
      </w:r>
      <w:proofErr w:type="spellEnd"/>
      <w:r>
        <w:t xml:space="preserve"> cause a dose </w:t>
      </w:r>
      <w:r w:rsidR="00A315B0">
        <w:t>dependent reduction in pe</w:t>
      </w:r>
      <w:r>
        <w:t>ripheral lymphocyte count to 20</w:t>
      </w:r>
      <w:r>
        <w:noBreakHyphen/>
      </w:r>
      <w:r w:rsidR="00A315B0">
        <w:t>30% of baseline values by reversible sequestration of lymphocytes in lymphoid tissues. Their mechanism of action increases the risk of infections, including opportunistic infections, and these</w:t>
      </w:r>
      <w:r>
        <w:t xml:space="preserve"> were monitored throughout the </w:t>
      </w:r>
      <w:proofErr w:type="spellStart"/>
      <w:r>
        <w:t>s</w:t>
      </w:r>
      <w:r w:rsidR="00A315B0">
        <w:t>iponimod</w:t>
      </w:r>
      <w:proofErr w:type="spellEnd"/>
      <w:r w:rsidR="00A315B0">
        <w:t xml:space="preserve"> development program. There were no meaningful differences in</w:t>
      </w:r>
      <w:r>
        <w:t xml:space="preserve"> the incidence of infection in </w:t>
      </w:r>
      <w:proofErr w:type="spellStart"/>
      <w:r>
        <w:t>s</w:t>
      </w:r>
      <w:r w:rsidR="00A315B0">
        <w:t>iponimod</w:t>
      </w:r>
      <w:proofErr w:type="spellEnd"/>
      <w:r w:rsidR="00A315B0">
        <w:t xml:space="preserve"> patients. However, </w:t>
      </w:r>
      <w:r w:rsidR="00A315B0" w:rsidRPr="0027562F">
        <w:t xml:space="preserve">the incidence of herpes zoster reactivation was higher in </w:t>
      </w:r>
      <w:proofErr w:type="spellStart"/>
      <w:r w:rsidR="009C4CE6">
        <w:t>s</w:t>
      </w:r>
      <w:r w:rsidR="00A315B0" w:rsidRPr="0027562F">
        <w:t>iponimod</w:t>
      </w:r>
      <w:proofErr w:type="spellEnd"/>
      <w:r w:rsidR="00A315B0" w:rsidRPr="0027562F">
        <w:t xml:space="preserve"> patient</w:t>
      </w:r>
      <w:r>
        <w:t>s compared with placebo (2.5% versus</w:t>
      </w:r>
      <w:r w:rsidR="00A315B0" w:rsidRPr="0027562F">
        <w:t xml:space="preserve"> 0.7%). </w:t>
      </w:r>
      <w:r w:rsidR="001616C5" w:rsidRPr="0027562F">
        <w:t xml:space="preserve">There were no fungal or other </w:t>
      </w:r>
      <w:r w:rsidR="001616C5">
        <w:t xml:space="preserve">opportunistic infections and no cases of progressive multifocal leukoencephalopathy or </w:t>
      </w:r>
      <w:proofErr w:type="spellStart"/>
      <w:r w:rsidR="001616C5">
        <w:t>cryptococcal</w:t>
      </w:r>
      <w:proofErr w:type="spellEnd"/>
      <w:r w:rsidR="001616C5">
        <w:t xml:space="preserve"> meningitis.</w:t>
      </w:r>
      <w:r w:rsidR="001616C5">
        <w:rPr>
          <w:rStyle w:val="FootnoteReference"/>
        </w:rPr>
        <w:footnoteReference w:id="15"/>
      </w:r>
    </w:p>
    <w:p w14:paraId="0345F6E2" w14:textId="5D2CA28A" w:rsidR="00A315B0" w:rsidRDefault="00A315B0" w:rsidP="00ED2839">
      <w:pPr>
        <w:pStyle w:val="ListBullet"/>
      </w:pPr>
      <w:r>
        <w:t xml:space="preserve">Specific </w:t>
      </w:r>
      <w:r w:rsidR="00ED2839">
        <w:t>a</w:t>
      </w:r>
      <w:r w:rsidR="00ED2839" w:rsidRPr="00C816F8">
        <w:t>dverse event</w:t>
      </w:r>
      <w:r w:rsidR="00ED2839">
        <w:t>s (AE)</w:t>
      </w:r>
      <w:r>
        <w:t xml:space="preserve"> of interest including bradycardia, macular oedema and raised </w:t>
      </w:r>
      <w:r w:rsidR="00ED2839">
        <w:t>liver function test (</w:t>
      </w:r>
      <w:r>
        <w:t>LFT</w:t>
      </w:r>
      <w:r w:rsidR="00ED2839">
        <w:t>)</w:t>
      </w:r>
      <w:r>
        <w:t xml:space="preserve"> </w:t>
      </w:r>
      <w:r w:rsidR="009C4CE6">
        <w:t xml:space="preserve">values </w:t>
      </w:r>
      <w:r>
        <w:t>were reported in line wi</w:t>
      </w:r>
      <w:r w:rsidR="00ED2839">
        <w:t xml:space="preserve">th the known safety profile of </w:t>
      </w:r>
      <w:proofErr w:type="spellStart"/>
      <w:r w:rsidR="00ED2839">
        <w:t>f</w:t>
      </w:r>
      <w:r>
        <w:t>ingolimod</w:t>
      </w:r>
      <w:proofErr w:type="spellEnd"/>
      <w:r>
        <w:t>. No unexpected safety signals were detected.</w:t>
      </w:r>
    </w:p>
    <w:p w14:paraId="2E1CF892" w14:textId="18B607DC" w:rsidR="00A315B0" w:rsidRDefault="00ED2839" w:rsidP="00ED2839">
      <w:pPr>
        <w:pStyle w:val="ListBullet"/>
      </w:pPr>
      <w:r>
        <w:t xml:space="preserve">In the </w:t>
      </w:r>
      <w:r w:rsidR="009C4CE6">
        <w:t xml:space="preserve">controlled </w:t>
      </w:r>
      <w:r>
        <w:t>pool, most AE</w:t>
      </w:r>
      <w:r w:rsidR="009C4CE6">
        <w:t>s</w:t>
      </w:r>
      <w:r w:rsidR="00A315B0">
        <w:t xml:space="preserve"> were reported with similar frequency in the </w:t>
      </w:r>
      <w:proofErr w:type="spellStart"/>
      <w:r>
        <w:t>s</w:t>
      </w:r>
      <w:r w:rsidR="00A315B0">
        <w:t>iponimod</w:t>
      </w:r>
      <w:proofErr w:type="spellEnd"/>
      <w:r w:rsidR="00A315B0">
        <w:t xml:space="preserve"> 2 mg </w:t>
      </w:r>
      <w:r>
        <w:t>group compared with placebo. AE</w:t>
      </w:r>
      <w:r w:rsidR="009C4CE6">
        <w:t>s</w:t>
      </w:r>
      <w:r w:rsidR="00A315B0">
        <w:t xml:space="preserve"> reported more frequently (≥</w:t>
      </w:r>
      <w:r w:rsidR="009C4CE6">
        <w:t> </w:t>
      </w:r>
      <w:r>
        <w:t xml:space="preserve">2%) in the </w:t>
      </w:r>
      <w:proofErr w:type="spellStart"/>
      <w:r>
        <w:t>s</w:t>
      </w:r>
      <w:r w:rsidR="00A315B0">
        <w:t>iponimod</w:t>
      </w:r>
      <w:proofErr w:type="spellEnd"/>
      <w:r w:rsidR="00A315B0">
        <w:t xml:space="preserve"> 2 mg group compared with placebo included headache, hypertension, nausea, diarrhoea, increased </w:t>
      </w:r>
      <w:r w:rsidRPr="00ED2839">
        <w:t xml:space="preserve">alanine aminotransferase </w:t>
      </w:r>
      <w:r>
        <w:t>(</w:t>
      </w:r>
      <w:r w:rsidR="00A315B0">
        <w:t>ALT</w:t>
      </w:r>
      <w:r>
        <w:t>)</w:t>
      </w:r>
      <w:r w:rsidR="00A315B0">
        <w:t xml:space="preserve">, bradycardia, peripheral oedema and increased </w:t>
      </w:r>
      <w:r>
        <w:t>g</w:t>
      </w:r>
      <w:r w:rsidRPr="00ED2839">
        <w:t>amma-</w:t>
      </w:r>
      <w:proofErr w:type="spellStart"/>
      <w:r w:rsidRPr="00ED2839">
        <w:t>glutamyl</w:t>
      </w:r>
      <w:proofErr w:type="spellEnd"/>
      <w:r w:rsidRPr="00ED2839">
        <w:t xml:space="preserve"> transferase </w:t>
      </w:r>
      <w:r>
        <w:t>(</w:t>
      </w:r>
      <w:r w:rsidR="00A315B0">
        <w:t>GGT</w:t>
      </w:r>
      <w:r>
        <w:t>). The majority of AE</w:t>
      </w:r>
      <w:r w:rsidR="009C4CE6">
        <w:t>s</w:t>
      </w:r>
      <w:r w:rsidR="00A315B0">
        <w:t xml:space="preserve"> were mild to m</w:t>
      </w:r>
      <w:r>
        <w:t>oderate in severity. Grade 3 AE</w:t>
      </w:r>
      <w:r w:rsidR="009C4CE6">
        <w:t>s</w:t>
      </w:r>
      <w:r>
        <w:t xml:space="preserve"> were reported in 11.0% of the </w:t>
      </w:r>
      <w:proofErr w:type="spellStart"/>
      <w:r>
        <w:t>s</w:t>
      </w:r>
      <w:r w:rsidR="00A315B0">
        <w:t>iponimod</w:t>
      </w:r>
      <w:proofErr w:type="spellEnd"/>
      <w:r w:rsidR="00A315B0">
        <w:t xml:space="preserve"> group and 9.2% o</w:t>
      </w:r>
      <w:r>
        <w:t>f the placebo group. Grade 4 AE</w:t>
      </w:r>
      <w:r w:rsidR="009C4CE6">
        <w:t>s</w:t>
      </w:r>
      <w:r w:rsidR="00A315B0">
        <w:t xml:space="preserve"> were reported in only 2.0% and</w:t>
      </w:r>
      <w:r>
        <w:t xml:space="preserve"> 1.2% of the respective groups.</w:t>
      </w:r>
    </w:p>
    <w:p w14:paraId="2878C2EC" w14:textId="1218C19B" w:rsidR="00A315B0" w:rsidRPr="007B1903" w:rsidRDefault="00A315B0" w:rsidP="00ED2839">
      <w:pPr>
        <w:pStyle w:val="ListBullet"/>
        <w:rPr>
          <w:rFonts w:asciiTheme="minorHAnsi" w:hAnsiTheme="minorHAnsi" w:cstheme="minorHAnsi"/>
        </w:rPr>
      </w:pPr>
      <w:r>
        <w:t xml:space="preserve">In the </w:t>
      </w:r>
      <w:r w:rsidR="009C4CE6">
        <w:t>l</w:t>
      </w:r>
      <w:r>
        <w:t xml:space="preserve">ong-term pool, the most commonly observed events were </w:t>
      </w:r>
      <w:proofErr w:type="spellStart"/>
      <w:r>
        <w:t>nasopharyngitis</w:t>
      </w:r>
      <w:proofErr w:type="spellEnd"/>
      <w:r>
        <w:t>, urinary tract infection, headache and fall. Exposure</w:t>
      </w:r>
      <w:r w:rsidR="00ED2839">
        <w:t>-adjusted incidence rates of AE</w:t>
      </w:r>
      <w:r w:rsidR="009C4CE6">
        <w:t>s</w:t>
      </w:r>
      <w:r>
        <w:t xml:space="preserve"> were consistent in the </w:t>
      </w:r>
      <w:r w:rsidR="009C4CE6">
        <w:t xml:space="preserve">controlled </w:t>
      </w:r>
      <w:r>
        <w:t xml:space="preserve">and </w:t>
      </w:r>
      <w:r w:rsidR="009C4CE6">
        <w:t>long</w:t>
      </w:r>
      <w:r>
        <w:t>-term pools, altho</w:t>
      </w:r>
      <w:r w:rsidR="00ED2839">
        <w:t>ugh different trial population.</w:t>
      </w:r>
    </w:p>
    <w:p w14:paraId="3BDAA5F6" w14:textId="789A76A4" w:rsidR="00A315B0" w:rsidRPr="00ED2839" w:rsidRDefault="00ED2839" w:rsidP="00ED2839">
      <w:pPr>
        <w:pStyle w:val="ListBullet"/>
        <w:rPr>
          <w:rFonts w:asciiTheme="minorHAnsi" w:hAnsiTheme="minorHAnsi" w:cstheme="minorHAnsi"/>
        </w:rPr>
      </w:pPr>
      <w:r>
        <w:rPr>
          <w:rFonts w:asciiTheme="minorHAnsi" w:hAnsiTheme="minorHAnsi" w:cstheme="minorHAnsi"/>
        </w:rPr>
        <w:t xml:space="preserve">The overall safety profile of </w:t>
      </w:r>
      <w:proofErr w:type="spellStart"/>
      <w:r>
        <w:rPr>
          <w:rFonts w:asciiTheme="minorHAnsi" w:hAnsiTheme="minorHAnsi" w:cstheme="minorHAnsi"/>
        </w:rPr>
        <w:t>s</w:t>
      </w:r>
      <w:r w:rsidR="00A315B0" w:rsidRPr="00ED2839">
        <w:rPr>
          <w:rFonts w:asciiTheme="minorHAnsi" w:hAnsiTheme="minorHAnsi" w:cstheme="minorHAnsi"/>
        </w:rPr>
        <w:t>iponimod</w:t>
      </w:r>
      <w:proofErr w:type="spellEnd"/>
      <w:r w:rsidR="00A315B0" w:rsidRPr="00ED2839">
        <w:rPr>
          <w:rFonts w:asciiTheme="minorHAnsi" w:hAnsiTheme="minorHAnsi" w:cstheme="minorHAnsi"/>
        </w:rPr>
        <w:t xml:space="preserve"> was consistent with that of S</w:t>
      </w:r>
      <w:r>
        <w:rPr>
          <w:rFonts w:asciiTheme="minorHAnsi" w:hAnsiTheme="minorHAnsi" w:cstheme="minorHAnsi"/>
        </w:rPr>
        <w:t xml:space="preserve">1P modulation as observed with </w:t>
      </w:r>
      <w:proofErr w:type="spellStart"/>
      <w:r>
        <w:rPr>
          <w:rFonts w:asciiTheme="minorHAnsi" w:hAnsiTheme="minorHAnsi" w:cstheme="minorHAnsi"/>
        </w:rPr>
        <w:t>f</w:t>
      </w:r>
      <w:r w:rsidR="00A315B0" w:rsidRPr="00ED2839">
        <w:rPr>
          <w:rFonts w:asciiTheme="minorHAnsi" w:hAnsiTheme="minorHAnsi" w:cstheme="minorHAnsi"/>
        </w:rPr>
        <w:t>ingolimod</w:t>
      </w:r>
      <w:proofErr w:type="spellEnd"/>
      <w:r w:rsidR="00A315B0" w:rsidRPr="00ED2839">
        <w:rPr>
          <w:rFonts w:asciiTheme="minorHAnsi" w:hAnsiTheme="minorHAnsi" w:cstheme="minorHAnsi"/>
        </w:rPr>
        <w:t xml:space="preserve">. In patients treated with </w:t>
      </w:r>
      <w:proofErr w:type="spellStart"/>
      <w:r w:rsidR="00A315B0" w:rsidRPr="00ED2839">
        <w:rPr>
          <w:rFonts w:asciiTheme="minorHAnsi" w:hAnsiTheme="minorHAnsi" w:cstheme="minorHAnsi"/>
        </w:rPr>
        <w:t>siponimod</w:t>
      </w:r>
      <w:proofErr w:type="spellEnd"/>
      <w:r w:rsidR="00A315B0" w:rsidRPr="00ED2839">
        <w:rPr>
          <w:rFonts w:asciiTheme="minorHAnsi" w:hAnsiTheme="minorHAnsi" w:cstheme="minorHAnsi"/>
        </w:rPr>
        <w:t xml:space="preserve"> 2 mg, there was an increased incidence of LFT abnormalities</w:t>
      </w:r>
      <w:r w:rsidR="006B32F9">
        <w:rPr>
          <w:rFonts w:asciiTheme="minorHAnsi" w:hAnsiTheme="minorHAnsi" w:cstheme="minorHAnsi"/>
        </w:rPr>
        <w:t xml:space="preserve"> (in particular ALT)</w:t>
      </w:r>
      <w:r w:rsidR="00A315B0" w:rsidRPr="00ED2839">
        <w:rPr>
          <w:rFonts w:asciiTheme="minorHAnsi" w:hAnsiTheme="minorHAnsi" w:cstheme="minorHAnsi"/>
        </w:rPr>
        <w:t>, macular oedema, hypertension, bronch</w:t>
      </w:r>
      <w:r>
        <w:rPr>
          <w:rFonts w:asciiTheme="minorHAnsi" w:hAnsiTheme="minorHAnsi" w:cstheme="minorHAnsi"/>
        </w:rPr>
        <w:t>oconstriction AE</w:t>
      </w:r>
      <w:r w:rsidR="009C4CE6">
        <w:rPr>
          <w:rFonts w:asciiTheme="minorHAnsi" w:hAnsiTheme="minorHAnsi" w:cstheme="minorHAnsi"/>
        </w:rPr>
        <w:t>s</w:t>
      </w:r>
      <w:r>
        <w:rPr>
          <w:rFonts w:asciiTheme="minorHAnsi" w:hAnsiTheme="minorHAnsi" w:cstheme="minorHAnsi"/>
        </w:rPr>
        <w:t xml:space="preserve"> and seizures.</w:t>
      </w:r>
    </w:p>
    <w:p w14:paraId="4E1D9A1F" w14:textId="72E5210C" w:rsidR="00A315B0" w:rsidRPr="00ED2839" w:rsidRDefault="00A315B0" w:rsidP="00ED2839">
      <w:pPr>
        <w:pStyle w:val="ListBullet2"/>
      </w:pPr>
      <w:r w:rsidRPr="00ED2839">
        <w:lastRenderedPageBreak/>
        <w:t>The incidence of increased liver</w:t>
      </w:r>
      <w:r w:rsidR="00ED2839">
        <w:t xml:space="preserve"> transaminases was higher in </w:t>
      </w:r>
      <w:proofErr w:type="spellStart"/>
      <w:r w:rsidR="00ED2839">
        <w:t>s</w:t>
      </w:r>
      <w:r w:rsidRPr="00ED2839">
        <w:t>iponimod</w:t>
      </w:r>
      <w:proofErr w:type="spellEnd"/>
      <w:r w:rsidRPr="00ED2839">
        <w:t xml:space="preserve"> patient</w:t>
      </w:r>
      <w:r w:rsidR="00ED2839">
        <w:t>s compared with placebo (5.6% versus</w:t>
      </w:r>
      <w:r w:rsidRPr="00ED2839">
        <w:t xml:space="preserve"> 1.3%</w:t>
      </w:r>
      <w:r w:rsidR="006B32F9">
        <w:t xml:space="preserve"> for ALT </w:t>
      </w:r>
      <w:r w:rsidR="00421065">
        <w:t>3</w:t>
      </w:r>
      <w:r w:rsidR="00094CDC">
        <w:t xml:space="preserve"> </w:t>
      </w:r>
      <w:r w:rsidR="00421065">
        <w:t>x</w:t>
      </w:r>
      <w:r w:rsidR="00094CDC">
        <w:t xml:space="preserve"> upper limit of normal (</w:t>
      </w:r>
      <w:r w:rsidR="00421065">
        <w:t>ULN</w:t>
      </w:r>
      <w:r w:rsidR="00094CDC">
        <w:t>)</w:t>
      </w:r>
      <w:r w:rsidRPr="00ED2839">
        <w:t>). Most elevations were mild and most occurred within one month of starting treatment. Treatment discontinuation resulted in normalisatio</w:t>
      </w:r>
      <w:r w:rsidR="00ED2839">
        <w:t xml:space="preserve">n of LFT abnormalities within 1 to </w:t>
      </w:r>
      <w:r w:rsidRPr="00ED2839">
        <w:t>3 months and there were no c</w:t>
      </w:r>
      <w:r w:rsidR="00ED2839">
        <w:t xml:space="preserve">ases meeting </w:t>
      </w:r>
      <w:proofErr w:type="spellStart"/>
      <w:r w:rsidR="00ED2839">
        <w:t>Hy’s</w:t>
      </w:r>
      <w:proofErr w:type="spellEnd"/>
      <w:r w:rsidR="00ED2839">
        <w:t xml:space="preserve"> Law criteria.</w:t>
      </w:r>
      <w:r w:rsidR="00ED2839">
        <w:rPr>
          <w:rStyle w:val="FootnoteReference"/>
        </w:rPr>
        <w:footnoteReference w:id="16"/>
      </w:r>
    </w:p>
    <w:p w14:paraId="60AE633D" w14:textId="50B88E0A" w:rsidR="00A315B0" w:rsidRPr="00ED2839" w:rsidRDefault="00A315B0" w:rsidP="00ED2839">
      <w:pPr>
        <w:pStyle w:val="ListBullet2"/>
      </w:pPr>
      <w:r w:rsidRPr="00ED2839">
        <w:t xml:space="preserve">Macular </w:t>
      </w:r>
      <w:r w:rsidR="00ED2839">
        <w:t>oedema was reported in 1.</w:t>
      </w:r>
      <w:r w:rsidR="00421065">
        <w:t>7</w:t>
      </w:r>
      <w:r w:rsidR="00ED2839">
        <w:t xml:space="preserve">% of </w:t>
      </w:r>
      <w:proofErr w:type="spellStart"/>
      <w:r w:rsidR="00ED2839">
        <w:t>s</w:t>
      </w:r>
      <w:r w:rsidRPr="00ED2839">
        <w:t>iponimod</w:t>
      </w:r>
      <w:proofErr w:type="spellEnd"/>
      <w:r w:rsidRPr="00ED2839">
        <w:t xml:space="preserve"> patients compared with 0.2% of placebo patients. Most events occurred in the first 3 months of treatment and were non-serious. Most resolved spontaneously when treatment was discontinued and there was no evidence of an increased incidence over time. Approximately half of patients experienced recurrence af</w:t>
      </w:r>
      <w:r w:rsidR="00ED2839">
        <w:t xml:space="preserve">ter rechallenge with </w:t>
      </w:r>
      <w:proofErr w:type="spellStart"/>
      <w:r w:rsidR="00ED2839">
        <w:t>siponimod</w:t>
      </w:r>
      <w:proofErr w:type="spellEnd"/>
      <w:r w:rsidR="00ED2839">
        <w:t>.</w:t>
      </w:r>
    </w:p>
    <w:p w14:paraId="1D21FC0B" w14:textId="21E5B726" w:rsidR="00A315B0" w:rsidRPr="00ED2839" w:rsidRDefault="00ED2839" w:rsidP="00ED2839">
      <w:pPr>
        <w:pStyle w:val="ListBullet2"/>
      </w:pPr>
      <w:r>
        <w:t>There was a minor increase in blood pressure</w:t>
      </w:r>
      <w:r w:rsidR="00A315B0" w:rsidRPr="00ED2839">
        <w:t xml:space="preserve"> during the first year of treatment with </w:t>
      </w:r>
      <w:proofErr w:type="spellStart"/>
      <w:r w:rsidR="009C4CE6">
        <w:t>s</w:t>
      </w:r>
      <w:r w:rsidR="00A315B0" w:rsidRPr="00ED2839">
        <w:t>iponimod</w:t>
      </w:r>
      <w:proofErr w:type="spellEnd"/>
      <w:r w:rsidR="00A315B0" w:rsidRPr="00ED2839">
        <w:t xml:space="preserve">. Mean </w:t>
      </w:r>
      <w:r w:rsidR="00C1339A">
        <w:t>systolic blood pressure/diastolic blood pressure rose by 3.73 mmHg/1.36 mmHg,</w:t>
      </w:r>
      <w:r w:rsidR="00A315B0" w:rsidRPr="00ED2839">
        <w:t xml:space="preserve"> but there were</w:t>
      </w:r>
      <w:r w:rsidR="00C1339A">
        <w:t xml:space="preserve"> no further increases with long </w:t>
      </w:r>
      <w:r w:rsidR="00A315B0" w:rsidRPr="00ED2839">
        <w:t>term treatment through Month 36. The incidenc</w:t>
      </w:r>
      <w:r w:rsidR="00C1339A">
        <w:t>e of hypertension was 12.</w:t>
      </w:r>
      <w:r w:rsidR="00421065">
        <w:t>2</w:t>
      </w:r>
      <w:r w:rsidR="00C1339A">
        <w:t xml:space="preserve">% in </w:t>
      </w:r>
      <w:proofErr w:type="spellStart"/>
      <w:r w:rsidR="00C1339A">
        <w:t>s</w:t>
      </w:r>
      <w:r w:rsidR="00A315B0" w:rsidRPr="00ED2839">
        <w:t>iponimod</w:t>
      </w:r>
      <w:proofErr w:type="spellEnd"/>
      <w:r w:rsidR="00A315B0" w:rsidRPr="00ED2839">
        <w:t xml:space="preserve"> patients compared with </w:t>
      </w:r>
      <w:r w:rsidR="00421065">
        <w:t>8.7</w:t>
      </w:r>
      <w:r w:rsidR="00A315B0" w:rsidRPr="00ED2839">
        <w:t>% in placebo patients. The incidence o</w:t>
      </w:r>
      <w:r w:rsidR="00C1339A">
        <w:t xml:space="preserve">f </w:t>
      </w:r>
      <w:r w:rsidR="009C4CE6">
        <w:t xml:space="preserve">the </w:t>
      </w:r>
      <w:r w:rsidR="00C1339A">
        <w:t>AE</w:t>
      </w:r>
      <w:r w:rsidR="00A315B0" w:rsidRPr="00ED2839">
        <w:t xml:space="preserve"> of hypertension wa</w:t>
      </w:r>
      <w:r w:rsidR="00C1339A">
        <w:t xml:space="preserve">s higher in patients receiving </w:t>
      </w:r>
      <w:proofErr w:type="spellStart"/>
      <w:r w:rsidR="00C1339A">
        <w:t>s</w:t>
      </w:r>
      <w:r>
        <w:t>iponimod</w:t>
      </w:r>
      <w:proofErr w:type="spellEnd"/>
      <w:r>
        <w:t xml:space="preserve"> compared with placebo.</w:t>
      </w:r>
    </w:p>
    <w:p w14:paraId="3BCF0684" w14:textId="50CE2E67" w:rsidR="00A315B0" w:rsidRPr="00ED2839" w:rsidRDefault="00A315B0" w:rsidP="00C1339A">
      <w:pPr>
        <w:pStyle w:val="ListBullet2"/>
      </w:pPr>
      <w:r w:rsidRPr="00ED2839">
        <w:t>The inci</w:t>
      </w:r>
      <w:r w:rsidR="00C1339A">
        <w:t>dence of bronchoconstriction AE</w:t>
      </w:r>
      <w:r w:rsidR="009C4CE6">
        <w:t>s</w:t>
      </w:r>
      <w:r w:rsidRPr="00ED2839">
        <w:t xml:space="preserve"> (mainly asthma) was low in both treatment groups (&lt;</w:t>
      </w:r>
      <w:r w:rsidR="00C1339A">
        <w:t xml:space="preserve"> </w:t>
      </w:r>
      <w:r w:rsidRPr="00ED2839">
        <w:t xml:space="preserve">1%). In the first 6 months of treatment, there was a mean reduction in </w:t>
      </w:r>
      <w:r w:rsidR="00C1339A">
        <w:t>f</w:t>
      </w:r>
      <w:r w:rsidR="00C1339A" w:rsidRPr="00C1339A">
        <w:t xml:space="preserve">orced expiratory volume in 1 second </w:t>
      </w:r>
      <w:r w:rsidR="00C1339A">
        <w:t>(</w:t>
      </w:r>
      <w:r w:rsidRPr="00ED2839">
        <w:t>FEV1</w:t>
      </w:r>
      <w:r w:rsidR="00C1339A">
        <w:t>)</w:t>
      </w:r>
      <w:r w:rsidRPr="00ED2839">
        <w:t xml:space="preserve"> of -0.1</w:t>
      </w:r>
      <w:r w:rsidR="00C1339A">
        <w:t xml:space="preserve"> L at each time point in the </w:t>
      </w:r>
      <w:proofErr w:type="spellStart"/>
      <w:r w:rsidR="00C1339A">
        <w:t>s</w:t>
      </w:r>
      <w:r w:rsidRPr="00ED2839">
        <w:t>iponimod</w:t>
      </w:r>
      <w:proofErr w:type="spellEnd"/>
      <w:r w:rsidRPr="00ED2839">
        <w:t xml:space="preserve"> group compared with none in the placebo group. The decrease in FEV1 may be clinically meaningful in patients with asthma but there was no increase in pulmonary eve</w:t>
      </w:r>
      <w:r w:rsidR="00ED2839">
        <w:t>nts during long-term treatment.</w:t>
      </w:r>
    </w:p>
    <w:p w14:paraId="1039CB99" w14:textId="265B5280" w:rsidR="00A315B0" w:rsidRPr="00ED2839" w:rsidRDefault="00A315B0" w:rsidP="00ED2839">
      <w:pPr>
        <w:pStyle w:val="ListBullet2"/>
      </w:pPr>
      <w:r w:rsidRPr="00ED2839">
        <w:t>Treatment emer</w:t>
      </w:r>
      <w:r w:rsidR="00C1339A">
        <w:t>gent seizure AE</w:t>
      </w:r>
      <w:r w:rsidR="009C4CE6">
        <w:t>s</w:t>
      </w:r>
      <w:r w:rsidRPr="00ED2839">
        <w:t xml:space="preserve"> were reported in 1.5% and</w:t>
      </w:r>
      <w:r w:rsidR="00C1339A">
        <w:t xml:space="preserve"> 0.5% of patients treated with </w:t>
      </w:r>
      <w:proofErr w:type="spellStart"/>
      <w:r w:rsidR="00C1339A">
        <w:t>s</w:t>
      </w:r>
      <w:r w:rsidRPr="00ED2839">
        <w:t>iponimod</w:t>
      </w:r>
      <w:proofErr w:type="spellEnd"/>
      <w:r w:rsidR="00ED2839">
        <w:t xml:space="preserve"> 2</w:t>
      </w:r>
      <w:r w:rsidR="00C1339A">
        <w:t xml:space="preserve"> </w:t>
      </w:r>
      <w:r w:rsidR="00ED2839">
        <w:t>mg and placebo, respectively.</w:t>
      </w:r>
    </w:p>
    <w:p w14:paraId="144477AA" w14:textId="77777777" w:rsidR="00A315B0" w:rsidRPr="00ED2839" w:rsidRDefault="00A315B0" w:rsidP="00ED2839">
      <w:pPr>
        <w:pStyle w:val="ListBullet"/>
        <w:rPr>
          <w:rFonts w:asciiTheme="minorHAnsi" w:hAnsiTheme="minorHAnsi" w:cstheme="minorHAnsi"/>
        </w:rPr>
      </w:pPr>
      <w:r w:rsidRPr="00ED2839">
        <w:rPr>
          <w:rFonts w:asciiTheme="minorHAnsi" w:hAnsiTheme="minorHAnsi" w:cstheme="minorHAnsi"/>
        </w:rPr>
        <w:t>There were no meaningful safety signals relating to infections, malignancies, or thromboembolic events.</w:t>
      </w:r>
    </w:p>
    <w:p w14:paraId="5A07ECE2" w14:textId="0304A19C" w:rsidR="002E48E8" w:rsidRPr="002E48E8" w:rsidRDefault="00C1339A" w:rsidP="002E48E8">
      <w:pPr>
        <w:pStyle w:val="ListBullet"/>
        <w:rPr>
          <w:rFonts w:asciiTheme="minorHAnsi" w:hAnsiTheme="minorHAnsi" w:cstheme="minorHAnsi"/>
        </w:rPr>
      </w:pPr>
      <w:r>
        <w:t xml:space="preserve">In the dose </w:t>
      </w:r>
      <w:r w:rsidR="00A315B0" w:rsidRPr="00ED2839">
        <w:t xml:space="preserve">ranging study involving </w:t>
      </w:r>
      <w:r>
        <w:t xml:space="preserve">RRMS patients, significant dose </w:t>
      </w:r>
      <w:r w:rsidR="00A315B0" w:rsidRPr="00ED2839">
        <w:t xml:space="preserve">related bradycardia was observed with a nadir </w:t>
      </w:r>
      <w:r>
        <w:t xml:space="preserve">(that is, </w:t>
      </w:r>
      <w:r w:rsidR="00A315B0" w:rsidRPr="00ED2839">
        <w:t>lowest point) approximate</w:t>
      </w:r>
      <w:r>
        <w:t xml:space="preserve">ly three hours after the first </w:t>
      </w:r>
      <w:proofErr w:type="spellStart"/>
      <w:r>
        <w:t>s</w:t>
      </w:r>
      <w:r w:rsidR="00A315B0" w:rsidRPr="00ED2839">
        <w:t>iponimod</w:t>
      </w:r>
      <w:proofErr w:type="spellEnd"/>
      <w:r w:rsidR="00A315B0" w:rsidRPr="00ED2839">
        <w:t xml:space="preserve"> </w:t>
      </w:r>
      <w:r>
        <w:t>dose</w:t>
      </w:r>
      <w:r w:rsidR="00BF2739">
        <w:t xml:space="preserve"> (full dose without titration was administered)</w:t>
      </w:r>
      <w:r>
        <w:t>. This was associated with first and second</w:t>
      </w:r>
      <w:r w:rsidR="00A315B0" w:rsidRPr="00ED2839">
        <w:t xml:space="preserve"> degree AV block in some cases and these events were some</w:t>
      </w:r>
      <w:r w:rsidR="00ED2839">
        <w:t>times symptomatic.</w:t>
      </w:r>
    </w:p>
    <w:p w14:paraId="61445735" w14:textId="2B323FAA" w:rsidR="00A315B0" w:rsidRPr="00211856" w:rsidRDefault="00A315B0" w:rsidP="002E48E8">
      <w:pPr>
        <w:pStyle w:val="ListBullet"/>
      </w:pPr>
      <w:r w:rsidRPr="00ED2839">
        <w:t>In the pivotal study involving SPMS, a dose titration regimen was introduced with a starting dose of 0.25</w:t>
      </w:r>
      <w:r w:rsidR="00C1339A">
        <w:t xml:space="preserve"> mg daily reaching the maximal </w:t>
      </w:r>
      <w:proofErr w:type="spellStart"/>
      <w:r w:rsidR="00C1339A">
        <w:t>s</w:t>
      </w:r>
      <w:r w:rsidRPr="00ED2839">
        <w:t>iponimod</w:t>
      </w:r>
      <w:proofErr w:type="spellEnd"/>
      <w:r w:rsidRPr="00ED2839">
        <w:t xml:space="preserve"> 2 mg dose after six days. Using the dose titration regimen, there was a transient bradyca</w:t>
      </w:r>
      <w:r w:rsidR="00C1339A">
        <w:t>rdia of up to 5 bpm in most patients, with first</w:t>
      </w:r>
      <w:r w:rsidRPr="00ED2839">
        <w:t xml:space="preserve"> degree AV</w:t>
      </w:r>
      <w:r w:rsidR="00C1339A">
        <w:t xml:space="preserve"> blocks in some patients (8.8% </w:t>
      </w:r>
      <w:proofErr w:type="spellStart"/>
      <w:r w:rsidR="00C1339A">
        <w:t>s</w:t>
      </w:r>
      <w:r w:rsidRPr="00ED2839">
        <w:t>iponimod</w:t>
      </w:r>
      <w:proofErr w:type="spellEnd"/>
      <w:r w:rsidRPr="00ED2839">
        <w:t xml:space="preserve">, 4.3% placebo). </w:t>
      </w:r>
      <w:r w:rsidR="00B9050C" w:rsidRPr="00ED2839">
        <w:rPr>
          <w:rFonts w:cstheme="minorHAnsi"/>
        </w:rPr>
        <w:t>The initial events were typically asymptomatic and transient and no clinically significant AV block events were experienced.</w:t>
      </w:r>
      <w:r w:rsidR="00B9050C" w:rsidRPr="002E48E8" w:rsidDel="00B9050C">
        <w:rPr>
          <w:rFonts w:cstheme="minorHAnsi"/>
        </w:rPr>
        <w:t xml:space="preserve"> </w:t>
      </w:r>
      <w:r w:rsidRPr="00ED2839">
        <w:t xml:space="preserve">With chronic treatment, no additional effects on heart rate or AV conduction were observed and no </w:t>
      </w:r>
      <w:proofErr w:type="spellStart"/>
      <w:r w:rsidRPr="00ED2839">
        <w:t>QTc</w:t>
      </w:r>
      <w:proofErr w:type="spellEnd"/>
      <w:r w:rsidRPr="00ED2839">
        <w:t xml:space="preserve"> prolongation was observed. The risk of significant bradycardia (&lt;</w:t>
      </w:r>
      <w:r w:rsidR="00C1339A">
        <w:t xml:space="preserve"> 40 bpm) was low in </w:t>
      </w:r>
      <w:proofErr w:type="spellStart"/>
      <w:r w:rsidR="00C1339A">
        <w:t>s</w:t>
      </w:r>
      <w:r w:rsidRPr="00ED2839">
        <w:t>iponimod</w:t>
      </w:r>
      <w:proofErr w:type="spellEnd"/>
      <w:r w:rsidRPr="00ED2839">
        <w:t xml:space="preserve"> and placebo patients, with a slightly higher incidence in patients with a prior history of cardiac disease.</w:t>
      </w:r>
    </w:p>
    <w:p w14:paraId="15D283C4" w14:textId="77777777" w:rsidR="00A315B0" w:rsidRDefault="00A315B0" w:rsidP="00A315B0">
      <w:pPr>
        <w:pStyle w:val="Heading4"/>
      </w:pPr>
      <w:r>
        <w:t>Recommendations post second round evaluation</w:t>
      </w:r>
    </w:p>
    <w:p w14:paraId="4815C52D" w14:textId="77777777" w:rsidR="00A315B0" w:rsidRDefault="00A315B0" w:rsidP="00A315B0">
      <w:pPr>
        <w:rPr>
          <w:lang w:eastAsia="ja-JP"/>
        </w:rPr>
      </w:pPr>
      <w:r>
        <w:rPr>
          <w:lang w:eastAsia="ja-JP"/>
        </w:rPr>
        <w:t>After consideration of the responses to questions and comments in the first round evaluation, approval is recommended for the amended indication:</w:t>
      </w:r>
    </w:p>
    <w:p w14:paraId="063A3A6D" w14:textId="77777777" w:rsidR="00A315B0" w:rsidRPr="00C1339A" w:rsidRDefault="00A315B0" w:rsidP="00C1339A">
      <w:pPr>
        <w:ind w:left="720"/>
        <w:rPr>
          <w:i/>
          <w:lang w:eastAsia="ja-JP"/>
        </w:rPr>
      </w:pPr>
      <w:r w:rsidRPr="00C1339A">
        <w:rPr>
          <w:i/>
          <w:lang w:eastAsia="ja-JP"/>
        </w:rPr>
        <w:lastRenderedPageBreak/>
        <w:t>Mayzent is indicated for the treatment of adult patients with secondary progres</w:t>
      </w:r>
      <w:r w:rsidR="00C1339A" w:rsidRPr="00C1339A">
        <w:rPr>
          <w:i/>
          <w:lang w:eastAsia="ja-JP"/>
        </w:rPr>
        <w:t>sive multiple sclerosis (SPMS).</w:t>
      </w:r>
    </w:p>
    <w:p w14:paraId="02E00A5E" w14:textId="77777777" w:rsidR="00A315B0" w:rsidRPr="00C52540" w:rsidRDefault="00A315B0" w:rsidP="00C1339A">
      <w:pPr>
        <w:rPr>
          <w:lang w:eastAsia="ja-JP"/>
        </w:rPr>
      </w:pPr>
      <w:r w:rsidRPr="008724CE">
        <w:rPr>
          <w:lang w:eastAsia="ja-JP"/>
        </w:rPr>
        <w:t xml:space="preserve">Approval is conditional on the identification of asthma as an important identified risk in the </w:t>
      </w:r>
      <w:r w:rsidRPr="00C52540">
        <w:rPr>
          <w:lang w:eastAsia="ja-JP"/>
        </w:rPr>
        <w:t>PI and RMP.</w:t>
      </w:r>
    </w:p>
    <w:p w14:paraId="67FA7669" w14:textId="77777777" w:rsidR="00A315B0" w:rsidRPr="00C1339A" w:rsidRDefault="00A315B0" w:rsidP="00C1339A">
      <w:pPr>
        <w:rPr>
          <w:b/>
          <w:lang w:eastAsia="ja-JP"/>
        </w:rPr>
      </w:pPr>
      <w:r w:rsidRPr="00F826E2">
        <w:t>The sponsor has now included a statement on the line</w:t>
      </w:r>
      <w:r w:rsidR="00C1339A">
        <w:t xml:space="preserve"> </w:t>
      </w:r>
      <w:r w:rsidRPr="00F826E2">
        <w:t xml:space="preserve">recommended by the </w:t>
      </w:r>
      <w:r w:rsidR="00C1339A">
        <w:t>clinical evaluator</w:t>
      </w:r>
      <w:r w:rsidRPr="00F826E2">
        <w:t xml:space="preserve">, regarding use in asthma and </w:t>
      </w:r>
      <w:r w:rsidR="00C1339A" w:rsidRPr="00C1339A">
        <w:t xml:space="preserve">chronic obstructive pulmonary disease </w:t>
      </w:r>
      <w:r w:rsidR="00C1339A">
        <w:t>(</w:t>
      </w:r>
      <w:r w:rsidRPr="00F826E2">
        <w:t>COPD</w:t>
      </w:r>
      <w:r w:rsidR="00C1339A">
        <w:t>)</w:t>
      </w:r>
      <w:r w:rsidRPr="00F826E2">
        <w:t xml:space="preserve"> </w:t>
      </w:r>
      <w:r w:rsidR="00C1339A">
        <w:t>patients, under ‘</w:t>
      </w:r>
      <w:r w:rsidRPr="00F826E2">
        <w:t xml:space="preserve">Special Warnings </w:t>
      </w:r>
      <w:r>
        <w:t>and</w:t>
      </w:r>
      <w:r w:rsidR="00C1339A">
        <w:t xml:space="preserve"> Precautions for Use’</w:t>
      </w:r>
      <w:r w:rsidRPr="00F826E2">
        <w:t xml:space="preserve"> of the </w:t>
      </w:r>
      <w:r w:rsidR="00C1339A">
        <w:t>PI.</w:t>
      </w:r>
    </w:p>
    <w:p w14:paraId="0E9D982E" w14:textId="77777777" w:rsidR="00A315B0" w:rsidRPr="00036FC0" w:rsidRDefault="00C1339A" w:rsidP="00C1339A">
      <w:r>
        <w:t>In its response to the risk management plan (RMP) second round</w:t>
      </w:r>
      <w:r w:rsidR="00A315B0" w:rsidRPr="00C1339A">
        <w:t xml:space="preserve"> report, ‘Novartis now commits </w:t>
      </w:r>
      <w:r w:rsidR="00A315B0" w:rsidRPr="00C1143D">
        <w:t>to revise the Australian Specific An</w:t>
      </w:r>
      <w:r>
        <w:t>nex to include ‘</w:t>
      </w:r>
      <w:r w:rsidR="00A315B0" w:rsidRPr="00C1143D">
        <w:t xml:space="preserve">asthma </w:t>
      </w:r>
      <w:r>
        <w:t>exacerbations’</w:t>
      </w:r>
      <w:r w:rsidR="00A315B0" w:rsidRPr="00C1143D">
        <w:t xml:space="preserve"> as</w:t>
      </w:r>
      <w:r>
        <w:t xml:space="preserve"> an important identified risk’.</w:t>
      </w:r>
    </w:p>
    <w:p w14:paraId="4EE3D4C2" w14:textId="77777777" w:rsidR="008E7846" w:rsidRDefault="00386150" w:rsidP="007B6132">
      <w:pPr>
        <w:pStyle w:val="Heading3"/>
        <w:rPr>
          <w:lang w:eastAsia="en-AU"/>
        </w:rPr>
      </w:pPr>
      <w:bookmarkStart w:id="73" w:name="_Toc28868686"/>
      <w:r>
        <w:rPr>
          <w:lang w:eastAsia="en-AU"/>
        </w:rPr>
        <w:t>Risk m</w:t>
      </w:r>
      <w:r w:rsidR="008E7846">
        <w:rPr>
          <w:lang w:eastAsia="en-AU"/>
        </w:rPr>
        <w:t xml:space="preserve">anagement </w:t>
      </w:r>
      <w:r>
        <w:rPr>
          <w:lang w:eastAsia="en-AU"/>
        </w:rPr>
        <w:t>p</w:t>
      </w:r>
      <w:r w:rsidR="008E7846">
        <w:rPr>
          <w:lang w:eastAsia="en-AU"/>
        </w:rPr>
        <w:t>lan</w:t>
      </w:r>
      <w:bookmarkEnd w:id="50"/>
      <w:bookmarkEnd w:id="73"/>
    </w:p>
    <w:p w14:paraId="1565EB39" w14:textId="7D93106E" w:rsidR="00CA4584" w:rsidRDefault="00C1339A" w:rsidP="00150578">
      <w:pPr>
        <w:pStyle w:val="ListBullet"/>
      </w:pPr>
      <w:r>
        <w:t>The sponsor</w:t>
      </w:r>
      <w:r w:rsidR="00CA4584">
        <w:t xml:space="preserve"> has submitted </w:t>
      </w:r>
      <w:r>
        <w:t>European Union-Risk Management Plan (</w:t>
      </w:r>
      <w:r w:rsidR="00CA4584">
        <w:t>EU-RMP</w:t>
      </w:r>
      <w:r>
        <w:t>)</w:t>
      </w:r>
      <w:r w:rsidR="00CA4584">
        <w:t xml:space="preserve"> version 1.0 (dated 3 September 2018; </w:t>
      </w:r>
      <w:r w:rsidR="006375D6">
        <w:t xml:space="preserve">data lock point </w:t>
      </w:r>
      <w:r w:rsidR="00CA4584">
        <w:t>31 Dec</w:t>
      </w:r>
      <w:r w:rsidR="006375D6">
        <w:t>ember</w:t>
      </w:r>
      <w:r w:rsidR="00CA4584">
        <w:t xml:space="preserve"> 2017) and </w:t>
      </w:r>
      <w:r w:rsidR="009936F9">
        <w:t>Australian Specific Annex (</w:t>
      </w:r>
      <w:r w:rsidR="00CA4584">
        <w:t>ASA</w:t>
      </w:r>
      <w:r w:rsidR="009936F9">
        <w:t>)</w:t>
      </w:r>
      <w:r w:rsidR="00CA4584">
        <w:t xml:space="preserve"> version 1.0 (dated 17 October 2018) in support of thi</w:t>
      </w:r>
      <w:r w:rsidR="009936F9">
        <w:t>s application.</w:t>
      </w:r>
    </w:p>
    <w:p w14:paraId="01FDADE5" w14:textId="77777777" w:rsidR="00CA4584" w:rsidRDefault="00CA4584" w:rsidP="00150578">
      <w:pPr>
        <w:pStyle w:val="ListBullet"/>
      </w:pPr>
      <w:r>
        <w:t>In its response</w:t>
      </w:r>
      <w:r w:rsidR="009936F9">
        <w:t xml:space="preserve"> to TGA questions</w:t>
      </w:r>
      <w:r>
        <w:t>, the sponsor has submitted EU RMP versi</w:t>
      </w:r>
      <w:r w:rsidR="009936F9">
        <w:t>on 1.1 (dated 18 March 2019; data lock point</w:t>
      </w:r>
      <w:r>
        <w:t xml:space="preserve"> 31 December 2017) and ASA version 2.0; date 17 June 2019</w:t>
      </w:r>
    </w:p>
    <w:p w14:paraId="7C04E8E7" w14:textId="77777777" w:rsidR="008E7846" w:rsidRDefault="00CA4584" w:rsidP="00150578">
      <w:pPr>
        <w:pStyle w:val="ListBullet"/>
      </w:pPr>
      <w:r>
        <w:t>The proposed summary of safety concerns and their associated risk monitoring and mitigation strategies which have been agreed during evaluation are summar</w:t>
      </w:r>
      <w:r w:rsidR="00150578">
        <w:t>ised below</w:t>
      </w:r>
      <w:r w:rsidR="000309CC">
        <w:t>.</w:t>
      </w:r>
      <w:r w:rsidR="000309CC">
        <w:rPr>
          <w:rStyle w:val="FootnoteReference"/>
          <w:lang w:eastAsia="en-AU"/>
        </w:rPr>
        <w:footnoteReference w:id="17"/>
      </w:r>
    </w:p>
    <w:p w14:paraId="6367E765" w14:textId="77777777" w:rsidR="00150578" w:rsidRDefault="00150578" w:rsidP="00150578">
      <w:pPr>
        <w:pStyle w:val="TableTitle"/>
      </w:pPr>
      <w:r>
        <w:t xml:space="preserve">Table </w:t>
      </w:r>
      <w:fldSimple w:instr=" SEQ Table \* ARABIC ">
        <w:r w:rsidR="00C20E52">
          <w:rPr>
            <w:noProof/>
          </w:rPr>
          <w:t>16</w:t>
        </w:r>
      </w:fldSimple>
      <w:r>
        <w:t>: Summary of safety concerns</w:t>
      </w:r>
    </w:p>
    <w:tbl>
      <w:tblPr>
        <w:tblStyle w:val="TableTGAblue"/>
        <w:tblW w:w="9039" w:type="dxa"/>
        <w:tblLayout w:type="fixed"/>
        <w:tblLook w:val="04A0" w:firstRow="1" w:lastRow="0" w:firstColumn="1" w:lastColumn="0" w:noHBand="0" w:noVBand="1"/>
      </w:tblPr>
      <w:tblGrid>
        <w:gridCol w:w="1668"/>
        <w:gridCol w:w="3118"/>
        <w:gridCol w:w="992"/>
        <w:gridCol w:w="1134"/>
        <w:gridCol w:w="993"/>
        <w:gridCol w:w="1134"/>
      </w:tblGrid>
      <w:tr w:rsidR="00CA4584" w:rsidRPr="00150578" w14:paraId="399C72BB" w14:textId="77777777" w:rsidTr="009936F9">
        <w:trPr>
          <w:cnfStyle w:val="100000000000" w:firstRow="1" w:lastRow="0" w:firstColumn="0" w:lastColumn="0" w:oddVBand="0" w:evenVBand="0" w:oddHBand="0" w:evenHBand="0" w:firstRowFirstColumn="0" w:firstRowLastColumn="0" w:lastRowFirstColumn="0" w:lastRowLastColumn="0"/>
          <w:trHeight w:val="131"/>
        </w:trPr>
        <w:tc>
          <w:tcPr>
            <w:tcW w:w="4786" w:type="dxa"/>
            <w:gridSpan w:val="2"/>
            <w:vMerge w:val="restart"/>
          </w:tcPr>
          <w:p w14:paraId="2424F9D1" w14:textId="77777777" w:rsidR="00CA4584" w:rsidRPr="00150578" w:rsidRDefault="00CA4584" w:rsidP="00150578">
            <w:pPr>
              <w:pStyle w:val="Tabletext"/>
              <w:ind w:left="0" w:right="0"/>
              <w:rPr>
                <w:b w:val="0"/>
                <w:sz w:val="20"/>
                <w:szCs w:val="20"/>
              </w:rPr>
            </w:pPr>
            <w:r w:rsidRPr="00150578">
              <w:rPr>
                <w:sz w:val="20"/>
                <w:szCs w:val="20"/>
              </w:rPr>
              <w:t>Summary of safety concerns</w:t>
            </w:r>
          </w:p>
        </w:tc>
        <w:tc>
          <w:tcPr>
            <w:tcW w:w="2126" w:type="dxa"/>
            <w:gridSpan w:val="2"/>
          </w:tcPr>
          <w:p w14:paraId="39907E86" w14:textId="77777777" w:rsidR="00CA4584" w:rsidRPr="00150578" w:rsidRDefault="00CA4584" w:rsidP="00150578">
            <w:pPr>
              <w:pStyle w:val="Tabletext"/>
              <w:ind w:left="0" w:right="0"/>
              <w:rPr>
                <w:b w:val="0"/>
                <w:sz w:val="20"/>
                <w:szCs w:val="20"/>
              </w:rPr>
            </w:pPr>
            <w:r w:rsidRPr="00150578">
              <w:rPr>
                <w:sz w:val="20"/>
                <w:szCs w:val="20"/>
              </w:rPr>
              <w:t>Pharmacovigilance</w:t>
            </w:r>
          </w:p>
        </w:tc>
        <w:tc>
          <w:tcPr>
            <w:tcW w:w="2127" w:type="dxa"/>
            <w:gridSpan w:val="2"/>
          </w:tcPr>
          <w:p w14:paraId="7752ABF9" w14:textId="77777777" w:rsidR="00CA4584" w:rsidRPr="00150578" w:rsidRDefault="00CA4584" w:rsidP="00150578">
            <w:pPr>
              <w:pStyle w:val="Tabletext"/>
              <w:ind w:left="0" w:right="0"/>
              <w:rPr>
                <w:b w:val="0"/>
                <w:sz w:val="20"/>
                <w:szCs w:val="20"/>
              </w:rPr>
            </w:pPr>
            <w:r w:rsidRPr="00150578">
              <w:rPr>
                <w:sz w:val="20"/>
                <w:szCs w:val="20"/>
              </w:rPr>
              <w:t>Risk Minimisation</w:t>
            </w:r>
          </w:p>
        </w:tc>
      </w:tr>
      <w:tr w:rsidR="00150578" w:rsidRPr="00150578" w14:paraId="4BF30615" w14:textId="77777777" w:rsidTr="009936F9">
        <w:trPr>
          <w:trHeight w:val="150"/>
        </w:trPr>
        <w:tc>
          <w:tcPr>
            <w:tcW w:w="4786" w:type="dxa"/>
            <w:gridSpan w:val="2"/>
            <w:vMerge/>
          </w:tcPr>
          <w:p w14:paraId="41EA52C4" w14:textId="77777777" w:rsidR="00CA4584" w:rsidRPr="00150578" w:rsidRDefault="00CA4584" w:rsidP="00150578">
            <w:pPr>
              <w:pStyle w:val="Tabletext"/>
              <w:ind w:left="0" w:right="0"/>
              <w:rPr>
                <w:b/>
                <w:sz w:val="20"/>
                <w:szCs w:val="20"/>
              </w:rPr>
            </w:pPr>
          </w:p>
        </w:tc>
        <w:tc>
          <w:tcPr>
            <w:tcW w:w="992" w:type="dxa"/>
          </w:tcPr>
          <w:p w14:paraId="5575F315" w14:textId="77777777" w:rsidR="00CA4584" w:rsidRPr="00150578" w:rsidRDefault="00CA4584" w:rsidP="00150578">
            <w:pPr>
              <w:pStyle w:val="Tabletext"/>
              <w:ind w:left="0" w:right="0"/>
              <w:rPr>
                <w:sz w:val="20"/>
                <w:szCs w:val="20"/>
              </w:rPr>
            </w:pPr>
            <w:r w:rsidRPr="00150578">
              <w:rPr>
                <w:sz w:val="20"/>
                <w:szCs w:val="20"/>
              </w:rPr>
              <w:t>Routine</w:t>
            </w:r>
          </w:p>
        </w:tc>
        <w:tc>
          <w:tcPr>
            <w:tcW w:w="1134" w:type="dxa"/>
          </w:tcPr>
          <w:p w14:paraId="28FB4A37" w14:textId="77777777" w:rsidR="00CA4584" w:rsidRPr="00150578" w:rsidRDefault="00CA4584" w:rsidP="00150578">
            <w:pPr>
              <w:pStyle w:val="Tabletext"/>
              <w:ind w:left="0" w:right="0"/>
              <w:rPr>
                <w:sz w:val="20"/>
                <w:szCs w:val="20"/>
              </w:rPr>
            </w:pPr>
            <w:r w:rsidRPr="00150578">
              <w:rPr>
                <w:sz w:val="20"/>
                <w:szCs w:val="20"/>
              </w:rPr>
              <w:t>Additional</w:t>
            </w:r>
          </w:p>
        </w:tc>
        <w:tc>
          <w:tcPr>
            <w:tcW w:w="993" w:type="dxa"/>
          </w:tcPr>
          <w:p w14:paraId="4B5AF4CD" w14:textId="77777777" w:rsidR="00CA4584" w:rsidRPr="00150578" w:rsidRDefault="00CA4584" w:rsidP="00150578">
            <w:pPr>
              <w:pStyle w:val="Tabletext"/>
              <w:ind w:left="0" w:right="0"/>
              <w:rPr>
                <w:sz w:val="20"/>
                <w:szCs w:val="20"/>
              </w:rPr>
            </w:pPr>
            <w:r w:rsidRPr="00150578">
              <w:rPr>
                <w:sz w:val="20"/>
                <w:szCs w:val="20"/>
              </w:rPr>
              <w:t>Routine</w:t>
            </w:r>
          </w:p>
        </w:tc>
        <w:tc>
          <w:tcPr>
            <w:tcW w:w="1134" w:type="dxa"/>
          </w:tcPr>
          <w:p w14:paraId="7B6E279F" w14:textId="77777777" w:rsidR="00CA4584" w:rsidRPr="00150578" w:rsidRDefault="00CA4584" w:rsidP="00150578">
            <w:pPr>
              <w:pStyle w:val="Tabletext"/>
              <w:ind w:left="0" w:right="0"/>
              <w:rPr>
                <w:sz w:val="20"/>
                <w:szCs w:val="20"/>
              </w:rPr>
            </w:pPr>
            <w:r w:rsidRPr="00150578">
              <w:rPr>
                <w:sz w:val="20"/>
                <w:szCs w:val="20"/>
              </w:rPr>
              <w:t>Additional</w:t>
            </w:r>
          </w:p>
        </w:tc>
      </w:tr>
      <w:tr w:rsidR="00CA4584" w:rsidRPr="00150578" w14:paraId="6D07FCAB" w14:textId="77777777" w:rsidTr="009936F9">
        <w:trPr>
          <w:trHeight w:val="137"/>
        </w:trPr>
        <w:tc>
          <w:tcPr>
            <w:tcW w:w="1668" w:type="dxa"/>
            <w:vMerge w:val="restart"/>
          </w:tcPr>
          <w:p w14:paraId="453D2F44" w14:textId="77777777" w:rsidR="00CA4584" w:rsidRPr="00150578" w:rsidRDefault="00CA4584" w:rsidP="00150578">
            <w:pPr>
              <w:pStyle w:val="Tabletext"/>
              <w:ind w:left="0" w:right="0"/>
              <w:rPr>
                <w:b/>
                <w:sz w:val="20"/>
                <w:szCs w:val="20"/>
              </w:rPr>
            </w:pPr>
            <w:r w:rsidRPr="00150578">
              <w:rPr>
                <w:b/>
                <w:sz w:val="20"/>
                <w:szCs w:val="20"/>
              </w:rPr>
              <w:t>Important identified risks</w:t>
            </w:r>
          </w:p>
        </w:tc>
        <w:tc>
          <w:tcPr>
            <w:tcW w:w="3118" w:type="dxa"/>
          </w:tcPr>
          <w:p w14:paraId="574B2329" w14:textId="77777777" w:rsidR="00CA4584" w:rsidRPr="00150578" w:rsidRDefault="009936F9" w:rsidP="00292D5B">
            <w:pPr>
              <w:pStyle w:val="Tabletext"/>
              <w:ind w:left="0" w:right="0"/>
              <w:rPr>
                <w:sz w:val="20"/>
                <w:szCs w:val="20"/>
              </w:rPr>
            </w:pPr>
            <w:r>
              <w:rPr>
                <w:sz w:val="20"/>
                <w:szCs w:val="20"/>
              </w:rPr>
              <w:t>Varicella</w:t>
            </w:r>
            <w:r w:rsidR="00860494">
              <w:rPr>
                <w:sz w:val="20"/>
                <w:szCs w:val="20"/>
              </w:rPr>
              <w:t xml:space="preserve"> </w:t>
            </w:r>
            <w:r w:rsidR="00CA4584" w:rsidRPr="00150578">
              <w:rPr>
                <w:sz w:val="20"/>
                <w:szCs w:val="20"/>
              </w:rPr>
              <w:t>zoster virus (VZV) infection reactivation</w:t>
            </w:r>
          </w:p>
        </w:tc>
        <w:tc>
          <w:tcPr>
            <w:tcW w:w="992" w:type="dxa"/>
          </w:tcPr>
          <w:p w14:paraId="7890C577"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64F463CF"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0EA5E687"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0D8972DB"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2</w:t>
            </w:r>
          </w:p>
        </w:tc>
      </w:tr>
      <w:tr w:rsidR="00CA4584" w:rsidRPr="00150578" w14:paraId="7F45EA09" w14:textId="77777777" w:rsidTr="009936F9">
        <w:trPr>
          <w:trHeight w:val="94"/>
        </w:trPr>
        <w:tc>
          <w:tcPr>
            <w:tcW w:w="1668" w:type="dxa"/>
            <w:vMerge/>
          </w:tcPr>
          <w:p w14:paraId="66752667" w14:textId="77777777" w:rsidR="00CA4584" w:rsidRPr="00150578" w:rsidRDefault="00CA4584" w:rsidP="00150578">
            <w:pPr>
              <w:pStyle w:val="Tabletext"/>
              <w:ind w:left="0" w:right="0"/>
              <w:rPr>
                <w:b/>
                <w:sz w:val="20"/>
                <w:szCs w:val="20"/>
              </w:rPr>
            </w:pPr>
          </w:p>
        </w:tc>
        <w:tc>
          <w:tcPr>
            <w:tcW w:w="3118" w:type="dxa"/>
          </w:tcPr>
          <w:p w14:paraId="374F280B" w14:textId="77777777" w:rsidR="00CA4584" w:rsidRPr="00150578" w:rsidRDefault="00CA4584" w:rsidP="00292D5B">
            <w:pPr>
              <w:pStyle w:val="Tabletext"/>
              <w:ind w:left="0" w:right="0"/>
              <w:rPr>
                <w:sz w:val="20"/>
                <w:szCs w:val="20"/>
              </w:rPr>
            </w:pPr>
            <w:proofErr w:type="spellStart"/>
            <w:r w:rsidRPr="00150578">
              <w:rPr>
                <w:sz w:val="20"/>
                <w:szCs w:val="20"/>
              </w:rPr>
              <w:t>Cryptococcal</w:t>
            </w:r>
            <w:proofErr w:type="spellEnd"/>
            <w:r w:rsidRPr="00150578">
              <w:rPr>
                <w:sz w:val="20"/>
                <w:szCs w:val="20"/>
              </w:rPr>
              <w:t xml:space="preserve"> meningitis</w:t>
            </w:r>
          </w:p>
        </w:tc>
        <w:tc>
          <w:tcPr>
            <w:tcW w:w="992" w:type="dxa"/>
          </w:tcPr>
          <w:p w14:paraId="72BFF3AD"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48F43134"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5B106D62"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20412C1C"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2</w:t>
            </w:r>
          </w:p>
        </w:tc>
      </w:tr>
      <w:tr w:rsidR="00CA4584" w:rsidRPr="00150578" w14:paraId="2BF622B0" w14:textId="77777777" w:rsidTr="009936F9">
        <w:trPr>
          <w:trHeight w:val="94"/>
        </w:trPr>
        <w:tc>
          <w:tcPr>
            <w:tcW w:w="1668" w:type="dxa"/>
            <w:vMerge/>
          </w:tcPr>
          <w:p w14:paraId="3830607E" w14:textId="77777777" w:rsidR="00CA4584" w:rsidRPr="00150578" w:rsidRDefault="00CA4584" w:rsidP="00150578">
            <w:pPr>
              <w:pStyle w:val="Tabletext"/>
              <w:ind w:left="0" w:right="0"/>
              <w:rPr>
                <w:b/>
                <w:sz w:val="20"/>
                <w:szCs w:val="20"/>
              </w:rPr>
            </w:pPr>
          </w:p>
        </w:tc>
        <w:tc>
          <w:tcPr>
            <w:tcW w:w="3118" w:type="dxa"/>
          </w:tcPr>
          <w:p w14:paraId="32F29A1D" w14:textId="77777777" w:rsidR="00CA4584" w:rsidRPr="00150578" w:rsidRDefault="00CA4584" w:rsidP="00292D5B">
            <w:pPr>
              <w:pStyle w:val="Tabletext"/>
              <w:ind w:left="0" w:right="0"/>
              <w:rPr>
                <w:sz w:val="20"/>
                <w:szCs w:val="20"/>
              </w:rPr>
            </w:pPr>
            <w:proofErr w:type="spellStart"/>
            <w:r w:rsidRPr="00150578">
              <w:rPr>
                <w:sz w:val="20"/>
                <w:szCs w:val="20"/>
              </w:rPr>
              <w:t>Bradyarrhythmia</w:t>
            </w:r>
            <w:proofErr w:type="spellEnd"/>
            <w:r w:rsidRPr="00150578">
              <w:rPr>
                <w:sz w:val="20"/>
                <w:szCs w:val="20"/>
              </w:rPr>
              <w:t xml:space="preserve"> (including conduction defects) during treatment initiation</w:t>
            </w:r>
          </w:p>
        </w:tc>
        <w:tc>
          <w:tcPr>
            <w:tcW w:w="992" w:type="dxa"/>
          </w:tcPr>
          <w:p w14:paraId="200F2A4C"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00D65E56"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3AEDA99D"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4A90B17F"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2</w:t>
            </w:r>
          </w:p>
        </w:tc>
      </w:tr>
      <w:tr w:rsidR="00CA4584" w:rsidRPr="00150578" w14:paraId="5E966686" w14:textId="77777777" w:rsidTr="009936F9">
        <w:trPr>
          <w:trHeight w:val="94"/>
        </w:trPr>
        <w:tc>
          <w:tcPr>
            <w:tcW w:w="1668" w:type="dxa"/>
            <w:vMerge/>
          </w:tcPr>
          <w:p w14:paraId="1C9D93B4" w14:textId="77777777" w:rsidR="00CA4584" w:rsidRPr="00150578" w:rsidRDefault="00CA4584" w:rsidP="00150578">
            <w:pPr>
              <w:pStyle w:val="Tabletext"/>
              <w:ind w:left="0" w:right="0"/>
              <w:rPr>
                <w:b/>
                <w:sz w:val="20"/>
                <w:szCs w:val="20"/>
              </w:rPr>
            </w:pPr>
          </w:p>
        </w:tc>
        <w:tc>
          <w:tcPr>
            <w:tcW w:w="3118" w:type="dxa"/>
          </w:tcPr>
          <w:p w14:paraId="64382B18" w14:textId="77777777" w:rsidR="00CA4584" w:rsidRPr="00150578" w:rsidRDefault="00CA4584" w:rsidP="00292D5B">
            <w:pPr>
              <w:pStyle w:val="Tabletext"/>
              <w:ind w:left="0" w:right="0"/>
              <w:rPr>
                <w:sz w:val="20"/>
                <w:szCs w:val="20"/>
              </w:rPr>
            </w:pPr>
            <w:r w:rsidRPr="00150578">
              <w:rPr>
                <w:sz w:val="20"/>
                <w:szCs w:val="20"/>
              </w:rPr>
              <w:t>Macular oedema</w:t>
            </w:r>
          </w:p>
        </w:tc>
        <w:tc>
          <w:tcPr>
            <w:tcW w:w="992" w:type="dxa"/>
          </w:tcPr>
          <w:p w14:paraId="59DA153A"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1E6D4649"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612E2DCB"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439FA554"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2</w:t>
            </w:r>
          </w:p>
        </w:tc>
      </w:tr>
      <w:tr w:rsidR="00CA4584" w:rsidRPr="00150578" w14:paraId="000ADA92" w14:textId="77777777" w:rsidTr="009936F9">
        <w:trPr>
          <w:trHeight w:val="94"/>
        </w:trPr>
        <w:tc>
          <w:tcPr>
            <w:tcW w:w="1668" w:type="dxa"/>
            <w:vMerge/>
          </w:tcPr>
          <w:p w14:paraId="4AE808CE" w14:textId="77777777" w:rsidR="00CA4584" w:rsidRPr="00150578" w:rsidRDefault="00CA4584" w:rsidP="00150578">
            <w:pPr>
              <w:pStyle w:val="Tabletext"/>
              <w:ind w:left="0" w:right="0"/>
              <w:rPr>
                <w:b/>
                <w:sz w:val="20"/>
                <w:szCs w:val="20"/>
              </w:rPr>
            </w:pPr>
          </w:p>
        </w:tc>
        <w:tc>
          <w:tcPr>
            <w:tcW w:w="3118" w:type="dxa"/>
          </w:tcPr>
          <w:p w14:paraId="42A6B6C7" w14:textId="77777777" w:rsidR="00CA4584" w:rsidRPr="00150578" w:rsidRDefault="00CA4584" w:rsidP="00292D5B">
            <w:pPr>
              <w:pStyle w:val="Tabletext"/>
              <w:ind w:left="0" w:right="0"/>
              <w:rPr>
                <w:sz w:val="20"/>
                <w:szCs w:val="20"/>
              </w:rPr>
            </w:pPr>
            <w:r w:rsidRPr="00150578">
              <w:rPr>
                <w:sz w:val="20"/>
                <w:szCs w:val="20"/>
              </w:rPr>
              <w:t xml:space="preserve">Potential long-term safety implications in CYP2C9 poor </w:t>
            </w:r>
            <w:proofErr w:type="spellStart"/>
            <w:r w:rsidRPr="00150578">
              <w:rPr>
                <w:sz w:val="20"/>
                <w:szCs w:val="20"/>
              </w:rPr>
              <w:lastRenderedPageBreak/>
              <w:t>metabolizers</w:t>
            </w:r>
            <w:proofErr w:type="spellEnd"/>
          </w:p>
        </w:tc>
        <w:tc>
          <w:tcPr>
            <w:tcW w:w="992" w:type="dxa"/>
          </w:tcPr>
          <w:p w14:paraId="10BED85F" w14:textId="77777777" w:rsidR="00CA4584" w:rsidRPr="00150578" w:rsidRDefault="00CA4584" w:rsidP="00150578">
            <w:pPr>
              <w:pStyle w:val="Tabletext"/>
              <w:ind w:left="0" w:right="0"/>
              <w:jc w:val="center"/>
              <w:rPr>
                <w:sz w:val="20"/>
                <w:szCs w:val="20"/>
              </w:rPr>
            </w:pPr>
            <w:r w:rsidRPr="00150578">
              <w:rPr>
                <w:sz w:val="20"/>
                <w:szCs w:val="20"/>
              </w:rPr>
              <w:lastRenderedPageBreak/>
              <w:sym w:font="Wingdings" w:char="F0FC"/>
            </w:r>
          </w:p>
        </w:tc>
        <w:tc>
          <w:tcPr>
            <w:tcW w:w="1134" w:type="dxa"/>
          </w:tcPr>
          <w:p w14:paraId="047F7375"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287CF2CC"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5C7B44CA"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2</w:t>
            </w:r>
          </w:p>
        </w:tc>
      </w:tr>
      <w:tr w:rsidR="00CA4584" w:rsidRPr="00150578" w14:paraId="61E12772" w14:textId="77777777" w:rsidTr="009936F9">
        <w:trPr>
          <w:trHeight w:val="94"/>
        </w:trPr>
        <w:tc>
          <w:tcPr>
            <w:tcW w:w="1668" w:type="dxa"/>
            <w:vMerge/>
          </w:tcPr>
          <w:p w14:paraId="3B6FB6B5" w14:textId="77777777" w:rsidR="00CA4584" w:rsidRPr="00150578" w:rsidRDefault="00CA4584" w:rsidP="00150578">
            <w:pPr>
              <w:pStyle w:val="Tabletext"/>
              <w:ind w:left="0" w:right="0"/>
              <w:rPr>
                <w:b/>
                <w:sz w:val="20"/>
                <w:szCs w:val="20"/>
              </w:rPr>
            </w:pPr>
          </w:p>
        </w:tc>
        <w:tc>
          <w:tcPr>
            <w:tcW w:w="3118" w:type="dxa"/>
          </w:tcPr>
          <w:p w14:paraId="47C102EA" w14:textId="77777777" w:rsidR="00CA4584" w:rsidRPr="00150578" w:rsidRDefault="00CA4584" w:rsidP="00292D5B">
            <w:pPr>
              <w:pStyle w:val="Tabletext"/>
              <w:ind w:left="0" w:right="0"/>
              <w:rPr>
                <w:sz w:val="20"/>
                <w:szCs w:val="20"/>
                <w:vertAlign w:val="superscript"/>
              </w:rPr>
            </w:pPr>
            <w:r w:rsidRPr="00150578">
              <w:rPr>
                <w:sz w:val="20"/>
                <w:szCs w:val="20"/>
              </w:rPr>
              <w:t>Asthma exacerbations</w:t>
            </w:r>
            <w:r w:rsidRPr="00150578">
              <w:rPr>
                <w:sz w:val="20"/>
                <w:szCs w:val="20"/>
                <w:vertAlign w:val="superscript"/>
              </w:rPr>
              <w:t>6</w:t>
            </w:r>
          </w:p>
        </w:tc>
        <w:tc>
          <w:tcPr>
            <w:tcW w:w="992" w:type="dxa"/>
          </w:tcPr>
          <w:p w14:paraId="5299A538" w14:textId="77777777" w:rsidR="00CA4584" w:rsidRPr="00150578" w:rsidRDefault="00CA4584" w:rsidP="00150578">
            <w:pPr>
              <w:pStyle w:val="Tabletext"/>
              <w:ind w:left="0" w:right="0"/>
              <w:jc w:val="center"/>
              <w:rPr>
                <w:sz w:val="20"/>
                <w:szCs w:val="20"/>
              </w:rPr>
            </w:pPr>
          </w:p>
        </w:tc>
        <w:tc>
          <w:tcPr>
            <w:tcW w:w="1134" w:type="dxa"/>
          </w:tcPr>
          <w:p w14:paraId="6B6449DB" w14:textId="77777777" w:rsidR="00CA4584" w:rsidRPr="00150578" w:rsidRDefault="00CA4584" w:rsidP="00150578">
            <w:pPr>
              <w:pStyle w:val="Tabletext"/>
              <w:ind w:left="0" w:right="0"/>
              <w:jc w:val="center"/>
              <w:rPr>
                <w:sz w:val="20"/>
                <w:szCs w:val="20"/>
              </w:rPr>
            </w:pPr>
          </w:p>
        </w:tc>
        <w:tc>
          <w:tcPr>
            <w:tcW w:w="993" w:type="dxa"/>
          </w:tcPr>
          <w:p w14:paraId="017241B6" w14:textId="77777777" w:rsidR="00CA4584" w:rsidRPr="00150578" w:rsidRDefault="00CA4584" w:rsidP="00150578">
            <w:pPr>
              <w:pStyle w:val="Tabletext"/>
              <w:ind w:left="0" w:right="0"/>
              <w:jc w:val="center"/>
              <w:rPr>
                <w:sz w:val="20"/>
                <w:szCs w:val="20"/>
              </w:rPr>
            </w:pPr>
          </w:p>
        </w:tc>
        <w:tc>
          <w:tcPr>
            <w:tcW w:w="1134" w:type="dxa"/>
          </w:tcPr>
          <w:p w14:paraId="174F8D01" w14:textId="77777777" w:rsidR="00CA4584" w:rsidRPr="00150578" w:rsidRDefault="00CA4584" w:rsidP="00150578">
            <w:pPr>
              <w:pStyle w:val="Tabletext"/>
              <w:ind w:left="0" w:right="0"/>
              <w:jc w:val="center"/>
              <w:rPr>
                <w:sz w:val="20"/>
                <w:szCs w:val="20"/>
              </w:rPr>
            </w:pPr>
          </w:p>
        </w:tc>
      </w:tr>
      <w:tr w:rsidR="00CA4584" w:rsidRPr="00150578" w14:paraId="43B22D0F" w14:textId="77777777" w:rsidTr="009936F9">
        <w:trPr>
          <w:trHeight w:val="159"/>
        </w:trPr>
        <w:tc>
          <w:tcPr>
            <w:tcW w:w="1668" w:type="dxa"/>
            <w:vMerge w:val="restart"/>
          </w:tcPr>
          <w:p w14:paraId="15B31BB8" w14:textId="77777777" w:rsidR="00CA4584" w:rsidRPr="00150578" w:rsidRDefault="00CA4584" w:rsidP="00150578">
            <w:pPr>
              <w:pStyle w:val="Tabletext"/>
              <w:ind w:left="0" w:right="0"/>
              <w:rPr>
                <w:b/>
                <w:sz w:val="20"/>
                <w:szCs w:val="20"/>
              </w:rPr>
            </w:pPr>
            <w:r w:rsidRPr="00150578">
              <w:rPr>
                <w:b/>
                <w:sz w:val="20"/>
                <w:szCs w:val="20"/>
              </w:rPr>
              <w:t>Important potential risks</w:t>
            </w:r>
          </w:p>
        </w:tc>
        <w:tc>
          <w:tcPr>
            <w:tcW w:w="3118" w:type="dxa"/>
          </w:tcPr>
          <w:p w14:paraId="133B0ECE" w14:textId="77777777" w:rsidR="00CA4584" w:rsidRPr="00150578" w:rsidRDefault="00CA4584" w:rsidP="00292D5B">
            <w:pPr>
              <w:pStyle w:val="Tabletext"/>
              <w:ind w:left="0" w:right="0"/>
              <w:rPr>
                <w:sz w:val="20"/>
                <w:szCs w:val="20"/>
              </w:rPr>
            </w:pPr>
            <w:r w:rsidRPr="00150578">
              <w:rPr>
                <w:sz w:val="20"/>
                <w:szCs w:val="20"/>
              </w:rPr>
              <w:t xml:space="preserve">Reactivation of chronic viral infections (other than VZV), progressive multifocal leukoencephalopathy (PML), other opportunistic infections and opportunistic infections, other than </w:t>
            </w:r>
            <w:proofErr w:type="spellStart"/>
            <w:r w:rsidRPr="00150578">
              <w:rPr>
                <w:sz w:val="20"/>
                <w:szCs w:val="20"/>
              </w:rPr>
              <w:t>cryptococcal</w:t>
            </w:r>
            <w:proofErr w:type="spellEnd"/>
            <w:r w:rsidRPr="00150578">
              <w:rPr>
                <w:sz w:val="20"/>
                <w:szCs w:val="20"/>
              </w:rPr>
              <w:t xml:space="preserve"> meningitis</w:t>
            </w:r>
          </w:p>
        </w:tc>
        <w:tc>
          <w:tcPr>
            <w:tcW w:w="992" w:type="dxa"/>
          </w:tcPr>
          <w:p w14:paraId="5BB3A7B6"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3, 5</w:t>
            </w:r>
          </w:p>
        </w:tc>
        <w:tc>
          <w:tcPr>
            <w:tcW w:w="1134" w:type="dxa"/>
          </w:tcPr>
          <w:p w14:paraId="1635D7C6"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2AA37490"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5BBB838A"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2</w:t>
            </w:r>
          </w:p>
        </w:tc>
      </w:tr>
      <w:tr w:rsidR="00CA4584" w:rsidRPr="00150578" w14:paraId="4A64F644" w14:textId="77777777" w:rsidTr="009936F9">
        <w:trPr>
          <w:trHeight w:val="122"/>
        </w:trPr>
        <w:tc>
          <w:tcPr>
            <w:tcW w:w="1668" w:type="dxa"/>
            <w:vMerge/>
          </w:tcPr>
          <w:p w14:paraId="25776FD1" w14:textId="77777777" w:rsidR="00CA4584" w:rsidRPr="00150578" w:rsidRDefault="00CA4584" w:rsidP="00150578">
            <w:pPr>
              <w:pStyle w:val="Tabletext"/>
              <w:ind w:left="0" w:right="0"/>
              <w:rPr>
                <w:b/>
                <w:sz w:val="20"/>
                <w:szCs w:val="20"/>
              </w:rPr>
            </w:pPr>
          </w:p>
        </w:tc>
        <w:tc>
          <w:tcPr>
            <w:tcW w:w="3118" w:type="dxa"/>
          </w:tcPr>
          <w:p w14:paraId="720976D2" w14:textId="77777777" w:rsidR="00CA4584" w:rsidRPr="00150578" w:rsidRDefault="00CA4584" w:rsidP="00292D5B">
            <w:pPr>
              <w:pStyle w:val="Tabletext"/>
              <w:ind w:left="0" w:right="0"/>
              <w:rPr>
                <w:sz w:val="20"/>
                <w:szCs w:val="20"/>
              </w:rPr>
            </w:pPr>
            <w:r w:rsidRPr="00150578">
              <w:rPr>
                <w:sz w:val="20"/>
                <w:szCs w:val="20"/>
              </w:rPr>
              <w:t>Thromboembolic events</w:t>
            </w:r>
          </w:p>
        </w:tc>
        <w:tc>
          <w:tcPr>
            <w:tcW w:w="992" w:type="dxa"/>
          </w:tcPr>
          <w:p w14:paraId="70204495"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20F3F05B"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4958A002" w14:textId="77777777" w:rsidR="00CA4584" w:rsidRPr="00150578" w:rsidRDefault="00CA4584" w:rsidP="00150578">
            <w:pPr>
              <w:pStyle w:val="Tabletext"/>
              <w:ind w:left="0" w:right="0"/>
              <w:jc w:val="center"/>
              <w:rPr>
                <w:sz w:val="20"/>
                <w:szCs w:val="20"/>
              </w:rPr>
            </w:pPr>
            <w:r w:rsidRPr="00150578">
              <w:rPr>
                <w:sz w:val="20"/>
                <w:szCs w:val="20"/>
              </w:rPr>
              <w:t>–</w:t>
            </w:r>
          </w:p>
        </w:tc>
        <w:tc>
          <w:tcPr>
            <w:tcW w:w="1134" w:type="dxa"/>
          </w:tcPr>
          <w:p w14:paraId="67FF5B78" w14:textId="77777777" w:rsidR="00CA4584" w:rsidRPr="00150578" w:rsidRDefault="00CA4584" w:rsidP="00150578">
            <w:pPr>
              <w:pStyle w:val="Tabletext"/>
              <w:ind w:left="0" w:right="0"/>
              <w:jc w:val="center"/>
              <w:rPr>
                <w:sz w:val="20"/>
                <w:szCs w:val="20"/>
              </w:rPr>
            </w:pPr>
            <w:r w:rsidRPr="00150578">
              <w:rPr>
                <w:sz w:val="20"/>
                <w:szCs w:val="20"/>
              </w:rPr>
              <w:t>–</w:t>
            </w:r>
          </w:p>
        </w:tc>
      </w:tr>
      <w:tr w:rsidR="00CA4584" w:rsidRPr="00150578" w14:paraId="5DC7EF35" w14:textId="77777777" w:rsidTr="009936F9">
        <w:trPr>
          <w:trHeight w:val="122"/>
        </w:trPr>
        <w:tc>
          <w:tcPr>
            <w:tcW w:w="1668" w:type="dxa"/>
            <w:vMerge/>
          </w:tcPr>
          <w:p w14:paraId="1E486938" w14:textId="77777777" w:rsidR="00CA4584" w:rsidRPr="00150578" w:rsidRDefault="00CA4584" w:rsidP="00150578">
            <w:pPr>
              <w:pStyle w:val="Tabletext"/>
              <w:ind w:left="0" w:right="0"/>
              <w:rPr>
                <w:b/>
                <w:sz w:val="20"/>
                <w:szCs w:val="20"/>
              </w:rPr>
            </w:pPr>
          </w:p>
        </w:tc>
        <w:tc>
          <w:tcPr>
            <w:tcW w:w="3118" w:type="dxa"/>
          </w:tcPr>
          <w:p w14:paraId="5AF94D01" w14:textId="77777777" w:rsidR="00CA4584" w:rsidRPr="00150578" w:rsidRDefault="00CA4584" w:rsidP="00292D5B">
            <w:pPr>
              <w:pStyle w:val="Tabletext"/>
              <w:ind w:left="0" w:right="0"/>
              <w:rPr>
                <w:sz w:val="20"/>
                <w:szCs w:val="20"/>
              </w:rPr>
            </w:pPr>
            <w:r w:rsidRPr="00150578">
              <w:rPr>
                <w:sz w:val="20"/>
                <w:szCs w:val="20"/>
              </w:rPr>
              <w:t>Malignancies</w:t>
            </w:r>
          </w:p>
        </w:tc>
        <w:tc>
          <w:tcPr>
            <w:tcW w:w="992" w:type="dxa"/>
          </w:tcPr>
          <w:p w14:paraId="290BFA07"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3</w:t>
            </w:r>
          </w:p>
        </w:tc>
        <w:tc>
          <w:tcPr>
            <w:tcW w:w="1134" w:type="dxa"/>
          </w:tcPr>
          <w:p w14:paraId="4B83B024"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16092781"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783D2BD8" w14:textId="77777777" w:rsidR="00CA4584" w:rsidRPr="00150578" w:rsidRDefault="00CA4584" w:rsidP="00150578">
            <w:pPr>
              <w:pStyle w:val="Tabletext"/>
              <w:ind w:left="0" w:right="0"/>
              <w:jc w:val="center"/>
              <w:rPr>
                <w:sz w:val="20"/>
                <w:szCs w:val="20"/>
              </w:rPr>
            </w:pPr>
            <w:r w:rsidRPr="00150578">
              <w:rPr>
                <w:sz w:val="20"/>
                <w:szCs w:val="20"/>
              </w:rPr>
              <w:t>–</w:t>
            </w:r>
          </w:p>
        </w:tc>
      </w:tr>
      <w:tr w:rsidR="00CA4584" w:rsidRPr="00150578" w14:paraId="03F832AB" w14:textId="77777777" w:rsidTr="009936F9">
        <w:trPr>
          <w:trHeight w:val="122"/>
        </w:trPr>
        <w:tc>
          <w:tcPr>
            <w:tcW w:w="1668" w:type="dxa"/>
            <w:vMerge/>
          </w:tcPr>
          <w:p w14:paraId="5A30BA44" w14:textId="77777777" w:rsidR="00CA4584" w:rsidRPr="00150578" w:rsidRDefault="00CA4584" w:rsidP="00150578">
            <w:pPr>
              <w:pStyle w:val="Tabletext"/>
              <w:ind w:left="0" w:right="0"/>
              <w:rPr>
                <w:b/>
                <w:sz w:val="20"/>
                <w:szCs w:val="20"/>
              </w:rPr>
            </w:pPr>
          </w:p>
        </w:tc>
        <w:tc>
          <w:tcPr>
            <w:tcW w:w="3118" w:type="dxa"/>
          </w:tcPr>
          <w:p w14:paraId="1A669FC4" w14:textId="77777777" w:rsidR="00CA4584" w:rsidRPr="00150578" w:rsidRDefault="00CA4584" w:rsidP="00292D5B">
            <w:pPr>
              <w:pStyle w:val="Tabletext"/>
              <w:ind w:left="0" w:right="0"/>
              <w:rPr>
                <w:sz w:val="20"/>
                <w:szCs w:val="20"/>
              </w:rPr>
            </w:pPr>
            <w:r w:rsidRPr="00150578">
              <w:rPr>
                <w:sz w:val="20"/>
                <w:szCs w:val="20"/>
              </w:rPr>
              <w:t>Reproductive toxicity</w:t>
            </w:r>
          </w:p>
        </w:tc>
        <w:tc>
          <w:tcPr>
            <w:tcW w:w="992" w:type="dxa"/>
          </w:tcPr>
          <w:p w14:paraId="6E0BEC9B"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3, 4</w:t>
            </w:r>
          </w:p>
        </w:tc>
        <w:tc>
          <w:tcPr>
            <w:tcW w:w="1134" w:type="dxa"/>
          </w:tcPr>
          <w:p w14:paraId="5A80DE4F" w14:textId="77777777" w:rsidR="00CA4584" w:rsidRPr="00150578" w:rsidRDefault="00CA4584" w:rsidP="00150578">
            <w:pPr>
              <w:pStyle w:val="Tabletext"/>
              <w:ind w:left="0" w:right="0"/>
              <w:jc w:val="center"/>
              <w:rPr>
                <w:sz w:val="20"/>
                <w:szCs w:val="20"/>
              </w:rPr>
            </w:pPr>
            <w:r w:rsidRPr="00150578">
              <w:rPr>
                <w:sz w:val="20"/>
                <w:szCs w:val="20"/>
              </w:rPr>
              <w:t>–</w:t>
            </w:r>
          </w:p>
        </w:tc>
        <w:tc>
          <w:tcPr>
            <w:tcW w:w="993" w:type="dxa"/>
          </w:tcPr>
          <w:p w14:paraId="1CDD5B09"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72FA360B"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2</w:t>
            </w:r>
          </w:p>
        </w:tc>
      </w:tr>
      <w:tr w:rsidR="00CA4584" w:rsidRPr="00150578" w14:paraId="6D9A32BD" w14:textId="77777777" w:rsidTr="009936F9">
        <w:trPr>
          <w:trHeight w:val="122"/>
        </w:trPr>
        <w:tc>
          <w:tcPr>
            <w:tcW w:w="1668" w:type="dxa"/>
            <w:vMerge/>
          </w:tcPr>
          <w:p w14:paraId="63BC8889" w14:textId="77777777" w:rsidR="00CA4584" w:rsidRPr="00150578" w:rsidRDefault="00CA4584" w:rsidP="00150578">
            <w:pPr>
              <w:pStyle w:val="Tabletext"/>
              <w:ind w:left="0" w:right="0"/>
              <w:rPr>
                <w:b/>
                <w:sz w:val="20"/>
                <w:szCs w:val="20"/>
              </w:rPr>
            </w:pPr>
          </w:p>
        </w:tc>
        <w:tc>
          <w:tcPr>
            <w:tcW w:w="3118" w:type="dxa"/>
          </w:tcPr>
          <w:p w14:paraId="52CED55F" w14:textId="22A4E0D1" w:rsidR="00CA4584" w:rsidRPr="00150578" w:rsidRDefault="00CA4584" w:rsidP="006375D6">
            <w:pPr>
              <w:pStyle w:val="Tabletext"/>
              <w:ind w:left="0" w:right="0"/>
              <w:rPr>
                <w:sz w:val="20"/>
                <w:szCs w:val="20"/>
              </w:rPr>
            </w:pPr>
            <w:r w:rsidRPr="00150578">
              <w:rPr>
                <w:sz w:val="20"/>
                <w:szCs w:val="20"/>
              </w:rPr>
              <w:t>Unexpected neurological or psychiatric</w:t>
            </w:r>
            <w:r w:rsidR="00150578">
              <w:rPr>
                <w:sz w:val="20"/>
                <w:szCs w:val="20"/>
              </w:rPr>
              <w:t xml:space="preserve"> </w:t>
            </w:r>
            <w:r w:rsidR="009936F9">
              <w:rPr>
                <w:sz w:val="20"/>
                <w:szCs w:val="20"/>
              </w:rPr>
              <w:t>symptoms/sign (for example</w:t>
            </w:r>
            <w:r w:rsidRPr="00150578">
              <w:rPr>
                <w:sz w:val="20"/>
                <w:szCs w:val="20"/>
              </w:rPr>
              <w:t xml:space="preserve">; </w:t>
            </w:r>
            <w:r w:rsidR="00292D5B">
              <w:rPr>
                <w:sz w:val="20"/>
                <w:szCs w:val="20"/>
              </w:rPr>
              <w:t>p</w:t>
            </w:r>
            <w:r w:rsidR="00292D5B" w:rsidRPr="00292D5B">
              <w:rPr>
                <w:sz w:val="20"/>
                <w:szCs w:val="20"/>
              </w:rPr>
              <w:t xml:space="preserve">osterior reversible encephalopathy syndrome </w:t>
            </w:r>
            <w:r w:rsidR="00292D5B">
              <w:rPr>
                <w:sz w:val="20"/>
                <w:szCs w:val="20"/>
              </w:rPr>
              <w:t>(</w:t>
            </w:r>
            <w:r w:rsidRPr="00150578">
              <w:rPr>
                <w:sz w:val="20"/>
                <w:szCs w:val="20"/>
              </w:rPr>
              <w:t>PRES</w:t>
            </w:r>
            <w:r w:rsidR="00292D5B">
              <w:rPr>
                <w:sz w:val="20"/>
                <w:szCs w:val="20"/>
              </w:rPr>
              <w:t>)</w:t>
            </w:r>
            <w:r w:rsidRPr="00150578">
              <w:rPr>
                <w:sz w:val="20"/>
                <w:szCs w:val="20"/>
              </w:rPr>
              <w:t xml:space="preserve">, </w:t>
            </w:r>
            <w:r w:rsidR="009936F9">
              <w:rPr>
                <w:sz w:val="20"/>
                <w:szCs w:val="20"/>
              </w:rPr>
              <w:t>a</w:t>
            </w:r>
            <w:r w:rsidR="009936F9" w:rsidRPr="009936F9">
              <w:rPr>
                <w:sz w:val="20"/>
                <w:szCs w:val="20"/>
              </w:rPr>
              <w:t xml:space="preserve">cute disseminated encephalomyelitis </w:t>
            </w:r>
            <w:r w:rsidR="009936F9">
              <w:rPr>
                <w:sz w:val="20"/>
                <w:szCs w:val="20"/>
              </w:rPr>
              <w:t>(</w:t>
            </w:r>
            <w:r w:rsidRPr="00150578">
              <w:rPr>
                <w:sz w:val="20"/>
                <w:szCs w:val="20"/>
              </w:rPr>
              <w:t>ADEM</w:t>
            </w:r>
            <w:r w:rsidR="009936F9">
              <w:rPr>
                <w:sz w:val="20"/>
                <w:szCs w:val="20"/>
              </w:rPr>
              <w:t>)</w:t>
            </w:r>
            <w:r w:rsidRPr="00150578">
              <w:rPr>
                <w:sz w:val="20"/>
                <w:szCs w:val="20"/>
              </w:rPr>
              <w:t xml:space="preserve">, </w:t>
            </w:r>
            <w:r w:rsidR="006375D6">
              <w:rPr>
                <w:sz w:val="20"/>
                <w:szCs w:val="20"/>
              </w:rPr>
              <w:t>a</w:t>
            </w:r>
            <w:r w:rsidR="006375D6" w:rsidRPr="00150578">
              <w:rPr>
                <w:sz w:val="20"/>
                <w:szCs w:val="20"/>
              </w:rPr>
              <w:t xml:space="preserve">typical </w:t>
            </w:r>
            <w:r w:rsidRPr="00150578">
              <w:rPr>
                <w:sz w:val="20"/>
                <w:szCs w:val="20"/>
              </w:rPr>
              <w:t>MS</w:t>
            </w:r>
            <w:r w:rsidR="00150578">
              <w:rPr>
                <w:sz w:val="20"/>
                <w:szCs w:val="20"/>
              </w:rPr>
              <w:t xml:space="preserve"> </w:t>
            </w:r>
            <w:r w:rsidRPr="00150578">
              <w:rPr>
                <w:sz w:val="20"/>
                <w:szCs w:val="20"/>
              </w:rPr>
              <w:t>relapse)</w:t>
            </w:r>
          </w:p>
        </w:tc>
        <w:tc>
          <w:tcPr>
            <w:tcW w:w="992" w:type="dxa"/>
          </w:tcPr>
          <w:p w14:paraId="63DC830A"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3</w:t>
            </w:r>
          </w:p>
        </w:tc>
        <w:tc>
          <w:tcPr>
            <w:tcW w:w="1134" w:type="dxa"/>
          </w:tcPr>
          <w:p w14:paraId="1D9BF532"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031A3B7C"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2068BFFE" w14:textId="77777777" w:rsidR="00CA4584" w:rsidRPr="00150578" w:rsidRDefault="00CA4584" w:rsidP="00150578">
            <w:pPr>
              <w:pStyle w:val="Tabletext"/>
              <w:ind w:left="0" w:right="0"/>
              <w:jc w:val="center"/>
              <w:rPr>
                <w:sz w:val="20"/>
                <w:szCs w:val="20"/>
              </w:rPr>
            </w:pPr>
            <w:r w:rsidRPr="00150578">
              <w:rPr>
                <w:sz w:val="20"/>
                <w:szCs w:val="20"/>
              </w:rPr>
              <w:t>–</w:t>
            </w:r>
          </w:p>
        </w:tc>
      </w:tr>
      <w:tr w:rsidR="00CA4584" w:rsidRPr="00150578" w14:paraId="559F612D" w14:textId="77777777" w:rsidTr="009936F9">
        <w:trPr>
          <w:trHeight w:val="122"/>
        </w:trPr>
        <w:tc>
          <w:tcPr>
            <w:tcW w:w="1668" w:type="dxa"/>
            <w:vMerge/>
          </w:tcPr>
          <w:p w14:paraId="4F9967BB" w14:textId="77777777" w:rsidR="00CA4584" w:rsidRPr="00150578" w:rsidRDefault="00CA4584" w:rsidP="00150578">
            <w:pPr>
              <w:pStyle w:val="Tabletext"/>
              <w:ind w:left="0" w:right="0"/>
              <w:rPr>
                <w:b/>
                <w:sz w:val="20"/>
                <w:szCs w:val="20"/>
              </w:rPr>
            </w:pPr>
          </w:p>
        </w:tc>
        <w:tc>
          <w:tcPr>
            <w:tcW w:w="3118" w:type="dxa"/>
          </w:tcPr>
          <w:p w14:paraId="4B2D6080" w14:textId="6CA0B2EB" w:rsidR="00CA4584" w:rsidRPr="00150578" w:rsidRDefault="00CA4584" w:rsidP="00292D5B">
            <w:pPr>
              <w:pStyle w:val="Tabletext"/>
              <w:ind w:left="0" w:right="0"/>
              <w:rPr>
                <w:sz w:val="20"/>
                <w:szCs w:val="20"/>
              </w:rPr>
            </w:pPr>
            <w:r w:rsidRPr="00150578">
              <w:rPr>
                <w:sz w:val="20"/>
                <w:szCs w:val="20"/>
              </w:rPr>
              <w:t>Drug-drug Interaction with Class</w:t>
            </w:r>
            <w:r w:rsidR="006375D6">
              <w:rPr>
                <w:sz w:val="20"/>
                <w:szCs w:val="20"/>
              </w:rPr>
              <w:t> </w:t>
            </w:r>
            <w:proofErr w:type="spellStart"/>
            <w:r w:rsidRPr="00150578">
              <w:rPr>
                <w:sz w:val="20"/>
                <w:szCs w:val="20"/>
              </w:rPr>
              <w:t>Ia</w:t>
            </w:r>
            <w:proofErr w:type="spellEnd"/>
            <w:r w:rsidRPr="00150578">
              <w:rPr>
                <w:sz w:val="20"/>
                <w:szCs w:val="20"/>
              </w:rPr>
              <w:t xml:space="preserve"> or Class III</w:t>
            </w:r>
            <w:r w:rsidR="00150578">
              <w:rPr>
                <w:sz w:val="20"/>
                <w:szCs w:val="20"/>
              </w:rPr>
              <w:t xml:space="preserve"> </w:t>
            </w:r>
            <w:r w:rsidRPr="00150578">
              <w:rPr>
                <w:sz w:val="20"/>
                <w:szCs w:val="20"/>
              </w:rPr>
              <w:t>antiarrhythmic medical products</w:t>
            </w:r>
          </w:p>
        </w:tc>
        <w:tc>
          <w:tcPr>
            <w:tcW w:w="992" w:type="dxa"/>
          </w:tcPr>
          <w:p w14:paraId="26DBFA19"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601664A0" w14:textId="77777777" w:rsidR="00CA4584" w:rsidRPr="00150578" w:rsidRDefault="00CA4584" w:rsidP="00150578">
            <w:pPr>
              <w:pStyle w:val="Tabletext"/>
              <w:ind w:left="0" w:right="0"/>
              <w:jc w:val="center"/>
              <w:rPr>
                <w:sz w:val="20"/>
                <w:szCs w:val="20"/>
              </w:rPr>
            </w:pPr>
            <w:r w:rsidRPr="00150578">
              <w:rPr>
                <w:sz w:val="20"/>
                <w:szCs w:val="20"/>
              </w:rPr>
              <w:t>–</w:t>
            </w:r>
          </w:p>
        </w:tc>
        <w:tc>
          <w:tcPr>
            <w:tcW w:w="993" w:type="dxa"/>
          </w:tcPr>
          <w:p w14:paraId="561F3C45"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0757FD5C" w14:textId="77777777" w:rsidR="00CA4584" w:rsidRPr="00150578" w:rsidRDefault="00CA4584" w:rsidP="00150578">
            <w:pPr>
              <w:pStyle w:val="Tabletext"/>
              <w:ind w:left="0" w:right="0"/>
              <w:jc w:val="center"/>
              <w:rPr>
                <w:sz w:val="20"/>
                <w:szCs w:val="20"/>
              </w:rPr>
            </w:pPr>
            <w:r w:rsidRPr="00150578">
              <w:rPr>
                <w:sz w:val="20"/>
                <w:szCs w:val="20"/>
              </w:rPr>
              <w:t>–</w:t>
            </w:r>
          </w:p>
        </w:tc>
      </w:tr>
      <w:tr w:rsidR="00CA4584" w:rsidRPr="00150578" w14:paraId="0D5D5CE3" w14:textId="77777777" w:rsidTr="009936F9">
        <w:trPr>
          <w:trHeight w:val="178"/>
        </w:trPr>
        <w:tc>
          <w:tcPr>
            <w:tcW w:w="1668" w:type="dxa"/>
            <w:vMerge w:val="restart"/>
          </w:tcPr>
          <w:p w14:paraId="5E5FE25F" w14:textId="77777777" w:rsidR="00CA4584" w:rsidRPr="00150578" w:rsidRDefault="00CA4584" w:rsidP="00150578">
            <w:pPr>
              <w:pStyle w:val="Tabletext"/>
              <w:ind w:left="0" w:right="0"/>
              <w:rPr>
                <w:b/>
                <w:sz w:val="20"/>
                <w:szCs w:val="20"/>
              </w:rPr>
            </w:pPr>
            <w:r w:rsidRPr="00150578">
              <w:rPr>
                <w:b/>
                <w:sz w:val="20"/>
                <w:szCs w:val="20"/>
              </w:rPr>
              <w:t>Missing information</w:t>
            </w:r>
          </w:p>
        </w:tc>
        <w:tc>
          <w:tcPr>
            <w:tcW w:w="3118" w:type="dxa"/>
          </w:tcPr>
          <w:p w14:paraId="1F7C4D5A" w14:textId="77777777" w:rsidR="00CA4584" w:rsidRPr="00150578" w:rsidRDefault="00CA4584" w:rsidP="00292D5B">
            <w:pPr>
              <w:pStyle w:val="Tabletext"/>
              <w:tabs>
                <w:tab w:val="left" w:pos="990"/>
              </w:tabs>
              <w:ind w:left="0" w:right="0"/>
              <w:rPr>
                <w:sz w:val="20"/>
                <w:szCs w:val="20"/>
              </w:rPr>
            </w:pPr>
            <w:r w:rsidRPr="00150578">
              <w:rPr>
                <w:sz w:val="20"/>
                <w:szCs w:val="20"/>
              </w:rPr>
              <w:t>Safety in patients over 60 years old (including</w:t>
            </w:r>
            <w:r w:rsidR="00150578">
              <w:rPr>
                <w:sz w:val="20"/>
                <w:szCs w:val="20"/>
              </w:rPr>
              <w:t xml:space="preserve"> elderly)</w:t>
            </w:r>
          </w:p>
        </w:tc>
        <w:tc>
          <w:tcPr>
            <w:tcW w:w="992" w:type="dxa"/>
          </w:tcPr>
          <w:p w14:paraId="7EB02C51"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47A10939" w14:textId="77777777" w:rsidR="00CA4584" w:rsidRPr="00150578" w:rsidRDefault="00CA4584" w:rsidP="00150578">
            <w:pPr>
              <w:pStyle w:val="Tabletext"/>
              <w:ind w:left="0" w:right="0"/>
              <w:jc w:val="center"/>
              <w:rPr>
                <w:sz w:val="20"/>
                <w:szCs w:val="20"/>
              </w:rPr>
            </w:pPr>
            <w:r w:rsidRPr="00150578">
              <w:rPr>
                <w:sz w:val="20"/>
                <w:szCs w:val="20"/>
              </w:rPr>
              <w:t>–</w:t>
            </w:r>
          </w:p>
        </w:tc>
        <w:tc>
          <w:tcPr>
            <w:tcW w:w="993" w:type="dxa"/>
          </w:tcPr>
          <w:p w14:paraId="07EBBBD5" w14:textId="77777777" w:rsidR="00CA4584" w:rsidRPr="00150578" w:rsidRDefault="00CA4584" w:rsidP="00150578">
            <w:pPr>
              <w:pStyle w:val="Standard"/>
              <w:spacing w:after="0"/>
              <w:ind w:left="0" w:right="0"/>
              <w:jc w:val="center"/>
              <w:rPr>
                <w:sz w:val="20"/>
                <w:szCs w:val="20"/>
                <w:vertAlign w:val="superscript"/>
              </w:rPr>
            </w:pPr>
            <w:r w:rsidRPr="00150578">
              <w:rPr>
                <w:rFonts w:eastAsia="Cambria"/>
                <w:sz w:val="20"/>
                <w:szCs w:val="20"/>
              </w:rPr>
              <w:sym w:font="Wingdings" w:char="F0FC"/>
            </w:r>
          </w:p>
          <w:p w14:paraId="799191F9" w14:textId="77777777" w:rsidR="00CA4584" w:rsidRPr="00150578" w:rsidRDefault="00CA4584" w:rsidP="00150578">
            <w:pPr>
              <w:ind w:left="0" w:right="0"/>
              <w:jc w:val="center"/>
              <w:rPr>
                <w:sz w:val="20"/>
                <w:szCs w:val="20"/>
              </w:rPr>
            </w:pPr>
          </w:p>
        </w:tc>
        <w:tc>
          <w:tcPr>
            <w:tcW w:w="1134" w:type="dxa"/>
          </w:tcPr>
          <w:p w14:paraId="6099F51E" w14:textId="77777777" w:rsidR="00CA4584" w:rsidRPr="00150578" w:rsidRDefault="00CA4584" w:rsidP="00150578">
            <w:pPr>
              <w:pStyle w:val="Tabletext"/>
              <w:ind w:left="0" w:right="0"/>
              <w:jc w:val="center"/>
              <w:rPr>
                <w:sz w:val="20"/>
                <w:szCs w:val="20"/>
              </w:rPr>
            </w:pPr>
            <w:r w:rsidRPr="00150578">
              <w:rPr>
                <w:sz w:val="20"/>
                <w:szCs w:val="20"/>
              </w:rPr>
              <w:t>–</w:t>
            </w:r>
          </w:p>
        </w:tc>
      </w:tr>
      <w:tr w:rsidR="00CA4584" w:rsidRPr="00150578" w14:paraId="3BFA9BD4" w14:textId="77777777" w:rsidTr="009936F9">
        <w:trPr>
          <w:trHeight w:val="103"/>
        </w:trPr>
        <w:tc>
          <w:tcPr>
            <w:tcW w:w="1668" w:type="dxa"/>
            <w:vMerge/>
          </w:tcPr>
          <w:p w14:paraId="51C133E6" w14:textId="77777777" w:rsidR="00CA4584" w:rsidRPr="00150578" w:rsidRDefault="00CA4584" w:rsidP="00150578">
            <w:pPr>
              <w:pStyle w:val="Tabletext"/>
              <w:ind w:left="0" w:right="0"/>
              <w:rPr>
                <w:sz w:val="20"/>
                <w:szCs w:val="20"/>
              </w:rPr>
            </w:pPr>
          </w:p>
        </w:tc>
        <w:tc>
          <w:tcPr>
            <w:tcW w:w="3118" w:type="dxa"/>
          </w:tcPr>
          <w:p w14:paraId="7BF0EAAC" w14:textId="77777777" w:rsidR="00CA4584" w:rsidRPr="00150578" w:rsidRDefault="00CA4584" w:rsidP="00292D5B">
            <w:pPr>
              <w:pStyle w:val="Tabletext"/>
              <w:ind w:left="0" w:right="0"/>
              <w:rPr>
                <w:sz w:val="20"/>
                <w:szCs w:val="20"/>
              </w:rPr>
            </w:pPr>
            <w:r w:rsidRPr="00150578">
              <w:rPr>
                <w:sz w:val="20"/>
                <w:szCs w:val="20"/>
              </w:rPr>
              <w:t>Use during lactation</w:t>
            </w:r>
          </w:p>
        </w:tc>
        <w:tc>
          <w:tcPr>
            <w:tcW w:w="992" w:type="dxa"/>
          </w:tcPr>
          <w:p w14:paraId="6467CCCE"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7D28F2A5" w14:textId="77777777" w:rsidR="00CA4584" w:rsidRPr="00150578" w:rsidRDefault="00CA4584" w:rsidP="00150578">
            <w:pPr>
              <w:pStyle w:val="Tabletext"/>
              <w:ind w:left="0" w:right="0"/>
              <w:jc w:val="center"/>
              <w:rPr>
                <w:sz w:val="20"/>
                <w:szCs w:val="20"/>
              </w:rPr>
            </w:pPr>
            <w:r w:rsidRPr="00150578">
              <w:rPr>
                <w:sz w:val="20"/>
                <w:szCs w:val="20"/>
              </w:rPr>
              <w:t>–</w:t>
            </w:r>
          </w:p>
        </w:tc>
        <w:tc>
          <w:tcPr>
            <w:tcW w:w="993" w:type="dxa"/>
          </w:tcPr>
          <w:p w14:paraId="26F18ECB"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1BFFB620" w14:textId="77777777" w:rsidR="00CA4584" w:rsidRPr="00150578" w:rsidRDefault="00CA4584" w:rsidP="00150578">
            <w:pPr>
              <w:pStyle w:val="Tabletext"/>
              <w:ind w:left="0" w:right="0"/>
              <w:jc w:val="center"/>
              <w:rPr>
                <w:sz w:val="20"/>
                <w:szCs w:val="20"/>
              </w:rPr>
            </w:pPr>
            <w:r w:rsidRPr="00150578">
              <w:rPr>
                <w:sz w:val="20"/>
                <w:szCs w:val="20"/>
              </w:rPr>
              <w:t>–</w:t>
            </w:r>
          </w:p>
        </w:tc>
      </w:tr>
      <w:tr w:rsidR="00CA4584" w:rsidRPr="00150578" w14:paraId="56EF9AD9" w14:textId="77777777" w:rsidTr="009936F9">
        <w:trPr>
          <w:trHeight w:val="103"/>
        </w:trPr>
        <w:tc>
          <w:tcPr>
            <w:tcW w:w="1668" w:type="dxa"/>
            <w:vMerge/>
          </w:tcPr>
          <w:p w14:paraId="1838E252" w14:textId="77777777" w:rsidR="00CA4584" w:rsidRPr="00150578" w:rsidRDefault="00CA4584" w:rsidP="00150578">
            <w:pPr>
              <w:pStyle w:val="Tabletext"/>
              <w:ind w:left="0" w:right="0"/>
              <w:rPr>
                <w:sz w:val="20"/>
                <w:szCs w:val="20"/>
              </w:rPr>
            </w:pPr>
          </w:p>
        </w:tc>
        <w:tc>
          <w:tcPr>
            <w:tcW w:w="3118" w:type="dxa"/>
          </w:tcPr>
          <w:p w14:paraId="594F1025" w14:textId="77777777" w:rsidR="00CA4584" w:rsidRPr="00150578" w:rsidRDefault="00CA4584" w:rsidP="00292D5B">
            <w:pPr>
              <w:pStyle w:val="Tabletext"/>
              <w:ind w:left="0" w:right="0"/>
              <w:rPr>
                <w:sz w:val="20"/>
                <w:szCs w:val="20"/>
              </w:rPr>
            </w:pPr>
            <w:r w:rsidRPr="00150578">
              <w:rPr>
                <w:sz w:val="20"/>
                <w:szCs w:val="20"/>
              </w:rPr>
              <w:t>Long-term safety risks</w:t>
            </w:r>
          </w:p>
        </w:tc>
        <w:tc>
          <w:tcPr>
            <w:tcW w:w="992" w:type="dxa"/>
          </w:tcPr>
          <w:p w14:paraId="492B49A9"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1CB5B9A7" w14:textId="77777777" w:rsidR="00CA4584" w:rsidRPr="00150578" w:rsidRDefault="00CA4584" w:rsidP="00150578">
            <w:pPr>
              <w:pStyle w:val="Tabletext"/>
              <w:ind w:left="0" w:right="0"/>
              <w:jc w:val="center"/>
              <w:rPr>
                <w:sz w:val="20"/>
                <w:szCs w:val="20"/>
              </w:rPr>
            </w:pPr>
            <w:r w:rsidRPr="00150578">
              <w:rPr>
                <w:sz w:val="20"/>
                <w:szCs w:val="20"/>
              </w:rPr>
              <w:sym w:font="Wingdings" w:char="F0FC"/>
            </w:r>
            <w:r w:rsidRPr="00150578">
              <w:rPr>
                <w:sz w:val="20"/>
                <w:szCs w:val="20"/>
                <w:vertAlign w:val="superscript"/>
              </w:rPr>
              <w:t>1</w:t>
            </w:r>
          </w:p>
        </w:tc>
        <w:tc>
          <w:tcPr>
            <w:tcW w:w="993" w:type="dxa"/>
          </w:tcPr>
          <w:p w14:paraId="02A00CAB" w14:textId="77777777" w:rsidR="00CA4584" w:rsidRPr="00150578" w:rsidRDefault="00CA4584" w:rsidP="00150578">
            <w:pPr>
              <w:pStyle w:val="Tabletext"/>
              <w:ind w:left="0" w:right="0"/>
              <w:jc w:val="center"/>
              <w:rPr>
                <w:sz w:val="20"/>
                <w:szCs w:val="20"/>
              </w:rPr>
            </w:pPr>
            <w:r w:rsidRPr="00150578">
              <w:rPr>
                <w:sz w:val="20"/>
                <w:szCs w:val="20"/>
              </w:rPr>
              <w:t>–</w:t>
            </w:r>
          </w:p>
        </w:tc>
        <w:tc>
          <w:tcPr>
            <w:tcW w:w="1134" w:type="dxa"/>
          </w:tcPr>
          <w:p w14:paraId="5112BD28" w14:textId="77777777" w:rsidR="00CA4584" w:rsidRPr="00150578" w:rsidRDefault="00CA4584" w:rsidP="00150578">
            <w:pPr>
              <w:pStyle w:val="Tabletext"/>
              <w:ind w:left="0" w:right="0"/>
              <w:jc w:val="center"/>
              <w:rPr>
                <w:sz w:val="20"/>
                <w:szCs w:val="20"/>
              </w:rPr>
            </w:pPr>
            <w:r w:rsidRPr="00150578">
              <w:rPr>
                <w:sz w:val="20"/>
                <w:szCs w:val="20"/>
              </w:rPr>
              <w:t>–</w:t>
            </w:r>
          </w:p>
        </w:tc>
      </w:tr>
      <w:tr w:rsidR="00CA4584" w:rsidRPr="00150578" w14:paraId="15B91459" w14:textId="77777777" w:rsidTr="009936F9">
        <w:trPr>
          <w:trHeight w:val="140"/>
        </w:trPr>
        <w:tc>
          <w:tcPr>
            <w:tcW w:w="1668" w:type="dxa"/>
            <w:vMerge/>
          </w:tcPr>
          <w:p w14:paraId="41145637" w14:textId="77777777" w:rsidR="00CA4584" w:rsidRPr="00150578" w:rsidRDefault="00CA4584" w:rsidP="00150578">
            <w:pPr>
              <w:pStyle w:val="Tabletext"/>
              <w:ind w:left="0" w:right="0"/>
              <w:rPr>
                <w:sz w:val="20"/>
                <w:szCs w:val="20"/>
              </w:rPr>
            </w:pPr>
          </w:p>
        </w:tc>
        <w:tc>
          <w:tcPr>
            <w:tcW w:w="3118" w:type="dxa"/>
          </w:tcPr>
          <w:p w14:paraId="443C5E96" w14:textId="77777777" w:rsidR="00CA4584" w:rsidRPr="00150578" w:rsidRDefault="00292D5B" w:rsidP="00292D5B">
            <w:pPr>
              <w:pStyle w:val="Tabletext"/>
              <w:ind w:left="0" w:right="0"/>
              <w:rPr>
                <w:sz w:val="20"/>
                <w:szCs w:val="20"/>
              </w:rPr>
            </w:pPr>
            <w:r>
              <w:rPr>
                <w:sz w:val="20"/>
                <w:szCs w:val="20"/>
              </w:rPr>
              <w:t xml:space="preserve">Safety of </w:t>
            </w:r>
            <w:proofErr w:type="spellStart"/>
            <w:r>
              <w:rPr>
                <w:sz w:val="20"/>
                <w:szCs w:val="20"/>
              </w:rPr>
              <w:t>s</w:t>
            </w:r>
            <w:r w:rsidR="00CA4584" w:rsidRPr="00150578">
              <w:rPr>
                <w:sz w:val="20"/>
                <w:szCs w:val="20"/>
              </w:rPr>
              <w:t>iponimod</w:t>
            </w:r>
            <w:proofErr w:type="spellEnd"/>
            <w:r w:rsidR="00CA4584" w:rsidRPr="00150578">
              <w:rPr>
                <w:sz w:val="20"/>
                <w:szCs w:val="20"/>
              </w:rPr>
              <w:t xml:space="preserve"> following switch from other</w:t>
            </w:r>
            <w:r w:rsidR="00150578">
              <w:rPr>
                <w:sz w:val="20"/>
                <w:szCs w:val="20"/>
              </w:rPr>
              <w:t xml:space="preserve"> </w:t>
            </w:r>
            <w:r w:rsidR="00CA4584" w:rsidRPr="00150578">
              <w:rPr>
                <w:sz w:val="20"/>
                <w:szCs w:val="20"/>
              </w:rPr>
              <w:t>disease modifying therapy</w:t>
            </w:r>
          </w:p>
        </w:tc>
        <w:tc>
          <w:tcPr>
            <w:tcW w:w="992" w:type="dxa"/>
          </w:tcPr>
          <w:p w14:paraId="5B057BD4"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7C6C5DF6" w14:textId="77777777" w:rsidR="00CA4584" w:rsidRPr="00150578" w:rsidRDefault="00CA4584" w:rsidP="00150578">
            <w:pPr>
              <w:pStyle w:val="Tabletext"/>
              <w:ind w:left="0" w:right="0"/>
              <w:jc w:val="center"/>
              <w:rPr>
                <w:sz w:val="20"/>
                <w:szCs w:val="20"/>
              </w:rPr>
            </w:pPr>
            <w:r w:rsidRPr="00150578">
              <w:rPr>
                <w:sz w:val="20"/>
                <w:szCs w:val="20"/>
              </w:rPr>
              <w:t>–</w:t>
            </w:r>
          </w:p>
        </w:tc>
        <w:tc>
          <w:tcPr>
            <w:tcW w:w="993" w:type="dxa"/>
          </w:tcPr>
          <w:p w14:paraId="645DA06C" w14:textId="77777777" w:rsidR="00CA4584" w:rsidRPr="00150578" w:rsidRDefault="00CA4584" w:rsidP="00150578">
            <w:pPr>
              <w:pStyle w:val="Tabletext"/>
              <w:ind w:left="0" w:right="0"/>
              <w:jc w:val="center"/>
              <w:rPr>
                <w:sz w:val="20"/>
                <w:szCs w:val="20"/>
              </w:rPr>
            </w:pPr>
            <w:r w:rsidRPr="00150578">
              <w:rPr>
                <w:sz w:val="20"/>
                <w:szCs w:val="20"/>
              </w:rPr>
              <w:sym w:font="Wingdings" w:char="F0FC"/>
            </w:r>
          </w:p>
        </w:tc>
        <w:tc>
          <w:tcPr>
            <w:tcW w:w="1134" w:type="dxa"/>
          </w:tcPr>
          <w:p w14:paraId="76E04B63" w14:textId="77777777" w:rsidR="00CA4584" w:rsidRPr="00150578" w:rsidRDefault="00CA4584" w:rsidP="00150578">
            <w:pPr>
              <w:pStyle w:val="Tabletext"/>
              <w:ind w:left="0" w:right="0"/>
              <w:jc w:val="center"/>
              <w:rPr>
                <w:sz w:val="20"/>
                <w:szCs w:val="20"/>
              </w:rPr>
            </w:pPr>
            <w:r w:rsidRPr="00150578">
              <w:rPr>
                <w:sz w:val="20"/>
                <w:szCs w:val="20"/>
              </w:rPr>
              <w:t>–</w:t>
            </w:r>
          </w:p>
        </w:tc>
      </w:tr>
    </w:tbl>
    <w:p w14:paraId="784E45B6" w14:textId="3F615C5F" w:rsidR="00CA4584" w:rsidRDefault="00CA4584" w:rsidP="00292D5B">
      <w:pPr>
        <w:pStyle w:val="TableDescription"/>
      </w:pPr>
      <w:r>
        <w:t xml:space="preserve">1 </w:t>
      </w:r>
      <w:r w:rsidR="006375D6">
        <w:t xml:space="preserve">Study </w:t>
      </w:r>
      <w:r>
        <w:t xml:space="preserve">CBAF312A2304 </w:t>
      </w:r>
      <w:r w:rsidR="00292D5B">
        <w:t>(EXPAND</w:t>
      </w:r>
      <w:r w:rsidR="006375D6">
        <w:t xml:space="preserve"> trial</w:t>
      </w:r>
      <w:r w:rsidR="00292D5B">
        <w:t>) Phase III</w:t>
      </w:r>
      <w:r>
        <w:t xml:space="preserve"> study extension part. 2 </w:t>
      </w:r>
      <w:r w:rsidR="00292D5B">
        <w:t>Healthcare professional (</w:t>
      </w:r>
      <w:r>
        <w:t>HCP</w:t>
      </w:r>
      <w:r w:rsidR="00292D5B">
        <w:t>)</w:t>
      </w:r>
      <w:r>
        <w:t xml:space="preserve"> checklist &amp; Patient reminder card. 3 Adverse event fo</w:t>
      </w:r>
      <w:r w:rsidR="00795164">
        <w:t>llow-up checklists. 4 Routine pharmacovigilance</w:t>
      </w:r>
      <w:r>
        <w:t xml:space="preserve"> including pregnancy outcomes intensive monitoring. 5 Independent expert risk adjudication committee process for clinical trial and spontaneous case reports. 6 Sponsor agrees to include this risk in the ASA along with the supporting RMP activities</w:t>
      </w:r>
    </w:p>
    <w:p w14:paraId="6DD55DD6" w14:textId="11F57364" w:rsidR="00150578" w:rsidRPr="00383716" w:rsidRDefault="00150578" w:rsidP="00150578">
      <w:pPr>
        <w:pStyle w:val="ListBullet"/>
      </w:pPr>
      <w:r w:rsidRPr="009F055D">
        <w:t xml:space="preserve">During </w:t>
      </w:r>
      <w:r w:rsidR="00795164">
        <w:t>the second round</w:t>
      </w:r>
      <w:r w:rsidRPr="009F055D">
        <w:t xml:space="preserve"> evaluation, an important identified risk has been added as a safety concern </w:t>
      </w:r>
      <w:r w:rsidRPr="00795164">
        <w:t>‘</w:t>
      </w:r>
      <w:proofErr w:type="spellStart"/>
      <w:r w:rsidRPr="00795164">
        <w:t>Cryptococcal</w:t>
      </w:r>
      <w:proofErr w:type="spellEnd"/>
      <w:r w:rsidRPr="00795164">
        <w:t xml:space="preserve"> meningitis’</w:t>
      </w:r>
      <w:r w:rsidRPr="009F055D">
        <w:t xml:space="preserve"> based on the results of the extension phase of </w:t>
      </w:r>
      <w:r w:rsidR="00795164">
        <w:t xml:space="preserve">Phase III clinical trial </w:t>
      </w:r>
      <w:r w:rsidR="006375D6">
        <w:t>S</w:t>
      </w:r>
      <w:r w:rsidR="00795164">
        <w:t xml:space="preserve">tudy </w:t>
      </w:r>
      <w:r w:rsidRPr="009F055D">
        <w:t xml:space="preserve">CBAF312A2304 </w:t>
      </w:r>
      <w:r w:rsidR="006375D6">
        <w:t xml:space="preserve">(Expand trial) </w:t>
      </w:r>
      <w:r w:rsidRPr="009F055D">
        <w:t>and adverse effects reported after treatment with another member of the S1P modulator class (</w:t>
      </w:r>
      <w:proofErr w:type="spellStart"/>
      <w:r w:rsidRPr="009F055D">
        <w:t>fingolimod</w:t>
      </w:r>
      <w:proofErr w:type="spellEnd"/>
      <w:r w:rsidRPr="009F055D">
        <w:t xml:space="preserve">). Safety in paediatric patients (≤ 18 years of age) has been removed as missing information as the proposed indication has been revised for adult use only in </w:t>
      </w:r>
      <w:r w:rsidR="00795164">
        <w:t>second round</w:t>
      </w:r>
      <w:r w:rsidRPr="009F055D">
        <w:t xml:space="preserve"> evaluation. </w:t>
      </w:r>
      <w:r>
        <w:t>During post-</w:t>
      </w:r>
      <w:r w:rsidR="00795164">
        <w:t>second round</w:t>
      </w:r>
      <w:r>
        <w:t xml:space="preserve"> evaluation, the sponsor has </w:t>
      </w:r>
      <w:r>
        <w:lastRenderedPageBreak/>
        <w:t xml:space="preserve">agreed </w:t>
      </w:r>
      <w:r w:rsidRPr="00383716">
        <w:t xml:space="preserve">to </w:t>
      </w:r>
      <w:r w:rsidR="00795164">
        <w:t xml:space="preserve">the </w:t>
      </w:r>
      <w:r w:rsidR="00795164" w:rsidRPr="00383716">
        <w:t>clinical evaluator’s</w:t>
      </w:r>
      <w:r w:rsidRPr="00383716">
        <w:t xml:space="preserve"> requested inclusion of important identified risk ‘asthma exacerbations’ in the ASA and commits to the provision of information that is relevant and necessary to address the issue in a revised RMP.</w:t>
      </w:r>
    </w:p>
    <w:p w14:paraId="2D7DCB5C" w14:textId="77777777" w:rsidR="00150578" w:rsidRPr="00383716" w:rsidRDefault="00150578" w:rsidP="00150578">
      <w:pPr>
        <w:pStyle w:val="ListBullet"/>
      </w:pPr>
      <w:r w:rsidRPr="00383716">
        <w:t>Routine pharmacovigilance and risk minimisation activities are prop</w:t>
      </w:r>
      <w:r w:rsidR="00795164">
        <w:t xml:space="preserve">osed for most safety concerns. </w:t>
      </w:r>
      <w:r w:rsidRPr="00383716">
        <w:t xml:space="preserve">During </w:t>
      </w:r>
      <w:r w:rsidR="00795164">
        <w:t>second round</w:t>
      </w:r>
      <w:r w:rsidRPr="00383716">
        <w:t xml:space="preserve"> evaluation the sponsor has agreed to include information on malignancies in the PI. Specifically, the potential for cutaneous neoplasms have been addressed in PI as a routine risk minimization measure given the high incidence of skin cancers in Australia and due to a potential long-term immunomodulatory effects of </w:t>
      </w:r>
      <w:proofErr w:type="spellStart"/>
      <w:r w:rsidRPr="00383716">
        <w:t>siponimod</w:t>
      </w:r>
      <w:proofErr w:type="spellEnd"/>
      <w:r w:rsidRPr="00383716">
        <w:t>.</w:t>
      </w:r>
    </w:p>
    <w:p w14:paraId="4DEF628F" w14:textId="77777777" w:rsidR="00150578" w:rsidRPr="00383716" w:rsidRDefault="00150578" w:rsidP="00150578">
      <w:pPr>
        <w:pStyle w:val="ListBullet"/>
      </w:pPr>
      <w:r w:rsidRPr="00383716">
        <w:t>Enhanced routine pharmacovigilance activities to be implemented by sponsor include use of follow-up adverse event forms, a pregnancy outcomes intensive monitoring program to examine frequency of congenital malformations and a risk adjudication review process to further characterize the potential risk of opportunistic infections (including PML). The risk adjudication activity will be conducted by an independent expert committee who will review any potential PML cases referred by sponsor from clinical trial and spontaneous case reports.</w:t>
      </w:r>
    </w:p>
    <w:p w14:paraId="73A4F57E" w14:textId="77777777" w:rsidR="00150578" w:rsidRPr="00383716" w:rsidRDefault="00795164" w:rsidP="00150578">
      <w:pPr>
        <w:pStyle w:val="ListBullet"/>
      </w:pPr>
      <w:r>
        <w:t>There is an ongoing Phase III</w:t>
      </w:r>
      <w:r w:rsidR="00150578" w:rsidRPr="00383716">
        <w:t xml:space="preserve"> study extension proposed as additional pharmacovigilance to allow patients to continue treatmen</w:t>
      </w:r>
      <w:r>
        <w:t xml:space="preserve">t in trial conditions with open </w:t>
      </w:r>
      <w:r w:rsidR="00150578" w:rsidRPr="00383716">
        <w:t xml:space="preserve">label </w:t>
      </w:r>
      <w:proofErr w:type="spellStart"/>
      <w:r w:rsidR="00150578" w:rsidRPr="00383716">
        <w:t>siponimod</w:t>
      </w:r>
      <w:proofErr w:type="spellEnd"/>
      <w:r w:rsidR="00150578" w:rsidRPr="00383716">
        <w:t xml:space="preserve"> up to 7 years with the aim of providing additional long-term safety data as well as additional information on efficacy measures.</w:t>
      </w:r>
    </w:p>
    <w:p w14:paraId="1A6AD20B" w14:textId="5FC6E474" w:rsidR="00150578" w:rsidRDefault="00150578" w:rsidP="00150578">
      <w:pPr>
        <w:pStyle w:val="ListBullet"/>
      </w:pPr>
      <w:r w:rsidRPr="00383716">
        <w:t xml:space="preserve">Additional risk minimisation activities are proposed including use of a </w:t>
      </w:r>
      <w:r w:rsidR="006375D6">
        <w:t>Healthcare professional (</w:t>
      </w:r>
      <w:r w:rsidR="00795164">
        <w:t>HCP</w:t>
      </w:r>
      <w:r w:rsidR="006375D6">
        <w:t>)</w:t>
      </w:r>
      <w:r w:rsidRPr="00383716">
        <w:t xml:space="preserve"> checklist and Patient Reminder Card as educational materials. The sponsor commits to provide final local Australian materials to the TGA for review and approval prior to launch. The minimum requirements on the key safety messages to be addressed in the materials are outlined in the EU RMP. The sponsor has provided particulars of the distribution strategy for provision of materials to HCP and patients and evaluation plan for examining effectiveness of additional risk materials; and commits to undertaking these activities post-approval to</w:t>
      </w:r>
      <w:r w:rsidR="00795164">
        <w:t xml:space="preserve"> show materials effectiveness. </w:t>
      </w:r>
      <w:r w:rsidRPr="00383716">
        <w:t>During post-</w:t>
      </w:r>
      <w:r w:rsidR="00795164">
        <w:t>second round</w:t>
      </w:r>
      <w:r w:rsidRPr="00383716">
        <w:t xml:space="preserve"> evaluation the sponsor has agreed to provide TGA with the post-approval HCP survey protocol and timelines for examining effectiveness of the educational materials.</w:t>
      </w:r>
    </w:p>
    <w:p w14:paraId="0F08BFCC" w14:textId="77777777" w:rsidR="008E7846" w:rsidRDefault="00AA0ED0" w:rsidP="008E7846">
      <w:pPr>
        <w:pStyle w:val="Heading3"/>
      </w:pPr>
      <w:bookmarkStart w:id="74" w:name="_Toc247691531"/>
      <w:bookmarkStart w:id="75" w:name="_Toc314842515"/>
      <w:bookmarkStart w:id="76" w:name="_Toc196046505"/>
      <w:bookmarkStart w:id="77" w:name="_Toc196046949"/>
      <w:bookmarkStart w:id="78" w:name="_Toc28868687"/>
      <w:r>
        <w:t>Risk-benefit a</w:t>
      </w:r>
      <w:r w:rsidR="008E7846">
        <w:t>nalysis</w:t>
      </w:r>
      <w:bookmarkEnd w:id="74"/>
      <w:bookmarkEnd w:id="75"/>
      <w:bookmarkEnd w:id="78"/>
    </w:p>
    <w:p w14:paraId="5DB2B9BE" w14:textId="77777777" w:rsidR="00D23139" w:rsidRDefault="00150578" w:rsidP="00D23139">
      <w:pPr>
        <w:pStyle w:val="Heading4"/>
      </w:pPr>
      <w:r>
        <w:t>Delegate’s considerations</w:t>
      </w:r>
    </w:p>
    <w:p w14:paraId="2C8C968D" w14:textId="77777777" w:rsidR="00456765" w:rsidRDefault="00150578" w:rsidP="00150578">
      <w:pPr>
        <w:pStyle w:val="Heading5"/>
      </w:pPr>
      <w:r>
        <w:t>Discussion</w:t>
      </w:r>
    </w:p>
    <w:p w14:paraId="2878619C" w14:textId="77777777" w:rsidR="00150578" w:rsidRPr="00F85C1C" w:rsidRDefault="00150578" w:rsidP="00150578">
      <w:pPr>
        <w:pStyle w:val="BodyText"/>
        <w:spacing w:before="122"/>
        <w:ind w:right="-2"/>
      </w:pPr>
      <w:r w:rsidRPr="00F85C1C">
        <w:t xml:space="preserve">Although the aetiology of </w:t>
      </w:r>
      <w:r w:rsidR="00F85C1C">
        <w:t>MS</w:t>
      </w:r>
      <w:r w:rsidRPr="00F85C1C">
        <w:t xml:space="preserve"> is unclear, it is assumed to be an autoimmune cellular process, possibly triggered by an infection in subjects with a genetic predisposition. The disease is characterised by acute inflammatory lesions, gliosis, demyelination, impaired re-myelination,</w:t>
      </w:r>
      <w:r w:rsidR="00F85C1C">
        <w:t xml:space="preserve"> and neuronal and axonal loss. </w:t>
      </w:r>
      <w:r w:rsidRPr="00F85C1C">
        <w:t>Relapses are ascribed to acute inflammatory lesions, and progression is ascribed to d</w:t>
      </w:r>
      <w:r w:rsidR="00F85C1C">
        <w:t>emyelination and neuronal loss.</w:t>
      </w:r>
    </w:p>
    <w:p w14:paraId="2D4574F7" w14:textId="77777777" w:rsidR="00150578" w:rsidRPr="00F85C1C" w:rsidRDefault="00150578" w:rsidP="00150578">
      <w:pPr>
        <w:pStyle w:val="BodyText"/>
        <w:spacing w:before="120"/>
        <w:ind w:right="834"/>
      </w:pPr>
      <w:r w:rsidRPr="00F85C1C">
        <w:t>SPMS presents with steady progression in disability</w:t>
      </w:r>
      <w:r w:rsidRPr="00F85C1C">
        <w:rPr>
          <w:i/>
        </w:rPr>
        <w:t xml:space="preserve">, </w:t>
      </w:r>
      <w:r w:rsidRPr="00F85C1C">
        <w:t>with fewer inflammatory episodes and more degenerative symptomatol</w:t>
      </w:r>
      <w:r w:rsidR="00BE5427">
        <w:t>ogy</w:t>
      </w:r>
      <w:r w:rsidR="007F41B8">
        <w:t xml:space="preserve"> that is,</w:t>
      </w:r>
      <w:r w:rsidRPr="00F85C1C">
        <w:t xml:space="preserve"> deterioration in the absence of relapses.</w:t>
      </w:r>
      <w:r w:rsidR="00BE5427">
        <w:fldChar w:fldCharType="begin"/>
      </w:r>
      <w:r w:rsidR="00BE5427">
        <w:instrText xml:space="preserve"> NOTEREF _Ref25221998 \f \h </w:instrText>
      </w:r>
      <w:r w:rsidR="00BE5427">
        <w:fldChar w:fldCharType="separate"/>
      </w:r>
      <w:r w:rsidR="00BE5427" w:rsidRPr="00BE5427">
        <w:rPr>
          <w:rStyle w:val="FootnoteReference"/>
        </w:rPr>
        <w:t>1</w:t>
      </w:r>
      <w:r w:rsidR="00BE5427">
        <w:fldChar w:fldCharType="end"/>
      </w:r>
      <w:r w:rsidR="00BE5427">
        <w:t xml:space="preserve"> </w:t>
      </w:r>
      <w:r w:rsidR="00BE5427">
        <w:fldChar w:fldCharType="begin"/>
      </w:r>
      <w:r w:rsidR="00BE5427">
        <w:instrText xml:space="preserve"> NOTEREF _Ref25221999 \f \h </w:instrText>
      </w:r>
      <w:r w:rsidR="00BE5427">
        <w:fldChar w:fldCharType="separate"/>
      </w:r>
      <w:r w:rsidR="00BE5427" w:rsidRPr="00BE5427">
        <w:rPr>
          <w:rStyle w:val="FootnoteReference"/>
        </w:rPr>
        <w:t>2</w:t>
      </w:r>
      <w:r w:rsidR="00BE5427">
        <w:fldChar w:fldCharType="end"/>
      </w:r>
    </w:p>
    <w:p w14:paraId="5CA4F2A8" w14:textId="77777777" w:rsidR="00150578" w:rsidRPr="00F85C1C" w:rsidRDefault="00150578" w:rsidP="00150578">
      <w:pPr>
        <w:pStyle w:val="BodyText"/>
        <w:spacing w:before="120"/>
        <w:ind w:right="-2"/>
      </w:pPr>
      <w:r w:rsidRPr="00F85C1C">
        <w:t>Patients with SPMS are characterised by reduced ambulation, bulbar dysfunction, visual impairment, impaired arm function, fatigue, pain, depression and loss of sphincter control. Cognitive impairment and reduced cognitive processing speed are als</w:t>
      </w:r>
      <w:r w:rsidR="00F85C1C">
        <w:t>o common.</w:t>
      </w:r>
      <w:r w:rsidR="00BE5427">
        <w:fldChar w:fldCharType="begin"/>
      </w:r>
      <w:r w:rsidR="00BE5427">
        <w:instrText xml:space="preserve"> NOTEREF _Ref25222015 \f \h </w:instrText>
      </w:r>
      <w:r w:rsidR="00BE5427">
        <w:fldChar w:fldCharType="separate"/>
      </w:r>
      <w:r w:rsidR="00BE5427" w:rsidRPr="00BE5427">
        <w:rPr>
          <w:rStyle w:val="FootnoteReference"/>
        </w:rPr>
        <w:t>3</w:t>
      </w:r>
      <w:r w:rsidR="00BE5427">
        <w:fldChar w:fldCharType="end"/>
      </w:r>
    </w:p>
    <w:p w14:paraId="3EFE0972" w14:textId="76326F45" w:rsidR="00150578" w:rsidRPr="00767EF1" w:rsidRDefault="00150578" w:rsidP="00150578">
      <w:pPr>
        <w:pStyle w:val="BodyText"/>
        <w:spacing w:before="120"/>
        <w:ind w:right="140"/>
        <w:rPr>
          <w:vertAlign w:val="superscript"/>
        </w:rPr>
      </w:pPr>
      <w:r w:rsidRPr="00F85C1C">
        <w:t xml:space="preserve">The diagnosis of SPMS is made retrospectively based on evidence that disability progression has occurred independently of relapses, although some relapses may </w:t>
      </w:r>
      <w:r w:rsidRPr="00F85C1C">
        <w:lastRenderedPageBreak/>
        <w:t>continue to be experienced.</w:t>
      </w:r>
      <w:r w:rsidR="00BE5427" w:rsidRPr="00767EF1">
        <w:rPr>
          <w:vertAlign w:val="superscript"/>
        </w:rPr>
        <w:fldChar w:fldCharType="begin"/>
      </w:r>
      <w:r w:rsidR="00BE5427" w:rsidRPr="00767EF1">
        <w:rPr>
          <w:vertAlign w:val="superscript"/>
        </w:rPr>
        <w:instrText xml:space="preserve"> NOTEREF _Ref25222027 \f \h </w:instrText>
      </w:r>
      <w:r w:rsidR="006375D6" w:rsidRPr="006375D6">
        <w:rPr>
          <w:vertAlign w:val="superscript"/>
        </w:rPr>
        <w:instrText xml:space="preserve"> \* MERGEFORMAT </w:instrText>
      </w:r>
      <w:r w:rsidR="00BE5427" w:rsidRPr="00767EF1">
        <w:rPr>
          <w:vertAlign w:val="superscript"/>
        </w:rPr>
      </w:r>
      <w:r w:rsidR="00BE5427" w:rsidRPr="00767EF1">
        <w:rPr>
          <w:vertAlign w:val="superscript"/>
        </w:rPr>
        <w:fldChar w:fldCharType="separate"/>
      </w:r>
      <w:r w:rsidR="00BE5427" w:rsidRPr="006375D6">
        <w:rPr>
          <w:rStyle w:val="FootnoteReference"/>
        </w:rPr>
        <w:t>4</w:t>
      </w:r>
      <w:r w:rsidR="00BE5427" w:rsidRPr="00767EF1">
        <w:rPr>
          <w:vertAlign w:val="superscript"/>
        </w:rPr>
        <w:fldChar w:fldCharType="end"/>
      </w:r>
      <w:r w:rsidR="006375D6" w:rsidRPr="00767EF1">
        <w:rPr>
          <w:vertAlign w:val="superscript"/>
        </w:rPr>
        <w:t>,</w:t>
      </w:r>
      <w:r w:rsidR="00BE5427" w:rsidRPr="00767EF1">
        <w:rPr>
          <w:vertAlign w:val="superscript"/>
        </w:rPr>
        <w:fldChar w:fldCharType="begin"/>
      </w:r>
      <w:r w:rsidR="00BE5427" w:rsidRPr="00767EF1">
        <w:rPr>
          <w:vertAlign w:val="superscript"/>
        </w:rPr>
        <w:instrText xml:space="preserve"> NOTEREF _Ref25222029 \f \h </w:instrText>
      </w:r>
      <w:r w:rsidR="006375D6" w:rsidRPr="006375D6">
        <w:rPr>
          <w:vertAlign w:val="superscript"/>
        </w:rPr>
        <w:instrText xml:space="preserve"> \* MERGEFORMAT </w:instrText>
      </w:r>
      <w:r w:rsidR="00BE5427" w:rsidRPr="00767EF1">
        <w:rPr>
          <w:vertAlign w:val="superscript"/>
        </w:rPr>
      </w:r>
      <w:r w:rsidR="00BE5427" w:rsidRPr="00767EF1">
        <w:rPr>
          <w:vertAlign w:val="superscript"/>
        </w:rPr>
        <w:fldChar w:fldCharType="separate"/>
      </w:r>
      <w:r w:rsidR="00BE5427" w:rsidRPr="006375D6">
        <w:rPr>
          <w:rStyle w:val="FootnoteReference"/>
        </w:rPr>
        <w:t>5</w:t>
      </w:r>
      <w:r w:rsidR="00BE5427" w:rsidRPr="00767EF1">
        <w:rPr>
          <w:vertAlign w:val="superscript"/>
        </w:rPr>
        <w:fldChar w:fldCharType="end"/>
      </w:r>
      <w:r w:rsidR="006375D6" w:rsidRPr="00767EF1">
        <w:rPr>
          <w:vertAlign w:val="superscript"/>
        </w:rPr>
        <w:t>,</w:t>
      </w:r>
      <w:r w:rsidR="00BE5427" w:rsidRPr="00767EF1">
        <w:rPr>
          <w:vertAlign w:val="superscript"/>
        </w:rPr>
        <w:fldChar w:fldCharType="begin"/>
      </w:r>
      <w:r w:rsidR="00BE5427" w:rsidRPr="00767EF1">
        <w:rPr>
          <w:vertAlign w:val="superscript"/>
        </w:rPr>
        <w:instrText xml:space="preserve"> NOTEREF _Ref25222031 \f \h </w:instrText>
      </w:r>
      <w:r w:rsidR="006375D6" w:rsidRPr="006375D6">
        <w:rPr>
          <w:vertAlign w:val="superscript"/>
        </w:rPr>
        <w:instrText xml:space="preserve"> \* MERGEFORMAT </w:instrText>
      </w:r>
      <w:r w:rsidR="00BE5427" w:rsidRPr="00767EF1">
        <w:rPr>
          <w:vertAlign w:val="superscript"/>
        </w:rPr>
      </w:r>
      <w:r w:rsidR="00BE5427" w:rsidRPr="00767EF1">
        <w:rPr>
          <w:vertAlign w:val="superscript"/>
        </w:rPr>
        <w:fldChar w:fldCharType="separate"/>
      </w:r>
      <w:r w:rsidR="00BE5427" w:rsidRPr="006375D6">
        <w:rPr>
          <w:rStyle w:val="FootnoteReference"/>
        </w:rPr>
        <w:t>6</w:t>
      </w:r>
      <w:r w:rsidR="00BE5427" w:rsidRPr="00767EF1">
        <w:rPr>
          <w:vertAlign w:val="superscript"/>
        </w:rPr>
        <w:fldChar w:fldCharType="end"/>
      </w:r>
      <w:r w:rsidR="006375D6" w:rsidRPr="00767EF1">
        <w:rPr>
          <w:vertAlign w:val="superscript"/>
        </w:rPr>
        <w:t>,</w:t>
      </w:r>
      <w:r w:rsidR="00BE5427" w:rsidRPr="00767EF1">
        <w:rPr>
          <w:vertAlign w:val="superscript"/>
        </w:rPr>
        <w:fldChar w:fldCharType="begin"/>
      </w:r>
      <w:r w:rsidR="00BE5427" w:rsidRPr="00767EF1">
        <w:rPr>
          <w:vertAlign w:val="superscript"/>
        </w:rPr>
        <w:instrText xml:space="preserve"> NOTEREF _Ref25222032 \f \h </w:instrText>
      </w:r>
      <w:r w:rsidR="006375D6" w:rsidRPr="006375D6">
        <w:rPr>
          <w:vertAlign w:val="superscript"/>
        </w:rPr>
        <w:instrText xml:space="preserve"> \* MERGEFORMAT </w:instrText>
      </w:r>
      <w:r w:rsidR="00BE5427" w:rsidRPr="00767EF1">
        <w:rPr>
          <w:vertAlign w:val="superscript"/>
        </w:rPr>
      </w:r>
      <w:r w:rsidR="00BE5427" w:rsidRPr="00767EF1">
        <w:rPr>
          <w:vertAlign w:val="superscript"/>
        </w:rPr>
        <w:fldChar w:fldCharType="separate"/>
      </w:r>
      <w:r w:rsidR="00BE5427" w:rsidRPr="006375D6">
        <w:rPr>
          <w:rStyle w:val="FootnoteReference"/>
        </w:rPr>
        <w:t>7</w:t>
      </w:r>
      <w:r w:rsidR="00BE5427" w:rsidRPr="00767EF1">
        <w:rPr>
          <w:vertAlign w:val="superscript"/>
        </w:rPr>
        <w:fldChar w:fldCharType="end"/>
      </w:r>
    </w:p>
    <w:p w14:paraId="32BD4244" w14:textId="319B84F5" w:rsidR="00150578" w:rsidRPr="00F85C1C" w:rsidRDefault="007F41B8" w:rsidP="00150578">
      <w:pPr>
        <w:pStyle w:val="BodyText"/>
        <w:spacing w:before="120"/>
        <w:ind w:right="726"/>
      </w:pPr>
      <w:proofErr w:type="spellStart"/>
      <w:r>
        <w:t>Gilenya</w:t>
      </w:r>
      <w:proofErr w:type="spellEnd"/>
      <w:r>
        <w:t xml:space="preserve"> (</w:t>
      </w:r>
      <w:proofErr w:type="spellStart"/>
      <w:r>
        <w:t>f</w:t>
      </w:r>
      <w:r w:rsidR="00150578" w:rsidRPr="00F85C1C">
        <w:t>ingolimod</w:t>
      </w:r>
      <w:proofErr w:type="spellEnd"/>
      <w:r w:rsidR="00150578" w:rsidRPr="00F85C1C">
        <w:t>) is the first of the class of oral S1P receptor modulators, acting on lymphocytes which destroy the myelin sheath and, which</w:t>
      </w:r>
      <w:r w:rsidR="00B25E31">
        <w:t>, at the time this submission was under consideration,</w:t>
      </w:r>
      <w:r w:rsidR="00150578" w:rsidRPr="00F85C1C">
        <w:t xml:space="preserve"> ha</w:t>
      </w:r>
      <w:r w:rsidR="00B25E31">
        <w:t>d</w:t>
      </w:r>
      <w:r w:rsidR="00150578" w:rsidRPr="00F85C1C">
        <w:t xml:space="preserve"> ARTG approval for </w:t>
      </w:r>
      <w:r w:rsidR="00B25E31" w:rsidRPr="00F85C1C">
        <w:t>use in patients with SPMS to delay the progression of physical disability.</w:t>
      </w:r>
      <w:r w:rsidR="00B25E31">
        <w:t xml:space="preserve"> </w:t>
      </w:r>
      <w:r w:rsidR="00B25E31">
        <w:fldChar w:fldCharType="begin"/>
      </w:r>
      <w:r w:rsidR="00B25E31">
        <w:instrText xml:space="preserve"> NOTEREF _Ref25754790 \f \h </w:instrText>
      </w:r>
      <w:r w:rsidR="00B25E31">
        <w:fldChar w:fldCharType="separate"/>
      </w:r>
      <w:r w:rsidR="00B25E31" w:rsidRPr="00767EF1">
        <w:rPr>
          <w:rStyle w:val="FootnoteReference"/>
        </w:rPr>
        <w:t>13</w:t>
      </w:r>
      <w:r w:rsidR="00B25E31">
        <w:fldChar w:fldCharType="end"/>
      </w:r>
    </w:p>
    <w:p w14:paraId="21A3FB1A" w14:textId="77777777" w:rsidR="007F41B8" w:rsidRDefault="007F41B8" w:rsidP="00150578">
      <w:pPr>
        <w:pStyle w:val="BodyText"/>
        <w:spacing w:before="116"/>
        <w:ind w:right="-2"/>
      </w:pPr>
      <w:r>
        <w:t>Mayzent (</w:t>
      </w:r>
      <w:proofErr w:type="spellStart"/>
      <w:r>
        <w:t>s</w:t>
      </w:r>
      <w:r w:rsidR="00150578" w:rsidRPr="00F85C1C">
        <w:t>iponimod</w:t>
      </w:r>
      <w:proofErr w:type="spellEnd"/>
      <w:r w:rsidR="00150578" w:rsidRPr="00F85C1C">
        <w:t xml:space="preserve">) is an orally active selective inhibitor of S1P1 and S1P5 receptors on lymphocytes, inhibiting </w:t>
      </w:r>
      <w:r w:rsidR="00150578" w:rsidRPr="00F85C1C">
        <w:rPr>
          <w:rFonts w:asciiTheme="minorHAnsi" w:hAnsiTheme="minorHAnsi" w:cs="Arial"/>
          <w:color w:val="222222"/>
        </w:rPr>
        <w:t>the migration of lymphocytes to the location of the inflammation in MS</w:t>
      </w:r>
      <w:r>
        <w:rPr>
          <w:rFonts w:asciiTheme="minorHAnsi" w:hAnsiTheme="minorHAnsi" w:cs="Arial"/>
          <w:color w:val="222222"/>
        </w:rPr>
        <w:t xml:space="preserve">. Like </w:t>
      </w:r>
      <w:proofErr w:type="spellStart"/>
      <w:r>
        <w:rPr>
          <w:rFonts w:asciiTheme="minorHAnsi" w:hAnsiTheme="minorHAnsi" w:cs="Arial"/>
          <w:color w:val="222222"/>
        </w:rPr>
        <w:t>fingolimod</w:t>
      </w:r>
      <w:proofErr w:type="spellEnd"/>
      <w:r>
        <w:rPr>
          <w:rFonts w:asciiTheme="minorHAnsi" w:hAnsiTheme="minorHAnsi" w:cs="Arial"/>
          <w:color w:val="222222"/>
        </w:rPr>
        <w:t xml:space="preserve">, </w:t>
      </w:r>
      <w:proofErr w:type="spellStart"/>
      <w:r>
        <w:rPr>
          <w:rFonts w:asciiTheme="minorHAnsi" w:hAnsiTheme="minorHAnsi" w:cs="Arial"/>
          <w:color w:val="222222"/>
        </w:rPr>
        <w:t>s</w:t>
      </w:r>
      <w:r w:rsidR="00150578" w:rsidRPr="00F85C1C">
        <w:t>iponimod</w:t>
      </w:r>
      <w:proofErr w:type="spellEnd"/>
      <w:r w:rsidR="00150578" w:rsidRPr="00F85C1C">
        <w:t xml:space="preserve"> is being </w:t>
      </w:r>
      <w:r>
        <w:t>proposed for the indication of:</w:t>
      </w:r>
    </w:p>
    <w:p w14:paraId="2AE4EA77" w14:textId="77777777" w:rsidR="00150578" w:rsidRPr="007F41B8" w:rsidRDefault="007F41B8" w:rsidP="007F41B8">
      <w:pPr>
        <w:pStyle w:val="BodyText"/>
        <w:spacing w:before="116"/>
        <w:ind w:left="720" w:right="-2"/>
        <w:rPr>
          <w:i/>
        </w:rPr>
      </w:pPr>
      <w:r w:rsidRPr="007F41B8">
        <w:rPr>
          <w:i/>
        </w:rPr>
        <w:t xml:space="preserve">[…] </w:t>
      </w:r>
      <w:r w:rsidR="00150578" w:rsidRPr="007F41B8">
        <w:rPr>
          <w:i/>
        </w:rPr>
        <w:t>treatment of patients with secondary progre</w:t>
      </w:r>
      <w:r w:rsidRPr="007F41B8">
        <w:rPr>
          <w:i/>
        </w:rPr>
        <w:t>ssive multiple sclerosis (SPMS)</w:t>
      </w:r>
      <w:r w:rsidR="00150578" w:rsidRPr="007F41B8">
        <w:rPr>
          <w:i/>
        </w:rPr>
        <w:t>.</w:t>
      </w:r>
    </w:p>
    <w:p w14:paraId="2B039ECA" w14:textId="77777777" w:rsidR="00150578" w:rsidRPr="00F85C1C" w:rsidRDefault="00150578" w:rsidP="00150578">
      <w:r w:rsidRPr="00F85C1C">
        <w:t>As previously stated, the pivotal study design was consistent with the EMA guideline published at the time</w:t>
      </w:r>
      <w:r w:rsidR="00BE5427">
        <w:t>;</w:t>
      </w:r>
      <w:r w:rsidR="00BE5427">
        <w:fldChar w:fldCharType="begin"/>
      </w:r>
      <w:r w:rsidR="00BE5427">
        <w:instrText xml:space="preserve"> NOTEREF _Ref25221367 \f \h </w:instrText>
      </w:r>
      <w:r w:rsidR="00BE5427">
        <w:fldChar w:fldCharType="separate"/>
      </w:r>
      <w:r w:rsidR="00BE5427" w:rsidRPr="00BE5427">
        <w:rPr>
          <w:rStyle w:val="FootnoteReference"/>
        </w:rPr>
        <w:t>9</w:t>
      </w:r>
      <w:r w:rsidR="00BE5427">
        <w:fldChar w:fldCharType="end"/>
      </w:r>
      <w:r w:rsidRPr="00F85C1C">
        <w:t xml:space="preserve"> and the population of ambulatory SPMS patients was similar to populations in other SPMS trials. Although the primary</w:t>
      </w:r>
      <w:r w:rsidR="00BE5427">
        <w:t xml:space="preserve"> efficacy endpoint of time to 3 </w:t>
      </w:r>
      <w:r w:rsidRPr="00F85C1C">
        <w:t>month CDP based on EDSS chosen for the pivotal study, h</w:t>
      </w:r>
      <w:r w:rsidR="00BE5427">
        <w:t xml:space="preserve">ad been superseded by time to 6 </w:t>
      </w:r>
      <w:r w:rsidRPr="00F85C1C">
        <w:t>month CDP in the updated guideline, the latter was however a pre-defined secondary endpoint in the study. The result finding of 25.</w:t>
      </w:r>
      <w:r w:rsidR="00BE5427">
        <w:t xml:space="preserve">9% risk reduction in favour of </w:t>
      </w:r>
      <w:proofErr w:type="spellStart"/>
      <w:r w:rsidR="00BE5427">
        <w:t>s</w:t>
      </w:r>
      <w:r w:rsidRPr="00F85C1C">
        <w:t>iponimod</w:t>
      </w:r>
      <w:proofErr w:type="spellEnd"/>
      <w:r w:rsidRPr="00F85C1C">
        <w:t xml:space="preserve"> was consistent,</w:t>
      </w:r>
      <w:r w:rsidR="007F41B8">
        <w:t xml:space="preserve"> with the 3 </w:t>
      </w:r>
      <w:r w:rsidRPr="00F85C1C">
        <w:t>month CDP analysis of 21.2% risk re</w:t>
      </w:r>
      <w:r w:rsidR="00BE5427">
        <w:t xml:space="preserve">duction in favour of </w:t>
      </w:r>
      <w:proofErr w:type="spellStart"/>
      <w:r w:rsidR="00BE5427">
        <w:t>siponimod</w:t>
      </w:r>
      <w:proofErr w:type="spellEnd"/>
      <w:r w:rsidR="00BE5427">
        <w:t>.</w:t>
      </w:r>
    </w:p>
    <w:p w14:paraId="44EF70C4" w14:textId="77777777" w:rsidR="00150578" w:rsidRPr="00F85C1C" w:rsidRDefault="00150578" w:rsidP="00150578">
      <w:pPr>
        <w:rPr>
          <w:rFonts w:asciiTheme="minorHAnsi" w:hAnsiTheme="minorHAnsi" w:cstheme="minorHAnsi"/>
        </w:rPr>
      </w:pPr>
      <w:r w:rsidRPr="00F85C1C">
        <w:t xml:space="preserve">The primary efficacy outcomes were supported by sensitivity analyses and were consistent in key subgroups. Relapses </w:t>
      </w:r>
      <w:r w:rsidR="00BE5427">
        <w:t xml:space="preserve">were reported less commonly in </w:t>
      </w:r>
      <w:proofErr w:type="spellStart"/>
      <w:r w:rsidR="00BE5427">
        <w:t>s</w:t>
      </w:r>
      <w:r w:rsidRPr="00F85C1C">
        <w:t>iponimod</w:t>
      </w:r>
      <w:proofErr w:type="spellEnd"/>
      <w:r w:rsidRPr="00F85C1C">
        <w:t xml:space="preserve"> patients compared with placebo and, clinical outcomes were comparable in SPMS patients with or without superimposed relapses. </w:t>
      </w:r>
      <w:r w:rsidR="00BE5427">
        <w:rPr>
          <w:rFonts w:asciiTheme="minorHAnsi" w:hAnsiTheme="minorHAnsi" w:cstheme="minorHAnsi"/>
        </w:rPr>
        <w:t xml:space="preserve">The benefit in 3 </w:t>
      </w:r>
      <w:r w:rsidRPr="00F85C1C">
        <w:rPr>
          <w:rFonts w:asciiTheme="minorHAnsi" w:hAnsiTheme="minorHAnsi" w:cstheme="minorHAnsi"/>
        </w:rPr>
        <w:t>month CDP was higher in relapsing patients (HR 0.85) than in non-relapsing patients (HR 0.87). The benefit in 6-month CDP was also higher in relapsing patients (HR 0.76) than in non-relapsing patients (HR 0.82).</w:t>
      </w:r>
    </w:p>
    <w:p w14:paraId="30C5F0B0" w14:textId="559EE8F9" w:rsidR="00150578" w:rsidRPr="00F85C1C" w:rsidRDefault="00150578" w:rsidP="00150578">
      <w:pPr>
        <w:rPr>
          <w:rFonts w:ascii="Verdana" w:eastAsiaTheme="minorHAnsi" w:hAnsi="Verdana" w:cs="Verdana"/>
          <w:color w:val="000000"/>
          <w:sz w:val="18"/>
          <w:szCs w:val="18"/>
        </w:rPr>
      </w:pPr>
      <w:r w:rsidRPr="00F85C1C">
        <w:t xml:space="preserve">These positive outcomes were supported by a </w:t>
      </w:r>
      <w:r w:rsidR="00BE5427">
        <w:t xml:space="preserve">treatment benefit in favour of </w:t>
      </w:r>
      <w:proofErr w:type="spellStart"/>
      <w:r w:rsidR="00BE5427">
        <w:t>s</w:t>
      </w:r>
      <w:r w:rsidRPr="00F85C1C">
        <w:t>iponimod</w:t>
      </w:r>
      <w:proofErr w:type="spellEnd"/>
      <w:r w:rsidRPr="00F85C1C">
        <w:t xml:space="preserve"> compared with placebo for MRI secondary and exploratory endpoints, and for cognitive function. There was only a </w:t>
      </w:r>
      <w:r w:rsidRPr="00BE5427">
        <w:t>6.2%</w:t>
      </w:r>
      <w:r w:rsidRPr="00F85C1C">
        <w:t xml:space="preserve"> </w:t>
      </w:r>
      <w:r w:rsidR="00BE5427">
        <w:t xml:space="preserve">benefit in favour of </w:t>
      </w:r>
      <w:proofErr w:type="spellStart"/>
      <w:r w:rsidR="00BE5427">
        <w:t>s</w:t>
      </w:r>
      <w:r w:rsidRPr="00F85C1C">
        <w:t>iponimod</w:t>
      </w:r>
      <w:proofErr w:type="spellEnd"/>
      <w:r w:rsidRPr="00F85C1C">
        <w:t xml:space="preserve"> compared with placebo for </w:t>
      </w:r>
      <w:r w:rsidR="006375D6">
        <w:t xml:space="preserve">the </w:t>
      </w:r>
      <w:r w:rsidRPr="00F85C1C">
        <w:t>T25W</w:t>
      </w:r>
      <w:r w:rsidR="006375D6">
        <w:t xml:space="preserve"> test</w:t>
      </w:r>
      <w:r w:rsidRPr="00F85C1C">
        <w:t>. However, this negative outcome does not necessarily invalidate the overal</w:t>
      </w:r>
      <w:r w:rsidR="00BE5427">
        <w:t xml:space="preserve">l positive efficacy outcome of </w:t>
      </w:r>
      <w:proofErr w:type="spellStart"/>
      <w:r w:rsidR="00BE5427">
        <w:t>s</w:t>
      </w:r>
      <w:r w:rsidRPr="00F85C1C">
        <w:t>iponimod</w:t>
      </w:r>
      <w:proofErr w:type="spellEnd"/>
      <w:r w:rsidRPr="00F85C1C">
        <w:t xml:space="preserve"> over placebo, in SPMS management over 48</w:t>
      </w:r>
      <w:r w:rsidR="006375D6">
        <w:t> </w:t>
      </w:r>
      <w:r w:rsidRPr="00F85C1C">
        <w:t>months.</w:t>
      </w:r>
    </w:p>
    <w:p w14:paraId="34AF4F7A" w14:textId="77777777" w:rsidR="00150578" w:rsidRPr="00F85C1C" w:rsidRDefault="00150578" w:rsidP="00150578">
      <w:r w:rsidRPr="00F85C1C">
        <w:t>Although the su</w:t>
      </w:r>
      <w:r w:rsidR="007F41B8">
        <w:t>bmission is based on the Phase III S</w:t>
      </w:r>
      <w:r w:rsidRPr="00F85C1C">
        <w:t>tudy A2304 in patients with the target indication of SPMS, a supportive P</w:t>
      </w:r>
      <w:r w:rsidR="007F41B8">
        <w:t>hase II</w:t>
      </w:r>
      <w:r w:rsidR="00BE5427">
        <w:t xml:space="preserve">, dose </w:t>
      </w:r>
      <w:r w:rsidRPr="00F85C1C">
        <w:t>ranging study (</w:t>
      </w:r>
      <w:r w:rsidR="007F41B8">
        <w:t xml:space="preserve">Study </w:t>
      </w:r>
      <w:r w:rsidRPr="00F85C1C">
        <w:t>A2201) was conducted in RRMS patients. The selected dose of 2 mg daily from that study is considered appropriate, despite the different patient population and efficacy endpoints. Do</w:t>
      </w:r>
      <w:r w:rsidR="00BE5427">
        <w:t xml:space="preserve">se </w:t>
      </w:r>
      <w:r w:rsidRPr="00F85C1C">
        <w:t>ranging studies in SPMS patients are not feasible due to slow disease progression and the lack of predictive biomarkers. SPMS studies are often retrospective as the primary efficacy parameter in confirmatory trials, should be a clinically measured prevention or delay of the disability progression. Fo</w:t>
      </w:r>
      <w:r w:rsidR="00BE5427">
        <w:t xml:space="preserve">r an SPMS indication, a relapse </w:t>
      </w:r>
      <w:r w:rsidRPr="00F85C1C">
        <w:t xml:space="preserve">based primary endpoint cannot be taken as a surrogate for disability progression. </w:t>
      </w:r>
    </w:p>
    <w:p w14:paraId="4488D65C" w14:textId="2A7B6152" w:rsidR="00150578" w:rsidRPr="00F85C1C" w:rsidRDefault="00150578" w:rsidP="00150578">
      <w:r w:rsidRPr="00F85C1C">
        <w:t xml:space="preserve">According to the </w:t>
      </w:r>
      <w:r w:rsidRPr="00F85C1C">
        <w:rPr>
          <w:rFonts w:asciiTheme="minorHAnsi" w:eastAsiaTheme="minorHAnsi" w:hAnsiTheme="minorHAnsi" w:cs="Verdana"/>
        </w:rPr>
        <w:t>revised McDonald’s criteria (2010)</w:t>
      </w:r>
      <w:r w:rsidR="006375D6">
        <w:rPr>
          <w:rFonts w:asciiTheme="minorHAnsi" w:eastAsiaTheme="minorHAnsi" w:hAnsiTheme="minorHAnsi" w:cs="Verdana"/>
        </w:rPr>
        <w:t>;</w:t>
      </w:r>
      <w:r w:rsidR="00BE5427">
        <w:rPr>
          <w:rFonts w:asciiTheme="minorHAnsi" w:eastAsiaTheme="minorHAnsi" w:hAnsiTheme="minorHAnsi" w:cs="Verdana"/>
        </w:rPr>
        <w:fldChar w:fldCharType="begin"/>
      </w:r>
      <w:r w:rsidR="00BE5427">
        <w:rPr>
          <w:rFonts w:asciiTheme="minorHAnsi" w:eastAsiaTheme="minorHAnsi" w:hAnsiTheme="minorHAnsi" w:cs="Verdana"/>
        </w:rPr>
        <w:instrText xml:space="preserve"> NOTEREF _Ref25222161 \f \h </w:instrText>
      </w:r>
      <w:r w:rsidR="00BE5427">
        <w:rPr>
          <w:rFonts w:asciiTheme="minorHAnsi" w:eastAsiaTheme="minorHAnsi" w:hAnsiTheme="minorHAnsi" w:cs="Verdana"/>
        </w:rPr>
      </w:r>
      <w:r w:rsidR="00BE5427">
        <w:rPr>
          <w:rFonts w:asciiTheme="minorHAnsi" w:eastAsiaTheme="minorHAnsi" w:hAnsiTheme="minorHAnsi" w:cs="Verdana"/>
        </w:rPr>
        <w:fldChar w:fldCharType="separate"/>
      </w:r>
      <w:r w:rsidR="00BE5427" w:rsidRPr="00BE5427">
        <w:rPr>
          <w:rStyle w:val="FootnoteReference"/>
        </w:rPr>
        <w:t>11</w:t>
      </w:r>
      <w:r w:rsidR="00BE5427">
        <w:rPr>
          <w:rFonts w:asciiTheme="minorHAnsi" w:eastAsiaTheme="minorHAnsi" w:hAnsiTheme="minorHAnsi" w:cs="Verdana"/>
        </w:rPr>
        <w:fldChar w:fldCharType="end"/>
      </w:r>
      <w:r w:rsidRPr="00F85C1C">
        <w:rPr>
          <w:rFonts w:asciiTheme="minorHAnsi" w:eastAsiaTheme="minorHAnsi" w:hAnsiTheme="minorHAnsi" w:cs="Verdana"/>
        </w:rPr>
        <w:t xml:space="preserve"> it</w:t>
      </w:r>
      <w:r w:rsidRPr="00F85C1C">
        <w:t xml:space="preserve"> is also highly desirable to evaluate if the effect on prog</w:t>
      </w:r>
      <w:r w:rsidR="00BE5427">
        <w:t>ression is maintained on a long term basis which may need 5 </w:t>
      </w:r>
      <w:r w:rsidRPr="00F85C1C">
        <w:t xml:space="preserve">years or even longer follow-up. As these data might be generated post-approval, the </w:t>
      </w:r>
      <w:r w:rsidR="00BE5427">
        <w:t>EP</w:t>
      </w:r>
      <w:r w:rsidRPr="00F85C1C">
        <w:t xml:space="preserve"> data on efficacy and safety should be submitted to the TGA when available, t</w:t>
      </w:r>
      <w:r w:rsidR="007F41B8">
        <w:t xml:space="preserve">o justify the prolonged use of </w:t>
      </w:r>
      <w:proofErr w:type="spellStart"/>
      <w:r w:rsidR="007F41B8">
        <w:t>s</w:t>
      </w:r>
      <w:r w:rsidRPr="00F85C1C">
        <w:t>iponimod</w:t>
      </w:r>
      <w:proofErr w:type="spellEnd"/>
      <w:r w:rsidRPr="00F85C1C">
        <w:t xml:space="preserve"> in clinical practice.</w:t>
      </w:r>
    </w:p>
    <w:p w14:paraId="5094557F" w14:textId="543C1F0A" w:rsidR="00150578" w:rsidRPr="00F85C1C" w:rsidRDefault="00BE5427" w:rsidP="00150578">
      <w:r>
        <w:t xml:space="preserve">Regarding safety, </w:t>
      </w:r>
      <w:proofErr w:type="spellStart"/>
      <w:r>
        <w:t>s</w:t>
      </w:r>
      <w:r w:rsidR="00150578" w:rsidRPr="00F85C1C">
        <w:t>iponimod</w:t>
      </w:r>
      <w:proofErr w:type="spellEnd"/>
      <w:r w:rsidR="00150578" w:rsidRPr="00F85C1C">
        <w:t xml:space="preserve"> was well tolerated. The safety profile was comparable to the first i</w:t>
      </w:r>
      <w:r w:rsidR="007F41B8">
        <w:t xml:space="preserve">n class S1P receptor inhibitor </w:t>
      </w:r>
      <w:proofErr w:type="spellStart"/>
      <w:r w:rsidR="007F41B8">
        <w:t>f</w:t>
      </w:r>
      <w:r w:rsidR="00150578" w:rsidRPr="00F85C1C">
        <w:t>ingolimod</w:t>
      </w:r>
      <w:proofErr w:type="spellEnd"/>
      <w:r w:rsidR="00150578" w:rsidRPr="00F85C1C">
        <w:t xml:space="preserve"> (</w:t>
      </w:r>
      <w:proofErr w:type="spellStart"/>
      <w:r w:rsidR="00150578" w:rsidRPr="00F85C1C">
        <w:t>Gilenya</w:t>
      </w:r>
      <w:proofErr w:type="spellEnd"/>
      <w:r w:rsidR="00150578" w:rsidRPr="00F85C1C">
        <w:t xml:space="preserve">) which </w:t>
      </w:r>
      <w:r w:rsidR="00832DF7">
        <w:t>wa</w:t>
      </w:r>
      <w:r w:rsidR="00150578" w:rsidRPr="00F85C1C">
        <w:t>s approved</w:t>
      </w:r>
      <w:r w:rsidR="007F41B8">
        <w:t xml:space="preserve"> for use in patients with SPMS.</w:t>
      </w:r>
    </w:p>
    <w:p w14:paraId="65A0CD50" w14:textId="77777777" w:rsidR="000309CC" w:rsidRDefault="000309CC" w:rsidP="000309CC">
      <w:pPr>
        <w:pStyle w:val="Heading6"/>
      </w:pPr>
      <w:r>
        <w:t>Proposed indication</w:t>
      </w:r>
    </w:p>
    <w:p w14:paraId="64F170A5" w14:textId="77777777" w:rsidR="00150578" w:rsidRPr="00F85C1C" w:rsidRDefault="00F85C1C" w:rsidP="00F85C1C">
      <w:r w:rsidRPr="00F85C1C">
        <w:t>A</w:t>
      </w:r>
      <w:r w:rsidR="00BE5427">
        <w:t>s per the sponsor, initial</w:t>
      </w:r>
      <w:r w:rsidR="00150578" w:rsidRPr="00F85C1C">
        <w:t>:</w:t>
      </w:r>
    </w:p>
    <w:p w14:paraId="1D7B4A14" w14:textId="77777777" w:rsidR="00150578" w:rsidRPr="00F85C1C" w:rsidRDefault="00BE5427" w:rsidP="00F85C1C">
      <w:pPr>
        <w:ind w:left="720"/>
        <w:rPr>
          <w:i/>
        </w:rPr>
      </w:pPr>
      <w:proofErr w:type="spellStart"/>
      <w:r>
        <w:rPr>
          <w:i/>
        </w:rPr>
        <w:lastRenderedPageBreak/>
        <w:t>Siponimod</w:t>
      </w:r>
      <w:proofErr w:type="spellEnd"/>
      <w:r>
        <w:rPr>
          <w:i/>
        </w:rPr>
        <w:t xml:space="preserve"> is indicated for </w:t>
      </w:r>
      <w:r w:rsidR="00150578" w:rsidRPr="00F85C1C">
        <w:rPr>
          <w:i/>
        </w:rPr>
        <w:t>the treatment of patients with secondary progres</w:t>
      </w:r>
      <w:r w:rsidR="00F85C1C" w:rsidRPr="00F85C1C">
        <w:rPr>
          <w:i/>
        </w:rPr>
        <w:t>sive multiple sclerosis (SPMS).</w:t>
      </w:r>
    </w:p>
    <w:p w14:paraId="1DD59678" w14:textId="77777777" w:rsidR="00150578" w:rsidRPr="00F85C1C" w:rsidRDefault="00F85C1C" w:rsidP="00F85C1C">
      <w:r w:rsidRPr="00F85C1C">
        <w:t>A</w:t>
      </w:r>
      <w:r w:rsidR="00150578" w:rsidRPr="00F85C1C">
        <w:t xml:space="preserve">s per the </w:t>
      </w:r>
      <w:r w:rsidRPr="00F85C1C">
        <w:t>clinical evaluator</w:t>
      </w:r>
      <w:r w:rsidR="00150578" w:rsidRPr="00F85C1C">
        <w:t xml:space="preserve">, acceptable to both the sponsor and </w:t>
      </w:r>
      <w:r>
        <w:t>D</w:t>
      </w:r>
      <w:r w:rsidR="00150578" w:rsidRPr="00F85C1C">
        <w:t>elegate):</w:t>
      </w:r>
    </w:p>
    <w:p w14:paraId="25FA2BB9" w14:textId="77777777" w:rsidR="00150578" w:rsidRPr="00F85C1C" w:rsidRDefault="00150578" w:rsidP="00F85C1C">
      <w:pPr>
        <w:ind w:left="720"/>
        <w:rPr>
          <w:i/>
        </w:rPr>
      </w:pPr>
      <w:proofErr w:type="spellStart"/>
      <w:r w:rsidRPr="00F85C1C">
        <w:rPr>
          <w:i/>
        </w:rPr>
        <w:t>Siponimod</w:t>
      </w:r>
      <w:proofErr w:type="spellEnd"/>
      <w:r w:rsidRPr="00F85C1C">
        <w:rPr>
          <w:i/>
        </w:rPr>
        <w:t xml:space="preserve"> i</w:t>
      </w:r>
      <w:r w:rsidR="00BE5427">
        <w:rPr>
          <w:i/>
        </w:rPr>
        <w:t xml:space="preserve">s indicated for </w:t>
      </w:r>
      <w:r w:rsidRPr="00F85C1C">
        <w:rPr>
          <w:i/>
        </w:rPr>
        <w:t>the treatment of adult patients with secondary progres</w:t>
      </w:r>
      <w:r w:rsidR="00F85C1C" w:rsidRPr="00F85C1C">
        <w:rPr>
          <w:i/>
        </w:rPr>
        <w:t>sive multiple sclerosis (SPMS).</w:t>
      </w:r>
    </w:p>
    <w:p w14:paraId="096C1F8B" w14:textId="77777777" w:rsidR="00150578" w:rsidRPr="00B003B7" w:rsidRDefault="00150578" w:rsidP="000309CC">
      <w:pPr>
        <w:pStyle w:val="Heading6"/>
      </w:pPr>
      <w:r w:rsidRPr="00B003B7">
        <w:t>Deficiencies of the data</w:t>
      </w:r>
    </w:p>
    <w:p w14:paraId="1402C7FA" w14:textId="77777777" w:rsidR="00150578" w:rsidRPr="001177C6" w:rsidRDefault="00150578" w:rsidP="000309CC">
      <w:r>
        <w:t xml:space="preserve">Lack of sufficient availability of EP data to properly ascertain </w:t>
      </w:r>
      <w:r w:rsidR="00BE5427">
        <w:t xml:space="preserve">prolonged use justification of </w:t>
      </w:r>
      <w:proofErr w:type="spellStart"/>
      <w:r w:rsidR="00BE5427">
        <w:t>s</w:t>
      </w:r>
      <w:r>
        <w:t>iponimod</w:t>
      </w:r>
      <w:proofErr w:type="spellEnd"/>
      <w:r>
        <w:t>, in terms of safety and efficac</w:t>
      </w:r>
      <w:r w:rsidR="000309CC">
        <w:t>y.</w:t>
      </w:r>
    </w:p>
    <w:p w14:paraId="49BE894D" w14:textId="77777777" w:rsidR="00150578" w:rsidRPr="00B003B7" w:rsidRDefault="007F41B8" w:rsidP="000309CC">
      <w:pPr>
        <w:pStyle w:val="Heading6"/>
      </w:pPr>
      <w:r>
        <w:t>Conditions of registration</w:t>
      </w:r>
    </w:p>
    <w:p w14:paraId="2DA633C1" w14:textId="77777777" w:rsidR="00150578" w:rsidRPr="000309CC" w:rsidRDefault="00150578" w:rsidP="000309CC">
      <w:r w:rsidRPr="003305EF">
        <w:t>Fulfilment of commitments by the sponsor prio</w:t>
      </w:r>
      <w:r w:rsidR="007F41B8">
        <w:t>r to product launch to the RMP’</w:t>
      </w:r>
      <w:r w:rsidRPr="003305EF">
        <w:t xml:space="preserve">s recommendations as suggested by the </w:t>
      </w:r>
      <w:r w:rsidR="00BE5427">
        <w:t>clinical evaluator</w:t>
      </w:r>
      <w:r w:rsidRPr="003305EF">
        <w:t xml:space="preserve">, regarding asthma as a risk factor and, specific inclusion of </w:t>
      </w:r>
      <w:proofErr w:type="spellStart"/>
      <w:r w:rsidRPr="003305EF">
        <w:t>phenoconversion</w:t>
      </w:r>
      <w:proofErr w:type="spellEnd"/>
      <w:r w:rsidRPr="003305EF">
        <w:t xml:space="preserve"> and monitoring in the educational materials proposed for the healthcare prescri</w:t>
      </w:r>
      <w:r w:rsidR="007F41B8">
        <w:t>bers, as mooted by the D</w:t>
      </w:r>
      <w:r w:rsidR="000309CC">
        <w:t>elegate</w:t>
      </w:r>
      <w:r w:rsidR="007F41B8">
        <w:t>.</w:t>
      </w:r>
    </w:p>
    <w:p w14:paraId="5C1C325A" w14:textId="77777777" w:rsidR="00150578" w:rsidRPr="00B003B7" w:rsidRDefault="007F41B8" w:rsidP="000309CC">
      <w:pPr>
        <w:pStyle w:val="Heading6"/>
      </w:pPr>
      <w:r>
        <w:t>Outstanding issue</w:t>
      </w:r>
    </w:p>
    <w:p w14:paraId="40C48C39" w14:textId="77777777" w:rsidR="00150578" w:rsidRPr="000309CC" w:rsidRDefault="00150578" w:rsidP="000309CC">
      <w:r w:rsidRPr="000309CC">
        <w:t>Fulfilment of the sponsor’s commitment to the RMP issues stated above, prior to the product launch.</w:t>
      </w:r>
    </w:p>
    <w:p w14:paraId="4F444544" w14:textId="77777777" w:rsidR="00150578" w:rsidRPr="000309CC" w:rsidRDefault="000309CC" w:rsidP="000309CC">
      <w:pPr>
        <w:pStyle w:val="Heading6"/>
      </w:pPr>
      <w:r>
        <w:t>Conclusion</w:t>
      </w:r>
    </w:p>
    <w:p w14:paraId="09222463" w14:textId="77777777" w:rsidR="00150578" w:rsidRPr="00915DF9" w:rsidRDefault="00150578" w:rsidP="000309CC">
      <w:r>
        <w:t>There is sufficient ef</w:t>
      </w:r>
      <w:r w:rsidR="007F41B8">
        <w:t xml:space="preserve">ficacy data that </w:t>
      </w:r>
      <w:proofErr w:type="spellStart"/>
      <w:r w:rsidR="007F41B8">
        <w:t>s</w:t>
      </w:r>
      <w:r>
        <w:t>iponimod</w:t>
      </w:r>
      <w:proofErr w:type="spellEnd"/>
      <w:r>
        <w:t xml:space="preserve"> is superior to placebo in the management of SPMS and, that it is satisfactorily tolerated.</w:t>
      </w:r>
    </w:p>
    <w:p w14:paraId="7DDAA5E7" w14:textId="77777777" w:rsidR="00150578" w:rsidRDefault="00150578" w:rsidP="00150578">
      <w:pPr>
        <w:pStyle w:val="Heading5"/>
      </w:pPr>
      <w:r>
        <w:t>Summary of issues</w:t>
      </w:r>
    </w:p>
    <w:p w14:paraId="481B9B1C" w14:textId="77777777" w:rsidR="00150578" w:rsidRPr="00F85C1C" w:rsidRDefault="00150578" w:rsidP="00F85C1C">
      <w:pPr>
        <w:pStyle w:val="ListBullet"/>
      </w:pPr>
      <w:r>
        <w:t>Sponsor’s agreed modification t</w:t>
      </w:r>
      <w:r w:rsidR="00F85C1C">
        <w:t>o the proposed indication from:</w:t>
      </w:r>
    </w:p>
    <w:p w14:paraId="661A5550" w14:textId="77777777" w:rsidR="00F85C1C" w:rsidRDefault="00F85C1C" w:rsidP="00F85C1C">
      <w:pPr>
        <w:pStyle w:val="ListBullet2"/>
      </w:pPr>
      <w:r w:rsidRPr="00F85C1C">
        <w:rPr>
          <w:i/>
        </w:rPr>
        <w:t>‘</w:t>
      </w:r>
      <w:proofErr w:type="spellStart"/>
      <w:r w:rsidR="000176AC">
        <w:rPr>
          <w:i/>
        </w:rPr>
        <w:t>Siponimod</w:t>
      </w:r>
      <w:proofErr w:type="spellEnd"/>
      <w:r w:rsidR="000176AC">
        <w:rPr>
          <w:i/>
        </w:rPr>
        <w:t xml:space="preserve"> is indicated for </w:t>
      </w:r>
      <w:r w:rsidR="00150578" w:rsidRPr="00F85C1C">
        <w:rPr>
          <w:i/>
        </w:rPr>
        <w:t>the treatment of patients with secondary progre</w:t>
      </w:r>
      <w:r w:rsidRPr="00F85C1C">
        <w:rPr>
          <w:i/>
        </w:rPr>
        <w:t>ssive multiple sclerosis (SPMS)’</w:t>
      </w:r>
      <w:r>
        <w:t xml:space="preserve"> to</w:t>
      </w:r>
    </w:p>
    <w:p w14:paraId="1B47DD98" w14:textId="77777777" w:rsidR="00150578" w:rsidRPr="00F85C1C" w:rsidRDefault="00F85C1C" w:rsidP="00F85C1C">
      <w:pPr>
        <w:pStyle w:val="ListBullet2"/>
        <w:rPr>
          <w:i/>
        </w:rPr>
      </w:pPr>
      <w:r w:rsidRPr="00F85C1C">
        <w:rPr>
          <w:i/>
        </w:rPr>
        <w:t>‘</w:t>
      </w:r>
      <w:proofErr w:type="spellStart"/>
      <w:r w:rsidR="000176AC">
        <w:rPr>
          <w:i/>
        </w:rPr>
        <w:t>Siponimod</w:t>
      </w:r>
      <w:proofErr w:type="spellEnd"/>
      <w:r w:rsidR="000176AC">
        <w:rPr>
          <w:i/>
        </w:rPr>
        <w:t xml:space="preserve"> is indicated for </w:t>
      </w:r>
      <w:r w:rsidR="00150578" w:rsidRPr="00F85C1C">
        <w:rPr>
          <w:i/>
        </w:rPr>
        <w:t>the treatment of adult patients with secondary progressive multiple sclerosis (SPMS)</w:t>
      </w:r>
      <w:r w:rsidRPr="00F85C1C">
        <w:rPr>
          <w:i/>
        </w:rPr>
        <w:t>’</w:t>
      </w:r>
      <w:r w:rsidR="00150578" w:rsidRPr="00F85C1C">
        <w:rPr>
          <w:i/>
        </w:rPr>
        <w:t>.</w:t>
      </w:r>
    </w:p>
    <w:p w14:paraId="2F0CC98A" w14:textId="77777777" w:rsidR="00150578" w:rsidRPr="000D53C4" w:rsidRDefault="00150578" w:rsidP="00F85C1C">
      <w:pPr>
        <w:pStyle w:val="ListBullet"/>
      </w:pPr>
      <w:r w:rsidRPr="004829E9">
        <w:rPr>
          <w:rFonts w:asciiTheme="minorHAnsi" w:hAnsiTheme="minorHAnsi"/>
        </w:rPr>
        <w:t xml:space="preserve">Lack of sufficient availability of </w:t>
      </w:r>
      <w:r w:rsidR="000176AC">
        <w:t>EP</w:t>
      </w:r>
      <w:r w:rsidRPr="004829E9">
        <w:rPr>
          <w:rFonts w:asciiTheme="minorHAnsi" w:hAnsiTheme="minorHAnsi"/>
        </w:rPr>
        <w:t xml:space="preserve"> data to properly ascertain prolonged use </w:t>
      </w:r>
      <w:r w:rsidRPr="000D53C4">
        <w:rPr>
          <w:rFonts w:asciiTheme="minorHAnsi" w:hAnsiTheme="minorHAnsi"/>
        </w:rPr>
        <w:t>justif</w:t>
      </w:r>
      <w:r w:rsidR="000176AC">
        <w:rPr>
          <w:rFonts w:asciiTheme="minorHAnsi" w:hAnsiTheme="minorHAnsi"/>
        </w:rPr>
        <w:t xml:space="preserve">ication of </w:t>
      </w:r>
      <w:proofErr w:type="spellStart"/>
      <w:r w:rsidR="000176AC">
        <w:rPr>
          <w:rFonts w:asciiTheme="minorHAnsi" w:hAnsiTheme="minorHAnsi"/>
        </w:rPr>
        <w:t>s</w:t>
      </w:r>
      <w:r w:rsidRPr="000D53C4">
        <w:rPr>
          <w:rFonts w:asciiTheme="minorHAnsi" w:hAnsiTheme="minorHAnsi"/>
        </w:rPr>
        <w:t>iponimod</w:t>
      </w:r>
      <w:proofErr w:type="spellEnd"/>
      <w:r w:rsidRPr="000D53C4">
        <w:rPr>
          <w:rFonts w:asciiTheme="minorHAnsi" w:hAnsiTheme="minorHAnsi"/>
        </w:rPr>
        <w:t>, i</w:t>
      </w:r>
      <w:r w:rsidR="00F85C1C">
        <w:rPr>
          <w:rFonts w:asciiTheme="minorHAnsi" w:hAnsiTheme="minorHAnsi"/>
        </w:rPr>
        <w:t>n terms of safety and efficacy.</w:t>
      </w:r>
    </w:p>
    <w:p w14:paraId="189C8B40" w14:textId="2E8C1A25" w:rsidR="00150578" w:rsidRPr="00456765" w:rsidRDefault="00150578" w:rsidP="00F85C1C">
      <w:pPr>
        <w:pStyle w:val="ListBullet"/>
      </w:pPr>
      <w:r>
        <w:t xml:space="preserve">As yet to be fulfilled sponsor’s commitment to not launch the product until </w:t>
      </w:r>
      <w:r w:rsidRPr="003305EF">
        <w:t xml:space="preserve">the </w:t>
      </w:r>
      <w:r>
        <w:t xml:space="preserve">accomplishment of </w:t>
      </w:r>
      <w:r w:rsidR="006375D6">
        <w:t xml:space="preserve">the </w:t>
      </w:r>
      <w:r w:rsidR="000176AC">
        <w:t>RMP</w:t>
      </w:r>
      <w:r w:rsidRPr="003305EF">
        <w:t xml:space="preserve"> recommendations as suggested by the </w:t>
      </w:r>
      <w:r w:rsidR="00F85C1C">
        <w:t>clinical evaluator</w:t>
      </w:r>
      <w:r w:rsidRPr="003305EF">
        <w:t xml:space="preserve">, regarding asthma as a risk factor and, specific inclusion of </w:t>
      </w:r>
      <w:proofErr w:type="spellStart"/>
      <w:r w:rsidRPr="003305EF">
        <w:t>phenoconversion</w:t>
      </w:r>
      <w:proofErr w:type="spellEnd"/>
      <w:r w:rsidRPr="003305EF">
        <w:t xml:space="preserve"> and monitoring in the educational materials proposed for the healthcare</w:t>
      </w:r>
      <w:r w:rsidR="00F85C1C">
        <w:t xml:space="preserve"> prescribers, as mooted by the D</w:t>
      </w:r>
      <w:r w:rsidRPr="003305EF">
        <w:t>elegate</w:t>
      </w:r>
      <w:r>
        <w:t>.</w:t>
      </w:r>
    </w:p>
    <w:p w14:paraId="4896E11A" w14:textId="77777777" w:rsidR="00D23139" w:rsidRDefault="00D23139" w:rsidP="00D23139">
      <w:pPr>
        <w:pStyle w:val="Heading4"/>
      </w:pPr>
      <w:r w:rsidRPr="00D23139">
        <w:t>Proposed action</w:t>
      </w:r>
    </w:p>
    <w:p w14:paraId="5F468DE4" w14:textId="77777777" w:rsidR="00456765" w:rsidRPr="00456765" w:rsidRDefault="00150578" w:rsidP="000309CC">
      <w:r>
        <w:t>Approvable, provided all the stated RMP issues are complied with prior to product launch, especially the ast</w:t>
      </w:r>
      <w:r w:rsidR="000309CC">
        <w:t xml:space="preserve">hma and </w:t>
      </w:r>
      <w:proofErr w:type="spellStart"/>
      <w:r w:rsidR="000309CC">
        <w:t>phenoconversion</w:t>
      </w:r>
      <w:proofErr w:type="spellEnd"/>
      <w:r w:rsidR="000309CC">
        <w:t xml:space="preserve"> issues.</w:t>
      </w:r>
    </w:p>
    <w:p w14:paraId="30BE4FCD" w14:textId="77777777" w:rsidR="00D23139" w:rsidRDefault="00A22D57" w:rsidP="00D23139">
      <w:pPr>
        <w:pStyle w:val="Heading4"/>
      </w:pPr>
      <w:r>
        <w:t>Request for AC</w:t>
      </w:r>
      <w:r w:rsidR="00D23139" w:rsidRPr="00D23139">
        <w:t>M advice</w:t>
      </w:r>
    </w:p>
    <w:p w14:paraId="10083B80" w14:textId="77777777" w:rsidR="00456765" w:rsidRPr="00456765" w:rsidRDefault="00150578" w:rsidP="000309CC">
      <w:r>
        <w:t xml:space="preserve">The ACM is requested to consider the approvability or not of the </w:t>
      </w:r>
      <w:r w:rsidRPr="00AD66E6">
        <w:t>submission, based on the gamut of the available evidence and the stated condition of registration.</w:t>
      </w:r>
    </w:p>
    <w:p w14:paraId="26DF50AE" w14:textId="77777777" w:rsidR="008E7846" w:rsidRDefault="008E7846" w:rsidP="008E7846">
      <w:pPr>
        <w:pStyle w:val="Heading4"/>
      </w:pPr>
      <w:r>
        <w:lastRenderedPageBreak/>
        <w:t>Advisory Committee Considerations</w:t>
      </w:r>
      <w:r w:rsidR="00456765">
        <w:rPr>
          <w:rStyle w:val="FootnoteReference"/>
        </w:rPr>
        <w:footnoteReference w:id="18"/>
      </w:r>
    </w:p>
    <w:p w14:paraId="6026D902" w14:textId="77777777" w:rsidR="00150578" w:rsidRPr="00150578" w:rsidRDefault="00456765" w:rsidP="00F85C1C">
      <w:r w:rsidRPr="00456765">
        <w:t>The Advisory Committee on Medicines (ACM), having considered the evaluations and the Delegate’s overview, as well as the sponsor’s response to these d</w:t>
      </w:r>
      <w:r w:rsidR="00150578">
        <w:t>ocuments, advised the following.</w:t>
      </w:r>
    </w:p>
    <w:p w14:paraId="4D600B9A" w14:textId="77777777" w:rsidR="00150578" w:rsidRPr="00150578" w:rsidRDefault="00150578" w:rsidP="00F85C1C">
      <w:r w:rsidRPr="00150578">
        <w:t xml:space="preserve">The ACM considered the referral for advice from the TGA Delegate in relation to the submission to register </w:t>
      </w:r>
      <w:r w:rsidR="00F85C1C" w:rsidRPr="00150578">
        <w:t>Mayzent</w:t>
      </w:r>
      <w:r w:rsidRPr="00150578">
        <w:t xml:space="preserve"> film-coated tablets, containing</w:t>
      </w:r>
      <w:r w:rsidR="00F85C1C">
        <w:t xml:space="preserve"> 0.25 mg and 2 mg of </w:t>
      </w:r>
      <w:proofErr w:type="spellStart"/>
      <w:r w:rsidR="00F85C1C">
        <w:t>siponimod</w:t>
      </w:r>
      <w:proofErr w:type="spellEnd"/>
      <w:r w:rsidR="00F85C1C">
        <w:t>.</w:t>
      </w:r>
    </w:p>
    <w:p w14:paraId="78A9DFAB" w14:textId="77777777" w:rsidR="00150578" w:rsidRPr="00150578" w:rsidRDefault="00150578" w:rsidP="00F85C1C">
      <w:r w:rsidRPr="00150578">
        <w:t>The ACM considered this product to have an overall positive benefit-risk profi</w:t>
      </w:r>
      <w:r w:rsidR="00F85C1C">
        <w:t>le for the proposed indication:</w:t>
      </w:r>
    </w:p>
    <w:p w14:paraId="27F6A353" w14:textId="77777777" w:rsidR="00150578" w:rsidRPr="00F85C1C" w:rsidRDefault="00150578" w:rsidP="00F85C1C">
      <w:pPr>
        <w:ind w:left="720"/>
        <w:rPr>
          <w:i/>
        </w:rPr>
      </w:pPr>
      <w:proofErr w:type="spellStart"/>
      <w:r w:rsidRPr="00F85C1C">
        <w:rPr>
          <w:i/>
        </w:rPr>
        <w:t>Siponimod</w:t>
      </w:r>
      <w:proofErr w:type="spellEnd"/>
      <w:r w:rsidRPr="00F85C1C">
        <w:rPr>
          <w:i/>
        </w:rPr>
        <w:t xml:space="preserve"> is indicated for the treatment of adult patients with secondary progress</w:t>
      </w:r>
      <w:r w:rsidR="00F85C1C" w:rsidRPr="00F85C1C">
        <w:rPr>
          <w:i/>
        </w:rPr>
        <w:t>ive multiple sclerosis (SPMS).</w:t>
      </w:r>
    </w:p>
    <w:p w14:paraId="3BE478E6" w14:textId="77777777" w:rsidR="00150578" w:rsidRPr="00150578" w:rsidRDefault="00F85C1C" w:rsidP="00F85C1C">
      <w:pPr>
        <w:pStyle w:val="Heading5"/>
      </w:pPr>
      <w:r>
        <w:t>Specific advice</w:t>
      </w:r>
    </w:p>
    <w:p w14:paraId="46FEEFEA" w14:textId="77777777" w:rsidR="00150578" w:rsidRPr="00150578" w:rsidRDefault="00150578" w:rsidP="00150578">
      <w:r w:rsidRPr="00150578">
        <w:t>The ACM advised the following in response to the Delegate</w:t>
      </w:r>
      <w:r w:rsidR="00F85C1C">
        <w:t>’s specific request for advice.</w:t>
      </w:r>
    </w:p>
    <w:p w14:paraId="3D46AE1D" w14:textId="77777777" w:rsidR="000309CC" w:rsidRPr="00F85C1C" w:rsidRDefault="00150578" w:rsidP="00F85C1C">
      <w:pPr>
        <w:pStyle w:val="Numberbullet0"/>
        <w:rPr>
          <w:b/>
          <w:i/>
        </w:rPr>
      </w:pPr>
      <w:r w:rsidRPr="00F85C1C">
        <w:rPr>
          <w:b/>
          <w:i/>
        </w:rPr>
        <w:t>The ACM is requested to consider the approvability or not of the submission, based on the gamut of the available evidence and the st</w:t>
      </w:r>
      <w:r w:rsidR="000309CC" w:rsidRPr="00F85C1C">
        <w:rPr>
          <w:b/>
          <w:i/>
        </w:rPr>
        <w:t>ated condition of registration.</w:t>
      </w:r>
    </w:p>
    <w:p w14:paraId="5B925AA9" w14:textId="77777777" w:rsidR="00150578" w:rsidRPr="00150578" w:rsidRDefault="00150578" w:rsidP="000309CC">
      <w:r w:rsidRPr="00150578">
        <w:t xml:space="preserve">The ACM was of the view that the available evidence regarding safety and efficacy supports registration of this product for the </w:t>
      </w:r>
      <w:r>
        <w:t>Delegate’s revised indi</w:t>
      </w:r>
      <w:r w:rsidR="00F85C1C">
        <w:t>cation.</w:t>
      </w:r>
    </w:p>
    <w:p w14:paraId="18ACF437" w14:textId="77777777" w:rsidR="00150578" w:rsidRPr="00150578" w:rsidRDefault="00150578" w:rsidP="00F85C1C">
      <w:pPr>
        <w:pStyle w:val="Heading5"/>
      </w:pPr>
      <w:r w:rsidRPr="00150578">
        <w:t>G</w:t>
      </w:r>
      <w:r w:rsidR="00F85C1C">
        <w:t>eneral advice</w:t>
      </w:r>
    </w:p>
    <w:p w14:paraId="3E21AE42" w14:textId="77777777" w:rsidR="00150578" w:rsidRPr="00150578" w:rsidRDefault="00150578" w:rsidP="00F85C1C">
      <w:r w:rsidRPr="00150578">
        <w:t xml:space="preserve">The ACM agreed with the Delegate that the proposed HCP educational materials should highlight how to identify or test patients at risk of </w:t>
      </w:r>
      <w:proofErr w:type="spellStart"/>
      <w:r w:rsidRPr="00150578">
        <w:t>phenoconversion</w:t>
      </w:r>
      <w:proofErr w:type="spellEnd"/>
      <w:r w:rsidRPr="00150578">
        <w:t xml:space="preserve"> issues, noting that </w:t>
      </w:r>
      <w:proofErr w:type="spellStart"/>
      <w:r w:rsidRPr="00150578">
        <w:t>siponimod</w:t>
      </w:r>
      <w:proofErr w:type="spellEnd"/>
      <w:r w:rsidRPr="00150578">
        <w:t xml:space="preserve"> is contraindicated in patients with the CYP2C9*3*3 genotype. </w:t>
      </w:r>
    </w:p>
    <w:p w14:paraId="2D26F05F" w14:textId="77777777" w:rsidR="00150578" w:rsidRDefault="00150578" w:rsidP="00F85C1C">
      <w:pPr>
        <w:rPr>
          <w:bCs/>
        </w:rPr>
      </w:pPr>
      <w:r w:rsidRPr="00150578">
        <w:t>The ACM noted that it is stated in the PI that the majority of cases of macular oed</w:t>
      </w:r>
      <w:r w:rsidR="00F85C1C">
        <w:t xml:space="preserve">ema occurred within the first 3 to </w:t>
      </w:r>
      <w:r w:rsidRPr="00150578">
        <w:t>4 months of therapy and that ophthalmologic evaluatio</w:t>
      </w:r>
      <w:r w:rsidR="00F85C1C">
        <w:t xml:space="preserve">n is therefore recommended at 3 to </w:t>
      </w:r>
      <w:r w:rsidRPr="00150578">
        <w:t>4 months after initiation of treatments. However, the ACM agreed with the Delegate that the PI should be amended to further advise that all patients should have a baseline ophthalmological review prior to initiation of treatment and further review at any time during treatment if changes in vision are noticed.</w:t>
      </w:r>
    </w:p>
    <w:p w14:paraId="49E0308C" w14:textId="77777777" w:rsidR="008E7846" w:rsidRPr="002E238E" w:rsidRDefault="008E7846" w:rsidP="008E7846">
      <w:pPr>
        <w:pStyle w:val="Heading3"/>
      </w:pPr>
      <w:bookmarkStart w:id="79" w:name="_Toc247691532"/>
      <w:bookmarkStart w:id="80" w:name="_Toc314842516"/>
      <w:bookmarkStart w:id="81" w:name="_Toc28868688"/>
      <w:bookmarkEnd w:id="38"/>
      <w:bookmarkEnd w:id="76"/>
      <w:bookmarkEnd w:id="77"/>
      <w:r>
        <w:t>Outcome</w:t>
      </w:r>
      <w:bookmarkEnd w:id="79"/>
      <w:bookmarkEnd w:id="80"/>
      <w:bookmarkEnd w:id="81"/>
    </w:p>
    <w:p w14:paraId="38B34200" w14:textId="1B8BF75F" w:rsidR="00D23139" w:rsidRPr="00D23139" w:rsidRDefault="00D23139" w:rsidP="00D23139">
      <w:bookmarkStart w:id="82" w:name="_Toc247691533"/>
      <w:bookmarkStart w:id="83" w:name="_Toc314842517"/>
      <w:r w:rsidRPr="00D23139">
        <w:t xml:space="preserve">Based on a review of quality, safety and efficacy, </w:t>
      </w:r>
      <w:r w:rsidR="006375D6">
        <w:t xml:space="preserve">the </w:t>
      </w:r>
      <w:r w:rsidRPr="00D23139">
        <w:t xml:space="preserve">TGA approved the registration of </w:t>
      </w:r>
      <w:r w:rsidR="004275AF" w:rsidRPr="00A229B5">
        <w:t>Mayzent (</w:t>
      </w:r>
      <w:proofErr w:type="spellStart"/>
      <w:r w:rsidR="004275AF" w:rsidRPr="00A229B5">
        <w:t>siponimod</w:t>
      </w:r>
      <w:proofErr w:type="spellEnd"/>
      <w:r w:rsidR="004275AF">
        <w:t xml:space="preserve">) </w:t>
      </w:r>
      <w:r w:rsidR="00F85C1C" w:rsidRPr="00A229B5">
        <w:rPr>
          <w:rFonts w:eastAsia="Calibri"/>
        </w:rPr>
        <w:t>0.25 mg and 2 mg</w:t>
      </w:r>
      <w:r w:rsidR="00F85C1C">
        <w:t xml:space="preserve"> </w:t>
      </w:r>
      <w:r w:rsidR="004275AF">
        <w:t>film coated tablets</w:t>
      </w:r>
      <w:r w:rsidRPr="00D23139">
        <w:t>, indicated for:</w:t>
      </w:r>
    </w:p>
    <w:p w14:paraId="4FF7DD5B" w14:textId="77777777" w:rsidR="00D23139" w:rsidRPr="007901B9" w:rsidRDefault="007901B9" w:rsidP="007901B9">
      <w:pPr>
        <w:ind w:left="720"/>
        <w:rPr>
          <w:i/>
        </w:rPr>
      </w:pPr>
      <w:r w:rsidRPr="007901B9">
        <w:rPr>
          <w:i/>
        </w:rPr>
        <w:t>Mayzent is indicated for the treatment of patients with secondary progressive multiple sclerosis (SPMS).</w:t>
      </w:r>
    </w:p>
    <w:p w14:paraId="72F3C05A" w14:textId="77777777" w:rsidR="00D23139" w:rsidRPr="00D23139" w:rsidRDefault="00D23139" w:rsidP="00D23139">
      <w:pPr>
        <w:pStyle w:val="Heading4"/>
      </w:pPr>
      <w:r w:rsidRPr="00D23139">
        <w:lastRenderedPageBreak/>
        <w:t>Specific conditions of registration applying to these goods</w:t>
      </w:r>
    </w:p>
    <w:p w14:paraId="0C2723CD" w14:textId="77777777" w:rsidR="007901B9" w:rsidRPr="00180562" w:rsidRDefault="007F41B8" w:rsidP="007901B9">
      <w:pPr>
        <w:pStyle w:val="ListBullet"/>
      </w:pPr>
      <w:r>
        <w:t>Mayzent (</w:t>
      </w:r>
      <w:proofErr w:type="spellStart"/>
      <w:r>
        <w:t>s</w:t>
      </w:r>
      <w:r w:rsidR="007901B9" w:rsidRPr="00180562">
        <w:t>iponimod</w:t>
      </w:r>
      <w:proofErr w:type="spellEnd"/>
      <w:r w:rsidR="007901B9" w:rsidRPr="00180562">
        <w:t xml:space="preserve">) is to be included in the Black </w:t>
      </w:r>
      <w:r w:rsidR="007901B9">
        <w:t xml:space="preserve">Triangle Scheme. The </w:t>
      </w:r>
      <w:r w:rsidR="000176AC">
        <w:t>PI</w:t>
      </w:r>
      <w:r w:rsidR="007901B9">
        <w:t xml:space="preserve"> and Consumer Medicines Information (CMI) </w:t>
      </w:r>
      <w:r w:rsidR="007901B9" w:rsidRPr="00180562">
        <w:t>for Mayzent must include the black triangle sy</w:t>
      </w:r>
      <w:r w:rsidR="007901B9">
        <w:t xml:space="preserve">mbol and mandatory accompanying </w:t>
      </w:r>
      <w:r w:rsidR="007901B9" w:rsidRPr="00180562">
        <w:t xml:space="preserve">text for five years, which starts from the date that </w:t>
      </w:r>
      <w:r w:rsidR="007901B9">
        <w:t xml:space="preserve">the sponsor notifies the TGA of </w:t>
      </w:r>
      <w:r w:rsidR="007901B9" w:rsidRPr="00180562">
        <w:t>supply of the product.</w:t>
      </w:r>
    </w:p>
    <w:p w14:paraId="5495208D" w14:textId="77777777" w:rsidR="007901B9" w:rsidRPr="00180562" w:rsidRDefault="007F41B8" w:rsidP="007901B9">
      <w:pPr>
        <w:pStyle w:val="ListBullet"/>
      </w:pPr>
      <w:r>
        <w:t>The Mayzent (</w:t>
      </w:r>
      <w:proofErr w:type="spellStart"/>
      <w:r>
        <w:t>s</w:t>
      </w:r>
      <w:r w:rsidR="007901B9" w:rsidRPr="00180562">
        <w:t>iponimod</w:t>
      </w:r>
      <w:proofErr w:type="spellEnd"/>
      <w:r w:rsidR="007901B9" w:rsidRPr="00180562">
        <w:t>) EU-Risk Management Plan (R</w:t>
      </w:r>
      <w:r w:rsidR="007901B9">
        <w:t xml:space="preserve">MP) (version 1.1; date 18 March </w:t>
      </w:r>
      <w:r w:rsidR="007901B9" w:rsidRPr="00180562">
        <w:t xml:space="preserve">2019; </w:t>
      </w:r>
      <w:r w:rsidR="007901B9">
        <w:t>data lock point</w:t>
      </w:r>
      <w:r w:rsidR="007901B9" w:rsidRPr="00180562">
        <w:t xml:space="preserve"> 31 December 2017), with Australian Speci</w:t>
      </w:r>
      <w:r w:rsidR="007901B9">
        <w:t xml:space="preserve">fic Annex (version 2.0; date 17 </w:t>
      </w:r>
      <w:r w:rsidR="007901B9" w:rsidRPr="00180562">
        <w:t>June 2019), included with submission number PM-2</w:t>
      </w:r>
      <w:r w:rsidR="007901B9">
        <w:t xml:space="preserve">018-04434-1-1, to be revised to </w:t>
      </w:r>
      <w:r w:rsidR="007901B9" w:rsidRPr="00180562">
        <w:t>the satisfaction of the TGA, will be implemented in Australia.</w:t>
      </w:r>
    </w:p>
    <w:p w14:paraId="780E9A16" w14:textId="77777777" w:rsidR="007901B9" w:rsidRDefault="007901B9" w:rsidP="00243CBB">
      <w:pPr>
        <w:pStyle w:val="ListBullet"/>
      </w:pPr>
      <w:r w:rsidRPr="00180562">
        <w:t>An obligatory component of r</w:t>
      </w:r>
      <w:r>
        <w:t xml:space="preserve">isk management plans is routine </w:t>
      </w:r>
      <w:r w:rsidRPr="00180562">
        <w:t>pharmacovigilance. Routine pharmacovigil</w:t>
      </w:r>
      <w:r>
        <w:t xml:space="preserve">ance includes the submission of </w:t>
      </w:r>
      <w:r w:rsidRPr="00180562">
        <w:t>periodic safety update reports (PSURs).</w:t>
      </w:r>
    </w:p>
    <w:p w14:paraId="633A282A" w14:textId="77777777" w:rsidR="007901B9" w:rsidRDefault="007901B9" w:rsidP="00243CBB">
      <w:pPr>
        <w:pStyle w:val="ListBullet"/>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six monthly reports may be submitted separately as they become available.</w:t>
      </w:r>
    </w:p>
    <w:p w14:paraId="4923BBEF" w14:textId="77777777" w:rsidR="007901B9" w:rsidRPr="00180562" w:rsidRDefault="007901B9" w:rsidP="00243CBB">
      <w:pPr>
        <w:pStyle w:val="ListBullet"/>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AED9025" w14:textId="77777777" w:rsidR="008E7846" w:rsidRDefault="00A80B5B" w:rsidP="00D23139">
      <w:pPr>
        <w:pStyle w:val="Heading2"/>
      </w:pPr>
      <w:bookmarkStart w:id="84" w:name="_Toc28868689"/>
      <w:r>
        <w:t xml:space="preserve">Attachment 1. </w:t>
      </w:r>
      <w:r w:rsidR="008E7846">
        <w:t xml:space="preserve">Product </w:t>
      </w:r>
      <w:r w:rsidR="00AA0ED0">
        <w:t>I</w:t>
      </w:r>
      <w:r w:rsidR="008E7846">
        <w:t>nformation</w:t>
      </w:r>
      <w:bookmarkEnd w:id="82"/>
      <w:bookmarkEnd w:id="83"/>
      <w:bookmarkEnd w:id="84"/>
    </w:p>
    <w:p w14:paraId="06BFD0DC" w14:textId="77777777" w:rsidR="00770CAC" w:rsidRPr="000309CC" w:rsidRDefault="006136D7" w:rsidP="000309CC">
      <w:pPr>
        <w:rPr>
          <w:color w:val="000000"/>
          <w:lang w:eastAsia="en-AU"/>
        </w:rPr>
      </w:pPr>
      <w:r w:rsidRPr="002B3624">
        <w:t xml:space="preserve">The </w:t>
      </w:r>
      <w:r>
        <w:t>PI</w:t>
      </w:r>
      <w:r w:rsidRPr="002B3624">
        <w:t xml:space="preserve"> for </w:t>
      </w:r>
      <w:r w:rsidR="007901B9">
        <w:t>Mayzent</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5" w:history="1">
        <w:r w:rsidR="007C6B9B" w:rsidRPr="007C6B9B">
          <w:rPr>
            <w:rStyle w:val="Hyperlink"/>
          </w:rPr>
          <w:t>https://www.tga.gov.au/product-information-pi</w:t>
        </w:r>
      </w:hyperlink>
      <w:r w:rsidR="007901B9">
        <w:t>&gt;.</w:t>
      </w:r>
    </w:p>
    <w:p w14:paraId="07BC2D51" w14:textId="77777777" w:rsidR="00291957" w:rsidRDefault="00291957" w:rsidP="00291957">
      <w:pPr>
        <w:rPr>
          <w:lang w:eastAsia="ja-JP"/>
        </w:rPr>
      </w:pPr>
    </w:p>
    <w:p w14:paraId="5923220A" w14:textId="77777777" w:rsidR="00C80137" w:rsidRPr="001D043B" w:rsidRDefault="00C80137" w:rsidP="003A7F6C">
      <w:pPr>
        <w:pStyle w:val="TableTitle"/>
        <w:sectPr w:rsidR="00C80137" w:rsidRPr="001D043B" w:rsidSect="00B452CE">
          <w:headerReference w:type="even" r:id="rId36"/>
          <w:headerReference w:type="default" r:id="rId37"/>
          <w:headerReference w:type="first" r:id="rId38"/>
          <w:footerReference w:type="first" r:id="rId3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C492E79" w14:textId="77777777" w:rsidTr="00A05FA4">
        <w:trPr>
          <w:trHeight w:hRule="exact" w:val="704"/>
        </w:trPr>
        <w:tc>
          <w:tcPr>
            <w:tcW w:w="9175" w:type="dxa"/>
          </w:tcPr>
          <w:p w14:paraId="33DDBA84" w14:textId="77777777" w:rsidR="001C32CD" w:rsidRPr="00487162" w:rsidRDefault="001C32CD" w:rsidP="00A05FA4">
            <w:pPr>
              <w:pStyle w:val="TGASignoff"/>
            </w:pPr>
            <w:r w:rsidRPr="00487162">
              <w:lastRenderedPageBreak/>
              <w:t>Therapeutic Goods Administration</w:t>
            </w:r>
          </w:p>
        </w:tc>
      </w:tr>
      <w:tr w:rsidR="001C32CD" w:rsidRPr="004C239D" w14:paraId="7C3848F8" w14:textId="77777777" w:rsidTr="00A05FA4">
        <w:trPr>
          <w:trHeight w:val="1221"/>
        </w:trPr>
        <w:tc>
          <w:tcPr>
            <w:tcW w:w="9175" w:type="dxa"/>
            <w:tcMar>
              <w:top w:w="28" w:type="dxa"/>
            </w:tcMar>
          </w:tcPr>
          <w:p w14:paraId="7E88AD99" w14:textId="77777777" w:rsidR="001C32CD" w:rsidRPr="00487162" w:rsidRDefault="001C32CD" w:rsidP="00A05FA4">
            <w:pPr>
              <w:pStyle w:val="Address"/>
            </w:pPr>
            <w:r w:rsidRPr="00487162">
              <w:t>PO Box 100 Woden ACT 2606 Australia</w:t>
            </w:r>
          </w:p>
          <w:p w14:paraId="5C78B806" w14:textId="77777777" w:rsidR="001C32CD" w:rsidRPr="00487162" w:rsidRDefault="001C32CD" w:rsidP="00A05FA4">
            <w:pPr>
              <w:pStyle w:val="Address"/>
            </w:pPr>
            <w:r w:rsidRPr="00487162">
              <w:t xml:space="preserve">Email: </w:t>
            </w:r>
            <w:hyperlink r:id="rId40" w:history="1">
              <w:r w:rsidRPr="004C239D">
                <w:rPr>
                  <w:rStyle w:val="Hyperlink"/>
                </w:rPr>
                <w:t>info@tga.gov.au</w:t>
              </w:r>
            </w:hyperlink>
            <w:r w:rsidRPr="00487162">
              <w:t xml:space="preserve">  Phone: 1800 020 653  Fax: 02 6232 8605</w:t>
            </w:r>
          </w:p>
          <w:p w14:paraId="1E389852" w14:textId="77777777" w:rsidR="001C32CD" w:rsidRPr="004C239D" w:rsidRDefault="008852C3" w:rsidP="00A05FA4">
            <w:pPr>
              <w:pStyle w:val="Address"/>
              <w:spacing w:line="260" w:lineRule="atLeast"/>
              <w:rPr>
                <w:b/>
                <w:color w:val="0000FF"/>
                <w:u w:val="single"/>
              </w:rPr>
            </w:pPr>
            <w:hyperlink r:id="rId41" w:history="1">
              <w:r w:rsidR="007C6B9B" w:rsidRPr="007C6B9B">
                <w:rPr>
                  <w:rStyle w:val="Hyperlink"/>
                  <w:b/>
                </w:rPr>
                <w:t>https://www.tga.gov.au</w:t>
              </w:r>
            </w:hyperlink>
          </w:p>
        </w:tc>
      </w:tr>
    </w:tbl>
    <w:p w14:paraId="1654415D" w14:textId="77777777" w:rsidR="00774E1D" w:rsidRPr="008A5E0B" w:rsidRDefault="00774E1D" w:rsidP="004C239D"/>
    <w:sectPr w:rsidR="00774E1D" w:rsidRPr="008A5E0B" w:rsidSect="001C32CD">
      <w:headerReference w:type="even" r:id="rId42"/>
      <w:headerReference w:type="default" r:id="rId43"/>
      <w:footerReference w:type="default" r:id="rId44"/>
      <w:headerReference w:type="first" r:id="rId45"/>
      <w:footerReference w:type="first" r:id="rId4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CED73" w14:textId="77777777" w:rsidR="008852C3" w:rsidRDefault="008852C3" w:rsidP="00C40A36">
      <w:pPr>
        <w:spacing w:after="0"/>
      </w:pPr>
      <w:r>
        <w:separator/>
      </w:r>
    </w:p>
  </w:endnote>
  <w:endnote w:type="continuationSeparator" w:id="0">
    <w:p w14:paraId="50201F2C" w14:textId="77777777" w:rsidR="008852C3" w:rsidRDefault="008852C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Arial Unicode MS"/>
    <w:panose1 w:val="02020500000000000000"/>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ArialMT">
    <w:altName w:val="MS Gothic"/>
    <w:panose1 w:val="00000000000000000000"/>
    <w:charset w:val="80"/>
    <w:family w:val="auto"/>
    <w:notTrueType/>
    <w:pitch w:val="default"/>
    <w:sig w:usb0="00000001" w:usb1="08070000" w:usb2="00000010" w:usb3="00000000" w:csb0="00020000" w:csb1="00000000"/>
  </w:font>
  <w:font w:name="TimesNewRoman">
    <w:altName w:val="Yu Gothic UI"/>
    <w:panose1 w:val="00000000000000000000"/>
    <w:charset w:val="00"/>
    <w:family w:val="roman"/>
    <w:notTrueType/>
    <w:pitch w:val="default"/>
    <w:sig w:usb0="00000003" w:usb1="08070000" w:usb2="00000010" w:usb3="00000000" w:csb0="0002000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D5F7" w14:textId="77777777" w:rsidR="008852C3" w:rsidRDefault="008852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852C3" w:rsidRPr="00487162" w14:paraId="59A768DE" w14:textId="77777777" w:rsidTr="00DB750B">
      <w:trPr>
        <w:trHeight w:val="269"/>
      </w:trPr>
      <w:tc>
        <w:tcPr>
          <w:tcW w:w="7371" w:type="dxa"/>
          <w:tcMar>
            <w:top w:w="142" w:type="dxa"/>
            <w:bottom w:w="0" w:type="dxa"/>
          </w:tcMar>
        </w:tcPr>
        <w:p w14:paraId="61260F13" w14:textId="606A0638" w:rsidR="008852C3" w:rsidRPr="00487162" w:rsidRDefault="008852C3" w:rsidP="00AE583B">
          <w:pPr>
            <w:pStyle w:val="Footer"/>
          </w:pPr>
          <w:r w:rsidRPr="00487162">
            <w:t>AusPA</w:t>
          </w:r>
          <w:r>
            <w:t xml:space="preserve">R - </w:t>
          </w:r>
          <w:r w:rsidRPr="00120286">
            <w:t xml:space="preserve">MAYZENT – </w:t>
          </w:r>
          <w:proofErr w:type="spellStart"/>
          <w:r w:rsidRPr="00120286">
            <w:t>siponimod</w:t>
          </w:r>
          <w:proofErr w:type="spellEnd"/>
          <w:r w:rsidRPr="00120286">
            <w:t xml:space="preserve"> - Novartis Pharmaceuticals Australia Pty Ltd - </w:t>
          </w:r>
          <w:r w:rsidRPr="00E75B58">
            <w:t>PM-2018-04434-1-1</w:t>
          </w:r>
          <w:r>
            <w:br/>
            <w:t>FINAL 11 December 2019</w:t>
          </w:r>
        </w:p>
      </w:tc>
      <w:tc>
        <w:tcPr>
          <w:tcW w:w="1490" w:type="dxa"/>
          <w:tcMar>
            <w:top w:w="142" w:type="dxa"/>
            <w:bottom w:w="0" w:type="dxa"/>
          </w:tcMar>
        </w:tcPr>
        <w:p w14:paraId="0C1D4331" w14:textId="56CD9A18" w:rsidR="008852C3" w:rsidRPr="00487162" w:rsidRDefault="008852C3" w:rsidP="00DB750B">
          <w:pPr>
            <w:pStyle w:val="Footer"/>
            <w:jc w:val="right"/>
          </w:pPr>
          <w:r w:rsidRPr="00487162">
            <w:t xml:space="preserve">Page </w:t>
          </w:r>
          <w:r>
            <w:fldChar w:fldCharType="begin"/>
          </w:r>
          <w:r>
            <w:instrText xml:space="preserve"> PAGE  \* Arabic </w:instrText>
          </w:r>
          <w:r>
            <w:fldChar w:fldCharType="separate"/>
          </w:r>
          <w:r w:rsidR="00243CBB">
            <w:rPr>
              <w:noProof/>
            </w:rPr>
            <w:t>4</w:t>
          </w:r>
          <w:r>
            <w:fldChar w:fldCharType="end"/>
          </w:r>
          <w:r w:rsidRPr="00487162">
            <w:t xml:space="preserve"> of </w:t>
          </w:r>
          <w:fldSimple w:instr=" NUMPAGES  \* Arabic ">
            <w:r w:rsidR="00243CBB">
              <w:rPr>
                <w:noProof/>
              </w:rPr>
              <w:t>43</w:t>
            </w:r>
          </w:fldSimple>
        </w:p>
      </w:tc>
    </w:tr>
  </w:tbl>
  <w:p w14:paraId="066F0417" w14:textId="77777777" w:rsidR="008852C3" w:rsidRDefault="008852C3"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8CEF5" w14:textId="77777777" w:rsidR="008852C3" w:rsidRDefault="008852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852C3" w:rsidRPr="00487162" w14:paraId="2909A5E8" w14:textId="77777777" w:rsidTr="00E45619">
      <w:trPr>
        <w:trHeight w:val="269"/>
      </w:trPr>
      <w:tc>
        <w:tcPr>
          <w:tcW w:w="4519" w:type="dxa"/>
          <w:tcBorders>
            <w:top w:val="single" w:sz="4" w:space="0" w:color="auto"/>
          </w:tcBorders>
          <w:tcMar>
            <w:top w:w="142" w:type="dxa"/>
            <w:bottom w:w="0" w:type="dxa"/>
          </w:tcMar>
        </w:tcPr>
        <w:p w14:paraId="5D6515A5" w14:textId="77777777" w:rsidR="008852C3" w:rsidRPr="00487162" w:rsidRDefault="008852C3" w:rsidP="00FE1DEE">
          <w:pPr>
            <w:pStyle w:val="Footer"/>
          </w:pPr>
          <w:r w:rsidRPr="00487162">
            <w:t>Document title, Part #, Section # - Section title</w:t>
          </w:r>
        </w:p>
        <w:p w14:paraId="09FC34C9" w14:textId="77777777" w:rsidR="008852C3" w:rsidRPr="00487162" w:rsidRDefault="008852C3" w:rsidP="00FE1DEE">
          <w:pPr>
            <w:pStyle w:val="Footer"/>
          </w:pPr>
          <w:r w:rsidRPr="00487162">
            <w:t>V1.0 October 2010</w:t>
          </w:r>
        </w:p>
      </w:tc>
      <w:tc>
        <w:tcPr>
          <w:tcW w:w="4342" w:type="dxa"/>
          <w:tcBorders>
            <w:top w:val="single" w:sz="4" w:space="0" w:color="auto"/>
          </w:tcBorders>
          <w:tcMar>
            <w:top w:w="142" w:type="dxa"/>
            <w:bottom w:w="0" w:type="dxa"/>
          </w:tcMar>
        </w:tcPr>
        <w:p w14:paraId="2B81AE54" w14:textId="77777777" w:rsidR="008852C3" w:rsidRPr="00487162" w:rsidRDefault="008852C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722E8381" w14:textId="77777777" w:rsidR="008852C3" w:rsidRDefault="008852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66BCC" w14:textId="77777777" w:rsidR="008852C3" w:rsidRPr="001C32CD" w:rsidRDefault="008852C3"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852C3" w14:paraId="2EC5E658" w14:textId="77777777" w:rsidTr="0010601F">
      <w:trPr>
        <w:trHeight w:val="108"/>
      </w:trPr>
      <w:tc>
        <w:tcPr>
          <w:tcW w:w="8875" w:type="dxa"/>
          <w:gridSpan w:val="2"/>
          <w:tcBorders>
            <w:bottom w:val="single" w:sz="4" w:space="0" w:color="auto"/>
          </w:tcBorders>
          <w:tcMar>
            <w:right w:w="284" w:type="dxa"/>
          </w:tcMar>
        </w:tcPr>
        <w:p w14:paraId="24D8ACBE" w14:textId="77777777" w:rsidR="008852C3" w:rsidRDefault="008852C3" w:rsidP="006E08B3">
          <w:pPr>
            <w:pStyle w:val="Heading3"/>
          </w:pPr>
          <w:r>
            <w:t>Copyright</w:t>
          </w:r>
        </w:p>
        <w:p w14:paraId="2767C8A5" w14:textId="77777777" w:rsidR="008852C3" w:rsidRDefault="008852C3" w:rsidP="006E08B3">
          <w:r>
            <w:rPr>
              <w:rFonts w:cs="Arial"/>
            </w:rPr>
            <w:t>©</w:t>
          </w:r>
          <w:r>
            <w:t xml:space="preserve"> Commonwealth of Australia [add year]</w:t>
          </w:r>
        </w:p>
        <w:p w14:paraId="538930B1" w14:textId="77777777" w:rsidR="008852C3" w:rsidRDefault="008852C3" w:rsidP="006E08B3"/>
        <w:p w14:paraId="511DCC78" w14:textId="77777777" w:rsidR="008852C3" w:rsidRDefault="008852C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F39ED15" w14:textId="77777777" w:rsidR="008852C3" w:rsidRDefault="008852C3" w:rsidP="006E08B3"/>
        <w:p w14:paraId="6C49487F" w14:textId="77777777" w:rsidR="008852C3" w:rsidRDefault="008852C3" w:rsidP="006E08B3">
          <w:pPr>
            <w:pStyle w:val="Heading3"/>
          </w:pPr>
          <w:r>
            <w:t>Confidentiality</w:t>
          </w:r>
        </w:p>
        <w:p w14:paraId="526F125E" w14:textId="77777777" w:rsidR="008852C3" w:rsidRDefault="008852C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A207F16" w14:textId="77777777" w:rsidR="008852C3" w:rsidRDefault="008852C3" w:rsidP="006E08B3"/>
        <w:p w14:paraId="1BB827CA" w14:textId="77777777" w:rsidR="008852C3" w:rsidRDefault="008852C3" w:rsidP="006E08B3">
          <w:r>
            <w:t>For submission made by individuals, all personal details, other than your name, will be removed from your submission before it is published on the TGA’s Internet site.</w:t>
          </w:r>
        </w:p>
        <w:p w14:paraId="02DB3E16" w14:textId="77777777" w:rsidR="008852C3" w:rsidRDefault="008852C3" w:rsidP="006E08B3"/>
        <w:p w14:paraId="2FE99355" w14:textId="77777777" w:rsidR="008852C3" w:rsidRDefault="008852C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852C3" w14:paraId="2C8B2D0A" w14:textId="77777777" w:rsidTr="0010601F">
      <w:trPr>
        <w:trHeight w:val="417"/>
      </w:trPr>
      <w:tc>
        <w:tcPr>
          <w:tcW w:w="4519" w:type="dxa"/>
          <w:tcBorders>
            <w:top w:val="single" w:sz="4" w:space="0" w:color="auto"/>
          </w:tcBorders>
          <w:tcMar>
            <w:top w:w="142" w:type="dxa"/>
            <w:bottom w:w="0" w:type="dxa"/>
          </w:tcMar>
        </w:tcPr>
        <w:p w14:paraId="79228CDD" w14:textId="77777777" w:rsidR="008852C3" w:rsidRDefault="008852C3" w:rsidP="006E08B3">
          <w:r>
            <w:t>Document title, Part #, Section # - Section title</w:t>
          </w:r>
        </w:p>
        <w:p w14:paraId="3D8304C1" w14:textId="77777777" w:rsidR="008852C3" w:rsidRDefault="008852C3" w:rsidP="006E08B3">
          <w:r>
            <w:t>V1.0 October 2010</w:t>
          </w:r>
        </w:p>
      </w:tc>
      <w:tc>
        <w:tcPr>
          <w:tcW w:w="4356" w:type="dxa"/>
          <w:tcBorders>
            <w:top w:val="single" w:sz="4" w:space="0" w:color="auto"/>
          </w:tcBorders>
          <w:tcMar>
            <w:top w:w="142" w:type="dxa"/>
            <w:bottom w:w="0" w:type="dxa"/>
          </w:tcMar>
        </w:tcPr>
        <w:p w14:paraId="665A2D5D" w14:textId="77777777" w:rsidR="008852C3" w:rsidRDefault="008852C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724BB3D1" w14:textId="77777777" w:rsidR="008852C3" w:rsidRDefault="008852C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9FA6F" w14:textId="77777777" w:rsidR="008852C3" w:rsidRDefault="008852C3" w:rsidP="00C40A36">
      <w:pPr>
        <w:spacing w:after="0"/>
      </w:pPr>
      <w:r>
        <w:separator/>
      </w:r>
    </w:p>
  </w:footnote>
  <w:footnote w:type="continuationSeparator" w:id="0">
    <w:p w14:paraId="5D4E2E6C" w14:textId="77777777" w:rsidR="008852C3" w:rsidRDefault="008852C3" w:rsidP="00C40A36">
      <w:pPr>
        <w:spacing w:after="0"/>
      </w:pPr>
      <w:r>
        <w:continuationSeparator/>
      </w:r>
    </w:p>
  </w:footnote>
  <w:footnote w:id="1">
    <w:p w14:paraId="7AD350F2" w14:textId="77777777" w:rsidR="008852C3" w:rsidRDefault="008852C3">
      <w:pPr>
        <w:pStyle w:val="FootnoteText"/>
      </w:pPr>
      <w:r>
        <w:rPr>
          <w:rStyle w:val="FootnoteReference"/>
        </w:rPr>
        <w:footnoteRef/>
      </w:r>
      <w:r w:rsidRPr="00D97E5A">
        <w:rPr>
          <w:lang w:val="fr-CH"/>
        </w:rPr>
        <w:t xml:space="preserve"> Lublin, F.D. et al. </w:t>
      </w:r>
      <w:r>
        <w:t xml:space="preserve">(1996). </w:t>
      </w:r>
      <w:r w:rsidRPr="007F41B8">
        <w:t>Defining the clinical course of multiple sclerosis: results of an i</w:t>
      </w:r>
      <w:r>
        <w:t xml:space="preserve">nternational survey. </w:t>
      </w:r>
      <w:r w:rsidRPr="007F41B8">
        <w:rPr>
          <w:i/>
        </w:rPr>
        <w:t>Neurology</w:t>
      </w:r>
      <w:r>
        <w:t>, 1996</w:t>
      </w:r>
      <w:r w:rsidRPr="007F41B8">
        <w:t>; 46:</w:t>
      </w:r>
      <w:r>
        <w:t xml:space="preserve"> </w:t>
      </w:r>
      <w:r w:rsidRPr="007F41B8">
        <w:t>907-</w:t>
      </w:r>
      <w:r>
        <w:t>9</w:t>
      </w:r>
      <w:r w:rsidRPr="007F41B8">
        <w:t>11</w:t>
      </w:r>
      <w:r>
        <w:t>.</w:t>
      </w:r>
    </w:p>
  </w:footnote>
  <w:footnote w:id="2">
    <w:p w14:paraId="17D542E3" w14:textId="77777777" w:rsidR="008852C3" w:rsidRDefault="008852C3">
      <w:pPr>
        <w:pStyle w:val="FootnoteText"/>
      </w:pPr>
      <w:r>
        <w:rPr>
          <w:rStyle w:val="FootnoteReference"/>
        </w:rPr>
        <w:footnoteRef/>
      </w:r>
      <w:r>
        <w:t xml:space="preserve"> </w:t>
      </w:r>
      <w:r w:rsidRPr="007F41B8">
        <w:t>Lublin</w:t>
      </w:r>
      <w:r>
        <w:t>,</w:t>
      </w:r>
      <w:r w:rsidRPr="007F41B8">
        <w:t xml:space="preserve"> F</w:t>
      </w:r>
      <w:r>
        <w:t>.D.</w:t>
      </w:r>
      <w:r w:rsidRPr="007F41B8">
        <w:t xml:space="preserve"> et al. </w:t>
      </w:r>
      <w:r>
        <w:t xml:space="preserve">(2014). </w:t>
      </w:r>
      <w:r w:rsidRPr="007F41B8">
        <w:t>Defining the clinical course of multiple sclerosis:</w:t>
      </w:r>
      <w:r>
        <w:t xml:space="preserve"> the 2013 revisions. </w:t>
      </w:r>
      <w:r w:rsidRPr="007F41B8">
        <w:rPr>
          <w:i/>
        </w:rPr>
        <w:t>Neurology</w:t>
      </w:r>
      <w:r>
        <w:t>, 2014</w:t>
      </w:r>
      <w:r w:rsidRPr="007F41B8">
        <w:t>; 83:</w:t>
      </w:r>
      <w:r>
        <w:t xml:space="preserve"> </w:t>
      </w:r>
      <w:r w:rsidRPr="007F41B8">
        <w:t>278-</w:t>
      </w:r>
      <w:r>
        <w:t>2</w:t>
      </w:r>
      <w:r w:rsidRPr="007F41B8">
        <w:t>86</w:t>
      </w:r>
      <w:r>
        <w:t>.</w:t>
      </w:r>
    </w:p>
  </w:footnote>
  <w:footnote w:id="3">
    <w:p w14:paraId="6B73B263" w14:textId="77777777" w:rsidR="008852C3" w:rsidRDefault="008852C3">
      <w:pPr>
        <w:pStyle w:val="FootnoteText"/>
      </w:pPr>
      <w:r>
        <w:rPr>
          <w:rStyle w:val="FootnoteReference"/>
        </w:rPr>
        <w:footnoteRef/>
      </w:r>
      <w:r>
        <w:t xml:space="preserve"> </w:t>
      </w:r>
      <w:proofErr w:type="spellStart"/>
      <w:r>
        <w:rPr>
          <w:lang w:eastAsia="ja-JP"/>
        </w:rPr>
        <w:t>Chiaravalloti</w:t>
      </w:r>
      <w:proofErr w:type="spellEnd"/>
      <w:r>
        <w:rPr>
          <w:lang w:eastAsia="ja-JP"/>
        </w:rPr>
        <w:t>, N.D. and DeLuca, J. (2008). Cognitive impairment in multiple sclerosis</w:t>
      </w:r>
      <w:r w:rsidRPr="00501ACC">
        <w:rPr>
          <w:i/>
          <w:lang w:eastAsia="ja-JP"/>
        </w:rPr>
        <w:t xml:space="preserve">. Lancet </w:t>
      </w:r>
      <w:proofErr w:type="spellStart"/>
      <w:r w:rsidRPr="00501ACC">
        <w:rPr>
          <w:i/>
          <w:lang w:eastAsia="ja-JP"/>
        </w:rPr>
        <w:t>Neurol</w:t>
      </w:r>
      <w:proofErr w:type="spellEnd"/>
      <w:r>
        <w:rPr>
          <w:lang w:eastAsia="ja-JP"/>
        </w:rPr>
        <w:t>, 2008; 7: 1139-1151.</w:t>
      </w:r>
    </w:p>
  </w:footnote>
  <w:footnote w:id="4">
    <w:p w14:paraId="508F7B72" w14:textId="77777777" w:rsidR="008852C3" w:rsidRDefault="008852C3">
      <w:pPr>
        <w:pStyle w:val="FootnoteText"/>
      </w:pPr>
      <w:r>
        <w:rPr>
          <w:rStyle w:val="FootnoteReference"/>
        </w:rPr>
        <w:footnoteRef/>
      </w:r>
      <w:r>
        <w:t xml:space="preserve"> </w:t>
      </w:r>
      <w:proofErr w:type="spellStart"/>
      <w:r>
        <w:rPr>
          <w:lang w:eastAsia="ja-JP"/>
        </w:rPr>
        <w:t>Confavreux</w:t>
      </w:r>
      <w:proofErr w:type="spellEnd"/>
      <w:r>
        <w:rPr>
          <w:lang w:eastAsia="ja-JP"/>
        </w:rPr>
        <w:t xml:space="preserve">, C. et al. (2000). Relapses and progression of disability in multiple sclerosis. </w:t>
      </w:r>
      <w:r w:rsidRPr="00501ACC">
        <w:rPr>
          <w:i/>
          <w:lang w:eastAsia="ja-JP"/>
        </w:rPr>
        <w:t xml:space="preserve">N </w:t>
      </w:r>
      <w:proofErr w:type="spellStart"/>
      <w:r w:rsidRPr="00501ACC">
        <w:rPr>
          <w:i/>
          <w:lang w:eastAsia="ja-JP"/>
        </w:rPr>
        <w:t>Eng</w:t>
      </w:r>
      <w:proofErr w:type="spellEnd"/>
      <w:r w:rsidRPr="00501ACC">
        <w:rPr>
          <w:i/>
          <w:lang w:eastAsia="ja-JP"/>
        </w:rPr>
        <w:t xml:space="preserve"> J Med</w:t>
      </w:r>
      <w:r>
        <w:rPr>
          <w:lang w:eastAsia="ja-JP"/>
        </w:rPr>
        <w:t>, 2000; 343: 1430-1438.</w:t>
      </w:r>
    </w:p>
  </w:footnote>
  <w:footnote w:id="5">
    <w:p w14:paraId="2B7FAB71" w14:textId="77777777" w:rsidR="008852C3" w:rsidRDefault="008852C3">
      <w:pPr>
        <w:pStyle w:val="FootnoteText"/>
      </w:pPr>
      <w:r>
        <w:rPr>
          <w:rStyle w:val="FootnoteReference"/>
        </w:rPr>
        <w:footnoteRef/>
      </w:r>
      <w:r>
        <w:t xml:space="preserve"> </w:t>
      </w:r>
      <w:proofErr w:type="spellStart"/>
      <w:r w:rsidRPr="00501ACC">
        <w:t>Tremlett</w:t>
      </w:r>
      <w:proofErr w:type="spellEnd"/>
      <w:r>
        <w:t>, H.</w:t>
      </w:r>
      <w:r w:rsidRPr="00501ACC">
        <w:t xml:space="preserve"> et al. </w:t>
      </w:r>
      <w:r>
        <w:t xml:space="preserve">(2008). </w:t>
      </w:r>
      <w:r w:rsidRPr="00501ACC">
        <w:t>Impact of secondary-progressive multiple</w:t>
      </w:r>
      <w:r>
        <w:t xml:space="preserve"> sclerosis. </w:t>
      </w:r>
      <w:r w:rsidRPr="00501ACC">
        <w:rPr>
          <w:i/>
        </w:rPr>
        <w:t>Multiple Sclerosis</w:t>
      </w:r>
      <w:r>
        <w:t>, 2008</w:t>
      </w:r>
      <w:r w:rsidRPr="00501ACC">
        <w:t>; 14:</w:t>
      </w:r>
      <w:r>
        <w:t xml:space="preserve"> </w:t>
      </w:r>
      <w:r w:rsidRPr="00501ACC">
        <w:t>314-</w:t>
      </w:r>
      <w:r>
        <w:t>3</w:t>
      </w:r>
      <w:r w:rsidRPr="00501ACC">
        <w:t>24</w:t>
      </w:r>
      <w:r>
        <w:t>.</w:t>
      </w:r>
    </w:p>
  </w:footnote>
  <w:footnote w:id="6">
    <w:p w14:paraId="5BE0DE86" w14:textId="77777777" w:rsidR="008852C3" w:rsidRDefault="008852C3">
      <w:pPr>
        <w:pStyle w:val="FootnoteText"/>
      </w:pPr>
      <w:r>
        <w:rPr>
          <w:rStyle w:val="FootnoteReference"/>
        </w:rPr>
        <w:footnoteRef/>
      </w:r>
      <w:r>
        <w:t xml:space="preserve"> </w:t>
      </w:r>
      <w:proofErr w:type="spellStart"/>
      <w:r>
        <w:rPr>
          <w:lang w:eastAsia="ja-JP"/>
        </w:rPr>
        <w:t>Scalfari</w:t>
      </w:r>
      <w:proofErr w:type="spellEnd"/>
      <w:r>
        <w:rPr>
          <w:lang w:eastAsia="ja-JP"/>
        </w:rPr>
        <w:t xml:space="preserve">, A. et al. (2010). The natural history of multiple sclerosis: a geographically based study 10: relapses and long-term disability. </w:t>
      </w:r>
      <w:r w:rsidRPr="00501ACC">
        <w:rPr>
          <w:i/>
          <w:lang w:eastAsia="ja-JP"/>
        </w:rPr>
        <w:t>Brain</w:t>
      </w:r>
      <w:r>
        <w:rPr>
          <w:lang w:eastAsia="ja-JP"/>
        </w:rPr>
        <w:t>, 2010; 133: 1914-1929.</w:t>
      </w:r>
    </w:p>
  </w:footnote>
  <w:footnote w:id="7">
    <w:p w14:paraId="5CC597AA" w14:textId="77777777" w:rsidR="008852C3" w:rsidRDefault="008852C3">
      <w:pPr>
        <w:pStyle w:val="FootnoteText"/>
      </w:pPr>
      <w:r>
        <w:rPr>
          <w:rStyle w:val="FootnoteReference"/>
        </w:rPr>
        <w:footnoteRef/>
      </w:r>
      <w:r>
        <w:t xml:space="preserve"> </w:t>
      </w:r>
      <w:r>
        <w:rPr>
          <w:lang w:eastAsia="ja-JP"/>
        </w:rPr>
        <w:t xml:space="preserve">Novotna, M. et al. (2015). Poor early relapse recovery affects onset of progressive disease course in multiple sclerosis. </w:t>
      </w:r>
      <w:r w:rsidRPr="00501ACC">
        <w:rPr>
          <w:i/>
          <w:lang w:eastAsia="ja-JP"/>
        </w:rPr>
        <w:t>Neurology</w:t>
      </w:r>
      <w:r>
        <w:rPr>
          <w:lang w:eastAsia="ja-JP"/>
        </w:rPr>
        <w:t>, 2015; 85: 722-729.</w:t>
      </w:r>
    </w:p>
  </w:footnote>
  <w:footnote w:id="8">
    <w:p w14:paraId="23583E8F" w14:textId="77777777" w:rsidR="008852C3" w:rsidRDefault="008852C3" w:rsidP="005070B9">
      <w:pPr>
        <w:pStyle w:val="FootnoteText"/>
      </w:pPr>
      <w:r>
        <w:rPr>
          <w:rStyle w:val="FootnoteReference"/>
        </w:rPr>
        <w:footnoteRef/>
      </w:r>
      <w:r>
        <w:t xml:space="preserve"> Therapeutic Goods Order No. 91, Standard for labels of prescription and related medicines, </w:t>
      </w:r>
      <w:r w:rsidRPr="005070B9">
        <w:t>F2018C00437</w:t>
      </w:r>
      <w:r>
        <w:t>, 2 July 2018.</w:t>
      </w:r>
    </w:p>
  </w:footnote>
  <w:footnote w:id="9">
    <w:p w14:paraId="0B64B9B6" w14:textId="77777777" w:rsidR="008852C3" w:rsidRDefault="008852C3">
      <w:pPr>
        <w:pStyle w:val="FootnoteText"/>
      </w:pPr>
      <w:r>
        <w:rPr>
          <w:rStyle w:val="FootnoteReference"/>
        </w:rPr>
        <w:footnoteRef/>
      </w:r>
      <w:r>
        <w:t xml:space="preserve"> European Medicines Agency (EMA), CPMP, </w:t>
      </w:r>
      <w:r w:rsidRPr="00445936">
        <w:t>ICH M3 (R2)</w:t>
      </w:r>
      <w:r>
        <w:t>,</w:t>
      </w:r>
      <w:r w:rsidRPr="00445936">
        <w:t xml:space="preserve"> </w:t>
      </w:r>
      <w:r>
        <w:t>Guideline on n</w:t>
      </w:r>
      <w:r w:rsidRPr="00445936">
        <w:t>on-clinical safety studies for the conduct of human clinical trials for pharmaceuticals</w:t>
      </w:r>
      <w:r>
        <w:t xml:space="preserve">, </w:t>
      </w:r>
      <w:r w:rsidRPr="00445936">
        <w:t>CPMP/ICH/286/95</w:t>
      </w:r>
      <w:r>
        <w:t>, 11 January 2013.</w:t>
      </w:r>
    </w:p>
  </w:footnote>
  <w:footnote w:id="10">
    <w:p w14:paraId="323532B7" w14:textId="77777777" w:rsidR="008852C3" w:rsidRDefault="008852C3">
      <w:pPr>
        <w:pStyle w:val="FootnoteText"/>
      </w:pPr>
      <w:r>
        <w:rPr>
          <w:rStyle w:val="FootnoteReference"/>
        </w:rPr>
        <w:footnoteRef/>
      </w:r>
      <w:r>
        <w:t xml:space="preserve"> Pregnancy Category D: </w:t>
      </w:r>
      <w:r>
        <w:rPr>
          <w:color w:val="000000"/>
          <w:lang w:val="en"/>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1">
    <w:p w14:paraId="144153F4" w14:textId="7B99CD71" w:rsidR="008852C3" w:rsidRPr="00AE583B" w:rsidRDefault="008852C3">
      <w:pPr>
        <w:pStyle w:val="FootnoteText"/>
        <w:rPr>
          <w:lang w:val="en-GB"/>
        </w:rPr>
      </w:pPr>
      <w:r>
        <w:rPr>
          <w:rStyle w:val="FootnoteReference"/>
        </w:rPr>
        <w:footnoteRef/>
      </w:r>
      <w:r>
        <w:t xml:space="preserve"> </w:t>
      </w:r>
      <w:r>
        <w:rPr>
          <w:lang w:val="en-GB"/>
        </w:rPr>
        <w:t xml:space="preserve">PPV-23 vaccine; pneumococcal vaccine </w:t>
      </w:r>
      <w:proofErr w:type="spellStart"/>
      <w:r>
        <w:rPr>
          <w:lang w:val="en-GB"/>
        </w:rPr>
        <w:t>volyvalent</w:t>
      </w:r>
      <w:proofErr w:type="spellEnd"/>
      <w:r>
        <w:rPr>
          <w:lang w:val="en-GB"/>
        </w:rPr>
        <w:t xml:space="preserve">. PPV-23 </w:t>
      </w:r>
      <w:r w:rsidRPr="00C51B51">
        <w:rPr>
          <w:lang w:val="en-GB"/>
        </w:rPr>
        <w:t xml:space="preserve">is a vaccine </w:t>
      </w:r>
      <w:r>
        <w:rPr>
          <w:lang w:val="en-GB"/>
        </w:rPr>
        <w:t>for active immunis</w:t>
      </w:r>
      <w:r w:rsidRPr="00C51B51">
        <w:rPr>
          <w:lang w:val="en-GB"/>
        </w:rPr>
        <w:t xml:space="preserve">ation for the prevention of pneumococcal disease caused by the 23 serotypes </w:t>
      </w:r>
      <w:r>
        <w:rPr>
          <w:lang w:val="en-GB"/>
        </w:rPr>
        <w:t xml:space="preserve">of </w:t>
      </w:r>
      <w:r w:rsidRPr="00AE583B">
        <w:rPr>
          <w:i/>
          <w:lang w:val="en-GB"/>
        </w:rPr>
        <w:t xml:space="preserve">Streptococcus </w:t>
      </w:r>
      <w:proofErr w:type="spellStart"/>
      <w:r w:rsidRPr="00AE583B">
        <w:rPr>
          <w:i/>
          <w:lang w:val="en-GB"/>
        </w:rPr>
        <w:t>pneumoniae</w:t>
      </w:r>
      <w:proofErr w:type="spellEnd"/>
      <w:r>
        <w:rPr>
          <w:lang w:val="en-GB"/>
        </w:rPr>
        <w:t xml:space="preserve"> </w:t>
      </w:r>
      <w:r w:rsidRPr="00C51B51">
        <w:rPr>
          <w:lang w:val="en-GB"/>
        </w:rPr>
        <w:t>contained in the vaccine (1, 2, 3, 4, 5, 6B, 7F, 8, 9N, 9V, 10A, 11A, 12F, 14, 15B, 17F, 18C, 19F, 19A, 20, 22F, 23F, and 33F).</w:t>
      </w:r>
    </w:p>
  </w:footnote>
  <w:footnote w:id="12">
    <w:p w14:paraId="233EFCFE" w14:textId="0F8EA360" w:rsidR="008852C3" w:rsidRDefault="008852C3">
      <w:pPr>
        <w:pStyle w:val="FootnoteText"/>
      </w:pPr>
      <w:r>
        <w:rPr>
          <w:rStyle w:val="FootnoteReference"/>
        </w:rPr>
        <w:footnoteRef/>
      </w:r>
      <w:r>
        <w:t xml:space="preserve"> The sponsor clarified that </w:t>
      </w:r>
      <w:r w:rsidRPr="00531C9B">
        <w:t>there was efficacy and safety dat</w:t>
      </w:r>
      <w:r>
        <w:t xml:space="preserve">a from EP up to data cut off 31 December </w:t>
      </w:r>
      <w:r w:rsidRPr="00531C9B">
        <w:t xml:space="preserve">2017 included in the submission, and reported in the </w:t>
      </w:r>
      <w:r>
        <w:t>Summary of Clinical Efficacy and Summary of Clinical Safety. There was no stand-alone clinical study report</w:t>
      </w:r>
      <w:r w:rsidRPr="00531C9B">
        <w:t xml:space="preserve"> on the EP data</w:t>
      </w:r>
      <w:r>
        <w:t>.</w:t>
      </w:r>
    </w:p>
  </w:footnote>
  <w:footnote w:id="13">
    <w:p w14:paraId="3DE767C7" w14:textId="77777777" w:rsidR="008852C3" w:rsidRDefault="008852C3">
      <w:pPr>
        <w:pStyle w:val="FootnoteText"/>
      </w:pPr>
      <w:r>
        <w:rPr>
          <w:rStyle w:val="FootnoteReference"/>
        </w:rPr>
        <w:footnoteRef/>
      </w:r>
      <w:r w:rsidRPr="002E48E8">
        <w:rPr>
          <w:lang w:val="fr-CH"/>
        </w:rPr>
        <w:t xml:space="preserve"> </w:t>
      </w:r>
      <w:proofErr w:type="spellStart"/>
      <w:r w:rsidRPr="002E48E8">
        <w:rPr>
          <w:lang w:val="fr-CH"/>
        </w:rPr>
        <w:t>Polman</w:t>
      </w:r>
      <w:proofErr w:type="spellEnd"/>
      <w:r w:rsidRPr="002E48E8">
        <w:rPr>
          <w:lang w:val="fr-CH"/>
        </w:rPr>
        <w:t xml:space="preserve">, C.H. et al. </w:t>
      </w:r>
      <w:r>
        <w:t xml:space="preserve">(2011). </w:t>
      </w:r>
      <w:r>
        <w:rPr>
          <w:lang w:val="en"/>
        </w:rPr>
        <w:t xml:space="preserve">Diagnostic criteria for multiple sclerosis: 2010 Revisions to the McDonald criteria, </w:t>
      </w:r>
      <w:r w:rsidRPr="007B1903">
        <w:rPr>
          <w:i/>
          <w:lang w:val="en"/>
        </w:rPr>
        <w:t xml:space="preserve">Ann </w:t>
      </w:r>
      <w:proofErr w:type="spellStart"/>
      <w:r w:rsidRPr="007B1903">
        <w:rPr>
          <w:i/>
          <w:lang w:val="en"/>
        </w:rPr>
        <w:t>Neurol</w:t>
      </w:r>
      <w:proofErr w:type="spellEnd"/>
      <w:r>
        <w:rPr>
          <w:lang w:val="en"/>
        </w:rPr>
        <w:t>, 2011; 69: 292-302.</w:t>
      </w:r>
    </w:p>
  </w:footnote>
  <w:footnote w:id="14">
    <w:p w14:paraId="160BBB61" w14:textId="77777777" w:rsidR="008852C3" w:rsidRDefault="008852C3" w:rsidP="00FE69D2">
      <w:pPr>
        <w:pStyle w:val="FootnoteText"/>
      </w:pPr>
      <w:r>
        <w:rPr>
          <w:rStyle w:val="FootnoteReference"/>
        </w:rPr>
        <w:footnoteRef/>
      </w:r>
      <w:r>
        <w:t xml:space="preserve"> </w:t>
      </w:r>
      <w:proofErr w:type="spellStart"/>
      <w:r>
        <w:t>Gilenya</w:t>
      </w:r>
      <w:proofErr w:type="spellEnd"/>
      <w:r>
        <w:t xml:space="preserve"> (</w:t>
      </w:r>
      <w:proofErr w:type="spellStart"/>
      <w:r>
        <w:t>fingolimod</w:t>
      </w:r>
      <w:proofErr w:type="spellEnd"/>
      <w:r>
        <w:t>) was subsequently approved for the treatment of a</w:t>
      </w:r>
      <w:r w:rsidRPr="00E1231F">
        <w:t>dult and paediatric patients of 10 years of age and above with relapsing forms of multiple sclerosis</w:t>
      </w:r>
      <w:r>
        <w:t xml:space="preserve"> to</w:t>
      </w:r>
      <w:r w:rsidRPr="00E1231F">
        <w:t xml:space="preserve"> reduce the frequency of relapse</w:t>
      </w:r>
      <w:r>
        <w:t>s and</w:t>
      </w:r>
      <w:r w:rsidRPr="00E1231F" w:rsidDel="00064B47">
        <w:t xml:space="preserve"> </w:t>
      </w:r>
      <w:r w:rsidRPr="00E1231F">
        <w:t>to delay the progression of disability</w:t>
      </w:r>
      <w:r>
        <w:t>.</w:t>
      </w:r>
    </w:p>
  </w:footnote>
  <w:footnote w:id="15">
    <w:p w14:paraId="1781B682" w14:textId="3ED095B1" w:rsidR="008852C3" w:rsidRDefault="008852C3">
      <w:pPr>
        <w:pStyle w:val="FootnoteText"/>
      </w:pPr>
      <w:r>
        <w:rPr>
          <w:rStyle w:val="FootnoteReference"/>
        </w:rPr>
        <w:footnoteRef/>
      </w:r>
      <w:r>
        <w:t xml:space="preserve"> The sponsor clarified that a</w:t>
      </w:r>
      <w:r w:rsidRPr="001616C5">
        <w:t xml:space="preserve"> case of </w:t>
      </w:r>
      <w:proofErr w:type="spellStart"/>
      <w:r w:rsidRPr="001616C5">
        <w:t>cryptococcal</w:t>
      </w:r>
      <w:proofErr w:type="spellEnd"/>
      <w:r w:rsidRPr="001616C5">
        <w:t xml:space="preserve"> meningitis (CM) has been reported in a patient receiving </w:t>
      </w:r>
      <w:proofErr w:type="spellStart"/>
      <w:r w:rsidRPr="001616C5">
        <w:t>sipon</w:t>
      </w:r>
      <w:r>
        <w:t>imod</w:t>
      </w:r>
      <w:proofErr w:type="spellEnd"/>
      <w:r>
        <w:t xml:space="preserve"> in the Extension Part of S</w:t>
      </w:r>
      <w:r w:rsidRPr="001616C5">
        <w:t>tud</w:t>
      </w:r>
      <w:r>
        <w:t xml:space="preserve">y A2304 (post data lock point Summary of Clinical Safety </w:t>
      </w:r>
      <w:r w:rsidRPr="001616C5">
        <w:t>31 December 2017). However, no cases of progressive multifocal leukoencephalopathy (PML) or other rare or opportunistic infections were reported.</w:t>
      </w:r>
    </w:p>
  </w:footnote>
  <w:footnote w:id="16">
    <w:p w14:paraId="71851A34" w14:textId="77777777" w:rsidR="008852C3" w:rsidRDefault="008852C3">
      <w:pPr>
        <w:pStyle w:val="FootnoteText"/>
      </w:pPr>
      <w:r>
        <w:rPr>
          <w:rStyle w:val="FootnoteReference"/>
        </w:rPr>
        <w:footnoteRef/>
      </w:r>
      <w:r>
        <w:t xml:space="preserve"> </w:t>
      </w:r>
      <w:proofErr w:type="spellStart"/>
      <w:r>
        <w:t>Hy’s</w:t>
      </w:r>
      <w:proofErr w:type="spellEnd"/>
      <w:r>
        <w:t xml:space="preserve"> Law: ALT &gt; 3 x upper limit of normal (ULN) and total bilirubin &gt; 2 x ULN.</w:t>
      </w:r>
    </w:p>
  </w:footnote>
  <w:footnote w:id="17">
    <w:p w14:paraId="1A4B1FB9" w14:textId="77777777" w:rsidR="008852C3" w:rsidRDefault="008852C3" w:rsidP="000309CC">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4F0CC629" w14:textId="77777777" w:rsidR="008852C3" w:rsidRDefault="008852C3" w:rsidP="000309CC">
      <w:pPr>
        <w:pStyle w:val="FootnoteText"/>
      </w:pPr>
      <w:r w:rsidRPr="00F12492">
        <w:rPr>
          <w:i/>
        </w:rPr>
        <w:t>Routine pharmacovigilance</w:t>
      </w:r>
      <w:r>
        <w:t xml:space="preserve"> practices involve the following activities:</w:t>
      </w:r>
    </w:p>
    <w:p w14:paraId="381AF773" w14:textId="77777777" w:rsidR="008852C3" w:rsidRDefault="008852C3" w:rsidP="000309CC">
      <w:pPr>
        <w:pStyle w:val="FootnoteText"/>
        <w:numPr>
          <w:ilvl w:val="0"/>
          <w:numId w:val="26"/>
        </w:numPr>
      </w:pPr>
      <w:r>
        <w:t>All suspected adverse reactions that are reported to the personnel of the company are collected and collated in an accessible manner;</w:t>
      </w:r>
    </w:p>
    <w:p w14:paraId="7D93C779" w14:textId="77777777" w:rsidR="008852C3" w:rsidRDefault="008852C3" w:rsidP="000309CC">
      <w:pPr>
        <w:pStyle w:val="FootnoteText"/>
        <w:numPr>
          <w:ilvl w:val="0"/>
          <w:numId w:val="26"/>
        </w:numPr>
      </w:pPr>
      <w:r>
        <w:t>Reporting to regulatory authorities;</w:t>
      </w:r>
    </w:p>
    <w:p w14:paraId="29585EDA" w14:textId="77777777" w:rsidR="008852C3" w:rsidRDefault="008852C3" w:rsidP="000309CC">
      <w:pPr>
        <w:pStyle w:val="FootnoteText"/>
        <w:numPr>
          <w:ilvl w:val="0"/>
          <w:numId w:val="26"/>
        </w:numPr>
      </w:pPr>
      <w:r>
        <w:t>Continuous monitoring of the safety profiles of approved products including signal detection and updating of labelling;</w:t>
      </w:r>
    </w:p>
    <w:p w14:paraId="3E3B8845" w14:textId="77777777" w:rsidR="008852C3" w:rsidRDefault="008852C3" w:rsidP="000309CC">
      <w:pPr>
        <w:pStyle w:val="FootnoteText"/>
        <w:numPr>
          <w:ilvl w:val="0"/>
          <w:numId w:val="26"/>
        </w:numPr>
      </w:pPr>
      <w:r>
        <w:t>Submission of PSURs;</w:t>
      </w:r>
    </w:p>
    <w:p w14:paraId="0CE785F4" w14:textId="77777777" w:rsidR="008852C3" w:rsidRPr="00F12492" w:rsidRDefault="008852C3" w:rsidP="000309CC">
      <w:pPr>
        <w:pStyle w:val="FootnoteText"/>
        <w:numPr>
          <w:ilvl w:val="0"/>
          <w:numId w:val="26"/>
        </w:numPr>
        <w:rPr>
          <w:lang w:val="en-US"/>
        </w:rPr>
      </w:pPr>
      <w:r>
        <w:t>Meeting other local regulatory agency requirements.</w:t>
      </w:r>
    </w:p>
  </w:footnote>
  <w:footnote w:id="18">
    <w:p w14:paraId="290A8EAD" w14:textId="77777777" w:rsidR="008852C3" w:rsidRDefault="008852C3"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15103CB2" w14:textId="77777777" w:rsidR="008852C3" w:rsidRPr="00456765" w:rsidRDefault="008852C3"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A5B05" w14:textId="77777777" w:rsidR="008852C3" w:rsidRDefault="008852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65F35" w14:textId="77777777" w:rsidR="008852C3" w:rsidRDefault="008852C3"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A30D4" w14:textId="77777777" w:rsidR="008852C3" w:rsidRDefault="008852C3">
    <w:pPr>
      <w:rPr>
        <w:noProof/>
        <w:lang w:eastAsia="en-AU"/>
      </w:rPr>
    </w:pPr>
    <w:r w:rsidRPr="00347824">
      <w:rPr>
        <w:noProof/>
        <w:lang w:eastAsia="en-AU"/>
      </w:rPr>
      <w:drawing>
        <wp:anchor distT="0" distB="0" distL="114300" distR="114300" simplePos="0" relativeHeight="251659264" behindDoc="1" locked="0" layoutInCell="1" allowOverlap="1" wp14:anchorId="362EE39D" wp14:editId="3FDED720">
          <wp:simplePos x="0" y="0"/>
          <wp:positionH relativeFrom="column">
            <wp:posOffset>-1089660</wp:posOffset>
          </wp:positionH>
          <wp:positionV relativeFrom="paragraph">
            <wp:posOffset>-585470</wp:posOffset>
          </wp:positionV>
          <wp:extent cx="7572375" cy="10706100"/>
          <wp:effectExtent l="19050" t="0" r="0" b="0"/>
          <wp:wrapNone/>
          <wp:docPr id="2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6302423" w14:textId="6F7E5E14" w:rsidR="008852C3" w:rsidRDefault="008852C3"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A5EC5" w14:textId="77777777" w:rsidR="008852C3" w:rsidRDefault="008852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C5928" w14:textId="77777777" w:rsidR="008852C3" w:rsidRDefault="008852C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EE7B4" w14:textId="77777777" w:rsidR="008852C3" w:rsidRDefault="008852C3">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B23C" w14:textId="77777777" w:rsidR="008852C3" w:rsidRDefault="008852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383A6" w14:textId="77777777" w:rsidR="008852C3" w:rsidRDefault="008852C3"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8A6B1" w14:textId="77777777" w:rsidR="008852C3" w:rsidRDefault="008852C3" w:rsidP="006E08B3">
    <w:r>
      <w:t>Therapeutic Goods Administration</w:t>
    </w:r>
  </w:p>
  <w:p w14:paraId="50DF812F" w14:textId="77777777" w:rsidR="008852C3" w:rsidRDefault="008852C3"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0D76"/>
    <w:multiLevelType w:val="hybridMultilevel"/>
    <w:tmpl w:val="19949824"/>
    <w:lvl w:ilvl="0" w:tplc="185837C8">
      <w:start w:val="1"/>
      <w:numFmt w:val="bullet"/>
      <w:lvlText w:val=""/>
      <w:lvlJc w:val="left"/>
      <w:pPr>
        <w:ind w:left="940" w:hanging="360"/>
      </w:pPr>
      <w:rPr>
        <w:rFonts w:ascii="Wingdings" w:hAnsi="Wingdings" w:hint="default"/>
        <w:color w:val="auto"/>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9F6E24"/>
    <w:multiLevelType w:val="hybridMultilevel"/>
    <w:tmpl w:val="39E0BF12"/>
    <w:lvl w:ilvl="0" w:tplc="B51EDE04">
      <w:start w:val="1"/>
      <w:numFmt w:val="bullet"/>
      <w:lvlText w:val="►"/>
      <w:lvlJc w:val="left"/>
      <w:pPr>
        <w:ind w:left="1070" w:hanging="360"/>
      </w:pPr>
      <w:rPr>
        <w:rFonts w:ascii="Arial" w:eastAsia="Arial" w:hAnsi="Arial" w:hint="default"/>
        <w:color w:val="003365"/>
        <w:w w:val="105"/>
        <w:sz w:val="22"/>
        <w:szCs w:val="22"/>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0EC68A8"/>
    <w:multiLevelType w:val="hybridMultilevel"/>
    <w:tmpl w:val="5A3073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4C2EE6"/>
    <w:multiLevelType w:val="hybridMultilevel"/>
    <w:tmpl w:val="D74E890E"/>
    <w:lvl w:ilvl="0" w:tplc="E6FE2656">
      <w:start w:val="1"/>
      <w:numFmt w:val="bullet"/>
      <w:lvlText w:val="►"/>
      <w:lvlJc w:val="left"/>
      <w:pPr>
        <w:ind w:left="360" w:hanging="360"/>
      </w:pPr>
      <w:rPr>
        <w:rFonts w:ascii="Arial" w:eastAsia="Arial" w:hAnsi="Arial" w:hint="default"/>
        <w:color w:val="003365"/>
        <w:w w:val="105"/>
        <w:sz w:val="22"/>
        <w:szCs w:val="22"/>
      </w:rPr>
    </w:lvl>
    <w:lvl w:ilvl="1" w:tplc="0C090003" w:tentative="1">
      <w:start w:val="1"/>
      <w:numFmt w:val="bullet"/>
      <w:lvlText w:val="o"/>
      <w:lvlJc w:val="left"/>
      <w:pPr>
        <w:ind w:left="1002" w:hanging="360"/>
      </w:pPr>
      <w:rPr>
        <w:rFonts w:ascii="Courier New" w:hAnsi="Courier New" w:cs="Courier New" w:hint="default"/>
      </w:rPr>
    </w:lvl>
    <w:lvl w:ilvl="2" w:tplc="0C090005" w:tentative="1">
      <w:start w:val="1"/>
      <w:numFmt w:val="bullet"/>
      <w:lvlText w:val=""/>
      <w:lvlJc w:val="left"/>
      <w:pPr>
        <w:ind w:left="1722" w:hanging="360"/>
      </w:pPr>
      <w:rPr>
        <w:rFonts w:ascii="Wingdings" w:hAnsi="Wingdings" w:hint="default"/>
      </w:rPr>
    </w:lvl>
    <w:lvl w:ilvl="3" w:tplc="0C090001" w:tentative="1">
      <w:start w:val="1"/>
      <w:numFmt w:val="bullet"/>
      <w:lvlText w:val=""/>
      <w:lvlJc w:val="left"/>
      <w:pPr>
        <w:ind w:left="2442" w:hanging="360"/>
      </w:pPr>
      <w:rPr>
        <w:rFonts w:ascii="Symbol" w:hAnsi="Symbol" w:hint="default"/>
      </w:rPr>
    </w:lvl>
    <w:lvl w:ilvl="4" w:tplc="0C090003" w:tentative="1">
      <w:start w:val="1"/>
      <w:numFmt w:val="bullet"/>
      <w:lvlText w:val="o"/>
      <w:lvlJc w:val="left"/>
      <w:pPr>
        <w:ind w:left="3162" w:hanging="360"/>
      </w:pPr>
      <w:rPr>
        <w:rFonts w:ascii="Courier New" w:hAnsi="Courier New" w:cs="Courier New" w:hint="default"/>
      </w:rPr>
    </w:lvl>
    <w:lvl w:ilvl="5" w:tplc="0C090005" w:tentative="1">
      <w:start w:val="1"/>
      <w:numFmt w:val="bullet"/>
      <w:lvlText w:val=""/>
      <w:lvlJc w:val="left"/>
      <w:pPr>
        <w:ind w:left="3882" w:hanging="360"/>
      </w:pPr>
      <w:rPr>
        <w:rFonts w:ascii="Wingdings" w:hAnsi="Wingdings" w:hint="default"/>
      </w:rPr>
    </w:lvl>
    <w:lvl w:ilvl="6" w:tplc="0C090001" w:tentative="1">
      <w:start w:val="1"/>
      <w:numFmt w:val="bullet"/>
      <w:lvlText w:val=""/>
      <w:lvlJc w:val="left"/>
      <w:pPr>
        <w:ind w:left="4602" w:hanging="360"/>
      </w:pPr>
      <w:rPr>
        <w:rFonts w:ascii="Symbol" w:hAnsi="Symbol" w:hint="default"/>
      </w:rPr>
    </w:lvl>
    <w:lvl w:ilvl="7" w:tplc="0C090003" w:tentative="1">
      <w:start w:val="1"/>
      <w:numFmt w:val="bullet"/>
      <w:lvlText w:val="o"/>
      <w:lvlJc w:val="left"/>
      <w:pPr>
        <w:ind w:left="5322" w:hanging="360"/>
      </w:pPr>
      <w:rPr>
        <w:rFonts w:ascii="Courier New" w:hAnsi="Courier New" w:cs="Courier New" w:hint="default"/>
      </w:rPr>
    </w:lvl>
    <w:lvl w:ilvl="8" w:tplc="0C090005" w:tentative="1">
      <w:start w:val="1"/>
      <w:numFmt w:val="bullet"/>
      <w:lvlText w:val=""/>
      <w:lvlJc w:val="left"/>
      <w:pPr>
        <w:ind w:left="6042" w:hanging="360"/>
      </w:pPr>
      <w:rPr>
        <w:rFonts w:ascii="Wingdings" w:hAnsi="Wingdings" w:hint="default"/>
      </w:rPr>
    </w:lvl>
  </w:abstractNum>
  <w:abstractNum w:abstractNumId="6" w15:restartNumberingAfterBreak="0">
    <w:nsid w:val="13E27FF6"/>
    <w:multiLevelType w:val="hybridMultilevel"/>
    <w:tmpl w:val="64EACC96"/>
    <w:lvl w:ilvl="0" w:tplc="8AD0BF0C">
      <w:start w:val="1"/>
      <w:numFmt w:val="bullet"/>
      <w:lvlText w:val=""/>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14ED766C"/>
    <w:multiLevelType w:val="hybridMultilevel"/>
    <w:tmpl w:val="D9564C58"/>
    <w:lvl w:ilvl="0" w:tplc="8AD0BF0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125EFA5E"/>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CB32BFB"/>
    <w:multiLevelType w:val="hybridMultilevel"/>
    <w:tmpl w:val="D1D0AB32"/>
    <w:lvl w:ilvl="0" w:tplc="B51EDE04">
      <w:start w:val="1"/>
      <w:numFmt w:val="bullet"/>
      <w:lvlText w:val="►"/>
      <w:lvlJc w:val="left"/>
      <w:pPr>
        <w:ind w:left="2847" w:hanging="360"/>
      </w:pPr>
      <w:rPr>
        <w:rFonts w:ascii="Arial" w:eastAsia="Arial" w:hAnsi="Arial" w:hint="default"/>
        <w:color w:val="003365"/>
        <w:w w:val="105"/>
        <w:sz w:val="22"/>
        <w:szCs w:val="22"/>
      </w:rPr>
    </w:lvl>
    <w:lvl w:ilvl="1" w:tplc="0C090003" w:tentative="1">
      <w:start w:val="1"/>
      <w:numFmt w:val="bullet"/>
      <w:lvlText w:val="o"/>
      <w:lvlJc w:val="left"/>
      <w:pPr>
        <w:ind w:left="3567" w:hanging="360"/>
      </w:pPr>
      <w:rPr>
        <w:rFonts w:ascii="Courier New" w:hAnsi="Courier New" w:cs="Courier New" w:hint="default"/>
      </w:rPr>
    </w:lvl>
    <w:lvl w:ilvl="2" w:tplc="0C090005" w:tentative="1">
      <w:start w:val="1"/>
      <w:numFmt w:val="bullet"/>
      <w:lvlText w:val=""/>
      <w:lvlJc w:val="left"/>
      <w:pPr>
        <w:ind w:left="4287" w:hanging="360"/>
      </w:pPr>
      <w:rPr>
        <w:rFonts w:ascii="Wingdings" w:hAnsi="Wingdings" w:hint="default"/>
      </w:rPr>
    </w:lvl>
    <w:lvl w:ilvl="3" w:tplc="0C090001" w:tentative="1">
      <w:start w:val="1"/>
      <w:numFmt w:val="bullet"/>
      <w:lvlText w:val=""/>
      <w:lvlJc w:val="left"/>
      <w:pPr>
        <w:ind w:left="5007" w:hanging="360"/>
      </w:pPr>
      <w:rPr>
        <w:rFonts w:ascii="Symbol" w:hAnsi="Symbol" w:hint="default"/>
      </w:rPr>
    </w:lvl>
    <w:lvl w:ilvl="4" w:tplc="0C090003" w:tentative="1">
      <w:start w:val="1"/>
      <w:numFmt w:val="bullet"/>
      <w:lvlText w:val="o"/>
      <w:lvlJc w:val="left"/>
      <w:pPr>
        <w:ind w:left="5727" w:hanging="360"/>
      </w:pPr>
      <w:rPr>
        <w:rFonts w:ascii="Courier New" w:hAnsi="Courier New" w:cs="Courier New" w:hint="default"/>
      </w:rPr>
    </w:lvl>
    <w:lvl w:ilvl="5" w:tplc="0C090005" w:tentative="1">
      <w:start w:val="1"/>
      <w:numFmt w:val="bullet"/>
      <w:lvlText w:val=""/>
      <w:lvlJc w:val="left"/>
      <w:pPr>
        <w:ind w:left="6447" w:hanging="360"/>
      </w:pPr>
      <w:rPr>
        <w:rFonts w:ascii="Wingdings" w:hAnsi="Wingdings" w:hint="default"/>
      </w:rPr>
    </w:lvl>
    <w:lvl w:ilvl="6" w:tplc="0C090001" w:tentative="1">
      <w:start w:val="1"/>
      <w:numFmt w:val="bullet"/>
      <w:lvlText w:val=""/>
      <w:lvlJc w:val="left"/>
      <w:pPr>
        <w:ind w:left="7167" w:hanging="360"/>
      </w:pPr>
      <w:rPr>
        <w:rFonts w:ascii="Symbol" w:hAnsi="Symbol" w:hint="default"/>
      </w:rPr>
    </w:lvl>
    <w:lvl w:ilvl="7" w:tplc="0C090003" w:tentative="1">
      <w:start w:val="1"/>
      <w:numFmt w:val="bullet"/>
      <w:lvlText w:val="o"/>
      <w:lvlJc w:val="left"/>
      <w:pPr>
        <w:ind w:left="7887" w:hanging="360"/>
      </w:pPr>
      <w:rPr>
        <w:rFonts w:ascii="Courier New" w:hAnsi="Courier New" w:cs="Courier New" w:hint="default"/>
      </w:rPr>
    </w:lvl>
    <w:lvl w:ilvl="8" w:tplc="0C090005" w:tentative="1">
      <w:start w:val="1"/>
      <w:numFmt w:val="bullet"/>
      <w:lvlText w:val=""/>
      <w:lvlJc w:val="left"/>
      <w:pPr>
        <w:ind w:left="8607" w:hanging="360"/>
      </w:pPr>
      <w:rPr>
        <w:rFonts w:ascii="Wingdings" w:hAnsi="Wingdings" w:hint="default"/>
      </w:rPr>
    </w:lvl>
  </w:abstractNum>
  <w:abstractNum w:abstractNumId="10" w15:restartNumberingAfterBreak="0">
    <w:nsid w:val="2610664D"/>
    <w:multiLevelType w:val="hybridMultilevel"/>
    <w:tmpl w:val="1F4AD1BC"/>
    <w:lvl w:ilvl="0" w:tplc="D43A39AA">
      <w:start w:val="1"/>
      <w:numFmt w:val="bullet"/>
      <w:lvlText w:val="►"/>
      <w:lvlJc w:val="left"/>
      <w:pPr>
        <w:ind w:left="1070" w:hanging="360"/>
      </w:pPr>
      <w:rPr>
        <w:rFonts w:ascii="Arial" w:hAnsi="Arial" w:hint="default"/>
        <w:sz w:val="22"/>
        <w:szCs w:val="22"/>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1" w15:restartNumberingAfterBreak="0">
    <w:nsid w:val="28DD62CA"/>
    <w:multiLevelType w:val="hybridMultilevel"/>
    <w:tmpl w:val="7C9E18D2"/>
    <w:lvl w:ilvl="0" w:tplc="E6F87B8E">
      <w:start w:val="1"/>
      <w:numFmt w:val="bullet"/>
      <w:lvlText w:val="-"/>
      <w:lvlJc w:val="left"/>
      <w:pPr>
        <w:ind w:left="1529" w:hanging="360"/>
      </w:pPr>
      <w:rPr>
        <w:rFonts w:ascii="Symbol" w:hAnsi="Symbol" w:hint="default"/>
      </w:rPr>
    </w:lvl>
    <w:lvl w:ilvl="1" w:tplc="0C090003" w:tentative="1">
      <w:start w:val="1"/>
      <w:numFmt w:val="bullet"/>
      <w:lvlText w:val="o"/>
      <w:lvlJc w:val="left"/>
      <w:pPr>
        <w:ind w:left="2249" w:hanging="360"/>
      </w:pPr>
      <w:rPr>
        <w:rFonts w:ascii="Courier New" w:hAnsi="Courier New" w:cs="Courier New" w:hint="default"/>
      </w:rPr>
    </w:lvl>
    <w:lvl w:ilvl="2" w:tplc="0C090005" w:tentative="1">
      <w:start w:val="1"/>
      <w:numFmt w:val="bullet"/>
      <w:lvlText w:val=""/>
      <w:lvlJc w:val="left"/>
      <w:pPr>
        <w:ind w:left="2969" w:hanging="360"/>
      </w:pPr>
      <w:rPr>
        <w:rFonts w:ascii="Wingdings" w:hAnsi="Wingdings" w:hint="default"/>
      </w:rPr>
    </w:lvl>
    <w:lvl w:ilvl="3" w:tplc="0C090001" w:tentative="1">
      <w:start w:val="1"/>
      <w:numFmt w:val="bullet"/>
      <w:lvlText w:val=""/>
      <w:lvlJc w:val="left"/>
      <w:pPr>
        <w:ind w:left="3689" w:hanging="360"/>
      </w:pPr>
      <w:rPr>
        <w:rFonts w:ascii="Symbol" w:hAnsi="Symbol" w:hint="default"/>
      </w:rPr>
    </w:lvl>
    <w:lvl w:ilvl="4" w:tplc="0C090003" w:tentative="1">
      <w:start w:val="1"/>
      <w:numFmt w:val="bullet"/>
      <w:lvlText w:val="o"/>
      <w:lvlJc w:val="left"/>
      <w:pPr>
        <w:ind w:left="4409" w:hanging="360"/>
      </w:pPr>
      <w:rPr>
        <w:rFonts w:ascii="Courier New" w:hAnsi="Courier New" w:cs="Courier New" w:hint="default"/>
      </w:rPr>
    </w:lvl>
    <w:lvl w:ilvl="5" w:tplc="0C090005" w:tentative="1">
      <w:start w:val="1"/>
      <w:numFmt w:val="bullet"/>
      <w:lvlText w:val=""/>
      <w:lvlJc w:val="left"/>
      <w:pPr>
        <w:ind w:left="5129" w:hanging="360"/>
      </w:pPr>
      <w:rPr>
        <w:rFonts w:ascii="Wingdings" w:hAnsi="Wingdings" w:hint="default"/>
      </w:rPr>
    </w:lvl>
    <w:lvl w:ilvl="6" w:tplc="0C090001" w:tentative="1">
      <w:start w:val="1"/>
      <w:numFmt w:val="bullet"/>
      <w:lvlText w:val=""/>
      <w:lvlJc w:val="left"/>
      <w:pPr>
        <w:ind w:left="5849" w:hanging="360"/>
      </w:pPr>
      <w:rPr>
        <w:rFonts w:ascii="Symbol" w:hAnsi="Symbol" w:hint="default"/>
      </w:rPr>
    </w:lvl>
    <w:lvl w:ilvl="7" w:tplc="0C090003" w:tentative="1">
      <w:start w:val="1"/>
      <w:numFmt w:val="bullet"/>
      <w:lvlText w:val="o"/>
      <w:lvlJc w:val="left"/>
      <w:pPr>
        <w:ind w:left="6569" w:hanging="360"/>
      </w:pPr>
      <w:rPr>
        <w:rFonts w:ascii="Courier New" w:hAnsi="Courier New" w:cs="Courier New" w:hint="default"/>
      </w:rPr>
    </w:lvl>
    <w:lvl w:ilvl="8" w:tplc="0C090005" w:tentative="1">
      <w:start w:val="1"/>
      <w:numFmt w:val="bullet"/>
      <w:lvlText w:val=""/>
      <w:lvlJc w:val="left"/>
      <w:pPr>
        <w:ind w:left="7289" w:hanging="360"/>
      </w:pPr>
      <w:rPr>
        <w:rFonts w:ascii="Wingdings" w:hAnsi="Wingdings" w:hint="default"/>
      </w:rPr>
    </w:lvl>
  </w:abstractNum>
  <w:abstractNum w:abstractNumId="12" w15:restartNumberingAfterBreak="0">
    <w:nsid w:val="29F8543A"/>
    <w:multiLevelType w:val="hybridMultilevel"/>
    <w:tmpl w:val="6BB2EF1A"/>
    <w:lvl w:ilvl="0" w:tplc="47669036">
      <w:start w:val="1"/>
      <w:numFmt w:val="bullet"/>
      <w:lvlText w:val="►"/>
      <w:lvlJc w:val="left"/>
      <w:pPr>
        <w:ind w:left="720" w:hanging="360"/>
      </w:pPr>
      <w:rPr>
        <w:rFonts w:ascii="Arial" w:eastAsia="Arial" w:hAnsi="Arial" w:hint="default"/>
        <w:color w:val="003365"/>
        <w:w w:val="105"/>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906035"/>
    <w:multiLevelType w:val="hybridMultilevel"/>
    <w:tmpl w:val="AAD8CBF0"/>
    <w:lvl w:ilvl="0" w:tplc="748C7A78">
      <w:start w:val="1"/>
      <w:numFmt w:val="bullet"/>
      <w:lvlText w:val="►"/>
      <w:lvlJc w:val="left"/>
      <w:pPr>
        <w:ind w:left="720" w:hanging="360"/>
      </w:pPr>
      <w:rPr>
        <w:rFonts w:ascii="Arial" w:eastAsia="Arial" w:hAnsi="Arial" w:hint="default"/>
        <w:color w:val="003365"/>
        <w:w w:val="105"/>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E45F39"/>
    <w:multiLevelType w:val="hybridMultilevel"/>
    <w:tmpl w:val="A0F0BC9A"/>
    <w:lvl w:ilvl="0" w:tplc="E6F87B8E">
      <w:start w:val="1"/>
      <w:numFmt w:val="bullet"/>
      <w:lvlText w:val="-"/>
      <w:lvlJc w:val="left"/>
      <w:pPr>
        <w:ind w:left="940" w:hanging="360"/>
      </w:pPr>
      <w:rPr>
        <w:rFonts w:ascii="Symbol" w:hAnsi="Symbol" w:hint="default"/>
      </w:rPr>
    </w:lvl>
    <w:lvl w:ilvl="1" w:tplc="0C090003" w:tentative="1">
      <w:start w:val="1"/>
      <w:numFmt w:val="bullet"/>
      <w:lvlText w:val="o"/>
      <w:lvlJc w:val="left"/>
      <w:pPr>
        <w:ind w:left="1660" w:hanging="360"/>
      </w:pPr>
      <w:rPr>
        <w:rFonts w:ascii="Courier New" w:hAnsi="Courier New" w:cs="Courier New" w:hint="default"/>
      </w:rPr>
    </w:lvl>
    <w:lvl w:ilvl="2" w:tplc="0C090005" w:tentative="1">
      <w:start w:val="1"/>
      <w:numFmt w:val="bullet"/>
      <w:lvlText w:val=""/>
      <w:lvlJc w:val="left"/>
      <w:pPr>
        <w:ind w:left="2380" w:hanging="360"/>
      </w:pPr>
      <w:rPr>
        <w:rFonts w:ascii="Wingdings" w:hAnsi="Wingdings" w:hint="default"/>
      </w:rPr>
    </w:lvl>
    <w:lvl w:ilvl="3" w:tplc="0C090001" w:tentative="1">
      <w:start w:val="1"/>
      <w:numFmt w:val="bullet"/>
      <w:lvlText w:val=""/>
      <w:lvlJc w:val="left"/>
      <w:pPr>
        <w:ind w:left="3100" w:hanging="360"/>
      </w:pPr>
      <w:rPr>
        <w:rFonts w:ascii="Symbol" w:hAnsi="Symbol" w:hint="default"/>
      </w:rPr>
    </w:lvl>
    <w:lvl w:ilvl="4" w:tplc="0C090003" w:tentative="1">
      <w:start w:val="1"/>
      <w:numFmt w:val="bullet"/>
      <w:lvlText w:val="o"/>
      <w:lvlJc w:val="left"/>
      <w:pPr>
        <w:ind w:left="3820" w:hanging="360"/>
      </w:pPr>
      <w:rPr>
        <w:rFonts w:ascii="Courier New" w:hAnsi="Courier New" w:cs="Courier New" w:hint="default"/>
      </w:rPr>
    </w:lvl>
    <w:lvl w:ilvl="5" w:tplc="0C090005" w:tentative="1">
      <w:start w:val="1"/>
      <w:numFmt w:val="bullet"/>
      <w:lvlText w:val=""/>
      <w:lvlJc w:val="left"/>
      <w:pPr>
        <w:ind w:left="4540" w:hanging="360"/>
      </w:pPr>
      <w:rPr>
        <w:rFonts w:ascii="Wingdings" w:hAnsi="Wingdings" w:hint="default"/>
      </w:rPr>
    </w:lvl>
    <w:lvl w:ilvl="6" w:tplc="0C090001" w:tentative="1">
      <w:start w:val="1"/>
      <w:numFmt w:val="bullet"/>
      <w:lvlText w:val=""/>
      <w:lvlJc w:val="left"/>
      <w:pPr>
        <w:ind w:left="5260" w:hanging="360"/>
      </w:pPr>
      <w:rPr>
        <w:rFonts w:ascii="Symbol" w:hAnsi="Symbol" w:hint="default"/>
      </w:rPr>
    </w:lvl>
    <w:lvl w:ilvl="7" w:tplc="0C090003" w:tentative="1">
      <w:start w:val="1"/>
      <w:numFmt w:val="bullet"/>
      <w:lvlText w:val="o"/>
      <w:lvlJc w:val="left"/>
      <w:pPr>
        <w:ind w:left="5980" w:hanging="360"/>
      </w:pPr>
      <w:rPr>
        <w:rFonts w:ascii="Courier New" w:hAnsi="Courier New" w:cs="Courier New" w:hint="default"/>
      </w:rPr>
    </w:lvl>
    <w:lvl w:ilvl="8" w:tplc="0C090005" w:tentative="1">
      <w:start w:val="1"/>
      <w:numFmt w:val="bullet"/>
      <w:lvlText w:val=""/>
      <w:lvlJc w:val="left"/>
      <w:pPr>
        <w:ind w:left="6700" w:hanging="360"/>
      </w:pPr>
      <w:rPr>
        <w:rFonts w:ascii="Wingdings" w:hAnsi="Wingdings" w:hint="default"/>
      </w:rPr>
    </w:lvl>
  </w:abstractNum>
  <w:abstractNum w:abstractNumId="15" w15:restartNumberingAfterBreak="0">
    <w:nsid w:val="51FF5A0A"/>
    <w:multiLevelType w:val="hybridMultilevel"/>
    <w:tmpl w:val="313886FA"/>
    <w:lvl w:ilvl="0" w:tplc="F782E094">
      <w:start w:val="1"/>
      <w:numFmt w:val="bullet"/>
      <w:lvlText w:val="►"/>
      <w:lvlJc w:val="left"/>
      <w:pPr>
        <w:ind w:left="2171" w:hanging="360"/>
      </w:pPr>
      <w:rPr>
        <w:rFonts w:ascii="Arial" w:hAnsi="Arial" w:hint="default"/>
      </w:rPr>
    </w:lvl>
    <w:lvl w:ilvl="1" w:tplc="0C090003" w:tentative="1">
      <w:start w:val="1"/>
      <w:numFmt w:val="bullet"/>
      <w:lvlText w:val="o"/>
      <w:lvlJc w:val="left"/>
      <w:pPr>
        <w:ind w:left="2891" w:hanging="360"/>
      </w:pPr>
      <w:rPr>
        <w:rFonts w:ascii="Courier New" w:hAnsi="Courier New" w:cs="Courier New" w:hint="default"/>
      </w:rPr>
    </w:lvl>
    <w:lvl w:ilvl="2" w:tplc="0C090005" w:tentative="1">
      <w:start w:val="1"/>
      <w:numFmt w:val="bullet"/>
      <w:lvlText w:val=""/>
      <w:lvlJc w:val="left"/>
      <w:pPr>
        <w:ind w:left="3611" w:hanging="360"/>
      </w:pPr>
      <w:rPr>
        <w:rFonts w:ascii="Wingdings" w:hAnsi="Wingdings" w:hint="default"/>
      </w:rPr>
    </w:lvl>
    <w:lvl w:ilvl="3" w:tplc="0C090001" w:tentative="1">
      <w:start w:val="1"/>
      <w:numFmt w:val="bullet"/>
      <w:lvlText w:val=""/>
      <w:lvlJc w:val="left"/>
      <w:pPr>
        <w:ind w:left="4331" w:hanging="360"/>
      </w:pPr>
      <w:rPr>
        <w:rFonts w:ascii="Symbol" w:hAnsi="Symbol" w:hint="default"/>
      </w:rPr>
    </w:lvl>
    <w:lvl w:ilvl="4" w:tplc="0C090003" w:tentative="1">
      <w:start w:val="1"/>
      <w:numFmt w:val="bullet"/>
      <w:lvlText w:val="o"/>
      <w:lvlJc w:val="left"/>
      <w:pPr>
        <w:ind w:left="5051" w:hanging="360"/>
      </w:pPr>
      <w:rPr>
        <w:rFonts w:ascii="Courier New" w:hAnsi="Courier New" w:cs="Courier New" w:hint="default"/>
      </w:rPr>
    </w:lvl>
    <w:lvl w:ilvl="5" w:tplc="0C090005" w:tentative="1">
      <w:start w:val="1"/>
      <w:numFmt w:val="bullet"/>
      <w:lvlText w:val=""/>
      <w:lvlJc w:val="left"/>
      <w:pPr>
        <w:ind w:left="5771" w:hanging="360"/>
      </w:pPr>
      <w:rPr>
        <w:rFonts w:ascii="Wingdings" w:hAnsi="Wingdings" w:hint="default"/>
      </w:rPr>
    </w:lvl>
    <w:lvl w:ilvl="6" w:tplc="0C090001" w:tentative="1">
      <w:start w:val="1"/>
      <w:numFmt w:val="bullet"/>
      <w:lvlText w:val=""/>
      <w:lvlJc w:val="left"/>
      <w:pPr>
        <w:ind w:left="6491" w:hanging="360"/>
      </w:pPr>
      <w:rPr>
        <w:rFonts w:ascii="Symbol" w:hAnsi="Symbol" w:hint="default"/>
      </w:rPr>
    </w:lvl>
    <w:lvl w:ilvl="7" w:tplc="0C090003" w:tentative="1">
      <w:start w:val="1"/>
      <w:numFmt w:val="bullet"/>
      <w:lvlText w:val="o"/>
      <w:lvlJc w:val="left"/>
      <w:pPr>
        <w:ind w:left="7211" w:hanging="360"/>
      </w:pPr>
      <w:rPr>
        <w:rFonts w:ascii="Courier New" w:hAnsi="Courier New" w:cs="Courier New" w:hint="default"/>
      </w:rPr>
    </w:lvl>
    <w:lvl w:ilvl="8" w:tplc="0C090005" w:tentative="1">
      <w:start w:val="1"/>
      <w:numFmt w:val="bullet"/>
      <w:lvlText w:val=""/>
      <w:lvlJc w:val="left"/>
      <w:pPr>
        <w:ind w:left="7931" w:hanging="360"/>
      </w:pPr>
      <w:rPr>
        <w:rFonts w:ascii="Wingdings" w:hAnsi="Wingdings" w:hint="default"/>
      </w:rPr>
    </w:lvl>
  </w:abstractNum>
  <w:abstractNum w:abstractNumId="16" w15:restartNumberingAfterBreak="0">
    <w:nsid w:val="523D415F"/>
    <w:multiLevelType w:val="hybridMultilevel"/>
    <w:tmpl w:val="0C50D88A"/>
    <w:lvl w:ilvl="0" w:tplc="E6FE2656">
      <w:start w:val="1"/>
      <w:numFmt w:val="bullet"/>
      <w:lvlText w:val="►"/>
      <w:lvlJc w:val="left"/>
      <w:pPr>
        <w:ind w:left="798" w:hanging="360"/>
      </w:pPr>
      <w:rPr>
        <w:rFonts w:ascii="Arial" w:eastAsia="Arial" w:hAnsi="Arial" w:hint="default"/>
        <w:color w:val="003365"/>
        <w:w w:val="105"/>
        <w:sz w:val="22"/>
        <w:szCs w:val="22"/>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17" w15:restartNumberingAfterBreak="0">
    <w:nsid w:val="5676266E"/>
    <w:multiLevelType w:val="hybridMultilevel"/>
    <w:tmpl w:val="919476D0"/>
    <w:lvl w:ilvl="0" w:tplc="A75022B2">
      <w:start w:val="1"/>
      <w:numFmt w:val="bullet"/>
      <w:lvlText w:val="►"/>
      <w:lvlJc w:val="left"/>
      <w:pPr>
        <w:ind w:left="1004" w:hanging="360"/>
      </w:pPr>
      <w:rPr>
        <w:rFonts w:ascii="Arial" w:eastAsia="Arial" w:hAnsi="Arial" w:hint="default"/>
        <w:color w:val="003365"/>
        <w:w w:val="105"/>
        <w:sz w:val="22"/>
        <w:szCs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6A3B377B"/>
    <w:multiLevelType w:val="hybridMultilevel"/>
    <w:tmpl w:val="61125CFE"/>
    <w:lvl w:ilvl="0" w:tplc="8AD0BF0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60232C"/>
    <w:multiLevelType w:val="hybridMultilevel"/>
    <w:tmpl w:val="B22CC290"/>
    <w:lvl w:ilvl="0" w:tplc="8C0E883A">
      <w:start w:val="1"/>
      <w:numFmt w:val="bullet"/>
      <w:lvlText w:val="►"/>
      <w:lvlJc w:val="left"/>
      <w:pPr>
        <w:ind w:left="360" w:hanging="360"/>
      </w:pPr>
      <w:rPr>
        <w:rFonts w:ascii="Arial" w:eastAsia="Arial" w:hAnsi="Arial" w:hint="default"/>
        <w:color w:val="003365"/>
        <w:w w:val="105"/>
        <w:sz w:val="22"/>
        <w:szCs w:val="22"/>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20" w15:restartNumberingAfterBreak="0">
    <w:nsid w:val="6CEF68F9"/>
    <w:multiLevelType w:val="hybridMultilevel"/>
    <w:tmpl w:val="E5686F34"/>
    <w:lvl w:ilvl="0" w:tplc="8AD0BF0C">
      <w:start w:val="1"/>
      <w:numFmt w:val="bullet"/>
      <w:lvlText w:val=""/>
      <w:lvlJc w:val="left"/>
      <w:pPr>
        <w:ind w:left="107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5F453B1"/>
    <w:multiLevelType w:val="hybridMultilevel"/>
    <w:tmpl w:val="E2DC9AA2"/>
    <w:lvl w:ilvl="0" w:tplc="74EC1EDA">
      <w:start w:val="1"/>
      <w:numFmt w:val="bullet"/>
      <w:lvlText w:val="-"/>
      <w:lvlJc w:val="left"/>
      <w:pPr>
        <w:ind w:left="3260" w:hanging="360"/>
      </w:pPr>
      <w:rPr>
        <w:rFonts w:ascii="Arial" w:eastAsia="Arial" w:hAnsi="Arial" w:hint="default"/>
        <w:color w:val="003365"/>
        <w:w w:val="105"/>
        <w:sz w:val="12"/>
        <w:szCs w:val="12"/>
      </w:rPr>
    </w:lvl>
    <w:lvl w:ilvl="1" w:tplc="0C090003" w:tentative="1">
      <w:start w:val="1"/>
      <w:numFmt w:val="bullet"/>
      <w:lvlText w:val="o"/>
      <w:lvlJc w:val="left"/>
      <w:pPr>
        <w:ind w:left="3980" w:hanging="360"/>
      </w:pPr>
      <w:rPr>
        <w:rFonts w:ascii="Courier New" w:hAnsi="Courier New" w:cs="Courier New" w:hint="default"/>
      </w:rPr>
    </w:lvl>
    <w:lvl w:ilvl="2" w:tplc="0C090005" w:tentative="1">
      <w:start w:val="1"/>
      <w:numFmt w:val="bullet"/>
      <w:lvlText w:val=""/>
      <w:lvlJc w:val="left"/>
      <w:pPr>
        <w:ind w:left="4700" w:hanging="360"/>
      </w:pPr>
      <w:rPr>
        <w:rFonts w:ascii="Wingdings" w:hAnsi="Wingdings" w:hint="default"/>
      </w:rPr>
    </w:lvl>
    <w:lvl w:ilvl="3" w:tplc="0C090001" w:tentative="1">
      <w:start w:val="1"/>
      <w:numFmt w:val="bullet"/>
      <w:lvlText w:val=""/>
      <w:lvlJc w:val="left"/>
      <w:pPr>
        <w:ind w:left="5420" w:hanging="360"/>
      </w:pPr>
      <w:rPr>
        <w:rFonts w:ascii="Symbol" w:hAnsi="Symbol" w:hint="default"/>
      </w:rPr>
    </w:lvl>
    <w:lvl w:ilvl="4" w:tplc="0C090003" w:tentative="1">
      <w:start w:val="1"/>
      <w:numFmt w:val="bullet"/>
      <w:lvlText w:val="o"/>
      <w:lvlJc w:val="left"/>
      <w:pPr>
        <w:ind w:left="6140" w:hanging="360"/>
      </w:pPr>
      <w:rPr>
        <w:rFonts w:ascii="Courier New" w:hAnsi="Courier New" w:cs="Courier New" w:hint="default"/>
      </w:rPr>
    </w:lvl>
    <w:lvl w:ilvl="5" w:tplc="0C090005" w:tentative="1">
      <w:start w:val="1"/>
      <w:numFmt w:val="bullet"/>
      <w:lvlText w:val=""/>
      <w:lvlJc w:val="left"/>
      <w:pPr>
        <w:ind w:left="6860" w:hanging="360"/>
      </w:pPr>
      <w:rPr>
        <w:rFonts w:ascii="Wingdings" w:hAnsi="Wingdings" w:hint="default"/>
      </w:rPr>
    </w:lvl>
    <w:lvl w:ilvl="6" w:tplc="0C090001" w:tentative="1">
      <w:start w:val="1"/>
      <w:numFmt w:val="bullet"/>
      <w:lvlText w:val=""/>
      <w:lvlJc w:val="left"/>
      <w:pPr>
        <w:ind w:left="7580" w:hanging="360"/>
      </w:pPr>
      <w:rPr>
        <w:rFonts w:ascii="Symbol" w:hAnsi="Symbol" w:hint="default"/>
      </w:rPr>
    </w:lvl>
    <w:lvl w:ilvl="7" w:tplc="0C090003" w:tentative="1">
      <w:start w:val="1"/>
      <w:numFmt w:val="bullet"/>
      <w:lvlText w:val="o"/>
      <w:lvlJc w:val="left"/>
      <w:pPr>
        <w:ind w:left="8300" w:hanging="360"/>
      </w:pPr>
      <w:rPr>
        <w:rFonts w:ascii="Courier New" w:hAnsi="Courier New" w:cs="Courier New" w:hint="default"/>
      </w:rPr>
    </w:lvl>
    <w:lvl w:ilvl="8" w:tplc="0C090005" w:tentative="1">
      <w:start w:val="1"/>
      <w:numFmt w:val="bullet"/>
      <w:lvlText w:val=""/>
      <w:lvlJc w:val="left"/>
      <w:pPr>
        <w:ind w:left="9020" w:hanging="360"/>
      </w:pPr>
      <w:rPr>
        <w:rFonts w:ascii="Wingdings" w:hAnsi="Wingdings" w:hint="default"/>
      </w:rPr>
    </w:lvl>
  </w:abstractNum>
  <w:abstractNum w:abstractNumId="2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B2330F5"/>
    <w:multiLevelType w:val="hybridMultilevel"/>
    <w:tmpl w:val="D55238BC"/>
    <w:lvl w:ilvl="0" w:tplc="8AD0BF0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8"/>
  </w:num>
  <w:num w:numId="4">
    <w:abstractNumId w:val="3"/>
  </w:num>
  <w:num w:numId="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4"/>
  </w:num>
  <w:num w:numId="7">
    <w:abstractNumId w:val="21"/>
  </w:num>
  <w:num w:numId="8">
    <w:abstractNumId w:val="6"/>
  </w:num>
  <w:num w:numId="9">
    <w:abstractNumId w:val="7"/>
  </w:num>
  <w:num w:numId="10">
    <w:abstractNumId w:val="0"/>
  </w:num>
  <w:num w:numId="11">
    <w:abstractNumId w:val="12"/>
  </w:num>
  <w:num w:numId="12">
    <w:abstractNumId w:val="19"/>
  </w:num>
  <w:num w:numId="13">
    <w:abstractNumId w:val="16"/>
  </w:num>
  <w:num w:numId="14">
    <w:abstractNumId w:val="17"/>
  </w:num>
  <w:num w:numId="15">
    <w:abstractNumId w:val="11"/>
  </w:num>
  <w:num w:numId="16">
    <w:abstractNumId w:val="13"/>
  </w:num>
  <w:num w:numId="17">
    <w:abstractNumId w:val="5"/>
  </w:num>
  <w:num w:numId="18">
    <w:abstractNumId w:val="15"/>
  </w:num>
  <w:num w:numId="19">
    <w:abstractNumId w:val="9"/>
  </w:num>
  <w:num w:numId="20">
    <w:abstractNumId w:val="1"/>
  </w:num>
  <w:num w:numId="21">
    <w:abstractNumId w:val="2"/>
  </w:num>
  <w:num w:numId="22">
    <w:abstractNumId w:val="20"/>
  </w:num>
  <w:num w:numId="23">
    <w:abstractNumId w:val="10"/>
  </w:num>
  <w:num w:numId="24">
    <w:abstractNumId w:val="23"/>
  </w:num>
  <w:num w:numId="25">
    <w:abstractNumId w:val="18"/>
  </w:num>
  <w:num w:numId="26">
    <w:abstractNumId w:val="22"/>
  </w:num>
  <w:num w:numId="2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59C"/>
    <w:rsid w:val="00002031"/>
    <w:rsid w:val="00004734"/>
    <w:rsid w:val="00006B22"/>
    <w:rsid w:val="0001276A"/>
    <w:rsid w:val="000149D7"/>
    <w:rsid w:val="000176AC"/>
    <w:rsid w:val="000246AE"/>
    <w:rsid w:val="00025C67"/>
    <w:rsid w:val="000309CC"/>
    <w:rsid w:val="00033775"/>
    <w:rsid w:val="00036FC0"/>
    <w:rsid w:val="00044772"/>
    <w:rsid w:val="0004541C"/>
    <w:rsid w:val="0005519B"/>
    <w:rsid w:val="0005559E"/>
    <w:rsid w:val="000604D6"/>
    <w:rsid w:val="000734D8"/>
    <w:rsid w:val="00077775"/>
    <w:rsid w:val="00090471"/>
    <w:rsid w:val="00094A72"/>
    <w:rsid w:val="00094CDC"/>
    <w:rsid w:val="00096AA7"/>
    <w:rsid w:val="000A3AED"/>
    <w:rsid w:val="000B3532"/>
    <w:rsid w:val="000B3A75"/>
    <w:rsid w:val="000C00C2"/>
    <w:rsid w:val="000C690F"/>
    <w:rsid w:val="000D1295"/>
    <w:rsid w:val="000D391B"/>
    <w:rsid w:val="000D3D6D"/>
    <w:rsid w:val="000D4FC7"/>
    <w:rsid w:val="000E6196"/>
    <w:rsid w:val="000F4869"/>
    <w:rsid w:val="000F5B42"/>
    <w:rsid w:val="000F62D9"/>
    <w:rsid w:val="000F6E6F"/>
    <w:rsid w:val="0010601F"/>
    <w:rsid w:val="0010788A"/>
    <w:rsid w:val="00107A31"/>
    <w:rsid w:val="00110EA5"/>
    <w:rsid w:val="00112F56"/>
    <w:rsid w:val="00120286"/>
    <w:rsid w:val="00124ACD"/>
    <w:rsid w:val="00125318"/>
    <w:rsid w:val="001305A2"/>
    <w:rsid w:val="00133238"/>
    <w:rsid w:val="00133A1B"/>
    <w:rsid w:val="0014197B"/>
    <w:rsid w:val="001447CD"/>
    <w:rsid w:val="00150578"/>
    <w:rsid w:val="001516B1"/>
    <w:rsid w:val="00154EBB"/>
    <w:rsid w:val="00156316"/>
    <w:rsid w:val="00161181"/>
    <w:rsid w:val="001616C5"/>
    <w:rsid w:val="00162D14"/>
    <w:rsid w:val="00163780"/>
    <w:rsid w:val="00165389"/>
    <w:rsid w:val="00171F14"/>
    <w:rsid w:val="00174558"/>
    <w:rsid w:val="0017693F"/>
    <w:rsid w:val="0018110E"/>
    <w:rsid w:val="00181684"/>
    <w:rsid w:val="001843C6"/>
    <w:rsid w:val="001850E0"/>
    <w:rsid w:val="001A03AF"/>
    <w:rsid w:val="001A2158"/>
    <w:rsid w:val="001A525F"/>
    <w:rsid w:val="001B09F9"/>
    <w:rsid w:val="001B5C90"/>
    <w:rsid w:val="001B6448"/>
    <w:rsid w:val="001C32CD"/>
    <w:rsid w:val="001D2984"/>
    <w:rsid w:val="001E07CF"/>
    <w:rsid w:val="001E59F1"/>
    <w:rsid w:val="001F2CEE"/>
    <w:rsid w:val="001F49EB"/>
    <w:rsid w:val="001F6CBA"/>
    <w:rsid w:val="0020103B"/>
    <w:rsid w:val="00201D4E"/>
    <w:rsid w:val="002076C9"/>
    <w:rsid w:val="00220B8A"/>
    <w:rsid w:val="002257F3"/>
    <w:rsid w:val="00233456"/>
    <w:rsid w:val="002339A5"/>
    <w:rsid w:val="00235CDE"/>
    <w:rsid w:val="00243CBB"/>
    <w:rsid w:val="00247DEA"/>
    <w:rsid w:val="00257848"/>
    <w:rsid w:val="00261D18"/>
    <w:rsid w:val="0027084A"/>
    <w:rsid w:val="00280265"/>
    <w:rsid w:val="00286434"/>
    <w:rsid w:val="00286C59"/>
    <w:rsid w:val="00291957"/>
    <w:rsid w:val="00292D5B"/>
    <w:rsid w:val="002942D1"/>
    <w:rsid w:val="0029501A"/>
    <w:rsid w:val="002A3721"/>
    <w:rsid w:val="002A5BDC"/>
    <w:rsid w:val="002B1638"/>
    <w:rsid w:val="002B3624"/>
    <w:rsid w:val="002D063E"/>
    <w:rsid w:val="002D0952"/>
    <w:rsid w:val="002E40B3"/>
    <w:rsid w:val="002E48E8"/>
    <w:rsid w:val="002E4C9A"/>
    <w:rsid w:val="002F11F8"/>
    <w:rsid w:val="002F3F56"/>
    <w:rsid w:val="002F44B5"/>
    <w:rsid w:val="002F5122"/>
    <w:rsid w:val="00311AC0"/>
    <w:rsid w:val="003176FC"/>
    <w:rsid w:val="0032583B"/>
    <w:rsid w:val="00327883"/>
    <w:rsid w:val="00335504"/>
    <w:rsid w:val="00340C18"/>
    <w:rsid w:val="003442FD"/>
    <w:rsid w:val="00347824"/>
    <w:rsid w:val="00350567"/>
    <w:rsid w:val="003521E8"/>
    <w:rsid w:val="00354E0A"/>
    <w:rsid w:val="00370CE3"/>
    <w:rsid w:val="003728F3"/>
    <w:rsid w:val="003735BC"/>
    <w:rsid w:val="0037496E"/>
    <w:rsid w:val="0037666F"/>
    <w:rsid w:val="00383221"/>
    <w:rsid w:val="00386150"/>
    <w:rsid w:val="003874CE"/>
    <w:rsid w:val="00390900"/>
    <w:rsid w:val="003A7F6C"/>
    <w:rsid w:val="003B4D60"/>
    <w:rsid w:val="003B7E39"/>
    <w:rsid w:val="003C58DC"/>
    <w:rsid w:val="003D1E62"/>
    <w:rsid w:val="003E0B99"/>
    <w:rsid w:val="003E2486"/>
    <w:rsid w:val="003E3208"/>
    <w:rsid w:val="003F0B04"/>
    <w:rsid w:val="0040134E"/>
    <w:rsid w:val="00421065"/>
    <w:rsid w:val="004275AF"/>
    <w:rsid w:val="004334C7"/>
    <w:rsid w:val="00440A2D"/>
    <w:rsid w:val="00441C3F"/>
    <w:rsid w:val="00444D1A"/>
    <w:rsid w:val="00445936"/>
    <w:rsid w:val="0045186A"/>
    <w:rsid w:val="004564A7"/>
    <w:rsid w:val="00456765"/>
    <w:rsid w:val="004617BF"/>
    <w:rsid w:val="004629F0"/>
    <w:rsid w:val="00463658"/>
    <w:rsid w:val="004637A0"/>
    <w:rsid w:val="004722CC"/>
    <w:rsid w:val="00490483"/>
    <w:rsid w:val="004936E4"/>
    <w:rsid w:val="00494E60"/>
    <w:rsid w:val="00497487"/>
    <w:rsid w:val="004A2771"/>
    <w:rsid w:val="004A6189"/>
    <w:rsid w:val="004A7390"/>
    <w:rsid w:val="004A792B"/>
    <w:rsid w:val="004B7B76"/>
    <w:rsid w:val="004C239D"/>
    <w:rsid w:val="004C2DCA"/>
    <w:rsid w:val="004C61D2"/>
    <w:rsid w:val="004D4BF1"/>
    <w:rsid w:val="004F0C4A"/>
    <w:rsid w:val="004F0F38"/>
    <w:rsid w:val="004F47D6"/>
    <w:rsid w:val="00500337"/>
    <w:rsid w:val="00501921"/>
    <w:rsid w:val="00501ACC"/>
    <w:rsid w:val="005070B9"/>
    <w:rsid w:val="00510154"/>
    <w:rsid w:val="00523C73"/>
    <w:rsid w:val="00530354"/>
    <w:rsid w:val="00531C9B"/>
    <w:rsid w:val="0053625B"/>
    <w:rsid w:val="005434C6"/>
    <w:rsid w:val="00543B39"/>
    <w:rsid w:val="00546154"/>
    <w:rsid w:val="00550096"/>
    <w:rsid w:val="00555280"/>
    <w:rsid w:val="00557FF9"/>
    <w:rsid w:val="00562327"/>
    <w:rsid w:val="005711D5"/>
    <w:rsid w:val="00576378"/>
    <w:rsid w:val="00577130"/>
    <w:rsid w:val="00577945"/>
    <w:rsid w:val="00577E38"/>
    <w:rsid w:val="005811A3"/>
    <w:rsid w:val="00585322"/>
    <w:rsid w:val="005857C6"/>
    <w:rsid w:val="00592F6E"/>
    <w:rsid w:val="00593AD1"/>
    <w:rsid w:val="005A68B6"/>
    <w:rsid w:val="005C5570"/>
    <w:rsid w:val="005C79A4"/>
    <w:rsid w:val="005D5442"/>
    <w:rsid w:val="00602365"/>
    <w:rsid w:val="00603A74"/>
    <w:rsid w:val="00603F32"/>
    <w:rsid w:val="00605AD4"/>
    <w:rsid w:val="006124C9"/>
    <w:rsid w:val="006136D7"/>
    <w:rsid w:val="00625A6E"/>
    <w:rsid w:val="00632398"/>
    <w:rsid w:val="006375D6"/>
    <w:rsid w:val="00640FC3"/>
    <w:rsid w:val="00642020"/>
    <w:rsid w:val="006430EE"/>
    <w:rsid w:val="00652333"/>
    <w:rsid w:val="0065337B"/>
    <w:rsid w:val="0065419D"/>
    <w:rsid w:val="006603BC"/>
    <w:rsid w:val="006604D8"/>
    <w:rsid w:val="00664A5B"/>
    <w:rsid w:val="0066735C"/>
    <w:rsid w:val="006763D2"/>
    <w:rsid w:val="00680C08"/>
    <w:rsid w:val="00686418"/>
    <w:rsid w:val="006916A0"/>
    <w:rsid w:val="006931B1"/>
    <w:rsid w:val="006A15C0"/>
    <w:rsid w:val="006A58A8"/>
    <w:rsid w:val="006B32F9"/>
    <w:rsid w:val="006C3E2A"/>
    <w:rsid w:val="006C642F"/>
    <w:rsid w:val="006D03E5"/>
    <w:rsid w:val="006D5D3E"/>
    <w:rsid w:val="006E08B3"/>
    <w:rsid w:val="006F17AC"/>
    <w:rsid w:val="006F25B8"/>
    <w:rsid w:val="006F572E"/>
    <w:rsid w:val="007046D6"/>
    <w:rsid w:val="00705DB0"/>
    <w:rsid w:val="00716920"/>
    <w:rsid w:val="00722B57"/>
    <w:rsid w:val="00730F8A"/>
    <w:rsid w:val="00735A8C"/>
    <w:rsid w:val="0074253D"/>
    <w:rsid w:val="0074429B"/>
    <w:rsid w:val="007565E0"/>
    <w:rsid w:val="007615BC"/>
    <w:rsid w:val="00762F05"/>
    <w:rsid w:val="007652FF"/>
    <w:rsid w:val="00767EF1"/>
    <w:rsid w:val="00770CAC"/>
    <w:rsid w:val="00770EF1"/>
    <w:rsid w:val="00773EF7"/>
    <w:rsid w:val="00774E1D"/>
    <w:rsid w:val="007765D8"/>
    <w:rsid w:val="0077675A"/>
    <w:rsid w:val="00777DB6"/>
    <w:rsid w:val="00780355"/>
    <w:rsid w:val="007819FD"/>
    <w:rsid w:val="00782DD4"/>
    <w:rsid w:val="00785717"/>
    <w:rsid w:val="00785721"/>
    <w:rsid w:val="007901B9"/>
    <w:rsid w:val="00791578"/>
    <w:rsid w:val="00793A59"/>
    <w:rsid w:val="00795164"/>
    <w:rsid w:val="007A46F5"/>
    <w:rsid w:val="007A6505"/>
    <w:rsid w:val="007B1903"/>
    <w:rsid w:val="007B6132"/>
    <w:rsid w:val="007B6E9F"/>
    <w:rsid w:val="007C1216"/>
    <w:rsid w:val="007C1AF7"/>
    <w:rsid w:val="007C6B9B"/>
    <w:rsid w:val="007F41B8"/>
    <w:rsid w:val="00805D27"/>
    <w:rsid w:val="00806DCB"/>
    <w:rsid w:val="008124D4"/>
    <w:rsid w:val="00821776"/>
    <w:rsid w:val="00826AE7"/>
    <w:rsid w:val="00830FE6"/>
    <w:rsid w:val="008321F5"/>
    <w:rsid w:val="00832369"/>
    <w:rsid w:val="00832DF7"/>
    <w:rsid w:val="00834660"/>
    <w:rsid w:val="00836BC2"/>
    <w:rsid w:val="0084146F"/>
    <w:rsid w:val="0085156D"/>
    <w:rsid w:val="00852B28"/>
    <w:rsid w:val="0085641B"/>
    <w:rsid w:val="00857136"/>
    <w:rsid w:val="00860494"/>
    <w:rsid w:val="00874C95"/>
    <w:rsid w:val="00875A6B"/>
    <w:rsid w:val="008852C3"/>
    <w:rsid w:val="00885B11"/>
    <w:rsid w:val="00886D15"/>
    <w:rsid w:val="00887DD8"/>
    <w:rsid w:val="00891BA9"/>
    <w:rsid w:val="00896018"/>
    <w:rsid w:val="008960DD"/>
    <w:rsid w:val="0089635C"/>
    <w:rsid w:val="008A19A0"/>
    <w:rsid w:val="008A2B9D"/>
    <w:rsid w:val="008A3D9F"/>
    <w:rsid w:val="008A5E0B"/>
    <w:rsid w:val="008A6D59"/>
    <w:rsid w:val="008B0C75"/>
    <w:rsid w:val="008B1F57"/>
    <w:rsid w:val="008B4B03"/>
    <w:rsid w:val="008B596F"/>
    <w:rsid w:val="008C159F"/>
    <w:rsid w:val="008C1623"/>
    <w:rsid w:val="008C1850"/>
    <w:rsid w:val="008C51A9"/>
    <w:rsid w:val="008D1DDE"/>
    <w:rsid w:val="008E14C9"/>
    <w:rsid w:val="008E75BB"/>
    <w:rsid w:val="008E7846"/>
    <w:rsid w:val="008F02E5"/>
    <w:rsid w:val="008F1CCC"/>
    <w:rsid w:val="008F2967"/>
    <w:rsid w:val="008F6943"/>
    <w:rsid w:val="00902A21"/>
    <w:rsid w:val="0091523F"/>
    <w:rsid w:val="00920330"/>
    <w:rsid w:val="009219D7"/>
    <w:rsid w:val="00922D53"/>
    <w:rsid w:val="00923B70"/>
    <w:rsid w:val="00924482"/>
    <w:rsid w:val="00930237"/>
    <w:rsid w:val="009322F3"/>
    <w:rsid w:val="00937C17"/>
    <w:rsid w:val="00940A89"/>
    <w:rsid w:val="00941F77"/>
    <w:rsid w:val="00946EA5"/>
    <w:rsid w:val="00963C08"/>
    <w:rsid w:val="009752A5"/>
    <w:rsid w:val="0098585A"/>
    <w:rsid w:val="009936F9"/>
    <w:rsid w:val="00994F03"/>
    <w:rsid w:val="009A4CED"/>
    <w:rsid w:val="009A690D"/>
    <w:rsid w:val="009B1D12"/>
    <w:rsid w:val="009B416B"/>
    <w:rsid w:val="009B430F"/>
    <w:rsid w:val="009C4BD5"/>
    <w:rsid w:val="009C4CE6"/>
    <w:rsid w:val="009D7B77"/>
    <w:rsid w:val="009E0BB0"/>
    <w:rsid w:val="009E210B"/>
    <w:rsid w:val="009E3FBB"/>
    <w:rsid w:val="009E635B"/>
    <w:rsid w:val="009F7353"/>
    <w:rsid w:val="009F738F"/>
    <w:rsid w:val="00A04F85"/>
    <w:rsid w:val="00A05FA4"/>
    <w:rsid w:val="00A102E4"/>
    <w:rsid w:val="00A1219C"/>
    <w:rsid w:val="00A12C42"/>
    <w:rsid w:val="00A14DF7"/>
    <w:rsid w:val="00A22D57"/>
    <w:rsid w:val="00A312CD"/>
    <w:rsid w:val="00A315B0"/>
    <w:rsid w:val="00A3246D"/>
    <w:rsid w:val="00A3659C"/>
    <w:rsid w:val="00A36FA7"/>
    <w:rsid w:val="00A42921"/>
    <w:rsid w:val="00A43F22"/>
    <w:rsid w:val="00A44DDB"/>
    <w:rsid w:val="00A475B7"/>
    <w:rsid w:val="00A47AF7"/>
    <w:rsid w:val="00A47C3E"/>
    <w:rsid w:val="00A50226"/>
    <w:rsid w:val="00A556A4"/>
    <w:rsid w:val="00A55E2C"/>
    <w:rsid w:val="00A60BAD"/>
    <w:rsid w:val="00A75C3B"/>
    <w:rsid w:val="00A77F87"/>
    <w:rsid w:val="00A80B5B"/>
    <w:rsid w:val="00A84E36"/>
    <w:rsid w:val="00A8541D"/>
    <w:rsid w:val="00A964D1"/>
    <w:rsid w:val="00AA0ED0"/>
    <w:rsid w:val="00AC2B40"/>
    <w:rsid w:val="00AC2BB2"/>
    <w:rsid w:val="00AC2C3C"/>
    <w:rsid w:val="00AC512D"/>
    <w:rsid w:val="00AC5FED"/>
    <w:rsid w:val="00AD0083"/>
    <w:rsid w:val="00AD0543"/>
    <w:rsid w:val="00AD097A"/>
    <w:rsid w:val="00AD3935"/>
    <w:rsid w:val="00AD3E79"/>
    <w:rsid w:val="00AE583B"/>
    <w:rsid w:val="00AE65EB"/>
    <w:rsid w:val="00AE67A7"/>
    <w:rsid w:val="00AF1D94"/>
    <w:rsid w:val="00AF60C5"/>
    <w:rsid w:val="00B009C6"/>
    <w:rsid w:val="00B01548"/>
    <w:rsid w:val="00B12A02"/>
    <w:rsid w:val="00B13060"/>
    <w:rsid w:val="00B130C5"/>
    <w:rsid w:val="00B13EBD"/>
    <w:rsid w:val="00B21D29"/>
    <w:rsid w:val="00B25034"/>
    <w:rsid w:val="00B25E31"/>
    <w:rsid w:val="00B33588"/>
    <w:rsid w:val="00B33863"/>
    <w:rsid w:val="00B3427B"/>
    <w:rsid w:val="00B37D17"/>
    <w:rsid w:val="00B4175E"/>
    <w:rsid w:val="00B41C85"/>
    <w:rsid w:val="00B452CE"/>
    <w:rsid w:val="00B54C25"/>
    <w:rsid w:val="00B64CD7"/>
    <w:rsid w:val="00B64D8B"/>
    <w:rsid w:val="00B709CD"/>
    <w:rsid w:val="00B749AC"/>
    <w:rsid w:val="00B768B2"/>
    <w:rsid w:val="00B76B91"/>
    <w:rsid w:val="00B77EB1"/>
    <w:rsid w:val="00B811C6"/>
    <w:rsid w:val="00B855B0"/>
    <w:rsid w:val="00B87307"/>
    <w:rsid w:val="00B9050C"/>
    <w:rsid w:val="00B92E08"/>
    <w:rsid w:val="00BC622A"/>
    <w:rsid w:val="00BE0A78"/>
    <w:rsid w:val="00BE5427"/>
    <w:rsid w:val="00BE5DAD"/>
    <w:rsid w:val="00BE79F0"/>
    <w:rsid w:val="00BF046D"/>
    <w:rsid w:val="00BF1190"/>
    <w:rsid w:val="00BF2739"/>
    <w:rsid w:val="00BF3774"/>
    <w:rsid w:val="00BF5D04"/>
    <w:rsid w:val="00C009AA"/>
    <w:rsid w:val="00C012D0"/>
    <w:rsid w:val="00C023EB"/>
    <w:rsid w:val="00C1164D"/>
    <w:rsid w:val="00C1339A"/>
    <w:rsid w:val="00C16861"/>
    <w:rsid w:val="00C20745"/>
    <w:rsid w:val="00C20E52"/>
    <w:rsid w:val="00C346AB"/>
    <w:rsid w:val="00C404A6"/>
    <w:rsid w:val="00C40A36"/>
    <w:rsid w:val="00C44419"/>
    <w:rsid w:val="00C45E7B"/>
    <w:rsid w:val="00C471B1"/>
    <w:rsid w:val="00C51B51"/>
    <w:rsid w:val="00C52E24"/>
    <w:rsid w:val="00C6316B"/>
    <w:rsid w:val="00C634A9"/>
    <w:rsid w:val="00C64586"/>
    <w:rsid w:val="00C70D53"/>
    <w:rsid w:val="00C73D0B"/>
    <w:rsid w:val="00C745E0"/>
    <w:rsid w:val="00C772FF"/>
    <w:rsid w:val="00C80137"/>
    <w:rsid w:val="00C801AF"/>
    <w:rsid w:val="00C80256"/>
    <w:rsid w:val="00C816F8"/>
    <w:rsid w:val="00C94CD4"/>
    <w:rsid w:val="00C9747E"/>
    <w:rsid w:val="00CA4584"/>
    <w:rsid w:val="00CA6750"/>
    <w:rsid w:val="00CB6BC0"/>
    <w:rsid w:val="00CC1B7C"/>
    <w:rsid w:val="00CC1EFF"/>
    <w:rsid w:val="00CC727F"/>
    <w:rsid w:val="00CE4D15"/>
    <w:rsid w:val="00CF15C3"/>
    <w:rsid w:val="00CF2B6F"/>
    <w:rsid w:val="00CF2F3E"/>
    <w:rsid w:val="00CF58B6"/>
    <w:rsid w:val="00D0062D"/>
    <w:rsid w:val="00D017ED"/>
    <w:rsid w:val="00D040D3"/>
    <w:rsid w:val="00D04C65"/>
    <w:rsid w:val="00D153D8"/>
    <w:rsid w:val="00D201D2"/>
    <w:rsid w:val="00D224FE"/>
    <w:rsid w:val="00D23139"/>
    <w:rsid w:val="00D425BB"/>
    <w:rsid w:val="00D453FA"/>
    <w:rsid w:val="00D55B5E"/>
    <w:rsid w:val="00D6493E"/>
    <w:rsid w:val="00D7195D"/>
    <w:rsid w:val="00D7301E"/>
    <w:rsid w:val="00D762D7"/>
    <w:rsid w:val="00D76ED3"/>
    <w:rsid w:val="00D83AE1"/>
    <w:rsid w:val="00D855D4"/>
    <w:rsid w:val="00D90256"/>
    <w:rsid w:val="00D902C9"/>
    <w:rsid w:val="00D93466"/>
    <w:rsid w:val="00D97E5A"/>
    <w:rsid w:val="00DA1124"/>
    <w:rsid w:val="00DA2694"/>
    <w:rsid w:val="00DA64CB"/>
    <w:rsid w:val="00DA66B7"/>
    <w:rsid w:val="00DB06B8"/>
    <w:rsid w:val="00DB1CD5"/>
    <w:rsid w:val="00DB6124"/>
    <w:rsid w:val="00DB750B"/>
    <w:rsid w:val="00DB75B7"/>
    <w:rsid w:val="00DC0A2F"/>
    <w:rsid w:val="00DC1948"/>
    <w:rsid w:val="00DC6E02"/>
    <w:rsid w:val="00DD28CD"/>
    <w:rsid w:val="00DD623C"/>
    <w:rsid w:val="00DE02AE"/>
    <w:rsid w:val="00DE39D1"/>
    <w:rsid w:val="00DF1D7F"/>
    <w:rsid w:val="00DF4BE4"/>
    <w:rsid w:val="00E02382"/>
    <w:rsid w:val="00E02FB4"/>
    <w:rsid w:val="00E13FC7"/>
    <w:rsid w:val="00E20571"/>
    <w:rsid w:val="00E235F7"/>
    <w:rsid w:val="00E23659"/>
    <w:rsid w:val="00E239D4"/>
    <w:rsid w:val="00E26130"/>
    <w:rsid w:val="00E26D6F"/>
    <w:rsid w:val="00E40B22"/>
    <w:rsid w:val="00E44ED1"/>
    <w:rsid w:val="00E45619"/>
    <w:rsid w:val="00E4588F"/>
    <w:rsid w:val="00E461E3"/>
    <w:rsid w:val="00E46DA3"/>
    <w:rsid w:val="00E51BB1"/>
    <w:rsid w:val="00E55CB0"/>
    <w:rsid w:val="00E624A5"/>
    <w:rsid w:val="00E64BA4"/>
    <w:rsid w:val="00E652A9"/>
    <w:rsid w:val="00E66F1B"/>
    <w:rsid w:val="00E7344E"/>
    <w:rsid w:val="00E75B58"/>
    <w:rsid w:val="00E82665"/>
    <w:rsid w:val="00E95EA5"/>
    <w:rsid w:val="00EB0798"/>
    <w:rsid w:val="00EB40AD"/>
    <w:rsid w:val="00EB586E"/>
    <w:rsid w:val="00EB5FC8"/>
    <w:rsid w:val="00EC2465"/>
    <w:rsid w:val="00EC463D"/>
    <w:rsid w:val="00EC4B94"/>
    <w:rsid w:val="00EC7A85"/>
    <w:rsid w:val="00ED2839"/>
    <w:rsid w:val="00ED2922"/>
    <w:rsid w:val="00ED3CAD"/>
    <w:rsid w:val="00ED5A41"/>
    <w:rsid w:val="00EE1DE8"/>
    <w:rsid w:val="00EE27C2"/>
    <w:rsid w:val="00EF4BAD"/>
    <w:rsid w:val="00EF59DC"/>
    <w:rsid w:val="00F033EC"/>
    <w:rsid w:val="00F034D5"/>
    <w:rsid w:val="00F04F68"/>
    <w:rsid w:val="00F12670"/>
    <w:rsid w:val="00F14B27"/>
    <w:rsid w:val="00F22445"/>
    <w:rsid w:val="00F3148D"/>
    <w:rsid w:val="00F325C5"/>
    <w:rsid w:val="00F32FE0"/>
    <w:rsid w:val="00F35298"/>
    <w:rsid w:val="00F46030"/>
    <w:rsid w:val="00F47333"/>
    <w:rsid w:val="00F47E37"/>
    <w:rsid w:val="00F53C07"/>
    <w:rsid w:val="00F54B65"/>
    <w:rsid w:val="00F640B6"/>
    <w:rsid w:val="00F65846"/>
    <w:rsid w:val="00F66DF2"/>
    <w:rsid w:val="00F67F85"/>
    <w:rsid w:val="00F80E40"/>
    <w:rsid w:val="00F848D9"/>
    <w:rsid w:val="00F85C1C"/>
    <w:rsid w:val="00F91554"/>
    <w:rsid w:val="00F97303"/>
    <w:rsid w:val="00FA5069"/>
    <w:rsid w:val="00FA5B82"/>
    <w:rsid w:val="00FA639E"/>
    <w:rsid w:val="00FB56EA"/>
    <w:rsid w:val="00FC1FCA"/>
    <w:rsid w:val="00FC25E4"/>
    <w:rsid w:val="00FC4EF7"/>
    <w:rsid w:val="00FD0824"/>
    <w:rsid w:val="00FD119B"/>
    <w:rsid w:val="00FD1EDC"/>
    <w:rsid w:val="00FE1DEE"/>
    <w:rsid w:val="00FE69D2"/>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CAEC475"/>
  <w15:docId w15:val="{DC893049-8865-4C08-AAA5-BC096D7F2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8852C3"/>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768B2"/>
    <w:pPr>
      <w:adjustRightInd w:val="0"/>
      <w:snapToGrid w:val="0"/>
      <w:spacing w:before="180" w:after="180"/>
      <w:ind w:left="720"/>
      <w:contextualSpacing/>
    </w:pPr>
    <w:rPr>
      <w:rFonts w:eastAsia="MS Mincho"/>
      <w:szCs w:val="20"/>
      <w:lang w:eastAsia="ja-JP"/>
    </w:rPr>
  </w:style>
  <w:style w:type="paragraph" w:styleId="BodyText">
    <w:name w:val="Body Text"/>
    <w:basedOn w:val="Normal"/>
    <w:link w:val="BodyTextChar"/>
    <w:uiPriority w:val="1"/>
    <w:qFormat/>
    <w:rsid w:val="00B768B2"/>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B768B2"/>
    <w:rPr>
      <w:rFonts w:ascii="Cambria" w:eastAsia="Cambria" w:hAnsi="Cambria" w:cs="Cambria"/>
      <w:lang w:eastAsia="en-AU" w:bidi="en-AU"/>
    </w:rPr>
  </w:style>
  <w:style w:type="paragraph" w:customStyle="1" w:styleId="TableParagraph">
    <w:name w:val="Table Paragraph"/>
    <w:basedOn w:val="Normal"/>
    <w:uiPriority w:val="1"/>
    <w:qFormat/>
    <w:rsid w:val="00B768B2"/>
    <w:pPr>
      <w:widowControl w:val="0"/>
      <w:autoSpaceDE w:val="0"/>
      <w:autoSpaceDN w:val="0"/>
      <w:spacing w:before="0" w:after="0" w:line="224" w:lineRule="exact"/>
      <w:ind w:left="278"/>
    </w:pPr>
    <w:rPr>
      <w:rFonts w:ascii="Calibri" w:eastAsia="Calibri" w:hAnsi="Calibri" w:cs="Calibri"/>
      <w:lang w:eastAsia="en-AU" w:bidi="en-AU"/>
    </w:rPr>
  </w:style>
  <w:style w:type="paragraph" w:customStyle="1" w:styleId="Standard">
    <w:name w:val="Standard"/>
    <w:basedOn w:val="Normal"/>
    <w:link w:val="StandardChar"/>
    <w:qFormat/>
    <w:rsid w:val="00CA4584"/>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A4584"/>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CA4584"/>
    <w:rPr>
      <w:rFonts w:ascii="Cambria" w:eastAsia="Cambria" w:hAnsi="Cambria" w:cs="Times New Roman"/>
      <w:snapToGrid/>
      <w:kern w:val="16"/>
      <w:sz w:val="19"/>
      <w:szCs w:val="24"/>
    </w:rPr>
  </w:style>
  <w:style w:type="paragraph" w:customStyle="1" w:styleId="Bulletlist">
    <w:name w:val="Bullet list"/>
    <w:basedOn w:val="Normal"/>
    <w:link w:val="BulletlistChar"/>
    <w:qFormat/>
    <w:rsid w:val="00150578"/>
    <w:pPr>
      <w:numPr>
        <w:numId w:val="20"/>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150578"/>
    <w:rPr>
      <w:rFonts w:ascii="Cambria" w:eastAsia="Times New Roman" w:hAnsi="Cambria" w:cs="Times New Roman"/>
      <w:snapToGrid w:val="0"/>
      <w:kern w:val="2"/>
      <w:sz w:val="23"/>
    </w:rPr>
  </w:style>
  <w:style w:type="paragraph" w:customStyle="1" w:styleId="Default">
    <w:name w:val="Default"/>
    <w:rsid w:val="00150578"/>
    <w:pPr>
      <w:autoSpaceDE w:val="0"/>
      <w:autoSpaceDN w:val="0"/>
      <w:adjustRightInd w:val="0"/>
      <w:spacing w:after="0" w:line="240" w:lineRule="auto"/>
    </w:pPr>
    <w:rPr>
      <w:rFonts w:ascii="Times New Roman" w:eastAsia="MS Mincho"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90786">
      <w:bodyDiv w:val="1"/>
      <w:marLeft w:val="0"/>
      <w:marRight w:val="0"/>
      <w:marTop w:val="0"/>
      <w:marBottom w:val="0"/>
      <w:divBdr>
        <w:top w:val="none" w:sz="0" w:space="0" w:color="auto"/>
        <w:left w:val="none" w:sz="0" w:space="0" w:color="auto"/>
        <w:bottom w:val="none" w:sz="0" w:space="0" w:color="auto"/>
        <w:right w:val="none" w:sz="0" w:space="0" w:color="auto"/>
      </w:divBdr>
    </w:div>
    <w:div w:id="677851289">
      <w:bodyDiv w:val="1"/>
      <w:marLeft w:val="0"/>
      <w:marRight w:val="0"/>
      <w:marTop w:val="0"/>
      <w:marBottom w:val="0"/>
      <w:divBdr>
        <w:top w:val="none" w:sz="0" w:space="0" w:color="auto"/>
        <w:left w:val="none" w:sz="0" w:space="0" w:color="auto"/>
        <w:bottom w:val="none" w:sz="0" w:space="0" w:color="auto"/>
        <w:right w:val="none" w:sz="0" w:space="0" w:color="auto"/>
      </w:divBdr>
      <w:divsChild>
        <w:div w:id="351104876">
          <w:marLeft w:val="0"/>
          <w:marRight w:val="0"/>
          <w:marTop w:val="0"/>
          <w:marBottom w:val="0"/>
          <w:divBdr>
            <w:top w:val="none" w:sz="0" w:space="0" w:color="auto"/>
            <w:left w:val="none" w:sz="0" w:space="0" w:color="auto"/>
            <w:bottom w:val="none" w:sz="0" w:space="0" w:color="auto"/>
            <w:right w:val="none" w:sz="0" w:space="0" w:color="auto"/>
          </w:divBdr>
          <w:divsChild>
            <w:div w:id="1182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46960">
      <w:bodyDiv w:val="1"/>
      <w:marLeft w:val="0"/>
      <w:marRight w:val="0"/>
      <w:marTop w:val="0"/>
      <w:marBottom w:val="0"/>
      <w:divBdr>
        <w:top w:val="none" w:sz="0" w:space="0" w:color="auto"/>
        <w:left w:val="none" w:sz="0" w:space="0" w:color="auto"/>
        <w:bottom w:val="none" w:sz="0" w:space="0" w:color="auto"/>
        <w:right w:val="none" w:sz="0" w:space="0" w:color="auto"/>
      </w:divBdr>
      <w:divsChild>
        <w:div w:id="380642309">
          <w:marLeft w:val="0"/>
          <w:marRight w:val="0"/>
          <w:marTop w:val="0"/>
          <w:marBottom w:val="0"/>
          <w:divBdr>
            <w:top w:val="none" w:sz="0" w:space="0" w:color="auto"/>
            <w:left w:val="none" w:sz="0" w:space="0" w:color="auto"/>
            <w:bottom w:val="none" w:sz="0" w:space="0" w:color="auto"/>
            <w:right w:val="none" w:sz="0" w:space="0" w:color="auto"/>
          </w:divBdr>
          <w:divsChild>
            <w:div w:id="2099981923">
              <w:marLeft w:val="0"/>
              <w:marRight w:val="0"/>
              <w:marTop w:val="0"/>
              <w:marBottom w:val="0"/>
              <w:divBdr>
                <w:top w:val="none" w:sz="0" w:space="0" w:color="auto"/>
                <w:left w:val="none" w:sz="0" w:space="0" w:color="auto"/>
                <w:bottom w:val="none" w:sz="0" w:space="0" w:color="auto"/>
                <w:right w:val="none" w:sz="0" w:space="0" w:color="auto"/>
              </w:divBdr>
              <w:divsChild>
                <w:div w:id="324212457">
                  <w:marLeft w:val="0"/>
                  <w:marRight w:val="0"/>
                  <w:marTop w:val="0"/>
                  <w:marBottom w:val="0"/>
                  <w:divBdr>
                    <w:top w:val="none" w:sz="0" w:space="0" w:color="auto"/>
                    <w:left w:val="none" w:sz="0" w:space="0" w:color="auto"/>
                    <w:bottom w:val="none" w:sz="0" w:space="0" w:color="auto"/>
                    <w:right w:val="none" w:sz="0" w:space="0" w:color="auto"/>
                  </w:divBdr>
                  <w:divsChild>
                    <w:div w:id="712729087">
                      <w:marLeft w:val="0"/>
                      <w:marRight w:val="0"/>
                      <w:marTop w:val="0"/>
                      <w:marBottom w:val="0"/>
                      <w:divBdr>
                        <w:top w:val="none" w:sz="0" w:space="0" w:color="auto"/>
                        <w:left w:val="none" w:sz="0" w:space="0" w:color="auto"/>
                        <w:bottom w:val="none" w:sz="0" w:space="0" w:color="auto"/>
                        <w:right w:val="none" w:sz="0" w:space="0" w:color="auto"/>
                      </w:divBdr>
                      <w:divsChild>
                        <w:div w:id="1171946586">
                          <w:marLeft w:val="0"/>
                          <w:marRight w:val="0"/>
                          <w:marTop w:val="0"/>
                          <w:marBottom w:val="0"/>
                          <w:divBdr>
                            <w:top w:val="none" w:sz="0" w:space="0" w:color="auto"/>
                            <w:left w:val="none" w:sz="0" w:space="0" w:color="auto"/>
                            <w:bottom w:val="none" w:sz="0" w:space="0" w:color="auto"/>
                            <w:right w:val="none" w:sz="0" w:space="0" w:color="auto"/>
                          </w:divBdr>
                          <w:divsChild>
                            <w:div w:id="70085384">
                              <w:marLeft w:val="0"/>
                              <w:marRight w:val="0"/>
                              <w:marTop w:val="0"/>
                              <w:marBottom w:val="0"/>
                              <w:divBdr>
                                <w:top w:val="none" w:sz="0" w:space="0" w:color="auto"/>
                                <w:left w:val="none" w:sz="0" w:space="0" w:color="auto"/>
                                <w:bottom w:val="none" w:sz="0" w:space="0" w:color="auto"/>
                                <w:right w:val="none" w:sz="0" w:space="0" w:color="auto"/>
                              </w:divBdr>
                              <w:divsChild>
                                <w:div w:id="1304848348">
                                  <w:marLeft w:val="0"/>
                                  <w:marRight w:val="0"/>
                                  <w:marTop w:val="0"/>
                                  <w:marBottom w:val="0"/>
                                  <w:divBdr>
                                    <w:top w:val="none" w:sz="0" w:space="0" w:color="auto"/>
                                    <w:left w:val="none" w:sz="0" w:space="0" w:color="auto"/>
                                    <w:bottom w:val="none" w:sz="0" w:space="0" w:color="auto"/>
                                    <w:right w:val="none" w:sz="0" w:space="0" w:color="auto"/>
                                  </w:divBdr>
                                  <w:divsChild>
                                    <w:div w:id="1172916017">
                                      <w:marLeft w:val="0"/>
                                      <w:marRight w:val="0"/>
                                      <w:marTop w:val="0"/>
                                      <w:marBottom w:val="0"/>
                                      <w:divBdr>
                                        <w:top w:val="none" w:sz="0" w:space="0" w:color="auto"/>
                                        <w:left w:val="none" w:sz="0" w:space="0" w:color="auto"/>
                                        <w:bottom w:val="none" w:sz="0" w:space="0" w:color="auto"/>
                                        <w:right w:val="none" w:sz="0" w:space="0" w:color="auto"/>
                                      </w:divBdr>
                                      <w:divsChild>
                                        <w:div w:id="320624941">
                                          <w:marLeft w:val="0"/>
                                          <w:marRight w:val="0"/>
                                          <w:marTop w:val="0"/>
                                          <w:marBottom w:val="0"/>
                                          <w:divBdr>
                                            <w:top w:val="none" w:sz="0" w:space="0" w:color="auto"/>
                                            <w:left w:val="none" w:sz="0" w:space="0" w:color="auto"/>
                                            <w:bottom w:val="none" w:sz="0" w:space="0" w:color="auto"/>
                                            <w:right w:val="none" w:sz="0" w:space="0" w:color="auto"/>
                                          </w:divBdr>
                                          <w:divsChild>
                                            <w:div w:id="2097286125">
                                              <w:marLeft w:val="0"/>
                                              <w:marRight w:val="0"/>
                                              <w:marTop w:val="0"/>
                                              <w:marBottom w:val="0"/>
                                              <w:divBdr>
                                                <w:top w:val="none" w:sz="0" w:space="0" w:color="auto"/>
                                                <w:left w:val="none" w:sz="0" w:space="0" w:color="auto"/>
                                                <w:bottom w:val="none" w:sz="0" w:space="0" w:color="auto"/>
                                                <w:right w:val="none" w:sz="0" w:space="0" w:color="auto"/>
                                              </w:divBdr>
                                              <w:divsChild>
                                                <w:div w:id="1086196586">
                                                  <w:marLeft w:val="0"/>
                                                  <w:marRight w:val="0"/>
                                                  <w:marTop w:val="0"/>
                                                  <w:marBottom w:val="0"/>
                                                  <w:divBdr>
                                                    <w:top w:val="none" w:sz="0" w:space="0" w:color="auto"/>
                                                    <w:left w:val="none" w:sz="0" w:space="0" w:color="auto"/>
                                                    <w:bottom w:val="none" w:sz="0" w:space="0" w:color="auto"/>
                                                    <w:right w:val="none" w:sz="0" w:space="0" w:color="auto"/>
                                                  </w:divBdr>
                                                  <w:divsChild>
                                                    <w:div w:id="876502841">
                                                      <w:marLeft w:val="0"/>
                                                      <w:marRight w:val="0"/>
                                                      <w:marTop w:val="0"/>
                                                      <w:marBottom w:val="0"/>
                                                      <w:divBdr>
                                                        <w:top w:val="none" w:sz="0" w:space="0" w:color="auto"/>
                                                        <w:left w:val="none" w:sz="0" w:space="0" w:color="auto"/>
                                                        <w:bottom w:val="none" w:sz="0" w:space="0" w:color="auto"/>
                                                        <w:right w:val="none" w:sz="0" w:space="0" w:color="auto"/>
                                                      </w:divBdr>
                                                      <w:divsChild>
                                                        <w:div w:id="43155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6.xm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hyperlink" Target="mailto:info@tga.gov.au" TargetMode="Externa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image" Target="media/image13.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tga.gov.au/product-information-pi" TargetMode="External"/><Relationship Id="rId43" Type="http://schemas.openxmlformats.org/officeDocument/2006/relationships/header" Target="header8.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15108\t0Q3TES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948C0DF25EC8428F8D85CD18B4B33C" ma:contentTypeVersion="11" ma:contentTypeDescription="Create a new document." ma:contentTypeScope="" ma:versionID="f933ce7c102b595def719a68a99319e8">
  <xsd:schema xmlns:xsd="http://www.w3.org/2001/XMLSchema" xmlns:xs="http://www.w3.org/2001/XMLSchema" xmlns:p="http://schemas.microsoft.com/office/2006/metadata/properties" xmlns:ns3="9ca9a095-fa55-4024-bb52-e018dcf7df21" xmlns:ns4="d07d89e0-bfe9-4d41-9190-1180202ec1ff" targetNamespace="http://schemas.microsoft.com/office/2006/metadata/properties" ma:root="true" ma:fieldsID="1a4cd592b3fe328936627feb6951a974" ns3:_="" ns4:_="">
    <xsd:import namespace="9ca9a095-fa55-4024-bb52-e018dcf7df21"/>
    <xsd:import namespace="d07d89e0-bfe9-4d41-9190-1180202ec1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9a095-fa55-4024-bb52-e018dcf7d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7d89e0-bfe9-4d41-9190-1180202ec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D985A-F6CD-4F1E-AD63-4FEDCBA91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9a095-fa55-4024-bb52-e018dcf7df21"/>
    <ds:schemaRef ds:uri="d07d89e0-bfe9-4d41-9190-1180202ec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B9BC4-A6C2-45F1-84D5-2A77F464A7A0}">
  <ds:schemaRefs>
    <ds:schemaRef ds:uri="http://schemas.microsoft.com/sharepoint/v3/contenttype/forms"/>
  </ds:schemaRefs>
</ds:datastoreItem>
</file>

<file path=customXml/itemProps3.xml><?xml version="1.0" encoding="utf-8"?>
<ds:datastoreItem xmlns:ds="http://schemas.openxmlformats.org/officeDocument/2006/customXml" ds:itemID="{34F4460B-D30E-446F-B0FD-7C38588F8EDB}">
  <ds:schemaRefs>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http://purl.org/dc/dcmitype/"/>
    <ds:schemaRef ds:uri="d07d89e0-bfe9-4d41-9190-1180202ec1ff"/>
    <ds:schemaRef ds:uri="http://www.w3.org/XML/1998/namespace"/>
    <ds:schemaRef ds:uri="9ca9a095-fa55-4024-bb52-e018dcf7df21"/>
    <ds:schemaRef ds:uri="http://schemas.microsoft.com/office/2006/metadata/properties"/>
  </ds:schemaRefs>
</ds:datastoreItem>
</file>

<file path=customXml/itemProps4.xml><?xml version="1.0" encoding="utf-8"?>
<ds:datastoreItem xmlns:ds="http://schemas.openxmlformats.org/officeDocument/2006/customXml" ds:itemID="{45074269-C279-4AC7-AB2B-3F65B772F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t0Q3TESE</Template>
  <TotalTime>25</TotalTime>
  <Pages>43</Pages>
  <Words>13893</Words>
  <Characters>75580</Characters>
  <Application>Microsoft Office Word</Application>
  <DocSecurity>0</DocSecurity>
  <Lines>2438</Lines>
  <Paragraphs>1516</Paragraphs>
  <ScaleCrop>false</ScaleCrop>
  <HeadingPairs>
    <vt:vector size="2" baseType="variant">
      <vt:variant>
        <vt:lpstr>Title</vt:lpstr>
      </vt:variant>
      <vt:variant>
        <vt:i4>1</vt:i4>
      </vt:variant>
    </vt:vector>
  </HeadingPairs>
  <TitlesOfParts>
    <vt:vector size="1" baseType="lpstr">
      <vt:lpstr>Australian public assessment for Siponimod</vt:lpstr>
    </vt:vector>
  </TitlesOfParts>
  <Company>Department of Health Therapeutic Goods Administration</Company>
  <LinksUpToDate>false</LinksUpToDate>
  <CharactersWithSpaces>87957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Siponimod</dc:title>
  <dc:subject>prescription medicines</dc:subject>
  <dc:creator>Therapeutic Goods Administration</dc:creator>
  <cp:keywords>AusPARs</cp:keywords>
  <cp:lastPrinted>2019-08-14T04:30:00Z</cp:lastPrinted>
  <dcterms:created xsi:type="dcterms:W3CDTF">2020-01-02T03:18:00Z</dcterms:created>
  <dcterms:modified xsi:type="dcterms:W3CDTF">2020-01-02T03:44:00Z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29bff8-5b33-42aa-95d2-28f72e792cb0_Enabled">
    <vt:lpwstr>True</vt:lpwstr>
  </property>
  <property fmtid="{D5CDD505-2E9C-101B-9397-08002B2CF9AE}" pid="3" name="MSIP_Label_4929bff8-5b33-42aa-95d2-28f72e792cb0_SiteId">
    <vt:lpwstr>f35a6974-607f-47d4-82d7-ff31d7dc53a5</vt:lpwstr>
  </property>
  <property fmtid="{D5CDD505-2E9C-101B-9397-08002B2CF9AE}" pid="4" name="MSIP_Label_4929bff8-5b33-42aa-95d2-28f72e792cb0_Owner">
    <vt:lpwstr>GARDIAN2@novartis.net</vt:lpwstr>
  </property>
  <property fmtid="{D5CDD505-2E9C-101B-9397-08002B2CF9AE}" pid="5" name="MSIP_Label_4929bff8-5b33-42aa-95d2-28f72e792cb0_SetDate">
    <vt:lpwstr>2019-11-25T15:36:54.1435845Z</vt:lpwstr>
  </property>
  <property fmtid="{D5CDD505-2E9C-101B-9397-08002B2CF9AE}" pid="6" name="MSIP_Label_4929bff8-5b33-42aa-95d2-28f72e792cb0_Name">
    <vt:lpwstr>Business Use Only</vt:lpwstr>
  </property>
  <property fmtid="{D5CDD505-2E9C-101B-9397-08002B2CF9AE}" pid="7" name="MSIP_Label_4929bff8-5b33-42aa-95d2-28f72e792cb0_Application">
    <vt:lpwstr>Microsoft Azure Information Protection</vt:lpwstr>
  </property>
  <property fmtid="{D5CDD505-2E9C-101B-9397-08002B2CF9AE}" pid="8" name="MSIP_Label_4929bff8-5b33-42aa-95d2-28f72e792cb0_ActionId">
    <vt:lpwstr>ff4117f6-51ee-4433-8f8a-9818d6c30c45</vt:lpwstr>
  </property>
  <property fmtid="{D5CDD505-2E9C-101B-9397-08002B2CF9AE}" pid="9" name="MSIP_Label_4929bff8-5b33-42aa-95d2-28f72e792cb0_Extended_MSFT_Method">
    <vt:lpwstr>Automatic</vt:lpwstr>
  </property>
  <property fmtid="{D5CDD505-2E9C-101B-9397-08002B2CF9AE}" pid="10" name="Confidentiality">
    <vt:lpwstr>Business Use Only</vt:lpwstr>
  </property>
  <property fmtid="{D5CDD505-2E9C-101B-9397-08002B2CF9AE}" pid="11" name="ContentTypeId">
    <vt:lpwstr>0x0101002E948C0DF25EC8428F8D85CD18B4B33C</vt:lpwstr>
  </property>
</Properties>
</file>