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E3" w:rsidRPr="00C9764A" w:rsidRDefault="000272F4" w:rsidP="00C9764A">
      <w:pPr>
        <w:pStyle w:val="PIMAINHEADING"/>
        <w:pBdr>
          <w:top w:val="single" w:sz="4" w:space="1" w:color="auto"/>
          <w:bottom w:val="none" w:sz="0" w:space="0" w:color="auto"/>
        </w:pBdr>
        <w:jc w:val="center"/>
        <w:rPr>
          <w:b w:val="0"/>
        </w:rPr>
      </w:pPr>
      <w:r>
        <w:t>OLYSIO</w:t>
      </w:r>
      <w:r w:rsidR="00615628" w:rsidRPr="00615628">
        <w:rPr>
          <w:vertAlign w:val="superscript"/>
        </w:rPr>
        <w:t>®</w:t>
      </w:r>
    </w:p>
    <w:p w:rsidR="00041DB3" w:rsidRDefault="002C6BA1" w:rsidP="009F3479">
      <w:pPr>
        <w:pStyle w:val="PIProductInfo"/>
        <w:keepLines/>
        <w:pBdr>
          <w:bottom w:val="none" w:sz="0" w:space="0" w:color="auto"/>
        </w:pBdr>
      </w:pPr>
      <w:proofErr w:type="spellStart"/>
      <w:proofErr w:type="gramStart"/>
      <w:r>
        <w:t>simeprevir</w:t>
      </w:r>
      <w:proofErr w:type="spellEnd"/>
      <w:proofErr w:type="gramEnd"/>
    </w:p>
    <w:p w:rsidR="003B09E3" w:rsidRDefault="003A72D8" w:rsidP="00C9764A">
      <w:pPr>
        <w:pStyle w:val="PIProductInfo"/>
        <w:keepLines/>
        <w:pBdr>
          <w:bottom w:val="single" w:sz="4" w:space="1" w:color="auto"/>
        </w:pBdr>
        <w:sectPr w:rsidR="003B09E3" w:rsidSect="001C6A82">
          <w:headerReference w:type="default" r:id="rId9"/>
          <w:footerReference w:type="default" r:id="rId10"/>
          <w:type w:val="nextColumn"/>
          <w:pgSz w:w="11909" w:h="16834" w:code="9"/>
          <w:pgMar w:top="1134" w:right="1418" w:bottom="851" w:left="1134" w:header="284" w:footer="505" w:gutter="0"/>
          <w:cols w:space="720"/>
          <w:noEndnote/>
        </w:sectPr>
      </w:pPr>
      <w:r>
        <w:t>PRODUCT INFORMATION</w:t>
      </w:r>
    </w:p>
    <w:p w:rsidR="003B09E3" w:rsidRDefault="003A72D8" w:rsidP="00965395">
      <w:pPr>
        <w:pStyle w:val="Heading1"/>
      </w:pPr>
      <w:r>
        <w:lastRenderedPageBreak/>
        <w:t xml:space="preserve">name of the </w:t>
      </w:r>
      <w:r w:rsidRPr="00965395">
        <w:t>MEDICINE</w:t>
      </w:r>
    </w:p>
    <w:p w:rsidR="00041DB3" w:rsidRDefault="00041DB3" w:rsidP="002C6BA1">
      <w:pPr>
        <w:rPr>
          <w:lang w:val="en-US"/>
        </w:rPr>
      </w:pPr>
    </w:p>
    <w:p w:rsidR="00041DB3" w:rsidRPr="002C6BA1" w:rsidRDefault="00041DB3" w:rsidP="002C6BA1">
      <w:pPr>
        <w:rPr>
          <w:highlight w:val="yellow"/>
        </w:rPr>
      </w:pPr>
      <w:r w:rsidRPr="00C37872">
        <w:t xml:space="preserve">The chemical name of </w:t>
      </w:r>
      <w:proofErr w:type="spellStart"/>
      <w:r w:rsidR="00C37872" w:rsidRPr="00C37872">
        <w:t>simeprevir</w:t>
      </w:r>
      <w:proofErr w:type="spellEnd"/>
      <w:r w:rsidRPr="00C37872">
        <w:t xml:space="preserve"> is </w:t>
      </w:r>
      <w:r w:rsidR="00C37872" w:rsidRPr="00812106">
        <w:rPr>
          <w:szCs w:val="24"/>
          <w:lang w:val="fr-BE"/>
        </w:rPr>
        <w:t>(2</w:t>
      </w:r>
      <w:r w:rsidR="00C37872" w:rsidRPr="00812106">
        <w:rPr>
          <w:i/>
          <w:iCs/>
          <w:szCs w:val="24"/>
          <w:lang w:val="fr-BE"/>
        </w:rPr>
        <w:t>R</w:t>
      </w:r>
      <w:r w:rsidR="00C37872" w:rsidRPr="00812106">
        <w:rPr>
          <w:szCs w:val="24"/>
          <w:lang w:val="fr-BE"/>
        </w:rPr>
        <w:t>,3a</w:t>
      </w:r>
      <w:r w:rsidR="00C37872" w:rsidRPr="00812106">
        <w:rPr>
          <w:i/>
          <w:iCs/>
          <w:szCs w:val="24"/>
          <w:lang w:val="fr-BE"/>
        </w:rPr>
        <w:t>R</w:t>
      </w:r>
      <w:r w:rsidR="00C37872" w:rsidRPr="00812106">
        <w:rPr>
          <w:szCs w:val="24"/>
          <w:lang w:val="fr-BE"/>
        </w:rPr>
        <w:t>,10</w:t>
      </w:r>
      <w:r w:rsidR="00C37872" w:rsidRPr="00812106">
        <w:rPr>
          <w:i/>
          <w:iCs/>
          <w:szCs w:val="24"/>
          <w:lang w:val="fr-BE"/>
        </w:rPr>
        <w:t>Z</w:t>
      </w:r>
      <w:r w:rsidR="00C37872" w:rsidRPr="00812106">
        <w:rPr>
          <w:szCs w:val="24"/>
          <w:lang w:val="fr-BE"/>
        </w:rPr>
        <w:t>,11a</w:t>
      </w:r>
      <w:r w:rsidR="00C37872" w:rsidRPr="00812106">
        <w:rPr>
          <w:i/>
          <w:iCs/>
          <w:szCs w:val="24"/>
          <w:lang w:val="fr-BE"/>
        </w:rPr>
        <w:t>S</w:t>
      </w:r>
      <w:r w:rsidR="00C37872" w:rsidRPr="00812106">
        <w:rPr>
          <w:szCs w:val="24"/>
          <w:lang w:val="fr-BE"/>
        </w:rPr>
        <w:t>,12a</w:t>
      </w:r>
      <w:r w:rsidR="00C37872" w:rsidRPr="00812106">
        <w:rPr>
          <w:i/>
          <w:iCs/>
          <w:szCs w:val="24"/>
          <w:lang w:val="fr-BE"/>
        </w:rPr>
        <w:t>R</w:t>
      </w:r>
      <w:r w:rsidR="00C37872" w:rsidRPr="00812106">
        <w:rPr>
          <w:szCs w:val="24"/>
          <w:lang w:val="fr-BE"/>
        </w:rPr>
        <w:t>,14a</w:t>
      </w:r>
      <w:r w:rsidR="00C37872" w:rsidRPr="00812106">
        <w:rPr>
          <w:i/>
          <w:iCs/>
          <w:szCs w:val="24"/>
          <w:lang w:val="fr-BE"/>
        </w:rPr>
        <w:t>R</w:t>
      </w:r>
      <w:r w:rsidR="00C37872" w:rsidRPr="00812106">
        <w:rPr>
          <w:szCs w:val="24"/>
          <w:lang w:val="fr-BE"/>
        </w:rPr>
        <w:t>)-</w:t>
      </w:r>
      <w:r w:rsidR="00C37872" w:rsidRPr="00812106">
        <w:rPr>
          <w:i/>
          <w:iCs/>
          <w:szCs w:val="24"/>
          <w:lang w:val="fr-BE"/>
        </w:rPr>
        <w:t>N</w:t>
      </w:r>
      <w:r w:rsidR="00C37872" w:rsidRPr="00812106">
        <w:rPr>
          <w:szCs w:val="24"/>
          <w:lang w:val="fr-BE"/>
        </w:rPr>
        <w:t>-(cyclopropylsulfonyl)-2-[[2-(4-isopropyl-1,3-thiazol-2-yl)-7-methoxy-8-methyl-4-quinolinyl]oxy]-5-methyl-4,14-dioxo-2,3,</w:t>
      </w:r>
      <w:r w:rsidR="00C37872">
        <w:rPr>
          <w:szCs w:val="24"/>
          <w:lang w:val="fr-BE"/>
        </w:rPr>
        <w:t>3a,4,5,6,7,8,9,11a,12,13,14,14a-</w:t>
      </w:r>
      <w:r w:rsidR="00C37872" w:rsidRPr="00812106">
        <w:rPr>
          <w:szCs w:val="24"/>
          <w:lang w:val="fr-BE"/>
        </w:rPr>
        <w:t>tetradecahydrocyclopenta[</w:t>
      </w:r>
      <w:r w:rsidR="00C37872" w:rsidRPr="00812106">
        <w:rPr>
          <w:i/>
          <w:iCs/>
          <w:szCs w:val="24"/>
          <w:lang w:val="fr-BE"/>
        </w:rPr>
        <w:t>c</w:t>
      </w:r>
      <w:r w:rsidR="00C37872" w:rsidRPr="00812106">
        <w:rPr>
          <w:szCs w:val="24"/>
          <w:lang w:val="fr-BE"/>
        </w:rPr>
        <w:t>]cyclopropa[</w:t>
      </w:r>
      <w:r w:rsidR="00C37872" w:rsidRPr="00812106">
        <w:rPr>
          <w:i/>
          <w:iCs/>
          <w:szCs w:val="24"/>
          <w:lang w:val="fr-BE"/>
        </w:rPr>
        <w:t>g</w:t>
      </w:r>
      <w:r w:rsidR="00C37872" w:rsidRPr="00812106">
        <w:rPr>
          <w:szCs w:val="24"/>
          <w:lang w:val="fr-BE"/>
        </w:rPr>
        <w:t>][1,6]diazacyclotetradecine-12a(1</w:t>
      </w:r>
      <w:r w:rsidR="00C37872" w:rsidRPr="00812106">
        <w:rPr>
          <w:i/>
          <w:iCs/>
          <w:szCs w:val="24"/>
          <w:lang w:val="fr-BE"/>
        </w:rPr>
        <w:t>H</w:t>
      </w:r>
      <w:r w:rsidR="00C37872" w:rsidRPr="00812106">
        <w:rPr>
          <w:szCs w:val="24"/>
          <w:lang w:val="fr-BE"/>
        </w:rPr>
        <w:t>)-carboxamide</w:t>
      </w:r>
      <w:r w:rsidRPr="00C37872">
        <w:t>.</w:t>
      </w:r>
      <w:r w:rsidRPr="002C6BA1">
        <w:rPr>
          <w:highlight w:val="yellow"/>
        </w:rPr>
        <w:t xml:space="preserve">  </w:t>
      </w:r>
    </w:p>
    <w:p w:rsidR="00041DB3" w:rsidRPr="002C6BA1" w:rsidRDefault="00041DB3" w:rsidP="002C6BA1">
      <w:pPr>
        <w:rPr>
          <w:highlight w:val="yellow"/>
          <w:lang w:val="en-US"/>
        </w:rPr>
      </w:pPr>
    </w:p>
    <w:p w:rsidR="003B09E3" w:rsidRPr="00C37872" w:rsidRDefault="00C37872" w:rsidP="002C6BA1">
      <w:pPr>
        <w:rPr>
          <w:lang w:val="en-US"/>
        </w:rPr>
      </w:pPr>
      <w:proofErr w:type="spellStart"/>
      <w:r w:rsidRPr="00C37872">
        <w:rPr>
          <w:lang w:val="en-US"/>
        </w:rPr>
        <w:t>Simeprevir</w:t>
      </w:r>
      <w:proofErr w:type="spellEnd"/>
      <w:r w:rsidR="003A72D8" w:rsidRPr="00C37872">
        <w:rPr>
          <w:lang w:val="en-US"/>
        </w:rPr>
        <w:t xml:space="preserve"> has the following chemical structure:</w:t>
      </w:r>
    </w:p>
    <w:p w:rsidR="003B09E3" w:rsidRPr="002C6BA1" w:rsidRDefault="003B09E3" w:rsidP="002C6BA1">
      <w:pPr>
        <w:rPr>
          <w:highlight w:val="yellow"/>
        </w:rPr>
      </w:pPr>
    </w:p>
    <w:p w:rsidR="003B09E3" w:rsidRPr="002C6BA1" w:rsidRDefault="001C6A82" w:rsidP="00C37872">
      <w:pPr>
        <w:jc w:val="center"/>
        <w:rPr>
          <w:highlight w:val="yellow"/>
        </w:rPr>
      </w:pPr>
      <w:r>
        <w:object w:dxaOrig="5537" w:dyaOrig="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chemical structure" style="width:276pt;height:126.75pt" o:ole="">
            <v:imagedata r:id="rId11" o:title=""/>
          </v:shape>
          <o:OLEObject Type="Embed" ProgID="ChemDraw.Document.6.0" ShapeID="_x0000_i1025" DrawAspect="Content" ObjectID="_1477915948" r:id="rId12"/>
        </w:object>
      </w:r>
    </w:p>
    <w:p w:rsidR="00340C05" w:rsidRPr="002C6BA1" w:rsidRDefault="00340C05" w:rsidP="002C6BA1">
      <w:pPr>
        <w:rPr>
          <w:highlight w:val="yellow"/>
        </w:rPr>
      </w:pPr>
    </w:p>
    <w:p w:rsidR="00B25B6F" w:rsidRPr="00C37872" w:rsidRDefault="00B25B6F" w:rsidP="002C6BA1">
      <w:r w:rsidRPr="00C37872">
        <w:t>Molecular formula:</w:t>
      </w:r>
      <w:r w:rsidRPr="00C37872">
        <w:tab/>
      </w:r>
      <w:r w:rsidR="00C37872" w:rsidRPr="00C37872">
        <w:t>C</w:t>
      </w:r>
      <w:r w:rsidR="00C37872" w:rsidRPr="00C37872">
        <w:rPr>
          <w:vertAlign w:val="subscript"/>
        </w:rPr>
        <w:t>38</w:t>
      </w:r>
      <w:r w:rsidR="00C37872" w:rsidRPr="00C37872">
        <w:t>H</w:t>
      </w:r>
      <w:r w:rsidR="00C37872" w:rsidRPr="00C37872">
        <w:rPr>
          <w:vertAlign w:val="subscript"/>
        </w:rPr>
        <w:t>47</w:t>
      </w:r>
      <w:r w:rsidR="00C37872" w:rsidRPr="00C37872">
        <w:t>N</w:t>
      </w:r>
      <w:r w:rsidR="00C37872" w:rsidRPr="00C37872">
        <w:rPr>
          <w:vertAlign w:val="subscript"/>
        </w:rPr>
        <w:t>5</w:t>
      </w:r>
      <w:r w:rsidR="00C37872" w:rsidRPr="00C37872">
        <w:t>O</w:t>
      </w:r>
      <w:r w:rsidR="00C37872" w:rsidRPr="00C37872">
        <w:rPr>
          <w:vertAlign w:val="subscript"/>
        </w:rPr>
        <w:t>7</w:t>
      </w:r>
      <w:r w:rsidR="00C37872" w:rsidRPr="00C37872">
        <w:t>S</w:t>
      </w:r>
      <w:r w:rsidR="00C37872" w:rsidRPr="00C37872">
        <w:rPr>
          <w:vertAlign w:val="subscript"/>
        </w:rPr>
        <w:t>2</w:t>
      </w:r>
      <w:r w:rsidR="00C37872" w:rsidRPr="00C37872">
        <w:tab/>
      </w:r>
      <w:r w:rsidR="00C37872" w:rsidRPr="00C37872">
        <w:tab/>
      </w:r>
      <w:r w:rsidR="00C37872" w:rsidRPr="00C37872">
        <w:tab/>
        <w:t xml:space="preserve">Molecular weight: </w:t>
      </w:r>
      <w:r w:rsidR="00C37872" w:rsidRPr="00C37872">
        <w:tab/>
        <w:t>749.94</w:t>
      </w:r>
    </w:p>
    <w:p w:rsidR="00B25B6F" w:rsidRDefault="00F4410E" w:rsidP="002C6BA1">
      <w:r w:rsidRPr="00C37872">
        <w:t xml:space="preserve">CAS Registry Number:  </w:t>
      </w:r>
      <w:r w:rsidR="00C37872" w:rsidRPr="00C37872">
        <w:t>923604-59-5</w:t>
      </w:r>
    </w:p>
    <w:p w:rsidR="003B09E3" w:rsidRDefault="003A72D8" w:rsidP="00965395">
      <w:pPr>
        <w:pStyle w:val="Heading1"/>
      </w:pPr>
      <w:r>
        <w:t>DESCRIPTION</w:t>
      </w:r>
    </w:p>
    <w:p w:rsidR="00823568" w:rsidRPr="00823568" w:rsidRDefault="00823568">
      <w:pPr>
        <w:autoSpaceDE w:val="0"/>
        <w:autoSpaceDN w:val="0"/>
        <w:rPr>
          <w:rFonts w:cs="Arial"/>
          <w:szCs w:val="22"/>
        </w:rPr>
      </w:pPr>
      <w:proofErr w:type="spellStart"/>
      <w:r w:rsidRPr="00823568">
        <w:rPr>
          <w:rFonts w:cs="Arial"/>
          <w:szCs w:val="22"/>
        </w:rPr>
        <w:t>Simeprevir</w:t>
      </w:r>
      <w:proofErr w:type="spellEnd"/>
      <w:r w:rsidRPr="00823568">
        <w:rPr>
          <w:rFonts w:cs="Arial"/>
          <w:szCs w:val="22"/>
        </w:rPr>
        <w:t xml:space="preserve"> is a white to almost </w:t>
      </w:r>
      <w:r w:rsidR="003F541A" w:rsidRPr="00823568">
        <w:rPr>
          <w:rFonts w:cs="Arial"/>
          <w:szCs w:val="22"/>
        </w:rPr>
        <w:t xml:space="preserve">white powder. </w:t>
      </w:r>
    </w:p>
    <w:p w:rsidR="00622013" w:rsidRPr="00597EB2" w:rsidRDefault="00823568" w:rsidP="00823568">
      <w:pPr>
        <w:keepLines w:val="0"/>
        <w:autoSpaceDE w:val="0"/>
        <w:autoSpaceDN w:val="0"/>
        <w:adjustRightInd w:val="0"/>
        <w:rPr>
          <w:rFonts w:cs="Arial"/>
          <w:szCs w:val="22"/>
        </w:rPr>
      </w:pPr>
      <w:proofErr w:type="spellStart"/>
      <w:r w:rsidRPr="00823568">
        <w:rPr>
          <w:rFonts w:cs="Arial"/>
          <w:szCs w:val="22"/>
        </w:rPr>
        <w:t>Simeprevir</w:t>
      </w:r>
      <w:proofErr w:type="spellEnd"/>
      <w:r w:rsidR="003F541A" w:rsidRPr="00823568">
        <w:rPr>
          <w:rFonts w:cs="Arial"/>
          <w:szCs w:val="22"/>
        </w:rPr>
        <w:t xml:space="preserve"> is practically insoluble in water over a wide pH range, it</w:t>
      </w:r>
      <w:r w:rsidRPr="00823568">
        <w:rPr>
          <w:rFonts w:cs="Arial"/>
          <w:szCs w:val="22"/>
        </w:rPr>
        <w:t xml:space="preserve"> i</w:t>
      </w:r>
      <w:r w:rsidR="003F541A" w:rsidRPr="00823568">
        <w:rPr>
          <w:rFonts w:cs="Arial"/>
          <w:szCs w:val="22"/>
        </w:rPr>
        <w:t xml:space="preserve">s </w:t>
      </w:r>
      <w:r w:rsidRPr="00823568">
        <w:rPr>
          <w:rFonts w:cs="Arial"/>
          <w:szCs w:val="22"/>
        </w:rPr>
        <w:t>amphiprotic with a basic thiazole moiety (</w:t>
      </w:r>
      <w:proofErr w:type="spellStart"/>
      <w:r w:rsidRPr="00823568">
        <w:rPr>
          <w:rFonts w:cs="Arial"/>
          <w:szCs w:val="22"/>
        </w:rPr>
        <w:t>pKa</w:t>
      </w:r>
      <w:proofErr w:type="spellEnd"/>
      <w:r w:rsidRPr="00823568">
        <w:rPr>
          <w:rFonts w:cs="Arial"/>
          <w:szCs w:val="22"/>
        </w:rPr>
        <w:t xml:space="preserve"> = 2.85) </w:t>
      </w:r>
      <w:r>
        <w:rPr>
          <w:rFonts w:cs="Arial"/>
          <w:szCs w:val="22"/>
        </w:rPr>
        <w:t xml:space="preserve">and acidic </w:t>
      </w:r>
      <w:proofErr w:type="spellStart"/>
      <w:r w:rsidRPr="00823568">
        <w:rPr>
          <w:rFonts w:cs="Arial"/>
          <w:szCs w:val="22"/>
        </w:rPr>
        <w:t>sulfonyl</w:t>
      </w:r>
      <w:proofErr w:type="spellEnd"/>
      <w:r w:rsidRPr="00823568">
        <w:rPr>
          <w:rFonts w:cs="Arial"/>
          <w:szCs w:val="22"/>
        </w:rPr>
        <w:t xml:space="preserve"> </w:t>
      </w:r>
      <w:proofErr w:type="spellStart"/>
      <w:r w:rsidRPr="00823568">
        <w:rPr>
          <w:rFonts w:cs="Arial"/>
          <w:szCs w:val="22"/>
        </w:rPr>
        <w:t>carboxamide</w:t>
      </w:r>
      <w:proofErr w:type="spellEnd"/>
      <w:r w:rsidRPr="00823568">
        <w:rPr>
          <w:rFonts w:cs="Arial"/>
          <w:szCs w:val="22"/>
        </w:rPr>
        <w:t xml:space="preserve"> group (</w:t>
      </w:r>
      <w:proofErr w:type="spellStart"/>
      <w:r w:rsidRPr="00823568">
        <w:rPr>
          <w:rFonts w:cs="Arial"/>
          <w:szCs w:val="22"/>
        </w:rPr>
        <w:t>pKa</w:t>
      </w:r>
      <w:proofErr w:type="spellEnd"/>
      <w:r w:rsidRPr="00823568">
        <w:rPr>
          <w:rFonts w:cs="Arial"/>
          <w:szCs w:val="22"/>
        </w:rPr>
        <w:t xml:space="preserve"> = 5.24).</w:t>
      </w:r>
      <w:r>
        <w:rPr>
          <w:rFonts w:cs="Arial"/>
          <w:szCs w:val="22"/>
        </w:rPr>
        <w:t xml:space="preserve"> The distribution coefficient (log D; using 1-octanol) was greater than 4.5 regardless of pH or aqueous buffered solution</w:t>
      </w:r>
      <w:r w:rsidRPr="00823568">
        <w:rPr>
          <w:rFonts w:cs="Arial"/>
          <w:szCs w:val="22"/>
        </w:rPr>
        <w:t xml:space="preserve"> (at 22</w:t>
      </w:r>
      <w:r w:rsidR="003F541A" w:rsidRPr="00823568">
        <w:rPr>
          <w:rFonts w:cs="Arial"/>
          <w:szCs w:val="22"/>
        </w:rPr>
        <w:t>°C).</w:t>
      </w:r>
    </w:p>
    <w:p w:rsidR="002C6BA1" w:rsidRDefault="002C6BA1" w:rsidP="00303BF4">
      <w:pPr>
        <w:keepLines w:val="0"/>
        <w:autoSpaceDE w:val="0"/>
        <w:autoSpaceDN w:val="0"/>
        <w:adjustRightInd w:val="0"/>
      </w:pPr>
    </w:p>
    <w:p w:rsidR="002C6BA1" w:rsidRPr="000E7461" w:rsidRDefault="00194D66" w:rsidP="002C6BA1">
      <w:r>
        <w:t>OLYSIO</w:t>
      </w:r>
      <w:r w:rsidR="002C6BA1">
        <w:t xml:space="preserve"> </w:t>
      </w:r>
      <w:r w:rsidR="004F2A8D">
        <w:t>(</w:t>
      </w:r>
      <w:proofErr w:type="spellStart"/>
      <w:r w:rsidR="002C6BA1">
        <w:t>simeprevir</w:t>
      </w:r>
      <w:proofErr w:type="spellEnd"/>
      <w:r w:rsidR="004F2A8D">
        <w:t>)</w:t>
      </w:r>
      <w:r w:rsidR="002C6BA1">
        <w:t xml:space="preserve"> is available as 150 mg</w:t>
      </w:r>
      <w:r w:rsidR="004F2A8D">
        <w:t xml:space="preserve"> hard</w:t>
      </w:r>
      <w:r w:rsidR="002C6BA1">
        <w:t xml:space="preserve"> capsules</w:t>
      </w:r>
      <w:r w:rsidR="004F2A8D">
        <w:t xml:space="preserve"> for oral use</w:t>
      </w:r>
      <w:r w:rsidR="00932825">
        <w:t xml:space="preserve">. </w:t>
      </w:r>
      <w:r w:rsidR="00080FBA">
        <w:t xml:space="preserve">The capsules </w:t>
      </w:r>
      <w:r w:rsidR="00932825">
        <w:t>are</w:t>
      </w:r>
      <w:r w:rsidR="004F2A8D">
        <w:t xml:space="preserve"> white </w:t>
      </w:r>
      <w:r w:rsidR="00080FBA">
        <w:t xml:space="preserve">with the body of the capsule </w:t>
      </w:r>
      <w:r w:rsidR="004F2A8D">
        <w:t>marked with “TMC435 150” in black ink</w:t>
      </w:r>
      <w:r w:rsidR="002C6BA1">
        <w:t xml:space="preserve">. Each capsule contains </w:t>
      </w:r>
      <w:r w:rsidR="00D170A6">
        <w:t>154.</w:t>
      </w:r>
      <w:r w:rsidR="00080FBA">
        <w:t xml:space="preserve">4 </w:t>
      </w:r>
      <w:r w:rsidR="00D170A6">
        <w:t xml:space="preserve">mg </w:t>
      </w:r>
      <w:proofErr w:type="spellStart"/>
      <w:r w:rsidR="002C6BA1">
        <w:t>simeprevir</w:t>
      </w:r>
      <w:proofErr w:type="spellEnd"/>
      <w:r w:rsidR="002C6BA1">
        <w:t xml:space="preserve"> sodium </w:t>
      </w:r>
      <w:r w:rsidR="00D170A6">
        <w:t xml:space="preserve">salt </w:t>
      </w:r>
      <w:r w:rsidR="002C6BA1">
        <w:t>equivalent to 150</w:t>
      </w:r>
      <w:r w:rsidR="0037285D">
        <w:t xml:space="preserve"> </w:t>
      </w:r>
      <w:r w:rsidR="002C6BA1">
        <w:t xml:space="preserve">mg </w:t>
      </w:r>
      <w:proofErr w:type="spellStart"/>
      <w:r w:rsidR="002C6BA1">
        <w:t>simeprevir</w:t>
      </w:r>
      <w:proofErr w:type="spellEnd"/>
      <w:r w:rsidR="002C6BA1">
        <w:t xml:space="preserve">. Each </w:t>
      </w:r>
      <w:r w:rsidR="002C6BA1" w:rsidRPr="000E7461">
        <w:t>150</w:t>
      </w:r>
      <w:r w:rsidR="002C6BA1">
        <w:t> mg</w:t>
      </w:r>
      <w:r w:rsidR="002C6BA1" w:rsidRPr="000E7461">
        <w:t xml:space="preserve"> capsule </w:t>
      </w:r>
      <w:r w:rsidR="002C6BA1">
        <w:t xml:space="preserve">also </w:t>
      </w:r>
      <w:r w:rsidR="002C6BA1" w:rsidRPr="000E7461">
        <w:t xml:space="preserve">contains </w:t>
      </w:r>
      <w:r w:rsidR="002C6BA1">
        <w:t xml:space="preserve">the following inactive ingredients: </w:t>
      </w:r>
      <w:r w:rsidR="002C6BA1" w:rsidRPr="000E7461">
        <w:t xml:space="preserve">colloidal anhydrous silica, </w:t>
      </w:r>
      <w:proofErr w:type="spellStart"/>
      <w:r w:rsidR="002C6BA1" w:rsidRPr="000E7461">
        <w:t>croscarmellose</w:t>
      </w:r>
      <w:proofErr w:type="spellEnd"/>
      <w:r w:rsidR="002C6BA1" w:rsidRPr="000E7461">
        <w:t xml:space="preserve"> sodium, lactose, </w:t>
      </w:r>
      <w:proofErr w:type="gramStart"/>
      <w:r w:rsidR="002C6BA1" w:rsidRPr="000E7461">
        <w:t>sodium</w:t>
      </w:r>
      <w:proofErr w:type="gramEnd"/>
      <w:r w:rsidR="002C6BA1" w:rsidRPr="000E7461">
        <w:t xml:space="preserve"> lauryl sulphate and magnesium stearate. </w:t>
      </w:r>
      <w:r w:rsidR="006F2AFB">
        <w:t>Each capsule contains 78.4</w:t>
      </w:r>
      <w:r w:rsidR="00080FBA">
        <w:t xml:space="preserve"> </w:t>
      </w:r>
      <w:r w:rsidR="006F2AFB">
        <w:t xml:space="preserve">mg lactose. </w:t>
      </w:r>
      <w:r w:rsidR="002C6BA1" w:rsidRPr="000E7461">
        <w:t xml:space="preserve">The capsule shell contains </w:t>
      </w:r>
      <w:proofErr w:type="spellStart"/>
      <w:r w:rsidR="002C6BA1" w:rsidRPr="000E7461">
        <w:t>gelatin</w:t>
      </w:r>
      <w:proofErr w:type="spellEnd"/>
      <w:r w:rsidR="002C6BA1" w:rsidRPr="000E7461">
        <w:t xml:space="preserve"> and titanium dioxide (E171). Capsules are printed with ink containing iron oxide black (E172) and shellac (E904).</w:t>
      </w:r>
    </w:p>
    <w:p w:rsidR="002C6BA1" w:rsidRPr="006F1FC6" w:rsidRDefault="002C6BA1" w:rsidP="00303BF4">
      <w:pPr>
        <w:keepLines w:val="0"/>
        <w:autoSpaceDE w:val="0"/>
        <w:autoSpaceDN w:val="0"/>
        <w:adjustRightInd w:val="0"/>
        <w:rPr>
          <w:rFonts w:cs="Arial"/>
          <w:szCs w:val="24"/>
          <w:lang w:val="en-US"/>
        </w:rPr>
      </w:pPr>
    </w:p>
    <w:p w:rsidR="004C4B1C" w:rsidRDefault="003A72D8" w:rsidP="004C4B1C">
      <w:pPr>
        <w:pStyle w:val="Heading1"/>
      </w:pPr>
      <w:r w:rsidRPr="006F1FC6">
        <w:lastRenderedPageBreak/>
        <w:t>Pharmacology</w:t>
      </w:r>
    </w:p>
    <w:p w:rsidR="003B09E3" w:rsidRDefault="003A72D8" w:rsidP="004F2A8D">
      <w:pPr>
        <w:pStyle w:val="Heading2"/>
      </w:pPr>
      <w:r w:rsidRPr="004F2A8D">
        <w:t>Pharmacodynamics</w:t>
      </w:r>
    </w:p>
    <w:p w:rsidR="004C4B1C" w:rsidRDefault="004C4B1C" w:rsidP="004C4B1C">
      <w:proofErr w:type="spellStart"/>
      <w:r w:rsidRPr="009431DB">
        <w:rPr>
          <w:lang w:val="en-GB"/>
        </w:rPr>
        <w:t>Pharmacotherapeutic</w:t>
      </w:r>
      <w:proofErr w:type="spellEnd"/>
      <w:r w:rsidRPr="009431DB">
        <w:rPr>
          <w:lang w:val="en-GB"/>
        </w:rPr>
        <w:t xml:space="preserve"> group:</w:t>
      </w:r>
      <w:r w:rsidRPr="009431DB">
        <w:t xml:space="preserve"> Direct</w:t>
      </w:r>
      <w:r w:rsidRPr="009431DB">
        <w:noBreakHyphen/>
        <w:t>acting antiviral</w:t>
      </w:r>
    </w:p>
    <w:p w:rsidR="004C4B1C" w:rsidRPr="004C4B1C" w:rsidRDefault="004C4B1C" w:rsidP="004C4B1C"/>
    <w:p w:rsidR="009F3479" w:rsidRPr="009F3479" w:rsidRDefault="009F3479" w:rsidP="004F2A8D">
      <w:pPr>
        <w:pStyle w:val="Heading3"/>
      </w:pPr>
      <w:r w:rsidRPr="009F3479">
        <w:t>Mechanism of action</w:t>
      </w:r>
    </w:p>
    <w:p w:rsidR="009F3479" w:rsidRPr="004C4B1C" w:rsidRDefault="004F2A8D" w:rsidP="00DB705C">
      <w:proofErr w:type="spellStart"/>
      <w:r w:rsidRPr="009431DB">
        <w:t>Simeprevir</w:t>
      </w:r>
      <w:proofErr w:type="spellEnd"/>
      <w:r w:rsidRPr="009431DB">
        <w:t xml:space="preserve"> is an inhibitor of the </w:t>
      </w:r>
      <w:r w:rsidR="00971080">
        <w:t>Hepatitis C Virus (</w:t>
      </w:r>
      <w:r>
        <w:t>HCV</w:t>
      </w:r>
      <w:r w:rsidR="00971080">
        <w:t>)</w:t>
      </w:r>
      <w:r>
        <w:t> </w:t>
      </w:r>
      <w:r w:rsidRPr="009431DB">
        <w:t xml:space="preserve">NS3/4A protease which is essential for viral replication. In a biochemical assay, </w:t>
      </w:r>
      <w:proofErr w:type="spellStart"/>
      <w:r w:rsidRPr="009431DB">
        <w:t>simeprevir</w:t>
      </w:r>
      <w:proofErr w:type="spellEnd"/>
      <w:r w:rsidRPr="009431DB">
        <w:t xml:space="preserve"> inhibited the </w:t>
      </w:r>
      <w:proofErr w:type="spellStart"/>
      <w:r w:rsidRPr="009431DB">
        <w:t>proteolytic</w:t>
      </w:r>
      <w:proofErr w:type="spellEnd"/>
      <w:r w:rsidRPr="009431DB">
        <w:t xml:space="preserve"> activity of recombinant genotype 1a and 1b </w:t>
      </w:r>
      <w:r>
        <w:t>HCV </w:t>
      </w:r>
      <w:r w:rsidRPr="009431DB">
        <w:t>NS3/4A proteases, with median K</w:t>
      </w:r>
      <w:r w:rsidRPr="009431DB">
        <w:rPr>
          <w:vertAlign w:val="subscript"/>
        </w:rPr>
        <w:t>i</w:t>
      </w:r>
      <w:r w:rsidRPr="009431DB">
        <w:t xml:space="preserve"> values of 0.5 </w:t>
      </w:r>
      <w:proofErr w:type="spellStart"/>
      <w:r w:rsidRPr="009431DB">
        <w:t>nM</w:t>
      </w:r>
      <w:proofErr w:type="spellEnd"/>
      <w:r w:rsidRPr="009431DB">
        <w:t xml:space="preserve"> and 1.4 </w:t>
      </w:r>
      <w:proofErr w:type="spellStart"/>
      <w:r w:rsidRPr="009431DB">
        <w:t>nM</w:t>
      </w:r>
      <w:proofErr w:type="spellEnd"/>
      <w:r w:rsidRPr="009431DB">
        <w:t>, respectively.</w:t>
      </w:r>
    </w:p>
    <w:p w:rsidR="009F3479" w:rsidRPr="00DB705C" w:rsidRDefault="009F3479" w:rsidP="00DB705C">
      <w:pPr>
        <w:pStyle w:val="Heading3"/>
      </w:pPr>
      <w:r w:rsidRPr="00DB705C">
        <w:t>Antiviral activity</w:t>
      </w:r>
    </w:p>
    <w:p w:rsidR="00DB705C" w:rsidRPr="009431DB" w:rsidRDefault="00DB705C" w:rsidP="00DB705C">
      <w:r w:rsidRPr="009431DB">
        <w:t xml:space="preserve">The median </w:t>
      </w:r>
      <w:proofErr w:type="spellStart"/>
      <w:r w:rsidRPr="009431DB">
        <w:t>simeprevir</w:t>
      </w:r>
      <w:proofErr w:type="spellEnd"/>
      <w:r w:rsidRPr="009431DB">
        <w:t xml:space="preserve"> EC</w:t>
      </w:r>
      <w:r w:rsidRPr="009431DB">
        <w:rPr>
          <w:vertAlign w:val="subscript"/>
        </w:rPr>
        <w:t>50</w:t>
      </w:r>
      <w:r w:rsidRPr="009431DB">
        <w:t xml:space="preserve"> and EC</w:t>
      </w:r>
      <w:r w:rsidRPr="009431DB">
        <w:rPr>
          <w:vertAlign w:val="subscript"/>
        </w:rPr>
        <w:t>90</w:t>
      </w:r>
      <w:r>
        <w:t> </w:t>
      </w:r>
      <w:r w:rsidRPr="009431DB">
        <w:t xml:space="preserve">values against a </w:t>
      </w:r>
      <w:r>
        <w:t>HCV g</w:t>
      </w:r>
      <w:r w:rsidRPr="009431DB">
        <w:t>enotype 1b replicon were 9.4 </w:t>
      </w:r>
      <w:proofErr w:type="spellStart"/>
      <w:r w:rsidRPr="009431DB">
        <w:t>nM</w:t>
      </w:r>
      <w:proofErr w:type="spellEnd"/>
      <w:r w:rsidRPr="009431DB">
        <w:t xml:space="preserve"> </w:t>
      </w:r>
      <w:r>
        <w:t xml:space="preserve">(7.05 ng/mL) </w:t>
      </w:r>
      <w:r w:rsidRPr="009431DB">
        <w:t>and 19 </w:t>
      </w:r>
      <w:proofErr w:type="spellStart"/>
      <w:r w:rsidRPr="009431DB">
        <w:t>nM</w:t>
      </w:r>
      <w:proofErr w:type="spellEnd"/>
      <w:r>
        <w:t xml:space="preserve"> (14.25 ng/mL)</w:t>
      </w:r>
      <w:r w:rsidRPr="009431DB">
        <w:t xml:space="preserve">, respectively. Activity of </w:t>
      </w:r>
      <w:proofErr w:type="spellStart"/>
      <w:r w:rsidRPr="009431DB">
        <w:t>simeprevir</w:t>
      </w:r>
      <w:proofErr w:type="spellEnd"/>
      <w:r w:rsidRPr="009431DB">
        <w:t xml:space="preserve"> against a selection of genotype 1a and genotype 1b chimeric replicons carrying NS3 sequences derived from </w:t>
      </w:r>
      <w:r>
        <w:t>HCV </w:t>
      </w:r>
      <w:r w:rsidRPr="009431DB">
        <w:t>PI</w:t>
      </w:r>
      <w:r w:rsidRPr="009431DB">
        <w:noBreakHyphen/>
        <w:t>naïve patients resulted in median fold change (FC) in EC</w:t>
      </w:r>
      <w:r w:rsidRPr="009431DB">
        <w:rPr>
          <w:vertAlign w:val="subscript"/>
        </w:rPr>
        <w:t>50</w:t>
      </w:r>
      <w:r>
        <w:t> </w:t>
      </w:r>
      <w:r w:rsidRPr="009431DB">
        <w:t>values of 1</w:t>
      </w:r>
      <w:r w:rsidRPr="0026162F">
        <w:t>.4 (N=78) and 0.4 (N=59) compared to reference genotype 1b replico</w:t>
      </w:r>
      <w:r w:rsidRPr="009431DB">
        <w:t xml:space="preserve">n, respectively. </w:t>
      </w:r>
      <w:r>
        <w:t>Genotype </w:t>
      </w:r>
      <w:r w:rsidRPr="000F2F6F">
        <w:t xml:space="preserve">1a and 1b isolates with a baseline Q80K polymorphism resulted in median </w:t>
      </w:r>
      <w:r w:rsidRPr="008A439B">
        <w:t>FC in</w:t>
      </w:r>
      <w:r w:rsidRPr="000F2F6F">
        <w:t xml:space="preserve"> </w:t>
      </w:r>
      <w:proofErr w:type="spellStart"/>
      <w:r w:rsidRPr="000F2F6F">
        <w:t>simeprevir</w:t>
      </w:r>
      <w:proofErr w:type="spellEnd"/>
      <w:r w:rsidRPr="000F2F6F">
        <w:t xml:space="preserve"> EC</w:t>
      </w:r>
      <w:r w:rsidRPr="000F2F6F">
        <w:rPr>
          <w:vertAlign w:val="subscript"/>
        </w:rPr>
        <w:t>50</w:t>
      </w:r>
      <w:r w:rsidRPr="000F2F6F">
        <w:t xml:space="preserve"> of 11 (N=33) and 8.4 (N=2), respectively</w:t>
      </w:r>
      <w:r w:rsidRPr="009431DB">
        <w:t xml:space="preserve">. Median </w:t>
      </w:r>
      <w:proofErr w:type="spellStart"/>
      <w:r w:rsidRPr="009431DB">
        <w:t>simeprevir</w:t>
      </w:r>
      <w:proofErr w:type="spellEnd"/>
      <w:r w:rsidRPr="009431DB">
        <w:t xml:space="preserve"> FC values against genotype 2, genotype 3, and genotype 4 baseline isolates tested were 25 (N=4), 1014 (N=2), and 0.3 (N=8), respectively. The presence of 50% human serum reduced </w:t>
      </w:r>
      <w:proofErr w:type="spellStart"/>
      <w:r w:rsidRPr="009431DB">
        <w:t>simeprevir</w:t>
      </w:r>
      <w:proofErr w:type="spellEnd"/>
      <w:r w:rsidRPr="009431DB">
        <w:t xml:space="preserve"> replicon activity by 2.4</w:t>
      </w:r>
      <w:r w:rsidRPr="009431DB">
        <w:noBreakHyphen/>
        <w:t xml:space="preserve">fold. </w:t>
      </w:r>
      <w:r w:rsidRPr="009431DB">
        <w:rPr>
          <w:i/>
        </w:rPr>
        <w:t>In vitro</w:t>
      </w:r>
      <w:r w:rsidRPr="009431DB">
        <w:t xml:space="preserve"> combination of </w:t>
      </w:r>
      <w:proofErr w:type="spellStart"/>
      <w:r w:rsidRPr="009431DB">
        <w:t>simeprevir</w:t>
      </w:r>
      <w:proofErr w:type="spellEnd"/>
      <w:r w:rsidRPr="009431DB">
        <w:t xml:space="preserve"> with interferon, ribavirin, </w:t>
      </w:r>
      <w:proofErr w:type="gramStart"/>
      <w:r w:rsidRPr="009431DB">
        <w:t>NS5A</w:t>
      </w:r>
      <w:proofErr w:type="gramEnd"/>
      <w:r w:rsidRPr="009431DB">
        <w:t xml:space="preserve"> or NS5B inhibitors resulted in additive or synergistic effects.</w:t>
      </w:r>
    </w:p>
    <w:p w:rsidR="009F3479" w:rsidRPr="009F3479" w:rsidRDefault="009F3479" w:rsidP="009F3479">
      <w:pPr>
        <w:rPr>
          <w:color w:val="000000"/>
        </w:rPr>
      </w:pPr>
    </w:p>
    <w:p w:rsidR="009F3479" w:rsidRPr="009F3479" w:rsidRDefault="009F3479" w:rsidP="00DB705C">
      <w:pPr>
        <w:pStyle w:val="Heading3"/>
      </w:pPr>
      <w:r w:rsidRPr="009F3479">
        <w:t>Resistance</w:t>
      </w:r>
    </w:p>
    <w:p w:rsidR="009F3479" w:rsidRPr="009F3479" w:rsidRDefault="00DB705C" w:rsidP="00DB705C">
      <w:pPr>
        <w:pStyle w:val="Heading4"/>
      </w:pPr>
      <w:r>
        <w:t>Resistance i</w:t>
      </w:r>
      <w:r w:rsidR="009F3479" w:rsidRPr="009F3479">
        <w:t>n cell culture</w:t>
      </w:r>
    </w:p>
    <w:p w:rsidR="00DB705C" w:rsidRDefault="00DB705C" w:rsidP="00DB705C">
      <w:r w:rsidRPr="009431DB">
        <w:t xml:space="preserve">Resistance to </w:t>
      </w:r>
      <w:proofErr w:type="spellStart"/>
      <w:r w:rsidRPr="009431DB">
        <w:t>simeprevir</w:t>
      </w:r>
      <w:proofErr w:type="spellEnd"/>
      <w:r w:rsidRPr="009431DB">
        <w:t xml:space="preserve"> was characterized in </w:t>
      </w:r>
      <w:r>
        <w:t>HCV g</w:t>
      </w:r>
      <w:r w:rsidRPr="009431DB">
        <w:t>enotype 1a and 1b replicon</w:t>
      </w:r>
      <w:r w:rsidRPr="009431DB">
        <w:noBreakHyphen/>
        <w:t>containing cells. Ninety</w:t>
      </w:r>
      <w:r w:rsidRPr="009431DB">
        <w:noBreakHyphen/>
        <w:t xml:space="preserve">six percent of </w:t>
      </w:r>
      <w:proofErr w:type="spellStart"/>
      <w:r w:rsidRPr="009431DB">
        <w:t>simeprevir</w:t>
      </w:r>
      <w:proofErr w:type="spellEnd"/>
      <w:r w:rsidRPr="009431DB">
        <w:noBreakHyphen/>
        <w:t xml:space="preserve">selected genotype 1 replicons carried one or multiple amino acid substitutions at NS3 protease positions 43, 80, 155, 156, and/or 168, with substitutions at NS3 position D168 being most frequently observed (78%). Additionally, resistance to </w:t>
      </w:r>
      <w:proofErr w:type="spellStart"/>
      <w:r w:rsidRPr="009431DB">
        <w:t>simeprevir</w:t>
      </w:r>
      <w:proofErr w:type="spellEnd"/>
      <w:r w:rsidRPr="009431DB">
        <w:t xml:space="preserve"> was evaluated in </w:t>
      </w:r>
      <w:r>
        <w:t>HCV g</w:t>
      </w:r>
      <w:r w:rsidRPr="009431DB">
        <w:t>enotype 1a and 1b replicon assays using site</w:t>
      </w:r>
      <w:r w:rsidRPr="009431DB">
        <w:noBreakHyphen/>
        <w:t xml:space="preserve">directed mutants and chimeric replicons carrying NS3 sequences derived from clinical isolates. Amino acid substitutions at NS3 positions 43, 80, 122, 155, 156, and 168 reduced </w:t>
      </w:r>
      <w:proofErr w:type="spellStart"/>
      <w:r w:rsidRPr="009431DB">
        <w:t>simeprevir</w:t>
      </w:r>
      <w:proofErr w:type="spellEnd"/>
      <w:r w:rsidRPr="009431DB">
        <w:t xml:space="preserve"> activity. Substitutions such as D168V or A, and R155K were usually associated with </w:t>
      </w:r>
      <w:proofErr w:type="spellStart"/>
      <w:r w:rsidRPr="009431DB">
        <w:t>simeprevir</w:t>
      </w:r>
      <w:proofErr w:type="spellEnd"/>
      <w:r w:rsidRPr="009431DB">
        <w:t xml:space="preserve"> treatment failure, and displayed high level resistance to </w:t>
      </w:r>
      <w:proofErr w:type="spellStart"/>
      <w:r w:rsidRPr="009431DB">
        <w:t>simeprevir</w:t>
      </w:r>
      <w:proofErr w:type="spellEnd"/>
      <w:r w:rsidRPr="009431DB">
        <w:t xml:space="preserve"> (FC in EC</w:t>
      </w:r>
      <w:r w:rsidRPr="009431DB">
        <w:rPr>
          <w:vertAlign w:val="subscript"/>
        </w:rPr>
        <w:t>50</w:t>
      </w:r>
      <w:r>
        <w:t> </w:t>
      </w:r>
      <w:r w:rsidRPr="009431DB">
        <w:t>&gt; 50), whereas other substitutions such as Q80K or R, S122R, and D168E displayed low level resistance (FC in EC</w:t>
      </w:r>
      <w:r w:rsidRPr="009431DB">
        <w:rPr>
          <w:vertAlign w:val="subscript"/>
        </w:rPr>
        <w:t>50</w:t>
      </w:r>
      <w:r w:rsidRPr="009431DB">
        <w:t xml:space="preserve"> between 2 and 50). Other substitutions such as Q80G or L, S122G, N or T did not reduce </w:t>
      </w:r>
      <w:proofErr w:type="spellStart"/>
      <w:r w:rsidRPr="009431DB">
        <w:t>simeprevir</w:t>
      </w:r>
      <w:proofErr w:type="spellEnd"/>
      <w:r w:rsidRPr="009431DB">
        <w:t xml:space="preserve"> activity (FC in EC</w:t>
      </w:r>
      <w:r w:rsidRPr="009431DB">
        <w:rPr>
          <w:vertAlign w:val="subscript"/>
        </w:rPr>
        <w:t>50</w:t>
      </w:r>
      <w:r>
        <w:t> </w:t>
      </w:r>
      <w:r w:rsidRPr="009431DB">
        <w:t>≤</w:t>
      </w:r>
      <w:r>
        <w:t> </w:t>
      </w:r>
      <w:r w:rsidRPr="009431DB">
        <w:t xml:space="preserve">2). </w:t>
      </w:r>
      <w:r w:rsidRPr="00DA3B23">
        <w:t xml:space="preserve">Amino acid substitutions at NS3 positions 80, 122, 155, and/or 168, </w:t>
      </w:r>
      <w:r w:rsidRPr="009431DB">
        <w:t xml:space="preserve">associated with low level resistance to </w:t>
      </w:r>
      <w:proofErr w:type="spellStart"/>
      <w:r w:rsidRPr="009431DB">
        <w:t>simeprevir</w:t>
      </w:r>
      <w:proofErr w:type="spellEnd"/>
      <w:r w:rsidRPr="009431DB">
        <w:t xml:space="preserve"> when occurring alone, reduced </w:t>
      </w:r>
      <w:proofErr w:type="spellStart"/>
      <w:r w:rsidRPr="009431DB">
        <w:t>simeprevir</w:t>
      </w:r>
      <w:proofErr w:type="spellEnd"/>
      <w:r w:rsidRPr="009431DB">
        <w:t xml:space="preserve"> activity by more than 50</w:t>
      </w:r>
      <w:r w:rsidRPr="009431DB">
        <w:noBreakHyphen/>
        <w:t>fold when present in combination</w:t>
      </w:r>
      <w:r>
        <w:t>.</w:t>
      </w:r>
    </w:p>
    <w:p w:rsidR="009F3479" w:rsidRPr="009F3479" w:rsidRDefault="009F3479" w:rsidP="009F3479">
      <w:pPr>
        <w:rPr>
          <w:color w:val="000000"/>
        </w:rPr>
      </w:pPr>
    </w:p>
    <w:p w:rsidR="009F3479" w:rsidRPr="009F3479" w:rsidRDefault="00162B0B" w:rsidP="00162B0B">
      <w:pPr>
        <w:pStyle w:val="Heading4"/>
      </w:pPr>
      <w:r>
        <w:t>Resistance in clinical studies</w:t>
      </w:r>
    </w:p>
    <w:p w:rsidR="00162B0B" w:rsidRDefault="00162B0B" w:rsidP="00162B0B">
      <w:r w:rsidRPr="009431DB">
        <w:t xml:space="preserve">In a pooled analysis of patients treated with 150 mg </w:t>
      </w:r>
      <w:r w:rsidR="00194D66">
        <w:t>OLYSIO</w:t>
      </w:r>
      <w:r w:rsidRPr="009431DB">
        <w:t xml:space="preserve"> in combination 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 who did not achieve </w:t>
      </w:r>
      <w:r w:rsidR="00471150">
        <w:t xml:space="preserve">sustained </w:t>
      </w:r>
      <w:proofErr w:type="spellStart"/>
      <w:r w:rsidR="00471150">
        <w:t>virologic</w:t>
      </w:r>
      <w:proofErr w:type="spellEnd"/>
      <w:r w:rsidR="00471150">
        <w:t xml:space="preserve"> response (</w:t>
      </w:r>
      <w:r w:rsidRPr="009431DB">
        <w:t>SVR</w:t>
      </w:r>
      <w:r w:rsidR="00471150">
        <w:t>)</w:t>
      </w:r>
      <w:r w:rsidRPr="009431DB">
        <w:t xml:space="preserve"> in the controlled Phase 2b and Phase 3 clinical studies, emerging amino acid substitutions at NS3 positions 80, 122, 155 and/or 168 were observed in 180 out of 197 (91%) patients. Substitutions D168V and R155K alone or in combinations with other mutations at these positions </w:t>
      </w:r>
      <w:r w:rsidR="00E203B5">
        <w:t>emerged most frequently (Table 1</w:t>
      </w:r>
      <w:r w:rsidRPr="009431DB">
        <w:t xml:space="preserve">). Most of these emerging substitutions have been shown to reduce </w:t>
      </w:r>
      <w:proofErr w:type="spellStart"/>
      <w:r w:rsidRPr="009431DB">
        <w:t>simeprevir</w:t>
      </w:r>
      <w:proofErr w:type="spellEnd"/>
      <w:r w:rsidRPr="009431DB">
        <w:t xml:space="preserve"> anti</w:t>
      </w:r>
      <w:r w:rsidRPr="009431DB">
        <w:noBreakHyphen/>
        <w:t>HCV activity in cell culture replicon assays.</w:t>
      </w:r>
    </w:p>
    <w:p w:rsidR="00162B0B" w:rsidRPr="009431DB" w:rsidRDefault="00162B0B" w:rsidP="00162B0B"/>
    <w:p w:rsidR="00162B0B" w:rsidRPr="009431DB" w:rsidRDefault="00162B0B" w:rsidP="00162B0B">
      <w:r>
        <w:lastRenderedPageBreak/>
        <w:t>HCV g</w:t>
      </w:r>
      <w:r w:rsidRPr="009431DB">
        <w:t>enotype 1 subtype</w:t>
      </w:r>
      <w:r w:rsidRPr="009431DB">
        <w:noBreakHyphen/>
        <w:t xml:space="preserve">specific patterns of </w:t>
      </w:r>
      <w:proofErr w:type="spellStart"/>
      <w:r w:rsidRPr="009431DB">
        <w:t>simeprevir</w:t>
      </w:r>
      <w:proofErr w:type="spellEnd"/>
      <w:r w:rsidRPr="009431DB">
        <w:t xml:space="preserve"> treatment</w:t>
      </w:r>
      <w:r w:rsidRPr="009431DB">
        <w:noBreakHyphen/>
        <w:t xml:space="preserve">emergent amino acid substitutions were observed in patients not achieving SVR. Patients with </w:t>
      </w:r>
      <w:r>
        <w:t>HCV g</w:t>
      </w:r>
      <w:r w:rsidRPr="009431DB">
        <w:t xml:space="preserve">enotype 1a </w:t>
      </w:r>
      <w:r w:rsidR="00C47E2D" w:rsidRPr="009431DB">
        <w:t>predomina</w:t>
      </w:r>
      <w:r w:rsidR="00C47E2D">
        <w:t>n</w:t>
      </w:r>
      <w:r w:rsidR="00C47E2D" w:rsidRPr="009431DB">
        <w:t>tly</w:t>
      </w:r>
      <w:r w:rsidRPr="009431DB">
        <w:t xml:space="preserve"> had emerging R155K alone or in combination with amino acid substitutions at NS3 positions 80, 122 and/or 168, while patients with </w:t>
      </w:r>
      <w:r>
        <w:t>HCV g</w:t>
      </w:r>
      <w:r w:rsidRPr="009431DB">
        <w:t>enotype 1b had most often an emer</w:t>
      </w:r>
      <w:r w:rsidR="00FC5AC2">
        <w:t>ging D168V substitution (Table 1</w:t>
      </w:r>
      <w:r w:rsidRPr="009431DB">
        <w:t xml:space="preserve">). In patients with </w:t>
      </w:r>
      <w:r>
        <w:t>HCV g</w:t>
      </w:r>
      <w:r w:rsidRPr="009431DB">
        <w:t>enotype 1a with a baseline Q80K amino acid substitution, an emerging R155K substitution was observed most frequently</w:t>
      </w:r>
      <w:r>
        <w:t xml:space="preserve"> at failure</w:t>
      </w:r>
      <w:r w:rsidRPr="009431DB">
        <w:t>.</w:t>
      </w:r>
    </w:p>
    <w:p w:rsidR="00594CF4" w:rsidRDefault="00594CF4"/>
    <w:tbl>
      <w:tblPr>
        <w:tblW w:w="9300" w:type="dxa"/>
        <w:tblInd w:w="144" w:type="dxa"/>
        <w:tblLayout w:type="fixed"/>
        <w:tblCellMar>
          <w:left w:w="42" w:type="dxa"/>
          <w:right w:w="42" w:type="dxa"/>
        </w:tblCellMar>
        <w:tblLook w:val="0000" w:firstRow="0" w:lastRow="0" w:firstColumn="0" w:lastColumn="0" w:noHBand="0" w:noVBand="0"/>
      </w:tblPr>
      <w:tblGrid>
        <w:gridCol w:w="2325"/>
        <w:gridCol w:w="2325"/>
        <w:gridCol w:w="2325"/>
        <w:gridCol w:w="2325"/>
      </w:tblGrid>
      <w:tr w:rsidR="00162B0B" w:rsidRPr="0026162F" w:rsidTr="008B3F84">
        <w:trPr>
          <w:cantSplit/>
        </w:trPr>
        <w:tc>
          <w:tcPr>
            <w:tcW w:w="9300" w:type="dxa"/>
            <w:gridSpan w:val="4"/>
            <w:tcBorders>
              <w:bottom w:val="single" w:sz="4" w:space="0" w:color="auto"/>
            </w:tcBorders>
            <w:shd w:val="clear" w:color="auto" w:fill="auto"/>
          </w:tcPr>
          <w:p w:rsidR="00162B0B" w:rsidRPr="0026162F" w:rsidRDefault="00162B0B" w:rsidP="0083318F">
            <w:pPr>
              <w:pStyle w:val="Caption"/>
              <w:rPr>
                <w:lang w:eastAsia="en-US"/>
              </w:rPr>
            </w:pPr>
            <w:r>
              <w:rPr>
                <w:lang w:eastAsia="en-US"/>
              </w:rPr>
              <w:t>Table 1</w:t>
            </w:r>
            <w:r w:rsidRPr="0026162F">
              <w:rPr>
                <w:lang w:eastAsia="en-US"/>
              </w:rPr>
              <w:t>:</w:t>
            </w:r>
            <w:r w:rsidRPr="0026162F">
              <w:rPr>
                <w:lang w:eastAsia="en-US"/>
              </w:rPr>
              <w:tab/>
              <w:t>Treatment</w:t>
            </w:r>
            <w:r w:rsidRPr="0026162F">
              <w:rPr>
                <w:lang w:eastAsia="en-US"/>
              </w:rPr>
              <w:noBreakHyphen/>
              <w:t xml:space="preserve">Emergent Amino Acid Substitutions in Pooled Phase 2b and Phase 3 Studies: Patients Who Did Not Achieve SVR With 150 mg </w:t>
            </w:r>
            <w:r w:rsidR="00194D66">
              <w:rPr>
                <w:lang w:eastAsia="en-US"/>
              </w:rPr>
              <w:t>OLYSIO</w:t>
            </w:r>
            <w:r w:rsidRPr="0026162F">
              <w:rPr>
                <w:lang w:eastAsia="en-US"/>
              </w:rPr>
              <w:t xml:space="preserve"> in Combination With </w:t>
            </w:r>
            <w:proofErr w:type="spellStart"/>
            <w:r w:rsidRPr="0026162F">
              <w:rPr>
                <w:lang w:eastAsia="en-US"/>
              </w:rPr>
              <w:t>Peginterferon</w:t>
            </w:r>
            <w:proofErr w:type="spellEnd"/>
            <w:r w:rsidRPr="0026162F">
              <w:rPr>
                <w:lang w:eastAsia="en-US"/>
              </w:rPr>
              <w:t xml:space="preserve"> Alfa and Ribavirin</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26162F" w:rsidRDefault="00162B0B" w:rsidP="008B3F84">
            <w:pPr>
              <w:pStyle w:val="TableText0"/>
              <w:rPr>
                <w:b/>
              </w:rPr>
            </w:pPr>
            <w:r w:rsidRPr="0026162F">
              <w:rPr>
                <w:b/>
              </w:rPr>
              <w:t>Emerging Amino Acid Substitutions in NS3</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26162F" w:rsidRDefault="00162B0B" w:rsidP="008B3F84">
            <w:pPr>
              <w:pStyle w:val="TableText0"/>
              <w:jc w:val="center"/>
              <w:rPr>
                <w:b/>
              </w:rPr>
            </w:pPr>
            <w:r w:rsidRPr="0026162F">
              <w:rPr>
                <w:b/>
              </w:rPr>
              <w:t xml:space="preserve">All </w:t>
            </w:r>
            <w:r>
              <w:rPr>
                <w:b/>
              </w:rPr>
              <w:t>HCV G</w:t>
            </w:r>
            <w:r w:rsidRPr="0026162F">
              <w:rPr>
                <w:b/>
              </w:rPr>
              <w:t>enotypes</w:t>
            </w:r>
          </w:p>
          <w:p w:rsidR="00162B0B" w:rsidRPr="0026162F" w:rsidRDefault="00162B0B" w:rsidP="008B3F84">
            <w:pPr>
              <w:pStyle w:val="TableText0"/>
              <w:jc w:val="center"/>
              <w:rPr>
                <w:b/>
              </w:rPr>
            </w:pPr>
            <w:r w:rsidRPr="0026162F">
              <w:rPr>
                <w:b/>
              </w:rPr>
              <w:t>N=197</w:t>
            </w:r>
          </w:p>
          <w:p w:rsidR="00162B0B" w:rsidRPr="0026162F" w:rsidRDefault="00162B0B" w:rsidP="008B3F84">
            <w:pPr>
              <w:pStyle w:val="TableText0"/>
              <w:jc w:val="center"/>
              <w:rPr>
                <w:b/>
              </w:rPr>
            </w:pPr>
            <w:r w:rsidRPr="0026162F">
              <w:rPr>
                <w:b/>
              </w:rPr>
              <w:t>% (n)</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19702D" w:rsidRDefault="00162B0B" w:rsidP="008B3F84">
            <w:pPr>
              <w:pStyle w:val="TableText0"/>
              <w:jc w:val="center"/>
              <w:rPr>
                <w:b/>
              </w:rPr>
            </w:pPr>
            <w:r w:rsidRPr="0019702D">
              <w:rPr>
                <w:b/>
              </w:rPr>
              <w:t>Genotype 1a</w:t>
            </w:r>
            <w:r w:rsidRPr="0019702D">
              <w:rPr>
                <w:vertAlign w:val="superscript"/>
              </w:rPr>
              <w:t>1</w:t>
            </w:r>
          </w:p>
          <w:p w:rsidR="00162B0B" w:rsidRPr="0019702D" w:rsidRDefault="00162B0B" w:rsidP="008B3F84">
            <w:pPr>
              <w:pStyle w:val="TableText0"/>
              <w:jc w:val="center"/>
              <w:rPr>
                <w:b/>
              </w:rPr>
            </w:pPr>
            <w:r w:rsidRPr="0019702D">
              <w:rPr>
                <w:b/>
              </w:rPr>
              <w:t>N=116</w:t>
            </w:r>
          </w:p>
          <w:p w:rsidR="00162B0B" w:rsidRPr="0019702D" w:rsidRDefault="00162B0B" w:rsidP="008B3F84">
            <w:pPr>
              <w:pStyle w:val="TableText0"/>
              <w:jc w:val="center"/>
              <w:rPr>
                <w:b/>
              </w:rPr>
            </w:pPr>
            <w:r w:rsidRPr="0019702D">
              <w:rPr>
                <w:b/>
              </w:rPr>
              <w:t>% (n)</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19702D" w:rsidRDefault="00162B0B" w:rsidP="008B3F84">
            <w:pPr>
              <w:pStyle w:val="TableText0"/>
              <w:jc w:val="center"/>
              <w:rPr>
                <w:b/>
              </w:rPr>
            </w:pPr>
            <w:r w:rsidRPr="0019702D">
              <w:rPr>
                <w:b/>
              </w:rPr>
              <w:t>Genotype 1b</w:t>
            </w:r>
          </w:p>
          <w:p w:rsidR="00162B0B" w:rsidRPr="0019702D" w:rsidRDefault="00162B0B" w:rsidP="008B3F84">
            <w:pPr>
              <w:pStyle w:val="TableText0"/>
              <w:jc w:val="center"/>
              <w:rPr>
                <w:b/>
              </w:rPr>
            </w:pPr>
            <w:r w:rsidRPr="0019702D">
              <w:rPr>
                <w:b/>
              </w:rPr>
              <w:t>N=81</w:t>
            </w:r>
          </w:p>
          <w:p w:rsidR="00162B0B" w:rsidRPr="0019702D" w:rsidRDefault="00162B0B" w:rsidP="008B3F84">
            <w:pPr>
              <w:pStyle w:val="TableText0"/>
              <w:jc w:val="center"/>
              <w:rPr>
                <w:b/>
              </w:rPr>
            </w:pPr>
            <w:r w:rsidRPr="0019702D">
              <w:rPr>
                <w:b/>
              </w:rPr>
              <w:t>% (n)</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26162F" w:rsidRDefault="00162B0B" w:rsidP="00162B0B">
            <w:pPr>
              <w:pStyle w:val="TableText0"/>
            </w:pPr>
            <w:r w:rsidRPr="0026162F">
              <w:t>Any substitution at NS3 position 43, 80, 122, 155, 156, or 168</w:t>
            </w:r>
            <w:r w:rsidRPr="0026162F">
              <w:rPr>
                <w:vertAlign w:val="superscript"/>
              </w:rPr>
              <w:t>2</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26162F" w:rsidRDefault="00162B0B" w:rsidP="008B3F84">
            <w:pPr>
              <w:pStyle w:val="TableText0"/>
              <w:jc w:val="center"/>
            </w:pPr>
            <w:r w:rsidRPr="0026162F">
              <w:t>91.4% (180)</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19702D" w:rsidRDefault="00162B0B" w:rsidP="008B3F84">
            <w:pPr>
              <w:pStyle w:val="TableText0"/>
              <w:jc w:val="center"/>
            </w:pPr>
            <w:r w:rsidRPr="0019702D">
              <w:t>94.8% (110)</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19702D" w:rsidRDefault="00162B0B" w:rsidP="008B3F84">
            <w:pPr>
              <w:pStyle w:val="TableText0"/>
              <w:jc w:val="center"/>
            </w:pPr>
            <w:r w:rsidRPr="0019702D">
              <w:t>86.4% (70)</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tcPr>
          <w:p w:rsidR="00162B0B" w:rsidRPr="0019702D" w:rsidRDefault="00162B0B" w:rsidP="008B3F84">
            <w:pPr>
              <w:pStyle w:val="TableText0"/>
            </w:pPr>
            <w:r w:rsidRPr="0019702D">
              <w:t>D168E</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15.7% (31)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14.7% (17)</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17.3% (14)</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162B0B" w:rsidRPr="0019702D" w:rsidRDefault="00162B0B" w:rsidP="008B3F84">
            <w:pPr>
              <w:pStyle w:val="TableText0"/>
            </w:pPr>
            <w:r w:rsidRPr="0019702D">
              <w:t>D168V</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31.0% (61)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10.3% (12)</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60.5% (49)</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162B0B" w:rsidRPr="0019702D" w:rsidRDefault="00162B0B" w:rsidP="008B3F84">
            <w:pPr>
              <w:pStyle w:val="TableText0"/>
            </w:pPr>
            <w:r w:rsidRPr="0019702D">
              <w:t>Q80R</w:t>
            </w:r>
            <w:r>
              <w:rPr>
                <w:vertAlign w:val="superscript"/>
              </w:rPr>
              <w:t>3</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7.6% (15)</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4.3% (5)</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12.3% (10)</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162B0B" w:rsidRPr="0019702D" w:rsidRDefault="00162B0B" w:rsidP="008B3F84">
            <w:pPr>
              <w:pStyle w:val="TableText0"/>
            </w:pPr>
            <w:r w:rsidRPr="0019702D">
              <w:t>R155K</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45.2% (89)</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76.7% (89)</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0% (0)</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162B0B" w:rsidRPr="0019702D" w:rsidRDefault="00162B0B" w:rsidP="008B3F84">
            <w:pPr>
              <w:pStyle w:val="TableText0"/>
            </w:pPr>
            <w:r w:rsidRPr="0019702D">
              <w:t>Q80X+D168X</w:t>
            </w:r>
            <w:r>
              <w:rPr>
                <w:vertAlign w:val="superscript"/>
              </w:rPr>
              <w:t>4</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t>8</w:t>
            </w:r>
            <w:r w:rsidRPr="0019702D">
              <w:t>.1% (1</w:t>
            </w:r>
            <w:r>
              <w:t>6</w:t>
            </w:r>
            <w:r w:rsidRPr="0019702D">
              <w: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t>4.3</w:t>
            </w:r>
            <w:r w:rsidRPr="0019702D">
              <w:t>% (</w:t>
            </w:r>
            <w:r>
              <w:t>5</w:t>
            </w:r>
            <w:r w:rsidRPr="0019702D">
              <w: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13.6% (11)</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162B0B" w:rsidRPr="0019702D" w:rsidRDefault="00162B0B" w:rsidP="008B3F84">
            <w:pPr>
              <w:pStyle w:val="TableText0"/>
            </w:pPr>
            <w:r w:rsidRPr="0019702D">
              <w:t>R155X+D168X</w:t>
            </w:r>
            <w:r>
              <w:rPr>
                <w:vertAlign w:val="superscript"/>
              </w:rPr>
              <w:t>4</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t>9.1</w:t>
            </w:r>
            <w:r w:rsidRPr="0019702D">
              <w:t>% (</w:t>
            </w:r>
            <w:r>
              <w:t>18</w:t>
            </w:r>
            <w:r w:rsidRPr="0019702D">
              <w: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t>12.9</w:t>
            </w:r>
            <w:r w:rsidRPr="0019702D">
              <w:t>% (1</w:t>
            </w:r>
            <w:r>
              <w:t>5</w:t>
            </w:r>
            <w:r w:rsidRPr="0019702D">
              <w: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3.7% (3)</w:t>
            </w:r>
          </w:p>
        </w:tc>
      </w:tr>
      <w:tr w:rsidR="00162B0B" w:rsidRPr="0019702D" w:rsidTr="008B3F84">
        <w:trPr>
          <w:cantSplit/>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162B0B" w:rsidRPr="0019702D" w:rsidRDefault="00162B0B" w:rsidP="008B3F84">
            <w:pPr>
              <w:pStyle w:val="TableText0"/>
            </w:pPr>
            <w:r>
              <w:t>Q80K</w:t>
            </w:r>
            <w:r>
              <w:rPr>
                <w:vertAlign w:val="superscript"/>
              </w:rPr>
              <w:t>3</w:t>
            </w:r>
            <w:r>
              <w:t>, S122A/G/I/T</w:t>
            </w:r>
            <w:r>
              <w:rPr>
                <w:vertAlign w:val="superscript"/>
              </w:rPr>
              <w:t>3</w:t>
            </w:r>
            <w:r>
              <w:t xml:space="preserve">, S122R, R155Q, </w:t>
            </w:r>
            <w:r w:rsidR="001970D7">
              <w:t xml:space="preserve">D168A, </w:t>
            </w:r>
            <w:r w:rsidRPr="0019702D">
              <w:t>D168F</w:t>
            </w:r>
            <w:r>
              <w:rPr>
                <w:vertAlign w:val="superscript"/>
              </w:rPr>
              <w:t>3</w:t>
            </w:r>
            <w:r>
              <w:t>, D168H, D168T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 xml:space="preserve">Less than </w:t>
            </w:r>
            <w:r>
              <w:t>10</w:t>
            </w:r>
            <w:r w:rsidRPr="0019702D">
              <w: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 xml:space="preserve">Less than </w:t>
            </w:r>
            <w:r>
              <w:t>10</w:t>
            </w:r>
            <w:r w:rsidRPr="0019702D">
              <w:t>%</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bottom"/>
          </w:tcPr>
          <w:p w:rsidR="00162B0B" w:rsidRPr="0019702D" w:rsidRDefault="00162B0B" w:rsidP="008B3F84">
            <w:pPr>
              <w:pStyle w:val="TableText0"/>
              <w:jc w:val="center"/>
            </w:pPr>
            <w:r w:rsidRPr="0019702D">
              <w:t xml:space="preserve">Less than </w:t>
            </w:r>
            <w:r>
              <w:t>10</w:t>
            </w:r>
            <w:r w:rsidRPr="0019702D">
              <w:t>%</w:t>
            </w:r>
          </w:p>
        </w:tc>
      </w:tr>
      <w:tr w:rsidR="00162B0B" w:rsidRPr="0019702D" w:rsidTr="008B3F84">
        <w:trPr>
          <w:cantSplit/>
        </w:trPr>
        <w:tc>
          <w:tcPr>
            <w:tcW w:w="9300" w:type="dxa"/>
            <w:gridSpan w:val="4"/>
            <w:tcBorders>
              <w:top w:val="single" w:sz="4" w:space="0" w:color="auto"/>
              <w:left w:val="single" w:sz="4" w:space="0" w:color="auto"/>
              <w:bottom w:val="single" w:sz="4" w:space="0" w:color="auto"/>
              <w:right w:val="single" w:sz="4" w:space="0" w:color="auto"/>
            </w:tcBorders>
            <w:shd w:val="clear" w:color="auto" w:fill="auto"/>
          </w:tcPr>
          <w:p w:rsidR="00162B0B" w:rsidRPr="0019702D" w:rsidRDefault="00162B0B" w:rsidP="008B3F84">
            <w:pPr>
              <w:pStyle w:val="TableFootnote"/>
              <w:ind w:left="284" w:hanging="284"/>
            </w:pPr>
            <w:r w:rsidRPr="0019702D">
              <w:rPr>
                <w:vertAlign w:val="superscript"/>
              </w:rPr>
              <w:t>1</w:t>
            </w:r>
            <w:r w:rsidRPr="0019702D">
              <w:rPr>
                <w:vertAlign w:val="superscript"/>
              </w:rPr>
              <w:tab/>
            </w:r>
            <w:r>
              <w:t>M</w:t>
            </w:r>
            <w:r w:rsidRPr="005457FB">
              <w:t xml:space="preserve">ay include few </w:t>
            </w:r>
            <w:r>
              <w:t xml:space="preserve">patients with </w:t>
            </w:r>
            <w:r w:rsidRPr="008C1994">
              <w:t>HCV non</w:t>
            </w:r>
            <w:r w:rsidRPr="008C1994">
              <w:noBreakHyphen/>
              <w:t>genotype 1a/1b.</w:t>
            </w:r>
          </w:p>
          <w:p w:rsidR="00162B0B" w:rsidRPr="0019702D" w:rsidRDefault="00162B0B" w:rsidP="008B3F84">
            <w:pPr>
              <w:pStyle w:val="TableFootnote"/>
              <w:ind w:left="284" w:hanging="284"/>
            </w:pPr>
            <w:r>
              <w:rPr>
                <w:vertAlign w:val="superscript"/>
              </w:rPr>
              <w:t>2</w:t>
            </w:r>
            <w:r w:rsidRPr="0019702D">
              <w:rPr>
                <w:vertAlign w:val="superscript"/>
              </w:rPr>
              <w:tab/>
            </w:r>
            <w:r w:rsidRPr="0019702D">
              <w:t>Alone or in combination with other substitutions (includes mixtures).</w:t>
            </w:r>
          </w:p>
          <w:p w:rsidR="00162B0B" w:rsidRDefault="00162B0B" w:rsidP="008B3F84">
            <w:pPr>
              <w:pStyle w:val="TableFootnote"/>
              <w:tabs>
                <w:tab w:val="clear" w:pos="288"/>
                <w:tab w:val="left" w:pos="282"/>
              </w:tabs>
              <w:ind w:left="284" w:hanging="284"/>
            </w:pPr>
            <w:r>
              <w:rPr>
                <w:vertAlign w:val="superscript"/>
              </w:rPr>
              <w:t>3</w:t>
            </w:r>
            <w:r w:rsidRPr="0019702D">
              <w:rPr>
                <w:vertAlign w:val="superscript"/>
              </w:rPr>
              <w:tab/>
            </w:r>
            <w:r w:rsidRPr="0019702D">
              <w:t>Substitutions only observed in combinations with other emerging substitutions at one or more of the NS3 positions 80, 122, 155 and/or 168.</w:t>
            </w:r>
          </w:p>
          <w:p w:rsidR="00162B0B" w:rsidRPr="0019702D" w:rsidRDefault="00162B0B" w:rsidP="008B3F84">
            <w:pPr>
              <w:pStyle w:val="TableFootnote"/>
              <w:tabs>
                <w:tab w:val="clear" w:pos="288"/>
                <w:tab w:val="left" w:pos="282"/>
              </w:tabs>
              <w:ind w:left="284" w:hanging="284"/>
            </w:pPr>
            <w:r>
              <w:rPr>
                <w:vertAlign w:val="superscript"/>
              </w:rPr>
              <w:t>4</w:t>
            </w:r>
            <w:r w:rsidRPr="0019702D">
              <w:rPr>
                <w:vertAlign w:val="superscript"/>
              </w:rPr>
              <w:tab/>
            </w:r>
            <w:r w:rsidRPr="0019702D">
              <w:t>Patients with these combinations are also included in other rows describing the individual substitutions. X represents multiple amino acids. Other double or triple mutations were observed with lower frequencies.</w:t>
            </w:r>
          </w:p>
          <w:p w:rsidR="00162B0B" w:rsidRPr="0019702D" w:rsidRDefault="00162B0B" w:rsidP="0083318F">
            <w:pPr>
              <w:pStyle w:val="TableFootnote"/>
              <w:ind w:left="0" w:firstLine="0"/>
            </w:pPr>
            <w:r w:rsidRPr="0019702D">
              <w:t>Note: substitut</w:t>
            </w:r>
            <w:r>
              <w:t xml:space="preserve">ions at NS3 position 43 and 156 </w:t>
            </w:r>
            <w:r w:rsidRPr="0019702D">
              <w:t xml:space="preserve">associated with reduced </w:t>
            </w:r>
            <w:proofErr w:type="spellStart"/>
            <w:r w:rsidRPr="0019702D">
              <w:t>simeprevir</w:t>
            </w:r>
            <w:proofErr w:type="spellEnd"/>
            <w:r w:rsidRPr="0019702D">
              <w:t xml:space="preserve"> activity </w:t>
            </w:r>
            <w:r w:rsidRPr="0019702D">
              <w:rPr>
                <w:i/>
              </w:rPr>
              <w:t>in vitro</w:t>
            </w:r>
            <w:r w:rsidRPr="0019702D">
              <w:t xml:space="preserve"> were not observed at time of failure. In addition, two patients had emerging single substitution I170T at time of failure.</w:t>
            </w:r>
          </w:p>
        </w:tc>
      </w:tr>
    </w:tbl>
    <w:p w:rsidR="00162B0B" w:rsidRPr="009F3479" w:rsidRDefault="00162B0B" w:rsidP="009F3479">
      <w:pPr>
        <w:rPr>
          <w:color w:val="000000"/>
        </w:rPr>
      </w:pPr>
    </w:p>
    <w:p w:rsidR="00E86FD1" w:rsidRPr="00E86FD1" w:rsidRDefault="00E86FD1" w:rsidP="009F3479">
      <w:pPr>
        <w:rPr>
          <w:color w:val="000000"/>
        </w:rPr>
      </w:pPr>
      <w:r w:rsidRPr="00E86FD1">
        <w:rPr>
          <w:color w:val="000000"/>
        </w:rPr>
        <w:t xml:space="preserve">In study HPC3011 in genotype 4 infected patients, 20 of 22 (91%) patients who did not achieve SVR had emerging amino acid substitutions at NS3 positions 80, 122, 155 and/or 168 (mainly D168V), similar to the emerging amino acid substitutions observed in genotype 1 infected patients.  </w:t>
      </w:r>
    </w:p>
    <w:p w:rsidR="00E86FD1" w:rsidRDefault="00E86FD1" w:rsidP="009F3479">
      <w:pPr>
        <w:rPr>
          <w:i/>
          <w:color w:val="000000"/>
        </w:rPr>
      </w:pPr>
    </w:p>
    <w:p w:rsidR="003B5625" w:rsidRPr="009431DB" w:rsidRDefault="003B5625" w:rsidP="008B3F84">
      <w:pPr>
        <w:pStyle w:val="Heading4"/>
      </w:pPr>
      <w:r w:rsidRPr="009431DB">
        <w:t>Persistence of Resistance–Associated Substitutions</w:t>
      </w:r>
    </w:p>
    <w:p w:rsidR="003B5625" w:rsidRDefault="003B5625" w:rsidP="003B5625">
      <w:r w:rsidRPr="009431DB">
        <w:t xml:space="preserve">The persistence of </w:t>
      </w:r>
      <w:proofErr w:type="spellStart"/>
      <w:r w:rsidRPr="009431DB">
        <w:t>simeprevir</w:t>
      </w:r>
      <w:proofErr w:type="spellEnd"/>
      <w:r w:rsidRPr="009431DB">
        <w:noBreakHyphen/>
        <w:t>resistant NS3 amino acid substitutions was assessed following treatment failure.</w:t>
      </w:r>
    </w:p>
    <w:p w:rsidR="003B5625" w:rsidRPr="009431DB" w:rsidRDefault="003B5625" w:rsidP="003B5625"/>
    <w:p w:rsidR="003B5625" w:rsidRDefault="003B5625" w:rsidP="003B5625">
      <w:r w:rsidRPr="009431DB">
        <w:t xml:space="preserve">In the pooled analysis of patients receiving 150 mg </w:t>
      </w:r>
      <w:r w:rsidR="00194D66">
        <w:t>OLYSIO</w:t>
      </w:r>
      <w:r w:rsidRPr="009431DB">
        <w:t xml:space="preserve"> in combination 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 in the Phase 2b and Phase 3 studies, </w:t>
      </w:r>
      <w:r>
        <w:t>treatment</w:t>
      </w:r>
      <w:r w:rsidRPr="009431DB">
        <w:noBreakHyphen/>
      </w:r>
      <w:r>
        <w:t xml:space="preserve">emergent </w:t>
      </w:r>
      <w:proofErr w:type="spellStart"/>
      <w:r>
        <w:t>simeprevir</w:t>
      </w:r>
      <w:proofErr w:type="spellEnd"/>
      <w:r w:rsidRPr="009431DB">
        <w:noBreakHyphen/>
      </w:r>
      <w:r>
        <w:t xml:space="preserve">resistance variants were no longer detectable in </w:t>
      </w:r>
      <w:r w:rsidRPr="009431DB">
        <w:t xml:space="preserve">90 out of 180 patients (50%) </w:t>
      </w:r>
      <w:r>
        <w:t xml:space="preserve">at the end of the </w:t>
      </w:r>
      <w:r w:rsidRPr="0026162F">
        <w:t>studies after a median follow</w:t>
      </w:r>
      <w:r w:rsidRPr="0026162F">
        <w:noBreakHyphen/>
        <w:t>up of 2</w:t>
      </w:r>
      <w:r>
        <w:t>8</w:t>
      </w:r>
      <w:r w:rsidRPr="0026162F">
        <w:t> weeks (range 0</w:t>
      </w:r>
      <w:r w:rsidRPr="0026162F">
        <w:noBreakHyphen/>
        <w:t>70 weeks). In 32</w:t>
      </w:r>
      <w:r w:rsidRPr="003D1A64">
        <w:t xml:space="preserve"> out of 48 patients (67%) with emerging single D168V and in 34 out of 66 (52%) patients with emerging single R155K</w:t>
      </w:r>
      <w:r>
        <w:t>,</w:t>
      </w:r>
      <w:r w:rsidRPr="003D1A64">
        <w:t xml:space="preserve"> the respective emerging variants were no longer detected at end of the studies.</w:t>
      </w:r>
    </w:p>
    <w:p w:rsidR="003B5625" w:rsidRDefault="003B5625" w:rsidP="003B5625">
      <w:r w:rsidRPr="003D1A64">
        <w:t>Data from an ongoing, long</w:t>
      </w:r>
      <w:r w:rsidRPr="003D1A64">
        <w:noBreakHyphen/>
        <w:t>term follow</w:t>
      </w:r>
      <w:r w:rsidRPr="003D1A64">
        <w:noBreakHyphen/>
        <w:t xml:space="preserve">up study (Study HPC3002) in patients who did not achieve SVR with a </w:t>
      </w:r>
      <w:r w:rsidR="00194D66">
        <w:t>OLYSIO</w:t>
      </w:r>
      <w:r w:rsidRPr="003D1A64">
        <w:noBreakHyphen/>
        <w:t xml:space="preserve">based regimen in a previous Phase 2b study showed that in 70% (16/23) of </w:t>
      </w:r>
      <w:r>
        <w:t xml:space="preserve">these </w:t>
      </w:r>
      <w:r w:rsidRPr="003D1A64">
        <w:t xml:space="preserve">patients </w:t>
      </w:r>
      <w:r w:rsidRPr="009431DB">
        <w:t>emerging mutations were no longer detected after a median follow</w:t>
      </w:r>
      <w:r w:rsidRPr="009431DB">
        <w:noBreakHyphen/>
        <w:t>up of 88 weeks (range 47</w:t>
      </w:r>
      <w:r w:rsidRPr="009431DB">
        <w:noBreakHyphen/>
        <w:t>14</w:t>
      </w:r>
      <w:r>
        <w:t>7 </w:t>
      </w:r>
      <w:r w:rsidRPr="009431DB">
        <w:t>weeks).</w:t>
      </w:r>
    </w:p>
    <w:p w:rsidR="003B5625" w:rsidRPr="009431DB" w:rsidRDefault="003B5625" w:rsidP="003B5625"/>
    <w:p w:rsidR="003B5625" w:rsidRPr="009431DB" w:rsidRDefault="003B5625" w:rsidP="003B5625">
      <w:r w:rsidRPr="009431DB">
        <w:lastRenderedPageBreak/>
        <w:t>The long</w:t>
      </w:r>
      <w:r w:rsidRPr="009431DB">
        <w:noBreakHyphen/>
        <w:t xml:space="preserve">term clinical impact of the emergence or persistence of </w:t>
      </w:r>
      <w:proofErr w:type="spellStart"/>
      <w:r w:rsidRPr="009431DB">
        <w:t>simeprevir</w:t>
      </w:r>
      <w:proofErr w:type="spellEnd"/>
      <w:r w:rsidRPr="009431DB">
        <w:noBreakHyphen/>
        <w:t>resistance</w:t>
      </w:r>
      <w:r w:rsidRPr="009431DB">
        <w:noBreakHyphen/>
        <w:t>associated substitutions is unknown.</w:t>
      </w:r>
    </w:p>
    <w:p w:rsidR="003B5625" w:rsidRDefault="003B5625" w:rsidP="009F3479">
      <w:pPr>
        <w:rPr>
          <w:i/>
          <w:color w:val="000000"/>
        </w:rPr>
      </w:pPr>
    </w:p>
    <w:p w:rsidR="008B3F84" w:rsidRPr="009431DB" w:rsidRDefault="008B3F84" w:rsidP="008B3F84">
      <w:pPr>
        <w:pStyle w:val="Heading3"/>
      </w:pPr>
      <w:r w:rsidRPr="009431DB">
        <w:t>Effect of Baseline HCV Polymorphisms on Treatment Response</w:t>
      </w:r>
    </w:p>
    <w:p w:rsidR="008B3F84" w:rsidRDefault="008B3F84" w:rsidP="008B3F84">
      <w:r w:rsidRPr="009431DB">
        <w:t>Analyses were conducted to explore the association between naturally</w:t>
      </w:r>
      <w:r w:rsidRPr="009431DB">
        <w:noBreakHyphen/>
        <w:t>occurring baseline NS3/4A amino acid substitutions (polymorphisms) and treatment outcome.</w:t>
      </w:r>
    </w:p>
    <w:p w:rsidR="008B3F84" w:rsidRDefault="008B3F84" w:rsidP="008B3F84"/>
    <w:p w:rsidR="008B3F84" w:rsidRPr="000720C1" w:rsidRDefault="008B3F84" w:rsidP="008B3F84">
      <w:r w:rsidRPr="009431DB">
        <w:t xml:space="preserve">Baseline polymorphisms at NS3 positions 43, 80, 122, 155, 156, </w:t>
      </w:r>
      <w:r w:rsidRPr="002D25BC">
        <w:t>and/or 168</w:t>
      </w:r>
      <w:r w:rsidRPr="009431DB">
        <w:t xml:space="preserve">, associated with reduced </w:t>
      </w:r>
      <w:proofErr w:type="spellStart"/>
      <w:r w:rsidRPr="009431DB">
        <w:t>simeprevir</w:t>
      </w:r>
      <w:proofErr w:type="spellEnd"/>
      <w:r w:rsidRPr="009431DB">
        <w:t xml:space="preserve"> activity </w:t>
      </w:r>
      <w:r w:rsidRPr="009431DB">
        <w:rPr>
          <w:i/>
        </w:rPr>
        <w:t>in vitro</w:t>
      </w:r>
      <w:r w:rsidRPr="009431DB">
        <w:t xml:space="preserve"> were generally uncommon </w:t>
      </w:r>
      <w:r w:rsidRPr="00765AEF">
        <w:t>(1.3%)</w:t>
      </w:r>
      <w:r w:rsidRPr="009431DB">
        <w:t xml:space="preserve"> in patients with </w:t>
      </w:r>
      <w:r>
        <w:t>HCV g</w:t>
      </w:r>
      <w:r w:rsidRPr="009431DB">
        <w:t xml:space="preserve">enotype 1 infection in the Phase 2b and Phase 3 studies (n=2007), with </w:t>
      </w:r>
      <w:r w:rsidRPr="00765AEF">
        <w:t>exception of the</w:t>
      </w:r>
      <w:r w:rsidRPr="009431DB">
        <w:t xml:space="preserve"> low</w:t>
      </w:r>
      <w:r w:rsidRPr="009431DB">
        <w:noBreakHyphen/>
        <w:t>level resistance substitution Q80K</w:t>
      </w:r>
      <w:r>
        <w:t>.</w:t>
      </w:r>
      <w:r w:rsidRPr="009431DB">
        <w:t xml:space="preserve"> </w:t>
      </w:r>
      <w:r w:rsidRPr="002D25BC">
        <w:t xml:space="preserve">The observed prevalence of Q80K polymorphism at baseline in the overall population of the Phase 2b and Phase 3 studies was 14%, 30% in patients with </w:t>
      </w:r>
      <w:r>
        <w:t>HCV g</w:t>
      </w:r>
      <w:r w:rsidRPr="002D25BC">
        <w:t xml:space="preserve">enotype 1a and 0.5% in patients with </w:t>
      </w:r>
      <w:r>
        <w:t>HCV g</w:t>
      </w:r>
      <w:r w:rsidRPr="002D25BC">
        <w:t>enotype 1b</w:t>
      </w:r>
      <w:r w:rsidRPr="004C7C38">
        <w:t xml:space="preserve">. </w:t>
      </w:r>
      <w:r w:rsidR="004C7C38" w:rsidRPr="00594CF4">
        <w:t>Q80K polymorphism in the clinical studies for Australia/New Zealand was 7% (n=11/155).</w:t>
      </w:r>
      <w:r w:rsidR="00BD70BA">
        <w:t xml:space="preserve">  </w:t>
      </w:r>
      <w:r w:rsidR="00BD70BA" w:rsidRPr="00BD70BA">
        <w:t>The Q80K polymorphism was not observed in patients</w:t>
      </w:r>
      <w:r w:rsidR="00BD70BA">
        <w:t xml:space="preserve"> with genotype 4 (study HPC3011</w:t>
      </w:r>
      <w:r w:rsidR="00BD70BA" w:rsidRPr="00BD70BA">
        <w:t>).</w:t>
      </w:r>
    </w:p>
    <w:p w:rsidR="008B3F84" w:rsidRDefault="008B3F84" w:rsidP="008B3F84"/>
    <w:p w:rsidR="003B5625" w:rsidRDefault="008B3F84" w:rsidP="008B3F84">
      <w:pPr>
        <w:rPr>
          <w:i/>
          <w:color w:val="000000"/>
        </w:rPr>
      </w:pPr>
      <w:r w:rsidRPr="009431DB">
        <w:t xml:space="preserve">In the pooled analysis of </w:t>
      </w:r>
      <w:r>
        <w:t xml:space="preserve">the Phase 3 </w:t>
      </w:r>
      <w:r w:rsidRPr="009431DB">
        <w:t>Studies C208 and C216</w:t>
      </w:r>
      <w:r>
        <w:t>,</w:t>
      </w:r>
      <w:r w:rsidRPr="009431DB">
        <w:t xml:space="preserve"> and in </w:t>
      </w:r>
      <w:r w:rsidRPr="001772B9">
        <w:t>Stud</w:t>
      </w:r>
      <w:r>
        <w:t>y</w:t>
      </w:r>
      <w:r w:rsidRPr="001772B9">
        <w:t> HPC3007</w:t>
      </w:r>
      <w:r w:rsidRPr="009431DB">
        <w:t xml:space="preserve">, the presence of Q80K at baseline was associated with lower SVR rates in </w:t>
      </w:r>
      <w:r>
        <w:t>HCV g</w:t>
      </w:r>
      <w:r w:rsidRPr="009431DB">
        <w:t xml:space="preserve">enotype 1a </w:t>
      </w:r>
      <w:r w:rsidR="00194D66">
        <w:t>OLYSIO</w:t>
      </w:r>
      <w:r w:rsidRPr="009431DB">
        <w:noBreakHyphen/>
        <w:t xml:space="preserve">treated patients compared to </w:t>
      </w:r>
      <w:r>
        <w:t>HCV g</w:t>
      </w:r>
      <w:r w:rsidRPr="009431DB">
        <w:t xml:space="preserve">enotype 1a </w:t>
      </w:r>
      <w:r w:rsidR="00194D66">
        <w:t>OLYSIO</w:t>
      </w:r>
      <w:r w:rsidRPr="009431DB">
        <w:noBreakHyphen/>
        <w:t>treated patients without Q80K (Table </w:t>
      </w:r>
      <w:r>
        <w:t>2</w:t>
      </w:r>
      <w:r w:rsidRPr="009431DB">
        <w:t>).</w:t>
      </w:r>
    </w:p>
    <w:p w:rsidR="009F3479" w:rsidRDefault="009F3479" w:rsidP="009F3479">
      <w:pPr>
        <w:rPr>
          <w:i/>
          <w:color w:val="000000"/>
        </w:rPr>
      </w:pPr>
    </w:p>
    <w:tbl>
      <w:tblPr>
        <w:tblW w:w="9254" w:type="dxa"/>
        <w:tblInd w:w="144" w:type="dxa"/>
        <w:tblLayout w:type="fixed"/>
        <w:tblCellMar>
          <w:left w:w="42" w:type="dxa"/>
          <w:right w:w="42" w:type="dxa"/>
        </w:tblCellMar>
        <w:tblLook w:val="0000" w:firstRow="0" w:lastRow="0" w:firstColumn="0" w:lastColumn="0" w:noHBand="0" w:noVBand="0"/>
      </w:tblPr>
      <w:tblGrid>
        <w:gridCol w:w="2450"/>
        <w:gridCol w:w="1843"/>
        <w:gridCol w:w="1630"/>
        <w:gridCol w:w="71"/>
        <w:gridCol w:w="1559"/>
        <w:gridCol w:w="1701"/>
      </w:tblGrid>
      <w:tr w:rsidR="008B3F84" w:rsidRPr="009431DB" w:rsidTr="008B3F84">
        <w:trPr>
          <w:cantSplit/>
        </w:trPr>
        <w:tc>
          <w:tcPr>
            <w:tcW w:w="9254" w:type="dxa"/>
            <w:gridSpan w:val="6"/>
            <w:tcBorders>
              <w:bottom w:val="single" w:sz="4" w:space="0" w:color="auto"/>
            </w:tcBorders>
            <w:shd w:val="clear" w:color="auto" w:fill="auto"/>
          </w:tcPr>
          <w:p w:rsidR="008B3F84" w:rsidRPr="009431DB" w:rsidRDefault="008B3F84" w:rsidP="0083318F">
            <w:pPr>
              <w:pStyle w:val="Caption"/>
              <w:rPr>
                <w:lang w:eastAsia="en-US"/>
              </w:rPr>
            </w:pPr>
            <w:r>
              <w:rPr>
                <w:lang w:eastAsia="en-US"/>
              </w:rPr>
              <w:t>Table 2</w:t>
            </w:r>
            <w:r w:rsidRPr="009431DB">
              <w:rPr>
                <w:lang w:eastAsia="en-US"/>
              </w:rPr>
              <w:t>:</w:t>
            </w:r>
            <w:r w:rsidRPr="009431DB">
              <w:rPr>
                <w:lang w:eastAsia="en-US"/>
              </w:rPr>
              <w:tab/>
              <w:t xml:space="preserve">SVR12 Rates by </w:t>
            </w:r>
            <w:r>
              <w:rPr>
                <w:lang w:eastAsia="en-US"/>
              </w:rPr>
              <w:t xml:space="preserve">HCV </w:t>
            </w:r>
            <w:proofErr w:type="spellStart"/>
            <w:r>
              <w:rPr>
                <w:lang w:eastAsia="en-US"/>
              </w:rPr>
              <w:t>g</w:t>
            </w:r>
            <w:r w:rsidRPr="009431DB">
              <w:rPr>
                <w:lang w:eastAsia="en-US"/>
              </w:rPr>
              <w:t>eno</w:t>
            </w:r>
            <w:proofErr w:type="spellEnd"/>
            <w:r w:rsidRPr="009431DB">
              <w:rPr>
                <w:lang w:eastAsia="en-US"/>
              </w:rPr>
              <w:t xml:space="preserve">/subtype and Presence or Absence of Baseline Q80K Polymorphism in </w:t>
            </w:r>
            <w:r>
              <w:rPr>
                <w:lang w:eastAsia="en-US"/>
              </w:rPr>
              <w:t>HCV G</w:t>
            </w:r>
            <w:r w:rsidRPr="009431DB">
              <w:rPr>
                <w:lang w:eastAsia="en-US"/>
              </w:rPr>
              <w:t>enotype 1 Patients</w:t>
            </w:r>
          </w:p>
        </w:tc>
      </w:tr>
      <w:tr w:rsidR="008B3F84" w:rsidRPr="002D25BC" w:rsidTr="008B3F84">
        <w:trPr>
          <w:cantSplit/>
          <w:trHeight w:val="651"/>
        </w:trPr>
        <w:tc>
          <w:tcPr>
            <w:tcW w:w="2450" w:type="dxa"/>
            <w:vMerge w:val="restart"/>
            <w:tcBorders>
              <w:top w:val="single" w:sz="4" w:space="0" w:color="auto"/>
              <w:left w:val="single" w:sz="4" w:space="0" w:color="auto"/>
              <w:right w:val="single" w:sz="4" w:space="0" w:color="auto"/>
            </w:tcBorders>
            <w:shd w:val="clear" w:color="auto" w:fill="auto"/>
          </w:tcPr>
          <w:p w:rsidR="008B3F84" w:rsidRPr="00173CAD" w:rsidRDefault="008B3F84" w:rsidP="008B3F84">
            <w:pPr>
              <w:pStyle w:val="TableText0"/>
              <w:rPr>
                <w:b/>
              </w:rPr>
            </w:pPr>
          </w:p>
        </w:tc>
        <w:tc>
          <w:tcPr>
            <w:tcW w:w="1843" w:type="dxa"/>
            <w:vMerge w:val="restart"/>
            <w:tcBorders>
              <w:top w:val="single" w:sz="4" w:space="0" w:color="auto"/>
              <w:left w:val="single" w:sz="4" w:space="0" w:color="auto"/>
              <w:right w:val="single" w:sz="4" w:space="0" w:color="auto"/>
            </w:tcBorders>
            <w:shd w:val="clear" w:color="auto" w:fill="auto"/>
          </w:tcPr>
          <w:p w:rsidR="008B3F84" w:rsidRPr="002D25BC" w:rsidRDefault="008B3F84" w:rsidP="008B3F84">
            <w:pPr>
              <w:pStyle w:val="TableText0"/>
              <w:jc w:val="center"/>
              <w:rPr>
                <w:b/>
              </w:rPr>
            </w:pPr>
            <w:r w:rsidRPr="002D25BC">
              <w:rPr>
                <w:b/>
              </w:rPr>
              <w:t xml:space="preserve">All patients with </w:t>
            </w:r>
            <w:r>
              <w:rPr>
                <w:b/>
              </w:rPr>
              <w:t>HCV g</w:t>
            </w:r>
            <w:r w:rsidRPr="002D25BC">
              <w:rPr>
                <w:b/>
              </w:rPr>
              <w:t>enotype 1a</w:t>
            </w:r>
            <w:r w:rsidRPr="002D25BC">
              <w:rPr>
                <w:b/>
                <w:vertAlign w:val="superscript"/>
              </w:rPr>
              <w:t>1</w:t>
            </w:r>
          </w:p>
        </w:tc>
        <w:tc>
          <w:tcPr>
            <w:tcW w:w="3260" w:type="dxa"/>
            <w:gridSpan w:val="3"/>
            <w:tcBorders>
              <w:top w:val="single" w:sz="4" w:space="0" w:color="auto"/>
              <w:left w:val="single" w:sz="4" w:space="0" w:color="auto"/>
              <w:right w:val="single" w:sz="4" w:space="0" w:color="auto"/>
            </w:tcBorders>
            <w:shd w:val="clear" w:color="auto" w:fill="auto"/>
          </w:tcPr>
          <w:p w:rsidR="008B3F84" w:rsidRPr="002D25BC" w:rsidRDefault="008B3F84" w:rsidP="008B3F84">
            <w:pPr>
              <w:pStyle w:val="TableText0"/>
              <w:jc w:val="center"/>
              <w:rPr>
                <w:b/>
              </w:rPr>
            </w:pPr>
            <w:r w:rsidRPr="002D25BC">
              <w:rPr>
                <w:b/>
              </w:rPr>
              <w:t xml:space="preserve">Patients with </w:t>
            </w:r>
            <w:r>
              <w:rPr>
                <w:b/>
              </w:rPr>
              <w:t>HCV g</w:t>
            </w:r>
            <w:r w:rsidRPr="002D25BC">
              <w:rPr>
                <w:b/>
              </w:rPr>
              <w:t>enotype 1a</w:t>
            </w:r>
            <w:r w:rsidRPr="002D25BC">
              <w:rPr>
                <w:b/>
                <w:vertAlign w:val="superscript"/>
              </w:rPr>
              <w:t>1</w:t>
            </w:r>
            <w:r w:rsidRPr="002D25BC">
              <w:rPr>
                <w:b/>
              </w:rPr>
              <w:t xml:space="preserve"> -Presence/Absence of Q80K polymorphism at baseline</w:t>
            </w:r>
            <w:r w:rsidRPr="002D25BC">
              <w:rPr>
                <w:b/>
                <w:vertAlign w:val="superscript"/>
              </w:rPr>
              <w:t>2</w:t>
            </w:r>
          </w:p>
        </w:tc>
        <w:tc>
          <w:tcPr>
            <w:tcW w:w="1701" w:type="dxa"/>
            <w:vMerge w:val="restart"/>
            <w:tcBorders>
              <w:top w:val="single" w:sz="4" w:space="0" w:color="auto"/>
              <w:left w:val="single" w:sz="4" w:space="0" w:color="auto"/>
              <w:right w:val="single" w:sz="4" w:space="0" w:color="auto"/>
            </w:tcBorders>
            <w:shd w:val="clear" w:color="auto" w:fill="auto"/>
          </w:tcPr>
          <w:p w:rsidR="008B3F84" w:rsidRPr="002D25BC" w:rsidRDefault="008B3F84" w:rsidP="008B3F84">
            <w:pPr>
              <w:pStyle w:val="TableText0"/>
              <w:jc w:val="center"/>
              <w:rPr>
                <w:b/>
              </w:rPr>
            </w:pPr>
            <w:r w:rsidRPr="002D25BC">
              <w:rPr>
                <w:b/>
              </w:rPr>
              <w:t xml:space="preserve">All patients with </w:t>
            </w:r>
            <w:r>
              <w:rPr>
                <w:b/>
              </w:rPr>
              <w:t>HCV g</w:t>
            </w:r>
            <w:r w:rsidRPr="002D25BC">
              <w:rPr>
                <w:b/>
              </w:rPr>
              <w:t>enotype 1b</w:t>
            </w:r>
          </w:p>
        </w:tc>
      </w:tr>
      <w:tr w:rsidR="008B3F84" w:rsidRPr="002D25BC" w:rsidTr="008B3F84">
        <w:trPr>
          <w:cantSplit/>
        </w:trPr>
        <w:tc>
          <w:tcPr>
            <w:tcW w:w="2450" w:type="dxa"/>
            <w:vMerge/>
            <w:tcBorders>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rPr>
                <w:b/>
              </w:rPr>
            </w:pPr>
          </w:p>
        </w:tc>
        <w:tc>
          <w:tcPr>
            <w:tcW w:w="1843" w:type="dxa"/>
            <w:vMerge/>
            <w:tcBorders>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rPr>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rPr>
                <w:b/>
              </w:rPr>
            </w:pPr>
            <w:r w:rsidRPr="002D25BC">
              <w:rPr>
                <w:b/>
              </w:rPr>
              <w:t xml:space="preserve">Presence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rPr>
                <w:b/>
              </w:rPr>
            </w:pPr>
            <w:r w:rsidRPr="002D25BC">
              <w:rPr>
                <w:b/>
              </w:rPr>
              <w:t>Absence</w:t>
            </w:r>
          </w:p>
        </w:tc>
        <w:tc>
          <w:tcPr>
            <w:tcW w:w="1701" w:type="dxa"/>
            <w:vMerge/>
            <w:tcBorders>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rPr>
                <w:b/>
              </w:rPr>
            </w:pPr>
          </w:p>
        </w:tc>
      </w:tr>
      <w:tr w:rsidR="00B2345D" w:rsidRPr="002D25BC" w:rsidTr="008B3F84">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B2345D" w:rsidRPr="00050643" w:rsidRDefault="00B2345D" w:rsidP="00B2345D">
            <w:pPr>
              <w:pStyle w:val="TableText0"/>
              <w:rPr>
                <w:b/>
              </w:rPr>
            </w:pPr>
            <w:r w:rsidRPr="00050643">
              <w:rPr>
                <w:b/>
              </w:rPr>
              <w:t>HCV mono infected patients (studies C208, C216, HPC3007 and C206)</w:t>
            </w:r>
          </w:p>
        </w:tc>
      </w:tr>
      <w:tr w:rsidR="008B3F84" w:rsidRPr="002D25BC" w:rsidTr="008B3F84">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B2345D">
            <w:pPr>
              <w:pStyle w:val="TableText0"/>
            </w:pPr>
            <w:r w:rsidRPr="002D25BC">
              <w:rPr>
                <w:b/>
              </w:rPr>
              <w:t>Treatment</w:t>
            </w:r>
            <w:r w:rsidRPr="002D25BC">
              <w:rPr>
                <w:b/>
              </w:rPr>
              <w:noBreakHyphen/>
              <w:t>naïve patients (pooled Studies C208 and C216)</w:t>
            </w:r>
          </w:p>
        </w:tc>
      </w:tr>
      <w:tr w:rsidR="008B3F84" w:rsidRPr="002D25BC"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194D66" w:rsidP="008B3F84">
            <w:pPr>
              <w:pStyle w:val="TableText0"/>
              <w:ind w:left="140"/>
            </w:pPr>
            <w:r>
              <w:t>OLYSIO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75% (191/254)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58% (49/84)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84% (138/165)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85% (228/267)</w:t>
            </w:r>
          </w:p>
        </w:tc>
      </w:tr>
      <w:tr w:rsidR="008B3F84" w:rsidRPr="002D25BC"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ind w:left="140"/>
            </w:pPr>
            <w:r w:rsidRPr="002D25BC">
              <w:t>Placebo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47% (62/131)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47% (62/131)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53% (70/133)</w:t>
            </w:r>
          </w:p>
        </w:tc>
      </w:tr>
      <w:tr w:rsidR="008B3F84" w:rsidRPr="002D25BC" w:rsidTr="008B3F84">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pPr>
            <w:r w:rsidRPr="002D25BC">
              <w:rPr>
                <w:b/>
              </w:rPr>
              <w:t xml:space="preserve">Prior </w:t>
            </w:r>
            <w:proofErr w:type="spellStart"/>
            <w:r w:rsidRPr="002D25BC">
              <w:rPr>
                <w:b/>
              </w:rPr>
              <w:t>relapser</w:t>
            </w:r>
            <w:proofErr w:type="spellEnd"/>
            <w:r w:rsidRPr="002D25BC">
              <w:rPr>
                <w:b/>
              </w:rPr>
              <w:t xml:space="preserve"> (Study HPC3007)</w:t>
            </w:r>
          </w:p>
        </w:tc>
      </w:tr>
      <w:tr w:rsidR="008B3F84" w:rsidRPr="002D25BC"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194D66" w:rsidP="008B3F84">
            <w:pPr>
              <w:pStyle w:val="TableText0"/>
              <w:ind w:left="140"/>
            </w:pPr>
            <w:r>
              <w:t>OLYSIO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70% (78/111)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47% (14/30)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78% (62/79)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86% (128/149)</w:t>
            </w:r>
          </w:p>
        </w:tc>
      </w:tr>
      <w:tr w:rsidR="008B3F84" w:rsidRPr="002D25BC"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ind w:left="140"/>
            </w:pPr>
            <w:r w:rsidRPr="002D25BC">
              <w:t>Placebo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28% (15/54)</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28% (15/54)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43% (34/79)</w:t>
            </w:r>
          </w:p>
        </w:tc>
      </w:tr>
      <w:tr w:rsidR="008B3F84" w:rsidRPr="002D25BC" w:rsidTr="008B3F84">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pPr>
            <w:r w:rsidRPr="002D25BC">
              <w:rPr>
                <w:b/>
              </w:rPr>
              <w:t>Prior partial responder (Study C206)</w:t>
            </w:r>
          </w:p>
        </w:tc>
      </w:tr>
      <w:tr w:rsidR="008B3F84" w:rsidRPr="002D25BC"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194D66" w:rsidP="008B3F84">
            <w:pPr>
              <w:pStyle w:val="TableText0"/>
              <w:ind w:left="140"/>
            </w:pPr>
            <w:r>
              <w:t>OLYSIO</w:t>
            </w:r>
            <w:r w:rsidR="008B3F84" w:rsidRPr="002D25BC">
              <w:rPr>
                <w:vertAlign w:val="superscript"/>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56% (14/25)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38% (3/8)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65% (11/17)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88% (38/43)</w:t>
            </w:r>
          </w:p>
        </w:tc>
      </w:tr>
      <w:tr w:rsidR="008B3F84" w:rsidRPr="002D25BC"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ind w:left="140"/>
            </w:pPr>
            <w:r w:rsidRPr="002D25BC">
              <w:t>Placebo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13% (1/8)</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13% (1/8)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7% (1/15)</w:t>
            </w:r>
          </w:p>
        </w:tc>
      </w:tr>
      <w:tr w:rsidR="008B3F84" w:rsidRPr="002D25BC" w:rsidTr="008B3F84">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pPr>
            <w:r w:rsidRPr="002D25BC">
              <w:rPr>
                <w:b/>
              </w:rPr>
              <w:t>Prior null responder (Study C206)</w:t>
            </w:r>
          </w:p>
        </w:tc>
      </w:tr>
      <w:tr w:rsidR="008B3F84" w:rsidRPr="009431DB"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194D66" w:rsidP="008B3F84">
            <w:pPr>
              <w:pStyle w:val="TableText0"/>
              <w:ind w:left="140"/>
            </w:pPr>
            <w:r>
              <w:t>OLYSIO</w:t>
            </w:r>
            <w:r w:rsidR="008B3F84" w:rsidRPr="002D25BC">
              <w:rPr>
                <w:vertAlign w:val="superscript"/>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42% (11/26)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75% (3/4)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Text0"/>
              <w:jc w:val="center"/>
            </w:pPr>
            <w:r w:rsidRPr="002D25BC">
              <w:t xml:space="preserve">38% (8/21)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9431DB" w:rsidRDefault="008B3F84" w:rsidP="008B3F84">
            <w:pPr>
              <w:pStyle w:val="TableText0"/>
              <w:jc w:val="center"/>
            </w:pPr>
            <w:r w:rsidRPr="002D25BC">
              <w:t>58% (14/24)</w:t>
            </w:r>
          </w:p>
        </w:tc>
      </w:tr>
      <w:tr w:rsidR="008B3F84" w:rsidRPr="009431DB" w:rsidTr="008B3F84">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B3F84" w:rsidRPr="009431DB" w:rsidRDefault="008B3F84" w:rsidP="008B3F84">
            <w:pPr>
              <w:pStyle w:val="TableText0"/>
              <w:ind w:left="140"/>
            </w:pPr>
            <w:r w:rsidRPr="009431DB">
              <w:t>Placebo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3F84" w:rsidRPr="009431DB" w:rsidRDefault="008B3F84" w:rsidP="008B3F84">
            <w:pPr>
              <w:pStyle w:val="TableText0"/>
              <w:jc w:val="center"/>
            </w:pPr>
            <w:r>
              <w:t>0% (</w:t>
            </w:r>
            <w:r w:rsidRPr="00173CAD">
              <w:t>0/7)</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8B3F84" w:rsidRPr="00DF2D1D" w:rsidRDefault="008B3F84" w:rsidP="008B3F84">
            <w:pPr>
              <w:pStyle w:val="TableText0"/>
              <w:jc w:val="center"/>
              <w:rPr>
                <w:highlight w:val="cyan"/>
              </w:rPr>
            </w:pPr>
            <w:r w:rsidRPr="001772B9">
              <w:t>0% (0/7)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3F84" w:rsidRPr="009431DB" w:rsidRDefault="008B3F84" w:rsidP="008B3F84">
            <w:pPr>
              <w:pStyle w:val="TableText0"/>
              <w:jc w:val="center"/>
            </w:pPr>
            <w:r>
              <w:t>33% (</w:t>
            </w:r>
            <w:r w:rsidRPr="00173CAD">
              <w:t>3/9)</w:t>
            </w:r>
          </w:p>
        </w:tc>
      </w:tr>
      <w:tr w:rsidR="00050643" w:rsidRPr="009431DB" w:rsidTr="00364046">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050643" w:rsidRDefault="00050643" w:rsidP="00050643">
            <w:pPr>
              <w:pStyle w:val="TableText0"/>
            </w:pPr>
            <w:r w:rsidRPr="00050643">
              <w:rPr>
                <w:b/>
              </w:rPr>
              <w:t>HCV/HIV 1 co infected patients (study C212</w:t>
            </w:r>
            <w:r w:rsidRPr="00050643">
              <w:t xml:space="preserve"> )</w:t>
            </w:r>
          </w:p>
        </w:tc>
      </w:tr>
      <w:tr w:rsidR="00050643" w:rsidRPr="009431DB" w:rsidTr="00364046">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050643" w:rsidRPr="0035732C" w:rsidRDefault="0035732C" w:rsidP="00050643">
            <w:pPr>
              <w:pStyle w:val="TableText0"/>
              <w:rPr>
                <w:b/>
              </w:rPr>
            </w:pPr>
            <w:r w:rsidRPr="0035732C">
              <w:rPr>
                <w:b/>
              </w:rPr>
              <w:t>Treatment naïve patients</w:t>
            </w:r>
          </w:p>
        </w:tc>
      </w:tr>
      <w:tr w:rsidR="00F9323C" w:rsidRPr="009431DB" w:rsidTr="00364046">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F9323C" w:rsidRPr="009431DB" w:rsidRDefault="00F9323C" w:rsidP="008B3F84">
            <w:pPr>
              <w:pStyle w:val="TableText0"/>
              <w:ind w:left="140"/>
            </w:pPr>
            <w:r>
              <w:t>OLYSIO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9323C" w:rsidRDefault="00F9323C" w:rsidP="008B3F84">
            <w:pPr>
              <w:pStyle w:val="TableText0"/>
              <w:jc w:val="center"/>
            </w:pPr>
            <w:r w:rsidRPr="000C5551">
              <w:t>77% (33/43)</w:t>
            </w:r>
          </w:p>
        </w:tc>
        <w:tc>
          <w:tcPr>
            <w:tcW w:w="1630" w:type="dxa"/>
            <w:tcBorders>
              <w:top w:val="single" w:sz="4" w:space="0" w:color="auto"/>
              <w:left w:val="single" w:sz="4" w:space="0" w:color="auto"/>
              <w:right w:val="single" w:sz="4" w:space="0" w:color="auto"/>
            </w:tcBorders>
            <w:shd w:val="clear" w:color="auto" w:fill="auto"/>
          </w:tcPr>
          <w:p w:rsidR="00F9323C" w:rsidRPr="001772B9" w:rsidRDefault="00F9323C" w:rsidP="008B3F84">
            <w:pPr>
              <w:pStyle w:val="TableText0"/>
              <w:jc w:val="center"/>
            </w:pPr>
            <w:r w:rsidRPr="000C5551">
              <w:t>86% (12/14)</w:t>
            </w:r>
          </w:p>
        </w:tc>
        <w:tc>
          <w:tcPr>
            <w:tcW w:w="1630" w:type="dxa"/>
            <w:gridSpan w:val="2"/>
            <w:tcBorders>
              <w:top w:val="single" w:sz="4" w:space="0" w:color="auto"/>
              <w:left w:val="single" w:sz="4" w:space="0" w:color="auto"/>
              <w:right w:val="single" w:sz="4" w:space="0" w:color="auto"/>
            </w:tcBorders>
            <w:shd w:val="clear" w:color="auto" w:fill="auto"/>
          </w:tcPr>
          <w:p w:rsidR="00F9323C" w:rsidRPr="001772B9" w:rsidRDefault="00F9323C" w:rsidP="008B3F84">
            <w:pPr>
              <w:pStyle w:val="TableText0"/>
              <w:jc w:val="center"/>
            </w:pPr>
            <w:r w:rsidRPr="000C5551">
              <w:t>72% (21/29)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323C" w:rsidRDefault="00F9323C" w:rsidP="008B3F84">
            <w:pPr>
              <w:pStyle w:val="TableText0"/>
              <w:jc w:val="center"/>
            </w:pPr>
            <w:r w:rsidRPr="000C5551">
              <w:t>90% (9/10)</w:t>
            </w:r>
          </w:p>
        </w:tc>
      </w:tr>
      <w:tr w:rsidR="0035732C" w:rsidRPr="009431DB" w:rsidTr="00364046">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35732C" w:rsidRPr="0035732C" w:rsidRDefault="0035732C" w:rsidP="0035732C">
            <w:pPr>
              <w:pStyle w:val="TableText0"/>
              <w:rPr>
                <w:b/>
              </w:rPr>
            </w:pPr>
            <w:r w:rsidRPr="0035732C">
              <w:rPr>
                <w:b/>
              </w:rPr>
              <w:t xml:space="preserve">Prior </w:t>
            </w:r>
            <w:proofErr w:type="spellStart"/>
            <w:r w:rsidRPr="0035732C">
              <w:rPr>
                <w:b/>
              </w:rPr>
              <w:t>relapsers</w:t>
            </w:r>
            <w:proofErr w:type="spellEnd"/>
          </w:p>
        </w:tc>
      </w:tr>
      <w:tr w:rsidR="008D2467" w:rsidRPr="009431DB" w:rsidTr="00364046">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D2467" w:rsidRPr="009431DB" w:rsidRDefault="008D2467" w:rsidP="008B3F84">
            <w:pPr>
              <w:pStyle w:val="TableText0"/>
              <w:ind w:left="140"/>
            </w:pPr>
            <w:r>
              <w:t>OLYSIO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D2467" w:rsidRDefault="008D2467" w:rsidP="008B3F84">
            <w:pPr>
              <w:pStyle w:val="TableText0"/>
              <w:jc w:val="center"/>
            </w:pPr>
            <w:r w:rsidRPr="002C5CDF">
              <w:t>83% (10/12)</w:t>
            </w:r>
          </w:p>
        </w:tc>
        <w:tc>
          <w:tcPr>
            <w:tcW w:w="1630" w:type="dxa"/>
            <w:tcBorders>
              <w:left w:val="single" w:sz="4" w:space="0" w:color="auto"/>
              <w:right w:val="single" w:sz="4" w:space="0" w:color="auto"/>
            </w:tcBorders>
            <w:shd w:val="clear" w:color="auto" w:fill="auto"/>
          </w:tcPr>
          <w:p w:rsidR="008D2467" w:rsidRPr="001772B9" w:rsidRDefault="008D2467" w:rsidP="008B3F84">
            <w:pPr>
              <w:pStyle w:val="TableText0"/>
              <w:jc w:val="center"/>
            </w:pPr>
            <w:r w:rsidRPr="002C5CDF">
              <w:t>33% (1/3)</w:t>
            </w:r>
          </w:p>
        </w:tc>
        <w:tc>
          <w:tcPr>
            <w:tcW w:w="1630" w:type="dxa"/>
            <w:gridSpan w:val="2"/>
            <w:tcBorders>
              <w:left w:val="single" w:sz="4" w:space="0" w:color="auto"/>
              <w:right w:val="single" w:sz="4" w:space="0" w:color="auto"/>
            </w:tcBorders>
            <w:shd w:val="clear" w:color="auto" w:fill="auto"/>
          </w:tcPr>
          <w:p w:rsidR="008D2467" w:rsidRPr="001772B9" w:rsidRDefault="008D2467" w:rsidP="008B3F84">
            <w:pPr>
              <w:pStyle w:val="TableText0"/>
              <w:jc w:val="center"/>
            </w:pPr>
            <w:r w:rsidRPr="002C5CDF">
              <w:t>100% (9/9)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2467" w:rsidRDefault="008D2467" w:rsidP="008B3F84">
            <w:pPr>
              <w:pStyle w:val="TableText0"/>
              <w:jc w:val="center"/>
            </w:pPr>
            <w:r w:rsidRPr="002C5CDF">
              <w:t>100% (3/3)</w:t>
            </w:r>
          </w:p>
        </w:tc>
      </w:tr>
      <w:tr w:rsidR="0035732C" w:rsidRPr="009431DB" w:rsidTr="00364046">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35732C" w:rsidRPr="0035732C" w:rsidRDefault="0035732C" w:rsidP="0035732C">
            <w:pPr>
              <w:pStyle w:val="TableText0"/>
              <w:rPr>
                <w:b/>
              </w:rPr>
            </w:pPr>
            <w:r w:rsidRPr="0035732C">
              <w:rPr>
                <w:b/>
              </w:rPr>
              <w:t>Prior partial responders</w:t>
            </w:r>
          </w:p>
        </w:tc>
      </w:tr>
      <w:tr w:rsidR="008D2467" w:rsidRPr="009431DB" w:rsidTr="00364046">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D2467" w:rsidRPr="009431DB" w:rsidRDefault="008D2467" w:rsidP="008B3F84">
            <w:pPr>
              <w:pStyle w:val="TableText0"/>
              <w:ind w:left="140"/>
            </w:pPr>
            <w:r>
              <w:t>OLYSIO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D2467" w:rsidRDefault="008D2467" w:rsidP="008B3F84">
            <w:pPr>
              <w:pStyle w:val="TableText0"/>
              <w:jc w:val="center"/>
            </w:pPr>
            <w:r w:rsidRPr="00401E7A">
              <w:t>67% (6/9)</w:t>
            </w:r>
          </w:p>
        </w:tc>
        <w:tc>
          <w:tcPr>
            <w:tcW w:w="1630" w:type="dxa"/>
            <w:tcBorders>
              <w:left w:val="single" w:sz="4" w:space="0" w:color="auto"/>
              <w:right w:val="single" w:sz="4" w:space="0" w:color="auto"/>
            </w:tcBorders>
            <w:shd w:val="clear" w:color="auto" w:fill="auto"/>
          </w:tcPr>
          <w:p w:rsidR="008D2467" w:rsidRPr="001772B9" w:rsidRDefault="008D2467" w:rsidP="008B3F84">
            <w:pPr>
              <w:pStyle w:val="TableText0"/>
              <w:jc w:val="center"/>
            </w:pPr>
            <w:r w:rsidRPr="00401E7A">
              <w:t>100% (1/1)</w:t>
            </w:r>
          </w:p>
        </w:tc>
        <w:tc>
          <w:tcPr>
            <w:tcW w:w="1630" w:type="dxa"/>
            <w:gridSpan w:val="2"/>
            <w:tcBorders>
              <w:left w:val="single" w:sz="4" w:space="0" w:color="auto"/>
              <w:right w:val="single" w:sz="4" w:space="0" w:color="auto"/>
            </w:tcBorders>
            <w:shd w:val="clear" w:color="auto" w:fill="auto"/>
          </w:tcPr>
          <w:p w:rsidR="008D2467" w:rsidRPr="001772B9" w:rsidRDefault="008D2467" w:rsidP="008B3F84">
            <w:pPr>
              <w:pStyle w:val="TableText0"/>
              <w:jc w:val="center"/>
            </w:pPr>
            <w:r w:rsidRPr="00401E7A">
              <w:t>62% (5/8)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2467" w:rsidRDefault="008D2467" w:rsidP="008B3F84">
            <w:pPr>
              <w:pStyle w:val="TableText0"/>
              <w:jc w:val="center"/>
            </w:pPr>
            <w:r w:rsidRPr="00401E7A">
              <w:t>100% (1/1)</w:t>
            </w:r>
          </w:p>
        </w:tc>
      </w:tr>
      <w:tr w:rsidR="0035732C" w:rsidRPr="009431DB" w:rsidTr="00364046">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35732C" w:rsidRPr="0035732C" w:rsidRDefault="0035732C" w:rsidP="0035732C">
            <w:pPr>
              <w:pStyle w:val="TableText0"/>
              <w:rPr>
                <w:b/>
              </w:rPr>
            </w:pPr>
            <w:r w:rsidRPr="0035732C">
              <w:rPr>
                <w:b/>
              </w:rPr>
              <w:t>Prior null responders</w:t>
            </w:r>
          </w:p>
        </w:tc>
      </w:tr>
      <w:tr w:rsidR="008D2467" w:rsidRPr="009431DB" w:rsidTr="00364046">
        <w:trPr>
          <w:cantSplit/>
        </w:trPr>
        <w:tc>
          <w:tcPr>
            <w:tcW w:w="2450" w:type="dxa"/>
            <w:tcBorders>
              <w:top w:val="single" w:sz="4" w:space="0" w:color="auto"/>
              <w:left w:val="single" w:sz="4" w:space="0" w:color="auto"/>
              <w:bottom w:val="single" w:sz="4" w:space="0" w:color="auto"/>
              <w:right w:val="single" w:sz="4" w:space="0" w:color="auto"/>
            </w:tcBorders>
            <w:shd w:val="clear" w:color="auto" w:fill="auto"/>
          </w:tcPr>
          <w:p w:rsidR="008D2467" w:rsidRPr="009431DB" w:rsidRDefault="008D2467" w:rsidP="008B3F84">
            <w:pPr>
              <w:pStyle w:val="TableText0"/>
              <w:ind w:left="140"/>
            </w:pPr>
            <w:r>
              <w:t>OLYSIO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D2467" w:rsidRDefault="008D2467" w:rsidP="008B3F84">
            <w:pPr>
              <w:pStyle w:val="TableText0"/>
              <w:jc w:val="center"/>
            </w:pPr>
            <w:r w:rsidRPr="001A58D7">
              <w:t>54% (13/24)</w:t>
            </w:r>
          </w:p>
        </w:tc>
        <w:tc>
          <w:tcPr>
            <w:tcW w:w="1630" w:type="dxa"/>
            <w:tcBorders>
              <w:left w:val="single" w:sz="4" w:space="0" w:color="auto"/>
              <w:bottom w:val="single" w:sz="4" w:space="0" w:color="auto"/>
              <w:right w:val="single" w:sz="4" w:space="0" w:color="auto"/>
            </w:tcBorders>
            <w:shd w:val="clear" w:color="auto" w:fill="auto"/>
          </w:tcPr>
          <w:p w:rsidR="008D2467" w:rsidRPr="001772B9" w:rsidRDefault="008D2467" w:rsidP="008B3F84">
            <w:pPr>
              <w:pStyle w:val="TableText0"/>
              <w:jc w:val="center"/>
            </w:pPr>
            <w:r w:rsidRPr="001A58D7">
              <w:t>50% (6/12)</w:t>
            </w:r>
          </w:p>
        </w:tc>
        <w:tc>
          <w:tcPr>
            <w:tcW w:w="1630" w:type="dxa"/>
            <w:gridSpan w:val="2"/>
            <w:tcBorders>
              <w:left w:val="single" w:sz="4" w:space="0" w:color="auto"/>
              <w:bottom w:val="single" w:sz="4" w:space="0" w:color="auto"/>
              <w:right w:val="single" w:sz="4" w:space="0" w:color="auto"/>
            </w:tcBorders>
            <w:shd w:val="clear" w:color="auto" w:fill="auto"/>
          </w:tcPr>
          <w:p w:rsidR="008D2467" w:rsidRPr="001772B9" w:rsidRDefault="008D2467" w:rsidP="008B3F84">
            <w:pPr>
              <w:pStyle w:val="TableText0"/>
              <w:jc w:val="center"/>
            </w:pPr>
            <w:r w:rsidRPr="001A58D7">
              <w:t>58% (7/12)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2467" w:rsidRDefault="008D2467" w:rsidP="008B3F84">
            <w:pPr>
              <w:pStyle w:val="TableText0"/>
              <w:jc w:val="center"/>
            </w:pPr>
            <w:r w:rsidRPr="001A58D7">
              <w:t>75% (3/4)</w:t>
            </w:r>
          </w:p>
        </w:tc>
      </w:tr>
      <w:tr w:rsidR="008B3F84" w:rsidRPr="009431DB" w:rsidTr="008B3F84">
        <w:trPr>
          <w:cantSplit/>
        </w:trPr>
        <w:tc>
          <w:tcPr>
            <w:tcW w:w="9254" w:type="dxa"/>
            <w:gridSpan w:val="6"/>
            <w:tcBorders>
              <w:top w:val="single" w:sz="4" w:space="0" w:color="auto"/>
              <w:left w:val="single" w:sz="4" w:space="0" w:color="auto"/>
              <w:bottom w:val="single" w:sz="4" w:space="0" w:color="auto"/>
              <w:right w:val="single" w:sz="4" w:space="0" w:color="auto"/>
            </w:tcBorders>
            <w:shd w:val="clear" w:color="auto" w:fill="auto"/>
          </w:tcPr>
          <w:p w:rsidR="008B3F84" w:rsidRPr="002D25BC" w:rsidRDefault="008B3F84" w:rsidP="008B3F84">
            <w:pPr>
              <w:pStyle w:val="TableFootnote"/>
              <w:ind w:left="284" w:hanging="284"/>
            </w:pPr>
            <w:r w:rsidRPr="002D25BC">
              <w:rPr>
                <w:vertAlign w:val="superscript"/>
              </w:rPr>
              <w:t>1</w:t>
            </w:r>
            <w:r w:rsidRPr="002D25BC">
              <w:rPr>
                <w:vertAlign w:val="superscript"/>
              </w:rPr>
              <w:tab/>
            </w:r>
            <w:r w:rsidRPr="002D25BC">
              <w:t>May include few patients with HCV non</w:t>
            </w:r>
            <w:r w:rsidRPr="002D25BC">
              <w:noBreakHyphen/>
              <w:t>genotype 1a/1b.</w:t>
            </w:r>
          </w:p>
          <w:p w:rsidR="008B3F84" w:rsidRPr="002D25BC" w:rsidRDefault="008B3F84" w:rsidP="008B3F84">
            <w:pPr>
              <w:pStyle w:val="TableFootnote"/>
              <w:ind w:left="284" w:hanging="284"/>
            </w:pPr>
            <w:r w:rsidRPr="002D25BC">
              <w:rPr>
                <w:vertAlign w:val="superscript"/>
              </w:rPr>
              <w:t>2</w:t>
            </w:r>
            <w:r w:rsidRPr="002D25BC">
              <w:rPr>
                <w:vertAlign w:val="superscript"/>
              </w:rPr>
              <w:tab/>
            </w:r>
            <w:r w:rsidRPr="00EA57FC">
              <w:t>Number</w:t>
            </w:r>
            <w:r w:rsidR="00FC5AC2">
              <w:t xml:space="preserve"> of patients in the </w:t>
            </w:r>
            <w:r w:rsidR="00194D66">
              <w:t>OLYSIO</w:t>
            </w:r>
            <w:r>
              <w:t xml:space="preserve"> treatment group: o</w:t>
            </w:r>
            <w:r w:rsidRPr="002D25BC">
              <w:t>nly patients with sequence data available.</w:t>
            </w:r>
          </w:p>
          <w:p w:rsidR="008B3F84" w:rsidRPr="002D25BC" w:rsidRDefault="008B3F84" w:rsidP="008B3F84">
            <w:pPr>
              <w:pStyle w:val="TableFootnote"/>
              <w:ind w:left="284" w:hanging="284"/>
            </w:pPr>
            <w:r w:rsidRPr="002D25BC">
              <w:rPr>
                <w:vertAlign w:val="superscript"/>
              </w:rPr>
              <w:t>3</w:t>
            </w:r>
            <w:r w:rsidRPr="002D25BC">
              <w:rPr>
                <w:vertAlign w:val="superscript"/>
              </w:rPr>
              <w:tab/>
            </w:r>
            <w:r w:rsidRPr="002D25BC">
              <w:t xml:space="preserve">Pooled 150 mg </w:t>
            </w:r>
            <w:r w:rsidR="00194D66">
              <w:t>OLYSIO</w:t>
            </w:r>
            <w:r w:rsidRPr="002D25BC">
              <w:t xml:space="preserve"> treatment group.</w:t>
            </w:r>
          </w:p>
          <w:p w:rsidR="008B3F84" w:rsidRPr="009431DB" w:rsidRDefault="008B3F84" w:rsidP="008B3F84">
            <w:pPr>
              <w:pStyle w:val="TableFootnote"/>
              <w:ind w:left="0" w:firstLine="0"/>
            </w:pPr>
            <w:r w:rsidRPr="002D25BC">
              <w:t xml:space="preserve">Note: In Studies C208, C216, HPC3007 and C206, three </w:t>
            </w:r>
            <w:r>
              <w:t>HCV g</w:t>
            </w:r>
            <w:r w:rsidRPr="002D25BC">
              <w:t>enotype 1b infected patients had baseline Q80K polymorphism. All three patients had SVR12.</w:t>
            </w:r>
          </w:p>
        </w:tc>
      </w:tr>
    </w:tbl>
    <w:p w:rsidR="008B3F84" w:rsidRDefault="008B3F84" w:rsidP="00FC5AC2"/>
    <w:p w:rsidR="00FC5AC2" w:rsidRPr="000E6BC2" w:rsidRDefault="00FC5AC2" w:rsidP="00FC5AC2">
      <w:r w:rsidRPr="000E6BC2">
        <w:lastRenderedPageBreak/>
        <w:t xml:space="preserve">In </w:t>
      </w:r>
      <w:r>
        <w:t xml:space="preserve">the </w:t>
      </w:r>
      <w:r w:rsidRPr="000E6BC2">
        <w:t xml:space="preserve">pooled analysis of Studies C208 and C216, </w:t>
      </w:r>
      <w:r>
        <w:t xml:space="preserve">63% of </w:t>
      </w:r>
      <w:r w:rsidR="00194D66">
        <w:t>OLYSIO</w:t>
      </w:r>
      <w:r w:rsidRPr="000E6BC2">
        <w:noBreakHyphen/>
        <w:t xml:space="preserve">treated </w:t>
      </w:r>
      <w:r>
        <w:t>HCV g</w:t>
      </w:r>
      <w:r w:rsidRPr="000E6BC2">
        <w:t xml:space="preserve">enotype 1a infected patients </w:t>
      </w:r>
      <w:r>
        <w:t xml:space="preserve">(n=53/84) </w:t>
      </w:r>
      <w:r w:rsidRPr="000E6BC2">
        <w:t>with Q80K polymorphism at baseline h</w:t>
      </w:r>
      <w:r>
        <w:t>ad undetectable HCV RNA at Week </w:t>
      </w:r>
      <w:r w:rsidRPr="000E6BC2">
        <w:t>4</w:t>
      </w:r>
      <w:r>
        <w:t xml:space="preserve"> (Rapid </w:t>
      </w:r>
      <w:proofErr w:type="spellStart"/>
      <w:r>
        <w:t>Virologic</w:t>
      </w:r>
      <w:proofErr w:type="spellEnd"/>
      <w:r>
        <w:t xml:space="preserve"> Response; RVR)</w:t>
      </w:r>
      <w:r w:rsidRPr="000E6BC2">
        <w:t xml:space="preserve">, and </w:t>
      </w:r>
      <w:r>
        <w:t>79% of these patients (n=42/53)</w:t>
      </w:r>
      <w:r w:rsidRPr="000E6BC2">
        <w:t xml:space="preserve"> achieved SVR12. Among the </w:t>
      </w:r>
      <w:r w:rsidR="00194D66">
        <w:t>OLYSIO</w:t>
      </w:r>
      <w:r w:rsidRPr="000E6BC2">
        <w:noBreakHyphen/>
        <w:t>treated genotype</w:t>
      </w:r>
      <w:r>
        <w:t> </w:t>
      </w:r>
      <w:r w:rsidRPr="000E6BC2">
        <w:t xml:space="preserve">1a patients with Q80K and </w:t>
      </w:r>
      <w:r>
        <w:t>HCV </w:t>
      </w:r>
      <w:r w:rsidRPr="000E6BC2">
        <w:t>R</w:t>
      </w:r>
      <w:r>
        <w:t>NA &lt; 25 IU/mL detectable at Week </w:t>
      </w:r>
      <w:r w:rsidRPr="000E6BC2">
        <w:t>4 (</w:t>
      </w:r>
      <w:r>
        <w:t>13%; n=</w:t>
      </w:r>
      <w:r w:rsidRPr="000E6BC2">
        <w:t>11</w:t>
      </w:r>
      <w:r>
        <w:t>/</w:t>
      </w:r>
      <w:r w:rsidRPr="000E6BC2">
        <w:t xml:space="preserve">84), </w:t>
      </w:r>
      <w:r>
        <w:t>45% (n=</w:t>
      </w:r>
      <w:r w:rsidRPr="000E6BC2">
        <w:t>5</w:t>
      </w:r>
      <w:r>
        <w:t>/11)</w:t>
      </w:r>
      <w:r w:rsidRPr="000E6BC2">
        <w:t xml:space="preserve"> achieved SVR12.</w:t>
      </w:r>
    </w:p>
    <w:p w:rsidR="00FC5AC2" w:rsidRPr="009431DB" w:rsidRDefault="00FC5AC2" w:rsidP="00FC5AC2">
      <w:r w:rsidRPr="000E6BC2">
        <w:t xml:space="preserve">In Study HPC3007, </w:t>
      </w:r>
      <w:r>
        <w:t>43%</w:t>
      </w:r>
      <w:r w:rsidRPr="000E6BC2">
        <w:t xml:space="preserve"> </w:t>
      </w:r>
      <w:r>
        <w:t>of</w:t>
      </w:r>
      <w:r w:rsidRPr="000E6BC2">
        <w:t xml:space="preserve"> </w:t>
      </w:r>
      <w:r w:rsidR="00194D66">
        <w:t>OLYSIO</w:t>
      </w:r>
      <w:r w:rsidRPr="000E6BC2">
        <w:noBreakHyphen/>
        <w:t xml:space="preserve">treated </w:t>
      </w:r>
      <w:r>
        <w:t>HCV g</w:t>
      </w:r>
      <w:r w:rsidRPr="000E6BC2">
        <w:t>enotype</w:t>
      </w:r>
      <w:r>
        <w:t> </w:t>
      </w:r>
      <w:r w:rsidRPr="000E6BC2">
        <w:t xml:space="preserve">1a infected patients </w:t>
      </w:r>
      <w:r>
        <w:t>(n=</w:t>
      </w:r>
      <w:r w:rsidRPr="000E6BC2">
        <w:t>13</w:t>
      </w:r>
      <w:r>
        <w:t>/</w:t>
      </w:r>
      <w:r w:rsidRPr="000E6BC2">
        <w:t>30</w:t>
      </w:r>
      <w:r>
        <w:t xml:space="preserve">) </w:t>
      </w:r>
      <w:r w:rsidRPr="000E6BC2">
        <w:t xml:space="preserve">with Q80K polymorphism at baseline had undetectable </w:t>
      </w:r>
      <w:r>
        <w:t>HCV </w:t>
      </w:r>
      <w:r w:rsidRPr="000E6BC2">
        <w:t>RNA at Week</w:t>
      </w:r>
      <w:r>
        <w:t> </w:t>
      </w:r>
      <w:r w:rsidRPr="000E6BC2">
        <w:t>4</w:t>
      </w:r>
      <w:r>
        <w:t xml:space="preserve"> (RVR)</w:t>
      </w:r>
      <w:r w:rsidRPr="000E6BC2">
        <w:t xml:space="preserve">, and </w:t>
      </w:r>
      <w:r>
        <w:t>77% of these patients (n=</w:t>
      </w:r>
      <w:r w:rsidRPr="000E6BC2">
        <w:t>10</w:t>
      </w:r>
      <w:r>
        <w:t>/</w:t>
      </w:r>
      <w:r w:rsidRPr="000E6BC2">
        <w:t>13</w:t>
      </w:r>
      <w:r>
        <w:t>)</w:t>
      </w:r>
      <w:r w:rsidRPr="000E6BC2">
        <w:t xml:space="preserve"> achieved SVR12. Among</w:t>
      </w:r>
      <w:r>
        <w:t xml:space="preserve"> the </w:t>
      </w:r>
      <w:r w:rsidR="00194D66">
        <w:t>OLYSIO</w:t>
      </w:r>
      <w:r>
        <w:noBreakHyphen/>
        <w:t>treated genotype </w:t>
      </w:r>
      <w:r w:rsidRPr="000E6BC2">
        <w:t xml:space="preserve">1a patients with Q80K and </w:t>
      </w:r>
      <w:r>
        <w:t>HCV </w:t>
      </w:r>
      <w:r w:rsidRPr="000E6BC2">
        <w:t>RNA &lt;</w:t>
      </w:r>
      <w:r>
        <w:t> </w:t>
      </w:r>
      <w:r w:rsidRPr="000E6BC2">
        <w:t>25</w:t>
      </w:r>
      <w:r>
        <w:t> </w:t>
      </w:r>
      <w:r w:rsidRPr="000E6BC2">
        <w:t>IU/mL detectable at W</w:t>
      </w:r>
      <w:r>
        <w:t>eek </w:t>
      </w:r>
      <w:r w:rsidRPr="000E6BC2">
        <w:t>4 (</w:t>
      </w:r>
      <w:r>
        <w:t>40%; n=</w:t>
      </w:r>
      <w:r w:rsidRPr="000E6BC2">
        <w:t>12</w:t>
      </w:r>
      <w:r>
        <w:t>/</w:t>
      </w:r>
      <w:r w:rsidRPr="000E6BC2">
        <w:t xml:space="preserve">30), </w:t>
      </w:r>
      <w:r>
        <w:t>33% (n=</w:t>
      </w:r>
      <w:r w:rsidRPr="000E6BC2">
        <w:t>4</w:t>
      </w:r>
      <w:r>
        <w:t>/12)</w:t>
      </w:r>
      <w:r w:rsidRPr="000E6BC2">
        <w:t xml:space="preserve"> achieved SVR12.</w:t>
      </w:r>
    </w:p>
    <w:p w:rsidR="008B3F84" w:rsidRDefault="008B3F84" w:rsidP="00FC5AC2">
      <w:pPr>
        <w:rPr>
          <w:i/>
          <w:color w:val="000000"/>
        </w:rPr>
      </w:pPr>
    </w:p>
    <w:p w:rsidR="00FC5AC2" w:rsidRPr="009431DB" w:rsidRDefault="00FC5AC2" w:rsidP="00FC5AC2">
      <w:pPr>
        <w:pStyle w:val="Heading3"/>
      </w:pPr>
      <w:r w:rsidRPr="009431DB">
        <w:t>Cross</w:t>
      </w:r>
      <w:r w:rsidRPr="009431DB">
        <w:noBreakHyphen/>
        <w:t>Resistance</w:t>
      </w:r>
    </w:p>
    <w:p w:rsidR="00FC5AC2" w:rsidRDefault="00FC5AC2" w:rsidP="00FC5AC2">
      <w:r w:rsidRPr="002D25BC">
        <w:t>Some of the treatment</w:t>
      </w:r>
      <w:r w:rsidRPr="002D25BC">
        <w:noBreakHyphen/>
        <w:t xml:space="preserve">emergent NS3 amino acid substitutions detected in </w:t>
      </w:r>
      <w:r w:rsidR="00194D66">
        <w:t>OLYSIO</w:t>
      </w:r>
      <w:r w:rsidRPr="002D25BC">
        <w:noBreakHyphen/>
        <w:t>treated patients who did not achieve SVR in clinical studies (e.g., R155K) have been shown to reduce anti</w:t>
      </w:r>
      <w:r w:rsidRPr="002D25BC">
        <w:noBreakHyphen/>
        <w:t xml:space="preserve">HCV activity of </w:t>
      </w:r>
      <w:proofErr w:type="spellStart"/>
      <w:r w:rsidRPr="002D25BC">
        <w:t>telaprevir</w:t>
      </w:r>
      <w:proofErr w:type="spellEnd"/>
      <w:r w:rsidRPr="002D25BC">
        <w:t xml:space="preserve">, </w:t>
      </w:r>
      <w:proofErr w:type="spellStart"/>
      <w:r w:rsidRPr="002D25BC">
        <w:t>boceprevir</w:t>
      </w:r>
      <w:proofErr w:type="spellEnd"/>
      <w:r w:rsidRPr="002D25BC">
        <w:t xml:space="preserve">, and other NS3/4A PIs. The impact of prior exposure to </w:t>
      </w:r>
      <w:proofErr w:type="spellStart"/>
      <w:r w:rsidRPr="002D25BC">
        <w:t>simeprevir</w:t>
      </w:r>
      <w:proofErr w:type="spellEnd"/>
      <w:r w:rsidRPr="002D25BC">
        <w:t xml:space="preserve"> in patients not achieving SVR on the efficacy of subsequent HCV NS3/4A PI</w:t>
      </w:r>
      <w:r w:rsidRPr="002D25BC">
        <w:noBreakHyphen/>
        <w:t xml:space="preserve">based treatment regimens has not been established. There are no clinical data on the efficacy of </w:t>
      </w:r>
      <w:r w:rsidR="00194D66">
        <w:t>OLYSIO</w:t>
      </w:r>
      <w:r w:rsidRPr="002D25BC">
        <w:t xml:space="preserve"> in patients with a history of exposure to the NS3/4A PIs </w:t>
      </w:r>
      <w:proofErr w:type="spellStart"/>
      <w:r w:rsidRPr="002D25BC">
        <w:t>telaprevir</w:t>
      </w:r>
      <w:proofErr w:type="spellEnd"/>
      <w:r w:rsidRPr="002D25BC">
        <w:t xml:space="preserve"> or </w:t>
      </w:r>
      <w:proofErr w:type="spellStart"/>
      <w:r w:rsidRPr="002D25BC">
        <w:t>boceprevir</w:t>
      </w:r>
      <w:proofErr w:type="spellEnd"/>
      <w:r w:rsidRPr="002D25BC">
        <w:t xml:space="preserve">. </w:t>
      </w:r>
      <w:proofErr w:type="spellStart"/>
      <w:r w:rsidRPr="002D25BC">
        <w:t>Simeprevir</w:t>
      </w:r>
      <w:proofErr w:type="spellEnd"/>
      <w:r w:rsidRPr="002D25BC">
        <w:noBreakHyphen/>
        <w:t>resistant variants studied remained susceptible to representative HCV nucleoside and non</w:t>
      </w:r>
      <w:r w:rsidRPr="002D25BC">
        <w:noBreakHyphen/>
        <w:t>nucleoside polymerase inhibitors, and NS5A inhibitors. Variants carrying amino</w:t>
      </w:r>
      <w:r w:rsidRPr="002D25BC">
        <w:noBreakHyphen/>
        <w:t>acid substitutions conferring reduced susceptibility to NS5A inhibitors (Y93C/H, L31F/V), nucleoside inhibitors (S96T) and non</w:t>
      </w:r>
      <w:r w:rsidRPr="002D25BC">
        <w:noBreakHyphen/>
        <w:t xml:space="preserve">nucleoside inhibitors (C316N, M414I/L, P495A) remained susceptible to </w:t>
      </w:r>
      <w:proofErr w:type="spellStart"/>
      <w:r w:rsidRPr="002D25BC">
        <w:t>simeprevir</w:t>
      </w:r>
      <w:proofErr w:type="spellEnd"/>
      <w:r w:rsidRPr="002D25BC">
        <w:t xml:space="preserve"> </w:t>
      </w:r>
      <w:r w:rsidRPr="002D25BC">
        <w:rPr>
          <w:i/>
        </w:rPr>
        <w:t>in vitro</w:t>
      </w:r>
      <w:r w:rsidRPr="002D25BC">
        <w:t>.</w:t>
      </w:r>
    </w:p>
    <w:p w:rsidR="00FC5AC2" w:rsidRPr="009431DB" w:rsidRDefault="00FC5AC2" w:rsidP="00FC5AC2"/>
    <w:p w:rsidR="00FC5AC2" w:rsidRPr="009431DB" w:rsidRDefault="00FC5AC2" w:rsidP="00FC5AC2">
      <w:pPr>
        <w:pStyle w:val="Heading3"/>
      </w:pPr>
      <w:r w:rsidRPr="009431DB">
        <w:t>Clinical study examining QT interval</w:t>
      </w:r>
    </w:p>
    <w:p w:rsidR="00FC5AC2" w:rsidRPr="009431DB" w:rsidRDefault="00FC5AC2" w:rsidP="00FC5AC2">
      <w:r w:rsidRPr="009431DB">
        <w:t xml:space="preserve">The effect of </w:t>
      </w:r>
      <w:proofErr w:type="spellStart"/>
      <w:r w:rsidRPr="009431DB">
        <w:t>simeprevir</w:t>
      </w:r>
      <w:proofErr w:type="spellEnd"/>
      <w:r w:rsidRPr="009431DB">
        <w:t xml:space="preserve"> 150 mg once daily and 350 mg once daily </w:t>
      </w:r>
      <w:r w:rsidRPr="00DE2735">
        <w:t xml:space="preserve">for </w:t>
      </w:r>
      <w:r>
        <w:t>7 </w:t>
      </w:r>
      <w:r w:rsidRPr="00DE2735">
        <w:t>days</w:t>
      </w:r>
      <w:r>
        <w:t xml:space="preserve"> </w:t>
      </w:r>
      <w:r w:rsidRPr="009431DB">
        <w:t>on the QT interval was evaluated in a randomized, double</w:t>
      </w:r>
      <w:r w:rsidRPr="009431DB">
        <w:noBreakHyphen/>
        <w:t>blind, placebo</w:t>
      </w:r>
      <w:r w:rsidRPr="009431DB">
        <w:noBreakHyphen/>
        <w:t xml:space="preserve"> and positive</w:t>
      </w:r>
      <w:r w:rsidRPr="009431DB">
        <w:noBreakHyphen/>
        <w:t>controlled (</w:t>
      </w:r>
      <w:proofErr w:type="spellStart"/>
      <w:r w:rsidRPr="009431DB">
        <w:t>moxifloxacin</w:t>
      </w:r>
      <w:proofErr w:type="spellEnd"/>
      <w:r w:rsidRPr="009431DB">
        <w:t xml:space="preserve"> 400 mg once daily), 4</w:t>
      </w:r>
      <w:r w:rsidRPr="009431DB">
        <w:noBreakHyphen/>
        <w:t>way cross</w:t>
      </w:r>
      <w:r w:rsidRPr="009431DB">
        <w:noBreakHyphen/>
        <w:t xml:space="preserve">over study in 60 healthy </w:t>
      </w:r>
      <w:r w:rsidR="0037285D">
        <w:t>participants</w:t>
      </w:r>
      <w:r w:rsidRPr="009431DB">
        <w:t xml:space="preserve">. No meaningful changes in </w:t>
      </w:r>
      <w:proofErr w:type="spellStart"/>
      <w:r w:rsidRPr="009431DB">
        <w:t>QTc</w:t>
      </w:r>
      <w:proofErr w:type="spellEnd"/>
      <w:r w:rsidRPr="009431DB">
        <w:t xml:space="preserve"> interval were observed with either the recommended dose of 150 mg once daily or the </w:t>
      </w:r>
      <w:proofErr w:type="spellStart"/>
      <w:r w:rsidRPr="009431DB">
        <w:t>supratherapeutic</w:t>
      </w:r>
      <w:proofErr w:type="spellEnd"/>
      <w:r w:rsidRPr="009431DB">
        <w:t xml:space="preserve"> dose of 350 mg once daily.</w:t>
      </w:r>
    </w:p>
    <w:p w:rsidR="003B09E3" w:rsidRDefault="003B09E3" w:rsidP="009F3479"/>
    <w:p w:rsidR="003B09E3" w:rsidRDefault="003A72D8" w:rsidP="00965395">
      <w:pPr>
        <w:pStyle w:val="Heading2"/>
      </w:pPr>
      <w:r>
        <w:t xml:space="preserve">Pharmacokinetics </w:t>
      </w:r>
    </w:p>
    <w:p w:rsidR="00931C13" w:rsidRPr="00DA6A73" w:rsidRDefault="00931C13" w:rsidP="00931C13">
      <w:r w:rsidRPr="00DA6A73">
        <w:t xml:space="preserve">The pharmacokinetic properties of </w:t>
      </w:r>
      <w:proofErr w:type="spellStart"/>
      <w:r w:rsidRPr="00DA6A73">
        <w:t>simeprevir</w:t>
      </w:r>
      <w:proofErr w:type="spellEnd"/>
      <w:r w:rsidRPr="00DA6A73">
        <w:t xml:space="preserve"> have been evaluated in healthy adult </w:t>
      </w:r>
      <w:r w:rsidR="0037285D">
        <w:t>participants</w:t>
      </w:r>
      <w:r w:rsidRPr="00DA6A73">
        <w:t xml:space="preserve"> and in </w:t>
      </w:r>
      <w:r w:rsidRPr="00EC58DD">
        <w:t>adult</w:t>
      </w:r>
      <w:r>
        <w:t xml:space="preserve"> </w:t>
      </w:r>
      <w:r w:rsidRPr="00DA6A73">
        <w:t>HCV</w:t>
      </w:r>
      <w:r>
        <w:noBreakHyphen/>
      </w:r>
      <w:r w:rsidRPr="00DA6A73">
        <w:t xml:space="preserve">infected patients. Plasma </w:t>
      </w:r>
      <w:proofErr w:type="spellStart"/>
      <w:r w:rsidRPr="00DA6A73">
        <w:t>C</w:t>
      </w:r>
      <w:r w:rsidRPr="00DA6A73">
        <w:rPr>
          <w:vertAlign w:val="subscript"/>
        </w:rPr>
        <w:t>max</w:t>
      </w:r>
      <w:proofErr w:type="spellEnd"/>
      <w:r w:rsidRPr="00DA6A73">
        <w:t xml:space="preserve"> and the area under the plasma concentration time curve (AUC) increased more than dose proportional after multiple doses between 75</w:t>
      </w:r>
      <w:r>
        <w:t> mg</w:t>
      </w:r>
      <w:r w:rsidRPr="00DA6A73">
        <w:t xml:space="preserve"> and 200</w:t>
      </w:r>
      <w:r>
        <w:t> mg</w:t>
      </w:r>
      <w:r w:rsidRPr="00DA6A73">
        <w:t xml:space="preserve"> once daily, with accumulation occurring following repeated dosing. Steady</w:t>
      </w:r>
      <w:r>
        <w:noBreakHyphen/>
      </w:r>
      <w:r w:rsidRPr="00DA6A73">
        <w:t xml:space="preserve">state was reached after 7 days of once daily dosing. Plasma exposure of </w:t>
      </w:r>
      <w:proofErr w:type="spellStart"/>
      <w:r w:rsidRPr="00DA6A73">
        <w:t>simeprevir</w:t>
      </w:r>
      <w:proofErr w:type="spellEnd"/>
      <w:r w:rsidRPr="00DA6A73">
        <w:t xml:space="preserve"> (AUC) in HCV</w:t>
      </w:r>
      <w:r>
        <w:noBreakHyphen/>
      </w:r>
      <w:r w:rsidRPr="00DA6A73">
        <w:t>infected patients was about 2</w:t>
      </w:r>
      <w:r w:rsidRPr="00A07535">
        <w:noBreakHyphen/>
        <w:t xml:space="preserve"> to 3</w:t>
      </w:r>
      <w:r>
        <w:noBreakHyphen/>
      </w:r>
      <w:r w:rsidRPr="00DA6A73">
        <w:t xml:space="preserve">fold higher compared to that observed in healthy </w:t>
      </w:r>
      <w:r w:rsidR="0037285D">
        <w:t>participants</w:t>
      </w:r>
      <w:r w:rsidRPr="00DA6A73">
        <w:t xml:space="preserve">. Plasma </w:t>
      </w:r>
      <w:proofErr w:type="spellStart"/>
      <w:r w:rsidRPr="00DA6A73">
        <w:t>C</w:t>
      </w:r>
      <w:r w:rsidRPr="00DA6A73">
        <w:rPr>
          <w:vertAlign w:val="subscript"/>
        </w:rPr>
        <w:t>max</w:t>
      </w:r>
      <w:proofErr w:type="spellEnd"/>
      <w:r w:rsidRPr="00DA6A73">
        <w:t xml:space="preserve"> and AUC of </w:t>
      </w:r>
      <w:proofErr w:type="spellStart"/>
      <w:r w:rsidRPr="00DA6A73">
        <w:t>simeprevir</w:t>
      </w:r>
      <w:proofErr w:type="spellEnd"/>
      <w:r w:rsidRPr="00DA6A73">
        <w:t xml:space="preserve"> were similar during co</w:t>
      </w:r>
      <w:r>
        <w:noBreakHyphen/>
      </w:r>
      <w:r w:rsidRPr="00DA6A73">
        <w:t xml:space="preserve">administration of </w:t>
      </w:r>
      <w:proofErr w:type="spellStart"/>
      <w:r w:rsidRPr="00DA6A73">
        <w:t>peginterferon</w:t>
      </w:r>
      <w:proofErr w:type="spellEnd"/>
      <w:r w:rsidRPr="00DA6A73">
        <w:t xml:space="preserve"> </w:t>
      </w:r>
      <w:proofErr w:type="spellStart"/>
      <w:r w:rsidRPr="00DA6A73">
        <w:t>alfa</w:t>
      </w:r>
      <w:proofErr w:type="spellEnd"/>
      <w:r w:rsidRPr="00DA6A73">
        <w:t xml:space="preserve"> and ribavirin compared with administration of </w:t>
      </w:r>
      <w:proofErr w:type="spellStart"/>
      <w:r w:rsidRPr="00DA6A73">
        <w:t>simeprevir</w:t>
      </w:r>
      <w:proofErr w:type="spellEnd"/>
      <w:r w:rsidRPr="00DA6A73">
        <w:t xml:space="preserve"> alone.</w:t>
      </w:r>
    </w:p>
    <w:p w:rsidR="00505167" w:rsidRDefault="00505167" w:rsidP="009F3479"/>
    <w:p w:rsidR="00931C13" w:rsidRPr="00EE1114" w:rsidRDefault="00931C13" w:rsidP="00931C13">
      <w:pPr>
        <w:pStyle w:val="Heading3"/>
      </w:pPr>
      <w:r w:rsidRPr="00EE1114">
        <w:t>Absorption</w:t>
      </w:r>
    </w:p>
    <w:p w:rsidR="00931C13" w:rsidRDefault="00931C13" w:rsidP="00931C13">
      <w:proofErr w:type="spellStart"/>
      <w:r w:rsidRPr="000E7461">
        <w:t>Simeprevir</w:t>
      </w:r>
      <w:proofErr w:type="spellEnd"/>
      <w:r w:rsidRPr="000E7461">
        <w:t xml:space="preserve"> is orally bioavailable. Maximum plasma concentrations (</w:t>
      </w:r>
      <w:proofErr w:type="spellStart"/>
      <w:r w:rsidRPr="000E7461">
        <w:t>C</w:t>
      </w:r>
      <w:r w:rsidRPr="000E7461">
        <w:rPr>
          <w:vertAlign w:val="subscript"/>
        </w:rPr>
        <w:t>max</w:t>
      </w:r>
      <w:proofErr w:type="spellEnd"/>
      <w:r w:rsidRPr="000E7461">
        <w:t>) are typically achieved</w:t>
      </w:r>
      <w:r w:rsidRPr="00DA6A73">
        <w:t xml:space="preserve"> between 4</w:t>
      </w:r>
      <w:r>
        <w:t xml:space="preserve"> </w:t>
      </w:r>
      <w:r w:rsidRPr="00DA6A73">
        <w:t>to</w:t>
      </w:r>
      <w:r>
        <w:t xml:space="preserve"> </w:t>
      </w:r>
      <w:r w:rsidRPr="00DA6A73">
        <w:t xml:space="preserve">6 hours post dose. Administration of </w:t>
      </w:r>
      <w:proofErr w:type="spellStart"/>
      <w:r w:rsidRPr="00DA6A73">
        <w:t>simeprevir</w:t>
      </w:r>
      <w:proofErr w:type="spellEnd"/>
      <w:r w:rsidRPr="00DA6A73">
        <w:t xml:space="preserve"> with food to healthy </w:t>
      </w:r>
      <w:r w:rsidR="0037285D">
        <w:t>participants</w:t>
      </w:r>
      <w:r w:rsidRPr="00DA6A73">
        <w:t xml:space="preserve"> increased the relative bioavailability (AUC</w:t>
      </w:r>
      <w:r>
        <w:t>)</w:t>
      </w:r>
      <w:r w:rsidRPr="00DA6A73">
        <w:t xml:space="preserve"> by 61</w:t>
      </w:r>
      <w:r>
        <w:t>%</w:t>
      </w:r>
      <w:r w:rsidRPr="00DA6A73">
        <w:t xml:space="preserve"> </w:t>
      </w:r>
      <w:r>
        <w:t>and</w:t>
      </w:r>
      <w:r w:rsidRPr="00DA6A73">
        <w:t xml:space="preserve"> 69%</w:t>
      </w:r>
      <w:r>
        <w:t xml:space="preserve"> after a high</w:t>
      </w:r>
      <w:r>
        <w:noBreakHyphen/>
        <w:t>fat, high</w:t>
      </w:r>
      <w:r>
        <w:noBreakHyphen/>
        <w:t xml:space="preserve">caloric </w:t>
      </w:r>
      <w:r w:rsidRPr="00DA6A73">
        <w:t>(928 kcal)</w:t>
      </w:r>
      <w:r>
        <w:t xml:space="preserve"> and normal</w:t>
      </w:r>
      <w:r>
        <w:noBreakHyphen/>
        <w:t xml:space="preserve">caloric breakfast </w:t>
      </w:r>
      <w:r w:rsidRPr="00DA6A73">
        <w:t>(533 kcal)</w:t>
      </w:r>
      <w:r>
        <w:t>, respectively,</w:t>
      </w:r>
      <w:r w:rsidRPr="00DA6A73">
        <w:t xml:space="preserve"> and delayed the absorption by </w:t>
      </w:r>
      <w:r>
        <w:t>1</w:t>
      </w:r>
      <w:r w:rsidRPr="00DA6A73">
        <w:t> </w:t>
      </w:r>
      <w:r>
        <w:t xml:space="preserve">hour and </w:t>
      </w:r>
      <w:r w:rsidRPr="00DA6A73">
        <w:t>1.5 hours</w:t>
      </w:r>
      <w:r>
        <w:t>, respectively</w:t>
      </w:r>
      <w:r w:rsidRPr="00DA6A73">
        <w:t>.</w:t>
      </w:r>
    </w:p>
    <w:p w:rsidR="00931C13" w:rsidRPr="00DA6A73" w:rsidRDefault="00931C13" w:rsidP="00931C13"/>
    <w:p w:rsidR="00931C13" w:rsidRPr="00DA6A73" w:rsidRDefault="00931C13" w:rsidP="00931C13">
      <w:r w:rsidRPr="00DA6A73">
        <w:rPr>
          <w:i/>
        </w:rPr>
        <w:t>In vitro</w:t>
      </w:r>
      <w:r w:rsidRPr="00DA6A73">
        <w:t xml:space="preserve"> experiments with human Caco</w:t>
      </w:r>
      <w:r>
        <w:noBreakHyphen/>
      </w:r>
      <w:r w:rsidRPr="00DA6A73">
        <w:t xml:space="preserve">2 cells indicated that </w:t>
      </w:r>
      <w:proofErr w:type="spellStart"/>
      <w:r w:rsidRPr="00DA6A73">
        <w:t>simeprevir</w:t>
      </w:r>
      <w:proofErr w:type="spellEnd"/>
      <w:r w:rsidRPr="00DA6A73">
        <w:t xml:space="preserve"> is a substrate of P</w:t>
      </w:r>
      <w:r>
        <w:noBreakHyphen/>
      </w:r>
      <w:proofErr w:type="spellStart"/>
      <w:r w:rsidRPr="00DA6A73">
        <w:t>gp</w:t>
      </w:r>
      <w:proofErr w:type="spellEnd"/>
      <w:r w:rsidRPr="00DA6A73">
        <w:t>.</w:t>
      </w:r>
    </w:p>
    <w:p w:rsidR="00931C13" w:rsidRDefault="00931C13" w:rsidP="00931C13"/>
    <w:p w:rsidR="00931C13" w:rsidRDefault="00931C13" w:rsidP="00931C13">
      <w:r w:rsidRPr="00DA6A73">
        <w:t xml:space="preserve">For information on the </w:t>
      </w:r>
      <w:r>
        <w:t>inhibition potential</w:t>
      </w:r>
      <w:r w:rsidRPr="00DA6A73">
        <w:t xml:space="preserve"> of </w:t>
      </w:r>
      <w:proofErr w:type="spellStart"/>
      <w:r w:rsidRPr="00DA6A73">
        <w:t>simeprevir</w:t>
      </w:r>
      <w:proofErr w:type="spellEnd"/>
      <w:r w:rsidRPr="00DA6A73">
        <w:t xml:space="preserve"> on transporters, see </w:t>
      </w:r>
      <w:r w:rsidRPr="00DA6A73">
        <w:rPr>
          <w:i/>
        </w:rPr>
        <w:t>Interactions</w:t>
      </w:r>
      <w:r>
        <w:rPr>
          <w:i/>
        </w:rPr>
        <w:t xml:space="preserve"> with other medicines</w:t>
      </w:r>
      <w:r w:rsidRPr="00DA6A73">
        <w:t>.</w:t>
      </w:r>
    </w:p>
    <w:p w:rsidR="00931C13" w:rsidRPr="00DA6A73" w:rsidRDefault="00931C13" w:rsidP="00931C13"/>
    <w:p w:rsidR="00931C13" w:rsidRDefault="00931C13" w:rsidP="00931C13">
      <w:pPr>
        <w:pStyle w:val="Heading3"/>
      </w:pPr>
      <w:r w:rsidRPr="00EE1114">
        <w:lastRenderedPageBreak/>
        <w:t>Distribution</w:t>
      </w:r>
    </w:p>
    <w:p w:rsidR="00931C13" w:rsidRDefault="00931C13" w:rsidP="00931C13">
      <w:proofErr w:type="spellStart"/>
      <w:r w:rsidRPr="00DA6A73">
        <w:t>Simeprevir</w:t>
      </w:r>
      <w:proofErr w:type="spellEnd"/>
      <w:r w:rsidRPr="00DA6A73">
        <w:t xml:space="preserve"> is extensively bound to </w:t>
      </w:r>
      <w:r w:rsidRPr="00EC58DD">
        <w:t xml:space="preserve">plasma proteins </w:t>
      </w:r>
      <w:r w:rsidRPr="00DA6A73">
        <w:t>(</w:t>
      </w:r>
      <w:r>
        <w:t>&gt;</w:t>
      </w:r>
      <w:r w:rsidRPr="00DA6A73">
        <w:t xml:space="preserve"> 99.9%), primarily to albumin and, to a lesser extent, </w:t>
      </w:r>
      <w:proofErr w:type="spellStart"/>
      <w:r w:rsidRPr="00DA6A73">
        <w:t>alfa</w:t>
      </w:r>
      <w:proofErr w:type="spellEnd"/>
      <w:r w:rsidRPr="00DA6A73">
        <w:t xml:space="preserve"> 1</w:t>
      </w:r>
      <w:r>
        <w:noBreakHyphen/>
      </w:r>
      <w:r w:rsidRPr="00DA6A73">
        <w:t>acid glycoprotein. Plasma protein binding is not meaningfully altered in patients with renal or hepatic impairment.</w:t>
      </w:r>
    </w:p>
    <w:p w:rsidR="00931C13" w:rsidRPr="00DA6A73" w:rsidRDefault="00931C13" w:rsidP="00931C13"/>
    <w:p w:rsidR="00931C13" w:rsidRDefault="00931C13" w:rsidP="009F3479"/>
    <w:p w:rsidR="007443EA" w:rsidRPr="00DA6A73" w:rsidRDefault="007443EA" w:rsidP="007443EA">
      <w:pPr>
        <w:pStyle w:val="Heading3"/>
      </w:pPr>
      <w:r w:rsidRPr="00DA6A73">
        <w:t>Metabolism</w:t>
      </w:r>
    </w:p>
    <w:p w:rsidR="007443EA" w:rsidRDefault="007443EA" w:rsidP="007443EA">
      <w:proofErr w:type="spellStart"/>
      <w:r w:rsidRPr="00DA6A73">
        <w:t>Simeprevir</w:t>
      </w:r>
      <w:proofErr w:type="spellEnd"/>
      <w:r w:rsidRPr="00DA6A73">
        <w:t xml:space="preserve"> is metabolized in the liver. </w:t>
      </w:r>
      <w:r w:rsidRPr="00DA6A73">
        <w:rPr>
          <w:i/>
        </w:rPr>
        <w:t>In vitro</w:t>
      </w:r>
      <w:r w:rsidRPr="00DA6A73">
        <w:t xml:space="preserve"> experiments with human liver </w:t>
      </w:r>
      <w:proofErr w:type="spellStart"/>
      <w:r w:rsidRPr="00DA6A73">
        <w:t>microsomes</w:t>
      </w:r>
      <w:proofErr w:type="spellEnd"/>
      <w:r w:rsidRPr="00DA6A73">
        <w:t xml:space="preserve"> indicated that </w:t>
      </w:r>
      <w:proofErr w:type="spellStart"/>
      <w:r w:rsidRPr="00DA6A73">
        <w:t>simeprevir</w:t>
      </w:r>
      <w:proofErr w:type="spellEnd"/>
      <w:r w:rsidRPr="00DA6A73">
        <w:t xml:space="preserve"> primarily undergoes oxidative metabolism by the hepatic CYP3A system</w:t>
      </w:r>
      <w:r>
        <w:t>.</w:t>
      </w:r>
      <w:r w:rsidRPr="00DA6A73">
        <w:t xml:space="preserve"> </w:t>
      </w:r>
      <w:r>
        <w:t>Involvement of</w:t>
      </w:r>
      <w:r w:rsidRPr="00DA6A73">
        <w:t xml:space="preserve"> CYP2C8 and CYP2C19</w:t>
      </w:r>
      <w:r>
        <w:t xml:space="preserve"> cannot be excluded</w:t>
      </w:r>
      <w:r w:rsidRPr="00DA6A73">
        <w:t>.</w:t>
      </w:r>
    </w:p>
    <w:p w:rsidR="007443EA" w:rsidRPr="00DA6A73" w:rsidRDefault="007443EA" w:rsidP="007443EA"/>
    <w:p w:rsidR="007443EA" w:rsidRDefault="007443EA" w:rsidP="007443EA">
      <w:r w:rsidRPr="00DA6A73">
        <w:t xml:space="preserve">For information on the effects of CYP inhibitors or inducers on the pharmacokinetics of </w:t>
      </w:r>
      <w:proofErr w:type="spellStart"/>
      <w:r w:rsidRPr="00DA6A73">
        <w:t>simeprevir</w:t>
      </w:r>
      <w:proofErr w:type="spellEnd"/>
      <w:r w:rsidRPr="00DA6A73">
        <w:t xml:space="preserve"> and information on the </w:t>
      </w:r>
      <w:r>
        <w:t>inhibition potential</w:t>
      </w:r>
      <w:r w:rsidRPr="00DA6A73">
        <w:t xml:space="preserve"> of </w:t>
      </w:r>
      <w:proofErr w:type="spellStart"/>
      <w:r w:rsidRPr="00DA6A73">
        <w:t>simeprevir</w:t>
      </w:r>
      <w:proofErr w:type="spellEnd"/>
      <w:r w:rsidRPr="00DA6A73">
        <w:t xml:space="preserve"> on CYP enzymes, see </w:t>
      </w:r>
      <w:r w:rsidRPr="00DA6A73">
        <w:rPr>
          <w:i/>
        </w:rPr>
        <w:t>Interactions</w:t>
      </w:r>
      <w:r>
        <w:rPr>
          <w:i/>
        </w:rPr>
        <w:t xml:space="preserve"> with other medicines</w:t>
      </w:r>
      <w:r w:rsidRPr="00DA6A73">
        <w:t>.</w:t>
      </w:r>
    </w:p>
    <w:p w:rsidR="007443EA" w:rsidRPr="00DA6A73" w:rsidRDefault="007443EA" w:rsidP="007443EA"/>
    <w:p w:rsidR="007443EA" w:rsidRDefault="007443EA" w:rsidP="007443EA">
      <w:r w:rsidRPr="00DA6A73">
        <w:t>Following a single oral administration of 200</w:t>
      </w:r>
      <w:r>
        <w:t> mg</w:t>
      </w:r>
      <w:r w:rsidRPr="00DA6A73">
        <w:t xml:space="preserve"> </w:t>
      </w:r>
      <w:r w:rsidRPr="00DA6A73">
        <w:rPr>
          <w:vertAlign w:val="superscript"/>
        </w:rPr>
        <w:t>14</w:t>
      </w:r>
      <w:r w:rsidRPr="00DA6A73">
        <w:t>C</w:t>
      </w:r>
      <w:r>
        <w:noBreakHyphen/>
      </w:r>
      <w:r w:rsidRPr="00DA6A73">
        <w:t xml:space="preserve">simeprevir to healthy </w:t>
      </w:r>
      <w:r w:rsidR="0037285D">
        <w:t>participants</w:t>
      </w:r>
      <w:r w:rsidRPr="00DA6A73">
        <w:t>, the majority of the radioactivity in plasma (</w:t>
      </w:r>
      <w:r>
        <w:t>up to 98</w:t>
      </w:r>
      <w:r w:rsidRPr="00DA6A73">
        <w:t xml:space="preserve">%) was accounted for by unchanged drug and a small part of the radioactivity in plasma was related to metabolites (none being major metabolites). Metabolites </w:t>
      </w:r>
      <w:r>
        <w:t xml:space="preserve">identified in faeces </w:t>
      </w:r>
      <w:r w:rsidRPr="00DA6A73">
        <w:t xml:space="preserve">were formed via oxidation at the </w:t>
      </w:r>
      <w:proofErr w:type="spellStart"/>
      <w:r w:rsidRPr="00DA6A73">
        <w:t>macrocyclic</w:t>
      </w:r>
      <w:proofErr w:type="spellEnd"/>
      <w:r w:rsidRPr="00DA6A73">
        <w:t xml:space="preserve"> moiety or aromatic moiety or both and by </w:t>
      </w:r>
      <w:r w:rsidRPr="00DA6A73">
        <w:rPr>
          <w:i/>
        </w:rPr>
        <w:t>O</w:t>
      </w:r>
      <w:r>
        <w:noBreakHyphen/>
      </w:r>
      <w:proofErr w:type="spellStart"/>
      <w:r w:rsidRPr="00DA6A73">
        <w:t>demethylation</w:t>
      </w:r>
      <w:proofErr w:type="spellEnd"/>
      <w:r w:rsidRPr="00DA6A73">
        <w:t xml:space="preserve"> followed by oxidation.</w:t>
      </w:r>
    </w:p>
    <w:p w:rsidR="007443EA" w:rsidRPr="00DA6A73" w:rsidRDefault="007443EA" w:rsidP="007443EA"/>
    <w:p w:rsidR="007443EA" w:rsidRDefault="007443EA" w:rsidP="007443EA">
      <w:pPr>
        <w:pStyle w:val="Heading3"/>
      </w:pPr>
      <w:r w:rsidRPr="00EE1114">
        <w:t>Elimination</w:t>
      </w:r>
    </w:p>
    <w:p w:rsidR="007443EA" w:rsidRDefault="007443EA" w:rsidP="007443EA">
      <w:r w:rsidRPr="00DA6A73">
        <w:t xml:space="preserve">Elimination of </w:t>
      </w:r>
      <w:proofErr w:type="spellStart"/>
      <w:r w:rsidRPr="00DA6A73">
        <w:t>simeprevir</w:t>
      </w:r>
      <w:proofErr w:type="spellEnd"/>
      <w:r w:rsidRPr="00DA6A73">
        <w:t xml:space="preserve"> occurs via biliary excretion. Renal clearance plays an insignificant role in its elimination. Following a single oral administration of 200</w:t>
      </w:r>
      <w:r>
        <w:t> mg</w:t>
      </w:r>
      <w:r w:rsidRPr="00DA6A73">
        <w:t xml:space="preserve"> </w:t>
      </w:r>
      <w:r w:rsidRPr="00DA6A73">
        <w:rPr>
          <w:vertAlign w:val="superscript"/>
        </w:rPr>
        <w:t>14</w:t>
      </w:r>
      <w:r w:rsidRPr="00DA6A73">
        <w:t>C</w:t>
      </w:r>
      <w:r>
        <w:noBreakHyphen/>
      </w:r>
      <w:r w:rsidRPr="00DA6A73">
        <w:t xml:space="preserve">simeprevir to healthy </w:t>
      </w:r>
      <w:r w:rsidR="0037285D">
        <w:t>participants</w:t>
      </w:r>
      <w:r w:rsidRPr="00DA6A73">
        <w:t xml:space="preserve">, on average 91% of the total radioactivity was recovered in faeces. Less than 1% of the administered dose was recovered in urine. Unchanged </w:t>
      </w:r>
      <w:proofErr w:type="spellStart"/>
      <w:r w:rsidRPr="00DA6A73">
        <w:t>simeprevir</w:t>
      </w:r>
      <w:proofErr w:type="spellEnd"/>
      <w:r w:rsidRPr="00DA6A73">
        <w:t xml:space="preserve"> in faeces accounted for on average 31% of the administered dose.</w:t>
      </w:r>
    </w:p>
    <w:p w:rsidR="007443EA" w:rsidRPr="00DA6A73" w:rsidRDefault="007443EA" w:rsidP="007443EA"/>
    <w:p w:rsidR="007443EA" w:rsidRPr="00DA6A73" w:rsidRDefault="007443EA" w:rsidP="007443EA">
      <w:r w:rsidRPr="00DA6A73">
        <w:t>The terminal elimination half</w:t>
      </w:r>
      <w:r>
        <w:noBreakHyphen/>
      </w:r>
      <w:r w:rsidRPr="00DA6A73">
        <w:t xml:space="preserve">life of </w:t>
      </w:r>
      <w:proofErr w:type="spellStart"/>
      <w:r w:rsidRPr="00DA6A73">
        <w:t>simeprevir</w:t>
      </w:r>
      <w:proofErr w:type="spellEnd"/>
      <w:r w:rsidRPr="00DA6A73">
        <w:t xml:space="preserve"> was </w:t>
      </w:r>
      <w:r>
        <w:t>10 to 13</w:t>
      </w:r>
      <w:r w:rsidRPr="00DA6A73">
        <w:t xml:space="preserve"> hours in healthy </w:t>
      </w:r>
      <w:r w:rsidR="0037285D">
        <w:t>participants</w:t>
      </w:r>
      <w:r w:rsidRPr="00DA6A73">
        <w:t xml:space="preserve"> and 41 hours in HCV</w:t>
      </w:r>
      <w:r>
        <w:noBreakHyphen/>
      </w:r>
      <w:r w:rsidRPr="00DA6A73">
        <w:t>infected patients</w:t>
      </w:r>
      <w:r>
        <w:t xml:space="preserve"> receiving 200 </w:t>
      </w:r>
      <w:r w:rsidRPr="00A07535">
        <w:t xml:space="preserve">mg </w:t>
      </w:r>
      <w:proofErr w:type="spellStart"/>
      <w:r w:rsidRPr="00A07535">
        <w:t>simeprevir</w:t>
      </w:r>
      <w:proofErr w:type="spellEnd"/>
      <w:r w:rsidRPr="00DA6A73">
        <w:t>.</w:t>
      </w:r>
    </w:p>
    <w:p w:rsidR="003B09E3" w:rsidRDefault="003B09E3" w:rsidP="009F3479">
      <w:pPr>
        <w:rPr>
          <w:u w:val="single"/>
        </w:rPr>
      </w:pPr>
    </w:p>
    <w:p w:rsidR="00E252FA" w:rsidRPr="00E252FA" w:rsidRDefault="00E252FA" w:rsidP="00965395">
      <w:pPr>
        <w:pStyle w:val="Heading3"/>
      </w:pPr>
      <w:r w:rsidRPr="00E252FA">
        <w:t>Additional information on special populations</w:t>
      </w:r>
    </w:p>
    <w:p w:rsidR="009F0785" w:rsidRDefault="009F0785" w:rsidP="009F0785">
      <w:pPr>
        <w:pStyle w:val="Heading4"/>
      </w:pPr>
      <w:r w:rsidRPr="00EE1114">
        <w:t>P</w:t>
      </w:r>
      <w:r w:rsidR="008760FC">
        <w:t>a</w:t>
      </w:r>
      <w:r w:rsidRPr="00EE1114">
        <w:t>ediatrics (</w:t>
      </w:r>
      <w:r>
        <w:t xml:space="preserve">below </w:t>
      </w:r>
      <w:r w:rsidRPr="00EE1114">
        <w:t>1</w:t>
      </w:r>
      <w:r>
        <w:t>8</w:t>
      </w:r>
      <w:r w:rsidRPr="00EE1114">
        <w:t> years of age)</w:t>
      </w:r>
    </w:p>
    <w:p w:rsidR="009F0785" w:rsidRDefault="008760FC" w:rsidP="008760FC">
      <w:r>
        <w:t>Studies characteris</w:t>
      </w:r>
      <w:r w:rsidR="009F0785" w:rsidRPr="00DA6A73">
        <w:t xml:space="preserve">ing the pharmacokinetics of </w:t>
      </w:r>
      <w:proofErr w:type="spellStart"/>
      <w:r w:rsidR="009F0785" w:rsidRPr="00DA6A73">
        <w:t>simeprevir</w:t>
      </w:r>
      <w:proofErr w:type="spellEnd"/>
      <w:r w:rsidR="009F0785" w:rsidRPr="00DA6A73">
        <w:t xml:space="preserve"> in p</w:t>
      </w:r>
      <w:r>
        <w:t>a</w:t>
      </w:r>
      <w:r w:rsidR="009F0785" w:rsidRPr="00DA6A73">
        <w:t>ediatric patients have not been performed.</w:t>
      </w:r>
    </w:p>
    <w:p w:rsidR="008760FC" w:rsidRPr="00DA6A73" w:rsidRDefault="008760FC" w:rsidP="008760FC"/>
    <w:p w:rsidR="009F0785" w:rsidRDefault="009F0785" w:rsidP="009F0785">
      <w:pPr>
        <w:pStyle w:val="Heading4"/>
      </w:pPr>
      <w:r w:rsidRPr="00EE1114">
        <w:t>Elderly (</w:t>
      </w:r>
      <w:r>
        <w:t xml:space="preserve">above </w:t>
      </w:r>
      <w:r w:rsidRPr="00EE1114">
        <w:t>65 years of age)</w:t>
      </w:r>
    </w:p>
    <w:p w:rsidR="009F0785" w:rsidRDefault="009F0785" w:rsidP="008760FC">
      <w:r w:rsidRPr="00DA6A73">
        <w:t xml:space="preserve">There is limited data on the use of </w:t>
      </w:r>
      <w:r w:rsidR="00194D66">
        <w:t>OLYSIO</w:t>
      </w:r>
      <w:r w:rsidRPr="00DA6A73">
        <w:t xml:space="preserve"> in patients </w:t>
      </w:r>
      <w:r>
        <w:t>older than 65 years</w:t>
      </w:r>
      <w:r w:rsidRPr="00DA6A73">
        <w:t>. Age (18</w:t>
      </w:r>
      <w:r>
        <w:noBreakHyphen/>
        <w:t>73 </w:t>
      </w:r>
      <w:r w:rsidRPr="00DA6A73">
        <w:t xml:space="preserve">years) had no clinically meaningful effect on the pharmacokinetics of </w:t>
      </w:r>
      <w:proofErr w:type="spellStart"/>
      <w:r w:rsidRPr="00DA6A73">
        <w:t>simeprevir</w:t>
      </w:r>
      <w:proofErr w:type="spellEnd"/>
      <w:r w:rsidRPr="00DA6A73">
        <w:t xml:space="preserve"> based </w:t>
      </w:r>
      <w:r>
        <w:t xml:space="preserve">on </w:t>
      </w:r>
      <w:r w:rsidRPr="00DA6A73">
        <w:t>a population pharmacokinetic analysis of HCV</w:t>
      </w:r>
      <w:r>
        <w:noBreakHyphen/>
      </w:r>
      <w:r w:rsidRPr="00DA6A73">
        <w:t xml:space="preserve">infected patients treated with </w:t>
      </w:r>
      <w:r w:rsidR="00194D66">
        <w:t>OLYSIO</w:t>
      </w:r>
      <w:r w:rsidRPr="00DA6A73">
        <w:t>.</w:t>
      </w:r>
      <w:r>
        <w:t xml:space="preserve"> No dose adjustment of </w:t>
      </w:r>
      <w:r w:rsidR="00194D66">
        <w:t>OLYSIO</w:t>
      </w:r>
      <w:r>
        <w:t xml:space="preserve"> is required in elderly patients </w:t>
      </w:r>
      <w:r w:rsidRPr="000E7461">
        <w:t xml:space="preserve">(see </w:t>
      </w:r>
      <w:r w:rsidRPr="000E7461">
        <w:rPr>
          <w:i/>
        </w:rPr>
        <w:t>Dosage and Administration</w:t>
      </w:r>
      <w:r w:rsidRPr="000E7461">
        <w:t>)</w:t>
      </w:r>
      <w:r>
        <w:t>.</w:t>
      </w:r>
    </w:p>
    <w:p w:rsidR="008760FC" w:rsidRPr="00DA6A73" w:rsidRDefault="008760FC" w:rsidP="008760FC"/>
    <w:p w:rsidR="009F0785" w:rsidRDefault="009F0785" w:rsidP="009F0785">
      <w:pPr>
        <w:pStyle w:val="Heading4"/>
      </w:pPr>
      <w:r w:rsidRPr="00EE1114">
        <w:t>Renal impairment</w:t>
      </w:r>
    </w:p>
    <w:p w:rsidR="009F0785" w:rsidRDefault="009F0785" w:rsidP="008760FC">
      <w:r w:rsidRPr="00DA6A73">
        <w:t xml:space="preserve">Renal elimination of </w:t>
      </w:r>
      <w:proofErr w:type="spellStart"/>
      <w:r w:rsidRPr="00DA6A73">
        <w:t>simeprevir</w:t>
      </w:r>
      <w:proofErr w:type="spellEnd"/>
      <w:r w:rsidRPr="00DA6A73">
        <w:t xml:space="preserve"> is negligible.</w:t>
      </w:r>
    </w:p>
    <w:p w:rsidR="008760FC" w:rsidRDefault="008760FC" w:rsidP="008760FC"/>
    <w:p w:rsidR="009F0785" w:rsidRPr="00DA6A73" w:rsidRDefault="009F0785" w:rsidP="008760FC">
      <w:r w:rsidRPr="00DA6A73">
        <w:t xml:space="preserve">Compared to healthy </w:t>
      </w:r>
      <w:r w:rsidR="0037285D">
        <w:t>participants</w:t>
      </w:r>
      <w:r w:rsidRPr="00DA6A73">
        <w:t xml:space="preserve"> with normal renal function (classified using the Modification of Diet in Renal Disease [MDRD] </w:t>
      </w:r>
      <w:proofErr w:type="spellStart"/>
      <w:r w:rsidRPr="00DA6A73">
        <w:t>eGFR</w:t>
      </w:r>
      <w:proofErr w:type="spellEnd"/>
      <w:r w:rsidRPr="00DA6A73">
        <w:t xml:space="preserve"> formula; </w:t>
      </w:r>
      <w:proofErr w:type="spellStart"/>
      <w:r w:rsidRPr="00DA6A73">
        <w:t>eGFR</w:t>
      </w:r>
      <w:proofErr w:type="spellEnd"/>
      <w:r w:rsidRPr="00DA6A73">
        <w:t xml:space="preserve"> ≥</w:t>
      </w:r>
      <w:r>
        <w:t> </w:t>
      </w:r>
      <w:r w:rsidRPr="00DA6A73">
        <w:t>80</w:t>
      </w:r>
      <w:r>
        <w:t> </w:t>
      </w:r>
      <w:r w:rsidRPr="00DA6A73">
        <w:t>mL/min), the mean steady</w:t>
      </w:r>
      <w:r>
        <w:noBreakHyphen/>
      </w:r>
      <w:r w:rsidRPr="00DA6A73">
        <w:t xml:space="preserve">state AUC of </w:t>
      </w:r>
      <w:proofErr w:type="spellStart"/>
      <w:r w:rsidRPr="00DA6A73">
        <w:t>simeprevir</w:t>
      </w:r>
      <w:proofErr w:type="spellEnd"/>
      <w:r w:rsidRPr="00DA6A73">
        <w:t xml:space="preserve"> was 62% higher in </w:t>
      </w:r>
      <w:r w:rsidR="0037285D">
        <w:t>participants</w:t>
      </w:r>
      <w:r w:rsidRPr="00DA6A73">
        <w:t xml:space="preserve"> with severe renal impairment (</w:t>
      </w:r>
      <w:proofErr w:type="spellStart"/>
      <w:r w:rsidRPr="00DA6A73">
        <w:t>eGFR</w:t>
      </w:r>
      <w:proofErr w:type="spellEnd"/>
      <w:r>
        <w:t xml:space="preserve"> </w:t>
      </w:r>
      <w:r w:rsidRPr="00EC58DD">
        <w:t>below 30 mL/min</w:t>
      </w:r>
      <w:r w:rsidRPr="00DA6A73">
        <w:t>).</w:t>
      </w:r>
    </w:p>
    <w:p w:rsidR="00173847" w:rsidRDefault="00173847" w:rsidP="008760FC"/>
    <w:p w:rsidR="009F0785" w:rsidRDefault="009F0785" w:rsidP="008760FC">
      <w:r w:rsidRPr="00DA6A73">
        <w:lastRenderedPageBreak/>
        <w:t xml:space="preserve">In a population pharmacokinetic analysis of </w:t>
      </w:r>
      <w:r w:rsidRPr="00A07535">
        <w:t xml:space="preserve">mild or moderate </w:t>
      </w:r>
      <w:proofErr w:type="spellStart"/>
      <w:r w:rsidRPr="00A07535">
        <w:t>renally</w:t>
      </w:r>
      <w:proofErr w:type="spellEnd"/>
      <w:r w:rsidRPr="00A07535">
        <w:t xml:space="preserve"> impaired</w:t>
      </w:r>
      <w:r>
        <w:t xml:space="preserve"> </w:t>
      </w:r>
      <w:r w:rsidRPr="00DA6A73">
        <w:t>HCV</w:t>
      </w:r>
      <w:r>
        <w:noBreakHyphen/>
      </w:r>
      <w:r w:rsidRPr="00DA6A73">
        <w:t xml:space="preserve">infected patients treated with </w:t>
      </w:r>
      <w:r w:rsidR="00194D66">
        <w:t>OLYSIO</w:t>
      </w:r>
      <w:r w:rsidRPr="00DA6A73">
        <w:t xml:space="preserve"> 150</w:t>
      </w:r>
      <w:r>
        <w:t> mg</w:t>
      </w:r>
      <w:r w:rsidRPr="00DA6A73">
        <w:t xml:space="preserve"> once daily, creatinine clearance was not found to influence the pharmacokinetic parameters of </w:t>
      </w:r>
      <w:proofErr w:type="spellStart"/>
      <w:r w:rsidRPr="00DA6A73">
        <w:t>simeprevir</w:t>
      </w:r>
      <w:proofErr w:type="spellEnd"/>
      <w:r w:rsidRPr="00DA6A73">
        <w:t xml:space="preserve">. It is therefore not expected that renal impairment will have a clinically relevant effect on the exposure to </w:t>
      </w:r>
      <w:proofErr w:type="spellStart"/>
      <w:r w:rsidRPr="00DA6A73">
        <w:t>simeprevir</w:t>
      </w:r>
      <w:proofErr w:type="spellEnd"/>
      <w:r w:rsidRPr="00DA6A73">
        <w:t xml:space="preserve">, and no dose adjustment of </w:t>
      </w:r>
      <w:r w:rsidR="00194D66">
        <w:t>OLYSIO</w:t>
      </w:r>
      <w:r w:rsidRPr="00DA6A73">
        <w:t xml:space="preserve"> is needed in patients with mild, moderate or severe renal impairment. The safety and efficacy of </w:t>
      </w:r>
      <w:r w:rsidR="00194D66">
        <w:t>OLYSIO</w:t>
      </w:r>
      <w:r w:rsidRPr="00DA6A73">
        <w:t xml:space="preserve"> ha</w:t>
      </w:r>
      <w:r>
        <w:t>ve</w:t>
      </w:r>
      <w:r w:rsidRPr="00DA6A73">
        <w:t xml:space="preserve"> not been studied in </w:t>
      </w:r>
      <w:r>
        <w:t>HCV</w:t>
      </w:r>
      <w:r>
        <w:noBreakHyphen/>
        <w:t xml:space="preserve">infected </w:t>
      </w:r>
      <w:r w:rsidRPr="00DA6A73">
        <w:t xml:space="preserve">patients with severe renal </w:t>
      </w:r>
      <w:r w:rsidRPr="000E7461">
        <w:t xml:space="preserve">impairment </w:t>
      </w:r>
      <w:r>
        <w:t>or</w:t>
      </w:r>
      <w:r w:rsidRPr="000E7461">
        <w:t xml:space="preserve"> end</w:t>
      </w:r>
      <w:r>
        <w:noBreakHyphen/>
      </w:r>
      <w:r w:rsidRPr="000E7461">
        <w:t xml:space="preserve">stage renal </w:t>
      </w:r>
      <w:proofErr w:type="gramStart"/>
      <w:r w:rsidRPr="000E7461">
        <w:t>disease,</w:t>
      </w:r>
      <w:proofErr w:type="gramEnd"/>
      <w:r w:rsidRPr="000E7461">
        <w:t xml:space="preserve"> including patients requiring dialysis (see </w:t>
      </w:r>
      <w:r w:rsidRPr="000E7461">
        <w:rPr>
          <w:i/>
        </w:rPr>
        <w:t>Dosage and Administration</w:t>
      </w:r>
      <w:r w:rsidRPr="000E7461">
        <w:t>).</w:t>
      </w:r>
    </w:p>
    <w:p w:rsidR="008760FC" w:rsidRPr="000E7461" w:rsidRDefault="008760FC" w:rsidP="008760FC"/>
    <w:p w:rsidR="009F0785" w:rsidRDefault="009F0785" w:rsidP="008760FC">
      <w:r w:rsidRPr="00DA6A73">
        <w:t xml:space="preserve">As </w:t>
      </w:r>
      <w:proofErr w:type="spellStart"/>
      <w:r w:rsidRPr="00DA6A73">
        <w:t>simeprevir</w:t>
      </w:r>
      <w:proofErr w:type="spellEnd"/>
      <w:r w:rsidRPr="00DA6A73">
        <w:t xml:space="preserve"> is highly bound to plasma proteins, it is unlikely that it will be significantly removed by dialysis.</w:t>
      </w:r>
    </w:p>
    <w:p w:rsidR="008760FC" w:rsidRPr="00DA6A73" w:rsidRDefault="008760FC" w:rsidP="008760FC"/>
    <w:p w:rsidR="009F0785" w:rsidRPr="00DA6A73" w:rsidRDefault="009F0785" w:rsidP="008760FC">
      <w:r w:rsidRPr="00DA6A73">
        <w:t xml:space="preserve">Refer to the respective </w:t>
      </w:r>
      <w:r w:rsidR="0037285D">
        <w:t>product</w:t>
      </w:r>
      <w:r w:rsidRPr="00DA6A73">
        <w:t xml:space="preserve"> information for </w:t>
      </w:r>
      <w:proofErr w:type="spellStart"/>
      <w:r w:rsidRPr="00DA6A73">
        <w:t>peginterferon</w:t>
      </w:r>
      <w:proofErr w:type="spellEnd"/>
      <w:r w:rsidRPr="00DA6A73">
        <w:t xml:space="preserve"> </w:t>
      </w:r>
      <w:proofErr w:type="spellStart"/>
      <w:r w:rsidRPr="00DA6A73">
        <w:t>alfa</w:t>
      </w:r>
      <w:proofErr w:type="spellEnd"/>
      <w:r w:rsidRPr="00DA6A73">
        <w:t xml:space="preserve"> and ribavirin regarding use in </w:t>
      </w:r>
      <w:r>
        <w:t>patients</w:t>
      </w:r>
      <w:r w:rsidRPr="00DA6A73">
        <w:t xml:space="preserve"> with renal impairment.</w:t>
      </w:r>
    </w:p>
    <w:p w:rsidR="00E252FA" w:rsidRDefault="00E252FA" w:rsidP="008760FC"/>
    <w:p w:rsidR="008760FC" w:rsidRDefault="008760FC" w:rsidP="008760FC">
      <w:pPr>
        <w:pStyle w:val="Heading4"/>
      </w:pPr>
      <w:r w:rsidRPr="00EE1114">
        <w:t>Hepatic impairment</w:t>
      </w:r>
    </w:p>
    <w:p w:rsidR="008760FC" w:rsidRDefault="008760FC" w:rsidP="008760FC">
      <w:proofErr w:type="spellStart"/>
      <w:r w:rsidRPr="00DA6A73">
        <w:t>Simeprevir</w:t>
      </w:r>
      <w:proofErr w:type="spellEnd"/>
      <w:r w:rsidRPr="00DA6A73">
        <w:t xml:space="preserve"> is primarily metabolized by the liver.</w:t>
      </w:r>
    </w:p>
    <w:p w:rsidR="008760FC" w:rsidRPr="00DA6A73" w:rsidRDefault="008760FC" w:rsidP="008760FC"/>
    <w:p w:rsidR="008760FC" w:rsidRDefault="008760FC" w:rsidP="008760FC">
      <w:r w:rsidRPr="000E7461">
        <w:t xml:space="preserve">Compared to healthy </w:t>
      </w:r>
      <w:r w:rsidR="0037285D">
        <w:t xml:space="preserve">participants </w:t>
      </w:r>
      <w:r w:rsidRPr="000E7461">
        <w:t>with normal hepatic function, the mean steady</w:t>
      </w:r>
      <w:r>
        <w:noBreakHyphen/>
      </w:r>
      <w:r w:rsidRPr="000E7461">
        <w:t xml:space="preserve">state AUC of </w:t>
      </w:r>
      <w:proofErr w:type="spellStart"/>
      <w:r w:rsidRPr="000E7461">
        <w:t>simeprevir</w:t>
      </w:r>
      <w:proofErr w:type="spellEnd"/>
      <w:r w:rsidRPr="000E7461">
        <w:t xml:space="preserve"> was 2</w:t>
      </w:r>
      <w:r>
        <w:t>.4</w:t>
      </w:r>
      <w:r>
        <w:noBreakHyphen/>
      </w:r>
      <w:r w:rsidRPr="000E7461">
        <w:t xml:space="preserve">fold higher in </w:t>
      </w:r>
      <w:r w:rsidR="0037285D">
        <w:t>participants</w:t>
      </w:r>
      <w:r w:rsidRPr="000E7461">
        <w:t xml:space="preserve"> with moderate hepatic impairment (Child</w:t>
      </w:r>
      <w:r>
        <w:noBreakHyphen/>
      </w:r>
      <w:r w:rsidRPr="000E7461">
        <w:t xml:space="preserve">Pugh </w:t>
      </w:r>
      <w:r>
        <w:t>Class </w:t>
      </w:r>
      <w:r w:rsidRPr="000E7461">
        <w:t>B) and 5</w:t>
      </w:r>
      <w:r>
        <w:t>.2</w:t>
      </w:r>
      <w:r>
        <w:noBreakHyphen/>
      </w:r>
      <w:r w:rsidRPr="000E7461">
        <w:t xml:space="preserve">fold higher in </w:t>
      </w:r>
      <w:r w:rsidR="0037285D">
        <w:t>participants</w:t>
      </w:r>
      <w:r w:rsidRPr="000E7461">
        <w:t xml:space="preserve"> with severe hepatic impairment (Child</w:t>
      </w:r>
      <w:r>
        <w:noBreakHyphen/>
      </w:r>
      <w:r w:rsidRPr="000E7461">
        <w:t xml:space="preserve">Pugh </w:t>
      </w:r>
      <w:r>
        <w:t>Class </w:t>
      </w:r>
      <w:r w:rsidRPr="000E7461">
        <w:t xml:space="preserve">C). </w:t>
      </w:r>
      <w:r w:rsidR="004A75AB">
        <w:t xml:space="preserve"> </w:t>
      </w:r>
      <w:r w:rsidR="00403604" w:rsidRPr="00403604">
        <w:t xml:space="preserve">In clinical trials, higher </w:t>
      </w:r>
      <w:proofErr w:type="spellStart"/>
      <w:r w:rsidR="00403604" w:rsidRPr="00403604">
        <w:t>simeprevir</w:t>
      </w:r>
      <w:proofErr w:type="spellEnd"/>
      <w:r w:rsidR="00403604" w:rsidRPr="00403604">
        <w:t xml:space="preserve"> exposures have been associated with a higher incidence of adverse reactions, including rash (any type), pruritus and increased bilirubin. </w:t>
      </w:r>
      <w:r w:rsidR="00403604">
        <w:t xml:space="preserve"> </w:t>
      </w:r>
      <w:r w:rsidR="004A75AB">
        <w:t>In addition, t</w:t>
      </w:r>
      <w:r w:rsidR="004A75AB" w:rsidRPr="00C57307">
        <w:t xml:space="preserve">he </w:t>
      </w:r>
      <w:r w:rsidRPr="00C57307">
        <w:t xml:space="preserve">safety and efficacy of </w:t>
      </w:r>
      <w:r w:rsidR="00194D66">
        <w:t>OLYSIO</w:t>
      </w:r>
      <w:r w:rsidRPr="00C57307">
        <w:t xml:space="preserve"> ha</w:t>
      </w:r>
      <w:r>
        <w:t>ve</w:t>
      </w:r>
      <w:r w:rsidRPr="00C57307">
        <w:t xml:space="preserve"> not been studied </w:t>
      </w:r>
      <w:r w:rsidRPr="000E7461">
        <w:t xml:space="preserve">in </w:t>
      </w:r>
      <w:r>
        <w:t>HCV</w:t>
      </w:r>
      <w:r>
        <w:noBreakHyphen/>
        <w:t xml:space="preserve">infected </w:t>
      </w:r>
      <w:r w:rsidRPr="000E7461">
        <w:t xml:space="preserve">patients with </w:t>
      </w:r>
      <w:r>
        <w:t xml:space="preserve">moderate or severe </w:t>
      </w:r>
      <w:r w:rsidRPr="000E7461">
        <w:t>hepatic impairment</w:t>
      </w:r>
      <w:r>
        <w:t xml:space="preserve"> (</w:t>
      </w:r>
      <w:r w:rsidRPr="000E7461">
        <w:t>Child</w:t>
      </w:r>
      <w:r>
        <w:noBreakHyphen/>
      </w:r>
      <w:r w:rsidRPr="000E7461">
        <w:t xml:space="preserve">Pugh </w:t>
      </w:r>
      <w:r>
        <w:t xml:space="preserve">Class B or </w:t>
      </w:r>
      <w:r w:rsidRPr="000E7461">
        <w:t>C</w:t>
      </w:r>
      <w:r>
        <w:t>)</w:t>
      </w:r>
      <w:r w:rsidRPr="000E7461">
        <w:t xml:space="preserve"> (see </w:t>
      </w:r>
      <w:r w:rsidRPr="000E7461">
        <w:rPr>
          <w:i/>
        </w:rPr>
        <w:t>Dosage and Administration</w:t>
      </w:r>
      <w:r w:rsidRPr="000E7461">
        <w:t>).</w:t>
      </w:r>
    </w:p>
    <w:p w:rsidR="008760FC" w:rsidRPr="000E7461" w:rsidRDefault="008760FC" w:rsidP="008760FC"/>
    <w:p w:rsidR="008760FC" w:rsidRDefault="008760FC" w:rsidP="008760FC">
      <w:r w:rsidRPr="00DA6A73">
        <w:t>Based on a population pharmacokinetic analysis of HCV</w:t>
      </w:r>
      <w:r>
        <w:noBreakHyphen/>
      </w:r>
      <w:r w:rsidRPr="00DA6A73">
        <w:t xml:space="preserve">infected patients treated with </w:t>
      </w:r>
      <w:r w:rsidR="00194D66">
        <w:t>OLYSIO</w:t>
      </w:r>
      <w:r w:rsidRPr="00DA6A73">
        <w:t xml:space="preserve">, </w:t>
      </w:r>
      <w:r>
        <w:t>liver</w:t>
      </w:r>
      <w:r w:rsidRPr="00A407AA">
        <w:t xml:space="preserve"> </w:t>
      </w:r>
      <w:r w:rsidRPr="00561C61">
        <w:t>fibrosis</w:t>
      </w:r>
      <w:r w:rsidRPr="00A407AA">
        <w:t xml:space="preserve"> </w:t>
      </w:r>
      <w:r>
        <w:t>stage</w:t>
      </w:r>
      <w:r w:rsidRPr="00DA6A73">
        <w:t xml:space="preserve"> did not have a clinically </w:t>
      </w:r>
      <w:r>
        <w:t>relevant</w:t>
      </w:r>
      <w:r w:rsidRPr="00DA6A73">
        <w:t xml:space="preserve"> effect on the pharmacokinetics of </w:t>
      </w:r>
      <w:proofErr w:type="spellStart"/>
      <w:r w:rsidRPr="00DA6A73">
        <w:t>simeprevir</w:t>
      </w:r>
      <w:proofErr w:type="spellEnd"/>
      <w:r w:rsidRPr="00DA6A73">
        <w:t>.</w:t>
      </w:r>
    </w:p>
    <w:p w:rsidR="008760FC" w:rsidRPr="00DA6A73" w:rsidRDefault="008760FC" w:rsidP="008760FC"/>
    <w:p w:rsidR="008760FC" w:rsidRDefault="008760FC" w:rsidP="008760FC">
      <w:r w:rsidRPr="00DA6A73">
        <w:t xml:space="preserve">Refer to the respective </w:t>
      </w:r>
      <w:r w:rsidR="0037285D">
        <w:t>product</w:t>
      </w:r>
      <w:r w:rsidRPr="00DA6A73">
        <w:t xml:space="preserve"> information for </w:t>
      </w:r>
      <w:proofErr w:type="spellStart"/>
      <w:r w:rsidRPr="00DA6A73">
        <w:t>peginterferon</w:t>
      </w:r>
      <w:proofErr w:type="spellEnd"/>
      <w:r w:rsidRPr="00DA6A73">
        <w:t xml:space="preserve"> </w:t>
      </w:r>
      <w:proofErr w:type="spellStart"/>
      <w:r w:rsidRPr="00DA6A73">
        <w:t>alfa</w:t>
      </w:r>
      <w:proofErr w:type="spellEnd"/>
      <w:r w:rsidRPr="00DA6A73">
        <w:t xml:space="preserve"> and ribavirin regarding use in </w:t>
      </w:r>
      <w:r>
        <w:t>patients</w:t>
      </w:r>
      <w:r w:rsidRPr="00DA6A73">
        <w:t xml:space="preserve"> with hepatic impairment.</w:t>
      </w:r>
    </w:p>
    <w:p w:rsidR="008760FC" w:rsidRPr="00DA6A73" w:rsidRDefault="008760FC" w:rsidP="008760FC"/>
    <w:p w:rsidR="008760FC" w:rsidRDefault="008760FC" w:rsidP="008760FC">
      <w:pPr>
        <w:pStyle w:val="Heading4"/>
      </w:pPr>
      <w:r>
        <w:t>Other populations</w:t>
      </w:r>
    </w:p>
    <w:p w:rsidR="008760FC" w:rsidRPr="009810E6" w:rsidRDefault="008760FC" w:rsidP="008760FC">
      <w:r w:rsidRPr="009810E6">
        <w:t xml:space="preserve">No dose adjustment is necessary based on gender, body weight or body mass index. These characteristics have no clinically relevant effect on the pharmacokinetics of </w:t>
      </w:r>
      <w:proofErr w:type="spellStart"/>
      <w:r w:rsidRPr="009810E6">
        <w:t>simeprevir</w:t>
      </w:r>
      <w:proofErr w:type="spellEnd"/>
      <w:r w:rsidRPr="009810E6">
        <w:t xml:space="preserve"> based </w:t>
      </w:r>
      <w:r>
        <w:t xml:space="preserve">on </w:t>
      </w:r>
      <w:r w:rsidRPr="009810E6">
        <w:t>a population pharmacokinetic analysis of HCV</w:t>
      </w:r>
      <w:r>
        <w:noBreakHyphen/>
      </w:r>
      <w:r w:rsidRPr="009810E6">
        <w:t xml:space="preserve">infected patients treated with </w:t>
      </w:r>
      <w:r w:rsidR="00194D66">
        <w:t>OLYSIO</w:t>
      </w:r>
      <w:r w:rsidRPr="009810E6">
        <w:t>.</w:t>
      </w:r>
    </w:p>
    <w:p w:rsidR="008760FC" w:rsidRDefault="008760FC" w:rsidP="008760FC"/>
    <w:p w:rsidR="008760FC" w:rsidRPr="009810E6" w:rsidRDefault="008760FC" w:rsidP="00031C15">
      <w:pPr>
        <w:pStyle w:val="Heading5"/>
      </w:pPr>
      <w:r w:rsidRPr="009810E6">
        <w:t>Patients co</w:t>
      </w:r>
      <w:r>
        <w:noBreakHyphen/>
      </w:r>
      <w:r w:rsidRPr="009810E6">
        <w:t>infected with HIV</w:t>
      </w:r>
      <w:r>
        <w:noBreakHyphen/>
      </w:r>
      <w:r w:rsidRPr="009810E6">
        <w:t>1</w:t>
      </w:r>
    </w:p>
    <w:p w:rsidR="008760FC" w:rsidRDefault="008760FC" w:rsidP="00031C15">
      <w:pPr>
        <w:rPr>
          <w:noProof/>
          <w:lang w:eastAsia="zh-TW"/>
        </w:rPr>
      </w:pPr>
      <w:r w:rsidRPr="009810E6">
        <w:rPr>
          <w:noProof/>
          <w:lang w:eastAsia="zh-TW"/>
        </w:rPr>
        <w:t xml:space="preserve">Pharmacokinetic parameters of simeprevir were comparable between patients with </w:t>
      </w:r>
      <w:r>
        <w:rPr>
          <w:noProof/>
          <w:lang w:eastAsia="zh-TW"/>
        </w:rPr>
        <w:t>HCV genotype </w:t>
      </w:r>
      <w:r w:rsidRPr="009810E6">
        <w:rPr>
          <w:noProof/>
          <w:lang w:eastAsia="zh-TW"/>
        </w:rPr>
        <w:t xml:space="preserve">1 infection </w:t>
      </w:r>
      <w:r>
        <w:rPr>
          <w:noProof/>
          <w:lang w:eastAsia="zh-TW"/>
        </w:rPr>
        <w:t>with or</w:t>
      </w:r>
      <w:r w:rsidRPr="009810E6">
        <w:rPr>
          <w:noProof/>
          <w:lang w:eastAsia="zh-TW"/>
        </w:rPr>
        <w:t xml:space="preserve"> without HIV</w:t>
      </w:r>
      <w:r>
        <w:rPr>
          <w:noProof/>
          <w:lang w:eastAsia="zh-TW"/>
        </w:rPr>
        <w:noBreakHyphen/>
      </w:r>
      <w:r w:rsidRPr="009810E6">
        <w:rPr>
          <w:noProof/>
          <w:lang w:eastAsia="zh-TW"/>
        </w:rPr>
        <w:t>1 co</w:t>
      </w:r>
      <w:r>
        <w:rPr>
          <w:noProof/>
          <w:lang w:eastAsia="zh-TW"/>
        </w:rPr>
        <w:noBreakHyphen/>
      </w:r>
      <w:r w:rsidRPr="009810E6">
        <w:rPr>
          <w:noProof/>
          <w:lang w:eastAsia="zh-TW"/>
        </w:rPr>
        <w:t>infection.</w:t>
      </w:r>
    </w:p>
    <w:p w:rsidR="00031C15" w:rsidRPr="009810E6" w:rsidRDefault="00031C15" w:rsidP="00031C15"/>
    <w:p w:rsidR="008760FC" w:rsidRPr="009810E6" w:rsidRDefault="008760FC" w:rsidP="00031C15">
      <w:pPr>
        <w:pStyle w:val="Heading5"/>
      </w:pPr>
      <w:r w:rsidRPr="009810E6">
        <w:t>Race</w:t>
      </w:r>
    </w:p>
    <w:p w:rsidR="008760FC" w:rsidRDefault="008760FC" w:rsidP="00031C15">
      <w:r w:rsidRPr="009810E6">
        <w:t>No dose adjustment is necessary based on race.</w:t>
      </w:r>
    </w:p>
    <w:p w:rsidR="00031C15" w:rsidRPr="009810E6" w:rsidRDefault="00031C15" w:rsidP="00031C15"/>
    <w:p w:rsidR="008760FC" w:rsidRDefault="008760FC" w:rsidP="00031C15">
      <w:r w:rsidRPr="009810E6">
        <w:t xml:space="preserve">Population pharmacokinetic </w:t>
      </w:r>
      <w:r w:rsidRPr="00A07535">
        <w:t xml:space="preserve">estimates of exposure of </w:t>
      </w:r>
      <w:proofErr w:type="spellStart"/>
      <w:r w:rsidRPr="00A07535">
        <w:t>simeprevir</w:t>
      </w:r>
      <w:proofErr w:type="spellEnd"/>
      <w:r w:rsidRPr="00A07535">
        <w:t xml:space="preserve"> were comparable between Caucasian </w:t>
      </w:r>
      <w:r>
        <w:t>and</w:t>
      </w:r>
      <w:r w:rsidR="00031C15">
        <w:t xml:space="preserve"> </w:t>
      </w:r>
      <w:r w:rsidRPr="00A07535">
        <w:t>African American HCV</w:t>
      </w:r>
      <w:r w:rsidRPr="00A07535">
        <w:noBreakHyphen/>
        <w:t>infected patients</w:t>
      </w:r>
      <w:r w:rsidRPr="009810E6">
        <w:t>.</w:t>
      </w:r>
    </w:p>
    <w:p w:rsidR="00031C15" w:rsidRPr="009810E6" w:rsidRDefault="00031C15" w:rsidP="00031C15"/>
    <w:p w:rsidR="008760FC" w:rsidRPr="009810E6" w:rsidRDefault="008760FC" w:rsidP="00031C15">
      <w:r>
        <w:t>From cross</w:t>
      </w:r>
      <w:r w:rsidRPr="00A72115">
        <w:noBreakHyphen/>
      </w:r>
      <w:r>
        <w:t xml:space="preserve">study comparisons in healthy </w:t>
      </w:r>
      <w:r w:rsidR="0037285D">
        <w:t>participants</w:t>
      </w:r>
      <w:r>
        <w:t xml:space="preserve"> and HCV</w:t>
      </w:r>
      <w:r w:rsidRPr="00A07535">
        <w:noBreakHyphen/>
      </w:r>
      <w:r>
        <w:t xml:space="preserve">infected patients, </w:t>
      </w:r>
      <w:proofErr w:type="spellStart"/>
      <w:r>
        <w:t>simeprevir</w:t>
      </w:r>
      <w:proofErr w:type="spellEnd"/>
      <w:r w:rsidRPr="00D75E8C">
        <w:t xml:space="preserve"> </w:t>
      </w:r>
      <w:r>
        <w:t xml:space="preserve">plasma </w:t>
      </w:r>
      <w:r w:rsidRPr="00D75E8C">
        <w:t xml:space="preserve">exposure in </w:t>
      </w:r>
      <w:r>
        <w:t>Asians ranged between 20% lower up to 2.4</w:t>
      </w:r>
      <w:r w:rsidRPr="00A07535">
        <w:noBreakHyphen/>
      </w:r>
      <w:r>
        <w:t xml:space="preserve">fold </w:t>
      </w:r>
      <w:r w:rsidRPr="00D75E8C">
        <w:t xml:space="preserve">higher compared </w:t>
      </w:r>
      <w:r>
        <w:t>to</w:t>
      </w:r>
      <w:r w:rsidRPr="00D75E8C">
        <w:t xml:space="preserve"> Caucasian</w:t>
      </w:r>
      <w:r>
        <w:t>s</w:t>
      </w:r>
      <w:r w:rsidRPr="00D75E8C">
        <w:t>.</w:t>
      </w:r>
      <w:r>
        <w:t xml:space="preserve"> In the Phase</w:t>
      </w:r>
      <w:r>
        <w:rPr>
          <w:rFonts w:cs="Arial"/>
          <w:noProof/>
          <w:szCs w:val="28"/>
          <w:lang w:eastAsia="zh-TW"/>
        </w:rPr>
        <w:t> </w:t>
      </w:r>
      <w:r>
        <w:t xml:space="preserve">3 studies, the </w:t>
      </w:r>
      <w:proofErr w:type="spellStart"/>
      <w:r>
        <w:t>simeprevir</w:t>
      </w:r>
      <w:proofErr w:type="spellEnd"/>
      <w:r>
        <w:t xml:space="preserve"> plasma exposure in Asian patients was within the range observed in Caucasian patients.</w:t>
      </w:r>
      <w:r w:rsidR="00166B4C" w:rsidRPr="00166B4C">
        <w:t xml:space="preserve"> </w:t>
      </w:r>
      <w:r w:rsidR="00E34E83">
        <w:t xml:space="preserve"> </w:t>
      </w:r>
      <w:r w:rsidR="00166B4C" w:rsidRPr="00166B4C">
        <w:t>Given limited data, the potential risks and benefits of OLYSIO should be carefully considered prior</w:t>
      </w:r>
      <w:r w:rsidR="00166B4C">
        <w:t xml:space="preserve"> to use in East Asian patients.  </w:t>
      </w:r>
    </w:p>
    <w:p w:rsidR="008760FC" w:rsidRDefault="008760FC" w:rsidP="008760FC"/>
    <w:p w:rsidR="003B09E3" w:rsidRDefault="003A72D8" w:rsidP="009F3479">
      <w:pPr>
        <w:pStyle w:val="PIHEADING1"/>
        <w:jc w:val="left"/>
      </w:pPr>
      <w:r>
        <w:lastRenderedPageBreak/>
        <w:t>Clinical trials</w:t>
      </w:r>
    </w:p>
    <w:p w:rsidR="00031C15" w:rsidRPr="009431DB" w:rsidRDefault="00031C15" w:rsidP="00031C15">
      <w:r w:rsidRPr="009431DB">
        <w:t xml:space="preserve">The efficacy of </w:t>
      </w:r>
      <w:r w:rsidR="00194D66">
        <w:t>OLYSIO</w:t>
      </w:r>
      <w:r w:rsidRPr="009431DB">
        <w:t xml:space="preserve"> in patients with </w:t>
      </w:r>
      <w:r>
        <w:t>HCV g</w:t>
      </w:r>
      <w:r w:rsidRPr="009431DB">
        <w:t>enotype 1 infection was evaluated in two Phase 3 studies in treatment</w:t>
      </w:r>
      <w:r w:rsidRPr="009431DB">
        <w:noBreakHyphen/>
        <w:t>naïve patients (Studies C208 and C216), one Phase 3 study in patients who relapsed after prior interferon</w:t>
      </w:r>
      <w:r w:rsidRPr="009431DB">
        <w:noBreakHyphen/>
        <w:t xml:space="preserve">based therapy (Study HPC3007) and one Phase 2b study in patients who failed prior therapy with </w:t>
      </w:r>
      <w:proofErr w:type="spellStart"/>
      <w:r w:rsidRPr="009431DB">
        <w:t>peginterferon</w:t>
      </w:r>
      <w:proofErr w:type="spellEnd"/>
      <w:r w:rsidRPr="009431DB">
        <w:t xml:space="preserve"> and ribavirin (including prior </w:t>
      </w:r>
      <w:proofErr w:type="spellStart"/>
      <w:r w:rsidRPr="009431DB">
        <w:t>relapsers</w:t>
      </w:r>
      <w:proofErr w:type="spellEnd"/>
      <w:r w:rsidRPr="009431DB">
        <w:t>, partial and null responders) (Study C206). In addition, on treatment response and preliminary SVR data are available from two ongoing Phase 3 studies in patients who are treatment</w:t>
      </w:r>
      <w:r w:rsidRPr="009431DB">
        <w:noBreakHyphen/>
        <w:t xml:space="preserve">naïve or failed previous therapy: one in patients with </w:t>
      </w:r>
      <w:r>
        <w:t>HCV g</w:t>
      </w:r>
      <w:r w:rsidRPr="009431DB">
        <w:t>enotype 1 and HIV</w:t>
      </w:r>
      <w:r w:rsidRPr="009431DB">
        <w:noBreakHyphen/>
        <w:t>1 co</w:t>
      </w:r>
      <w:r w:rsidRPr="009431DB">
        <w:noBreakHyphen/>
        <w:t xml:space="preserve">infection, and one in patients with </w:t>
      </w:r>
      <w:r>
        <w:t>HCV g</w:t>
      </w:r>
      <w:r w:rsidRPr="009431DB">
        <w:t xml:space="preserve">enotype 4 </w:t>
      </w:r>
      <w:proofErr w:type="gramStart"/>
      <w:r w:rsidRPr="009431DB">
        <w:t>infection</w:t>
      </w:r>
      <w:proofErr w:type="gramEnd"/>
      <w:r w:rsidRPr="009431DB">
        <w:t xml:space="preserve">. Prior </w:t>
      </w:r>
      <w:proofErr w:type="spellStart"/>
      <w:r w:rsidRPr="009431DB">
        <w:t>relapsers</w:t>
      </w:r>
      <w:proofErr w:type="spellEnd"/>
      <w:r w:rsidRPr="009431DB">
        <w:t xml:space="preserve"> were patients who had undetectable </w:t>
      </w:r>
      <w:r>
        <w:t>HCV </w:t>
      </w:r>
      <w:r w:rsidRPr="009431DB">
        <w:t>RNA at the end of prior interferon</w:t>
      </w:r>
      <w:r w:rsidRPr="009431DB">
        <w:noBreakHyphen/>
        <w:t xml:space="preserve">based therapy and detectable </w:t>
      </w:r>
      <w:r>
        <w:t>HCV </w:t>
      </w:r>
      <w:r w:rsidRPr="009431DB">
        <w:t>RNA during follow</w:t>
      </w:r>
      <w:r w:rsidRPr="009431DB">
        <w:noBreakHyphen/>
        <w:t>up; prior partial responders were patients with prior on</w:t>
      </w:r>
      <w:r w:rsidRPr="009431DB">
        <w:noBreakHyphen/>
        <w:t>treatment ≥</w:t>
      </w:r>
      <w:r w:rsidRPr="009431DB">
        <w:rPr>
          <w:noProof/>
          <w:szCs w:val="22"/>
        </w:rPr>
        <w:t> </w:t>
      </w:r>
      <w:r w:rsidRPr="009431DB">
        <w:t>2</w:t>
      </w:r>
      <w:r w:rsidRPr="009431DB">
        <w:rPr>
          <w:noProof/>
          <w:szCs w:val="22"/>
        </w:rPr>
        <w:t> </w:t>
      </w:r>
      <w:r w:rsidRPr="009431DB">
        <w:t>log</w:t>
      </w:r>
      <w:r w:rsidRPr="009431DB">
        <w:rPr>
          <w:vertAlign w:val="subscript"/>
        </w:rPr>
        <w:t>10</w:t>
      </w:r>
      <w:r>
        <w:t> </w:t>
      </w:r>
      <w:r w:rsidRPr="009431DB">
        <w:t xml:space="preserve">reduction in </w:t>
      </w:r>
      <w:r>
        <w:t>HCV </w:t>
      </w:r>
      <w:r w:rsidRPr="009431DB">
        <w:t xml:space="preserve">RNA from baseline at Week 12 and detectable </w:t>
      </w:r>
      <w:r>
        <w:t>HCV </w:t>
      </w:r>
      <w:r w:rsidRPr="009431DB">
        <w:t xml:space="preserve">RNA at the end of prior therapy with </w:t>
      </w:r>
      <w:proofErr w:type="spellStart"/>
      <w:r w:rsidRPr="009431DB">
        <w:t>peginterferon</w:t>
      </w:r>
      <w:proofErr w:type="spellEnd"/>
      <w:r w:rsidRPr="009431DB">
        <w:t xml:space="preserve"> and ribavirin; and null responders were patients with prior on</w:t>
      </w:r>
      <w:r w:rsidRPr="009431DB">
        <w:noBreakHyphen/>
        <w:t>treatment &lt; 2</w:t>
      </w:r>
      <w:r w:rsidRPr="009431DB">
        <w:rPr>
          <w:noProof/>
          <w:szCs w:val="22"/>
        </w:rPr>
        <w:t> </w:t>
      </w:r>
      <w:r w:rsidRPr="009431DB">
        <w:t>log</w:t>
      </w:r>
      <w:r w:rsidRPr="009431DB">
        <w:rPr>
          <w:vertAlign w:val="subscript"/>
        </w:rPr>
        <w:t>10</w:t>
      </w:r>
      <w:r>
        <w:t> </w:t>
      </w:r>
      <w:r w:rsidRPr="009431DB">
        <w:t>reduction in HCV</w:t>
      </w:r>
      <w:r w:rsidRPr="009431DB">
        <w:rPr>
          <w:noProof/>
          <w:szCs w:val="22"/>
        </w:rPr>
        <w:t> </w:t>
      </w:r>
      <w:r w:rsidRPr="009431DB">
        <w:t xml:space="preserve">RNA from baseline at Week 12 during prior therapy with </w:t>
      </w:r>
      <w:proofErr w:type="spellStart"/>
      <w:r w:rsidRPr="009431DB">
        <w:t>peginterferon</w:t>
      </w:r>
      <w:proofErr w:type="spellEnd"/>
      <w:r w:rsidRPr="009431DB">
        <w:t xml:space="preserve"> and ribavirin. Patients in these studies had compensated liver disease (including cirrhosis), HCV</w:t>
      </w:r>
      <w:r w:rsidRPr="009431DB">
        <w:rPr>
          <w:noProof/>
          <w:szCs w:val="22"/>
        </w:rPr>
        <w:t> </w:t>
      </w:r>
      <w:r w:rsidRPr="009431DB">
        <w:t>RNA of at least 10000</w:t>
      </w:r>
      <w:r w:rsidRPr="009431DB">
        <w:rPr>
          <w:noProof/>
          <w:szCs w:val="22"/>
        </w:rPr>
        <w:t> </w:t>
      </w:r>
      <w:r w:rsidRPr="009431DB">
        <w:t xml:space="preserve">IU/mL, and liver histopathology consistent with </w:t>
      </w:r>
      <w:r w:rsidR="0037285D">
        <w:t>Chronic Hepatitis C (</w:t>
      </w:r>
      <w:r w:rsidRPr="009431DB">
        <w:t>CHC</w:t>
      </w:r>
      <w:r w:rsidR="0037285D">
        <w:t>)</w:t>
      </w:r>
      <w:r w:rsidRPr="009431DB">
        <w:t>.</w:t>
      </w:r>
    </w:p>
    <w:p w:rsidR="00031C15" w:rsidRDefault="00031C15" w:rsidP="00031C15">
      <w:pPr>
        <w:rPr>
          <w:noProof/>
        </w:rPr>
      </w:pPr>
    </w:p>
    <w:p w:rsidR="00031C15" w:rsidRDefault="00031C15" w:rsidP="00031C15">
      <w:r w:rsidRPr="009431DB">
        <w:t>In treatment</w:t>
      </w:r>
      <w:r w:rsidRPr="009431DB">
        <w:noBreakHyphen/>
        <w:t xml:space="preserve">naïve and prior </w:t>
      </w:r>
      <w:proofErr w:type="spellStart"/>
      <w:r w:rsidRPr="009431DB">
        <w:t>relapser</w:t>
      </w:r>
      <w:proofErr w:type="spellEnd"/>
      <w:r w:rsidRPr="009431DB">
        <w:t xml:space="preserve"> patients, the overall duration of treatment 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 in the Phase</w:t>
      </w:r>
      <w:r w:rsidRPr="009431DB">
        <w:rPr>
          <w:noProof/>
        </w:rPr>
        <w:t> </w:t>
      </w:r>
      <w:r w:rsidRPr="009431DB">
        <w:t>3 studies was response</w:t>
      </w:r>
      <w:r w:rsidRPr="009431DB">
        <w:noBreakHyphen/>
        <w:t>guided. In these patients, the planned total duration of HCV treatment was 24 weeks if the following on</w:t>
      </w:r>
      <w:r w:rsidRPr="009431DB">
        <w:noBreakHyphen/>
        <w:t>treatment protocol</w:t>
      </w:r>
      <w:r w:rsidRPr="009431DB">
        <w:noBreakHyphen/>
        <w:t>defined response</w:t>
      </w:r>
      <w:r w:rsidRPr="009431DB">
        <w:noBreakHyphen/>
        <w:t xml:space="preserve">guided therapy (RGT) criteria were met: </w:t>
      </w:r>
      <w:r w:rsidRPr="009431DB">
        <w:rPr>
          <w:noProof/>
        </w:rPr>
        <w:t xml:space="preserve">HCV RNA &lt; 25 IU/mL </w:t>
      </w:r>
      <w:r w:rsidRPr="00156990">
        <w:rPr>
          <w:noProof/>
        </w:rPr>
        <w:t>detectable or undetectable</w:t>
      </w:r>
      <w:r w:rsidRPr="009431DB">
        <w:rPr>
          <w:noProof/>
        </w:rPr>
        <w:t xml:space="preserve"> at Week 4 AND undetectable HCV RNA at Week 12. </w:t>
      </w:r>
      <w:r w:rsidRPr="009431DB">
        <w:t>Plasma HCV</w:t>
      </w:r>
      <w:r w:rsidRPr="009431DB">
        <w:rPr>
          <w:noProof/>
        </w:rPr>
        <w:t> </w:t>
      </w:r>
      <w:r w:rsidRPr="009431DB">
        <w:t>RNA levels were measured using the Roche COBAS</w:t>
      </w:r>
      <w:r w:rsidRPr="009431DB">
        <w:rPr>
          <w:vertAlign w:val="superscript"/>
        </w:rPr>
        <w:t>®</w:t>
      </w:r>
      <w:r w:rsidRPr="009431DB">
        <w:t xml:space="preserve"> </w:t>
      </w:r>
      <w:proofErr w:type="spellStart"/>
      <w:r w:rsidRPr="009431DB">
        <w:t>TaqMan</w:t>
      </w:r>
      <w:proofErr w:type="spellEnd"/>
      <w:r w:rsidRPr="009431DB">
        <w:rPr>
          <w:vertAlign w:val="superscript"/>
        </w:rPr>
        <w:t>®</w:t>
      </w:r>
      <w:r w:rsidRPr="009431DB">
        <w:t xml:space="preserve"> HCV</w:t>
      </w:r>
      <w:r w:rsidRPr="009431DB">
        <w:rPr>
          <w:noProof/>
        </w:rPr>
        <w:t> </w:t>
      </w:r>
      <w:r w:rsidRPr="009431DB">
        <w:t>test (version</w:t>
      </w:r>
      <w:r w:rsidRPr="009431DB">
        <w:rPr>
          <w:noProof/>
        </w:rPr>
        <w:t> </w:t>
      </w:r>
      <w:r w:rsidRPr="009431DB">
        <w:t>2.0), for use with the High Pure System (25 IU/</w:t>
      </w:r>
      <w:r w:rsidRPr="002D25BC">
        <w:t>mL LLOQ and 15 IU/mL limit of detection). Treatment stopping rules for HCV therapy were used to ensure that patients with inadequate on</w:t>
      </w:r>
      <w:r w:rsidRPr="002D25BC">
        <w:noBreakHyphen/>
        <w:t xml:space="preserve">treatment </w:t>
      </w:r>
      <w:proofErr w:type="spellStart"/>
      <w:r w:rsidRPr="002D25BC">
        <w:t>virologic</w:t>
      </w:r>
      <w:proofErr w:type="spellEnd"/>
      <w:r w:rsidRPr="002D25BC">
        <w:t xml:space="preserve"> response discontinued treatment in a timely manner.</w:t>
      </w:r>
    </w:p>
    <w:p w:rsidR="00031C15" w:rsidRPr="002D25BC" w:rsidRDefault="00031C15" w:rsidP="00031C15"/>
    <w:p w:rsidR="00031C15" w:rsidRPr="009431DB" w:rsidRDefault="00031C15" w:rsidP="00031C15">
      <w:r w:rsidRPr="002D25BC">
        <w:t>SVR (</w:t>
      </w:r>
      <w:proofErr w:type="spellStart"/>
      <w:r w:rsidRPr="002D25BC">
        <w:t>virologic</w:t>
      </w:r>
      <w:proofErr w:type="spellEnd"/>
      <w:r w:rsidRPr="002D25BC">
        <w:t xml:space="preserve"> cure) was</w:t>
      </w:r>
      <w:r w:rsidRPr="009431DB">
        <w:t xml:space="preserve"> defined as undetectable </w:t>
      </w:r>
      <w:r>
        <w:t>HCV </w:t>
      </w:r>
      <w:r w:rsidRPr="009431DB">
        <w:t xml:space="preserve">RNA 24 weeks after planned end of treatment in the Phase 2b study and was defined as </w:t>
      </w:r>
      <w:r>
        <w:t>HCV </w:t>
      </w:r>
      <w:r w:rsidRPr="009431DB">
        <w:t xml:space="preserve">RNA &lt; 25 IU/mL </w:t>
      </w:r>
      <w:r w:rsidRPr="00156990">
        <w:t>detectable or undetectable</w:t>
      </w:r>
      <w:r w:rsidRPr="009431DB">
        <w:t xml:space="preserve"> 12 weeks after the planned end of treatment in the Phase 3 studies.</w:t>
      </w:r>
    </w:p>
    <w:p w:rsidR="00031C15" w:rsidRDefault="00031C15" w:rsidP="00305B7A">
      <w:pPr>
        <w:rPr>
          <w:rFonts w:cs="Arial"/>
          <w:noProof/>
          <w:szCs w:val="22"/>
        </w:rPr>
      </w:pPr>
    </w:p>
    <w:p w:rsidR="00031C15" w:rsidRPr="009431DB" w:rsidRDefault="00031C15" w:rsidP="00031C15">
      <w:pPr>
        <w:pStyle w:val="Heading3"/>
      </w:pPr>
      <w:r w:rsidRPr="009431DB">
        <w:t>Efficacy in treatment</w:t>
      </w:r>
      <w:r w:rsidRPr="009431DB">
        <w:noBreakHyphen/>
        <w:t xml:space="preserve">naïve adults with </w:t>
      </w:r>
      <w:r>
        <w:t>HCV g</w:t>
      </w:r>
      <w:r w:rsidRPr="009431DB">
        <w:t>enotype 1 infection</w:t>
      </w:r>
    </w:p>
    <w:p w:rsidR="00031C15" w:rsidRPr="009431DB" w:rsidRDefault="00031C15" w:rsidP="00031C15">
      <w:pPr>
        <w:rPr>
          <w:szCs w:val="22"/>
        </w:rPr>
      </w:pPr>
      <w:r w:rsidRPr="009431DB">
        <w:t xml:space="preserve">The efficacy of </w:t>
      </w:r>
      <w:r w:rsidR="00194D66">
        <w:t>OLYSIO</w:t>
      </w:r>
      <w:r w:rsidRPr="009431DB">
        <w:t xml:space="preserve"> in treatment</w:t>
      </w:r>
      <w:r w:rsidRPr="009431DB">
        <w:noBreakHyphen/>
        <w:t xml:space="preserve">naïve patients with </w:t>
      </w:r>
      <w:r>
        <w:t>HCV g</w:t>
      </w:r>
      <w:r w:rsidRPr="009431DB">
        <w:t>enotype 1 infection was demonstrated in two randomized, double</w:t>
      </w:r>
      <w:r w:rsidRPr="009431DB">
        <w:noBreakHyphen/>
        <w:t>blind, placebo</w:t>
      </w:r>
      <w:r w:rsidRPr="009431DB">
        <w:noBreakHyphen/>
        <w:t>controlled, 2</w:t>
      </w:r>
      <w:r w:rsidRPr="009431DB">
        <w:noBreakHyphen/>
        <w:t>arm, multicenter, Phase 3 studies (Study C208 [QUEST</w:t>
      </w:r>
      <w:r w:rsidRPr="009431DB">
        <w:rPr>
          <w:szCs w:val="22"/>
        </w:rPr>
        <w:t> </w:t>
      </w:r>
      <w:r w:rsidRPr="009431DB">
        <w:t>1] and Study C216 [QUEST</w:t>
      </w:r>
      <w:r w:rsidRPr="009431DB">
        <w:rPr>
          <w:szCs w:val="22"/>
        </w:rPr>
        <w:t> </w:t>
      </w:r>
      <w:r w:rsidRPr="009431DB">
        <w:t xml:space="preserve">2]). The design of both studies was similar. </w:t>
      </w:r>
      <w:r w:rsidRPr="009431DB">
        <w:rPr>
          <w:szCs w:val="22"/>
        </w:rPr>
        <w:t xml:space="preserve">Patients received 12 weeks of once daily treatment with 150 mg </w:t>
      </w:r>
      <w:r w:rsidR="00194D66">
        <w:rPr>
          <w:szCs w:val="22"/>
        </w:rPr>
        <w:t>OLYSIO</w:t>
      </w:r>
      <w:r w:rsidRPr="009431DB">
        <w:rPr>
          <w:szCs w:val="22"/>
        </w:rPr>
        <w:t xml:space="preserve"> or placebo, plus </w:t>
      </w:r>
      <w:proofErr w:type="spellStart"/>
      <w:r w:rsidRPr="009431DB">
        <w:rPr>
          <w:szCs w:val="22"/>
        </w:rPr>
        <w:t>peginterferon</w:t>
      </w:r>
      <w:proofErr w:type="spellEnd"/>
      <w:r w:rsidRPr="009431DB">
        <w:rPr>
          <w:szCs w:val="22"/>
        </w:rPr>
        <w:t xml:space="preserve"> alfa</w:t>
      </w:r>
      <w:r w:rsidRPr="009431DB">
        <w:rPr>
          <w:szCs w:val="22"/>
        </w:rPr>
        <w:noBreakHyphen/>
        <w:t xml:space="preserve">2a </w:t>
      </w:r>
      <w:r>
        <w:rPr>
          <w:szCs w:val="22"/>
        </w:rPr>
        <w:t>(</w:t>
      </w:r>
      <w:r w:rsidRPr="009431DB">
        <w:rPr>
          <w:szCs w:val="22"/>
        </w:rPr>
        <w:t>Studies C208 and C216</w:t>
      </w:r>
      <w:r>
        <w:rPr>
          <w:szCs w:val="22"/>
        </w:rPr>
        <w:t>)</w:t>
      </w:r>
      <w:r w:rsidRPr="009431DB">
        <w:rPr>
          <w:szCs w:val="22"/>
        </w:rPr>
        <w:t xml:space="preserve"> or </w:t>
      </w:r>
      <w:proofErr w:type="spellStart"/>
      <w:r w:rsidRPr="009431DB">
        <w:rPr>
          <w:szCs w:val="22"/>
        </w:rPr>
        <w:t>peginterferon</w:t>
      </w:r>
      <w:proofErr w:type="spellEnd"/>
      <w:r w:rsidRPr="009431DB">
        <w:rPr>
          <w:szCs w:val="22"/>
        </w:rPr>
        <w:t xml:space="preserve"> alfa</w:t>
      </w:r>
      <w:r w:rsidRPr="009431DB">
        <w:rPr>
          <w:szCs w:val="22"/>
        </w:rPr>
        <w:noBreakHyphen/>
        <w:t xml:space="preserve">2b </w:t>
      </w:r>
      <w:r>
        <w:rPr>
          <w:szCs w:val="22"/>
        </w:rPr>
        <w:t>(</w:t>
      </w:r>
      <w:r w:rsidRPr="009431DB">
        <w:rPr>
          <w:szCs w:val="22"/>
        </w:rPr>
        <w:t xml:space="preserve">Study C216) and ribavirin, followed by 12 or 36 weeks of therapy with </w:t>
      </w:r>
      <w:proofErr w:type="spellStart"/>
      <w:r w:rsidRPr="009431DB">
        <w:rPr>
          <w:szCs w:val="22"/>
        </w:rPr>
        <w:t>peginterferon</w:t>
      </w:r>
      <w:proofErr w:type="spellEnd"/>
      <w:r w:rsidRPr="009431DB">
        <w:rPr>
          <w:szCs w:val="22"/>
        </w:rPr>
        <w:t xml:space="preserve"> </w:t>
      </w:r>
      <w:proofErr w:type="spellStart"/>
      <w:r w:rsidRPr="009431DB">
        <w:rPr>
          <w:szCs w:val="22"/>
        </w:rPr>
        <w:t>alfa</w:t>
      </w:r>
      <w:proofErr w:type="spellEnd"/>
      <w:r w:rsidRPr="009431DB">
        <w:rPr>
          <w:szCs w:val="22"/>
        </w:rPr>
        <w:t xml:space="preserve"> and ribavirin in accordance with the on</w:t>
      </w:r>
      <w:r w:rsidRPr="009431DB">
        <w:rPr>
          <w:szCs w:val="22"/>
        </w:rPr>
        <w:noBreakHyphen/>
        <w:t>treatment protocol</w:t>
      </w:r>
      <w:r w:rsidRPr="009431DB">
        <w:rPr>
          <w:szCs w:val="22"/>
        </w:rPr>
        <w:noBreakHyphen/>
        <w:t xml:space="preserve">defined RGT </w:t>
      </w:r>
      <w:r>
        <w:rPr>
          <w:szCs w:val="22"/>
        </w:rPr>
        <w:t>criteria</w:t>
      </w:r>
      <w:r w:rsidRPr="009431DB">
        <w:rPr>
          <w:szCs w:val="22"/>
        </w:rPr>
        <w:t xml:space="preserve">. Patients in the control groups </w:t>
      </w:r>
      <w:r>
        <w:rPr>
          <w:szCs w:val="22"/>
        </w:rPr>
        <w:t>received 48 </w:t>
      </w:r>
      <w:r w:rsidRPr="009431DB">
        <w:rPr>
          <w:szCs w:val="22"/>
        </w:rPr>
        <w:t xml:space="preserve">weeks of </w:t>
      </w:r>
      <w:proofErr w:type="spellStart"/>
      <w:r w:rsidRPr="009431DB">
        <w:rPr>
          <w:szCs w:val="22"/>
        </w:rPr>
        <w:t>peginterferon</w:t>
      </w:r>
      <w:proofErr w:type="spellEnd"/>
      <w:r w:rsidRPr="009431DB">
        <w:rPr>
          <w:szCs w:val="22"/>
        </w:rPr>
        <w:t xml:space="preserve"> alfa</w:t>
      </w:r>
      <w:r w:rsidRPr="009431DB">
        <w:rPr>
          <w:szCs w:val="22"/>
        </w:rPr>
        <w:noBreakHyphen/>
        <w:t xml:space="preserve">2a or </w:t>
      </w:r>
      <w:r w:rsidRPr="009431DB">
        <w:rPr>
          <w:szCs w:val="22"/>
        </w:rPr>
        <w:noBreakHyphen/>
        <w:t>2b and ribavirin.</w:t>
      </w:r>
    </w:p>
    <w:p w:rsidR="00E44F45" w:rsidRDefault="00E44F45" w:rsidP="00031C15"/>
    <w:p w:rsidR="00031C15" w:rsidRDefault="00031C15" w:rsidP="00031C15">
      <w:r w:rsidRPr="009431DB">
        <w:t>In the pooled analysis of Studies C208 and C216, the 78</w:t>
      </w:r>
      <w:r>
        <w:t>5 </w:t>
      </w:r>
      <w:r w:rsidRPr="009431DB">
        <w:t>enrolled patients had a median age of 47 years (range: 18 to 73 years</w:t>
      </w:r>
      <w:r w:rsidR="00744703">
        <w:t>); 56% were male; 91% were Caucasian, 7%</w:t>
      </w:r>
      <w:r w:rsidRPr="009431DB">
        <w:t xml:space="preserve"> African American, 1% Asian, and 17% Hispanic; 23% had a body mass index (BMI) ≥ 30 kg/m</w:t>
      </w:r>
      <w:r w:rsidRPr="009431DB">
        <w:rPr>
          <w:vertAlign w:val="superscript"/>
        </w:rPr>
        <w:t>2</w:t>
      </w:r>
      <w:r w:rsidRPr="009431DB">
        <w:t xml:space="preserve">; 78% had </w:t>
      </w:r>
      <w:r>
        <w:t>HCV </w:t>
      </w:r>
      <w:r w:rsidRPr="009431DB">
        <w:t xml:space="preserve">RNA levels &gt; 800000 IU/mL; </w:t>
      </w:r>
      <w:r>
        <w:t>74</w:t>
      </w:r>
      <w:r w:rsidRPr="009431DB">
        <w:t>% had METAVIR fibrosis score F0</w:t>
      </w:r>
      <w:r>
        <w:t>, F1 or F2</w:t>
      </w:r>
      <w:r w:rsidRPr="009431DB">
        <w:t>, 16% METAVIR fibrosis score F3, and 10% METAVIR fibrosis score F4 (cirrhosis); 4</w:t>
      </w:r>
      <w:r>
        <w:t>8</w:t>
      </w:r>
      <w:r w:rsidRPr="009431DB">
        <w:t xml:space="preserve">% had </w:t>
      </w:r>
      <w:r>
        <w:t>HCV g</w:t>
      </w:r>
      <w:r w:rsidRPr="009431DB">
        <w:t xml:space="preserve">enotype 1a, and 51% </w:t>
      </w:r>
      <w:r>
        <w:t>HCV g</w:t>
      </w:r>
      <w:r w:rsidRPr="009431DB">
        <w:t xml:space="preserve">enotype 1b; 29% had </w:t>
      </w:r>
      <w:r w:rsidRPr="009431DB">
        <w:rPr>
          <w:i/>
        </w:rPr>
        <w:t>IL28B</w:t>
      </w:r>
      <w:r>
        <w:rPr>
          <w:i/>
        </w:rPr>
        <w:t> </w:t>
      </w:r>
      <w:r w:rsidRPr="009431DB">
        <w:t xml:space="preserve">CC genotype, 56% </w:t>
      </w:r>
      <w:r w:rsidRPr="009431DB">
        <w:rPr>
          <w:i/>
        </w:rPr>
        <w:t>IL28B</w:t>
      </w:r>
      <w:r>
        <w:t> </w:t>
      </w:r>
      <w:r w:rsidRPr="009431DB">
        <w:t xml:space="preserve">CT genotype, and 15% </w:t>
      </w:r>
      <w:r w:rsidRPr="009431DB">
        <w:rPr>
          <w:i/>
        </w:rPr>
        <w:t>IL28B</w:t>
      </w:r>
      <w:r>
        <w:t> </w:t>
      </w:r>
      <w:r w:rsidRPr="009431DB">
        <w:t xml:space="preserve">TT genotype. In Study C208, all patients received </w:t>
      </w:r>
      <w:proofErr w:type="spellStart"/>
      <w:r w:rsidRPr="009431DB">
        <w:t>peginterferon</w:t>
      </w:r>
      <w:proofErr w:type="spellEnd"/>
      <w:r w:rsidRPr="009431DB">
        <w:t xml:space="preserve"> alfa</w:t>
      </w:r>
      <w:r w:rsidRPr="009431DB">
        <w:noBreakHyphen/>
        <w:t xml:space="preserve">2a; in Study C216, 69% of the patients received </w:t>
      </w:r>
      <w:proofErr w:type="spellStart"/>
      <w:r w:rsidRPr="009431DB">
        <w:t>peginterferon</w:t>
      </w:r>
      <w:proofErr w:type="spellEnd"/>
      <w:r w:rsidRPr="009431DB">
        <w:t xml:space="preserve"> alfa</w:t>
      </w:r>
      <w:r w:rsidRPr="009431DB">
        <w:noBreakHyphen/>
        <w:t>2a</w:t>
      </w:r>
      <w:r w:rsidRPr="009431DB" w:rsidDel="00D16AAE">
        <w:t xml:space="preserve"> </w:t>
      </w:r>
      <w:r w:rsidRPr="009431DB">
        <w:t xml:space="preserve">and 31% received </w:t>
      </w:r>
      <w:proofErr w:type="spellStart"/>
      <w:r w:rsidRPr="009431DB">
        <w:t>peginterferon</w:t>
      </w:r>
      <w:proofErr w:type="spellEnd"/>
      <w:r w:rsidRPr="009431DB">
        <w:t xml:space="preserve"> alfa</w:t>
      </w:r>
      <w:r w:rsidRPr="009431DB">
        <w:noBreakHyphen/>
        <w:t>2b</w:t>
      </w:r>
      <w:r w:rsidR="007F464C">
        <w:t>.</w:t>
      </w:r>
    </w:p>
    <w:p w:rsidR="00031C15" w:rsidRDefault="00031C15" w:rsidP="00031C15"/>
    <w:p w:rsidR="00031C15" w:rsidRDefault="00031C15" w:rsidP="007F464C">
      <w:r w:rsidRPr="009431DB">
        <w:lastRenderedPageBreak/>
        <w:t xml:space="preserve">The proportion of patients who discontinued all treatment due to an adverse event was </w:t>
      </w:r>
      <w:r>
        <w:t>2</w:t>
      </w:r>
      <w:r w:rsidRPr="009431DB">
        <w:t xml:space="preserve">% in the </w:t>
      </w:r>
      <w:r w:rsidR="00194D66">
        <w:t>OLYSIO</w:t>
      </w:r>
      <w:r w:rsidRPr="009431DB">
        <w:t xml:space="preserve"> with </w:t>
      </w:r>
      <w:proofErr w:type="spellStart"/>
      <w:r w:rsidRPr="009431DB">
        <w:t>peginterferon</w:t>
      </w:r>
      <w:proofErr w:type="spellEnd"/>
      <w:r w:rsidRPr="009431DB">
        <w:t xml:space="preserve"> </w:t>
      </w:r>
      <w:proofErr w:type="spellStart"/>
      <w:r w:rsidRPr="00156990">
        <w:t>alfa</w:t>
      </w:r>
      <w:proofErr w:type="spellEnd"/>
      <w:r w:rsidRPr="00156990">
        <w:t xml:space="preserve"> and ribavirin treatment group compared to </w:t>
      </w:r>
      <w:r>
        <w:t>1</w:t>
      </w:r>
      <w:r w:rsidRPr="00156990">
        <w:t xml:space="preserve">% in the placebo with </w:t>
      </w:r>
      <w:proofErr w:type="spellStart"/>
      <w:r w:rsidRPr="00156990">
        <w:t>peginterferon</w:t>
      </w:r>
      <w:proofErr w:type="spellEnd"/>
      <w:r w:rsidRPr="00156990">
        <w:t xml:space="preserve"> </w:t>
      </w:r>
      <w:proofErr w:type="spellStart"/>
      <w:r w:rsidRPr="00156990">
        <w:t>alfa</w:t>
      </w:r>
      <w:proofErr w:type="spellEnd"/>
      <w:r>
        <w:t xml:space="preserve"> </w:t>
      </w:r>
      <w:r w:rsidRPr="009431DB">
        <w:t xml:space="preserve">and ribavirin treatment group. Discontinuation of </w:t>
      </w:r>
      <w:r w:rsidR="00194D66">
        <w:t>OLYSIO</w:t>
      </w:r>
      <w:r w:rsidRPr="009431DB">
        <w:t xml:space="preserve"> or placebo alone due to an adverse event </w:t>
      </w:r>
      <w:r>
        <w:t>was</w:t>
      </w:r>
      <w:r w:rsidRPr="009431DB">
        <w:t xml:space="preserve"> </w:t>
      </w:r>
      <w:r>
        <w:t>1</w:t>
      </w:r>
      <w:r w:rsidRPr="009431DB">
        <w:t>% in both treatments groups.</w:t>
      </w:r>
      <w:r>
        <w:t xml:space="preserve"> </w:t>
      </w:r>
      <w:r w:rsidR="007F464C">
        <w:t>Table 3</w:t>
      </w:r>
      <w:r w:rsidRPr="009431DB">
        <w:t xml:space="preserve"> shows the response rates in treatment</w:t>
      </w:r>
      <w:r w:rsidRPr="009431DB">
        <w:noBreakHyphen/>
        <w:t xml:space="preserve">naïve adult patients with </w:t>
      </w:r>
      <w:r>
        <w:t>HCV g</w:t>
      </w:r>
      <w:r w:rsidRPr="009431DB">
        <w:t>enotype 1 infection.</w:t>
      </w:r>
    </w:p>
    <w:p w:rsidR="00031C15" w:rsidRDefault="00031C15" w:rsidP="00305B7A">
      <w:pPr>
        <w:rPr>
          <w:rFonts w:cs="Arial"/>
          <w:noProof/>
          <w:szCs w:val="22"/>
        </w:rPr>
      </w:pPr>
    </w:p>
    <w:tbl>
      <w:tblPr>
        <w:tblW w:w="9254" w:type="dxa"/>
        <w:tblInd w:w="144" w:type="dxa"/>
        <w:tblLayout w:type="fixed"/>
        <w:tblCellMar>
          <w:left w:w="42" w:type="dxa"/>
          <w:right w:w="42" w:type="dxa"/>
        </w:tblCellMar>
        <w:tblLook w:val="0000" w:firstRow="0" w:lastRow="0" w:firstColumn="0" w:lastColumn="0" w:noHBand="0" w:noVBand="0"/>
      </w:tblPr>
      <w:tblGrid>
        <w:gridCol w:w="3584"/>
        <w:gridCol w:w="2693"/>
        <w:gridCol w:w="2977"/>
      </w:tblGrid>
      <w:tr w:rsidR="007F464C" w:rsidRPr="009431DB" w:rsidTr="00B916DF">
        <w:trPr>
          <w:cantSplit/>
        </w:trPr>
        <w:tc>
          <w:tcPr>
            <w:tcW w:w="9254" w:type="dxa"/>
            <w:gridSpan w:val="3"/>
            <w:tcBorders>
              <w:bottom w:val="single" w:sz="4" w:space="0" w:color="auto"/>
            </w:tcBorders>
          </w:tcPr>
          <w:p w:rsidR="007F464C" w:rsidRPr="009431DB" w:rsidRDefault="007F464C" w:rsidP="005C2669">
            <w:pPr>
              <w:pStyle w:val="Caption"/>
              <w:rPr>
                <w:lang w:eastAsia="en-US"/>
              </w:rPr>
            </w:pPr>
            <w:r w:rsidRPr="009431DB">
              <w:rPr>
                <w:lang w:eastAsia="en-US"/>
              </w:rPr>
              <w:t>Table </w:t>
            </w:r>
            <w:r>
              <w:rPr>
                <w:lang w:eastAsia="en-US"/>
              </w:rPr>
              <w:t>3</w:t>
            </w:r>
            <w:r w:rsidRPr="009431DB">
              <w:rPr>
                <w:lang w:eastAsia="en-US"/>
              </w:rPr>
              <w:t>:</w:t>
            </w:r>
            <w:r w:rsidRPr="009431DB">
              <w:rPr>
                <w:lang w:eastAsia="en-US"/>
              </w:rPr>
              <w:tab/>
              <w:t>Treatment Outcome in Treatment</w:t>
            </w:r>
            <w:r w:rsidRPr="009431DB">
              <w:rPr>
                <w:lang w:eastAsia="en-US"/>
              </w:rPr>
              <w:noBreakHyphen/>
              <w:t xml:space="preserve">naïve Adult Patients with </w:t>
            </w:r>
            <w:r>
              <w:rPr>
                <w:lang w:eastAsia="en-US"/>
              </w:rPr>
              <w:t>HCV G</w:t>
            </w:r>
            <w:r w:rsidRPr="009431DB">
              <w:rPr>
                <w:lang w:eastAsia="en-US"/>
              </w:rPr>
              <w:t>enotype 1 Infection (Pooled Data Studies C208 and C216; Intent</w:t>
            </w:r>
            <w:r w:rsidRPr="009431DB">
              <w:rPr>
                <w:lang w:eastAsia="en-US"/>
              </w:rPr>
              <w:noBreakHyphen/>
              <w:t>to</w:t>
            </w:r>
            <w:r w:rsidRPr="009431DB">
              <w:rPr>
                <w:lang w:eastAsia="en-US"/>
              </w:rPr>
              <w:noBreakHyphen/>
              <w:t>Treat Analysis)</w:t>
            </w:r>
            <w:r>
              <w:rPr>
                <w:lang w:eastAsia="en-US"/>
              </w:rPr>
              <w:t xml:space="preserve"> </w:t>
            </w:r>
          </w:p>
        </w:tc>
      </w:tr>
      <w:tr w:rsidR="007F464C" w:rsidRPr="009431DB" w:rsidTr="00B916DF">
        <w:trPr>
          <w:cantSplit/>
        </w:trPr>
        <w:tc>
          <w:tcPr>
            <w:tcW w:w="3584" w:type="dxa"/>
            <w:tcBorders>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rPr>
                <w:b/>
              </w:rPr>
            </w:pPr>
            <w:r w:rsidRPr="009431DB">
              <w:rPr>
                <w:b/>
              </w:rPr>
              <w:t>Treatment Outcome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194D66" w:rsidP="00B916DF">
            <w:pPr>
              <w:pStyle w:val="TableText0"/>
              <w:jc w:val="center"/>
              <w:rPr>
                <w:b/>
              </w:rPr>
            </w:pPr>
            <w:r>
              <w:rPr>
                <w:b/>
              </w:rPr>
              <w:t>OLYSIO</w:t>
            </w:r>
          </w:p>
          <w:p w:rsidR="007F464C" w:rsidRPr="009431DB" w:rsidRDefault="007F464C" w:rsidP="00B916DF">
            <w:pPr>
              <w:pStyle w:val="TableText0"/>
              <w:jc w:val="center"/>
              <w:rPr>
                <w:b/>
              </w:rPr>
            </w:pPr>
            <w:r w:rsidRPr="009431DB">
              <w:rPr>
                <w:b/>
              </w:rPr>
              <w:t>N=521</w:t>
            </w:r>
          </w:p>
          <w:p w:rsidR="007F464C" w:rsidRPr="009431DB" w:rsidRDefault="007F464C" w:rsidP="00B916DF">
            <w:pPr>
              <w:pStyle w:val="TableText0"/>
              <w:jc w:val="center"/>
              <w:rPr>
                <w:b/>
              </w:rPr>
            </w:pPr>
            <w:r w:rsidRPr="009431DB">
              <w:rPr>
                <w:b/>
              </w:rPr>
              <w:t>% (n/N)</w:t>
            </w:r>
          </w:p>
        </w:tc>
        <w:tc>
          <w:tcPr>
            <w:tcW w:w="2977" w:type="dxa"/>
            <w:tcBorders>
              <w:top w:val="single" w:sz="4" w:space="0" w:color="auto"/>
              <w:left w:val="single" w:sz="4" w:space="0" w:color="auto"/>
              <w:bottom w:val="single" w:sz="4" w:space="0" w:color="auto"/>
              <w:right w:val="single" w:sz="4" w:space="0" w:color="auto"/>
            </w:tcBorders>
          </w:tcPr>
          <w:p w:rsidR="007F464C" w:rsidRPr="009431DB" w:rsidRDefault="007F464C" w:rsidP="00B916DF">
            <w:pPr>
              <w:pStyle w:val="TableText0"/>
              <w:jc w:val="center"/>
              <w:rPr>
                <w:b/>
              </w:rPr>
            </w:pPr>
            <w:r w:rsidRPr="009431DB">
              <w:rPr>
                <w:b/>
              </w:rPr>
              <w:t>Placebo</w:t>
            </w:r>
          </w:p>
          <w:p w:rsidR="007F464C" w:rsidRPr="009431DB" w:rsidRDefault="007F464C" w:rsidP="00B916DF">
            <w:pPr>
              <w:pStyle w:val="TableText0"/>
              <w:jc w:val="center"/>
              <w:rPr>
                <w:b/>
              </w:rPr>
            </w:pPr>
            <w:r w:rsidRPr="009431DB">
              <w:rPr>
                <w:b/>
              </w:rPr>
              <w:t>N=264</w:t>
            </w:r>
          </w:p>
          <w:p w:rsidR="007F464C" w:rsidRPr="009431DB" w:rsidRDefault="007F464C" w:rsidP="00B916DF">
            <w:pPr>
              <w:pStyle w:val="TableText0"/>
              <w:jc w:val="center"/>
              <w:rPr>
                <w:b/>
              </w:rPr>
            </w:pPr>
            <w:r w:rsidRPr="009431DB">
              <w:rPr>
                <w:b/>
              </w:rPr>
              <w:t>% (n/N)</w:t>
            </w:r>
          </w:p>
        </w:tc>
      </w:tr>
      <w:tr w:rsidR="007F464C" w:rsidRPr="009431DB" w:rsidTr="00B916DF">
        <w:trPr>
          <w:cantSplit/>
        </w:trPr>
        <w:tc>
          <w:tcPr>
            <w:tcW w:w="3584" w:type="dxa"/>
            <w:tcBorders>
              <w:top w:val="single" w:sz="4" w:space="0" w:color="auto"/>
              <w:left w:val="single" w:sz="4" w:space="0" w:color="auto"/>
              <w:bottom w:val="double" w:sz="4" w:space="0" w:color="auto"/>
              <w:right w:val="single" w:sz="4" w:space="0" w:color="auto"/>
            </w:tcBorders>
            <w:shd w:val="clear" w:color="auto" w:fill="auto"/>
          </w:tcPr>
          <w:p w:rsidR="007F464C" w:rsidRPr="009431DB" w:rsidRDefault="007F464C" w:rsidP="00B916DF">
            <w:pPr>
              <w:pStyle w:val="TableText0"/>
            </w:pPr>
            <w:r w:rsidRPr="009431DB">
              <w:rPr>
                <w:b/>
              </w:rPr>
              <w:t>Overall SVR</w:t>
            </w:r>
            <w:r w:rsidRPr="00EE78E9">
              <w:rPr>
                <w:b/>
              </w:rPr>
              <w:t>12</w:t>
            </w:r>
          </w:p>
        </w:tc>
        <w:tc>
          <w:tcPr>
            <w:tcW w:w="2693" w:type="dxa"/>
            <w:tcBorders>
              <w:top w:val="single" w:sz="4" w:space="0" w:color="auto"/>
              <w:left w:val="single" w:sz="4" w:space="0" w:color="auto"/>
              <w:bottom w:val="double" w:sz="4" w:space="0" w:color="auto"/>
              <w:right w:val="single" w:sz="4" w:space="0" w:color="auto"/>
            </w:tcBorders>
            <w:shd w:val="clear" w:color="auto" w:fill="auto"/>
          </w:tcPr>
          <w:p w:rsidR="007F464C" w:rsidRPr="009431DB" w:rsidRDefault="007F464C" w:rsidP="00B916DF">
            <w:pPr>
              <w:pStyle w:val="TableText0"/>
              <w:jc w:val="center"/>
            </w:pPr>
            <w:r w:rsidRPr="009431DB">
              <w:t>80% (419/521)</w:t>
            </w:r>
            <w:r w:rsidRPr="009431DB">
              <w:rPr>
                <w:noProof/>
                <w:vertAlign w:val="superscript"/>
              </w:rPr>
              <w:t>1</w:t>
            </w:r>
          </w:p>
        </w:tc>
        <w:tc>
          <w:tcPr>
            <w:tcW w:w="2977" w:type="dxa"/>
            <w:tcBorders>
              <w:top w:val="single" w:sz="4" w:space="0" w:color="auto"/>
              <w:left w:val="single" w:sz="4" w:space="0" w:color="auto"/>
              <w:bottom w:val="double" w:sz="4" w:space="0" w:color="auto"/>
              <w:right w:val="single" w:sz="4" w:space="0" w:color="auto"/>
            </w:tcBorders>
          </w:tcPr>
          <w:p w:rsidR="007F464C" w:rsidRPr="009431DB" w:rsidRDefault="007F464C" w:rsidP="00B916DF">
            <w:pPr>
              <w:pStyle w:val="TableText0"/>
              <w:jc w:val="center"/>
            </w:pPr>
            <w:r w:rsidRPr="009431DB">
              <w:t>50% (132/264)</w:t>
            </w:r>
          </w:p>
        </w:tc>
      </w:tr>
      <w:tr w:rsidR="007F464C" w:rsidRPr="009431DB" w:rsidTr="00B916DF">
        <w:trPr>
          <w:cantSplit/>
        </w:trPr>
        <w:tc>
          <w:tcPr>
            <w:tcW w:w="9254" w:type="dxa"/>
            <w:gridSpan w:val="3"/>
            <w:tcBorders>
              <w:top w:val="doub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rPr>
                <w:b/>
              </w:rPr>
            </w:pPr>
            <w:r w:rsidRPr="009431DB">
              <w:rPr>
                <w:b/>
              </w:rPr>
              <w:t>Outcome for patients without SVR</w:t>
            </w:r>
            <w:r>
              <w:rPr>
                <w:b/>
              </w:rPr>
              <w:t>12</w:t>
            </w:r>
          </w:p>
        </w:tc>
      </w:tr>
      <w:tr w:rsidR="007F464C" w:rsidRPr="009431DB" w:rsidTr="00B916D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ind w:left="282"/>
            </w:pPr>
            <w:r w:rsidRPr="009431DB">
              <w:t>On</w:t>
            </w:r>
            <w:r w:rsidRPr="009431DB">
              <w:noBreakHyphen/>
              <w:t>treatment failure</w:t>
            </w:r>
            <w:r>
              <w:rPr>
                <w:noProof/>
                <w:vertAlign w:val="superscript"/>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jc w:val="center"/>
            </w:pPr>
            <w:r w:rsidRPr="009431DB">
              <w:t>8% (42/521)</w:t>
            </w:r>
          </w:p>
        </w:tc>
        <w:tc>
          <w:tcPr>
            <w:tcW w:w="2977" w:type="dxa"/>
            <w:tcBorders>
              <w:top w:val="single" w:sz="4" w:space="0" w:color="auto"/>
              <w:left w:val="single" w:sz="4" w:space="0" w:color="auto"/>
              <w:bottom w:val="single" w:sz="4" w:space="0" w:color="auto"/>
              <w:right w:val="single" w:sz="4" w:space="0" w:color="auto"/>
            </w:tcBorders>
          </w:tcPr>
          <w:p w:rsidR="007F464C" w:rsidRPr="009431DB" w:rsidRDefault="007F464C" w:rsidP="00B916DF">
            <w:pPr>
              <w:pStyle w:val="TableText0"/>
              <w:jc w:val="center"/>
            </w:pPr>
            <w:r w:rsidRPr="009431DB">
              <w:t>33% (87/264)</w:t>
            </w:r>
          </w:p>
        </w:tc>
      </w:tr>
      <w:tr w:rsidR="007F464C" w:rsidRPr="009431DB" w:rsidTr="00B916D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ind w:left="282"/>
            </w:pPr>
            <w:r w:rsidRPr="009431DB">
              <w:t>Viral relapse</w:t>
            </w:r>
            <w:r>
              <w:rPr>
                <w:noProof/>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jc w:val="center"/>
            </w:pPr>
            <w:r w:rsidRPr="009431DB">
              <w:t>11%</w:t>
            </w:r>
            <w:r>
              <w:t xml:space="preserve"> (51/470)</w:t>
            </w:r>
          </w:p>
        </w:tc>
        <w:tc>
          <w:tcPr>
            <w:tcW w:w="2977" w:type="dxa"/>
            <w:tcBorders>
              <w:top w:val="single" w:sz="4" w:space="0" w:color="auto"/>
              <w:left w:val="single" w:sz="4" w:space="0" w:color="auto"/>
              <w:bottom w:val="single" w:sz="4" w:space="0" w:color="auto"/>
              <w:right w:val="single" w:sz="4" w:space="0" w:color="auto"/>
            </w:tcBorders>
          </w:tcPr>
          <w:p w:rsidR="007F464C" w:rsidRPr="009431DB" w:rsidRDefault="007F464C" w:rsidP="00B916DF">
            <w:pPr>
              <w:pStyle w:val="TableText0"/>
              <w:jc w:val="center"/>
            </w:pPr>
            <w:r w:rsidRPr="009431DB">
              <w:t>23% (39/172)</w:t>
            </w:r>
          </w:p>
        </w:tc>
      </w:tr>
      <w:tr w:rsidR="007F464C" w:rsidRPr="009431DB" w:rsidTr="00B916D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ind w:left="282"/>
            </w:pPr>
            <w:r w:rsidRPr="009431DB">
              <w:t>Missing SVR</w:t>
            </w:r>
            <w:r>
              <w:t>12</w:t>
            </w:r>
            <w:r>
              <w:rPr>
                <w:noProof/>
                <w:vertAlign w:val="superscript"/>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464C" w:rsidRPr="009431DB" w:rsidRDefault="007F464C" w:rsidP="00B916DF">
            <w:pPr>
              <w:pStyle w:val="TableText0"/>
              <w:jc w:val="center"/>
            </w:pPr>
            <w:r w:rsidRPr="009431DB">
              <w:t>2% (13/521)</w:t>
            </w:r>
          </w:p>
        </w:tc>
        <w:tc>
          <w:tcPr>
            <w:tcW w:w="2977" w:type="dxa"/>
            <w:tcBorders>
              <w:top w:val="single" w:sz="4" w:space="0" w:color="auto"/>
              <w:left w:val="single" w:sz="4" w:space="0" w:color="auto"/>
              <w:bottom w:val="single" w:sz="4" w:space="0" w:color="auto"/>
              <w:right w:val="single" w:sz="4" w:space="0" w:color="auto"/>
            </w:tcBorders>
          </w:tcPr>
          <w:p w:rsidR="007F464C" w:rsidRPr="009431DB" w:rsidRDefault="007F464C" w:rsidP="00B916DF">
            <w:pPr>
              <w:pStyle w:val="TableText0"/>
              <w:jc w:val="center"/>
            </w:pPr>
            <w:r w:rsidRPr="009431DB">
              <w:t>2% (6/264)</w:t>
            </w:r>
          </w:p>
        </w:tc>
      </w:tr>
      <w:tr w:rsidR="007F464C" w:rsidRPr="009431DB" w:rsidTr="00B916DF">
        <w:trPr>
          <w:cantSplit/>
        </w:trPr>
        <w:tc>
          <w:tcPr>
            <w:tcW w:w="9254" w:type="dxa"/>
            <w:gridSpan w:val="3"/>
            <w:tcBorders>
              <w:top w:val="single" w:sz="4" w:space="0" w:color="auto"/>
              <w:left w:val="single" w:sz="4" w:space="0" w:color="auto"/>
              <w:bottom w:val="single" w:sz="4" w:space="0" w:color="auto"/>
              <w:right w:val="single" w:sz="4" w:space="0" w:color="auto"/>
            </w:tcBorders>
          </w:tcPr>
          <w:p w:rsidR="007F464C" w:rsidRPr="009431DB" w:rsidRDefault="00194D66" w:rsidP="00B916DF">
            <w:pPr>
              <w:pStyle w:val="TableFootnote"/>
              <w:ind w:left="0" w:firstLine="0"/>
            </w:pPr>
            <w:r>
              <w:t>OLYSIO</w:t>
            </w:r>
            <w:r w:rsidR="007F464C">
              <w:t xml:space="preserve">: 150 mg </w:t>
            </w:r>
            <w:r>
              <w:t>OLYSIO</w:t>
            </w:r>
            <w:r w:rsidR="007F464C" w:rsidRPr="009431DB">
              <w:t xml:space="preserve"> for 12 weeks with </w:t>
            </w:r>
            <w:proofErr w:type="spellStart"/>
            <w:r w:rsidR="007F464C" w:rsidRPr="009431DB">
              <w:t>peginterferon</w:t>
            </w:r>
            <w:proofErr w:type="spellEnd"/>
            <w:r w:rsidR="007F464C" w:rsidRPr="009431DB">
              <w:t xml:space="preserve"> alfa</w:t>
            </w:r>
            <w:r w:rsidR="007F464C" w:rsidRPr="009431DB">
              <w:noBreakHyphen/>
              <w:t xml:space="preserve">2a or </w:t>
            </w:r>
            <w:r w:rsidR="007F464C" w:rsidRPr="009431DB">
              <w:noBreakHyphen/>
              <w:t xml:space="preserve">2b and ribavirin for 24 or 48 weeks; Placebo: placebo for 12 weeks with </w:t>
            </w:r>
            <w:proofErr w:type="spellStart"/>
            <w:r w:rsidR="007F464C" w:rsidRPr="009431DB">
              <w:t>peginterferon</w:t>
            </w:r>
            <w:proofErr w:type="spellEnd"/>
            <w:r w:rsidR="007F464C" w:rsidRPr="009431DB">
              <w:t xml:space="preserve"> alfa</w:t>
            </w:r>
            <w:r w:rsidR="007F464C" w:rsidRPr="009431DB">
              <w:noBreakHyphen/>
              <w:t xml:space="preserve">2a or </w:t>
            </w:r>
            <w:r w:rsidR="007F464C" w:rsidRPr="009431DB">
              <w:noBreakHyphen/>
              <w:t>2b and ribavirin for 48 weeks. SVR</w:t>
            </w:r>
            <w:r w:rsidR="007F464C" w:rsidRPr="002D25BC">
              <w:t>12</w:t>
            </w:r>
            <w:r w:rsidR="007F464C" w:rsidRPr="009431DB">
              <w:t xml:space="preserve">: sustained </w:t>
            </w:r>
            <w:proofErr w:type="spellStart"/>
            <w:r w:rsidR="007F464C" w:rsidRPr="009431DB">
              <w:t>virologic</w:t>
            </w:r>
            <w:proofErr w:type="spellEnd"/>
            <w:r w:rsidR="007F464C" w:rsidRPr="009431DB">
              <w:t xml:space="preserve"> response </w:t>
            </w:r>
            <w:r w:rsidR="007F464C" w:rsidRPr="002D25BC">
              <w:t>12</w:t>
            </w:r>
            <w:r w:rsidR="007F464C">
              <w:t> </w:t>
            </w:r>
            <w:r w:rsidR="007F464C" w:rsidRPr="002D25BC">
              <w:t>weeks after planned end of treatment (EOT).</w:t>
            </w:r>
          </w:p>
          <w:p w:rsidR="007F464C" w:rsidRPr="009431DB" w:rsidRDefault="007F464C" w:rsidP="00B916DF">
            <w:pPr>
              <w:pStyle w:val="TableFootnote"/>
            </w:pPr>
            <w:r w:rsidRPr="001D188C">
              <w:rPr>
                <w:noProof/>
                <w:vertAlign w:val="superscript"/>
              </w:rPr>
              <w:t>1</w:t>
            </w:r>
            <w:r w:rsidRPr="009431DB">
              <w:tab/>
              <w:t>p &lt; 0.001</w:t>
            </w:r>
          </w:p>
          <w:p w:rsidR="007F464C" w:rsidRPr="009431DB" w:rsidRDefault="007F464C" w:rsidP="00B916DF">
            <w:pPr>
              <w:pStyle w:val="TableFootnote"/>
            </w:pPr>
            <w:r w:rsidRPr="001D188C">
              <w:rPr>
                <w:noProof/>
                <w:vertAlign w:val="superscript"/>
              </w:rPr>
              <w:t>2</w:t>
            </w:r>
            <w:r w:rsidRPr="009431DB">
              <w:tab/>
              <w:t>On</w:t>
            </w:r>
            <w:r w:rsidRPr="009431DB">
              <w:noBreakHyphen/>
              <w:t xml:space="preserve">treatment failure was defined as the proportion of patients with </w:t>
            </w:r>
            <w:r>
              <w:t xml:space="preserve">confirmed </w:t>
            </w:r>
            <w:r w:rsidRPr="009431DB">
              <w:t xml:space="preserve">detectable </w:t>
            </w:r>
            <w:r>
              <w:t>HCV </w:t>
            </w:r>
            <w:r w:rsidRPr="009431DB">
              <w:t>RNA at EOT (including but not limited to patients who met the protocol</w:t>
            </w:r>
            <w:r w:rsidRPr="009431DB">
              <w:noBreakHyphen/>
              <w:t>specified treatment stopping rules and/or experienced viral breakthrough).</w:t>
            </w:r>
          </w:p>
          <w:p w:rsidR="007F464C" w:rsidRDefault="007F464C" w:rsidP="00B916DF">
            <w:pPr>
              <w:pStyle w:val="TableFootnote"/>
            </w:pPr>
            <w:r w:rsidRPr="001D188C">
              <w:rPr>
                <w:noProof/>
                <w:vertAlign w:val="superscript"/>
              </w:rPr>
              <w:t>3</w:t>
            </w:r>
            <w:r w:rsidRPr="009431DB">
              <w:tab/>
              <w:t>Viral relapse rates are calculated with a denominator</w:t>
            </w:r>
            <w:r>
              <w:t xml:space="preserve"> of patients with undetectable HCV </w:t>
            </w:r>
            <w:r w:rsidRPr="009431DB">
              <w:t xml:space="preserve">RNA at actual EOT. </w:t>
            </w:r>
            <w:r>
              <w:t>I</w:t>
            </w:r>
            <w:r w:rsidRPr="009431DB">
              <w:t xml:space="preserve">ncludes </w:t>
            </w:r>
            <w:r>
              <w:t>4 </w:t>
            </w:r>
            <w:r w:rsidR="00194D66">
              <w:t>OLYSIO</w:t>
            </w:r>
            <w:r w:rsidRPr="009431DB">
              <w:noBreakHyphen/>
            </w:r>
            <w:r w:rsidRPr="00107370">
              <w:t>treated</w:t>
            </w:r>
            <w:r>
              <w:t xml:space="preserve"> </w:t>
            </w:r>
            <w:r w:rsidRPr="009431DB">
              <w:t xml:space="preserve">patients who </w:t>
            </w:r>
            <w:r w:rsidRPr="00107370">
              <w:t xml:space="preserve">experienced relapse </w:t>
            </w:r>
            <w:r>
              <w:t>after SVR12</w:t>
            </w:r>
            <w:r w:rsidRPr="00107370">
              <w:t>.</w:t>
            </w:r>
          </w:p>
          <w:p w:rsidR="007F464C" w:rsidRPr="009431DB" w:rsidRDefault="007F464C" w:rsidP="00B916DF">
            <w:pPr>
              <w:pStyle w:val="TableFootnote"/>
            </w:pPr>
            <w:r>
              <w:rPr>
                <w:noProof/>
                <w:vertAlign w:val="superscript"/>
              </w:rPr>
              <w:t>4</w:t>
            </w:r>
            <w:r w:rsidRPr="009431DB">
              <w:tab/>
            </w:r>
            <w:r w:rsidRPr="002D25BC">
              <w:t>Patients with missing data at the SVR assessment time point.</w:t>
            </w:r>
          </w:p>
        </w:tc>
      </w:tr>
    </w:tbl>
    <w:p w:rsidR="007F464C" w:rsidRDefault="007F464C" w:rsidP="007F464C">
      <w:pPr>
        <w:pStyle w:val="BodyText120"/>
      </w:pPr>
    </w:p>
    <w:p w:rsidR="00B916DF" w:rsidRDefault="00B916DF" w:rsidP="00B916DF">
      <w:pPr>
        <w:rPr>
          <w:noProof/>
        </w:rPr>
      </w:pPr>
      <w:r>
        <w:t>Eighty</w:t>
      </w:r>
      <w:r>
        <w:noBreakHyphen/>
        <w:t xml:space="preserve">eight percent (n=459/521) of the </w:t>
      </w:r>
      <w:r w:rsidR="00194D66">
        <w:t>OLYSIO</w:t>
      </w:r>
      <w:r>
        <w:noBreakHyphen/>
        <w:t>treated patients met the protocol</w:t>
      </w:r>
      <w:r>
        <w:noBreakHyphen/>
        <w:t>defined RGT criteria (</w:t>
      </w:r>
      <w:r w:rsidRPr="009431DB">
        <w:rPr>
          <w:noProof/>
        </w:rPr>
        <w:t>HCV RNA &lt; 25 IU/mL dete</w:t>
      </w:r>
      <w:r>
        <w:rPr>
          <w:noProof/>
        </w:rPr>
        <w:t xml:space="preserve">ctable or undetectable </w:t>
      </w:r>
      <w:r w:rsidRPr="009431DB">
        <w:rPr>
          <w:noProof/>
        </w:rPr>
        <w:t xml:space="preserve">at Week 4 </w:t>
      </w:r>
      <w:r>
        <w:rPr>
          <w:noProof/>
        </w:rPr>
        <w:t>and</w:t>
      </w:r>
      <w:r w:rsidRPr="009431DB">
        <w:rPr>
          <w:noProof/>
        </w:rPr>
        <w:t xml:space="preserve"> undetectable HCV RNA at Week 12</w:t>
      </w:r>
      <w:r>
        <w:rPr>
          <w:noProof/>
        </w:rPr>
        <w:t>)</w:t>
      </w:r>
      <w:r w:rsidRPr="00774338">
        <w:rPr>
          <w:noProof/>
        </w:rPr>
        <w:t xml:space="preserve"> </w:t>
      </w:r>
      <w:r>
        <w:rPr>
          <w:noProof/>
        </w:rPr>
        <w:t>for shortened treatment duration (24 weeks); in these patients the SVR12 rate was 88%.</w:t>
      </w:r>
    </w:p>
    <w:p w:rsidR="00B916DF" w:rsidRDefault="00B916DF" w:rsidP="00B916DF"/>
    <w:p w:rsidR="00B916DF" w:rsidRDefault="00B916DF" w:rsidP="00B916DF">
      <w:r w:rsidRPr="00A320C4">
        <w:t>Seventy</w:t>
      </w:r>
      <w:r w:rsidRPr="009045A9">
        <w:noBreakHyphen/>
      </w:r>
      <w:r w:rsidRPr="00A320C4">
        <w:t>eight percent (</w:t>
      </w:r>
      <w:r>
        <w:t>n=</w:t>
      </w:r>
      <w:r w:rsidRPr="00A320C4">
        <w:t xml:space="preserve">404/521) of </w:t>
      </w:r>
      <w:r w:rsidR="00194D66">
        <w:t>OLYSIO</w:t>
      </w:r>
      <w:r w:rsidRPr="009045A9">
        <w:noBreakHyphen/>
      </w:r>
      <w:r w:rsidRPr="00A320C4">
        <w:t xml:space="preserve">treated patients had </w:t>
      </w:r>
      <w:r w:rsidRPr="00141A34">
        <w:t>undetectable HCV RNA at Week</w:t>
      </w:r>
      <w:r w:rsidRPr="00141A34">
        <w:rPr>
          <w:noProof/>
        </w:rPr>
        <w:t> </w:t>
      </w:r>
      <w:r w:rsidRPr="00141A34">
        <w:t>4 (RVR)</w:t>
      </w:r>
      <w:r w:rsidRPr="00A320C4">
        <w:t xml:space="preserve">; in these patients </w:t>
      </w:r>
      <w:r w:rsidRPr="00EC58DD">
        <w:t xml:space="preserve">the SVR12 rate was 90%, while 8% with undetectable HCV RNA at end of treatment had viral relapse. The proportion of </w:t>
      </w:r>
      <w:r w:rsidR="00194D66">
        <w:t>OLYSIO</w:t>
      </w:r>
      <w:r w:rsidRPr="00EC58DD">
        <w:noBreakHyphen/>
        <w:t>treated patients with HCV RNA &lt;</w:t>
      </w:r>
      <w:r w:rsidRPr="00EC58DD">
        <w:rPr>
          <w:noProof/>
        </w:rPr>
        <w:t> </w:t>
      </w:r>
      <w:r w:rsidRPr="00EC58DD">
        <w:t>25</w:t>
      </w:r>
      <w:r w:rsidRPr="00EC58DD">
        <w:rPr>
          <w:noProof/>
        </w:rPr>
        <w:t> </w:t>
      </w:r>
      <w:r w:rsidRPr="00EC58DD">
        <w:t>IU/mL detectable at Week</w:t>
      </w:r>
      <w:r w:rsidRPr="00EC58DD">
        <w:rPr>
          <w:noProof/>
        </w:rPr>
        <w:t> </w:t>
      </w:r>
      <w:r w:rsidRPr="00EC58DD">
        <w:t>4 was 13% (n=70/521); 67% achieved SVR12, while 23% with</w:t>
      </w:r>
      <w:r>
        <w:t xml:space="preserve"> undetectable HCV </w:t>
      </w:r>
      <w:r w:rsidRPr="00A320C4">
        <w:t>RNA at end of treatment had viral relapse. Seven percent (</w:t>
      </w:r>
      <w:r>
        <w:t>n=</w:t>
      </w:r>
      <w:r w:rsidRPr="00A320C4">
        <w:t xml:space="preserve">35/521) of </w:t>
      </w:r>
      <w:r w:rsidR="00194D66">
        <w:t>OLYSIO</w:t>
      </w:r>
      <w:r w:rsidRPr="009045A9">
        <w:noBreakHyphen/>
      </w:r>
      <w:r>
        <w:t>treated patients had HCV </w:t>
      </w:r>
      <w:r w:rsidRPr="00A320C4">
        <w:t>RNA ≥</w:t>
      </w:r>
      <w:r w:rsidRPr="009431DB">
        <w:rPr>
          <w:noProof/>
        </w:rPr>
        <w:t> </w:t>
      </w:r>
      <w:r w:rsidRPr="00A320C4">
        <w:t>25</w:t>
      </w:r>
      <w:r w:rsidRPr="009431DB">
        <w:rPr>
          <w:noProof/>
        </w:rPr>
        <w:t> </w:t>
      </w:r>
      <w:r w:rsidRPr="00A320C4">
        <w:t>IU/mL at Week</w:t>
      </w:r>
      <w:r w:rsidRPr="009431DB">
        <w:rPr>
          <w:noProof/>
        </w:rPr>
        <w:t> </w:t>
      </w:r>
      <w:r w:rsidRPr="00A320C4">
        <w:t>4; in these patients the SVR12 rate was 20%.</w:t>
      </w:r>
    </w:p>
    <w:p w:rsidR="00B916DF" w:rsidRDefault="00B916DF" w:rsidP="00B916DF"/>
    <w:p w:rsidR="00B916DF" w:rsidRDefault="00B916DF" w:rsidP="00B916DF">
      <w:r w:rsidRPr="00933B55">
        <w:t>In both C208 and C216 studie</w:t>
      </w:r>
      <w:r>
        <w:t xml:space="preserve">s, addition of </w:t>
      </w:r>
      <w:r w:rsidR="00194D66">
        <w:t>OLYSIO</w:t>
      </w:r>
      <w:r>
        <w:t xml:space="preserve"> to </w:t>
      </w:r>
      <w:proofErr w:type="spellStart"/>
      <w:r>
        <w:t>peg</w:t>
      </w:r>
      <w:r w:rsidRPr="00933B55">
        <w:t>interferon</w:t>
      </w:r>
      <w:proofErr w:type="spellEnd"/>
      <w:r w:rsidRPr="00933B55">
        <w:t xml:space="preserve"> </w:t>
      </w:r>
      <w:proofErr w:type="spellStart"/>
      <w:r w:rsidRPr="00933B55">
        <w:t>alfa</w:t>
      </w:r>
      <w:proofErr w:type="spellEnd"/>
      <w:r w:rsidRPr="00933B55">
        <w:t xml:space="preserve"> and ribavirin did not increase severity of patient</w:t>
      </w:r>
      <w:r w:rsidRPr="009431DB">
        <w:noBreakHyphen/>
      </w:r>
      <w:r w:rsidRPr="00933B55">
        <w:t xml:space="preserve">reported fatigue, depressive symptoms or impairments in work and daily activities beyond what was observed in patients treated with </w:t>
      </w:r>
      <w:proofErr w:type="spellStart"/>
      <w:r w:rsidRPr="00933B55">
        <w:t>peginterferon</w:t>
      </w:r>
      <w:proofErr w:type="spellEnd"/>
      <w:r w:rsidRPr="00933B55">
        <w:t xml:space="preserve"> </w:t>
      </w:r>
      <w:proofErr w:type="spellStart"/>
      <w:r w:rsidRPr="00933B55">
        <w:t>alfa</w:t>
      </w:r>
      <w:proofErr w:type="spellEnd"/>
      <w:r w:rsidRPr="00933B55">
        <w:t xml:space="preserve"> and ribavirin alone. Additionally, </w:t>
      </w:r>
      <w:r w:rsidR="00194D66">
        <w:t>OLYSIO</w:t>
      </w:r>
      <w:r w:rsidRPr="009431DB">
        <w:noBreakHyphen/>
      </w:r>
      <w:r w:rsidRPr="00933B55">
        <w:t xml:space="preserve">treated patients had significantly </w:t>
      </w:r>
      <w:r>
        <w:t>reduced</w:t>
      </w:r>
      <w:r w:rsidRPr="00933B55">
        <w:t xml:space="preserve"> time (weeks) with </w:t>
      </w:r>
      <w:r w:rsidRPr="00EC58DD">
        <w:t>fatigue and</w:t>
      </w:r>
      <w:r w:rsidRPr="00933B55">
        <w:t xml:space="preserve"> impairments in work and daily activity as compared to </w:t>
      </w:r>
      <w:proofErr w:type="spellStart"/>
      <w:r w:rsidRPr="00933B55">
        <w:t>peginterferon</w:t>
      </w:r>
      <w:proofErr w:type="spellEnd"/>
      <w:r w:rsidRPr="00933B55">
        <w:t xml:space="preserve"> </w:t>
      </w:r>
      <w:proofErr w:type="spellStart"/>
      <w:r w:rsidRPr="00933B55">
        <w:t>alfa</w:t>
      </w:r>
      <w:proofErr w:type="spellEnd"/>
      <w:r w:rsidRPr="00933B55">
        <w:t xml:space="preserve"> and ribavir</w:t>
      </w:r>
      <w:r>
        <w:t>in alone.</w:t>
      </w:r>
    </w:p>
    <w:p w:rsidR="00B916DF" w:rsidRDefault="00B916DF" w:rsidP="00B916DF"/>
    <w:p w:rsidR="00B916DF" w:rsidRPr="009431DB" w:rsidRDefault="00B916DF" w:rsidP="00B916DF">
      <w:r w:rsidRPr="009431DB">
        <w:t>SVR</w:t>
      </w:r>
      <w:r w:rsidRPr="00EE78E9">
        <w:t>12</w:t>
      </w:r>
      <w:r w:rsidRPr="009431DB">
        <w:t xml:space="preserve"> rates were statistically significantly higher for the </w:t>
      </w:r>
      <w:r w:rsidR="00194D66">
        <w:t>OLYSIO</w:t>
      </w:r>
      <w:r w:rsidRPr="009431DB">
        <w:t xml:space="preserve"> treatment group compared to the placebo treatment group by sex, age, race, BMI, </w:t>
      </w:r>
      <w:r>
        <w:t>HCV g</w:t>
      </w:r>
      <w:r w:rsidRPr="009431DB">
        <w:t xml:space="preserve">enotype subtype, baseline </w:t>
      </w:r>
      <w:r>
        <w:t>HCV </w:t>
      </w:r>
      <w:r w:rsidRPr="009431DB">
        <w:t xml:space="preserve">RNA (less than or equal to 800000 IU/mL, greater than 800000 IU/mL), METAVIR fibrosis score, and </w:t>
      </w:r>
      <w:r w:rsidRPr="009431DB">
        <w:rPr>
          <w:i/>
        </w:rPr>
        <w:t>IL28B</w:t>
      </w:r>
      <w:r>
        <w:rPr>
          <w:i/>
        </w:rPr>
        <w:t> </w:t>
      </w:r>
      <w:r w:rsidRPr="009431DB">
        <w:t>genotype. Table </w:t>
      </w:r>
      <w:r>
        <w:t>4</w:t>
      </w:r>
      <w:r w:rsidRPr="009431DB">
        <w:t xml:space="preserve"> shows the SVR rates by METAVIR fibrosis score</w:t>
      </w:r>
      <w:r>
        <w:t xml:space="preserve"> and </w:t>
      </w:r>
      <w:r w:rsidRPr="003327DC">
        <w:rPr>
          <w:i/>
        </w:rPr>
        <w:t>IL28B</w:t>
      </w:r>
      <w:r>
        <w:rPr>
          <w:i/>
        </w:rPr>
        <w:t> </w:t>
      </w:r>
      <w:r>
        <w:t>genotype</w:t>
      </w:r>
      <w:r w:rsidRPr="009431DB">
        <w:t>.</w:t>
      </w:r>
    </w:p>
    <w:p w:rsidR="00031C15" w:rsidRDefault="00031C15" w:rsidP="00305B7A">
      <w:pPr>
        <w:rPr>
          <w:rFonts w:cs="Arial"/>
          <w:noProof/>
          <w:szCs w:val="22"/>
        </w:rPr>
      </w:pPr>
    </w:p>
    <w:tbl>
      <w:tblPr>
        <w:tblW w:w="9254" w:type="dxa"/>
        <w:tblInd w:w="144" w:type="dxa"/>
        <w:tblLayout w:type="fixed"/>
        <w:tblCellMar>
          <w:left w:w="42" w:type="dxa"/>
          <w:right w:w="42" w:type="dxa"/>
        </w:tblCellMar>
        <w:tblLook w:val="0000" w:firstRow="0" w:lastRow="0" w:firstColumn="0" w:lastColumn="0" w:noHBand="0" w:noVBand="0"/>
      </w:tblPr>
      <w:tblGrid>
        <w:gridCol w:w="2733"/>
        <w:gridCol w:w="3402"/>
        <w:gridCol w:w="3119"/>
      </w:tblGrid>
      <w:tr w:rsidR="00B916DF" w:rsidRPr="009431DB" w:rsidTr="00B916DF">
        <w:trPr>
          <w:cantSplit/>
        </w:trPr>
        <w:tc>
          <w:tcPr>
            <w:tcW w:w="9254" w:type="dxa"/>
            <w:gridSpan w:val="3"/>
            <w:tcBorders>
              <w:bottom w:val="single" w:sz="4" w:space="0" w:color="auto"/>
            </w:tcBorders>
            <w:shd w:val="clear" w:color="auto" w:fill="auto"/>
          </w:tcPr>
          <w:p w:rsidR="00B916DF" w:rsidRPr="009431DB" w:rsidRDefault="00B916DF" w:rsidP="005C2669">
            <w:pPr>
              <w:pStyle w:val="Caption"/>
              <w:rPr>
                <w:lang w:eastAsia="en-US"/>
              </w:rPr>
            </w:pPr>
            <w:r w:rsidRPr="009431DB">
              <w:rPr>
                <w:lang w:eastAsia="en-US"/>
              </w:rPr>
              <w:lastRenderedPageBreak/>
              <w:t>Table </w:t>
            </w:r>
            <w:r>
              <w:rPr>
                <w:lang w:eastAsia="en-US"/>
              </w:rPr>
              <w:t>4</w:t>
            </w:r>
            <w:r w:rsidRPr="009431DB">
              <w:rPr>
                <w:lang w:eastAsia="en-US"/>
              </w:rPr>
              <w:t>:</w:t>
            </w:r>
            <w:r w:rsidRPr="009431DB">
              <w:rPr>
                <w:lang w:eastAsia="en-US"/>
              </w:rPr>
              <w:tab/>
              <w:t>SVR</w:t>
            </w:r>
            <w:r w:rsidRPr="00EE78E9">
              <w:rPr>
                <w:lang w:eastAsia="en-US"/>
              </w:rPr>
              <w:t>12</w:t>
            </w:r>
            <w:r w:rsidRPr="009431DB">
              <w:rPr>
                <w:lang w:eastAsia="en-US"/>
              </w:rPr>
              <w:t xml:space="preserve"> Rates by METAVIR </w:t>
            </w:r>
            <w:r>
              <w:rPr>
                <w:lang w:eastAsia="en-US"/>
              </w:rPr>
              <w:t>F</w:t>
            </w:r>
            <w:r w:rsidRPr="009431DB">
              <w:rPr>
                <w:lang w:eastAsia="en-US"/>
              </w:rPr>
              <w:t xml:space="preserve">ibrosis </w:t>
            </w:r>
            <w:r>
              <w:rPr>
                <w:lang w:eastAsia="en-US"/>
              </w:rPr>
              <w:t>S</w:t>
            </w:r>
            <w:r w:rsidRPr="009431DB">
              <w:rPr>
                <w:lang w:eastAsia="en-US"/>
              </w:rPr>
              <w:t xml:space="preserve">core </w:t>
            </w:r>
            <w:r>
              <w:rPr>
                <w:lang w:eastAsia="en-US"/>
              </w:rPr>
              <w:t xml:space="preserve">and </w:t>
            </w:r>
            <w:r w:rsidRPr="001D188C">
              <w:rPr>
                <w:i/>
                <w:lang w:eastAsia="en-US"/>
              </w:rPr>
              <w:t>IL28B</w:t>
            </w:r>
            <w:r>
              <w:rPr>
                <w:i/>
                <w:lang w:eastAsia="en-US"/>
              </w:rPr>
              <w:t> </w:t>
            </w:r>
            <w:r>
              <w:rPr>
                <w:lang w:eastAsia="en-US"/>
              </w:rPr>
              <w:t xml:space="preserve">Genotype </w:t>
            </w:r>
            <w:r w:rsidRPr="009431DB">
              <w:rPr>
                <w:lang w:eastAsia="en-US"/>
              </w:rPr>
              <w:t>in Treatment</w:t>
            </w:r>
            <w:r w:rsidRPr="009431DB">
              <w:rPr>
                <w:lang w:eastAsia="en-US"/>
              </w:rPr>
              <w:noBreakHyphen/>
              <w:t xml:space="preserve">naïve Adult Patients with </w:t>
            </w:r>
            <w:r>
              <w:rPr>
                <w:lang w:eastAsia="en-US"/>
              </w:rPr>
              <w:t>HCV G</w:t>
            </w:r>
            <w:r w:rsidRPr="009431DB">
              <w:rPr>
                <w:lang w:eastAsia="en-US"/>
              </w:rPr>
              <w:t>enotype 1 Infection (Pooled Data Studies C208 and C216)</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3327DC" w:rsidRDefault="00B916DF" w:rsidP="00B916DF">
            <w:pPr>
              <w:pStyle w:val="TableText0"/>
              <w:rPr>
                <w:b/>
              </w:rPr>
            </w:pPr>
            <w:r w:rsidRPr="003327DC">
              <w:rPr>
                <w:b/>
              </w:rPr>
              <w:t>Subgroup</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194D66" w:rsidP="00B916DF">
            <w:pPr>
              <w:pStyle w:val="TableText0"/>
              <w:jc w:val="center"/>
              <w:rPr>
                <w:b/>
              </w:rPr>
            </w:pPr>
            <w:r>
              <w:rPr>
                <w:b/>
              </w:rPr>
              <w:t>OLYSIO</w:t>
            </w:r>
          </w:p>
          <w:p w:rsidR="00B916DF" w:rsidRPr="009431DB" w:rsidRDefault="00B916DF" w:rsidP="00B916DF">
            <w:pPr>
              <w:pStyle w:val="TableText0"/>
              <w:jc w:val="center"/>
            </w:pPr>
            <w:r w:rsidRPr="009431DB">
              <w:rPr>
                <w:b/>
              </w:rPr>
              <w:t>% (n/N)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rPr>
                <w:b/>
              </w:rPr>
            </w:pPr>
            <w:r w:rsidRPr="009431DB">
              <w:rPr>
                <w:b/>
              </w:rPr>
              <w:t>Placebo</w:t>
            </w:r>
          </w:p>
          <w:p w:rsidR="00B916DF" w:rsidRPr="009431DB" w:rsidRDefault="00B916DF" w:rsidP="00B916DF">
            <w:pPr>
              <w:pStyle w:val="TableText0"/>
              <w:jc w:val="center"/>
              <w:rPr>
                <w:b/>
              </w:rPr>
            </w:pPr>
            <w:r w:rsidRPr="009431DB">
              <w:rPr>
                <w:b/>
              </w:rPr>
              <w:t>% (n/N)</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pPr>
            <w:r w:rsidRPr="009431DB">
              <w:t>METAVIR fibrosis score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rsidRPr="009431DB">
              <w:t>F0</w:t>
            </w:r>
            <w:r w:rsidRPr="009431DB">
              <w:noBreakHyphen/>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84% (317/378)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55% (106/192)</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rsidRPr="009431DB">
              <w:t>F3</w:t>
            </w:r>
            <w:r w:rsidRPr="009431DB">
              <w:noBreakHyphen/>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68% (89/130)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36% (26/72)</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rsidRPr="009431DB">
              <w:t>F4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60% (29/48)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34% (11/32)</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pPr>
            <w:r w:rsidRPr="002C3569">
              <w:rPr>
                <w:i/>
              </w:rPr>
              <w:t>IL28B</w:t>
            </w:r>
            <w:r>
              <w:rPr>
                <w:i/>
              </w:rPr>
              <w:t> </w:t>
            </w:r>
            <w:r>
              <w:t>genotype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t>CC</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t>95</w:t>
            </w:r>
            <w:r w:rsidRPr="009431DB">
              <w:t>% (</w:t>
            </w:r>
            <w:r w:rsidRPr="001D188C">
              <w:t>144/152</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t>80</w:t>
            </w:r>
            <w:r w:rsidRPr="009431DB">
              <w:t>% (</w:t>
            </w:r>
            <w:r w:rsidRPr="001D188C">
              <w:t>63/79</w:t>
            </w:r>
            <w:r w:rsidRPr="009431DB">
              <w:t>)</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t>CT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7</w:t>
            </w:r>
            <w:r>
              <w:t>8</w:t>
            </w:r>
            <w:r w:rsidRPr="009431DB">
              <w:t>% (</w:t>
            </w:r>
            <w:r w:rsidRPr="001D188C">
              <w:t>228/292</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t>41</w:t>
            </w:r>
            <w:r w:rsidRPr="009431DB">
              <w:t>% (</w:t>
            </w:r>
            <w:r w:rsidRPr="001D188C">
              <w:t>61/147</w:t>
            </w:r>
            <w:r w:rsidRPr="009431DB">
              <w:t>)</w:t>
            </w:r>
          </w:p>
        </w:tc>
      </w:tr>
      <w:tr w:rsidR="00B916DF" w:rsidRPr="009431DB" w:rsidTr="00B916DF">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t>TT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t>61</w:t>
            </w:r>
            <w:r w:rsidRPr="009431DB">
              <w:t>% (</w:t>
            </w:r>
            <w:r w:rsidRPr="001D188C">
              <w:t>47/77</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t>21</w:t>
            </w:r>
            <w:r w:rsidRPr="009431DB">
              <w:t>% (</w:t>
            </w:r>
            <w:r w:rsidRPr="001D188C">
              <w:t>8/38</w:t>
            </w:r>
            <w:r w:rsidRPr="009431DB">
              <w:t>)</w:t>
            </w:r>
          </w:p>
        </w:tc>
      </w:tr>
      <w:tr w:rsidR="00B916DF" w:rsidRPr="009431DB" w:rsidTr="00B916DF">
        <w:trPr>
          <w:cantSplit/>
        </w:trPr>
        <w:tc>
          <w:tcPr>
            <w:tcW w:w="9254" w:type="dxa"/>
            <w:gridSpan w:val="3"/>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194D66" w:rsidP="00B916DF">
            <w:pPr>
              <w:pStyle w:val="TableFootnote"/>
              <w:ind w:left="0" w:firstLine="0"/>
            </w:pPr>
            <w:r>
              <w:t>OLYSIO</w:t>
            </w:r>
            <w:r w:rsidR="00B916DF" w:rsidRPr="009431DB">
              <w:t xml:space="preserve">: 150 mg </w:t>
            </w:r>
            <w:r>
              <w:t>OLYSIO</w:t>
            </w:r>
            <w:r w:rsidR="00B916DF" w:rsidRPr="009431DB">
              <w:t xml:space="preserve"> for 12 weeks with </w:t>
            </w:r>
            <w:proofErr w:type="spellStart"/>
            <w:r w:rsidR="00B916DF" w:rsidRPr="009431DB">
              <w:t>peginterferon</w:t>
            </w:r>
            <w:proofErr w:type="spellEnd"/>
            <w:r w:rsidR="00B916DF" w:rsidRPr="009431DB">
              <w:t xml:space="preserve"> alfa</w:t>
            </w:r>
            <w:r w:rsidR="00B916DF" w:rsidRPr="009431DB">
              <w:noBreakHyphen/>
              <w:t xml:space="preserve">2a or </w:t>
            </w:r>
            <w:r w:rsidR="00B916DF" w:rsidRPr="009431DB">
              <w:noBreakHyphen/>
              <w:t xml:space="preserve">2b and ribavirin for 24 or 48 weeks; Placebo: placebo for 12 weeks with </w:t>
            </w:r>
            <w:proofErr w:type="spellStart"/>
            <w:r w:rsidR="00B916DF" w:rsidRPr="009431DB">
              <w:t>peginterferon</w:t>
            </w:r>
            <w:proofErr w:type="spellEnd"/>
            <w:r w:rsidR="00B916DF" w:rsidRPr="009431DB">
              <w:t xml:space="preserve"> alfa</w:t>
            </w:r>
            <w:r w:rsidR="00B916DF" w:rsidRPr="009431DB">
              <w:noBreakHyphen/>
              <w:t xml:space="preserve">2a or </w:t>
            </w:r>
            <w:r w:rsidR="00B916DF" w:rsidRPr="009431DB">
              <w:noBreakHyphen/>
              <w:t>2b and ribavirin for 48 weeks.</w:t>
            </w:r>
            <w:r w:rsidR="00B916DF">
              <w:t xml:space="preserve"> </w:t>
            </w:r>
            <w:r w:rsidR="00B916DF" w:rsidRPr="00107370">
              <w:t xml:space="preserve">SVR12: sustained </w:t>
            </w:r>
            <w:proofErr w:type="spellStart"/>
            <w:r w:rsidR="00B916DF" w:rsidRPr="00107370">
              <w:t>virologic</w:t>
            </w:r>
            <w:proofErr w:type="spellEnd"/>
            <w:r w:rsidR="00B916DF" w:rsidRPr="00107370">
              <w:t xml:space="preserve"> response 12</w:t>
            </w:r>
            <w:r w:rsidR="00B916DF">
              <w:t> </w:t>
            </w:r>
            <w:r w:rsidR="00B916DF" w:rsidRPr="00107370">
              <w:t>weeks after planned EOT.</w:t>
            </w:r>
          </w:p>
        </w:tc>
      </w:tr>
    </w:tbl>
    <w:p w:rsidR="00B916DF" w:rsidRPr="009431DB" w:rsidRDefault="00B916DF" w:rsidP="00B916DF">
      <w:pPr>
        <w:pStyle w:val="BodyText120"/>
      </w:pPr>
    </w:p>
    <w:p w:rsidR="00B916DF" w:rsidRDefault="00B916DF" w:rsidP="00B916DF">
      <w:r w:rsidRPr="009431DB">
        <w:t>SVR</w:t>
      </w:r>
      <w:r>
        <w:t>12</w:t>
      </w:r>
      <w:r w:rsidRPr="009431DB">
        <w:t xml:space="preserve"> rates were statistically significantly higher for patients receiving </w:t>
      </w:r>
      <w:r w:rsidR="00194D66">
        <w:t>OLYSIO</w:t>
      </w:r>
      <w:r w:rsidRPr="009431DB">
        <w:t xml:space="preserve"> </w:t>
      </w:r>
      <w:r w:rsidRPr="00107370">
        <w:t xml:space="preserve">with </w:t>
      </w:r>
      <w:proofErr w:type="spellStart"/>
      <w:r w:rsidRPr="00107370">
        <w:t>peginterferon</w:t>
      </w:r>
      <w:proofErr w:type="spellEnd"/>
      <w:r w:rsidRPr="00107370">
        <w:t xml:space="preserve"> alfa</w:t>
      </w:r>
      <w:r w:rsidRPr="00107370">
        <w:noBreakHyphen/>
        <w:t xml:space="preserve">2a or </w:t>
      </w:r>
      <w:proofErr w:type="spellStart"/>
      <w:r w:rsidRPr="00107370">
        <w:t>peginterferon</w:t>
      </w:r>
      <w:proofErr w:type="spellEnd"/>
      <w:r w:rsidRPr="00107370">
        <w:t xml:space="preserve"> alfa</w:t>
      </w:r>
      <w:r w:rsidRPr="00107370">
        <w:noBreakHyphen/>
        <w:t>2b and ribavirin (</w:t>
      </w:r>
      <w:r>
        <w:t>88</w:t>
      </w:r>
      <w:r w:rsidRPr="00107370">
        <w:t>% and 78%,</w:t>
      </w:r>
      <w:r>
        <w:t xml:space="preserve"> respectively) </w:t>
      </w:r>
      <w:r w:rsidRPr="009431DB">
        <w:t xml:space="preserve">compared to patients receiving placebo with </w:t>
      </w:r>
      <w:proofErr w:type="spellStart"/>
      <w:r w:rsidRPr="009431DB">
        <w:t>peginterferon</w:t>
      </w:r>
      <w:proofErr w:type="spellEnd"/>
      <w:r w:rsidRPr="009431DB">
        <w:t xml:space="preserve"> alfa</w:t>
      </w:r>
      <w:r w:rsidRPr="009431DB">
        <w:noBreakHyphen/>
        <w:t xml:space="preserve">2a or </w:t>
      </w:r>
      <w:proofErr w:type="spellStart"/>
      <w:r w:rsidRPr="009431DB">
        <w:t>peginterferon</w:t>
      </w:r>
      <w:proofErr w:type="spellEnd"/>
      <w:r w:rsidRPr="009431DB">
        <w:t xml:space="preserve"> alfa</w:t>
      </w:r>
      <w:r w:rsidRPr="009431DB">
        <w:noBreakHyphen/>
        <w:t>2b and ribavirin</w:t>
      </w:r>
      <w:r>
        <w:t xml:space="preserve"> (62</w:t>
      </w:r>
      <w:r w:rsidRPr="002821C0">
        <w:t xml:space="preserve">% and </w:t>
      </w:r>
      <w:r>
        <w:t>42</w:t>
      </w:r>
      <w:r w:rsidRPr="002821C0">
        <w:t>%</w:t>
      </w:r>
      <w:r>
        <w:t>, respectively) (Study C216)</w:t>
      </w:r>
      <w:r w:rsidRPr="009431DB">
        <w:t>.</w:t>
      </w:r>
    </w:p>
    <w:p w:rsidR="00031C15" w:rsidRDefault="00031C15" w:rsidP="00305B7A">
      <w:pPr>
        <w:rPr>
          <w:rFonts w:cs="Arial"/>
          <w:noProof/>
          <w:szCs w:val="22"/>
        </w:rPr>
      </w:pPr>
    </w:p>
    <w:p w:rsidR="00B916DF" w:rsidRPr="009431DB" w:rsidRDefault="00B916DF" w:rsidP="00B916DF">
      <w:pPr>
        <w:pStyle w:val="Heading3"/>
        <w:rPr>
          <w:rFonts w:cs="Arial"/>
          <w:i/>
        </w:rPr>
      </w:pPr>
      <w:r w:rsidRPr="009431DB">
        <w:t xml:space="preserve">Efficacy in adults with </w:t>
      </w:r>
      <w:r>
        <w:t>HCV g</w:t>
      </w:r>
      <w:r w:rsidRPr="009431DB">
        <w:t>enotype 1 infection who failed prior therapy</w:t>
      </w:r>
    </w:p>
    <w:p w:rsidR="00B916DF" w:rsidRDefault="00B916DF" w:rsidP="00B916DF">
      <w:pPr>
        <w:rPr>
          <w:szCs w:val="22"/>
        </w:rPr>
      </w:pPr>
      <w:r w:rsidRPr="009431DB">
        <w:t>Study HPC3007 (PROMISE) was a randomized, double</w:t>
      </w:r>
      <w:r w:rsidRPr="009431DB">
        <w:noBreakHyphen/>
        <w:t>blind, placebo</w:t>
      </w:r>
      <w:r w:rsidRPr="009431DB">
        <w:noBreakHyphen/>
        <w:t>controlled, 2</w:t>
      </w:r>
      <w:r w:rsidRPr="009431DB">
        <w:noBreakHyphen/>
        <w:t xml:space="preserve">arm, multicenter, Phase 3 study in patients with </w:t>
      </w:r>
      <w:r>
        <w:t>HCV g</w:t>
      </w:r>
      <w:r w:rsidRPr="009431DB">
        <w:t xml:space="preserve">enotype 1 infection who </w:t>
      </w:r>
      <w:r w:rsidRPr="009431DB">
        <w:rPr>
          <w:b/>
        </w:rPr>
        <w:t>relapsed after prior interferon</w:t>
      </w:r>
      <w:r w:rsidRPr="009431DB">
        <w:rPr>
          <w:b/>
        </w:rPr>
        <w:noBreakHyphen/>
        <w:t>based therapy</w:t>
      </w:r>
      <w:r w:rsidRPr="009431DB">
        <w:t xml:space="preserve">. </w:t>
      </w:r>
      <w:r w:rsidRPr="009431DB">
        <w:rPr>
          <w:szCs w:val="22"/>
        </w:rPr>
        <w:t xml:space="preserve">Patients received 12 weeks of once daily treatment with 150 mg </w:t>
      </w:r>
      <w:r w:rsidR="00194D66">
        <w:rPr>
          <w:szCs w:val="22"/>
        </w:rPr>
        <w:t>OLYSIO</w:t>
      </w:r>
      <w:r w:rsidRPr="009431DB">
        <w:rPr>
          <w:szCs w:val="22"/>
        </w:rPr>
        <w:t xml:space="preserve"> or placebo, plus </w:t>
      </w:r>
      <w:proofErr w:type="spellStart"/>
      <w:r w:rsidRPr="009431DB">
        <w:rPr>
          <w:szCs w:val="22"/>
        </w:rPr>
        <w:t>peginterferon</w:t>
      </w:r>
      <w:proofErr w:type="spellEnd"/>
      <w:r w:rsidRPr="009431DB">
        <w:rPr>
          <w:szCs w:val="22"/>
        </w:rPr>
        <w:t xml:space="preserve"> alfa</w:t>
      </w:r>
      <w:r w:rsidRPr="009431DB">
        <w:rPr>
          <w:szCs w:val="22"/>
        </w:rPr>
        <w:noBreakHyphen/>
        <w:t xml:space="preserve">2a and ribavirin, followed by 12 or 36 weeks of therapy with </w:t>
      </w:r>
      <w:proofErr w:type="spellStart"/>
      <w:r w:rsidRPr="009431DB">
        <w:rPr>
          <w:szCs w:val="22"/>
        </w:rPr>
        <w:t>peginterferon</w:t>
      </w:r>
      <w:proofErr w:type="spellEnd"/>
      <w:r w:rsidRPr="009431DB">
        <w:rPr>
          <w:szCs w:val="22"/>
        </w:rPr>
        <w:t xml:space="preserve"> alfa</w:t>
      </w:r>
      <w:r w:rsidRPr="009431DB">
        <w:rPr>
          <w:szCs w:val="22"/>
        </w:rPr>
        <w:noBreakHyphen/>
        <w:t>2a and ribavirin in accordance with the protocol</w:t>
      </w:r>
      <w:r w:rsidRPr="009431DB">
        <w:rPr>
          <w:szCs w:val="22"/>
        </w:rPr>
        <w:noBreakHyphen/>
        <w:t xml:space="preserve">defined RGT criteria. Patients in the control group </w:t>
      </w:r>
      <w:r>
        <w:rPr>
          <w:szCs w:val="22"/>
        </w:rPr>
        <w:t>received 48 </w:t>
      </w:r>
      <w:r w:rsidRPr="009431DB">
        <w:rPr>
          <w:szCs w:val="22"/>
        </w:rPr>
        <w:t xml:space="preserve">weeks of </w:t>
      </w:r>
      <w:proofErr w:type="spellStart"/>
      <w:r w:rsidRPr="009431DB">
        <w:rPr>
          <w:szCs w:val="22"/>
        </w:rPr>
        <w:t>peginterferon</w:t>
      </w:r>
      <w:proofErr w:type="spellEnd"/>
      <w:r w:rsidRPr="009431DB">
        <w:rPr>
          <w:szCs w:val="22"/>
        </w:rPr>
        <w:t xml:space="preserve"> alfa</w:t>
      </w:r>
      <w:r w:rsidRPr="009431DB">
        <w:rPr>
          <w:szCs w:val="22"/>
        </w:rPr>
        <w:noBreakHyphen/>
        <w:t>2a and ribavirin.</w:t>
      </w:r>
    </w:p>
    <w:p w:rsidR="00B916DF" w:rsidRPr="009431DB" w:rsidRDefault="00B916DF" w:rsidP="00B916DF">
      <w:pPr>
        <w:rPr>
          <w:szCs w:val="22"/>
        </w:rPr>
      </w:pPr>
    </w:p>
    <w:p w:rsidR="00B916DF" w:rsidRDefault="00B916DF" w:rsidP="00B916DF">
      <w:r w:rsidRPr="009431DB">
        <w:t>The 393 enrolled patients in Study HPC3007 had a median age of 5</w:t>
      </w:r>
      <w:r>
        <w:t>2 </w:t>
      </w:r>
      <w:r w:rsidRPr="009431DB">
        <w:t xml:space="preserve">years (range: 20 to 71 years); 66% were male; </w:t>
      </w:r>
      <w:r w:rsidR="00837C48">
        <w:t xml:space="preserve">94% were Caucasian, 3% </w:t>
      </w:r>
      <w:r w:rsidRPr="00594CF4">
        <w:t>African American</w:t>
      </w:r>
      <w:r w:rsidRPr="009431DB">
        <w:t xml:space="preserve">, 2% Asian, and 7% Hispanic; </w:t>
      </w:r>
      <w:r>
        <w:t>26</w:t>
      </w:r>
      <w:r w:rsidRPr="009431DB">
        <w:t>% had a BMI ≥ 30 kg/m</w:t>
      </w:r>
      <w:r w:rsidRPr="009431DB">
        <w:rPr>
          <w:vertAlign w:val="superscript"/>
        </w:rPr>
        <w:t>2</w:t>
      </w:r>
      <w:r w:rsidRPr="009431DB">
        <w:t xml:space="preserve">; 84% had </w:t>
      </w:r>
      <w:r>
        <w:t>HCV </w:t>
      </w:r>
      <w:r w:rsidRPr="009431DB">
        <w:t xml:space="preserve">RNA levels &gt; 800000 IU/mL; </w:t>
      </w:r>
      <w:r>
        <w:t>69</w:t>
      </w:r>
      <w:r w:rsidRPr="009431DB">
        <w:t>% had METAVIR fibrosis score F0</w:t>
      </w:r>
      <w:r>
        <w:t>,</w:t>
      </w:r>
      <w:r w:rsidRPr="009431DB">
        <w:t xml:space="preserve"> F1</w:t>
      </w:r>
      <w:r w:rsidRPr="00727BBA">
        <w:t xml:space="preserve"> </w:t>
      </w:r>
      <w:r w:rsidRPr="009431DB">
        <w:t>or</w:t>
      </w:r>
      <w:r>
        <w:t xml:space="preserve"> F2</w:t>
      </w:r>
      <w:r w:rsidRPr="009431DB">
        <w:t xml:space="preserve">, 15% METAVIR fibrosis score F3, and 15% METAVIR fibrosis score F4 (cirrhosis); 42% had </w:t>
      </w:r>
      <w:r>
        <w:t>HCV g</w:t>
      </w:r>
      <w:r w:rsidRPr="009431DB">
        <w:t xml:space="preserve">enotype 1a, and 58% </w:t>
      </w:r>
      <w:r>
        <w:t>HCV g</w:t>
      </w:r>
      <w:r w:rsidRPr="009431DB">
        <w:t xml:space="preserve">enotype 1b; 24% had </w:t>
      </w:r>
      <w:r w:rsidRPr="009431DB">
        <w:rPr>
          <w:i/>
        </w:rPr>
        <w:t>IL28B</w:t>
      </w:r>
      <w:r>
        <w:rPr>
          <w:i/>
        </w:rPr>
        <w:t> </w:t>
      </w:r>
      <w:r w:rsidRPr="009431DB">
        <w:t xml:space="preserve">CC genotype, 64% </w:t>
      </w:r>
      <w:r w:rsidRPr="009431DB">
        <w:rPr>
          <w:i/>
        </w:rPr>
        <w:t>IL28B</w:t>
      </w:r>
      <w:r>
        <w:rPr>
          <w:i/>
        </w:rPr>
        <w:t> </w:t>
      </w:r>
      <w:r w:rsidRPr="009431DB">
        <w:t xml:space="preserve">CT genotype, and 12% </w:t>
      </w:r>
      <w:r w:rsidRPr="009431DB">
        <w:rPr>
          <w:i/>
        </w:rPr>
        <w:t>IL28B</w:t>
      </w:r>
      <w:r>
        <w:rPr>
          <w:i/>
        </w:rPr>
        <w:t> </w:t>
      </w:r>
      <w:r w:rsidRPr="009431DB">
        <w:t>TT genotype. The prior interferon</w:t>
      </w:r>
      <w:r w:rsidRPr="009431DB">
        <w:noBreakHyphen/>
        <w:t xml:space="preserve">based </w:t>
      </w:r>
      <w:r>
        <w:t>HCV </w:t>
      </w:r>
      <w:r w:rsidRPr="009431DB">
        <w:t xml:space="preserve">therapy was </w:t>
      </w:r>
      <w:proofErr w:type="spellStart"/>
      <w:r w:rsidRPr="009431DB">
        <w:rPr>
          <w:szCs w:val="22"/>
        </w:rPr>
        <w:t>peginterferon</w:t>
      </w:r>
      <w:proofErr w:type="spellEnd"/>
      <w:r w:rsidRPr="009431DB">
        <w:rPr>
          <w:szCs w:val="22"/>
        </w:rPr>
        <w:t xml:space="preserve"> alfa</w:t>
      </w:r>
      <w:r w:rsidRPr="009431DB">
        <w:rPr>
          <w:szCs w:val="22"/>
        </w:rPr>
        <w:noBreakHyphen/>
        <w:t>2a</w:t>
      </w:r>
      <w:r w:rsidRPr="009431DB">
        <w:t xml:space="preserve">/ribavirin (68%) or </w:t>
      </w:r>
      <w:proofErr w:type="spellStart"/>
      <w:r w:rsidRPr="009431DB">
        <w:rPr>
          <w:szCs w:val="22"/>
        </w:rPr>
        <w:t>peginterferon</w:t>
      </w:r>
      <w:proofErr w:type="spellEnd"/>
      <w:r w:rsidRPr="009431DB">
        <w:rPr>
          <w:szCs w:val="22"/>
        </w:rPr>
        <w:t xml:space="preserve"> alfa</w:t>
      </w:r>
      <w:r w:rsidRPr="009431DB">
        <w:rPr>
          <w:szCs w:val="22"/>
        </w:rPr>
        <w:noBreakHyphen/>
        <w:t>2b</w:t>
      </w:r>
      <w:r w:rsidRPr="009431DB">
        <w:t>/ribavirin (27%).</w:t>
      </w:r>
    </w:p>
    <w:p w:rsidR="00B916DF" w:rsidRPr="009431DB" w:rsidRDefault="00B916DF" w:rsidP="00B916DF">
      <w:pPr>
        <w:rPr>
          <w:szCs w:val="22"/>
        </w:rPr>
      </w:pPr>
    </w:p>
    <w:p w:rsidR="00B916DF" w:rsidRPr="009431DB" w:rsidRDefault="00B916DF" w:rsidP="00B916DF">
      <w:r w:rsidRPr="009431DB">
        <w:t xml:space="preserve">The proportion of patients who discontinued all treatment due to an adverse event was 0.4% in the </w:t>
      </w:r>
      <w:r w:rsidR="00194D66">
        <w:t>OLYSIO</w:t>
      </w:r>
      <w:r w:rsidRPr="009431DB">
        <w:t xml:space="preserve"> with </w:t>
      </w:r>
      <w:proofErr w:type="spellStart"/>
      <w:r w:rsidRPr="009431DB">
        <w:t>peginterferon</w:t>
      </w:r>
      <w:proofErr w:type="spellEnd"/>
      <w:r w:rsidRPr="009431DB">
        <w:t xml:space="preserve"> </w:t>
      </w:r>
      <w:proofErr w:type="spellStart"/>
      <w:r>
        <w:t>alfa</w:t>
      </w:r>
      <w:proofErr w:type="spellEnd"/>
      <w:r>
        <w:t xml:space="preserve"> </w:t>
      </w:r>
      <w:r w:rsidRPr="009431DB">
        <w:t xml:space="preserve">and ribavirin treatment group compared to none in the placebo with </w:t>
      </w:r>
      <w:proofErr w:type="spellStart"/>
      <w:r w:rsidRPr="009431DB">
        <w:t>peginterferon</w:t>
      </w:r>
      <w:proofErr w:type="spellEnd"/>
      <w:r w:rsidRPr="009431DB">
        <w:t xml:space="preserve"> </w:t>
      </w:r>
      <w:proofErr w:type="spellStart"/>
      <w:r>
        <w:t>alfa</w:t>
      </w:r>
      <w:proofErr w:type="spellEnd"/>
      <w:r>
        <w:t xml:space="preserve"> </w:t>
      </w:r>
      <w:r w:rsidRPr="009431DB">
        <w:t xml:space="preserve">and ribavirin treatment group. </w:t>
      </w:r>
      <w:r>
        <w:t>None of the patients d</w:t>
      </w:r>
      <w:r w:rsidRPr="009431DB">
        <w:t>iscontinu</w:t>
      </w:r>
      <w:r>
        <w:t>ed</w:t>
      </w:r>
      <w:r w:rsidRPr="009431DB">
        <w:t xml:space="preserve"> </w:t>
      </w:r>
      <w:r w:rsidR="00194D66">
        <w:t>OLYSIO</w:t>
      </w:r>
      <w:r w:rsidRPr="009431DB">
        <w:t xml:space="preserve"> </w:t>
      </w:r>
      <w:r>
        <w:t xml:space="preserve">alone </w:t>
      </w:r>
      <w:r w:rsidRPr="009431DB">
        <w:t>due to an adverse event.</w:t>
      </w:r>
      <w:r>
        <w:t xml:space="preserve"> </w:t>
      </w:r>
      <w:r w:rsidRPr="009431DB">
        <w:t>Table </w:t>
      </w:r>
      <w:r>
        <w:t>5</w:t>
      </w:r>
      <w:r w:rsidRPr="009431DB">
        <w:t xml:space="preserve"> shows the response rates for the </w:t>
      </w:r>
      <w:r w:rsidR="00194D66">
        <w:t>OLYSIO</w:t>
      </w:r>
      <w:r w:rsidRPr="009431DB">
        <w:t xml:space="preserve"> and placebo treatment groups in adult patients with </w:t>
      </w:r>
      <w:r>
        <w:t>HCV g</w:t>
      </w:r>
      <w:r w:rsidRPr="009431DB">
        <w:t>enotype 1 infection who relapsed after prior interferon</w:t>
      </w:r>
      <w:r w:rsidRPr="009431DB">
        <w:noBreakHyphen/>
        <w:t>based therapy.</w:t>
      </w:r>
    </w:p>
    <w:p w:rsidR="00031C15" w:rsidRDefault="00031C15" w:rsidP="00305B7A">
      <w:pPr>
        <w:rPr>
          <w:rFonts w:cs="Arial"/>
          <w:noProof/>
          <w:szCs w:val="22"/>
        </w:rPr>
      </w:pPr>
    </w:p>
    <w:tbl>
      <w:tblPr>
        <w:tblW w:w="9254" w:type="dxa"/>
        <w:tblInd w:w="144" w:type="dxa"/>
        <w:tblLayout w:type="fixed"/>
        <w:tblCellMar>
          <w:left w:w="42" w:type="dxa"/>
          <w:right w:w="42" w:type="dxa"/>
        </w:tblCellMar>
        <w:tblLook w:val="0000" w:firstRow="0" w:lastRow="0" w:firstColumn="0" w:lastColumn="0" w:noHBand="0" w:noVBand="0"/>
      </w:tblPr>
      <w:tblGrid>
        <w:gridCol w:w="3584"/>
        <w:gridCol w:w="2693"/>
        <w:gridCol w:w="2977"/>
      </w:tblGrid>
      <w:tr w:rsidR="00B916DF" w:rsidRPr="009431DB" w:rsidTr="001C6A82">
        <w:trPr>
          <w:cantSplit/>
          <w:tblHeader/>
        </w:trPr>
        <w:tc>
          <w:tcPr>
            <w:tcW w:w="9254" w:type="dxa"/>
            <w:gridSpan w:val="3"/>
            <w:tcBorders>
              <w:bottom w:val="single" w:sz="4" w:space="0" w:color="auto"/>
            </w:tcBorders>
          </w:tcPr>
          <w:p w:rsidR="00B916DF" w:rsidRPr="009431DB" w:rsidRDefault="00B916DF" w:rsidP="00DC26F7">
            <w:pPr>
              <w:pStyle w:val="Caption"/>
              <w:rPr>
                <w:lang w:eastAsia="en-US"/>
              </w:rPr>
            </w:pPr>
            <w:r w:rsidRPr="009431DB">
              <w:rPr>
                <w:lang w:eastAsia="en-US"/>
              </w:rPr>
              <w:t>Table </w:t>
            </w:r>
            <w:r>
              <w:rPr>
                <w:lang w:eastAsia="en-US"/>
              </w:rPr>
              <w:t>5</w:t>
            </w:r>
            <w:r w:rsidRPr="009431DB">
              <w:rPr>
                <w:lang w:eastAsia="en-US"/>
              </w:rPr>
              <w:t>:</w:t>
            </w:r>
            <w:r w:rsidRPr="009431DB">
              <w:rPr>
                <w:lang w:eastAsia="en-US"/>
              </w:rPr>
              <w:tab/>
              <w:t xml:space="preserve">Treatment Outcome in Adult Patients with </w:t>
            </w:r>
            <w:r>
              <w:rPr>
                <w:lang w:eastAsia="en-US"/>
              </w:rPr>
              <w:t>HCV G</w:t>
            </w:r>
            <w:r w:rsidRPr="009431DB">
              <w:rPr>
                <w:lang w:eastAsia="en-US"/>
              </w:rPr>
              <w:t>enotype 1 Infection Who Relapsed After Prior Interferon</w:t>
            </w:r>
            <w:r w:rsidRPr="009431DB">
              <w:rPr>
                <w:lang w:eastAsia="en-US"/>
              </w:rPr>
              <w:noBreakHyphen/>
              <w:t>Based Therapy (Study HPC3007; Intent</w:t>
            </w:r>
            <w:r w:rsidRPr="009431DB">
              <w:rPr>
                <w:lang w:eastAsia="en-US"/>
              </w:rPr>
              <w:noBreakHyphen/>
              <w:t>to</w:t>
            </w:r>
            <w:r w:rsidRPr="009431DB">
              <w:rPr>
                <w:lang w:eastAsia="en-US"/>
              </w:rPr>
              <w:noBreakHyphen/>
              <w:t>Treat Analysis)</w:t>
            </w:r>
          </w:p>
        </w:tc>
      </w:tr>
      <w:tr w:rsidR="00B916DF" w:rsidRPr="009431DB" w:rsidTr="001C6A82">
        <w:trPr>
          <w:cantSplit/>
          <w:tblHeader/>
        </w:trPr>
        <w:tc>
          <w:tcPr>
            <w:tcW w:w="3584" w:type="dxa"/>
            <w:tcBorders>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rPr>
                <w:b/>
              </w:rPr>
            </w:pPr>
            <w:r w:rsidRPr="009431DB">
              <w:rPr>
                <w:b/>
              </w:rPr>
              <w:t>Treatment Outcome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194D66" w:rsidP="00B916DF">
            <w:pPr>
              <w:pStyle w:val="TableText0"/>
              <w:jc w:val="center"/>
              <w:rPr>
                <w:b/>
              </w:rPr>
            </w:pPr>
            <w:r>
              <w:rPr>
                <w:b/>
              </w:rPr>
              <w:t>OLYSIO</w:t>
            </w:r>
          </w:p>
          <w:p w:rsidR="00B916DF" w:rsidRPr="009431DB" w:rsidRDefault="00B916DF" w:rsidP="00B916DF">
            <w:pPr>
              <w:pStyle w:val="TableText0"/>
              <w:jc w:val="center"/>
              <w:rPr>
                <w:b/>
              </w:rPr>
            </w:pPr>
            <w:r w:rsidRPr="009431DB">
              <w:rPr>
                <w:b/>
              </w:rPr>
              <w:t>N=260</w:t>
            </w:r>
          </w:p>
          <w:p w:rsidR="00B916DF" w:rsidRPr="009431DB" w:rsidRDefault="00B916DF" w:rsidP="00B916DF">
            <w:pPr>
              <w:pStyle w:val="TableText0"/>
              <w:jc w:val="center"/>
              <w:rPr>
                <w:b/>
              </w:rPr>
            </w:pPr>
            <w:r w:rsidRPr="009431DB">
              <w:rPr>
                <w:b/>
              </w:rPr>
              <w:t>% (n/N)</w:t>
            </w:r>
          </w:p>
        </w:tc>
        <w:tc>
          <w:tcPr>
            <w:tcW w:w="2977" w:type="dxa"/>
            <w:tcBorders>
              <w:top w:val="single" w:sz="4" w:space="0" w:color="auto"/>
              <w:left w:val="single" w:sz="4" w:space="0" w:color="auto"/>
              <w:bottom w:val="single" w:sz="4" w:space="0" w:color="auto"/>
              <w:right w:val="single" w:sz="4" w:space="0" w:color="auto"/>
            </w:tcBorders>
          </w:tcPr>
          <w:p w:rsidR="00B916DF" w:rsidRPr="009431DB" w:rsidRDefault="00B916DF" w:rsidP="00B916DF">
            <w:pPr>
              <w:pStyle w:val="TableText0"/>
              <w:jc w:val="center"/>
              <w:rPr>
                <w:b/>
              </w:rPr>
            </w:pPr>
            <w:r w:rsidRPr="009431DB">
              <w:rPr>
                <w:b/>
              </w:rPr>
              <w:t>Placebo</w:t>
            </w:r>
          </w:p>
          <w:p w:rsidR="00B916DF" w:rsidRPr="009431DB" w:rsidRDefault="00B916DF" w:rsidP="00B916DF">
            <w:pPr>
              <w:pStyle w:val="TableText0"/>
              <w:jc w:val="center"/>
              <w:rPr>
                <w:b/>
              </w:rPr>
            </w:pPr>
            <w:r w:rsidRPr="009431DB">
              <w:rPr>
                <w:b/>
              </w:rPr>
              <w:t>N=133</w:t>
            </w:r>
          </w:p>
          <w:p w:rsidR="00B916DF" w:rsidRPr="009431DB" w:rsidRDefault="00B916DF" w:rsidP="00B916DF">
            <w:pPr>
              <w:pStyle w:val="TableText0"/>
              <w:jc w:val="center"/>
              <w:rPr>
                <w:b/>
              </w:rPr>
            </w:pPr>
            <w:r w:rsidRPr="009431DB">
              <w:rPr>
                <w:b/>
              </w:rPr>
              <w:t>% (n/N)</w:t>
            </w:r>
          </w:p>
        </w:tc>
      </w:tr>
      <w:tr w:rsidR="00B916DF" w:rsidRPr="009431DB" w:rsidTr="001C6A82">
        <w:trPr>
          <w:cantSplit/>
          <w:trHeight w:val="373"/>
        </w:trPr>
        <w:tc>
          <w:tcPr>
            <w:tcW w:w="3584"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rPr>
                <w:b/>
              </w:rPr>
            </w:pPr>
            <w:r w:rsidRPr="009431DB">
              <w:rPr>
                <w:b/>
              </w:rPr>
              <w:t>Overall SVR</w:t>
            </w:r>
            <w:r w:rsidRPr="00EE78E9">
              <w:rPr>
                <w:b/>
              </w:rPr>
              <w:t>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79% (206/260)</w:t>
            </w:r>
            <w:r w:rsidRPr="009431DB">
              <w:rPr>
                <w:noProof/>
                <w:vertAlign w:val="superscript"/>
              </w:rPr>
              <w:t>1</w:t>
            </w:r>
          </w:p>
        </w:tc>
        <w:tc>
          <w:tcPr>
            <w:tcW w:w="2977" w:type="dxa"/>
            <w:tcBorders>
              <w:top w:val="single" w:sz="4" w:space="0" w:color="auto"/>
              <w:left w:val="single" w:sz="4" w:space="0" w:color="auto"/>
              <w:bottom w:val="single" w:sz="4" w:space="0" w:color="auto"/>
              <w:right w:val="single" w:sz="4" w:space="0" w:color="auto"/>
            </w:tcBorders>
          </w:tcPr>
          <w:p w:rsidR="00B916DF" w:rsidRPr="009431DB" w:rsidRDefault="00B916DF" w:rsidP="00B916DF">
            <w:pPr>
              <w:pStyle w:val="TableText0"/>
              <w:jc w:val="center"/>
            </w:pPr>
            <w:r w:rsidRPr="009431DB">
              <w:t>37% (49/133)</w:t>
            </w:r>
          </w:p>
        </w:tc>
      </w:tr>
      <w:tr w:rsidR="00B916DF" w:rsidRPr="009431DB" w:rsidTr="001C6A82">
        <w:trPr>
          <w:cantSplit/>
          <w:trHeight w:val="387"/>
        </w:trPr>
        <w:tc>
          <w:tcPr>
            <w:tcW w:w="9254" w:type="dxa"/>
            <w:gridSpan w:val="3"/>
            <w:tcBorders>
              <w:top w:val="doub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rPr>
                <w:b/>
              </w:rPr>
            </w:pPr>
            <w:r w:rsidRPr="009431DB">
              <w:rPr>
                <w:b/>
              </w:rPr>
              <w:lastRenderedPageBreak/>
              <w:t>Outcome for patients without SVR</w:t>
            </w:r>
            <w:r>
              <w:rPr>
                <w:b/>
              </w:rPr>
              <w:t>12</w:t>
            </w:r>
          </w:p>
        </w:tc>
      </w:tr>
      <w:tr w:rsidR="00B916DF" w:rsidRPr="009431DB" w:rsidTr="00B916D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rsidRPr="009431DB">
              <w:t>On</w:t>
            </w:r>
            <w:r w:rsidRPr="009431DB">
              <w:noBreakHyphen/>
              <w:t>treatment failure</w:t>
            </w:r>
            <w:r>
              <w:rPr>
                <w:noProof/>
                <w:vertAlign w:val="superscript"/>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3% (8/260)</w:t>
            </w:r>
          </w:p>
        </w:tc>
        <w:tc>
          <w:tcPr>
            <w:tcW w:w="2977" w:type="dxa"/>
            <w:tcBorders>
              <w:top w:val="single" w:sz="4" w:space="0" w:color="auto"/>
              <w:left w:val="single" w:sz="4" w:space="0" w:color="auto"/>
              <w:bottom w:val="single" w:sz="4" w:space="0" w:color="auto"/>
              <w:right w:val="single" w:sz="4" w:space="0" w:color="auto"/>
            </w:tcBorders>
          </w:tcPr>
          <w:p w:rsidR="00B916DF" w:rsidRPr="009431DB" w:rsidRDefault="00B916DF" w:rsidP="00B916DF">
            <w:pPr>
              <w:pStyle w:val="TableText0"/>
              <w:jc w:val="center"/>
            </w:pPr>
            <w:r w:rsidRPr="009431DB">
              <w:t>27% (36/133)</w:t>
            </w:r>
          </w:p>
        </w:tc>
      </w:tr>
      <w:tr w:rsidR="00B916DF" w:rsidRPr="009431DB" w:rsidTr="00B916D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rsidRPr="009431DB">
              <w:t>Viral relapse</w:t>
            </w:r>
            <w:r>
              <w:rPr>
                <w:noProof/>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1</w:t>
            </w:r>
            <w:r>
              <w:t>9</w:t>
            </w:r>
            <w:r w:rsidRPr="009431DB">
              <w:t>% (46/249)</w:t>
            </w:r>
          </w:p>
        </w:tc>
        <w:tc>
          <w:tcPr>
            <w:tcW w:w="2977" w:type="dxa"/>
            <w:tcBorders>
              <w:top w:val="single" w:sz="4" w:space="0" w:color="auto"/>
              <w:left w:val="single" w:sz="4" w:space="0" w:color="auto"/>
              <w:bottom w:val="single" w:sz="4" w:space="0" w:color="auto"/>
              <w:right w:val="single" w:sz="4" w:space="0" w:color="auto"/>
            </w:tcBorders>
          </w:tcPr>
          <w:p w:rsidR="00B916DF" w:rsidRPr="009431DB" w:rsidRDefault="00B916DF" w:rsidP="00B916DF">
            <w:pPr>
              <w:pStyle w:val="TableText0"/>
              <w:jc w:val="center"/>
            </w:pPr>
            <w:r w:rsidRPr="009431DB">
              <w:t>48% (45/93)</w:t>
            </w:r>
          </w:p>
        </w:tc>
      </w:tr>
      <w:tr w:rsidR="00B916DF" w:rsidRPr="009431DB" w:rsidTr="00B916D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ind w:left="282"/>
            </w:pPr>
            <w:r w:rsidRPr="009431DB">
              <w:t>Missing SVR</w:t>
            </w:r>
            <w:r>
              <w:t>12</w:t>
            </w:r>
            <w:r>
              <w:rPr>
                <w:noProof/>
                <w:vertAlign w:val="superscript"/>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16DF" w:rsidRPr="009431DB" w:rsidRDefault="00B916DF" w:rsidP="00B916DF">
            <w:pPr>
              <w:pStyle w:val="TableText0"/>
              <w:jc w:val="center"/>
            </w:pPr>
            <w:r w:rsidRPr="009431DB">
              <w:t>2% (5/</w:t>
            </w:r>
            <w:r>
              <w:t>260</w:t>
            </w:r>
            <w:r w:rsidRPr="009431DB">
              <w:t>)</w:t>
            </w:r>
          </w:p>
        </w:tc>
        <w:tc>
          <w:tcPr>
            <w:tcW w:w="2977" w:type="dxa"/>
            <w:tcBorders>
              <w:top w:val="single" w:sz="4" w:space="0" w:color="auto"/>
              <w:left w:val="single" w:sz="4" w:space="0" w:color="auto"/>
              <w:bottom w:val="single" w:sz="4" w:space="0" w:color="auto"/>
              <w:right w:val="single" w:sz="4" w:space="0" w:color="auto"/>
            </w:tcBorders>
          </w:tcPr>
          <w:p w:rsidR="00B916DF" w:rsidRPr="009431DB" w:rsidRDefault="00B916DF" w:rsidP="00B916DF">
            <w:pPr>
              <w:pStyle w:val="TableText0"/>
              <w:jc w:val="center"/>
            </w:pPr>
            <w:r w:rsidRPr="009431DB">
              <w:t>4% (5/133)</w:t>
            </w:r>
          </w:p>
        </w:tc>
      </w:tr>
      <w:tr w:rsidR="00B916DF" w:rsidRPr="009431DB" w:rsidTr="00B916DF">
        <w:trPr>
          <w:cantSplit/>
        </w:trPr>
        <w:tc>
          <w:tcPr>
            <w:tcW w:w="9254" w:type="dxa"/>
            <w:gridSpan w:val="3"/>
            <w:tcBorders>
              <w:top w:val="single" w:sz="4" w:space="0" w:color="auto"/>
              <w:left w:val="single" w:sz="4" w:space="0" w:color="auto"/>
              <w:bottom w:val="single" w:sz="4" w:space="0" w:color="auto"/>
              <w:right w:val="single" w:sz="4" w:space="0" w:color="auto"/>
            </w:tcBorders>
          </w:tcPr>
          <w:p w:rsidR="00B916DF" w:rsidRPr="009431DB" w:rsidRDefault="00194D66" w:rsidP="00B916DF">
            <w:pPr>
              <w:pStyle w:val="TableFootnote"/>
              <w:ind w:left="0" w:firstLine="0"/>
            </w:pPr>
            <w:r>
              <w:t>OLYSIO</w:t>
            </w:r>
            <w:r w:rsidR="00B916DF" w:rsidRPr="009431DB">
              <w:t xml:space="preserve">: 150 mg </w:t>
            </w:r>
            <w:r>
              <w:t>OLYSIO</w:t>
            </w:r>
            <w:r w:rsidR="00B916DF" w:rsidRPr="009431DB">
              <w:t xml:space="preserve"> for 12 weeks with </w:t>
            </w:r>
            <w:proofErr w:type="spellStart"/>
            <w:r w:rsidR="00B916DF" w:rsidRPr="009431DB">
              <w:t>peginterferon</w:t>
            </w:r>
            <w:proofErr w:type="spellEnd"/>
            <w:r w:rsidR="00B916DF" w:rsidRPr="009431DB">
              <w:t xml:space="preserve"> alfa</w:t>
            </w:r>
            <w:r w:rsidR="00B916DF" w:rsidRPr="009431DB">
              <w:noBreakHyphen/>
              <w:t xml:space="preserve">2a and ribavirin for 24 or 48 weeks; Placebo: placebo for 12 weeks with </w:t>
            </w:r>
            <w:proofErr w:type="spellStart"/>
            <w:r w:rsidR="00B916DF" w:rsidRPr="009431DB">
              <w:t>peginterferon</w:t>
            </w:r>
            <w:proofErr w:type="spellEnd"/>
            <w:r w:rsidR="00B916DF" w:rsidRPr="009431DB">
              <w:t xml:space="preserve"> alfa</w:t>
            </w:r>
            <w:r w:rsidR="00B916DF" w:rsidRPr="009431DB">
              <w:noBreakHyphen/>
              <w:t xml:space="preserve">2a and ribavirin for 48 weeks. </w:t>
            </w:r>
            <w:r w:rsidR="00B916DF" w:rsidRPr="00107370">
              <w:t xml:space="preserve">SVR12: sustained </w:t>
            </w:r>
            <w:proofErr w:type="spellStart"/>
            <w:r w:rsidR="00B916DF" w:rsidRPr="00107370">
              <w:t>virologic</w:t>
            </w:r>
            <w:proofErr w:type="spellEnd"/>
            <w:r w:rsidR="00B916DF" w:rsidRPr="00107370">
              <w:t xml:space="preserve"> response 12</w:t>
            </w:r>
            <w:r w:rsidR="00B916DF">
              <w:t> </w:t>
            </w:r>
            <w:r w:rsidR="00B916DF" w:rsidRPr="00107370">
              <w:t>weeks after planned EOT.</w:t>
            </w:r>
          </w:p>
          <w:p w:rsidR="00B916DF" w:rsidRPr="009431DB" w:rsidRDefault="00B916DF" w:rsidP="00B916DF">
            <w:pPr>
              <w:pStyle w:val="TableFootnote"/>
              <w:ind w:left="284" w:hanging="284"/>
            </w:pPr>
            <w:r w:rsidRPr="001D188C">
              <w:rPr>
                <w:noProof/>
                <w:vertAlign w:val="superscript"/>
              </w:rPr>
              <w:t>1</w:t>
            </w:r>
            <w:r w:rsidRPr="009431DB">
              <w:tab/>
              <w:t>p &lt; 0.001</w:t>
            </w:r>
          </w:p>
          <w:p w:rsidR="00B916DF" w:rsidRPr="009431DB" w:rsidRDefault="00B916DF" w:rsidP="00B916DF">
            <w:pPr>
              <w:pStyle w:val="TableFootnote"/>
              <w:ind w:left="284" w:hanging="284"/>
            </w:pPr>
            <w:r w:rsidRPr="001D188C">
              <w:rPr>
                <w:noProof/>
                <w:vertAlign w:val="superscript"/>
              </w:rPr>
              <w:t>2</w:t>
            </w:r>
            <w:r w:rsidRPr="009431DB">
              <w:tab/>
              <w:t>On</w:t>
            </w:r>
            <w:r w:rsidRPr="009431DB">
              <w:noBreakHyphen/>
              <w:t xml:space="preserve">treatment failure was defined as the proportion of patients with </w:t>
            </w:r>
            <w:r>
              <w:t xml:space="preserve">confirmed </w:t>
            </w:r>
            <w:r w:rsidRPr="009431DB">
              <w:t xml:space="preserve">detectable </w:t>
            </w:r>
            <w:r>
              <w:t>HCV </w:t>
            </w:r>
            <w:r w:rsidRPr="009431DB">
              <w:t>RNA at EOT (including but not limited to patients who met the protocol</w:t>
            </w:r>
            <w:r w:rsidRPr="009431DB">
              <w:noBreakHyphen/>
              <w:t>specified treatment stopping rules and/or experienced viral breakthrough).</w:t>
            </w:r>
          </w:p>
          <w:p w:rsidR="00B916DF" w:rsidRDefault="00B916DF" w:rsidP="00B916DF">
            <w:pPr>
              <w:pStyle w:val="TableFootnote"/>
            </w:pPr>
            <w:r w:rsidRPr="001D188C">
              <w:rPr>
                <w:noProof/>
                <w:vertAlign w:val="superscript"/>
              </w:rPr>
              <w:t>3</w:t>
            </w:r>
            <w:r w:rsidRPr="009431DB">
              <w:tab/>
              <w:t>Viral relapse rates are calculated with a denominator of patients with undetectable</w:t>
            </w:r>
            <w:r>
              <w:t xml:space="preserve"> HCV </w:t>
            </w:r>
            <w:r w:rsidRPr="009431DB">
              <w:t>RNA at actual EOT and with at least one follow</w:t>
            </w:r>
            <w:r w:rsidRPr="009431DB">
              <w:noBreakHyphen/>
              <w:t xml:space="preserve">up </w:t>
            </w:r>
            <w:r>
              <w:t>HCV </w:t>
            </w:r>
            <w:r w:rsidRPr="009431DB">
              <w:t xml:space="preserve">RNA assessment. </w:t>
            </w:r>
            <w:r>
              <w:t>I</w:t>
            </w:r>
            <w:r w:rsidRPr="009431DB">
              <w:t xml:space="preserve">ncludes </w:t>
            </w:r>
            <w:r w:rsidRPr="00472560">
              <w:t>5</w:t>
            </w:r>
            <w:r w:rsidRPr="009431DB">
              <w:t> </w:t>
            </w:r>
            <w:r w:rsidR="00194D66">
              <w:t>OLYSIO</w:t>
            </w:r>
            <w:r w:rsidRPr="009431DB">
              <w:noBreakHyphen/>
            </w:r>
            <w:r w:rsidRPr="00107370">
              <w:t>treated</w:t>
            </w:r>
            <w:r>
              <w:t xml:space="preserve"> </w:t>
            </w:r>
            <w:r w:rsidRPr="009431DB">
              <w:t xml:space="preserve">patients who </w:t>
            </w:r>
            <w:r>
              <w:t>experienced relapse</w:t>
            </w:r>
            <w:r w:rsidRPr="00107370">
              <w:t xml:space="preserve"> </w:t>
            </w:r>
            <w:r>
              <w:t>after SVR12</w:t>
            </w:r>
            <w:r w:rsidRPr="009431DB">
              <w:t>.</w:t>
            </w:r>
          </w:p>
          <w:p w:rsidR="00B916DF" w:rsidRPr="009431DB" w:rsidRDefault="00B916DF" w:rsidP="00B916DF">
            <w:pPr>
              <w:pStyle w:val="TableFootnote"/>
              <w:ind w:left="284" w:hanging="284"/>
            </w:pPr>
            <w:r>
              <w:rPr>
                <w:noProof/>
                <w:vertAlign w:val="superscript"/>
              </w:rPr>
              <w:t>4</w:t>
            </w:r>
            <w:r w:rsidRPr="009431DB">
              <w:tab/>
            </w:r>
            <w:r w:rsidRPr="002D25BC">
              <w:t>Patients with missing data at the SVR assessment time point.</w:t>
            </w:r>
          </w:p>
        </w:tc>
      </w:tr>
    </w:tbl>
    <w:p w:rsidR="00B916DF" w:rsidRPr="009431DB" w:rsidRDefault="00B916DF" w:rsidP="00B916DF">
      <w:pPr>
        <w:pStyle w:val="BodyText120"/>
      </w:pPr>
    </w:p>
    <w:p w:rsidR="00C452B9" w:rsidRDefault="00C452B9" w:rsidP="00C452B9">
      <w:pPr>
        <w:rPr>
          <w:noProof/>
        </w:rPr>
      </w:pPr>
      <w:r>
        <w:t>Ninety</w:t>
      </w:r>
      <w:r>
        <w:noBreakHyphen/>
        <w:t>three percent (n=</w:t>
      </w:r>
      <w:r w:rsidRPr="009322AB">
        <w:t>241/260</w:t>
      </w:r>
      <w:r>
        <w:t xml:space="preserve">) of the </w:t>
      </w:r>
      <w:r w:rsidR="00194D66">
        <w:t>OLYSIO</w:t>
      </w:r>
      <w:r>
        <w:noBreakHyphen/>
        <w:t>treated patients met the protocol</w:t>
      </w:r>
      <w:r>
        <w:noBreakHyphen/>
        <w:t>defined RGT criteria (</w:t>
      </w:r>
      <w:r w:rsidRPr="009431DB">
        <w:rPr>
          <w:noProof/>
        </w:rPr>
        <w:t>HCV RNA &lt; 25 IU/mL dete</w:t>
      </w:r>
      <w:r>
        <w:rPr>
          <w:noProof/>
        </w:rPr>
        <w:t xml:space="preserve">ctable or undetectable </w:t>
      </w:r>
      <w:r w:rsidRPr="009431DB">
        <w:rPr>
          <w:noProof/>
        </w:rPr>
        <w:t xml:space="preserve">at Week 4 </w:t>
      </w:r>
      <w:r>
        <w:rPr>
          <w:noProof/>
        </w:rPr>
        <w:t>and</w:t>
      </w:r>
      <w:r w:rsidRPr="009431DB">
        <w:rPr>
          <w:noProof/>
        </w:rPr>
        <w:t xml:space="preserve"> undetectable HCV RNA at Week 12</w:t>
      </w:r>
      <w:r>
        <w:rPr>
          <w:noProof/>
        </w:rPr>
        <w:t>); in these patients the SVR12 rate was 83%.</w:t>
      </w:r>
    </w:p>
    <w:p w:rsidR="00C452B9" w:rsidRDefault="00C452B9" w:rsidP="00C452B9">
      <w:pPr>
        <w:rPr>
          <w:noProof/>
        </w:rPr>
      </w:pPr>
    </w:p>
    <w:p w:rsidR="00C452B9" w:rsidRDefault="00C452B9" w:rsidP="00C452B9">
      <w:r w:rsidRPr="002C0D49">
        <w:t>Seventy</w:t>
      </w:r>
      <w:r w:rsidRPr="009045A9">
        <w:noBreakHyphen/>
      </w:r>
      <w:r w:rsidRPr="002C0D49">
        <w:t>seven percent (</w:t>
      </w:r>
      <w:r>
        <w:t>n=</w:t>
      </w:r>
      <w:r w:rsidRPr="002C0D49">
        <w:t xml:space="preserve">200/260) of </w:t>
      </w:r>
      <w:r w:rsidR="00194D66">
        <w:t>OLYSIO</w:t>
      </w:r>
      <w:r w:rsidRPr="009045A9">
        <w:noBreakHyphen/>
      </w:r>
      <w:r w:rsidRPr="002C0D49">
        <w:t xml:space="preserve">treated patients had </w:t>
      </w:r>
      <w:r w:rsidRPr="00141A34">
        <w:t xml:space="preserve">undetectable </w:t>
      </w:r>
      <w:r w:rsidRPr="00107370">
        <w:t>HCV RNA at</w:t>
      </w:r>
      <w:r w:rsidRPr="002C0D49">
        <w:t xml:space="preserve"> Week</w:t>
      </w:r>
      <w:r w:rsidRPr="002C0D49">
        <w:rPr>
          <w:noProof/>
        </w:rPr>
        <w:t> </w:t>
      </w:r>
      <w:r w:rsidRPr="002C0D49">
        <w:t>4</w:t>
      </w:r>
      <w:r>
        <w:t xml:space="preserve"> (RVR)</w:t>
      </w:r>
      <w:r w:rsidRPr="002C0D49">
        <w:t>; in these patients the SVR1</w:t>
      </w:r>
      <w:r>
        <w:t>2 rate was 87%, while 13% with undetectable HCV </w:t>
      </w:r>
      <w:r w:rsidRPr="002C0D49">
        <w:t xml:space="preserve">RNA at end of treatment had viral relapse. The proportion of </w:t>
      </w:r>
      <w:r w:rsidR="00194D66">
        <w:t>OLYSIO</w:t>
      </w:r>
      <w:r w:rsidRPr="009045A9">
        <w:noBreakHyphen/>
      </w:r>
      <w:r w:rsidRPr="002C0D49">
        <w:t>treated patients with HCV</w:t>
      </w:r>
      <w:r>
        <w:t> </w:t>
      </w:r>
      <w:r w:rsidRPr="002C0D49">
        <w:t>RNA &lt;</w:t>
      </w:r>
      <w:r w:rsidRPr="002C0D49">
        <w:rPr>
          <w:noProof/>
        </w:rPr>
        <w:t> </w:t>
      </w:r>
      <w:r w:rsidRPr="002C0D49">
        <w:t>25</w:t>
      </w:r>
      <w:r w:rsidRPr="002C0D49">
        <w:rPr>
          <w:noProof/>
        </w:rPr>
        <w:t> </w:t>
      </w:r>
      <w:r w:rsidRPr="002C0D49">
        <w:t>IU/mL detectable at Week</w:t>
      </w:r>
      <w:r w:rsidRPr="002C0D49">
        <w:rPr>
          <w:noProof/>
        </w:rPr>
        <w:t> </w:t>
      </w:r>
      <w:r w:rsidRPr="002C0D49">
        <w:t>4 was 18% (</w:t>
      </w:r>
      <w:r>
        <w:t>n=</w:t>
      </w:r>
      <w:r w:rsidRPr="002C0D49">
        <w:t>47/260); 60%</w:t>
      </w:r>
      <w:r>
        <w:t xml:space="preserve"> achieved SVR12, while 40% with undetectable HCV </w:t>
      </w:r>
      <w:r w:rsidRPr="002C0D49">
        <w:t>RNA at end of treatment had viral relapse. Five percent (</w:t>
      </w:r>
      <w:r>
        <w:t>n=</w:t>
      </w:r>
      <w:r w:rsidRPr="002C0D49">
        <w:t>12/260</w:t>
      </w:r>
      <w:r>
        <w:t xml:space="preserve">) of </w:t>
      </w:r>
      <w:r w:rsidR="00194D66">
        <w:t>OLYSIO</w:t>
      </w:r>
      <w:r w:rsidRPr="009045A9">
        <w:noBreakHyphen/>
      </w:r>
      <w:r w:rsidRPr="002C0D49">
        <w:t>treated pa</w:t>
      </w:r>
      <w:r>
        <w:t>tients had HCV </w:t>
      </w:r>
      <w:r w:rsidRPr="002C0D49">
        <w:t>RNA ≥</w:t>
      </w:r>
      <w:r w:rsidRPr="002C0D49">
        <w:rPr>
          <w:noProof/>
        </w:rPr>
        <w:t> </w:t>
      </w:r>
      <w:r w:rsidRPr="002C0D49">
        <w:t>25</w:t>
      </w:r>
      <w:r w:rsidRPr="002C0D49">
        <w:rPr>
          <w:noProof/>
        </w:rPr>
        <w:t> </w:t>
      </w:r>
      <w:r w:rsidRPr="002C0D49">
        <w:t>IU/mL at Week</w:t>
      </w:r>
      <w:r w:rsidRPr="002C0D49">
        <w:rPr>
          <w:noProof/>
        </w:rPr>
        <w:t> </w:t>
      </w:r>
      <w:r w:rsidRPr="002C0D49">
        <w:t>4; in these patients the SVR12 rate was 42%.</w:t>
      </w:r>
    </w:p>
    <w:p w:rsidR="00C452B9" w:rsidRDefault="00C452B9" w:rsidP="00C452B9"/>
    <w:p w:rsidR="00C452B9" w:rsidRDefault="00C452B9" w:rsidP="00C452B9">
      <w:r>
        <w:t>I</w:t>
      </w:r>
      <w:r w:rsidRPr="00337C4B">
        <w:t>n</w:t>
      </w:r>
      <w:r>
        <w:t xml:space="preserve"> Study </w:t>
      </w:r>
      <w:r w:rsidRPr="00337C4B">
        <w:t>HPC3007</w:t>
      </w:r>
      <w:r>
        <w:t>,</w:t>
      </w:r>
      <w:r w:rsidRPr="00337C4B">
        <w:t xml:space="preserve"> </w:t>
      </w:r>
      <w:r>
        <w:t xml:space="preserve">the increases in </w:t>
      </w:r>
      <w:r w:rsidRPr="00337C4B">
        <w:t>severity of patient</w:t>
      </w:r>
      <w:r w:rsidRPr="009045A9">
        <w:noBreakHyphen/>
      </w:r>
      <w:r w:rsidRPr="00337C4B">
        <w:t xml:space="preserve">reported fatigue, depressive symptoms and impairments in work and daily activities </w:t>
      </w:r>
      <w:r>
        <w:t>were</w:t>
      </w:r>
      <w:r w:rsidRPr="00337C4B">
        <w:t xml:space="preserve"> comparable </w:t>
      </w:r>
      <w:r>
        <w:t>in both treatment groups. T</w:t>
      </w:r>
      <w:r w:rsidRPr="00337C4B">
        <w:t xml:space="preserve">he increases lasted longer in patients treated with </w:t>
      </w:r>
      <w:proofErr w:type="spellStart"/>
      <w:r w:rsidRPr="00337C4B">
        <w:t>peginterf</w:t>
      </w:r>
      <w:r>
        <w:t>eron</w:t>
      </w:r>
      <w:proofErr w:type="spellEnd"/>
      <w:r>
        <w:t xml:space="preserve"> </w:t>
      </w:r>
      <w:proofErr w:type="spellStart"/>
      <w:r>
        <w:t>alfa</w:t>
      </w:r>
      <w:proofErr w:type="spellEnd"/>
      <w:r>
        <w:t xml:space="preserve"> and ribavirin alone.</w:t>
      </w:r>
    </w:p>
    <w:p w:rsidR="00C452B9" w:rsidRDefault="00C452B9" w:rsidP="00C452B9"/>
    <w:p w:rsidR="00C452B9" w:rsidRPr="009431DB" w:rsidRDefault="00C452B9" w:rsidP="00C452B9">
      <w:r w:rsidRPr="009431DB">
        <w:t>SVR</w:t>
      </w:r>
      <w:r w:rsidRPr="00A83245">
        <w:t>12</w:t>
      </w:r>
      <w:r w:rsidRPr="009431DB">
        <w:t xml:space="preserve"> rates were statistically significantly higher for the </w:t>
      </w:r>
      <w:r w:rsidR="00194D66">
        <w:t>OLYSIO</w:t>
      </w:r>
      <w:r w:rsidRPr="009431DB">
        <w:t xml:space="preserve"> treatment group compared to the placebo treatment group by</w:t>
      </w:r>
      <w:r w:rsidRPr="004C55BB">
        <w:t xml:space="preserve"> </w:t>
      </w:r>
      <w:r w:rsidRPr="009431DB">
        <w:t xml:space="preserve">sex, age, </w:t>
      </w:r>
      <w:r>
        <w:t xml:space="preserve">race, </w:t>
      </w:r>
      <w:r w:rsidRPr="009431DB">
        <w:t>BMI</w:t>
      </w:r>
      <w:r>
        <w:t>,</w:t>
      </w:r>
      <w:r w:rsidRPr="009431DB">
        <w:t xml:space="preserve"> </w:t>
      </w:r>
      <w:r>
        <w:t>HCV g</w:t>
      </w:r>
      <w:r w:rsidRPr="009431DB">
        <w:t xml:space="preserve">enotype subtype, baseline </w:t>
      </w:r>
      <w:r>
        <w:t>HCV </w:t>
      </w:r>
      <w:r w:rsidRPr="009431DB">
        <w:t>RNA</w:t>
      </w:r>
      <w:r>
        <w:t xml:space="preserve"> </w:t>
      </w:r>
      <w:r w:rsidRPr="009431DB">
        <w:t>(less than or equal to 800000 IU/mL, greater than 800000 IU/mL)</w:t>
      </w:r>
      <w:r>
        <w:t>,</w:t>
      </w:r>
      <w:r w:rsidRPr="009431DB">
        <w:t xml:space="preserve"> </w:t>
      </w:r>
      <w:r>
        <w:t>prior</w:t>
      </w:r>
      <w:r w:rsidRPr="004C55BB">
        <w:t xml:space="preserve"> HCV </w:t>
      </w:r>
      <w:r>
        <w:t>therapy,</w:t>
      </w:r>
      <w:r w:rsidRPr="004C55BB">
        <w:t xml:space="preserve"> </w:t>
      </w:r>
      <w:r w:rsidRPr="009431DB">
        <w:t xml:space="preserve">METAVIR fibrosis score, and </w:t>
      </w:r>
      <w:r w:rsidRPr="009431DB">
        <w:rPr>
          <w:i/>
        </w:rPr>
        <w:t>IL28B</w:t>
      </w:r>
      <w:r>
        <w:rPr>
          <w:i/>
        </w:rPr>
        <w:t> </w:t>
      </w:r>
      <w:r w:rsidRPr="009431DB">
        <w:t>genotype. Table </w:t>
      </w:r>
      <w:r>
        <w:t>6</w:t>
      </w:r>
      <w:r w:rsidRPr="009431DB">
        <w:t xml:space="preserve"> shows the SVR rates by METAVIR fibrosis score</w:t>
      </w:r>
      <w:r w:rsidRPr="003327DC">
        <w:t xml:space="preserve"> </w:t>
      </w:r>
      <w:r>
        <w:t xml:space="preserve">and </w:t>
      </w:r>
      <w:r w:rsidRPr="003327DC">
        <w:rPr>
          <w:i/>
        </w:rPr>
        <w:t>IL28B</w:t>
      </w:r>
      <w:r>
        <w:rPr>
          <w:i/>
        </w:rPr>
        <w:t> </w:t>
      </w:r>
      <w:r>
        <w:t>genotype</w:t>
      </w:r>
      <w:r w:rsidRPr="009431DB">
        <w:t>.</w:t>
      </w:r>
    </w:p>
    <w:p w:rsidR="00031C15" w:rsidRDefault="00031C15" w:rsidP="00305B7A">
      <w:pPr>
        <w:rPr>
          <w:rFonts w:cs="Arial"/>
          <w:noProof/>
          <w:szCs w:val="22"/>
        </w:rPr>
      </w:pPr>
    </w:p>
    <w:tbl>
      <w:tblPr>
        <w:tblW w:w="9254" w:type="dxa"/>
        <w:tblInd w:w="144" w:type="dxa"/>
        <w:tblLayout w:type="fixed"/>
        <w:tblCellMar>
          <w:left w:w="42" w:type="dxa"/>
          <w:right w:w="42" w:type="dxa"/>
        </w:tblCellMar>
        <w:tblLook w:val="0000" w:firstRow="0" w:lastRow="0" w:firstColumn="0" w:lastColumn="0" w:noHBand="0" w:noVBand="0"/>
      </w:tblPr>
      <w:tblGrid>
        <w:gridCol w:w="2733"/>
        <w:gridCol w:w="3402"/>
        <w:gridCol w:w="3119"/>
      </w:tblGrid>
      <w:tr w:rsidR="00C452B9" w:rsidRPr="009431DB" w:rsidTr="001C6A82">
        <w:trPr>
          <w:cantSplit/>
          <w:tblHeader/>
        </w:trPr>
        <w:tc>
          <w:tcPr>
            <w:tcW w:w="9254" w:type="dxa"/>
            <w:gridSpan w:val="3"/>
            <w:tcBorders>
              <w:bottom w:val="single" w:sz="4" w:space="0" w:color="auto"/>
            </w:tcBorders>
            <w:shd w:val="clear" w:color="auto" w:fill="auto"/>
          </w:tcPr>
          <w:p w:rsidR="00C452B9" w:rsidRPr="009431DB" w:rsidRDefault="00C452B9" w:rsidP="00DC26F7">
            <w:pPr>
              <w:pStyle w:val="Caption"/>
              <w:rPr>
                <w:lang w:eastAsia="en-US"/>
              </w:rPr>
            </w:pPr>
            <w:r w:rsidRPr="009431DB">
              <w:rPr>
                <w:lang w:eastAsia="en-US"/>
              </w:rPr>
              <w:t>Table </w:t>
            </w:r>
            <w:r>
              <w:rPr>
                <w:lang w:eastAsia="en-US"/>
              </w:rPr>
              <w:t>6</w:t>
            </w:r>
            <w:r w:rsidRPr="009431DB">
              <w:rPr>
                <w:lang w:eastAsia="en-US"/>
              </w:rPr>
              <w:t>:</w:t>
            </w:r>
            <w:r w:rsidRPr="009431DB">
              <w:rPr>
                <w:lang w:eastAsia="en-US"/>
              </w:rPr>
              <w:tab/>
              <w:t>SVR</w:t>
            </w:r>
            <w:r w:rsidRPr="00A83245">
              <w:rPr>
                <w:lang w:eastAsia="en-US"/>
              </w:rPr>
              <w:t>12</w:t>
            </w:r>
            <w:r w:rsidRPr="009431DB">
              <w:rPr>
                <w:lang w:eastAsia="en-US"/>
              </w:rPr>
              <w:t xml:space="preserve"> Rates by METAVIR </w:t>
            </w:r>
            <w:r>
              <w:rPr>
                <w:lang w:eastAsia="en-US"/>
              </w:rPr>
              <w:t>F</w:t>
            </w:r>
            <w:r w:rsidRPr="009431DB">
              <w:rPr>
                <w:lang w:eastAsia="en-US"/>
              </w:rPr>
              <w:t xml:space="preserve">ibrosis </w:t>
            </w:r>
            <w:r>
              <w:rPr>
                <w:lang w:eastAsia="en-US"/>
              </w:rPr>
              <w:t>S</w:t>
            </w:r>
            <w:r w:rsidRPr="009431DB">
              <w:rPr>
                <w:lang w:eastAsia="en-US"/>
              </w:rPr>
              <w:t xml:space="preserve">core </w:t>
            </w:r>
            <w:r>
              <w:rPr>
                <w:lang w:eastAsia="en-US"/>
              </w:rPr>
              <w:t xml:space="preserve">and </w:t>
            </w:r>
            <w:r w:rsidRPr="001D188C">
              <w:rPr>
                <w:i/>
                <w:lang w:eastAsia="en-US"/>
              </w:rPr>
              <w:t>IL28B</w:t>
            </w:r>
            <w:r>
              <w:rPr>
                <w:i/>
                <w:lang w:eastAsia="en-US"/>
              </w:rPr>
              <w:t> </w:t>
            </w:r>
            <w:r>
              <w:rPr>
                <w:lang w:eastAsia="en-US"/>
              </w:rPr>
              <w:t xml:space="preserve">Genotype </w:t>
            </w:r>
            <w:r w:rsidRPr="009431DB">
              <w:rPr>
                <w:lang w:eastAsia="en-US"/>
              </w:rPr>
              <w:t xml:space="preserve">in Adult Patients with </w:t>
            </w:r>
            <w:r>
              <w:rPr>
                <w:lang w:eastAsia="en-US"/>
              </w:rPr>
              <w:t>HCV G</w:t>
            </w:r>
            <w:r w:rsidRPr="009431DB">
              <w:rPr>
                <w:lang w:eastAsia="en-US"/>
              </w:rPr>
              <w:t>enotype 1 Infection Who Relapsed After Prior Interferon</w:t>
            </w:r>
            <w:r w:rsidRPr="009431DB">
              <w:rPr>
                <w:lang w:eastAsia="en-US"/>
              </w:rPr>
              <w:noBreakHyphen/>
              <w:t>Based Therapy (Study HPC3007)</w:t>
            </w:r>
          </w:p>
        </w:tc>
      </w:tr>
      <w:tr w:rsidR="00C452B9" w:rsidRPr="009431DB" w:rsidTr="001C6A82">
        <w:trPr>
          <w:cantSplit/>
          <w:tblHead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3327DC" w:rsidRDefault="00C452B9" w:rsidP="00DA4957">
            <w:pPr>
              <w:pStyle w:val="TableText0"/>
              <w:rPr>
                <w:b/>
              </w:rPr>
            </w:pPr>
            <w:r w:rsidRPr="003327DC">
              <w:rPr>
                <w:b/>
              </w:rPr>
              <w:t>Subgroup</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194D66" w:rsidP="00DA4957">
            <w:pPr>
              <w:pStyle w:val="TableText0"/>
              <w:jc w:val="center"/>
              <w:rPr>
                <w:b/>
              </w:rPr>
            </w:pPr>
            <w:r>
              <w:rPr>
                <w:b/>
              </w:rPr>
              <w:t>OLYSIO</w:t>
            </w:r>
          </w:p>
          <w:p w:rsidR="00C452B9" w:rsidRPr="009431DB" w:rsidRDefault="00C452B9" w:rsidP="00DA4957">
            <w:pPr>
              <w:pStyle w:val="TableText0"/>
              <w:jc w:val="center"/>
            </w:pPr>
            <w:r w:rsidRPr="009431DB">
              <w:rPr>
                <w:b/>
              </w:rPr>
              <w:t>% (n/N)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rPr>
                <w:b/>
              </w:rPr>
            </w:pPr>
            <w:r w:rsidRPr="009431DB">
              <w:rPr>
                <w:b/>
              </w:rPr>
              <w:t>Placebo</w:t>
            </w:r>
          </w:p>
          <w:p w:rsidR="00C452B9" w:rsidRPr="009431DB" w:rsidRDefault="00C452B9" w:rsidP="00DA4957">
            <w:pPr>
              <w:pStyle w:val="TableText0"/>
              <w:jc w:val="center"/>
              <w:rPr>
                <w:b/>
              </w:rPr>
            </w:pPr>
            <w:r w:rsidRPr="009431DB">
              <w:rPr>
                <w:b/>
              </w:rPr>
              <w:t>% (n/N)</w:t>
            </w: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pPr>
            <w:r w:rsidRPr="009431DB">
              <w:t>METAVIR fibrosis score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282"/>
            </w:pPr>
            <w:r w:rsidRPr="009431DB">
              <w:t>F0</w:t>
            </w:r>
            <w:r w:rsidRPr="009431DB">
              <w:noBreakHyphen/>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82% (137/167)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41% (40/98)</w:t>
            </w: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282"/>
            </w:pPr>
            <w:r w:rsidRPr="009431DB">
              <w:t>F3</w:t>
            </w:r>
            <w:r w:rsidRPr="009431DB">
              <w:noBreakHyphen/>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73% (61/83)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24% (8/34)</w:t>
            </w: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282"/>
            </w:pPr>
            <w:r w:rsidRPr="009431DB">
              <w:t>F4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7</w:t>
            </w:r>
            <w:r>
              <w:t>4</w:t>
            </w:r>
            <w:r w:rsidRPr="009431DB">
              <w:t>% (</w:t>
            </w:r>
            <w:r>
              <w:t>29/39</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t>26</w:t>
            </w:r>
            <w:r w:rsidRPr="009431DB">
              <w:t>% (</w:t>
            </w:r>
            <w:r>
              <w:t>5/19</w:t>
            </w:r>
            <w:r w:rsidRPr="009431DB">
              <w:t>)</w:t>
            </w: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pPr>
            <w:r w:rsidRPr="002C3569">
              <w:rPr>
                <w:i/>
              </w:rPr>
              <w:t>IL28B</w:t>
            </w:r>
            <w:r>
              <w:rPr>
                <w:i/>
              </w:rPr>
              <w:t> </w:t>
            </w:r>
            <w:r>
              <w:t>genotype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282"/>
            </w:pPr>
            <w:r>
              <w:t>CC</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8</w:t>
            </w:r>
            <w:r>
              <w:t>9</w:t>
            </w:r>
            <w:r w:rsidRPr="009431DB">
              <w:t>% (</w:t>
            </w:r>
            <w:r w:rsidRPr="00B94917">
              <w:t>55/62</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t>53</w:t>
            </w:r>
            <w:r w:rsidRPr="009431DB">
              <w:t>% (</w:t>
            </w:r>
            <w:r w:rsidRPr="00D710D7">
              <w:t>18/34</w:t>
            </w:r>
            <w:r w:rsidRPr="009431DB">
              <w:t>)</w:t>
            </w: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282"/>
            </w:pPr>
            <w:r>
              <w:t>CT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7</w:t>
            </w:r>
            <w:r>
              <w:t>8</w:t>
            </w:r>
            <w:r w:rsidRPr="009431DB">
              <w:t>% (</w:t>
            </w:r>
            <w:r w:rsidRPr="00B94917">
              <w:t>131/167</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t>34</w:t>
            </w:r>
            <w:r w:rsidRPr="009431DB">
              <w:t>% (</w:t>
            </w:r>
            <w:r w:rsidRPr="00D710D7">
              <w:t>28/83</w:t>
            </w:r>
            <w:r w:rsidRPr="009431DB">
              <w:t>)</w:t>
            </w:r>
          </w:p>
        </w:tc>
      </w:tr>
      <w:tr w:rsidR="00C452B9" w:rsidRPr="009431DB" w:rsidTr="00DA4957">
        <w:trPr>
          <w:cantSplit/>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282"/>
            </w:pPr>
            <w:r>
              <w:lastRenderedPageBreak/>
              <w:t>TT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t>65</w:t>
            </w:r>
            <w:r w:rsidRPr="009431DB">
              <w:t>% (</w:t>
            </w:r>
            <w:r w:rsidRPr="00B94917">
              <w:t>20/31</w:t>
            </w:r>
            <w:r w:rsidRPr="009431DB">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t>19</w:t>
            </w:r>
            <w:r w:rsidRPr="009431DB">
              <w:t>% (3/1</w:t>
            </w:r>
            <w:r>
              <w:t>6</w:t>
            </w:r>
            <w:r w:rsidRPr="009431DB">
              <w:t>)</w:t>
            </w:r>
          </w:p>
        </w:tc>
      </w:tr>
      <w:tr w:rsidR="00C452B9" w:rsidRPr="009431DB" w:rsidTr="00DA4957">
        <w:trPr>
          <w:cantSplit/>
        </w:trPr>
        <w:tc>
          <w:tcPr>
            <w:tcW w:w="9254" w:type="dxa"/>
            <w:gridSpan w:val="3"/>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194D66" w:rsidP="00DA4957">
            <w:pPr>
              <w:pStyle w:val="TableFootnote"/>
              <w:ind w:left="0" w:firstLine="0"/>
            </w:pPr>
            <w:r>
              <w:t>OLYSIO</w:t>
            </w:r>
            <w:r w:rsidR="00C452B9" w:rsidRPr="009431DB">
              <w:t xml:space="preserve">: 150 mg </w:t>
            </w:r>
            <w:r>
              <w:t>OLYSIO</w:t>
            </w:r>
            <w:r w:rsidR="00C452B9" w:rsidRPr="009431DB">
              <w:t xml:space="preserve"> for 12 weeks with </w:t>
            </w:r>
            <w:proofErr w:type="spellStart"/>
            <w:r w:rsidR="00C452B9" w:rsidRPr="009431DB">
              <w:t>peginterferon</w:t>
            </w:r>
            <w:proofErr w:type="spellEnd"/>
            <w:r w:rsidR="00C452B9" w:rsidRPr="009431DB">
              <w:t xml:space="preserve"> alfa</w:t>
            </w:r>
            <w:r w:rsidR="00C452B9" w:rsidRPr="009431DB">
              <w:noBreakHyphen/>
              <w:t xml:space="preserve">2a or </w:t>
            </w:r>
            <w:r w:rsidR="00C452B9" w:rsidRPr="009431DB">
              <w:noBreakHyphen/>
              <w:t xml:space="preserve">2b and ribavirin for 24 or 48 weeks; Placebo: placebo for 12 weeks with </w:t>
            </w:r>
            <w:proofErr w:type="spellStart"/>
            <w:r w:rsidR="00C452B9" w:rsidRPr="009431DB">
              <w:t>peginterferon</w:t>
            </w:r>
            <w:proofErr w:type="spellEnd"/>
            <w:r w:rsidR="00C452B9" w:rsidRPr="009431DB">
              <w:t xml:space="preserve"> alfa</w:t>
            </w:r>
            <w:r w:rsidR="00C452B9" w:rsidRPr="009431DB">
              <w:noBreakHyphen/>
              <w:t xml:space="preserve">2a or </w:t>
            </w:r>
            <w:r w:rsidR="00C452B9" w:rsidRPr="009431DB">
              <w:noBreakHyphen/>
              <w:t xml:space="preserve">2b </w:t>
            </w:r>
            <w:r w:rsidR="00C452B9" w:rsidRPr="00107370">
              <w:t xml:space="preserve">and ribavirin for 48 weeks. SVR12: sustained </w:t>
            </w:r>
            <w:proofErr w:type="spellStart"/>
            <w:r w:rsidR="00C452B9" w:rsidRPr="00107370">
              <w:t>virologic</w:t>
            </w:r>
            <w:proofErr w:type="spellEnd"/>
            <w:r w:rsidR="00C452B9" w:rsidRPr="00107370">
              <w:t xml:space="preserve"> response 12</w:t>
            </w:r>
            <w:r w:rsidR="00C452B9">
              <w:t> </w:t>
            </w:r>
            <w:r w:rsidR="00C452B9" w:rsidRPr="00107370">
              <w:t>weeks after planned EOT.</w:t>
            </w:r>
          </w:p>
        </w:tc>
      </w:tr>
    </w:tbl>
    <w:p w:rsidR="00C452B9" w:rsidRPr="009431DB" w:rsidRDefault="00C452B9" w:rsidP="00C452B9">
      <w:pPr>
        <w:pStyle w:val="BodyText120"/>
      </w:pPr>
    </w:p>
    <w:p w:rsidR="00C452B9" w:rsidRDefault="00C452B9" w:rsidP="00C452B9">
      <w:pPr>
        <w:rPr>
          <w:szCs w:val="22"/>
        </w:rPr>
      </w:pPr>
      <w:r w:rsidRPr="009431DB">
        <w:t>Study </w:t>
      </w:r>
      <w:r>
        <w:t>C</w:t>
      </w:r>
      <w:r w:rsidRPr="009431DB">
        <w:t>206 (ASPIRE) was a randomized, double</w:t>
      </w:r>
      <w:r w:rsidRPr="009431DB">
        <w:noBreakHyphen/>
        <w:t>blind, placebo</w:t>
      </w:r>
      <w:r w:rsidRPr="009431DB">
        <w:noBreakHyphen/>
        <w:t>controlled, 7</w:t>
      </w:r>
      <w:r w:rsidRPr="009431DB">
        <w:noBreakHyphen/>
        <w:t xml:space="preserve">arm, Phase 2b study in patients with </w:t>
      </w:r>
      <w:r>
        <w:t>HCV g</w:t>
      </w:r>
      <w:r w:rsidRPr="009431DB">
        <w:t xml:space="preserve">enotype 1 infection, who </w:t>
      </w:r>
      <w:r w:rsidRPr="009431DB">
        <w:rPr>
          <w:b/>
          <w:noProof/>
          <w:szCs w:val="22"/>
        </w:rPr>
        <w:t xml:space="preserve">failed prior therapy with </w:t>
      </w:r>
      <w:proofErr w:type="spellStart"/>
      <w:r w:rsidRPr="009431DB">
        <w:rPr>
          <w:b/>
        </w:rPr>
        <w:t>peginterferon</w:t>
      </w:r>
      <w:proofErr w:type="spellEnd"/>
      <w:r w:rsidRPr="009431DB">
        <w:rPr>
          <w:b/>
        </w:rPr>
        <w:t xml:space="preserve"> </w:t>
      </w:r>
      <w:proofErr w:type="spellStart"/>
      <w:r w:rsidRPr="009431DB">
        <w:rPr>
          <w:b/>
        </w:rPr>
        <w:t>alfa</w:t>
      </w:r>
      <w:proofErr w:type="spellEnd"/>
      <w:r w:rsidRPr="009431DB">
        <w:rPr>
          <w:b/>
        </w:rPr>
        <w:t xml:space="preserve"> and ribavirin </w:t>
      </w:r>
      <w:r w:rsidRPr="009431DB">
        <w:rPr>
          <w:noProof/>
          <w:szCs w:val="22"/>
        </w:rPr>
        <w:t xml:space="preserve">(including </w:t>
      </w:r>
      <w:r w:rsidRPr="009431DB">
        <w:rPr>
          <w:b/>
          <w:noProof/>
          <w:szCs w:val="22"/>
        </w:rPr>
        <w:t>prior relapsers</w:t>
      </w:r>
      <w:r>
        <w:rPr>
          <w:b/>
          <w:noProof/>
          <w:szCs w:val="22"/>
        </w:rPr>
        <w:t>,</w:t>
      </w:r>
      <w:r w:rsidRPr="009431DB">
        <w:rPr>
          <w:b/>
        </w:rPr>
        <w:t xml:space="preserve"> partial responders</w:t>
      </w:r>
      <w:r>
        <w:rPr>
          <w:b/>
        </w:rPr>
        <w:t xml:space="preserve"> or</w:t>
      </w:r>
      <w:r w:rsidRPr="009431DB">
        <w:rPr>
          <w:b/>
        </w:rPr>
        <w:t xml:space="preserve"> null responders</w:t>
      </w:r>
      <w:r w:rsidRPr="009431DB">
        <w:t xml:space="preserve">). </w:t>
      </w:r>
      <w:r w:rsidRPr="009431DB">
        <w:rPr>
          <w:szCs w:val="22"/>
        </w:rPr>
        <w:t xml:space="preserve">Patients received 12, 24 or 48 weeks of 100 mg or 150 mg </w:t>
      </w:r>
      <w:r w:rsidR="00194D66">
        <w:rPr>
          <w:szCs w:val="22"/>
        </w:rPr>
        <w:t>OLYSIO</w:t>
      </w:r>
      <w:r w:rsidRPr="009431DB">
        <w:rPr>
          <w:szCs w:val="22"/>
        </w:rPr>
        <w:t xml:space="preserve"> in combination with 48 weeks of </w:t>
      </w:r>
      <w:proofErr w:type="spellStart"/>
      <w:r w:rsidRPr="009431DB">
        <w:t>peginterferon</w:t>
      </w:r>
      <w:proofErr w:type="spellEnd"/>
      <w:r w:rsidRPr="009431DB">
        <w:rPr>
          <w:szCs w:val="22"/>
        </w:rPr>
        <w:t xml:space="preserve"> alfa</w:t>
      </w:r>
      <w:r w:rsidRPr="009431DB">
        <w:rPr>
          <w:szCs w:val="22"/>
        </w:rPr>
        <w:noBreakHyphen/>
        <w:t xml:space="preserve">2a and ribavirin, or 48 weeks of placebo in combination with 48 weeks of </w:t>
      </w:r>
      <w:proofErr w:type="spellStart"/>
      <w:r w:rsidRPr="009431DB">
        <w:t>peginterferon</w:t>
      </w:r>
      <w:proofErr w:type="spellEnd"/>
      <w:r w:rsidRPr="009431DB">
        <w:rPr>
          <w:szCs w:val="22"/>
        </w:rPr>
        <w:t xml:space="preserve"> alfa</w:t>
      </w:r>
      <w:r w:rsidRPr="009431DB">
        <w:rPr>
          <w:szCs w:val="22"/>
        </w:rPr>
        <w:noBreakHyphen/>
        <w:t>2a and ribavirin.</w:t>
      </w:r>
    </w:p>
    <w:p w:rsidR="00C452B9" w:rsidRDefault="00C452B9" w:rsidP="00C452B9">
      <w:pPr>
        <w:rPr>
          <w:szCs w:val="22"/>
        </w:rPr>
      </w:pPr>
    </w:p>
    <w:p w:rsidR="00C452B9" w:rsidRDefault="00C452B9" w:rsidP="00C452B9">
      <w:r w:rsidRPr="009431DB">
        <w:t>The 462 enrolled patients in Study </w:t>
      </w:r>
      <w:r>
        <w:t>C</w:t>
      </w:r>
      <w:r w:rsidRPr="009431DB">
        <w:t>206 had a median age of 50 years (range: 20 to 69 years</w:t>
      </w:r>
      <w:r w:rsidR="002F1CF4">
        <w:t xml:space="preserve">); 67% were male; 93% were Caucasian, 5% </w:t>
      </w:r>
      <w:r w:rsidRPr="009431DB">
        <w:t xml:space="preserve">African American, </w:t>
      </w:r>
      <w:r>
        <w:t xml:space="preserve">and </w:t>
      </w:r>
      <w:r w:rsidRPr="009431DB">
        <w:t xml:space="preserve">2% Asian; </w:t>
      </w:r>
      <w:r>
        <w:t>25</w:t>
      </w:r>
      <w:r w:rsidRPr="009431DB">
        <w:t>% had a BMI ≥ 30 kg/m</w:t>
      </w:r>
      <w:r w:rsidRPr="009431DB">
        <w:rPr>
          <w:vertAlign w:val="superscript"/>
        </w:rPr>
        <w:t>2</w:t>
      </w:r>
      <w:r w:rsidRPr="009431DB">
        <w:t xml:space="preserve">; 86% had </w:t>
      </w:r>
      <w:r>
        <w:t>HCV </w:t>
      </w:r>
      <w:r w:rsidRPr="009431DB">
        <w:t>RNA levels &gt; 800000 IU/mL; 63% had METAVIR fibrosis score F0</w:t>
      </w:r>
      <w:r>
        <w:t>,</w:t>
      </w:r>
      <w:r w:rsidRPr="009431DB">
        <w:t xml:space="preserve"> F1</w:t>
      </w:r>
      <w:r w:rsidRPr="00727BBA">
        <w:t xml:space="preserve"> </w:t>
      </w:r>
      <w:r w:rsidRPr="009431DB">
        <w:t>or</w:t>
      </w:r>
      <w:r>
        <w:t xml:space="preserve"> F2</w:t>
      </w:r>
      <w:r w:rsidRPr="009431DB">
        <w:t xml:space="preserve">, 19% METAVIR fibrosis score F3, and 18% METAVIR fibrosis score F4 (cirrhosis); 41% had </w:t>
      </w:r>
      <w:r>
        <w:t>HCV g</w:t>
      </w:r>
      <w:r w:rsidRPr="009431DB">
        <w:t xml:space="preserve">enotype 1a, and 58% </w:t>
      </w:r>
      <w:r>
        <w:t>HCV g</w:t>
      </w:r>
      <w:r w:rsidRPr="009431DB">
        <w:t xml:space="preserve">enotype 1b; 18% had </w:t>
      </w:r>
      <w:r w:rsidRPr="009431DB">
        <w:rPr>
          <w:i/>
        </w:rPr>
        <w:t>IL28B</w:t>
      </w:r>
      <w:r>
        <w:rPr>
          <w:i/>
        </w:rPr>
        <w:t> </w:t>
      </w:r>
      <w:r w:rsidRPr="009431DB">
        <w:t xml:space="preserve">CC genotype, 65% </w:t>
      </w:r>
      <w:r w:rsidRPr="009431DB">
        <w:rPr>
          <w:i/>
        </w:rPr>
        <w:t>IL28B</w:t>
      </w:r>
      <w:r>
        <w:rPr>
          <w:i/>
        </w:rPr>
        <w:t> </w:t>
      </w:r>
      <w:r w:rsidRPr="009431DB">
        <w:t xml:space="preserve">CT genotype, and 18% </w:t>
      </w:r>
      <w:r w:rsidRPr="009431DB">
        <w:rPr>
          <w:i/>
        </w:rPr>
        <w:t>IL28B</w:t>
      </w:r>
      <w:r>
        <w:rPr>
          <w:i/>
        </w:rPr>
        <w:t> </w:t>
      </w:r>
      <w:r w:rsidRPr="009431DB">
        <w:t>TT genotype (information available for 328</w:t>
      </w:r>
      <w:r>
        <w:t> </w:t>
      </w:r>
      <w:r w:rsidRPr="009431DB">
        <w:t xml:space="preserve">patients). Forty percent of patients were prior </w:t>
      </w:r>
      <w:proofErr w:type="spellStart"/>
      <w:r w:rsidRPr="009431DB">
        <w:t>relapsers</w:t>
      </w:r>
      <w:proofErr w:type="spellEnd"/>
      <w:r w:rsidRPr="009431DB">
        <w:t xml:space="preserve">, 35% prior partial responders, and 25% prior null responders following prior therapy 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 One hundred ninety</w:t>
      </w:r>
      <w:r>
        <w:noBreakHyphen/>
      </w:r>
      <w:r w:rsidRPr="009431DB">
        <w:t xml:space="preserve">nine patients received </w:t>
      </w:r>
      <w:r w:rsidR="00194D66">
        <w:t>OLYSIO</w:t>
      </w:r>
      <w:r w:rsidRPr="009431DB">
        <w:t xml:space="preserve"> 150 mg once daily (pooled analysis) of which 66 patients received </w:t>
      </w:r>
      <w:r w:rsidR="00194D66">
        <w:t>OLYSIO</w:t>
      </w:r>
      <w:r w:rsidRPr="009431DB">
        <w:t xml:space="preserve"> for 12 weeks, and 66 patients received placebo in combination 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w:t>
      </w:r>
    </w:p>
    <w:p w:rsidR="00C452B9" w:rsidRPr="009431DB" w:rsidRDefault="00C452B9" w:rsidP="00C452B9"/>
    <w:p w:rsidR="00C452B9" w:rsidRPr="009431DB" w:rsidRDefault="00C452B9" w:rsidP="00C452B9">
      <w:pPr>
        <w:rPr>
          <w:b/>
        </w:rPr>
      </w:pPr>
      <w:r w:rsidRPr="009431DB">
        <w:t xml:space="preserve">The proportion of patients who discontinued </w:t>
      </w:r>
      <w:r>
        <w:t xml:space="preserve">all </w:t>
      </w:r>
      <w:r w:rsidRPr="009431DB">
        <w:t xml:space="preserve">treatment due to an adverse event was </w:t>
      </w:r>
      <w:r>
        <w:t>5</w:t>
      </w:r>
      <w:r w:rsidRPr="009431DB">
        <w:t xml:space="preserve">% in </w:t>
      </w:r>
      <w:r>
        <w:t xml:space="preserve">both </w:t>
      </w:r>
      <w:r w:rsidRPr="009431DB">
        <w:t xml:space="preserve">the </w:t>
      </w:r>
      <w:r>
        <w:t>150</w:t>
      </w:r>
      <w:r w:rsidRPr="009431DB">
        <w:t> </w:t>
      </w:r>
      <w:r>
        <w:t xml:space="preserve">mg </w:t>
      </w:r>
      <w:r w:rsidR="00194D66">
        <w:t>OLYSIO</w:t>
      </w:r>
      <w:r w:rsidRPr="009431DB">
        <w:t xml:space="preserve"> </w:t>
      </w:r>
      <w:r>
        <w:t>for 12</w:t>
      </w:r>
      <w:r w:rsidRPr="009431DB">
        <w:t> </w:t>
      </w:r>
      <w:r>
        <w:t>weeks and</w:t>
      </w:r>
      <w:r w:rsidRPr="009431DB">
        <w:t xml:space="preserve"> </w:t>
      </w:r>
      <w:r>
        <w:t xml:space="preserve">the </w:t>
      </w:r>
      <w:r w:rsidRPr="009431DB">
        <w:t xml:space="preserve">placebo </w:t>
      </w:r>
      <w:r>
        <w:t>treatment groups;</w:t>
      </w:r>
      <w:r w:rsidRPr="009431DB">
        <w:t xml:space="preserve"> none of the patients discontinued </w:t>
      </w:r>
      <w:r w:rsidR="00194D66">
        <w:t>OLYSIO</w:t>
      </w:r>
      <w:r w:rsidRPr="009431DB">
        <w:t xml:space="preserve"> or placebo alone.</w:t>
      </w:r>
      <w:r w:rsidRPr="004266BB">
        <w:t xml:space="preserve"> </w:t>
      </w:r>
      <w:r>
        <w:t>Table 7</w:t>
      </w:r>
      <w:r w:rsidRPr="009431DB">
        <w:t xml:space="preserve"> shows the response rates for the </w:t>
      </w:r>
      <w:r w:rsidR="00194D66">
        <w:t>OLYSIO</w:t>
      </w:r>
      <w:r w:rsidRPr="009431DB">
        <w:t xml:space="preserve"> and placebo treatment groups in </w:t>
      </w:r>
      <w:r>
        <w:t>prior</w:t>
      </w:r>
      <w:r w:rsidRPr="009431DB">
        <w:rPr>
          <w:noProof/>
          <w:szCs w:val="22"/>
        </w:rPr>
        <w:t xml:space="preserve"> </w:t>
      </w:r>
      <w:r w:rsidRPr="009431DB">
        <w:t xml:space="preserve">partial responders </w:t>
      </w:r>
      <w:r>
        <w:t>and</w:t>
      </w:r>
      <w:r w:rsidRPr="009431DB">
        <w:t xml:space="preserve"> null responders.</w:t>
      </w:r>
    </w:p>
    <w:p w:rsidR="00031C15" w:rsidRDefault="00031C15" w:rsidP="00305B7A">
      <w:pPr>
        <w:rPr>
          <w:rFonts w:cs="Arial"/>
          <w:noProof/>
          <w:szCs w:val="22"/>
        </w:rPr>
      </w:pPr>
    </w:p>
    <w:tbl>
      <w:tblPr>
        <w:tblW w:w="9254" w:type="dxa"/>
        <w:tblInd w:w="144" w:type="dxa"/>
        <w:tblLayout w:type="fixed"/>
        <w:tblCellMar>
          <w:left w:w="42" w:type="dxa"/>
          <w:right w:w="42" w:type="dxa"/>
        </w:tblCellMar>
        <w:tblLook w:val="0000" w:firstRow="0" w:lastRow="0" w:firstColumn="0" w:lastColumn="0" w:noHBand="0" w:noVBand="0"/>
      </w:tblPr>
      <w:tblGrid>
        <w:gridCol w:w="3159"/>
        <w:gridCol w:w="2126"/>
        <w:gridCol w:w="2126"/>
        <w:gridCol w:w="1843"/>
      </w:tblGrid>
      <w:tr w:rsidR="00C452B9" w:rsidRPr="009431DB" w:rsidTr="001C6A82">
        <w:trPr>
          <w:cantSplit/>
          <w:tblHeader/>
        </w:trPr>
        <w:tc>
          <w:tcPr>
            <w:tcW w:w="9254" w:type="dxa"/>
            <w:gridSpan w:val="4"/>
            <w:tcBorders>
              <w:bottom w:val="single" w:sz="4" w:space="0" w:color="auto"/>
            </w:tcBorders>
          </w:tcPr>
          <w:p w:rsidR="00C452B9" w:rsidRPr="009431DB" w:rsidRDefault="00C452B9" w:rsidP="00DC26F7">
            <w:pPr>
              <w:pStyle w:val="Caption"/>
              <w:rPr>
                <w:lang w:eastAsia="en-US"/>
              </w:rPr>
            </w:pPr>
            <w:r w:rsidRPr="009431DB">
              <w:rPr>
                <w:lang w:eastAsia="en-US"/>
              </w:rPr>
              <w:t>Table </w:t>
            </w:r>
            <w:r>
              <w:rPr>
                <w:lang w:eastAsia="en-US"/>
              </w:rPr>
              <w:t>7</w:t>
            </w:r>
            <w:r w:rsidRPr="009431DB">
              <w:rPr>
                <w:lang w:eastAsia="en-US"/>
              </w:rPr>
              <w:t>:</w:t>
            </w:r>
            <w:r w:rsidRPr="009431DB">
              <w:rPr>
                <w:lang w:eastAsia="en-US"/>
              </w:rPr>
              <w:tab/>
              <w:t xml:space="preserve">Treatment Outcome in Adult Patients with </w:t>
            </w:r>
            <w:r>
              <w:rPr>
                <w:lang w:eastAsia="en-US"/>
              </w:rPr>
              <w:t>HCV G</w:t>
            </w:r>
            <w:r w:rsidRPr="009431DB">
              <w:rPr>
                <w:lang w:eastAsia="en-US"/>
              </w:rPr>
              <w:t xml:space="preserve">enotype 1 Infection Who Failed Prior </w:t>
            </w:r>
            <w:proofErr w:type="spellStart"/>
            <w:r w:rsidRPr="009431DB">
              <w:rPr>
                <w:lang w:eastAsia="en-US"/>
              </w:rPr>
              <w:t>Peginterferon</w:t>
            </w:r>
            <w:proofErr w:type="spellEnd"/>
            <w:r w:rsidRPr="009431DB">
              <w:rPr>
                <w:lang w:eastAsia="en-US"/>
              </w:rPr>
              <w:t xml:space="preserve"> </w:t>
            </w:r>
            <w:proofErr w:type="spellStart"/>
            <w:r w:rsidRPr="009431DB">
              <w:rPr>
                <w:lang w:eastAsia="en-US"/>
              </w:rPr>
              <w:t>alfa</w:t>
            </w:r>
            <w:proofErr w:type="spellEnd"/>
            <w:r w:rsidRPr="009431DB">
              <w:rPr>
                <w:lang w:eastAsia="en-US"/>
              </w:rPr>
              <w:t xml:space="preserve"> and Ribavirin Therapy (Study </w:t>
            </w:r>
            <w:r>
              <w:rPr>
                <w:lang w:eastAsia="en-US"/>
              </w:rPr>
              <w:t>C</w:t>
            </w:r>
            <w:r w:rsidRPr="009431DB">
              <w:rPr>
                <w:lang w:eastAsia="en-US"/>
              </w:rPr>
              <w:t>206</w:t>
            </w:r>
            <w:r>
              <w:rPr>
                <w:lang w:eastAsia="en-US"/>
              </w:rPr>
              <w:t>; Prior Partial and Null Responders</w:t>
            </w:r>
            <w:r w:rsidRPr="009431DB">
              <w:rPr>
                <w:lang w:eastAsia="en-US"/>
              </w:rPr>
              <w:t>)</w:t>
            </w:r>
          </w:p>
        </w:tc>
      </w:tr>
      <w:tr w:rsidR="00C452B9" w:rsidRPr="009431DB" w:rsidTr="001C6A82">
        <w:trPr>
          <w:cantSplit/>
          <w:tblHeader/>
        </w:trPr>
        <w:tc>
          <w:tcPr>
            <w:tcW w:w="3159" w:type="dxa"/>
            <w:tcBorders>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rPr>
                <w:b/>
              </w:rPr>
            </w:pPr>
            <w:r w:rsidRPr="009431DB">
              <w:rPr>
                <w:b/>
              </w:rPr>
              <w:t>Treatment Outcome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rPr>
                <w:b/>
              </w:rPr>
            </w:pPr>
            <w:r w:rsidRPr="009431DB">
              <w:rPr>
                <w:b/>
              </w:rPr>
              <w:t xml:space="preserve">150 mg </w:t>
            </w:r>
            <w:r w:rsidR="00194D66">
              <w:rPr>
                <w:b/>
              </w:rPr>
              <w:t>OLYSIO</w:t>
            </w:r>
            <w:r w:rsidRPr="009431DB">
              <w:rPr>
                <w:b/>
              </w:rPr>
              <w:t xml:space="preserve"> 12 weeks</w:t>
            </w:r>
          </w:p>
          <w:p w:rsidR="00C452B9" w:rsidRPr="009431DB" w:rsidRDefault="00C452B9" w:rsidP="00DA4957">
            <w:pPr>
              <w:pStyle w:val="TableText0"/>
              <w:jc w:val="center"/>
              <w:rPr>
                <w:b/>
              </w:rPr>
            </w:pPr>
            <w:r w:rsidRPr="009431DB">
              <w:rPr>
                <w:b/>
              </w:rPr>
              <w:t>N=66</w:t>
            </w:r>
          </w:p>
          <w:p w:rsidR="00C452B9" w:rsidRPr="009431DB" w:rsidRDefault="00C452B9" w:rsidP="00DA4957">
            <w:pPr>
              <w:pStyle w:val="TableText0"/>
              <w:jc w:val="center"/>
              <w:rPr>
                <w:b/>
              </w:rPr>
            </w:pPr>
            <w:r w:rsidRPr="009431DB">
              <w:rPr>
                <w:b/>
              </w:rPr>
              <w:t>% (n/N)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rPr>
                <w:b/>
              </w:rPr>
            </w:pPr>
            <w:r w:rsidRPr="009431DB">
              <w:rPr>
                <w:b/>
              </w:rPr>
              <w:t xml:space="preserve">Pooled 150 mg </w:t>
            </w:r>
            <w:r w:rsidR="00194D66">
              <w:rPr>
                <w:b/>
              </w:rPr>
              <w:t>OLYSIO</w:t>
            </w:r>
          </w:p>
          <w:p w:rsidR="00C452B9" w:rsidRPr="009431DB" w:rsidRDefault="00C452B9" w:rsidP="00DA4957">
            <w:pPr>
              <w:pStyle w:val="TableText0"/>
              <w:jc w:val="center"/>
              <w:rPr>
                <w:b/>
              </w:rPr>
            </w:pPr>
            <w:r w:rsidRPr="009431DB">
              <w:rPr>
                <w:b/>
              </w:rPr>
              <w:t>N=199</w:t>
            </w:r>
          </w:p>
          <w:p w:rsidR="00C452B9" w:rsidRPr="009431DB" w:rsidRDefault="00C452B9" w:rsidP="00DA4957">
            <w:pPr>
              <w:pStyle w:val="TableText0"/>
              <w:jc w:val="center"/>
              <w:rPr>
                <w:b/>
              </w:rPr>
            </w:pPr>
            <w:r w:rsidRPr="009431DB">
              <w:rPr>
                <w:b/>
              </w:rPr>
              <w:t>% (n/N)</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rPr>
                <w:b/>
              </w:rPr>
            </w:pPr>
            <w:r w:rsidRPr="009431DB">
              <w:rPr>
                <w:b/>
              </w:rPr>
              <w:t>Placebo</w:t>
            </w:r>
          </w:p>
          <w:p w:rsidR="00C452B9" w:rsidRPr="009431DB" w:rsidRDefault="00C452B9" w:rsidP="00DA4957">
            <w:pPr>
              <w:pStyle w:val="TableText0"/>
              <w:jc w:val="center"/>
              <w:rPr>
                <w:b/>
              </w:rPr>
            </w:pPr>
            <w:r w:rsidRPr="009431DB">
              <w:rPr>
                <w:b/>
              </w:rPr>
              <w:t>N=66</w:t>
            </w:r>
          </w:p>
          <w:p w:rsidR="00C452B9" w:rsidRPr="009431DB" w:rsidRDefault="00C452B9" w:rsidP="00DA4957">
            <w:pPr>
              <w:pStyle w:val="TableText0"/>
              <w:jc w:val="center"/>
              <w:rPr>
                <w:b/>
              </w:rPr>
            </w:pPr>
            <w:r w:rsidRPr="009431DB">
              <w:rPr>
                <w:b/>
              </w:rPr>
              <w:t>% (n/N)</w:t>
            </w:r>
          </w:p>
        </w:tc>
      </w:tr>
      <w:tr w:rsidR="00C452B9" w:rsidRPr="009431DB" w:rsidTr="00DA4957">
        <w:trPr>
          <w:cantSplit/>
        </w:trPr>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pPr>
            <w:r w:rsidRPr="009431DB">
              <w:rPr>
                <w:b/>
              </w:rPr>
              <w:t>SVR</w:t>
            </w:r>
            <w:r w:rsidRPr="0036048A">
              <w:rPr>
                <w:b/>
              </w:rPr>
              <w:t>24</w:t>
            </w:r>
          </w:p>
        </w:tc>
      </w:tr>
      <w:tr w:rsidR="00C452B9" w:rsidRPr="009431DB" w:rsidTr="00DA4957">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140"/>
            </w:pPr>
            <w:r w:rsidRPr="009431DB">
              <w:t>Prior partial responders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65% (15/23)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75% (52/69)</w:t>
            </w:r>
            <w:r w:rsidRPr="000F3613">
              <w:rPr>
                <w:noProof/>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pPr>
            <w:r w:rsidRPr="009431DB">
              <w:t>9% (2/23)</w:t>
            </w:r>
          </w:p>
        </w:tc>
      </w:tr>
      <w:tr w:rsidR="00C452B9" w:rsidRPr="009431DB" w:rsidTr="00DA4957">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140"/>
            </w:pPr>
            <w:r w:rsidRPr="009431DB">
              <w:t>Prior null responders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53% (9/17)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51% (26/51</w:t>
            </w:r>
            <w:r w:rsidRPr="000F3613">
              <w:t>)</w:t>
            </w:r>
            <w:r w:rsidRPr="000F3613">
              <w:rPr>
                <w:noProof/>
                <w:vertAlign w:val="superscript"/>
              </w:rPr>
              <w:t>2</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pPr>
            <w:r w:rsidRPr="009431DB">
              <w:t>19% (3/16)</w:t>
            </w:r>
          </w:p>
        </w:tc>
      </w:tr>
      <w:tr w:rsidR="00C452B9" w:rsidRPr="009431DB" w:rsidTr="00DA4957">
        <w:trPr>
          <w:cantSplit/>
        </w:trPr>
        <w:tc>
          <w:tcPr>
            <w:tcW w:w="9254" w:type="dxa"/>
            <w:gridSpan w:val="4"/>
            <w:tcBorders>
              <w:top w:val="doub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rPr>
                <w:b/>
              </w:rPr>
            </w:pPr>
            <w:r w:rsidRPr="009431DB">
              <w:rPr>
                <w:b/>
              </w:rPr>
              <w:t>Outcome for patients without SVR</w:t>
            </w:r>
            <w:r w:rsidRPr="00107370">
              <w:rPr>
                <w:b/>
              </w:rPr>
              <w:t>24</w:t>
            </w:r>
          </w:p>
        </w:tc>
      </w:tr>
      <w:tr w:rsidR="00C452B9" w:rsidRPr="009431DB" w:rsidTr="00DA4957">
        <w:trPr>
          <w:cantSplit/>
        </w:trPr>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pPr>
            <w:r w:rsidRPr="009431DB">
              <w:t>On</w:t>
            </w:r>
            <w:r w:rsidRPr="009431DB">
              <w:noBreakHyphen/>
              <w:t xml:space="preserve">treatment </w:t>
            </w:r>
            <w:proofErr w:type="spellStart"/>
            <w:r w:rsidRPr="009431DB">
              <w:t>virologic</w:t>
            </w:r>
            <w:proofErr w:type="spellEnd"/>
            <w:r w:rsidRPr="009431DB">
              <w:t xml:space="preserve"> failure</w:t>
            </w:r>
            <w:r>
              <w:rPr>
                <w:noProof/>
                <w:vertAlign w:val="superscript"/>
              </w:rPr>
              <w:t>3</w:t>
            </w:r>
          </w:p>
        </w:tc>
      </w:tr>
      <w:tr w:rsidR="00C452B9" w:rsidRPr="009431DB" w:rsidTr="00DA4957">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140"/>
            </w:pPr>
            <w:r w:rsidRPr="009431DB">
              <w:t>Prior partial responders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22% (5/23)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1</w:t>
            </w:r>
            <w:r>
              <w:t>6</w:t>
            </w:r>
            <w:r w:rsidRPr="009431DB">
              <w:t>% (1</w:t>
            </w:r>
            <w:r>
              <w:t>1</w:t>
            </w:r>
            <w:r w:rsidRPr="009431DB">
              <w:t>/69)</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pPr>
            <w:r w:rsidRPr="009431DB">
              <w:t>78% (18/23)</w:t>
            </w:r>
          </w:p>
        </w:tc>
      </w:tr>
      <w:tr w:rsidR="00C452B9" w:rsidRPr="009431DB" w:rsidTr="00DA4957">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140"/>
            </w:pPr>
            <w:r w:rsidRPr="009431DB">
              <w:t>Prior null responders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35% (6/17)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29% (15/51)</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pPr>
            <w:r w:rsidRPr="009431DB">
              <w:t>75% (12/16)</w:t>
            </w:r>
          </w:p>
        </w:tc>
      </w:tr>
      <w:tr w:rsidR="00C452B9" w:rsidRPr="009431DB" w:rsidTr="00DA4957">
        <w:trPr>
          <w:cantSplit/>
        </w:trPr>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pPr>
            <w:r w:rsidRPr="009431DB">
              <w:t>Viral Relapse</w:t>
            </w:r>
            <w:r>
              <w:rPr>
                <w:noProof/>
                <w:vertAlign w:val="superscript"/>
              </w:rPr>
              <w:t>4</w:t>
            </w:r>
            <w:r w:rsidRPr="009431DB">
              <w:rPr>
                <w:noProof/>
                <w:vertAlign w:val="superscript"/>
              </w:rPr>
              <w:t xml:space="preserve"> </w:t>
            </w:r>
          </w:p>
        </w:tc>
      </w:tr>
      <w:tr w:rsidR="00C452B9" w:rsidRPr="009431DB" w:rsidTr="00DA4957">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140"/>
            </w:pPr>
            <w:r w:rsidRPr="009431DB">
              <w:t>Prior partial responders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6% (1/17)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5% (3/56)</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pPr>
            <w:r w:rsidRPr="009431DB">
              <w:t>50% (2/4)</w:t>
            </w:r>
          </w:p>
        </w:tc>
      </w:tr>
      <w:tr w:rsidR="00C452B9" w:rsidRPr="009431DB" w:rsidTr="00DA4957">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ind w:left="140"/>
            </w:pPr>
            <w:r w:rsidRPr="009431DB">
              <w:t>Prior null responders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18% (2/11)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52B9" w:rsidRPr="009431DB" w:rsidRDefault="00C452B9" w:rsidP="00DA4957">
            <w:pPr>
              <w:pStyle w:val="TableText0"/>
              <w:jc w:val="center"/>
            </w:pPr>
            <w:r w:rsidRPr="009431DB">
              <w:t>28% (10/36)</w:t>
            </w:r>
          </w:p>
        </w:tc>
        <w:tc>
          <w:tcPr>
            <w:tcW w:w="1843" w:type="dxa"/>
            <w:tcBorders>
              <w:top w:val="single" w:sz="4" w:space="0" w:color="auto"/>
              <w:left w:val="single" w:sz="4" w:space="0" w:color="auto"/>
              <w:bottom w:val="single" w:sz="4" w:space="0" w:color="auto"/>
              <w:right w:val="single" w:sz="4" w:space="0" w:color="auto"/>
            </w:tcBorders>
          </w:tcPr>
          <w:p w:rsidR="00C452B9" w:rsidRPr="009431DB" w:rsidRDefault="00C452B9" w:rsidP="00DA4957">
            <w:pPr>
              <w:pStyle w:val="TableText0"/>
              <w:jc w:val="center"/>
            </w:pPr>
            <w:r w:rsidRPr="009431DB">
              <w:t>25% (1/4)</w:t>
            </w:r>
          </w:p>
        </w:tc>
      </w:tr>
      <w:tr w:rsidR="00C452B9" w:rsidRPr="009431DB" w:rsidTr="00DA4957">
        <w:trPr>
          <w:cantSplit/>
        </w:trPr>
        <w:tc>
          <w:tcPr>
            <w:tcW w:w="9254" w:type="dxa"/>
            <w:gridSpan w:val="4"/>
            <w:tcBorders>
              <w:top w:val="single" w:sz="4" w:space="0" w:color="auto"/>
              <w:left w:val="single" w:sz="4" w:space="0" w:color="auto"/>
              <w:bottom w:val="single" w:sz="4" w:space="0" w:color="auto"/>
              <w:right w:val="single" w:sz="4" w:space="0" w:color="auto"/>
            </w:tcBorders>
          </w:tcPr>
          <w:p w:rsidR="00C452B9" w:rsidRPr="00E64A0A" w:rsidRDefault="00C452B9" w:rsidP="00DA4957">
            <w:pPr>
              <w:pStyle w:val="TableFootnote"/>
              <w:ind w:left="0" w:firstLine="0"/>
            </w:pPr>
            <w:r w:rsidRPr="009431DB">
              <w:lastRenderedPageBreak/>
              <w:t xml:space="preserve">150 mg </w:t>
            </w:r>
            <w:r w:rsidR="00194D66">
              <w:t>OLYSIO</w:t>
            </w:r>
            <w:r w:rsidRPr="009431DB">
              <w:t xml:space="preserve">: 150 mg </w:t>
            </w:r>
            <w:r w:rsidR="00194D66">
              <w:t>OLYSIO</w:t>
            </w:r>
            <w:r w:rsidRPr="009431DB">
              <w:t xml:space="preserve"> for 12 weeks with </w:t>
            </w:r>
            <w:proofErr w:type="spellStart"/>
            <w:r w:rsidRPr="009431DB">
              <w:t>peginterferon</w:t>
            </w:r>
            <w:proofErr w:type="spellEnd"/>
            <w:r w:rsidRPr="009431DB">
              <w:t xml:space="preserve"> alfa</w:t>
            </w:r>
            <w:r w:rsidRPr="009431DB">
              <w:noBreakHyphen/>
              <w:t xml:space="preserve">2a and ribavirin for 48 weeks; pooled 150 mg </w:t>
            </w:r>
            <w:r w:rsidR="00194D66">
              <w:t>OLYSIO</w:t>
            </w:r>
            <w:r w:rsidRPr="00107370">
              <w:t xml:space="preserve">: 150 mg </w:t>
            </w:r>
            <w:r w:rsidR="00194D66">
              <w:t>OLYSIO</w:t>
            </w:r>
            <w:r w:rsidRPr="00107370">
              <w:t xml:space="preserve"> for 12, 24 or 48 weeks with </w:t>
            </w:r>
            <w:proofErr w:type="spellStart"/>
            <w:r w:rsidRPr="00107370">
              <w:t>peginterferon</w:t>
            </w:r>
            <w:proofErr w:type="spellEnd"/>
            <w:r w:rsidRPr="00107370">
              <w:t xml:space="preserve"> alfa</w:t>
            </w:r>
            <w:r w:rsidRPr="00107370">
              <w:noBreakHyphen/>
              <w:t xml:space="preserve">2a and ribavirin for 48 weeks; Placebo: placebo with </w:t>
            </w:r>
            <w:proofErr w:type="spellStart"/>
            <w:r w:rsidRPr="00107370">
              <w:t>peginterferon</w:t>
            </w:r>
            <w:proofErr w:type="spellEnd"/>
            <w:r w:rsidRPr="00107370">
              <w:t xml:space="preserve"> alfa</w:t>
            </w:r>
            <w:r w:rsidRPr="00107370">
              <w:noBreakHyphen/>
              <w:t xml:space="preserve">2a or </w:t>
            </w:r>
            <w:r w:rsidRPr="00107370">
              <w:noBreakHyphen/>
              <w:t xml:space="preserve">2b and ribavirin for 48 weeks. SVR24: sustained </w:t>
            </w:r>
            <w:proofErr w:type="spellStart"/>
            <w:r w:rsidRPr="00107370">
              <w:t>virologic</w:t>
            </w:r>
            <w:proofErr w:type="spellEnd"/>
            <w:r w:rsidRPr="00107370">
              <w:t xml:space="preserve"> response 24</w:t>
            </w:r>
            <w:r>
              <w:t> </w:t>
            </w:r>
            <w:r w:rsidRPr="00107370">
              <w:t>weeks after planned EOT.</w:t>
            </w:r>
          </w:p>
          <w:p w:rsidR="00C452B9" w:rsidRPr="00E64A0A" w:rsidRDefault="00C452B9" w:rsidP="00DA4957">
            <w:pPr>
              <w:pStyle w:val="TableFootnote"/>
            </w:pPr>
            <w:r w:rsidRPr="00E64A0A">
              <w:rPr>
                <w:noProof/>
                <w:vertAlign w:val="superscript"/>
              </w:rPr>
              <w:t>1</w:t>
            </w:r>
            <w:r w:rsidRPr="00E64A0A">
              <w:tab/>
              <w:t>p &lt; 0.001</w:t>
            </w:r>
          </w:p>
          <w:p w:rsidR="00C452B9" w:rsidRPr="009431DB" w:rsidRDefault="00C452B9" w:rsidP="00DA4957">
            <w:pPr>
              <w:pStyle w:val="TableFootnote"/>
            </w:pPr>
            <w:r w:rsidRPr="00E64A0A">
              <w:rPr>
                <w:noProof/>
                <w:vertAlign w:val="superscript"/>
              </w:rPr>
              <w:t>2</w:t>
            </w:r>
            <w:r w:rsidRPr="00E64A0A">
              <w:tab/>
              <w:t>p = 0.001</w:t>
            </w:r>
          </w:p>
          <w:p w:rsidR="00C452B9" w:rsidRPr="009431DB" w:rsidRDefault="00C452B9" w:rsidP="00DA4957">
            <w:pPr>
              <w:pStyle w:val="TableFootnote"/>
            </w:pPr>
            <w:r>
              <w:rPr>
                <w:noProof/>
                <w:vertAlign w:val="superscript"/>
              </w:rPr>
              <w:t>3</w:t>
            </w:r>
            <w:r w:rsidRPr="009431DB">
              <w:tab/>
              <w:t>On</w:t>
            </w:r>
            <w:r w:rsidRPr="009431DB">
              <w:noBreakHyphen/>
              <w:t xml:space="preserve">treatment </w:t>
            </w:r>
            <w:proofErr w:type="spellStart"/>
            <w:r w:rsidRPr="009431DB">
              <w:t>virologic</w:t>
            </w:r>
            <w:proofErr w:type="spellEnd"/>
            <w:r w:rsidRPr="009431DB">
              <w:t xml:space="preserve"> failure was defined as the proportion of patients who met the protocol</w:t>
            </w:r>
            <w:r w:rsidRPr="009431DB">
              <w:noBreakHyphen/>
              <w:t xml:space="preserve">specified treatment stopping rules (including stopping rule due to viral breakthrough) or who had detectable </w:t>
            </w:r>
            <w:r>
              <w:t>HCV </w:t>
            </w:r>
            <w:r w:rsidRPr="009431DB">
              <w:t xml:space="preserve">RNA at EOT (for </w:t>
            </w:r>
            <w:r w:rsidRPr="00EC58DD">
              <w:t>patients who</w:t>
            </w:r>
            <w:r w:rsidRPr="009431DB">
              <w:t xml:space="preserve"> completed therapy).</w:t>
            </w:r>
          </w:p>
          <w:p w:rsidR="00C452B9" w:rsidRPr="009431DB" w:rsidRDefault="00C452B9" w:rsidP="00DA4957">
            <w:pPr>
              <w:pStyle w:val="TableFootnote"/>
            </w:pPr>
            <w:r>
              <w:rPr>
                <w:noProof/>
                <w:vertAlign w:val="superscript"/>
              </w:rPr>
              <w:t>4</w:t>
            </w:r>
            <w:r w:rsidRPr="009431DB">
              <w:tab/>
              <w:t xml:space="preserve">Viral relapse rates are calculated with a denominator of patients with undetectable </w:t>
            </w:r>
            <w:r>
              <w:t>HCV </w:t>
            </w:r>
            <w:r w:rsidRPr="009431DB">
              <w:t xml:space="preserve">RNA at EOT </w:t>
            </w:r>
            <w:r w:rsidRPr="00107370">
              <w:t>and with at least one follow</w:t>
            </w:r>
            <w:r w:rsidRPr="00107370">
              <w:noBreakHyphen/>
              <w:t>up HCV RNA assessment</w:t>
            </w:r>
            <w:r w:rsidRPr="009431DB">
              <w:t>.</w:t>
            </w:r>
          </w:p>
        </w:tc>
      </w:tr>
    </w:tbl>
    <w:p w:rsidR="00C452B9" w:rsidRPr="009431DB" w:rsidRDefault="00C452B9" w:rsidP="00C452B9">
      <w:pPr>
        <w:pStyle w:val="BodyText120"/>
      </w:pPr>
    </w:p>
    <w:p w:rsidR="00D93599" w:rsidRDefault="00D93599" w:rsidP="00D93599">
      <w:r>
        <w:t>In Study C206, n</w:t>
      </w:r>
      <w:r w:rsidRPr="009045A9">
        <w:t>o treatment</w:t>
      </w:r>
      <w:r w:rsidRPr="009045A9">
        <w:noBreakHyphen/>
        <w:t>related differences in patient</w:t>
      </w:r>
      <w:r w:rsidRPr="009045A9">
        <w:noBreakHyphen/>
        <w:t>reported fatigue severity were observed</w:t>
      </w:r>
      <w:r>
        <w:t xml:space="preserve">. </w:t>
      </w:r>
      <w:r w:rsidRPr="009045A9">
        <w:t xml:space="preserve">Fatigue increased </w:t>
      </w:r>
      <w:r>
        <w:t>to</w:t>
      </w:r>
      <w:r w:rsidRPr="009045A9">
        <w:t xml:space="preserve"> similar </w:t>
      </w:r>
      <w:r>
        <w:t>extent</w:t>
      </w:r>
      <w:r w:rsidRPr="009045A9">
        <w:t xml:space="preserve"> and </w:t>
      </w:r>
      <w:r>
        <w:t>returned</w:t>
      </w:r>
      <w:r w:rsidRPr="009045A9">
        <w:t xml:space="preserve"> to baseline levels afte</w:t>
      </w:r>
      <w:r>
        <w:t>r Week 48 in all treatment arms</w:t>
      </w:r>
      <w:r w:rsidRPr="009045A9">
        <w:t>.</w:t>
      </w:r>
    </w:p>
    <w:p w:rsidR="00D93599" w:rsidRPr="00B40060" w:rsidRDefault="00D93599" w:rsidP="00D93599">
      <w:r w:rsidRPr="009431DB">
        <w:t xml:space="preserve">SVR24 rates were higher in the </w:t>
      </w:r>
      <w:r w:rsidR="00194D66">
        <w:t>OLYSIO</w:t>
      </w:r>
      <w:r w:rsidRPr="009431DB">
        <w:noBreakHyphen/>
      </w:r>
      <w:r>
        <w:t>treated patients</w:t>
      </w:r>
      <w:r w:rsidRPr="009431DB">
        <w:t xml:space="preserve"> </w:t>
      </w:r>
      <w:r>
        <w:t>compared to patients receiving</w:t>
      </w:r>
      <w:r w:rsidRPr="009431DB">
        <w:t xml:space="preserve"> placebo in combination 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 regardless of </w:t>
      </w:r>
      <w:r>
        <w:t>HCV g</w:t>
      </w:r>
      <w:r w:rsidRPr="009431DB">
        <w:t xml:space="preserve">eno/subtype, METAVIR fibrosis score, </w:t>
      </w:r>
      <w:r>
        <w:t xml:space="preserve">and </w:t>
      </w:r>
      <w:r w:rsidRPr="009431DB">
        <w:rPr>
          <w:i/>
        </w:rPr>
        <w:t>IL28B</w:t>
      </w:r>
      <w:r>
        <w:t> </w:t>
      </w:r>
      <w:r w:rsidRPr="009431DB">
        <w:t>genotype</w:t>
      </w:r>
      <w:r w:rsidRPr="00B40060">
        <w:t>.</w:t>
      </w:r>
      <w:r>
        <w:t xml:space="preserve"> Table 8</w:t>
      </w:r>
      <w:r w:rsidRPr="00B40060">
        <w:t xml:space="preserve"> shows the SVR rates by METAVIR fibrosis score.</w:t>
      </w:r>
    </w:p>
    <w:p w:rsidR="00031C15" w:rsidRDefault="00031C15" w:rsidP="00305B7A">
      <w:pPr>
        <w:rPr>
          <w:rFonts w:cs="Arial"/>
          <w:noProof/>
          <w:szCs w:val="22"/>
        </w:rPr>
      </w:pPr>
    </w:p>
    <w:tbl>
      <w:tblPr>
        <w:tblW w:w="9254" w:type="dxa"/>
        <w:tblInd w:w="144" w:type="dxa"/>
        <w:tblLayout w:type="fixed"/>
        <w:tblCellMar>
          <w:left w:w="42" w:type="dxa"/>
          <w:right w:w="42" w:type="dxa"/>
        </w:tblCellMar>
        <w:tblLook w:val="0000" w:firstRow="0" w:lastRow="0" w:firstColumn="0" w:lastColumn="0" w:noHBand="0" w:noVBand="0"/>
      </w:tblPr>
      <w:tblGrid>
        <w:gridCol w:w="2025"/>
        <w:gridCol w:w="1984"/>
        <w:gridCol w:w="1701"/>
        <w:gridCol w:w="1843"/>
        <w:gridCol w:w="1701"/>
      </w:tblGrid>
      <w:tr w:rsidR="00D93599" w:rsidRPr="00B40060" w:rsidTr="001C6A82">
        <w:trPr>
          <w:cantSplit/>
          <w:tblHeader/>
        </w:trPr>
        <w:tc>
          <w:tcPr>
            <w:tcW w:w="9254" w:type="dxa"/>
            <w:gridSpan w:val="5"/>
            <w:tcBorders>
              <w:bottom w:val="single" w:sz="4" w:space="0" w:color="auto"/>
            </w:tcBorders>
            <w:shd w:val="clear" w:color="auto" w:fill="auto"/>
          </w:tcPr>
          <w:p w:rsidR="00D93599" w:rsidRPr="00B40060" w:rsidRDefault="00D93599" w:rsidP="00DC26F7">
            <w:pPr>
              <w:pStyle w:val="Caption"/>
              <w:rPr>
                <w:lang w:eastAsia="en-US"/>
              </w:rPr>
            </w:pPr>
            <w:r w:rsidRPr="00B40060">
              <w:rPr>
                <w:lang w:eastAsia="en-US"/>
              </w:rPr>
              <w:t>Table </w:t>
            </w:r>
            <w:r>
              <w:rPr>
                <w:lang w:eastAsia="en-US"/>
              </w:rPr>
              <w:t>8</w:t>
            </w:r>
            <w:r w:rsidRPr="00B40060">
              <w:rPr>
                <w:lang w:eastAsia="en-US"/>
              </w:rPr>
              <w:t>:</w:t>
            </w:r>
            <w:r w:rsidRPr="00B40060">
              <w:rPr>
                <w:lang w:eastAsia="en-US"/>
              </w:rPr>
              <w:tab/>
              <w:t xml:space="preserve">SVR24 Rates by METAVIR Fibrosis Score in Adult Patients with </w:t>
            </w:r>
            <w:r>
              <w:rPr>
                <w:lang w:eastAsia="en-US"/>
              </w:rPr>
              <w:t>HCV G</w:t>
            </w:r>
            <w:r w:rsidRPr="00B40060">
              <w:rPr>
                <w:lang w:eastAsia="en-US"/>
              </w:rPr>
              <w:t xml:space="preserve">enotype 1 Infection Who Failed Prior </w:t>
            </w:r>
            <w:proofErr w:type="spellStart"/>
            <w:r w:rsidRPr="00B40060">
              <w:rPr>
                <w:lang w:eastAsia="en-US"/>
              </w:rPr>
              <w:t>Peginterferon</w:t>
            </w:r>
            <w:proofErr w:type="spellEnd"/>
            <w:r w:rsidRPr="00B40060">
              <w:rPr>
                <w:lang w:eastAsia="en-US"/>
              </w:rPr>
              <w:t xml:space="preserve"> </w:t>
            </w:r>
            <w:proofErr w:type="spellStart"/>
            <w:r w:rsidRPr="00B40060">
              <w:rPr>
                <w:lang w:eastAsia="en-US"/>
              </w:rPr>
              <w:t>alfa</w:t>
            </w:r>
            <w:proofErr w:type="spellEnd"/>
            <w:r w:rsidRPr="00B40060">
              <w:rPr>
                <w:lang w:eastAsia="en-US"/>
              </w:rPr>
              <w:t xml:space="preserve"> and Ribavirin Therapy (Study C206; Prior Partial and Null Responders)</w:t>
            </w:r>
          </w:p>
        </w:tc>
      </w:tr>
      <w:tr w:rsidR="00D93599" w:rsidRPr="009431DB" w:rsidTr="001C6A82">
        <w:trPr>
          <w:cantSplit/>
          <w:tblHeader/>
        </w:trPr>
        <w:tc>
          <w:tcPr>
            <w:tcW w:w="2025" w:type="dxa"/>
            <w:vMerge w:val="restart"/>
            <w:tcBorders>
              <w:top w:val="single" w:sz="4" w:space="0" w:color="auto"/>
              <w:left w:val="single" w:sz="4" w:space="0" w:color="auto"/>
              <w:right w:val="single" w:sz="4" w:space="0" w:color="auto"/>
            </w:tcBorders>
            <w:shd w:val="clear" w:color="auto" w:fill="auto"/>
          </w:tcPr>
          <w:p w:rsidR="00D93599" w:rsidRPr="00B40060" w:rsidRDefault="00D93599" w:rsidP="00DA4957">
            <w:pPr>
              <w:pStyle w:val="TableText0"/>
              <w:rPr>
                <w:b/>
              </w:rPr>
            </w:pPr>
            <w:r w:rsidRPr="00B40060">
              <w:rPr>
                <w:b/>
              </w:rPr>
              <w:t>METAVIR Fibrosis Score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D93599" w:rsidRPr="00B40060" w:rsidRDefault="00D93599" w:rsidP="00DA4957">
            <w:pPr>
              <w:pStyle w:val="TableText0"/>
              <w:jc w:val="center"/>
            </w:pPr>
            <w:r w:rsidRPr="00B40060">
              <w:rPr>
                <w:b/>
              </w:rPr>
              <w:t>Prior Partial Responders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rPr>
                <w:b/>
              </w:rPr>
            </w:pPr>
            <w:r w:rsidRPr="00B40060">
              <w:rPr>
                <w:b/>
              </w:rPr>
              <w:t xml:space="preserve">Prior Null </w:t>
            </w:r>
            <w:proofErr w:type="spellStart"/>
            <w:r w:rsidRPr="00B40060">
              <w:rPr>
                <w:b/>
              </w:rPr>
              <w:t>Reponders</w:t>
            </w:r>
            <w:proofErr w:type="spellEnd"/>
          </w:p>
        </w:tc>
      </w:tr>
      <w:tr w:rsidR="00D93599" w:rsidRPr="009431DB" w:rsidTr="001C6A82">
        <w:trPr>
          <w:cantSplit/>
          <w:tblHeader/>
        </w:trPr>
        <w:tc>
          <w:tcPr>
            <w:tcW w:w="2025" w:type="dxa"/>
            <w:vMerge/>
            <w:tcBorders>
              <w:left w:val="single" w:sz="4" w:space="0" w:color="auto"/>
              <w:bottom w:val="single" w:sz="4" w:space="0" w:color="auto"/>
              <w:right w:val="single" w:sz="4" w:space="0" w:color="auto"/>
            </w:tcBorders>
            <w:shd w:val="clear" w:color="auto" w:fill="auto"/>
          </w:tcPr>
          <w:p w:rsidR="00D93599" w:rsidRPr="003327DC" w:rsidRDefault="00D93599" w:rsidP="00DA4957">
            <w:pPr>
              <w:pStyle w:val="TableText0"/>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3599" w:rsidRDefault="00D93599" w:rsidP="00DA4957">
            <w:pPr>
              <w:pStyle w:val="TableText0"/>
              <w:jc w:val="center"/>
              <w:rPr>
                <w:b/>
              </w:rPr>
            </w:pPr>
            <w:r>
              <w:rPr>
                <w:b/>
              </w:rPr>
              <w:t xml:space="preserve">Pooled 150 mg </w:t>
            </w:r>
            <w:r w:rsidR="00194D66">
              <w:rPr>
                <w:b/>
              </w:rPr>
              <w:t>OLYSIO</w:t>
            </w:r>
          </w:p>
          <w:p w:rsidR="00D93599" w:rsidRDefault="00D93599" w:rsidP="00DA4957">
            <w:pPr>
              <w:pStyle w:val="TableText0"/>
              <w:jc w:val="center"/>
              <w:rPr>
                <w:b/>
              </w:rPr>
            </w:pPr>
            <w:r w:rsidRPr="009431DB">
              <w:rPr>
                <w:b/>
              </w:rPr>
              <w:t>% (n/N)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rPr>
                <w:b/>
              </w:rPr>
            </w:pPr>
            <w:r w:rsidRPr="009431DB">
              <w:rPr>
                <w:b/>
              </w:rPr>
              <w:t>Placebo</w:t>
            </w:r>
          </w:p>
          <w:p w:rsidR="00D93599" w:rsidRPr="009431DB" w:rsidRDefault="00D93599" w:rsidP="00DA4957">
            <w:pPr>
              <w:pStyle w:val="TableText0"/>
              <w:jc w:val="center"/>
            </w:pPr>
            <w:r w:rsidRPr="009431DB">
              <w:rPr>
                <w:b/>
              </w:rPr>
              <w:t>% (n/N)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93599" w:rsidRDefault="00D93599" w:rsidP="00DA4957">
            <w:pPr>
              <w:pStyle w:val="TableText0"/>
              <w:jc w:val="center"/>
              <w:rPr>
                <w:b/>
              </w:rPr>
            </w:pPr>
            <w:r>
              <w:rPr>
                <w:b/>
              </w:rPr>
              <w:t xml:space="preserve">Pooled 150 mg </w:t>
            </w:r>
            <w:r w:rsidR="00194D66">
              <w:rPr>
                <w:b/>
              </w:rPr>
              <w:t>OLYSIO</w:t>
            </w:r>
          </w:p>
          <w:p w:rsidR="00D93599" w:rsidRDefault="00D93599" w:rsidP="00DA4957">
            <w:pPr>
              <w:pStyle w:val="TableText0"/>
              <w:jc w:val="center"/>
              <w:rPr>
                <w:b/>
              </w:rPr>
            </w:pPr>
            <w:r w:rsidRPr="009431DB">
              <w:rPr>
                <w:b/>
              </w:rPr>
              <w:t>% (n/N)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rPr>
                <w:b/>
              </w:rPr>
            </w:pPr>
            <w:r w:rsidRPr="009431DB">
              <w:rPr>
                <w:b/>
              </w:rPr>
              <w:t>Placebo</w:t>
            </w:r>
          </w:p>
          <w:p w:rsidR="00D93599" w:rsidRPr="009431DB" w:rsidRDefault="00D93599" w:rsidP="00DA4957">
            <w:pPr>
              <w:pStyle w:val="TableText0"/>
              <w:jc w:val="center"/>
            </w:pPr>
            <w:r w:rsidRPr="009431DB">
              <w:rPr>
                <w:b/>
              </w:rPr>
              <w:t>% (n/N)</w:t>
            </w:r>
          </w:p>
        </w:tc>
      </w:tr>
      <w:tr w:rsidR="00D93599" w:rsidRPr="009431DB" w:rsidTr="00DA4957">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tabs>
                <w:tab w:val="clear" w:pos="288"/>
                <w:tab w:val="clear" w:pos="576"/>
                <w:tab w:val="left" w:pos="565"/>
              </w:tabs>
              <w:ind w:left="-2"/>
            </w:pPr>
            <w:r w:rsidRPr="009431DB">
              <w:t>F0</w:t>
            </w:r>
            <w:r w:rsidRPr="009431DB">
              <w:noBreakHyphen/>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79% (</w:t>
            </w:r>
            <w:r w:rsidRPr="000929B4">
              <w:t>38/48)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8% (</w:t>
            </w:r>
            <w:r w:rsidRPr="000929B4">
              <w:t>1/12)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66% (</w:t>
            </w:r>
            <w:r w:rsidRPr="000929B4">
              <w:t>19/29)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23% (</w:t>
            </w:r>
            <w:r w:rsidRPr="000929B4">
              <w:t>3/13)</w:t>
            </w:r>
          </w:p>
        </w:tc>
      </w:tr>
      <w:tr w:rsidR="00D93599" w:rsidRPr="009431DB" w:rsidTr="00DA4957">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tabs>
                <w:tab w:val="clear" w:pos="288"/>
                <w:tab w:val="clear" w:pos="576"/>
                <w:tab w:val="left" w:pos="565"/>
              </w:tabs>
              <w:ind w:left="-2"/>
            </w:pPr>
            <w:r w:rsidRPr="009431DB">
              <w:t>F3</w:t>
            </w:r>
            <w:r w:rsidRPr="009431DB">
              <w:noBreakHyphen/>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67% (</w:t>
            </w:r>
            <w:r w:rsidRPr="000929B4">
              <w:t>14/21)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10% (</w:t>
            </w:r>
            <w:r w:rsidRPr="000929B4">
              <w:t>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33% (</w:t>
            </w:r>
            <w:r w:rsidRPr="000929B4">
              <w:t>7/21)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0% (</w:t>
            </w:r>
            <w:r w:rsidRPr="000929B4">
              <w:t>0/3)</w:t>
            </w:r>
          </w:p>
        </w:tc>
      </w:tr>
      <w:tr w:rsidR="00D93599" w:rsidRPr="009431DB" w:rsidTr="00DA4957">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tabs>
                <w:tab w:val="clear" w:pos="288"/>
                <w:tab w:val="clear" w:pos="576"/>
                <w:tab w:val="left" w:pos="565"/>
              </w:tabs>
              <w:ind w:left="-2"/>
            </w:pPr>
            <w:r w:rsidRPr="009431DB">
              <w:t>F4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82% (</w:t>
            </w:r>
            <w:r w:rsidRPr="000929B4">
              <w:t>9/11)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0% (</w:t>
            </w:r>
            <w:r w:rsidRPr="000929B4">
              <w:t>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31% (</w:t>
            </w:r>
            <w:r w:rsidRPr="000929B4">
              <w:t>4/13)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Text0"/>
              <w:jc w:val="center"/>
            </w:pPr>
            <w:r>
              <w:t>0% (</w:t>
            </w:r>
            <w:r w:rsidRPr="000929B4">
              <w:t>0/2)</w:t>
            </w:r>
          </w:p>
        </w:tc>
      </w:tr>
      <w:tr w:rsidR="00D93599" w:rsidRPr="009431DB" w:rsidTr="00DA4957">
        <w:trPr>
          <w:cantSplit/>
        </w:trPr>
        <w:tc>
          <w:tcPr>
            <w:tcW w:w="9254" w:type="dxa"/>
            <w:gridSpan w:val="5"/>
            <w:tcBorders>
              <w:top w:val="single" w:sz="4" w:space="0" w:color="auto"/>
              <w:left w:val="single" w:sz="4" w:space="0" w:color="auto"/>
              <w:bottom w:val="single" w:sz="4" w:space="0" w:color="auto"/>
              <w:right w:val="single" w:sz="4" w:space="0" w:color="auto"/>
            </w:tcBorders>
            <w:shd w:val="clear" w:color="auto" w:fill="auto"/>
          </w:tcPr>
          <w:p w:rsidR="00D93599" w:rsidRPr="009431DB" w:rsidRDefault="00D93599" w:rsidP="00DA4957">
            <w:pPr>
              <w:pStyle w:val="TableFootnote"/>
              <w:ind w:left="0" w:firstLine="0"/>
            </w:pPr>
            <w:proofErr w:type="gramStart"/>
            <w:r w:rsidRPr="009431DB">
              <w:t>pooled</w:t>
            </w:r>
            <w:proofErr w:type="gramEnd"/>
            <w:r w:rsidRPr="009431DB">
              <w:t xml:space="preserve"> 150 mg </w:t>
            </w:r>
            <w:r w:rsidR="00194D66">
              <w:t>OLYSIO</w:t>
            </w:r>
            <w:r w:rsidRPr="009431DB">
              <w:t xml:space="preserve">: 150 mg </w:t>
            </w:r>
            <w:r w:rsidR="00194D66">
              <w:t>OLYSIO</w:t>
            </w:r>
            <w:r w:rsidRPr="009431DB">
              <w:t xml:space="preserve"> for 12, 24 or 48 weeks with </w:t>
            </w:r>
            <w:proofErr w:type="spellStart"/>
            <w:r w:rsidRPr="009431DB">
              <w:t>peginterferon</w:t>
            </w:r>
            <w:proofErr w:type="spellEnd"/>
            <w:r w:rsidRPr="009431DB">
              <w:t xml:space="preserve"> alfa</w:t>
            </w:r>
            <w:r w:rsidRPr="009431DB">
              <w:noBreakHyphen/>
              <w:t xml:space="preserve">2a and ribavirin for 48 weeks; Placebo: placebo for 12 weeks with </w:t>
            </w:r>
            <w:proofErr w:type="spellStart"/>
            <w:r w:rsidRPr="009431DB">
              <w:t>peginterferon</w:t>
            </w:r>
            <w:proofErr w:type="spellEnd"/>
            <w:r w:rsidRPr="009431DB">
              <w:t xml:space="preserve"> alfa</w:t>
            </w:r>
            <w:r w:rsidRPr="009431DB">
              <w:noBreakHyphen/>
              <w:t xml:space="preserve">2a or </w:t>
            </w:r>
            <w:r w:rsidRPr="009431DB">
              <w:noBreakHyphen/>
              <w:t xml:space="preserve">2b and ribavirin for 48 weeks. </w:t>
            </w:r>
            <w:r w:rsidRPr="00EC58DD">
              <w:t xml:space="preserve">SVR24: sustained </w:t>
            </w:r>
            <w:proofErr w:type="spellStart"/>
            <w:r w:rsidRPr="00EC58DD">
              <w:t>virologic</w:t>
            </w:r>
            <w:proofErr w:type="spellEnd"/>
            <w:r w:rsidRPr="00EC58DD">
              <w:t xml:space="preserve"> response 24</w:t>
            </w:r>
            <w:r>
              <w:t> </w:t>
            </w:r>
            <w:r w:rsidRPr="00EC58DD">
              <w:t>weeks after planned EOT.</w:t>
            </w:r>
          </w:p>
        </w:tc>
      </w:tr>
    </w:tbl>
    <w:p w:rsidR="00A975F2" w:rsidRDefault="00A975F2" w:rsidP="00A975F2">
      <w:pPr>
        <w:pStyle w:val="BodyText120"/>
        <w:rPr>
          <w:rFonts w:ascii="Arial" w:hAnsi="Arial" w:cs="Arial"/>
          <w:sz w:val="22"/>
          <w:szCs w:val="22"/>
          <w:lang w:val="en-GB"/>
        </w:rPr>
      </w:pPr>
    </w:p>
    <w:p w:rsidR="00A975F2" w:rsidRDefault="007C3EE8" w:rsidP="00DA2AE8">
      <w:pPr>
        <w:pStyle w:val="BodyText120"/>
        <w:spacing w:after="0" w:line="240" w:lineRule="auto"/>
        <w:rPr>
          <w:rFonts w:ascii="Arial" w:hAnsi="Arial" w:cs="Arial"/>
          <w:sz w:val="22"/>
          <w:szCs w:val="22"/>
          <w:lang w:val="en-AU"/>
        </w:rPr>
      </w:pPr>
      <w:r w:rsidRPr="007C3EE8">
        <w:rPr>
          <w:rFonts w:ascii="Arial" w:hAnsi="Arial" w:cs="Arial"/>
          <w:sz w:val="22"/>
          <w:szCs w:val="22"/>
          <w:lang w:val="en-AU"/>
        </w:rPr>
        <w:t>Study HPC30</w:t>
      </w:r>
      <w:r w:rsidR="00C50CA8">
        <w:rPr>
          <w:rFonts w:ascii="Arial" w:hAnsi="Arial" w:cs="Arial"/>
          <w:sz w:val="22"/>
          <w:szCs w:val="22"/>
          <w:lang w:val="en-AU"/>
        </w:rPr>
        <w:t>0</w:t>
      </w:r>
      <w:r w:rsidRPr="007C3EE8">
        <w:rPr>
          <w:rFonts w:ascii="Arial" w:hAnsi="Arial" w:cs="Arial"/>
          <w:sz w:val="22"/>
          <w:szCs w:val="22"/>
          <w:lang w:val="en-AU"/>
        </w:rPr>
        <w:t>1 was a randomized, double-blind</w:t>
      </w:r>
      <w:r>
        <w:rPr>
          <w:rFonts w:ascii="Arial" w:hAnsi="Arial" w:cs="Arial"/>
          <w:sz w:val="22"/>
          <w:szCs w:val="22"/>
          <w:lang w:val="en-AU"/>
        </w:rPr>
        <w:t>, non-</w:t>
      </w:r>
      <w:r w:rsidR="00C50CA8">
        <w:rPr>
          <w:rFonts w:ascii="Arial" w:hAnsi="Arial" w:cs="Arial"/>
          <w:sz w:val="22"/>
          <w:szCs w:val="22"/>
          <w:lang w:val="en-AU"/>
        </w:rPr>
        <w:t>inferiority</w:t>
      </w:r>
      <w:r w:rsidRPr="007C3EE8">
        <w:rPr>
          <w:rFonts w:ascii="Arial" w:hAnsi="Arial" w:cs="Arial"/>
          <w:sz w:val="22"/>
          <w:szCs w:val="22"/>
          <w:lang w:val="en-AU"/>
        </w:rPr>
        <w:t xml:space="preserve"> Phase 3 study in patients with HCV genotype 1 infection who were </w:t>
      </w:r>
      <w:r w:rsidRPr="007C3EE8">
        <w:rPr>
          <w:rFonts w:ascii="Arial" w:hAnsi="Arial" w:cs="Arial"/>
          <w:b/>
          <w:sz w:val="22"/>
          <w:szCs w:val="22"/>
          <w:lang w:val="en-AU"/>
        </w:rPr>
        <w:t xml:space="preserve">null or partial responders to prior </w:t>
      </w:r>
      <w:proofErr w:type="spellStart"/>
      <w:r w:rsidRPr="007C3EE8">
        <w:rPr>
          <w:rFonts w:ascii="Arial" w:hAnsi="Arial" w:cs="Arial"/>
          <w:b/>
          <w:sz w:val="22"/>
          <w:szCs w:val="22"/>
          <w:lang w:val="en-AU"/>
        </w:rPr>
        <w:t>peginterferon</w:t>
      </w:r>
      <w:proofErr w:type="spellEnd"/>
      <w:r w:rsidRPr="007C3EE8">
        <w:rPr>
          <w:rFonts w:ascii="Arial" w:hAnsi="Arial" w:cs="Arial"/>
          <w:b/>
          <w:sz w:val="22"/>
          <w:szCs w:val="22"/>
          <w:lang w:val="en-AU"/>
        </w:rPr>
        <w:t xml:space="preserve"> </w:t>
      </w:r>
      <w:proofErr w:type="spellStart"/>
      <w:r w:rsidRPr="007C3EE8">
        <w:rPr>
          <w:rFonts w:ascii="Arial" w:hAnsi="Arial" w:cs="Arial"/>
          <w:b/>
          <w:sz w:val="22"/>
          <w:szCs w:val="22"/>
          <w:lang w:val="en-AU"/>
        </w:rPr>
        <w:t>alfa</w:t>
      </w:r>
      <w:proofErr w:type="spellEnd"/>
      <w:r w:rsidRPr="007C3EE8">
        <w:rPr>
          <w:rFonts w:ascii="Arial" w:hAnsi="Arial" w:cs="Arial"/>
          <w:b/>
          <w:sz w:val="22"/>
          <w:szCs w:val="22"/>
          <w:lang w:val="en-AU"/>
        </w:rPr>
        <w:t xml:space="preserve"> and ribavirin therapy</w:t>
      </w:r>
      <w:r w:rsidRPr="007C3EE8">
        <w:rPr>
          <w:rFonts w:ascii="Arial" w:hAnsi="Arial" w:cs="Arial"/>
          <w:sz w:val="22"/>
          <w:szCs w:val="22"/>
          <w:lang w:val="en-AU"/>
        </w:rPr>
        <w:t xml:space="preserve">. Patients received 12 weeks of OLYSIO or </w:t>
      </w:r>
      <w:proofErr w:type="spellStart"/>
      <w:r w:rsidRPr="007C3EE8">
        <w:rPr>
          <w:rFonts w:ascii="Arial" w:hAnsi="Arial" w:cs="Arial"/>
          <w:sz w:val="22"/>
          <w:szCs w:val="22"/>
          <w:lang w:val="en-AU"/>
        </w:rPr>
        <w:t>telaprevir</w:t>
      </w:r>
      <w:proofErr w:type="spellEnd"/>
      <w:r w:rsidRPr="007C3EE8">
        <w:rPr>
          <w:rFonts w:ascii="Arial" w:hAnsi="Arial" w:cs="Arial"/>
          <w:sz w:val="22"/>
          <w:szCs w:val="22"/>
          <w:lang w:val="en-AU"/>
        </w:rPr>
        <w:t xml:space="preserve"> in combination with 48 weeks of </w:t>
      </w:r>
      <w:proofErr w:type="spellStart"/>
      <w:r w:rsidRPr="007C3EE8">
        <w:rPr>
          <w:rFonts w:ascii="Arial" w:hAnsi="Arial" w:cs="Arial"/>
          <w:sz w:val="22"/>
          <w:szCs w:val="22"/>
          <w:lang w:val="en-AU"/>
        </w:rPr>
        <w:t>peginterferon</w:t>
      </w:r>
      <w:proofErr w:type="spellEnd"/>
      <w:r w:rsidRPr="007C3EE8">
        <w:rPr>
          <w:rFonts w:ascii="Arial" w:hAnsi="Arial" w:cs="Arial"/>
          <w:sz w:val="22"/>
          <w:szCs w:val="22"/>
          <w:lang w:val="en-AU"/>
        </w:rPr>
        <w:t xml:space="preserve"> alfa-2a and ribavirin.</w:t>
      </w:r>
    </w:p>
    <w:p w:rsidR="00DA2AE8" w:rsidRDefault="00DA2AE8" w:rsidP="00DA2AE8">
      <w:pPr>
        <w:pStyle w:val="BodyText120"/>
        <w:spacing w:after="0" w:line="240" w:lineRule="auto"/>
        <w:rPr>
          <w:rFonts w:ascii="Arial" w:hAnsi="Arial" w:cs="Arial"/>
          <w:sz w:val="22"/>
          <w:szCs w:val="22"/>
          <w:lang w:val="en-GB"/>
        </w:rPr>
      </w:pPr>
    </w:p>
    <w:p w:rsidR="00A975F2" w:rsidRDefault="007C3EE8" w:rsidP="00DA2AE8">
      <w:pPr>
        <w:pStyle w:val="BodyText120"/>
        <w:spacing w:after="0" w:line="240" w:lineRule="auto"/>
        <w:rPr>
          <w:rFonts w:ascii="Arial" w:hAnsi="Arial" w:cs="Arial"/>
          <w:sz w:val="22"/>
          <w:szCs w:val="22"/>
          <w:lang w:val="en-AU"/>
        </w:rPr>
      </w:pPr>
      <w:r w:rsidRPr="007C3EE8">
        <w:rPr>
          <w:rFonts w:ascii="Arial" w:hAnsi="Arial" w:cs="Arial"/>
          <w:sz w:val="22"/>
          <w:szCs w:val="22"/>
          <w:lang w:val="en-AU"/>
        </w:rPr>
        <w:t xml:space="preserve">The 763 enrolled patients in Study HPC3001 had a median age of </w:t>
      </w:r>
      <w:r w:rsidR="00844545">
        <w:rPr>
          <w:rFonts w:ascii="Arial" w:hAnsi="Arial" w:cs="Arial"/>
          <w:sz w:val="22"/>
          <w:szCs w:val="22"/>
          <w:lang w:val="en-AU"/>
        </w:rPr>
        <w:t>51</w:t>
      </w:r>
      <w:r w:rsidRPr="007C3EE8">
        <w:rPr>
          <w:rFonts w:ascii="Arial" w:hAnsi="Arial" w:cs="Arial"/>
          <w:sz w:val="22"/>
          <w:szCs w:val="22"/>
          <w:lang w:val="en-AU"/>
        </w:rPr>
        <w:t xml:space="preserve"> years (range: </w:t>
      </w:r>
      <w:r w:rsidR="00844545">
        <w:rPr>
          <w:rFonts w:ascii="Arial" w:hAnsi="Arial" w:cs="Arial"/>
          <w:sz w:val="22"/>
          <w:szCs w:val="22"/>
          <w:lang w:val="en-AU"/>
        </w:rPr>
        <w:t>18</w:t>
      </w:r>
      <w:r w:rsidRPr="007C3EE8">
        <w:rPr>
          <w:rFonts w:ascii="Arial" w:hAnsi="Arial" w:cs="Arial"/>
          <w:sz w:val="22"/>
          <w:szCs w:val="22"/>
          <w:lang w:val="en-AU"/>
        </w:rPr>
        <w:t xml:space="preserve"> to </w:t>
      </w:r>
      <w:r w:rsidR="00844545">
        <w:rPr>
          <w:rFonts w:ascii="Arial" w:hAnsi="Arial" w:cs="Arial"/>
          <w:sz w:val="22"/>
          <w:szCs w:val="22"/>
          <w:lang w:val="en-AU"/>
        </w:rPr>
        <w:t>69</w:t>
      </w:r>
      <w:r w:rsidRPr="007C3EE8">
        <w:rPr>
          <w:rFonts w:ascii="Arial" w:hAnsi="Arial" w:cs="Arial"/>
          <w:sz w:val="22"/>
          <w:szCs w:val="22"/>
          <w:lang w:val="en-AU"/>
        </w:rPr>
        <w:t xml:space="preserve"> years); </w:t>
      </w:r>
      <w:r w:rsidR="00844545">
        <w:rPr>
          <w:rFonts w:ascii="Arial" w:hAnsi="Arial" w:cs="Arial"/>
          <w:sz w:val="22"/>
          <w:szCs w:val="22"/>
          <w:lang w:val="en-AU"/>
        </w:rPr>
        <w:t>61% were male; 94</w:t>
      </w:r>
      <w:r w:rsidRPr="007C3EE8">
        <w:rPr>
          <w:rFonts w:ascii="Arial" w:hAnsi="Arial" w:cs="Arial"/>
          <w:sz w:val="22"/>
          <w:szCs w:val="22"/>
          <w:lang w:val="en-AU"/>
        </w:rPr>
        <w:t xml:space="preserve">% were Caucasian, </w:t>
      </w:r>
      <w:r w:rsidR="00844545">
        <w:rPr>
          <w:rFonts w:ascii="Arial" w:hAnsi="Arial" w:cs="Arial"/>
          <w:sz w:val="22"/>
          <w:szCs w:val="22"/>
          <w:lang w:val="en-AU"/>
        </w:rPr>
        <w:t>5% African American</w:t>
      </w:r>
      <w:r w:rsidRPr="007C3EE8">
        <w:rPr>
          <w:rFonts w:ascii="Arial" w:hAnsi="Arial" w:cs="Arial"/>
          <w:sz w:val="22"/>
          <w:szCs w:val="22"/>
          <w:lang w:val="en-AU"/>
        </w:rPr>
        <w:t xml:space="preserve">; </w:t>
      </w:r>
      <w:r w:rsidR="00844545">
        <w:rPr>
          <w:rFonts w:ascii="Arial" w:hAnsi="Arial" w:cs="Arial"/>
          <w:sz w:val="22"/>
          <w:szCs w:val="22"/>
          <w:lang w:val="en-AU"/>
        </w:rPr>
        <w:t>23</w:t>
      </w:r>
      <w:r w:rsidRPr="007C3EE8">
        <w:rPr>
          <w:rFonts w:ascii="Arial" w:hAnsi="Arial" w:cs="Arial"/>
          <w:sz w:val="22"/>
          <w:szCs w:val="22"/>
          <w:lang w:val="en-AU"/>
        </w:rPr>
        <w:t>% had a BMI ≥ 30 kg/m</w:t>
      </w:r>
      <w:r w:rsidRPr="007C3EE8">
        <w:rPr>
          <w:rFonts w:ascii="Arial" w:hAnsi="Arial" w:cs="Arial"/>
          <w:sz w:val="22"/>
          <w:szCs w:val="22"/>
          <w:vertAlign w:val="superscript"/>
          <w:lang w:val="en-AU"/>
        </w:rPr>
        <w:t>2</w:t>
      </w:r>
      <w:r w:rsidRPr="007C3EE8">
        <w:rPr>
          <w:rFonts w:ascii="Arial" w:hAnsi="Arial" w:cs="Arial"/>
          <w:sz w:val="22"/>
          <w:szCs w:val="22"/>
          <w:lang w:val="en-AU"/>
        </w:rPr>
        <w:t xml:space="preserve">; </w:t>
      </w:r>
      <w:r w:rsidR="00844545">
        <w:rPr>
          <w:rFonts w:ascii="Arial" w:hAnsi="Arial" w:cs="Arial"/>
          <w:sz w:val="22"/>
          <w:szCs w:val="22"/>
          <w:lang w:val="en-AU"/>
        </w:rPr>
        <w:t>88</w:t>
      </w:r>
      <w:r w:rsidRPr="007C3EE8">
        <w:rPr>
          <w:rFonts w:ascii="Arial" w:hAnsi="Arial" w:cs="Arial"/>
          <w:sz w:val="22"/>
          <w:szCs w:val="22"/>
          <w:lang w:val="en-AU"/>
        </w:rPr>
        <w:t xml:space="preserve">% had HCV RNA levels &gt; 800000 IU/mL; </w:t>
      </w:r>
      <w:r w:rsidR="00844545">
        <w:rPr>
          <w:rFonts w:ascii="Arial" w:hAnsi="Arial" w:cs="Arial"/>
          <w:sz w:val="22"/>
          <w:szCs w:val="22"/>
          <w:lang w:val="en-AU"/>
        </w:rPr>
        <w:t>55</w:t>
      </w:r>
      <w:r w:rsidRPr="007C3EE8">
        <w:rPr>
          <w:rFonts w:ascii="Arial" w:hAnsi="Arial" w:cs="Arial"/>
          <w:sz w:val="22"/>
          <w:szCs w:val="22"/>
          <w:lang w:val="en-AU"/>
        </w:rPr>
        <w:t xml:space="preserve">% had METAVIR fibrosis score F0, F1 or F2, </w:t>
      </w:r>
      <w:r w:rsidR="00844545">
        <w:rPr>
          <w:rFonts w:ascii="Arial" w:hAnsi="Arial" w:cs="Arial"/>
          <w:sz w:val="22"/>
          <w:szCs w:val="22"/>
          <w:lang w:val="en-AU"/>
        </w:rPr>
        <w:t>28</w:t>
      </w:r>
      <w:r w:rsidRPr="007C3EE8">
        <w:rPr>
          <w:rFonts w:ascii="Arial" w:hAnsi="Arial" w:cs="Arial"/>
          <w:sz w:val="22"/>
          <w:szCs w:val="22"/>
          <w:lang w:val="en-AU"/>
        </w:rPr>
        <w:t xml:space="preserve">% METAVIR fibrosis score F3, and </w:t>
      </w:r>
      <w:r w:rsidR="00844545">
        <w:rPr>
          <w:rFonts w:ascii="Arial" w:hAnsi="Arial" w:cs="Arial"/>
          <w:sz w:val="22"/>
          <w:szCs w:val="22"/>
          <w:lang w:val="en-AU"/>
        </w:rPr>
        <w:t>17</w:t>
      </w:r>
      <w:r w:rsidRPr="007C3EE8">
        <w:rPr>
          <w:rFonts w:ascii="Arial" w:hAnsi="Arial" w:cs="Arial"/>
          <w:sz w:val="22"/>
          <w:szCs w:val="22"/>
          <w:lang w:val="en-AU"/>
        </w:rPr>
        <w:t>% METAVIR fibrosis score F4 (cirrhosis)</w:t>
      </w:r>
      <w:r w:rsidR="00C50CA8">
        <w:rPr>
          <w:rFonts w:ascii="Arial" w:hAnsi="Arial" w:cs="Arial"/>
          <w:sz w:val="22"/>
          <w:szCs w:val="22"/>
          <w:lang w:val="en-AU"/>
        </w:rPr>
        <w:t xml:space="preserve"> (</w:t>
      </w:r>
      <w:r w:rsidR="00C50CA8" w:rsidRPr="00C50CA8">
        <w:rPr>
          <w:rFonts w:ascii="Arial" w:hAnsi="Arial" w:cs="Arial"/>
          <w:sz w:val="22"/>
          <w:szCs w:val="22"/>
          <w:lang w:val="en-AU"/>
        </w:rPr>
        <w:t>informat</w:t>
      </w:r>
      <w:r w:rsidR="00C50CA8">
        <w:rPr>
          <w:rFonts w:ascii="Arial" w:hAnsi="Arial" w:cs="Arial"/>
          <w:sz w:val="22"/>
          <w:szCs w:val="22"/>
          <w:lang w:val="en-AU"/>
        </w:rPr>
        <w:t>ion available for 643 patients)</w:t>
      </w:r>
      <w:r w:rsidRPr="007C3EE8">
        <w:rPr>
          <w:rFonts w:ascii="Arial" w:hAnsi="Arial" w:cs="Arial"/>
          <w:sz w:val="22"/>
          <w:szCs w:val="22"/>
          <w:lang w:val="en-AU"/>
        </w:rPr>
        <w:t xml:space="preserve">; </w:t>
      </w:r>
      <w:r w:rsidR="00844545">
        <w:rPr>
          <w:rFonts w:ascii="Arial" w:hAnsi="Arial" w:cs="Arial"/>
          <w:sz w:val="22"/>
          <w:szCs w:val="22"/>
          <w:lang w:val="en-AU"/>
        </w:rPr>
        <w:t>43</w:t>
      </w:r>
      <w:r w:rsidRPr="007C3EE8">
        <w:rPr>
          <w:rFonts w:ascii="Arial" w:hAnsi="Arial" w:cs="Arial"/>
          <w:sz w:val="22"/>
          <w:szCs w:val="22"/>
          <w:lang w:val="en-AU"/>
        </w:rPr>
        <w:t xml:space="preserve">% had HCV genotype 1a, and </w:t>
      </w:r>
      <w:r w:rsidR="00844545">
        <w:rPr>
          <w:rFonts w:ascii="Arial" w:hAnsi="Arial" w:cs="Arial"/>
          <w:sz w:val="22"/>
          <w:szCs w:val="22"/>
          <w:lang w:val="en-AU"/>
        </w:rPr>
        <w:t>57</w:t>
      </w:r>
      <w:r w:rsidRPr="007C3EE8">
        <w:rPr>
          <w:rFonts w:ascii="Arial" w:hAnsi="Arial" w:cs="Arial"/>
          <w:sz w:val="22"/>
          <w:szCs w:val="22"/>
          <w:lang w:val="en-AU"/>
        </w:rPr>
        <w:t xml:space="preserve">% HCV genotype 1b; </w:t>
      </w:r>
      <w:r w:rsidR="00844545">
        <w:rPr>
          <w:rFonts w:ascii="Arial" w:hAnsi="Arial" w:cs="Arial"/>
          <w:sz w:val="22"/>
          <w:szCs w:val="22"/>
          <w:lang w:val="en-AU"/>
        </w:rPr>
        <w:t>4</w:t>
      </w:r>
      <w:r w:rsidRPr="007C3EE8">
        <w:rPr>
          <w:rFonts w:ascii="Arial" w:hAnsi="Arial" w:cs="Arial"/>
          <w:sz w:val="22"/>
          <w:szCs w:val="22"/>
          <w:lang w:val="en-AU"/>
        </w:rPr>
        <w:t xml:space="preserve">% had </w:t>
      </w:r>
      <w:r w:rsidRPr="007C3EE8">
        <w:rPr>
          <w:rFonts w:ascii="Arial" w:hAnsi="Arial" w:cs="Arial"/>
          <w:i/>
          <w:iCs/>
          <w:sz w:val="22"/>
          <w:szCs w:val="22"/>
          <w:lang w:val="en-AU"/>
        </w:rPr>
        <w:t>IL28B </w:t>
      </w:r>
      <w:r w:rsidRPr="007C3EE8">
        <w:rPr>
          <w:rFonts w:ascii="Arial" w:hAnsi="Arial" w:cs="Arial"/>
          <w:sz w:val="22"/>
          <w:szCs w:val="22"/>
          <w:lang w:val="en-AU"/>
        </w:rPr>
        <w:t xml:space="preserve">CC genotype, </w:t>
      </w:r>
      <w:r w:rsidR="00844545">
        <w:rPr>
          <w:rFonts w:ascii="Arial" w:hAnsi="Arial" w:cs="Arial"/>
          <w:sz w:val="22"/>
          <w:szCs w:val="22"/>
          <w:lang w:val="en-AU"/>
        </w:rPr>
        <w:t>65</w:t>
      </w:r>
      <w:r w:rsidRPr="007C3EE8">
        <w:rPr>
          <w:rFonts w:ascii="Arial" w:hAnsi="Arial" w:cs="Arial"/>
          <w:sz w:val="22"/>
          <w:szCs w:val="22"/>
          <w:lang w:val="en-AU"/>
        </w:rPr>
        <w:t xml:space="preserve">% </w:t>
      </w:r>
      <w:r w:rsidRPr="007C3EE8">
        <w:rPr>
          <w:rFonts w:ascii="Arial" w:hAnsi="Arial" w:cs="Arial"/>
          <w:i/>
          <w:iCs/>
          <w:sz w:val="22"/>
          <w:szCs w:val="22"/>
          <w:lang w:val="en-AU"/>
        </w:rPr>
        <w:t>IL28B </w:t>
      </w:r>
      <w:r w:rsidRPr="007C3EE8">
        <w:rPr>
          <w:rFonts w:ascii="Arial" w:hAnsi="Arial" w:cs="Arial"/>
          <w:sz w:val="22"/>
          <w:szCs w:val="22"/>
          <w:lang w:val="en-AU"/>
        </w:rPr>
        <w:t xml:space="preserve">CT genotype, and </w:t>
      </w:r>
      <w:r w:rsidR="00844545">
        <w:rPr>
          <w:rFonts w:ascii="Arial" w:hAnsi="Arial" w:cs="Arial"/>
          <w:sz w:val="22"/>
          <w:szCs w:val="22"/>
          <w:lang w:val="en-AU"/>
        </w:rPr>
        <w:t>31</w:t>
      </w:r>
      <w:r w:rsidRPr="007C3EE8">
        <w:rPr>
          <w:rFonts w:ascii="Arial" w:hAnsi="Arial" w:cs="Arial"/>
          <w:sz w:val="22"/>
          <w:szCs w:val="22"/>
          <w:lang w:val="en-AU"/>
        </w:rPr>
        <w:t xml:space="preserve">% </w:t>
      </w:r>
      <w:r w:rsidRPr="007C3EE8">
        <w:rPr>
          <w:rFonts w:ascii="Arial" w:hAnsi="Arial" w:cs="Arial"/>
          <w:i/>
          <w:iCs/>
          <w:sz w:val="22"/>
          <w:szCs w:val="22"/>
          <w:lang w:val="en-AU"/>
        </w:rPr>
        <w:t>IL28B </w:t>
      </w:r>
      <w:r w:rsidRPr="007C3EE8">
        <w:rPr>
          <w:rFonts w:ascii="Arial" w:hAnsi="Arial" w:cs="Arial"/>
          <w:sz w:val="22"/>
          <w:szCs w:val="22"/>
          <w:lang w:val="en-AU"/>
        </w:rPr>
        <w:t xml:space="preserve">TT genotype (information available for </w:t>
      </w:r>
      <w:r w:rsidR="00844545">
        <w:rPr>
          <w:rFonts w:ascii="Arial" w:hAnsi="Arial" w:cs="Arial"/>
          <w:sz w:val="22"/>
          <w:szCs w:val="22"/>
          <w:lang w:val="en-AU"/>
        </w:rPr>
        <w:t>728</w:t>
      </w:r>
      <w:r w:rsidR="00DA2AE8">
        <w:rPr>
          <w:rFonts w:ascii="Arial" w:hAnsi="Arial" w:cs="Arial"/>
          <w:sz w:val="22"/>
          <w:szCs w:val="22"/>
          <w:lang w:val="en-AU"/>
        </w:rPr>
        <w:t> patients);</w:t>
      </w:r>
      <w:r w:rsidRPr="007C3EE8">
        <w:rPr>
          <w:rFonts w:ascii="Arial" w:hAnsi="Arial" w:cs="Arial"/>
          <w:sz w:val="22"/>
          <w:szCs w:val="22"/>
          <w:lang w:val="en-AU"/>
        </w:rPr>
        <w:t xml:space="preserve"> </w:t>
      </w:r>
      <w:r w:rsidR="00DA2AE8">
        <w:rPr>
          <w:rFonts w:ascii="Arial" w:hAnsi="Arial" w:cs="Arial"/>
          <w:sz w:val="22"/>
          <w:szCs w:val="22"/>
          <w:lang w:val="en-AU"/>
        </w:rPr>
        <w:t>38%</w:t>
      </w:r>
      <w:r w:rsidRPr="007C3EE8">
        <w:rPr>
          <w:rFonts w:ascii="Arial" w:hAnsi="Arial" w:cs="Arial"/>
          <w:sz w:val="22"/>
          <w:szCs w:val="22"/>
          <w:lang w:val="en-AU"/>
        </w:rPr>
        <w:t xml:space="preserve"> were prior partial responders, and </w:t>
      </w:r>
      <w:r w:rsidR="00DA2AE8">
        <w:rPr>
          <w:rFonts w:ascii="Arial" w:hAnsi="Arial" w:cs="Arial"/>
          <w:sz w:val="22"/>
          <w:szCs w:val="22"/>
          <w:lang w:val="en-AU"/>
        </w:rPr>
        <w:t>62</w:t>
      </w:r>
      <w:r w:rsidRPr="007C3EE8">
        <w:rPr>
          <w:rFonts w:ascii="Arial" w:hAnsi="Arial" w:cs="Arial"/>
          <w:sz w:val="22"/>
          <w:szCs w:val="22"/>
          <w:lang w:val="en-AU"/>
        </w:rPr>
        <w:t xml:space="preserve">% prior null responders following prior therapy with </w:t>
      </w:r>
      <w:proofErr w:type="spellStart"/>
      <w:r w:rsidRPr="007C3EE8">
        <w:rPr>
          <w:rFonts w:ascii="Arial" w:hAnsi="Arial" w:cs="Arial"/>
          <w:sz w:val="22"/>
          <w:szCs w:val="22"/>
          <w:lang w:val="en-AU"/>
        </w:rPr>
        <w:t>peginterferon</w:t>
      </w:r>
      <w:proofErr w:type="spellEnd"/>
      <w:r w:rsidRPr="007C3EE8">
        <w:rPr>
          <w:rFonts w:ascii="Arial" w:hAnsi="Arial" w:cs="Arial"/>
          <w:sz w:val="22"/>
          <w:szCs w:val="22"/>
          <w:lang w:val="en-AU"/>
        </w:rPr>
        <w:t xml:space="preserve"> </w:t>
      </w:r>
      <w:proofErr w:type="spellStart"/>
      <w:r w:rsidRPr="007C3EE8">
        <w:rPr>
          <w:rFonts w:ascii="Arial" w:hAnsi="Arial" w:cs="Arial"/>
          <w:sz w:val="22"/>
          <w:szCs w:val="22"/>
          <w:lang w:val="en-AU"/>
        </w:rPr>
        <w:t>alfa</w:t>
      </w:r>
      <w:proofErr w:type="spellEnd"/>
      <w:r w:rsidRPr="007C3EE8">
        <w:rPr>
          <w:rFonts w:ascii="Arial" w:hAnsi="Arial" w:cs="Arial"/>
          <w:sz w:val="22"/>
          <w:szCs w:val="22"/>
          <w:lang w:val="en-AU"/>
        </w:rPr>
        <w:t xml:space="preserve"> and ribavirin. </w:t>
      </w:r>
    </w:p>
    <w:p w:rsidR="00DA2AE8" w:rsidRDefault="00DA2AE8" w:rsidP="00DA2AE8">
      <w:pPr>
        <w:pStyle w:val="BodyText120"/>
        <w:spacing w:after="0" w:line="240" w:lineRule="auto"/>
        <w:rPr>
          <w:rFonts w:ascii="Arial" w:hAnsi="Arial" w:cs="Arial"/>
          <w:sz w:val="22"/>
          <w:szCs w:val="22"/>
          <w:lang w:val="en-GB"/>
        </w:rPr>
      </w:pPr>
    </w:p>
    <w:p w:rsidR="00A975F2" w:rsidRDefault="00A975F2" w:rsidP="00DA2AE8">
      <w:pPr>
        <w:pStyle w:val="BodyText120"/>
        <w:spacing w:after="0" w:line="240" w:lineRule="auto"/>
        <w:rPr>
          <w:rFonts w:ascii="Arial" w:hAnsi="Arial" w:cs="Arial"/>
          <w:sz w:val="22"/>
          <w:szCs w:val="22"/>
          <w:lang w:val="en-GB"/>
        </w:rPr>
      </w:pPr>
      <w:r w:rsidRPr="00DA2AE8">
        <w:rPr>
          <w:rFonts w:ascii="Arial" w:hAnsi="Arial" w:cs="Arial"/>
          <w:sz w:val="22"/>
          <w:szCs w:val="22"/>
          <w:lang w:val="en-GB"/>
        </w:rPr>
        <w:lastRenderedPageBreak/>
        <w:t xml:space="preserve">The proportion of patients who discontinued </w:t>
      </w:r>
      <w:r w:rsidR="00DA2AE8" w:rsidRPr="00DA2AE8">
        <w:rPr>
          <w:rFonts w:ascii="Arial" w:hAnsi="Arial" w:cs="Arial"/>
          <w:sz w:val="22"/>
          <w:szCs w:val="22"/>
          <w:lang w:val="en-GB"/>
        </w:rPr>
        <w:t xml:space="preserve">OLYSIO or </w:t>
      </w:r>
      <w:proofErr w:type="spellStart"/>
      <w:r w:rsidR="00DA2AE8" w:rsidRPr="00DA2AE8">
        <w:rPr>
          <w:rFonts w:ascii="Arial" w:hAnsi="Arial" w:cs="Arial"/>
          <w:sz w:val="22"/>
          <w:szCs w:val="22"/>
          <w:lang w:val="en-GB"/>
        </w:rPr>
        <w:t>teleprevir</w:t>
      </w:r>
      <w:proofErr w:type="spellEnd"/>
      <w:r w:rsidRPr="00DA2AE8">
        <w:rPr>
          <w:rFonts w:ascii="Arial" w:hAnsi="Arial" w:cs="Arial"/>
          <w:sz w:val="22"/>
          <w:szCs w:val="22"/>
          <w:lang w:val="en-GB"/>
        </w:rPr>
        <w:t xml:space="preserve"> due to an adverse event was </w:t>
      </w:r>
      <w:r w:rsidR="00DA2AE8" w:rsidRPr="00DA2AE8">
        <w:rPr>
          <w:rFonts w:ascii="Arial" w:hAnsi="Arial" w:cs="Arial"/>
          <w:sz w:val="22"/>
          <w:szCs w:val="22"/>
          <w:lang w:val="en-GB"/>
        </w:rPr>
        <w:t>2% in the</w:t>
      </w:r>
      <w:r w:rsidRPr="00DA2AE8">
        <w:rPr>
          <w:rFonts w:ascii="Arial" w:hAnsi="Arial" w:cs="Arial"/>
          <w:sz w:val="22"/>
          <w:szCs w:val="22"/>
          <w:lang w:val="en-GB"/>
        </w:rPr>
        <w:t xml:space="preserve"> </w:t>
      </w:r>
      <w:r w:rsidR="00DA2AE8" w:rsidRPr="00DA2AE8">
        <w:rPr>
          <w:rFonts w:ascii="Arial" w:hAnsi="Arial" w:cs="Arial"/>
          <w:sz w:val="22"/>
          <w:szCs w:val="22"/>
          <w:lang w:val="en-GB"/>
        </w:rPr>
        <w:t>OLYSIO treatment</w:t>
      </w:r>
      <w:r w:rsidRPr="00DA2AE8">
        <w:rPr>
          <w:rFonts w:ascii="Arial" w:hAnsi="Arial" w:cs="Arial"/>
          <w:sz w:val="22"/>
          <w:szCs w:val="22"/>
          <w:lang w:val="en-GB"/>
        </w:rPr>
        <w:t xml:space="preserve"> </w:t>
      </w:r>
      <w:r w:rsidR="00DA2AE8" w:rsidRPr="00DA2AE8">
        <w:rPr>
          <w:rFonts w:ascii="Arial" w:hAnsi="Arial" w:cs="Arial"/>
          <w:sz w:val="22"/>
          <w:szCs w:val="22"/>
          <w:lang w:val="en-GB"/>
        </w:rPr>
        <w:t>group</w:t>
      </w:r>
      <w:r w:rsidRPr="00DA2AE8">
        <w:rPr>
          <w:rFonts w:ascii="Arial" w:hAnsi="Arial" w:cs="Arial"/>
          <w:sz w:val="22"/>
          <w:szCs w:val="22"/>
          <w:lang w:val="en-GB"/>
        </w:rPr>
        <w:t xml:space="preserve"> </w:t>
      </w:r>
      <w:r w:rsidR="00DA2AE8" w:rsidRPr="00DA2AE8">
        <w:rPr>
          <w:rFonts w:ascii="Arial" w:hAnsi="Arial" w:cs="Arial"/>
          <w:sz w:val="22"/>
          <w:szCs w:val="22"/>
          <w:lang w:val="en-GB"/>
        </w:rPr>
        <w:t>and</w:t>
      </w:r>
      <w:r w:rsidRPr="00DA2AE8">
        <w:rPr>
          <w:rFonts w:ascii="Arial" w:hAnsi="Arial" w:cs="Arial"/>
          <w:sz w:val="22"/>
          <w:szCs w:val="22"/>
          <w:lang w:val="en-GB"/>
        </w:rPr>
        <w:t xml:space="preserve"> </w:t>
      </w:r>
      <w:r w:rsidR="00DA2AE8" w:rsidRPr="00DA2AE8">
        <w:rPr>
          <w:rFonts w:ascii="Arial" w:hAnsi="Arial" w:cs="Arial"/>
          <w:sz w:val="22"/>
          <w:szCs w:val="22"/>
          <w:lang w:val="en-GB"/>
        </w:rPr>
        <w:t xml:space="preserve">8% </w:t>
      </w:r>
      <w:r w:rsidRPr="00DA2AE8">
        <w:rPr>
          <w:rFonts w:ascii="Arial" w:hAnsi="Arial" w:cs="Arial"/>
          <w:sz w:val="22"/>
          <w:szCs w:val="22"/>
          <w:lang w:val="en-GB"/>
        </w:rPr>
        <w:t xml:space="preserve">in the </w:t>
      </w:r>
      <w:proofErr w:type="spellStart"/>
      <w:r w:rsidRPr="00DA2AE8">
        <w:rPr>
          <w:rFonts w:ascii="Arial" w:hAnsi="Arial" w:cs="Arial"/>
          <w:sz w:val="22"/>
          <w:szCs w:val="22"/>
          <w:lang w:val="en-GB"/>
        </w:rPr>
        <w:t>telaprevir</w:t>
      </w:r>
      <w:proofErr w:type="spellEnd"/>
      <w:r w:rsidRPr="00DA2AE8">
        <w:rPr>
          <w:rFonts w:ascii="Arial" w:hAnsi="Arial" w:cs="Arial"/>
          <w:sz w:val="22"/>
          <w:szCs w:val="22"/>
          <w:lang w:val="en-GB"/>
        </w:rPr>
        <w:t xml:space="preserve"> </w:t>
      </w:r>
      <w:r w:rsidR="00DA2AE8" w:rsidRPr="00DA2AE8">
        <w:rPr>
          <w:rFonts w:ascii="Arial" w:hAnsi="Arial" w:cs="Arial"/>
          <w:sz w:val="22"/>
          <w:szCs w:val="22"/>
          <w:lang w:val="en-GB"/>
        </w:rPr>
        <w:t>treatment group.</w:t>
      </w:r>
      <w:r w:rsidR="00DA2AE8">
        <w:rPr>
          <w:rFonts w:ascii="Arial" w:hAnsi="Arial" w:cs="Arial"/>
          <w:sz w:val="22"/>
          <w:szCs w:val="22"/>
          <w:lang w:val="en-GB"/>
        </w:rPr>
        <w:t xml:space="preserve"> </w:t>
      </w:r>
      <w:r w:rsidRPr="00496C47">
        <w:rPr>
          <w:rFonts w:ascii="Arial" w:hAnsi="Arial" w:cs="Arial"/>
          <w:sz w:val="22"/>
          <w:szCs w:val="22"/>
          <w:lang w:val="en-GB"/>
        </w:rPr>
        <w:t xml:space="preserve">Table </w:t>
      </w:r>
      <w:r>
        <w:rPr>
          <w:rFonts w:ascii="Arial" w:hAnsi="Arial" w:cs="Arial"/>
          <w:sz w:val="22"/>
          <w:szCs w:val="22"/>
          <w:lang w:val="en-GB"/>
        </w:rPr>
        <w:t>9</w:t>
      </w:r>
      <w:r w:rsidRPr="00496C47">
        <w:rPr>
          <w:rFonts w:ascii="Arial" w:hAnsi="Arial" w:cs="Arial"/>
          <w:sz w:val="22"/>
          <w:szCs w:val="22"/>
          <w:lang w:val="en-GB"/>
        </w:rPr>
        <w:t xml:space="preserve"> </w:t>
      </w:r>
      <w:r w:rsidR="00DA2AE8" w:rsidRPr="007C3EE8">
        <w:rPr>
          <w:rFonts w:ascii="Arial" w:hAnsi="Arial" w:cs="Arial"/>
          <w:sz w:val="22"/>
          <w:szCs w:val="22"/>
          <w:lang w:val="en-AU"/>
        </w:rPr>
        <w:t xml:space="preserve">shows the response rates for the OLYSIO </w:t>
      </w:r>
      <w:r w:rsidR="00DA2AE8">
        <w:rPr>
          <w:rFonts w:ascii="Arial" w:hAnsi="Arial" w:cs="Arial"/>
          <w:sz w:val="22"/>
          <w:szCs w:val="22"/>
          <w:lang w:val="en-AU"/>
        </w:rPr>
        <w:t xml:space="preserve">and </w:t>
      </w:r>
      <w:proofErr w:type="spellStart"/>
      <w:r w:rsidR="00DA2AE8">
        <w:rPr>
          <w:rFonts w:ascii="Arial" w:hAnsi="Arial" w:cs="Arial"/>
          <w:sz w:val="22"/>
          <w:szCs w:val="22"/>
          <w:lang w:val="en-AU"/>
        </w:rPr>
        <w:t>telaprevir</w:t>
      </w:r>
      <w:proofErr w:type="spellEnd"/>
      <w:r w:rsidR="00DA2AE8">
        <w:rPr>
          <w:rFonts w:ascii="Arial" w:hAnsi="Arial" w:cs="Arial"/>
          <w:sz w:val="22"/>
          <w:szCs w:val="22"/>
          <w:lang w:val="en-AU"/>
        </w:rPr>
        <w:t xml:space="preserve"> </w:t>
      </w:r>
      <w:r w:rsidR="00DA2AE8" w:rsidRPr="007C3EE8">
        <w:rPr>
          <w:rFonts w:ascii="Arial" w:hAnsi="Arial" w:cs="Arial"/>
          <w:sz w:val="22"/>
          <w:szCs w:val="22"/>
          <w:lang w:val="en-AU"/>
        </w:rPr>
        <w:t xml:space="preserve">treatment group in adult patients with HCV genotype 1 infection who were null or partial responders to prior </w:t>
      </w:r>
      <w:proofErr w:type="spellStart"/>
      <w:r w:rsidR="00DA2AE8" w:rsidRPr="007C3EE8">
        <w:rPr>
          <w:rFonts w:ascii="Arial" w:hAnsi="Arial" w:cs="Arial"/>
          <w:sz w:val="22"/>
          <w:szCs w:val="22"/>
          <w:lang w:val="en-AU"/>
        </w:rPr>
        <w:t>peginterferon</w:t>
      </w:r>
      <w:proofErr w:type="spellEnd"/>
      <w:r w:rsidR="00DA2AE8" w:rsidRPr="007C3EE8">
        <w:rPr>
          <w:rFonts w:ascii="Arial" w:hAnsi="Arial" w:cs="Arial"/>
          <w:sz w:val="22"/>
          <w:szCs w:val="22"/>
          <w:lang w:val="en-AU"/>
        </w:rPr>
        <w:t xml:space="preserve"> </w:t>
      </w:r>
      <w:proofErr w:type="spellStart"/>
      <w:r w:rsidR="00DA2AE8" w:rsidRPr="007C3EE8">
        <w:rPr>
          <w:rFonts w:ascii="Arial" w:hAnsi="Arial" w:cs="Arial"/>
          <w:sz w:val="22"/>
          <w:szCs w:val="22"/>
          <w:lang w:val="en-AU"/>
        </w:rPr>
        <w:t>alfa</w:t>
      </w:r>
      <w:proofErr w:type="spellEnd"/>
      <w:r w:rsidR="00DA2AE8" w:rsidRPr="007C3EE8">
        <w:rPr>
          <w:rFonts w:ascii="Arial" w:hAnsi="Arial" w:cs="Arial"/>
          <w:sz w:val="22"/>
          <w:szCs w:val="22"/>
          <w:lang w:val="en-AU"/>
        </w:rPr>
        <w:t xml:space="preserve"> and ribavirin therapy</w:t>
      </w:r>
      <w:r w:rsidRPr="00496C47">
        <w:rPr>
          <w:rFonts w:ascii="Arial" w:hAnsi="Arial" w:cs="Arial"/>
          <w:sz w:val="22"/>
          <w:szCs w:val="22"/>
          <w:lang w:val="en-GB"/>
        </w:rPr>
        <w:t>.</w:t>
      </w:r>
    </w:p>
    <w:p w:rsidR="00976567" w:rsidRPr="00BE5B08" w:rsidRDefault="00976567" w:rsidP="00DA2AE8">
      <w:pPr>
        <w:pStyle w:val="BodyText120"/>
        <w:spacing w:after="0" w:line="240" w:lineRule="auto"/>
        <w:rPr>
          <w:rFonts w:ascii="Arial" w:hAnsi="Arial" w:cs="Arial"/>
          <w:sz w:val="22"/>
          <w:szCs w:val="22"/>
          <w:lang w:val="en-GB"/>
        </w:rPr>
      </w:pPr>
    </w:p>
    <w:p w:rsidR="00A975F2" w:rsidRPr="00496C47" w:rsidRDefault="00A975F2" w:rsidP="00A975F2">
      <w:pPr>
        <w:pStyle w:val="BodyText120"/>
        <w:spacing w:after="0" w:line="240" w:lineRule="auto"/>
        <w:ind w:left="1440" w:hanging="1440"/>
        <w:rPr>
          <w:rFonts w:ascii="Arial" w:hAnsi="Arial" w:cs="Arial"/>
          <w:b/>
          <w:sz w:val="22"/>
          <w:szCs w:val="22"/>
          <w:lang w:val="en-GB"/>
        </w:rPr>
      </w:pPr>
      <w:r w:rsidRPr="00496C47">
        <w:rPr>
          <w:rFonts w:ascii="Arial" w:hAnsi="Arial" w:cs="Arial"/>
          <w:b/>
          <w:sz w:val="22"/>
          <w:szCs w:val="22"/>
          <w:lang w:val="en-GB"/>
        </w:rPr>
        <w:t>Table</w:t>
      </w:r>
      <w:r>
        <w:rPr>
          <w:rFonts w:ascii="Arial" w:hAnsi="Arial" w:cs="Arial"/>
          <w:b/>
          <w:sz w:val="22"/>
          <w:szCs w:val="22"/>
          <w:lang w:val="en-GB"/>
        </w:rPr>
        <w:t xml:space="preserve"> 9</w:t>
      </w:r>
      <w:r w:rsidRPr="00496C47">
        <w:rPr>
          <w:rFonts w:ascii="Arial" w:hAnsi="Arial" w:cs="Arial"/>
          <w:b/>
          <w:sz w:val="22"/>
          <w:szCs w:val="22"/>
          <w:lang w:val="en-GB"/>
        </w:rPr>
        <w:t>:</w:t>
      </w:r>
      <w:r w:rsidRPr="00496C47">
        <w:rPr>
          <w:rFonts w:ascii="Arial" w:hAnsi="Arial" w:cs="Arial"/>
          <w:b/>
          <w:sz w:val="22"/>
          <w:szCs w:val="22"/>
          <w:lang w:val="en-GB"/>
        </w:rPr>
        <w:tab/>
      </w:r>
      <w:r w:rsidR="007C3EE8" w:rsidRPr="007C3EE8">
        <w:rPr>
          <w:rFonts w:ascii="Arial" w:hAnsi="Arial" w:cs="Arial"/>
          <w:b/>
          <w:sz w:val="22"/>
          <w:szCs w:val="22"/>
          <w:lang w:val="en-AU"/>
        </w:rPr>
        <w:t xml:space="preserve">Treatment Outcome in </w:t>
      </w:r>
      <w:r w:rsidR="007C3EE8">
        <w:rPr>
          <w:rFonts w:ascii="Arial" w:hAnsi="Arial" w:cs="Arial"/>
          <w:b/>
          <w:sz w:val="22"/>
          <w:szCs w:val="22"/>
          <w:lang w:val="en-AU"/>
        </w:rPr>
        <w:t>Prior P</w:t>
      </w:r>
      <w:proofErr w:type="spellStart"/>
      <w:r w:rsidR="007C3EE8">
        <w:rPr>
          <w:rFonts w:ascii="Arial" w:hAnsi="Arial" w:cs="Arial"/>
          <w:b/>
          <w:sz w:val="22"/>
          <w:szCs w:val="22"/>
          <w:lang w:val="en-GB"/>
        </w:rPr>
        <w:t>artial</w:t>
      </w:r>
      <w:proofErr w:type="spellEnd"/>
      <w:r w:rsidR="007C3EE8">
        <w:rPr>
          <w:rFonts w:ascii="Arial" w:hAnsi="Arial" w:cs="Arial"/>
          <w:b/>
          <w:sz w:val="22"/>
          <w:szCs w:val="22"/>
          <w:lang w:val="en-GB"/>
        </w:rPr>
        <w:t xml:space="preserve"> and Prior Null Responder </w:t>
      </w:r>
      <w:r w:rsidR="007C3EE8" w:rsidRPr="007C3EE8">
        <w:rPr>
          <w:rFonts w:ascii="Arial" w:hAnsi="Arial" w:cs="Arial"/>
          <w:b/>
          <w:sz w:val="22"/>
          <w:szCs w:val="22"/>
          <w:lang w:val="en-AU"/>
        </w:rPr>
        <w:t xml:space="preserve">Adult Patients with HCV Genotype 1 Infection </w:t>
      </w:r>
      <w:r>
        <w:rPr>
          <w:rFonts w:ascii="Arial" w:hAnsi="Arial" w:cs="Arial"/>
          <w:b/>
          <w:sz w:val="22"/>
          <w:szCs w:val="22"/>
          <w:lang w:val="en-GB"/>
        </w:rPr>
        <w:t>(Study HPC3001; Intent-To-Treat Analysis Set)</w:t>
      </w:r>
    </w:p>
    <w:tbl>
      <w:tblPr>
        <w:tblW w:w="0" w:type="auto"/>
        <w:tblInd w:w="144" w:type="dxa"/>
        <w:tblCellMar>
          <w:left w:w="42" w:type="dxa"/>
          <w:right w:w="42" w:type="dxa"/>
        </w:tblCellMar>
        <w:tblLook w:val="0000" w:firstRow="0" w:lastRow="0" w:firstColumn="0" w:lastColumn="0" w:noHBand="0" w:noVBand="0"/>
      </w:tblPr>
      <w:tblGrid>
        <w:gridCol w:w="3159"/>
        <w:gridCol w:w="3013"/>
        <w:gridCol w:w="3082"/>
      </w:tblGrid>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rPr>
                <w:b/>
              </w:rPr>
            </w:pPr>
            <w:r w:rsidRPr="009431DB">
              <w:rPr>
                <w:b/>
              </w:rPr>
              <w:t>Treatment Outcome</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jc w:val="center"/>
              <w:rPr>
                <w:b/>
              </w:rPr>
            </w:pPr>
            <w:r>
              <w:rPr>
                <w:b/>
              </w:rPr>
              <w:t>OLYSIO</w:t>
            </w:r>
          </w:p>
          <w:p w:rsidR="00A975F2" w:rsidRPr="009431DB" w:rsidRDefault="00A975F2" w:rsidP="004B2B9C">
            <w:pPr>
              <w:pStyle w:val="TableText0"/>
              <w:jc w:val="center"/>
              <w:rPr>
                <w:b/>
              </w:rPr>
            </w:pPr>
            <w:r w:rsidRPr="009431DB">
              <w:rPr>
                <w:b/>
              </w:rPr>
              <w:t>N=</w:t>
            </w:r>
            <w:r>
              <w:rPr>
                <w:b/>
              </w:rPr>
              <w:t>379</w:t>
            </w:r>
          </w:p>
          <w:p w:rsidR="00A975F2" w:rsidRPr="009431DB" w:rsidRDefault="00A975F2" w:rsidP="004B2B9C">
            <w:pPr>
              <w:pStyle w:val="TableText0"/>
              <w:jc w:val="center"/>
              <w:rPr>
                <w:b/>
              </w:rPr>
            </w:pPr>
            <w:r w:rsidRPr="009431DB">
              <w:rPr>
                <w:b/>
              </w:rPr>
              <w:t>% (n/N)</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jc w:val="center"/>
              <w:rPr>
                <w:b/>
              </w:rPr>
            </w:pPr>
            <w:proofErr w:type="spellStart"/>
            <w:r>
              <w:rPr>
                <w:b/>
              </w:rPr>
              <w:t>T</w:t>
            </w:r>
            <w:r w:rsidR="00976567">
              <w:rPr>
                <w:b/>
              </w:rPr>
              <w:t>elaprevir</w:t>
            </w:r>
            <w:proofErr w:type="spellEnd"/>
          </w:p>
          <w:p w:rsidR="00A975F2" w:rsidRPr="009431DB" w:rsidRDefault="00A975F2" w:rsidP="004B2B9C">
            <w:pPr>
              <w:pStyle w:val="TableText0"/>
              <w:jc w:val="center"/>
              <w:rPr>
                <w:b/>
              </w:rPr>
            </w:pPr>
            <w:r w:rsidRPr="009431DB">
              <w:rPr>
                <w:b/>
              </w:rPr>
              <w:t>N=</w:t>
            </w:r>
            <w:r>
              <w:rPr>
                <w:b/>
              </w:rPr>
              <w:t>384</w:t>
            </w:r>
          </w:p>
          <w:p w:rsidR="00A975F2" w:rsidRPr="009431DB" w:rsidRDefault="00A975F2" w:rsidP="004B2B9C">
            <w:pPr>
              <w:pStyle w:val="TableText0"/>
              <w:jc w:val="center"/>
              <w:rPr>
                <w:b/>
              </w:rPr>
            </w:pPr>
            <w:r w:rsidRPr="009431DB">
              <w:rPr>
                <w:b/>
              </w:rPr>
              <w:t>% (n/N)</w:t>
            </w:r>
          </w:p>
        </w:tc>
      </w:tr>
      <w:tr w:rsidR="00A975F2" w:rsidRPr="009431DB" w:rsidTr="00A975F2">
        <w:trPr>
          <w:cantSplit/>
        </w:trPr>
        <w:tc>
          <w:tcPr>
            <w:tcW w:w="9254" w:type="dxa"/>
            <w:gridSpan w:val="3"/>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A975F2">
            <w:pPr>
              <w:pStyle w:val="TableText0"/>
            </w:pPr>
            <w:r w:rsidRPr="009431DB">
              <w:rPr>
                <w:b/>
              </w:rPr>
              <w:t>SVR</w:t>
            </w:r>
            <w:r>
              <w:rPr>
                <w:b/>
              </w:rPr>
              <w:t>12</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t>Overall</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jc w:val="center"/>
            </w:pPr>
            <w:r>
              <w:t>54% (203/379)</w:t>
            </w:r>
            <w:r w:rsidR="00976567" w:rsidRPr="00976567">
              <w:rPr>
                <w:vertAlign w:val="superscript"/>
              </w:rPr>
              <w:t>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A975F2">
            <w:pPr>
              <w:pStyle w:val="TableText0"/>
              <w:jc w:val="center"/>
            </w:pPr>
            <w:r>
              <w:rPr>
                <w:rFonts w:cs="Arial"/>
                <w:lang w:val="en-GB"/>
              </w:rPr>
              <w:t>55% (</w:t>
            </w:r>
            <w:r w:rsidRPr="00095EB6">
              <w:rPr>
                <w:rFonts w:cs="Arial"/>
                <w:lang w:val="en-GB"/>
              </w:rPr>
              <w:t>210/384)</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rsidRPr="009431DB">
              <w:t>Prior partial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A975F2">
            <w:pPr>
              <w:pStyle w:val="TableText0"/>
              <w:jc w:val="center"/>
            </w:pPr>
            <w:r>
              <w:rPr>
                <w:rFonts w:cs="Arial"/>
                <w:lang w:val="en-GB"/>
              </w:rPr>
              <w:t>70% (</w:t>
            </w:r>
            <w:r w:rsidRPr="00095EB6">
              <w:rPr>
                <w:rFonts w:cs="Arial"/>
                <w:lang w:val="en-GB"/>
              </w:rPr>
              <w:t>101/145)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7C3EE8" w:rsidP="007C3EE8">
            <w:pPr>
              <w:pStyle w:val="TableText0"/>
              <w:jc w:val="center"/>
            </w:pPr>
            <w:r>
              <w:rPr>
                <w:rFonts w:cs="Arial"/>
                <w:lang w:val="en-GB"/>
              </w:rPr>
              <w:t>68% (</w:t>
            </w:r>
            <w:r w:rsidR="00A975F2" w:rsidRPr="00095EB6">
              <w:rPr>
                <w:rFonts w:cs="Arial"/>
                <w:lang w:val="en-GB"/>
              </w:rPr>
              <w:t>100/146)</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rsidRPr="009431DB">
              <w:t>Prior null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jc w:val="center"/>
            </w:pPr>
            <w:r>
              <w:t>44</w:t>
            </w:r>
            <w:r w:rsidRPr="009431DB">
              <w:t>% (</w:t>
            </w:r>
            <w:r>
              <w:t>102/234</w:t>
            </w:r>
            <w:r w:rsidRPr="009431DB">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7C3EE8" w:rsidP="007C3EE8">
            <w:pPr>
              <w:pStyle w:val="TableText0"/>
              <w:jc w:val="center"/>
            </w:pPr>
            <w:r>
              <w:rPr>
                <w:rFonts w:cs="Arial"/>
                <w:lang w:val="en-GB"/>
              </w:rPr>
              <w:t>46% (</w:t>
            </w:r>
            <w:r w:rsidR="00A975F2" w:rsidRPr="00095EB6">
              <w:rPr>
                <w:rFonts w:cs="Arial"/>
                <w:lang w:val="en-GB"/>
              </w:rPr>
              <w:t>110/238)</w:t>
            </w:r>
          </w:p>
        </w:tc>
      </w:tr>
      <w:tr w:rsidR="00A975F2" w:rsidRPr="009431DB" w:rsidTr="00A975F2">
        <w:trPr>
          <w:cantSplit/>
        </w:trPr>
        <w:tc>
          <w:tcPr>
            <w:tcW w:w="9254" w:type="dxa"/>
            <w:gridSpan w:val="3"/>
            <w:tcBorders>
              <w:top w:val="double" w:sz="4" w:space="0" w:color="auto"/>
              <w:left w:val="single" w:sz="4" w:space="0" w:color="auto"/>
              <w:bottom w:val="single" w:sz="4" w:space="0" w:color="auto"/>
              <w:right w:val="single" w:sz="4" w:space="0" w:color="auto"/>
            </w:tcBorders>
            <w:shd w:val="clear" w:color="auto" w:fill="auto"/>
          </w:tcPr>
          <w:p w:rsidR="00A975F2" w:rsidRPr="009431DB" w:rsidRDefault="00A975F2" w:rsidP="00A975F2">
            <w:pPr>
              <w:pStyle w:val="TableText0"/>
              <w:rPr>
                <w:b/>
              </w:rPr>
            </w:pPr>
            <w:r w:rsidRPr="009431DB">
              <w:rPr>
                <w:b/>
              </w:rPr>
              <w:t>Outcome for patients without SVR</w:t>
            </w:r>
            <w:r>
              <w:rPr>
                <w:b/>
              </w:rPr>
              <w:t>12</w:t>
            </w:r>
          </w:p>
        </w:tc>
      </w:tr>
      <w:tr w:rsidR="00A975F2" w:rsidRPr="009431DB" w:rsidTr="00A975F2">
        <w:trPr>
          <w:cantSplit/>
        </w:trPr>
        <w:tc>
          <w:tcPr>
            <w:tcW w:w="9254" w:type="dxa"/>
            <w:gridSpan w:val="3"/>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C4B80">
            <w:pPr>
              <w:pStyle w:val="TableText0"/>
            </w:pPr>
            <w:r w:rsidRPr="009431DB">
              <w:t>On</w:t>
            </w:r>
            <w:r w:rsidRPr="009431DB">
              <w:noBreakHyphen/>
              <w:t xml:space="preserve">treatment </w:t>
            </w:r>
            <w:proofErr w:type="spellStart"/>
            <w:r w:rsidRPr="009431DB">
              <w:t>virologic</w:t>
            </w:r>
            <w:proofErr w:type="spellEnd"/>
            <w:r w:rsidRPr="009431DB">
              <w:t xml:space="preserve"> failure</w:t>
            </w:r>
            <w:r w:rsidR="004C4B80">
              <w:rPr>
                <w:noProof/>
                <w:vertAlign w:val="superscript"/>
              </w:rPr>
              <w:t>2</w:t>
            </w:r>
          </w:p>
        </w:tc>
      </w:tr>
      <w:tr w:rsidR="00976567"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976567" w:rsidRPr="009431DB" w:rsidRDefault="00976567" w:rsidP="004B2B9C">
            <w:pPr>
              <w:pStyle w:val="TableText0"/>
              <w:ind w:left="140"/>
            </w:pPr>
            <w:r>
              <w:t>Overall</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976567" w:rsidRPr="009431DB" w:rsidRDefault="00F93C93" w:rsidP="004B2B9C">
            <w:pPr>
              <w:pStyle w:val="TableText0"/>
              <w:jc w:val="center"/>
            </w:pPr>
            <w:r>
              <w:t>34% (130/379)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976567" w:rsidRPr="009431DB" w:rsidRDefault="00F93C93" w:rsidP="004B2B9C">
            <w:pPr>
              <w:pStyle w:val="TableText0"/>
              <w:jc w:val="center"/>
            </w:pPr>
            <w:r>
              <w:t>32% (124/</w:t>
            </w:r>
            <w:r w:rsidRPr="00F93C93">
              <w:rPr>
                <w:lang w:val="en-GB"/>
              </w:rPr>
              <w:t>384)</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rsidRPr="009431DB">
              <w:t>Prior partial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21% (30/</w:t>
            </w:r>
            <w:r>
              <w:rPr>
                <w:lang w:val="en-AU"/>
              </w:rPr>
              <w:t>145</w:t>
            </w:r>
            <w:r w:rsidRPr="00F93C93">
              <w:rPr>
                <w:lang w:val="en-AU"/>
              </w:rPr>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17% (25/</w:t>
            </w:r>
            <w:r>
              <w:rPr>
                <w:lang w:val="en-GB"/>
              </w:rPr>
              <w:t>146</w:t>
            </w:r>
            <w:r w:rsidRPr="00F93C93">
              <w:rPr>
                <w:lang w:val="en-GB"/>
              </w:rPr>
              <w:t>)</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rsidRPr="009431DB">
              <w:t>Prior null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43% (100/</w:t>
            </w:r>
            <w:r>
              <w:rPr>
                <w:lang w:val="en-AU"/>
              </w:rPr>
              <w:t>234</w:t>
            </w:r>
            <w:r w:rsidRPr="00F93C93">
              <w:rPr>
                <w:lang w:val="en-AU"/>
              </w:rPr>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42% (99/</w:t>
            </w:r>
            <w:r>
              <w:rPr>
                <w:lang w:val="en-GB"/>
              </w:rPr>
              <w:t>238</w:t>
            </w:r>
            <w:r w:rsidRPr="00F93C93">
              <w:rPr>
                <w:lang w:val="en-GB"/>
              </w:rPr>
              <w:t>)</w:t>
            </w:r>
          </w:p>
        </w:tc>
      </w:tr>
      <w:tr w:rsidR="00A975F2" w:rsidRPr="009431DB" w:rsidTr="00A975F2">
        <w:trPr>
          <w:cantSplit/>
        </w:trPr>
        <w:tc>
          <w:tcPr>
            <w:tcW w:w="9254" w:type="dxa"/>
            <w:gridSpan w:val="3"/>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C4B80">
            <w:pPr>
              <w:pStyle w:val="TableText0"/>
            </w:pPr>
            <w:r w:rsidRPr="009431DB">
              <w:t xml:space="preserve">Viral </w:t>
            </w:r>
            <w:r w:rsidR="00F93C93">
              <w:t>r</w:t>
            </w:r>
            <w:r w:rsidRPr="009431DB">
              <w:t>elapse</w:t>
            </w:r>
            <w:r w:rsidR="004C4B80">
              <w:rPr>
                <w:noProof/>
                <w:vertAlign w:val="superscript"/>
              </w:rPr>
              <w:t>3</w:t>
            </w:r>
          </w:p>
        </w:tc>
      </w:tr>
      <w:tr w:rsidR="00976567"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976567" w:rsidRPr="009431DB" w:rsidRDefault="00976567" w:rsidP="004B2B9C">
            <w:pPr>
              <w:pStyle w:val="TableText0"/>
              <w:ind w:left="140"/>
            </w:pPr>
            <w:r>
              <w:t>Overall</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976567" w:rsidRPr="009431DB" w:rsidRDefault="00F93C93" w:rsidP="00F93C93">
            <w:pPr>
              <w:pStyle w:val="TableText0"/>
              <w:jc w:val="center"/>
            </w:pPr>
            <w:r>
              <w:t>18% (43/</w:t>
            </w:r>
            <w:r>
              <w:rPr>
                <w:lang w:val="en-AU"/>
              </w:rPr>
              <w:t>246</w:t>
            </w:r>
            <w:r w:rsidRPr="00F93C93">
              <w:rPr>
                <w:lang w:val="en-AU"/>
              </w:rPr>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976567" w:rsidRPr="009431DB" w:rsidRDefault="00F93C93" w:rsidP="00F93C93">
            <w:pPr>
              <w:pStyle w:val="TableText0"/>
              <w:jc w:val="center"/>
            </w:pPr>
            <w:r>
              <w:t>17% (43/</w:t>
            </w:r>
            <w:r>
              <w:rPr>
                <w:lang w:val="en-GB"/>
              </w:rPr>
              <w:t>256</w:t>
            </w:r>
            <w:r w:rsidRPr="00F93C93">
              <w:rPr>
                <w:lang w:val="en-GB"/>
              </w:rPr>
              <w:t>)</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rsidRPr="009431DB">
              <w:t>Prior partial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12% (14/</w:t>
            </w:r>
            <w:r>
              <w:rPr>
                <w:lang w:val="en-AU"/>
              </w:rPr>
              <w:t>115</w:t>
            </w:r>
            <w:r w:rsidRPr="00F93C93">
              <w:rPr>
                <w:lang w:val="en-AU"/>
              </w:rPr>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14% (16/</w:t>
            </w:r>
            <w:r>
              <w:rPr>
                <w:lang w:val="en-GB"/>
              </w:rPr>
              <w:t>118</w:t>
            </w:r>
            <w:r w:rsidRPr="00F93C93">
              <w:rPr>
                <w:lang w:val="en-GB"/>
              </w:rPr>
              <w:t>)</w:t>
            </w:r>
          </w:p>
        </w:tc>
      </w:tr>
      <w:tr w:rsidR="00A975F2" w:rsidRPr="009431DB" w:rsidTr="00A975F2">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A975F2" w:rsidP="004B2B9C">
            <w:pPr>
              <w:pStyle w:val="TableText0"/>
              <w:ind w:left="140"/>
            </w:pPr>
            <w:r w:rsidRPr="009431DB">
              <w:t>Prior null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22% (29/</w:t>
            </w:r>
            <w:r>
              <w:rPr>
                <w:lang w:val="en-AU"/>
              </w:rPr>
              <w:t>131</w:t>
            </w:r>
            <w:r w:rsidRPr="00F93C93">
              <w:rPr>
                <w:lang w:val="en-AU"/>
              </w:rPr>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975F2" w:rsidRPr="009431DB" w:rsidRDefault="00F93C93" w:rsidP="00F93C93">
            <w:pPr>
              <w:pStyle w:val="TableText0"/>
              <w:jc w:val="center"/>
            </w:pPr>
            <w:r>
              <w:t>20% (27/</w:t>
            </w:r>
            <w:r>
              <w:rPr>
                <w:lang w:val="en-GB"/>
              </w:rPr>
              <w:t>138</w:t>
            </w:r>
            <w:r w:rsidRPr="00F93C93">
              <w:rPr>
                <w:lang w:val="en-GB"/>
              </w:rPr>
              <w:t>)</w:t>
            </w:r>
          </w:p>
        </w:tc>
      </w:tr>
      <w:tr w:rsidR="00F93C93" w:rsidRPr="009431DB" w:rsidTr="004B2B9C">
        <w:trPr>
          <w:cantSplit/>
        </w:trPr>
        <w:tc>
          <w:tcPr>
            <w:tcW w:w="9254" w:type="dxa"/>
            <w:gridSpan w:val="3"/>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pPr>
            <w:r>
              <w:t>Missing SVR</w:t>
            </w:r>
            <w:r>
              <w:rPr>
                <w:noProof/>
                <w:vertAlign w:val="superscript"/>
              </w:rPr>
              <w:t>4</w:t>
            </w:r>
            <w:r w:rsidRPr="009431DB">
              <w:rPr>
                <w:noProof/>
                <w:vertAlign w:val="superscript"/>
              </w:rPr>
              <w:t xml:space="preserve"> </w:t>
            </w:r>
          </w:p>
        </w:tc>
      </w:tr>
      <w:tr w:rsidR="00F93C93" w:rsidRPr="009431DB" w:rsidTr="004B2B9C">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ind w:left="140"/>
            </w:pPr>
            <w:r>
              <w:t>Overall</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jc w:val="center"/>
            </w:pPr>
            <w:r>
              <w:t>1% (3/</w:t>
            </w:r>
            <w:r w:rsidRPr="00F93C93">
              <w:rPr>
                <w:lang w:val="en-AU"/>
              </w:rPr>
              <w:t>379)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jc w:val="center"/>
            </w:pPr>
            <w:r>
              <w:t>2% (9/</w:t>
            </w:r>
            <w:r w:rsidRPr="00F93C93">
              <w:rPr>
                <w:lang w:val="en-GB"/>
              </w:rPr>
              <w:t>384)</w:t>
            </w:r>
          </w:p>
        </w:tc>
      </w:tr>
      <w:tr w:rsidR="00F93C93" w:rsidRPr="009431DB" w:rsidTr="004B2B9C">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ind w:left="140"/>
            </w:pPr>
            <w:r w:rsidRPr="009431DB">
              <w:t>Prior partial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jc w:val="center"/>
            </w:pPr>
            <w:r>
              <w:t>0</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F93C93">
            <w:pPr>
              <w:pStyle w:val="TableText0"/>
              <w:jc w:val="center"/>
            </w:pPr>
            <w:r>
              <w:t>4% (6/</w:t>
            </w:r>
            <w:r>
              <w:rPr>
                <w:lang w:val="en-GB"/>
              </w:rPr>
              <w:t>146</w:t>
            </w:r>
            <w:r w:rsidRPr="00F93C93">
              <w:rPr>
                <w:lang w:val="en-GB"/>
              </w:rPr>
              <w:t>)</w:t>
            </w:r>
          </w:p>
        </w:tc>
      </w:tr>
      <w:tr w:rsidR="00F93C93" w:rsidRPr="009431DB" w:rsidTr="004B2B9C">
        <w:trPr>
          <w:cantSplit/>
        </w:trPr>
        <w:tc>
          <w:tcPr>
            <w:tcW w:w="3159"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4B2B9C">
            <w:pPr>
              <w:pStyle w:val="TableText0"/>
              <w:ind w:left="140"/>
            </w:pPr>
            <w:r w:rsidRPr="009431DB">
              <w:t>Prior null responders</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F93C93">
            <w:pPr>
              <w:pStyle w:val="TableText0"/>
              <w:jc w:val="center"/>
            </w:pPr>
            <w:r>
              <w:t>1% (3/</w:t>
            </w:r>
            <w:r>
              <w:rPr>
                <w:lang w:val="en-AU"/>
              </w:rPr>
              <w:t>234</w:t>
            </w:r>
            <w:r w:rsidRPr="00F93C93">
              <w:rPr>
                <w:lang w:val="en-AU"/>
              </w:rPr>
              <w:t>)</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F93C93" w:rsidRPr="009431DB" w:rsidRDefault="00F93C93" w:rsidP="00F93C93">
            <w:pPr>
              <w:pStyle w:val="TableText0"/>
              <w:jc w:val="center"/>
            </w:pPr>
            <w:r>
              <w:t>1% (3/</w:t>
            </w:r>
            <w:r>
              <w:rPr>
                <w:lang w:val="en-GB"/>
              </w:rPr>
              <w:t>238</w:t>
            </w:r>
            <w:r w:rsidRPr="00F93C93">
              <w:rPr>
                <w:lang w:val="en-GB"/>
              </w:rPr>
              <w:t>)</w:t>
            </w:r>
          </w:p>
        </w:tc>
      </w:tr>
      <w:tr w:rsidR="00A975F2" w:rsidRPr="009431DB" w:rsidTr="00A975F2">
        <w:trPr>
          <w:cantSplit/>
        </w:trPr>
        <w:tc>
          <w:tcPr>
            <w:tcW w:w="9254" w:type="dxa"/>
            <w:gridSpan w:val="3"/>
            <w:tcBorders>
              <w:top w:val="single" w:sz="4" w:space="0" w:color="auto"/>
              <w:left w:val="single" w:sz="4" w:space="0" w:color="auto"/>
              <w:bottom w:val="single" w:sz="4" w:space="0" w:color="auto"/>
              <w:right w:val="single" w:sz="4" w:space="0" w:color="auto"/>
            </w:tcBorders>
          </w:tcPr>
          <w:p w:rsidR="00A975F2" w:rsidRPr="00F93C93" w:rsidRDefault="00A975F2" w:rsidP="004B2B9C">
            <w:pPr>
              <w:pStyle w:val="TableFootnote"/>
              <w:ind w:left="0" w:firstLine="0"/>
            </w:pPr>
            <w:r w:rsidRPr="00F93C93">
              <w:t xml:space="preserve">OLYSIO: 150 mg OLYSIO for 12 weeks with </w:t>
            </w:r>
            <w:proofErr w:type="spellStart"/>
            <w:r w:rsidRPr="00F93C93">
              <w:t>peginterferon</w:t>
            </w:r>
            <w:proofErr w:type="spellEnd"/>
            <w:r w:rsidRPr="00F93C93">
              <w:t xml:space="preserve"> alfa</w:t>
            </w:r>
            <w:r w:rsidRPr="00F93C93">
              <w:noBreakHyphen/>
              <w:t xml:space="preserve">2a and ribavirin for 48 weeks; </w:t>
            </w:r>
            <w:proofErr w:type="spellStart"/>
            <w:r w:rsidR="00976567" w:rsidRPr="00F93C93">
              <w:t>Telaprevir</w:t>
            </w:r>
            <w:proofErr w:type="spellEnd"/>
            <w:r w:rsidRPr="00F93C93">
              <w:t xml:space="preserve">: </w:t>
            </w:r>
            <w:proofErr w:type="spellStart"/>
            <w:r w:rsidR="00976567" w:rsidRPr="00F93C93">
              <w:t>telaprevir</w:t>
            </w:r>
            <w:proofErr w:type="spellEnd"/>
            <w:r w:rsidRPr="00F93C93">
              <w:t xml:space="preserve"> with </w:t>
            </w:r>
            <w:proofErr w:type="spellStart"/>
            <w:r w:rsidRPr="00F93C93">
              <w:t>peginterferon</w:t>
            </w:r>
            <w:proofErr w:type="spellEnd"/>
            <w:r w:rsidRPr="00F93C93">
              <w:t xml:space="preserve"> alfa</w:t>
            </w:r>
            <w:r w:rsidRPr="00F93C93">
              <w:noBreakHyphen/>
              <w:t>2a and ribavirin for 48 weeks. SVR</w:t>
            </w:r>
            <w:r w:rsidR="00976567" w:rsidRPr="00F93C93">
              <w:t>1</w:t>
            </w:r>
            <w:r w:rsidRPr="00F93C93">
              <w:t xml:space="preserve">2: sustained </w:t>
            </w:r>
            <w:proofErr w:type="spellStart"/>
            <w:r w:rsidRPr="00F93C93">
              <w:t>virologic</w:t>
            </w:r>
            <w:proofErr w:type="spellEnd"/>
            <w:r w:rsidRPr="00F93C93">
              <w:t xml:space="preserve"> response 24 weeks after planned EOT.</w:t>
            </w:r>
          </w:p>
          <w:p w:rsidR="00A975F2" w:rsidRPr="00F93C93" w:rsidRDefault="00A975F2" w:rsidP="004B2B9C">
            <w:pPr>
              <w:pStyle w:val="TableFootnote"/>
            </w:pPr>
            <w:r w:rsidRPr="00F93C93">
              <w:rPr>
                <w:noProof/>
                <w:vertAlign w:val="superscript"/>
              </w:rPr>
              <w:t>1</w:t>
            </w:r>
            <w:r w:rsidRPr="00F93C93">
              <w:tab/>
              <w:t>p &lt; 0.001</w:t>
            </w:r>
            <w:r w:rsidR="00976567" w:rsidRPr="00F93C93">
              <w:t xml:space="preserve">; non-inferiority of OLYSIO versus </w:t>
            </w:r>
            <w:proofErr w:type="spellStart"/>
            <w:r w:rsidR="00976567" w:rsidRPr="00F93C93">
              <w:t>telaprevir</w:t>
            </w:r>
            <w:proofErr w:type="spellEnd"/>
            <w:r w:rsidR="00976567" w:rsidRPr="00F93C93">
              <w:t xml:space="preserve"> met.</w:t>
            </w:r>
          </w:p>
          <w:p w:rsidR="00A975F2" w:rsidRPr="00F93C93" w:rsidRDefault="004C4B80" w:rsidP="004B2B9C">
            <w:pPr>
              <w:pStyle w:val="TableFootnote"/>
            </w:pPr>
            <w:r>
              <w:rPr>
                <w:noProof/>
                <w:vertAlign w:val="superscript"/>
              </w:rPr>
              <w:t>2</w:t>
            </w:r>
            <w:r w:rsidR="00A975F2" w:rsidRPr="00F93C93">
              <w:tab/>
              <w:t>On</w:t>
            </w:r>
            <w:r w:rsidR="00A975F2" w:rsidRPr="00F93C93">
              <w:noBreakHyphen/>
              <w:t xml:space="preserve">treatment </w:t>
            </w:r>
            <w:proofErr w:type="spellStart"/>
            <w:r w:rsidR="00A975F2" w:rsidRPr="00F93C93">
              <w:t>virologic</w:t>
            </w:r>
            <w:proofErr w:type="spellEnd"/>
            <w:r w:rsidR="00A975F2" w:rsidRPr="00F93C93">
              <w:t xml:space="preserve"> failure was defined as the proportion of patients who had detectable HCV RNA at EOT.</w:t>
            </w:r>
          </w:p>
          <w:p w:rsidR="00A975F2" w:rsidRDefault="004C4B80" w:rsidP="004B2B9C">
            <w:pPr>
              <w:pStyle w:val="TableFootnote"/>
            </w:pPr>
            <w:r>
              <w:rPr>
                <w:noProof/>
                <w:vertAlign w:val="superscript"/>
              </w:rPr>
              <w:t>3</w:t>
            </w:r>
            <w:r w:rsidR="00A975F2" w:rsidRPr="005F755F">
              <w:tab/>
              <w:t>Viral relapse rates are calculated with a denominator of patients with undetectable HCV RNA at EOT and with at least one follow</w:t>
            </w:r>
            <w:r w:rsidR="00A975F2" w:rsidRPr="005F755F">
              <w:noBreakHyphen/>
              <w:t>up HCV RNA assessment</w:t>
            </w:r>
            <w:r w:rsidR="00A975F2" w:rsidRPr="00C50CA8">
              <w:t>.</w:t>
            </w:r>
          </w:p>
          <w:p w:rsidR="00F93C93" w:rsidRPr="00F93C93" w:rsidRDefault="004C4B80" w:rsidP="004B2B9C">
            <w:pPr>
              <w:pStyle w:val="TableFootnote"/>
            </w:pPr>
            <w:r>
              <w:rPr>
                <w:vertAlign w:val="superscript"/>
                <w:lang w:val="en-AU"/>
              </w:rPr>
              <w:t>4</w:t>
            </w:r>
            <w:r w:rsidR="00F93C93" w:rsidRPr="00F93C93">
              <w:rPr>
                <w:lang w:val="en-AU"/>
              </w:rPr>
              <w:tab/>
              <w:t>Patients with missing data at the SVR assessment time point.</w:t>
            </w:r>
          </w:p>
        </w:tc>
      </w:tr>
    </w:tbl>
    <w:p w:rsidR="00D93599" w:rsidRPr="007C3EE8" w:rsidRDefault="00D93599" w:rsidP="00D93599">
      <w:pPr>
        <w:pStyle w:val="BodyText120"/>
      </w:pPr>
    </w:p>
    <w:p w:rsidR="0078360D" w:rsidRPr="00A07535" w:rsidRDefault="0078360D" w:rsidP="0078360D">
      <w:pPr>
        <w:pStyle w:val="Heading3"/>
        <w:rPr>
          <w:rFonts w:cs="Arial"/>
          <w:i/>
        </w:rPr>
      </w:pPr>
      <w:r w:rsidRPr="00A07535">
        <w:t>Long</w:t>
      </w:r>
      <w:r w:rsidRPr="00A07535">
        <w:noBreakHyphen/>
        <w:t>term efficacy in adult</w:t>
      </w:r>
      <w:r>
        <w:t>s with HCV genotype 1 infection</w:t>
      </w:r>
    </w:p>
    <w:p w:rsidR="0078360D" w:rsidRDefault="0078360D" w:rsidP="0078360D">
      <w:r w:rsidRPr="00A07535">
        <w:t>Interim data from an ongoing 3</w:t>
      </w:r>
      <w:r w:rsidRPr="00A07535">
        <w:noBreakHyphen/>
        <w:t>year follow</w:t>
      </w:r>
      <w:r w:rsidRPr="00A07535">
        <w:noBreakHyphen/>
        <w:t xml:space="preserve">up study (Study HPC3002) in patients who achieved SVR with a </w:t>
      </w:r>
      <w:r w:rsidR="00194D66">
        <w:t>OLYSIO</w:t>
      </w:r>
      <w:r w:rsidRPr="00A07535">
        <w:noBreakHyphen/>
        <w:t xml:space="preserve">based regimen in previous Phase 2b studies showed that all patients </w:t>
      </w:r>
      <w:r w:rsidRPr="00F9039C">
        <w:t>(n=166) maintained undetectable HCV RNA during a median follow</w:t>
      </w:r>
      <w:r w:rsidRPr="00A07535">
        <w:noBreakHyphen/>
      </w:r>
      <w:r w:rsidRPr="00F9039C">
        <w:t>up time of 16 months</w:t>
      </w:r>
      <w:r w:rsidRPr="00A07535">
        <w:t>.</w:t>
      </w:r>
    </w:p>
    <w:p w:rsidR="0078360D" w:rsidRPr="009431DB" w:rsidRDefault="0078360D" w:rsidP="0078360D"/>
    <w:p w:rsidR="0078360D" w:rsidRPr="009431DB" w:rsidRDefault="0078360D" w:rsidP="0078360D">
      <w:pPr>
        <w:pStyle w:val="Heading3"/>
        <w:rPr>
          <w:rFonts w:cs="Arial"/>
          <w:i/>
        </w:rPr>
      </w:pPr>
      <w:r w:rsidRPr="009431DB">
        <w:t xml:space="preserve">Efficacy in adults with </w:t>
      </w:r>
      <w:r>
        <w:t>HCV g</w:t>
      </w:r>
      <w:r w:rsidRPr="009431DB">
        <w:t>enotype 1 infection and HIV</w:t>
      </w:r>
      <w:r w:rsidRPr="009431DB">
        <w:noBreakHyphen/>
        <w:t>1 co</w:t>
      </w:r>
      <w:r w:rsidRPr="009431DB">
        <w:noBreakHyphen/>
        <w:t>infection</w:t>
      </w:r>
    </w:p>
    <w:p w:rsidR="0078360D" w:rsidRDefault="0078360D" w:rsidP="0078360D">
      <w:r w:rsidRPr="009431DB">
        <w:t>Study </w:t>
      </w:r>
      <w:r w:rsidRPr="00A07535">
        <w:t>C</w:t>
      </w:r>
      <w:r w:rsidRPr="009431DB">
        <w:t>212 is an ongoing open</w:t>
      </w:r>
      <w:r w:rsidRPr="009431DB">
        <w:noBreakHyphen/>
        <w:t>label, single</w:t>
      </w:r>
      <w:r w:rsidRPr="009431DB">
        <w:noBreakHyphen/>
        <w:t>arm Phase 3 study in HIV</w:t>
      </w:r>
      <w:r w:rsidRPr="009431DB">
        <w:noBreakHyphen/>
        <w:t xml:space="preserve">1 </w:t>
      </w:r>
      <w:proofErr w:type="gramStart"/>
      <w:r w:rsidRPr="009431DB">
        <w:t>patients</w:t>
      </w:r>
      <w:proofErr w:type="gramEnd"/>
      <w:r w:rsidRPr="009431DB">
        <w:t xml:space="preserve"> co</w:t>
      </w:r>
      <w:r w:rsidRPr="009431DB">
        <w:noBreakHyphen/>
        <w:t xml:space="preserve">infected with </w:t>
      </w:r>
      <w:r>
        <w:t>HCV g</w:t>
      </w:r>
      <w:r w:rsidRPr="009431DB">
        <w:t>enotype 1 who are treatment</w:t>
      </w:r>
      <w:r w:rsidRPr="009431DB">
        <w:noBreakHyphen/>
        <w:t xml:space="preserve">naïve or </w:t>
      </w:r>
      <w:r w:rsidRPr="009431DB">
        <w:rPr>
          <w:szCs w:val="22"/>
        </w:rPr>
        <w:t xml:space="preserve">failed prior </w:t>
      </w:r>
      <w:r w:rsidRPr="009431DB">
        <w:t xml:space="preserve">HCV </w:t>
      </w:r>
      <w:r w:rsidRPr="009431DB">
        <w:rPr>
          <w:szCs w:val="22"/>
        </w:rPr>
        <w:t xml:space="preserve">therapy </w:t>
      </w:r>
      <w:r w:rsidRPr="009431DB">
        <w:t xml:space="preserve">with </w:t>
      </w:r>
      <w:proofErr w:type="spellStart"/>
      <w:r w:rsidRPr="009431DB">
        <w:t>peginterferon</w:t>
      </w:r>
      <w:proofErr w:type="spellEnd"/>
      <w:r w:rsidRPr="009431DB">
        <w:t xml:space="preserve"> </w:t>
      </w:r>
      <w:proofErr w:type="spellStart"/>
      <w:r w:rsidRPr="009431DB">
        <w:t>alfa</w:t>
      </w:r>
      <w:proofErr w:type="spellEnd"/>
      <w:r w:rsidRPr="009431DB">
        <w:t xml:space="preserve"> and ribavirin </w:t>
      </w:r>
      <w:r w:rsidRPr="009431DB">
        <w:rPr>
          <w:szCs w:val="22"/>
        </w:rPr>
        <w:t xml:space="preserve">(including </w:t>
      </w:r>
      <w:r w:rsidRPr="009431DB">
        <w:t xml:space="preserve">prior </w:t>
      </w:r>
      <w:proofErr w:type="spellStart"/>
      <w:r w:rsidRPr="009431DB">
        <w:t>relapsers</w:t>
      </w:r>
      <w:proofErr w:type="spellEnd"/>
      <w:r w:rsidRPr="009431DB">
        <w:t xml:space="preserve">, partial responders or null responders). </w:t>
      </w:r>
      <w:r w:rsidRPr="009431DB">
        <w:rPr>
          <w:szCs w:val="22"/>
        </w:rPr>
        <w:t>Non</w:t>
      </w:r>
      <w:r w:rsidRPr="009431DB">
        <w:rPr>
          <w:szCs w:val="22"/>
        </w:rPr>
        <w:noBreakHyphen/>
        <w:t>cirrhotic treatment</w:t>
      </w:r>
      <w:r w:rsidRPr="009431DB">
        <w:rPr>
          <w:szCs w:val="22"/>
        </w:rPr>
        <w:noBreakHyphen/>
        <w:t>naïve patients</w:t>
      </w:r>
      <w:r w:rsidRPr="009431DB">
        <w:t xml:space="preserve"> </w:t>
      </w:r>
      <w:r w:rsidRPr="009431DB">
        <w:rPr>
          <w:szCs w:val="22"/>
        </w:rPr>
        <w:t xml:space="preserve">or prior </w:t>
      </w:r>
      <w:proofErr w:type="spellStart"/>
      <w:r w:rsidRPr="009431DB">
        <w:rPr>
          <w:szCs w:val="22"/>
        </w:rPr>
        <w:t>relapse</w:t>
      </w:r>
      <w:r>
        <w:rPr>
          <w:szCs w:val="22"/>
        </w:rPr>
        <w:t>rs</w:t>
      </w:r>
      <w:proofErr w:type="spellEnd"/>
      <w:r w:rsidRPr="009431DB">
        <w:rPr>
          <w:szCs w:val="22"/>
        </w:rPr>
        <w:t xml:space="preserve"> </w:t>
      </w:r>
      <w:r w:rsidRPr="009431DB">
        <w:t xml:space="preserve">received </w:t>
      </w:r>
      <w:r w:rsidRPr="009431DB">
        <w:rPr>
          <w:szCs w:val="22"/>
        </w:rPr>
        <w:t>12 weeks</w:t>
      </w:r>
      <w:r w:rsidRPr="009431DB">
        <w:t xml:space="preserve"> of o</w:t>
      </w:r>
      <w:r w:rsidRPr="009431DB">
        <w:rPr>
          <w:szCs w:val="22"/>
        </w:rPr>
        <w:t>nce daily treatment with 150</w:t>
      </w:r>
      <w:r w:rsidRPr="009431DB">
        <w:rPr>
          <w:i/>
          <w:szCs w:val="22"/>
        </w:rPr>
        <w:t> </w:t>
      </w:r>
      <w:r w:rsidRPr="002E5379">
        <w:rPr>
          <w:szCs w:val="22"/>
        </w:rPr>
        <w:t>mg</w:t>
      </w:r>
      <w:r w:rsidRPr="009431DB">
        <w:rPr>
          <w:szCs w:val="22"/>
        </w:rPr>
        <w:t xml:space="preserve"> </w:t>
      </w:r>
      <w:r w:rsidR="00194D66">
        <w:rPr>
          <w:szCs w:val="22"/>
        </w:rPr>
        <w:t>OLYSIO</w:t>
      </w:r>
      <w:r w:rsidRPr="009431DB">
        <w:rPr>
          <w:szCs w:val="22"/>
        </w:rPr>
        <w:t xml:space="preserve"> plus </w:t>
      </w:r>
      <w:proofErr w:type="spellStart"/>
      <w:r w:rsidRPr="009431DB">
        <w:rPr>
          <w:szCs w:val="22"/>
        </w:rPr>
        <w:t>peginterferon</w:t>
      </w:r>
      <w:proofErr w:type="spellEnd"/>
      <w:r w:rsidRPr="009431DB">
        <w:rPr>
          <w:szCs w:val="22"/>
        </w:rPr>
        <w:t xml:space="preserve"> alfa</w:t>
      </w:r>
      <w:r w:rsidRPr="009431DB">
        <w:rPr>
          <w:szCs w:val="22"/>
        </w:rPr>
        <w:noBreakHyphen/>
        <w:t xml:space="preserve">2a and ribavirin, followed by 12 or 36 weeks of therapy with </w:t>
      </w:r>
      <w:proofErr w:type="spellStart"/>
      <w:r w:rsidRPr="009431DB">
        <w:rPr>
          <w:szCs w:val="22"/>
        </w:rPr>
        <w:t>peginterferon</w:t>
      </w:r>
      <w:proofErr w:type="spellEnd"/>
      <w:r w:rsidRPr="009431DB">
        <w:rPr>
          <w:szCs w:val="22"/>
        </w:rPr>
        <w:t xml:space="preserve"> alfa</w:t>
      </w:r>
      <w:r w:rsidRPr="009431DB">
        <w:noBreakHyphen/>
      </w:r>
      <w:r w:rsidRPr="009431DB">
        <w:rPr>
          <w:szCs w:val="22"/>
        </w:rPr>
        <w:t>2a and ribavirin in accordance with the protocol</w:t>
      </w:r>
      <w:r w:rsidRPr="009431DB">
        <w:rPr>
          <w:szCs w:val="22"/>
        </w:rPr>
        <w:noBreakHyphen/>
        <w:t>defined RGT criteria.</w:t>
      </w:r>
      <w:r w:rsidRPr="009431DB">
        <w:t xml:space="preserve"> Prior non</w:t>
      </w:r>
      <w:r w:rsidRPr="009431DB">
        <w:noBreakHyphen/>
        <w:t xml:space="preserve">responder patients (partial and null response) and all cirrhotic patients (METAVIR fibrosis score F4) received 36 weeks of </w:t>
      </w:r>
      <w:proofErr w:type="spellStart"/>
      <w:r w:rsidRPr="009431DB">
        <w:rPr>
          <w:szCs w:val="22"/>
        </w:rPr>
        <w:t>peginterferon</w:t>
      </w:r>
      <w:proofErr w:type="spellEnd"/>
      <w:r w:rsidRPr="009431DB">
        <w:rPr>
          <w:szCs w:val="22"/>
        </w:rPr>
        <w:t xml:space="preserve"> alfa</w:t>
      </w:r>
      <w:r w:rsidRPr="009431DB">
        <w:rPr>
          <w:szCs w:val="22"/>
        </w:rPr>
        <w:noBreakHyphen/>
        <w:t xml:space="preserve">2a and ribavirin after the initial 12 weeks of </w:t>
      </w:r>
      <w:r w:rsidR="00194D66">
        <w:rPr>
          <w:szCs w:val="22"/>
        </w:rPr>
        <w:t>OLYSIO</w:t>
      </w:r>
      <w:r w:rsidRPr="009431DB">
        <w:rPr>
          <w:szCs w:val="22"/>
        </w:rPr>
        <w:t xml:space="preserve"> in combination with </w:t>
      </w:r>
      <w:proofErr w:type="spellStart"/>
      <w:r w:rsidRPr="009431DB">
        <w:rPr>
          <w:szCs w:val="22"/>
        </w:rPr>
        <w:t>peginterferon</w:t>
      </w:r>
      <w:proofErr w:type="spellEnd"/>
      <w:r w:rsidRPr="009431DB">
        <w:rPr>
          <w:szCs w:val="22"/>
        </w:rPr>
        <w:t xml:space="preserve"> alfa</w:t>
      </w:r>
      <w:r w:rsidRPr="009431DB">
        <w:rPr>
          <w:szCs w:val="22"/>
        </w:rPr>
        <w:noBreakHyphen/>
        <w:t>2a and ribavirin</w:t>
      </w:r>
      <w:r w:rsidRPr="009431DB">
        <w:t>.</w:t>
      </w:r>
    </w:p>
    <w:p w:rsidR="0078360D" w:rsidRPr="009431DB" w:rsidRDefault="0078360D" w:rsidP="0078360D"/>
    <w:p w:rsidR="0078360D" w:rsidRDefault="0078360D" w:rsidP="0078360D">
      <w:r w:rsidRPr="009431DB">
        <w:lastRenderedPageBreak/>
        <w:t xml:space="preserve">The 106 enrolled patients </w:t>
      </w:r>
      <w:r w:rsidR="005E3BAF" w:rsidRPr="005E3BAF">
        <w:t xml:space="preserve">in Study C212 </w:t>
      </w:r>
      <w:r w:rsidRPr="009431DB">
        <w:t>had a median age of 48 years (range: 27 to 67 years</w:t>
      </w:r>
      <w:r w:rsidR="00B16C28">
        <w:t xml:space="preserve">); 85% were male; 82% were Caucasian, 14% </w:t>
      </w:r>
      <w:r w:rsidRPr="009431DB">
        <w:t>African American, 1% Asian, and 6% Hispanic</w:t>
      </w:r>
      <w:r w:rsidRPr="002830CF">
        <w:t>;</w:t>
      </w:r>
      <w:r w:rsidRPr="009431DB">
        <w:t xml:space="preserve"> </w:t>
      </w:r>
      <w:r>
        <w:t>12</w:t>
      </w:r>
      <w:r w:rsidRPr="009431DB">
        <w:t>% had a BMI ≥ 30 kg/m</w:t>
      </w:r>
      <w:r w:rsidRPr="009431DB">
        <w:rPr>
          <w:vertAlign w:val="superscript"/>
        </w:rPr>
        <w:t>2</w:t>
      </w:r>
      <w:r w:rsidRPr="009431DB">
        <w:t xml:space="preserve">; 86% had </w:t>
      </w:r>
      <w:r>
        <w:t>HCV </w:t>
      </w:r>
      <w:r w:rsidRPr="009431DB">
        <w:t xml:space="preserve">RNA levels &gt; 800000 IU/mL; </w:t>
      </w:r>
      <w:r>
        <w:t>68</w:t>
      </w:r>
      <w:r w:rsidRPr="009431DB">
        <w:t>% had METAVIR fibrosis score F0</w:t>
      </w:r>
      <w:r>
        <w:t>,</w:t>
      </w:r>
      <w:r w:rsidRPr="009431DB">
        <w:t xml:space="preserve"> F1</w:t>
      </w:r>
      <w:r w:rsidRPr="00BE1A1D">
        <w:t xml:space="preserve"> </w:t>
      </w:r>
      <w:r w:rsidRPr="009431DB">
        <w:t>or</w:t>
      </w:r>
      <w:r>
        <w:t xml:space="preserve"> F2</w:t>
      </w:r>
      <w:r w:rsidRPr="009431DB">
        <w:t>,</w:t>
      </w:r>
      <w:r>
        <w:t xml:space="preserve"> 19</w:t>
      </w:r>
      <w:r w:rsidRPr="009431DB">
        <w:t xml:space="preserve">% METAVIR fibrosis score F3, and </w:t>
      </w:r>
      <w:r>
        <w:t>13</w:t>
      </w:r>
      <w:r w:rsidRPr="009431DB">
        <w:t xml:space="preserve">% METAVIR fibrosis score F4; 82% had </w:t>
      </w:r>
      <w:r>
        <w:t>HCV g</w:t>
      </w:r>
      <w:r w:rsidRPr="009431DB">
        <w:t xml:space="preserve">enotype 1a, and 17% </w:t>
      </w:r>
      <w:r>
        <w:t>HCV g</w:t>
      </w:r>
      <w:r w:rsidRPr="009431DB">
        <w:t xml:space="preserve">enotype 1b; 27% had </w:t>
      </w:r>
      <w:r w:rsidRPr="009431DB">
        <w:rPr>
          <w:i/>
        </w:rPr>
        <w:t>IL28B</w:t>
      </w:r>
      <w:r>
        <w:t> </w:t>
      </w:r>
      <w:r w:rsidRPr="009431DB">
        <w:t xml:space="preserve">CC genotype, 56% </w:t>
      </w:r>
      <w:r w:rsidRPr="009431DB">
        <w:rPr>
          <w:i/>
        </w:rPr>
        <w:t>IL28B</w:t>
      </w:r>
      <w:r>
        <w:rPr>
          <w:i/>
        </w:rPr>
        <w:t> </w:t>
      </w:r>
      <w:r w:rsidRPr="009431DB">
        <w:t xml:space="preserve">CT genotype, and 17% </w:t>
      </w:r>
      <w:r w:rsidRPr="009431DB">
        <w:rPr>
          <w:i/>
        </w:rPr>
        <w:t>IL28B</w:t>
      </w:r>
      <w:r>
        <w:rPr>
          <w:i/>
        </w:rPr>
        <w:t> </w:t>
      </w:r>
      <w:r w:rsidRPr="009431DB">
        <w:t xml:space="preserve">TT genotype; 50% </w:t>
      </w:r>
      <w:r>
        <w:t xml:space="preserve">(n=53) </w:t>
      </w:r>
      <w:r w:rsidRPr="00EC58DD">
        <w:t>were HCV treatment</w:t>
      </w:r>
      <w:r w:rsidRPr="00EC58DD">
        <w:noBreakHyphen/>
        <w:t xml:space="preserve">naïve patients, 14% (n=15) prior </w:t>
      </w:r>
      <w:proofErr w:type="spellStart"/>
      <w:r w:rsidRPr="00EC58DD">
        <w:t>relapsers</w:t>
      </w:r>
      <w:proofErr w:type="spellEnd"/>
      <w:r w:rsidRPr="00EC58DD">
        <w:t>, 9% (n=10) prior partial responders</w:t>
      </w:r>
      <w:r w:rsidRPr="009431DB">
        <w:t xml:space="preserve">, and 26% </w:t>
      </w:r>
      <w:r>
        <w:t xml:space="preserve">(n=28) </w:t>
      </w:r>
      <w:r w:rsidRPr="009431DB">
        <w:t>prior null responders. Eighty</w:t>
      </w:r>
      <w:r w:rsidRPr="009431DB">
        <w:noBreakHyphen/>
        <w:t>eight percent (</w:t>
      </w:r>
      <w:r>
        <w:t>n=</w:t>
      </w:r>
      <w:r w:rsidRPr="009431DB">
        <w:t xml:space="preserve">93) of the patients were on highly active antiretroviral therapy (HAART), with nucleoside reverse transcriptase inhibitors and the </w:t>
      </w:r>
      <w:proofErr w:type="spellStart"/>
      <w:r w:rsidRPr="009431DB">
        <w:t>integrase</w:t>
      </w:r>
      <w:proofErr w:type="spellEnd"/>
      <w:r w:rsidRPr="009431DB">
        <w:t xml:space="preserve"> inhibitor </w:t>
      </w:r>
      <w:proofErr w:type="spellStart"/>
      <w:r w:rsidRPr="009431DB">
        <w:t>raltegravir</w:t>
      </w:r>
      <w:proofErr w:type="spellEnd"/>
      <w:r w:rsidRPr="009431DB">
        <w:t xml:space="preserve"> being the most commonly used HIV antiretroviral. The median baseline HIV</w:t>
      </w:r>
      <w:r w:rsidRPr="009431DB">
        <w:noBreakHyphen/>
        <w:t>1 RNA levels and CD4+ cell count in patients not on HAART were 4.18 log</w:t>
      </w:r>
      <w:r w:rsidRPr="009431DB">
        <w:rPr>
          <w:vertAlign w:val="subscript"/>
        </w:rPr>
        <w:t>10</w:t>
      </w:r>
      <w:r w:rsidRPr="009431DB">
        <w:t> copies/m</w:t>
      </w:r>
      <w:r>
        <w:t>L</w:t>
      </w:r>
      <w:r w:rsidRPr="009431DB">
        <w:t xml:space="preserve"> (range: 1.3</w:t>
      </w:r>
      <w:r w:rsidRPr="009431DB">
        <w:noBreakHyphen/>
        <w:t>4.9 log</w:t>
      </w:r>
      <w:r w:rsidRPr="009431DB">
        <w:rPr>
          <w:vertAlign w:val="subscript"/>
        </w:rPr>
        <w:t>10</w:t>
      </w:r>
      <w:r w:rsidRPr="009431DB">
        <w:t> copies/m</w:t>
      </w:r>
      <w:r>
        <w:t>L</w:t>
      </w:r>
      <w:r w:rsidRPr="009431DB">
        <w:t>) and 677 x 10</w:t>
      </w:r>
      <w:r w:rsidRPr="009431DB">
        <w:rPr>
          <w:vertAlign w:val="superscript"/>
        </w:rPr>
        <w:t>6</w:t>
      </w:r>
      <w:r w:rsidRPr="009431DB">
        <w:t> cells/</w:t>
      </w:r>
      <w:r>
        <w:t>L</w:t>
      </w:r>
      <w:r w:rsidRPr="009431DB">
        <w:t xml:space="preserve"> (range: 489</w:t>
      </w:r>
      <w:r w:rsidRPr="009431DB">
        <w:noBreakHyphen/>
        <w:t>1076 x 10</w:t>
      </w:r>
      <w:r w:rsidRPr="009431DB">
        <w:rPr>
          <w:vertAlign w:val="superscript"/>
        </w:rPr>
        <w:t>6</w:t>
      </w:r>
      <w:r w:rsidRPr="009431DB">
        <w:t> cells/</w:t>
      </w:r>
      <w:r>
        <w:t>L</w:t>
      </w:r>
      <w:r w:rsidRPr="009431DB">
        <w:t>), respectively.</w:t>
      </w:r>
      <w:r>
        <w:t xml:space="preserve"> T</w:t>
      </w:r>
      <w:r w:rsidRPr="00587D33">
        <w:t xml:space="preserve">he median baseline CD4+ cell count </w:t>
      </w:r>
      <w:r>
        <w:t>in patients</w:t>
      </w:r>
      <w:r w:rsidRPr="00587D33">
        <w:t xml:space="preserve"> on HAART was </w:t>
      </w:r>
      <w:proofErr w:type="gramStart"/>
      <w:r w:rsidRPr="00587D33">
        <w:t>561</w:t>
      </w:r>
      <w:r w:rsidRPr="009431DB">
        <w:t> </w:t>
      </w:r>
      <w:r w:rsidRPr="00587D33">
        <w:t>x</w:t>
      </w:r>
      <w:r w:rsidRPr="009431DB">
        <w:t> </w:t>
      </w:r>
      <w:r w:rsidRPr="00587D33">
        <w:t>10</w:t>
      </w:r>
      <w:r w:rsidRPr="00587D33">
        <w:rPr>
          <w:vertAlign w:val="superscript"/>
        </w:rPr>
        <w:t>6</w:t>
      </w:r>
      <w:r w:rsidRPr="009431DB">
        <w:t> </w:t>
      </w:r>
      <w:r w:rsidRPr="00587D33">
        <w:t>cells/mL</w:t>
      </w:r>
      <w:proofErr w:type="gramEnd"/>
      <w:r w:rsidRPr="00587D33">
        <w:t xml:space="preserve"> (range: 275</w:t>
      </w:r>
      <w:r w:rsidRPr="009431DB">
        <w:noBreakHyphen/>
      </w:r>
      <w:r>
        <w:t>1407 </w:t>
      </w:r>
      <w:r w:rsidRPr="00587D33">
        <w:t>x</w:t>
      </w:r>
      <w:r w:rsidRPr="009431DB">
        <w:t> </w:t>
      </w:r>
      <w:r w:rsidRPr="00587D33">
        <w:t>10</w:t>
      </w:r>
      <w:r w:rsidRPr="00587D33">
        <w:rPr>
          <w:vertAlign w:val="superscript"/>
        </w:rPr>
        <w:t>6</w:t>
      </w:r>
      <w:r w:rsidRPr="009431DB">
        <w:t> </w:t>
      </w:r>
      <w:r w:rsidRPr="00587D33">
        <w:t>cells/mL).</w:t>
      </w:r>
    </w:p>
    <w:p w:rsidR="0078360D" w:rsidRPr="009431DB" w:rsidRDefault="0078360D" w:rsidP="0078360D"/>
    <w:p w:rsidR="00EC4147" w:rsidRDefault="00EC4147" w:rsidP="0078360D">
      <w:r w:rsidRPr="00EC4147">
        <w:t xml:space="preserve">The proportion of patients who discontinued all treatment due to an adverse event was </w:t>
      </w:r>
      <w:r w:rsidR="00BB4196">
        <w:t>3</w:t>
      </w:r>
      <w:r w:rsidRPr="00EC4147">
        <w:t xml:space="preserve">%. </w:t>
      </w:r>
      <w:r>
        <w:t xml:space="preserve"> </w:t>
      </w:r>
      <w:r w:rsidRPr="00EC4147">
        <w:t xml:space="preserve">The proportion of patients who discontinued </w:t>
      </w:r>
      <w:proofErr w:type="spellStart"/>
      <w:r w:rsidRPr="00EC4147">
        <w:t>simeprevir</w:t>
      </w:r>
      <w:proofErr w:type="spellEnd"/>
      <w:r w:rsidRPr="00EC4147">
        <w:t xml:space="preserve"> </w:t>
      </w:r>
      <w:r w:rsidR="00E71618">
        <w:t xml:space="preserve">alone </w:t>
      </w:r>
      <w:r w:rsidRPr="00EC4147">
        <w:t xml:space="preserve">treatment due to an adverse event was </w:t>
      </w:r>
      <w:r w:rsidR="00BB4196">
        <w:t>1</w:t>
      </w:r>
      <w:r w:rsidRPr="00EC4147">
        <w:t xml:space="preserve">%. </w:t>
      </w:r>
      <w:r w:rsidR="00692297">
        <w:t xml:space="preserve"> </w:t>
      </w:r>
      <w:r w:rsidRPr="00201B1F">
        <w:t xml:space="preserve">Table </w:t>
      </w:r>
      <w:r w:rsidR="00A975F2">
        <w:t>10</w:t>
      </w:r>
      <w:r w:rsidR="00A975F2" w:rsidRPr="00EC4147">
        <w:t xml:space="preserve"> </w:t>
      </w:r>
      <w:r w:rsidRPr="00EC4147">
        <w:t xml:space="preserve">shows the response rates in treatment naïve, prior </w:t>
      </w:r>
      <w:proofErr w:type="spellStart"/>
      <w:r w:rsidRPr="00EC4147">
        <w:t>relapsers</w:t>
      </w:r>
      <w:proofErr w:type="spellEnd"/>
      <w:r w:rsidRPr="00EC4147">
        <w:t xml:space="preserve">, prior partial responders and </w:t>
      </w:r>
      <w:r w:rsidR="005719F8">
        <w:t xml:space="preserve">prior </w:t>
      </w:r>
      <w:r w:rsidRPr="00EC4147">
        <w:t>null responders.</w:t>
      </w:r>
      <w:r>
        <w:t xml:space="preserve">  </w:t>
      </w:r>
    </w:p>
    <w:p w:rsidR="00EC4147" w:rsidRDefault="00EC4147" w:rsidP="0078360D"/>
    <w:p w:rsidR="00EC4147" w:rsidRDefault="00EC4147" w:rsidP="00EC4147">
      <w:pPr>
        <w:pStyle w:val="Caption"/>
        <w:rPr>
          <w:lang w:eastAsia="en-US"/>
        </w:rPr>
      </w:pPr>
      <w:r w:rsidRPr="00201B1F">
        <w:rPr>
          <w:lang w:eastAsia="en-US"/>
        </w:rPr>
        <w:t xml:space="preserve">Table </w:t>
      </w:r>
      <w:r w:rsidR="00A975F2">
        <w:rPr>
          <w:lang w:eastAsia="en-US"/>
        </w:rPr>
        <w:t>10</w:t>
      </w:r>
      <w:r w:rsidRPr="00EC4147">
        <w:rPr>
          <w:lang w:eastAsia="en-US"/>
        </w:rPr>
        <w:t xml:space="preserve">: </w:t>
      </w:r>
      <w:r w:rsidR="00126786">
        <w:rPr>
          <w:lang w:eastAsia="en-US"/>
        </w:rPr>
        <w:tab/>
      </w:r>
      <w:r w:rsidRPr="00EC4147">
        <w:rPr>
          <w:lang w:eastAsia="en-US"/>
        </w:rPr>
        <w:t xml:space="preserve">Treatment outcome in adult patients with HCV genotype 1 infection and HIV 1 co infection (study C212; Intent </w:t>
      </w:r>
      <w:proofErr w:type="gramStart"/>
      <w:r w:rsidRPr="00EC4147">
        <w:rPr>
          <w:lang w:eastAsia="en-US"/>
        </w:rPr>
        <w:t>To</w:t>
      </w:r>
      <w:proofErr w:type="gramEnd"/>
      <w:r w:rsidRPr="00EC4147">
        <w:rPr>
          <w:lang w:eastAsia="en-US"/>
        </w:rPr>
        <w:t xml:space="preserve"> Treat analysis 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14"/>
        <w:gridCol w:w="1667"/>
        <w:gridCol w:w="2163"/>
        <w:gridCol w:w="1806"/>
      </w:tblGrid>
      <w:tr w:rsidR="00CC2744" w:rsidRPr="00561C72" w:rsidTr="004571CD">
        <w:tc>
          <w:tcPr>
            <w:tcW w:w="1806" w:type="dxa"/>
            <w:shd w:val="clear" w:color="auto" w:fill="auto"/>
          </w:tcPr>
          <w:p w:rsidR="00CC2744" w:rsidRPr="004571CD" w:rsidRDefault="00692297" w:rsidP="009D3DCE">
            <w:pPr>
              <w:rPr>
                <w:b/>
                <w:sz w:val="20"/>
              </w:rPr>
            </w:pPr>
            <w:r w:rsidRPr="004571CD">
              <w:rPr>
                <w:b/>
                <w:sz w:val="20"/>
              </w:rPr>
              <w:t>Treatment outcome</w:t>
            </w:r>
            <w:r w:rsidR="009D3DCE" w:rsidRPr="004571CD">
              <w:rPr>
                <w:b/>
                <w:sz w:val="20"/>
                <w:vertAlign w:val="superscript"/>
              </w:rPr>
              <w:t>1</w:t>
            </w:r>
          </w:p>
        </w:tc>
        <w:tc>
          <w:tcPr>
            <w:tcW w:w="1914" w:type="dxa"/>
            <w:shd w:val="clear" w:color="auto" w:fill="auto"/>
          </w:tcPr>
          <w:p w:rsidR="00692297" w:rsidRPr="004571CD" w:rsidRDefault="00692297" w:rsidP="004571CD">
            <w:pPr>
              <w:jc w:val="center"/>
              <w:rPr>
                <w:b/>
                <w:sz w:val="20"/>
              </w:rPr>
            </w:pPr>
            <w:r w:rsidRPr="004571CD">
              <w:rPr>
                <w:b/>
                <w:sz w:val="20"/>
              </w:rPr>
              <w:t>Treatment-naïve patients</w:t>
            </w:r>
          </w:p>
          <w:p w:rsidR="00692297" w:rsidRPr="004571CD" w:rsidRDefault="00692297" w:rsidP="004571CD">
            <w:pPr>
              <w:jc w:val="center"/>
              <w:rPr>
                <w:b/>
                <w:sz w:val="20"/>
              </w:rPr>
            </w:pPr>
            <w:r w:rsidRPr="004571CD">
              <w:rPr>
                <w:b/>
                <w:sz w:val="20"/>
              </w:rPr>
              <w:t>N=53</w:t>
            </w:r>
          </w:p>
          <w:p w:rsidR="00CC2744" w:rsidRPr="004571CD" w:rsidRDefault="00692297" w:rsidP="004571CD">
            <w:pPr>
              <w:jc w:val="center"/>
              <w:rPr>
                <w:b/>
                <w:sz w:val="20"/>
              </w:rPr>
            </w:pPr>
            <w:r w:rsidRPr="004571CD">
              <w:rPr>
                <w:b/>
                <w:sz w:val="20"/>
              </w:rPr>
              <w:t>% (n/N)</w:t>
            </w:r>
          </w:p>
        </w:tc>
        <w:tc>
          <w:tcPr>
            <w:tcW w:w="1667" w:type="dxa"/>
            <w:shd w:val="clear" w:color="auto" w:fill="auto"/>
          </w:tcPr>
          <w:p w:rsidR="009D3DCE" w:rsidRPr="004571CD" w:rsidRDefault="009D3DCE" w:rsidP="004571CD">
            <w:pPr>
              <w:jc w:val="center"/>
              <w:rPr>
                <w:b/>
                <w:sz w:val="20"/>
              </w:rPr>
            </w:pPr>
            <w:r w:rsidRPr="004571CD">
              <w:rPr>
                <w:b/>
                <w:sz w:val="20"/>
              </w:rPr>
              <w:t xml:space="preserve">Prior </w:t>
            </w:r>
          </w:p>
          <w:p w:rsidR="009D3DCE" w:rsidRPr="004571CD" w:rsidRDefault="009D3DCE" w:rsidP="004571CD">
            <w:pPr>
              <w:jc w:val="center"/>
              <w:rPr>
                <w:b/>
                <w:sz w:val="20"/>
              </w:rPr>
            </w:pPr>
            <w:proofErr w:type="spellStart"/>
            <w:r w:rsidRPr="004571CD">
              <w:rPr>
                <w:b/>
                <w:sz w:val="20"/>
              </w:rPr>
              <w:t>relapsers</w:t>
            </w:r>
            <w:proofErr w:type="spellEnd"/>
            <w:r w:rsidRPr="004571CD">
              <w:rPr>
                <w:b/>
                <w:sz w:val="20"/>
              </w:rPr>
              <w:t xml:space="preserve"> </w:t>
            </w:r>
          </w:p>
          <w:p w:rsidR="00CC2744" w:rsidRPr="004571CD" w:rsidRDefault="009D3DCE" w:rsidP="004571CD">
            <w:pPr>
              <w:jc w:val="center"/>
              <w:rPr>
                <w:b/>
                <w:sz w:val="20"/>
              </w:rPr>
            </w:pPr>
            <w:r w:rsidRPr="004571CD">
              <w:rPr>
                <w:b/>
                <w:sz w:val="20"/>
              </w:rPr>
              <w:t>N=15</w:t>
            </w:r>
          </w:p>
          <w:p w:rsidR="009D3DCE" w:rsidRPr="004571CD" w:rsidRDefault="009D3DCE" w:rsidP="004571CD">
            <w:pPr>
              <w:jc w:val="center"/>
              <w:rPr>
                <w:b/>
                <w:sz w:val="20"/>
              </w:rPr>
            </w:pPr>
            <w:r w:rsidRPr="004571CD">
              <w:rPr>
                <w:b/>
                <w:sz w:val="20"/>
              </w:rPr>
              <w:t>% (n/N)</w:t>
            </w:r>
          </w:p>
        </w:tc>
        <w:tc>
          <w:tcPr>
            <w:tcW w:w="2163" w:type="dxa"/>
            <w:shd w:val="clear" w:color="auto" w:fill="auto"/>
          </w:tcPr>
          <w:p w:rsidR="009D3DCE" w:rsidRPr="004571CD" w:rsidRDefault="009D3DCE" w:rsidP="004571CD">
            <w:pPr>
              <w:jc w:val="center"/>
              <w:rPr>
                <w:b/>
                <w:sz w:val="20"/>
              </w:rPr>
            </w:pPr>
            <w:r w:rsidRPr="004571CD">
              <w:rPr>
                <w:b/>
                <w:sz w:val="20"/>
              </w:rPr>
              <w:t xml:space="preserve">Prior partial responders </w:t>
            </w:r>
          </w:p>
          <w:p w:rsidR="00CC2744" w:rsidRPr="004571CD" w:rsidRDefault="009D3DCE" w:rsidP="004571CD">
            <w:pPr>
              <w:jc w:val="center"/>
              <w:rPr>
                <w:b/>
                <w:sz w:val="20"/>
              </w:rPr>
            </w:pPr>
            <w:r w:rsidRPr="004571CD">
              <w:rPr>
                <w:b/>
                <w:sz w:val="20"/>
              </w:rPr>
              <w:t>N=10</w:t>
            </w:r>
          </w:p>
          <w:p w:rsidR="009D3DCE" w:rsidRPr="004571CD" w:rsidRDefault="009D3DCE" w:rsidP="004571CD">
            <w:pPr>
              <w:jc w:val="center"/>
              <w:rPr>
                <w:b/>
                <w:sz w:val="20"/>
              </w:rPr>
            </w:pPr>
            <w:r w:rsidRPr="004571CD">
              <w:rPr>
                <w:b/>
                <w:sz w:val="20"/>
              </w:rPr>
              <w:t>% (n/N)</w:t>
            </w:r>
          </w:p>
        </w:tc>
        <w:tc>
          <w:tcPr>
            <w:tcW w:w="1806" w:type="dxa"/>
            <w:shd w:val="clear" w:color="auto" w:fill="auto"/>
          </w:tcPr>
          <w:p w:rsidR="00692297" w:rsidRPr="004571CD" w:rsidRDefault="00692297" w:rsidP="004571CD">
            <w:pPr>
              <w:jc w:val="center"/>
              <w:rPr>
                <w:b/>
                <w:sz w:val="20"/>
              </w:rPr>
            </w:pPr>
            <w:r w:rsidRPr="004571CD">
              <w:rPr>
                <w:b/>
                <w:sz w:val="20"/>
              </w:rPr>
              <w:t>Prior null responders</w:t>
            </w:r>
          </w:p>
          <w:p w:rsidR="00692297" w:rsidRPr="004571CD" w:rsidRDefault="00692297" w:rsidP="004571CD">
            <w:pPr>
              <w:jc w:val="center"/>
              <w:rPr>
                <w:b/>
                <w:sz w:val="20"/>
              </w:rPr>
            </w:pPr>
            <w:r w:rsidRPr="004571CD">
              <w:rPr>
                <w:b/>
                <w:sz w:val="20"/>
              </w:rPr>
              <w:t>N=28</w:t>
            </w:r>
          </w:p>
          <w:p w:rsidR="00CC2744" w:rsidRPr="004571CD" w:rsidRDefault="00692297" w:rsidP="004571CD">
            <w:pPr>
              <w:jc w:val="center"/>
              <w:rPr>
                <w:b/>
                <w:sz w:val="20"/>
              </w:rPr>
            </w:pPr>
            <w:r w:rsidRPr="004571CD">
              <w:rPr>
                <w:b/>
                <w:sz w:val="20"/>
              </w:rPr>
              <w:t>% (n/N)</w:t>
            </w:r>
          </w:p>
        </w:tc>
      </w:tr>
      <w:tr w:rsidR="00CC2744" w:rsidRPr="00561C72" w:rsidTr="004571CD">
        <w:tc>
          <w:tcPr>
            <w:tcW w:w="1806" w:type="dxa"/>
            <w:tcBorders>
              <w:bottom w:val="single" w:sz="24" w:space="0" w:color="auto"/>
            </w:tcBorders>
            <w:shd w:val="clear" w:color="auto" w:fill="auto"/>
          </w:tcPr>
          <w:p w:rsidR="00CC2744" w:rsidRPr="0052473B" w:rsidRDefault="00692297" w:rsidP="009D3DCE">
            <w:pPr>
              <w:rPr>
                <w:b/>
                <w:sz w:val="20"/>
              </w:rPr>
            </w:pPr>
            <w:r w:rsidRPr="008D2467">
              <w:rPr>
                <w:b/>
                <w:sz w:val="20"/>
              </w:rPr>
              <w:t>SVR12</w:t>
            </w:r>
          </w:p>
        </w:tc>
        <w:tc>
          <w:tcPr>
            <w:tcW w:w="1914" w:type="dxa"/>
            <w:tcBorders>
              <w:bottom w:val="single" w:sz="24" w:space="0" w:color="auto"/>
            </w:tcBorders>
            <w:shd w:val="clear" w:color="auto" w:fill="auto"/>
          </w:tcPr>
          <w:p w:rsidR="00CC2744" w:rsidRPr="007C1BBF" w:rsidRDefault="009D3DCE" w:rsidP="004571CD">
            <w:pPr>
              <w:jc w:val="center"/>
              <w:rPr>
                <w:sz w:val="20"/>
              </w:rPr>
            </w:pPr>
            <w:r w:rsidRPr="0052473B">
              <w:rPr>
                <w:sz w:val="20"/>
              </w:rPr>
              <w:t>79% (42/53)</w:t>
            </w:r>
            <w:r w:rsidRPr="00403604">
              <w:rPr>
                <w:sz w:val="20"/>
                <w:vertAlign w:val="superscript"/>
              </w:rPr>
              <w:t>2</w:t>
            </w:r>
          </w:p>
        </w:tc>
        <w:tc>
          <w:tcPr>
            <w:tcW w:w="1667" w:type="dxa"/>
            <w:tcBorders>
              <w:bottom w:val="single" w:sz="24" w:space="0" w:color="auto"/>
            </w:tcBorders>
            <w:shd w:val="clear" w:color="auto" w:fill="auto"/>
          </w:tcPr>
          <w:p w:rsidR="00CC2744" w:rsidRPr="005719F8" w:rsidRDefault="009D3DCE" w:rsidP="004571CD">
            <w:pPr>
              <w:jc w:val="center"/>
              <w:rPr>
                <w:sz w:val="20"/>
              </w:rPr>
            </w:pPr>
            <w:r w:rsidRPr="005719F8">
              <w:rPr>
                <w:sz w:val="20"/>
              </w:rPr>
              <w:t>87% (13/15)</w:t>
            </w:r>
          </w:p>
        </w:tc>
        <w:tc>
          <w:tcPr>
            <w:tcW w:w="2163" w:type="dxa"/>
            <w:tcBorders>
              <w:bottom w:val="single" w:sz="24" w:space="0" w:color="auto"/>
            </w:tcBorders>
            <w:shd w:val="clear" w:color="auto" w:fill="auto"/>
          </w:tcPr>
          <w:p w:rsidR="00CC2744" w:rsidRPr="00EA6E53" w:rsidRDefault="009D3DCE" w:rsidP="004571CD">
            <w:pPr>
              <w:jc w:val="center"/>
              <w:rPr>
                <w:sz w:val="20"/>
              </w:rPr>
            </w:pPr>
            <w:r w:rsidRPr="005719F8">
              <w:rPr>
                <w:sz w:val="20"/>
              </w:rPr>
              <w:t>70% (7/10)</w:t>
            </w:r>
          </w:p>
        </w:tc>
        <w:tc>
          <w:tcPr>
            <w:tcW w:w="1806" w:type="dxa"/>
            <w:tcBorders>
              <w:bottom w:val="single" w:sz="24" w:space="0" w:color="auto"/>
            </w:tcBorders>
            <w:shd w:val="clear" w:color="auto" w:fill="auto"/>
          </w:tcPr>
          <w:p w:rsidR="00CC2744" w:rsidRPr="00414FD8" w:rsidRDefault="009D3DCE" w:rsidP="004571CD">
            <w:pPr>
              <w:jc w:val="center"/>
              <w:rPr>
                <w:sz w:val="20"/>
              </w:rPr>
            </w:pPr>
            <w:r w:rsidRPr="00EA6E53">
              <w:rPr>
                <w:sz w:val="20"/>
              </w:rPr>
              <w:t>57% (16/28)</w:t>
            </w:r>
            <w:r w:rsidRPr="000E7136">
              <w:rPr>
                <w:sz w:val="20"/>
                <w:vertAlign w:val="superscript"/>
              </w:rPr>
              <w:t>2</w:t>
            </w:r>
          </w:p>
        </w:tc>
      </w:tr>
      <w:tr w:rsidR="00A52AF9" w:rsidRPr="00561C72" w:rsidTr="004571CD">
        <w:tc>
          <w:tcPr>
            <w:tcW w:w="9356" w:type="dxa"/>
            <w:gridSpan w:val="5"/>
            <w:tcBorders>
              <w:top w:val="single" w:sz="24" w:space="0" w:color="auto"/>
            </w:tcBorders>
            <w:shd w:val="clear" w:color="auto" w:fill="auto"/>
          </w:tcPr>
          <w:p w:rsidR="00A52AF9" w:rsidRPr="00157B27" w:rsidRDefault="00A52AF9" w:rsidP="00A52AF9">
            <w:pPr>
              <w:rPr>
                <w:b/>
                <w:sz w:val="20"/>
              </w:rPr>
            </w:pPr>
            <w:r w:rsidRPr="00157B27">
              <w:rPr>
                <w:b/>
                <w:sz w:val="20"/>
              </w:rPr>
              <w:t>Outcome for patients without SVR12</w:t>
            </w:r>
          </w:p>
        </w:tc>
      </w:tr>
      <w:tr w:rsidR="00CC2744" w:rsidRPr="004571CD" w:rsidTr="004571CD">
        <w:tc>
          <w:tcPr>
            <w:tcW w:w="1806" w:type="dxa"/>
            <w:shd w:val="clear" w:color="auto" w:fill="auto"/>
          </w:tcPr>
          <w:p w:rsidR="00CC2744" w:rsidRPr="004571CD" w:rsidRDefault="00A52AF9" w:rsidP="009D3DCE">
            <w:pPr>
              <w:rPr>
                <w:sz w:val="20"/>
              </w:rPr>
            </w:pPr>
            <w:r w:rsidRPr="00561C72">
              <w:rPr>
                <w:sz w:val="20"/>
              </w:rPr>
              <w:t>On-treatment failure</w:t>
            </w:r>
            <w:r w:rsidRPr="004571CD">
              <w:rPr>
                <w:sz w:val="20"/>
                <w:vertAlign w:val="superscript"/>
              </w:rPr>
              <w:t>3</w:t>
            </w:r>
          </w:p>
        </w:tc>
        <w:tc>
          <w:tcPr>
            <w:tcW w:w="1914" w:type="dxa"/>
            <w:shd w:val="clear" w:color="auto" w:fill="auto"/>
          </w:tcPr>
          <w:p w:rsidR="00CC2744" w:rsidRPr="004571CD" w:rsidRDefault="006D6DD6" w:rsidP="004571CD">
            <w:pPr>
              <w:jc w:val="center"/>
              <w:rPr>
                <w:sz w:val="20"/>
              </w:rPr>
            </w:pPr>
            <w:r w:rsidRPr="004571CD">
              <w:rPr>
                <w:sz w:val="20"/>
              </w:rPr>
              <w:t>9% (5/53)</w:t>
            </w:r>
          </w:p>
        </w:tc>
        <w:tc>
          <w:tcPr>
            <w:tcW w:w="1667" w:type="dxa"/>
            <w:shd w:val="clear" w:color="auto" w:fill="auto"/>
          </w:tcPr>
          <w:p w:rsidR="00CC2744" w:rsidRPr="004571CD" w:rsidRDefault="006D6DD6" w:rsidP="004571CD">
            <w:pPr>
              <w:jc w:val="center"/>
              <w:rPr>
                <w:sz w:val="20"/>
              </w:rPr>
            </w:pPr>
            <w:r w:rsidRPr="004571CD">
              <w:rPr>
                <w:sz w:val="20"/>
              </w:rPr>
              <w:t>0% (0/15)</w:t>
            </w:r>
          </w:p>
        </w:tc>
        <w:tc>
          <w:tcPr>
            <w:tcW w:w="2163" w:type="dxa"/>
            <w:shd w:val="clear" w:color="auto" w:fill="auto"/>
          </w:tcPr>
          <w:p w:rsidR="00CC2744" w:rsidRPr="004571CD" w:rsidRDefault="006D6DD6" w:rsidP="004571CD">
            <w:pPr>
              <w:jc w:val="center"/>
              <w:rPr>
                <w:sz w:val="20"/>
              </w:rPr>
            </w:pPr>
            <w:r w:rsidRPr="004571CD">
              <w:rPr>
                <w:sz w:val="20"/>
              </w:rPr>
              <w:t>20% (2/10)</w:t>
            </w:r>
          </w:p>
        </w:tc>
        <w:tc>
          <w:tcPr>
            <w:tcW w:w="1806" w:type="dxa"/>
            <w:shd w:val="clear" w:color="auto" w:fill="auto"/>
          </w:tcPr>
          <w:p w:rsidR="00CC2744" w:rsidRPr="004571CD" w:rsidRDefault="006D6DD6" w:rsidP="004571CD">
            <w:pPr>
              <w:jc w:val="center"/>
              <w:rPr>
                <w:sz w:val="20"/>
              </w:rPr>
            </w:pPr>
            <w:r w:rsidRPr="004571CD">
              <w:rPr>
                <w:sz w:val="20"/>
              </w:rPr>
              <w:t>39% (11/28)</w:t>
            </w:r>
          </w:p>
        </w:tc>
      </w:tr>
      <w:tr w:rsidR="00CC2744" w:rsidRPr="004571CD" w:rsidTr="004571CD">
        <w:tc>
          <w:tcPr>
            <w:tcW w:w="1806" w:type="dxa"/>
            <w:shd w:val="clear" w:color="auto" w:fill="auto"/>
          </w:tcPr>
          <w:p w:rsidR="00CC2744" w:rsidRPr="004571CD" w:rsidRDefault="00A52AF9" w:rsidP="009D3DCE">
            <w:pPr>
              <w:rPr>
                <w:sz w:val="20"/>
              </w:rPr>
            </w:pPr>
            <w:r w:rsidRPr="004571CD">
              <w:rPr>
                <w:sz w:val="20"/>
              </w:rPr>
              <w:t>Viral relapse</w:t>
            </w:r>
            <w:r w:rsidRPr="004571CD">
              <w:rPr>
                <w:sz w:val="20"/>
                <w:vertAlign w:val="superscript"/>
              </w:rPr>
              <w:t>4</w:t>
            </w:r>
          </w:p>
        </w:tc>
        <w:tc>
          <w:tcPr>
            <w:tcW w:w="1914" w:type="dxa"/>
            <w:shd w:val="clear" w:color="auto" w:fill="auto"/>
          </w:tcPr>
          <w:p w:rsidR="00CC2744" w:rsidRPr="004571CD" w:rsidRDefault="006D6DD6" w:rsidP="004571CD">
            <w:pPr>
              <w:jc w:val="center"/>
              <w:rPr>
                <w:sz w:val="20"/>
              </w:rPr>
            </w:pPr>
            <w:r w:rsidRPr="004571CD">
              <w:rPr>
                <w:sz w:val="20"/>
              </w:rPr>
              <w:t>10% (5/48)</w:t>
            </w:r>
          </w:p>
        </w:tc>
        <w:tc>
          <w:tcPr>
            <w:tcW w:w="1667" w:type="dxa"/>
            <w:shd w:val="clear" w:color="auto" w:fill="auto"/>
          </w:tcPr>
          <w:p w:rsidR="00CC2744" w:rsidRPr="004571CD" w:rsidRDefault="006D6DD6" w:rsidP="004571CD">
            <w:pPr>
              <w:jc w:val="center"/>
              <w:rPr>
                <w:sz w:val="20"/>
              </w:rPr>
            </w:pPr>
            <w:r w:rsidRPr="004571CD">
              <w:rPr>
                <w:sz w:val="20"/>
              </w:rPr>
              <w:t>13% (2/15)</w:t>
            </w:r>
          </w:p>
        </w:tc>
        <w:tc>
          <w:tcPr>
            <w:tcW w:w="2163" w:type="dxa"/>
            <w:shd w:val="clear" w:color="auto" w:fill="auto"/>
          </w:tcPr>
          <w:p w:rsidR="00CC2744" w:rsidRPr="004571CD" w:rsidRDefault="006D6DD6" w:rsidP="00AE3FAE">
            <w:pPr>
              <w:jc w:val="center"/>
              <w:rPr>
                <w:sz w:val="20"/>
              </w:rPr>
            </w:pPr>
            <w:r w:rsidRPr="004571CD">
              <w:rPr>
                <w:sz w:val="20"/>
              </w:rPr>
              <w:t>0% (0/</w:t>
            </w:r>
            <w:r w:rsidR="00AE3FAE">
              <w:rPr>
                <w:sz w:val="20"/>
              </w:rPr>
              <w:t>7</w:t>
            </w:r>
            <w:r w:rsidRPr="004571CD">
              <w:rPr>
                <w:sz w:val="20"/>
              </w:rPr>
              <w:t>)</w:t>
            </w:r>
          </w:p>
        </w:tc>
        <w:tc>
          <w:tcPr>
            <w:tcW w:w="1806" w:type="dxa"/>
            <w:shd w:val="clear" w:color="auto" w:fill="auto"/>
          </w:tcPr>
          <w:p w:rsidR="00CC2744" w:rsidRPr="004571CD" w:rsidRDefault="006D6DD6" w:rsidP="004571CD">
            <w:pPr>
              <w:jc w:val="center"/>
              <w:rPr>
                <w:sz w:val="20"/>
              </w:rPr>
            </w:pPr>
            <w:r w:rsidRPr="004571CD">
              <w:rPr>
                <w:sz w:val="20"/>
              </w:rPr>
              <w:t>12% (2/17)</w:t>
            </w:r>
          </w:p>
        </w:tc>
      </w:tr>
      <w:tr w:rsidR="00CC2744" w:rsidRPr="004571CD" w:rsidTr="004571CD">
        <w:tc>
          <w:tcPr>
            <w:tcW w:w="1806" w:type="dxa"/>
            <w:shd w:val="clear" w:color="auto" w:fill="auto"/>
          </w:tcPr>
          <w:p w:rsidR="00CC2744" w:rsidRPr="004571CD" w:rsidRDefault="00A52AF9" w:rsidP="009D3DCE">
            <w:pPr>
              <w:rPr>
                <w:sz w:val="20"/>
              </w:rPr>
            </w:pPr>
            <w:r w:rsidRPr="004571CD">
              <w:rPr>
                <w:sz w:val="20"/>
              </w:rPr>
              <w:t>Missing SVR12</w:t>
            </w:r>
            <w:r w:rsidRPr="004571CD">
              <w:rPr>
                <w:sz w:val="20"/>
                <w:vertAlign w:val="superscript"/>
              </w:rPr>
              <w:t>5</w:t>
            </w:r>
          </w:p>
        </w:tc>
        <w:tc>
          <w:tcPr>
            <w:tcW w:w="1914" w:type="dxa"/>
            <w:shd w:val="clear" w:color="auto" w:fill="auto"/>
          </w:tcPr>
          <w:p w:rsidR="00CC2744" w:rsidRPr="004571CD" w:rsidRDefault="006D6DD6" w:rsidP="004571CD">
            <w:pPr>
              <w:jc w:val="center"/>
              <w:rPr>
                <w:sz w:val="20"/>
              </w:rPr>
            </w:pPr>
            <w:r w:rsidRPr="004571CD">
              <w:rPr>
                <w:sz w:val="20"/>
              </w:rPr>
              <w:t>2% (1/53)</w:t>
            </w:r>
          </w:p>
        </w:tc>
        <w:tc>
          <w:tcPr>
            <w:tcW w:w="1667" w:type="dxa"/>
            <w:shd w:val="clear" w:color="auto" w:fill="auto"/>
          </w:tcPr>
          <w:p w:rsidR="00CC2744" w:rsidRPr="004571CD" w:rsidRDefault="006D6DD6" w:rsidP="004571CD">
            <w:pPr>
              <w:jc w:val="center"/>
              <w:rPr>
                <w:sz w:val="20"/>
              </w:rPr>
            </w:pPr>
            <w:r w:rsidRPr="004571CD">
              <w:rPr>
                <w:sz w:val="20"/>
              </w:rPr>
              <w:t>0% (0/15)</w:t>
            </w:r>
          </w:p>
        </w:tc>
        <w:tc>
          <w:tcPr>
            <w:tcW w:w="2163" w:type="dxa"/>
            <w:shd w:val="clear" w:color="auto" w:fill="auto"/>
          </w:tcPr>
          <w:p w:rsidR="00CC2744" w:rsidRPr="004571CD" w:rsidRDefault="006D6DD6" w:rsidP="004571CD">
            <w:pPr>
              <w:jc w:val="center"/>
              <w:rPr>
                <w:sz w:val="20"/>
              </w:rPr>
            </w:pPr>
            <w:r w:rsidRPr="004571CD">
              <w:rPr>
                <w:sz w:val="20"/>
              </w:rPr>
              <w:t>10% (1/10)</w:t>
            </w:r>
          </w:p>
        </w:tc>
        <w:tc>
          <w:tcPr>
            <w:tcW w:w="1806" w:type="dxa"/>
            <w:shd w:val="clear" w:color="auto" w:fill="auto"/>
          </w:tcPr>
          <w:p w:rsidR="00CC2744" w:rsidRPr="004571CD" w:rsidRDefault="006D6DD6" w:rsidP="004571CD">
            <w:pPr>
              <w:jc w:val="center"/>
              <w:rPr>
                <w:sz w:val="20"/>
              </w:rPr>
            </w:pPr>
            <w:r w:rsidRPr="004571CD">
              <w:rPr>
                <w:sz w:val="20"/>
              </w:rPr>
              <w:t>0% (0/28)</w:t>
            </w:r>
          </w:p>
        </w:tc>
      </w:tr>
    </w:tbl>
    <w:p w:rsidR="006F323B" w:rsidRPr="006F323B" w:rsidRDefault="006F323B" w:rsidP="00073A80">
      <w:pPr>
        <w:spacing w:before="120"/>
        <w:rPr>
          <w:sz w:val="18"/>
          <w:szCs w:val="18"/>
        </w:rPr>
      </w:pPr>
      <w:proofErr w:type="gramStart"/>
      <w:r w:rsidRPr="006F323B">
        <w:rPr>
          <w:sz w:val="18"/>
          <w:szCs w:val="18"/>
        </w:rPr>
        <w:t>1</w:t>
      </w:r>
      <w:r w:rsidRPr="006F323B">
        <w:rPr>
          <w:sz w:val="18"/>
          <w:szCs w:val="18"/>
        </w:rPr>
        <w:tab/>
        <w:t xml:space="preserve">150 mg </w:t>
      </w:r>
      <w:proofErr w:type="spellStart"/>
      <w:r w:rsidRPr="006F323B">
        <w:rPr>
          <w:sz w:val="18"/>
          <w:szCs w:val="18"/>
        </w:rPr>
        <w:t>simeprevir</w:t>
      </w:r>
      <w:proofErr w:type="spellEnd"/>
      <w:r w:rsidRPr="006F323B">
        <w:rPr>
          <w:sz w:val="18"/>
          <w:szCs w:val="18"/>
        </w:rPr>
        <w:t xml:space="preserve"> for 12 weeks with </w:t>
      </w:r>
      <w:proofErr w:type="spellStart"/>
      <w:r w:rsidRPr="006F323B">
        <w:rPr>
          <w:sz w:val="18"/>
          <w:szCs w:val="18"/>
        </w:rPr>
        <w:t>peginterferon</w:t>
      </w:r>
      <w:proofErr w:type="spellEnd"/>
      <w:r w:rsidRPr="006F323B">
        <w:rPr>
          <w:sz w:val="18"/>
          <w:szCs w:val="18"/>
        </w:rPr>
        <w:t xml:space="preserve"> </w:t>
      </w:r>
      <w:proofErr w:type="spellStart"/>
      <w:r w:rsidRPr="006F323B">
        <w:rPr>
          <w:sz w:val="18"/>
          <w:szCs w:val="18"/>
        </w:rPr>
        <w:t>alfa</w:t>
      </w:r>
      <w:proofErr w:type="spellEnd"/>
      <w:r w:rsidRPr="006F323B">
        <w:rPr>
          <w:sz w:val="18"/>
          <w:szCs w:val="18"/>
        </w:rPr>
        <w:t xml:space="preserve"> 2a and ribavirin for 24 or 48 weeks.</w:t>
      </w:r>
      <w:proofErr w:type="gramEnd"/>
    </w:p>
    <w:p w:rsidR="006F323B" w:rsidRPr="006F323B" w:rsidRDefault="006F323B" w:rsidP="006F323B">
      <w:pPr>
        <w:rPr>
          <w:sz w:val="18"/>
          <w:szCs w:val="18"/>
        </w:rPr>
      </w:pPr>
      <w:r w:rsidRPr="006F323B">
        <w:rPr>
          <w:sz w:val="18"/>
          <w:szCs w:val="18"/>
        </w:rPr>
        <w:t>2</w:t>
      </w:r>
      <w:r w:rsidRPr="006F323B">
        <w:rPr>
          <w:sz w:val="18"/>
          <w:szCs w:val="18"/>
        </w:rPr>
        <w:tab/>
        <w:t xml:space="preserve">p &lt; 0.001 compared to historical control of </w:t>
      </w:r>
      <w:proofErr w:type="spellStart"/>
      <w:r w:rsidRPr="006F323B">
        <w:rPr>
          <w:sz w:val="18"/>
          <w:szCs w:val="18"/>
        </w:rPr>
        <w:t>peginterferon</w:t>
      </w:r>
      <w:proofErr w:type="spellEnd"/>
      <w:r w:rsidRPr="006F323B">
        <w:rPr>
          <w:sz w:val="18"/>
          <w:szCs w:val="18"/>
        </w:rPr>
        <w:t xml:space="preserve"> </w:t>
      </w:r>
      <w:proofErr w:type="spellStart"/>
      <w:r w:rsidRPr="006F323B">
        <w:rPr>
          <w:sz w:val="18"/>
          <w:szCs w:val="18"/>
        </w:rPr>
        <w:t>alfa</w:t>
      </w:r>
      <w:proofErr w:type="spellEnd"/>
      <w:r w:rsidRPr="006F323B">
        <w:rPr>
          <w:sz w:val="18"/>
          <w:szCs w:val="18"/>
        </w:rPr>
        <w:t xml:space="preserve"> and ribavirin.</w:t>
      </w:r>
    </w:p>
    <w:p w:rsidR="006F323B" w:rsidRPr="006F323B" w:rsidRDefault="006F323B" w:rsidP="006F323B">
      <w:pPr>
        <w:ind w:left="720" w:hanging="720"/>
        <w:rPr>
          <w:sz w:val="18"/>
          <w:szCs w:val="18"/>
        </w:rPr>
      </w:pPr>
      <w:r w:rsidRPr="006F323B">
        <w:rPr>
          <w:sz w:val="18"/>
          <w:szCs w:val="18"/>
        </w:rPr>
        <w:t>3</w:t>
      </w:r>
      <w:r w:rsidRPr="006F323B">
        <w:rPr>
          <w:sz w:val="18"/>
          <w:szCs w:val="18"/>
        </w:rPr>
        <w:tab/>
        <w:t>On treatment failure was defined as the proportion of patients with confirmed detectable HCV RNA at EOT (including but not limited to patients who met the protocol specified treatment stopping rules and/or experienced viral breakthrough).</w:t>
      </w:r>
    </w:p>
    <w:p w:rsidR="006F323B" w:rsidRPr="006F323B" w:rsidRDefault="006F323B" w:rsidP="006F323B">
      <w:pPr>
        <w:ind w:left="720" w:hanging="720"/>
        <w:rPr>
          <w:sz w:val="18"/>
          <w:szCs w:val="18"/>
        </w:rPr>
      </w:pPr>
      <w:r w:rsidRPr="006F323B">
        <w:rPr>
          <w:sz w:val="18"/>
          <w:szCs w:val="18"/>
        </w:rPr>
        <w:t>4</w:t>
      </w:r>
      <w:r w:rsidRPr="006F323B">
        <w:rPr>
          <w:sz w:val="18"/>
          <w:szCs w:val="18"/>
        </w:rPr>
        <w:tab/>
        <w:t>Viral relapse rates are calculated with a denominator of patients with undetectable HCV RNA at actual EOT and with at least one follow up HCV RNA assessment.</w:t>
      </w:r>
      <w:r w:rsidR="00EE7C43">
        <w:rPr>
          <w:sz w:val="18"/>
          <w:szCs w:val="18"/>
        </w:rPr>
        <w:t xml:space="preserve">  </w:t>
      </w:r>
      <w:proofErr w:type="gramStart"/>
      <w:r w:rsidR="00EE7C43" w:rsidRPr="00EE7C43">
        <w:rPr>
          <w:sz w:val="18"/>
          <w:szCs w:val="18"/>
        </w:rPr>
        <w:t>Includes one prior null responder who experienced relapse after SVR12.</w:t>
      </w:r>
      <w:proofErr w:type="gramEnd"/>
    </w:p>
    <w:p w:rsidR="006F323B" w:rsidRDefault="006F323B" w:rsidP="006F323B">
      <w:pPr>
        <w:rPr>
          <w:sz w:val="20"/>
        </w:rPr>
      </w:pPr>
      <w:r w:rsidRPr="006F323B">
        <w:rPr>
          <w:sz w:val="18"/>
          <w:szCs w:val="18"/>
        </w:rPr>
        <w:t>5</w:t>
      </w:r>
      <w:r w:rsidRPr="006F323B">
        <w:rPr>
          <w:sz w:val="18"/>
          <w:szCs w:val="18"/>
        </w:rPr>
        <w:tab/>
        <w:t>Patients with missing data at the SVR assessment time point.</w:t>
      </w:r>
    </w:p>
    <w:p w:rsidR="006F323B" w:rsidRDefault="006F323B" w:rsidP="0078360D"/>
    <w:p w:rsidR="00EC4147" w:rsidRDefault="00EC4147" w:rsidP="00EC4147">
      <w:r>
        <w:t xml:space="preserve">Eighty nine percent (54/61) of the </w:t>
      </w:r>
      <w:proofErr w:type="spellStart"/>
      <w:r>
        <w:t>simeprevir</w:t>
      </w:r>
      <w:proofErr w:type="spellEnd"/>
      <w:r>
        <w:t xml:space="preserve"> treated treatment naïve patients and prior </w:t>
      </w:r>
      <w:proofErr w:type="spellStart"/>
      <w:r>
        <w:t>relapsers</w:t>
      </w:r>
      <w:proofErr w:type="spellEnd"/>
      <w:r>
        <w:t xml:space="preserve"> without cirrhosis were eligible for 24 weeks of treatment by meeting the protocol defined RGT criteria (HCV RNA &lt; 25 IU/ml detectable or undetectable at week 4 and undetectable HCV RNA at week 12); in these patients the SVR12 rate was 87%.  </w:t>
      </w:r>
    </w:p>
    <w:p w:rsidR="00EC4147" w:rsidRDefault="00EC4147" w:rsidP="00EC4147"/>
    <w:p w:rsidR="00EC4147" w:rsidRDefault="00EC4147" w:rsidP="00EC4147">
      <w:r>
        <w:t xml:space="preserve">Seventy percent (37/53), 93% (14/15), 80% (8/10) and 36% (10/28) of </w:t>
      </w:r>
      <w:proofErr w:type="spellStart"/>
      <w:r>
        <w:t>simeprevir</w:t>
      </w:r>
      <w:proofErr w:type="spellEnd"/>
      <w:r>
        <w:t xml:space="preserve"> treated treatment naïve patients, prior </w:t>
      </w:r>
      <w:proofErr w:type="spellStart"/>
      <w:r>
        <w:t>relapsers</w:t>
      </w:r>
      <w:proofErr w:type="spellEnd"/>
      <w:r>
        <w:t xml:space="preserve">, prior partial responders and prior null responders had undetectable HCV RNA at week 4 (RVR). In these patients the SVR12 rates were 89%, 93%, 75% and 90%, respectively.  </w:t>
      </w:r>
    </w:p>
    <w:p w:rsidR="00EC4147" w:rsidRDefault="00EC4147" w:rsidP="00EC4147"/>
    <w:p w:rsidR="00A975F2" w:rsidRDefault="00EC4147" w:rsidP="00EC4147">
      <w:r>
        <w:t xml:space="preserve">Six percent (3/53), 0% (0/15), 20% (2/10) and 25% (7/28) of </w:t>
      </w:r>
      <w:proofErr w:type="spellStart"/>
      <w:r>
        <w:t>simeprevir</w:t>
      </w:r>
      <w:proofErr w:type="spellEnd"/>
      <w:r>
        <w:t xml:space="preserve"> treated treatment naïve patients, prior </w:t>
      </w:r>
      <w:proofErr w:type="spellStart"/>
      <w:r>
        <w:t>relapsers</w:t>
      </w:r>
      <w:proofErr w:type="spellEnd"/>
      <w:r>
        <w:t xml:space="preserve">, prior partial responders and prior null responders, respectively, had HCV RNA ≥ 25 IU/ml at week 4. The SVR12 rates were 0% in treatment naïve patients, prior </w:t>
      </w:r>
      <w:proofErr w:type="spellStart"/>
      <w:r>
        <w:t>relapsers</w:t>
      </w:r>
      <w:proofErr w:type="spellEnd"/>
      <w:r>
        <w:t xml:space="preserve"> and prior null responders and 50% (1/</w:t>
      </w:r>
      <w:r w:rsidR="00126786">
        <w:t xml:space="preserve">2) in prior partial responders.  </w:t>
      </w:r>
    </w:p>
    <w:p w:rsidR="00A975F2" w:rsidRDefault="00A975F2" w:rsidP="00EC4147"/>
    <w:p w:rsidR="00EC4147" w:rsidRDefault="00EC4147" w:rsidP="00EC4147">
      <w:r>
        <w:t xml:space="preserve">Table </w:t>
      </w:r>
      <w:r w:rsidR="00A975F2" w:rsidRPr="00201B1F">
        <w:t>1</w:t>
      </w:r>
      <w:r w:rsidR="00A975F2">
        <w:t xml:space="preserve">1 </w:t>
      </w:r>
      <w:r>
        <w:t>shows the SVR rates by METAVIR fibrosis scores</w:t>
      </w:r>
      <w:r w:rsidR="00947CD1" w:rsidRPr="00947CD1">
        <w:t xml:space="preserve"> and IL28B genotype</w:t>
      </w:r>
      <w:r>
        <w:t>.</w:t>
      </w:r>
      <w:r w:rsidR="00947CD1">
        <w:t xml:space="preserve">  </w:t>
      </w:r>
    </w:p>
    <w:p w:rsidR="00EC4147" w:rsidRDefault="00EC4147" w:rsidP="0078360D"/>
    <w:p w:rsidR="00126786" w:rsidRDefault="00126786" w:rsidP="00126786">
      <w:pPr>
        <w:ind w:left="1440" w:hanging="1440"/>
        <w:rPr>
          <w:b/>
        </w:rPr>
      </w:pPr>
      <w:r w:rsidRPr="00201B1F">
        <w:rPr>
          <w:b/>
        </w:rPr>
        <w:t xml:space="preserve">Table </w:t>
      </w:r>
      <w:r w:rsidR="00A975F2" w:rsidRPr="00201B1F">
        <w:rPr>
          <w:b/>
        </w:rPr>
        <w:t>1</w:t>
      </w:r>
      <w:r w:rsidR="00A975F2">
        <w:rPr>
          <w:b/>
        </w:rPr>
        <w:t>1</w:t>
      </w:r>
      <w:r w:rsidRPr="006F2618">
        <w:rPr>
          <w:b/>
        </w:rPr>
        <w:t xml:space="preserve">: </w:t>
      </w:r>
      <w:r w:rsidRPr="006F2618">
        <w:rPr>
          <w:b/>
        </w:rPr>
        <w:tab/>
        <w:t xml:space="preserve">SVR12 rates by METAVIR fibrosis score and </w:t>
      </w:r>
      <w:r w:rsidRPr="00F14BDC">
        <w:rPr>
          <w:b/>
          <w:i/>
        </w:rPr>
        <w:t>IL28B</w:t>
      </w:r>
      <w:r w:rsidRPr="006F2618">
        <w:rPr>
          <w:b/>
        </w:rPr>
        <w:t xml:space="preserve"> genotype in adult patients with HCV genotype 1 infection and HIV 1 co infection (study C212)</w:t>
      </w:r>
    </w:p>
    <w:p w:rsidR="00FF33BD" w:rsidRPr="006F2618" w:rsidRDefault="00FF33BD" w:rsidP="00126786">
      <w:pPr>
        <w:ind w:left="1440" w:hanging="144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666"/>
        <w:gridCol w:w="1915"/>
        <w:gridCol w:w="1806"/>
      </w:tblGrid>
      <w:tr w:rsidR="00126786" w:rsidRPr="004571CD" w:rsidTr="004571CD">
        <w:tc>
          <w:tcPr>
            <w:tcW w:w="2268" w:type="dxa"/>
            <w:shd w:val="clear" w:color="auto" w:fill="auto"/>
          </w:tcPr>
          <w:p w:rsidR="00126786" w:rsidRPr="004571CD" w:rsidRDefault="00126786" w:rsidP="00305B7A">
            <w:pPr>
              <w:rPr>
                <w:rFonts w:cs="Arial"/>
                <w:b/>
                <w:noProof/>
                <w:sz w:val="20"/>
              </w:rPr>
            </w:pPr>
            <w:r w:rsidRPr="004571CD">
              <w:rPr>
                <w:rFonts w:cs="Arial"/>
                <w:b/>
                <w:noProof/>
                <w:sz w:val="20"/>
              </w:rPr>
              <w:t>Subgroup</w:t>
            </w:r>
          </w:p>
        </w:tc>
        <w:tc>
          <w:tcPr>
            <w:tcW w:w="1701" w:type="dxa"/>
            <w:shd w:val="clear" w:color="auto" w:fill="auto"/>
          </w:tcPr>
          <w:p w:rsidR="00126786" w:rsidRPr="004571CD" w:rsidRDefault="00126786" w:rsidP="004571CD">
            <w:pPr>
              <w:jc w:val="center"/>
              <w:rPr>
                <w:b/>
                <w:sz w:val="20"/>
              </w:rPr>
            </w:pPr>
            <w:r w:rsidRPr="004571CD">
              <w:rPr>
                <w:b/>
                <w:sz w:val="20"/>
              </w:rPr>
              <w:t>Treatment-naïve patients</w:t>
            </w:r>
          </w:p>
          <w:p w:rsidR="00126786" w:rsidRPr="004571CD" w:rsidRDefault="00126786" w:rsidP="004571CD">
            <w:pPr>
              <w:jc w:val="center"/>
              <w:rPr>
                <w:rFonts w:cs="Arial"/>
                <w:noProof/>
                <w:sz w:val="20"/>
              </w:rPr>
            </w:pPr>
            <w:r w:rsidRPr="004571CD">
              <w:rPr>
                <w:b/>
                <w:sz w:val="20"/>
              </w:rPr>
              <w:t>% (n/N)</w:t>
            </w:r>
          </w:p>
        </w:tc>
        <w:tc>
          <w:tcPr>
            <w:tcW w:w="1666" w:type="dxa"/>
            <w:shd w:val="clear" w:color="auto" w:fill="auto"/>
          </w:tcPr>
          <w:p w:rsidR="00126786" w:rsidRPr="004571CD" w:rsidRDefault="00126786" w:rsidP="004571CD">
            <w:pPr>
              <w:jc w:val="center"/>
              <w:rPr>
                <w:b/>
                <w:sz w:val="20"/>
              </w:rPr>
            </w:pPr>
            <w:r w:rsidRPr="004571CD">
              <w:rPr>
                <w:b/>
                <w:sz w:val="20"/>
              </w:rPr>
              <w:t>Prior</w:t>
            </w:r>
          </w:p>
          <w:p w:rsidR="00126786" w:rsidRPr="004571CD" w:rsidRDefault="00126786" w:rsidP="004571CD">
            <w:pPr>
              <w:jc w:val="center"/>
              <w:rPr>
                <w:b/>
                <w:sz w:val="20"/>
              </w:rPr>
            </w:pPr>
            <w:proofErr w:type="spellStart"/>
            <w:r w:rsidRPr="004571CD">
              <w:rPr>
                <w:b/>
                <w:sz w:val="20"/>
              </w:rPr>
              <w:t>relapsers</w:t>
            </w:r>
            <w:proofErr w:type="spellEnd"/>
          </w:p>
          <w:p w:rsidR="00126786" w:rsidRPr="004571CD" w:rsidRDefault="00126786" w:rsidP="004571CD">
            <w:pPr>
              <w:jc w:val="center"/>
              <w:rPr>
                <w:rFonts w:cs="Arial"/>
                <w:noProof/>
                <w:sz w:val="20"/>
              </w:rPr>
            </w:pPr>
            <w:r w:rsidRPr="004571CD">
              <w:rPr>
                <w:b/>
                <w:sz w:val="20"/>
              </w:rPr>
              <w:t>% (n/N)</w:t>
            </w:r>
          </w:p>
        </w:tc>
        <w:tc>
          <w:tcPr>
            <w:tcW w:w="1915" w:type="dxa"/>
            <w:shd w:val="clear" w:color="auto" w:fill="auto"/>
          </w:tcPr>
          <w:p w:rsidR="00126786" w:rsidRPr="004571CD" w:rsidRDefault="00126786" w:rsidP="004571CD">
            <w:pPr>
              <w:jc w:val="center"/>
              <w:rPr>
                <w:b/>
                <w:sz w:val="20"/>
              </w:rPr>
            </w:pPr>
            <w:r w:rsidRPr="004571CD">
              <w:rPr>
                <w:b/>
                <w:sz w:val="20"/>
              </w:rPr>
              <w:t>Prior partial responders</w:t>
            </w:r>
          </w:p>
          <w:p w:rsidR="00126786" w:rsidRPr="004571CD" w:rsidRDefault="00126786" w:rsidP="004571CD">
            <w:pPr>
              <w:jc w:val="center"/>
              <w:rPr>
                <w:rFonts w:cs="Arial"/>
                <w:noProof/>
                <w:sz w:val="20"/>
              </w:rPr>
            </w:pPr>
            <w:r w:rsidRPr="004571CD">
              <w:rPr>
                <w:b/>
                <w:sz w:val="20"/>
              </w:rPr>
              <w:t>% (n/N)</w:t>
            </w:r>
          </w:p>
        </w:tc>
        <w:tc>
          <w:tcPr>
            <w:tcW w:w="1806" w:type="dxa"/>
            <w:shd w:val="clear" w:color="auto" w:fill="auto"/>
          </w:tcPr>
          <w:p w:rsidR="00126786" w:rsidRPr="004571CD" w:rsidRDefault="00126786" w:rsidP="004571CD">
            <w:pPr>
              <w:jc w:val="center"/>
              <w:rPr>
                <w:b/>
                <w:sz w:val="20"/>
              </w:rPr>
            </w:pPr>
            <w:r w:rsidRPr="004571CD">
              <w:rPr>
                <w:b/>
                <w:sz w:val="20"/>
              </w:rPr>
              <w:t>Prior null responders</w:t>
            </w:r>
          </w:p>
          <w:p w:rsidR="00126786" w:rsidRPr="004571CD" w:rsidRDefault="00126786" w:rsidP="004571CD">
            <w:pPr>
              <w:jc w:val="center"/>
              <w:rPr>
                <w:rFonts w:cs="Arial"/>
                <w:noProof/>
                <w:sz w:val="20"/>
              </w:rPr>
            </w:pPr>
            <w:r w:rsidRPr="004571CD">
              <w:rPr>
                <w:b/>
                <w:sz w:val="20"/>
              </w:rPr>
              <w:t>% (n/N)</w:t>
            </w:r>
          </w:p>
        </w:tc>
      </w:tr>
      <w:tr w:rsidR="006F2618" w:rsidRPr="004571CD" w:rsidTr="004571CD">
        <w:tc>
          <w:tcPr>
            <w:tcW w:w="9356" w:type="dxa"/>
            <w:gridSpan w:val="5"/>
            <w:shd w:val="clear" w:color="auto" w:fill="auto"/>
          </w:tcPr>
          <w:p w:rsidR="006F2618" w:rsidRPr="004571CD" w:rsidRDefault="006F2618" w:rsidP="00305B7A">
            <w:pPr>
              <w:rPr>
                <w:rFonts w:cs="Arial"/>
                <w:noProof/>
                <w:sz w:val="20"/>
              </w:rPr>
            </w:pPr>
            <w:r w:rsidRPr="004571CD">
              <w:rPr>
                <w:rFonts w:cs="Arial"/>
                <w:noProof/>
                <w:sz w:val="20"/>
              </w:rPr>
              <w:t>METAVIR fibrosis score</w:t>
            </w:r>
          </w:p>
        </w:tc>
      </w:tr>
      <w:tr w:rsidR="00C676CF" w:rsidRPr="004571CD" w:rsidTr="004571CD">
        <w:tc>
          <w:tcPr>
            <w:tcW w:w="2268" w:type="dxa"/>
            <w:shd w:val="clear" w:color="auto" w:fill="auto"/>
          </w:tcPr>
          <w:p w:rsidR="00C676CF" w:rsidRPr="004571CD" w:rsidRDefault="006F2618" w:rsidP="00305B7A">
            <w:pPr>
              <w:rPr>
                <w:rFonts w:cs="Arial"/>
                <w:noProof/>
                <w:sz w:val="20"/>
              </w:rPr>
            </w:pPr>
            <w:r w:rsidRPr="004571CD">
              <w:rPr>
                <w:rFonts w:cs="Arial"/>
                <w:noProof/>
                <w:sz w:val="20"/>
              </w:rPr>
              <w:t>F0-2</w:t>
            </w:r>
          </w:p>
        </w:tc>
        <w:tc>
          <w:tcPr>
            <w:tcW w:w="1701" w:type="dxa"/>
            <w:shd w:val="clear" w:color="auto" w:fill="auto"/>
          </w:tcPr>
          <w:p w:rsidR="00C676CF" w:rsidRPr="004571CD" w:rsidRDefault="00731445" w:rsidP="00305B7A">
            <w:pPr>
              <w:rPr>
                <w:rFonts w:cs="Arial"/>
                <w:noProof/>
                <w:sz w:val="20"/>
              </w:rPr>
            </w:pPr>
            <w:r w:rsidRPr="004571CD">
              <w:rPr>
                <w:rFonts w:cs="Arial"/>
                <w:noProof/>
                <w:sz w:val="20"/>
              </w:rPr>
              <w:t>89% (24/27)</w:t>
            </w:r>
          </w:p>
        </w:tc>
        <w:tc>
          <w:tcPr>
            <w:tcW w:w="1666" w:type="dxa"/>
            <w:shd w:val="clear" w:color="auto" w:fill="auto"/>
          </w:tcPr>
          <w:p w:rsidR="00C676CF" w:rsidRPr="004571CD" w:rsidRDefault="00731445" w:rsidP="00305B7A">
            <w:pPr>
              <w:rPr>
                <w:rFonts w:cs="Arial"/>
                <w:noProof/>
                <w:sz w:val="20"/>
              </w:rPr>
            </w:pPr>
            <w:r w:rsidRPr="004571CD">
              <w:rPr>
                <w:rFonts w:cs="Arial"/>
                <w:noProof/>
                <w:sz w:val="20"/>
              </w:rPr>
              <w:t>78% (7/9)</w:t>
            </w:r>
          </w:p>
        </w:tc>
        <w:tc>
          <w:tcPr>
            <w:tcW w:w="1915" w:type="dxa"/>
            <w:shd w:val="clear" w:color="auto" w:fill="auto"/>
          </w:tcPr>
          <w:p w:rsidR="00C676CF" w:rsidRPr="004571CD" w:rsidRDefault="0065136D" w:rsidP="00305B7A">
            <w:pPr>
              <w:rPr>
                <w:rFonts w:cs="Arial"/>
                <w:noProof/>
                <w:sz w:val="20"/>
              </w:rPr>
            </w:pPr>
            <w:r w:rsidRPr="004571CD">
              <w:rPr>
                <w:rFonts w:cs="Arial"/>
                <w:noProof/>
                <w:sz w:val="20"/>
              </w:rPr>
              <w:t xml:space="preserve">50% </w:t>
            </w:r>
            <w:r w:rsidR="003F00F9" w:rsidRPr="004571CD">
              <w:rPr>
                <w:rFonts w:cs="Arial"/>
                <w:noProof/>
                <w:sz w:val="20"/>
              </w:rPr>
              <w:t>(</w:t>
            </w:r>
            <w:r w:rsidRPr="004571CD">
              <w:rPr>
                <w:rFonts w:cs="Arial"/>
                <w:noProof/>
                <w:sz w:val="20"/>
              </w:rPr>
              <w:t>1/2</w:t>
            </w:r>
            <w:r w:rsidR="003F00F9" w:rsidRPr="004571CD">
              <w:rPr>
                <w:rFonts w:cs="Arial"/>
                <w:noProof/>
                <w:sz w:val="20"/>
              </w:rPr>
              <w:t>)</w:t>
            </w:r>
          </w:p>
        </w:tc>
        <w:tc>
          <w:tcPr>
            <w:tcW w:w="1806" w:type="dxa"/>
            <w:shd w:val="clear" w:color="auto" w:fill="auto"/>
          </w:tcPr>
          <w:p w:rsidR="00C676CF" w:rsidRPr="004571CD" w:rsidRDefault="00FF33BD" w:rsidP="00305B7A">
            <w:pPr>
              <w:rPr>
                <w:rFonts w:cs="Arial"/>
                <w:noProof/>
                <w:sz w:val="20"/>
              </w:rPr>
            </w:pPr>
            <w:r w:rsidRPr="004571CD">
              <w:rPr>
                <w:rFonts w:cs="Arial"/>
                <w:noProof/>
                <w:sz w:val="20"/>
              </w:rPr>
              <w:t>57% (4/7)</w:t>
            </w:r>
          </w:p>
        </w:tc>
      </w:tr>
      <w:tr w:rsidR="00C676CF" w:rsidRPr="004571CD" w:rsidTr="004571CD">
        <w:tc>
          <w:tcPr>
            <w:tcW w:w="2268" w:type="dxa"/>
            <w:shd w:val="clear" w:color="auto" w:fill="auto"/>
          </w:tcPr>
          <w:p w:rsidR="00C676CF" w:rsidRPr="004571CD" w:rsidRDefault="006F2618" w:rsidP="00305B7A">
            <w:pPr>
              <w:rPr>
                <w:rFonts w:cs="Arial"/>
                <w:noProof/>
                <w:sz w:val="20"/>
              </w:rPr>
            </w:pPr>
            <w:r w:rsidRPr="004571CD">
              <w:rPr>
                <w:rFonts w:cs="Arial"/>
                <w:noProof/>
                <w:sz w:val="20"/>
              </w:rPr>
              <w:t>F3-4</w:t>
            </w:r>
          </w:p>
        </w:tc>
        <w:tc>
          <w:tcPr>
            <w:tcW w:w="1701" w:type="dxa"/>
            <w:shd w:val="clear" w:color="auto" w:fill="auto"/>
          </w:tcPr>
          <w:p w:rsidR="00C676CF" w:rsidRPr="004571CD" w:rsidRDefault="00731445" w:rsidP="00305B7A">
            <w:pPr>
              <w:rPr>
                <w:rFonts w:cs="Arial"/>
                <w:noProof/>
                <w:sz w:val="20"/>
              </w:rPr>
            </w:pPr>
            <w:r w:rsidRPr="004571CD">
              <w:rPr>
                <w:rFonts w:cs="Arial"/>
                <w:noProof/>
                <w:sz w:val="20"/>
              </w:rPr>
              <w:t>57% (4/7)</w:t>
            </w:r>
          </w:p>
        </w:tc>
        <w:tc>
          <w:tcPr>
            <w:tcW w:w="1666" w:type="dxa"/>
            <w:shd w:val="clear" w:color="auto" w:fill="auto"/>
          </w:tcPr>
          <w:p w:rsidR="00C676CF" w:rsidRPr="004571CD" w:rsidRDefault="004E2316" w:rsidP="00305B7A">
            <w:pPr>
              <w:rPr>
                <w:rFonts w:cs="Arial"/>
                <w:noProof/>
                <w:sz w:val="20"/>
              </w:rPr>
            </w:pPr>
            <w:r>
              <w:rPr>
                <w:rFonts w:cs="Arial"/>
                <w:noProof/>
                <w:sz w:val="20"/>
              </w:rPr>
              <w:t>100% (2/2</w:t>
            </w:r>
            <w:r w:rsidR="00731445" w:rsidRPr="004571CD">
              <w:rPr>
                <w:rFonts w:cs="Arial"/>
                <w:noProof/>
                <w:sz w:val="20"/>
              </w:rPr>
              <w:t>)</w:t>
            </w:r>
          </w:p>
        </w:tc>
        <w:tc>
          <w:tcPr>
            <w:tcW w:w="1915" w:type="dxa"/>
            <w:shd w:val="clear" w:color="auto" w:fill="auto"/>
          </w:tcPr>
          <w:p w:rsidR="00C676CF" w:rsidRPr="004571CD" w:rsidRDefault="00275047" w:rsidP="00305B7A">
            <w:pPr>
              <w:rPr>
                <w:rFonts w:cs="Arial"/>
                <w:noProof/>
                <w:sz w:val="20"/>
              </w:rPr>
            </w:pPr>
            <w:r w:rsidRPr="004571CD">
              <w:rPr>
                <w:rFonts w:cs="Arial"/>
                <w:noProof/>
                <w:sz w:val="20"/>
              </w:rPr>
              <w:t>67% (2/3)</w:t>
            </w:r>
          </w:p>
        </w:tc>
        <w:tc>
          <w:tcPr>
            <w:tcW w:w="1806" w:type="dxa"/>
            <w:shd w:val="clear" w:color="auto" w:fill="auto"/>
          </w:tcPr>
          <w:p w:rsidR="00C676CF" w:rsidRPr="004571CD" w:rsidRDefault="00FF33BD" w:rsidP="00305B7A">
            <w:pPr>
              <w:rPr>
                <w:rFonts w:cs="Arial"/>
                <w:noProof/>
                <w:sz w:val="20"/>
              </w:rPr>
            </w:pPr>
            <w:r w:rsidRPr="004571CD">
              <w:rPr>
                <w:rFonts w:cs="Arial"/>
                <w:noProof/>
                <w:sz w:val="20"/>
              </w:rPr>
              <w:t>60% (6/10)</w:t>
            </w:r>
          </w:p>
        </w:tc>
      </w:tr>
      <w:tr w:rsidR="00C676CF" w:rsidRPr="004571CD" w:rsidTr="004571CD">
        <w:tc>
          <w:tcPr>
            <w:tcW w:w="2268" w:type="dxa"/>
            <w:shd w:val="clear" w:color="auto" w:fill="auto"/>
          </w:tcPr>
          <w:p w:rsidR="00C676CF" w:rsidRPr="004571CD" w:rsidRDefault="006F2618" w:rsidP="00305B7A">
            <w:pPr>
              <w:rPr>
                <w:rFonts w:cs="Arial"/>
                <w:noProof/>
                <w:sz w:val="20"/>
              </w:rPr>
            </w:pPr>
            <w:r w:rsidRPr="004571CD">
              <w:rPr>
                <w:rFonts w:cs="Arial"/>
                <w:noProof/>
                <w:sz w:val="20"/>
              </w:rPr>
              <w:t>F4</w:t>
            </w:r>
          </w:p>
        </w:tc>
        <w:tc>
          <w:tcPr>
            <w:tcW w:w="1701" w:type="dxa"/>
            <w:shd w:val="clear" w:color="auto" w:fill="auto"/>
          </w:tcPr>
          <w:p w:rsidR="00C676CF" w:rsidRPr="004571CD" w:rsidRDefault="00731445" w:rsidP="00305B7A">
            <w:pPr>
              <w:rPr>
                <w:rFonts w:cs="Arial"/>
                <w:noProof/>
                <w:sz w:val="20"/>
              </w:rPr>
            </w:pPr>
            <w:r w:rsidRPr="004571CD">
              <w:rPr>
                <w:rFonts w:cs="Arial"/>
                <w:noProof/>
                <w:sz w:val="20"/>
              </w:rPr>
              <w:t>100% (2/2)</w:t>
            </w:r>
          </w:p>
        </w:tc>
        <w:tc>
          <w:tcPr>
            <w:tcW w:w="1666" w:type="dxa"/>
            <w:shd w:val="clear" w:color="auto" w:fill="auto"/>
          </w:tcPr>
          <w:p w:rsidR="00C676CF" w:rsidRPr="004571CD" w:rsidRDefault="00731445" w:rsidP="00305B7A">
            <w:pPr>
              <w:rPr>
                <w:rFonts w:cs="Arial"/>
                <w:noProof/>
                <w:sz w:val="20"/>
              </w:rPr>
            </w:pPr>
            <w:r w:rsidRPr="004571CD">
              <w:rPr>
                <w:rFonts w:cs="Arial"/>
                <w:noProof/>
                <w:sz w:val="20"/>
              </w:rPr>
              <w:t>100% (1/1)</w:t>
            </w:r>
          </w:p>
        </w:tc>
        <w:tc>
          <w:tcPr>
            <w:tcW w:w="1915" w:type="dxa"/>
            <w:shd w:val="clear" w:color="auto" w:fill="auto"/>
          </w:tcPr>
          <w:p w:rsidR="00C676CF" w:rsidRPr="004571CD" w:rsidRDefault="00275047" w:rsidP="00305B7A">
            <w:pPr>
              <w:rPr>
                <w:rFonts w:cs="Arial"/>
                <w:noProof/>
                <w:sz w:val="20"/>
              </w:rPr>
            </w:pPr>
            <w:r w:rsidRPr="004571CD">
              <w:rPr>
                <w:rFonts w:cs="Arial"/>
                <w:noProof/>
                <w:sz w:val="20"/>
              </w:rPr>
              <w:t>100% (1/1)</w:t>
            </w:r>
          </w:p>
        </w:tc>
        <w:tc>
          <w:tcPr>
            <w:tcW w:w="1806" w:type="dxa"/>
            <w:shd w:val="clear" w:color="auto" w:fill="auto"/>
          </w:tcPr>
          <w:p w:rsidR="00C676CF" w:rsidRPr="004571CD" w:rsidRDefault="00FF33BD" w:rsidP="00305B7A">
            <w:pPr>
              <w:rPr>
                <w:rFonts w:cs="Arial"/>
                <w:noProof/>
                <w:sz w:val="20"/>
              </w:rPr>
            </w:pPr>
            <w:r w:rsidRPr="004571CD">
              <w:rPr>
                <w:rFonts w:cs="Arial"/>
                <w:noProof/>
                <w:sz w:val="20"/>
              </w:rPr>
              <w:t>60% (3/5)</w:t>
            </w:r>
          </w:p>
        </w:tc>
      </w:tr>
      <w:tr w:rsidR="006F2618" w:rsidRPr="004571CD" w:rsidTr="004571CD">
        <w:tc>
          <w:tcPr>
            <w:tcW w:w="9356" w:type="dxa"/>
            <w:gridSpan w:val="5"/>
            <w:shd w:val="clear" w:color="auto" w:fill="auto"/>
          </w:tcPr>
          <w:p w:rsidR="006F2618" w:rsidRPr="004571CD" w:rsidRDefault="006F2618" w:rsidP="00305B7A">
            <w:pPr>
              <w:rPr>
                <w:rFonts w:cs="Arial"/>
                <w:noProof/>
                <w:sz w:val="20"/>
              </w:rPr>
            </w:pPr>
            <w:r w:rsidRPr="004571CD">
              <w:rPr>
                <w:rFonts w:cs="Arial"/>
                <w:i/>
                <w:noProof/>
                <w:sz w:val="20"/>
              </w:rPr>
              <w:t xml:space="preserve">IL28B </w:t>
            </w:r>
            <w:r w:rsidRPr="004571CD">
              <w:rPr>
                <w:rFonts w:cs="Arial"/>
                <w:noProof/>
                <w:sz w:val="20"/>
              </w:rPr>
              <w:t>genotype</w:t>
            </w:r>
          </w:p>
        </w:tc>
      </w:tr>
      <w:tr w:rsidR="00C676CF" w:rsidRPr="004571CD" w:rsidTr="004571CD">
        <w:tc>
          <w:tcPr>
            <w:tcW w:w="2268" w:type="dxa"/>
            <w:shd w:val="clear" w:color="auto" w:fill="auto"/>
          </w:tcPr>
          <w:p w:rsidR="00C676CF" w:rsidRPr="004571CD" w:rsidRDefault="006F2618" w:rsidP="00305B7A">
            <w:pPr>
              <w:rPr>
                <w:rFonts w:cs="Arial"/>
                <w:noProof/>
                <w:sz w:val="20"/>
              </w:rPr>
            </w:pPr>
            <w:r w:rsidRPr="004571CD">
              <w:rPr>
                <w:rFonts w:cs="Arial"/>
                <w:noProof/>
                <w:sz w:val="20"/>
              </w:rPr>
              <w:t>CC</w:t>
            </w:r>
          </w:p>
        </w:tc>
        <w:tc>
          <w:tcPr>
            <w:tcW w:w="1701" w:type="dxa"/>
            <w:shd w:val="clear" w:color="auto" w:fill="auto"/>
          </w:tcPr>
          <w:p w:rsidR="00C676CF" w:rsidRPr="004571CD" w:rsidRDefault="0065136D" w:rsidP="00305B7A">
            <w:pPr>
              <w:rPr>
                <w:rFonts w:cs="Arial"/>
                <w:noProof/>
                <w:sz w:val="20"/>
              </w:rPr>
            </w:pPr>
            <w:r w:rsidRPr="004571CD">
              <w:rPr>
                <w:rFonts w:cs="Arial"/>
                <w:noProof/>
                <w:sz w:val="20"/>
              </w:rPr>
              <w:t>100% (15/15)</w:t>
            </w:r>
          </w:p>
        </w:tc>
        <w:tc>
          <w:tcPr>
            <w:tcW w:w="1666" w:type="dxa"/>
            <w:shd w:val="clear" w:color="auto" w:fill="auto"/>
          </w:tcPr>
          <w:p w:rsidR="00C676CF" w:rsidRPr="004571CD" w:rsidRDefault="0065136D" w:rsidP="00305B7A">
            <w:pPr>
              <w:rPr>
                <w:rFonts w:cs="Arial"/>
                <w:noProof/>
                <w:sz w:val="20"/>
              </w:rPr>
            </w:pPr>
            <w:r w:rsidRPr="004571CD">
              <w:rPr>
                <w:rFonts w:cs="Arial"/>
                <w:noProof/>
                <w:sz w:val="20"/>
              </w:rPr>
              <w:t>100% (7/7)</w:t>
            </w:r>
          </w:p>
        </w:tc>
        <w:tc>
          <w:tcPr>
            <w:tcW w:w="1915" w:type="dxa"/>
            <w:shd w:val="clear" w:color="auto" w:fill="auto"/>
          </w:tcPr>
          <w:p w:rsidR="00C676CF" w:rsidRPr="004571CD" w:rsidRDefault="00275047" w:rsidP="00305B7A">
            <w:pPr>
              <w:rPr>
                <w:rFonts w:cs="Arial"/>
                <w:noProof/>
                <w:sz w:val="20"/>
              </w:rPr>
            </w:pPr>
            <w:r w:rsidRPr="004571CD">
              <w:rPr>
                <w:rFonts w:cs="Arial"/>
                <w:noProof/>
                <w:sz w:val="20"/>
              </w:rPr>
              <w:t>100% (1/1)</w:t>
            </w:r>
          </w:p>
        </w:tc>
        <w:tc>
          <w:tcPr>
            <w:tcW w:w="1806" w:type="dxa"/>
            <w:shd w:val="clear" w:color="auto" w:fill="auto"/>
          </w:tcPr>
          <w:p w:rsidR="00C676CF" w:rsidRPr="004571CD" w:rsidRDefault="00FF33BD" w:rsidP="00305B7A">
            <w:pPr>
              <w:rPr>
                <w:rFonts w:cs="Arial"/>
                <w:noProof/>
                <w:sz w:val="20"/>
              </w:rPr>
            </w:pPr>
            <w:r w:rsidRPr="004571CD">
              <w:rPr>
                <w:rFonts w:cs="Arial"/>
                <w:noProof/>
                <w:sz w:val="20"/>
              </w:rPr>
              <w:t>80% (4/5)</w:t>
            </w:r>
          </w:p>
        </w:tc>
      </w:tr>
      <w:tr w:rsidR="00C676CF" w:rsidRPr="004571CD" w:rsidTr="004571CD">
        <w:tc>
          <w:tcPr>
            <w:tcW w:w="2268" w:type="dxa"/>
            <w:shd w:val="clear" w:color="auto" w:fill="auto"/>
          </w:tcPr>
          <w:p w:rsidR="00C676CF" w:rsidRPr="004571CD" w:rsidRDefault="006F2618" w:rsidP="00305B7A">
            <w:pPr>
              <w:rPr>
                <w:rFonts w:cs="Arial"/>
                <w:noProof/>
                <w:sz w:val="20"/>
              </w:rPr>
            </w:pPr>
            <w:r w:rsidRPr="004571CD">
              <w:rPr>
                <w:rFonts w:cs="Arial"/>
                <w:noProof/>
                <w:sz w:val="20"/>
              </w:rPr>
              <w:t>CT</w:t>
            </w:r>
          </w:p>
        </w:tc>
        <w:tc>
          <w:tcPr>
            <w:tcW w:w="1701" w:type="dxa"/>
            <w:shd w:val="clear" w:color="auto" w:fill="auto"/>
          </w:tcPr>
          <w:p w:rsidR="00C676CF" w:rsidRPr="004571CD" w:rsidRDefault="0065136D" w:rsidP="00305B7A">
            <w:pPr>
              <w:rPr>
                <w:rFonts w:cs="Arial"/>
                <w:noProof/>
                <w:sz w:val="20"/>
              </w:rPr>
            </w:pPr>
            <w:r w:rsidRPr="004571CD">
              <w:rPr>
                <w:rFonts w:cs="Arial"/>
                <w:noProof/>
                <w:sz w:val="20"/>
              </w:rPr>
              <w:t>70% (19/27)</w:t>
            </w:r>
          </w:p>
        </w:tc>
        <w:tc>
          <w:tcPr>
            <w:tcW w:w="1666" w:type="dxa"/>
            <w:shd w:val="clear" w:color="auto" w:fill="auto"/>
          </w:tcPr>
          <w:p w:rsidR="00C676CF" w:rsidRPr="004571CD" w:rsidRDefault="0065136D" w:rsidP="00305B7A">
            <w:pPr>
              <w:rPr>
                <w:rFonts w:cs="Arial"/>
                <w:noProof/>
                <w:sz w:val="20"/>
              </w:rPr>
            </w:pPr>
            <w:r w:rsidRPr="004571CD">
              <w:rPr>
                <w:rFonts w:cs="Arial"/>
                <w:noProof/>
                <w:sz w:val="20"/>
              </w:rPr>
              <w:t>100% (6/6)</w:t>
            </w:r>
          </w:p>
        </w:tc>
        <w:tc>
          <w:tcPr>
            <w:tcW w:w="1915" w:type="dxa"/>
            <w:shd w:val="clear" w:color="auto" w:fill="auto"/>
          </w:tcPr>
          <w:p w:rsidR="00C676CF" w:rsidRPr="004571CD" w:rsidRDefault="00275047" w:rsidP="00305B7A">
            <w:pPr>
              <w:rPr>
                <w:rFonts w:cs="Arial"/>
                <w:noProof/>
                <w:sz w:val="20"/>
              </w:rPr>
            </w:pPr>
            <w:r w:rsidRPr="004571CD">
              <w:rPr>
                <w:rFonts w:cs="Arial"/>
                <w:noProof/>
                <w:sz w:val="20"/>
              </w:rPr>
              <w:t>71% (5/7)</w:t>
            </w:r>
          </w:p>
        </w:tc>
        <w:tc>
          <w:tcPr>
            <w:tcW w:w="1806" w:type="dxa"/>
            <w:shd w:val="clear" w:color="auto" w:fill="auto"/>
          </w:tcPr>
          <w:p w:rsidR="00C676CF" w:rsidRPr="004571CD" w:rsidRDefault="00FF33BD" w:rsidP="00305B7A">
            <w:pPr>
              <w:rPr>
                <w:rFonts w:cs="Arial"/>
                <w:noProof/>
                <w:sz w:val="20"/>
              </w:rPr>
            </w:pPr>
            <w:r w:rsidRPr="004571CD">
              <w:rPr>
                <w:rFonts w:cs="Arial"/>
                <w:noProof/>
                <w:sz w:val="20"/>
              </w:rPr>
              <w:t>53% (10/19)</w:t>
            </w:r>
          </w:p>
        </w:tc>
      </w:tr>
      <w:tr w:rsidR="00C676CF" w:rsidRPr="004571CD" w:rsidTr="004571CD">
        <w:tc>
          <w:tcPr>
            <w:tcW w:w="2268" w:type="dxa"/>
            <w:shd w:val="clear" w:color="auto" w:fill="auto"/>
          </w:tcPr>
          <w:p w:rsidR="00C676CF" w:rsidRPr="004571CD" w:rsidRDefault="006F2618" w:rsidP="00305B7A">
            <w:pPr>
              <w:rPr>
                <w:rFonts w:cs="Arial"/>
                <w:noProof/>
                <w:sz w:val="20"/>
              </w:rPr>
            </w:pPr>
            <w:r w:rsidRPr="004571CD">
              <w:rPr>
                <w:rFonts w:cs="Arial"/>
                <w:noProof/>
                <w:sz w:val="20"/>
              </w:rPr>
              <w:t>TT</w:t>
            </w:r>
          </w:p>
        </w:tc>
        <w:tc>
          <w:tcPr>
            <w:tcW w:w="1701" w:type="dxa"/>
            <w:shd w:val="clear" w:color="auto" w:fill="auto"/>
          </w:tcPr>
          <w:p w:rsidR="00C676CF" w:rsidRPr="004571CD" w:rsidRDefault="0065136D" w:rsidP="00305B7A">
            <w:pPr>
              <w:rPr>
                <w:rFonts w:cs="Arial"/>
                <w:noProof/>
                <w:sz w:val="20"/>
              </w:rPr>
            </w:pPr>
            <w:r w:rsidRPr="004571CD">
              <w:rPr>
                <w:rFonts w:cs="Arial"/>
                <w:noProof/>
                <w:sz w:val="20"/>
              </w:rPr>
              <w:t>80% (8/10)</w:t>
            </w:r>
          </w:p>
        </w:tc>
        <w:tc>
          <w:tcPr>
            <w:tcW w:w="1666" w:type="dxa"/>
            <w:shd w:val="clear" w:color="auto" w:fill="auto"/>
          </w:tcPr>
          <w:p w:rsidR="00C676CF" w:rsidRPr="004571CD" w:rsidRDefault="0065136D" w:rsidP="00305B7A">
            <w:pPr>
              <w:rPr>
                <w:rFonts w:cs="Arial"/>
                <w:noProof/>
                <w:sz w:val="20"/>
              </w:rPr>
            </w:pPr>
            <w:r w:rsidRPr="004571CD">
              <w:rPr>
                <w:rFonts w:cs="Arial"/>
                <w:noProof/>
                <w:sz w:val="20"/>
              </w:rPr>
              <w:t>0% (0/2)</w:t>
            </w:r>
          </w:p>
        </w:tc>
        <w:tc>
          <w:tcPr>
            <w:tcW w:w="1915" w:type="dxa"/>
            <w:shd w:val="clear" w:color="auto" w:fill="auto"/>
          </w:tcPr>
          <w:p w:rsidR="00C676CF" w:rsidRPr="004571CD" w:rsidRDefault="00275047" w:rsidP="00305B7A">
            <w:pPr>
              <w:rPr>
                <w:rFonts w:cs="Arial"/>
                <w:noProof/>
                <w:sz w:val="20"/>
              </w:rPr>
            </w:pPr>
            <w:r w:rsidRPr="004571CD">
              <w:rPr>
                <w:rFonts w:cs="Arial"/>
                <w:noProof/>
                <w:sz w:val="20"/>
              </w:rPr>
              <w:t>50% (1/2)</w:t>
            </w:r>
          </w:p>
        </w:tc>
        <w:tc>
          <w:tcPr>
            <w:tcW w:w="1806" w:type="dxa"/>
            <w:shd w:val="clear" w:color="auto" w:fill="auto"/>
          </w:tcPr>
          <w:p w:rsidR="00C676CF" w:rsidRPr="004571CD" w:rsidRDefault="00FF33BD" w:rsidP="00305B7A">
            <w:pPr>
              <w:rPr>
                <w:rFonts w:cs="Arial"/>
                <w:noProof/>
                <w:sz w:val="20"/>
              </w:rPr>
            </w:pPr>
            <w:r w:rsidRPr="004571CD">
              <w:rPr>
                <w:rFonts w:cs="Arial"/>
                <w:noProof/>
                <w:sz w:val="20"/>
              </w:rPr>
              <w:t>50% (2/4)</w:t>
            </w:r>
          </w:p>
        </w:tc>
      </w:tr>
    </w:tbl>
    <w:p w:rsidR="00692297" w:rsidRPr="00692297" w:rsidRDefault="00692297" w:rsidP="00692297">
      <w:pPr>
        <w:rPr>
          <w:rFonts w:cs="Arial"/>
          <w:noProof/>
          <w:szCs w:val="22"/>
        </w:rPr>
      </w:pPr>
    </w:p>
    <w:p w:rsidR="00692297" w:rsidRDefault="00692297" w:rsidP="00692297">
      <w:pPr>
        <w:rPr>
          <w:rFonts w:cs="Arial"/>
          <w:noProof/>
          <w:szCs w:val="22"/>
        </w:rPr>
      </w:pPr>
      <w:r w:rsidRPr="00692297">
        <w:rPr>
          <w:rFonts w:cs="Arial"/>
          <w:noProof/>
          <w:szCs w:val="22"/>
        </w:rPr>
        <w:t>Two patients had HIV virologic failure defined as confirmed HIV 1 RNA ≥ 200 copies/ml after previous &lt; 50 copies/ml; these failures occurred 36 and 48 weeks after end of simeprevir treatment.</w:t>
      </w:r>
    </w:p>
    <w:p w:rsidR="00692297" w:rsidRDefault="00692297" w:rsidP="00305B7A">
      <w:pPr>
        <w:rPr>
          <w:rFonts w:cs="Arial"/>
          <w:noProof/>
          <w:szCs w:val="22"/>
        </w:rPr>
      </w:pPr>
    </w:p>
    <w:p w:rsidR="0078360D" w:rsidRPr="009431DB" w:rsidRDefault="0078360D" w:rsidP="0078360D">
      <w:pPr>
        <w:pStyle w:val="Heading3"/>
        <w:rPr>
          <w:rFonts w:cs="Arial"/>
        </w:rPr>
      </w:pPr>
      <w:r w:rsidRPr="009431DB">
        <w:t xml:space="preserve">Efficacy in adults with </w:t>
      </w:r>
      <w:r>
        <w:t>HCV g</w:t>
      </w:r>
      <w:r w:rsidRPr="009431DB">
        <w:t>enotype 4 infection</w:t>
      </w:r>
    </w:p>
    <w:p w:rsidR="0078360D" w:rsidRDefault="0078360D" w:rsidP="0078360D">
      <w:r w:rsidRPr="009431DB">
        <w:t>Study</w:t>
      </w:r>
      <w:r w:rsidRPr="009431DB">
        <w:rPr>
          <w:szCs w:val="22"/>
        </w:rPr>
        <w:t> HPC</w:t>
      </w:r>
      <w:r w:rsidRPr="009431DB">
        <w:t>3011 (RESTORE) is an open</w:t>
      </w:r>
      <w:r w:rsidRPr="009431DB">
        <w:noBreakHyphen/>
        <w:t>label, single</w:t>
      </w:r>
      <w:r w:rsidRPr="009431DB">
        <w:noBreakHyphen/>
        <w:t xml:space="preserve">arm Phase 3 study in patients with </w:t>
      </w:r>
      <w:r>
        <w:t>HCV g</w:t>
      </w:r>
      <w:r w:rsidRPr="009431DB">
        <w:t xml:space="preserve">enotype 4 </w:t>
      </w:r>
      <w:proofErr w:type="gramStart"/>
      <w:r w:rsidRPr="009431DB">
        <w:t>infection</w:t>
      </w:r>
      <w:proofErr w:type="gramEnd"/>
      <w:r w:rsidRPr="009431DB">
        <w:t xml:space="preserve"> who are treatment</w:t>
      </w:r>
      <w:r w:rsidRPr="009431DB">
        <w:noBreakHyphen/>
        <w:t xml:space="preserve">naïve or </w:t>
      </w:r>
      <w:r w:rsidRPr="009431DB">
        <w:rPr>
          <w:szCs w:val="22"/>
        </w:rPr>
        <w:t xml:space="preserve">failed prior therapy with </w:t>
      </w:r>
      <w:r w:rsidRPr="009431DB">
        <w:rPr>
          <w:noProof/>
          <w:szCs w:val="22"/>
        </w:rPr>
        <w:t xml:space="preserve">peginterferon alfa and ribavirin </w:t>
      </w:r>
      <w:r w:rsidRPr="009431DB">
        <w:rPr>
          <w:szCs w:val="22"/>
        </w:rPr>
        <w:t xml:space="preserve">(including </w:t>
      </w:r>
      <w:r w:rsidRPr="009431DB">
        <w:t xml:space="preserve">prior </w:t>
      </w:r>
      <w:proofErr w:type="spellStart"/>
      <w:r w:rsidRPr="009431DB">
        <w:t>relapsers</w:t>
      </w:r>
      <w:proofErr w:type="spellEnd"/>
      <w:r w:rsidRPr="009431DB">
        <w:t>, partial responders or null responders). Treatment</w:t>
      </w:r>
      <w:r w:rsidRPr="009431DB">
        <w:noBreakHyphen/>
        <w:t xml:space="preserve">naïve patients or prior </w:t>
      </w:r>
      <w:proofErr w:type="spellStart"/>
      <w:r w:rsidRPr="009431DB">
        <w:t>relapser</w:t>
      </w:r>
      <w:r>
        <w:t>s</w:t>
      </w:r>
      <w:proofErr w:type="spellEnd"/>
      <w:r w:rsidRPr="009431DB">
        <w:t xml:space="preserve"> received </w:t>
      </w:r>
      <w:r w:rsidRPr="009431DB">
        <w:rPr>
          <w:szCs w:val="22"/>
        </w:rPr>
        <w:t xml:space="preserve">once daily treatment with 150 mg </w:t>
      </w:r>
      <w:r w:rsidR="00194D66">
        <w:rPr>
          <w:szCs w:val="22"/>
        </w:rPr>
        <w:t>OLYSIO</w:t>
      </w:r>
      <w:r w:rsidRPr="009431DB">
        <w:rPr>
          <w:szCs w:val="22"/>
        </w:rPr>
        <w:t xml:space="preserve"> plus </w:t>
      </w:r>
      <w:proofErr w:type="spellStart"/>
      <w:r w:rsidRPr="009431DB">
        <w:rPr>
          <w:szCs w:val="22"/>
        </w:rPr>
        <w:t>peginterferon</w:t>
      </w:r>
      <w:proofErr w:type="spellEnd"/>
      <w:r w:rsidRPr="009431DB">
        <w:rPr>
          <w:szCs w:val="22"/>
        </w:rPr>
        <w:t xml:space="preserve"> alfa</w:t>
      </w:r>
      <w:r w:rsidRPr="009431DB">
        <w:rPr>
          <w:szCs w:val="22"/>
        </w:rPr>
        <w:noBreakHyphen/>
        <w:t>2a and ribavirin for 12 weeks, followed by</w:t>
      </w:r>
      <w:r w:rsidRPr="009431DB">
        <w:t xml:space="preserve"> </w:t>
      </w:r>
      <w:r w:rsidRPr="009431DB">
        <w:rPr>
          <w:szCs w:val="22"/>
        </w:rPr>
        <w:t xml:space="preserve">12 or 36 weeks of therapy with </w:t>
      </w:r>
      <w:proofErr w:type="spellStart"/>
      <w:r w:rsidRPr="009431DB">
        <w:rPr>
          <w:szCs w:val="22"/>
        </w:rPr>
        <w:t>peginterferon</w:t>
      </w:r>
      <w:proofErr w:type="spellEnd"/>
      <w:r w:rsidRPr="009431DB">
        <w:rPr>
          <w:szCs w:val="22"/>
        </w:rPr>
        <w:t xml:space="preserve"> alfa</w:t>
      </w:r>
      <w:r w:rsidRPr="009431DB">
        <w:rPr>
          <w:szCs w:val="22"/>
        </w:rPr>
        <w:noBreakHyphen/>
        <w:t>2a and ribavirin in accordance with the protocol</w:t>
      </w:r>
      <w:r w:rsidRPr="009431DB">
        <w:rPr>
          <w:szCs w:val="22"/>
        </w:rPr>
        <w:noBreakHyphen/>
        <w:t>defined RGT criteria.</w:t>
      </w:r>
      <w:r w:rsidRPr="009431DB">
        <w:t xml:space="preserve"> Prior non</w:t>
      </w:r>
      <w:r w:rsidRPr="009431DB">
        <w:noBreakHyphen/>
        <w:t xml:space="preserve">responder patients (partial and null response) received </w:t>
      </w:r>
      <w:r w:rsidRPr="009431DB">
        <w:rPr>
          <w:szCs w:val="22"/>
        </w:rPr>
        <w:t xml:space="preserve">once daily treatment with 150 mg </w:t>
      </w:r>
      <w:r w:rsidR="00194D66">
        <w:rPr>
          <w:szCs w:val="22"/>
        </w:rPr>
        <w:t>OLYSIO</w:t>
      </w:r>
      <w:r w:rsidRPr="009431DB">
        <w:rPr>
          <w:szCs w:val="22"/>
        </w:rPr>
        <w:t xml:space="preserve"> plus </w:t>
      </w:r>
      <w:proofErr w:type="spellStart"/>
      <w:r w:rsidRPr="009431DB">
        <w:rPr>
          <w:szCs w:val="22"/>
        </w:rPr>
        <w:t>peginterferon</w:t>
      </w:r>
      <w:proofErr w:type="spellEnd"/>
      <w:r w:rsidRPr="009431DB">
        <w:rPr>
          <w:szCs w:val="22"/>
        </w:rPr>
        <w:t xml:space="preserve"> alfa</w:t>
      </w:r>
      <w:r w:rsidRPr="009431DB">
        <w:rPr>
          <w:szCs w:val="22"/>
        </w:rPr>
        <w:noBreakHyphen/>
        <w:t>2a and ribavirin for 12 weeks, followed by</w:t>
      </w:r>
      <w:r w:rsidRPr="009431DB">
        <w:t xml:space="preserve"> 36 weeks of </w:t>
      </w:r>
      <w:proofErr w:type="spellStart"/>
      <w:r w:rsidRPr="009431DB">
        <w:rPr>
          <w:szCs w:val="22"/>
        </w:rPr>
        <w:t>peginterferon</w:t>
      </w:r>
      <w:proofErr w:type="spellEnd"/>
      <w:r w:rsidRPr="009431DB">
        <w:rPr>
          <w:szCs w:val="22"/>
        </w:rPr>
        <w:t xml:space="preserve"> alfa</w:t>
      </w:r>
      <w:r w:rsidRPr="009431DB">
        <w:rPr>
          <w:szCs w:val="22"/>
        </w:rPr>
        <w:noBreakHyphen/>
        <w:t>2a and ribavirin</w:t>
      </w:r>
      <w:r w:rsidRPr="009431DB">
        <w:t>.</w:t>
      </w:r>
    </w:p>
    <w:p w:rsidR="0078360D" w:rsidRPr="009431DB" w:rsidRDefault="0078360D" w:rsidP="0078360D"/>
    <w:p w:rsidR="0078360D" w:rsidRDefault="0078360D" w:rsidP="0078360D">
      <w:r>
        <w:t>The</w:t>
      </w:r>
      <w:r w:rsidRPr="009431DB">
        <w:t xml:space="preserve"> </w:t>
      </w:r>
      <w:r>
        <w:t>107</w:t>
      </w:r>
      <w:r w:rsidRPr="009431DB">
        <w:t> </w:t>
      </w:r>
      <w:r>
        <w:t xml:space="preserve">enrolled </w:t>
      </w:r>
      <w:r w:rsidRPr="009431DB">
        <w:t xml:space="preserve">patients </w:t>
      </w:r>
      <w:r w:rsidR="001B0033" w:rsidRPr="001B0033">
        <w:t xml:space="preserve">in </w:t>
      </w:r>
      <w:r w:rsidR="00310468">
        <w:t>S</w:t>
      </w:r>
      <w:r w:rsidR="001B0033" w:rsidRPr="001B0033">
        <w:t xml:space="preserve">tudy HPC3011 </w:t>
      </w:r>
      <w:r w:rsidRPr="009431DB">
        <w:t xml:space="preserve">with </w:t>
      </w:r>
      <w:r>
        <w:t>HCV g</w:t>
      </w:r>
      <w:r w:rsidRPr="009431DB">
        <w:t xml:space="preserve">enotype 4 had a median age of </w:t>
      </w:r>
      <w:r>
        <w:t>49 </w:t>
      </w:r>
      <w:r w:rsidRPr="009431DB">
        <w:t xml:space="preserve">years (range: </w:t>
      </w:r>
      <w:r w:rsidRPr="00954781">
        <w:t xml:space="preserve">27 to </w:t>
      </w:r>
      <w:r>
        <w:t>69 </w:t>
      </w:r>
      <w:r w:rsidRPr="00954781">
        <w:t>years); 7</w:t>
      </w:r>
      <w:r>
        <w:t>9</w:t>
      </w:r>
      <w:r w:rsidR="00750BF0">
        <w:t>% were male; 72% were Caucasian</w:t>
      </w:r>
      <w:r w:rsidRPr="00954781">
        <w:t>, 28%</w:t>
      </w:r>
      <w:r w:rsidR="00750BF0">
        <w:t xml:space="preserve"> </w:t>
      </w:r>
      <w:r w:rsidRPr="00954781">
        <w:t xml:space="preserve">African American, and </w:t>
      </w:r>
      <w:r>
        <w:t>7</w:t>
      </w:r>
      <w:r w:rsidRPr="00954781">
        <w:t>% Hispanic; 14%</w:t>
      </w:r>
      <w:r w:rsidRPr="009431DB">
        <w:t xml:space="preserve"> had a BMI ≥ 30 kg/m</w:t>
      </w:r>
      <w:r w:rsidRPr="009431DB">
        <w:rPr>
          <w:vertAlign w:val="superscript"/>
        </w:rPr>
        <w:t>2</w:t>
      </w:r>
      <w:r w:rsidRPr="009431DB">
        <w:t xml:space="preserve">; </w:t>
      </w:r>
      <w:r>
        <w:t>60</w:t>
      </w:r>
      <w:r w:rsidRPr="009431DB">
        <w:t xml:space="preserve">% had </w:t>
      </w:r>
      <w:r>
        <w:t>HCV </w:t>
      </w:r>
      <w:r w:rsidRPr="009431DB">
        <w:t>RNA levels &gt; 800000</w:t>
      </w:r>
      <w:r w:rsidRPr="009431DB">
        <w:rPr>
          <w:szCs w:val="22"/>
        </w:rPr>
        <w:t> </w:t>
      </w:r>
      <w:r w:rsidRPr="009431DB">
        <w:t xml:space="preserve">IU/mL; </w:t>
      </w:r>
      <w:r>
        <w:t>57</w:t>
      </w:r>
      <w:r w:rsidRPr="009431DB">
        <w:t>% had METAVIR fibrosis score F0</w:t>
      </w:r>
      <w:r>
        <w:t>,</w:t>
      </w:r>
      <w:r w:rsidRPr="009431DB">
        <w:t xml:space="preserve"> F1</w:t>
      </w:r>
      <w:r>
        <w:t xml:space="preserve"> or F2</w:t>
      </w:r>
      <w:r w:rsidRPr="009431DB">
        <w:t xml:space="preserve">, </w:t>
      </w:r>
      <w:r>
        <w:t>14</w:t>
      </w:r>
      <w:r w:rsidRPr="009431DB">
        <w:t xml:space="preserve">% METAVIR fibrosis score F3, and </w:t>
      </w:r>
      <w:r>
        <w:t>29</w:t>
      </w:r>
      <w:r w:rsidRPr="009431DB">
        <w:t>% METAVIR fibrosis score F4</w:t>
      </w:r>
      <w:r w:rsidR="00B459DD" w:rsidRPr="00B459DD">
        <w:t>; 42% had HCV genotype 4a, and 24% had HCV genotype 4d</w:t>
      </w:r>
      <w:r w:rsidRPr="009431DB">
        <w:t xml:space="preserve">; </w:t>
      </w:r>
      <w:r>
        <w:t>8</w:t>
      </w:r>
      <w:r w:rsidRPr="009431DB">
        <w:t xml:space="preserve">% had </w:t>
      </w:r>
      <w:r w:rsidRPr="009431DB">
        <w:rPr>
          <w:i/>
        </w:rPr>
        <w:t>IL28B</w:t>
      </w:r>
      <w:r>
        <w:rPr>
          <w:i/>
        </w:rPr>
        <w:t> </w:t>
      </w:r>
      <w:r w:rsidRPr="009431DB">
        <w:t xml:space="preserve">CC genotype, </w:t>
      </w:r>
      <w:r>
        <w:t>58</w:t>
      </w:r>
      <w:r w:rsidRPr="009431DB">
        <w:t xml:space="preserve">% </w:t>
      </w:r>
      <w:r w:rsidRPr="009431DB">
        <w:rPr>
          <w:i/>
        </w:rPr>
        <w:t>IL28B</w:t>
      </w:r>
      <w:r>
        <w:rPr>
          <w:i/>
        </w:rPr>
        <w:t> </w:t>
      </w:r>
      <w:r w:rsidRPr="009431DB">
        <w:t xml:space="preserve">CT genotype, and </w:t>
      </w:r>
      <w:r>
        <w:t>35</w:t>
      </w:r>
      <w:r w:rsidRPr="009431DB">
        <w:t xml:space="preserve">% </w:t>
      </w:r>
      <w:r w:rsidRPr="009431DB">
        <w:rPr>
          <w:i/>
        </w:rPr>
        <w:t>IL28B</w:t>
      </w:r>
      <w:r>
        <w:rPr>
          <w:i/>
        </w:rPr>
        <w:t> </w:t>
      </w:r>
      <w:r w:rsidRPr="009431DB">
        <w:t xml:space="preserve">TT genotype 33% </w:t>
      </w:r>
      <w:r>
        <w:t xml:space="preserve">(n=35) </w:t>
      </w:r>
      <w:r w:rsidRPr="009431DB">
        <w:t>were treatment</w:t>
      </w:r>
      <w:r w:rsidRPr="009431DB">
        <w:noBreakHyphen/>
        <w:t>naïve HCV patients, 2</w:t>
      </w:r>
      <w:r>
        <w:t>1</w:t>
      </w:r>
      <w:r w:rsidRPr="009431DB">
        <w:t>%</w:t>
      </w:r>
      <w:r>
        <w:t xml:space="preserve"> (n=22)</w:t>
      </w:r>
      <w:r w:rsidRPr="009431DB">
        <w:t xml:space="preserve"> prior </w:t>
      </w:r>
      <w:proofErr w:type="spellStart"/>
      <w:r w:rsidRPr="009431DB">
        <w:t>relapsers</w:t>
      </w:r>
      <w:proofErr w:type="spellEnd"/>
      <w:r w:rsidRPr="009431DB">
        <w:t xml:space="preserve">, 9% </w:t>
      </w:r>
      <w:r>
        <w:t xml:space="preserve">(n=10) </w:t>
      </w:r>
      <w:r w:rsidRPr="009431DB">
        <w:t>prior partial responders, and 3</w:t>
      </w:r>
      <w:r>
        <w:t>7</w:t>
      </w:r>
      <w:r w:rsidRPr="009431DB">
        <w:t xml:space="preserve">% </w:t>
      </w:r>
      <w:r>
        <w:t xml:space="preserve">(n=40) </w:t>
      </w:r>
      <w:r w:rsidRPr="009431DB">
        <w:t>prior null responders.</w:t>
      </w:r>
    </w:p>
    <w:p w:rsidR="0078360D" w:rsidRPr="009431DB" w:rsidRDefault="0078360D" w:rsidP="0078360D"/>
    <w:p w:rsidR="00470946" w:rsidRDefault="00470946" w:rsidP="00594CF4">
      <w:r w:rsidRPr="00470946">
        <w:t xml:space="preserve">The proportion of patients who discontinued all treatment due to an adverse event was </w:t>
      </w:r>
      <w:r w:rsidR="00414FD8">
        <w:t>3</w:t>
      </w:r>
      <w:r w:rsidRPr="00470946">
        <w:t xml:space="preserve">%. The proportion of patients who discontinued </w:t>
      </w:r>
      <w:proofErr w:type="spellStart"/>
      <w:r>
        <w:t>simeprevir</w:t>
      </w:r>
      <w:proofErr w:type="spellEnd"/>
      <w:r>
        <w:t xml:space="preserve"> </w:t>
      </w:r>
      <w:r w:rsidRPr="00470946">
        <w:t xml:space="preserve">due to an adverse event was </w:t>
      </w:r>
      <w:r w:rsidR="00414FD8">
        <w:t>1</w:t>
      </w:r>
      <w:r w:rsidRPr="00470946">
        <w:t xml:space="preserve">%. </w:t>
      </w:r>
      <w:r w:rsidR="000D106A">
        <w:t xml:space="preserve"> </w:t>
      </w:r>
      <w:r w:rsidRPr="00E44CDA">
        <w:t xml:space="preserve">Table </w:t>
      </w:r>
      <w:r w:rsidR="00A975F2">
        <w:t>12</w:t>
      </w:r>
      <w:r w:rsidR="00A975F2" w:rsidRPr="00470946">
        <w:t xml:space="preserve"> </w:t>
      </w:r>
      <w:r w:rsidRPr="00470946">
        <w:t xml:space="preserve">shows the response rates in treatment naïve, prior </w:t>
      </w:r>
      <w:proofErr w:type="spellStart"/>
      <w:r w:rsidRPr="00470946">
        <w:t>relapsers</w:t>
      </w:r>
      <w:proofErr w:type="spellEnd"/>
      <w:r w:rsidRPr="00470946">
        <w:t>, prior partial responders and null responders.</w:t>
      </w:r>
    </w:p>
    <w:p w:rsidR="008321BA" w:rsidRDefault="008321BA" w:rsidP="00594CF4"/>
    <w:tbl>
      <w:tblPr>
        <w:tblW w:w="9254" w:type="dxa"/>
        <w:tblInd w:w="144" w:type="dxa"/>
        <w:tblLayout w:type="fixed"/>
        <w:tblCellMar>
          <w:left w:w="42" w:type="dxa"/>
          <w:right w:w="42" w:type="dxa"/>
        </w:tblCellMar>
        <w:tblLook w:val="0000" w:firstRow="0" w:lastRow="0" w:firstColumn="0" w:lastColumn="0" w:noHBand="0" w:noVBand="0"/>
      </w:tblPr>
      <w:tblGrid>
        <w:gridCol w:w="2025"/>
        <w:gridCol w:w="1984"/>
        <w:gridCol w:w="1701"/>
        <w:gridCol w:w="1843"/>
        <w:gridCol w:w="1701"/>
      </w:tblGrid>
      <w:tr w:rsidR="008321BA" w:rsidRPr="00A35E08" w:rsidTr="001C6A82">
        <w:trPr>
          <w:cantSplit/>
          <w:tblHeader/>
        </w:trPr>
        <w:tc>
          <w:tcPr>
            <w:tcW w:w="9254" w:type="dxa"/>
            <w:gridSpan w:val="5"/>
            <w:tcBorders>
              <w:bottom w:val="single" w:sz="4" w:space="0" w:color="auto"/>
            </w:tcBorders>
            <w:shd w:val="clear" w:color="auto" w:fill="auto"/>
          </w:tcPr>
          <w:p w:rsidR="008321BA" w:rsidRPr="00A35E08" w:rsidRDefault="008321BA" w:rsidP="00A975F2">
            <w:pPr>
              <w:pStyle w:val="Caption"/>
            </w:pPr>
            <w:r w:rsidRPr="00A35E08">
              <w:t>Table </w:t>
            </w:r>
            <w:r w:rsidR="00A975F2">
              <w:t>12</w:t>
            </w:r>
            <w:r w:rsidRPr="00A35E08">
              <w:t>:</w:t>
            </w:r>
            <w:r w:rsidRPr="00A35E08">
              <w:tab/>
              <w:t>Treatment Outcome in Adult Patients with HCV Genotype 4 Infection (Study HPC3011; Intent</w:t>
            </w:r>
            <w:r w:rsidRPr="00A35E08">
              <w:noBreakHyphen/>
              <w:t>To</w:t>
            </w:r>
            <w:r w:rsidRPr="00A35E08">
              <w:noBreakHyphen/>
              <w:t>Treat Analysis Set)</w:t>
            </w:r>
          </w:p>
        </w:tc>
      </w:tr>
      <w:tr w:rsidR="008321BA" w:rsidRPr="00A35E08" w:rsidTr="001C6A82">
        <w:trPr>
          <w:cantSplit/>
          <w:tblHeader/>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rPr>
                <w:b/>
              </w:rPr>
            </w:pPr>
            <w:r w:rsidRPr="00A35E08">
              <w:rPr>
                <w:b/>
                <w:noProof/>
              </w:rPr>
              <w:t>Treatment Outcome</w:t>
            </w:r>
            <w:r w:rsidRPr="00A35E08">
              <w:rPr>
                <w:b/>
                <w:noProof/>
                <w:vertAlign w:val="superscript"/>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Treatment</w:t>
            </w:r>
            <w:r w:rsidRPr="00A35E08">
              <w:rPr>
                <w:b/>
                <w:noProof/>
                <w:sz w:val="20"/>
              </w:rPr>
              <w:noBreakHyphen/>
              <w:t>naïve patients</w:t>
            </w:r>
          </w:p>
          <w:p w:rsidR="008321BA" w:rsidRPr="00A35E08" w:rsidRDefault="008321BA" w:rsidP="004571CD">
            <w:pPr>
              <w:keepNext/>
              <w:jc w:val="center"/>
              <w:rPr>
                <w:b/>
                <w:noProof/>
                <w:sz w:val="20"/>
              </w:rPr>
            </w:pPr>
            <w:r w:rsidRPr="00A35E08">
              <w:rPr>
                <w:b/>
                <w:noProof/>
                <w:sz w:val="20"/>
              </w:rPr>
              <w:t>N=35</w:t>
            </w:r>
          </w:p>
          <w:p w:rsidR="008321BA" w:rsidRPr="00A35E08" w:rsidRDefault="008321BA" w:rsidP="004571CD">
            <w:pPr>
              <w:pStyle w:val="TableText0"/>
              <w:jc w:val="center"/>
            </w:pPr>
            <w:r w:rsidRPr="00A35E08">
              <w:rPr>
                <w:b/>
                <w:noProof/>
              </w:rPr>
              <w:t>% (n/N)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Prior relapsers</w:t>
            </w:r>
          </w:p>
          <w:p w:rsidR="008321BA" w:rsidRPr="00A35E08" w:rsidRDefault="008321BA" w:rsidP="004571CD">
            <w:pPr>
              <w:keepNext/>
              <w:jc w:val="center"/>
              <w:rPr>
                <w:b/>
                <w:noProof/>
                <w:sz w:val="20"/>
              </w:rPr>
            </w:pPr>
            <w:r w:rsidRPr="00A35E08">
              <w:rPr>
                <w:b/>
                <w:noProof/>
                <w:sz w:val="20"/>
              </w:rPr>
              <w:t>N=22</w:t>
            </w:r>
          </w:p>
          <w:p w:rsidR="008321BA" w:rsidRPr="00A35E08" w:rsidRDefault="008321BA" w:rsidP="004571CD">
            <w:pPr>
              <w:pStyle w:val="TableText0"/>
              <w:jc w:val="center"/>
            </w:pPr>
            <w:r w:rsidRPr="00A35E08">
              <w:rPr>
                <w:b/>
                <w:noProof/>
              </w:rPr>
              <w:t>% (n/N)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Prior partial responders</w:t>
            </w:r>
          </w:p>
          <w:p w:rsidR="008321BA" w:rsidRPr="00A35E08" w:rsidRDefault="008321BA" w:rsidP="004571CD">
            <w:pPr>
              <w:keepNext/>
              <w:jc w:val="center"/>
              <w:rPr>
                <w:b/>
                <w:noProof/>
                <w:sz w:val="20"/>
              </w:rPr>
            </w:pPr>
            <w:r w:rsidRPr="00A35E08">
              <w:rPr>
                <w:b/>
                <w:noProof/>
                <w:sz w:val="20"/>
              </w:rPr>
              <w:t>N=10</w:t>
            </w:r>
          </w:p>
          <w:p w:rsidR="008321BA" w:rsidRPr="00A35E08" w:rsidRDefault="008321BA" w:rsidP="004571CD">
            <w:pPr>
              <w:pStyle w:val="TableText0"/>
              <w:jc w:val="center"/>
              <w:rPr>
                <w:b/>
              </w:rPr>
            </w:pPr>
            <w:r w:rsidRPr="00A35E08">
              <w:rPr>
                <w:b/>
                <w:noProof/>
              </w:rPr>
              <w:t>% (n/N)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Prior null responders</w:t>
            </w:r>
          </w:p>
          <w:p w:rsidR="008321BA" w:rsidRPr="00A35E08" w:rsidRDefault="008321BA" w:rsidP="004571CD">
            <w:pPr>
              <w:keepNext/>
              <w:jc w:val="center"/>
              <w:rPr>
                <w:b/>
                <w:noProof/>
                <w:sz w:val="20"/>
              </w:rPr>
            </w:pPr>
            <w:r w:rsidRPr="00A35E08">
              <w:rPr>
                <w:b/>
                <w:noProof/>
                <w:sz w:val="20"/>
              </w:rPr>
              <w:t>N=40</w:t>
            </w:r>
          </w:p>
          <w:p w:rsidR="008321BA" w:rsidRPr="00A35E08" w:rsidRDefault="008321BA" w:rsidP="004571CD">
            <w:pPr>
              <w:pStyle w:val="TableText0"/>
              <w:jc w:val="center"/>
              <w:rPr>
                <w:b/>
              </w:rPr>
            </w:pPr>
            <w:r w:rsidRPr="00A35E08">
              <w:rPr>
                <w:b/>
                <w:noProof/>
              </w:rPr>
              <w:t>% (n/N)</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rPr>
                <w:b/>
              </w:rPr>
            </w:pPr>
            <w:r w:rsidRPr="00A35E08">
              <w:rPr>
                <w:b/>
                <w:noProof/>
              </w:rPr>
              <w:t>SVR12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rPr>
                <w:b/>
              </w:rPr>
            </w:pPr>
            <w:r w:rsidRPr="00A35E08">
              <w:rPr>
                <w:noProof/>
              </w:rPr>
              <w:t>83% (29/35)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86% (19/22)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rPr>
                <w:b/>
              </w:rPr>
            </w:pPr>
            <w:r w:rsidRPr="00A35E08">
              <w:rPr>
                <w:noProof/>
              </w:rPr>
              <w:t>60% (6/10)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40% (16/40)</w:t>
            </w:r>
            <w:r w:rsidRPr="00A35E08">
              <w:rPr>
                <w:noProof/>
                <w:vertAlign w:val="superscript"/>
              </w:rPr>
              <w:t>2</w:t>
            </w:r>
          </w:p>
        </w:tc>
      </w:tr>
      <w:tr w:rsidR="008321BA" w:rsidRPr="00A35E08" w:rsidTr="004571CD">
        <w:trPr>
          <w:cantSplit/>
        </w:trPr>
        <w:tc>
          <w:tcPr>
            <w:tcW w:w="9254" w:type="dxa"/>
            <w:gridSpan w:val="5"/>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pPr>
            <w:r w:rsidRPr="00A35E08">
              <w:rPr>
                <w:b/>
                <w:noProof/>
              </w:rPr>
              <w:t>Outcome for patients without SVR12</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On</w:t>
            </w:r>
            <w:r w:rsidRPr="00A35E08">
              <w:rPr>
                <w:noProof/>
              </w:rPr>
              <w:noBreakHyphen/>
              <w:t>treatment failure</w:t>
            </w:r>
            <w:r w:rsidRPr="00A35E08">
              <w:rPr>
                <w:noProof/>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9% (3/35)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9% (2/22)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20% (2/10)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45% (18/40)</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Viral relapse</w:t>
            </w:r>
            <w:r w:rsidRPr="00A35E08">
              <w:rPr>
                <w:noProof/>
                <w:vertAlign w:val="superscript"/>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9% (3/35)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366A5C" w:rsidP="004571CD">
            <w:pPr>
              <w:pStyle w:val="TableText0"/>
              <w:jc w:val="center"/>
            </w:pPr>
            <w:r>
              <w:rPr>
                <w:noProof/>
              </w:rPr>
              <w:t>5</w:t>
            </w:r>
            <w:r w:rsidR="008321BA" w:rsidRPr="00A35E08">
              <w:rPr>
                <w:noProof/>
              </w:rPr>
              <w:t>% (1/22)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20% (2/10)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15% (6/40)</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Missing SVR12</w:t>
            </w:r>
            <w:r w:rsidRPr="00A35E08">
              <w:rPr>
                <w:noProof/>
                <w:vertAlign w:val="superscript"/>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0% (0/35)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0% (0/22)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0% (0/10)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0% (0/40)</w:t>
            </w:r>
          </w:p>
        </w:tc>
      </w:tr>
      <w:tr w:rsidR="008321BA" w:rsidRPr="00A35E08" w:rsidTr="004571CD">
        <w:trPr>
          <w:cantSplit/>
        </w:trPr>
        <w:tc>
          <w:tcPr>
            <w:tcW w:w="9254" w:type="dxa"/>
            <w:gridSpan w:val="5"/>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Footnote"/>
              <w:ind w:left="0" w:firstLine="0"/>
              <w:rPr>
                <w:lang w:val="en-GB"/>
              </w:rPr>
            </w:pPr>
            <w:r w:rsidRPr="00A35E08">
              <w:rPr>
                <w:vertAlign w:val="superscript"/>
                <w:lang w:val="en-GB"/>
              </w:rPr>
              <w:lastRenderedPageBreak/>
              <w:t>1</w:t>
            </w:r>
            <w:r w:rsidRPr="00A35E08">
              <w:rPr>
                <w:lang w:val="en-GB"/>
              </w:rPr>
              <w:tab/>
              <w:t xml:space="preserve">150 mg TRADENAME for 12 weeks with </w:t>
            </w:r>
            <w:proofErr w:type="spellStart"/>
            <w:r w:rsidRPr="00A35E08">
              <w:rPr>
                <w:lang w:val="en-GB"/>
              </w:rPr>
              <w:t>peginterferon</w:t>
            </w:r>
            <w:proofErr w:type="spellEnd"/>
            <w:r w:rsidRPr="00A35E08">
              <w:rPr>
                <w:lang w:val="en-GB"/>
              </w:rPr>
              <w:t xml:space="preserve"> alfa</w:t>
            </w:r>
            <w:r w:rsidRPr="00A35E08">
              <w:rPr>
                <w:lang w:val="en-GB"/>
              </w:rPr>
              <w:noBreakHyphen/>
              <w:t>2a and ribavirin for 24 or 48 weeks.</w:t>
            </w:r>
          </w:p>
          <w:p w:rsidR="008321BA" w:rsidRPr="00A35E08" w:rsidRDefault="008321BA" w:rsidP="004571CD">
            <w:pPr>
              <w:pStyle w:val="TableFootnote"/>
              <w:ind w:left="0" w:firstLine="0"/>
              <w:rPr>
                <w:lang w:val="en-GB"/>
              </w:rPr>
            </w:pPr>
            <w:r w:rsidRPr="00A35E08">
              <w:rPr>
                <w:vertAlign w:val="superscript"/>
                <w:lang w:val="en-GB"/>
              </w:rPr>
              <w:t>3</w:t>
            </w:r>
            <w:r w:rsidRPr="00A35E08">
              <w:rPr>
                <w:lang w:val="en-GB"/>
              </w:rPr>
              <w:tab/>
              <w:t>On</w:t>
            </w:r>
            <w:r w:rsidRPr="00A35E08">
              <w:rPr>
                <w:lang w:val="en-GB"/>
              </w:rPr>
              <w:noBreakHyphen/>
              <w:t>treatment failure was defined as the proportion of patients with confirmed detectable HCV RNA at EOT (including but not limited to patients who met the protocol</w:t>
            </w:r>
            <w:r w:rsidRPr="00A35E08">
              <w:rPr>
                <w:lang w:val="en-GB"/>
              </w:rPr>
              <w:noBreakHyphen/>
              <w:t>specified treatment stopping rules and/or experienced viral breakthrough).</w:t>
            </w:r>
          </w:p>
          <w:p w:rsidR="008321BA" w:rsidRPr="00A35E08" w:rsidRDefault="008321BA" w:rsidP="004571CD">
            <w:pPr>
              <w:pStyle w:val="TableFootnote"/>
              <w:ind w:left="0" w:firstLine="0"/>
              <w:rPr>
                <w:lang w:val="en-GB"/>
              </w:rPr>
            </w:pPr>
            <w:r w:rsidRPr="00A35E08">
              <w:rPr>
                <w:vertAlign w:val="superscript"/>
                <w:lang w:val="en-GB"/>
              </w:rPr>
              <w:t>4</w:t>
            </w:r>
            <w:r w:rsidRPr="00A35E08">
              <w:rPr>
                <w:lang w:val="en-GB"/>
              </w:rPr>
              <w:tab/>
              <w:t>Viral relapse rates are calculated with a denominator of patients with undetectable (</w:t>
            </w:r>
            <w:r w:rsidRPr="00A35E08">
              <w:t>or unconfirmed detectable</w:t>
            </w:r>
            <w:r w:rsidRPr="00A35E08">
              <w:rPr>
                <w:lang w:val="en-GB"/>
              </w:rPr>
              <w:t>) HCV RNA at actual EOT.</w:t>
            </w:r>
          </w:p>
          <w:p w:rsidR="008321BA" w:rsidRPr="00A35E08" w:rsidRDefault="008321BA" w:rsidP="004571CD">
            <w:pPr>
              <w:pStyle w:val="TableFootnote"/>
              <w:ind w:left="0" w:firstLine="0"/>
            </w:pPr>
            <w:r w:rsidRPr="00A35E08">
              <w:rPr>
                <w:vertAlign w:val="superscript"/>
                <w:lang w:val="en-GB"/>
              </w:rPr>
              <w:t>5</w:t>
            </w:r>
            <w:r w:rsidRPr="00A35E08">
              <w:rPr>
                <w:lang w:val="en-GB"/>
              </w:rPr>
              <w:tab/>
              <w:t>Patients with missing data at the SVR assessment time point.</w:t>
            </w:r>
          </w:p>
        </w:tc>
      </w:tr>
    </w:tbl>
    <w:p w:rsidR="008321BA" w:rsidRDefault="008321BA" w:rsidP="00594CF4"/>
    <w:p w:rsidR="008321BA" w:rsidRDefault="008321BA" w:rsidP="008321BA">
      <w:r>
        <w:t xml:space="preserve">Table </w:t>
      </w:r>
      <w:r w:rsidR="00A975F2">
        <w:t xml:space="preserve">13 </w:t>
      </w:r>
      <w:r>
        <w:t xml:space="preserve">shows the SVR rates by METAVIR fibrosis scores and </w:t>
      </w:r>
      <w:r w:rsidRPr="000D106A">
        <w:rPr>
          <w:i/>
        </w:rPr>
        <w:t>IL28B</w:t>
      </w:r>
      <w:r>
        <w:t xml:space="preserve"> genotype.</w:t>
      </w:r>
      <w:r w:rsidR="000D106A">
        <w:t xml:space="preserve">  </w:t>
      </w:r>
    </w:p>
    <w:p w:rsidR="008321BA" w:rsidRDefault="008321BA" w:rsidP="008321BA"/>
    <w:tbl>
      <w:tblPr>
        <w:tblW w:w="9254" w:type="dxa"/>
        <w:tblInd w:w="144" w:type="dxa"/>
        <w:tblLayout w:type="fixed"/>
        <w:tblCellMar>
          <w:left w:w="42" w:type="dxa"/>
          <w:right w:w="42" w:type="dxa"/>
        </w:tblCellMar>
        <w:tblLook w:val="0000" w:firstRow="0" w:lastRow="0" w:firstColumn="0" w:lastColumn="0" w:noHBand="0" w:noVBand="0"/>
      </w:tblPr>
      <w:tblGrid>
        <w:gridCol w:w="2025"/>
        <w:gridCol w:w="1984"/>
        <w:gridCol w:w="1701"/>
        <w:gridCol w:w="1843"/>
        <w:gridCol w:w="1701"/>
      </w:tblGrid>
      <w:tr w:rsidR="008321BA" w:rsidRPr="00A35E08" w:rsidTr="004571CD">
        <w:trPr>
          <w:cantSplit/>
        </w:trPr>
        <w:tc>
          <w:tcPr>
            <w:tcW w:w="9254" w:type="dxa"/>
            <w:gridSpan w:val="5"/>
            <w:tcBorders>
              <w:bottom w:val="single" w:sz="4" w:space="0" w:color="auto"/>
            </w:tcBorders>
            <w:shd w:val="clear" w:color="auto" w:fill="auto"/>
          </w:tcPr>
          <w:p w:rsidR="008321BA" w:rsidRPr="00A35E08" w:rsidRDefault="008321BA" w:rsidP="00A975F2">
            <w:pPr>
              <w:pStyle w:val="Caption"/>
            </w:pPr>
            <w:r w:rsidRPr="00A35E08">
              <w:t>Table </w:t>
            </w:r>
            <w:r w:rsidR="00A975F2">
              <w:t>13</w:t>
            </w:r>
            <w:r w:rsidRPr="00A35E08">
              <w:t>:</w:t>
            </w:r>
            <w:r w:rsidRPr="00A35E08">
              <w:tab/>
              <w:t xml:space="preserve">SVR12 Rates by METAVIR Fibrosis Score and </w:t>
            </w:r>
            <w:r w:rsidRPr="00A35E08">
              <w:rPr>
                <w:i/>
              </w:rPr>
              <w:t>IL28B </w:t>
            </w:r>
            <w:r w:rsidRPr="00A35E08">
              <w:t>genotype in Adult Patients with HCV Genotype </w:t>
            </w:r>
            <w:r w:rsidR="00D76F99">
              <w:t>4 Infection (Study HPC3011</w:t>
            </w:r>
            <w:r w:rsidRPr="00A35E08">
              <w:t>)</w:t>
            </w:r>
          </w:p>
        </w:tc>
      </w:tr>
      <w:tr w:rsidR="008321BA" w:rsidRPr="00A35E08" w:rsidTr="004571CD">
        <w:trPr>
          <w:cantSplit/>
        </w:trPr>
        <w:tc>
          <w:tcPr>
            <w:tcW w:w="2025" w:type="dxa"/>
            <w:tcBorders>
              <w:top w:val="single" w:sz="4" w:space="0" w:color="auto"/>
              <w:left w:val="single" w:sz="4" w:space="0" w:color="auto"/>
              <w:right w:val="single" w:sz="4" w:space="0" w:color="auto"/>
            </w:tcBorders>
            <w:shd w:val="clear" w:color="auto" w:fill="auto"/>
          </w:tcPr>
          <w:p w:rsidR="008321BA" w:rsidRPr="00A35E08" w:rsidRDefault="008321BA" w:rsidP="004571CD">
            <w:pPr>
              <w:pStyle w:val="TableText0"/>
              <w:rPr>
                <w:b/>
              </w:rPr>
            </w:pPr>
            <w:r w:rsidRPr="00A35E08">
              <w:rPr>
                <w:b/>
                <w:noProof/>
              </w:rPr>
              <w:t>Treatment Outcome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Treatment</w:t>
            </w:r>
            <w:r w:rsidRPr="00A35E08">
              <w:rPr>
                <w:b/>
                <w:noProof/>
                <w:sz w:val="20"/>
              </w:rPr>
              <w:noBreakHyphen/>
              <w:t>Naïve Patients</w:t>
            </w:r>
          </w:p>
          <w:p w:rsidR="008321BA" w:rsidRPr="00A35E08" w:rsidRDefault="008321BA" w:rsidP="004571CD">
            <w:pPr>
              <w:pStyle w:val="TableText0"/>
              <w:jc w:val="center"/>
            </w:pPr>
            <w:r w:rsidRPr="00A35E08">
              <w:rPr>
                <w:b/>
                <w:noProof/>
              </w:rPr>
              <w:t>% (n/N)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Prior Relapsers</w:t>
            </w:r>
          </w:p>
          <w:p w:rsidR="00310468" w:rsidRPr="00A35E08" w:rsidRDefault="00310468" w:rsidP="004571CD">
            <w:pPr>
              <w:keepNext/>
              <w:jc w:val="center"/>
              <w:rPr>
                <w:b/>
                <w:noProof/>
                <w:sz w:val="20"/>
              </w:rPr>
            </w:pPr>
          </w:p>
          <w:p w:rsidR="008321BA" w:rsidRPr="00A35E08" w:rsidRDefault="008321BA" w:rsidP="004571CD">
            <w:pPr>
              <w:pStyle w:val="TableText0"/>
              <w:jc w:val="center"/>
            </w:pPr>
            <w:r w:rsidRPr="00A35E08">
              <w:rPr>
                <w:b/>
                <w:noProof/>
              </w:rPr>
              <w:t>% (n/N)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Prior Partial Responders</w:t>
            </w:r>
          </w:p>
          <w:p w:rsidR="008321BA" w:rsidRPr="00A35E08" w:rsidRDefault="008321BA" w:rsidP="004571CD">
            <w:pPr>
              <w:pStyle w:val="TableText0"/>
              <w:jc w:val="center"/>
              <w:rPr>
                <w:b/>
              </w:rPr>
            </w:pPr>
            <w:r w:rsidRPr="00A35E08">
              <w:rPr>
                <w:b/>
                <w:noProof/>
              </w:rPr>
              <w:t>% (n/N)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keepNext/>
              <w:jc w:val="center"/>
              <w:rPr>
                <w:b/>
                <w:noProof/>
                <w:sz w:val="20"/>
              </w:rPr>
            </w:pPr>
            <w:r w:rsidRPr="00A35E08">
              <w:rPr>
                <w:b/>
                <w:noProof/>
                <w:sz w:val="20"/>
              </w:rPr>
              <w:t>Prior Null Responders</w:t>
            </w:r>
          </w:p>
          <w:p w:rsidR="008321BA" w:rsidRPr="00A35E08" w:rsidRDefault="008321BA" w:rsidP="004571CD">
            <w:pPr>
              <w:pStyle w:val="TableText0"/>
              <w:jc w:val="center"/>
              <w:rPr>
                <w:b/>
              </w:rPr>
            </w:pPr>
            <w:r w:rsidRPr="00A35E08">
              <w:rPr>
                <w:b/>
                <w:noProof/>
              </w:rPr>
              <w:t>% (n/N)</w:t>
            </w:r>
          </w:p>
        </w:tc>
      </w:tr>
      <w:tr w:rsidR="008321BA" w:rsidRPr="00A35E08" w:rsidTr="004571CD">
        <w:trPr>
          <w:cantSplit/>
        </w:trPr>
        <w:tc>
          <w:tcPr>
            <w:tcW w:w="9254" w:type="dxa"/>
            <w:gridSpan w:val="5"/>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pPr>
            <w:r w:rsidRPr="00A35E08">
              <w:rPr>
                <w:noProof/>
              </w:rPr>
              <w:t>METAVIR fibrosis score</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F0</w:t>
            </w:r>
            <w:r w:rsidRPr="00A35E08">
              <w:rPr>
                <w:noProof/>
              </w:rPr>
              <w:noBreakHyphen/>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1195C">
            <w:pPr>
              <w:pStyle w:val="TableText0"/>
              <w:jc w:val="center"/>
            </w:pPr>
            <w:r w:rsidRPr="00A35E08">
              <w:rPr>
                <w:noProof/>
              </w:rPr>
              <w:t>8</w:t>
            </w:r>
            <w:r w:rsidR="0041195C">
              <w:rPr>
                <w:noProof/>
              </w:rPr>
              <w:t>5</w:t>
            </w:r>
            <w:r w:rsidRPr="00A35E08">
              <w:rPr>
                <w:noProof/>
              </w:rPr>
              <w:t>% (22/26)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91% (10/11)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100% (5/5)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47% (8/17)</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F3</w:t>
            </w:r>
            <w:r w:rsidRPr="00A35E08">
              <w:rPr>
                <w:noProof/>
              </w:rPr>
              <w:noBreakHyphen/>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78% (7/9)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82% (9/11)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20% (1/5)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35% (7/20)</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F4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50%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78% (7/9)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20% (1/5)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36% (5/14)</w:t>
            </w:r>
          </w:p>
        </w:tc>
      </w:tr>
      <w:tr w:rsidR="008321BA" w:rsidRPr="00A35E08" w:rsidTr="004571CD">
        <w:trPr>
          <w:cantSplit/>
        </w:trPr>
        <w:tc>
          <w:tcPr>
            <w:tcW w:w="9254" w:type="dxa"/>
            <w:gridSpan w:val="5"/>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pPr>
            <w:r w:rsidRPr="00A35E08">
              <w:rPr>
                <w:i/>
                <w:noProof/>
              </w:rPr>
              <w:t>IL28B</w:t>
            </w:r>
            <w:r w:rsidRPr="00A35E08">
              <w:rPr>
                <w:noProof/>
              </w:rPr>
              <w:t xml:space="preserve"> genotype</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CC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100% (7/7)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100%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t>-</w:t>
            </w:r>
          </w:p>
        </w:tc>
      </w:tr>
      <w:tr w:rsidR="008321BA" w:rsidRPr="00A35E08"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CT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82% (14/17)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82% (14/17)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60% (3/5)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41% (9/22)</w:t>
            </w:r>
          </w:p>
        </w:tc>
      </w:tr>
      <w:tr w:rsidR="008321BA" w:rsidRPr="009431DB" w:rsidTr="004571CD">
        <w:trPr>
          <w:cantSplit/>
        </w:trPr>
        <w:tc>
          <w:tcPr>
            <w:tcW w:w="2025"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tabs>
                <w:tab w:val="clear" w:pos="288"/>
                <w:tab w:val="clear" w:pos="576"/>
                <w:tab w:val="left" w:pos="565"/>
              </w:tabs>
              <w:ind w:left="140"/>
            </w:pPr>
            <w:r w:rsidRPr="00A35E08">
              <w:rPr>
                <w:noProof/>
              </w:rPr>
              <w:t>TT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80% (8/10)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100% (4/4)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21BA" w:rsidRPr="00A35E08" w:rsidRDefault="008321BA" w:rsidP="004571CD">
            <w:pPr>
              <w:pStyle w:val="TableText0"/>
              <w:jc w:val="center"/>
            </w:pPr>
            <w:r w:rsidRPr="00A35E08">
              <w:rPr>
                <w:noProof/>
              </w:rPr>
              <w:t>60% (3/5)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21BA" w:rsidRPr="009431DB" w:rsidRDefault="008321BA" w:rsidP="004571CD">
            <w:pPr>
              <w:pStyle w:val="TableText0"/>
              <w:jc w:val="center"/>
            </w:pPr>
            <w:r w:rsidRPr="00A35E08">
              <w:rPr>
                <w:noProof/>
              </w:rPr>
              <w:t>39% (7/18)</w:t>
            </w:r>
          </w:p>
        </w:tc>
      </w:tr>
    </w:tbl>
    <w:p w:rsidR="00496C47" w:rsidRPr="00BE5B08" w:rsidRDefault="00496C47" w:rsidP="009D682E">
      <w:pPr>
        <w:pStyle w:val="BodyText120"/>
        <w:spacing w:after="0" w:line="240" w:lineRule="auto"/>
        <w:rPr>
          <w:rFonts w:ascii="Arial" w:hAnsi="Arial" w:cs="Arial"/>
          <w:lang w:val="en-GB"/>
        </w:rPr>
      </w:pPr>
    </w:p>
    <w:p w:rsidR="003B09E3" w:rsidRDefault="003A72D8" w:rsidP="009F3479">
      <w:pPr>
        <w:pStyle w:val="PIHEADING1"/>
        <w:jc w:val="left"/>
      </w:pPr>
      <w:r>
        <w:t>INDICATIONS</w:t>
      </w:r>
    </w:p>
    <w:p w:rsidR="00DA4957" w:rsidRDefault="00194D66" w:rsidP="00DA4957">
      <w:r>
        <w:t>OLYSIO</w:t>
      </w:r>
      <w:r w:rsidR="00DA4957" w:rsidRPr="000E7461">
        <w:t xml:space="preserve"> is indicated for the treatment of chronic hepatitis</w:t>
      </w:r>
      <w:r w:rsidR="00DA4957">
        <w:t> </w:t>
      </w:r>
      <w:r w:rsidR="00DA4957" w:rsidRPr="000E7461">
        <w:t xml:space="preserve">C (CHC) </w:t>
      </w:r>
      <w:r w:rsidR="00DA4957">
        <w:t>genotype </w:t>
      </w:r>
      <w:r w:rsidR="00DA4957" w:rsidRPr="000E7461">
        <w:t>1</w:t>
      </w:r>
      <w:r w:rsidR="00DA4957">
        <w:t xml:space="preserve"> or genotype 4 infection</w:t>
      </w:r>
      <w:r w:rsidR="00DA4957" w:rsidRPr="000E7461">
        <w:t xml:space="preserve">, in combination with </w:t>
      </w:r>
      <w:r w:rsidR="0015689E">
        <w:t>o</w:t>
      </w:r>
      <w:r w:rsidR="00496C47">
        <w:t xml:space="preserve">ther </w:t>
      </w:r>
      <w:r w:rsidR="002652C9">
        <w:t>medicinal products for the treatment of CHC infection</w:t>
      </w:r>
      <w:r w:rsidR="00496C47">
        <w:t xml:space="preserve"> </w:t>
      </w:r>
      <w:r w:rsidR="00DA4957" w:rsidRPr="000E7461">
        <w:t xml:space="preserve">(see </w:t>
      </w:r>
      <w:r w:rsidR="002652C9" w:rsidRPr="002652C9">
        <w:rPr>
          <w:lang w:val="en-US"/>
        </w:rPr>
        <w:t>DOSAGE AND ADMINISTRATION</w:t>
      </w:r>
      <w:r w:rsidR="002652C9">
        <w:rPr>
          <w:lang w:val="en-US"/>
        </w:rPr>
        <w:t>,</w:t>
      </w:r>
      <w:r w:rsidR="002652C9" w:rsidRPr="002652C9">
        <w:rPr>
          <w:lang w:val="en-US"/>
        </w:rPr>
        <w:t xml:space="preserve"> PRECAUTIONS</w:t>
      </w:r>
      <w:r w:rsidR="002652C9">
        <w:rPr>
          <w:lang w:val="en-US"/>
        </w:rPr>
        <w:t xml:space="preserve">, </w:t>
      </w:r>
      <w:r w:rsidR="00DA4957">
        <w:t>CLINICAL TRIALS</w:t>
      </w:r>
      <w:r w:rsidR="00DA4957" w:rsidRPr="000E7461">
        <w:t>).</w:t>
      </w:r>
    </w:p>
    <w:p w:rsidR="003B09E3" w:rsidRDefault="003A72D8" w:rsidP="009F3479">
      <w:pPr>
        <w:pStyle w:val="PIHEADING1"/>
        <w:jc w:val="left"/>
      </w:pPr>
      <w:r>
        <w:t>CONTRAINDICATIONS</w:t>
      </w:r>
    </w:p>
    <w:p w:rsidR="00943AFF" w:rsidRDefault="00943AFF" w:rsidP="00DA4957">
      <w:proofErr w:type="gramStart"/>
      <w:r>
        <w:t xml:space="preserve">Hypersensitivity to </w:t>
      </w:r>
      <w:proofErr w:type="spellStart"/>
      <w:r>
        <w:t>simeprevir</w:t>
      </w:r>
      <w:proofErr w:type="spellEnd"/>
      <w:r>
        <w:t xml:space="preserve"> or to any of the excipients.</w:t>
      </w:r>
      <w:proofErr w:type="gramEnd"/>
    </w:p>
    <w:p w:rsidR="00943AFF" w:rsidRDefault="00943AFF" w:rsidP="00DA4957"/>
    <w:p w:rsidR="007B7613" w:rsidRPr="007B7613" w:rsidRDefault="00194D66" w:rsidP="007B7613">
      <w:r>
        <w:t>OLYSIO</w:t>
      </w:r>
      <w:r w:rsidR="007B7613">
        <w:t xml:space="preserve"> in combination with </w:t>
      </w:r>
      <w:proofErr w:type="spellStart"/>
      <w:r w:rsidR="007B7613">
        <w:t>peginterferon</w:t>
      </w:r>
      <w:proofErr w:type="spellEnd"/>
      <w:r w:rsidR="007B7613">
        <w:t xml:space="preserve"> </w:t>
      </w:r>
      <w:proofErr w:type="spellStart"/>
      <w:r w:rsidR="007B7613">
        <w:t>alfa</w:t>
      </w:r>
      <w:proofErr w:type="spellEnd"/>
      <w:r w:rsidR="007B7613">
        <w:t xml:space="preserve"> and ribavirin is contraindicated in:</w:t>
      </w:r>
    </w:p>
    <w:p w:rsidR="007B7613" w:rsidRDefault="007B7613" w:rsidP="007B7613">
      <w:pPr>
        <w:pStyle w:val="ListParagraph"/>
        <w:keepLines w:val="0"/>
        <w:numPr>
          <w:ilvl w:val="0"/>
          <w:numId w:val="42"/>
        </w:numPr>
        <w:autoSpaceDE w:val="0"/>
        <w:autoSpaceDN w:val="0"/>
        <w:adjustRightInd w:val="0"/>
        <w:rPr>
          <w:rFonts w:cs="Arial"/>
          <w:color w:val="000000"/>
          <w:szCs w:val="22"/>
          <w:lang w:val="en-US"/>
        </w:rPr>
      </w:pPr>
      <w:proofErr w:type="gramStart"/>
      <w:r w:rsidRPr="007B7613">
        <w:rPr>
          <w:rFonts w:cs="Arial"/>
          <w:color w:val="000000"/>
          <w:szCs w:val="22"/>
          <w:lang w:val="en-US"/>
        </w:rPr>
        <w:t>women</w:t>
      </w:r>
      <w:proofErr w:type="gramEnd"/>
      <w:r w:rsidRPr="007B7613">
        <w:rPr>
          <w:rFonts w:cs="Arial"/>
          <w:color w:val="000000"/>
          <w:szCs w:val="22"/>
          <w:lang w:val="en-US"/>
        </w:rPr>
        <w:t xml:space="preserve"> who are or may become pregnant. Ribavirin may cause fetal harm when administered to a pregnant woman. If this drug is used during pregnancy, or if the patient becomes pregnant while taking this drug treatment, the patient should be apprised of the potential hazard to a </w:t>
      </w:r>
      <w:r w:rsidR="000037D6">
        <w:rPr>
          <w:rFonts w:cs="Arial"/>
          <w:color w:val="000000"/>
          <w:szCs w:val="22"/>
          <w:lang w:val="en-US"/>
        </w:rPr>
        <w:t>fetus (see PRECAUTIONS, P</w:t>
      </w:r>
      <w:r w:rsidRPr="007B7613">
        <w:rPr>
          <w:rFonts w:cs="Arial"/>
          <w:color w:val="000000"/>
          <w:szCs w:val="22"/>
          <w:lang w:val="en-US"/>
        </w:rPr>
        <w:t>regnancy and contraception requirements</w:t>
      </w:r>
      <w:r w:rsidR="00031445">
        <w:rPr>
          <w:rFonts w:cs="Arial"/>
          <w:color w:val="000000"/>
          <w:szCs w:val="22"/>
          <w:lang w:val="en-US"/>
        </w:rPr>
        <w:t xml:space="preserve"> and Use in Pregnancy</w:t>
      </w:r>
      <w:r w:rsidRPr="007B7613">
        <w:rPr>
          <w:rFonts w:cs="Arial"/>
          <w:color w:val="000000"/>
          <w:szCs w:val="22"/>
          <w:lang w:val="en-US"/>
        </w:rPr>
        <w:t xml:space="preserve">). </w:t>
      </w:r>
    </w:p>
    <w:p w:rsidR="007B7613" w:rsidRPr="007B7613" w:rsidRDefault="007B7613" w:rsidP="007B7613">
      <w:pPr>
        <w:pStyle w:val="ListParagraph"/>
        <w:keepLines w:val="0"/>
        <w:numPr>
          <w:ilvl w:val="0"/>
          <w:numId w:val="42"/>
        </w:numPr>
        <w:autoSpaceDE w:val="0"/>
        <w:autoSpaceDN w:val="0"/>
        <w:adjustRightInd w:val="0"/>
        <w:rPr>
          <w:rFonts w:cs="Arial"/>
          <w:color w:val="000000"/>
          <w:szCs w:val="22"/>
          <w:lang w:val="en-US"/>
        </w:rPr>
      </w:pPr>
      <w:proofErr w:type="gramStart"/>
      <w:r w:rsidRPr="007B7613">
        <w:rPr>
          <w:rFonts w:cs="Arial"/>
          <w:color w:val="000000"/>
          <w:szCs w:val="22"/>
          <w:lang w:val="en-US"/>
        </w:rPr>
        <w:t>men</w:t>
      </w:r>
      <w:proofErr w:type="gramEnd"/>
      <w:r w:rsidRPr="007B7613">
        <w:rPr>
          <w:rFonts w:cs="Arial"/>
          <w:color w:val="000000"/>
          <w:szCs w:val="22"/>
          <w:lang w:val="en-US"/>
        </w:rPr>
        <w:t xml:space="preserve"> whose female partners are pregnant. </w:t>
      </w:r>
    </w:p>
    <w:p w:rsidR="007B7613" w:rsidRDefault="007B7613" w:rsidP="00DA4957"/>
    <w:p w:rsidR="00105EA1" w:rsidRPr="00031445" w:rsidRDefault="00DA4957" w:rsidP="005E7889">
      <w:r w:rsidRPr="00AF6861">
        <w:t>Refer to the respective pr</w:t>
      </w:r>
      <w:r w:rsidR="007B7613">
        <w:t xml:space="preserve">oduct </w:t>
      </w:r>
      <w:r w:rsidRPr="00AF6861">
        <w:t xml:space="preserve">information for a list of </w:t>
      </w:r>
      <w:r>
        <w:t>the</w:t>
      </w:r>
      <w:r w:rsidRPr="00AF6861">
        <w:t xml:space="preserve"> contraindications for </w:t>
      </w:r>
      <w:proofErr w:type="spellStart"/>
      <w:r w:rsidRPr="00AF6861">
        <w:t>peginterferon</w:t>
      </w:r>
      <w:proofErr w:type="spellEnd"/>
      <w:r w:rsidRPr="00AF6861">
        <w:t xml:space="preserve"> </w:t>
      </w:r>
      <w:proofErr w:type="spellStart"/>
      <w:r w:rsidRPr="00AF6861">
        <w:t>alfa</w:t>
      </w:r>
      <w:proofErr w:type="spellEnd"/>
      <w:r w:rsidRPr="00AF6861">
        <w:t xml:space="preserve"> and ribavirin.</w:t>
      </w:r>
    </w:p>
    <w:p w:rsidR="003B09E3" w:rsidRDefault="003A72D8" w:rsidP="009F3479">
      <w:pPr>
        <w:pStyle w:val="PIHEADING1"/>
        <w:jc w:val="left"/>
      </w:pPr>
      <w:r>
        <w:lastRenderedPageBreak/>
        <w:t>PRECAUTIONS</w:t>
      </w:r>
    </w:p>
    <w:p w:rsidR="003E2A1D" w:rsidRPr="00AF6861" w:rsidRDefault="003E2A1D" w:rsidP="003E2A1D">
      <w:pPr>
        <w:pStyle w:val="Heading3"/>
      </w:pPr>
      <w:r w:rsidRPr="00AF6861">
        <w:t>General</w:t>
      </w:r>
    </w:p>
    <w:p w:rsidR="003E2A1D" w:rsidRDefault="00194D66" w:rsidP="003E2A1D">
      <w:r>
        <w:t>OLYSIO</w:t>
      </w:r>
      <w:r w:rsidR="003E2A1D" w:rsidRPr="00AF6861">
        <w:t xml:space="preserve"> </w:t>
      </w:r>
      <w:r w:rsidR="003E2A1D" w:rsidRPr="00AF6861">
        <w:rPr>
          <w:u w:val="single"/>
        </w:rPr>
        <w:t>must not</w:t>
      </w:r>
      <w:r w:rsidR="003E2A1D" w:rsidRPr="00AF6861">
        <w:t xml:space="preserve"> be administered as monotherapy. </w:t>
      </w:r>
      <w:r>
        <w:t>OLYSIO</w:t>
      </w:r>
      <w:r w:rsidR="003E2A1D" w:rsidRPr="00AF6861">
        <w:t xml:space="preserve"> must be prescribed in combination with both </w:t>
      </w:r>
      <w:proofErr w:type="spellStart"/>
      <w:r w:rsidR="003E2A1D" w:rsidRPr="00AF6861">
        <w:t>peginterferon</w:t>
      </w:r>
      <w:proofErr w:type="spellEnd"/>
      <w:r w:rsidR="003E2A1D" w:rsidRPr="00AF6861">
        <w:t xml:space="preserve"> </w:t>
      </w:r>
      <w:proofErr w:type="spellStart"/>
      <w:r w:rsidR="003E2A1D" w:rsidRPr="00AF6861">
        <w:t>alfa</w:t>
      </w:r>
      <w:proofErr w:type="spellEnd"/>
      <w:r w:rsidR="003E2A1D" w:rsidRPr="00AF6861">
        <w:t xml:space="preserve"> and ribavirin. The </w:t>
      </w:r>
      <w:r w:rsidR="0037285D">
        <w:t>product</w:t>
      </w:r>
      <w:r w:rsidR="003E2A1D" w:rsidRPr="00AF6861">
        <w:t xml:space="preserve"> information for </w:t>
      </w:r>
      <w:proofErr w:type="spellStart"/>
      <w:r w:rsidR="003E2A1D" w:rsidRPr="00AF6861">
        <w:t>peginterferon</w:t>
      </w:r>
      <w:proofErr w:type="spellEnd"/>
      <w:r w:rsidR="003E2A1D" w:rsidRPr="00AF6861">
        <w:t xml:space="preserve"> </w:t>
      </w:r>
      <w:proofErr w:type="spellStart"/>
      <w:r w:rsidR="003E2A1D" w:rsidRPr="00AF6861">
        <w:t>alfa</w:t>
      </w:r>
      <w:proofErr w:type="spellEnd"/>
      <w:r w:rsidR="003E2A1D" w:rsidRPr="00AF6861">
        <w:t xml:space="preserve"> and ribavirin must therefore be consulted before starting therapy with </w:t>
      </w:r>
      <w:r>
        <w:t>OLYSIO</w:t>
      </w:r>
      <w:r w:rsidR="003E2A1D" w:rsidRPr="00AF6861">
        <w:t>.</w:t>
      </w:r>
    </w:p>
    <w:p w:rsidR="003E2A1D" w:rsidRDefault="003E2A1D" w:rsidP="003E2A1D"/>
    <w:p w:rsidR="003E2A1D" w:rsidRDefault="003E2A1D" w:rsidP="003E2A1D">
      <w:r w:rsidRPr="00AB667C">
        <w:t xml:space="preserve">The safety and efficacy of </w:t>
      </w:r>
      <w:r w:rsidR="00194D66">
        <w:t>OLYSIO</w:t>
      </w:r>
      <w:r w:rsidRPr="00AB667C">
        <w:t xml:space="preserve"> in combination with anti</w:t>
      </w:r>
      <w:r>
        <w:noBreakHyphen/>
      </w:r>
      <w:r w:rsidRPr="00AB667C">
        <w:t xml:space="preserve">HCV medicinal products other than </w:t>
      </w:r>
      <w:proofErr w:type="spellStart"/>
      <w:r w:rsidRPr="00AB667C">
        <w:t>peginterferon</w:t>
      </w:r>
      <w:proofErr w:type="spellEnd"/>
      <w:r w:rsidRPr="00AB667C">
        <w:t xml:space="preserve"> and ribavirin have not been established.</w:t>
      </w:r>
    </w:p>
    <w:p w:rsidR="003E2A1D" w:rsidRPr="00AF6861" w:rsidRDefault="003E2A1D" w:rsidP="003E2A1D"/>
    <w:p w:rsidR="003E2A1D" w:rsidRPr="00AF6861" w:rsidRDefault="003E2A1D" w:rsidP="003E2A1D">
      <w:pPr>
        <w:rPr>
          <w:b/>
        </w:rPr>
      </w:pPr>
      <w:r>
        <w:t>P</w:t>
      </w:r>
      <w:r w:rsidRPr="00AF6861">
        <w:t xml:space="preserve">recautions related to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also apply to </w:t>
      </w:r>
      <w:r w:rsidR="00194D66">
        <w:t>OLYSIO</w:t>
      </w:r>
      <w:r w:rsidRPr="00AF6861">
        <w:t xml:space="preserve"> combination treatment.</w:t>
      </w:r>
    </w:p>
    <w:p w:rsidR="00157B27" w:rsidRPr="00157B27" w:rsidRDefault="00157B27" w:rsidP="00157B27">
      <w:pPr>
        <w:rPr>
          <w:u w:val="single"/>
        </w:rPr>
      </w:pPr>
    </w:p>
    <w:p w:rsidR="00157B27" w:rsidRPr="00157B27" w:rsidRDefault="00157B27" w:rsidP="00157B27">
      <w:pPr>
        <w:rPr>
          <w:b/>
        </w:rPr>
      </w:pPr>
      <w:r w:rsidRPr="00157B27">
        <w:rPr>
          <w:b/>
        </w:rPr>
        <w:t>Use in patients with HCV genotype 1a</w:t>
      </w:r>
    </w:p>
    <w:p w:rsidR="00157B27" w:rsidRPr="00561C72" w:rsidRDefault="00157B27" w:rsidP="00157B27">
      <w:r w:rsidRPr="00561C72">
        <w:t xml:space="preserve">Sustained </w:t>
      </w:r>
      <w:proofErr w:type="spellStart"/>
      <w:r w:rsidRPr="00561C72">
        <w:t>virologic</w:t>
      </w:r>
      <w:proofErr w:type="spellEnd"/>
      <w:r w:rsidRPr="00561C72">
        <w:t xml:space="preserve"> response (SVR) rates of OLYSIO in combination with </w:t>
      </w:r>
      <w:proofErr w:type="spellStart"/>
      <w:r w:rsidRPr="00561C72">
        <w:t>peginterferon</w:t>
      </w:r>
      <w:proofErr w:type="spellEnd"/>
      <w:r w:rsidRPr="00561C72">
        <w:t xml:space="preserve"> </w:t>
      </w:r>
      <w:proofErr w:type="spellStart"/>
      <w:r w:rsidRPr="00561C72">
        <w:t>alfa</w:t>
      </w:r>
      <w:proofErr w:type="spellEnd"/>
      <w:r w:rsidRPr="00561C72">
        <w:t xml:space="preserve"> and ribavirin were reduced in patients with hepatitis C genotype 1a with NS3 Q80K polymorphism compared to patients without Q80K polymorphism (see Pharmacodynamics).</w:t>
      </w:r>
    </w:p>
    <w:p w:rsidR="00157B27" w:rsidRPr="00157B27" w:rsidRDefault="00157B27" w:rsidP="00157B27">
      <w:pPr>
        <w:rPr>
          <w:u w:val="single"/>
        </w:rPr>
      </w:pPr>
    </w:p>
    <w:p w:rsidR="00157B27" w:rsidRPr="00157B27" w:rsidRDefault="00157B27" w:rsidP="00157B27">
      <w:pPr>
        <w:rPr>
          <w:b/>
        </w:rPr>
      </w:pPr>
      <w:r w:rsidRPr="00157B27">
        <w:rPr>
          <w:b/>
        </w:rPr>
        <w:t xml:space="preserve">Rash </w:t>
      </w:r>
    </w:p>
    <w:p w:rsidR="003E2A1D" w:rsidRDefault="00157B27" w:rsidP="00157B27">
      <w:r w:rsidRPr="00561C72">
        <w:t>Rash has been observed with OLYSIO combination treatment (see A</w:t>
      </w:r>
      <w:r w:rsidR="00795089" w:rsidRPr="00561C72">
        <w:t xml:space="preserve">DVERSE </w:t>
      </w:r>
      <w:r w:rsidRPr="00561C72">
        <w:t>E</w:t>
      </w:r>
      <w:r w:rsidR="00795089" w:rsidRPr="00561C72">
        <w:t>FFECTS</w:t>
      </w:r>
      <w:r w:rsidRPr="00561C72">
        <w:t xml:space="preserve">).  </w:t>
      </w:r>
    </w:p>
    <w:p w:rsidR="00511D06" w:rsidRPr="00561C72" w:rsidRDefault="00511D06" w:rsidP="00157B27"/>
    <w:p w:rsidR="00511D06" w:rsidRPr="00335DFF" w:rsidRDefault="00511D06" w:rsidP="00511D06">
      <w:pPr>
        <w:autoSpaceDE w:val="0"/>
        <w:autoSpaceDN w:val="0"/>
        <w:adjustRightInd w:val="0"/>
      </w:pPr>
      <w:r w:rsidRPr="00335DFF">
        <w:t xml:space="preserve">The recommendations for monitoring </w:t>
      </w:r>
      <w:r w:rsidR="00F05B5A">
        <w:t xml:space="preserve">and management </w:t>
      </w:r>
      <w:r w:rsidRPr="00335DFF">
        <w:t xml:space="preserve">of </w:t>
      </w:r>
      <w:r>
        <w:t>cutaneous reactions</w:t>
      </w:r>
      <w:r w:rsidR="00E36E08">
        <w:t xml:space="preserve"> </w:t>
      </w:r>
      <w:r w:rsidRPr="00335DFF">
        <w:t>are summarised in the table below:</w:t>
      </w:r>
    </w:p>
    <w:p w:rsidR="00511D06" w:rsidRDefault="00511D06" w:rsidP="00157B27">
      <w:pPr>
        <w:rPr>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37"/>
      </w:tblGrid>
      <w:tr w:rsidR="00830E1F" w:rsidRPr="00335DFF" w:rsidTr="00E36E08">
        <w:trPr>
          <w:jc w:val="center"/>
        </w:trPr>
        <w:tc>
          <w:tcPr>
            <w:tcW w:w="2056" w:type="pct"/>
          </w:tcPr>
          <w:p w:rsidR="00830E1F" w:rsidRDefault="00830E1F" w:rsidP="00095EB6">
            <w:pPr>
              <w:rPr>
                <w:b/>
              </w:rPr>
            </w:pPr>
            <w:r w:rsidRPr="00335DFF">
              <w:rPr>
                <w:b/>
              </w:rPr>
              <w:t xml:space="preserve">Extent and features of </w:t>
            </w:r>
            <w:r>
              <w:rPr>
                <w:b/>
              </w:rPr>
              <w:t>Cutaneous Reactions</w:t>
            </w:r>
          </w:p>
        </w:tc>
        <w:tc>
          <w:tcPr>
            <w:tcW w:w="2944" w:type="pct"/>
          </w:tcPr>
          <w:p w:rsidR="00830E1F" w:rsidRDefault="00830E1F" w:rsidP="004C4B80">
            <w:pPr>
              <w:rPr>
                <w:b/>
              </w:rPr>
            </w:pPr>
            <w:r w:rsidRPr="00335DFF">
              <w:rPr>
                <w:b/>
              </w:rPr>
              <w:t xml:space="preserve">Recommendations for Monitoring </w:t>
            </w:r>
            <w:r w:rsidR="004C4B80">
              <w:rPr>
                <w:b/>
              </w:rPr>
              <w:t xml:space="preserve">and Management </w:t>
            </w:r>
            <w:r w:rsidRPr="00335DFF">
              <w:rPr>
                <w:b/>
              </w:rPr>
              <w:t xml:space="preserve">of </w:t>
            </w:r>
            <w:r>
              <w:rPr>
                <w:b/>
              </w:rPr>
              <w:t>Cutaneous Reactions</w:t>
            </w:r>
          </w:p>
        </w:tc>
      </w:tr>
      <w:tr w:rsidR="00A975F2" w:rsidRPr="00335DFF" w:rsidTr="00E36E08">
        <w:trPr>
          <w:jc w:val="center"/>
        </w:trPr>
        <w:tc>
          <w:tcPr>
            <w:tcW w:w="2056" w:type="pct"/>
          </w:tcPr>
          <w:p w:rsidR="00A975F2" w:rsidRPr="00A975F2" w:rsidRDefault="00A975F2" w:rsidP="00095EB6">
            <w:pPr>
              <w:autoSpaceDE w:val="0"/>
              <w:autoSpaceDN w:val="0"/>
              <w:adjustRightInd w:val="0"/>
            </w:pPr>
            <w:r w:rsidRPr="00A975F2">
              <w:t>Mild to moderate rash</w:t>
            </w:r>
          </w:p>
        </w:tc>
        <w:tc>
          <w:tcPr>
            <w:tcW w:w="2944" w:type="pct"/>
          </w:tcPr>
          <w:p w:rsidR="00A975F2" w:rsidRPr="00A975F2" w:rsidRDefault="00A975F2" w:rsidP="00095EB6">
            <w:r w:rsidRPr="00A975F2">
              <w:t>Monitor for progression, mucosal signs or systemic symptoms until the rash is resolved.</w:t>
            </w:r>
          </w:p>
        </w:tc>
      </w:tr>
      <w:tr w:rsidR="00A975F2" w:rsidRPr="00335DFF" w:rsidTr="00E36E08">
        <w:trPr>
          <w:jc w:val="center"/>
        </w:trPr>
        <w:tc>
          <w:tcPr>
            <w:tcW w:w="2056" w:type="pct"/>
          </w:tcPr>
          <w:p w:rsidR="00A975F2" w:rsidRDefault="00A975F2" w:rsidP="00095EB6">
            <w:r>
              <w:t>S</w:t>
            </w:r>
            <w:r w:rsidRPr="00561C72">
              <w:t>evere rash</w:t>
            </w:r>
          </w:p>
        </w:tc>
        <w:tc>
          <w:tcPr>
            <w:tcW w:w="2944" w:type="pct"/>
          </w:tcPr>
          <w:p w:rsidR="00A975F2" w:rsidRDefault="004C4B80" w:rsidP="00830E1F">
            <w:r>
              <w:t>OLYSIO</w:t>
            </w:r>
            <w:r w:rsidRPr="004C4B80">
              <w:t xml:space="preserve">, </w:t>
            </w:r>
            <w:proofErr w:type="spellStart"/>
            <w:r w:rsidRPr="004C4B80">
              <w:t>peginterferon</w:t>
            </w:r>
            <w:proofErr w:type="spellEnd"/>
            <w:r w:rsidRPr="004C4B80">
              <w:t xml:space="preserve"> </w:t>
            </w:r>
            <w:proofErr w:type="spellStart"/>
            <w:r w:rsidRPr="004C4B80">
              <w:t>alfa</w:t>
            </w:r>
            <w:proofErr w:type="spellEnd"/>
            <w:r w:rsidRPr="004C4B80">
              <w:t xml:space="preserve">, and ribavirin </w:t>
            </w:r>
            <w:r w:rsidR="00A975F2" w:rsidRPr="00561C72">
              <w:t>should be discontinued and the patients should be monitored until the symptoms have resolved</w:t>
            </w:r>
          </w:p>
        </w:tc>
      </w:tr>
      <w:tr w:rsidR="00A975F2" w:rsidRPr="00335DFF" w:rsidTr="00E36E08">
        <w:trPr>
          <w:jc w:val="center"/>
        </w:trPr>
        <w:tc>
          <w:tcPr>
            <w:tcW w:w="2056" w:type="pct"/>
          </w:tcPr>
          <w:p w:rsidR="00A975F2" w:rsidRPr="00A975F2" w:rsidRDefault="00A975F2" w:rsidP="00A975F2">
            <w:r w:rsidRPr="00A975F2">
              <w:t xml:space="preserve">Serious skin reactions including rash with systemic symptoms, progressive severe rash and suspicion or diagnosis of generalized bullous eruption, DRESS, Stevens-Johnson syndrome/toxic epidermal </w:t>
            </w:r>
            <w:proofErr w:type="spellStart"/>
            <w:r w:rsidRPr="00A975F2">
              <w:t>necrolysis</w:t>
            </w:r>
            <w:proofErr w:type="spellEnd"/>
            <w:r>
              <w:t>,</w:t>
            </w:r>
            <w:r w:rsidRPr="00A975F2">
              <w:t xml:space="preserve"> acute generalized </w:t>
            </w:r>
            <w:proofErr w:type="spellStart"/>
            <w:r w:rsidRPr="00A975F2">
              <w:t>exanthematous</w:t>
            </w:r>
            <w:proofErr w:type="spellEnd"/>
            <w:r w:rsidRPr="00A975F2">
              <w:t xml:space="preserve"> </w:t>
            </w:r>
            <w:proofErr w:type="spellStart"/>
            <w:r w:rsidRPr="00A975F2">
              <w:t>pustulosis</w:t>
            </w:r>
            <w:proofErr w:type="spellEnd"/>
            <w:r w:rsidRPr="00A975F2">
              <w:t xml:space="preserve">, erythema </w:t>
            </w:r>
            <w:proofErr w:type="spellStart"/>
            <w:r w:rsidRPr="00A975F2">
              <w:t>multiforme</w:t>
            </w:r>
            <w:proofErr w:type="spellEnd"/>
          </w:p>
        </w:tc>
        <w:tc>
          <w:tcPr>
            <w:tcW w:w="2944" w:type="pct"/>
          </w:tcPr>
          <w:p w:rsidR="00A975F2" w:rsidRPr="00A975F2" w:rsidRDefault="00F05B5A" w:rsidP="00F05B5A">
            <w:pPr>
              <w:rPr>
                <w:lang w:eastAsia="en-GB"/>
              </w:rPr>
            </w:pPr>
            <w:r>
              <w:t>I</w:t>
            </w:r>
            <w:r w:rsidRPr="00A975F2">
              <w:t xml:space="preserve">mmediate and </w:t>
            </w:r>
            <w:r>
              <w:t>p</w:t>
            </w:r>
            <w:r w:rsidR="00A975F2" w:rsidRPr="00A975F2">
              <w:t xml:space="preserve">ermanent discontinuation of OLYSIO, </w:t>
            </w:r>
            <w:proofErr w:type="spellStart"/>
            <w:r w:rsidR="00A975F2" w:rsidRPr="00A975F2">
              <w:t>peginterferon</w:t>
            </w:r>
            <w:proofErr w:type="spellEnd"/>
            <w:r w:rsidR="00A975F2" w:rsidRPr="00A975F2">
              <w:t xml:space="preserve"> </w:t>
            </w:r>
            <w:proofErr w:type="spellStart"/>
            <w:r w:rsidR="00A975F2" w:rsidRPr="00A975F2">
              <w:t>alfa</w:t>
            </w:r>
            <w:proofErr w:type="spellEnd"/>
            <w:r w:rsidR="00A975F2" w:rsidRPr="00A975F2">
              <w:t>, and ribavirin. Consult with a specialist in dermatology.</w:t>
            </w:r>
          </w:p>
        </w:tc>
      </w:tr>
    </w:tbl>
    <w:p w:rsidR="00830E1F" w:rsidRDefault="00830E1F" w:rsidP="00157B27">
      <w:pPr>
        <w:rPr>
          <w:u w:val="single"/>
        </w:rPr>
      </w:pPr>
    </w:p>
    <w:p w:rsidR="003E2A1D" w:rsidRPr="00AF6861" w:rsidRDefault="003E2A1D" w:rsidP="003E2A1D">
      <w:pPr>
        <w:pStyle w:val="Heading3"/>
      </w:pPr>
      <w:r w:rsidRPr="00AF6861">
        <w:t>Pregnancy and contraception requirements</w:t>
      </w:r>
    </w:p>
    <w:p w:rsidR="003E2A1D" w:rsidRDefault="003E2A1D" w:rsidP="003E2A1D">
      <w:r w:rsidRPr="00AF6861">
        <w:t xml:space="preserve">Because </w:t>
      </w:r>
      <w:r w:rsidR="00194D66">
        <w:t>OLYSIO</w:t>
      </w:r>
      <w:r w:rsidRPr="00AF6861">
        <w:t xml:space="preserve"> must be used in combination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the contraindications and warnings regarding pregnancy and contraception requirements applicable to those medicinal products also apply to </w:t>
      </w:r>
      <w:r w:rsidR="00194D66">
        <w:t>OLYSIO</w:t>
      </w:r>
      <w:r w:rsidRPr="00AF6861">
        <w:t xml:space="preserve"> combination treatment.</w:t>
      </w:r>
    </w:p>
    <w:p w:rsidR="003E2A1D" w:rsidRPr="00AF6861" w:rsidRDefault="003E2A1D" w:rsidP="003E2A1D"/>
    <w:p w:rsidR="003E2A1D" w:rsidRDefault="003E2A1D" w:rsidP="003E2A1D">
      <w:r w:rsidRPr="003E2A1D">
        <w:t xml:space="preserve">Ribavirin may cause birth defects and/or death of the exposed </w:t>
      </w:r>
      <w:proofErr w:type="spellStart"/>
      <w:r w:rsidRPr="003E2A1D">
        <w:t>fetus</w:t>
      </w:r>
      <w:proofErr w:type="spellEnd"/>
      <w:r w:rsidRPr="003E2A1D">
        <w:t xml:space="preserve">. Therefore, extreme care must be taken to avoid pregnancy in female patients and in female partners of male patients (see </w:t>
      </w:r>
      <w:r w:rsidR="0016317F">
        <w:t>Use in Pregnancy</w:t>
      </w:r>
      <w:r w:rsidR="000037D6">
        <w:t>). Refer also to the product</w:t>
      </w:r>
      <w:r w:rsidRPr="003E2A1D">
        <w:t xml:space="preserve"> information for ribavirin.</w:t>
      </w:r>
    </w:p>
    <w:p w:rsidR="003E2A1D" w:rsidRPr="00AF6861" w:rsidRDefault="003E2A1D" w:rsidP="003E2A1D"/>
    <w:p w:rsidR="003E2A1D" w:rsidRPr="00AF6861" w:rsidRDefault="003E2A1D" w:rsidP="003E2A1D">
      <w:r w:rsidRPr="003E2A1D">
        <w:t xml:space="preserve">Female patients of childbearing potential and their male partners as well as male patients and their female partners must use 2 effective contraceptive methods during treatment and after completion of treatment for </w:t>
      </w:r>
      <w:proofErr w:type="gramStart"/>
      <w:r w:rsidRPr="003E2A1D">
        <w:t>a duration</w:t>
      </w:r>
      <w:proofErr w:type="gramEnd"/>
      <w:r w:rsidRPr="003E2A1D">
        <w:t xml:space="preserve"> as specified in the </w:t>
      </w:r>
      <w:r w:rsidR="0037285D">
        <w:t>product</w:t>
      </w:r>
      <w:r w:rsidRPr="003E2A1D">
        <w:t xml:space="preserve"> information for ribavirin</w:t>
      </w:r>
      <w:r w:rsidRPr="00AF6861">
        <w:t xml:space="preserve"> (see </w:t>
      </w:r>
      <w:r w:rsidR="0016317F">
        <w:t>Use in Pregnancy</w:t>
      </w:r>
      <w:r w:rsidRPr="00AF6861">
        <w:t>).</w:t>
      </w:r>
    </w:p>
    <w:p w:rsidR="00F561C7" w:rsidRPr="009F14FC" w:rsidRDefault="001C6A82" w:rsidP="00F561C7">
      <w:pPr>
        <w:pStyle w:val="Heading5"/>
      </w:pPr>
      <w:r>
        <w:br w:type="page"/>
      </w:r>
      <w:r w:rsidR="00F561C7" w:rsidRPr="009F14FC">
        <w:lastRenderedPageBreak/>
        <w:t>Effects on fertility</w:t>
      </w:r>
    </w:p>
    <w:p w:rsidR="00567383" w:rsidRDefault="00567383" w:rsidP="00F561C7"/>
    <w:p w:rsidR="00567383" w:rsidRPr="00567383" w:rsidRDefault="00567383" w:rsidP="00567383">
      <w:pPr>
        <w:rPr>
          <w:b/>
        </w:rPr>
      </w:pPr>
      <w:r w:rsidRPr="00567383">
        <w:rPr>
          <w:b/>
        </w:rPr>
        <w:t xml:space="preserve">Use of OLYSIO with ribavirin and </w:t>
      </w:r>
      <w:proofErr w:type="spellStart"/>
      <w:r w:rsidRPr="00567383">
        <w:rPr>
          <w:b/>
        </w:rPr>
        <w:t>peginterferon</w:t>
      </w:r>
      <w:proofErr w:type="spellEnd"/>
      <w:r w:rsidRPr="00567383">
        <w:rPr>
          <w:b/>
        </w:rPr>
        <w:t xml:space="preserve"> </w:t>
      </w:r>
      <w:proofErr w:type="spellStart"/>
      <w:r w:rsidRPr="00567383">
        <w:rPr>
          <w:b/>
        </w:rPr>
        <w:t>alfa</w:t>
      </w:r>
      <w:proofErr w:type="spellEnd"/>
    </w:p>
    <w:p w:rsidR="00567383" w:rsidRDefault="00567383" w:rsidP="00567383"/>
    <w:p w:rsidR="00567383" w:rsidRDefault="00567383" w:rsidP="00567383">
      <w:r>
        <w:t xml:space="preserve">In fertility studies in animals, ribavirin caused reversible testicular toxicity in males, while </w:t>
      </w:r>
      <w:proofErr w:type="spellStart"/>
      <w:r>
        <w:t>peginterferon</w:t>
      </w:r>
      <w:proofErr w:type="spellEnd"/>
      <w:r>
        <w:t xml:space="preserve"> </w:t>
      </w:r>
      <w:proofErr w:type="spellStart"/>
      <w:r>
        <w:t>alfa</w:t>
      </w:r>
      <w:proofErr w:type="spellEnd"/>
      <w:r>
        <w:t xml:space="preserve"> may impair fertility in females.  Refer to product information for ribavirin and </w:t>
      </w:r>
      <w:proofErr w:type="spellStart"/>
      <w:r>
        <w:t>peginterferon</w:t>
      </w:r>
      <w:proofErr w:type="spellEnd"/>
      <w:r>
        <w:t xml:space="preserve"> </w:t>
      </w:r>
      <w:proofErr w:type="spellStart"/>
      <w:r>
        <w:t>alfa</w:t>
      </w:r>
      <w:proofErr w:type="spellEnd"/>
      <w:r>
        <w:t xml:space="preserve"> for additional information.  </w:t>
      </w:r>
    </w:p>
    <w:p w:rsidR="00567383" w:rsidRDefault="00567383" w:rsidP="00567383"/>
    <w:p w:rsidR="00F561C7" w:rsidRPr="00AF6861" w:rsidRDefault="00F561C7" w:rsidP="00F561C7">
      <w:r w:rsidRPr="00AF6861">
        <w:t xml:space="preserve">There are no data on the effect of </w:t>
      </w:r>
      <w:proofErr w:type="spellStart"/>
      <w:r w:rsidRPr="00AF6861">
        <w:t>simeprevir</w:t>
      </w:r>
      <w:proofErr w:type="spellEnd"/>
      <w:r w:rsidRPr="00AF6861">
        <w:t xml:space="preserve"> on human fertility. </w:t>
      </w:r>
      <w:r w:rsidR="00567383">
        <w:t xml:space="preserve"> </w:t>
      </w:r>
      <w:r w:rsidR="00567383" w:rsidRPr="00567383">
        <w:t xml:space="preserve">A fertility study in rats at doses up to 500 mg/kg/day showed no motile sperm, small testes and </w:t>
      </w:r>
      <w:proofErr w:type="spellStart"/>
      <w:r w:rsidR="00567383" w:rsidRPr="00567383">
        <w:t>epididymides</w:t>
      </w:r>
      <w:proofErr w:type="spellEnd"/>
      <w:r w:rsidR="00567383" w:rsidRPr="00567383">
        <w:t xml:space="preserve"> in 3 males (2/24 at 50 mg/kg/day and 1/24 at 500 mg/kg/day) that resulted in infertility in 2 out of the 3 males. The </w:t>
      </w:r>
      <w:proofErr w:type="spellStart"/>
      <w:r w:rsidR="00567383" w:rsidRPr="00567383">
        <w:t>simprevir</w:t>
      </w:r>
      <w:proofErr w:type="spellEnd"/>
      <w:r w:rsidR="00567383" w:rsidRPr="00567383">
        <w:t xml:space="preserve"> exposure multiple, based on AUC, was 0.2 at 50 mg/kg/day</w:t>
      </w:r>
      <w:r w:rsidR="00567383">
        <w:t xml:space="preserve">.  </w:t>
      </w:r>
    </w:p>
    <w:p w:rsidR="00F561C7" w:rsidRDefault="00F561C7" w:rsidP="00F561C7">
      <w:pPr>
        <w:pStyle w:val="Heading5"/>
      </w:pPr>
    </w:p>
    <w:p w:rsidR="00F561C7" w:rsidRPr="000D6127" w:rsidRDefault="00F561C7" w:rsidP="00F561C7">
      <w:pPr>
        <w:pStyle w:val="Heading5"/>
      </w:pPr>
      <w:r w:rsidRPr="000D6127">
        <w:t>Use in Pregnancy</w:t>
      </w:r>
    </w:p>
    <w:p w:rsidR="000037D6" w:rsidRPr="000037D6" w:rsidRDefault="00031445" w:rsidP="00031445">
      <w:pPr>
        <w:pStyle w:val="Heading3"/>
        <w:rPr>
          <w:lang w:val="en-US"/>
        </w:rPr>
      </w:pPr>
      <w:r>
        <w:rPr>
          <w:lang w:val="en-US"/>
        </w:rPr>
        <w:t>Category X</w:t>
      </w:r>
      <w:r w:rsidR="000037D6" w:rsidRPr="000037D6">
        <w:rPr>
          <w:lang w:val="en-US"/>
        </w:rPr>
        <w:t xml:space="preserve"> – Use of </w:t>
      </w:r>
      <w:r w:rsidR="00194D66">
        <w:rPr>
          <w:lang w:val="en-US"/>
        </w:rPr>
        <w:t>OLYSIO</w:t>
      </w:r>
      <w:r w:rsidR="000037D6" w:rsidRPr="000037D6">
        <w:rPr>
          <w:lang w:val="en-US"/>
        </w:rPr>
        <w:t xml:space="preserve"> with Ribavirin and </w:t>
      </w:r>
      <w:proofErr w:type="spellStart"/>
      <w:r w:rsidR="000037D6" w:rsidRPr="000037D6">
        <w:rPr>
          <w:lang w:val="en-US"/>
        </w:rPr>
        <w:t>Peginterferon</w:t>
      </w:r>
      <w:proofErr w:type="spellEnd"/>
      <w:r w:rsidR="000037D6" w:rsidRPr="000037D6">
        <w:rPr>
          <w:lang w:val="en-US"/>
        </w:rPr>
        <w:t xml:space="preserve"> </w:t>
      </w:r>
      <w:proofErr w:type="spellStart"/>
      <w:r w:rsidR="000037D6" w:rsidRPr="000037D6">
        <w:rPr>
          <w:lang w:val="en-US"/>
        </w:rPr>
        <w:t>alfa</w:t>
      </w:r>
      <w:proofErr w:type="spellEnd"/>
      <w:r w:rsidR="000037D6" w:rsidRPr="000037D6">
        <w:rPr>
          <w:lang w:val="en-US"/>
        </w:rPr>
        <w:t xml:space="preserve"> </w:t>
      </w:r>
    </w:p>
    <w:p w:rsidR="000037D6" w:rsidRPr="000037D6" w:rsidRDefault="000037D6" w:rsidP="000037D6">
      <w:pPr>
        <w:keepLines w:val="0"/>
        <w:autoSpaceDE w:val="0"/>
        <w:autoSpaceDN w:val="0"/>
        <w:adjustRightInd w:val="0"/>
        <w:rPr>
          <w:rFonts w:cs="Arial"/>
          <w:color w:val="000000"/>
          <w:szCs w:val="22"/>
          <w:lang w:val="en-US"/>
        </w:rPr>
      </w:pPr>
      <w:r w:rsidRPr="000037D6">
        <w:rPr>
          <w:rFonts w:cs="Arial"/>
          <w:color w:val="000000"/>
          <w:szCs w:val="22"/>
          <w:lang w:val="en-US"/>
        </w:rPr>
        <w:t xml:space="preserve">Significant teratogenic and/or </w:t>
      </w:r>
      <w:proofErr w:type="spellStart"/>
      <w:r w:rsidRPr="000037D6">
        <w:rPr>
          <w:rFonts w:cs="Arial"/>
          <w:color w:val="000000"/>
          <w:szCs w:val="22"/>
          <w:lang w:val="en-US"/>
        </w:rPr>
        <w:t>embryocidal</w:t>
      </w:r>
      <w:proofErr w:type="spellEnd"/>
      <w:r w:rsidRPr="000037D6">
        <w:rPr>
          <w:rFonts w:cs="Arial"/>
          <w:color w:val="000000"/>
          <w:szCs w:val="22"/>
          <w:lang w:val="en-US"/>
        </w:rPr>
        <w:t xml:space="preserve"> effects have been demonstrated in all animal species exposed to ribavirin; and therefore ribavirin is contraindicated in women who are pregnant and in the male partners of women who are pregnant (see CONTRAINDICATIONS and ribavirin Product Information). </w:t>
      </w:r>
      <w:proofErr w:type="spellStart"/>
      <w:r w:rsidRPr="000037D6">
        <w:rPr>
          <w:rFonts w:cs="Arial"/>
          <w:color w:val="000000"/>
          <w:szCs w:val="22"/>
          <w:lang w:val="en-US"/>
        </w:rPr>
        <w:t>Interferons</w:t>
      </w:r>
      <w:proofErr w:type="spellEnd"/>
      <w:r w:rsidRPr="000037D6">
        <w:rPr>
          <w:rFonts w:cs="Arial"/>
          <w:color w:val="000000"/>
          <w:szCs w:val="22"/>
          <w:lang w:val="en-US"/>
        </w:rPr>
        <w:t xml:space="preserve"> have </w:t>
      </w:r>
      <w:proofErr w:type="spellStart"/>
      <w:r w:rsidRPr="000037D6">
        <w:rPr>
          <w:rFonts w:cs="Arial"/>
          <w:color w:val="000000"/>
          <w:szCs w:val="22"/>
          <w:lang w:val="en-US"/>
        </w:rPr>
        <w:t>abortifacient</w:t>
      </w:r>
      <w:proofErr w:type="spellEnd"/>
      <w:r w:rsidRPr="000037D6">
        <w:rPr>
          <w:rFonts w:cs="Arial"/>
          <w:color w:val="000000"/>
          <w:szCs w:val="22"/>
          <w:lang w:val="en-US"/>
        </w:rPr>
        <w:t xml:space="preserve"> effects in animals and should be assumed to have </w:t>
      </w:r>
      <w:proofErr w:type="spellStart"/>
      <w:r w:rsidRPr="000037D6">
        <w:rPr>
          <w:rFonts w:cs="Arial"/>
          <w:color w:val="000000"/>
          <w:szCs w:val="22"/>
          <w:lang w:val="en-US"/>
        </w:rPr>
        <w:t>abortifacient</w:t>
      </w:r>
      <w:proofErr w:type="spellEnd"/>
      <w:r w:rsidRPr="000037D6">
        <w:rPr>
          <w:rFonts w:cs="Arial"/>
          <w:color w:val="000000"/>
          <w:szCs w:val="22"/>
          <w:lang w:val="en-US"/>
        </w:rPr>
        <w:t xml:space="preserve"> potential in humans (see </w:t>
      </w:r>
      <w:proofErr w:type="spellStart"/>
      <w:r w:rsidRPr="000037D6">
        <w:rPr>
          <w:rFonts w:cs="Arial"/>
          <w:color w:val="000000"/>
          <w:szCs w:val="22"/>
          <w:lang w:val="en-US"/>
        </w:rPr>
        <w:t>peginterferon</w:t>
      </w:r>
      <w:proofErr w:type="spellEnd"/>
      <w:r w:rsidRPr="000037D6">
        <w:rPr>
          <w:rFonts w:cs="Arial"/>
          <w:color w:val="000000"/>
          <w:szCs w:val="22"/>
          <w:lang w:val="en-US"/>
        </w:rPr>
        <w:t xml:space="preserve"> </w:t>
      </w:r>
      <w:proofErr w:type="spellStart"/>
      <w:r w:rsidRPr="000037D6">
        <w:rPr>
          <w:rFonts w:cs="Arial"/>
          <w:color w:val="000000"/>
          <w:szCs w:val="22"/>
          <w:lang w:val="en-US"/>
        </w:rPr>
        <w:t>alfa</w:t>
      </w:r>
      <w:proofErr w:type="spellEnd"/>
      <w:r w:rsidRPr="000037D6">
        <w:rPr>
          <w:rFonts w:cs="Arial"/>
          <w:color w:val="000000"/>
          <w:szCs w:val="22"/>
          <w:lang w:val="en-US"/>
        </w:rPr>
        <w:t xml:space="preserve"> Product Information). </w:t>
      </w:r>
    </w:p>
    <w:p w:rsidR="000037D6" w:rsidRDefault="000037D6" w:rsidP="000037D6">
      <w:r w:rsidRPr="00CB56AC">
        <w:t xml:space="preserve">Extreme care must be taken to avoid pregnancy in female patients and in female partners of male </w:t>
      </w:r>
      <w:r w:rsidRPr="000C3AA7">
        <w:t xml:space="preserve">patients - both during treatment and for 6 months after the completion of all treatment. </w:t>
      </w:r>
    </w:p>
    <w:p w:rsidR="000037D6" w:rsidRDefault="00194D66" w:rsidP="00594CF4">
      <w:r>
        <w:t>OLYSIO</w:t>
      </w:r>
      <w:r w:rsidR="000037D6" w:rsidRPr="000C3AA7">
        <w:t xml:space="preserve"> combination treatment should not be started unless a female patient has a negative pregnancy test immediately prior to initiation of treatment. </w:t>
      </w:r>
      <w:r w:rsidR="000037D6" w:rsidRPr="000037D6">
        <w:t xml:space="preserve">Pregnancy testing should occur monthly during </w:t>
      </w:r>
      <w:r>
        <w:t>OLYSIO</w:t>
      </w:r>
      <w:r w:rsidR="000037D6" w:rsidRPr="000037D6">
        <w:t xml:space="preserve"> combination treatment and for 6 months after all treatment </w:t>
      </w:r>
      <w:r w:rsidR="00031445">
        <w:t>has ended</w:t>
      </w:r>
      <w:r w:rsidR="000037D6" w:rsidRPr="000037D6">
        <w:t>. Pregnancy testing in non</w:t>
      </w:r>
      <w:r w:rsidR="000037D6" w:rsidRPr="000037D6">
        <w:noBreakHyphen/>
        <w:t xml:space="preserve">pregnant female partners is recommended before </w:t>
      </w:r>
      <w:r>
        <w:t>OLYSIO</w:t>
      </w:r>
      <w:r w:rsidR="000037D6" w:rsidRPr="000037D6">
        <w:t xml:space="preserve"> combination therapy, every month during </w:t>
      </w:r>
      <w:r>
        <w:t>OLYSIO</w:t>
      </w:r>
      <w:r w:rsidR="000037D6" w:rsidRPr="000037D6">
        <w:t xml:space="preserve"> combination therapy and for 6 months after ribavirin therapy has ended.</w:t>
      </w:r>
    </w:p>
    <w:p w:rsidR="00594CF4" w:rsidRPr="00594CF4" w:rsidRDefault="00594CF4" w:rsidP="00594CF4"/>
    <w:p w:rsidR="00F561C7" w:rsidRPr="000D6127" w:rsidRDefault="00F561C7" w:rsidP="00031445">
      <w:pPr>
        <w:pStyle w:val="Heading3"/>
      </w:pPr>
      <w:r w:rsidRPr="000D6127">
        <w:t xml:space="preserve">Category </w:t>
      </w:r>
      <w:r w:rsidR="00F007F2">
        <w:t>B3</w:t>
      </w:r>
      <w:r w:rsidR="000037D6">
        <w:t xml:space="preserve">– </w:t>
      </w:r>
      <w:r w:rsidR="00194D66">
        <w:t>OLYSIO</w:t>
      </w:r>
      <w:r w:rsidR="000037D6">
        <w:t xml:space="preserve"> capsules</w:t>
      </w:r>
    </w:p>
    <w:p w:rsidR="00CE4193" w:rsidRDefault="00F561C7" w:rsidP="00F561C7">
      <w:r w:rsidRPr="00CB56AC">
        <w:t>There are no adequate and well</w:t>
      </w:r>
      <w:r>
        <w:noBreakHyphen/>
      </w:r>
      <w:r w:rsidRPr="00CB56AC">
        <w:t xml:space="preserve">controlled studies with </w:t>
      </w:r>
      <w:r w:rsidR="00194D66">
        <w:t>OLYSIO</w:t>
      </w:r>
      <w:r w:rsidRPr="00CB56AC">
        <w:t xml:space="preserve"> </w:t>
      </w:r>
      <w:r w:rsidRPr="000B725E">
        <w:t xml:space="preserve">alone or in combination with </w:t>
      </w:r>
      <w:proofErr w:type="spellStart"/>
      <w:r w:rsidRPr="000B725E">
        <w:t>peginterferon</w:t>
      </w:r>
      <w:proofErr w:type="spellEnd"/>
      <w:r w:rsidRPr="000B725E">
        <w:t xml:space="preserve"> </w:t>
      </w:r>
      <w:proofErr w:type="spellStart"/>
      <w:r w:rsidRPr="000B725E">
        <w:t>alfa</w:t>
      </w:r>
      <w:proofErr w:type="spellEnd"/>
      <w:r w:rsidRPr="000B725E">
        <w:t xml:space="preserve"> and ribavirin </w:t>
      </w:r>
      <w:r w:rsidRPr="00CB56AC">
        <w:t xml:space="preserve">in pregnant women. </w:t>
      </w:r>
      <w:r w:rsidR="00F007F2">
        <w:t xml:space="preserve"> </w:t>
      </w:r>
      <w:r w:rsidR="00F007F2" w:rsidRPr="00F007F2">
        <w:t xml:space="preserve"> </w:t>
      </w:r>
      <w:proofErr w:type="spellStart"/>
      <w:r w:rsidR="00F007F2" w:rsidRPr="00F007F2">
        <w:t>Simeprevir</w:t>
      </w:r>
      <w:proofErr w:type="spellEnd"/>
      <w:r w:rsidR="00F007F2" w:rsidRPr="00F007F2">
        <w:t xml:space="preserve"> was not teratogenic in </w:t>
      </w:r>
      <w:proofErr w:type="spellStart"/>
      <w:r w:rsidR="00F007F2" w:rsidRPr="00F007F2">
        <w:t>embryofetal</w:t>
      </w:r>
      <w:proofErr w:type="spellEnd"/>
      <w:r w:rsidR="00F007F2" w:rsidRPr="00F007F2">
        <w:t xml:space="preserve"> studies in mice and rats at respective exposures, based on AUC, of </w:t>
      </w:r>
      <w:proofErr w:type="gramStart"/>
      <w:r w:rsidR="00F007F2" w:rsidRPr="00F007F2">
        <w:t>6x</w:t>
      </w:r>
      <w:proofErr w:type="gramEnd"/>
      <w:r w:rsidR="00F007F2" w:rsidRPr="00F007F2">
        <w:t xml:space="preserve"> and 0.5x the mean exposure in humans at the recommended dose.</w:t>
      </w:r>
      <w:r w:rsidR="00F007F2">
        <w:t xml:space="preserve"> </w:t>
      </w:r>
      <w:r w:rsidR="00F007F2" w:rsidRPr="00F007F2">
        <w:t xml:space="preserve"> A mouse </w:t>
      </w:r>
      <w:proofErr w:type="spellStart"/>
      <w:r w:rsidR="00F007F2" w:rsidRPr="00F007F2">
        <w:t>embryofetal</w:t>
      </w:r>
      <w:proofErr w:type="spellEnd"/>
      <w:r w:rsidR="00F007F2" w:rsidRPr="00F007F2">
        <w:t xml:space="preserve"> study showed some maternal deaths, significantly increased post-implantation loss, and significantly decreased </w:t>
      </w:r>
      <w:proofErr w:type="spellStart"/>
      <w:r w:rsidR="00F007F2" w:rsidRPr="00F007F2">
        <w:t>fetal</w:t>
      </w:r>
      <w:proofErr w:type="spellEnd"/>
      <w:r w:rsidR="00F007F2" w:rsidRPr="00F007F2">
        <w:t xml:space="preserve"> weights at the high-dose of 1000 mg/kg/day, 6x the mean exposure in humans at the recommended dose. </w:t>
      </w:r>
      <w:r w:rsidR="00F007F2">
        <w:t xml:space="preserve"> </w:t>
      </w:r>
      <w:r w:rsidR="00F007F2" w:rsidRPr="00F007F2">
        <w:t>A rat pre-postnatal study, in which maternal rats were treated from gestation day 6 to day 20 of lactation, showed some maternal deaths at the high</w:t>
      </w:r>
      <w:r w:rsidR="00F007F2">
        <w:noBreakHyphen/>
      </w:r>
      <w:r w:rsidR="00F007F2" w:rsidRPr="00F007F2">
        <w:t>dose of 1000 mg/kg/day (estimated exposure multiple ~1), and significant reductions in bodyweight gain at 150 mg/kg/day and above.</w:t>
      </w:r>
      <w:r w:rsidR="00F007F2">
        <w:t xml:space="preserve"> </w:t>
      </w:r>
      <w:r w:rsidR="00F007F2" w:rsidRPr="00F007F2">
        <w:t xml:space="preserve"> The rat offspring showed significantly decreased bodyweight gains at 150 mg/kg/day and above (estimated exposure multiple 0.7x), and delayed physical growth and development (motor activity) at a maternal dose of 1000 mg/kg/day, Subsequent survival, behaviour and fertility were unaffected</w:t>
      </w:r>
      <w:r w:rsidR="00F007F2">
        <w:t xml:space="preserve">.  </w:t>
      </w:r>
      <w:r w:rsidR="00F007F2" w:rsidRPr="00F007F2">
        <w:t xml:space="preserve">In pregnant rats, the </w:t>
      </w:r>
      <w:proofErr w:type="spellStart"/>
      <w:r w:rsidR="00F007F2" w:rsidRPr="00F007F2">
        <w:t>simeprevir</w:t>
      </w:r>
      <w:proofErr w:type="spellEnd"/>
      <w:r w:rsidR="00F007F2" w:rsidRPr="00F007F2">
        <w:t xml:space="preserve"> concentration in the placenta was lower compared to that observed in blood. In </w:t>
      </w:r>
      <w:proofErr w:type="spellStart"/>
      <w:r w:rsidR="00F007F2" w:rsidRPr="00F007F2">
        <w:t>fetal</w:t>
      </w:r>
      <w:proofErr w:type="spellEnd"/>
      <w:r w:rsidR="00F007F2" w:rsidRPr="00F007F2">
        <w:t xml:space="preserve"> liver and </w:t>
      </w:r>
      <w:proofErr w:type="spellStart"/>
      <w:r w:rsidR="00F007F2" w:rsidRPr="00F007F2">
        <w:t>fetus</w:t>
      </w:r>
      <w:proofErr w:type="spellEnd"/>
      <w:r w:rsidR="00F007F2" w:rsidRPr="00F007F2">
        <w:t xml:space="preserve">, levels of </w:t>
      </w:r>
      <w:proofErr w:type="spellStart"/>
      <w:r w:rsidR="00F007F2" w:rsidRPr="00F007F2">
        <w:t>simeprevir</w:t>
      </w:r>
      <w:proofErr w:type="spellEnd"/>
      <w:r w:rsidR="00F007F2" w:rsidRPr="00F007F2">
        <w:t xml:space="preserve"> or its metabolite were below the limit of detection.</w:t>
      </w:r>
      <w:r w:rsidR="00F007F2">
        <w:t xml:space="preserve">  </w:t>
      </w:r>
    </w:p>
    <w:p w:rsidR="003E2A1D" w:rsidRDefault="003E2A1D" w:rsidP="006652D0">
      <w:pPr>
        <w:rPr>
          <w:u w:val="single"/>
        </w:rPr>
      </w:pPr>
    </w:p>
    <w:p w:rsidR="00F561C7" w:rsidRPr="009F14FC" w:rsidRDefault="00F561C7" w:rsidP="00F561C7">
      <w:pPr>
        <w:pStyle w:val="Heading5"/>
      </w:pPr>
      <w:r w:rsidRPr="009F14FC">
        <w:t>Use in Lactation</w:t>
      </w:r>
    </w:p>
    <w:p w:rsidR="00F561C7" w:rsidRDefault="00F561C7" w:rsidP="00F561C7">
      <w:r w:rsidRPr="00AF6861">
        <w:t xml:space="preserve">Refer to the respective </w:t>
      </w:r>
      <w:r w:rsidR="0037285D">
        <w:t>product</w:t>
      </w:r>
      <w:r w:rsidRPr="00AF6861">
        <w:t xml:space="preserve"> information for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regarding breast</w:t>
      </w:r>
      <w:r w:rsidRPr="00AF6861">
        <w:noBreakHyphen/>
        <w:t>feeding.</w:t>
      </w:r>
    </w:p>
    <w:p w:rsidR="00F561C7" w:rsidRPr="00AF6861" w:rsidRDefault="00F561C7" w:rsidP="00F561C7"/>
    <w:p w:rsidR="00031445" w:rsidRPr="00AF6861" w:rsidRDefault="00F561C7" w:rsidP="00F561C7">
      <w:r w:rsidRPr="00AF6861">
        <w:lastRenderedPageBreak/>
        <w:t xml:space="preserve">It is not known whether </w:t>
      </w:r>
      <w:proofErr w:type="spellStart"/>
      <w:r w:rsidRPr="00AF6861">
        <w:t>simeprevir</w:t>
      </w:r>
      <w:proofErr w:type="spellEnd"/>
      <w:r w:rsidRPr="00AF6861">
        <w:t xml:space="preserve"> or its metabolites are excreted in human milk. When administered to lactating rats, </w:t>
      </w:r>
      <w:proofErr w:type="spellStart"/>
      <w:r w:rsidRPr="00AF6861">
        <w:t>simeprevir</w:t>
      </w:r>
      <w:proofErr w:type="spellEnd"/>
      <w:r w:rsidRPr="00AF6861">
        <w:t xml:space="preserve"> was detected in plasma of suckling rats likely due to excretion of </w:t>
      </w:r>
      <w:proofErr w:type="spellStart"/>
      <w:r w:rsidRPr="00AF6861">
        <w:t>simeprevir</w:t>
      </w:r>
      <w:proofErr w:type="spellEnd"/>
      <w:r w:rsidRPr="00AF6861">
        <w:t xml:space="preserve"> via milk. </w:t>
      </w:r>
      <w:r w:rsidRPr="009F14FC">
        <w:t>A risk to the newborn/infant cannot be excluded. A decision must be made whether to discontinue breast</w:t>
      </w:r>
      <w:r w:rsidRPr="009F14FC">
        <w:noBreakHyphen/>
        <w:t xml:space="preserve">feeding or to discontinue/abstain from </w:t>
      </w:r>
      <w:r w:rsidR="00194D66">
        <w:t>OLYSIO</w:t>
      </w:r>
      <w:r w:rsidRPr="009F14FC">
        <w:t xml:space="preserve"> therapy, taking into account the benefit of breast</w:t>
      </w:r>
      <w:r w:rsidRPr="009F14FC">
        <w:noBreakHyphen/>
        <w:t>feeding for the child and the benefit of therapy for the mother.</w:t>
      </w:r>
      <w:r w:rsidR="00031445">
        <w:t xml:space="preserve"> </w:t>
      </w:r>
    </w:p>
    <w:p w:rsidR="004C0569" w:rsidRDefault="004C0569" w:rsidP="00F561C7">
      <w:pPr>
        <w:pStyle w:val="Heading5"/>
        <w:rPr>
          <w:highlight w:val="yellow"/>
        </w:rPr>
      </w:pPr>
    </w:p>
    <w:p w:rsidR="00F561C7" w:rsidRPr="004C0569" w:rsidRDefault="004C0569" w:rsidP="00F561C7">
      <w:pPr>
        <w:pStyle w:val="Heading5"/>
        <w:rPr>
          <w:lang w:val="en-US"/>
        </w:rPr>
      </w:pPr>
      <w:r>
        <w:t>Paediatric Use</w:t>
      </w:r>
    </w:p>
    <w:p w:rsidR="004C0569" w:rsidRDefault="004C0569" w:rsidP="004C0569">
      <w:r w:rsidRPr="00AF6861">
        <w:t xml:space="preserve">The safety and efficacy of </w:t>
      </w:r>
      <w:r w:rsidR="00194D66">
        <w:t>OLYSIO</w:t>
      </w:r>
      <w:r w:rsidRPr="00AF6861">
        <w:t xml:space="preserve"> have not been established in </w:t>
      </w:r>
      <w:proofErr w:type="spellStart"/>
      <w:r w:rsidRPr="00AF6861">
        <w:t>pediatric</w:t>
      </w:r>
      <w:proofErr w:type="spellEnd"/>
      <w:r w:rsidRPr="00AF6861">
        <w:t xml:space="preserve"> patients</w:t>
      </w:r>
      <w:r>
        <w:t xml:space="preserve"> (below 18 years of age)</w:t>
      </w:r>
      <w:r w:rsidRPr="00AF6861">
        <w:t>.</w:t>
      </w:r>
    </w:p>
    <w:p w:rsidR="00F561C7" w:rsidRPr="003B0A62" w:rsidRDefault="00F561C7" w:rsidP="00F561C7">
      <w:pPr>
        <w:keepLines w:val="0"/>
        <w:autoSpaceDE w:val="0"/>
        <w:autoSpaceDN w:val="0"/>
        <w:adjustRightInd w:val="0"/>
        <w:rPr>
          <w:rFonts w:cs="Arial"/>
          <w:b/>
          <w:bCs/>
          <w:szCs w:val="22"/>
          <w:highlight w:val="yellow"/>
          <w:lang w:val="en-US"/>
        </w:rPr>
      </w:pPr>
    </w:p>
    <w:p w:rsidR="00F561C7" w:rsidRPr="004C0569" w:rsidRDefault="00F561C7" w:rsidP="00F561C7">
      <w:pPr>
        <w:pStyle w:val="Heading5"/>
      </w:pPr>
      <w:r w:rsidRPr="004C0569">
        <w:rPr>
          <w:lang w:val="en-US"/>
        </w:rPr>
        <w:t>Elderly</w:t>
      </w:r>
    </w:p>
    <w:p w:rsidR="004C0569" w:rsidRDefault="004C0569" w:rsidP="004C0569">
      <w:r w:rsidRPr="00BC77E2">
        <w:t xml:space="preserve">There are limited data on the safety and efficacy of </w:t>
      </w:r>
      <w:r w:rsidR="00194D66">
        <w:t>OLYSIO</w:t>
      </w:r>
      <w:r w:rsidRPr="00BC77E2">
        <w:t xml:space="preserve"> in patients older than 65 years. No dose adjustment of </w:t>
      </w:r>
      <w:r w:rsidR="00194D66">
        <w:t>OLYSIO</w:t>
      </w:r>
      <w:r w:rsidRPr="00BC77E2">
        <w:t xml:space="preserve"> is required in elderly patients </w:t>
      </w:r>
      <w:r w:rsidRPr="00AF6861">
        <w:t xml:space="preserve">(see </w:t>
      </w:r>
      <w:r w:rsidRPr="00AF6861">
        <w:rPr>
          <w:i/>
        </w:rPr>
        <w:t>Pharmacokinetic Properties</w:t>
      </w:r>
      <w:r w:rsidRPr="00AF6861">
        <w:t>).</w:t>
      </w:r>
    </w:p>
    <w:p w:rsidR="004C0569" w:rsidRDefault="004C0569" w:rsidP="00F561C7">
      <w:pPr>
        <w:pStyle w:val="PIEXPLAIN"/>
        <w:keepLines/>
        <w:tabs>
          <w:tab w:val="clear" w:pos="-720"/>
        </w:tabs>
        <w:suppressAutoHyphens w:val="0"/>
        <w:spacing w:before="0" w:after="0"/>
        <w:rPr>
          <w:spacing w:val="0"/>
        </w:rPr>
      </w:pPr>
    </w:p>
    <w:p w:rsidR="0067191E" w:rsidRPr="0067191E" w:rsidRDefault="0067191E" w:rsidP="0067191E">
      <w:pPr>
        <w:pStyle w:val="Heading5"/>
      </w:pPr>
      <w:proofErr w:type="spellStart"/>
      <w:r w:rsidRPr="0067191E">
        <w:t>Genotoxicity</w:t>
      </w:r>
      <w:proofErr w:type="spellEnd"/>
    </w:p>
    <w:p w:rsidR="00DD4F95" w:rsidRDefault="00DD4F95" w:rsidP="00F561C7">
      <w:pPr>
        <w:pStyle w:val="PIEXPLAIN"/>
        <w:keepLines/>
        <w:tabs>
          <w:tab w:val="clear" w:pos="-720"/>
        </w:tabs>
        <w:suppressAutoHyphens w:val="0"/>
        <w:spacing w:before="0" w:after="0"/>
      </w:pPr>
      <w:r w:rsidRPr="00DD4F95">
        <w:t xml:space="preserve">Ribavirin was </w:t>
      </w:r>
      <w:proofErr w:type="spellStart"/>
      <w:r w:rsidRPr="00DD4F95">
        <w:t>genotoxic</w:t>
      </w:r>
      <w:proofErr w:type="spellEnd"/>
      <w:r w:rsidRPr="00DD4F95">
        <w:t xml:space="preserve"> in in vitro and in vivo assays. </w:t>
      </w:r>
      <w:r>
        <w:t xml:space="preserve"> </w:t>
      </w:r>
      <w:r w:rsidRPr="00DD4F95">
        <w:t>See the product information for ribavirin.</w:t>
      </w:r>
      <w:r>
        <w:t xml:space="preserve">  </w:t>
      </w:r>
    </w:p>
    <w:p w:rsidR="0067191E" w:rsidRDefault="0067191E" w:rsidP="00F561C7">
      <w:pPr>
        <w:pStyle w:val="PIEXPLAIN"/>
        <w:keepLines/>
        <w:tabs>
          <w:tab w:val="clear" w:pos="-720"/>
        </w:tabs>
        <w:suppressAutoHyphens w:val="0"/>
        <w:spacing w:before="0" w:after="0"/>
        <w:rPr>
          <w:spacing w:val="0"/>
        </w:rPr>
      </w:pPr>
      <w:proofErr w:type="spellStart"/>
      <w:r w:rsidRPr="000E7461">
        <w:t>Simeprevir</w:t>
      </w:r>
      <w:proofErr w:type="spellEnd"/>
      <w:r w:rsidRPr="000E7461">
        <w:t xml:space="preserve"> was not </w:t>
      </w:r>
      <w:proofErr w:type="spellStart"/>
      <w:r w:rsidRPr="000E7461">
        <w:t>genotoxic</w:t>
      </w:r>
      <w:proofErr w:type="spellEnd"/>
      <w:r w:rsidRPr="000E7461">
        <w:t xml:space="preserve"> in a series of </w:t>
      </w:r>
      <w:r w:rsidRPr="000E7461">
        <w:rPr>
          <w:i/>
        </w:rPr>
        <w:t>in vitro</w:t>
      </w:r>
      <w:r w:rsidRPr="000E7461">
        <w:t xml:space="preserve"> and </w:t>
      </w:r>
      <w:r w:rsidRPr="000E7461">
        <w:rPr>
          <w:i/>
        </w:rPr>
        <w:t>in vivo</w:t>
      </w:r>
      <w:r w:rsidRPr="000E7461">
        <w:t xml:space="preserve"> tests.</w:t>
      </w:r>
      <w:r w:rsidR="00DD4F95">
        <w:t xml:space="preserve">  </w:t>
      </w:r>
    </w:p>
    <w:p w:rsidR="004C0569" w:rsidRDefault="004C0569" w:rsidP="004C0569">
      <w:pPr>
        <w:pStyle w:val="Heading5"/>
      </w:pPr>
    </w:p>
    <w:p w:rsidR="0067191E" w:rsidRPr="009B679C" w:rsidRDefault="0067191E" w:rsidP="004C0569">
      <w:pPr>
        <w:pStyle w:val="Heading5"/>
      </w:pPr>
      <w:r>
        <w:t>Carcinogenicity</w:t>
      </w:r>
    </w:p>
    <w:p w:rsidR="006F6F00" w:rsidRDefault="006F6F00" w:rsidP="006652D0">
      <w:r w:rsidRPr="006F6F00">
        <w:t xml:space="preserve">Ribavirin was not </w:t>
      </w:r>
      <w:proofErr w:type="spellStart"/>
      <w:r w:rsidRPr="006F6F00">
        <w:t>tumourigenic</w:t>
      </w:r>
      <w:proofErr w:type="spellEnd"/>
      <w:r w:rsidRPr="006F6F00">
        <w:t xml:space="preserve"> in a 6-month p53+/- transgenic mouse study or a 2-year carcinogenicity study in rats. </w:t>
      </w:r>
      <w:r>
        <w:t xml:space="preserve"> </w:t>
      </w:r>
      <w:r w:rsidRPr="006F6F00">
        <w:t>See the product information for ribavirin.</w:t>
      </w:r>
      <w:r>
        <w:t xml:space="preserve">  </w:t>
      </w:r>
    </w:p>
    <w:p w:rsidR="00F561C7" w:rsidRDefault="0067191E" w:rsidP="006652D0">
      <w:r w:rsidRPr="000E7461">
        <w:t xml:space="preserve">Carcinogenicity studies with </w:t>
      </w:r>
      <w:proofErr w:type="spellStart"/>
      <w:r w:rsidRPr="000E7461">
        <w:t>simeprevir</w:t>
      </w:r>
      <w:proofErr w:type="spellEnd"/>
      <w:r w:rsidRPr="000E7461">
        <w:t xml:space="preserve"> have not been conducted.</w:t>
      </w:r>
    </w:p>
    <w:p w:rsidR="00DE2DDD" w:rsidRDefault="00DE2DDD" w:rsidP="00D813B8"/>
    <w:p w:rsidR="00D813B8" w:rsidRPr="00DE2DDD" w:rsidRDefault="00D813B8" w:rsidP="00D813B8">
      <w:pPr>
        <w:rPr>
          <w:u w:val="single"/>
        </w:rPr>
      </w:pPr>
      <w:r w:rsidRPr="00DE2DDD">
        <w:rPr>
          <w:u w:val="single"/>
        </w:rPr>
        <w:t xml:space="preserve">Photosensitivity </w:t>
      </w:r>
    </w:p>
    <w:p w:rsidR="00D813B8" w:rsidRDefault="00D813B8" w:rsidP="00D813B8">
      <w:r>
        <w:t xml:space="preserve">Photosensitivity reactions (which were mostly mild or moderate) have been observed with OLYSIO in combination with </w:t>
      </w:r>
      <w:proofErr w:type="spellStart"/>
      <w:r>
        <w:t>peginterferon</w:t>
      </w:r>
      <w:proofErr w:type="spellEnd"/>
      <w:r>
        <w:t xml:space="preserve"> </w:t>
      </w:r>
      <w:proofErr w:type="spellStart"/>
      <w:r>
        <w:t>alfa</w:t>
      </w:r>
      <w:proofErr w:type="spellEnd"/>
      <w:r>
        <w:t xml:space="preserve"> and ribavirin (see Adverse Effects).</w:t>
      </w:r>
      <w:r w:rsidR="00DE2DDD">
        <w:t xml:space="preserve">  </w:t>
      </w:r>
    </w:p>
    <w:p w:rsidR="00D813B8" w:rsidRDefault="00D813B8" w:rsidP="00D813B8"/>
    <w:p w:rsidR="007B7613" w:rsidRPr="004C0569" w:rsidRDefault="00D813B8" w:rsidP="00D813B8">
      <w:r>
        <w:t xml:space="preserve">Use appropriate sun protective measures during treatment with OLYSIO. </w:t>
      </w:r>
      <w:r w:rsidR="00DE2DDD">
        <w:t xml:space="preserve"> </w:t>
      </w:r>
      <w:r>
        <w:t>Avoid excess exposure to sun and use of tanning devices during treatment with OLYSIO.</w:t>
      </w:r>
      <w:r w:rsidR="00DE2DDD">
        <w:t xml:space="preserve">  </w:t>
      </w:r>
    </w:p>
    <w:p w:rsidR="003E2A1D" w:rsidRPr="00AF6861" w:rsidRDefault="003E2A1D" w:rsidP="003E2A1D">
      <w:pPr>
        <w:pStyle w:val="Heading3"/>
      </w:pPr>
      <w:r w:rsidRPr="00AF6861">
        <w:t>Laboratory testing</w:t>
      </w:r>
    </w:p>
    <w:p w:rsidR="003E2A1D" w:rsidRDefault="003E2A1D" w:rsidP="003E2A1D">
      <w:r w:rsidRPr="00DE3BB3">
        <w:t>HCV RNA levels should be monitored at Weeks 4 and 12 and as clinically indicated (see also guidelines for treatment duration and stopping rules;</w:t>
      </w:r>
      <w:r w:rsidRPr="00AF6861">
        <w:t xml:space="preserve"> </w:t>
      </w:r>
      <w:r w:rsidRPr="00AF6861">
        <w:rPr>
          <w:i/>
        </w:rPr>
        <w:t>Dosage and Administration</w:t>
      </w:r>
      <w:r w:rsidR="00602485">
        <w:t>). Use of a</w:t>
      </w:r>
      <w:r w:rsidRPr="00AF6861">
        <w:t xml:space="preserve"> quantitative HCV RNA assay for monitoring HCV RNA levels during treatment is recommended.</w:t>
      </w:r>
    </w:p>
    <w:p w:rsidR="003E2A1D" w:rsidRPr="00AF6861" w:rsidRDefault="003E2A1D" w:rsidP="003E2A1D"/>
    <w:p w:rsidR="003E2A1D" w:rsidRDefault="003E2A1D" w:rsidP="003E2A1D">
      <w:r w:rsidRPr="00AF6861">
        <w:t xml:space="preserve">Refer to the </w:t>
      </w:r>
      <w:r w:rsidR="0037285D">
        <w:t>product</w:t>
      </w:r>
      <w:r w:rsidRPr="00AF6861">
        <w:t xml:space="preserve"> information of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for baseline, on</w:t>
      </w:r>
      <w:r w:rsidRPr="00AF6861">
        <w:noBreakHyphen/>
        <w:t>treatment and post</w:t>
      </w:r>
      <w:r w:rsidRPr="00AF6861">
        <w:noBreakHyphen/>
        <w:t xml:space="preserve">treatment laboratory testing requirements including haematology, biochemistry (including hepatic enzymes and bilirubin), and </w:t>
      </w:r>
      <w:r w:rsidRPr="003E2A1D">
        <w:t>pregnancy testing requirements</w:t>
      </w:r>
      <w:r w:rsidRPr="00AF6861">
        <w:t>.</w:t>
      </w:r>
    </w:p>
    <w:p w:rsidR="003E2A1D" w:rsidRPr="00AF6861" w:rsidRDefault="003E2A1D" w:rsidP="003E2A1D"/>
    <w:p w:rsidR="003E2A1D" w:rsidRPr="00AF6861" w:rsidRDefault="003E2A1D" w:rsidP="003E2A1D">
      <w:pPr>
        <w:pStyle w:val="Heading3"/>
      </w:pPr>
      <w:r w:rsidRPr="00AF6861">
        <w:t>Use in patients who have failed previous therapy with direct</w:t>
      </w:r>
      <w:r w:rsidRPr="00AF6861">
        <w:noBreakHyphen/>
        <w:t>acting antivirals against HCV</w:t>
      </w:r>
    </w:p>
    <w:p w:rsidR="003E2A1D" w:rsidRPr="00AF6861" w:rsidRDefault="003E2A1D" w:rsidP="003E2A1D">
      <w:r w:rsidRPr="00AF6861">
        <w:t xml:space="preserve">The safety and efficacy of </w:t>
      </w:r>
      <w:r w:rsidR="00194D66">
        <w:t>OLYSIO</w:t>
      </w:r>
      <w:r w:rsidRPr="00AF6861">
        <w:t xml:space="preserve"> have not been studied in patients who have failed previous therapy with </w:t>
      </w:r>
      <w:r w:rsidR="00194D66">
        <w:t>OLYSIO</w:t>
      </w:r>
      <w:r w:rsidRPr="00AF6861">
        <w:t xml:space="preserve"> or other direct</w:t>
      </w:r>
      <w:r w:rsidRPr="00AF6861">
        <w:noBreakHyphen/>
        <w:t>acting antivirals against HCV.</w:t>
      </w:r>
    </w:p>
    <w:p w:rsidR="003E2A1D" w:rsidRDefault="003E2A1D" w:rsidP="006652D0">
      <w:pPr>
        <w:rPr>
          <w:u w:val="single"/>
        </w:rPr>
      </w:pPr>
    </w:p>
    <w:p w:rsidR="003E2A1D" w:rsidRPr="001E26A7" w:rsidRDefault="003E2A1D" w:rsidP="003E2A1D">
      <w:pPr>
        <w:pStyle w:val="Heading3"/>
      </w:pPr>
      <w:r w:rsidRPr="001E26A7">
        <w:t>Use in patients with other HCV genotypes</w:t>
      </w:r>
    </w:p>
    <w:p w:rsidR="003E2A1D" w:rsidRDefault="003E2A1D" w:rsidP="003E2A1D">
      <w:r w:rsidRPr="00A82DAA">
        <w:t xml:space="preserve">Clinical data are insufficient to support the use of </w:t>
      </w:r>
      <w:r w:rsidR="00194D66">
        <w:t>OLYSIO</w:t>
      </w:r>
      <w:r w:rsidRPr="00A82DAA">
        <w:t xml:space="preserve"> in patients with HCV genotypes 2, 3, 5 or 6.</w:t>
      </w:r>
    </w:p>
    <w:p w:rsidR="003E2A1D" w:rsidRPr="00AF6861" w:rsidRDefault="003E2A1D" w:rsidP="003E2A1D"/>
    <w:p w:rsidR="003E2A1D" w:rsidRPr="00AF6861" w:rsidRDefault="003E2A1D" w:rsidP="003E2A1D">
      <w:pPr>
        <w:pStyle w:val="Heading3"/>
      </w:pPr>
      <w:r w:rsidRPr="00AF6861">
        <w:t>Interactions with medicinal products</w:t>
      </w:r>
    </w:p>
    <w:p w:rsidR="003E2A1D" w:rsidRDefault="003E2A1D" w:rsidP="003E2A1D">
      <w:r w:rsidRPr="003E2A1D">
        <w:t>Co</w:t>
      </w:r>
      <w:r w:rsidRPr="003E2A1D">
        <w:noBreakHyphen/>
        <w:t xml:space="preserve">administration of </w:t>
      </w:r>
      <w:r w:rsidR="00194D66">
        <w:t>OLYSIO</w:t>
      </w:r>
      <w:r w:rsidRPr="003E2A1D">
        <w:t xml:space="preserve"> with substances that </w:t>
      </w:r>
      <w:r w:rsidR="00491394" w:rsidRPr="00491394">
        <w:t>moderate</w:t>
      </w:r>
      <w:r w:rsidR="00491394">
        <w:t>ly</w:t>
      </w:r>
      <w:r w:rsidR="00491394" w:rsidRPr="00491394">
        <w:t xml:space="preserve"> or </w:t>
      </w:r>
      <w:r w:rsidRPr="003E2A1D">
        <w:t>strongly induce or inhibit cytochrome</w:t>
      </w:r>
      <w:r w:rsidRPr="00BC77E2">
        <w:rPr>
          <w:shd w:val="clear" w:color="auto" w:fill="B6DDE8"/>
        </w:rPr>
        <w:t xml:space="preserve"> </w:t>
      </w:r>
      <w:r w:rsidRPr="003E2A1D">
        <w:t xml:space="preserve">P450 3A (CYP3A) is not recommended as this may lead to significantly lower or higher exposure of </w:t>
      </w:r>
      <w:proofErr w:type="spellStart"/>
      <w:r w:rsidRPr="003E2A1D">
        <w:t>simeprevir</w:t>
      </w:r>
      <w:proofErr w:type="spellEnd"/>
      <w:r w:rsidRPr="003E2A1D">
        <w:t>, respectively.</w:t>
      </w:r>
    </w:p>
    <w:p w:rsidR="003E2A1D" w:rsidRPr="00AF6861" w:rsidRDefault="003E2A1D" w:rsidP="003E2A1D"/>
    <w:p w:rsidR="003E2A1D" w:rsidRPr="001C6A82" w:rsidRDefault="003E2A1D" w:rsidP="006652D0">
      <w:r w:rsidRPr="00AF6861">
        <w:t xml:space="preserve">For information on interactions with medicinal products, see </w:t>
      </w:r>
      <w:r w:rsidRPr="00AF6861">
        <w:rPr>
          <w:i/>
        </w:rPr>
        <w:t>Interactions</w:t>
      </w:r>
      <w:r w:rsidR="002378EC">
        <w:rPr>
          <w:i/>
        </w:rPr>
        <w:t xml:space="preserve"> with other medicines</w:t>
      </w:r>
      <w:r w:rsidRPr="00AF6861">
        <w:t>.</w:t>
      </w:r>
    </w:p>
    <w:p w:rsidR="00CC2FB0" w:rsidRPr="00AF6861" w:rsidRDefault="00CC2FB0" w:rsidP="00CC2FB0">
      <w:pPr>
        <w:pStyle w:val="Heading3"/>
      </w:pPr>
      <w:r w:rsidRPr="00AF6861">
        <w:lastRenderedPageBreak/>
        <w:t>Hepatitis B Virus (HBV) co</w:t>
      </w:r>
      <w:r w:rsidRPr="00AF6861">
        <w:noBreakHyphen/>
        <w:t>infection</w:t>
      </w:r>
    </w:p>
    <w:p w:rsidR="00CC2FB0" w:rsidRDefault="00CC2FB0" w:rsidP="00CC2FB0">
      <w:r w:rsidRPr="00AF6861">
        <w:t xml:space="preserve">The safety and efficacy of </w:t>
      </w:r>
      <w:r w:rsidR="00194D66">
        <w:t>OLYSIO</w:t>
      </w:r>
      <w:r w:rsidRPr="00AF6861">
        <w:t xml:space="preserve"> alone or in combination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for the treatment of </w:t>
      </w:r>
      <w:r w:rsidRPr="00A82DAA">
        <w:t>HCV infection</w:t>
      </w:r>
      <w:r w:rsidRPr="00AF6861">
        <w:t xml:space="preserve"> in </w:t>
      </w:r>
      <w:proofErr w:type="gramStart"/>
      <w:r w:rsidRPr="00AF6861">
        <w:t>patients</w:t>
      </w:r>
      <w:proofErr w:type="gramEnd"/>
      <w:r w:rsidRPr="00AF6861">
        <w:t xml:space="preserve"> co</w:t>
      </w:r>
      <w:r w:rsidRPr="00AF6861">
        <w:noBreakHyphen/>
        <w:t>infected with HBV have not been studied.</w:t>
      </w:r>
    </w:p>
    <w:p w:rsidR="00CC2FB0" w:rsidRPr="00AF6861" w:rsidRDefault="00CC2FB0" w:rsidP="00CC2FB0"/>
    <w:p w:rsidR="00CC2FB0" w:rsidRPr="00AF6861" w:rsidRDefault="00CC2FB0" w:rsidP="00CC2FB0">
      <w:pPr>
        <w:pStyle w:val="Heading3"/>
      </w:pPr>
      <w:r w:rsidRPr="00AF6861">
        <w:t>Organ transplantation</w:t>
      </w:r>
    </w:p>
    <w:p w:rsidR="00CC2FB0" w:rsidRPr="00AF6861" w:rsidRDefault="00CC2FB0" w:rsidP="00CC2FB0">
      <w:r w:rsidRPr="00AF6861">
        <w:t xml:space="preserve">The safety and efficacy of </w:t>
      </w:r>
      <w:r w:rsidR="00194D66">
        <w:t>OLYSIO</w:t>
      </w:r>
      <w:r w:rsidRPr="00AF6861">
        <w:t xml:space="preserve"> </w:t>
      </w:r>
      <w:r w:rsidRPr="00A82DAA">
        <w:t xml:space="preserve">alone or in combination with </w:t>
      </w:r>
      <w:proofErr w:type="spellStart"/>
      <w:r w:rsidRPr="00A82DAA">
        <w:t>peginterferon</w:t>
      </w:r>
      <w:proofErr w:type="spellEnd"/>
      <w:r w:rsidRPr="00A82DAA">
        <w:t xml:space="preserve"> </w:t>
      </w:r>
      <w:proofErr w:type="spellStart"/>
      <w:r w:rsidRPr="00A82DAA">
        <w:t>alfa</w:t>
      </w:r>
      <w:proofErr w:type="spellEnd"/>
      <w:r w:rsidRPr="00A82DAA">
        <w:t xml:space="preserve"> and ribavirin</w:t>
      </w:r>
      <w:r>
        <w:t xml:space="preserve"> </w:t>
      </w:r>
      <w:r w:rsidRPr="00AF6861">
        <w:t>have not been studied in organ transplant patients.</w:t>
      </w:r>
    </w:p>
    <w:p w:rsidR="003B1C60" w:rsidRDefault="003B1C60" w:rsidP="009F3479">
      <w:pPr>
        <w:autoSpaceDE w:val="0"/>
        <w:autoSpaceDN w:val="0"/>
        <w:adjustRightInd w:val="0"/>
        <w:rPr>
          <w:szCs w:val="22"/>
          <w:lang w:val="en-US"/>
        </w:rPr>
      </w:pPr>
    </w:p>
    <w:p w:rsidR="00B31C0A" w:rsidRPr="00CE7C05" w:rsidRDefault="00910E4D" w:rsidP="008858DC">
      <w:pPr>
        <w:pStyle w:val="PIHEADING2"/>
        <w:rPr>
          <w:rFonts w:ascii="Arial Bold" w:hAnsi="Arial Bold"/>
          <w:caps/>
        </w:rPr>
      </w:pPr>
      <w:r w:rsidRPr="00910E4D">
        <w:rPr>
          <w:rFonts w:ascii="Arial Bold" w:hAnsi="Arial Bold"/>
          <w:caps/>
        </w:rPr>
        <w:t>Interactions with Other Medicines</w:t>
      </w:r>
    </w:p>
    <w:p w:rsidR="00A25FD3" w:rsidRPr="00AF6861" w:rsidRDefault="00A25FD3" w:rsidP="00A25FD3">
      <w:pPr>
        <w:pStyle w:val="Heading3"/>
      </w:pPr>
      <w:r w:rsidRPr="00AF6861">
        <w:rPr>
          <w:i/>
        </w:rPr>
        <w:t>In vitro</w:t>
      </w:r>
      <w:r w:rsidRPr="00AF6861">
        <w:t xml:space="preserve"> assessment of interactions</w:t>
      </w:r>
    </w:p>
    <w:p w:rsidR="00A25FD3" w:rsidRDefault="00A25FD3" w:rsidP="00A25FD3">
      <w:r w:rsidRPr="00A25FD3">
        <w:t xml:space="preserve">The primary enzyme involved in the biotransformation of </w:t>
      </w:r>
      <w:proofErr w:type="spellStart"/>
      <w:r w:rsidRPr="00A25FD3">
        <w:t>simeprevir</w:t>
      </w:r>
      <w:proofErr w:type="spellEnd"/>
      <w:r w:rsidRPr="00A25FD3">
        <w:t xml:space="preserve"> is CYP3A</w:t>
      </w:r>
      <w:r w:rsidRPr="00AF6861">
        <w:t xml:space="preserve"> (see </w:t>
      </w:r>
      <w:r w:rsidRPr="00AF6861">
        <w:rPr>
          <w:i/>
        </w:rPr>
        <w:t>Ph</w:t>
      </w:r>
      <w:r w:rsidR="001A653B">
        <w:rPr>
          <w:i/>
        </w:rPr>
        <w:t>armacokinetic</w:t>
      </w:r>
      <w:r w:rsidRPr="00AF6861">
        <w:rPr>
          <w:i/>
        </w:rPr>
        <w:t>s</w:t>
      </w:r>
      <w:r w:rsidRPr="00AF6861">
        <w:t xml:space="preserve">) </w:t>
      </w:r>
      <w:r w:rsidRPr="00A25FD3">
        <w:t xml:space="preserve">and clinically relevant effects of other medicinal products on the pharmacokinetics of </w:t>
      </w:r>
      <w:proofErr w:type="spellStart"/>
      <w:r w:rsidRPr="00A25FD3">
        <w:t>simeprevir</w:t>
      </w:r>
      <w:proofErr w:type="spellEnd"/>
      <w:r w:rsidRPr="00A25FD3">
        <w:t xml:space="preserve"> via CYP3A may occur</w:t>
      </w:r>
      <w:r w:rsidRPr="00AF6861">
        <w:t>.</w:t>
      </w:r>
    </w:p>
    <w:p w:rsidR="00A25FD3" w:rsidRPr="00AF6861" w:rsidRDefault="00A25FD3" w:rsidP="00A25FD3"/>
    <w:p w:rsidR="00A25FD3" w:rsidRDefault="00A25FD3" w:rsidP="00A25FD3">
      <w:proofErr w:type="spellStart"/>
      <w:r w:rsidRPr="00AF6861">
        <w:t>Simeprevir</w:t>
      </w:r>
      <w:proofErr w:type="spellEnd"/>
      <w:r w:rsidRPr="00AF6861">
        <w:t xml:space="preserve"> does not induce CYP1A2 or CYP3A4 in human hepatocytes. </w:t>
      </w:r>
      <w:r w:rsidRPr="00AF6861">
        <w:rPr>
          <w:i/>
        </w:rPr>
        <w:t>In vitro</w:t>
      </w:r>
      <w:r w:rsidRPr="00AF6861">
        <w:t xml:space="preserve"> studies show that </w:t>
      </w:r>
      <w:proofErr w:type="spellStart"/>
      <w:r w:rsidRPr="00AF6861">
        <w:t>simeprevir</w:t>
      </w:r>
      <w:proofErr w:type="spellEnd"/>
      <w:r w:rsidRPr="00AF6861">
        <w:t xml:space="preserve"> is a moderate inhibitor of CYP2A6, CYP2C8 and CYP2D6 (IC</w:t>
      </w:r>
      <w:r w:rsidRPr="00AF6861">
        <w:rPr>
          <w:vertAlign w:val="subscript"/>
        </w:rPr>
        <w:t>50</w:t>
      </w:r>
      <w:r w:rsidRPr="00AF6861">
        <w:t> values &gt; 32 µg/mL) and a mild inhibitor of CYP2C19 and CYP3A (IC</w:t>
      </w:r>
      <w:r w:rsidRPr="00AF6861">
        <w:rPr>
          <w:vertAlign w:val="subscript"/>
        </w:rPr>
        <w:t>50</w:t>
      </w:r>
      <w:r w:rsidRPr="00AF6861">
        <w:t xml:space="preserve"> values &gt; 64 µg/mL). </w:t>
      </w:r>
      <w:proofErr w:type="spellStart"/>
      <w:r w:rsidRPr="00AF6861">
        <w:t>Simeprevir</w:t>
      </w:r>
      <w:proofErr w:type="spellEnd"/>
      <w:r w:rsidRPr="00AF6861">
        <w:t xml:space="preserve"> is not a clinically relevant inhibitor of </w:t>
      </w:r>
      <w:proofErr w:type="spellStart"/>
      <w:r w:rsidRPr="00AF6861">
        <w:t>cathepsin</w:t>
      </w:r>
      <w:proofErr w:type="spellEnd"/>
      <w:r w:rsidRPr="00AF6861">
        <w:t xml:space="preserve"> </w:t>
      </w:r>
      <w:proofErr w:type="spellStart"/>
      <w:proofErr w:type="gramStart"/>
      <w:r w:rsidRPr="00AF6861">
        <w:t>A</w:t>
      </w:r>
      <w:proofErr w:type="spellEnd"/>
      <w:proofErr w:type="gramEnd"/>
      <w:r w:rsidRPr="00AF6861">
        <w:t xml:space="preserve"> enzyme activity (IC</w:t>
      </w:r>
      <w:r w:rsidRPr="00AF6861">
        <w:rPr>
          <w:vertAlign w:val="subscript"/>
        </w:rPr>
        <w:t>50</w:t>
      </w:r>
      <w:r w:rsidRPr="00AF6861">
        <w:t> &gt; 37 µg/mL).</w:t>
      </w:r>
    </w:p>
    <w:p w:rsidR="00A25FD3" w:rsidRPr="00AF6861" w:rsidRDefault="00A25FD3" w:rsidP="00A25FD3"/>
    <w:p w:rsidR="00A25FD3" w:rsidRPr="00AF6861" w:rsidRDefault="00A25FD3" w:rsidP="00A25FD3">
      <w:r w:rsidRPr="00AF6861">
        <w:rPr>
          <w:i/>
          <w:lang w:eastAsia="en-IE"/>
        </w:rPr>
        <w:t>In vitro</w:t>
      </w:r>
      <w:r w:rsidRPr="00AF6861">
        <w:rPr>
          <w:lang w:eastAsia="en-IE"/>
        </w:rPr>
        <w:t xml:space="preserve"> experiments show </w:t>
      </w:r>
      <w:r w:rsidRPr="00A25FD3">
        <w:rPr>
          <w:lang w:eastAsia="en-IE"/>
        </w:rPr>
        <w:t xml:space="preserve">that </w:t>
      </w:r>
      <w:proofErr w:type="spellStart"/>
      <w:r w:rsidRPr="00A25FD3">
        <w:rPr>
          <w:lang w:eastAsia="en-IE"/>
        </w:rPr>
        <w:t>simeprevir</w:t>
      </w:r>
      <w:proofErr w:type="spellEnd"/>
      <w:r w:rsidRPr="00A25FD3">
        <w:rPr>
          <w:lang w:eastAsia="en-IE"/>
        </w:rPr>
        <w:t xml:space="preserve"> is a substrate for the drug transporters P</w:t>
      </w:r>
      <w:r w:rsidRPr="00A25FD3">
        <w:rPr>
          <w:lang w:eastAsia="en-IE"/>
        </w:rPr>
        <w:noBreakHyphen/>
        <w:t>glycoprotein (P</w:t>
      </w:r>
      <w:r w:rsidRPr="00A25FD3">
        <w:rPr>
          <w:lang w:eastAsia="en-IE"/>
        </w:rPr>
        <w:noBreakHyphen/>
      </w:r>
      <w:proofErr w:type="spellStart"/>
      <w:r w:rsidRPr="00A25FD3">
        <w:rPr>
          <w:lang w:eastAsia="en-IE"/>
        </w:rPr>
        <w:t>gp</w:t>
      </w:r>
      <w:proofErr w:type="spellEnd"/>
      <w:r w:rsidRPr="00A25FD3">
        <w:rPr>
          <w:lang w:eastAsia="en-IE"/>
        </w:rPr>
        <w:t>), MRP2, BCRP, OATP1B1, OATP2B1 and OATP1B3</w:t>
      </w:r>
      <w:r>
        <w:rPr>
          <w:lang w:eastAsia="en-IE"/>
        </w:rPr>
        <w:t xml:space="preserve">. </w:t>
      </w:r>
      <w:proofErr w:type="spellStart"/>
      <w:r w:rsidRPr="00A25FD3">
        <w:rPr>
          <w:lang w:eastAsia="en-IE"/>
        </w:rPr>
        <w:t>Simeprevir</w:t>
      </w:r>
      <w:proofErr w:type="spellEnd"/>
      <w:r w:rsidRPr="00A25FD3">
        <w:rPr>
          <w:lang w:eastAsia="en-IE"/>
        </w:rPr>
        <w:t xml:space="preserve"> inhibits </w:t>
      </w:r>
      <w:r w:rsidRPr="00A82DAA">
        <w:rPr>
          <w:lang w:eastAsia="en-IE"/>
        </w:rPr>
        <w:t xml:space="preserve">the uptake transporters </w:t>
      </w:r>
      <w:r w:rsidRPr="00A25FD3">
        <w:rPr>
          <w:lang w:eastAsia="en-IE"/>
        </w:rPr>
        <w:t>OATP1B1 and NTCP and the efflux transporters P</w:t>
      </w:r>
      <w:r w:rsidRPr="00A25FD3">
        <w:rPr>
          <w:lang w:eastAsia="en-IE"/>
        </w:rPr>
        <w:noBreakHyphen/>
      </w:r>
      <w:proofErr w:type="spellStart"/>
      <w:r w:rsidRPr="00A25FD3">
        <w:rPr>
          <w:lang w:eastAsia="en-IE"/>
        </w:rPr>
        <w:t>gp</w:t>
      </w:r>
      <w:proofErr w:type="spellEnd"/>
      <w:r w:rsidRPr="00A82DAA">
        <w:rPr>
          <w:lang w:eastAsia="en-IE"/>
        </w:rPr>
        <w:t>/MDR1, MRP2 and BSEP.</w:t>
      </w:r>
      <w:r w:rsidRPr="00AF6861">
        <w:t xml:space="preserve"> </w:t>
      </w:r>
      <w:r w:rsidRPr="00AF6861">
        <w:rPr>
          <w:lang w:eastAsia="en-IE"/>
        </w:rPr>
        <w:t>OATP1B1 and MRP2 are involved in the transport of bilirubin into and out of hepatocytes.</w:t>
      </w:r>
    </w:p>
    <w:p w:rsidR="003B09E3" w:rsidRDefault="003B09E3" w:rsidP="009F3479"/>
    <w:p w:rsidR="00A25FD3" w:rsidRPr="00AF6861" w:rsidRDefault="00A25FD3" w:rsidP="00A25FD3">
      <w:pPr>
        <w:pStyle w:val="Heading3"/>
      </w:pPr>
      <w:r w:rsidRPr="00AF6861">
        <w:rPr>
          <w:i/>
        </w:rPr>
        <w:t>In vivo</w:t>
      </w:r>
      <w:r w:rsidRPr="00AF6861">
        <w:t xml:space="preserve"> assessment of interactions</w:t>
      </w:r>
    </w:p>
    <w:p w:rsidR="00A25FD3" w:rsidRDefault="00A25FD3" w:rsidP="007C21BD">
      <w:r w:rsidRPr="00AF6861">
        <w:t xml:space="preserve">Specific drug interaction studies were conducted to investigate the effects of inhibitors or inducers of CYP enzymes on the pharmacokinetics of </w:t>
      </w:r>
      <w:proofErr w:type="spellStart"/>
      <w:r w:rsidRPr="00AF6861">
        <w:t>simeprevir</w:t>
      </w:r>
      <w:proofErr w:type="spellEnd"/>
      <w:r w:rsidRPr="00AF6861">
        <w:t xml:space="preserve">. </w:t>
      </w:r>
      <w:r w:rsidRPr="00A25FD3">
        <w:t>Co</w:t>
      </w:r>
      <w:r w:rsidRPr="00A25FD3">
        <w:noBreakHyphen/>
        <w:t xml:space="preserve">administration of </w:t>
      </w:r>
      <w:r w:rsidR="00194D66">
        <w:t>OLYSIO</w:t>
      </w:r>
      <w:r w:rsidRPr="00A25FD3">
        <w:t xml:space="preserve"> with </w:t>
      </w:r>
      <w:r w:rsidR="00DD741A" w:rsidRPr="00DD741A">
        <w:t xml:space="preserve">moderate or </w:t>
      </w:r>
      <w:r w:rsidRPr="00A25FD3">
        <w:t xml:space="preserve">strong inhibitors of CYP3A may significantly increase the plasma exposure of </w:t>
      </w:r>
      <w:proofErr w:type="spellStart"/>
      <w:proofErr w:type="gramStart"/>
      <w:r w:rsidRPr="00A25FD3">
        <w:t>simeprevir</w:t>
      </w:r>
      <w:proofErr w:type="spellEnd"/>
      <w:r w:rsidRPr="00A25FD3">
        <w:t>,</w:t>
      </w:r>
      <w:proofErr w:type="gramEnd"/>
      <w:r w:rsidRPr="00A25FD3">
        <w:t xml:space="preserve"> while co</w:t>
      </w:r>
      <w:r w:rsidRPr="00A25FD3">
        <w:noBreakHyphen/>
        <w:t xml:space="preserve">administration with </w:t>
      </w:r>
      <w:r w:rsidR="00DD741A" w:rsidRPr="00DD741A">
        <w:t xml:space="preserve">moderate or </w:t>
      </w:r>
      <w:r w:rsidRPr="00A25FD3">
        <w:t xml:space="preserve">strong inducers of CYP3A may significantly reduce the plasma exposure of </w:t>
      </w:r>
      <w:proofErr w:type="spellStart"/>
      <w:r w:rsidRPr="00A25FD3">
        <w:t>simeprevir</w:t>
      </w:r>
      <w:proofErr w:type="spellEnd"/>
      <w:r w:rsidRPr="00A25FD3">
        <w:t xml:space="preserve"> and lead to loss of efficacy </w:t>
      </w:r>
      <w:r w:rsidR="004D58F3">
        <w:t>(see Table </w:t>
      </w:r>
      <w:r w:rsidR="00F86D96">
        <w:t>14</w:t>
      </w:r>
      <w:r w:rsidRPr="00AF6861">
        <w:t xml:space="preserve">). </w:t>
      </w:r>
      <w:r w:rsidRPr="00A25FD3">
        <w:t>Therefore, co</w:t>
      </w:r>
      <w:r w:rsidRPr="00A25FD3">
        <w:noBreakHyphen/>
        <w:t xml:space="preserve">administration of </w:t>
      </w:r>
      <w:r w:rsidR="00194D66">
        <w:t>OLYSIO</w:t>
      </w:r>
      <w:r w:rsidRPr="00A25FD3">
        <w:t xml:space="preserve"> with substances that </w:t>
      </w:r>
      <w:r w:rsidR="00DD741A" w:rsidRPr="00DD741A">
        <w:t>moderate</w:t>
      </w:r>
      <w:r w:rsidR="00DD741A">
        <w:t>ly</w:t>
      </w:r>
      <w:r w:rsidR="00DD741A" w:rsidRPr="00DD741A">
        <w:t xml:space="preserve"> or </w:t>
      </w:r>
      <w:r w:rsidRPr="00A25FD3">
        <w:t xml:space="preserve">strongly inhibit or induce CYP3A is not recommended </w:t>
      </w:r>
      <w:r w:rsidRPr="00AF6861">
        <w:t xml:space="preserve">(see </w:t>
      </w:r>
      <w:r w:rsidRPr="007C21BD">
        <w:t>P</w:t>
      </w:r>
      <w:r w:rsidR="007C21BD" w:rsidRPr="007C21BD">
        <w:t>RECAUTIONS</w:t>
      </w:r>
      <w:r w:rsidRPr="00AF6861">
        <w:t>).</w:t>
      </w:r>
    </w:p>
    <w:p w:rsidR="007C21BD" w:rsidRPr="00AF6861" w:rsidRDefault="007C21BD" w:rsidP="007C21BD"/>
    <w:p w:rsidR="00A25FD3" w:rsidRDefault="00A25FD3" w:rsidP="007C21BD">
      <w:r w:rsidRPr="00AF6861">
        <w:t xml:space="preserve">A drug interaction study in healthy </w:t>
      </w:r>
      <w:r w:rsidR="0037285D">
        <w:t>participants</w:t>
      </w:r>
      <w:r w:rsidRPr="00AF6861">
        <w:t xml:space="preserve"> was conducted to assess the effects of </w:t>
      </w:r>
      <w:proofErr w:type="spellStart"/>
      <w:r w:rsidRPr="00AF6861">
        <w:t>simeprevir</w:t>
      </w:r>
      <w:proofErr w:type="spellEnd"/>
      <w:r w:rsidRPr="00AF6861">
        <w:t xml:space="preserve"> on various CYP enzymes via simultaneous administration of substrates for CYP1A2 (caffeine, orally), CYP2C9 (warfarin, orally), CYP2C19 (omeprazole, orally), CYP2D6 (dextromethorphan, orally) and CYP3A4 (midazolam, </w:t>
      </w:r>
      <w:r>
        <w:t xml:space="preserve">administered orally and </w:t>
      </w:r>
      <w:r w:rsidRPr="00AF6861">
        <w:t>intravenously</w:t>
      </w:r>
      <w:r>
        <w:t xml:space="preserve"> to investigate the effect on intestinal and hepatic CYP3A activity, respectively</w:t>
      </w:r>
      <w:r w:rsidRPr="00AF6861">
        <w:t>).</w:t>
      </w:r>
      <w:r>
        <w:t xml:space="preserve"> </w:t>
      </w:r>
      <w:proofErr w:type="spellStart"/>
      <w:r w:rsidRPr="00AF6861">
        <w:t>Simeprevir</w:t>
      </w:r>
      <w:proofErr w:type="spellEnd"/>
      <w:r w:rsidRPr="00AF6861">
        <w:t xml:space="preserve"> does not affect CYP2C9; the inhibition of CYP2C19 and CYP2D6 observed </w:t>
      </w:r>
      <w:r w:rsidRPr="00AF6861">
        <w:rPr>
          <w:i/>
        </w:rPr>
        <w:t>in vitro</w:t>
      </w:r>
      <w:r w:rsidRPr="00AF6861">
        <w:t xml:space="preserve"> is not observed </w:t>
      </w:r>
      <w:r w:rsidRPr="00AF6861">
        <w:rPr>
          <w:i/>
        </w:rPr>
        <w:t>in vivo</w:t>
      </w:r>
      <w:r w:rsidRPr="00AF6861">
        <w:t xml:space="preserve">. </w:t>
      </w:r>
      <w:proofErr w:type="spellStart"/>
      <w:r w:rsidRPr="00A25FD3">
        <w:t>Simeprevir</w:t>
      </w:r>
      <w:proofErr w:type="spellEnd"/>
      <w:r w:rsidRPr="00A25FD3">
        <w:t xml:space="preserve"> mildly inhibits the CYP1A2 activity and intestinal CYP3A4 activity, while it does not affect hepatic CYP3A4 activity. Co</w:t>
      </w:r>
      <w:r w:rsidRPr="00A25FD3">
        <w:noBreakHyphen/>
        <w:t xml:space="preserve">administration of </w:t>
      </w:r>
      <w:r w:rsidR="00194D66">
        <w:t>OLYSIO</w:t>
      </w:r>
      <w:r w:rsidRPr="00A25FD3">
        <w:t xml:space="preserve"> with drugs that are primarily metabolized by CYP3A4 may result in increased plasma concentrations of such drugs</w:t>
      </w:r>
      <w:r w:rsidRPr="00CB56AC">
        <w:t xml:space="preserve"> (see </w:t>
      </w:r>
      <w:r w:rsidR="003B0A62" w:rsidRPr="003B0A62">
        <w:t>Table </w:t>
      </w:r>
      <w:r w:rsidR="00F86D96">
        <w:t>14</w:t>
      </w:r>
      <w:r>
        <w:t>).</w:t>
      </w:r>
    </w:p>
    <w:p w:rsidR="003B0A62" w:rsidRPr="00AF6861" w:rsidRDefault="003B0A62" w:rsidP="007C21BD"/>
    <w:p w:rsidR="0078757E" w:rsidRDefault="00A25FD3" w:rsidP="003B0A62">
      <w:r w:rsidRPr="00AF6861">
        <w:rPr>
          <w:lang w:eastAsia="en-IE"/>
        </w:rPr>
        <w:t xml:space="preserve">A drug interaction study in healthy </w:t>
      </w:r>
      <w:r w:rsidR="0037285D">
        <w:rPr>
          <w:lang w:eastAsia="en-IE"/>
        </w:rPr>
        <w:t>participants</w:t>
      </w:r>
      <w:r w:rsidRPr="00AF6861">
        <w:rPr>
          <w:lang w:eastAsia="en-IE"/>
        </w:rPr>
        <w:t xml:space="preserve"> showed that co</w:t>
      </w:r>
      <w:r w:rsidRPr="00AF6861">
        <w:rPr>
          <w:lang w:eastAsia="en-IE"/>
        </w:rPr>
        <w:noBreakHyphen/>
        <w:t xml:space="preserve">administration of digoxin or </w:t>
      </w:r>
      <w:proofErr w:type="spellStart"/>
      <w:r w:rsidRPr="00AF6861">
        <w:rPr>
          <w:lang w:eastAsia="en-IE"/>
        </w:rPr>
        <w:t>rosuvastatin</w:t>
      </w:r>
      <w:proofErr w:type="spellEnd"/>
      <w:r w:rsidRPr="00AF6861">
        <w:rPr>
          <w:lang w:eastAsia="en-IE"/>
        </w:rPr>
        <w:t xml:space="preserve"> with </w:t>
      </w:r>
      <w:proofErr w:type="spellStart"/>
      <w:r w:rsidRPr="00AF6861">
        <w:rPr>
          <w:lang w:eastAsia="en-IE"/>
        </w:rPr>
        <w:t>simeprevir</w:t>
      </w:r>
      <w:proofErr w:type="spellEnd"/>
      <w:r w:rsidRPr="00AF6861">
        <w:rPr>
          <w:lang w:eastAsia="en-IE"/>
        </w:rPr>
        <w:t xml:space="preserve"> resulted in increased plasma exposure of digoxin and </w:t>
      </w:r>
      <w:proofErr w:type="spellStart"/>
      <w:r w:rsidRPr="00AF6861">
        <w:rPr>
          <w:lang w:eastAsia="en-IE"/>
        </w:rPr>
        <w:t>rosuvastatin</w:t>
      </w:r>
      <w:proofErr w:type="spellEnd"/>
      <w:r w:rsidRPr="00AF6861">
        <w:rPr>
          <w:lang w:eastAsia="en-IE"/>
        </w:rPr>
        <w:t>, likely due to inhibition of P</w:t>
      </w:r>
      <w:r w:rsidRPr="00AF6861">
        <w:rPr>
          <w:lang w:eastAsia="en-IE"/>
        </w:rPr>
        <w:noBreakHyphen/>
      </w:r>
      <w:proofErr w:type="spellStart"/>
      <w:r w:rsidRPr="00AF6861">
        <w:rPr>
          <w:lang w:eastAsia="en-IE"/>
        </w:rPr>
        <w:t>gp</w:t>
      </w:r>
      <w:proofErr w:type="spellEnd"/>
      <w:r w:rsidRPr="00AF6861">
        <w:rPr>
          <w:lang w:eastAsia="en-IE"/>
        </w:rPr>
        <w:t xml:space="preserve"> and OATP1B1, respectively.</w:t>
      </w:r>
      <w:r w:rsidRPr="008C64E7">
        <w:t xml:space="preserve"> </w:t>
      </w:r>
      <w:r w:rsidRPr="00A25FD3">
        <w:t>Co</w:t>
      </w:r>
      <w:r w:rsidRPr="00A25FD3">
        <w:noBreakHyphen/>
        <w:t xml:space="preserve">administration of </w:t>
      </w:r>
      <w:r w:rsidR="00194D66">
        <w:t>OLYSIO</w:t>
      </w:r>
      <w:r w:rsidRPr="00A25FD3">
        <w:t xml:space="preserve"> with drugs that are substrates for OATP1B1 and P</w:t>
      </w:r>
      <w:r w:rsidRPr="00A25FD3">
        <w:noBreakHyphen/>
      </w:r>
      <w:proofErr w:type="spellStart"/>
      <w:r w:rsidRPr="00A25FD3">
        <w:t>gp</w:t>
      </w:r>
      <w:proofErr w:type="spellEnd"/>
      <w:r w:rsidRPr="00A25FD3">
        <w:t xml:space="preserve"> transport</w:t>
      </w:r>
      <w:r w:rsidR="00D850D0">
        <w:t>ers</w:t>
      </w:r>
      <w:r w:rsidRPr="00A25FD3">
        <w:t xml:space="preserve"> may result in increased plasma concentrations of such drugs </w:t>
      </w:r>
      <w:r w:rsidRPr="00CB56AC">
        <w:t xml:space="preserve">(see </w:t>
      </w:r>
      <w:r w:rsidR="003B0A62">
        <w:t xml:space="preserve">Table </w:t>
      </w:r>
      <w:r w:rsidR="00F86D96">
        <w:t>14</w:t>
      </w:r>
      <w:r>
        <w:t>).</w:t>
      </w:r>
      <w:r w:rsidR="0078757E" w:rsidRPr="0078757E">
        <w:t xml:space="preserve"> </w:t>
      </w:r>
    </w:p>
    <w:p w:rsidR="00D850D0" w:rsidRPr="00AF6861" w:rsidRDefault="00D850D0" w:rsidP="003B0A62">
      <w:pPr>
        <w:rPr>
          <w:lang w:eastAsia="en-IE"/>
        </w:rPr>
      </w:pPr>
    </w:p>
    <w:p w:rsidR="00A25FD3" w:rsidRDefault="00A25FD3" w:rsidP="003B0A62">
      <w:r w:rsidRPr="00AF6861">
        <w:lastRenderedPageBreak/>
        <w:t xml:space="preserve">Known and theoretical interactions between </w:t>
      </w:r>
      <w:proofErr w:type="spellStart"/>
      <w:r w:rsidRPr="00AF6861">
        <w:t>simeprevir</w:t>
      </w:r>
      <w:proofErr w:type="spellEnd"/>
      <w:r w:rsidRPr="00AF6861">
        <w:t xml:space="preserve"> and selected medicina</w:t>
      </w:r>
      <w:r w:rsidR="008226AB">
        <w:t>l products are listed in Table </w:t>
      </w:r>
      <w:r w:rsidR="00F86D96">
        <w:t>14</w:t>
      </w:r>
      <w:r w:rsidR="00F86D96" w:rsidRPr="00AF6861">
        <w:t xml:space="preserve"> </w:t>
      </w:r>
      <w:r w:rsidRPr="00AF6861">
        <w:t xml:space="preserve">(least square mean ratios with 90% confidence intervals are presented, increase is indicated as “↑”, decrease as “↓”, no change as “↔”, and not assessed as “NA”). Interaction studies have been performed in healthy adults with the recommended dose of 150 mg </w:t>
      </w:r>
      <w:proofErr w:type="spellStart"/>
      <w:r w:rsidRPr="00AF6861">
        <w:t>simeprevir</w:t>
      </w:r>
      <w:proofErr w:type="spellEnd"/>
      <w:r w:rsidRPr="00AF6861">
        <w:t xml:space="preserve"> once daily unless otherwise noted.</w:t>
      </w:r>
    </w:p>
    <w:p w:rsidR="003B0A62" w:rsidRPr="00AF6861" w:rsidRDefault="003B0A62" w:rsidP="003B0A62"/>
    <w:p w:rsidR="00A25FD3" w:rsidRPr="00AF6861" w:rsidRDefault="00A25FD3" w:rsidP="003B0A62">
      <w:r w:rsidRPr="00AF6861">
        <w:t xml:space="preserve">Refer to the respective </w:t>
      </w:r>
      <w:r w:rsidR="0037285D">
        <w:t>product</w:t>
      </w:r>
      <w:r w:rsidRPr="00AF6861">
        <w:t xml:space="preserve"> information for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regarding the interactions for those medicinal products.</w:t>
      </w:r>
    </w:p>
    <w:p w:rsidR="00E529B9" w:rsidRDefault="00E529B9" w:rsidP="009F3479"/>
    <w:p w:rsidR="00E529B9" w:rsidRDefault="00E529B9" w:rsidP="00E529B9">
      <w:pPr>
        <w:pStyle w:val="Caption"/>
      </w:pPr>
      <w:r>
        <w:t>Table </w:t>
      </w:r>
      <w:r w:rsidR="00F86D96">
        <w:t>14</w:t>
      </w:r>
      <w:r w:rsidRPr="00AF6861">
        <w:t>:</w:t>
      </w:r>
      <w:r w:rsidRPr="00AF6861">
        <w:tab/>
        <w:t xml:space="preserve">Summary of Drug Interactions </w:t>
      </w:r>
      <w:proofErr w:type="gramStart"/>
      <w:r w:rsidRPr="00AF6861">
        <w:t>With</w:t>
      </w:r>
      <w:proofErr w:type="gramEnd"/>
      <w:r w:rsidRPr="00AF6861">
        <w:t xml:space="preserve"> </w:t>
      </w:r>
      <w:proofErr w:type="spellStart"/>
      <w:r w:rsidRPr="00AF6861">
        <w:t>Simeprevir</w:t>
      </w:r>
      <w:proofErr w:type="spellEnd"/>
    </w:p>
    <w:tbl>
      <w:tblPr>
        <w:tblW w:w="0" w:type="auto"/>
        <w:tblInd w:w="105" w:type="dxa"/>
        <w:tblLayout w:type="fixed"/>
        <w:tblCellMar>
          <w:top w:w="15" w:type="dxa"/>
          <w:left w:w="15" w:type="dxa"/>
          <w:bottom w:w="15" w:type="dxa"/>
          <w:right w:w="15" w:type="dxa"/>
        </w:tblCellMar>
        <w:tblLook w:val="0000" w:firstRow="0" w:lastRow="0" w:firstColumn="0" w:lastColumn="0" w:noHBand="0" w:noVBand="0"/>
      </w:tblPr>
      <w:tblGrid>
        <w:gridCol w:w="2000"/>
        <w:gridCol w:w="1559"/>
        <w:gridCol w:w="142"/>
        <w:gridCol w:w="1559"/>
        <w:gridCol w:w="1276"/>
        <w:gridCol w:w="1417"/>
        <w:gridCol w:w="1418"/>
      </w:tblGrid>
      <w:tr w:rsidR="003B0A62" w:rsidRPr="00AF6861" w:rsidTr="00E529B9">
        <w:trPr>
          <w:cantSplit/>
          <w:tblHeader/>
        </w:trPr>
        <w:tc>
          <w:tcPr>
            <w:tcW w:w="2000" w:type="dxa"/>
            <w:tcBorders>
              <w:top w:val="single" w:sz="4"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rStyle w:val="bold1"/>
                <w:b w:val="0"/>
                <w:bCs w:val="0"/>
                <w:noProof/>
                <w:sz w:val="20"/>
              </w:rPr>
            </w:pPr>
            <w:r w:rsidRPr="00AF6861">
              <w:rPr>
                <w:rStyle w:val="bold1"/>
                <w:noProof/>
                <w:sz w:val="20"/>
              </w:rPr>
              <w:t>Co</w:t>
            </w:r>
            <w:r w:rsidRPr="00AF6861">
              <w:rPr>
                <w:rStyle w:val="bold1"/>
                <w:noProof/>
                <w:sz w:val="20"/>
              </w:rPr>
              <w:noBreakHyphen/>
              <w:t>administered medicinal product</w:t>
            </w:r>
          </w:p>
        </w:tc>
        <w:tc>
          <w:tcPr>
            <w:tcW w:w="1701" w:type="dxa"/>
            <w:gridSpan w:val="2"/>
            <w:tcBorders>
              <w:top w:val="single" w:sz="4"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rStyle w:val="bold1"/>
                <w:noProof/>
                <w:sz w:val="20"/>
              </w:rPr>
            </w:pPr>
            <w:r w:rsidRPr="00AF6861">
              <w:rPr>
                <w:rStyle w:val="bold1"/>
                <w:noProof/>
                <w:sz w:val="20"/>
              </w:rPr>
              <w:t>Dose of co</w:t>
            </w:r>
            <w:r w:rsidRPr="00AF6861">
              <w:rPr>
                <w:rStyle w:val="bold1"/>
                <w:noProof/>
                <w:sz w:val="20"/>
              </w:rPr>
              <w:noBreakHyphen/>
              <w:t>administered medicinal product</w:t>
            </w:r>
          </w:p>
        </w:tc>
        <w:tc>
          <w:tcPr>
            <w:tcW w:w="1559" w:type="dxa"/>
            <w:tcBorders>
              <w:top w:val="single" w:sz="4"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rStyle w:val="bold1"/>
                <w:noProof/>
                <w:sz w:val="20"/>
              </w:rPr>
            </w:pPr>
            <w:r w:rsidRPr="00AF6861">
              <w:rPr>
                <w:rStyle w:val="bold1"/>
                <w:noProof/>
                <w:sz w:val="20"/>
              </w:rPr>
              <w:t>Medicinal product assessed</w:t>
            </w:r>
          </w:p>
        </w:tc>
        <w:tc>
          <w:tcPr>
            <w:tcW w:w="1276" w:type="dxa"/>
            <w:tcBorders>
              <w:top w:val="single" w:sz="4"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rStyle w:val="bold1"/>
                <w:noProof/>
                <w:sz w:val="20"/>
              </w:rPr>
            </w:pPr>
            <w:r w:rsidRPr="00AF6861">
              <w:rPr>
                <w:rStyle w:val="bold1"/>
                <w:noProof/>
                <w:sz w:val="20"/>
              </w:rPr>
              <w:t>C</w:t>
            </w:r>
            <w:r w:rsidRPr="00AF6861">
              <w:rPr>
                <w:rStyle w:val="bold1"/>
                <w:noProof/>
                <w:sz w:val="20"/>
                <w:vertAlign w:val="subscript"/>
              </w:rPr>
              <w:t>max</w:t>
            </w:r>
          </w:p>
        </w:tc>
        <w:tc>
          <w:tcPr>
            <w:tcW w:w="1417" w:type="dxa"/>
            <w:tcBorders>
              <w:top w:val="single" w:sz="4"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rStyle w:val="bold1"/>
                <w:noProof/>
                <w:sz w:val="20"/>
              </w:rPr>
            </w:pPr>
            <w:r w:rsidRPr="00AF6861">
              <w:rPr>
                <w:rStyle w:val="bold1"/>
                <w:noProof/>
                <w:sz w:val="20"/>
              </w:rPr>
              <w:t>AUC</w:t>
            </w:r>
          </w:p>
        </w:tc>
        <w:tc>
          <w:tcPr>
            <w:tcW w:w="1418" w:type="dxa"/>
            <w:tcBorders>
              <w:top w:val="single" w:sz="4"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rStyle w:val="bold1"/>
                <w:noProof/>
                <w:sz w:val="20"/>
              </w:rPr>
            </w:pPr>
            <w:r w:rsidRPr="00AF6861">
              <w:rPr>
                <w:rStyle w:val="bold1"/>
                <w:noProof/>
                <w:sz w:val="20"/>
              </w:rPr>
              <w:t>C</w:t>
            </w:r>
            <w:r w:rsidRPr="00AF6861">
              <w:rPr>
                <w:rStyle w:val="bold1"/>
                <w:noProof/>
                <w:sz w:val="20"/>
                <w:vertAlign w:val="subscript"/>
              </w:rPr>
              <w:t>min</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ANALEPTIC</w:t>
            </w:r>
          </w:p>
        </w:tc>
      </w:tr>
      <w:tr w:rsidR="003B0A62" w:rsidRPr="00AF6861" w:rsidTr="00E529B9">
        <w:tblPrEx>
          <w:tblBorders>
            <w:bottom w:val="single" w:sz="4" w:space="0" w:color="auto"/>
          </w:tblBorders>
        </w:tblPrEx>
        <w:trPr>
          <w:cantSplit/>
          <w:trHeight w:val="505"/>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Caffeine</w:t>
            </w:r>
            <w:r w:rsidRPr="00AF6861">
              <w:rPr>
                <w:noProof/>
                <w:sz w:val="20"/>
                <w:vertAlign w:val="superscript"/>
              </w:rPr>
              <w:t>1</w:t>
            </w:r>
          </w:p>
        </w:tc>
        <w:tc>
          <w:tcPr>
            <w:tcW w:w="1701" w:type="dxa"/>
            <w:gridSpan w:val="2"/>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150 mg</w:t>
            </w:r>
          </w:p>
        </w:tc>
        <w:tc>
          <w:tcPr>
            <w:tcW w:w="1559"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caffeine</w:t>
            </w:r>
          </w:p>
        </w:tc>
        <w:tc>
          <w:tcPr>
            <w:tcW w:w="1276"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1.12</w:t>
            </w:r>
          </w:p>
          <w:p w:rsidR="003B0A62" w:rsidRPr="00AF6861" w:rsidRDefault="003B0A62" w:rsidP="003B0A62">
            <w:pPr>
              <w:jc w:val="center"/>
              <w:rPr>
                <w:noProof/>
                <w:sz w:val="20"/>
              </w:rPr>
            </w:pPr>
            <w:r w:rsidRPr="00AF6861">
              <w:rPr>
                <w:noProof/>
                <w:sz w:val="20"/>
              </w:rPr>
              <w:t>(1.06</w:t>
            </w:r>
            <w:r w:rsidRPr="00AF6861">
              <w:rPr>
                <w:noProof/>
                <w:sz w:val="20"/>
              </w:rPr>
              <w:noBreakHyphen/>
              <w:t>1.19)</w:t>
            </w:r>
          </w:p>
        </w:tc>
        <w:tc>
          <w:tcPr>
            <w:tcW w:w="1417"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1.26</w:t>
            </w:r>
          </w:p>
          <w:p w:rsidR="003B0A62" w:rsidRPr="00AF6861" w:rsidRDefault="003B0A62" w:rsidP="003B0A62">
            <w:pPr>
              <w:jc w:val="center"/>
              <w:rPr>
                <w:noProof/>
                <w:sz w:val="20"/>
              </w:rPr>
            </w:pPr>
            <w:r w:rsidRPr="00AF6861">
              <w:rPr>
                <w:noProof/>
                <w:sz w:val="20"/>
              </w:rPr>
              <w:t>(1.21</w:t>
            </w:r>
            <w:r w:rsidRPr="00AF6861">
              <w:rPr>
                <w:noProof/>
                <w:sz w:val="20"/>
              </w:rPr>
              <w:noBreakHyphen/>
              <w:t>1.32)</w:t>
            </w:r>
          </w:p>
        </w:tc>
        <w:tc>
          <w:tcPr>
            <w:tcW w:w="1418" w:type="dxa"/>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Default"/>
              <w:ind w:left="127" w:right="162"/>
              <w:jc w:val="both"/>
              <w:rPr>
                <w:noProof/>
                <w:color w:val="auto"/>
                <w:szCs w:val="20"/>
                <w:lang w:val="en-GB"/>
              </w:rPr>
            </w:pPr>
            <w:r w:rsidRPr="00AF6861">
              <w:rPr>
                <w:noProof/>
                <w:color w:val="auto"/>
                <w:szCs w:val="20"/>
                <w:lang w:val="en-GB"/>
              </w:rPr>
              <w:t xml:space="preserve">No dose adjustment is required when </w:t>
            </w:r>
            <w:r w:rsidR="00194D66">
              <w:rPr>
                <w:noProof/>
                <w:color w:val="auto"/>
                <w:szCs w:val="20"/>
              </w:rPr>
              <w:t>OLYSIO</w:t>
            </w:r>
            <w:r w:rsidRPr="00AF6861">
              <w:rPr>
                <w:noProof/>
                <w:color w:val="auto"/>
                <w:szCs w:val="20"/>
                <w:lang w:val="en-GB"/>
              </w:rPr>
              <w:t xml:space="preserve"> is co</w:t>
            </w:r>
            <w:r w:rsidRPr="00AF6861">
              <w:rPr>
                <w:noProof/>
                <w:color w:val="auto"/>
                <w:szCs w:val="20"/>
                <w:lang w:val="en-GB"/>
              </w:rPr>
              <w:noBreakHyphen/>
              <w:t>administered with caffeine.</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ANTIARRHYTHMICS</w:t>
            </w:r>
          </w:p>
        </w:tc>
      </w:tr>
      <w:tr w:rsidR="003B0A62" w:rsidRPr="00AF6861" w:rsidTr="00E529B9">
        <w:trPr>
          <w:cantSplit/>
          <w:trHeight w:val="325"/>
        </w:trPr>
        <w:tc>
          <w:tcPr>
            <w:tcW w:w="2000" w:type="dxa"/>
            <w:vMerge w:val="restart"/>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Digoxin</w:t>
            </w:r>
            <w:r w:rsidRPr="00AF6861">
              <w:rPr>
                <w:noProof/>
                <w:sz w:val="20"/>
                <w:vertAlign w:val="superscript"/>
              </w:rPr>
              <w:t>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0.25 mg</w:t>
            </w: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digoxin</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1.31</w:t>
            </w:r>
          </w:p>
          <w:p w:rsidR="003B0A62" w:rsidRPr="00AF6861" w:rsidRDefault="003B0A62" w:rsidP="003B0A62">
            <w:pPr>
              <w:jc w:val="center"/>
              <w:rPr>
                <w:noProof/>
                <w:sz w:val="20"/>
              </w:rPr>
            </w:pPr>
            <w:r w:rsidRPr="00AF6861">
              <w:rPr>
                <w:noProof/>
                <w:sz w:val="20"/>
              </w:rPr>
              <w:t>(1.14</w:t>
            </w:r>
            <w:r w:rsidRPr="00AF6861">
              <w:rPr>
                <w:noProof/>
                <w:sz w:val="20"/>
              </w:rPr>
              <w:noBreakHyphen/>
              <w:t>1.51)</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1.39</w:t>
            </w:r>
          </w:p>
          <w:p w:rsidR="003B0A62" w:rsidRPr="00AF6861" w:rsidRDefault="003B0A62" w:rsidP="003B0A62">
            <w:pPr>
              <w:jc w:val="center"/>
              <w:rPr>
                <w:noProof/>
                <w:sz w:val="20"/>
              </w:rPr>
            </w:pPr>
            <w:r w:rsidRPr="00AF6861">
              <w:rPr>
                <w:noProof/>
                <w:sz w:val="20"/>
              </w:rPr>
              <w:t>(1.16</w:t>
            </w:r>
            <w:r w:rsidRPr="00AF6861">
              <w:rPr>
                <w:noProof/>
                <w:sz w:val="20"/>
              </w:rPr>
              <w:noBreakHyphen/>
              <w:t>1.67)</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Concomitant use of </w:t>
            </w:r>
            <w:r w:rsidR="00194D66">
              <w:rPr>
                <w:noProof/>
                <w:sz w:val="20"/>
              </w:rPr>
              <w:t>OLYSIO</w:t>
            </w:r>
            <w:r w:rsidRPr="00AF6861">
              <w:rPr>
                <w:noProof/>
                <w:sz w:val="20"/>
              </w:rPr>
              <w:t xml:space="preserve"> with digoxin resulted in increased concentrations of digoxin due to inhibition of P</w:t>
            </w:r>
            <w:r w:rsidRPr="00AF6861">
              <w:rPr>
                <w:noProof/>
                <w:sz w:val="20"/>
              </w:rPr>
              <w:noBreakHyphen/>
              <w:t>gp by simeprevir. Concentrations of digoxin should be monitored and used for titration of digoxin dose to obtain the desired clinical effect when co</w:t>
            </w:r>
            <w:r w:rsidRPr="00AF6861">
              <w:rPr>
                <w:noProof/>
                <w:sz w:val="20"/>
                <w:lang w:val="en-GB"/>
              </w:rPr>
              <w:noBreakHyphen/>
            </w:r>
            <w:r w:rsidRPr="00AF6861">
              <w:rPr>
                <w:noProof/>
                <w:sz w:val="20"/>
              </w:rPr>
              <w:t xml:space="preserve">administered with </w:t>
            </w:r>
            <w:r w:rsidR="00194D66">
              <w:rPr>
                <w:noProof/>
                <w:sz w:val="20"/>
              </w:rPr>
              <w:t>OLYSIO</w:t>
            </w:r>
            <w:r w:rsidRPr="00AF6861">
              <w:rPr>
                <w:noProof/>
                <w:sz w:val="20"/>
              </w:rPr>
              <w:t>.</w:t>
            </w:r>
          </w:p>
        </w:tc>
      </w:tr>
      <w:tr w:rsidR="003B0A62" w:rsidRPr="00AF6861" w:rsidTr="00E529B9">
        <w:tblPrEx>
          <w:tblBorders>
            <w:bottom w:val="single" w:sz="4" w:space="0" w:color="auto"/>
          </w:tblBorders>
        </w:tblPrEx>
        <w:trPr>
          <w:cantSplit/>
          <w:trHeight w:val="1010"/>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Amiodarone</w:t>
            </w:r>
          </w:p>
          <w:p w:rsidR="003B0A62" w:rsidRPr="00AF6861" w:rsidRDefault="003B0A62" w:rsidP="003B0A62">
            <w:pPr>
              <w:rPr>
                <w:noProof/>
                <w:sz w:val="20"/>
              </w:rPr>
            </w:pPr>
            <w:r w:rsidRPr="00AF6861">
              <w:rPr>
                <w:noProof/>
                <w:sz w:val="20"/>
              </w:rPr>
              <w:t>Disopyramide</w:t>
            </w:r>
          </w:p>
          <w:p w:rsidR="003B0A62" w:rsidRPr="00AF6861" w:rsidRDefault="003B0A62" w:rsidP="003B0A62">
            <w:pPr>
              <w:rPr>
                <w:noProof/>
                <w:sz w:val="20"/>
              </w:rPr>
            </w:pPr>
            <w:r w:rsidRPr="00AF6861">
              <w:rPr>
                <w:noProof/>
                <w:sz w:val="20"/>
              </w:rPr>
              <w:t>Flecainide</w:t>
            </w:r>
          </w:p>
          <w:p w:rsidR="003B0A62" w:rsidRPr="00AF6861" w:rsidRDefault="003B0A62" w:rsidP="003B0A62">
            <w:pPr>
              <w:rPr>
                <w:noProof/>
                <w:sz w:val="20"/>
              </w:rPr>
            </w:pPr>
            <w:r w:rsidRPr="00AF6861">
              <w:rPr>
                <w:noProof/>
                <w:sz w:val="20"/>
              </w:rPr>
              <w:t>Lidocaine (systemic)</w:t>
            </w:r>
          </w:p>
          <w:p w:rsidR="003B0A62" w:rsidRPr="00AF6861" w:rsidRDefault="003B0A62" w:rsidP="003B0A62">
            <w:pPr>
              <w:rPr>
                <w:noProof/>
                <w:sz w:val="20"/>
              </w:rPr>
            </w:pPr>
            <w:r w:rsidRPr="00AF6861">
              <w:rPr>
                <w:noProof/>
                <w:sz w:val="20"/>
              </w:rPr>
              <w:t>Mexiletine</w:t>
            </w:r>
          </w:p>
          <w:p w:rsidR="003B0A62" w:rsidRPr="00AF6861" w:rsidRDefault="003B0A62" w:rsidP="003B0A62">
            <w:pPr>
              <w:rPr>
                <w:noProof/>
                <w:sz w:val="20"/>
              </w:rPr>
            </w:pPr>
            <w:r w:rsidRPr="00AF6861">
              <w:rPr>
                <w:noProof/>
                <w:sz w:val="20"/>
              </w:rPr>
              <w:t>Propafenone</w:t>
            </w:r>
          </w:p>
          <w:p w:rsidR="003B0A62" w:rsidRPr="00AF6861" w:rsidRDefault="003B0A62" w:rsidP="003B0A62">
            <w:pPr>
              <w:rPr>
                <w:noProof/>
                <w:sz w:val="20"/>
              </w:rPr>
            </w:pPr>
            <w:r w:rsidRPr="00AF6861">
              <w:rPr>
                <w:noProof/>
                <w:sz w:val="20"/>
              </w:rPr>
              <w:t>Quinidine</w:t>
            </w:r>
          </w:p>
        </w:tc>
        <w:tc>
          <w:tcPr>
            <w:tcW w:w="7371" w:type="dxa"/>
            <w:gridSpan w:val="6"/>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autoSpaceDE w:val="0"/>
              <w:autoSpaceDN w:val="0"/>
              <w:adjustRightInd w:val="0"/>
              <w:ind w:left="22"/>
              <w:rPr>
                <w:noProof/>
                <w:sz w:val="20"/>
              </w:rPr>
            </w:pPr>
            <w:r w:rsidRPr="00AF6861">
              <w:rPr>
                <w:noProof/>
                <w:sz w:val="20"/>
              </w:rPr>
              <w:t xml:space="preserve">Concomitant use of </w:t>
            </w:r>
            <w:r w:rsidR="00194D66">
              <w:rPr>
                <w:noProof/>
                <w:sz w:val="20"/>
              </w:rPr>
              <w:t>OLYSIO</w:t>
            </w:r>
            <w:r w:rsidRPr="00AF6861">
              <w:rPr>
                <w:noProof/>
                <w:sz w:val="20"/>
              </w:rPr>
              <w:t xml:space="preserve"> with these antiarrhythmics may result in </w:t>
            </w:r>
            <w:r>
              <w:rPr>
                <w:noProof/>
                <w:sz w:val="20"/>
              </w:rPr>
              <w:t xml:space="preserve">mild </w:t>
            </w:r>
            <w:r w:rsidRPr="00AF6861">
              <w:rPr>
                <w:noProof/>
                <w:sz w:val="20"/>
              </w:rPr>
              <w:t>increase</w:t>
            </w:r>
            <w:r>
              <w:rPr>
                <w:noProof/>
                <w:sz w:val="20"/>
              </w:rPr>
              <w:t>s in</w:t>
            </w:r>
            <w:r w:rsidRPr="00AF6861">
              <w:rPr>
                <w:noProof/>
                <w:sz w:val="20"/>
              </w:rPr>
              <w:t xml:space="preserve"> concentrations of these antiarrhythmics due to </w:t>
            </w:r>
            <w:r>
              <w:rPr>
                <w:noProof/>
                <w:sz w:val="20"/>
              </w:rPr>
              <w:t>intestinal</w:t>
            </w:r>
            <w:r w:rsidRPr="00AF6861">
              <w:rPr>
                <w:noProof/>
                <w:sz w:val="20"/>
              </w:rPr>
              <w:t xml:space="preserve"> CYP3A4 inhibition by simeprevir. Caution is warranted and therapeutic drug monitoring for these antiarrhythmics, if available, is recommended when co</w:t>
            </w:r>
            <w:r w:rsidRPr="00AF6861">
              <w:rPr>
                <w:noProof/>
                <w:sz w:val="20"/>
                <w:lang w:val="en-GB"/>
              </w:rPr>
              <w:noBreakHyphen/>
            </w:r>
            <w:r w:rsidRPr="00AF6861">
              <w:rPr>
                <w:noProof/>
                <w:sz w:val="20"/>
              </w:rPr>
              <w:t xml:space="preserve">administered with </w:t>
            </w:r>
            <w:r w:rsidR="00194D66">
              <w:rPr>
                <w:noProof/>
                <w:sz w:val="20"/>
              </w:rPr>
              <w:t>OLYSIO</w:t>
            </w:r>
            <w:r w:rsidRPr="00AF6861">
              <w:rPr>
                <w:noProof/>
                <w:sz w:val="20"/>
              </w:rPr>
              <w:t>.</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ANTICOAGULANTS</w:t>
            </w:r>
          </w:p>
        </w:tc>
      </w:tr>
      <w:tr w:rsidR="003B0A62" w:rsidRPr="00AF6861" w:rsidTr="00E529B9">
        <w:trPr>
          <w:cantSplit/>
          <w:trHeight w:val="450"/>
        </w:trPr>
        <w:tc>
          <w:tcPr>
            <w:tcW w:w="2000" w:type="dxa"/>
            <w:vMerge w:val="restart"/>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Warfarin</w:t>
            </w:r>
            <w:r w:rsidRPr="00AF6861">
              <w:rPr>
                <w:noProof/>
                <w:sz w:val="20"/>
                <w:vertAlign w:val="superscript"/>
              </w:rPr>
              <w:t>1</w:t>
            </w:r>
          </w:p>
        </w:tc>
        <w:tc>
          <w:tcPr>
            <w:tcW w:w="1701" w:type="dxa"/>
            <w:gridSpan w:val="2"/>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10 mg</w:t>
            </w: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w:t>
            </w:r>
            <w:r w:rsidRPr="00AF6861">
              <w:rPr>
                <w:noProof/>
                <w:sz w:val="20"/>
              </w:rPr>
              <w:noBreakHyphen/>
              <w:t>warfarin</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1.00</w:t>
            </w:r>
          </w:p>
          <w:p w:rsidR="003B0A62" w:rsidRPr="00AF6861" w:rsidRDefault="003B0A62" w:rsidP="003B0A62">
            <w:pPr>
              <w:jc w:val="center"/>
              <w:rPr>
                <w:noProof/>
                <w:sz w:val="20"/>
              </w:rPr>
            </w:pPr>
            <w:r w:rsidRPr="00AF6861">
              <w:rPr>
                <w:noProof/>
                <w:sz w:val="20"/>
              </w:rPr>
              <w:t>(0.94</w:t>
            </w:r>
            <w:r w:rsidRPr="00AF6861">
              <w:rPr>
                <w:noProof/>
                <w:sz w:val="20"/>
              </w:rPr>
              <w:noBreakHyphen/>
              <w:t>1.06)</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1.04</w:t>
            </w:r>
          </w:p>
          <w:p w:rsidR="003B0A62" w:rsidRPr="00AF6861" w:rsidRDefault="003B0A62" w:rsidP="003B0A62">
            <w:pPr>
              <w:jc w:val="center"/>
              <w:rPr>
                <w:noProof/>
                <w:sz w:val="20"/>
              </w:rPr>
            </w:pPr>
            <w:r w:rsidRPr="00AF6861">
              <w:rPr>
                <w:noProof/>
                <w:sz w:val="20"/>
              </w:rPr>
              <w:t>(1.00</w:t>
            </w:r>
            <w:r w:rsidRPr="00AF6861">
              <w:rPr>
                <w:noProof/>
                <w:sz w:val="20"/>
              </w:rPr>
              <w:noBreakHyphen/>
              <w:t>1.07)</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No dose adjustment is required when </w:t>
            </w:r>
            <w:r w:rsidR="00194D66">
              <w:rPr>
                <w:noProof/>
                <w:sz w:val="20"/>
              </w:rPr>
              <w:t>OLYSIO</w:t>
            </w:r>
            <w:r w:rsidRPr="00AF6861">
              <w:rPr>
                <w:noProof/>
                <w:sz w:val="20"/>
                <w:lang w:val="en-GB"/>
              </w:rPr>
              <w:t xml:space="preserve"> </w:t>
            </w:r>
            <w:r w:rsidRPr="00AF6861">
              <w:rPr>
                <w:noProof/>
                <w:sz w:val="20"/>
              </w:rPr>
              <w:t>is co</w:t>
            </w:r>
            <w:r w:rsidRPr="00AF6861">
              <w:rPr>
                <w:noProof/>
                <w:sz w:val="20"/>
              </w:rPr>
              <w:noBreakHyphen/>
              <w:t>administered with warfarin. However, it is recommended that the international normalised ratio (INR) be monitored.</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ANTICONVULSANTS</w:t>
            </w:r>
          </w:p>
        </w:tc>
      </w:tr>
      <w:tr w:rsidR="003B0A62" w:rsidRPr="00AF6861" w:rsidTr="00E529B9">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Carbamazepine</w:t>
            </w:r>
          </w:p>
          <w:p w:rsidR="003B0A62" w:rsidRPr="00AF6861" w:rsidRDefault="003B0A62" w:rsidP="003B0A62">
            <w:pPr>
              <w:rPr>
                <w:noProof/>
                <w:sz w:val="20"/>
              </w:rPr>
            </w:pPr>
            <w:r w:rsidRPr="00AF6861">
              <w:rPr>
                <w:noProof/>
                <w:sz w:val="20"/>
              </w:rPr>
              <w:t>Oxcarbazepine</w:t>
            </w:r>
          </w:p>
          <w:p w:rsidR="003B0A62" w:rsidRPr="00AF6861" w:rsidRDefault="003B0A62" w:rsidP="003B0A62">
            <w:pPr>
              <w:rPr>
                <w:noProof/>
                <w:sz w:val="20"/>
              </w:rPr>
            </w:pPr>
            <w:r w:rsidRPr="00AF6861">
              <w:rPr>
                <w:noProof/>
                <w:sz w:val="20"/>
              </w:rPr>
              <w:t>Phenobarbital</w:t>
            </w:r>
          </w:p>
          <w:p w:rsidR="003B0A62" w:rsidRPr="00AF6861" w:rsidRDefault="003B0A62" w:rsidP="003B0A62">
            <w:pPr>
              <w:rPr>
                <w:noProof/>
                <w:sz w:val="20"/>
              </w:rPr>
            </w:pPr>
            <w:r w:rsidRPr="00AF6861">
              <w:rPr>
                <w:noProof/>
                <w:sz w:val="20"/>
              </w:rPr>
              <w:t>Phenytoin</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autoSpaceDE w:val="0"/>
              <w:autoSpaceDN w:val="0"/>
              <w:adjustRightInd w:val="0"/>
              <w:ind w:left="127" w:right="162"/>
              <w:rPr>
                <w:noProof/>
                <w:sz w:val="20"/>
              </w:rPr>
            </w:pPr>
            <w:r w:rsidRPr="00AF6861">
              <w:rPr>
                <w:noProof/>
                <w:sz w:val="20"/>
              </w:rPr>
              <w:t xml:space="preserve">Concomitant use of </w:t>
            </w:r>
            <w:r w:rsidR="00194D66">
              <w:rPr>
                <w:noProof/>
                <w:sz w:val="20"/>
              </w:rPr>
              <w:t>OLYSIO</w:t>
            </w:r>
            <w:r w:rsidRPr="00AF6861">
              <w:rPr>
                <w:noProof/>
                <w:sz w:val="20"/>
              </w:rPr>
              <w:t xml:space="preserve"> with carbamazepine, oxcarbazepine, phenobarbital or phenytoin may result in significantly decreased </w:t>
            </w:r>
            <w:r w:rsidRPr="00AF6861">
              <w:rPr>
                <w:rFonts w:eastAsia="Calibri"/>
                <w:noProof/>
                <w:sz w:val="20"/>
              </w:rPr>
              <w:t xml:space="preserve">plasma concentrations of simeprevir due to strong CYP3A induction by these anticonvulsants. This may result in loss of therapeutic effect of </w:t>
            </w:r>
            <w:r w:rsidR="00194D66">
              <w:rPr>
                <w:rFonts w:eastAsia="Calibri"/>
                <w:noProof/>
                <w:sz w:val="20"/>
              </w:rPr>
              <w:t>OLYSIO</w:t>
            </w:r>
            <w:r w:rsidRPr="00AF6861">
              <w:rPr>
                <w:rFonts w:eastAsia="Calibri"/>
                <w:noProof/>
                <w:sz w:val="20"/>
              </w:rPr>
              <w:t>. It is not recommended to co</w:t>
            </w:r>
            <w:r w:rsidRPr="00AF6861">
              <w:rPr>
                <w:noProof/>
                <w:sz w:val="20"/>
                <w:lang w:val="en-GB"/>
              </w:rPr>
              <w:noBreakHyphen/>
            </w:r>
            <w:r w:rsidRPr="00AF6861">
              <w:rPr>
                <w:rFonts w:eastAsia="Calibri"/>
                <w:noProof/>
                <w:sz w:val="20"/>
              </w:rPr>
              <w:t xml:space="preserve">administer </w:t>
            </w:r>
            <w:r w:rsidR="00194D66">
              <w:rPr>
                <w:rFonts w:eastAsia="Calibri"/>
                <w:noProof/>
                <w:sz w:val="20"/>
              </w:rPr>
              <w:t>OLYSIO</w:t>
            </w:r>
            <w:r w:rsidRPr="00AF6861">
              <w:rPr>
                <w:rFonts w:eastAsia="Calibri"/>
                <w:noProof/>
                <w:sz w:val="20"/>
              </w:rPr>
              <w:t xml:space="preserve"> with these anticonvulsants. </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ANTIDEPRESSANTS</w:t>
            </w:r>
          </w:p>
        </w:tc>
      </w:tr>
      <w:tr w:rsidR="003B0A62" w:rsidRPr="00AF6861" w:rsidTr="00E529B9">
        <w:trPr>
          <w:cantSplit/>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Escitalopram</w:t>
            </w:r>
            <w:r w:rsidRPr="00AF6861">
              <w:rPr>
                <w:noProof/>
                <w:sz w:val="20"/>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10 mg once daily</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escitalopram</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1.03</w:t>
            </w:r>
          </w:p>
          <w:p w:rsidR="003B0A62" w:rsidRPr="00AF6861" w:rsidRDefault="003B0A62" w:rsidP="003B0A62">
            <w:pPr>
              <w:jc w:val="center"/>
              <w:rPr>
                <w:noProof/>
                <w:sz w:val="20"/>
              </w:rPr>
            </w:pPr>
            <w:r w:rsidRPr="00AF6861">
              <w:rPr>
                <w:noProof/>
                <w:sz w:val="20"/>
              </w:rPr>
              <w:t>(0.99</w:t>
            </w:r>
            <w:r w:rsidRPr="00AF6861">
              <w:rPr>
                <w:noProof/>
                <w:sz w:val="20"/>
              </w:rPr>
              <w:noBreakHyphen/>
              <w:t>1.07)</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1.00</w:t>
            </w:r>
          </w:p>
          <w:p w:rsidR="003B0A62" w:rsidRPr="00AF6861" w:rsidRDefault="003B0A62" w:rsidP="003B0A62">
            <w:pPr>
              <w:jc w:val="center"/>
              <w:rPr>
                <w:noProof/>
                <w:sz w:val="20"/>
              </w:rPr>
            </w:pPr>
            <w:r w:rsidRPr="00AF6861">
              <w:rPr>
                <w:noProof/>
                <w:sz w:val="20"/>
              </w:rPr>
              <w:t>(0.97</w:t>
            </w:r>
            <w:r w:rsidRPr="00AF6861">
              <w:rPr>
                <w:noProof/>
                <w:sz w:val="20"/>
              </w:rPr>
              <w:noBreakHyphen/>
              <w:t>1.03)</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1.00</w:t>
            </w:r>
          </w:p>
          <w:p w:rsidR="003B0A62" w:rsidRPr="00AF6861" w:rsidRDefault="003B0A62" w:rsidP="003B0A62">
            <w:pPr>
              <w:jc w:val="center"/>
              <w:rPr>
                <w:noProof/>
                <w:sz w:val="20"/>
              </w:rPr>
            </w:pPr>
            <w:r w:rsidRPr="00AF6861">
              <w:rPr>
                <w:noProof/>
                <w:sz w:val="20"/>
              </w:rPr>
              <w:t>(0.95</w:t>
            </w:r>
            <w:r w:rsidRPr="00AF6861">
              <w:rPr>
                <w:noProof/>
                <w:sz w:val="20"/>
              </w:rPr>
              <w:noBreakHyphen/>
              <w:t>1.05)</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0.80</w:t>
            </w:r>
          </w:p>
          <w:p w:rsidR="003B0A62" w:rsidRPr="00AF6861" w:rsidRDefault="003B0A62" w:rsidP="003B0A62">
            <w:pPr>
              <w:jc w:val="center"/>
              <w:rPr>
                <w:noProof/>
                <w:sz w:val="20"/>
              </w:rPr>
            </w:pPr>
            <w:r w:rsidRPr="00AF6861">
              <w:rPr>
                <w:noProof/>
                <w:sz w:val="20"/>
              </w:rPr>
              <w:t>(0.7</w:t>
            </w:r>
            <w:r>
              <w:rPr>
                <w:noProof/>
                <w:sz w:val="20"/>
              </w:rPr>
              <w:t>1</w:t>
            </w:r>
            <w:r w:rsidRPr="00AF6861">
              <w:rPr>
                <w:noProof/>
                <w:sz w:val="20"/>
              </w:rPr>
              <w:noBreakHyphen/>
              <w:t>0.89)</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0.75</w:t>
            </w:r>
          </w:p>
          <w:p w:rsidR="003B0A62" w:rsidRPr="00AF6861" w:rsidRDefault="003B0A62" w:rsidP="003B0A62">
            <w:pPr>
              <w:jc w:val="center"/>
              <w:rPr>
                <w:noProof/>
                <w:sz w:val="20"/>
              </w:rPr>
            </w:pPr>
            <w:r w:rsidRPr="00AF6861">
              <w:rPr>
                <w:noProof/>
                <w:sz w:val="20"/>
              </w:rPr>
              <w:t>(0.68</w:t>
            </w:r>
            <w:r w:rsidRPr="00AF6861">
              <w:rPr>
                <w:noProof/>
                <w:sz w:val="20"/>
              </w:rPr>
              <w:noBreakHyphen/>
              <w:t>0.83)</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0.6</w:t>
            </w:r>
            <w:r>
              <w:rPr>
                <w:noProof/>
                <w:sz w:val="20"/>
              </w:rPr>
              <w:t>8</w:t>
            </w:r>
          </w:p>
          <w:p w:rsidR="003B0A62" w:rsidRPr="00AF6861" w:rsidRDefault="003B0A62" w:rsidP="003B0A62">
            <w:pPr>
              <w:jc w:val="center"/>
              <w:rPr>
                <w:noProof/>
                <w:sz w:val="20"/>
              </w:rPr>
            </w:pPr>
            <w:r w:rsidRPr="00AF6861">
              <w:rPr>
                <w:noProof/>
                <w:sz w:val="20"/>
              </w:rPr>
              <w:t>(0.59</w:t>
            </w:r>
            <w:r w:rsidRPr="00AF6861">
              <w:rPr>
                <w:noProof/>
                <w:sz w:val="20"/>
              </w:rPr>
              <w:noBreakHyphen/>
              <w:t>0.79)</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ind w:left="127" w:right="162"/>
              <w:rPr>
                <w:noProof/>
                <w:sz w:val="20"/>
              </w:rPr>
            </w:pPr>
            <w:r w:rsidRPr="00AF6861">
              <w:rPr>
                <w:noProof/>
                <w:sz w:val="20"/>
              </w:rPr>
              <w:t xml:space="preserve">Concomitant use of </w:t>
            </w:r>
            <w:r w:rsidR="00194D66">
              <w:rPr>
                <w:noProof/>
                <w:sz w:val="20"/>
              </w:rPr>
              <w:t>OLYSIO</w:t>
            </w:r>
            <w:r w:rsidRPr="00AF6861">
              <w:rPr>
                <w:noProof/>
                <w:sz w:val="20"/>
              </w:rPr>
              <w:t xml:space="preserve"> with escitalopram resulted in decreased plasma concentrations of simeprevir. This decrease is not considered to be clinically relevant. No dose adjustment is necessary for either drug when </w:t>
            </w:r>
            <w:r w:rsidR="00194D66">
              <w:rPr>
                <w:noProof/>
                <w:sz w:val="20"/>
              </w:rPr>
              <w:t>OLYSIO</w:t>
            </w:r>
            <w:r w:rsidRPr="00AF6861">
              <w:rPr>
                <w:noProof/>
                <w:sz w:val="20"/>
              </w:rPr>
              <w:t xml:space="preserve"> is co</w:t>
            </w:r>
            <w:r w:rsidRPr="00AF6861">
              <w:rPr>
                <w:noProof/>
                <w:sz w:val="20"/>
                <w:lang w:val="en-GB"/>
              </w:rPr>
              <w:noBreakHyphen/>
            </w:r>
            <w:r w:rsidRPr="00AF6861">
              <w:rPr>
                <w:noProof/>
                <w:sz w:val="20"/>
              </w:rPr>
              <w:t>administered with escitalopram.</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ANTIHISTAMINES</w:t>
            </w:r>
          </w:p>
        </w:tc>
      </w:tr>
      <w:tr w:rsidR="003B0A62" w:rsidRPr="00AF6861" w:rsidTr="00E529B9">
        <w:trPr>
          <w:cantSplit/>
          <w:trHeight w:val="686"/>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lastRenderedPageBreak/>
              <w:t>Astemizole</w:t>
            </w:r>
          </w:p>
          <w:p w:rsidR="003B0A62" w:rsidRPr="00AF6861" w:rsidRDefault="003B0A62" w:rsidP="003B0A62">
            <w:pPr>
              <w:rPr>
                <w:noProof/>
                <w:sz w:val="20"/>
              </w:rPr>
            </w:pPr>
            <w:r w:rsidRPr="00AF6861">
              <w:rPr>
                <w:noProof/>
                <w:sz w:val="20"/>
              </w:rPr>
              <w:t>Terfenadine</w:t>
            </w:r>
          </w:p>
        </w:tc>
        <w:tc>
          <w:tcPr>
            <w:tcW w:w="7371" w:type="dxa"/>
            <w:gridSpan w:val="6"/>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 xml:space="preserve">Astemizole and terfenadine have the potential for cardiac arrhythmias. Concomitant use of </w:t>
            </w:r>
            <w:r w:rsidR="00194D66">
              <w:rPr>
                <w:noProof/>
                <w:sz w:val="20"/>
              </w:rPr>
              <w:t>OLYSIO</w:t>
            </w:r>
            <w:r w:rsidRPr="00AF6861">
              <w:rPr>
                <w:noProof/>
                <w:sz w:val="20"/>
              </w:rPr>
              <w:t xml:space="preserve"> with astemizole and terfenadine may result in </w:t>
            </w:r>
            <w:r>
              <w:rPr>
                <w:noProof/>
                <w:sz w:val="20"/>
              </w:rPr>
              <w:t xml:space="preserve">mild </w:t>
            </w:r>
            <w:r w:rsidRPr="00AF6861">
              <w:rPr>
                <w:noProof/>
                <w:sz w:val="20"/>
              </w:rPr>
              <w:t>increase</w:t>
            </w:r>
            <w:r>
              <w:rPr>
                <w:noProof/>
                <w:sz w:val="20"/>
              </w:rPr>
              <w:t>s</w:t>
            </w:r>
            <w:r w:rsidRPr="00AF6861">
              <w:rPr>
                <w:noProof/>
                <w:sz w:val="20"/>
              </w:rPr>
              <w:t xml:space="preserve"> </w:t>
            </w:r>
            <w:r>
              <w:rPr>
                <w:noProof/>
                <w:sz w:val="20"/>
              </w:rPr>
              <w:t xml:space="preserve">in </w:t>
            </w:r>
            <w:r w:rsidRPr="00AF6861">
              <w:rPr>
                <w:noProof/>
                <w:sz w:val="20"/>
              </w:rPr>
              <w:t xml:space="preserve">concentrations of these antihistamines due to </w:t>
            </w:r>
            <w:r>
              <w:rPr>
                <w:noProof/>
                <w:sz w:val="20"/>
              </w:rPr>
              <w:t>intestinal</w:t>
            </w:r>
            <w:r w:rsidRPr="00AF6861">
              <w:rPr>
                <w:noProof/>
                <w:sz w:val="20"/>
              </w:rPr>
              <w:t xml:space="preserve"> CYP3A4 inhibition by simeprevir. It is not recommended to co</w:t>
            </w:r>
            <w:r w:rsidRPr="00AF6861">
              <w:rPr>
                <w:noProof/>
                <w:sz w:val="20"/>
                <w:lang w:val="en-GB"/>
              </w:rPr>
              <w:noBreakHyphen/>
            </w:r>
            <w:r w:rsidRPr="00AF6861">
              <w:rPr>
                <w:noProof/>
                <w:sz w:val="20"/>
              </w:rPr>
              <w:t xml:space="preserve">administer </w:t>
            </w:r>
            <w:r w:rsidR="00194D66">
              <w:rPr>
                <w:noProof/>
                <w:sz w:val="20"/>
              </w:rPr>
              <w:t>OLYSIO</w:t>
            </w:r>
            <w:r w:rsidRPr="00AF6861">
              <w:rPr>
                <w:noProof/>
                <w:sz w:val="20"/>
              </w:rPr>
              <w:t xml:space="preserve"> with astemizole or terfenadine.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ANTI</w:t>
            </w:r>
            <w:r w:rsidRPr="00AF6861">
              <w:rPr>
                <w:b/>
                <w:bCs/>
                <w:noProof/>
                <w:sz w:val="20"/>
              </w:rPr>
              <w:noBreakHyphen/>
              <w:t>INFECTIVES</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Antibiotics</w:t>
            </w:r>
          </w:p>
        </w:tc>
      </w:tr>
      <w:tr w:rsidR="003B0A62" w:rsidRPr="00AF6861" w:rsidTr="00E529B9">
        <w:trPr>
          <w:cantSplit/>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Erythromycin</w:t>
            </w:r>
            <w:r w:rsidRPr="00AF6861">
              <w:rPr>
                <w:noProof/>
                <w:sz w:val="20"/>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500 mg three times a day</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erythromycin</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1.59</w:t>
            </w:r>
          </w:p>
          <w:p w:rsidR="003B0A62" w:rsidRPr="00AF6861" w:rsidRDefault="003B0A62" w:rsidP="003B0A62">
            <w:pPr>
              <w:jc w:val="center"/>
              <w:rPr>
                <w:noProof/>
                <w:sz w:val="20"/>
              </w:rPr>
            </w:pPr>
            <w:r w:rsidRPr="00AF6861">
              <w:rPr>
                <w:noProof/>
                <w:sz w:val="20"/>
              </w:rPr>
              <w:t>(1.23</w:t>
            </w:r>
            <w:r w:rsidRPr="00AF6861">
              <w:rPr>
                <w:noProof/>
                <w:sz w:val="20"/>
              </w:rPr>
              <w:noBreakHyphen/>
              <w:t>2.05)</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1.90</w:t>
            </w:r>
          </w:p>
          <w:p w:rsidR="003B0A62" w:rsidRPr="00AF6861" w:rsidRDefault="003B0A62" w:rsidP="003B0A62">
            <w:pPr>
              <w:jc w:val="center"/>
              <w:rPr>
                <w:noProof/>
                <w:sz w:val="20"/>
              </w:rPr>
            </w:pPr>
            <w:r w:rsidRPr="00AF6861">
              <w:rPr>
                <w:noProof/>
                <w:sz w:val="20"/>
              </w:rPr>
              <w:t>(1.53</w:t>
            </w:r>
            <w:r w:rsidRPr="00AF6861">
              <w:rPr>
                <w:noProof/>
                <w:sz w:val="20"/>
              </w:rPr>
              <w:noBreakHyphen/>
              <w:t>2.36)</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3.08</w:t>
            </w:r>
          </w:p>
          <w:p w:rsidR="003B0A62" w:rsidRPr="00AF6861" w:rsidRDefault="003B0A62" w:rsidP="003B0A62">
            <w:pPr>
              <w:jc w:val="center"/>
              <w:rPr>
                <w:noProof/>
                <w:sz w:val="20"/>
              </w:rPr>
            </w:pPr>
            <w:r w:rsidRPr="00AF6861">
              <w:rPr>
                <w:noProof/>
                <w:sz w:val="20"/>
              </w:rPr>
              <w:t>(2.54</w:t>
            </w:r>
            <w:r w:rsidRPr="00AF6861">
              <w:rPr>
                <w:noProof/>
                <w:sz w:val="20"/>
              </w:rPr>
              <w:noBreakHyphen/>
              <w:t>3.73)</w:t>
            </w:r>
          </w:p>
        </w:tc>
      </w:tr>
      <w:tr w:rsidR="003B0A62" w:rsidRPr="00AF6861" w:rsidTr="00E529B9">
        <w:trPr>
          <w:cantSplit/>
        </w:trPr>
        <w:tc>
          <w:tcPr>
            <w:tcW w:w="2000" w:type="dxa"/>
            <w:vMerge/>
            <w:tcBorders>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4.53</w:t>
            </w:r>
          </w:p>
          <w:p w:rsidR="003B0A62" w:rsidRPr="00AF6861" w:rsidRDefault="003B0A62" w:rsidP="003B0A62">
            <w:pPr>
              <w:jc w:val="center"/>
              <w:rPr>
                <w:noProof/>
                <w:sz w:val="20"/>
              </w:rPr>
            </w:pPr>
            <w:r w:rsidRPr="00AF6861">
              <w:rPr>
                <w:noProof/>
                <w:sz w:val="20"/>
              </w:rPr>
              <w:t>(3.91</w:t>
            </w:r>
            <w:r w:rsidRPr="00AF6861">
              <w:rPr>
                <w:noProof/>
                <w:sz w:val="20"/>
              </w:rPr>
              <w:noBreakHyphen/>
              <w:t>5.25)</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7.47</w:t>
            </w:r>
          </w:p>
          <w:p w:rsidR="003B0A62" w:rsidRPr="00AF6861" w:rsidRDefault="003B0A62" w:rsidP="003B0A62">
            <w:pPr>
              <w:jc w:val="center"/>
              <w:rPr>
                <w:noProof/>
                <w:sz w:val="20"/>
              </w:rPr>
            </w:pPr>
            <w:r w:rsidRPr="00AF6861">
              <w:rPr>
                <w:noProof/>
                <w:sz w:val="20"/>
              </w:rPr>
              <w:t>(6.41</w:t>
            </w:r>
            <w:r w:rsidRPr="00AF6861">
              <w:rPr>
                <w:noProof/>
                <w:sz w:val="20"/>
              </w:rPr>
              <w:noBreakHyphen/>
              <w:t>8.70)</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12.74</w:t>
            </w:r>
          </w:p>
          <w:p w:rsidR="003B0A62" w:rsidRPr="00AF6861" w:rsidRDefault="003B0A62" w:rsidP="003B0A62">
            <w:pPr>
              <w:jc w:val="center"/>
              <w:rPr>
                <w:noProof/>
                <w:sz w:val="20"/>
              </w:rPr>
            </w:pPr>
            <w:r w:rsidRPr="00AF6861">
              <w:rPr>
                <w:noProof/>
                <w:sz w:val="20"/>
              </w:rPr>
              <w:t>(10.19</w:t>
            </w:r>
            <w:r w:rsidRPr="00AF6861">
              <w:rPr>
                <w:noProof/>
                <w:sz w:val="20"/>
              </w:rPr>
              <w:noBreakHyphen/>
              <w:t>15.93)</w:t>
            </w:r>
          </w:p>
        </w:tc>
      </w:tr>
      <w:tr w:rsidR="003B0A62" w:rsidRPr="00AF6861" w:rsidTr="00E529B9">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autoSpaceDE w:val="0"/>
              <w:autoSpaceDN w:val="0"/>
              <w:adjustRightInd w:val="0"/>
              <w:ind w:left="127" w:right="162"/>
              <w:rPr>
                <w:noProof/>
                <w:sz w:val="20"/>
              </w:rPr>
            </w:pPr>
            <w:r w:rsidRPr="00AF6861">
              <w:rPr>
                <w:noProof/>
                <w:sz w:val="20"/>
              </w:rPr>
              <w:t xml:space="preserve">Concomitant use of </w:t>
            </w:r>
            <w:r w:rsidR="00194D66">
              <w:rPr>
                <w:noProof/>
                <w:sz w:val="20"/>
              </w:rPr>
              <w:t>OLYSIO</w:t>
            </w:r>
            <w:r w:rsidRPr="00AF6861">
              <w:rPr>
                <w:noProof/>
                <w:sz w:val="20"/>
              </w:rPr>
              <w:t xml:space="preserve"> with erythromycin resulted in significantly increased plasma concentrations of both erythromycin and simeprevir due to inhibition of CYP3A and P</w:t>
            </w:r>
            <w:r w:rsidRPr="00AF6861">
              <w:rPr>
                <w:noProof/>
                <w:sz w:val="20"/>
              </w:rPr>
              <w:noBreakHyphen/>
              <w:t xml:space="preserve">gp by both erythromycin and simeprevir. </w:t>
            </w:r>
            <w:r w:rsidRPr="00AF6861">
              <w:rPr>
                <w:rFonts w:eastAsia="Calibri"/>
                <w:noProof/>
                <w:sz w:val="20"/>
              </w:rPr>
              <w:t>It is not recommended to co</w:t>
            </w:r>
            <w:r w:rsidRPr="00AF6861">
              <w:rPr>
                <w:noProof/>
                <w:sz w:val="20"/>
                <w:lang w:val="en-GB"/>
              </w:rPr>
              <w:noBreakHyphen/>
            </w:r>
            <w:r w:rsidRPr="00AF6861">
              <w:rPr>
                <w:rFonts w:eastAsia="Calibri"/>
                <w:noProof/>
                <w:sz w:val="20"/>
              </w:rPr>
              <w:t xml:space="preserve">administer </w:t>
            </w:r>
            <w:r w:rsidR="00194D66">
              <w:rPr>
                <w:rFonts w:eastAsia="Calibri"/>
                <w:noProof/>
                <w:sz w:val="20"/>
              </w:rPr>
              <w:t>OLYSIO</w:t>
            </w:r>
            <w:r w:rsidRPr="00AF6861">
              <w:rPr>
                <w:rFonts w:eastAsia="Calibri"/>
                <w:noProof/>
                <w:sz w:val="20"/>
              </w:rPr>
              <w:t xml:space="preserve"> with </w:t>
            </w:r>
            <w:r w:rsidRPr="00AF6861">
              <w:rPr>
                <w:noProof/>
                <w:sz w:val="20"/>
              </w:rPr>
              <w:t>erythromycin.</w:t>
            </w:r>
          </w:p>
        </w:tc>
      </w:tr>
      <w:tr w:rsidR="003B0A62" w:rsidRPr="00AF6861" w:rsidTr="00E529B9">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Clarithromycin</w:t>
            </w:r>
          </w:p>
          <w:p w:rsidR="003B0A62" w:rsidRPr="00AF6861" w:rsidRDefault="003B0A62" w:rsidP="003B0A62">
            <w:pPr>
              <w:rPr>
                <w:noProof/>
                <w:sz w:val="20"/>
              </w:rPr>
            </w:pPr>
            <w:r w:rsidRPr="00AF6861">
              <w:rPr>
                <w:noProof/>
                <w:sz w:val="20"/>
              </w:rPr>
              <w:t>Telithromycin</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autoSpaceDE w:val="0"/>
              <w:autoSpaceDN w:val="0"/>
              <w:adjustRightInd w:val="0"/>
              <w:ind w:left="127" w:right="162"/>
              <w:rPr>
                <w:noProof/>
                <w:sz w:val="20"/>
              </w:rPr>
            </w:pPr>
            <w:r w:rsidRPr="00AF6861">
              <w:rPr>
                <w:noProof/>
                <w:sz w:val="20"/>
              </w:rPr>
              <w:t xml:space="preserve">Concomitant use of </w:t>
            </w:r>
            <w:r w:rsidR="00194D66">
              <w:rPr>
                <w:noProof/>
                <w:sz w:val="20"/>
              </w:rPr>
              <w:t>OLYSIO</w:t>
            </w:r>
            <w:r w:rsidRPr="00AF6861">
              <w:rPr>
                <w:noProof/>
                <w:sz w:val="20"/>
                <w:lang w:val="en-GB"/>
              </w:rPr>
              <w:t xml:space="preserve"> </w:t>
            </w:r>
            <w:r w:rsidRPr="00AF6861">
              <w:rPr>
                <w:noProof/>
                <w:sz w:val="20"/>
              </w:rPr>
              <w:t xml:space="preserve">with clarithromycin or telithromycin may result in increased plasma concentrations of simeprevir due to CYP3A inhibition by these antibiotics. </w:t>
            </w:r>
            <w:r w:rsidRPr="00AF6861">
              <w:rPr>
                <w:noProof/>
                <w:sz w:val="20"/>
                <w:lang w:val="en-GB"/>
              </w:rPr>
              <w:t>It is not recommended to co</w:t>
            </w:r>
            <w:r w:rsidRPr="00AF6861">
              <w:rPr>
                <w:noProof/>
                <w:sz w:val="20"/>
                <w:lang w:val="en-GB"/>
              </w:rPr>
              <w:noBreakHyphen/>
              <w:t xml:space="preserve">administer </w:t>
            </w:r>
            <w:r w:rsidR="00194D66">
              <w:rPr>
                <w:noProof/>
                <w:sz w:val="20"/>
                <w:lang w:val="en-GB"/>
              </w:rPr>
              <w:t>OLYSIO</w:t>
            </w:r>
            <w:r w:rsidRPr="00AF6861">
              <w:rPr>
                <w:noProof/>
                <w:sz w:val="20"/>
                <w:lang w:val="en-GB"/>
              </w:rPr>
              <w:t xml:space="preserve"> with </w:t>
            </w:r>
            <w:r w:rsidRPr="00AF6861">
              <w:rPr>
                <w:noProof/>
                <w:sz w:val="20"/>
              </w:rPr>
              <w:t xml:space="preserve">clarithromycin or telithromycin. </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bCs/>
                <w:noProof/>
                <w:sz w:val="20"/>
              </w:rPr>
            </w:pPr>
            <w:r w:rsidRPr="00AF6861">
              <w:rPr>
                <w:b/>
                <w:bCs/>
                <w:noProof/>
                <w:sz w:val="20"/>
              </w:rPr>
              <w:t>Antifungals (oral administration)</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Itraconazole</w:t>
            </w:r>
          </w:p>
          <w:p w:rsidR="003B0A62" w:rsidRPr="00AF6861" w:rsidRDefault="003B0A62" w:rsidP="003B0A62">
            <w:pPr>
              <w:rPr>
                <w:noProof/>
                <w:sz w:val="20"/>
              </w:rPr>
            </w:pPr>
            <w:r w:rsidRPr="00AF6861">
              <w:rPr>
                <w:noProof/>
                <w:sz w:val="20"/>
              </w:rPr>
              <w:t>Ketoconazole</w:t>
            </w:r>
          </w:p>
          <w:p w:rsidR="003B0A62" w:rsidRPr="00AF6861" w:rsidRDefault="003B0A62" w:rsidP="003B0A62">
            <w:pPr>
              <w:rPr>
                <w:noProof/>
                <w:sz w:val="20"/>
              </w:rPr>
            </w:pPr>
            <w:r w:rsidRPr="00AF6861">
              <w:rPr>
                <w:noProof/>
                <w:sz w:val="20"/>
              </w:rPr>
              <w:t>Posaconazole</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autoSpaceDE w:val="0"/>
              <w:autoSpaceDN w:val="0"/>
              <w:adjustRightInd w:val="0"/>
              <w:ind w:left="127" w:right="162"/>
              <w:rPr>
                <w:noProof/>
                <w:sz w:val="20"/>
                <w:lang w:val="en-GB"/>
              </w:rPr>
            </w:pPr>
            <w:r w:rsidRPr="00AF6861">
              <w:rPr>
                <w:noProof/>
                <w:sz w:val="20"/>
                <w:lang w:val="en-GB"/>
              </w:rPr>
              <w:t xml:space="preserve">Concomitant use of </w:t>
            </w:r>
            <w:r w:rsidR="00194D66">
              <w:rPr>
                <w:noProof/>
                <w:sz w:val="20"/>
              </w:rPr>
              <w:t>OLYSIO</w:t>
            </w:r>
            <w:r w:rsidRPr="00AF6861">
              <w:rPr>
                <w:noProof/>
                <w:sz w:val="20"/>
                <w:lang w:val="en-GB"/>
              </w:rPr>
              <w:t xml:space="preserve"> with systemic </w:t>
            </w:r>
            <w:proofErr w:type="spellStart"/>
            <w:r w:rsidRPr="00AF6861">
              <w:rPr>
                <w:rFonts w:eastAsia="TimesNewRoman"/>
                <w:sz w:val="20"/>
              </w:rPr>
              <w:t>itraconazole</w:t>
            </w:r>
            <w:proofErr w:type="spellEnd"/>
            <w:r w:rsidRPr="00AF6861">
              <w:rPr>
                <w:rFonts w:eastAsia="TimesNewRoman"/>
                <w:sz w:val="20"/>
              </w:rPr>
              <w:t xml:space="preserve">, ketoconazole or </w:t>
            </w:r>
            <w:proofErr w:type="spellStart"/>
            <w:r w:rsidRPr="00AF6861">
              <w:rPr>
                <w:rFonts w:eastAsia="TimesNewRoman"/>
                <w:sz w:val="20"/>
              </w:rPr>
              <w:t>posaconazole</w:t>
            </w:r>
            <w:proofErr w:type="spellEnd"/>
            <w:r w:rsidRPr="00AF6861">
              <w:rPr>
                <w:rFonts w:eastAsia="TimesNewRoman"/>
                <w:sz w:val="20"/>
              </w:rPr>
              <w:t xml:space="preserve"> </w:t>
            </w:r>
            <w:r w:rsidRPr="00AF6861">
              <w:rPr>
                <w:noProof/>
                <w:sz w:val="20"/>
                <w:lang w:val="en-GB"/>
              </w:rPr>
              <w:t>may result in significantly increased plasma concentrations of simeprevir due to strong CYP3A inhibition by these antifungals. It is not recommended to co</w:t>
            </w:r>
            <w:r w:rsidRPr="00AF6861">
              <w:rPr>
                <w:noProof/>
                <w:sz w:val="20"/>
                <w:lang w:val="en-GB"/>
              </w:rPr>
              <w:noBreakHyphen/>
              <w:t xml:space="preserve">administer </w:t>
            </w:r>
            <w:r w:rsidR="00194D66">
              <w:rPr>
                <w:noProof/>
                <w:sz w:val="20"/>
                <w:lang w:val="en-GB"/>
              </w:rPr>
              <w:t>OLYSIO</w:t>
            </w:r>
            <w:r w:rsidRPr="00AF6861">
              <w:rPr>
                <w:noProof/>
                <w:sz w:val="20"/>
                <w:lang w:val="en-GB"/>
              </w:rPr>
              <w:t xml:space="preserve"> with</w:t>
            </w:r>
            <w:r w:rsidRPr="00AF6861">
              <w:rPr>
                <w:rFonts w:eastAsia="TimesNewRoman"/>
                <w:sz w:val="20"/>
              </w:rPr>
              <w:t xml:space="preserve"> systemic </w:t>
            </w:r>
            <w:proofErr w:type="spellStart"/>
            <w:r w:rsidRPr="00AF6861">
              <w:rPr>
                <w:rFonts w:eastAsia="TimesNewRoman"/>
                <w:sz w:val="20"/>
              </w:rPr>
              <w:t>itraconazole</w:t>
            </w:r>
            <w:proofErr w:type="spellEnd"/>
            <w:r w:rsidRPr="00AF6861">
              <w:rPr>
                <w:rFonts w:eastAsia="TimesNewRoman"/>
                <w:sz w:val="20"/>
              </w:rPr>
              <w:t xml:space="preserve">, ketoconazole or </w:t>
            </w:r>
            <w:proofErr w:type="spellStart"/>
            <w:r w:rsidRPr="00AF6861">
              <w:rPr>
                <w:rFonts w:eastAsia="TimesNewRoman"/>
                <w:sz w:val="20"/>
              </w:rPr>
              <w:t>posaconazole</w:t>
            </w:r>
            <w:proofErr w:type="spellEnd"/>
            <w:r w:rsidRPr="00AF6861">
              <w:rPr>
                <w:rFonts w:eastAsia="TimesNewRoman"/>
                <w:sz w:val="20"/>
              </w:rPr>
              <w:t>.</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Voriconazole</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autoSpaceDE w:val="0"/>
              <w:autoSpaceDN w:val="0"/>
              <w:adjustRightInd w:val="0"/>
              <w:ind w:left="127" w:right="162"/>
              <w:rPr>
                <w:noProof/>
                <w:sz w:val="20"/>
                <w:lang w:val="en-GB"/>
              </w:rPr>
            </w:pPr>
            <w:r w:rsidRPr="00AF6861">
              <w:rPr>
                <w:noProof/>
                <w:sz w:val="20"/>
                <w:lang w:val="en-GB"/>
              </w:rPr>
              <w:t xml:space="preserve">Concomitant use of </w:t>
            </w:r>
            <w:r w:rsidR="00194D66">
              <w:rPr>
                <w:noProof/>
                <w:sz w:val="20"/>
              </w:rPr>
              <w:t>OLYSIO</w:t>
            </w:r>
            <w:r w:rsidRPr="00AF6861">
              <w:rPr>
                <w:noProof/>
                <w:sz w:val="20"/>
                <w:lang w:val="en-GB"/>
              </w:rPr>
              <w:t xml:space="preserve"> with voriconazole may result in increased plasma concentrations of simeprevir due to mild to moderate CYP3A inhibition by voriconazole. It is not recommended to co</w:t>
            </w:r>
            <w:r w:rsidRPr="00AF6861">
              <w:rPr>
                <w:noProof/>
                <w:sz w:val="20"/>
                <w:lang w:val="en-GB"/>
              </w:rPr>
              <w:noBreakHyphen/>
              <w:t xml:space="preserve">administer </w:t>
            </w:r>
            <w:r w:rsidR="00194D66">
              <w:rPr>
                <w:noProof/>
                <w:sz w:val="20"/>
                <w:lang w:val="en-GB"/>
              </w:rPr>
              <w:t>OLYSIO</w:t>
            </w:r>
            <w:r w:rsidRPr="00AF6861">
              <w:rPr>
                <w:noProof/>
                <w:sz w:val="20"/>
                <w:lang w:val="en-GB"/>
              </w:rPr>
              <w:t xml:space="preserve"> with </w:t>
            </w:r>
            <w:proofErr w:type="spellStart"/>
            <w:r w:rsidRPr="00AF6861">
              <w:rPr>
                <w:rFonts w:eastAsia="TimesNewRoman"/>
                <w:sz w:val="20"/>
              </w:rPr>
              <w:t>voriconazole</w:t>
            </w:r>
            <w:proofErr w:type="spellEnd"/>
            <w:r w:rsidRPr="00AF6861">
              <w:rPr>
                <w:rFonts w:eastAsia="TimesNewRoman"/>
                <w:sz w:val="20"/>
              </w:rPr>
              <w:t>.</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Fluconazole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autoSpaceDE w:val="0"/>
              <w:autoSpaceDN w:val="0"/>
              <w:adjustRightInd w:val="0"/>
              <w:ind w:left="127" w:right="162"/>
              <w:rPr>
                <w:noProof/>
                <w:sz w:val="20"/>
                <w:lang w:val="en-GB"/>
              </w:rPr>
            </w:pPr>
            <w:r w:rsidRPr="00AF6861">
              <w:rPr>
                <w:noProof/>
                <w:sz w:val="20"/>
                <w:lang w:val="en-GB"/>
              </w:rPr>
              <w:t xml:space="preserve">Concomitant use of </w:t>
            </w:r>
            <w:r w:rsidR="00194D66">
              <w:rPr>
                <w:noProof/>
                <w:sz w:val="20"/>
              </w:rPr>
              <w:t>OLYSIO</w:t>
            </w:r>
            <w:r w:rsidRPr="00AF6861">
              <w:rPr>
                <w:noProof/>
                <w:sz w:val="20"/>
                <w:lang w:val="en-GB"/>
              </w:rPr>
              <w:t xml:space="preserve"> with fluconazole is not expected to affect plasma exposure of simeprevir. No dose adjustment is required when </w:t>
            </w:r>
            <w:r w:rsidR="00194D66">
              <w:rPr>
                <w:noProof/>
                <w:sz w:val="20"/>
              </w:rPr>
              <w:t>OLYSIO</w:t>
            </w:r>
            <w:r w:rsidRPr="00AF6861">
              <w:rPr>
                <w:noProof/>
                <w:sz w:val="20"/>
                <w:lang w:val="en-GB"/>
              </w:rPr>
              <w:t xml:space="preserve"> is co</w:t>
            </w:r>
            <w:r w:rsidRPr="00AF6861">
              <w:rPr>
                <w:noProof/>
                <w:sz w:val="20"/>
                <w:lang w:val="en-GB"/>
              </w:rPr>
              <w:noBreakHyphen/>
              <w:t>administered with fluconazole.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bCs/>
                <w:noProof/>
                <w:sz w:val="20"/>
              </w:rPr>
            </w:pPr>
            <w:r w:rsidRPr="00AF6861">
              <w:rPr>
                <w:b/>
                <w:bCs/>
                <w:noProof/>
                <w:sz w:val="20"/>
              </w:rPr>
              <w:t>Antimycobacterials</w:t>
            </w:r>
          </w:p>
        </w:tc>
      </w:tr>
      <w:tr w:rsidR="003B0A62" w:rsidRPr="00AF6861" w:rsidTr="00E529B9">
        <w:tblPrEx>
          <w:tblBorders>
            <w:bottom w:val="single" w:sz="4" w:space="0" w:color="auto"/>
          </w:tblBorders>
        </w:tblPrEx>
        <w:trPr>
          <w:cantSplit/>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Rifampicin/</w:t>
            </w:r>
          </w:p>
          <w:p w:rsidR="003B0A62" w:rsidRPr="00AF6861" w:rsidRDefault="003B0A62" w:rsidP="003B0A62">
            <w:pPr>
              <w:rPr>
                <w:noProof/>
                <w:sz w:val="20"/>
              </w:rPr>
            </w:pPr>
            <w:r w:rsidRPr="00AF6861">
              <w:rPr>
                <w:noProof/>
                <w:sz w:val="20"/>
              </w:rPr>
              <w:t>Rifampin</w:t>
            </w:r>
            <w:r w:rsidRPr="00AF6861">
              <w:rPr>
                <w:noProof/>
                <w:sz w:val="20"/>
                <w:vertAlign w:val="superscript"/>
              </w:rPr>
              <w:t>1,2</w:t>
            </w:r>
          </w:p>
        </w:tc>
        <w:tc>
          <w:tcPr>
            <w:tcW w:w="1701"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600 mg once daily</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kern w:val="22"/>
                <w:sz w:val="20"/>
              </w:rPr>
            </w:pPr>
            <w:r w:rsidRPr="00AF6861">
              <w:rPr>
                <w:noProof/>
                <w:kern w:val="22"/>
                <w:sz w:val="20"/>
              </w:rPr>
              <w:t>rifampin</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0.92</w:t>
            </w:r>
          </w:p>
          <w:p w:rsidR="003B0A62" w:rsidRPr="00AF6861" w:rsidRDefault="003B0A62" w:rsidP="003B0A62">
            <w:pPr>
              <w:jc w:val="center"/>
              <w:rPr>
                <w:noProof/>
                <w:sz w:val="20"/>
              </w:rPr>
            </w:pPr>
            <w:r w:rsidRPr="00AF6861">
              <w:rPr>
                <w:noProof/>
                <w:sz w:val="20"/>
              </w:rPr>
              <w:t>(0.80</w:t>
            </w:r>
            <w:r w:rsidRPr="00AF6861">
              <w:rPr>
                <w:noProof/>
                <w:sz w:val="20"/>
              </w:rPr>
              <w:noBreakHyphen/>
              <w:t>1.0</w:t>
            </w:r>
            <w:r>
              <w:rPr>
                <w:noProof/>
                <w:sz w:val="20"/>
              </w:rPr>
              <w:t>7</w:t>
            </w:r>
            <w:r w:rsidRPr="00AF6861">
              <w:rPr>
                <w:noProof/>
                <w:sz w:val="20"/>
              </w:rPr>
              <w:t>)</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1.00</w:t>
            </w:r>
          </w:p>
          <w:p w:rsidR="003B0A62" w:rsidRPr="00AF6861" w:rsidRDefault="003B0A62" w:rsidP="003B0A62">
            <w:pPr>
              <w:jc w:val="center"/>
              <w:rPr>
                <w:noProof/>
                <w:sz w:val="20"/>
              </w:rPr>
            </w:pPr>
            <w:r w:rsidRPr="00AF6861">
              <w:rPr>
                <w:noProof/>
                <w:sz w:val="20"/>
              </w:rPr>
              <w:t>(0.93</w:t>
            </w:r>
            <w:r w:rsidRPr="00AF6861">
              <w:rPr>
                <w:noProof/>
                <w:sz w:val="20"/>
              </w:rPr>
              <w:noBreakHyphen/>
              <w:t>1.08)</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pStyle w:val="EndnoteText"/>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Del="00596D0F"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25</w:t>
            </w:r>
            <w:r w:rsidRPr="00AF6861">
              <w:rPr>
                <w:noProof/>
                <w:sz w:val="20"/>
              </w:rPr>
              <w:noBreakHyphen/>
              <w:t>desacetyl</w:t>
            </w:r>
            <w:r w:rsidRPr="00AF6861">
              <w:rPr>
                <w:noProof/>
                <w:sz w:val="20"/>
              </w:rPr>
              <w:noBreakHyphen/>
            </w:r>
          </w:p>
          <w:p w:rsidR="003B0A62" w:rsidRPr="00AF6861" w:rsidRDefault="003B0A62" w:rsidP="003B0A62">
            <w:pPr>
              <w:jc w:val="center"/>
              <w:rPr>
                <w:noProof/>
                <w:sz w:val="20"/>
              </w:rPr>
            </w:pPr>
            <w:r w:rsidRPr="00AF6861">
              <w:rPr>
                <w:noProof/>
                <w:sz w:val="20"/>
              </w:rPr>
              <w:t>rifampin</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1.08</w:t>
            </w:r>
          </w:p>
          <w:p w:rsidR="003B0A62" w:rsidRPr="00AF6861" w:rsidRDefault="003B0A62" w:rsidP="003B0A62">
            <w:pPr>
              <w:jc w:val="center"/>
              <w:rPr>
                <w:noProof/>
                <w:sz w:val="20"/>
              </w:rPr>
            </w:pPr>
            <w:r w:rsidRPr="00AF6861">
              <w:rPr>
                <w:noProof/>
                <w:sz w:val="20"/>
              </w:rPr>
              <w:t>(0.98</w:t>
            </w:r>
            <w:r w:rsidRPr="00AF6861">
              <w:rPr>
                <w:noProof/>
                <w:sz w:val="20"/>
              </w:rPr>
              <w:noBreakHyphen/>
              <w:t>1.19)</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1.24</w:t>
            </w:r>
          </w:p>
          <w:p w:rsidR="003B0A62" w:rsidRPr="00AF6861" w:rsidRDefault="003B0A62" w:rsidP="003B0A62">
            <w:pPr>
              <w:jc w:val="center"/>
              <w:rPr>
                <w:noProof/>
                <w:sz w:val="20"/>
              </w:rPr>
            </w:pPr>
            <w:r w:rsidRPr="00AF6861">
              <w:rPr>
                <w:noProof/>
                <w:sz w:val="20"/>
              </w:rPr>
              <w:t>(1.13</w:t>
            </w:r>
            <w:r w:rsidRPr="00AF6861">
              <w:rPr>
                <w:noProof/>
                <w:sz w:val="20"/>
              </w:rPr>
              <w:noBreakHyphen/>
              <w:t>1.36)</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pStyle w:val="EndnoteText"/>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1.31</w:t>
            </w:r>
          </w:p>
          <w:p w:rsidR="003B0A62" w:rsidRPr="00AF6861" w:rsidRDefault="003B0A62" w:rsidP="003B0A62">
            <w:pPr>
              <w:jc w:val="center"/>
              <w:rPr>
                <w:noProof/>
                <w:sz w:val="20"/>
              </w:rPr>
            </w:pPr>
            <w:r w:rsidRPr="00AF6861">
              <w:rPr>
                <w:noProof/>
                <w:sz w:val="20"/>
              </w:rPr>
              <w:t>(1.03</w:t>
            </w:r>
            <w:r w:rsidRPr="00AF6861">
              <w:rPr>
                <w:noProof/>
                <w:sz w:val="20"/>
              </w:rPr>
              <w:noBreakHyphen/>
              <w:t>1.66)</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0.52</w:t>
            </w:r>
          </w:p>
          <w:p w:rsidR="003B0A62" w:rsidRPr="00AF6861" w:rsidRDefault="003B0A62" w:rsidP="003B0A62">
            <w:pPr>
              <w:jc w:val="center"/>
              <w:rPr>
                <w:noProof/>
                <w:sz w:val="20"/>
              </w:rPr>
            </w:pPr>
            <w:r w:rsidRPr="00AF6861">
              <w:rPr>
                <w:noProof/>
                <w:sz w:val="20"/>
              </w:rPr>
              <w:t>(0.41</w:t>
            </w:r>
            <w:r w:rsidRPr="00AF6861">
              <w:rPr>
                <w:noProof/>
                <w:sz w:val="20"/>
              </w:rPr>
              <w:noBreakHyphen/>
              <w:t>0.67)</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0.08</w:t>
            </w:r>
          </w:p>
          <w:p w:rsidR="003B0A62" w:rsidRPr="00AF6861" w:rsidRDefault="003B0A62" w:rsidP="003B0A62">
            <w:pPr>
              <w:jc w:val="center"/>
              <w:rPr>
                <w:noProof/>
                <w:sz w:val="20"/>
              </w:rPr>
            </w:pPr>
            <w:r w:rsidRPr="00AF6861">
              <w:rPr>
                <w:noProof/>
                <w:sz w:val="20"/>
              </w:rPr>
              <w:t>(0.06</w:t>
            </w:r>
            <w:r w:rsidRPr="00AF6861">
              <w:rPr>
                <w:noProof/>
                <w:sz w:val="20"/>
              </w:rPr>
              <w:noBreakHyphen/>
              <w:t>0.11)</w:t>
            </w:r>
          </w:p>
        </w:tc>
      </w:tr>
      <w:tr w:rsidR="003B0A62" w:rsidRPr="00AF6861" w:rsidTr="00E529B9">
        <w:tblPrEx>
          <w:tblBorders>
            <w:bottom w:val="single" w:sz="4" w:space="0" w:color="auto"/>
          </w:tblBorders>
        </w:tblPrEx>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pStyle w:val="EndnoteText"/>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 xml:space="preserve">Concomitant use of </w:t>
            </w:r>
            <w:r w:rsidR="00194D66">
              <w:rPr>
                <w:noProof/>
                <w:sz w:val="20"/>
              </w:rPr>
              <w:t>OLYSIO</w:t>
            </w:r>
            <w:r w:rsidRPr="00AF6861">
              <w:rPr>
                <w:noProof/>
                <w:sz w:val="20"/>
                <w:lang w:val="en-GB"/>
              </w:rPr>
              <w:t xml:space="preserve"> </w:t>
            </w:r>
            <w:r w:rsidRPr="00AF6861">
              <w:rPr>
                <w:noProof/>
                <w:sz w:val="20"/>
              </w:rPr>
              <w:t xml:space="preserve">with rifampicin/rifampin resulted in significantly decreased plasma concentrations of simeprevir due to CYP3A4 induction by rifampicin/rifampin. This may result in loss of therapeutic effect of </w:t>
            </w:r>
            <w:r w:rsidR="00194D66">
              <w:rPr>
                <w:noProof/>
                <w:sz w:val="20"/>
              </w:rPr>
              <w:t>OLYSIO</w:t>
            </w:r>
            <w:r w:rsidRPr="00AF6861">
              <w:rPr>
                <w:noProof/>
                <w:sz w:val="20"/>
              </w:rPr>
              <w:t>. It is not recommended to co</w:t>
            </w:r>
            <w:r w:rsidRPr="00AF6861">
              <w:rPr>
                <w:noProof/>
                <w:sz w:val="20"/>
                <w:lang w:val="en-GB"/>
              </w:rPr>
              <w:noBreakHyphen/>
            </w:r>
            <w:r w:rsidRPr="00AF6861">
              <w:rPr>
                <w:noProof/>
                <w:sz w:val="20"/>
              </w:rPr>
              <w:t xml:space="preserve">administer </w:t>
            </w:r>
            <w:r w:rsidR="00194D66">
              <w:rPr>
                <w:noProof/>
                <w:sz w:val="20"/>
              </w:rPr>
              <w:t>OLYSIO</w:t>
            </w:r>
            <w:r w:rsidRPr="00AF6861">
              <w:rPr>
                <w:noProof/>
                <w:sz w:val="20"/>
                <w:lang w:val="en-GB"/>
              </w:rPr>
              <w:t xml:space="preserve"> </w:t>
            </w:r>
            <w:r w:rsidRPr="00AF6861">
              <w:rPr>
                <w:noProof/>
                <w:sz w:val="20"/>
              </w:rPr>
              <w:t xml:space="preserve">with rifampicin/rifampin. </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8226AB" w:rsidRDefault="003B0A62" w:rsidP="008226AB">
            <w:pPr>
              <w:pStyle w:val="Default"/>
            </w:pPr>
            <w:proofErr w:type="spellStart"/>
            <w:r w:rsidRPr="008226AB">
              <w:t>Rifabutin</w:t>
            </w:r>
            <w:proofErr w:type="spellEnd"/>
          </w:p>
          <w:p w:rsidR="003B0A62" w:rsidRPr="00AF6861" w:rsidRDefault="003B0A62" w:rsidP="008226AB">
            <w:pPr>
              <w:pStyle w:val="Default"/>
              <w:rPr>
                <w:noProof/>
              </w:rPr>
            </w:pPr>
            <w:proofErr w:type="spellStart"/>
            <w:r w:rsidRPr="008226AB">
              <w:t>Rifapentine</w:t>
            </w:r>
            <w:proofErr w:type="spellEnd"/>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Concomitant use of </w:t>
            </w:r>
            <w:r w:rsidR="00194D66">
              <w:rPr>
                <w:noProof/>
                <w:sz w:val="20"/>
              </w:rPr>
              <w:t>OLYSIO</w:t>
            </w:r>
            <w:r w:rsidRPr="00AF6861">
              <w:rPr>
                <w:noProof/>
                <w:sz w:val="20"/>
                <w:lang w:val="en-GB"/>
              </w:rPr>
              <w:t xml:space="preserve"> </w:t>
            </w:r>
            <w:r w:rsidRPr="00AF6861">
              <w:rPr>
                <w:noProof/>
                <w:sz w:val="20"/>
              </w:rPr>
              <w:t xml:space="preserve">with rifabutin or rifapentine may result in significantly decreased plasma concentrations of simeprevir due to CYP3A4 induction by these antimycobacterials. This may result in loss of therapeutic effect of </w:t>
            </w:r>
            <w:r w:rsidR="00194D66">
              <w:rPr>
                <w:noProof/>
                <w:sz w:val="20"/>
              </w:rPr>
              <w:t>OLYSIO</w:t>
            </w:r>
            <w:r w:rsidRPr="00AF6861">
              <w:rPr>
                <w:noProof/>
                <w:sz w:val="20"/>
              </w:rPr>
              <w:t>. It is not recommended to co</w:t>
            </w:r>
            <w:r w:rsidRPr="00AF6861">
              <w:rPr>
                <w:noProof/>
                <w:sz w:val="20"/>
                <w:lang w:val="en-GB"/>
              </w:rPr>
              <w:noBreakHyphen/>
            </w:r>
            <w:r w:rsidRPr="00AF6861">
              <w:rPr>
                <w:noProof/>
                <w:sz w:val="20"/>
              </w:rPr>
              <w:t xml:space="preserve">administer </w:t>
            </w:r>
            <w:r w:rsidR="00194D66">
              <w:rPr>
                <w:noProof/>
                <w:sz w:val="20"/>
              </w:rPr>
              <w:t>OLYSIO</w:t>
            </w:r>
            <w:r w:rsidRPr="00AF6861">
              <w:rPr>
                <w:noProof/>
                <w:sz w:val="20"/>
                <w:lang w:val="en-GB"/>
              </w:rPr>
              <w:t xml:space="preserve"> </w:t>
            </w:r>
            <w:r w:rsidRPr="00AF6861">
              <w:rPr>
                <w:noProof/>
                <w:sz w:val="20"/>
              </w:rPr>
              <w:t xml:space="preserve">with rifabutin or rifapentine. </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ANTITUSSIVE</w:t>
            </w:r>
          </w:p>
        </w:tc>
      </w:tr>
      <w:tr w:rsidR="003B0A62" w:rsidRPr="00AF6861" w:rsidTr="00E529B9">
        <w:tblPrEx>
          <w:tblBorders>
            <w:bottom w:val="single" w:sz="4" w:space="0" w:color="auto"/>
          </w:tblBorders>
        </w:tblPrEx>
        <w:trPr>
          <w:cantSplit/>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Dextromethorphan (DXM)</w:t>
            </w:r>
            <w:r w:rsidRPr="00AF6861">
              <w:rPr>
                <w:noProof/>
                <w:sz w:val="20"/>
                <w:vertAlign w:val="superscript"/>
              </w:rPr>
              <w:t>1</w:t>
            </w:r>
          </w:p>
        </w:tc>
        <w:tc>
          <w:tcPr>
            <w:tcW w:w="1701" w:type="dxa"/>
            <w:gridSpan w:val="2"/>
            <w:vMerge w:val="restart"/>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30 mg</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DXM</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1.21</w:t>
            </w:r>
          </w:p>
          <w:p w:rsidR="003B0A62" w:rsidRPr="00AF6861" w:rsidRDefault="003B0A62" w:rsidP="003B0A62">
            <w:pPr>
              <w:jc w:val="center"/>
              <w:rPr>
                <w:noProof/>
                <w:sz w:val="20"/>
              </w:rPr>
            </w:pPr>
            <w:r w:rsidRPr="00AF6861">
              <w:rPr>
                <w:noProof/>
                <w:sz w:val="20"/>
              </w:rPr>
              <w:t>(0.93</w:t>
            </w:r>
            <w:r w:rsidRPr="00AF6861">
              <w:rPr>
                <w:noProof/>
                <w:sz w:val="20"/>
              </w:rPr>
              <w:noBreakHyphen/>
              <w:t>1.57)</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1.08</w:t>
            </w:r>
          </w:p>
          <w:p w:rsidR="003B0A62" w:rsidRPr="00AF6861" w:rsidRDefault="003B0A62" w:rsidP="003B0A62">
            <w:pPr>
              <w:jc w:val="center"/>
              <w:rPr>
                <w:noProof/>
                <w:sz w:val="20"/>
              </w:rPr>
            </w:pPr>
            <w:r w:rsidRPr="00AF6861">
              <w:rPr>
                <w:noProof/>
                <w:sz w:val="20"/>
              </w:rPr>
              <w:t>(0.87</w:t>
            </w:r>
            <w:r w:rsidRPr="00AF6861">
              <w:rPr>
                <w:noProof/>
                <w:sz w:val="20"/>
              </w:rPr>
              <w:noBreakHyphen/>
              <w:t>1.35)</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dextrorphan</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1.03</w:t>
            </w:r>
          </w:p>
          <w:p w:rsidR="003B0A62" w:rsidRPr="00AF6861" w:rsidRDefault="003B0A62" w:rsidP="003B0A62">
            <w:pPr>
              <w:jc w:val="center"/>
              <w:rPr>
                <w:noProof/>
                <w:sz w:val="20"/>
              </w:rPr>
            </w:pPr>
            <w:r w:rsidRPr="00AF6861">
              <w:rPr>
                <w:noProof/>
                <w:sz w:val="20"/>
              </w:rPr>
              <w:t>(0.93</w:t>
            </w:r>
            <w:r w:rsidRPr="00AF6861">
              <w:rPr>
                <w:noProof/>
                <w:sz w:val="20"/>
              </w:rPr>
              <w:noBreakHyphen/>
              <w:t>1.15)</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1.09</w:t>
            </w:r>
          </w:p>
          <w:p w:rsidR="003B0A62" w:rsidRPr="00AF6861" w:rsidRDefault="003B0A62" w:rsidP="003B0A62">
            <w:pPr>
              <w:jc w:val="center"/>
              <w:rPr>
                <w:noProof/>
                <w:sz w:val="20"/>
              </w:rPr>
            </w:pPr>
            <w:r w:rsidRPr="00AF6861">
              <w:rPr>
                <w:noProof/>
                <w:sz w:val="20"/>
              </w:rPr>
              <w:t>(1.03</w:t>
            </w:r>
            <w:r w:rsidRPr="00AF6861">
              <w:rPr>
                <w:noProof/>
                <w:sz w:val="20"/>
              </w:rPr>
              <w:noBreakHyphen/>
              <w:t>1.15)</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Default"/>
              <w:ind w:left="127" w:right="162"/>
              <w:jc w:val="both"/>
              <w:rPr>
                <w:noProof/>
                <w:color w:val="auto"/>
                <w:szCs w:val="20"/>
                <w:lang w:val="en-GB"/>
              </w:rPr>
            </w:pPr>
            <w:r w:rsidRPr="00AF6861">
              <w:rPr>
                <w:noProof/>
                <w:color w:val="auto"/>
                <w:szCs w:val="20"/>
                <w:lang w:val="en-GB"/>
              </w:rPr>
              <w:t xml:space="preserve">No dose adjustment is required when </w:t>
            </w:r>
            <w:r w:rsidR="00194D66">
              <w:rPr>
                <w:noProof/>
                <w:color w:val="auto"/>
                <w:szCs w:val="20"/>
              </w:rPr>
              <w:t>OLYSIO</w:t>
            </w:r>
            <w:r w:rsidRPr="00AF6861">
              <w:rPr>
                <w:noProof/>
                <w:color w:val="auto"/>
                <w:szCs w:val="20"/>
                <w:lang w:val="en-GB"/>
              </w:rPr>
              <w:t xml:space="preserve"> is co</w:t>
            </w:r>
            <w:r w:rsidRPr="00AF6861">
              <w:rPr>
                <w:noProof/>
                <w:color w:val="auto"/>
                <w:szCs w:val="20"/>
                <w:lang w:val="en-GB"/>
              </w:rPr>
              <w:noBreakHyphen/>
              <w:t>administered with dextromethorphan.</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CALCIUM CHANNEL BLOCKERS</w:t>
            </w:r>
          </w:p>
        </w:tc>
      </w:tr>
      <w:tr w:rsidR="003B0A62" w:rsidRPr="00AF6861" w:rsidTr="00E529B9">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Amlodipine</w:t>
            </w:r>
          </w:p>
          <w:p w:rsidR="003B0A62" w:rsidRPr="00AF6861" w:rsidRDefault="003B0A62" w:rsidP="003B0A62">
            <w:pPr>
              <w:rPr>
                <w:noProof/>
                <w:sz w:val="20"/>
              </w:rPr>
            </w:pPr>
            <w:r w:rsidRPr="00AF6861">
              <w:rPr>
                <w:noProof/>
                <w:sz w:val="20"/>
              </w:rPr>
              <w:t>Bepridil</w:t>
            </w:r>
          </w:p>
          <w:p w:rsidR="003B0A62" w:rsidRPr="00AF6861" w:rsidRDefault="003B0A62" w:rsidP="003B0A62">
            <w:pPr>
              <w:rPr>
                <w:noProof/>
                <w:sz w:val="20"/>
              </w:rPr>
            </w:pPr>
            <w:r w:rsidRPr="00AF6861">
              <w:rPr>
                <w:noProof/>
                <w:sz w:val="20"/>
              </w:rPr>
              <w:t>Diltiazem</w:t>
            </w:r>
          </w:p>
          <w:p w:rsidR="003B0A62" w:rsidRPr="00AF6861" w:rsidRDefault="003B0A62" w:rsidP="003B0A62">
            <w:pPr>
              <w:rPr>
                <w:noProof/>
                <w:sz w:val="20"/>
              </w:rPr>
            </w:pPr>
            <w:r w:rsidRPr="00AF6861">
              <w:rPr>
                <w:noProof/>
                <w:sz w:val="20"/>
              </w:rPr>
              <w:t>Felodipine</w:t>
            </w:r>
          </w:p>
          <w:p w:rsidR="003B0A62" w:rsidRPr="00AF6861" w:rsidRDefault="003B0A62" w:rsidP="003B0A62">
            <w:pPr>
              <w:rPr>
                <w:noProof/>
                <w:sz w:val="20"/>
              </w:rPr>
            </w:pPr>
            <w:r w:rsidRPr="00AF6861">
              <w:rPr>
                <w:noProof/>
                <w:sz w:val="20"/>
              </w:rPr>
              <w:t>Nicardipine</w:t>
            </w:r>
          </w:p>
          <w:p w:rsidR="003B0A62" w:rsidRPr="00AF6861" w:rsidRDefault="003B0A62" w:rsidP="003B0A62">
            <w:pPr>
              <w:rPr>
                <w:noProof/>
                <w:sz w:val="20"/>
              </w:rPr>
            </w:pPr>
            <w:r w:rsidRPr="00AF6861">
              <w:rPr>
                <w:noProof/>
                <w:sz w:val="20"/>
              </w:rPr>
              <w:t>Nifedipine</w:t>
            </w:r>
          </w:p>
          <w:p w:rsidR="003B0A62" w:rsidRPr="00AF6861" w:rsidRDefault="003B0A62" w:rsidP="003B0A62">
            <w:pPr>
              <w:rPr>
                <w:noProof/>
                <w:sz w:val="20"/>
              </w:rPr>
            </w:pPr>
            <w:r w:rsidRPr="00AF6861">
              <w:rPr>
                <w:noProof/>
                <w:sz w:val="20"/>
              </w:rPr>
              <w:t>Nisoldipine</w:t>
            </w:r>
          </w:p>
          <w:p w:rsidR="003B0A62" w:rsidRPr="00AF6861" w:rsidRDefault="003B0A62" w:rsidP="003B0A62">
            <w:pPr>
              <w:rPr>
                <w:noProof/>
                <w:sz w:val="20"/>
              </w:rPr>
            </w:pPr>
            <w:r w:rsidRPr="00AF6861">
              <w:rPr>
                <w:noProof/>
                <w:sz w:val="20"/>
              </w:rPr>
              <w:t>Verapamil</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autoSpaceDE w:val="0"/>
              <w:autoSpaceDN w:val="0"/>
              <w:adjustRightInd w:val="0"/>
              <w:ind w:left="127" w:right="162"/>
              <w:rPr>
                <w:noProof/>
                <w:sz w:val="20"/>
              </w:rPr>
            </w:pPr>
            <w:r w:rsidRPr="00AF6861">
              <w:rPr>
                <w:noProof/>
                <w:sz w:val="20"/>
              </w:rPr>
              <w:t xml:space="preserve">Concomitant use of </w:t>
            </w:r>
            <w:r w:rsidR="00194D66">
              <w:rPr>
                <w:noProof/>
                <w:sz w:val="20"/>
              </w:rPr>
              <w:t>OLYSIO</w:t>
            </w:r>
            <w:r w:rsidRPr="00AF6861">
              <w:rPr>
                <w:noProof/>
                <w:sz w:val="20"/>
                <w:lang w:val="en-GB"/>
              </w:rPr>
              <w:t xml:space="preserve"> </w:t>
            </w:r>
            <w:r w:rsidRPr="00AF6861">
              <w:rPr>
                <w:noProof/>
                <w:sz w:val="20"/>
              </w:rPr>
              <w:t xml:space="preserve">with calcium channel blockers may result in increased plasma concentrations of calcium channel blockers due to </w:t>
            </w:r>
            <w:r>
              <w:rPr>
                <w:noProof/>
                <w:sz w:val="20"/>
              </w:rPr>
              <w:t>intestinal</w:t>
            </w:r>
            <w:r w:rsidRPr="00AF6861">
              <w:rPr>
                <w:noProof/>
                <w:sz w:val="20"/>
              </w:rPr>
              <w:t xml:space="preserve"> CYP3A4 and/or P</w:t>
            </w:r>
            <w:r w:rsidRPr="00AF6861">
              <w:rPr>
                <w:noProof/>
                <w:sz w:val="20"/>
              </w:rPr>
              <w:noBreakHyphen/>
              <w:t xml:space="preserve">gp inhibition by simeprevir. Caution is warranted and clinical monitoring of patients is recommended when </w:t>
            </w:r>
            <w:r w:rsidR="00194D66">
              <w:rPr>
                <w:noProof/>
                <w:sz w:val="20"/>
              </w:rPr>
              <w:t>OLYSIO</w:t>
            </w:r>
            <w:r w:rsidRPr="00AF6861">
              <w:rPr>
                <w:noProof/>
                <w:sz w:val="20"/>
              </w:rPr>
              <w:t xml:space="preserve"> is co</w:t>
            </w:r>
            <w:r w:rsidRPr="00AF6861">
              <w:rPr>
                <w:noProof/>
                <w:sz w:val="20"/>
                <w:lang w:val="en-GB"/>
              </w:rPr>
              <w:noBreakHyphen/>
            </w:r>
            <w:r w:rsidRPr="00AF6861">
              <w:rPr>
                <w:noProof/>
                <w:sz w:val="20"/>
              </w:rPr>
              <w:t>administered with calcium channel blockers.</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CORTICOSTEROIDS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8936E0">
            <w:pPr>
              <w:pStyle w:val="Default"/>
            </w:pPr>
            <w:r w:rsidRPr="00AF6861">
              <w:t>Systemic</w:t>
            </w:r>
          </w:p>
          <w:p w:rsidR="003B0A62" w:rsidRPr="00AF6861" w:rsidRDefault="003B0A62" w:rsidP="008936E0">
            <w:pPr>
              <w:pStyle w:val="Default"/>
              <w:rPr>
                <w:noProof/>
              </w:rPr>
            </w:pPr>
            <w:r w:rsidRPr="00AF6861">
              <w:t>Dexamethasone</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pPr>
            <w:r w:rsidRPr="00AF6861">
              <w:rPr>
                <w:noProof/>
              </w:rPr>
              <w:t xml:space="preserve">Concomitant use of </w:t>
            </w:r>
            <w:r w:rsidR="00194D66">
              <w:rPr>
                <w:noProof/>
              </w:rPr>
              <w:t>OLYSIO</w:t>
            </w:r>
            <w:r w:rsidRPr="00AF6861">
              <w:rPr>
                <w:noProof/>
                <w:lang w:val="en-GB"/>
              </w:rPr>
              <w:t xml:space="preserve"> </w:t>
            </w:r>
            <w:r w:rsidRPr="00AF6861">
              <w:rPr>
                <w:noProof/>
              </w:rPr>
              <w:t xml:space="preserve">with systemic dexamethasone may result in </w:t>
            </w:r>
            <w:r w:rsidRPr="00AF6861">
              <w:rPr>
                <w:rFonts w:eastAsia="Calibri"/>
                <w:noProof/>
              </w:rPr>
              <w:t xml:space="preserve">decreased plasma concentrations of simeprevir </w:t>
            </w:r>
            <w:r w:rsidRPr="00AF6861">
              <w:rPr>
                <w:noProof/>
              </w:rPr>
              <w:t>due to moderate induction of CYP3A4 by dexamethasone.</w:t>
            </w:r>
            <w:r w:rsidRPr="00AF6861">
              <w:rPr>
                <w:rFonts w:eastAsia="Calibri"/>
                <w:noProof/>
              </w:rPr>
              <w:t xml:space="preserve"> This may result in loss of therapeutic effect of </w:t>
            </w:r>
            <w:r w:rsidR="00194D66">
              <w:rPr>
                <w:rFonts w:eastAsia="Calibri"/>
                <w:noProof/>
              </w:rPr>
              <w:t>OLYSIO</w:t>
            </w:r>
            <w:r w:rsidRPr="00AF6861">
              <w:rPr>
                <w:rFonts w:eastAsia="Calibri"/>
                <w:noProof/>
              </w:rPr>
              <w:t>.</w:t>
            </w:r>
            <w:r w:rsidRPr="00AF6861">
              <w:rPr>
                <w:noProof/>
              </w:rPr>
              <w:t xml:space="preserve"> </w:t>
            </w:r>
            <w:r w:rsidRPr="00AF6861">
              <w:rPr>
                <w:rFonts w:eastAsia="Calibri"/>
                <w:noProof/>
              </w:rPr>
              <w:t>It is not recommended to co</w:t>
            </w:r>
            <w:r w:rsidRPr="00AF6861">
              <w:rPr>
                <w:noProof/>
                <w:lang w:val="en-GB"/>
              </w:rPr>
              <w:noBreakHyphen/>
            </w:r>
            <w:r w:rsidRPr="00AF6861">
              <w:rPr>
                <w:rFonts w:eastAsia="Calibri"/>
                <w:noProof/>
              </w:rPr>
              <w:t xml:space="preserve">administer </w:t>
            </w:r>
            <w:r w:rsidR="00194D66">
              <w:rPr>
                <w:rFonts w:eastAsia="Calibri"/>
                <w:noProof/>
              </w:rPr>
              <w:t>OLYSIO</w:t>
            </w:r>
            <w:r w:rsidRPr="00AF6861">
              <w:rPr>
                <w:rFonts w:eastAsia="Calibri"/>
                <w:noProof/>
              </w:rPr>
              <w:t xml:space="preserve"> with </w:t>
            </w:r>
            <w:r w:rsidRPr="00AF6861">
              <w:rPr>
                <w:noProof/>
              </w:rPr>
              <w:t>systemic dexamethasone</w:t>
            </w:r>
            <w:r w:rsidRPr="00AF6861">
              <w:rPr>
                <w:rFonts w:eastAsia="Calibri"/>
                <w:noProof/>
              </w:rPr>
              <w:t xml:space="preserve">. </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sz w:val="20"/>
                <w:lang w:val="en-GB"/>
              </w:rPr>
            </w:pPr>
            <w:r w:rsidRPr="00AF6861">
              <w:rPr>
                <w:sz w:val="20"/>
                <w:lang w:val="en-GB"/>
              </w:rPr>
              <w:t>Budesonide</w:t>
            </w:r>
          </w:p>
          <w:p w:rsidR="003B0A62" w:rsidRPr="00AF6861" w:rsidRDefault="003B0A62" w:rsidP="003B0A62">
            <w:pPr>
              <w:rPr>
                <w:sz w:val="20"/>
                <w:lang w:val="en-GB"/>
              </w:rPr>
            </w:pPr>
            <w:r w:rsidRPr="00AF6861">
              <w:rPr>
                <w:sz w:val="20"/>
                <w:lang w:val="en-GB"/>
              </w:rPr>
              <w:t>Fluticasone</w:t>
            </w:r>
          </w:p>
          <w:p w:rsidR="003B0A62" w:rsidRPr="00AF6861" w:rsidRDefault="003B0A62" w:rsidP="003B0A62">
            <w:pPr>
              <w:rPr>
                <w:sz w:val="20"/>
                <w:lang w:val="en-GB"/>
              </w:rPr>
            </w:pPr>
            <w:r w:rsidRPr="00AF6861">
              <w:rPr>
                <w:sz w:val="20"/>
                <w:lang w:val="en-GB"/>
              </w:rPr>
              <w:t>Methylprednisolone</w:t>
            </w:r>
          </w:p>
          <w:p w:rsidR="003B0A62" w:rsidRPr="00AF6861" w:rsidRDefault="003B0A62" w:rsidP="003B0A62">
            <w:pPr>
              <w:rPr>
                <w:sz w:val="20"/>
                <w:lang w:val="en-GB"/>
              </w:rPr>
            </w:pPr>
            <w:r w:rsidRPr="00AF6861">
              <w:rPr>
                <w:sz w:val="20"/>
                <w:lang w:val="en-GB"/>
              </w:rPr>
              <w:t>Prednisone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MarkTable"/>
              <w:ind w:left="127" w:right="162"/>
              <w:jc w:val="both"/>
              <w:rPr>
                <w:noProof/>
              </w:rPr>
            </w:pPr>
            <w:r w:rsidRPr="00AF6861">
              <w:rPr>
                <w:noProof/>
              </w:rPr>
              <w:t xml:space="preserve">No dose adjustment is required when </w:t>
            </w:r>
            <w:r w:rsidR="00194D66">
              <w:rPr>
                <w:noProof/>
              </w:rPr>
              <w:t>OLYSIO</w:t>
            </w:r>
            <w:r w:rsidRPr="00AF6861">
              <w:rPr>
                <w:noProof/>
              </w:rPr>
              <w:t xml:space="preserve"> is co</w:t>
            </w:r>
            <w:r w:rsidRPr="00AF6861">
              <w:rPr>
                <w:noProof/>
              </w:rPr>
              <w:noBreakHyphen/>
              <w:t>administered with budesonide, fluticasone, methylprednisolone or prednisone.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noProof/>
                <w:sz w:val="20"/>
              </w:rPr>
            </w:pPr>
            <w:r w:rsidRPr="00AF6861">
              <w:rPr>
                <w:b/>
                <w:bCs/>
                <w:iCs/>
                <w:noProof/>
                <w:sz w:val="20"/>
              </w:rPr>
              <w:t>GASTROINTESTINAL PRODUCTS</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bCs/>
                <w:iCs/>
                <w:noProof/>
                <w:sz w:val="20"/>
              </w:rPr>
            </w:pPr>
            <w:r w:rsidRPr="00AF6861">
              <w:rPr>
                <w:b/>
                <w:bCs/>
                <w:iCs/>
                <w:noProof/>
                <w:sz w:val="20"/>
              </w:rPr>
              <w:t>Antacids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autoSpaceDE w:val="0"/>
              <w:autoSpaceDN w:val="0"/>
              <w:adjustRightInd w:val="0"/>
              <w:rPr>
                <w:noProof/>
                <w:sz w:val="20"/>
              </w:rPr>
            </w:pPr>
            <w:r w:rsidRPr="00AF6861">
              <w:rPr>
                <w:noProof/>
                <w:sz w:val="20"/>
              </w:rPr>
              <w:t>e.g., Aluminium or</w:t>
            </w:r>
            <w:r>
              <w:rPr>
                <w:noProof/>
                <w:sz w:val="20"/>
              </w:rPr>
              <w:t xml:space="preserve"> M</w:t>
            </w:r>
            <w:r w:rsidRPr="00AF6861">
              <w:rPr>
                <w:noProof/>
                <w:sz w:val="20"/>
              </w:rPr>
              <w:t xml:space="preserve">agnesium </w:t>
            </w:r>
            <w:r>
              <w:rPr>
                <w:noProof/>
                <w:sz w:val="20"/>
              </w:rPr>
              <w:t>h</w:t>
            </w:r>
            <w:r w:rsidRPr="00AF6861">
              <w:rPr>
                <w:noProof/>
                <w:sz w:val="20"/>
              </w:rPr>
              <w:t>ydroxide,</w:t>
            </w:r>
            <w:r>
              <w:rPr>
                <w:noProof/>
                <w:sz w:val="20"/>
              </w:rPr>
              <w:t xml:space="preserve"> </w:t>
            </w:r>
            <w:r w:rsidRPr="00AF6861">
              <w:rPr>
                <w:noProof/>
                <w:sz w:val="20"/>
              </w:rPr>
              <w:t xml:space="preserve">Calcium </w:t>
            </w:r>
            <w:r>
              <w:rPr>
                <w:noProof/>
                <w:sz w:val="20"/>
              </w:rPr>
              <w:t>c</w:t>
            </w:r>
            <w:r w:rsidRPr="00AF6861">
              <w:rPr>
                <w:noProof/>
                <w:sz w:val="20"/>
              </w:rPr>
              <w:t>arbonate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Default"/>
              <w:ind w:left="127" w:right="162"/>
              <w:jc w:val="both"/>
              <w:rPr>
                <w:noProof/>
                <w:color w:val="auto"/>
                <w:szCs w:val="20"/>
                <w:lang w:val="en-GB"/>
              </w:rPr>
            </w:pPr>
            <w:r w:rsidRPr="00AF6861">
              <w:rPr>
                <w:noProof/>
                <w:color w:val="auto"/>
                <w:lang w:eastAsia="nl-NL"/>
              </w:rPr>
              <w:t xml:space="preserve">Concomitant use of </w:t>
            </w:r>
            <w:r w:rsidR="00194D66">
              <w:rPr>
                <w:noProof/>
                <w:color w:val="auto"/>
              </w:rPr>
              <w:t>OLYSIO</w:t>
            </w:r>
            <w:r w:rsidRPr="00AF6861">
              <w:rPr>
                <w:noProof/>
                <w:color w:val="auto"/>
                <w:lang w:val="en-GB"/>
              </w:rPr>
              <w:t xml:space="preserve"> </w:t>
            </w:r>
            <w:r w:rsidRPr="00AF6861">
              <w:rPr>
                <w:noProof/>
                <w:color w:val="auto"/>
                <w:lang w:eastAsia="nl-NL"/>
              </w:rPr>
              <w:t xml:space="preserve">with </w:t>
            </w:r>
            <w:r w:rsidRPr="00AF6861">
              <w:rPr>
                <w:noProof/>
                <w:color w:val="auto"/>
              </w:rPr>
              <w:t xml:space="preserve">antacids is not expected to result in a clinically relevant interaction. </w:t>
            </w:r>
            <w:r w:rsidRPr="00AF6861">
              <w:rPr>
                <w:noProof/>
                <w:color w:val="auto"/>
                <w:lang w:val="en-GB"/>
              </w:rPr>
              <w:t xml:space="preserve">No dose adjustment is required when </w:t>
            </w:r>
            <w:r w:rsidR="00194D66">
              <w:rPr>
                <w:noProof/>
                <w:color w:val="auto"/>
              </w:rPr>
              <w:t>OLYSIO</w:t>
            </w:r>
            <w:r w:rsidRPr="00AF6861">
              <w:rPr>
                <w:noProof/>
                <w:color w:val="auto"/>
                <w:lang w:val="en-GB"/>
              </w:rPr>
              <w:t xml:space="preserve"> is co</w:t>
            </w:r>
            <w:r w:rsidRPr="00AF6861">
              <w:rPr>
                <w:noProof/>
                <w:color w:val="auto"/>
                <w:lang w:val="en-GB"/>
              </w:rPr>
              <w:noBreakHyphen/>
              <w:t>administered with</w:t>
            </w:r>
            <w:r w:rsidRPr="00AF6861">
              <w:rPr>
                <w:noProof/>
                <w:color w:val="auto"/>
              </w:rPr>
              <w:t xml:space="preserve"> antacids.</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bCs/>
                <w:iCs/>
                <w:noProof/>
                <w:sz w:val="20"/>
              </w:rPr>
            </w:pPr>
            <w:r w:rsidRPr="00AF6861">
              <w:rPr>
                <w:b/>
                <w:bCs/>
                <w:iCs/>
                <w:noProof/>
                <w:sz w:val="20"/>
              </w:rPr>
              <w:t>H</w:t>
            </w:r>
            <w:r w:rsidRPr="001B1DAA">
              <w:rPr>
                <w:b/>
                <w:bCs/>
                <w:iCs/>
                <w:noProof/>
                <w:sz w:val="20"/>
                <w:vertAlign w:val="subscript"/>
              </w:rPr>
              <w:t>2</w:t>
            </w:r>
            <w:r w:rsidRPr="00AF6861">
              <w:rPr>
                <w:b/>
                <w:bCs/>
                <w:iCs/>
                <w:noProof/>
                <w:sz w:val="20"/>
              </w:rPr>
              <w:noBreakHyphen/>
              <w:t>receptor antagonists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e.g., Cimetidine</w:t>
            </w:r>
            <w:r>
              <w:rPr>
                <w:noProof/>
                <w:sz w:val="20"/>
              </w:rPr>
              <w:t xml:space="preserve">, </w:t>
            </w:r>
            <w:r w:rsidRPr="00AF6861">
              <w:rPr>
                <w:noProof/>
                <w:sz w:val="20"/>
              </w:rPr>
              <w:t>Nizatidine</w:t>
            </w:r>
            <w:r>
              <w:rPr>
                <w:noProof/>
                <w:sz w:val="20"/>
              </w:rPr>
              <w:t xml:space="preserve">, </w:t>
            </w:r>
            <w:r w:rsidRPr="00AF6861">
              <w:rPr>
                <w:noProof/>
                <w:sz w:val="20"/>
              </w:rPr>
              <w:t>Ranitidine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ind w:left="127" w:right="162"/>
              <w:rPr>
                <w:noProof/>
                <w:sz w:val="20"/>
              </w:rPr>
            </w:pPr>
            <w:r w:rsidRPr="00AF6861">
              <w:rPr>
                <w:noProof/>
                <w:sz w:val="20"/>
                <w:lang w:eastAsia="nl-NL"/>
              </w:rPr>
              <w:t xml:space="preserve">Concomitant use of </w:t>
            </w:r>
            <w:r w:rsidR="00194D66">
              <w:rPr>
                <w:noProof/>
                <w:sz w:val="20"/>
              </w:rPr>
              <w:t>OLYSIO</w:t>
            </w:r>
            <w:r w:rsidRPr="00AF6861">
              <w:rPr>
                <w:noProof/>
                <w:sz w:val="20"/>
                <w:lang w:val="en-GB"/>
              </w:rPr>
              <w:t xml:space="preserve"> </w:t>
            </w:r>
            <w:r w:rsidRPr="00AF6861">
              <w:rPr>
                <w:noProof/>
                <w:sz w:val="20"/>
                <w:lang w:eastAsia="nl-NL"/>
              </w:rPr>
              <w:t xml:space="preserve">with </w:t>
            </w:r>
            <w:r w:rsidRPr="00AF6861">
              <w:rPr>
                <w:noProof/>
                <w:sz w:val="20"/>
              </w:rPr>
              <w:t>H</w:t>
            </w:r>
            <w:r w:rsidRPr="00AF6861">
              <w:rPr>
                <w:noProof/>
                <w:sz w:val="20"/>
                <w:vertAlign w:val="subscript"/>
              </w:rPr>
              <w:t>2</w:t>
            </w:r>
            <w:r w:rsidRPr="00AF6861">
              <w:rPr>
                <w:noProof/>
                <w:sz w:val="20"/>
              </w:rPr>
              <w:noBreakHyphen/>
              <w:t xml:space="preserve">receptor antagonists is not expected to result in a clinically relevant interaction. No dose adjustment is required when </w:t>
            </w:r>
            <w:r w:rsidR="00194D66">
              <w:rPr>
                <w:noProof/>
                <w:sz w:val="20"/>
              </w:rPr>
              <w:t>OLYSIO</w:t>
            </w:r>
            <w:r w:rsidRPr="00AF6861">
              <w:rPr>
                <w:noProof/>
                <w:sz w:val="20"/>
              </w:rPr>
              <w:t xml:space="preserve"> is co</w:t>
            </w:r>
            <w:r w:rsidRPr="00AF6861">
              <w:rPr>
                <w:noProof/>
                <w:sz w:val="20"/>
                <w:lang w:val="en-GB"/>
              </w:rPr>
              <w:noBreakHyphen/>
            </w:r>
            <w:r w:rsidRPr="00AF6861">
              <w:rPr>
                <w:noProof/>
                <w:sz w:val="20"/>
              </w:rPr>
              <w:t>administered with H</w:t>
            </w:r>
            <w:r w:rsidRPr="00AF6861">
              <w:rPr>
                <w:noProof/>
                <w:sz w:val="20"/>
                <w:vertAlign w:val="subscript"/>
              </w:rPr>
              <w:t>2</w:t>
            </w:r>
            <w:r w:rsidRPr="00AF6861">
              <w:rPr>
                <w:noProof/>
                <w:sz w:val="20"/>
              </w:rPr>
              <w:noBreakHyphen/>
              <w:t>receptor antagonists.</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bCs/>
                <w:iCs/>
                <w:noProof/>
                <w:sz w:val="20"/>
              </w:rPr>
            </w:pPr>
            <w:r w:rsidRPr="00AF6861">
              <w:rPr>
                <w:b/>
                <w:bCs/>
                <w:iCs/>
                <w:noProof/>
                <w:sz w:val="20"/>
              </w:rPr>
              <w:t>Propulsive</w:t>
            </w:r>
          </w:p>
        </w:tc>
      </w:tr>
      <w:tr w:rsidR="003B0A62" w:rsidRPr="00AF6861" w:rsidTr="00E529B9">
        <w:tblPrEx>
          <w:tblBorders>
            <w:bottom w:val="single" w:sz="4" w:space="0" w:color="auto"/>
          </w:tblBorders>
        </w:tblPrEx>
        <w:trPr>
          <w:cantSplit/>
          <w:trHeight w:val="971"/>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Cisapride</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Cisapride has the potential to cause cardiac arrhythmias. Concomitant use of </w:t>
            </w:r>
            <w:r w:rsidR="00194D66">
              <w:rPr>
                <w:noProof/>
                <w:sz w:val="20"/>
              </w:rPr>
              <w:t>OLYSIO</w:t>
            </w:r>
            <w:r w:rsidRPr="00AF6861">
              <w:rPr>
                <w:noProof/>
                <w:sz w:val="20"/>
                <w:lang w:val="en-GB"/>
              </w:rPr>
              <w:t xml:space="preserve"> </w:t>
            </w:r>
            <w:r w:rsidRPr="00AF6861">
              <w:rPr>
                <w:noProof/>
                <w:sz w:val="20"/>
              </w:rPr>
              <w:t xml:space="preserve">with cisapride may result in increased plasma concentrations of cisapride due to </w:t>
            </w:r>
            <w:r>
              <w:rPr>
                <w:noProof/>
                <w:sz w:val="20"/>
              </w:rPr>
              <w:t xml:space="preserve">intestinal </w:t>
            </w:r>
            <w:r w:rsidRPr="00AF6861">
              <w:rPr>
                <w:noProof/>
                <w:sz w:val="20"/>
              </w:rPr>
              <w:t>CYP3A4 inhibition by simeprevir. It is not recommended to co</w:t>
            </w:r>
            <w:r w:rsidRPr="00AF6861">
              <w:rPr>
                <w:noProof/>
                <w:sz w:val="20"/>
                <w:lang w:val="en-GB"/>
              </w:rPr>
              <w:noBreakHyphen/>
            </w:r>
            <w:r w:rsidRPr="00AF6861">
              <w:rPr>
                <w:noProof/>
                <w:sz w:val="20"/>
              </w:rPr>
              <w:t xml:space="preserve">administer </w:t>
            </w:r>
            <w:r w:rsidR="00194D66">
              <w:rPr>
                <w:noProof/>
                <w:sz w:val="20"/>
              </w:rPr>
              <w:t>OLYSIO</w:t>
            </w:r>
            <w:r w:rsidRPr="00AF6861">
              <w:rPr>
                <w:noProof/>
                <w:sz w:val="20"/>
              </w:rPr>
              <w:t xml:space="preserve"> with cisapride.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bCs/>
                <w:iCs/>
                <w:noProof/>
                <w:sz w:val="20"/>
              </w:rPr>
            </w:pPr>
            <w:r w:rsidRPr="00AF6861">
              <w:rPr>
                <w:b/>
                <w:bCs/>
                <w:iCs/>
                <w:noProof/>
                <w:sz w:val="20"/>
              </w:rPr>
              <w:t>Proton pump inhibitors</w:t>
            </w:r>
          </w:p>
        </w:tc>
      </w:tr>
      <w:tr w:rsidR="003B0A62" w:rsidRPr="00AF6861" w:rsidTr="00E529B9">
        <w:trPr>
          <w:cantSplit/>
          <w:trHeight w:val="454"/>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Omeprazole</w:t>
            </w:r>
            <w:r w:rsidRPr="00AF6861">
              <w:rPr>
                <w:noProof/>
                <w:sz w:val="20"/>
                <w:vertAlign w:val="superscript"/>
              </w:rPr>
              <w:t>1</w:t>
            </w:r>
          </w:p>
        </w:tc>
        <w:tc>
          <w:tcPr>
            <w:tcW w:w="1701" w:type="dxa"/>
            <w:gridSpan w:val="2"/>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40 mg</w:t>
            </w:r>
          </w:p>
        </w:tc>
        <w:tc>
          <w:tcPr>
            <w:tcW w:w="1559"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omeprazole</w:t>
            </w:r>
          </w:p>
        </w:tc>
        <w:tc>
          <w:tcPr>
            <w:tcW w:w="1276" w:type="dxa"/>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1.14</w:t>
            </w:r>
          </w:p>
          <w:p w:rsidR="003B0A62" w:rsidRPr="00AF6861" w:rsidRDefault="003B0A62" w:rsidP="003B0A62">
            <w:pPr>
              <w:jc w:val="center"/>
              <w:rPr>
                <w:noProof/>
                <w:sz w:val="20"/>
              </w:rPr>
            </w:pPr>
            <w:r w:rsidRPr="00AF6861">
              <w:rPr>
                <w:noProof/>
                <w:sz w:val="20"/>
              </w:rPr>
              <w:t>(0.93</w:t>
            </w:r>
            <w:r w:rsidRPr="00AF6861">
              <w:rPr>
                <w:noProof/>
                <w:sz w:val="20"/>
              </w:rPr>
              <w:noBreakHyphen/>
              <w:t>1.39)</w:t>
            </w:r>
          </w:p>
        </w:tc>
        <w:tc>
          <w:tcPr>
            <w:tcW w:w="1417"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1.21</w:t>
            </w:r>
          </w:p>
          <w:p w:rsidR="003B0A62" w:rsidRPr="00AF6861" w:rsidRDefault="003B0A62" w:rsidP="003B0A62">
            <w:pPr>
              <w:jc w:val="center"/>
              <w:rPr>
                <w:noProof/>
                <w:sz w:val="20"/>
              </w:rPr>
            </w:pPr>
            <w:r w:rsidRPr="00AF6861">
              <w:rPr>
                <w:noProof/>
                <w:sz w:val="20"/>
              </w:rPr>
              <w:t>(1.00</w:t>
            </w:r>
            <w:r w:rsidRPr="00AF6861">
              <w:rPr>
                <w:noProof/>
                <w:sz w:val="20"/>
              </w:rPr>
              <w:noBreakHyphen/>
              <w:t>1.46)</w:t>
            </w:r>
          </w:p>
        </w:tc>
        <w:tc>
          <w:tcPr>
            <w:tcW w:w="1418"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t>NA</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ind w:left="127" w:right="162"/>
              <w:rPr>
                <w:noProof/>
                <w:sz w:val="20"/>
                <w:lang w:eastAsia="nl-NL"/>
              </w:rPr>
            </w:pPr>
            <w:r w:rsidRPr="00AF6861">
              <w:rPr>
                <w:noProof/>
                <w:sz w:val="20"/>
                <w:lang w:eastAsia="nl-NL"/>
              </w:rPr>
              <w:t xml:space="preserve">Concomitant use of </w:t>
            </w:r>
            <w:r w:rsidR="00194D66">
              <w:rPr>
                <w:noProof/>
                <w:sz w:val="20"/>
              </w:rPr>
              <w:t>OLYSIO</w:t>
            </w:r>
            <w:r w:rsidRPr="00AF6861">
              <w:rPr>
                <w:noProof/>
                <w:sz w:val="20"/>
                <w:lang w:val="en-GB"/>
              </w:rPr>
              <w:t xml:space="preserve"> </w:t>
            </w:r>
            <w:r w:rsidRPr="00AF6861">
              <w:rPr>
                <w:noProof/>
                <w:sz w:val="20"/>
                <w:lang w:eastAsia="nl-NL"/>
              </w:rPr>
              <w:t>with omeprazole resulted in increased plasma concentrations of omeprazole. However, this increase is not expected to be clinically relevant.</w:t>
            </w:r>
            <w:r w:rsidRPr="00AF6861">
              <w:rPr>
                <w:noProof/>
                <w:sz w:val="20"/>
              </w:rPr>
              <w:t xml:space="preserve"> </w:t>
            </w:r>
            <w:r w:rsidRPr="00AF6861">
              <w:rPr>
                <w:noProof/>
                <w:sz w:val="20"/>
                <w:lang w:val="en-GB"/>
              </w:rPr>
              <w:t xml:space="preserve">No dose adjustment is required when </w:t>
            </w:r>
            <w:r w:rsidR="00194D66">
              <w:rPr>
                <w:noProof/>
                <w:sz w:val="20"/>
              </w:rPr>
              <w:t>OLYSIO</w:t>
            </w:r>
            <w:r w:rsidRPr="00AF6861">
              <w:rPr>
                <w:noProof/>
                <w:sz w:val="20"/>
                <w:lang w:val="en-GB"/>
              </w:rPr>
              <w:t xml:space="preserve"> is co</w:t>
            </w:r>
            <w:r w:rsidRPr="00AF6861">
              <w:rPr>
                <w:noProof/>
                <w:sz w:val="20"/>
                <w:lang w:val="en-GB"/>
              </w:rPr>
              <w:noBreakHyphen/>
              <w:t>administered with</w:t>
            </w:r>
            <w:r w:rsidRPr="00AF6861">
              <w:rPr>
                <w:noProof/>
                <w:sz w:val="20"/>
              </w:rPr>
              <w:t xml:space="preserve"> omeprazole.</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autoSpaceDE w:val="0"/>
              <w:autoSpaceDN w:val="0"/>
              <w:adjustRightInd w:val="0"/>
              <w:rPr>
                <w:noProof/>
                <w:sz w:val="20"/>
              </w:rPr>
            </w:pPr>
            <w:r w:rsidRPr="00AF6861">
              <w:rPr>
                <w:noProof/>
                <w:sz w:val="20"/>
              </w:rPr>
              <w:t>Other proton pump inhibitors; e.g.,</w:t>
            </w:r>
            <w:r>
              <w:rPr>
                <w:noProof/>
                <w:sz w:val="20"/>
              </w:rPr>
              <w:t xml:space="preserve"> </w:t>
            </w:r>
            <w:r w:rsidRPr="00AF6861">
              <w:rPr>
                <w:noProof/>
                <w:sz w:val="20"/>
              </w:rPr>
              <w:t>Dexlansoprazole</w:t>
            </w:r>
            <w:r>
              <w:rPr>
                <w:noProof/>
                <w:sz w:val="20"/>
              </w:rPr>
              <w:t xml:space="preserve">, </w:t>
            </w:r>
            <w:r w:rsidRPr="00AF6861">
              <w:rPr>
                <w:noProof/>
                <w:sz w:val="20"/>
              </w:rPr>
              <w:t>Esomeprazole</w:t>
            </w:r>
            <w:r>
              <w:rPr>
                <w:noProof/>
                <w:sz w:val="20"/>
              </w:rPr>
              <w:t xml:space="preserve">, </w:t>
            </w:r>
            <w:r w:rsidRPr="00AF6861">
              <w:rPr>
                <w:noProof/>
                <w:sz w:val="20"/>
              </w:rPr>
              <w:t>Lansoprazole</w:t>
            </w:r>
            <w:r>
              <w:rPr>
                <w:noProof/>
                <w:sz w:val="20"/>
              </w:rPr>
              <w:t xml:space="preserve">, </w:t>
            </w:r>
            <w:r w:rsidRPr="00AF6861">
              <w:rPr>
                <w:noProof/>
                <w:sz w:val="20"/>
              </w:rPr>
              <w:t>Pantoprazole</w:t>
            </w:r>
            <w:r>
              <w:rPr>
                <w:noProof/>
                <w:sz w:val="20"/>
              </w:rPr>
              <w:t xml:space="preserve">, </w:t>
            </w:r>
            <w:r w:rsidRPr="00AF6861">
              <w:rPr>
                <w:noProof/>
                <w:sz w:val="20"/>
              </w:rPr>
              <w:t>Rabeprazole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Default"/>
              <w:ind w:left="127" w:right="162"/>
              <w:jc w:val="both"/>
              <w:rPr>
                <w:noProof/>
                <w:color w:val="auto"/>
                <w:szCs w:val="20"/>
                <w:lang w:val="en-GB"/>
              </w:rPr>
            </w:pPr>
            <w:r w:rsidRPr="00AF6861">
              <w:rPr>
                <w:noProof/>
                <w:color w:val="auto"/>
                <w:lang w:eastAsia="nl-NL"/>
              </w:rPr>
              <w:t xml:space="preserve">Concomitant use of </w:t>
            </w:r>
            <w:r w:rsidR="00194D66">
              <w:rPr>
                <w:noProof/>
                <w:color w:val="auto"/>
              </w:rPr>
              <w:t>OLYSIO</w:t>
            </w:r>
            <w:r w:rsidRPr="00AF6861">
              <w:rPr>
                <w:noProof/>
                <w:color w:val="auto"/>
                <w:lang w:val="en-GB"/>
              </w:rPr>
              <w:t xml:space="preserve"> </w:t>
            </w:r>
            <w:r w:rsidRPr="00AF6861">
              <w:rPr>
                <w:noProof/>
                <w:color w:val="auto"/>
                <w:lang w:eastAsia="nl-NL"/>
              </w:rPr>
              <w:t xml:space="preserve">with </w:t>
            </w:r>
            <w:r w:rsidRPr="00AF6861">
              <w:rPr>
                <w:noProof/>
                <w:color w:val="auto"/>
              </w:rPr>
              <w:t xml:space="preserve">proton pump inhibitors is not expected to result in a clinically relevant interaction. </w:t>
            </w:r>
            <w:r w:rsidRPr="00AF6861">
              <w:rPr>
                <w:noProof/>
                <w:color w:val="auto"/>
                <w:lang w:val="en-GB"/>
              </w:rPr>
              <w:t xml:space="preserve">No dose adjustment is required when </w:t>
            </w:r>
            <w:r w:rsidR="00194D66">
              <w:rPr>
                <w:noProof/>
                <w:color w:val="auto"/>
              </w:rPr>
              <w:t>OLYSIO</w:t>
            </w:r>
            <w:r w:rsidRPr="00AF6861">
              <w:rPr>
                <w:noProof/>
                <w:color w:val="auto"/>
                <w:lang w:val="en-GB"/>
              </w:rPr>
              <w:t xml:space="preserve"> is co</w:t>
            </w:r>
            <w:r w:rsidRPr="00AF6861">
              <w:rPr>
                <w:noProof/>
                <w:color w:val="auto"/>
                <w:lang w:val="en-GB"/>
              </w:rPr>
              <w:noBreakHyphen/>
              <w:t>administered with</w:t>
            </w:r>
            <w:r w:rsidRPr="00AF6861">
              <w:rPr>
                <w:noProof/>
                <w:color w:val="auto"/>
              </w:rPr>
              <w:t xml:space="preserve"> proton pump inhibitors.</w:t>
            </w:r>
          </w:p>
        </w:tc>
      </w:tr>
      <w:tr w:rsidR="003B0A62" w:rsidRPr="008E6530"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8E6530" w:rsidRDefault="003B0A62" w:rsidP="003B0A62">
            <w:pPr>
              <w:rPr>
                <w:b/>
                <w:bCs/>
                <w:noProof/>
                <w:sz w:val="20"/>
              </w:rPr>
            </w:pPr>
            <w:r w:rsidRPr="008E6530">
              <w:rPr>
                <w:b/>
                <w:bCs/>
                <w:noProof/>
                <w:sz w:val="20"/>
              </w:rPr>
              <w:t>HCV PRODUCTS</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8E6530">
              <w:rPr>
                <w:b/>
                <w:noProof/>
                <w:sz w:val="20"/>
              </w:rPr>
              <w:t>Antiviral</w:t>
            </w:r>
          </w:p>
        </w:tc>
      </w:tr>
      <w:tr w:rsidR="003B0A62" w:rsidRPr="00AF6861" w:rsidTr="00E529B9">
        <w:trPr>
          <w:cantSplit/>
          <w:trHeight w:val="508"/>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3A1D9F" w:rsidRDefault="003B0A62" w:rsidP="003B0A62">
            <w:pPr>
              <w:rPr>
                <w:noProof/>
                <w:sz w:val="20"/>
                <w:highlight w:val="green"/>
              </w:rPr>
            </w:pPr>
            <w:r w:rsidRPr="001E26A7">
              <w:rPr>
                <w:noProof/>
                <w:sz w:val="20"/>
              </w:rPr>
              <w:t>Sofosbuvir</w:t>
            </w:r>
            <w:r w:rsidRPr="001E26A7">
              <w:rPr>
                <w:noProof/>
                <w:sz w:val="20"/>
                <w:vertAlign w:val="superscript"/>
              </w:rPr>
              <w:t>3</w:t>
            </w:r>
          </w:p>
        </w:tc>
        <w:tc>
          <w:tcPr>
            <w:tcW w:w="1701" w:type="dxa"/>
            <w:gridSpan w:val="2"/>
            <w:vMerge w:val="restart"/>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bCs/>
                <w:iCs/>
                <w:noProof/>
                <w:sz w:val="20"/>
              </w:rPr>
              <w:t>400 mg once daily</w:t>
            </w:r>
          </w:p>
        </w:tc>
        <w:tc>
          <w:tcPr>
            <w:tcW w:w="1559"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sofosbuvir</w:t>
            </w:r>
          </w:p>
        </w:tc>
        <w:tc>
          <w:tcPr>
            <w:tcW w:w="1276" w:type="dxa"/>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Pr>
                <w:noProof/>
                <w:sz w:val="20"/>
              </w:rPr>
              <w:t xml:space="preserve"> 1.91</w:t>
            </w:r>
          </w:p>
          <w:p w:rsidR="003B0A62" w:rsidRPr="00AF6861" w:rsidRDefault="003B0A62" w:rsidP="003B0A62">
            <w:pPr>
              <w:jc w:val="center"/>
              <w:rPr>
                <w:noProof/>
                <w:sz w:val="20"/>
              </w:rPr>
            </w:pPr>
            <w:r w:rsidRPr="00AF6861">
              <w:rPr>
                <w:noProof/>
                <w:sz w:val="20"/>
              </w:rPr>
              <w:t>(1.26</w:t>
            </w:r>
            <w:r w:rsidRPr="00AF6861">
              <w:rPr>
                <w:noProof/>
                <w:sz w:val="20"/>
              </w:rPr>
              <w:noBreakHyphen/>
              <w:t>2.90)</w:t>
            </w:r>
          </w:p>
        </w:tc>
        <w:tc>
          <w:tcPr>
            <w:tcW w:w="1417"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3.16</w:t>
            </w:r>
          </w:p>
          <w:p w:rsidR="003B0A62" w:rsidRPr="00AF6861" w:rsidRDefault="003B0A62" w:rsidP="003B0A62">
            <w:pPr>
              <w:jc w:val="center"/>
              <w:rPr>
                <w:noProof/>
                <w:sz w:val="20"/>
              </w:rPr>
            </w:pPr>
            <w:r w:rsidRPr="00AF6861">
              <w:rPr>
                <w:noProof/>
                <w:sz w:val="20"/>
              </w:rPr>
              <w:t>(2.25</w:t>
            </w:r>
            <w:r w:rsidRPr="00AF6861">
              <w:rPr>
                <w:noProof/>
                <w:sz w:val="20"/>
              </w:rPr>
              <w:noBreakHyphen/>
              <w:t>4.44)</w:t>
            </w:r>
          </w:p>
        </w:tc>
        <w:tc>
          <w:tcPr>
            <w:tcW w:w="1418"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t>NA</w:t>
            </w:r>
          </w:p>
        </w:tc>
      </w:tr>
      <w:tr w:rsidR="003B0A62" w:rsidRPr="00AF6861" w:rsidTr="00E529B9">
        <w:trPr>
          <w:cantSplit/>
          <w:trHeight w:val="454"/>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bCs/>
                <w:iCs/>
                <w:noProof/>
                <w:sz w:val="20"/>
              </w:rPr>
            </w:pPr>
          </w:p>
        </w:tc>
        <w:tc>
          <w:tcPr>
            <w:tcW w:w="1559"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GS</w:t>
            </w:r>
            <w:r w:rsidRPr="00AF6861">
              <w:rPr>
                <w:noProof/>
                <w:sz w:val="20"/>
              </w:rPr>
              <w:noBreakHyphen/>
              <w:t>331007</w:t>
            </w:r>
          </w:p>
        </w:tc>
        <w:tc>
          <w:tcPr>
            <w:tcW w:w="1276" w:type="dxa"/>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0.69</w:t>
            </w:r>
          </w:p>
          <w:p w:rsidR="003B0A62" w:rsidRPr="00AF6861" w:rsidRDefault="003B0A62" w:rsidP="003B0A62">
            <w:pPr>
              <w:jc w:val="center"/>
              <w:rPr>
                <w:noProof/>
                <w:sz w:val="20"/>
              </w:rPr>
            </w:pPr>
            <w:r w:rsidRPr="00AF6861">
              <w:rPr>
                <w:noProof/>
                <w:sz w:val="20"/>
              </w:rPr>
              <w:t>(0.52</w:t>
            </w:r>
            <w:r w:rsidRPr="00AF6861">
              <w:rPr>
                <w:noProof/>
                <w:sz w:val="20"/>
              </w:rPr>
              <w:noBreakHyphen/>
              <w:t>0.93)</w:t>
            </w:r>
          </w:p>
        </w:tc>
        <w:tc>
          <w:tcPr>
            <w:tcW w:w="1417"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t>↔ 1.09</w:t>
            </w:r>
          </w:p>
          <w:p w:rsidR="003B0A62" w:rsidRPr="00AF6861" w:rsidRDefault="003B0A62" w:rsidP="003B0A62">
            <w:pPr>
              <w:jc w:val="center"/>
              <w:rPr>
                <w:noProof/>
                <w:sz w:val="20"/>
              </w:rPr>
            </w:pPr>
            <w:r w:rsidRPr="00AF6861">
              <w:rPr>
                <w:noProof/>
                <w:sz w:val="20"/>
              </w:rPr>
              <w:t>(0.87</w:t>
            </w:r>
            <w:r w:rsidRPr="00AF6861">
              <w:rPr>
                <w:noProof/>
                <w:sz w:val="20"/>
              </w:rPr>
              <w:noBreakHyphen/>
              <w:t>1.37)</w:t>
            </w:r>
          </w:p>
        </w:tc>
        <w:tc>
          <w:tcPr>
            <w:tcW w:w="1418"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t>NA</w:t>
            </w:r>
          </w:p>
        </w:tc>
      </w:tr>
      <w:tr w:rsidR="003B0A62" w:rsidRPr="00AF6861" w:rsidTr="00E529B9">
        <w:trPr>
          <w:cantSplit/>
          <w:trHeight w:val="454"/>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bCs/>
                <w:iCs/>
                <w:noProof/>
                <w:sz w:val="20"/>
              </w:rPr>
            </w:pPr>
          </w:p>
        </w:tc>
        <w:tc>
          <w:tcPr>
            <w:tcW w:w="1559"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bCs/>
                <w:iCs/>
                <w:noProof/>
                <w:sz w:val="20"/>
              </w:rPr>
              <w:t>simeprevir</w:t>
            </w:r>
          </w:p>
        </w:tc>
        <w:tc>
          <w:tcPr>
            <w:tcW w:w="1276" w:type="dxa"/>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0.96</w:t>
            </w:r>
          </w:p>
          <w:p w:rsidR="003B0A62" w:rsidRPr="00AF6861" w:rsidRDefault="003B0A62" w:rsidP="003B0A62">
            <w:pPr>
              <w:jc w:val="center"/>
              <w:rPr>
                <w:noProof/>
                <w:sz w:val="20"/>
              </w:rPr>
            </w:pPr>
            <w:r w:rsidRPr="00AF6861">
              <w:rPr>
                <w:noProof/>
                <w:sz w:val="20"/>
              </w:rPr>
              <w:t>(0.71</w:t>
            </w:r>
            <w:r w:rsidRPr="00AF6861">
              <w:rPr>
                <w:noProof/>
                <w:sz w:val="20"/>
              </w:rPr>
              <w:noBreakHyphen/>
              <w:t>1.30)</w:t>
            </w:r>
          </w:p>
        </w:tc>
        <w:tc>
          <w:tcPr>
            <w:tcW w:w="1417"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t>↔ 0.94</w:t>
            </w:r>
          </w:p>
          <w:p w:rsidR="003B0A62" w:rsidRPr="00AF6861" w:rsidRDefault="003B0A62" w:rsidP="003B0A62">
            <w:pPr>
              <w:jc w:val="center"/>
              <w:rPr>
                <w:noProof/>
                <w:sz w:val="20"/>
              </w:rPr>
            </w:pPr>
            <w:r w:rsidRPr="00AF6861">
              <w:rPr>
                <w:noProof/>
                <w:sz w:val="20"/>
              </w:rPr>
              <w:t>(0.67</w:t>
            </w:r>
            <w:r w:rsidRPr="00AF6861">
              <w:rPr>
                <w:noProof/>
                <w:sz w:val="20"/>
              </w:rPr>
              <w:noBreakHyphen/>
              <w:t>1.33)</w:t>
            </w:r>
          </w:p>
        </w:tc>
        <w:tc>
          <w:tcPr>
            <w:tcW w:w="1418" w:type="dxa"/>
            <w:tcBorders>
              <w:top w:val="single" w:sz="6" w:space="0" w:color="auto"/>
              <w:left w:val="single" w:sz="6" w:space="0" w:color="auto"/>
              <w:right w:val="single" w:sz="4" w:space="0" w:color="auto"/>
            </w:tcBorders>
          </w:tcPr>
          <w:p w:rsidR="003B0A62" w:rsidRPr="00AF6861" w:rsidRDefault="003B0A62" w:rsidP="003B0A62">
            <w:pPr>
              <w:jc w:val="center"/>
              <w:rPr>
                <w:noProof/>
                <w:sz w:val="20"/>
              </w:rPr>
            </w:pPr>
            <w:r w:rsidRPr="00AF6861">
              <w:rPr>
                <w:noProof/>
                <w:sz w:val="20"/>
              </w:rPr>
              <w:t>NA</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ind w:left="127" w:right="162"/>
              <w:rPr>
                <w:noProof/>
                <w:sz w:val="20"/>
                <w:lang w:eastAsia="nl-NL"/>
              </w:rPr>
            </w:pPr>
            <w:r w:rsidRPr="00AF6861">
              <w:rPr>
                <w:noProof/>
                <w:sz w:val="20"/>
                <w:lang w:eastAsia="nl-NL"/>
              </w:rPr>
              <w:t xml:space="preserve">Concomitant use of </w:t>
            </w:r>
            <w:r w:rsidRPr="00A82DAA">
              <w:rPr>
                <w:noProof/>
                <w:sz w:val="20"/>
                <w:lang w:eastAsia="nl-NL"/>
              </w:rPr>
              <w:t>simeprevir</w:t>
            </w:r>
            <w:r w:rsidRPr="00AF6861">
              <w:rPr>
                <w:noProof/>
                <w:sz w:val="20"/>
                <w:lang w:eastAsia="nl-NL"/>
              </w:rPr>
              <w:t xml:space="preserve"> with sofosbuvir resulted in increased plasma concentrations of sofosbuvir, with no change in exposure of the nucleotide metabolite GS</w:t>
            </w:r>
            <w:r w:rsidRPr="00AF6861">
              <w:rPr>
                <w:noProof/>
                <w:sz w:val="20"/>
                <w:lang w:eastAsia="nl-NL"/>
              </w:rPr>
              <w:noBreakHyphen/>
              <w:t>331</w:t>
            </w:r>
            <w:r>
              <w:rPr>
                <w:noProof/>
                <w:sz w:val="20"/>
                <w:lang w:eastAsia="nl-NL"/>
              </w:rPr>
              <w:t xml:space="preserve">007 or simeprevir. The increase </w:t>
            </w:r>
            <w:r w:rsidRPr="00AF6861">
              <w:rPr>
                <w:noProof/>
                <w:sz w:val="20"/>
                <w:lang w:eastAsia="nl-NL"/>
              </w:rPr>
              <w:t xml:space="preserve">in sofosbuvir exposure </w:t>
            </w:r>
            <w:r>
              <w:rPr>
                <w:noProof/>
                <w:sz w:val="20"/>
                <w:lang w:eastAsia="nl-NL"/>
              </w:rPr>
              <w:t>is</w:t>
            </w:r>
            <w:r w:rsidRPr="00AF6861">
              <w:rPr>
                <w:noProof/>
                <w:sz w:val="20"/>
                <w:lang w:eastAsia="nl-NL"/>
              </w:rPr>
              <w:t xml:space="preserve"> not clinically relevant due to the low transient exposure to these analytes relative to the total drug</w:t>
            </w:r>
            <w:r w:rsidRPr="00AF6861">
              <w:rPr>
                <w:noProof/>
                <w:sz w:val="20"/>
                <w:lang w:eastAsia="nl-NL"/>
              </w:rPr>
              <w:noBreakHyphen/>
            </w:r>
            <w:r>
              <w:rPr>
                <w:noProof/>
                <w:sz w:val="20"/>
                <w:lang w:eastAsia="nl-NL"/>
              </w:rPr>
              <w:t>related material.</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bCs/>
                <w:noProof/>
                <w:sz w:val="20"/>
              </w:rPr>
            </w:pPr>
            <w:r w:rsidRPr="00AF6861">
              <w:rPr>
                <w:b/>
                <w:bCs/>
                <w:noProof/>
                <w:sz w:val="20"/>
              </w:rPr>
              <w:t>HERBAL PRODUCTS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8936E0">
            <w:pPr>
              <w:pStyle w:val="Default"/>
              <w:rPr>
                <w:noProof/>
              </w:rPr>
            </w:pPr>
            <w:r w:rsidRPr="00AF6861">
              <w:rPr>
                <w:noProof/>
              </w:rPr>
              <w:t xml:space="preserve">Milk </w:t>
            </w:r>
            <w:r>
              <w:rPr>
                <w:noProof/>
              </w:rPr>
              <w:t>t</w:t>
            </w:r>
            <w:r w:rsidRPr="00AF6861">
              <w:rPr>
                <w:noProof/>
              </w:rPr>
              <w:t>histle</w:t>
            </w:r>
          </w:p>
          <w:p w:rsidR="003B0A62" w:rsidRPr="00AF6861" w:rsidRDefault="003B0A62" w:rsidP="008936E0">
            <w:pPr>
              <w:pStyle w:val="Default"/>
              <w:rPr>
                <w:lang w:val="en-GB"/>
              </w:rPr>
            </w:pPr>
            <w:r w:rsidRPr="00AF6861">
              <w:rPr>
                <w:lang w:val="en-GB"/>
              </w:rPr>
              <w:t>(</w:t>
            </w:r>
            <w:proofErr w:type="spellStart"/>
            <w:r w:rsidRPr="00AF6861">
              <w:rPr>
                <w:i/>
                <w:lang w:val="en-GB"/>
              </w:rPr>
              <w:t>Silybum</w:t>
            </w:r>
            <w:proofErr w:type="spellEnd"/>
            <w:r w:rsidRPr="00AF6861">
              <w:rPr>
                <w:i/>
                <w:lang w:val="en-GB"/>
              </w:rPr>
              <w:t xml:space="preserve"> </w:t>
            </w:r>
            <w:proofErr w:type="spellStart"/>
            <w:r w:rsidRPr="00AF6861">
              <w:rPr>
                <w:i/>
                <w:lang w:val="en-GB"/>
              </w:rPr>
              <w:t>marianum</w:t>
            </w:r>
            <w:proofErr w:type="spellEnd"/>
            <w:r w:rsidRPr="00AF6861">
              <w:rPr>
                <w:lang w:val="en-GB"/>
              </w:rPr>
              <w:t>)</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pPr>
            <w:r w:rsidRPr="00AF6861">
              <w:t xml:space="preserve">Concomitant use of </w:t>
            </w:r>
            <w:r w:rsidR="00194D66">
              <w:t>OLYSIO</w:t>
            </w:r>
            <w:r w:rsidRPr="00AF6861">
              <w:t xml:space="preserve"> with </w:t>
            </w:r>
            <w:r>
              <w:t>m</w:t>
            </w:r>
            <w:r w:rsidRPr="00AF6861">
              <w:t xml:space="preserve">ilk </w:t>
            </w:r>
            <w:r w:rsidRPr="00A82DAA">
              <w:t xml:space="preserve">thistle may result in increased plasma concentrations of </w:t>
            </w:r>
            <w:proofErr w:type="spellStart"/>
            <w:r w:rsidRPr="00A82DAA">
              <w:t>simeprevir</w:t>
            </w:r>
            <w:proofErr w:type="spellEnd"/>
            <w:r w:rsidRPr="00A82DAA">
              <w:t xml:space="preserve"> due to CYP3A inhibition by </w:t>
            </w:r>
            <w:r>
              <w:t>m</w:t>
            </w:r>
            <w:r w:rsidRPr="00A82DAA">
              <w:t>ilk thistle. It is not recommended to co</w:t>
            </w:r>
            <w:r w:rsidRPr="00A82DAA">
              <w:rPr>
                <w:noProof/>
                <w:lang w:val="en-GB"/>
              </w:rPr>
              <w:noBreakHyphen/>
            </w:r>
            <w:r w:rsidRPr="00A82DAA">
              <w:t xml:space="preserve">administer </w:t>
            </w:r>
            <w:r w:rsidR="00194D66">
              <w:t>OLYSIO</w:t>
            </w:r>
            <w:r w:rsidRPr="00A82DAA">
              <w:t xml:space="preserve"> with </w:t>
            </w:r>
            <w:r>
              <w:t>m</w:t>
            </w:r>
            <w:r w:rsidRPr="00A82DAA">
              <w:t>ilk thistle</w:t>
            </w:r>
            <w:r w:rsidRPr="00AF6861">
              <w:t>.</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8936E0">
            <w:pPr>
              <w:pStyle w:val="Default"/>
              <w:rPr>
                <w:noProof/>
              </w:rPr>
            </w:pPr>
            <w:r w:rsidRPr="00AF6861">
              <w:rPr>
                <w:noProof/>
              </w:rPr>
              <w:t>St John's wort (</w:t>
            </w:r>
            <w:r w:rsidRPr="00AF6861">
              <w:rPr>
                <w:i/>
                <w:iCs/>
                <w:noProof/>
              </w:rPr>
              <w:t>Hypericum perforatum</w:t>
            </w:r>
            <w:r w:rsidRPr="00AF6861">
              <w:rPr>
                <w:noProof/>
              </w:rPr>
              <w:t>)</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rPr>
                <w:noProof/>
                <w:lang w:val="en-GB"/>
              </w:rPr>
            </w:pPr>
            <w:r w:rsidRPr="00AF6861">
              <w:t xml:space="preserve">Concomitant use of </w:t>
            </w:r>
            <w:r w:rsidR="00194D66">
              <w:t>OLYSIO</w:t>
            </w:r>
            <w:r w:rsidRPr="00AF6861">
              <w:t xml:space="preserve"> with </w:t>
            </w:r>
            <w:r w:rsidRPr="00AF6861">
              <w:rPr>
                <w:noProof/>
                <w:lang w:val="en-GB"/>
              </w:rPr>
              <w:t>products containing St John’s wort</w:t>
            </w:r>
            <w:r w:rsidRPr="00AF6861">
              <w:t xml:space="preserve"> may result in </w:t>
            </w:r>
            <w:r w:rsidRPr="00AF6861">
              <w:rPr>
                <w:noProof/>
                <w:lang w:val="en-GB"/>
              </w:rPr>
              <w:t>significantly decreased plasma concentrations of simeprevir due to CYP3A induction by St</w:t>
            </w:r>
            <w:r>
              <w:rPr>
                <w:noProof/>
                <w:lang w:val="en-GB"/>
              </w:rPr>
              <w:t> </w:t>
            </w:r>
            <w:r w:rsidRPr="00AF6861">
              <w:rPr>
                <w:noProof/>
                <w:lang w:val="en-GB"/>
              </w:rPr>
              <w:t>John’s</w:t>
            </w:r>
            <w:r>
              <w:rPr>
                <w:noProof/>
                <w:lang w:val="en-GB"/>
              </w:rPr>
              <w:t> </w:t>
            </w:r>
            <w:r w:rsidRPr="00AF6861">
              <w:rPr>
                <w:noProof/>
                <w:lang w:val="en-GB"/>
              </w:rPr>
              <w:t>wort.</w:t>
            </w:r>
            <w:r w:rsidRPr="00AF6861">
              <w:t xml:space="preserve"> </w:t>
            </w:r>
            <w:r w:rsidRPr="00AF6861">
              <w:rPr>
                <w:noProof/>
                <w:lang w:val="en-GB"/>
              </w:rPr>
              <w:t xml:space="preserve">This may result in loss of therapeutic effect of </w:t>
            </w:r>
            <w:r w:rsidR="00194D66">
              <w:rPr>
                <w:noProof/>
                <w:lang w:val="en-GB"/>
              </w:rPr>
              <w:t>OLYSIO</w:t>
            </w:r>
            <w:r w:rsidRPr="00AF6861">
              <w:rPr>
                <w:noProof/>
                <w:lang w:val="en-GB"/>
              </w:rPr>
              <w:t xml:space="preserve">. </w:t>
            </w:r>
            <w:r w:rsidRPr="00AF6861">
              <w:rPr>
                <w:noProof/>
              </w:rPr>
              <w:t>It is not recommended to co</w:t>
            </w:r>
            <w:r w:rsidRPr="00AF6861">
              <w:rPr>
                <w:noProof/>
                <w:lang w:val="en-GB"/>
              </w:rPr>
              <w:noBreakHyphen/>
            </w:r>
            <w:r w:rsidRPr="00AF6861">
              <w:rPr>
                <w:noProof/>
              </w:rPr>
              <w:t xml:space="preserve">administer </w:t>
            </w:r>
            <w:r w:rsidR="00194D66">
              <w:rPr>
                <w:noProof/>
              </w:rPr>
              <w:t>OLYSIO</w:t>
            </w:r>
            <w:r w:rsidRPr="00AF6861">
              <w:rPr>
                <w:noProof/>
                <w:lang w:val="en-GB"/>
              </w:rPr>
              <w:t xml:space="preserve"> with products containing St John’s wort.</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b/>
                <w:noProof/>
                <w:sz w:val="20"/>
              </w:rPr>
            </w:pPr>
            <w:r w:rsidRPr="00AF6861">
              <w:rPr>
                <w:b/>
                <w:noProof/>
                <w:sz w:val="20"/>
              </w:rPr>
              <w:t>HIV PRODUCTS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8936E0">
            <w:pPr>
              <w:pStyle w:val="Default"/>
              <w:rPr>
                <w:noProof/>
              </w:rPr>
            </w:pPr>
            <w:r w:rsidRPr="00AF6861">
              <w:rPr>
                <w:noProof/>
              </w:rPr>
              <w:t>Cobicistat</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rPr>
                <w:noProof/>
                <w:lang w:val="en-GB"/>
              </w:rPr>
            </w:pPr>
            <w:r w:rsidRPr="00AF6861">
              <w:rPr>
                <w:noProof/>
              </w:rPr>
              <w:t xml:space="preserve">Concomitant use of </w:t>
            </w:r>
            <w:r w:rsidR="00194D66">
              <w:rPr>
                <w:noProof/>
              </w:rPr>
              <w:t>OLYSIO</w:t>
            </w:r>
            <w:r w:rsidRPr="00AF6861">
              <w:rPr>
                <w:noProof/>
              </w:rPr>
              <w:t xml:space="preserve"> and cobicistat may result in significantly </w:t>
            </w:r>
            <w:r w:rsidRPr="00AF6861">
              <w:rPr>
                <w:noProof/>
                <w:lang w:val="en-GB"/>
              </w:rPr>
              <w:t>increased plasma concentrations of simeprevir due to strong CYP3A inhibition by cobicistat. It is</w:t>
            </w:r>
            <w:r w:rsidRPr="00AF6861">
              <w:rPr>
                <w:rFonts w:eastAsia="TimesNewRoman"/>
              </w:rPr>
              <w:t xml:space="preserve"> not recommended</w:t>
            </w:r>
            <w:r w:rsidRPr="00AF6861">
              <w:rPr>
                <w:noProof/>
                <w:lang w:val="en-GB"/>
              </w:rPr>
              <w:t xml:space="preserve"> to co</w:t>
            </w:r>
            <w:r w:rsidRPr="00AF6861">
              <w:rPr>
                <w:noProof/>
                <w:lang w:val="en-GB"/>
              </w:rPr>
              <w:noBreakHyphen/>
              <w:t xml:space="preserve">administer </w:t>
            </w:r>
            <w:r w:rsidR="00194D66">
              <w:rPr>
                <w:noProof/>
              </w:rPr>
              <w:t>OLYSIO</w:t>
            </w:r>
            <w:r w:rsidRPr="00AF6861">
              <w:rPr>
                <w:noProof/>
                <w:lang w:val="en-GB"/>
              </w:rPr>
              <w:t xml:space="preserve"> with cobicistat.</w:t>
            </w:r>
          </w:p>
        </w:tc>
      </w:tr>
      <w:tr w:rsidR="003B0A62" w:rsidRPr="00A82DAA"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82DAA" w:rsidRDefault="003B0A62" w:rsidP="003B0A62">
            <w:pPr>
              <w:rPr>
                <w:b/>
                <w:noProof/>
                <w:sz w:val="20"/>
              </w:rPr>
            </w:pPr>
            <w:r w:rsidRPr="00A82DAA">
              <w:rPr>
                <w:b/>
                <w:noProof/>
                <w:sz w:val="20"/>
              </w:rPr>
              <w:t>Antiretroviral – CCR5 antagonist</w:t>
            </w:r>
          </w:p>
        </w:tc>
      </w:tr>
      <w:tr w:rsidR="003B0A62" w:rsidRPr="00A82DAA"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8936E0">
            <w:pPr>
              <w:pStyle w:val="Default"/>
              <w:rPr>
                <w:noProof/>
              </w:rPr>
            </w:pPr>
            <w:r w:rsidRPr="00A82DAA">
              <w:rPr>
                <w:noProof/>
              </w:rPr>
              <w:t>Maraviroc</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82DAA" w:rsidRDefault="003B0A62" w:rsidP="003B0A62">
            <w:pPr>
              <w:pStyle w:val="MarkTable"/>
              <w:ind w:left="127" w:right="162"/>
              <w:jc w:val="both"/>
              <w:rPr>
                <w:noProof/>
                <w:lang w:val="en-GB"/>
              </w:rPr>
            </w:pPr>
            <w:r w:rsidRPr="00A82DAA">
              <w:rPr>
                <w:noProof/>
                <w:lang w:eastAsia="nl-NL"/>
              </w:rPr>
              <w:t xml:space="preserve">Concomitant use of </w:t>
            </w:r>
            <w:r w:rsidR="00194D66">
              <w:rPr>
                <w:noProof/>
              </w:rPr>
              <w:t>OLYSIO</w:t>
            </w:r>
            <w:r w:rsidRPr="00A82DAA">
              <w:rPr>
                <w:noProof/>
                <w:lang w:val="en-GB"/>
              </w:rPr>
              <w:t xml:space="preserve"> </w:t>
            </w:r>
            <w:r w:rsidRPr="00A82DAA">
              <w:rPr>
                <w:noProof/>
                <w:lang w:eastAsia="nl-NL"/>
              </w:rPr>
              <w:t xml:space="preserve">with </w:t>
            </w:r>
            <w:r w:rsidRPr="00A82DAA">
              <w:rPr>
                <w:noProof/>
              </w:rPr>
              <w:t xml:space="preserve">maraviroc is not expected to result in a clinically relevant interaction. No dose adjustment is required for either drug when </w:t>
            </w:r>
            <w:r w:rsidR="00194D66">
              <w:rPr>
                <w:noProof/>
              </w:rPr>
              <w:t>OLYSIO</w:t>
            </w:r>
            <w:r w:rsidRPr="00A82DAA">
              <w:rPr>
                <w:noProof/>
              </w:rPr>
              <w:t xml:space="preserve"> is co</w:t>
            </w:r>
            <w:r w:rsidRPr="00A82DAA">
              <w:rPr>
                <w:noProof/>
              </w:rPr>
              <w:noBreakHyphen/>
              <w:t>administered with maraviroc.</w:t>
            </w:r>
          </w:p>
        </w:tc>
      </w:tr>
      <w:tr w:rsidR="003B0A62" w:rsidRPr="00A82DAA"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82DAA" w:rsidRDefault="003B0A62" w:rsidP="003B0A62">
            <w:pPr>
              <w:rPr>
                <w:b/>
                <w:noProof/>
                <w:sz w:val="20"/>
              </w:rPr>
            </w:pPr>
            <w:r w:rsidRPr="00A82DAA">
              <w:rPr>
                <w:b/>
                <w:noProof/>
                <w:sz w:val="20"/>
              </w:rPr>
              <w:t>Antiretroviral – integrase inhibitor</w:t>
            </w:r>
          </w:p>
        </w:tc>
      </w:tr>
      <w:tr w:rsidR="003B0A62" w:rsidRPr="00A82DAA" w:rsidTr="00E529B9">
        <w:trPr>
          <w:cantSplit/>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r w:rsidRPr="00A82DAA">
              <w:rPr>
                <w:noProof/>
                <w:sz w:val="20"/>
              </w:rPr>
              <w:t>Raltegravir</w:t>
            </w:r>
            <w:r w:rsidRPr="00A82DAA">
              <w:rPr>
                <w:noProof/>
                <w:sz w:val="20"/>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400 mg twice daily</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raltegravir</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F6861">
              <w:rPr>
                <w:noProof/>
                <w:sz w:val="20"/>
              </w:rPr>
              <w:t>↔</w:t>
            </w:r>
            <w:r w:rsidRPr="00A82DAA">
              <w:rPr>
                <w:noProof/>
                <w:sz w:val="20"/>
              </w:rPr>
              <w:t xml:space="preserve"> 1.03</w:t>
            </w:r>
          </w:p>
          <w:p w:rsidR="003B0A62" w:rsidRPr="00A82DAA" w:rsidRDefault="003B0A62" w:rsidP="003B0A62">
            <w:pPr>
              <w:jc w:val="center"/>
              <w:rPr>
                <w:noProof/>
                <w:sz w:val="20"/>
              </w:rPr>
            </w:pPr>
            <w:r w:rsidRPr="00A82DAA">
              <w:rPr>
                <w:noProof/>
                <w:sz w:val="20"/>
              </w:rPr>
              <w:t>(0.78</w:t>
            </w:r>
            <w:r w:rsidRPr="00A82DAA">
              <w:rPr>
                <w:noProof/>
                <w:sz w:val="20"/>
              </w:rPr>
              <w:noBreakHyphen/>
              <w:t>1.36)</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D"/>
            </w:r>
            <w:r w:rsidRPr="00A82DAA">
              <w:rPr>
                <w:noProof/>
                <w:sz w:val="20"/>
              </w:rPr>
              <w:t xml:space="preserve"> 1.08</w:t>
            </w:r>
          </w:p>
          <w:p w:rsidR="003B0A62" w:rsidRPr="00A82DAA" w:rsidRDefault="003B0A62" w:rsidP="003B0A62">
            <w:pPr>
              <w:jc w:val="center"/>
              <w:rPr>
                <w:noProof/>
                <w:sz w:val="20"/>
              </w:rPr>
            </w:pPr>
            <w:r w:rsidRPr="00A82DAA">
              <w:rPr>
                <w:noProof/>
                <w:sz w:val="20"/>
              </w:rPr>
              <w:t>(0.85</w:t>
            </w:r>
            <w:r w:rsidRPr="00A82DAA">
              <w:rPr>
                <w:noProof/>
                <w:sz w:val="20"/>
              </w:rPr>
              <w:noBreakHyphen/>
              <w:t>1.38)</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D"/>
            </w:r>
            <w:r w:rsidRPr="00A82DAA">
              <w:rPr>
                <w:noProof/>
                <w:sz w:val="20"/>
              </w:rPr>
              <w:t xml:space="preserve"> 1.14</w:t>
            </w:r>
          </w:p>
          <w:p w:rsidR="003B0A62" w:rsidRPr="00A82DAA" w:rsidRDefault="003B0A62" w:rsidP="003B0A62">
            <w:pPr>
              <w:jc w:val="center"/>
              <w:rPr>
                <w:noProof/>
                <w:sz w:val="20"/>
              </w:rPr>
            </w:pPr>
            <w:r w:rsidRPr="00A82DAA">
              <w:rPr>
                <w:noProof/>
                <w:sz w:val="20"/>
              </w:rPr>
              <w:t>(0.97</w:t>
            </w:r>
            <w:r w:rsidRPr="00A82DAA">
              <w:rPr>
                <w:noProof/>
                <w:sz w:val="20"/>
              </w:rPr>
              <w:noBreakHyphen/>
              <w:t>1.36)</w:t>
            </w:r>
          </w:p>
        </w:tc>
      </w:tr>
      <w:tr w:rsidR="003B0A62" w:rsidRPr="00A82DAA"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simeprevir</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 0.93</w:t>
            </w:r>
          </w:p>
          <w:p w:rsidR="003B0A62" w:rsidRPr="00A82DAA" w:rsidRDefault="003B0A62" w:rsidP="003B0A62">
            <w:pPr>
              <w:jc w:val="center"/>
              <w:rPr>
                <w:noProof/>
                <w:sz w:val="20"/>
              </w:rPr>
            </w:pPr>
            <w:r w:rsidRPr="00A82DAA">
              <w:rPr>
                <w:noProof/>
                <w:sz w:val="20"/>
              </w:rPr>
              <w:t>(0.85</w:t>
            </w:r>
            <w:r w:rsidRPr="00A82DAA">
              <w:rPr>
                <w:noProof/>
                <w:sz w:val="20"/>
              </w:rPr>
              <w:noBreakHyphen/>
              <w:t>1.02)</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 0.89</w:t>
            </w:r>
          </w:p>
          <w:p w:rsidR="003B0A62" w:rsidRPr="00A82DAA" w:rsidRDefault="003B0A62" w:rsidP="003B0A62">
            <w:pPr>
              <w:jc w:val="center"/>
              <w:rPr>
                <w:noProof/>
                <w:sz w:val="20"/>
              </w:rPr>
            </w:pPr>
            <w:r w:rsidRPr="00A82DAA">
              <w:rPr>
                <w:noProof/>
                <w:sz w:val="20"/>
              </w:rPr>
              <w:t>(0.81</w:t>
            </w:r>
            <w:r w:rsidRPr="00A82DAA">
              <w:rPr>
                <w:noProof/>
                <w:sz w:val="20"/>
              </w:rPr>
              <w:noBreakHyphen/>
              <w:t>0.98)</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F"/>
            </w:r>
            <w:r w:rsidRPr="00A82DAA">
              <w:rPr>
                <w:noProof/>
                <w:sz w:val="20"/>
              </w:rPr>
              <w:t xml:space="preserve"> 0.86</w:t>
            </w:r>
          </w:p>
          <w:p w:rsidR="003B0A62" w:rsidRPr="00A82DAA" w:rsidRDefault="003B0A62" w:rsidP="003B0A62">
            <w:pPr>
              <w:jc w:val="center"/>
              <w:rPr>
                <w:noProof/>
                <w:sz w:val="20"/>
              </w:rPr>
            </w:pPr>
            <w:r w:rsidRPr="00A82DAA">
              <w:rPr>
                <w:noProof/>
                <w:sz w:val="20"/>
              </w:rPr>
              <w:t>(0.75</w:t>
            </w:r>
            <w:r w:rsidRPr="00A82DAA">
              <w:rPr>
                <w:noProof/>
                <w:sz w:val="20"/>
              </w:rPr>
              <w:noBreakHyphen/>
              <w:t>0.98)</w:t>
            </w:r>
          </w:p>
        </w:tc>
      </w:tr>
      <w:tr w:rsidR="003B0A62" w:rsidRPr="00A82DAA"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82DAA" w:rsidRDefault="003B0A62" w:rsidP="003B0A62">
            <w:pPr>
              <w:ind w:left="127" w:right="162"/>
              <w:rPr>
                <w:noProof/>
                <w:sz w:val="20"/>
              </w:rPr>
            </w:pPr>
            <w:r w:rsidRPr="00A82DAA">
              <w:rPr>
                <w:noProof/>
                <w:sz w:val="20"/>
                <w:lang w:val="en-GB"/>
              </w:rPr>
              <w:t xml:space="preserve">No dose adjustment is required </w:t>
            </w:r>
            <w:r w:rsidRPr="00A82DAA">
              <w:rPr>
                <w:noProof/>
                <w:sz w:val="20"/>
              </w:rPr>
              <w:t>for either drug</w:t>
            </w:r>
            <w:r w:rsidRPr="00A82DAA">
              <w:rPr>
                <w:noProof/>
                <w:sz w:val="20"/>
                <w:lang w:val="en-GB"/>
              </w:rPr>
              <w:t xml:space="preserve"> when </w:t>
            </w:r>
            <w:r w:rsidR="00194D66">
              <w:rPr>
                <w:noProof/>
                <w:sz w:val="20"/>
              </w:rPr>
              <w:t>OLYSIO</w:t>
            </w:r>
            <w:r w:rsidRPr="00A82DAA">
              <w:rPr>
                <w:noProof/>
                <w:sz w:val="20"/>
                <w:lang w:val="en-GB"/>
              </w:rPr>
              <w:t xml:space="preserve"> is co</w:t>
            </w:r>
            <w:r w:rsidRPr="00A82DAA">
              <w:rPr>
                <w:noProof/>
                <w:sz w:val="20"/>
                <w:lang w:val="en-GB"/>
              </w:rPr>
              <w:noBreakHyphen/>
              <w:t>administered with</w:t>
            </w:r>
            <w:r w:rsidRPr="00A82DAA">
              <w:rPr>
                <w:noProof/>
                <w:sz w:val="20"/>
              </w:rPr>
              <w:t xml:space="preserve"> raltegravir.</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noProof/>
                <w:sz w:val="20"/>
              </w:rPr>
            </w:pPr>
            <w:r w:rsidRPr="00A82DAA">
              <w:rPr>
                <w:b/>
                <w:bCs/>
                <w:noProof/>
                <w:sz w:val="20"/>
              </w:rPr>
              <w:t>Antiretroviral – non</w:t>
            </w:r>
            <w:r w:rsidRPr="00A82DAA">
              <w:rPr>
                <w:b/>
                <w:bCs/>
                <w:noProof/>
                <w:sz w:val="20"/>
              </w:rPr>
              <w:noBreakHyphen/>
              <w:t>nucleoside reverse transcriptase inhibitors (NNRTIs)</w:t>
            </w:r>
          </w:p>
        </w:tc>
      </w:tr>
      <w:tr w:rsidR="003B0A62" w:rsidRPr="00AF6861" w:rsidTr="00E529B9">
        <w:trPr>
          <w:cantSplit/>
        </w:trPr>
        <w:tc>
          <w:tcPr>
            <w:tcW w:w="2000" w:type="dxa"/>
            <w:vMerge w:val="restart"/>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Efavirenz</w:t>
            </w:r>
            <w:r w:rsidRPr="00AF6861">
              <w:rPr>
                <w:noProof/>
                <w:sz w:val="20"/>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600 mg once daily</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efavirenz</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0.97</w:t>
            </w:r>
          </w:p>
          <w:p w:rsidR="003B0A62" w:rsidRPr="00AF6861" w:rsidRDefault="003B0A62" w:rsidP="003B0A62">
            <w:pPr>
              <w:jc w:val="center"/>
              <w:rPr>
                <w:noProof/>
                <w:sz w:val="20"/>
              </w:rPr>
            </w:pPr>
            <w:r w:rsidRPr="00AF6861">
              <w:rPr>
                <w:noProof/>
                <w:sz w:val="20"/>
              </w:rPr>
              <w:t>(0.89</w:t>
            </w:r>
            <w:r w:rsidRPr="00AF6861">
              <w:rPr>
                <w:noProof/>
                <w:sz w:val="20"/>
              </w:rPr>
              <w:noBreakHyphen/>
              <w:t>1.06)</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0.90</w:t>
            </w:r>
          </w:p>
          <w:p w:rsidR="003B0A62" w:rsidRPr="00AF6861" w:rsidRDefault="003B0A62" w:rsidP="003B0A62">
            <w:pPr>
              <w:jc w:val="center"/>
              <w:rPr>
                <w:noProof/>
                <w:sz w:val="20"/>
              </w:rPr>
            </w:pPr>
            <w:r w:rsidRPr="00AF6861">
              <w:rPr>
                <w:noProof/>
                <w:sz w:val="20"/>
              </w:rPr>
              <w:t>(0.85</w:t>
            </w:r>
            <w:r w:rsidRPr="00AF6861">
              <w:rPr>
                <w:noProof/>
                <w:sz w:val="20"/>
              </w:rPr>
              <w:noBreakHyphen/>
              <w:t>0.95)</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0.87</w:t>
            </w:r>
          </w:p>
          <w:p w:rsidR="003B0A62" w:rsidRPr="00AF6861" w:rsidRDefault="003B0A62" w:rsidP="003B0A62">
            <w:pPr>
              <w:jc w:val="center"/>
              <w:rPr>
                <w:noProof/>
                <w:sz w:val="20"/>
              </w:rPr>
            </w:pPr>
            <w:r w:rsidRPr="00AF6861">
              <w:rPr>
                <w:noProof/>
                <w:sz w:val="20"/>
              </w:rPr>
              <w:t>(0.81</w:t>
            </w:r>
            <w:r w:rsidRPr="00AF6861">
              <w:rPr>
                <w:noProof/>
                <w:sz w:val="20"/>
              </w:rPr>
              <w:noBreakHyphen/>
              <w:t>0.93)</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0.49</w:t>
            </w:r>
          </w:p>
          <w:p w:rsidR="003B0A62" w:rsidRPr="00AF6861" w:rsidRDefault="003B0A62" w:rsidP="003B0A62">
            <w:pPr>
              <w:jc w:val="center"/>
              <w:rPr>
                <w:noProof/>
                <w:sz w:val="20"/>
              </w:rPr>
            </w:pPr>
            <w:r w:rsidRPr="00AF6861">
              <w:rPr>
                <w:noProof/>
                <w:sz w:val="20"/>
              </w:rPr>
              <w:t>(0.44</w:t>
            </w:r>
            <w:r w:rsidRPr="00AF6861">
              <w:rPr>
                <w:noProof/>
                <w:sz w:val="20"/>
              </w:rPr>
              <w:noBreakHyphen/>
              <w:t>0.54)</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0.29</w:t>
            </w:r>
          </w:p>
          <w:p w:rsidR="003B0A62" w:rsidRPr="00AF6861" w:rsidRDefault="003B0A62" w:rsidP="003B0A62">
            <w:pPr>
              <w:jc w:val="center"/>
              <w:rPr>
                <w:noProof/>
                <w:sz w:val="20"/>
              </w:rPr>
            </w:pPr>
            <w:r w:rsidRPr="00AF6861">
              <w:rPr>
                <w:noProof/>
                <w:sz w:val="20"/>
              </w:rPr>
              <w:t>(0.26</w:t>
            </w:r>
            <w:r w:rsidRPr="00AF6861">
              <w:rPr>
                <w:noProof/>
                <w:sz w:val="20"/>
              </w:rPr>
              <w:noBreakHyphen/>
              <w:t>0.33)</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0.09</w:t>
            </w:r>
          </w:p>
          <w:p w:rsidR="003B0A62" w:rsidRPr="00AF6861" w:rsidRDefault="003B0A62" w:rsidP="003B0A62">
            <w:pPr>
              <w:jc w:val="center"/>
              <w:rPr>
                <w:noProof/>
                <w:sz w:val="20"/>
              </w:rPr>
            </w:pPr>
            <w:r w:rsidRPr="00AF6861">
              <w:rPr>
                <w:noProof/>
                <w:sz w:val="20"/>
              </w:rPr>
              <w:t>(0.08</w:t>
            </w:r>
            <w:r w:rsidRPr="00AF6861">
              <w:rPr>
                <w:noProof/>
                <w:sz w:val="20"/>
              </w:rPr>
              <w:noBreakHyphen/>
              <w:t>0.12)</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Concomitant use of </w:t>
            </w:r>
            <w:r w:rsidR="00194D66">
              <w:rPr>
                <w:noProof/>
                <w:sz w:val="20"/>
              </w:rPr>
              <w:t>OLYSIO</w:t>
            </w:r>
            <w:r w:rsidRPr="00AF6861">
              <w:rPr>
                <w:noProof/>
                <w:sz w:val="20"/>
                <w:lang w:val="en-GB"/>
              </w:rPr>
              <w:t xml:space="preserve"> </w:t>
            </w:r>
            <w:r w:rsidRPr="00AF6861">
              <w:rPr>
                <w:noProof/>
                <w:sz w:val="20"/>
              </w:rPr>
              <w:t xml:space="preserve">with efavirenz resulted in significantly decreased plasma concentrations of simeprevir due to CYP3A induction by efavirenz. This may result in loss of therapeutic effect of </w:t>
            </w:r>
            <w:r w:rsidR="00194D66">
              <w:rPr>
                <w:noProof/>
                <w:sz w:val="20"/>
              </w:rPr>
              <w:t>OLYSIO</w:t>
            </w:r>
            <w:r w:rsidRPr="00AF6861">
              <w:rPr>
                <w:noProof/>
                <w:sz w:val="20"/>
              </w:rPr>
              <w:t>. It is not recommended to co</w:t>
            </w:r>
            <w:r w:rsidRPr="00AF6861">
              <w:rPr>
                <w:noProof/>
                <w:sz w:val="20"/>
                <w:lang w:val="en-GB"/>
              </w:rPr>
              <w:noBreakHyphen/>
            </w:r>
            <w:r w:rsidRPr="00AF6861">
              <w:rPr>
                <w:noProof/>
                <w:sz w:val="20"/>
              </w:rPr>
              <w:t xml:space="preserve">administer </w:t>
            </w:r>
            <w:r w:rsidR="00194D66">
              <w:rPr>
                <w:noProof/>
                <w:sz w:val="20"/>
              </w:rPr>
              <w:t>OLYSIO</w:t>
            </w:r>
            <w:r w:rsidRPr="00AF6861">
              <w:rPr>
                <w:noProof/>
                <w:sz w:val="20"/>
                <w:lang w:val="en-GB"/>
              </w:rPr>
              <w:t xml:space="preserve"> </w:t>
            </w:r>
            <w:r w:rsidRPr="00AF6861">
              <w:rPr>
                <w:noProof/>
                <w:sz w:val="20"/>
              </w:rPr>
              <w:t xml:space="preserve">with efavirenz. </w:t>
            </w:r>
          </w:p>
        </w:tc>
      </w:tr>
      <w:tr w:rsidR="003B0A62" w:rsidRPr="00AF6861" w:rsidTr="00E529B9">
        <w:trPr>
          <w:cantSplit/>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Rilpivirine</w:t>
            </w:r>
            <w:r w:rsidRPr="00AF6861">
              <w:rPr>
                <w:noProof/>
                <w:sz w:val="20"/>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25 mg once daily</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rilpivirine</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1.04</w:t>
            </w:r>
          </w:p>
          <w:p w:rsidR="003B0A62" w:rsidRPr="00AF6861" w:rsidRDefault="003B0A62" w:rsidP="003B0A62">
            <w:pPr>
              <w:jc w:val="center"/>
              <w:rPr>
                <w:noProof/>
                <w:sz w:val="20"/>
              </w:rPr>
            </w:pPr>
            <w:r w:rsidRPr="00AF6861">
              <w:rPr>
                <w:noProof/>
                <w:sz w:val="20"/>
              </w:rPr>
              <w:t>(0.95</w:t>
            </w:r>
            <w:r w:rsidRPr="00AF6861">
              <w:rPr>
                <w:noProof/>
                <w:sz w:val="20"/>
              </w:rPr>
              <w:noBreakHyphen/>
              <w:t>1.13)</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1.12</w:t>
            </w:r>
          </w:p>
          <w:p w:rsidR="003B0A62" w:rsidRPr="00AF6861" w:rsidRDefault="003B0A62" w:rsidP="003B0A62">
            <w:pPr>
              <w:jc w:val="center"/>
              <w:rPr>
                <w:noProof/>
                <w:sz w:val="20"/>
              </w:rPr>
            </w:pPr>
            <w:r w:rsidRPr="00AF6861">
              <w:rPr>
                <w:noProof/>
                <w:sz w:val="20"/>
              </w:rPr>
              <w:t>(1.05</w:t>
            </w:r>
            <w:r w:rsidRPr="00AF6861">
              <w:rPr>
                <w:noProof/>
                <w:sz w:val="20"/>
              </w:rPr>
              <w:noBreakHyphen/>
              <w:t>1.19)</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1.25</w:t>
            </w:r>
          </w:p>
          <w:p w:rsidR="003B0A62" w:rsidRPr="00AF6861" w:rsidRDefault="003B0A62" w:rsidP="003B0A62">
            <w:pPr>
              <w:jc w:val="center"/>
              <w:rPr>
                <w:noProof/>
                <w:sz w:val="20"/>
              </w:rPr>
            </w:pPr>
            <w:r w:rsidRPr="00AF6861">
              <w:rPr>
                <w:noProof/>
                <w:sz w:val="20"/>
              </w:rPr>
              <w:t>(1.16</w:t>
            </w:r>
            <w:r w:rsidRPr="00AF6861">
              <w:rPr>
                <w:noProof/>
                <w:sz w:val="20"/>
              </w:rPr>
              <w:noBreakHyphen/>
              <w:t>1.35)</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1.10</w:t>
            </w:r>
          </w:p>
          <w:p w:rsidR="003B0A62" w:rsidRPr="00AF6861" w:rsidRDefault="003B0A62" w:rsidP="003B0A62">
            <w:pPr>
              <w:jc w:val="center"/>
              <w:rPr>
                <w:noProof/>
                <w:sz w:val="20"/>
              </w:rPr>
            </w:pPr>
            <w:r w:rsidRPr="00AF6861">
              <w:rPr>
                <w:noProof/>
                <w:sz w:val="20"/>
              </w:rPr>
              <w:t>(0.97</w:t>
            </w:r>
            <w:r w:rsidRPr="00AF6861">
              <w:rPr>
                <w:noProof/>
                <w:sz w:val="20"/>
              </w:rPr>
              <w:noBreakHyphen/>
              <w:t>1.26)</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1.06</w:t>
            </w:r>
          </w:p>
          <w:p w:rsidR="003B0A62" w:rsidRPr="00AF6861" w:rsidRDefault="003B0A62" w:rsidP="003B0A62">
            <w:pPr>
              <w:jc w:val="center"/>
              <w:rPr>
                <w:noProof/>
                <w:sz w:val="20"/>
              </w:rPr>
            </w:pPr>
            <w:r w:rsidRPr="00AF6861">
              <w:rPr>
                <w:noProof/>
                <w:sz w:val="20"/>
              </w:rPr>
              <w:t>(0.94</w:t>
            </w:r>
            <w:r w:rsidRPr="00AF6861">
              <w:rPr>
                <w:noProof/>
                <w:sz w:val="20"/>
              </w:rPr>
              <w:noBreakHyphen/>
              <w:t>1.19)</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0.96</w:t>
            </w:r>
          </w:p>
          <w:p w:rsidR="003B0A62" w:rsidRPr="00AF6861" w:rsidRDefault="003B0A62" w:rsidP="003B0A62">
            <w:pPr>
              <w:jc w:val="center"/>
              <w:rPr>
                <w:noProof/>
                <w:sz w:val="20"/>
              </w:rPr>
            </w:pPr>
            <w:r w:rsidRPr="00AF6861">
              <w:rPr>
                <w:noProof/>
                <w:sz w:val="20"/>
              </w:rPr>
              <w:t>(0.83</w:t>
            </w:r>
            <w:r w:rsidRPr="00AF6861">
              <w:rPr>
                <w:noProof/>
                <w:sz w:val="20"/>
              </w:rPr>
              <w:noBreakHyphen/>
              <w:t>1.11)</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ind w:left="127" w:right="162"/>
              <w:rPr>
                <w:noProof/>
                <w:sz w:val="20"/>
              </w:rPr>
            </w:pPr>
            <w:r w:rsidRPr="00AF6861">
              <w:rPr>
                <w:noProof/>
                <w:sz w:val="20"/>
              </w:rPr>
              <w:t xml:space="preserve">No dose adjustment is required for either drug when </w:t>
            </w:r>
            <w:r w:rsidR="00194D66">
              <w:rPr>
                <w:noProof/>
                <w:sz w:val="20"/>
              </w:rPr>
              <w:t>OLYSIO</w:t>
            </w:r>
            <w:r w:rsidRPr="00AF6861">
              <w:rPr>
                <w:noProof/>
                <w:sz w:val="20"/>
                <w:lang w:val="en-GB"/>
              </w:rPr>
              <w:t xml:space="preserve"> </w:t>
            </w:r>
            <w:r w:rsidRPr="00AF6861">
              <w:rPr>
                <w:noProof/>
                <w:sz w:val="20"/>
              </w:rPr>
              <w:t>is co</w:t>
            </w:r>
            <w:r w:rsidRPr="00AF6861">
              <w:rPr>
                <w:noProof/>
                <w:sz w:val="20"/>
              </w:rPr>
              <w:noBreakHyphen/>
              <w:t>administered with rilpivirine.</w:t>
            </w:r>
          </w:p>
        </w:tc>
      </w:tr>
      <w:tr w:rsidR="003B0A62" w:rsidRPr="00AF6861" w:rsidTr="00E529B9">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Other NNRTIs</w:t>
            </w:r>
          </w:p>
          <w:p w:rsidR="003B0A62" w:rsidRPr="00AF6861" w:rsidRDefault="003B0A62" w:rsidP="003B0A62">
            <w:pPr>
              <w:rPr>
                <w:noProof/>
                <w:sz w:val="20"/>
              </w:rPr>
            </w:pPr>
            <w:r w:rsidRPr="00AF6861">
              <w:rPr>
                <w:noProof/>
                <w:sz w:val="20"/>
              </w:rPr>
              <w:t>(Delavirdine</w:t>
            </w:r>
            <w:r>
              <w:rPr>
                <w:noProof/>
                <w:sz w:val="20"/>
              </w:rPr>
              <w:t xml:space="preserve">, </w:t>
            </w:r>
            <w:r w:rsidRPr="00AF6861">
              <w:rPr>
                <w:noProof/>
                <w:sz w:val="20"/>
              </w:rPr>
              <w:t>Etravirine</w:t>
            </w:r>
            <w:r>
              <w:rPr>
                <w:noProof/>
                <w:sz w:val="20"/>
              </w:rPr>
              <w:t xml:space="preserve">, </w:t>
            </w:r>
            <w:r w:rsidRPr="00AF6861">
              <w:rPr>
                <w:noProof/>
                <w:sz w:val="20"/>
              </w:rPr>
              <w:t>Nevirapine)</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Concomitant use of </w:t>
            </w:r>
            <w:r w:rsidR="00194D66">
              <w:rPr>
                <w:noProof/>
                <w:sz w:val="20"/>
              </w:rPr>
              <w:t>OLYSIO</w:t>
            </w:r>
            <w:r w:rsidRPr="00AF6861">
              <w:rPr>
                <w:noProof/>
                <w:sz w:val="20"/>
              </w:rPr>
              <w:t xml:space="preserve"> with delavirdine, etravirine or nevirapine may result in altered plasma concentrations of simeprevir due to CYP3A inhibition (delavirdine) or induction (etravirine and nevirapine) by these medicinal products. It is not recommended to co</w:t>
            </w:r>
            <w:r w:rsidRPr="00AF6861">
              <w:rPr>
                <w:noProof/>
                <w:sz w:val="20"/>
              </w:rPr>
              <w:noBreakHyphen/>
              <w:t xml:space="preserve">administer </w:t>
            </w:r>
            <w:r w:rsidR="00194D66">
              <w:rPr>
                <w:noProof/>
                <w:sz w:val="20"/>
              </w:rPr>
              <w:t>OLYSIO</w:t>
            </w:r>
            <w:r w:rsidRPr="00AF6861">
              <w:rPr>
                <w:noProof/>
                <w:sz w:val="20"/>
                <w:lang w:val="en-GB"/>
              </w:rPr>
              <w:t xml:space="preserve"> </w:t>
            </w:r>
            <w:r w:rsidRPr="00AF6861">
              <w:rPr>
                <w:noProof/>
                <w:sz w:val="20"/>
              </w:rPr>
              <w:t>with delavirdine, etravirine or nevirapine.</w:t>
            </w:r>
          </w:p>
        </w:tc>
      </w:tr>
      <w:tr w:rsidR="003B0A62" w:rsidRPr="00A82DAA"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82DAA" w:rsidRDefault="003B0A62" w:rsidP="003B0A62">
            <w:pPr>
              <w:rPr>
                <w:noProof/>
                <w:sz w:val="20"/>
              </w:rPr>
            </w:pPr>
            <w:r w:rsidRPr="00A82DAA">
              <w:rPr>
                <w:b/>
                <w:bCs/>
                <w:noProof/>
                <w:sz w:val="20"/>
              </w:rPr>
              <w:t>Antiretroviral – nucleoside or nucleotide reverse transcriptase inhibitors (N(t)RTIs)</w:t>
            </w:r>
          </w:p>
        </w:tc>
      </w:tr>
      <w:tr w:rsidR="003B0A62" w:rsidRPr="00A82DAA" w:rsidTr="00E529B9">
        <w:trPr>
          <w:cantSplit/>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r w:rsidRPr="00A82DAA">
              <w:rPr>
                <w:noProof/>
                <w:sz w:val="20"/>
              </w:rPr>
              <w:lastRenderedPageBreak/>
              <w:t>Tenofovir disoproxil fumarate</w:t>
            </w:r>
            <w:r w:rsidRPr="00A82DAA">
              <w:rPr>
                <w:noProof/>
                <w:sz w:val="20"/>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300 mg once daily</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tenofovir</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D"/>
            </w:r>
            <w:r w:rsidRPr="00A82DAA">
              <w:rPr>
                <w:noProof/>
                <w:sz w:val="20"/>
              </w:rPr>
              <w:t xml:space="preserve"> 1.19</w:t>
            </w:r>
          </w:p>
          <w:p w:rsidR="003B0A62" w:rsidRPr="00A82DAA" w:rsidRDefault="003B0A62" w:rsidP="003B0A62">
            <w:pPr>
              <w:jc w:val="center"/>
              <w:rPr>
                <w:noProof/>
                <w:sz w:val="20"/>
              </w:rPr>
            </w:pPr>
            <w:r w:rsidRPr="00A82DAA">
              <w:rPr>
                <w:noProof/>
                <w:sz w:val="20"/>
              </w:rPr>
              <w:t>(1.10</w:t>
            </w:r>
            <w:r w:rsidRPr="00A82DAA">
              <w:rPr>
                <w:noProof/>
                <w:sz w:val="20"/>
              </w:rPr>
              <w:noBreakHyphen/>
              <w:t>1.30)</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 1.18</w:t>
            </w:r>
          </w:p>
          <w:p w:rsidR="003B0A62" w:rsidRPr="00A82DAA" w:rsidRDefault="003B0A62" w:rsidP="003B0A62">
            <w:pPr>
              <w:jc w:val="center"/>
              <w:rPr>
                <w:noProof/>
                <w:sz w:val="20"/>
              </w:rPr>
            </w:pPr>
            <w:r w:rsidRPr="00A82DAA">
              <w:rPr>
                <w:noProof/>
                <w:sz w:val="20"/>
              </w:rPr>
              <w:t>(1.13</w:t>
            </w:r>
            <w:r w:rsidRPr="00A82DAA">
              <w:rPr>
                <w:noProof/>
                <w:sz w:val="20"/>
              </w:rPr>
              <w:noBreakHyphen/>
              <w:t>1.24)</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D"/>
            </w:r>
            <w:r w:rsidRPr="00A82DAA">
              <w:rPr>
                <w:noProof/>
                <w:sz w:val="20"/>
              </w:rPr>
              <w:t xml:space="preserve"> 1.24</w:t>
            </w:r>
          </w:p>
          <w:p w:rsidR="003B0A62" w:rsidRPr="00A82DAA" w:rsidRDefault="003B0A62" w:rsidP="003B0A62">
            <w:pPr>
              <w:jc w:val="center"/>
              <w:rPr>
                <w:noProof/>
                <w:sz w:val="20"/>
              </w:rPr>
            </w:pPr>
            <w:r w:rsidRPr="00A82DAA">
              <w:rPr>
                <w:noProof/>
                <w:sz w:val="20"/>
              </w:rPr>
              <w:t>(1.15</w:t>
            </w:r>
            <w:r w:rsidRPr="00A82DAA">
              <w:rPr>
                <w:noProof/>
                <w:sz w:val="20"/>
              </w:rPr>
              <w:noBreakHyphen/>
              <w:t>1.33)</w:t>
            </w:r>
          </w:p>
        </w:tc>
      </w:tr>
      <w:tr w:rsidR="003B0A62" w:rsidRPr="00A82DAA"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t>simeprevir</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F"/>
            </w:r>
            <w:r w:rsidRPr="00A82DAA">
              <w:rPr>
                <w:noProof/>
                <w:sz w:val="20"/>
              </w:rPr>
              <w:t xml:space="preserve"> 0.85</w:t>
            </w:r>
          </w:p>
          <w:p w:rsidR="003B0A62" w:rsidRPr="00A82DAA" w:rsidRDefault="003B0A62" w:rsidP="003B0A62">
            <w:pPr>
              <w:jc w:val="center"/>
              <w:rPr>
                <w:noProof/>
                <w:sz w:val="20"/>
              </w:rPr>
            </w:pPr>
            <w:r w:rsidRPr="00A82DAA">
              <w:rPr>
                <w:noProof/>
                <w:sz w:val="20"/>
              </w:rPr>
              <w:t>(0.73</w:t>
            </w:r>
            <w:r w:rsidRPr="00A82DAA">
              <w:rPr>
                <w:noProof/>
                <w:sz w:val="20"/>
              </w:rPr>
              <w:noBreakHyphen/>
              <w:t>0.99)</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F"/>
            </w:r>
            <w:r w:rsidRPr="00A82DAA">
              <w:rPr>
                <w:noProof/>
                <w:sz w:val="20"/>
              </w:rPr>
              <w:t xml:space="preserve"> 0.86</w:t>
            </w:r>
          </w:p>
          <w:p w:rsidR="003B0A62" w:rsidRPr="00A82DAA" w:rsidRDefault="003B0A62" w:rsidP="003B0A62">
            <w:pPr>
              <w:jc w:val="center"/>
              <w:rPr>
                <w:noProof/>
                <w:sz w:val="20"/>
              </w:rPr>
            </w:pPr>
            <w:r w:rsidRPr="00A82DAA">
              <w:rPr>
                <w:noProof/>
                <w:sz w:val="20"/>
              </w:rPr>
              <w:t>(0.76</w:t>
            </w:r>
            <w:r w:rsidRPr="00A82DAA">
              <w:rPr>
                <w:noProof/>
                <w:sz w:val="20"/>
              </w:rPr>
              <w:noBreakHyphen/>
              <w:t>0.98)</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82DAA" w:rsidRDefault="003B0A62" w:rsidP="003B0A62">
            <w:pPr>
              <w:jc w:val="center"/>
              <w:rPr>
                <w:noProof/>
                <w:sz w:val="20"/>
              </w:rPr>
            </w:pPr>
            <w:r w:rsidRPr="00A82DAA">
              <w:rPr>
                <w:noProof/>
                <w:sz w:val="20"/>
              </w:rPr>
              <w:sym w:font="Symbol" w:char="F0AF"/>
            </w:r>
            <w:r w:rsidRPr="00A82DAA">
              <w:rPr>
                <w:noProof/>
                <w:sz w:val="20"/>
              </w:rPr>
              <w:t xml:space="preserve"> 0.93</w:t>
            </w:r>
          </w:p>
          <w:p w:rsidR="003B0A62" w:rsidRPr="00A82DAA" w:rsidRDefault="003B0A62" w:rsidP="003B0A62">
            <w:pPr>
              <w:jc w:val="center"/>
              <w:rPr>
                <w:noProof/>
                <w:sz w:val="20"/>
              </w:rPr>
            </w:pPr>
            <w:r w:rsidRPr="00A82DAA">
              <w:rPr>
                <w:noProof/>
                <w:sz w:val="20"/>
              </w:rPr>
              <w:t>(0.78</w:t>
            </w:r>
            <w:r w:rsidRPr="00A82DAA">
              <w:rPr>
                <w:noProof/>
                <w:sz w:val="20"/>
              </w:rPr>
              <w:noBreakHyphen/>
              <w:t>1.11)</w:t>
            </w:r>
          </w:p>
        </w:tc>
      </w:tr>
      <w:tr w:rsidR="003B0A62" w:rsidRPr="00A82DAA" w:rsidTr="00E529B9">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82DAA" w:rsidRDefault="003B0A62" w:rsidP="003B0A62">
            <w:pPr>
              <w:ind w:left="127" w:right="162"/>
              <w:rPr>
                <w:noProof/>
                <w:sz w:val="20"/>
              </w:rPr>
            </w:pPr>
            <w:r w:rsidRPr="00A82DAA">
              <w:rPr>
                <w:noProof/>
                <w:sz w:val="20"/>
                <w:lang w:val="en-GB"/>
              </w:rPr>
              <w:t xml:space="preserve">No dose adjustment is required </w:t>
            </w:r>
            <w:r w:rsidRPr="00A82DAA">
              <w:rPr>
                <w:noProof/>
                <w:sz w:val="20"/>
              </w:rPr>
              <w:t>for either drug</w:t>
            </w:r>
            <w:r w:rsidRPr="00A82DAA">
              <w:rPr>
                <w:noProof/>
                <w:sz w:val="20"/>
                <w:lang w:val="en-GB"/>
              </w:rPr>
              <w:t xml:space="preserve"> when </w:t>
            </w:r>
            <w:r w:rsidR="00194D66">
              <w:rPr>
                <w:noProof/>
                <w:sz w:val="20"/>
              </w:rPr>
              <w:t>OLYSIO</w:t>
            </w:r>
            <w:r w:rsidRPr="00A82DAA">
              <w:rPr>
                <w:noProof/>
                <w:sz w:val="20"/>
                <w:lang w:val="en-GB"/>
              </w:rPr>
              <w:t xml:space="preserve"> is co</w:t>
            </w:r>
            <w:r w:rsidRPr="00A82DAA">
              <w:rPr>
                <w:noProof/>
                <w:sz w:val="20"/>
                <w:lang w:val="en-GB"/>
              </w:rPr>
              <w:noBreakHyphen/>
              <w:t xml:space="preserve">administered with </w:t>
            </w:r>
            <w:r w:rsidRPr="00A82DAA">
              <w:rPr>
                <w:noProof/>
                <w:sz w:val="20"/>
              </w:rPr>
              <w:t>tenofovir disoproxil fumarate.</w:t>
            </w:r>
          </w:p>
        </w:tc>
      </w:tr>
      <w:tr w:rsidR="003B0A62" w:rsidRPr="00A82DAA" w:rsidTr="00E529B9">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82DAA" w:rsidRDefault="003B0A62" w:rsidP="003B0A62">
            <w:pPr>
              <w:rPr>
                <w:noProof/>
                <w:sz w:val="20"/>
              </w:rPr>
            </w:pPr>
            <w:r w:rsidRPr="00A82DAA">
              <w:rPr>
                <w:noProof/>
                <w:sz w:val="20"/>
              </w:rPr>
              <w:t>Other NRTIs</w:t>
            </w:r>
          </w:p>
          <w:p w:rsidR="003B0A62" w:rsidRPr="00A82DAA" w:rsidRDefault="003B0A62" w:rsidP="003B0A62">
            <w:pPr>
              <w:rPr>
                <w:noProof/>
                <w:sz w:val="20"/>
              </w:rPr>
            </w:pPr>
            <w:r w:rsidRPr="00A82DAA">
              <w:rPr>
                <w:noProof/>
                <w:sz w:val="20"/>
              </w:rPr>
              <w:t>(Abacavir</w:t>
            </w:r>
            <w:r>
              <w:rPr>
                <w:noProof/>
                <w:sz w:val="20"/>
              </w:rPr>
              <w:t xml:space="preserve">, </w:t>
            </w:r>
            <w:r w:rsidRPr="00A82DAA">
              <w:rPr>
                <w:noProof/>
                <w:sz w:val="20"/>
              </w:rPr>
              <w:t>Didanosine</w:t>
            </w:r>
            <w:r>
              <w:rPr>
                <w:noProof/>
                <w:sz w:val="20"/>
              </w:rPr>
              <w:t xml:space="preserve">, </w:t>
            </w:r>
            <w:r w:rsidRPr="00A82DAA">
              <w:rPr>
                <w:noProof/>
                <w:sz w:val="20"/>
              </w:rPr>
              <w:t>Emtricitabine</w:t>
            </w:r>
            <w:r>
              <w:rPr>
                <w:noProof/>
                <w:sz w:val="20"/>
              </w:rPr>
              <w:t xml:space="preserve">, </w:t>
            </w:r>
            <w:r w:rsidRPr="00A82DAA">
              <w:rPr>
                <w:noProof/>
                <w:sz w:val="20"/>
              </w:rPr>
              <w:t>Lamivudine</w:t>
            </w:r>
            <w:r>
              <w:rPr>
                <w:noProof/>
                <w:sz w:val="20"/>
              </w:rPr>
              <w:t xml:space="preserve">, </w:t>
            </w:r>
            <w:r w:rsidRPr="00A82DAA">
              <w:rPr>
                <w:noProof/>
                <w:sz w:val="20"/>
              </w:rPr>
              <w:t>Stavudine</w:t>
            </w:r>
            <w:r>
              <w:rPr>
                <w:noProof/>
                <w:sz w:val="20"/>
              </w:rPr>
              <w:t xml:space="preserve">, </w:t>
            </w:r>
            <w:r w:rsidRPr="00A82DAA">
              <w:rPr>
                <w:noProof/>
                <w:sz w:val="20"/>
              </w:rPr>
              <w:t>Zidovudine)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82DAA" w:rsidRDefault="003B0A62" w:rsidP="003B0A62">
            <w:pPr>
              <w:ind w:left="127" w:right="162"/>
              <w:rPr>
                <w:noProof/>
                <w:sz w:val="20"/>
              </w:rPr>
            </w:pPr>
            <w:r w:rsidRPr="00A82DAA">
              <w:rPr>
                <w:noProof/>
                <w:sz w:val="20"/>
                <w:lang w:eastAsia="nl-NL"/>
              </w:rPr>
              <w:t xml:space="preserve">Concomitant use of </w:t>
            </w:r>
            <w:r w:rsidR="00194D66">
              <w:rPr>
                <w:noProof/>
                <w:sz w:val="20"/>
              </w:rPr>
              <w:t>OLYSIO</w:t>
            </w:r>
            <w:r w:rsidRPr="00A82DAA">
              <w:rPr>
                <w:noProof/>
                <w:sz w:val="20"/>
                <w:lang w:val="en-GB"/>
              </w:rPr>
              <w:t xml:space="preserve"> </w:t>
            </w:r>
            <w:r w:rsidRPr="00A82DAA">
              <w:rPr>
                <w:noProof/>
                <w:sz w:val="20"/>
                <w:lang w:eastAsia="nl-NL"/>
              </w:rPr>
              <w:t xml:space="preserve">with </w:t>
            </w:r>
            <w:r w:rsidRPr="00A82DAA">
              <w:rPr>
                <w:noProof/>
                <w:sz w:val="20"/>
              </w:rPr>
              <w:t>these NRTIs is not expected to result in a clinically relevant interaction b</w:t>
            </w:r>
            <w:r w:rsidRPr="00A82DAA">
              <w:rPr>
                <w:noProof/>
                <w:sz w:val="20"/>
                <w:lang w:eastAsia="nl-NL"/>
              </w:rPr>
              <w:t>ased on different elimination routes for these NRTIs and simeprevir</w:t>
            </w:r>
            <w:r w:rsidRPr="00A82DAA">
              <w:rPr>
                <w:noProof/>
                <w:sz w:val="20"/>
              </w:rPr>
              <w:t xml:space="preserve">. </w:t>
            </w:r>
            <w:r w:rsidRPr="00A82DAA">
              <w:rPr>
                <w:noProof/>
                <w:sz w:val="20"/>
                <w:lang w:val="en-GB"/>
              </w:rPr>
              <w:t xml:space="preserve">No dose adjustment is required when </w:t>
            </w:r>
            <w:r w:rsidR="00194D66">
              <w:rPr>
                <w:noProof/>
                <w:sz w:val="20"/>
              </w:rPr>
              <w:t>OLYSIO</w:t>
            </w:r>
            <w:r w:rsidRPr="00A82DAA">
              <w:rPr>
                <w:noProof/>
                <w:sz w:val="20"/>
                <w:lang w:val="en-GB"/>
              </w:rPr>
              <w:t xml:space="preserve"> is co</w:t>
            </w:r>
            <w:r w:rsidRPr="00A82DAA">
              <w:rPr>
                <w:noProof/>
                <w:sz w:val="20"/>
                <w:lang w:val="en-GB"/>
              </w:rPr>
              <w:noBreakHyphen/>
              <w:t>administered with</w:t>
            </w:r>
            <w:r w:rsidRPr="00A82DAA">
              <w:rPr>
                <w:noProof/>
                <w:sz w:val="20"/>
              </w:rPr>
              <w:t xml:space="preserve"> </w:t>
            </w:r>
            <w:r w:rsidRPr="00A82DAA">
              <w:rPr>
                <w:noProof/>
                <w:sz w:val="20"/>
                <w:lang w:val="en-GB"/>
              </w:rPr>
              <w:t>these NRTIs</w:t>
            </w:r>
            <w:r w:rsidRPr="00A82DAA">
              <w:rPr>
                <w:noProof/>
                <w:sz w:val="20"/>
              </w:rPr>
              <w:t>.</w:t>
            </w:r>
          </w:p>
        </w:tc>
      </w:tr>
      <w:tr w:rsidR="003B0A62" w:rsidRPr="00AF6861" w:rsidTr="00E529B9">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3D2243" w:rsidRDefault="003B0A62" w:rsidP="003D2243">
            <w:pPr>
              <w:pStyle w:val="TableText0"/>
              <w:rPr>
                <w:b/>
                <w:noProof/>
              </w:rPr>
            </w:pPr>
            <w:r w:rsidRPr="003D2243">
              <w:rPr>
                <w:b/>
                <w:noProof/>
              </w:rPr>
              <w:t>Antiretroviral – protease inhibitors (PIs)</w:t>
            </w:r>
          </w:p>
        </w:tc>
      </w:tr>
      <w:tr w:rsidR="003B0A62" w:rsidRPr="00AF6861" w:rsidTr="00E529B9">
        <w:trPr>
          <w:cantSplit/>
        </w:trPr>
        <w:tc>
          <w:tcPr>
            <w:tcW w:w="2000" w:type="dxa"/>
            <w:vMerge w:val="restart"/>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Darunavir/ritonavir</w:t>
            </w:r>
            <w:r w:rsidRPr="00AF6861">
              <w:rPr>
                <w:noProof/>
                <w:sz w:val="20"/>
                <w:vertAlign w:val="superscript"/>
              </w:rPr>
              <w:t>1,</w:t>
            </w:r>
            <w:r>
              <w:rPr>
                <w:noProof/>
                <w:sz w:val="20"/>
                <w:vertAlign w:val="superscript"/>
              </w:rPr>
              <w:t>4</w:t>
            </w:r>
          </w:p>
        </w:tc>
        <w:tc>
          <w:tcPr>
            <w:tcW w:w="1701"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800/100 mg once daily</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darunavir</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1.04</w:t>
            </w:r>
          </w:p>
          <w:p w:rsidR="003B0A62" w:rsidRPr="00AF6861" w:rsidRDefault="003B0A62" w:rsidP="003B0A62">
            <w:pPr>
              <w:jc w:val="center"/>
              <w:rPr>
                <w:noProof/>
                <w:sz w:val="20"/>
              </w:rPr>
            </w:pPr>
            <w:r w:rsidRPr="00AF6861">
              <w:rPr>
                <w:noProof/>
                <w:sz w:val="20"/>
              </w:rPr>
              <w:t>(0.99</w:t>
            </w:r>
            <w:r w:rsidRPr="00AF6861">
              <w:rPr>
                <w:noProof/>
                <w:sz w:val="20"/>
              </w:rPr>
              <w:noBreakHyphen/>
              <w:t>1.10)</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1.18</w:t>
            </w:r>
          </w:p>
          <w:p w:rsidR="003B0A62" w:rsidRPr="00AF6861" w:rsidRDefault="003B0A62" w:rsidP="003B0A62">
            <w:pPr>
              <w:jc w:val="center"/>
              <w:rPr>
                <w:noProof/>
                <w:sz w:val="20"/>
              </w:rPr>
            </w:pPr>
            <w:r w:rsidRPr="00AF6861">
              <w:rPr>
                <w:noProof/>
                <w:sz w:val="20"/>
              </w:rPr>
              <w:t>(1.11</w:t>
            </w:r>
            <w:r w:rsidRPr="00AF6861">
              <w:rPr>
                <w:noProof/>
                <w:sz w:val="20"/>
              </w:rPr>
              <w:noBreakHyphen/>
              <w:t>1.25)</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1.31</w:t>
            </w:r>
          </w:p>
          <w:p w:rsidR="003B0A62" w:rsidRPr="00AF6861" w:rsidRDefault="003B0A62" w:rsidP="003B0A62">
            <w:pPr>
              <w:jc w:val="center"/>
              <w:rPr>
                <w:noProof/>
                <w:sz w:val="20"/>
              </w:rPr>
            </w:pPr>
            <w:r w:rsidRPr="00AF6861">
              <w:rPr>
                <w:noProof/>
                <w:sz w:val="20"/>
              </w:rPr>
              <w:t>(1.13</w:t>
            </w:r>
            <w:r w:rsidRPr="00AF6861">
              <w:rPr>
                <w:noProof/>
                <w:sz w:val="20"/>
              </w:rPr>
              <w:noBreakHyphen/>
              <w:t>1.52)</w:t>
            </w:r>
          </w:p>
        </w:tc>
      </w:tr>
      <w:tr w:rsidR="003B0A62" w:rsidRPr="00AF6861" w:rsidTr="00E529B9">
        <w:trPr>
          <w:cantSplit/>
          <w:trHeight w:val="398"/>
        </w:trPr>
        <w:tc>
          <w:tcPr>
            <w:tcW w:w="2000" w:type="dxa"/>
            <w:vMerge/>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1.79</w:t>
            </w:r>
          </w:p>
          <w:p w:rsidR="003B0A62" w:rsidRPr="00AF6861" w:rsidRDefault="003B0A62" w:rsidP="003B0A62">
            <w:pPr>
              <w:jc w:val="center"/>
              <w:rPr>
                <w:noProof/>
                <w:sz w:val="20"/>
              </w:rPr>
            </w:pPr>
            <w:r w:rsidRPr="00AF6861">
              <w:rPr>
                <w:noProof/>
                <w:sz w:val="20"/>
              </w:rPr>
              <w:t>(1.55</w:t>
            </w:r>
            <w:r w:rsidRPr="00AF6861">
              <w:rPr>
                <w:noProof/>
                <w:sz w:val="20"/>
              </w:rPr>
              <w:noBreakHyphen/>
              <w:t>2.06)</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2.59</w:t>
            </w:r>
          </w:p>
          <w:p w:rsidR="003B0A62" w:rsidRPr="00AF6861" w:rsidRDefault="003B0A62" w:rsidP="003B0A62">
            <w:pPr>
              <w:jc w:val="center"/>
              <w:rPr>
                <w:noProof/>
                <w:sz w:val="20"/>
              </w:rPr>
            </w:pPr>
            <w:r w:rsidRPr="00AF6861">
              <w:rPr>
                <w:noProof/>
                <w:sz w:val="20"/>
              </w:rPr>
              <w:t>(2.15</w:t>
            </w:r>
            <w:r w:rsidRPr="00AF6861">
              <w:rPr>
                <w:noProof/>
                <w:sz w:val="20"/>
              </w:rPr>
              <w:noBreakHyphen/>
              <w:t>3.11)</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4.58</w:t>
            </w:r>
          </w:p>
          <w:p w:rsidR="003B0A62" w:rsidRPr="00AF6861" w:rsidRDefault="003B0A62" w:rsidP="003B0A62">
            <w:pPr>
              <w:jc w:val="center"/>
              <w:rPr>
                <w:noProof/>
                <w:sz w:val="20"/>
              </w:rPr>
            </w:pPr>
            <w:r w:rsidRPr="00AF6861">
              <w:rPr>
                <w:noProof/>
                <w:sz w:val="20"/>
              </w:rPr>
              <w:t>(3.54</w:t>
            </w:r>
            <w:r w:rsidRPr="00AF6861">
              <w:rPr>
                <w:noProof/>
                <w:sz w:val="20"/>
              </w:rPr>
              <w:noBreakHyphen/>
              <w:t>5.92)</w:t>
            </w:r>
          </w:p>
        </w:tc>
      </w:tr>
      <w:tr w:rsidR="003B0A62" w:rsidRPr="00AF6861" w:rsidTr="00E529B9">
        <w:trPr>
          <w:cantSplit/>
        </w:trPr>
        <w:tc>
          <w:tcPr>
            <w:tcW w:w="2000" w:type="dxa"/>
            <w:vMerge/>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lang w:eastAsia="zh-TW"/>
              </w:rPr>
            </w:pPr>
            <w:r w:rsidRPr="00AF6861">
              <w:rPr>
                <w:noProof/>
                <w:sz w:val="20"/>
                <w:lang w:eastAsia="nl-NL"/>
              </w:rPr>
              <w:t xml:space="preserve">Concomitant use of </w:t>
            </w:r>
            <w:r w:rsidR="00194D66">
              <w:rPr>
                <w:noProof/>
                <w:sz w:val="20"/>
              </w:rPr>
              <w:t>OLYSIO</w:t>
            </w:r>
            <w:r w:rsidRPr="00AF6861">
              <w:rPr>
                <w:noProof/>
                <w:sz w:val="20"/>
                <w:lang w:val="en-GB"/>
              </w:rPr>
              <w:t xml:space="preserve"> </w:t>
            </w:r>
            <w:r w:rsidRPr="00AF6861">
              <w:rPr>
                <w:noProof/>
                <w:sz w:val="20"/>
                <w:lang w:eastAsia="nl-NL"/>
              </w:rPr>
              <w:t>with darunavir/ritonavir resulted in increased plasma concentrations of simeprevir due to CYP3A inhibition by darunavir/ritonavir. It is not recommended to co</w:t>
            </w:r>
            <w:r w:rsidRPr="00AF6861">
              <w:rPr>
                <w:noProof/>
                <w:sz w:val="20"/>
                <w:lang w:val="en-GB"/>
              </w:rPr>
              <w:noBreakHyphen/>
            </w:r>
            <w:r w:rsidRPr="00AF6861">
              <w:rPr>
                <w:noProof/>
                <w:sz w:val="20"/>
                <w:lang w:eastAsia="nl-NL"/>
              </w:rPr>
              <w:t xml:space="preserve">administer darunavir/ritonavir and </w:t>
            </w:r>
            <w:r w:rsidR="00194D66">
              <w:rPr>
                <w:noProof/>
                <w:sz w:val="20"/>
                <w:lang w:eastAsia="nl-NL"/>
              </w:rPr>
              <w:t>OLYSIO</w:t>
            </w:r>
            <w:r w:rsidRPr="00AF6861">
              <w:rPr>
                <w:noProof/>
                <w:sz w:val="20"/>
                <w:lang w:eastAsia="nl-NL"/>
              </w:rPr>
              <w:t>.</w:t>
            </w:r>
          </w:p>
        </w:tc>
      </w:tr>
      <w:tr w:rsidR="003B0A62" w:rsidRPr="00AF6861" w:rsidTr="00E529B9">
        <w:trPr>
          <w:cantSplit/>
          <w:trHeight w:val="580"/>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Ritonavir</w:t>
            </w:r>
            <w:r w:rsidRPr="00AF6861">
              <w:rPr>
                <w:noProof/>
                <w:sz w:val="20"/>
                <w:vertAlign w:val="superscript"/>
              </w:rPr>
              <w:t>1,2</w:t>
            </w:r>
          </w:p>
        </w:tc>
        <w:tc>
          <w:tcPr>
            <w:tcW w:w="1701" w:type="dxa"/>
            <w:gridSpan w:val="2"/>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100 mg twice daily</w:t>
            </w: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simeprevir</w:t>
            </w:r>
          </w:p>
        </w:tc>
        <w:tc>
          <w:tcPr>
            <w:tcW w:w="1276"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4.70</w:t>
            </w:r>
          </w:p>
          <w:p w:rsidR="003B0A62" w:rsidRPr="00AF6861" w:rsidRDefault="003B0A62" w:rsidP="003B0A62">
            <w:pPr>
              <w:jc w:val="center"/>
              <w:rPr>
                <w:noProof/>
                <w:sz w:val="20"/>
              </w:rPr>
            </w:pPr>
            <w:r w:rsidRPr="00AF6861">
              <w:rPr>
                <w:noProof/>
                <w:sz w:val="20"/>
              </w:rPr>
              <w:t>(3.84</w:t>
            </w:r>
            <w:r w:rsidRPr="00AF6861">
              <w:rPr>
                <w:noProof/>
                <w:sz w:val="20"/>
              </w:rPr>
              <w:noBreakHyphen/>
              <w:t>5.76)</w:t>
            </w:r>
          </w:p>
        </w:tc>
        <w:tc>
          <w:tcPr>
            <w:tcW w:w="1417" w:type="dxa"/>
            <w:tcBorders>
              <w:top w:val="single" w:sz="6" w:space="0" w:color="auto"/>
              <w:left w:val="single" w:sz="6" w:space="0" w:color="auto"/>
              <w:right w:val="single" w:sz="4" w:space="0" w:color="auto"/>
            </w:tcBorders>
            <w:shd w:val="clear" w:color="auto" w:fill="auto"/>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7.18</w:t>
            </w:r>
          </w:p>
          <w:p w:rsidR="003B0A62" w:rsidRPr="00AF6861" w:rsidRDefault="003B0A62" w:rsidP="003B0A62">
            <w:pPr>
              <w:jc w:val="center"/>
              <w:rPr>
                <w:noProof/>
                <w:sz w:val="20"/>
              </w:rPr>
            </w:pPr>
            <w:r w:rsidRPr="00AF6861">
              <w:rPr>
                <w:noProof/>
                <w:sz w:val="20"/>
              </w:rPr>
              <w:t>(5.63</w:t>
            </w:r>
            <w:r w:rsidRPr="00AF6861">
              <w:rPr>
                <w:noProof/>
                <w:sz w:val="20"/>
              </w:rPr>
              <w:noBreakHyphen/>
              <w:t>9.15)</w:t>
            </w:r>
          </w:p>
        </w:tc>
        <w:tc>
          <w:tcPr>
            <w:tcW w:w="1418" w:type="dxa"/>
            <w:tcBorders>
              <w:top w:val="single" w:sz="6" w:space="0" w:color="auto"/>
              <w:left w:val="single" w:sz="6" w:space="0" w:color="auto"/>
              <w:right w:val="single" w:sz="4" w:space="0" w:color="auto"/>
            </w:tcBorders>
            <w:shd w:val="clear" w:color="auto" w:fill="auto"/>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14.35</w:t>
            </w:r>
          </w:p>
          <w:p w:rsidR="003B0A62" w:rsidRPr="00AF6861" w:rsidRDefault="003B0A62" w:rsidP="003B0A62">
            <w:pPr>
              <w:jc w:val="center"/>
              <w:rPr>
                <w:noProof/>
                <w:sz w:val="20"/>
              </w:rPr>
            </w:pPr>
            <w:r w:rsidRPr="00AF6861">
              <w:rPr>
                <w:noProof/>
                <w:sz w:val="20"/>
              </w:rPr>
              <w:t>(10.29</w:t>
            </w:r>
            <w:r w:rsidRPr="00AF6861">
              <w:rPr>
                <w:noProof/>
                <w:sz w:val="20"/>
              </w:rPr>
              <w:noBreakHyphen/>
              <w:t>20.01)</w:t>
            </w:r>
          </w:p>
        </w:tc>
      </w:tr>
      <w:tr w:rsidR="003B0A62" w:rsidRPr="00AF6861" w:rsidTr="00E529B9">
        <w:trPr>
          <w:cantSplit/>
          <w:trHeight w:val="580"/>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ind w:right="57"/>
              <w:rPr>
                <w:noProof/>
                <w:sz w:val="20"/>
              </w:rPr>
            </w:pPr>
            <w:r w:rsidRPr="00AF6861">
              <w:rPr>
                <w:noProof/>
                <w:sz w:val="20"/>
              </w:rPr>
              <w:t xml:space="preserve">Concomitant use of </w:t>
            </w:r>
            <w:r w:rsidR="00194D66">
              <w:rPr>
                <w:noProof/>
                <w:sz w:val="20"/>
              </w:rPr>
              <w:t>OLYSIO</w:t>
            </w:r>
            <w:r w:rsidRPr="00AF6861">
              <w:rPr>
                <w:noProof/>
                <w:sz w:val="20"/>
              </w:rPr>
              <w:t xml:space="preserve"> with ritonavir resulted in significantly increased plasma concentrations of simeprevir due to </w:t>
            </w:r>
            <w:r w:rsidRPr="00AF6861">
              <w:rPr>
                <w:noProof/>
                <w:sz w:val="20"/>
                <w:lang w:val="en-GB"/>
              </w:rPr>
              <w:t xml:space="preserve">strong </w:t>
            </w:r>
            <w:r w:rsidRPr="00AF6861">
              <w:rPr>
                <w:noProof/>
                <w:sz w:val="20"/>
              </w:rPr>
              <w:t>CYP3A inhibition by ritonavir. It is not recommended to co</w:t>
            </w:r>
            <w:r w:rsidRPr="00AF6861">
              <w:rPr>
                <w:noProof/>
                <w:sz w:val="20"/>
              </w:rPr>
              <w:noBreakHyphen/>
              <w:t xml:space="preserve">administer </w:t>
            </w:r>
            <w:r w:rsidR="00194D66">
              <w:rPr>
                <w:noProof/>
                <w:sz w:val="20"/>
              </w:rPr>
              <w:t>OLYSIO</w:t>
            </w:r>
            <w:r w:rsidRPr="00AF6861">
              <w:rPr>
                <w:noProof/>
                <w:sz w:val="20"/>
                <w:lang w:val="en-GB"/>
              </w:rPr>
              <w:t xml:space="preserve"> </w:t>
            </w:r>
            <w:r w:rsidRPr="00AF6861">
              <w:rPr>
                <w:noProof/>
                <w:sz w:val="20"/>
              </w:rPr>
              <w:t>with ritonavir.</w:t>
            </w:r>
          </w:p>
        </w:tc>
      </w:tr>
      <w:tr w:rsidR="003B0A62" w:rsidRPr="00AF6861" w:rsidTr="00E529B9">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Other ritonavir</w:t>
            </w:r>
            <w:r w:rsidRPr="00AF6861">
              <w:rPr>
                <w:noProof/>
                <w:sz w:val="20"/>
              </w:rPr>
              <w:noBreakHyphen/>
              <w:t>boosted or unboosted HIV PIs, e.g.</w:t>
            </w:r>
            <w:r>
              <w:rPr>
                <w:noProof/>
                <w:sz w:val="20"/>
              </w:rPr>
              <w:t xml:space="preserve">, </w:t>
            </w:r>
            <w:r w:rsidRPr="00AF6861">
              <w:rPr>
                <w:noProof/>
                <w:sz w:val="20"/>
              </w:rPr>
              <w:t>Atazanavir</w:t>
            </w:r>
            <w:r>
              <w:rPr>
                <w:noProof/>
                <w:sz w:val="20"/>
              </w:rPr>
              <w:t xml:space="preserve">, </w:t>
            </w:r>
            <w:r w:rsidRPr="00AF6861">
              <w:rPr>
                <w:noProof/>
                <w:sz w:val="20"/>
              </w:rPr>
              <w:t>(Fos)amprenavir</w:t>
            </w:r>
            <w:r>
              <w:rPr>
                <w:noProof/>
                <w:sz w:val="20"/>
              </w:rPr>
              <w:t xml:space="preserve">, </w:t>
            </w:r>
            <w:r w:rsidRPr="00AF6861">
              <w:rPr>
                <w:noProof/>
                <w:sz w:val="20"/>
              </w:rPr>
              <w:t>Lopinavir</w:t>
            </w:r>
            <w:r>
              <w:rPr>
                <w:noProof/>
                <w:sz w:val="20"/>
              </w:rPr>
              <w:t xml:space="preserve">, </w:t>
            </w:r>
            <w:r w:rsidRPr="00AF6861">
              <w:rPr>
                <w:noProof/>
                <w:sz w:val="20"/>
              </w:rPr>
              <w:t>Indinavir</w:t>
            </w:r>
            <w:r>
              <w:rPr>
                <w:noProof/>
                <w:sz w:val="20"/>
              </w:rPr>
              <w:t xml:space="preserve">, </w:t>
            </w:r>
            <w:r w:rsidRPr="00AF6861">
              <w:rPr>
                <w:noProof/>
                <w:sz w:val="20"/>
              </w:rPr>
              <w:t>Nelfinavir</w:t>
            </w:r>
            <w:r>
              <w:rPr>
                <w:noProof/>
                <w:sz w:val="20"/>
              </w:rPr>
              <w:t xml:space="preserve">, </w:t>
            </w:r>
            <w:r w:rsidRPr="00AF6861">
              <w:rPr>
                <w:noProof/>
                <w:sz w:val="20"/>
              </w:rPr>
              <w:t>Saquinavir</w:t>
            </w:r>
            <w:r>
              <w:rPr>
                <w:noProof/>
                <w:sz w:val="20"/>
              </w:rPr>
              <w:t xml:space="preserve">, </w:t>
            </w:r>
            <w:r w:rsidRPr="00AF6861">
              <w:rPr>
                <w:noProof/>
                <w:sz w:val="20"/>
              </w:rPr>
              <w:t>Tipranavir</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82DAA" w:rsidRDefault="003B0A62" w:rsidP="003B0A62">
            <w:pPr>
              <w:keepNext/>
              <w:autoSpaceDE w:val="0"/>
              <w:autoSpaceDN w:val="0"/>
              <w:adjustRightInd w:val="0"/>
              <w:ind w:left="127" w:right="162"/>
              <w:rPr>
                <w:noProof/>
                <w:sz w:val="20"/>
              </w:rPr>
            </w:pPr>
            <w:r w:rsidRPr="00A82DAA">
              <w:rPr>
                <w:noProof/>
                <w:sz w:val="20"/>
              </w:rPr>
              <w:t xml:space="preserve">Concomitant use of </w:t>
            </w:r>
            <w:r w:rsidR="00194D66">
              <w:rPr>
                <w:noProof/>
                <w:sz w:val="20"/>
              </w:rPr>
              <w:t>OLYSIO</w:t>
            </w:r>
            <w:r w:rsidRPr="00A82DAA">
              <w:rPr>
                <w:noProof/>
                <w:sz w:val="20"/>
              </w:rPr>
              <w:t xml:space="preserve"> with ritonavir</w:t>
            </w:r>
            <w:r w:rsidRPr="00A82DAA">
              <w:rPr>
                <w:noProof/>
                <w:sz w:val="20"/>
              </w:rPr>
              <w:noBreakHyphen/>
              <w:t>boosted or unboosted HIV PIs may result in altered plasma concentrations of simeprevir due to CYP3A inhibition or induction by these HIV PIs. It is not recommended to co</w:t>
            </w:r>
            <w:r w:rsidRPr="00A82DAA">
              <w:rPr>
                <w:noProof/>
                <w:sz w:val="20"/>
              </w:rPr>
              <w:noBreakHyphen/>
              <w:t xml:space="preserve">administer </w:t>
            </w:r>
            <w:r w:rsidR="00194D66">
              <w:rPr>
                <w:noProof/>
                <w:sz w:val="20"/>
              </w:rPr>
              <w:t>OLYSIO</w:t>
            </w:r>
            <w:r w:rsidRPr="00A82DAA">
              <w:rPr>
                <w:noProof/>
                <w:sz w:val="20"/>
                <w:lang w:val="en-GB"/>
              </w:rPr>
              <w:t xml:space="preserve"> </w:t>
            </w:r>
            <w:r w:rsidRPr="00A82DAA">
              <w:rPr>
                <w:noProof/>
                <w:sz w:val="20"/>
              </w:rPr>
              <w:t>with any HIV PI, with or without ritonavir.</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noProof/>
                <w:sz w:val="20"/>
              </w:rPr>
            </w:pPr>
            <w:r w:rsidRPr="00AF6861">
              <w:rPr>
                <w:b/>
                <w:bCs/>
                <w:caps/>
                <w:noProof/>
                <w:sz w:val="20"/>
              </w:rPr>
              <w:t>HMG CO</w:t>
            </w:r>
            <w:r w:rsidRPr="00AF6861">
              <w:rPr>
                <w:b/>
                <w:bCs/>
                <w:caps/>
                <w:noProof/>
                <w:sz w:val="20"/>
              </w:rPr>
              <w:noBreakHyphen/>
              <w:t>A REDUCTASE INHIBITORS</w:t>
            </w:r>
          </w:p>
        </w:tc>
      </w:tr>
      <w:tr w:rsidR="003B0A62" w:rsidRPr="00AF6861" w:rsidTr="00E529B9">
        <w:tblPrEx>
          <w:tblBorders>
            <w:bottom w:val="single" w:sz="4" w:space="0" w:color="auto"/>
          </w:tblBorders>
        </w:tblPrEx>
        <w:trPr>
          <w:cantSplit/>
          <w:trHeight w:val="316"/>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Rosuvastatin</w:t>
            </w:r>
            <w:r w:rsidRPr="00AF6861">
              <w:rPr>
                <w:noProof/>
                <w:sz w:val="20"/>
                <w:vertAlign w:val="superscript"/>
              </w:rPr>
              <w:t>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xml:space="preserve">10 mg </w:t>
            </w: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rosuvastatin</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3.17</w:t>
            </w:r>
          </w:p>
          <w:p w:rsidR="003B0A62" w:rsidRPr="00AF6861" w:rsidRDefault="003B0A62" w:rsidP="003B0A62">
            <w:pPr>
              <w:jc w:val="center"/>
              <w:rPr>
                <w:noProof/>
                <w:sz w:val="20"/>
              </w:rPr>
            </w:pPr>
            <w:r w:rsidRPr="00AF6861">
              <w:rPr>
                <w:noProof/>
                <w:sz w:val="20"/>
              </w:rPr>
              <w:t>(2.57</w:t>
            </w:r>
            <w:r w:rsidRPr="00AF6861">
              <w:rPr>
                <w:noProof/>
                <w:sz w:val="20"/>
              </w:rPr>
              <w:noBreakHyphen/>
              <w:t>3.91)</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2.81</w:t>
            </w:r>
          </w:p>
          <w:p w:rsidR="003B0A62" w:rsidRPr="00AF6861" w:rsidRDefault="003B0A62" w:rsidP="003B0A62">
            <w:pPr>
              <w:jc w:val="center"/>
              <w:rPr>
                <w:noProof/>
                <w:sz w:val="20"/>
              </w:rPr>
            </w:pPr>
            <w:r w:rsidRPr="00AF6861">
              <w:rPr>
                <w:noProof/>
                <w:sz w:val="20"/>
              </w:rPr>
              <w:t>(2.34</w:t>
            </w:r>
            <w:r w:rsidRPr="00AF6861">
              <w:rPr>
                <w:noProof/>
                <w:sz w:val="20"/>
              </w:rPr>
              <w:noBreakHyphen/>
              <w:t>3.37)</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sz w:val="20"/>
              </w:rPr>
              <w:t xml:space="preserve">Concomitant use of </w:t>
            </w:r>
            <w:r w:rsidR="00194D66">
              <w:rPr>
                <w:sz w:val="20"/>
              </w:rPr>
              <w:t>OLYSIO</w:t>
            </w:r>
            <w:r w:rsidRPr="00AF6861">
              <w:rPr>
                <w:sz w:val="20"/>
              </w:rPr>
              <w:t xml:space="preserve"> with </w:t>
            </w:r>
            <w:proofErr w:type="spellStart"/>
            <w:r w:rsidRPr="00AF6861">
              <w:rPr>
                <w:sz w:val="20"/>
              </w:rPr>
              <w:t>rosuvastatin</w:t>
            </w:r>
            <w:proofErr w:type="spellEnd"/>
            <w:r w:rsidRPr="00AF6861">
              <w:rPr>
                <w:sz w:val="20"/>
              </w:rPr>
              <w:t xml:space="preserve"> resulted in increased </w:t>
            </w:r>
            <w:r w:rsidRPr="00AF6861">
              <w:rPr>
                <w:noProof/>
                <w:sz w:val="20"/>
              </w:rPr>
              <w:t>plasma concentrations of rosuvastatin due to inhibition of OATP1B1 by simeprevir. Titrate the rosuvastatin dose carefully and use the lowest necessary dose while monitoring for safety when co</w:t>
            </w:r>
            <w:r w:rsidRPr="00AF6861">
              <w:rPr>
                <w:noProof/>
                <w:sz w:val="20"/>
                <w:lang w:val="en-GB"/>
              </w:rPr>
              <w:noBreakHyphen/>
            </w:r>
            <w:r w:rsidRPr="00AF6861">
              <w:rPr>
                <w:noProof/>
                <w:sz w:val="20"/>
              </w:rPr>
              <w:t xml:space="preserve">administered with </w:t>
            </w:r>
            <w:r w:rsidR="00194D66">
              <w:rPr>
                <w:noProof/>
                <w:sz w:val="20"/>
              </w:rPr>
              <w:t>OLYSIO</w:t>
            </w:r>
            <w:r w:rsidRPr="00AF6861">
              <w:rPr>
                <w:noProof/>
                <w:sz w:val="20"/>
              </w:rPr>
              <w:t>.</w:t>
            </w:r>
          </w:p>
        </w:tc>
      </w:tr>
      <w:tr w:rsidR="003B0A62" w:rsidRPr="00AF6861" w:rsidTr="00E529B9">
        <w:tblPrEx>
          <w:tblBorders>
            <w:bottom w:val="single" w:sz="4" w:space="0" w:color="auto"/>
          </w:tblBorders>
        </w:tblPrEx>
        <w:trPr>
          <w:cantSplit/>
          <w:trHeight w:val="935"/>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D2243">
            <w:pPr>
              <w:pStyle w:val="TableText0"/>
              <w:rPr>
                <w:noProof/>
              </w:rPr>
            </w:pPr>
            <w:proofErr w:type="spellStart"/>
            <w:r w:rsidRPr="00AF6861">
              <w:t>Pitavastatin</w:t>
            </w:r>
            <w:proofErr w:type="spellEnd"/>
          </w:p>
          <w:p w:rsidR="003B0A62" w:rsidRPr="00AF6861" w:rsidRDefault="003B0A62" w:rsidP="003D2243">
            <w:pPr>
              <w:pStyle w:val="TableText0"/>
              <w:rPr>
                <w:noProof/>
              </w:rPr>
            </w:pPr>
            <w:r w:rsidRPr="00AF6861">
              <w:rPr>
                <w:noProof/>
              </w:rPr>
              <w:t>Pravastatin</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pPr>
            <w:r w:rsidRPr="00AF6861">
              <w:t xml:space="preserve">Concomitant use of </w:t>
            </w:r>
            <w:r w:rsidR="00194D66">
              <w:t>OLYSIO</w:t>
            </w:r>
            <w:r w:rsidRPr="00AF6861">
              <w:t xml:space="preserve"> with </w:t>
            </w:r>
            <w:proofErr w:type="spellStart"/>
            <w:r w:rsidRPr="00AF6861">
              <w:t>pitavastatin</w:t>
            </w:r>
            <w:proofErr w:type="spellEnd"/>
            <w:r w:rsidRPr="00AF6861">
              <w:t xml:space="preserve"> or pravastatin may result in increased </w:t>
            </w:r>
            <w:r w:rsidRPr="00AF6861">
              <w:rPr>
                <w:noProof/>
              </w:rPr>
              <w:t xml:space="preserve">plasma concentrations of </w:t>
            </w:r>
            <w:proofErr w:type="spellStart"/>
            <w:r w:rsidRPr="00AF6861">
              <w:t>pitavastatin</w:t>
            </w:r>
            <w:proofErr w:type="spellEnd"/>
            <w:r w:rsidRPr="00AF6861">
              <w:t xml:space="preserve"> and </w:t>
            </w:r>
            <w:r w:rsidRPr="00AF6861">
              <w:rPr>
                <w:noProof/>
              </w:rPr>
              <w:t xml:space="preserve">pravastatin due to inhibition of OATP1B1 by simeprevir. Titrate the </w:t>
            </w:r>
            <w:proofErr w:type="spellStart"/>
            <w:r w:rsidRPr="00AF6861">
              <w:t>pitavastatin</w:t>
            </w:r>
            <w:proofErr w:type="spellEnd"/>
            <w:r w:rsidRPr="00AF6861">
              <w:t xml:space="preserve"> and </w:t>
            </w:r>
            <w:r w:rsidRPr="00AF6861">
              <w:rPr>
                <w:noProof/>
              </w:rPr>
              <w:t>pravastatin dose carefully and use the lowest necessary dose while monitoring for safety when co</w:t>
            </w:r>
            <w:r w:rsidRPr="00AF6861">
              <w:rPr>
                <w:noProof/>
                <w:lang w:val="en-GB"/>
              </w:rPr>
              <w:noBreakHyphen/>
            </w:r>
            <w:r w:rsidRPr="00AF6861">
              <w:rPr>
                <w:noProof/>
              </w:rPr>
              <w:t xml:space="preserve">administered with </w:t>
            </w:r>
            <w:r w:rsidR="00194D66">
              <w:rPr>
                <w:noProof/>
              </w:rPr>
              <w:t>OLYSIO</w:t>
            </w:r>
            <w:r w:rsidRPr="00AF6861">
              <w:rPr>
                <w:noProof/>
              </w:rPr>
              <w:t>.</w:t>
            </w:r>
          </w:p>
        </w:tc>
      </w:tr>
      <w:tr w:rsidR="003B0A62" w:rsidRPr="00AF6861" w:rsidTr="00E529B9">
        <w:tblPrEx>
          <w:tblBorders>
            <w:bottom w:val="single" w:sz="4" w:space="0" w:color="auto"/>
          </w:tblBorders>
        </w:tblPrEx>
        <w:trPr>
          <w:cantSplit/>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Atorvastatin</w:t>
            </w:r>
            <w:r w:rsidRPr="00AF6861">
              <w:rPr>
                <w:noProof/>
                <w:sz w:val="20"/>
                <w:vertAlign w:val="superscript"/>
              </w:rPr>
              <w:t>1</w:t>
            </w:r>
          </w:p>
        </w:tc>
        <w:tc>
          <w:tcPr>
            <w:tcW w:w="1701" w:type="dxa"/>
            <w:gridSpan w:val="2"/>
            <w:vMerge w:val="restart"/>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40 mg</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atorvastatin</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1.70</w:t>
            </w:r>
          </w:p>
          <w:p w:rsidR="003B0A62" w:rsidRPr="00AF6861" w:rsidRDefault="003B0A62" w:rsidP="003B0A62">
            <w:pPr>
              <w:jc w:val="center"/>
              <w:rPr>
                <w:noProof/>
                <w:sz w:val="20"/>
              </w:rPr>
            </w:pPr>
            <w:r w:rsidRPr="00AF6861">
              <w:rPr>
                <w:noProof/>
                <w:sz w:val="20"/>
              </w:rPr>
              <w:t>(1.42</w:t>
            </w:r>
            <w:r w:rsidRPr="00AF6861">
              <w:rPr>
                <w:noProof/>
                <w:sz w:val="20"/>
              </w:rPr>
              <w:noBreakHyphen/>
              <w:t>2.04)</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2.12</w:t>
            </w:r>
          </w:p>
          <w:p w:rsidR="003B0A62" w:rsidRPr="00AF6861" w:rsidRDefault="003B0A62" w:rsidP="003B0A62">
            <w:pPr>
              <w:jc w:val="center"/>
              <w:rPr>
                <w:noProof/>
                <w:sz w:val="20"/>
              </w:rPr>
            </w:pPr>
            <w:r w:rsidRPr="00AF6861">
              <w:rPr>
                <w:noProof/>
                <w:sz w:val="20"/>
              </w:rPr>
              <w:t>(1.72</w:t>
            </w:r>
            <w:r w:rsidRPr="00AF6861">
              <w:rPr>
                <w:noProof/>
                <w:sz w:val="20"/>
              </w:rPr>
              <w:noBreakHyphen/>
              <w:t>2.62)</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Height w:val="505"/>
        </w:trPr>
        <w:tc>
          <w:tcPr>
            <w:tcW w:w="2000" w:type="dxa"/>
            <w:vMerge/>
            <w:tcBorders>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2</w:t>
            </w:r>
            <w:r w:rsidRPr="00AF6861">
              <w:rPr>
                <w:noProof/>
                <w:sz w:val="20"/>
              </w:rPr>
              <w:noBreakHyphen/>
              <w:t>hydroxy</w:t>
            </w:r>
            <w:r w:rsidRPr="00AF6861">
              <w:rPr>
                <w:noProof/>
                <w:sz w:val="20"/>
              </w:rPr>
              <w:noBreakHyphen/>
            </w:r>
          </w:p>
          <w:p w:rsidR="003B0A62" w:rsidRPr="00AF6861" w:rsidRDefault="003B0A62" w:rsidP="003B0A62">
            <w:pPr>
              <w:jc w:val="center"/>
              <w:rPr>
                <w:noProof/>
                <w:sz w:val="20"/>
              </w:rPr>
            </w:pPr>
            <w:r w:rsidRPr="00AF6861">
              <w:rPr>
                <w:noProof/>
                <w:sz w:val="20"/>
              </w:rPr>
              <w:t>atorvastatin</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1.98</w:t>
            </w:r>
          </w:p>
          <w:p w:rsidR="003B0A62" w:rsidRPr="00AF6861" w:rsidRDefault="003B0A62" w:rsidP="003B0A62">
            <w:pPr>
              <w:jc w:val="center"/>
              <w:rPr>
                <w:noProof/>
                <w:sz w:val="20"/>
              </w:rPr>
            </w:pPr>
            <w:r w:rsidRPr="00AF6861">
              <w:rPr>
                <w:noProof/>
                <w:sz w:val="20"/>
              </w:rPr>
              <w:t>(1.70</w:t>
            </w:r>
            <w:r w:rsidRPr="00AF6861">
              <w:rPr>
                <w:noProof/>
                <w:sz w:val="20"/>
              </w:rPr>
              <w:noBreakHyphen/>
              <w:t>2.31)</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2.29</w:t>
            </w:r>
          </w:p>
          <w:p w:rsidR="003B0A62" w:rsidRPr="00AF6861" w:rsidRDefault="003B0A62" w:rsidP="003B0A62">
            <w:pPr>
              <w:jc w:val="center"/>
              <w:rPr>
                <w:noProof/>
                <w:sz w:val="20"/>
              </w:rPr>
            </w:pPr>
            <w:r w:rsidRPr="00AF6861">
              <w:rPr>
                <w:noProof/>
                <w:sz w:val="20"/>
              </w:rPr>
              <w:t>(2.08</w:t>
            </w:r>
            <w:r w:rsidRPr="00AF6861">
              <w:rPr>
                <w:noProof/>
                <w:sz w:val="20"/>
              </w:rPr>
              <w:noBreakHyphen/>
              <w:t>2.52)</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27"/>
              <w:rPr>
                <w:noProof/>
                <w:sz w:val="20"/>
              </w:rPr>
            </w:pPr>
            <w:r w:rsidRPr="00AF6861">
              <w:rPr>
                <w:sz w:val="20"/>
              </w:rPr>
              <w:t xml:space="preserve">Concomitant use of </w:t>
            </w:r>
            <w:r w:rsidR="00194D66">
              <w:rPr>
                <w:sz w:val="20"/>
              </w:rPr>
              <w:t>OLYSIO</w:t>
            </w:r>
            <w:r w:rsidRPr="00AF6861">
              <w:rPr>
                <w:sz w:val="20"/>
              </w:rPr>
              <w:t xml:space="preserve"> with </w:t>
            </w:r>
            <w:r w:rsidRPr="00AF6861">
              <w:rPr>
                <w:noProof/>
                <w:sz w:val="20"/>
              </w:rPr>
              <w:t>atorvastatin resulted in increased plasma concentrations of atorvastatin due to inhibition of OATP1B1 and/or CYP3A4 by simeprevir. Titrate the atorvastatin dose carefully and use the lowest necessary dose while monitoring for safety when co</w:t>
            </w:r>
            <w:r w:rsidRPr="00AF6861">
              <w:rPr>
                <w:noProof/>
                <w:sz w:val="20"/>
                <w:lang w:val="en-GB"/>
              </w:rPr>
              <w:noBreakHyphen/>
            </w:r>
            <w:r w:rsidRPr="00AF6861">
              <w:rPr>
                <w:noProof/>
                <w:sz w:val="20"/>
              </w:rPr>
              <w:t xml:space="preserve">administered with </w:t>
            </w:r>
            <w:r w:rsidR="00194D66">
              <w:rPr>
                <w:noProof/>
                <w:sz w:val="20"/>
              </w:rPr>
              <w:t>OLYSIO</w:t>
            </w:r>
            <w:r w:rsidRPr="00AF6861">
              <w:rPr>
                <w:noProof/>
                <w:sz w:val="20"/>
              </w:rPr>
              <w:t>.</w:t>
            </w:r>
          </w:p>
        </w:tc>
      </w:tr>
      <w:tr w:rsidR="003B0A62" w:rsidRPr="00AF6861" w:rsidTr="00E529B9">
        <w:tblPrEx>
          <w:tblBorders>
            <w:bottom w:val="single" w:sz="4" w:space="0" w:color="auto"/>
          </w:tblBorders>
        </w:tblPrEx>
        <w:trPr>
          <w:cantSplit/>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8E103F">
            <w:pPr>
              <w:pStyle w:val="Default"/>
              <w:rPr>
                <w:noProof/>
              </w:rPr>
            </w:pPr>
            <w:r w:rsidRPr="00AF6861">
              <w:rPr>
                <w:noProof/>
              </w:rPr>
              <w:t>Simvastatin</w:t>
            </w:r>
            <w:r w:rsidRPr="00AF6861">
              <w:rPr>
                <w:noProof/>
                <w:vertAlign w:val="superscript"/>
              </w:rPr>
              <w:t>1</w:t>
            </w:r>
          </w:p>
        </w:tc>
        <w:tc>
          <w:tcPr>
            <w:tcW w:w="1701"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40 mg</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simvastatin</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1.46</w:t>
            </w:r>
          </w:p>
          <w:p w:rsidR="003B0A62" w:rsidRPr="00AF6861" w:rsidRDefault="003B0A62" w:rsidP="003B0A62">
            <w:pPr>
              <w:jc w:val="center"/>
              <w:rPr>
                <w:noProof/>
                <w:sz w:val="20"/>
              </w:rPr>
            </w:pPr>
            <w:r w:rsidRPr="00AF6861">
              <w:rPr>
                <w:noProof/>
                <w:sz w:val="20"/>
              </w:rPr>
              <w:t>(1.17</w:t>
            </w:r>
            <w:r w:rsidRPr="00AF6861">
              <w:rPr>
                <w:noProof/>
                <w:sz w:val="20"/>
              </w:rPr>
              <w:noBreakHyphen/>
              <w:t>1.82)</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1.51</w:t>
            </w:r>
          </w:p>
          <w:p w:rsidR="003B0A62" w:rsidRPr="00AF6861" w:rsidRDefault="003B0A62" w:rsidP="003B0A62">
            <w:pPr>
              <w:jc w:val="center"/>
              <w:rPr>
                <w:noProof/>
                <w:sz w:val="20"/>
              </w:rPr>
            </w:pPr>
            <w:r w:rsidRPr="00AF6861">
              <w:rPr>
                <w:noProof/>
                <w:sz w:val="20"/>
              </w:rPr>
              <w:t>(1.32</w:t>
            </w:r>
            <w:r w:rsidRPr="00AF6861">
              <w:rPr>
                <w:noProof/>
                <w:sz w:val="20"/>
              </w:rPr>
              <w:noBreakHyphen/>
              <w:t>1.73)</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1701" w:type="dxa"/>
            <w:gridSpan w:val="2"/>
            <w:vMerge/>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simvastatin acid</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3.03</w:t>
            </w:r>
          </w:p>
          <w:p w:rsidR="003B0A62" w:rsidRPr="00AF6861" w:rsidRDefault="003B0A62" w:rsidP="003B0A62">
            <w:pPr>
              <w:jc w:val="center"/>
              <w:rPr>
                <w:noProof/>
                <w:sz w:val="20"/>
              </w:rPr>
            </w:pPr>
            <w:r w:rsidRPr="00AF6861">
              <w:rPr>
                <w:noProof/>
                <w:sz w:val="20"/>
              </w:rPr>
              <w:t>(2.49</w:t>
            </w:r>
            <w:r w:rsidRPr="00AF6861">
              <w:rPr>
                <w:noProof/>
                <w:sz w:val="20"/>
              </w:rPr>
              <w:noBreakHyphen/>
              <w:t>3.69)</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1.88</w:t>
            </w:r>
          </w:p>
          <w:p w:rsidR="003B0A62" w:rsidRPr="00AF6861" w:rsidRDefault="003B0A62" w:rsidP="003B0A62">
            <w:pPr>
              <w:jc w:val="center"/>
              <w:rPr>
                <w:noProof/>
                <w:sz w:val="20"/>
              </w:rPr>
            </w:pPr>
            <w:r w:rsidRPr="00AF6861">
              <w:rPr>
                <w:noProof/>
                <w:sz w:val="20"/>
              </w:rPr>
              <w:t>(1.63</w:t>
            </w:r>
            <w:r w:rsidRPr="00AF6861">
              <w:rPr>
                <w:noProof/>
                <w:sz w:val="20"/>
              </w:rPr>
              <w:noBreakHyphen/>
              <w:t>2.17)</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27"/>
              <w:rPr>
                <w:noProof/>
                <w:sz w:val="20"/>
              </w:rPr>
            </w:pPr>
            <w:r w:rsidRPr="00AF6861">
              <w:rPr>
                <w:sz w:val="20"/>
              </w:rPr>
              <w:t xml:space="preserve">Concomitant use of </w:t>
            </w:r>
            <w:r w:rsidR="00194D66">
              <w:rPr>
                <w:sz w:val="20"/>
              </w:rPr>
              <w:t>OLYSIO</w:t>
            </w:r>
            <w:r w:rsidRPr="00AF6861">
              <w:rPr>
                <w:sz w:val="20"/>
              </w:rPr>
              <w:t xml:space="preserve"> with simvastatin resulted in increased </w:t>
            </w:r>
            <w:r w:rsidRPr="00AF6861">
              <w:rPr>
                <w:noProof/>
                <w:sz w:val="20"/>
              </w:rPr>
              <w:t>plasma concentrations of simvastatin due to inhibition of OATP1B1 and/or CYP3A4 by simeprevir. Titrate the simvastatin dose carefully and use the lowest necessary dose while monitoring for safety when co</w:t>
            </w:r>
            <w:r w:rsidRPr="00AF6861">
              <w:rPr>
                <w:noProof/>
                <w:sz w:val="20"/>
                <w:lang w:val="en-GB"/>
              </w:rPr>
              <w:noBreakHyphen/>
            </w:r>
            <w:r w:rsidRPr="00AF6861">
              <w:rPr>
                <w:noProof/>
                <w:sz w:val="20"/>
              </w:rPr>
              <w:t xml:space="preserve">administered with </w:t>
            </w:r>
            <w:r w:rsidR="00194D66">
              <w:rPr>
                <w:noProof/>
                <w:sz w:val="20"/>
              </w:rPr>
              <w:t>OLYSIO</w:t>
            </w:r>
            <w:r w:rsidRPr="00AF6861">
              <w:rPr>
                <w:noProof/>
                <w:sz w:val="20"/>
              </w:rPr>
              <w:t>.</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8E103F">
            <w:pPr>
              <w:pStyle w:val="Default"/>
            </w:pPr>
            <w:r w:rsidRPr="00AF6861">
              <w:rPr>
                <w:noProof/>
              </w:rPr>
              <w:t>Lovastatin</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pPr>
            <w:r w:rsidRPr="00AF6861">
              <w:t xml:space="preserve">Concomitant use of </w:t>
            </w:r>
            <w:r w:rsidR="00194D66">
              <w:t>OLYSIO</w:t>
            </w:r>
            <w:r w:rsidRPr="00AF6861">
              <w:t xml:space="preserve"> with lovastatin may result in increased </w:t>
            </w:r>
            <w:r w:rsidRPr="00AF6861">
              <w:rPr>
                <w:noProof/>
              </w:rPr>
              <w:t>plasma concentrations of lovastatin due to inhibition of OATP1B1 and/or CYP3A4 by simeprevir. Titrate the lovastatin dose carefully and use the lowest necessary dose while monitoring for safety when co</w:t>
            </w:r>
            <w:r w:rsidRPr="00AF6861">
              <w:rPr>
                <w:noProof/>
                <w:lang w:val="en-GB"/>
              </w:rPr>
              <w:noBreakHyphen/>
            </w:r>
            <w:r w:rsidRPr="00AF6861">
              <w:rPr>
                <w:noProof/>
              </w:rPr>
              <w:t xml:space="preserve">administered with </w:t>
            </w:r>
            <w:r w:rsidR="00194D66">
              <w:rPr>
                <w:noProof/>
              </w:rPr>
              <w:t>OLYSIO</w:t>
            </w:r>
            <w:r w:rsidRPr="00AF6861">
              <w:rPr>
                <w:noProof/>
              </w:rPr>
              <w:t>.</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8E103F">
            <w:pPr>
              <w:pStyle w:val="Default"/>
              <w:rPr>
                <w:noProof/>
              </w:rPr>
            </w:pPr>
            <w:r w:rsidRPr="00AF6861">
              <w:rPr>
                <w:noProof/>
              </w:rPr>
              <w:t xml:space="preserve">Fluvastatin </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MarkTable"/>
              <w:ind w:left="127" w:right="162"/>
              <w:jc w:val="both"/>
              <w:rPr>
                <w:noProof/>
                <w:lang w:val="en-GB"/>
              </w:rPr>
            </w:pPr>
            <w:r w:rsidRPr="00AF6861">
              <w:rPr>
                <w:noProof/>
                <w:lang w:eastAsia="nl-NL"/>
              </w:rPr>
              <w:t xml:space="preserve">Concomitant use of </w:t>
            </w:r>
            <w:r w:rsidR="00194D66">
              <w:rPr>
                <w:noProof/>
              </w:rPr>
              <w:t>OLYSIO</w:t>
            </w:r>
            <w:r w:rsidRPr="00AF6861">
              <w:rPr>
                <w:noProof/>
                <w:lang w:val="en-GB"/>
              </w:rPr>
              <w:t xml:space="preserve"> </w:t>
            </w:r>
            <w:r w:rsidRPr="00AF6861">
              <w:rPr>
                <w:noProof/>
                <w:lang w:eastAsia="nl-NL"/>
              </w:rPr>
              <w:t xml:space="preserve">with </w:t>
            </w:r>
            <w:r w:rsidRPr="00AF6861">
              <w:rPr>
                <w:noProof/>
              </w:rPr>
              <w:t xml:space="preserve">fluvastatin is not expected to result in a clinically relevant interaction. </w:t>
            </w:r>
            <w:r w:rsidRPr="00AF6861">
              <w:rPr>
                <w:noProof/>
                <w:lang w:val="en-GB"/>
              </w:rPr>
              <w:t xml:space="preserve">No dose adjustment is required when </w:t>
            </w:r>
            <w:r w:rsidR="00194D66">
              <w:rPr>
                <w:noProof/>
              </w:rPr>
              <w:t>OLYSIO</w:t>
            </w:r>
            <w:r w:rsidRPr="00AF6861">
              <w:rPr>
                <w:noProof/>
                <w:lang w:val="en-GB"/>
              </w:rPr>
              <w:t xml:space="preserve"> is co</w:t>
            </w:r>
            <w:r w:rsidRPr="00AF6861">
              <w:rPr>
                <w:noProof/>
                <w:lang w:val="en-GB"/>
              </w:rPr>
              <w:noBreakHyphen/>
              <w:t>administered with</w:t>
            </w:r>
            <w:r w:rsidRPr="00AF6861">
              <w:rPr>
                <w:noProof/>
              </w:rPr>
              <w:t xml:space="preserve"> </w:t>
            </w:r>
            <w:r w:rsidRPr="00AF6861">
              <w:rPr>
                <w:noProof/>
                <w:lang w:val="en-GB"/>
              </w:rPr>
              <w:t>fluvastatin.</w:t>
            </w:r>
          </w:p>
        </w:tc>
      </w:tr>
      <w:tr w:rsidR="003B0A62" w:rsidRPr="00AF6861" w:rsidTr="00E529B9">
        <w:tblPrEx>
          <w:tblBorders>
            <w:bottom w:val="single" w:sz="4" w:space="0" w:color="auto"/>
          </w:tblBorders>
        </w:tblPrEx>
        <w:trPr>
          <w:cantSplit/>
          <w:trHeight w:val="50"/>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HORMONAL CONTRACEPTIVES</w:t>
            </w:r>
          </w:p>
        </w:tc>
      </w:tr>
      <w:tr w:rsidR="003B0A62" w:rsidRPr="00AF6861" w:rsidTr="00E529B9">
        <w:tblPrEx>
          <w:tblBorders>
            <w:bottom w:val="single" w:sz="4" w:space="0" w:color="auto"/>
          </w:tblBorders>
        </w:tblPrEx>
        <w:trPr>
          <w:cantSplit/>
        </w:trPr>
        <w:tc>
          <w:tcPr>
            <w:tcW w:w="2000" w:type="dxa"/>
            <w:vMerge w:val="restart"/>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Ethinylestradiol</w:t>
            </w:r>
            <w:r w:rsidRPr="00AF6861">
              <w:rPr>
                <w:noProof/>
                <w:sz w:val="20"/>
                <w:vertAlign w:val="superscript"/>
              </w:rPr>
              <w:t>1</w:t>
            </w:r>
          </w:p>
          <w:p w:rsidR="003B0A62" w:rsidRPr="00AF6861" w:rsidRDefault="003B0A62" w:rsidP="003B0A62">
            <w:pPr>
              <w:rPr>
                <w:noProof/>
                <w:sz w:val="20"/>
              </w:rPr>
            </w:pPr>
            <w:r w:rsidRPr="00AF6861">
              <w:rPr>
                <w:noProof/>
                <w:sz w:val="20"/>
              </w:rPr>
              <w:t>Norethindrone</w:t>
            </w:r>
            <w:r w:rsidRPr="00AF6861">
              <w:rPr>
                <w:noProof/>
                <w:sz w:val="20"/>
                <w:vertAlign w:val="superscript"/>
              </w:rPr>
              <w:t>1</w:t>
            </w:r>
          </w:p>
        </w:tc>
        <w:tc>
          <w:tcPr>
            <w:tcW w:w="1701" w:type="dxa"/>
            <w:gridSpan w:val="2"/>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0.035 mg once daily</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ethinylestradiol</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1.18</w:t>
            </w:r>
          </w:p>
          <w:p w:rsidR="003B0A62" w:rsidRPr="00AF6861" w:rsidRDefault="003B0A62" w:rsidP="003B0A62">
            <w:pPr>
              <w:jc w:val="center"/>
              <w:rPr>
                <w:noProof/>
                <w:sz w:val="20"/>
              </w:rPr>
            </w:pPr>
            <w:r w:rsidRPr="00AF6861">
              <w:rPr>
                <w:noProof/>
                <w:sz w:val="20"/>
              </w:rPr>
              <w:t>(1.09</w:t>
            </w:r>
            <w:r w:rsidRPr="00AF6861">
              <w:rPr>
                <w:noProof/>
                <w:sz w:val="20"/>
              </w:rPr>
              <w:noBreakHyphen/>
              <w:t>1.27)</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1.12</w:t>
            </w:r>
          </w:p>
          <w:p w:rsidR="003B0A62" w:rsidRPr="00AF6861" w:rsidRDefault="003B0A62" w:rsidP="003B0A62">
            <w:pPr>
              <w:jc w:val="center"/>
              <w:rPr>
                <w:noProof/>
                <w:sz w:val="20"/>
              </w:rPr>
            </w:pPr>
            <w:r w:rsidRPr="00AF6861">
              <w:rPr>
                <w:noProof/>
                <w:sz w:val="20"/>
              </w:rPr>
              <w:t>(1.05</w:t>
            </w:r>
            <w:r w:rsidRPr="00AF6861">
              <w:rPr>
                <w:noProof/>
                <w:sz w:val="20"/>
              </w:rPr>
              <w:noBreakHyphen/>
              <w:t>1.20)</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1.00</w:t>
            </w:r>
          </w:p>
          <w:p w:rsidR="003B0A62" w:rsidRPr="00AF6861" w:rsidRDefault="003B0A62" w:rsidP="003B0A62">
            <w:pPr>
              <w:jc w:val="center"/>
              <w:rPr>
                <w:noProof/>
                <w:sz w:val="20"/>
              </w:rPr>
            </w:pPr>
            <w:r w:rsidRPr="00AF6861">
              <w:rPr>
                <w:noProof/>
                <w:sz w:val="20"/>
              </w:rPr>
              <w:t>(0.89</w:t>
            </w:r>
            <w:r w:rsidRPr="00AF6861">
              <w:rPr>
                <w:noProof/>
                <w:sz w:val="20"/>
              </w:rPr>
              <w:noBreakHyphen/>
              <w:t>1.13)</w:t>
            </w:r>
          </w:p>
        </w:tc>
      </w:tr>
      <w:tr w:rsidR="003B0A62" w:rsidRPr="00AF6861" w:rsidTr="00E529B9">
        <w:tblPrEx>
          <w:tblBorders>
            <w:bottom w:val="single" w:sz="4" w:space="0" w:color="auto"/>
          </w:tblBorders>
        </w:tblPrEx>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1701" w:type="dxa"/>
            <w:gridSpan w:val="2"/>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1 mg once daily</w:t>
            </w:r>
          </w:p>
        </w:tc>
        <w:tc>
          <w:tcPr>
            <w:tcW w:w="1559"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norethindrone</w:t>
            </w:r>
          </w:p>
        </w:tc>
        <w:tc>
          <w:tcPr>
            <w:tcW w:w="1276"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1.06</w:t>
            </w:r>
          </w:p>
          <w:p w:rsidR="003B0A62" w:rsidRPr="00AF6861" w:rsidRDefault="003B0A62" w:rsidP="003B0A62">
            <w:pPr>
              <w:jc w:val="center"/>
              <w:rPr>
                <w:noProof/>
                <w:sz w:val="20"/>
              </w:rPr>
            </w:pPr>
            <w:r w:rsidRPr="00AF6861">
              <w:rPr>
                <w:noProof/>
                <w:sz w:val="20"/>
              </w:rPr>
              <w:t>(0.99</w:t>
            </w:r>
            <w:r w:rsidRPr="00AF6861">
              <w:rPr>
                <w:noProof/>
                <w:sz w:val="20"/>
              </w:rPr>
              <w:noBreakHyphen/>
              <w:t>1.14)</w:t>
            </w:r>
          </w:p>
        </w:tc>
        <w:tc>
          <w:tcPr>
            <w:tcW w:w="1417" w:type="dxa"/>
            <w:tcBorders>
              <w:top w:val="single" w:sz="6" w:space="0" w:color="auto"/>
              <w:left w:val="single" w:sz="6"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1.15</w:t>
            </w:r>
          </w:p>
          <w:p w:rsidR="003B0A62" w:rsidRPr="00AF6861" w:rsidRDefault="003B0A62" w:rsidP="003B0A62">
            <w:pPr>
              <w:jc w:val="center"/>
              <w:rPr>
                <w:noProof/>
                <w:sz w:val="20"/>
              </w:rPr>
            </w:pPr>
            <w:r w:rsidRPr="00AF6861">
              <w:rPr>
                <w:noProof/>
                <w:sz w:val="20"/>
              </w:rPr>
              <w:t>(1.08</w:t>
            </w:r>
            <w:r w:rsidRPr="00AF6861">
              <w:rPr>
                <w:noProof/>
                <w:sz w:val="20"/>
              </w:rPr>
              <w:noBreakHyphen/>
              <w:t>1.22)</w:t>
            </w:r>
          </w:p>
        </w:tc>
        <w:tc>
          <w:tcPr>
            <w:tcW w:w="1418" w:type="dxa"/>
            <w:tcBorders>
              <w:top w:val="single" w:sz="6" w:space="0" w:color="auto"/>
              <w:left w:val="single" w:sz="6" w:space="0" w:color="auto"/>
              <w:bottom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1.24</w:t>
            </w:r>
          </w:p>
          <w:p w:rsidR="003B0A62" w:rsidRPr="00AF6861" w:rsidRDefault="003B0A62" w:rsidP="003B0A62">
            <w:pPr>
              <w:jc w:val="center"/>
              <w:rPr>
                <w:noProof/>
                <w:sz w:val="20"/>
              </w:rPr>
            </w:pPr>
            <w:r w:rsidRPr="00AF6861">
              <w:rPr>
                <w:noProof/>
                <w:sz w:val="20"/>
              </w:rPr>
              <w:t>(1.13</w:t>
            </w:r>
            <w:r w:rsidRPr="00AF6861">
              <w:rPr>
                <w:noProof/>
                <w:sz w:val="20"/>
              </w:rPr>
              <w:noBreakHyphen/>
              <w:t>1.35)</w:t>
            </w:r>
          </w:p>
        </w:tc>
      </w:tr>
      <w:tr w:rsidR="003B0A62" w:rsidRPr="00AF6861" w:rsidTr="00E529B9">
        <w:tblPrEx>
          <w:tblBorders>
            <w:bottom w:val="single" w:sz="4" w:space="0" w:color="auto"/>
          </w:tblBorders>
        </w:tblPrEx>
        <w:trPr>
          <w:cantSplit/>
        </w:trPr>
        <w:tc>
          <w:tcPr>
            <w:tcW w:w="2000" w:type="dxa"/>
            <w:vMerge/>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Default"/>
              <w:ind w:left="127" w:right="162"/>
              <w:jc w:val="both"/>
              <w:rPr>
                <w:noProof/>
                <w:color w:val="auto"/>
                <w:szCs w:val="20"/>
                <w:lang w:val="en-GB"/>
              </w:rPr>
            </w:pPr>
            <w:r w:rsidRPr="00AF6861">
              <w:rPr>
                <w:noProof/>
                <w:color w:val="auto"/>
                <w:szCs w:val="20"/>
                <w:lang w:val="en-GB"/>
              </w:rPr>
              <w:t xml:space="preserve">No dose adjustment is required when </w:t>
            </w:r>
            <w:r w:rsidR="00194D66">
              <w:rPr>
                <w:noProof/>
                <w:color w:val="auto"/>
                <w:szCs w:val="20"/>
              </w:rPr>
              <w:t>OLYSIO</w:t>
            </w:r>
            <w:r w:rsidRPr="00AF6861">
              <w:rPr>
                <w:noProof/>
                <w:color w:val="auto"/>
                <w:szCs w:val="20"/>
                <w:lang w:val="en-GB"/>
              </w:rPr>
              <w:t xml:space="preserve"> is co</w:t>
            </w:r>
            <w:r w:rsidRPr="00AF6861">
              <w:rPr>
                <w:noProof/>
                <w:color w:val="auto"/>
                <w:szCs w:val="20"/>
                <w:lang w:val="en-GB"/>
              </w:rPr>
              <w:noBreakHyphen/>
              <w:t>administered with estrogen</w:t>
            </w:r>
            <w:r w:rsidRPr="00AF6861">
              <w:rPr>
                <w:noProof/>
                <w:color w:val="auto"/>
                <w:szCs w:val="20"/>
                <w:lang w:val="en-GB"/>
              </w:rPr>
              <w:noBreakHyphen/>
              <w:t xml:space="preserve"> and/or progesterone</w:t>
            </w:r>
            <w:r w:rsidRPr="00AF6861">
              <w:rPr>
                <w:noProof/>
                <w:color w:val="auto"/>
                <w:szCs w:val="20"/>
                <w:lang w:val="en-GB"/>
              </w:rPr>
              <w:noBreakHyphen/>
              <w:t>based contraceptives.</w:t>
            </w:r>
          </w:p>
          <w:p w:rsidR="003B0A62" w:rsidRPr="00AF6861" w:rsidRDefault="003B0A62" w:rsidP="003B0A62">
            <w:pPr>
              <w:pStyle w:val="Default"/>
              <w:ind w:left="127" w:right="127"/>
              <w:jc w:val="both"/>
              <w:rPr>
                <w:noProof/>
                <w:color w:val="auto"/>
                <w:szCs w:val="20"/>
                <w:lang w:val="en-GB"/>
              </w:rPr>
            </w:pPr>
            <w:r w:rsidRPr="00AF6861">
              <w:rPr>
                <w:noProof/>
                <w:color w:val="auto"/>
                <w:szCs w:val="20"/>
                <w:lang w:val="en-GB"/>
              </w:rPr>
              <w:t xml:space="preserve">Due to significant teratogenic and/or embryocidal effects with ribavirin, two effective methods of contraception must be used during treatment with ribavirin (see </w:t>
            </w:r>
            <w:r w:rsidRPr="00AF6861">
              <w:rPr>
                <w:i/>
                <w:noProof/>
                <w:color w:val="auto"/>
                <w:szCs w:val="20"/>
                <w:lang w:val="en-GB"/>
              </w:rPr>
              <w:t>Warning</w:t>
            </w:r>
            <w:r>
              <w:rPr>
                <w:i/>
                <w:noProof/>
                <w:color w:val="auto"/>
                <w:szCs w:val="20"/>
                <w:lang w:val="en-GB"/>
              </w:rPr>
              <w:t>s</w:t>
            </w:r>
            <w:r w:rsidRPr="00AF6861">
              <w:rPr>
                <w:i/>
                <w:noProof/>
                <w:color w:val="auto"/>
                <w:szCs w:val="20"/>
                <w:lang w:val="en-GB"/>
              </w:rPr>
              <w:t xml:space="preserve"> and Precautions</w:t>
            </w:r>
            <w:r w:rsidRPr="00AF6861">
              <w:rPr>
                <w:noProof/>
                <w:color w:val="auto"/>
                <w:szCs w:val="20"/>
                <w:lang w:val="en-GB"/>
              </w:rPr>
              <w:t>).</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keepNext/>
              <w:rPr>
                <w:b/>
                <w:noProof/>
                <w:sz w:val="20"/>
              </w:rPr>
            </w:pPr>
            <w:r w:rsidRPr="00AF6861">
              <w:rPr>
                <w:b/>
                <w:noProof/>
                <w:sz w:val="20"/>
              </w:rPr>
              <w:t>IMMUNOSUPPRESSANTS</w:t>
            </w:r>
          </w:p>
        </w:tc>
      </w:tr>
      <w:tr w:rsidR="003B0A62" w:rsidRPr="00AF6861" w:rsidTr="00E529B9">
        <w:tblPrEx>
          <w:tblBorders>
            <w:bottom w:val="single" w:sz="4" w:space="0" w:color="auto"/>
          </w:tblBorders>
        </w:tblPrEx>
        <w:trPr>
          <w:cantSplit/>
          <w:trHeight w:val="505"/>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Cyclosporin</w:t>
            </w:r>
            <w:r w:rsidRPr="00AF6861">
              <w:rPr>
                <w:noProof/>
                <w:sz w:val="20"/>
                <w:vertAlign w:val="superscript"/>
              </w:rPr>
              <w:t>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100 mg</w:t>
            </w: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cyclosporin</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1.16</w:t>
            </w:r>
          </w:p>
          <w:p w:rsidR="003B0A62" w:rsidRPr="00AF6861" w:rsidRDefault="003B0A62" w:rsidP="003B0A62">
            <w:pPr>
              <w:jc w:val="center"/>
              <w:rPr>
                <w:noProof/>
                <w:sz w:val="20"/>
              </w:rPr>
            </w:pPr>
            <w:r w:rsidRPr="00AF6861">
              <w:rPr>
                <w:noProof/>
                <w:sz w:val="20"/>
              </w:rPr>
              <w:t>(1.07</w:t>
            </w:r>
            <w:r w:rsidRPr="00AF6861">
              <w:rPr>
                <w:noProof/>
                <w:sz w:val="20"/>
              </w:rPr>
              <w:noBreakHyphen/>
              <w:t>1.26)</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1.19</w:t>
            </w:r>
          </w:p>
          <w:p w:rsidR="003B0A62" w:rsidRPr="00AF6861" w:rsidRDefault="003B0A62" w:rsidP="003B0A62">
            <w:pPr>
              <w:jc w:val="center"/>
              <w:rPr>
                <w:noProof/>
                <w:sz w:val="20"/>
              </w:rPr>
            </w:pPr>
            <w:r w:rsidRPr="00AF6861">
              <w:rPr>
                <w:noProof/>
                <w:sz w:val="20"/>
              </w:rPr>
              <w:t>(1.13</w:t>
            </w:r>
            <w:r w:rsidRPr="00AF6861">
              <w:rPr>
                <w:noProof/>
                <w:sz w:val="20"/>
              </w:rPr>
              <w:noBreakHyphen/>
              <w:t>1.26)</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No dose adjustment is required when </w:t>
            </w:r>
            <w:r w:rsidR="00194D66">
              <w:rPr>
                <w:noProof/>
                <w:sz w:val="20"/>
              </w:rPr>
              <w:t>OLYSIO</w:t>
            </w:r>
            <w:r w:rsidRPr="00AF6861">
              <w:rPr>
                <w:noProof/>
                <w:sz w:val="20"/>
                <w:lang w:val="en-GB"/>
              </w:rPr>
              <w:t xml:space="preserve"> </w:t>
            </w:r>
            <w:r w:rsidRPr="00AF6861">
              <w:rPr>
                <w:noProof/>
                <w:sz w:val="20"/>
              </w:rPr>
              <w:t>is co</w:t>
            </w:r>
            <w:r w:rsidRPr="00AF6861">
              <w:rPr>
                <w:noProof/>
                <w:sz w:val="20"/>
              </w:rPr>
              <w:noBreakHyphen/>
              <w:t>administered with cyclosporin</w:t>
            </w:r>
            <w:r w:rsidRPr="00AF6861">
              <w:rPr>
                <w:iCs/>
                <w:noProof/>
                <w:sz w:val="20"/>
              </w:rPr>
              <w:t>. Monitoring of blood concentrations of cyclosporin is recommended.</w:t>
            </w:r>
          </w:p>
        </w:tc>
      </w:tr>
      <w:tr w:rsidR="003B0A62" w:rsidRPr="00AF6861" w:rsidTr="00E529B9">
        <w:tblPrEx>
          <w:tblBorders>
            <w:bottom w:val="single" w:sz="4" w:space="0" w:color="auto"/>
          </w:tblBorders>
        </w:tblPrEx>
        <w:trPr>
          <w:cantSplit/>
          <w:trHeight w:val="505"/>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Tacrolimus</w:t>
            </w:r>
            <w:r w:rsidRPr="00AF6861">
              <w:rPr>
                <w:noProof/>
                <w:sz w:val="20"/>
                <w:vertAlign w:val="superscript"/>
              </w:rPr>
              <w:t>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2 mg</w:t>
            </w:r>
          </w:p>
        </w:tc>
        <w:tc>
          <w:tcPr>
            <w:tcW w:w="1559"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tacrolimus</w:t>
            </w:r>
          </w:p>
        </w:tc>
        <w:tc>
          <w:tcPr>
            <w:tcW w:w="1276"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0.76</w:t>
            </w:r>
          </w:p>
          <w:p w:rsidR="003B0A62" w:rsidRPr="00AF6861" w:rsidRDefault="003B0A62" w:rsidP="003B0A62">
            <w:pPr>
              <w:jc w:val="center"/>
              <w:rPr>
                <w:noProof/>
                <w:sz w:val="20"/>
              </w:rPr>
            </w:pPr>
            <w:r w:rsidRPr="00AF6861">
              <w:rPr>
                <w:noProof/>
                <w:sz w:val="20"/>
              </w:rPr>
              <w:t>(0.65</w:t>
            </w:r>
            <w:r w:rsidRPr="00AF6861">
              <w:rPr>
                <w:noProof/>
                <w:sz w:val="20"/>
              </w:rPr>
              <w:noBreakHyphen/>
              <w:t>0.90)</w:t>
            </w:r>
          </w:p>
        </w:tc>
        <w:tc>
          <w:tcPr>
            <w:tcW w:w="1417" w:type="dxa"/>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0.83</w:t>
            </w:r>
          </w:p>
          <w:p w:rsidR="003B0A62" w:rsidRPr="00AF6861" w:rsidRDefault="003B0A62" w:rsidP="003B0A62">
            <w:pPr>
              <w:jc w:val="center"/>
              <w:rPr>
                <w:noProof/>
                <w:sz w:val="20"/>
              </w:rPr>
            </w:pPr>
            <w:r w:rsidRPr="00AF6861">
              <w:rPr>
                <w:noProof/>
                <w:sz w:val="20"/>
              </w:rPr>
              <w:t>(0.59</w:t>
            </w:r>
            <w:r w:rsidRPr="00AF6861">
              <w:rPr>
                <w:noProof/>
                <w:sz w:val="20"/>
              </w:rPr>
              <w:noBreakHyphen/>
              <w:t>1.16)</w:t>
            </w:r>
          </w:p>
        </w:tc>
        <w:tc>
          <w:tcPr>
            <w:tcW w:w="1418" w:type="dxa"/>
            <w:tcBorders>
              <w:top w:val="single" w:sz="6" w:space="0" w:color="auto"/>
              <w:left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ind w:left="127" w:right="162"/>
              <w:rPr>
                <w:noProof/>
                <w:sz w:val="20"/>
              </w:rPr>
            </w:pPr>
            <w:r w:rsidRPr="00AF6861">
              <w:rPr>
                <w:noProof/>
                <w:sz w:val="20"/>
              </w:rPr>
              <w:t xml:space="preserve">No dose adjustment is required when </w:t>
            </w:r>
            <w:r w:rsidR="00194D66">
              <w:rPr>
                <w:noProof/>
                <w:sz w:val="20"/>
              </w:rPr>
              <w:t>OLYSIO</w:t>
            </w:r>
            <w:r w:rsidRPr="00AF6861">
              <w:rPr>
                <w:noProof/>
                <w:sz w:val="20"/>
                <w:lang w:val="en-GB"/>
              </w:rPr>
              <w:t xml:space="preserve"> </w:t>
            </w:r>
            <w:r w:rsidRPr="00AF6861">
              <w:rPr>
                <w:noProof/>
                <w:sz w:val="20"/>
              </w:rPr>
              <w:t>is co</w:t>
            </w:r>
            <w:r w:rsidRPr="00AF6861">
              <w:rPr>
                <w:noProof/>
                <w:sz w:val="20"/>
              </w:rPr>
              <w:noBreakHyphen/>
              <w:t>administered with tacrolimus</w:t>
            </w:r>
            <w:r w:rsidRPr="00AF6861">
              <w:rPr>
                <w:iCs/>
                <w:noProof/>
                <w:sz w:val="20"/>
              </w:rPr>
              <w:t>. Monitoring of blood concentrations of tacrolimus is recommended.</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pStyle w:val="Default"/>
            </w:pPr>
            <w:r w:rsidRPr="00AF6861">
              <w:rPr>
                <w:noProof/>
              </w:rPr>
              <w:t>Sirolimus</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pPr>
            <w:r w:rsidRPr="00AF6861">
              <w:rPr>
                <w:noProof/>
              </w:rPr>
              <w:t xml:space="preserve">Concomitant use of </w:t>
            </w:r>
            <w:r w:rsidR="00194D66">
              <w:rPr>
                <w:noProof/>
              </w:rPr>
              <w:t>OLYSIO</w:t>
            </w:r>
            <w:r w:rsidRPr="00AF6861">
              <w:rPr>
                <w:noProof/>
              </w:rPr>
              <w:t xml:space="preserve"> and sirolimus may result in mild increased or decreased plasma concentrations of sirolimus. Monitoring of blood concentrations of sirolimus is recommended.</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NARCOTIC ANALGESICS</w:t>
            </w:r>
          </w:p>
        </w:tc>
      </w:tr>
      <w:tr w:rsidR="003B0A62" w:rsidRPr="00AF6861" w:rsidTr="00E529B9">
        <w:tblPrEx>
          <w:tblBorders>
            <w:bottom w:val="single" w:sz="4" w:space="0" w:color="auto"/>
          </w:tblBorders>
        </w:tblPrEx>
        <w:trPr>
          <w:cantSplit/>
          <w:trHeight w:val="674"/>
        </w:trPr>
        <w:tc>
          <w:tcPr>
            <w:tcW w:w="2000" w:type="dxa"/>
            <w:vMerge w:val="restart"/>
            <w:tcBorders>
              <w:top w:val="single" w:sz="6" w:space="0" w:color="auto"/>
              <w:left w:val="single" w:sz="4"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Methadone</w:t>
            </w:r>
            <w:r>
              <w:rPr>
                <w:noProof/>
                <w:sz w:val="20"/>
                <w:vertAlign w:val="superscript"/>
              </w:rPr>
              <w:t>5</w:t>
            </w:r>
          </w:p>
        </w:tc>
        <w:tc>
          <w:tcPr>
            <w:tcW w:w="1559"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30</w:t>
            </w:r>
            <w:r w:rsidRPr="00AF6861">
              <w:rPr>
                <w:noProof/>
                <w:sz w:val="20"/>
              </w:rPr>
              <w:noBreakHyphen/>
              <w:t>150 mg once daily, individualised dose</w:t>
            </w:r>
          </w:p>
        </w:tc>
        <w:tc>
          <w:tcPr>
            <w:tcW w:w="1701" w:type="dxa"/>
            <w:gridSpan w:val="2"/>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R(</w:t>
            </w:r>
            <w:r w:rsidRPr="00AF6861">
              <w:rPr>
                <w:noProof/>
                <w:sz w:val="20"/>
              </w:rPr>
              <w:noBreakHyphen/>
              <w:t>) methadone</w:t>
            </w:r>
          </w:p>
        </w:tc>
        <w:tc>
          <w:tcPr>
            <w:tcW w:w="1276"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1.03</w:t>
            </w:r>
          </w:p>
          <w:p w:rsidR="003B0A62" w:rsidRPr="00AF6861" w:rsidRDefault="003B0A62" w:rsidP="003B0A62">
            <w:pPr>
              <w:jc w:val="center"/>
              <w:rPr>
                <w:noProof/>
                <w:sz w:val="20"/>
              </w:rPr>
            </w:pPr>
            <w:r w:rsidRPr="00AF6861">
              <w:rPr>
                <w:noProof/>
                <w:sz w:val="20"/>
              </w:rPr>
              <w:t>(0.97</w:t>
            </w:r>
            <w:r w:rsidRPr="00AF6861">
              <w:rPr>
                <w:noProof/>
                <w:sz w:val="20"/>
              </w:rPr>
              <w:noBreakHyphen/>
              <w:t>1.09)</w:t>
            </w:r>
          </w:p>
        </w:tc>
        <w:tc>
          <w:tcPr>
            <w:tcW w:w="1417" w:type="dxa"/>
            <w:tcBorders>
              <w:top w:val="single" w:sz="6" w:space="0" w:color="auto"/>
              <w:left w:val="single" w:sz="6" w:space="0" w:color="auto"/>
              <w:right w:val="single" w:sz="6"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0.99</w:t>
            </w:r>
          </w:p>
          <w:p w:rsidR="003B0A62" w:rsidRPr="00AF6861" w:rsidRDefault="003B0A62" w:rsidP="003B0A62">
            <w:pPr>
              <w:jc w:val="center"/>
              <w:rPr>
                <w:noProof/>
                <w:sz w:val="20"/>
              </w:rPr>
            </w:pPr>
            <w:r w:rsidRPr="00AF6861">
              <w:rPr>
                <w:noProof/>
                <w:sz w:val="20"/>
              </w:rPr>
              <w:t>(0.91</w:t>
            </w:r>
            <w:r w:rsidRPr="00AF6861">
              <w:rPr>
                <w:noProof/>
                <w:sz w:val="20"/>
              </w:rPr>
              <w:noBreakHyphen/>
              <w:t>1.09)</w:t>
            </w:r>
          </w:p>
        </w:tc>
        <w:tc>
          <w:tcPr>
            <w:tcW w:w="1418" w:type="dxa"/>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 1.02</w:t>
            </w:r>
          </w:p>
          <w:p w:rsidR="003B0A62" w:rsidRPr="00AF6861" w:rsidRDefault="003B0A62" w:rsidP="003B0A62">
            <w:pPr>
              <w:jc w:val="center"/>
              <w:rPr>
                <w:noProof/>
                <w:sz w:val="20"/>
              </w:rPr>
            </w:pPr>
            <w:r w:rsidRPr="00AF6861">
              <w:rPr>
                <w:noProof/>
                <w:sz w:val="20"/>
              </w:rPr>
              <w:t>(0.93</w:t>
            </w:r>
            <w:r w:rsidRPr="00AF6861">
              <w:rPr>
                <w:noProof/>
                <w:sz w:val="20"/>
              </w:rPr>
              <w:noBreakHyphen/>
              <w:t>1.12)</w:t>
            </w:r>
          </w:p>
        </w:tc>
      </w:tr>
      <w:tr w:rsidR="003B0A62" w:rsidRPr="00AF6861" w:rsidTr="00E529B9">
        <w:tblPrEx>
          <w:tblBorders>
            <w:bottom w:val="single" w:sz="4" w:space="0" w:color="auto"/>
          </w:tblBorders>
        </w:tblPrEx>
        <w:trPr>
          <w:cantSplit/>
          <w:trHeight w:val="284"/>
        </w:trPr>
        <w:tc>
          <w:tcPr>
            <w:tcW w:w="2000" w:type="dxa"/>
            <w:vMerge/>
            <w:tcBorders>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right w:val="single" w:sz="4" w:space="0" w:color="auto"/>
            </w:tcBorders>
            <w:tcMar>
              <w:top w:w="15" w:type="dxa"/>
              <w:left w:w="120" w:type="dxa"/>
              <w:bottom w:w="15" w:type="dxa"/>
              <w:right w:w="120" w:type="dxa"/>
            </w:tcMar>
          </w:tcPr>
          <w:p w:rsidR="003B0A62" w:rsidRPr="00AF6861" w:rsidRDefault="003B0A62" w:rsidP="003B0A62">
            <w:pPr>
              <w:rPr>
                <w:noProof/>
                <w:sz w:val="20"/>
              </w:rPr>
            </w:pPr>
            <w:r w:rsidRPr="00AF6861">
              <w:rPr>
                <w:noProof/>
                <w:sz w:val="20"/>
              </w:rPr>
              <w:t xml:space="preserve">No dose adjustment is required when </w:t>
            </w:r>
            <w:r w:rsidR="00194D66">
              <w:rPr>
                <w:noProof/>
                <w:sz w:val="20"/>
              </w:rPr>
              <w:t>OLYSIO</w:t>
            </w:r>
            <w:r w:rsidRPr="00AF6861">
              <w:rPr>
                <w:noProof/>
                <w:sz w:val="20"/>
                <w:lang w:val="en-GB"/>
              </w:rPr>
              <w:t xml:space="preserve"> </w:t>
            </w:r>
            <w:r w:rsidRPr="00AF6861">
              <w:rPr>
                <w:noProof/>
                <w:sz w:val="20"/>
              </w:rPr>
              <w:t>is co</w:t>
            </w:r>
            <w:r w:rsidRPr="00AF6861">
              <w:rPr>
                <w:noProof/>
                <w:sz w:val="20"/>
              </w:rPr>
              <w:noBreakHyphen/>
              <w:t>administered with methadone.</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rPr>
                <w:bCs/>
                <w:noProof/>
                <w:sz w:val="20"/>
              </w:rPr>
            </w:pPr>
            <w:r w:rsidRPr="00AF6861">
              <w:rPr>
                <w:bCs/>
                <w:noProof/>
                <w:sz w:val="20"/>
              </w:rPr>
              <w:t>Buprenorphine</w:t>
            </w:r>
          </w:p>
          <w:p w:rsidR="003B0A62" w:rsidRPr="00AF6861" w:rsidRDefault="003B0A62" w:rsidP="003B0A62">
            <w:pPr>
              <w:rPr>
                <w:noProof/>
                <w:sz w:val="20"/>
              </w:rPr>
            </w:pPr>
            <w:r w:rsidRPr="00AF6861">
              <w:rPr>
                <w:bCs/>
                <w:noProof/>
                <w:sz w:val="20"/>
              </w:rPr>
              <w:t>N</w:t>
            </w:r>
            <w:proofErr w:type="spellStart"/>
            <w:r w:rsidRPr="00AF6861">
              <w:rPr>
                <w:sz w:val="20"/>
              </w:rPr>
              <w:t>aloxone</w:t>
            </w:r>
            <w:proofErr w:type="spellEnd"/>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Default"/>
              <w:ind w:left="127" w:right="162"/>
              <w:jc w:val="both"/>
              <w:rPr>
                <w:noProof/>
                <w:color w:val="auto"/>
                <w:szCs w:val="20"/>
                <w:lang w:val="en-GB"/>
              </w:rPr>
            </w:pPr>
            <w:r w:rsidRPr="00AF6861">
              <w:rPr>
                <w:noProof/>
                <w:color w:val="auto"/>
                <w:szCs w:val="20"/>
                <w:lang w:val="en-GB"/>
              </w:rPr>
              <w:t xml:space="preserve">No dose adjustment is required when </w:t>
            </w:r>
            <w:r w:rsidR="00194D66">
              <w:rPr>
                <w:noProof/>
                <w:color w:val="auto"/>
                <w:szCs w:val="20"/>
                <w:lang w:val="en-GB"/>
              </w:rPr>
              <w:t>OLYSIO</w:t>
            </w:r>
            <w:r w:rsidRPr="00AF6861">
              <w:rPr>
                <w:noProof/>
                <w:color w:val="auto"/>
                <w:szCs w:val="20"/>
                <w:lang w:val="en-GB"/>
              </w:rPr>
              <w:t xml:space="preserve"> is co</w:t>
            </w:r>
            <w:r w:rsidRPr="00AF6861">
              <w:rPr>
                <w:noProof/>
                <w:color w:val="auto"/>
                <w:szCs w:val="20"/>
                <w:lang w:val="en-GB"/>
              </w:rPr>
              <w:noBreakHyphen/>
              <w:t>administered with buprenorphine or naloxone.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PHOSPHODIESTERASE TYPE 5 (PDE</w:t>
            </w:r>
            <w:r w:rsidRPr="00AF6861">
              <w:rPr>
                <w:b/>
                <w:bCs/>
                <w:noProof/>
                <w:sz w:val="20"/>
              </w:rPr>
              <w:noBreakHyphen/>
              <w:t>5) INHIBITORS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3B0A62" w:rsidRDefault="003B0A62" w:rsidP="003B0A62">
            <w:pPr>
              <w:pStyle w:val="Default"/>
              <w:rPr>
                <w:szCs w:val="20"/>
              </w:rPr>
            </w:pPr>
            <w:r w:rsidRPr="003B0A62">
              <w:lastRenderedPageBreak/>
              <w:t>Sildenafil</w:t>
            </w:r>
          </w:p>
          <w:p w:rsidR="003B0A62" w:rsidRPr="003B0A62" w:rsidRDefault="003B0A62" w:rsidP="003B0A62">
            <w:pPr>
              <w:pStyle w:val="Default"/>
              <w:rPr>
                <w:szCs w:val="20"/>
              </w:rPr>
            </w:pPr>
            <w:proofErr w:type="spellStart"/>
            <w:r w:rsidRPr="003B0A62">
              <w:t>Tadalafil</w:t>
            </w:r>
            <w:proofErr w:type="spellEnd"/>
          </w:p>
          <w:p w:rsidR="003B0A62" w:rsidRPr="00AF6861" w:rsidRDefault="003B0A62" w:rsidP="003B0A62">
            <w:pPr>
              <w:pStyle w:val="Default"/>
              <w:rPr>
                <w:noProof/>
              </w:rPr>
            </w:pPr>
            <w:proofErr w:type="spellStart"/>
            <w:r w:rsidRPr="003B0A62">
              <w:rPr>
                <w:szCs w:val="20"/>
              </w:rPr>
              <w:t>Vardenafil</w:t>
            </w:r>
            <w:proofErr w:type="spellEnd"/>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rPr>
                <w:iCs/>
                <w:noProof/>
                <w:lang w:val="en-GB"/>
              </w:rPr>
            </w:pPr>
            <w:r w:rsidRPr="00AF6861">
              <w:rPr>
                <w:noProof/>
              </w:rPr>
              <w:t xml:space="preserve">Concomitant use of </w:t>
            </w:r>
            <w:r w:rsidR="00194D66">
              <w:rPr>
                <w:noProof/>
              </w:rPr>
              <w:t>OLYSIO</w:t>
            </w:r>
            <w:r w:rsidRPr="00AF6861">
              <w:rPr>
                <w:noProof/>
              </w:rPr>
              <w:t xml:space="preserve"> with PDE</w:t>
            </w:r>
            <w:r w:rsidRPr="00AF6861">
              <w:rPr>
                <w:noProof/>
                <w:lang w:val="en-GB"/>
              </w:rPr>
              <w:noBreakHyphen/>
            </w:r>
            <w:r w:rsidRPr="00AF6861">
              <w:rPr>
                <w:noProof/>
              </w:rPr>
              <w:t xml:space="preserve">5 inhibitors may result in </w:t>
            </w:r>
            <w:r>
              <w:rPr>
                <w:noProof/>
              </w:rPr>
              <w:t xml:space="preserve">mild </w:t>
            </w:r>
            <w:r w:rsidRPr="00AF6861">
              <w:rPr>
                <w:noProof/>
              </w:rPr>
              <w:t>increase</w:t>
            </w:r>
            <w:r>
              <w:rPr>
                <w:noProof/>
              </w:rPr>
              <w:t>s</w:t>
            </w:r>
            <w:r w:rsidRPr="00AF6861">
              <w:rPr>
                <w:noProof/>
              </w:rPr>
              <w:t xml:space="preserve"> </w:t>
            </w:r>
            <w:r>
              <w:rPr>
                <w:noProof/>
              </w:rPr>
              <w:t xml:space="preserve">in </w:t>
            </w:r>
            <w:r w:rsidRPr="00AF6861">
              <w:rPr>
                <w:noProof/>
              </w:rPr>
              <w:t>c</w:t>
            </w:r>
            <w:r w:rsidRPr="00AF6861">
              <w:rPr>
                <w:iCs/>
                <w:noProof/>
                <w:lang w:val="en-GB"/>
              </w:rPr>
              <w:t>oncentrations of PDE</w:t>
            </w:r>
            <w:r w:rsidRPr="00AF6861">
              <w:rPr>
                <w:iCs/>
                <w:noProof/>
                <w:lang w:val="en-GB"/>
              </w:rPr>
              <w:noBreakHyphen/>
              <w:t xml:space="preserve">5 inhibitors due to </w:t>
            </w:r>
            <w:r>
              <w:rPr>
                <w:iCs/>
                <w:noProof/>
                <w:lang w:val="en-GB"/>
              </w:rPr>
              <w:t>intestinal</w:t>
            </w:r>
            <w:r w:rsidRPr="00AF6861">
              <w:rPr>
                <w:iCs/>
                <w:noProof/>
                <w:lang w:val="en-GB"/>
              </w:rPr>
              <w:t xml:space="preserve"> CYP3A4 inhibition by simeprevir.</w:t>
            </w:r>
          </w:p>
          <w:p w:rsidR="003B0A62" w:rsidRPr="00AF6861" w:rsidRDefault="003B0A62" w:rsidP="003B0A62">
            <w:pPr>
              <w:pStyle w:val="MarkTable"/>
              <w:ind w:left="127" w:right="162"/>
              <w:jc w:val="both"/>
              <w:rPr>
                <w:noProof/>
                <w:lang w:val="en-GB"/>
              </w:rPr>
            </w:pPr>
            <w:r w:rsidRPr="00AF6861">
              <w:rPr>
                <w:noProof/>
                <w:lang w:val="en-GB"/>
              </w:rPr>
              <w:t xml:space="preserve">No dose adjustment is required when </w:t>
            </w:r>
            <w:r w:rsidR="00194D66">
              <w:rPr>
                <w:noProof/>
                <w:lang w:val="en-GB"/>
              </w:rPr>
              <w:t>OLYSIO</w:t>
            </w:r>
            <w:r w:rsidRPr="00AF6861">
              <w:rPr>
                <w:noProof/>
                <w:lang w:val="en-GB"/>
              </w:rPr>
              <w:t xml:space="preserve"> is co</w:t>
            </w:r>
            <w:r w:rsidRPr="00AF6861">
              <w:rPr>
                <w:noProof/>
                <w:lang w:val="en-GB"/>
              </w:rPr>
              <w:noBreakHyphen/>
              <w:t>administered with doses of sildenafil, vardenafil, or tadalafil indicated for the treatment of erectile dysfunction.</w:t>
            </w:r>
          </w:p>
          <w:p w:rsidR="003B0A62" w:rsidRPr="00AF6861" w:rsidRDefault="003B0A62" w:rsidP="003B0A62">
            <w:pPr>
              <w:pStyle w:val="MarkTable"/>
              <w:ind w:left="127" w:right="162"/>
              <w:jc w:val="both"/>
              <w:rPr>
                <w:noProof/>
                <w:lang w:val="en-GB"/>
              </w:rPr>
            </w:pPr>
            <w:r w:rsidRPr="00AF6861">
              <w:rPr>
                <w:noProof/>
                <w:lang w:val="en-GB"/>
              </w:rPr>
              <w:t>Dose adjustment of the PDE</w:t>
            </w:r>
            <w:r w:rsidRPr="00AF6861">
              <w:rPr>
                <w:noProof/>
                <w:lang w:val="en-GB"/>
              </w:rPr>
              <w:noBreakHyphen/>
              <w:t xml:space="preserve">5 inhibitor may be required when </w:t>
            </w:r>
            <w:r w:rsidR="00194D66">
              <w:rPr>
                <w:noProof/>
                <w:lang w:val="en-GB"/>
              </w:rPr>
              <w:t>OLYSIO</w:t>
            </w:r>
            <w:r w:rsidRPr="00AF6861">
              <w:rPr>
                <w:noProof/>
                <w:lang w:val="en-GB"/>
              </w:rPr>
              <w:t xml:space="preserve"> is co</w:t>
            </w:r>
            <w:r w:rsidRPr="00AF6861">
              <w:rPr>
                <w:noProof/>
                <w:lang w:val="en-GB"/>
              </w:rPr>
              <w:noBreakHyphen/>
              <w:t>administered with sildenafil or tadalafil administered chronically at doses used for the treatment of pulmonary arterial hypertension. Consider starting with the lowest dose of the PDE</w:t>
            </w:r>
            <w:r w:rsidRPr="00AF6861">
              <w:rPr>
                <w:noProof/>
                <w:lang w:val="en-GB"/>
              </w:rPr>
              <w:noBreakHyphen/>
              <w:t>5 inhibitor and increase as needed, with clinical monitoring as appropriate.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SEDATIVES/ANXIOLYTICS</w:t>
            </w:r>
          </w:p>
        </w:tc>
      </w:tr>
      <w:tr w:rsidR="003B0A62" w:rsidRPr="00AF6861" w:rsidTr="00E529B9">
        <w:tblPrEx>
          <w:tblBorders>
            <w:bottom w:val="single" w:sz="4" w:space="0" w:color="auto"/>
          </w:tblBorders>
        </w:tblPrEx>
        <w:trPr>
          <w:cantSplit/>
        </w:trPr>
        <w:tc>
          <w:tcPr>
            <w:tcW w:w="2000" w:type="dxa"/>
            <w:vMerge w:val="restart"/>
            <w:tcBorders>
              <w:top w:val="single" w:sz="6" w:space="0" w:color="auto"/>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Midazolam</w:t>
            </w:r>
            <w:r w:rsidRPr="00AF6861">
              <w:rPr>
                <w:noProof/>
                <w:sz w:val="20"/>
                <w:vertAlign w:val="superscript"/>
              </w:rPr>
              <w:t>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0.075 mg/kg oral</w:t>
            </w:r>
          </w:p>
        </w:tc>
        <w:tc>
          <w:tcPr>
            <w:tcW w:w="1559" w:type="dxa"/>
            <w:vMerge w:val="restart"/>
            <w:tcBorders>
              <w:top w:val="single" w:sz="6" w:space="0" w:color="auto"/>
              <w:left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midazolam</w:t>
            </w: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1.31</w:t>
            </w:r>
          </w:p>
          <w:p w:rsidR="003B0A62" w:rsidRPr="00AF6861" w:rsidRDefault="003B0A62" w:rsidP="003B0A62">
            <w:pPr>
              <w:jc w:val="center"/>
              <w:rPr>
                <w:noProof/>
                <w:sz w:val="20"/>
              </w:rPr>
            </w:pPr>
            <w:r w:rsidRPr="00AF6861">
              <w:rPr>
                <w:noProof/>
                <w:sz w:val="20"/>
              </w:rPr>
              <w:t>(1.19</w:t>
            </w:r>
            <w:r w:rsidRPr="00AF6861">
              <w:rPr>
                <w:noProof/>
                <w:sz w:val="20"/>
              </w:rPr>
              <w:noBreakHyphen/>
              <w:t>1.45)</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1.45</w:t>
            </w:r>
          </w:p>
          <w:p w:rsidR="003B0A62" w:rsidRPr="00AF6861" w:rsidRDefault="003B0A62" w:rsidP="003B0A62">
            <w:pPr>
              <w:jc w:val="center"/>
              <w:rPr>
                <w:noProof/>
                <w:sz w:val="20"/>
              </w:rPr>
            </w:pPr>
            <w:r w:rsidRPr="00AF6861">
              <w:rPr>
                <w:noProof/>
                <w:sz w:val="20"/>
              </w:rPr>
              <w:t>(1.35</w:t>
            </w:r>
            <w:r w:rsidRPr="00AF6861">
              <w:rPr>
                <w:noProof/>
                <w:sz w:val="20"/>
              </w:rPr>
              <w:noBreakHyphen/>
              <w:t>1.57)</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Height w:val="475"/>
        </w:trPr>
        <w:tc>
          <w:tcPr>
            <w:tcW w:w="2000" w:type="dxa"/>
            <w:vMerge/>
            <w:tcBorders>
              <w:left w:val="single" w:sz="4"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0.025 mg/kg intravenous</w:t>
            </w:r>
          </w:p>
        </w:tc>
        <w:tc>
          <w:tcPr>
            <w:tcW w:w="1559" w:type="dxa"/>
            <w:vMerge/>
            <w:tcBorders>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F"/>
            </w:r>
            <w:r w:rsidRPr="00AF6861">
              <w:rPr>
                <w:noProof/>
                <w:sz w:val="20"/>
              </w:rPr>
              <w:t xml:space="preserve"> 0.78</w:t>
            </w:r>
          </w:p>
          <w:p w:rsidR="003B0A62" w:rsidRPr="00AF6861" w:rsidRDefault="003B0A62" w:rsidP="003B0A62">
            <w:pPr>
              <w:jc w:val="center"/>
              <w:rPr>
                <w:noProof/>
                <w:sz w:val="20"/>
              </w:rPr>
            </w:pPr>
            <w:r w:rsidRPr="00AF6861">
              <w:rPr>
                <w:noProof/>
                <w:sz w:val="20"/>
              </w:rPr>
              <w:t>(0.52</w:t>
            </w:r>
            <w:r w:rsidRPr="00AF6861">
              <w:rPr>
                <w:noProof/>
                <w:sz w:val="20"/>
              </w:rPr>
              <w:noBreakHyphen/>
              <w:t>1.17)</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sym w:font="Symbol" w:char="F0AD"/>
            </w:r>
            <w:r w:rsidRPr="00AF6861">
              <w:rPr>
                <w:noProof/>
                <w:sz w:val="20"/>
              </w:rPr>
              <w:t xml:space="preserve"> 1.10</w:t>
            </w:r>
          </w:p>
          <w:p w:rsidR="003B0A62" w:rsidRPr="00AF6861" w:rsidRDefault="003B0A62" w:rsidP="003B0A62">
            <w:pPr>
              <w:jc w:val="center"/>
              <w:rPr>
                <w:noProof/>
                <w:sz w:val="20"/>
              </w:rPr>
            </w:pPr>
            <w:r w:rsidRPr="00AF6861">
              <w:rPr>
                <w:noProof/>
                <w:sz w:val="20"/>
              </w:rPr>
              <w:t>(0.95</w:t>
            </w:r>
            <w:r w:rsidRPr="00AF6861">
              <w:rPr>
                <w:noProof/>
                <w:sz w:val="20"/>
              </w:rPr>
              <w:noBreakHyphen/>
              <w:t>1.26)</w:t>
            </w:r>
          </w:p>
        </w:tc>
        <w:tc>
          <w:tcPr>
            <w:tcW w:w="1418" w:type="dxa"/>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jc w:val="center"/>
              <w:rPr>
                <w:noProof/>
                <w:sz w:val="20"/>
              </w:rPr>
            </w:pPr>
            <w:r w:rsidRPr="00AF6861">
              <w:rPr>
                <w:noProof/>
                <w:sz w:val="20"/>
              </w:rPr>
              <w:t>NA</w:t>
            </w:r>
          </w:p>
        </w:tc>
      </w:tr>
      <w:tr w:rsidR="003B0A62" w:rsidRPr="00AF6861" w:rsidTr="00E529B9">
        <w:tblPrEx>
          <w:tblBorders>
            <w:bottom w:val="single" w:sz="4" w:space="0" w:color="auto"/>
          </w:tblBorders>
        </w:tblPrEx>
        <w:trPr>
          <w:cantSplit/>
          <w:trHeight w:val="200"/>
        </w:trPr>
        <w:tc>
          <w:tcPr>
            <w:tcW w:w="2000" w:type="dxa"/>
            <w:vMerge/>
            <w:tcBorders>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bookmarkStart w:id="0" w:name="_Hlk345880094"/>
            <w:r w:rsidRPr="00AF6861">
              <w:rPr>
                <w:noProof/>
                <w:sz w:val="20"/>
              </w:rPr>
              <w:t xml:space="preserve">Concomitant use of </w:t>
            </w:r>
            <w:r w:rsidR="00194D66">
              <w:rPr>
                <w:noProof/>
                <w:sz w:val="20"/>
              </w:rPr>
              <w:t>OLYSIO</w:t>
            </w:r>
            <w:r w:rsidRPr="00AF6861">
              <w:rPr>
                <w:noProof/>
                <w:sz w:val="20"/>
              </w:rPr>
              <w:t xml:space="preserve"> with orally administered midazolam resulted in increased plasma concentrations of midazolam due to mild inhibition of intestinal CYP3A4 by simeprevir. </w:t>
            </w:r>
            <w:r>
              <w:rPr>
                <w:noProof/>
                <w:sz w:val="20"/>
              </w:rPr>
              <w:t>P</w:t>
            </w:r>
            <w:r w:rsidRPr="00AF6861">
              <w:rPr>
                <w:noProof/>
                <w:sz w:val="20"/>
              </w:rPr>
              <w:t>lasma concentrations of midazolam</w:t>
            </w:r>
            <w:r>
              <w:rPr>
                <w:noProof/>
                <w:sz w:val="20"/>
              </w:rPr>
              <w:t xml:space="preserve"> were not affected when administered intravenously as simeprevir</w:t>
            </w:r>
            <w:r w:rsidRPr="00AF6861">
              <w:rPr>
                <w:noProof/>
                <w:sz w:val="20"/>
              </w:rPr>
              <w:t xml:space="preserve"> </w:t>
            </w:r>
            <w:r>
              <w:rPr>
                <w:noProof/>
                <w:sz w:val="20"/>
              </w:rPr>
              <w:t>does not inhibit hepatic CYP3A4.</w:t>
            </w:r>
            <w:r w:rsidRPr="00AF6861">
              <w:rPr>
                <w:noProof/>
                <w:sz w:val="20"/>
              </w:rPr>
              <w:t xml:space="preserve"> Caution is warranted when this medicinal product with narrow therapeutic index is co</w:t>
            </w:r>
            <w:r w:rsidRPr="00AF6861">
              <w:rPr>
                <w:noProof/>
                <w:sz w:val="20"/>
                <w:lang w:val="en-GB"/>
              </w:rPr>
              <w:noBreakHyphen/>
            </w:r>
            <w:r w:rsidRPr="00AF6861">
              <w:rPr>
                <w:noProof/>
                <w:sz w:val="20"/>
              </w:rPr>
              <w:t xml:space="preserve">administered with </w:t>
            </w:r>
            <w:r w:rsidR="00194D66">
              <w:rPr>
                <w:noProof/>
                <w:sz w:val="20"/>
              </w:rPr>
              <w:t>OLYSIO</w:t>
            </w:r>
            <w:r w:rsidRPr="00AF6861">
              <w:rPr>
                <w:noProof/>
                <w:sz w:val="20"/>
              </w:rPr>
              <w:t xml:space="preserve"> via the oral route.</w:t>
            </w:r>
            <w:bookmarkEnd w:id="0"/>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shd w:val="clear" w:color="auto" w:fill="auto"/>
            <w:tcMar>
              <w:top w:w="15" w:type="dxa"/>
              <w:left w:w="120" w:type="dxa"/>
              <w:bottom w:w="15" w:type="dxa"/>
              <w:right w:w="120" w:type="dxa"/>
            </w:tcMar>
          </w:tcPr>
          <w:p w:rsidR="003B0A62" w:rsidRPr="00AF6861" w:rsidRDefault="003B0A62" w:rsidP="003B0A62">
            <w:pPr>
              <w:rPr>
                <w:noProof/>
                <w:sz w:val="20"/>
              </w:rPr>
            </w:pPr>
            <w:r w:rsidRPr="00AF6861">
              <w:rPr>
                <w:noProof/>
                <w:sz w:val="20"/>
              </w:rPr>
              <w:t>Triazolam</w:t>
            </w:r>
          </w:p>
        </w:tc>
        <w:tc>
          <w:tcPr>
            <w:tcW w:w="7371" w:type="dxa"/>
            <w:gridSpan w:val="6"/>
            <w:tcBorders>
              <w:top w:val="single" w:sz="6" w:space="0" w:color="auto"/>
              <w:left w:val="single" w:sz="6" w:space="0" w:color="auto"/>
              <w:bottom w:val="single" w:sz="6" w:space="0" w:color="auto"/>
              <w:right w:val="single" w:sz="4" w:space="0" w:color="auto"/>
            </w:tcBorders>
            <w:shd w:val="clear" w:color="auto" w:fill="auto"/>
          </w:tcPr>
          <w:p w:rsidR="003B0A62" w:rsidRPr="00AF6861" w:rsidRDefault="003B0A62" w:rsidP="003B0A62">
            <w:pPr>
              <w:pStyle w:val="MarkTable"/>
              <w:ind w:left="127" w:right="162"/>
              <w:jc w:val="both"/>
              <w:rPr>
                <w:noProof/>
                <w:lang w:val="en-GB"/>
              </w:rPr>
            </w:pPr>
            <w:r w:rsidRPr="00AF6861">
              <w:rPr>
                <w:noProof/>
              </w:rPr>
              <w:t xml:space="preserve">Concomitant use of </w:t>
            </w:r>
            <w:r w:rsidR="00194D66">
              <w:rPr>
                <w:noProof/>
              </w:rPr>
              <w:t>OLYSIO</w:t>
            </w:r>
            <w:r w:rsidRPr="00AF6861">
              <w:rPr>
                <w:noProof/>
              </w:rPr>
              <w:t xml:space="preserve"> with orally administered triazolam may result in </w:t>
            </w:r>
            <w:r>
              <w:rPr>
                <w:noProof/>
              </w:rPr>
              <w:t xml:space="preserve">mild </w:t>
            </w:r>
            <w:r w:rsidRPr="00AF6861">
              <w:rPr>
                <w:noProof/>
              </w:rPr>
              <w:t>increase</w:t>
            </w:r>
            <w:r>
              <w:rPr>
                <w:noProof/>
              </w:rPr>
              <w:t>s</w:t>
            </w:r>
            <w:r w:rsidRPr="00AF6861">
              <w:rPr>
                <w:noProof/>
              </w:rPr>
              <w:t xml:space="preserve"> </w:t>
            </w:r>
            <w:r>
              <w:rPr>
                <w:noProof/>
              </w:rPr>
              <w:t xml:space="preserve">in </w:t>
            </w:r>
            <w:r w:rsidRPr="00AF6861">
              <w:rPr>
                <w:noProof/>
              </w:rPr>
              <w:t xml:space="preserve">concentrations of triazolam due to </w:t>
            </w:r>
            <w:r>
              <w:rPr>
                <w:noProof/>
              </w:rPr>
              <w:t>intestinal</w:t>
            </w:r>
            <w:r w:rsidRPr="00AF6861">
              <w:rPr>
                <w:noProof/>
              </w:rPr>
              <w:t xml:space="preserve"> CYP3A4 inhibition by simeprevir. Caution is warranted when this medicinal product with narrow therapeutic index is co</w:t>
            </w:r>
            <w:r w:rsidRPr="00AF6861">
              <w:rPr>
                <w:noProof/>
                <w:lang w:val="en-GB"/>
              </w:rPr>
              <w:noBreakHyphen/>
            </w:r>
            <w:r w:rsidRPr="00AF6861">
              <w:rPr>
                <w:noProof/>
              </w:rPr>
              <w:t xml:space="preserve">administered with </w:t>
            </w:r>
            <w:r w:rsidR="00194D66">
              <w:rPr>
                <w:noProof/>
              </w:rPr>
              <w:t>OLYSIO</w:t>
            </w:r>
            <w:r w:rsidRPr="00AF6861">
              <w:rPr>
                <w:noProof/>
              </w:rPr>
              <w:t xml:space="preserve"> via the oral route.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6" w:space="0" w:color="auto"/>
              <w:right w:val="single" w:sz="4" w:space="0" w:color="auto"/>
            </w:tcBorders>
          </w:tcPr>
          <w:p w:rsidR="003B0A62" w:rsidRPr="00AF6861" w:rsidRDefault="003B0A62" w:rsidP="003B0A62">
            <w:pPr>
              <w:rPr>
                <w:noProof/>
                <w:sz w:val="20"/>
              </w:rPr>
            </w:pPr>
            <w:r w:rsidRPr="00AF6861">
              <w:rPr>
                <w:b/>
                <w:bCs/>
                <w:noProof/>
                <w:sz w:val="20"/>
              </w:rPr>
              <w:t>STIMULANTS</w:t>
            </w:r>
          </w:p>
        </w:tc>
      </w:tr>
      <w:tr w:rsidR="003B0A62" w:rsidRPr="00AF6861" w:rsidTr="00E529B9">
        <w:tblPrEx>
          <w:tblBorders>
            <w:bottom w:val="single" w:sz="4" w:space="0" w:color="auto"/>
          </w:tblBorders>
        </w:tblPrEx>
        <w:trPr>
          <w:cantSplit/>
        </w:trPr>
        <w:tc>
          <w:tcPr>
            <w:tcW w:w="2000" w:type="dxa"/>
            <w:tcBorders>
              <w:top w:val="single" w:sz="6" w:space="0" w:color="auto"/>
              <w:left w:val="single" w:sz="4" w:space="0" w:color="auto"/>
              <w:bottom w:val="single" w:sz="6" w:space="0" w:color="auto"/>
              <w:right w:val="single" w:sz="6" w:space="0" w:color="auto"/>
            </w:tcBorders>
            <w:tcMar>
              <w:top w:w="15" w:type="dxa"/>
              <w:left w:w="120" w:type="dxa"/>
              <w:bottom w:w="15" w:type="dxa"/>
              <w:right w:w="120" w:type="dxa"/>
            </w:tcMar>
          </w:tcPr>
          <w:p w:rsidR="003B0A62" w:rsidRPr="00AF6861" w:rsidRDefault="003B0A62" w:rsidP="003B0A62">
            <w:pPr>
              <w:pStyle w:val="Default"/>
              <w:rPr>
                <w:noProof/>
              </w:rPr>
            </w:pPr>
            <w:r w:rsidRPr="00AF6861">
              <w:t>Methylphenidate</w:t>
            </w:r>
          </w:p>
        </w:tc>
        <w:tc>
          <w:tcPr>
            <w:tcW w:w="7371" w:type="dxa"/>
            <w:gridSpan w:val="6"/>
            <w:tcBorders>
              <w:top w:val="single" w:sz="6" w:space="0" w:color="auto"/>
              <w:left w:val="single" w:sz="6" w:space="0" w:color="auto"/>
              <w:bottom w:val="single" w:sz="6" w:space="0" w:color="auto"/>
              <w:right w:val="single" w:sz="4" w:space="0" w:color="auto"/>
            </w:tcBorders>
          </w:tcPr>
          <w:p w:rsidR="003B0A62" w:rsidRPr="00AF6861" w:rsidRDefault="003B0A62" w:rsidP="003B0A62">
            <w:pPr>
              <w:pStyle w:val="MarkTable"/>
              <w:ind w:left="127" w:right="162"/>
              <w:jc w:val="both"/>
            </w:pPr>
            <w:r w:rsidRPr="00AF6861">
              <w:rPr>
                <w:noProof/>
                <w:lang w:val="en-GB"/>
              </w:rPr>
              <w:t xml:space="preserve">No dose adjustment is required when </w:t>
            </w:r>
            <w:r w:rsidR="00194D66">
              <w:rPr>
                <w:noProof/>
                <w:lang w:val="en-GB"/>
              </w:rPr>
              <w:t>OLYSIO</w:t>
            </w:r>
            <w:r w:rsidRPr="00AF6861">
              <w:rPr>
                <w:noProof/>
                <w:lang w:val="en-GB"/>
              </w:rPr>
              <w:t xml:space="preserve"> is co</w:t>
            </w:r>
            <w:r w:rsidRPr="00AF6861">
              <w:rPr>
                <w:noProof/>
                <w:lang w:val="en-GB"/>
              </w:rPr>
              <w:noBreakHyphen/>
              <w:t>administered with methylphenidate.</w:t>
            </w:r>
          </w:p>
        </w:tc>
      </w:tr>
      <w:tr w:rsidR="003B0A62" w:rsidRPr="00AF6861" w:rsidTr="00E529B9">
        <w:tblPrEx>
          <w:tblBorders>
            <w:bottom w:val="single" w:sz="4" w:space="0" w:color="auto"/>
          </w:tblBorders>
        </w:tblPrEx>
        <w:trPr>
          <w:cantSplit/>
        </w:trPr>
        <w:tc>
          <w:tcPr>
            <w:tcW w:w="9371" w:type="dxa"/>
            <w:gridSpan w:val="7"/>
            <w:tcBorders>
              <w:top w:val="single" w:sz="6" w:space="0" w:color="auto"/>
              <w:left w:val="single" w:sz="4" w:space="0" w:color="auto"/>
              <w:bottom w:val="single" w:sz="4" w:space="0" w:color="auto"/>
              <w:right w:val="single" w:sz="4" w:space="0" w:color="auto"/>
            </w:tcBorders>
          </w:tcPr>
          <w:p w:rsidR="003B0A62" w:rsidRPr="00AF6861" w:rsidRDefault="003B0A62" w:rsidP="003B0A62">
            <w:pPr>
              <w:autoSpaceDE w:val="0"/>
              <w:autoSpaceDN w:val="0"/>
              <w:adjustRightInd w:val="0"/>
              <w:ind w:right="164"/>
              <w:rPr>
                <w:noProof/>
                <w:sz w:val="20"/>
              </w:rPr>
            </w:pPr>
            <w:r w:rsidRPr="00AF6861">
              <w:rPr>
                <w:noProof/>
                <w:sz w:val="20"/>
              </w:rPr>
              <w:t xml:space="preserve">The direction of the arrow (↑=increase, ↓=decrease, ↔=no change) for each pharmacokinetic parameter is based on the 90% confidence interval of the geometric mean ratio being within (↔), below (↓) or above (↑) the </w:t>
            </w:r>
            <w:r>
              <w:rPr>
                <w:noProof/>
                <w:sz w:val="20"/>
              </w:rPr>
              <w:t>0.</w:t>
            </w:r>
            <w:r w:rsidRPr="00AF6861">
              <w:rPr>
                <w:noProof/>
                <w:sz w:val="20"/>
              </w:rPr>
              <w:t>80</w:t>
            </w:r>
            <w:r w:rsidRPr="00AF6861">
              <w:rPr>
                <w:noProof/>
                <w:sz w:val="20"/>
              </w:rPr>
              <w:noBreakHyphen/>
              <w:t>1</w:t>
            </w:r>
            <w:r>
              <w:rPr>
                <w:noProof/>
                <w:sz w:val="20"/>
              </w:rPr>
              <w:t>.</w:t>
            </w:r>
            <w:r w:rsidRPr="00AF6861">
              <w:rPr>
                <w:noProof/>
                <w:sz w:val="20"/>
              </w:rPr>
              <w:t>25 range.</w:t>
            </w:r>
          </w:p>
          <w:p w:rsidR="003B0A62" w:rsidRPr="00AF6861" w:rsidRDefault="003B0A62" w:rsidP="003B0A62">
            <w:pPr>
              <w:tabs>
                <w:tab w:val="left" w:pos="426"/>
              </w:tabs>
              <w:autoSpaceDE w:val="0"/>
              <w:autoSpaceDN w:val="0"/>
              <w:adjustRightInd w:val="0"/>
              <w:ind w:left="284" w:right="162" w:hanging="284"/>
              <w:rPr>
                <w:noProof/>
                <w:sz w:val="20"/>
              </w:rPr>
            </w:pPr>
            <w:r w:rsidRPr="00AF6861">
              <w:rPr>
                <w:noProof/>
                <w:sz w:val="20"/>
                <w:vertAlign w:val="superscript"/>
              </w:rPr>
              <w:t>1</w:t>
            </w:r>
            <w:r w:rsidRPr="00AF6861">
              <w:rPr>
                <w:noProof/>
                <w:sz w:val="20"/>
              </w:rPr>
              <w:tab/>
              <w:t xml:space="preserve">The interaction between </w:t>
            </w:r>
            <w:r w:rsidR="00194D66">
              <w:rPr>
                <w:noProof/>
                <w:sz w:val="20"/>
              </w:rPr>
              <w:t>OLYSIO</w:t>
            </w:r>
            <w:r w:rsidRPr="00AF6861">
              <w:rPr>
                <w:noProof/>
                <w:sz w:val="20"/>
              </w:rPr>
              <w:t xml:space="preserve"> and the drug was evaluated in a pharmacokinetic study in healthy adults. All other drug interactions shown are predicted.</w:t>
            </w:r>
          </w:p>
          <w:p w:rsidR="003B0A62" w:rsidRPr="00AF6861" w:rsidRDefault="003B0A62" w:rsidP="003B0A62">
            <w:pPr>
              <w:tabs>
                <w:tab w:val="left" w:pos="420"/>
              </w:tabs>
              <w:autoSpaceDE w:val="0"/>
              <w:autoSpaceDN w:val="0"/>
              <w:adjustRightInd w:val="0"/>
              <w:ind w:left="284" w:right="162" w:hanging="284"/>
              <w:rPr>
                <w:noProof/>
                <w:sz w:val="20"/>
              </w:rPr>
            </w:pPr>
            <w:r w:rsidRPr="00AF6861">
              <w:rPr>
                <w:noProof/>
                <w:sz w:val="20"/>
                <w:vertAlign w:val="superscript"/>
              </w:rPr>
              <w:t>2</w:t>
            </w:r>
            <w:r w:rsidRPr="00AF6861">
              <w:rPr>
                <w:noProof/>
                <w:sz w:val="20"/>
              </w:rPr>
              <w:tab/>
              <w:t xml:space="preserve">This interaction study has been performed with a dose higher than the recommended dose for </w:t>
            </w:r>
            <w:r w:rsidR="00194D66">
              <w:rPr>
                <w:noProof/>
                <w:sz w:val="20"/>
              </w:rPr>
              <w:t>OLYSIO</w:t>
            </w:r>
            <w:r w:rsidRPr="00AF6861">
              <w:rPr>
                <w:noProof/>
                <w:sz w:val="20"/>
              </w:rPr>
              <w:t xml:space="preserve"> assessing the maximal effect on the co</w:t>
            </w:r>
            <w:r w:rsidRPr="00AF6861">
              <w:rPr>
                <w:noProof/>
                <w:sz w:val="20"/>
              </w:rPr>
              <w:noBreakHyphen/>
              <w:t xml:space="preserve">administered drug. The dosing recommendation is applicable to the recommended dose of </w:t>
            </w:r>
            <w:r w:rsidR="00194D66">
              <w:rPr>
                <w:noProof/>
                <w:sz w:val="20"/>
              </w:rPr>
              <w:t>OLYSIO</w:t>
            </w:r>
            <w:r w:rsidRPr="00AF6861">
              <w:rPr>
                <w:noProof/>
                <w:sz w:val="20"/>
              </w:rPr>
              <w:t xml:space="preserve"> 150 mg once daily.</w:t>
            </w:r>
          </w:p>
          <w:p w:rsidR="003B0A62" w:rsidRPr="00AF6861" w:rsidRDefault="003B0A62" w:rsidP="003B0A62">
            <w:pPr>
              <w:tabs>
                <w:tab w:val="left" w:pos="420"/>
              </w:tabs>
              <w:autoSpaceDE w:val="0"/>
              <w:autoSpaceDN w:val="0"/>
              <w:adjustRightInd w:val="0"/>
              <w:ind w:left="284" w:right="162" w:hanging="284"/>
              <w:rPr>
                <w:noProof/>
                <w:sz w:val="20"/>
              </w:rPr>
            </w:pPr>
            <w:r>
              <w:rPr>
                <w:noProof/>
                <w:sz w:val="20"/>
                <w:vertAlign w:val="superscript"/>
              </w:rPr>
              <w:t>3</w:t>
            </w:r>
            <w:r w:rsidRPr="00AF6861">
              <w:rPr>
                <w:noProof/>
                <w:sz w:val="20"/>
              </w:rPr>
              <w:tab/>
            </w:r>
            <w:r w:rsidRPr="00187F8A">
              <w:rPr>
                <w:noProof/>
                <w:sz w:val="20"/>
              </w:rPr>
              <w:t>Comparison based on historic controls. The interaction between simeprevir and the drug was evaluated in a preliminary pharmacokinetic substudy within a Phase</w:t>
            </w:r>
            <w:r w:rsidRPr="00AF6861">
              <w:rPr>
                <w:noProof/>
                <w:sz w:val="20"/>
              </w:rPr>
              <w:t> </w:t>
            </w:r>
            <w:r w:rsidRPr="00187F8A">
              <w:rPr>
                <w:noProof/>
                <w:sz w:val="20"/>
              </w:rPr>
              <w:t>2 study in 22</w:t>
            </w:r>
            <w:r>
              <w:rPr>
                <w:noProof/>
                <w:sz w:val="20"/>
              </w:rPr>
              <w:t> </w:t>
            </w:r>
            <w:r w:rsidRPr="00187F8A">
              <w:rPr>
                <w:noProof/>
                <w:sz w:val="20"/>
              </w:rPr>
              <w:t>HCV</w:t>
            </w:r>
            <w:r w:rsidRPr="00AF6861">
              <w:rPr>
                <w:noProof/>
                <w:sz w:val="20"/>
              </w:rPr>
              <w:noBreakHyphen/>
            </w:r>
            <w:r w:rsidRPr="00187F8A">
              <w:rPr>
                <w:noProof/>
                <w:sz w:val="20"/>
              </w:rPr>
              <w:t xml:space="preserve">infected patients. The safety and efficacy of </w:t>
            </w:r>
            <w:r w:rsidR="00194D66">
              <w:rPr>
                <w:noProof/>
                <w:sz w:val="20"/>
              </w:rPr>
              <w:t>OLYSIO</w:t>
            </w:r>
            <w:r w:rsidRPr="00187F8A">
              <w:rPr>
                <w:noProof/>
                <w:sz w:val="20"/>
              </w:rPr>
              <w:t xml:space="preserve"> in combination with sofosbuvir have not been established.</w:t>
            </w:r>
          </w:p>
          <w:p w:rsidR="003B0A62" w:rsidRDefault="003B0A62" w:rsidP="003B0A62">
            <w:pPr>
              <w:tabs>
                <w:tab w:val="left" w:pos="426"/>
              </w:tabs>
              <w:autoSpaceDE w:val="0"/>
              <w:autoSpaceDN w:val="0"/>
              <w:adjustRightInd w:val="0"/>
              <w:ind w:left="284" w:right="162" w:hanging="284"/>
              <w:rPr>
                <w:noProof/>
                <w:sz w:val="20"/>
              </w:rPr>
            </w:pPr>
            <w:r>
              <w:rPr>
                <w:noProof/>
                <w:sz w:val="20"/>
                <w:vertAlign w:val="superscript"/>
              </w:rPr>
              <w:t>4</w:t>
            </w:r>
            <w:r w:rsidRPr="00AF6861">
              <w:rPr>
                <w:noProof/>
                <w:sz w:val="20"/>
              </w:rPr>
              <w:tab/>
              <w:t xml:space="preserve">The dose of </w:t>
            </w:r>
            <w:r w:rsidR="00194D66">
              <w:rPr>
                <w:noProof/>
                <w:sz w:val="20"/>
              </w:rPr>
              <w:t>OLYSIO</w:t>
            </w:r>
            <w:r w:rsidRPr="00AF6861">
              <w:rPr>
                <w:noProof/>
                <w:sz w:val="20"/>
              </w:rPr>
              <w:t xml:space="preserve"> in this interaction study was 50 mg when co</w:t>
            </w:r>
            <w:r w:rsidRPr="00AF6861">
              <w:rPr>
                <w:noProof/>
                <w:sz w:val="20"/>
              </w:rPr>
              <w:noBreakHyphen/>
              <w:t xml:space="preserve">administered in combination with darunavir/ritonavir, compared to 150 mg in the </w:t>
            </w:r>
            <w:r w:rsidR="00194D66">
              <w:rPr>
                <w:noProof/>
                <w:sz w:val="20"/>
              </w:rPr>
              <w:t>OLYSIO</w:t>
            </w:r>
            <w:r w:rsidRPr="00AF6861">
              <w:rPr>
                <w:noProof/>
                <w:sz w:val="20"/>
              </w:rPr>
              <w:t xml:space="preserve"> alone treatment group.</w:t>
            </w:r>
          </w:p>
          <w:p w:rsidR="003B0A62" w:rsidRPr="00AF6861" w:rsidRDefault="003B0A62" w:rsidP="003B0A62">
            <w:pPr>
              <w:tabs>
                <w:tab w:val="left" w:pos="426"/>
              </w:tabs>
              <w:autoSpaceDE w:val="0"/>
              <w:autoSpaceDN w:val="0"/>
              <w:adjustRightInd w:val="0"/>
              <w:ind w:left="284" w:right="162" w:hanging="284"/>
              <w:rPr>
                <w:noProof/>
                <w:sz w:val="20"/>
              </w:rPr>
            </w:pPr>
            <w:r>
              <w:rPr>
                <w:noProof/>
                <w:sz w:val="20"/>
                <w:vertAlign w:val="superscript"/>
              </w:rPr>
              <w:t>5</w:t>
            </w:r>
            <w:r w:rsidRPr="00AF6861">
              <w:rPr>
                <w:noProof/>
                <w:sz w:val="20"/>
              </w:rPr>
              <w:tab/>
              <w:t xml:space="preserve">The interaction between </w:t>
            </w:r>
            <w:r w:rsidR="00194D66">
              <w:rPr>
                <w:noProof/>
                <w:sz w:val="20"/>
              </w:rPr>
              <w:t>OLYSIO</w:t>
            </w:r>
            <w:r w:rsidRPr="00AF6861">
              <w:rPr>
                <w:noProof/>
                <w:sz w:val="20"/>
              </w:rPr>
              <w:t xml:space="preserve"> and the drug was evaluated in a pharmacokinetic study in </w:t>
            </w:r>
            <w:r>
              <w:rPr>
                <w:noProof/>
                <w:sz w:val="20"/>
              </w:rPr>
              <w:t>opioid</w:t>
            </w:r>
            <w:r w:rsidRPr="00AF6861">
              <w:rPr>
                <w:noProof/>
                <w:sz w:val="20"/>
              </w:rPr>
              <w:noBreakHyphen/>
            </w:r>
            <w:r>
              <w:rPr>
                <w:noProof/>
                <w:sz w:val="20"/>
              </w:rPr>
              <w:t>dependent</w:t>
            </w:r>
            <w:r w:rsidRPr="00AF6861">
              <w:rPr>
                <w:noProof/>
                <w:sz w:val="20"/>
              </w:rPr>
              <w:t xml:space="preserve"> adults</w:t>
            </w:r>
            <w:r>
              <w:rPr>
                <w:noProof/>
                <w:sz w:val="20"/>
              </w:rPr>
              <w:t xml:space="preserve"> on stable methadone maintenance therapy</w:t>
            </w:r>
            <w:r w:rsidRPr="00AF6861">
              <w:rPr>
                <w:noProof/>
                <w:sz w:val="20"/>
              </w:rPr>
              <w:t>.</w:t>
            </w:r>
          </w:p>
        </w:tc>
      </w:tr>
    </w:tbl>
    <w:p w:rsidR="008A6AEE" w:rsidRPr="00B21A80" w:rsidRDefault="008A6AEE" w:rsidP="00B21A80">
      <w:pPr>
        <w:keepLines w:val="0"/>
        <w:rPr>
          <w:noProof/>
          <w:szCs w:val="22"/>
        </w:rPr>
      </w:pPr>
    </w:p>
    <w:p w:rsidR="003B09E3" w:rsidRPr="00D22F3F" w:rsidRDefault="003A72D8" w:rsidP="009F3479">
      <w:pPr>
        <w:pStyle w:val="PIHEADING2"/>
      </w:pPr>
      <w:r w:rsidRPr="00D22F3F">
        <w:t>Effect on Ability to Drive or Operate Machinery</w:t>
      </w:r>
    </w:p>
    <w:p w:rsidR="00D22F3F" w:rsidRDefault="00194D66" w:rsidP="00D22F3F">
      <w:r>
        <w:t>OLYSIO</w:t>
      </w:r>
      <w:r w:rsidR="00D22F3F" w:rsidRPr="00AF6861">
        <w:t xml:space="preserve"> has no known effect on the ability to drive and use machines. No specific studies on the effects of </w:t>
      </w:r>
      <w:r>
        <w:t>OLYSIO</w:t>
      </w:r>
      <w:r w:rsidR="00D22F3F" w:rsidRPr="00AF6861">
        <w:t xml:space="preserve"> on the ability to drive and use machines have been performed.</w:t>
      </w:r>
    </w:p>
    <w:p w:rsidR="00D22F3F" w:rsidRDefault="00D22F3F" w:rsidP="00D22F3F"/>
    <w:p w:rsidR="00D22F3F" w:rsidRPr="00AF6861" w:rsidRDefault="00D22F3F" w:rsidP="00D22F3F">
      <w:r w:rsidRPr="00AF6861">
        <w:t xml:space="preserve">Combination treatment of </w:t>
      </w:r>
      <w:r w:rsidR="00194D66">
        <w:t>OLYSIO</w:t>
      </w:r>
      <w:r w:rsidRPr="00AF6861">
        <w:t xml:space="preserve">,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may affect a patient’s ability to drive and use machines. Refer to the </w:t>
      </w:r>
      <w:r w:rsidR="0037285D">
        <w:t>product</w:t>
      </w:r>
      <w:r w:rsidRPr="00AF6861">
        <w:t xml:space="preserve"> information for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regarding their potential effect on the ability to drive and use machines.</w:t>
      </w:r>
    </w:p>
    <w:p w:rsidR="00C856BA" w:rsidRDefault="003A72D8" w:rsidP="00C856BA">
      <w:pPr>
        <w:spacing w:before="360" w:after="120"/>
        <w:rPr>
          <w:b/>
          <w:caps/>
          <w:sz w:val="28"/>
          <w:szCs w:val="28"/>
        </w:rPr>
      </w:pPr>
      <w:r w:rsidRPr="00965395">
        <w:rPr>
          <w:b/>
          <w:caps/>
          <w:sz w:val="28"/>
          <w:szCs w:val="28"/>
        </w:rPr>
        <w:lastRenderedPageBreak/>
        <w:t>ADVERSE Effects</w:t>
      </w:r>
    </w:p>
    <w:p w:rsidR="00D22F3F" w:rsidRDefault="00194D66" w:rsidP="00D22F3F">
      <w:r>
        <w:t>OLYSIO</w:t>
      </w:r>
      <w:r w:rsidR="00D22F3F" w:rsidRPr="00AF6861">
        <w:t xml:space="preserve"> must be administered with </w:t>
      </w:r>
      <w:proofErr w:type="spellStart"/>
      <w:r w:rsidR="00D22F3F" w:rsidRPr="00AF6861">
        <w:t>peginterferon</w:t>
      </w:r>
      <w:proofErr w:type="spellEnd"/>
      <w:r w:rsidR="00D22F3F" w:rsidRPr="00AF6861">
        <w:t xml:space="preserve"> </w:t>
      </w:r>
      <w:proofErr w:type="spellStart"/>
      <w:r w:rsidR="00D22F3F" w:rsidRPr="00AF6861">
        <w:t>alfa</w:t>
      </w:r>
      <w:proofErr w:type="spellEnd"/>
      <w:r w:rsidR="00D22F3F" w:rsidRPr="00AF6861">
        <w:t xml:space="preserve"> and ribavirin. </w:t>
      </w:r>
      <w:r w:rsidR="00C3223F">
        <w:t xml:space="preserve">Please note the following risks have been identified for the combination of </w:t>
      </w:r>
      <w:proofErr w:type="spellStart"/>
      <w:r w:rsidR="00C3223F">
        <w:t>peginterferon</w:t>
      </w:r>
      <w:proofErr w:type="spellEnd"/>
      <w:r w:rsidR="00C3223F">
        <w:t xml:space="preserve"> </w:t>
      </w:r>
      <w:proofErr w:type="spellStart"/>
      <w:r w:rsidR="00C3223F">
        <w:t>alfa</w:t>
      </w:r>
      <w:proofErr w:type="spellEnd"/>
      <w:r w:rsidR="00C3223F" w:rsidRPr="005F755F">
        <w:t xml:space="preserve"> </w:t>
      </w:r>
      <w:r w:rsidR="00C3223F">
        <w:t xml:space="preserve">and ribavirin: </w:t>
      </w:r>
      <w:r w:rsidR="00C3223F" w:rsidRPr="008E4B37">
        <w:t xml:space="preserve">anaemia, </w:t>
      </w:r>
      <w:proofErr w:type="spellStart"/>
      <w:r w:rsidR="00C3223F" w:rsidRPr="008E4B37">
        <w:t>lymphopenia</w:t>
      </w:r>
      <w:proofErr w:type="spellEnd"/>
      <w:r w:rsidR="00C3223F" w:rsidRPr="008E4B37">
        <w:t xml:space="preserve">/neutropenia, thrombocytopenia, psychiatric disorders, diabetes mellitus, thyroid disorders and specific skin disorders (cutaneous </w:t>
      </w:r>
      <w:proofErr w:type="spellStart"/>
      <w:r w:rsidR="00C3223F" w:rsidRPr="008E4B37">
        <w:t>leukocytoclastic</w:t>
      </w:r>
      <w:proofErr w:type="spellEnd"/>
      <w:r w:rsidR="00C3223F" w:rsidRPr="008E4B37">
        <w:t xml:space="preserve"> vasculitis, lichen </w:t>
      </w:r>
      <w:proofErr w:type="spellStart"/>
      <w:r w:rsidR="00C3223F" w:rsidRPr="008E4B37">
        <w:t>planus</w:t>
      </w:r>
      <w:proofErr w:type="spellEnd"/>
      <w:r w:rsidR="00C3223F" w:rsidRPr="008E4B37">
        <w:t xml:space="preserve">, </w:t>
      </w:r>
      <w:proofErr w:type="spellStart"/>
      <w:r w:rsidR="00C3223F" w:rsidRPr="008E4B37">
        <w:t>polyarteritis</w:t>
      </w:r>
      <w:proofErr w:type="spellEnd"/>
      <w:r w:rsidR="00C3223F" w:rsidRPr="008E4B37">
        <w:t xml:space="preserve"> </w:t>
      </w:r>
      <w:proofErr w:type="spellStart"/>
      <w:r w:rsidR="00C3223F" w:rsidRPr="008E4B37">
        <w:t>nodosa</w:t>
      </w:r>
      <w:proofErr w:type="spellEnd"/>
      <w:r w:rsidR="00C3223F">
        <w:t xml:space="preserve"> and</w:t>
      </w:r>
      <w:r w:rsidR="00C3223F" w:rsidRPr="008E4B37">
        <w:t xml:space="preserve"> porphyria </w:t>
      </w:r>
      <w:proofErr w:type="spellStart"/>
      <w:r w:rsidR="00C3223F" w:rsidRPr="008E4B37">
        <w:t>cutanea</w:t>
      </w:r>
      <w:proofErr w:type="spellEnd"/>
      <w:r w:rsidR="00C3223F" w:rsidRPr="008E4B37">
        <w:t xml:space="preserve"> </w:t>
      </w:r>
      <w:proofErr w:type="spellStart"/>
      <w:r w:rsidR="00C3223F" w:rsidRPr="008E4B37">
        <w:t>tarda</w:t>
      </w:r>
      <w:proofErr w:type="spellEnd"/>
      <w:r w:rsidR="00C3223F" w:rsidRPr="008E4B37">
        <w:t>)</w:t>
      </w:r>
      <w:r w:rsidR="00C3223F">
        <w:t xml:space="preserve">.  </w:t>
      </w:r>
      <w:r w:rsidR="00D22F3F" w:rsidRPr="00AF6861">
        <w:t xml:space="preserve">Refer to the </w:t>
      </w:r>
      <w:r w:rsidR="0037285D">
        <w:t>product</w:t>
      </w:r>
      <w:r w:rsidR="00D22F3F" w:rsidRPr="00AF6861">
        <w:t xml:space="preserve"> information of </w:t>
      </w:r>
      <w:proofErr w:type="spellStart"/>
      <w:r w:rsidR="00D22F3F" w:rsidRPr="00AF6861">
        <w:t>peginterferon</w:t>
      </w:r>
      <w:proofErr w:type="spellEnd"/>
      <w:r w:rsidR="00D22F3F" w:rsidRPr="00AF6861">
        <w:t xml:space="preserve"> </w:t>
      </w:r>
      <w:proofErr w:type="spellStart"/>
      <w:r w:rsidR="00D22F3F" w:rsidRPr="00AF6861">
        <w:t>alfa</w:t>
      </w:r>
      <w:proofErr w:type="spellEnd"/>
      <w:r w:rsidR="00D22F3F" w:rsidRPr="00AF6861">
        <w:t xml:space="preserve"> and ribavirin </w:t>
      </w:r>
      <w:r w:rsidR="00C3223F">
        <w:t>for a</w:t>
      </w:r>
      <w:r w:rsidR="00D22F3F" w:rsidRPr="00AF6861">
        <w:t xml:space="preserve"> </w:t>
      </w:r>
      <w:r w:rsidR="00C3223F">
        <w:t xml:space="preserve">complete list of their </w:t>
      </w:r>
      <w:r w:rsidR="00D22F3F" w:rsidRPr="00AF6861">
        <w:t>adverse reactions.</w:t>
      </w:r>
      <w:r w:rsidR="002F3AAE">
        <w:t xml:space="preserve">  </w:t>
      </w:r>
    </w:p>
    <w:p w:rsidR="00D22F3F" w:rsidRPr="00AF6861" w:rsidRDefault="00D22F3F" w:rsidP="00D22F3F"/>
    <w:p w:rsidR="00D22F3F" w:rsidRDefault="00D22F3F" w:rsidP="00D22F3F">
      <w:r w:rsidRPr="00AF6861">
        <w:t>Throughout this section, adverse reactions are presented. Adverse reactions are adverse events that were considered to be reasonably associated with the use of</w:t>
      </w:r>
      <w:r w:rsidRPr="00AF6861">
        <w:rPr>
          <w:i/>
          <w:iCs/>
        </w:rPr>
        <w:t xml:space="preserve"> </w:t>
      </w:r>
      <w:r w:rsidR="00194D66">
        <w:rPr>
          <w:iCs/>
        </w:rPr>
        <w:t>OLYSIO</w:t>
      </w:r>
      <w:r w:rsidRPr="00AF6861">
        <w:rPr>
          <w:iCs/>
        </w:rPr>
        <w:t xml:space="preserve"> </w:t>
      </w:r>
      <w:r w:rsidRPr="00AF6861">
        <w:t xml:space="preserve">based on the comprehensive assessment of the available adverse event information. A causal relationship with </w:t>
      </w:r>
      <w:r w:rsidR="00194D66">
        <w:rPr>
          <w:iCs/>
        </w:rPr>
        <w:t>OLYSIO</w:t>
      </w:r>
      <w:r w:rsidRPr="00AF6861">
        <w:rPr>
          <w:iCs/>
        </w:rPr>
        <w:t xml:space="preserve"> </w:t>
      </w:r>
      <w:r w:rsidRPr="00AF6861">
        <w:t>cannot be reliably established in individual cases. Further, because clinical studies are conducted under widely varying conditions, adverse reaction rates observed in the clinical studies of a drug cannot be directly compared to rates in the clinical studies of another drug and may not reflect the rates observed in clinical practice.</w:t>
      </w:r>
    </w:p>
    <w:p w:rsidR="00D22F3F" w:rsidRPr="00AF6861" w:rsidRDefault="00D22F3F" w:rsidP="00D22F3F"/>
    <w:p w:rsidR="00D22F3F" w:rsidRDefault="00D22F3F" w:rsidP="00D22F3F">
      <w:r w:rsidRPr="00AF6861">
        <w:t xml:space="preserve">The overall safety profile of </w:t>
      </w:r>
      <w:r w:rsidR="00194D66">
        <w:t>OLYSIO</w:t>
      </w:r>
      <w:r w:rsidRPr="00AF6861">
        <w:t xml:space="preserve"> in combination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in patients with </w:t>
      </w:r>
      <w:r>
        <w:t>HCV g</w:t>
      </w:r>
      <w:r w:rsidRPr="00AF6861">
        <w:t>enotype 1 infection who were treatment</w:t>
      </w:r>
      <w:r w:rsidRPr="00AF6861">
        <w:noBreakHyphen/>
        <w:t xml:space="preserve">naïve or who failed prior </w:t>
      </w:r>
      <w:r>
        <w:t xml:space="preserve">interferon </w:t>
      </w:r>
      <w:r w:rsidRPr="00AF6861">
        <w:t xml:space="preserve">therapy with </w:t>
      </w:r>
      <w:r>
        <w:t>or without</w:t>
      </w:r>
      <w:r w:rsidRPr="00AF6861">
        <w:t xml:space="preserve"> ribavirin is based on pooled data from 2 clinical Phase 2b studies (Studies C205 and C206) and 3 clinical Phase 3 studies (Studies C208, C216 and HPC3007)</w:t>
      </w:r>
      <w:r>
        <w:t>.</w:t>
      </w:r>
      <w:r w:rsidRPr="00AF6861">
        <w:t xml:space="preserve"> </w:t>
      </w:r>
      <w:r>
        <w:t xml:space="preserve">The </w:t>
      </w:r>
      <w:r w:rsidRPr="00AF6861">
        <w:t xml:space="preserve">pooled data from </w:t>
      </w:r>
      <w:r>
        <w:t xml:space="preserve">the </w:t>
      </w:r>
      <w:r w:rsidRPr="00AF6861">
        <w:t xml:space="preserve">Phase 2b </w:t>
      </w:r>
      <w:r>
        <w:t>and</w:t>
      </w:r>
      <w:r w:rsidRPr="00AF6861">
        <w:t xml:space="preserve"> Phase 3 studies included 1486 patients who received </w:t>
      </w:r>
      <w:r w:rsidR="00194D66">
        <w:t>OLYSIO</w:t>
      </w:r>
      <w:r w:rsidRPr="00AF6861">
        <w:t xml:space="preserve"> in combination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(of which 924 patients</w:t>
      </w:r>
      <w:r>
        <w:t xml:space="preserve"> were to</w:t>
      </w:r>
      <w:r w:rsidRPr="00AF6861">
        <w:t xml:space="preserve"> receive </w:t>
      </w:r>
      <w:r w:rsidR="00194D66">
        <w:t>OLYSIO</w:t>
      </w:r>
      <w:r w:rsidRPr="00AF6861">
        <w:t xml:space="preserve"> 150 mg once daily for 12 weeks) and 540 patients who received placebo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w:t>
      </w:r>
    </w:p>
    <w:p w:rsidR="00D22F3F" w:rsidRPr="00AF6861" w:rsidRDefault="00D22F3F" w:rsidP="00D22F3F"/>
    <w:p w:rsidR="00D22F3F" w:rsidRDefault="00D22F3F" w:rsidP="00D22F3F">
      <w:r w:rsidRPr="00AF6861">
        <w:t>Table </w:t>
      </w:r>
      <w:r w:rsidR="00F86D96">
        <w:t>15</w:t>
      </w:r>
      <w:r w:rsidR="00F86D96" w:rsidRPr="00AF6861">
        <w:t xml:space="preserve"> </w:t>
      </w:r>
      <w:r w:rsidRPr="00AF6861">
        <w:t xml:space="preserve">lists adverse reactions of at least moderate severity (≥ Grade 2) reported in patients during the 12 weeks of treatment with </w:t>
      </w:r>
      <w:r w:rsidR="00194D66">
        <w:t>OLYSIO</w:t>
      </w:r>
      <w:r w:rsidRPr="00AF6861">
        <w:t xml:space="preserve"> 150 mg once daily or placebo in combination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in the pooled Phase 3 studies (Studies C208, C216 and HPC3007). The </w:t>
      </w:r>
      <w:r>
        <w:t>adverse reactions</w:t>
      </w:r>
      <w:r w:rsidRPr="00AF6861">
        <w:t xml:space="preserve"> are listed by system organ class (SOC) and frequency.</w:t>
      </w:r>
      <w:r w:rsidRPr="00260E42">
        <w:t xml:space="preserve"> </w:t>
      </w:r>
      <w:r w:rsidRPr="00AF6861">
        <w:t xml:space="preserve">No additional </w:t>
      </w:r>
      <w:r>
        <w:t>adverse reactions</w:t>
      </w:r>
      <w:r w:rsidRPr="00AF6861">
        <w:t xml:space="preserve"> were identified in the other clinical studies.</w:t>
      </w:r>
    </w:p>
    <w:p w:rsidR="003D23AA" w:rsidRPr="00AF6861" w:rsidRDefault="003D23AA" w:rsidP="00D22F3F"/>
    <w:p w:rsidR="00D22F3F" w:rsidRPr="00AF6861" w:rsidRDefault="00D22F3F" w:rsidP="00D22F3F">
      <w:r w:rsidRPr="00AF6861">
        <w:t xml:space="preserve">In the pooled Phase 3 safety data, the majority of the </w:t>
      </w:r>
      <w:r>
        <w:t>adverse reactions</w:t>
      </w:r>
      <w:r w:rsidRPr="00AF6861">
        <w:t xml:space="preserve"> reported during 12 weeks treatment with </w:t>
      </w:r>
      <w:r w:rsidR="00194D66">
        <w:t>OLYSIO</w:t>
      </w:r>
      <w:r w:rsidRPr="00AF6861">
        <w:t xml:space="preserve"> were Grade 1 to 2 in severity. Grade 3 or 4 </w:t>
      </w:r>
      <w:r>
        <w:t>adverse reactions</w:t>
      </w:r>
      <w:r w:rsidRPr="00AF6861">
        <w:t xml:space="preserve"> were reported in 2.8% of patients receiving </w:t>
      </w:r>
      <w:r w:rsidR="00194D66">
        <w:t>OLYSIO</w:t>
      </w:r>
      <w:r w:rsidRPr="00AF6861">
        <w:t xml:space="preserve">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versus 0.5% of patients receiving placebo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Serious </w:t>
      </w:r>
      <w:r>
        <w:t>adverse reactions</w:t>
      </w:r>
      <w:r w:rsidRPr="00AF6861">
        <w:t xml:space="preserve"> were reported in 0.3% of </w:t>
      </w:r>
      <w:r w:rsidR="00194D66">
        <w:t>OLYSIO</w:t>
      </w:r>
      <w:r w:rsidRPr="00AF6861">
        <w:noBreakHyphen/>
        <w:t xml:space="preserve">treated patients and in none of the patients receiving placebo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Discontinuation of </w:t>
      </w:r>
      <w:r w:rsidR="00194D66">
        <w:t>OLYSIO</w:t>
      </w:r>
      <w:r w:rsidRPr="00AF6861">
        <w:t xml:space="preserve"> or placebo due to </w:t>
      </w:r>
      <w:r>
        <w:t>adverse reactions</w:t>
      </w:r>
      <w:r w:rsidRPr="00AF6861">
        <w:t xml:space="preserve"> occurred in 0.</w:t>
      </w:r>
      <w:r>
        <w:t>9</w:t>
      </w:r>
      <w:r w:rsidRPr="00AF6861">
        <w:t xml:space="preserve">% and 0.3% of patients receiving </w:t>
      </w:r>
      <w:r w:rsidR="00194D66">
        <w:t>OLYSIO</w:t>
      </w:r>
      <w:r w:rsidRPr="00AF6861">
        <w:t xml:space="preserve">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and patients receiving placebo with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respectively.</w:t>
      </w:r>
    </w:p>
    <w:p w:rsidR="00594CF4" w:rsidRDefault="00594CF4"/>
    <w:tbl>
      <w:tblPr>
        <w:tblW w:w="9300" w:type="dxa"/>
        <w:tblInd w:w="144" w:type="dxa"/>
        <w:tblLayout w:type="fixed"/>
        <w:tblCellMar>
          <w:left w:w="42" w:type="dxa"/>
          <w:right w:w="42" w:type="dxa"/>
        </w:tblCellMar>
        <w:tblLook w:val="0000" w:firstRow="0" w:lastRow="0" w:firstColumn="0" w:lastColumn="0" w:noHBand="0" w:noVBand="0"/>
      </w:tblPr>
      <w:tblGrid>
        <w:gridCol w:w="3584"/>
        <w:gridCol w:w="2835"/>
        <w:gridCol w:w="2881"/>
      </w:tblGrid>
      <w:tr w:rsidR="00D22F3F" w:rsidRPr="0026162F" w:rsidTr="001C6A82">
        <w:trPr>
          <w:cantSplit/>
          <w:tblHeader/>
        </w:trPr>
        <w:tc>
          <w:tcPr>
            <w:tcW w:w="9300" w:type="dxa"/>
            <w:gridSpan w:val="3"/>
            <w:tcBorders>
              <w:bottom w:val="single" w:sz="4" w:space="0" w:color="auto"/>
            </w:tcBorders>
            <w:shd w:val="clear" w:color="auto" w:fill="auto"/>
          </w:tcPr>
          <w:p w:rsidR="00D22F3F" w:rsidRPr="0026162F" w:rsidRDefault="00D22F3F" w:rsidP="00F86D96">
            <w:pPr>
              <w:pStyle w:val="Caption"/>
              <w:rPr>
                <w:lang w:eastAsia="en-US"/>
              </w:rPr>
            </w:pPr>
            <w:r>
              <w:rPr>
                <w:lang w:eastAsia="en-US"/>
              </w:rPr>
              <w:t>Table </w:t>
            </w:r>
            <w:r w:rsidR="00F86D96">
              <w:rPr>
                <w:lang w:eastAsia="en-US"/>
              </w:rPr>
              <w:t>15</w:t>
            </w:r>
            <w:r w:rsidRPr="0026162F">
              <w:rPr>
                <w:lang w:eastAsia="en-US"/>
              </w:rPr>
              <w:t>:</w:t>
            </w:r>
            <w:r w:rsidRPr="0026162F">
              <w:rPr>
                <w:lang w:eastAsia="en-US"/>
              </w:rPr>
              <w:tab/>
            </w:r>
            <w:r w:rsidRPr="00D22F3F">
              <w:rPr>
                <w:lang w:eastAsia="en-US"/>
              </w:rPr>
              <w:t>Adverse Reactions of at Least Moderate Severity (Grades 2 to 4</w:t>
            </w:r>
            <w:r w:rsidRPr="00D22F3F">
              <w:rPr>
                <w:vertAlign w:val="superscript"/>
                <w:lang w:eastAsia="en-US"/>
              </w:rPr>
              <w:t>1</w:t>
            </w:r>
            <w:r w:rsidRPr="00D22F3F">
              <w:rPr>
                <w:lang w:eastAsia="en-US"/>
              </w:rPr>
              <w:t>) Reported in Adult Patients</w:t>
            </w:r>
            <w:r w:rsidRPr="0026162F">
              <w:rPr>
                <w:lang w:eastAsia="en-US"/>
              </w:rPr>
              <w:t xml:space="preserve"> with </w:t>
            </w:r>
            <w:r>
              <w:rPr>
                <w:lang w:eastAsia="en-US"/>
              </w:rPr>
              <w:t>HCV G</w:t>
            </w:r>
            <w:r w:rsidRPr="0026162F">
              <w:rPr>
                <w:lang w:eastAsia="en-US"/>
              </w:rPr>
              <w:t>enotype 1 Infection (Pooled Phase 3 Studies C208, C216 and HPC3007; First 12 Weeks of Treatments; Intent</w:t>
            </w:r>
            <w:r w:rsidRPr="0026162F">
              <w:rPr>
                <w:lang w:eastAsia="en-US"/>
              </w:rPr>
              <w:noBreakHyphen/>
              <w:t>to</w:t>
            </w:r>
            <w:r w:rsidRPr="0026162F">
              <w:rPr>
                <w:lang w:eastAsia="en-US"/>
              </w:rPr>
              <w:noBreakHyphen/>
              <w:t>Treat Analysis)</w:t>
            </w:r>
          </w:p>
        </w:tc>
      </w:tr>
      <w:tr w:rsidR="00D22F3F" w:rsidRPr="0026162F" w:rsidTr="001C6A82">
        <w:trPr>
          <w:cantSplit/>
          <w:tblHeader/>
        </w:trPr>
        <w:tc>
          <w:tcPr>
            <w:tcW w:w="3584" w:type="dxa"/>
            <w:tcBorders>
              <w:top w:val="single" w:sz="4" w:space="0" w:color="auto"/>
              <w:left w:val="single" w:sz="4" w:space="0" w:color="auto"/>
              <w:bottom w:val="single" w:sz="4" w:space="0" w:color="auto"/>
              <w:right w:val="single" w:sz="4" w:space="0" w:color="auto"/>
            </w:tcBorders>
            <w:shd w:val="clear" w:color="auto" w:fill="auto"/>
            <w:vAlign w:val="bottom"/>
          </w:tcPr>
          <w:p w:rsidR="00D22F3F" w:rsidRPr="0026162F" w:rsidRDefault="00D22F3F" w:rsidP="00D22F3F">
            <w:pPr>
              <w:pStyle w:val="TableText0"/>
              <w:rPr>
                <w:b/>
              </w:rPr>
            </w:pPr>
            <w:r w:rsidRPr="0026162F">
              <w:rPr>
                <w:b/>
              </w:rPr>
              <w:t>System Organ Class,</w:t>
            </w:r>
          </w:p>
          <w:p w:rsidR="00D22F3F" w:rsidRPr="0026162F" w:rsidRDefault="00D22F3F" w:rsidP="00D22F3F">
            <w:pPr>
              <w:pStyle w:val="TableText0"/>
              <w:rPr>
                <w:b/>
              </w:rPr>
            </w:pPr>
            <w:r w:rsidRPr="0026162F">
              <w:rPr>
                <w:b/>
              </w:rPr>
              <w:t>Grouped Term</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194D66" w:rsidP="00D22F3F">
            <w:pPr>
              <w:pStyle w:val="TableText0"/>
              <w:jc w:val="center"/>
              <w:rPr>
                <w:b/>
              </w:rPr>
            </w:pPr>
            <w:r>
              <w:rPr>
                <w:b/>
              </w:rPr>
              <w:t>OLYSIO</w:t>
            </w:r>
            <w:r w:rsidR="00D22F3F" w:rsidRPr="0026162F">
              <w:rPr>
                <w:b/>
              </w:rPr>
              <w:t xml:space="preserve"> +</w:t>
            </w:r>
          </w:p>
          <w:p w:rsidR="00D22F3F" w:rsidRPr="0026162F" w:rsidRDefault="00D22F3F" w:rsidP="00D22F3F">
            <w:pPr>
              <w:pStyle w:val="TableText0"/>
              <w:jc w:val="center"/>
              <w:rPr>
                <w:b/>
              </w:rPr>
            </w:pPr>
            <w:proofErr w:type="spellStart"/>
            <w:r w:rsidRPr="0026162F">
              <w:rPr>
                <w:b/>
              </w:rPr>
              <w:t>Peginterferon</w:t>
            </w:r>
            <w:proofErr w:type="spellEnd"/>
            <w:r w:rsidRPr="0026162F">
              <w:rPr>
                <w:b/>
              </w:rPr>
              <w:t xml:space="preserve"> </w:t>
            </w:r>
            <w:proofErr w:type="spellStart"/>
            <w:r w:rsidRPr="0026162F">
              <w:rPr>
                <w:b/>
              </w:rPr>
              <w:t>alfa</w:t>
            </w:r>
            <w:proofErr w:type="spellEnd"/>
            <w:r w:rsidRPr="0026162F">
              <w:rPr>
                <w:b/>
              </w:rPr>
              <w:t xml:space="preserve"> + Ribavirin</w:t>
            </w:r>
          </w:p>
          <w:p w:rsidR="00D22F3F" w:rsidRPr="0026162F" w:rsidRDefault="00D22F3F" w:rsidP="00D22F3F">
            <w:pPr>
              <w:pStyle w:val="TableText0"/>
              <w:jc w:val="center"/>
              <w:rPr>
                <w:b/>
              </w:rPr>
            </w:pPr>
            <w:r w:rsidRPr="0026162F">
              <w:rPr>
                <w:b/>
              </w:rPr>
              <w:t>N=781</w:t>
            </w:r>
          </w:p>
          <w:p w:rsidR="00D22F3F" w:rsidRPr="0026162F" w:rsidRDefault="00D22F3F" w:rsidP="00D22F3F">
            <w:pPr>
              <w:pStyle w:val="TableText0"/>
              <w:jc w:val="center"/>
              <w:rPr>
                <w:b/>
              </w:rPr>
            </w:pPr>
            <w:proofErr w:type="gramStart"/>
            <w:r w:rsidRPr="0026162F">
              <w:rPr>
                <w:b/>
              </w:rPr>
              <w:t>n</w:t>
            </w:r>
            <w:proofErr w:type="gramEnd"/>
            <w:r w:rsidRPr="0026162F">
              <w:rPr>
                <w:b/>
              </w:rPr>
              <w:t xml:space="preserve"> (%)</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rPr>
                <w:b/>
              </w:rPr>
            </w:pPr>
            <w:r w:rsidRPr="0026162F">
              <w:rPr>
                <w:b/>
              </w:rPr>
              <w:t>Placebo +</w:t>
            </w:r>
          </w:p>
          <w:p w:rsidR="00D22F3F" w:rsidRPr="0026162F" w:rsidRDefault="00D22F3F" w:rsidP="00D22F3F">
            <w:pPr>
              <w:pStyle w:val="TableText0"/>
              <w:jc w:val="center"/>
              <w:rPr>
                <w:b/>
              </w:rPr>
            </w:pPr>
            <w:proofErr w:type="spellStart"/>
            <w:r w:rsidRPr="0026162F">
              <w:rPr>
                <w:b/>
              </w:rPr>
              <w:t>Peginterferon</w:t>
            </w:r>
            <w:proofErr w:type="spellEnd"/>
            <w:r w:rsidRPr="0026162F">
              <w:rPr>
                <w:b/>
              </w:rPr>
              <w:t xml:space="preserve"> </w:t>
            </w:r>
            <w:proofErr w:type="spellStart"/>
            <w:r w:rsidRPr="0026162F">
              <w:rPr>
                <w:b/>
              </w:rPr>
              <w:t>alfa</w:t>
            </w:r>
            <w:proofErr w:type="spellEnd"/>
            <w:r w:rsidRPr="0026162F">
              <w:rPr>
                <w:b/>
              </w:rPr>
              <w:t xml:space="preserve"> + Ribavirin</w:t>
            </w:r>
          </w:p>
          <w:p w:rsidR="00D22F3F" w:rsidRPr="0026162F" w:rsidRDefault="00D22F3F" w:rsidP="00D22F3F">
            <w:pPr>
              <w:pStyle w:val="TableText0"/>
              <w:jc w:val="center"/>
              <w:rPr>
                <w:b/>
              </w:rPr>
            </w:pPr>
            <w:r w:rsidRPr="0026162F">
              <w:rPr>
                <w:b/>
              </w:rPr>
              <w:t>N=397</w:t>
            </w:r>
          </w:p>
          <w:p w:rsidR="00D22F3F" w:rsidRPr="0026162F" w:rsidRDefault="00D22F3F" w:rsidP="00D22F3F">
            <w:pPr>
              <w:pStyle w:val="TableText0"/>
              <w:jc w:val="center"/>
              <w:rPr>
                <w:b/>
              </w:rPr>
            </w:pPr>
            <w:proofErr w:type="gramStart"/>
            <w:r w:rsidRPr="0026162F">
              <w:rPr>
                <w:b/>
              </w:rPr>
              <w:t>n</w:t>
            </w:r>
            <w:proofErr w:type="gramEnd"/>
            <w:r w:rsidRPr="0026162F">
              <w:rPr>
                <w:b/>
              </w:rPr>
              <w:t xml:space="preserve"> (%)</w:t>
            </w:r>
          </w:p>
        </w:tc>
      </w:tr>
      <w:tr w:rsidR="00D22F3F" w:rsidRPr="0026162F" w:rsidTr="00D22F3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rPr>
                <w:b/>
              </w:rPr>
            </w:pPr>
            <w:r w:rsidRPr="0026162F">
              <w:rPr>
                <w:b/>
              </w:rPr>
              <w:t>Gastrointestinal disorders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D22F3F" w:rsidRPr="0026162F" w:rsidRDefault="00D22F3F" w:rsidP="00D22F3F">
            <w:pPr>
              <w:adjustRightInd w:val="0"/>
              <w:jc w:val="center"/>
              <w:rPr>
                <w:sz w:val="20"/>
              </w:rPr>
            </w:pPr>
          </w:p>
        </w:tc>
        <w:tc>
          <w:tcPr>
            <w:tcW w:w="2881" w:type="dxa"/>
            <w:tcBorders>
              <w:top w:val="single" w:sz="4" w:space="0" w:color="auto"/>
              <w:left w:val="single" w:sz="4" w:space="0" w:color="auto"/>
              <w:bottom w:val="single" w:sz="4" w:space="0" w:color="auto"/>
              <w:right w:val="single" w:sz="4" w:space="0" w:color="auto"/>
            </w:tcBorders>
            <w:shd w:val="clear" w:color="auto" w:fill="auto"/>
            <w:vAlign w:val="bottom"/>
          </w:tcPr>
          <w:p w:rsidR="00D22F3F" w:rsidRPr="0026162F" w:rsidRDefault="00D22F3F" w:rsidP="00D22F3F">
            <w:pPr>
              <w:adjustRightInd w:val="0"/>
              <w:jc w:val="center"/>
              <w:rPr>
                <w:sz w:val="20"/>
              </w:rPr>
            </w:pPr>
          </w:p>
        </w:tc>
      </w:tr>
      <w:tr w:rsidR="00D22F3F" w:rsidRPr="0026162F" w:rsidTr="00D22F3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ind w:left="140"/>
            </w:pPr>
            <w:r w:rsidRPr="00B0058A">
              <w:t>Constipation</w:t>
            </w:r>
            <w:r w:rsidRPr="00D22F3F">
              <w:rPr>
                <w:vertAlign w:val="superscript"/>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2 (0.3%)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2 (0.5%)</w:t>
            </w:r>
          </w:p>
        </w:tc>
      </w:tr>
      <w:tr w:rsidR="00D22F3F" w:rsidRPr="0026162F" w:rsidTr="00D22F3F">
        <w:trPr>
          <w:cantSplit/>
          <w:trHeight w:val="58"/>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rPr>
                <w:b/>
              </w:rPr>
            </w:pPr>
            <w:proofErr w:type="spellStart"/>
            <w:r w:rsidRPr="00D22F3F">
              <w:rPr>
                <w:b/>
              </w:rPr>
              <w:t>Hepatobiliary</w:t>
            </w:r>
            <w:proofErr w:type="spellEnd"/>
            <w:r w:rsidRPr="00D22F3F">
              <w:rPr>
                <w:b/>
              </w:rPr>
              <w:t xml:space="preserve"> disorders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p>
        </w:tc>
      </w:tr>
      <w:tr w:rsidR="00D22F3F" w:rsidRPr="0026162F" w:rsidTr="00D22F3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ind w:left="140"/>
            </w:pPr>
            <w:r w:rsidRPr="00B0058A">
              <w:t>Blood bilirubin increased</w:t>
            </w:r>
            <w:r w:rsidRPr="00D22F3F">
              <w:rPr>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42 (5.4%)</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9 (2.3%)</w:t>
            </w:r>
          </w:p>
        </w:tc>
      </w:tr>
      <w:tr w:rsidR="00D22F3F" w:rsidRPr="0026162F" w:rsidTr="001C6A82">
        <w:trPr>
          <w:cantSplit/>
          <w:trHeight w:val="601"/>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rPr>
                <w:b/>
              </w:rPr>
            </w:pPr>
            <w:r w:rsidRPr="00D22F3F">
              <w:rPr>
                <w:b/>
              </w:rPr>
              <w:t>Skin and subcutaneous tissue disorders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p>
        </w:tc>
      </w:tr>
      <w:tr w:rsidR="00D22F3F" w:rsidRPr="0026162F" w:rsidTr="00D22F3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ind w:left="140"/>
            </w:pPr>
            <w:r w:rsidRPr="00B0058A">
              <w:lastRenderedPageBreak/>
              <w:t>Rash</w:t>
            </w:r>
            <w:r w:rsidRPr="00D22F3F">
              <w:rPr>
                <w:vertAlign w:val="superscript"/>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59 (7.6%)</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15 (3.8%)</w:t>
            </w:r>
          </w:p>
        </w:tc>
      </w:tr>
      <w:tr w:rsidR="00D22F3F" w:rsidRPr="0026162F" w:rsidTr="00D22F3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ind w:left="140"/>
            </w:pPr>
            <w:r w:rsidRPr="00B0058A">
              <w:t>Pruritus</w:t>
            </w:r>
            <w:r w:rsidRPr="00D22F3F">
              <w:rPr>
                <w:vertAlign w:val="superscript"/>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24 (3.1%)</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3 (0.8%)</w:t>
            </w:r>
          </w:p>
        </w:tc>
      </w:tr>
      <w:tr w:rsidR="00D22F3F" w:rsidRPr="0026162F" w:rsidTr="00D22F3F">
        <w:trPr>
          <w:cantSplit/>
        </w:trPr>
        <w:tc>
          <w:tcPr>
            <w:tcW w:w="3584" w:type="dxa"/>
            <w:tcBorders>
              <w:top w:val="single" w:sz="4" w:space="0" w:color="auto"/>
              <w:left w:val="single" w:sz="4" w:space="0" w:color="auto"/>
              <w:bottom w:val="single" w:sz="4" w:space="0" w:color="auto"/>
              <w:right w:val="single" w:sz="4" w:space="0" w:color="auto"/>
            </w:tcBorders>
            <w:shd w:val="clear" w:color="auto" w:fill="auto"/>
          </w:tcPr>
          <w:p w:rsidR="00D22F3F" w:rsidRPr="00D22F3F" w:rsidRDefault="00D22F3F" w:rsidP="00D22F3F">
            <w:pPr>
              <w:pStyle w:val="TableText0"/>
              <w:ind w:left="140"/>
            </w:pPr>
            <w:r w:rsidRPr="00B0058A">
              <w:t>Photosensitivity reaction</w:t>
            </w:r>
            <w:r w:rsidRPr="000766E8">
              <w:rPr>
                <w:vertAlign w:val="superscript"/>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6 (0.8%)</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Text0"/>
              <w:jc w:val="center"/>
            </w:pPr>
            <w:r w:rsidRPr="0026162F">
              <w:t>0 (0.0%)</w:t>
            </w:r>
          </w:p>
        </w:tc>
      </w:tr>
      <w:tr w:rsidR="00D22F3F" w:rsidRPr="0026162F" w:rsidTr="00D22F3F">
        <w:trPr>
          <w:cantSplit/>
        </w:trPr>
        <w:tc>
          <w:tcPr>
            <w:tcW w:w="9300" w:type="dxa"/>
            <w:gridSpan w:val="3"/>
            <w:tcBorders>
              <w:top w:val="single" w:sz="4" w:space="0" w:color="auto"/>
              <w:left w:val="single" w:sz="4" w:space="0" w:color="auto"/>
              <w:bottom w:val="single" w:sz="4" w:space="0" w:color="auto"/>
              <w:right w:val="single" w:sz="4" w:space="0" w:color="auto"/>
            </w:tcBorders>
            <w:shd w:val="clear" w:color="auto" w:fill="auto"/>
          </w:tcPr>
          <w:p w:rsidR="00D22F3F" w:rsidRPr="0026162F" w:rsidRDefault="00D22F3F" w:rsidP="00D22F3F">
            <w:pPr>
              <w:pStyle w:val="TableFootnote"/>
              <w:ind w:left="284" w:hanging="284"/>
            </w:pPr>
            <w:r w:rsidRPr="0026162F">
              <w:rPr>
                <w:vertAlign w:val="superscript"/>
              </w:rPr>
              <w:t>1</w:t>
            </w:r>
            <w:r w:rsidRPr="0026162F">
              <w:tab/>
              <w:t>According to the WHO toxicity grading scale.</w:t>
            </w:r>
          </w:p>
          <w:p w:rsidR="00D22F3F" w:rsidRPr="0026162F" w:rsidRDefault="00D22F3F" w:rsidP="00D22F3F">
            <w:pPr>
              <w:pStyle w:val="TableFootnote"/>
              <w:ind w:left="284" w:hanging="284"/>
            </w:pPr>
            <w:r w:rsidRPr="0026162F">
              <w:rPr>
                <w:vertAlign w:val="superscript"/>
              </w:rPr>
              <w:t>2</w:t>
            </w:r>
            <w:r w:rsidRPr="0026162F">
              <w:tab/>
              <w:t>Grouped term ‘constipation’ included the preferred term constipation.</w:t>
            </w:r>
          </w:p>
          <w:p w:rsidR="00D22F3F" w:rsidRPr="0026162F" w:rsidRDefault="00D22F3F" w:rsidP="00D22F3F">
            <w:pPr>
              <w:pStyle w:val="TableFootnote"/>
              <w:ind w:left="284" w:hanging="284"/>
            </w:pPr>
            <w:r w:rsidRPr="0026162F">
              <w:rPr>
                <w:vertAlign w:val="superscript"/>
              </w:rPr>
              <w:t>3</w:t>
            </w:r>
            <w:r w:rsidRPr="0026162F">
              <w:tab/>
              <w:t xml:space="preserve">Grouped term ‘blood bilirubin increased’ included the preferred terms bilirubin conjugated increased, blood bilirubin increased, blood bilirubin unconjugated increased and </w:t>
            </w:r>
            <w:proofErr w:type="spellStart"/>
            <w:r w:rsidRPr="0026162F">
              <w:t>hyperbilirubinaemia</w:t>
            </w:r>
            <w:proofErr w:type="spellEnd"/>
            <w:r w:rsidRPr="0026162F">
              <w:t>.</w:t>
            </w:r>
          </w:p>
          <w:p w:rsidR="00D22F3F" w:rsidRPr="0026162F" w:rsidRDefault="00D22F3F" w:rsidP="00D22F3F">
            <w:pPr>
              <w:pStyle w:val="TableFootnote"/>
              <w:ind w:left="284" w:hanging="284"/>
            </w:pPr>
            <w:r w:rsidRPr="0026162F">
              <w:rPr>
                <w:vertAlign w:val="superscript"/>
              </w:rPr>
              <w:t>4</w:t>
            </w:r>
            <w:r w:rsidRPr="0026162F">
              <w:tab/>
              <w:t xml:space="preserve">Grouped term ‘rash’ included the preferred terms blister, drug eruption, erythema, erythema of eyelid, </w:t>
            </w:r>
            <w:proofErr w:type="spellStart"/>
            <w:r w:rsidRPr="0026162F">
              <w:t>exfoliative</w:t>
            </w:r>
            <w:proofErr w:type="spellEnd"/>
            <w:r w:rsidRPr="0026162F">
              <w:t xml:space="preserve"> rash, </w:t>
            </w:r>
            <w:proofErr w:type="spellStart"/>
            <w:r w:rsidRPr="0026162F">
              <w:t>generalised</w:t>
            </w:r>
            <w:proofErr w:type="spellEnd"/>
            <w:r w:rsidRPr="0026162F">
              <w:t xml:space="preserve"> erythema, macule, palmar erythema, papule, </w:t>
            </w:r>
            <w:proofErr w:type="spellStart"/>
            <w:r w:rsidRPr="0026162F">
              <w:t>pityriasis</w:t>
            </w:r>
            <w:proofErr w:type="spellEnd"/>
            <w:r w:rsidRPr="0026162F">
              <w:t xml:space="preserve"> </w:t>
            </w:r>
            <w:proofErr w:type="spellStart"/>
            <w:r w:rsidRPr="0026162F">
              <w:t>rosea</w:t>
            </w:r>
            <w:proofErr w:type="spellEnd"/>
            <w:r w:rsidRPr="0026162F">
              <w:t xml:space="preserve">, polymorphic light eruption, rash, rash erythematous, rash follicular, rash </w:t>
            </w:r>
            <w:proofErr w:type="spellStart"/>
            <w:r w:rsidRPr="0026162F">
              <w:t>generalised</w:t>
            </w:r>
            <w:proofErr w:type="spellEnd"/>
            <w:r w:rsidRPr="0026162F">
              <w:t xml:space="preserve">, rash macular, rash </w:t>
            </w:r>
            <w:proofErr w:type="spellStart"/>
            <w:r w:rsidRPr="0026162F">
              <w:t>maculo</w:t>
            </w:r>
            <w:r w:rsidRPr="0026162F">
              <w:noBreakHyphen/>
              <w:t>papular</w:t>
            </w:r>
            <w:proofErr w:type="spellEnd"/>
            <w:r w:rsidRPr="0026162F">
              <w:t xml:space="preserve">, rash </w:t>
            </w:r>
            <w:proofErr w:type="spellStart"/>
            <w:r w:rsidRPr="0026162F">
              <w:t>morbilliform</w:t>
            </w:r>
            <w:proofErr w:type="spellEnd"/>
            <w:r w:rsidRPr="0026162F">
              <w:t xml:space="preserve">, rash </w:t>
            </w:r>
            <w:proofErr w:type="spellStart"/>
            <w:r w:rsidRPr="0026162F">
              <w:t>papular</w:t>
            </w:r>
            <w:proofErr w:type="spellEnd"/>
            <w:r w:rsidRPr="0026162F">
              <w:t xml:space="preserve">, rash pruritic, rash </w:t>
            </w:r>
            <w:proofErr w:type="spellStart"/>
            <w:r w:rsidRPr="0026162F">
              <w:t>pustular</w:t>
            </w:r>
            <w:proofErr w:type="spellEnd"/>
            <w:r w:rsidRPr="0026162F">
              <w:t xml:space="preserve">, scrotal erythema, skin exfoliation, skin irritation, skin reaction, toxic skin eruption, umbilical erythema and </w:t>
            </w:r>
            <w:proofErr w:type="spellStart"/>
            <w:r w:rsidRPr="0026162F">
              <w:t>vasculitic</w:t>
            </w:r>
            <w:proofErr w:type="spellEnd"/>
            <w:r w:rsidRPr="0026162F">
              <w:t xml:space="preserve"> rash.</w:t>
            </w:r>
          </w:p>
          <w:p w:rsidR="00D22F3F" w:rsidRPr="0026162F" w:rsidRDefault="00D22F3F" w:rsidP="00D22F3F">
            <w:pPr>
              <w:pStyle w:val="TableFootnote"/>
              <w:ind w:left="284" w:hanging="284"/>
            </w:pPr>
            <w:r w:rsidRPr="0026162F">
              <w:rPr>
                <w:vertAlign w:val="superscript"/>
              </w:rPr>
              <w:t>5</w:t>
            </w:r>
            <w:r w:rsidRPr="0026162F">
              <w:tab/>
              <w:t>Grouped term ‘</w:t>
            </w:r>
            <w:proofErr w:type="gramStart"/>
            <w:r w:rsidRPr="0026162F">
              <w:t>pruritus’</w:t>
            </w:r>
            <w:proofErr w:type="gramEnd"/>
            <w:r w:rsidRPr="0026162F">
              <w:t xml:space="preserve"> included the preferred terms eyelids pruritus, </w:t>
            </w:r>
            <w:proofErr w:type="spellStart"/>
            <w:r w:rsidRPr="0026162F">
              <w:t>prurigo</w:t>
            </w:r>
            <w:proofErr w:type="spellEnd"/>
            <w:r w:rsidRPr="0026162F">
              <w:t>, pruritus and pruritus generalized.</w:t>
            </w:r>
          </w:p>
          <w:p w:rsidR="00D22F3F" w:rsidRPr="0026162F" w:rsidRDefault="00D22F3F" w:rsidP="00D22F3F">
            <w:pPr>
              <w:pStyle w:val="TableFootnote"/>
              <w:ind w:left="284" w:hanging="284"/>
            </w:pPr>
            <w:r w:rsidRPr="0026162F">
              <w:rPr>
                <w:vertAlign w:val="superscript"/>
              </w:rPr>
              <w:t>6</w:t>
            </w:r>
            <w:r w:rsidRPr="0026162F">
              <w:tab/>
              <w:t xml:space="preserve">Grouped term ‘photosensitivity reaction’ included the preferred terms </w:t>
            </w:r>
            <w:proofErr w:type="spellStart"/>
            <w:r w:rsidRPr="0026162F">
              <w:t>photodermatosis</w:t>
            </w:r>
            <w:proofErr w:type="spellEnd"/>
            <w:r w:rsidRPr="0026162F">
              <w:t>, photosensitivity reaction, solar dermatitis and sunburn.</w:t>
            </w:r>
          </w:p>
        </w:tc>
      </w:tr>
    </w:tbl>
    <w:p w:rsidR="00D22F3F" w:rsidRDefault="00D22F3F" w:rsidP="00146A47"/>
    <w:p w:rsidR="000766E8" w:rsidRPr="00AF6861" w:rsidRDefault="000766E8" w:rsidP="000766E8">
      <w:pPr>
        <w:pStyle w:val="Heading4"/>
      </w:pPr>
      <w:r w:rsidRPr="00AF6861">
        <w:t>Rash and pruritus</w:t>
      </w:r>
    </w:p>
    <w:p w:rsidR="000766E8" w:rsidRPr="0026162F" w:rsidRDefault="000766E8" w:rsidP="000766E8">
      <w:r w:rsidRPr="00AF6861">
        <w:t xml:space="preserve">During the 12 weeks treatment with </w:t>
      </w:r>
      <w:r w:rsidR="00194D66">
        <w:t>OLYSIO</w:t>
      </w:r>
      <w:r w:rsidRPr="00AF6861">
        <w:t xml:space="preserve">, rash and pruritus were observed in 21.8% and 21.9% of </w:t>
      </w:r>
      <w:r w:rsidR="00194D66">
        <w:t>OLYSIO</w:t>
      </w:r>
      <w:r w:rsidRPr="00AF6861">
        <w:noBreakHyphen/>
        <w:t>treated patients</w:t>
      </w:r>
      <w:r w:rsidRPr="0026162F">
        <w:t xml:space="preserve">, compared to 16.6% and 14.6% in patients treated with placebo, </w:t>
      </w:r>
      <w:proofErr w:type="spellStart"/>
      <w:r w:rsidRPr="0026162F">
        <w:t>peginterferon</w:t>
      </w:r>
      <w:proofErr w:type="spellEnd"/>
      <w:r w:rsidRPr="0026162F">
        <w:t xml:space="preserve"> </w:t>
      </w:r>
      <w:proofErr w:type="spellStart"/>
      <w:r w:rsidRPr="0026162F">
        <w:t>alfa</w:t>
      </w:r>
      <w:proofErr w:type="spellEnd"/>
      <w:r w:rsidRPr="0026162F">
        <w:t xml:space="preserve"> and ribavirin, respectively (all grades; pooled Phase 3). Most of the rash and pruritus events in </w:t>
      </w:r>
      <w:r w:rsidR="00194D66">
        <w:t>OLYSIO</w:t>
      </w:r>
      <w:r w:rsidRPr="0026162F">
        <w:noBreakHyphen/>
        <w:t xml:space="preserve">treated patients were of mild or moderate severity (Grade 1 or Grade 2). Grade 3 rash or pruritus occurred in 0.5% and 0.1% of </w:t>
      </w:r>
      <w:r w:rsidR="00194D66">
        <w:t>OLYSIO</w:t>
      </w:r>
      <w:r w:rsidRPr="0026162F">
        <w:noBreakHyphen/>
        <w:t xml:space="preserve">treated patients, respectively. There were no reports of Grade 4 rash or pruritus. Discontinuation of </w:t>
      </w:r>
      <w:r w:rsidR="00194D66">
        <w:t>OLYSIO</w:t>
      </w:r>
      <w:r w:rsidRPr="0026162F">
        <w:t xml:space="preserve"> due to rash or pruritus occurred in 0.8% and 0.1% of </w:t>
      </w:r>
      <w:r w:rsidR="00194D66">
        <w:t>OLYSIO</w:t>
      </w:r>
      <w:r w:rsidRPr="0026162F">
        <w:noBreakHyphen/>
        <w:t xml:space="preserve">treated patients, compared to 0.3% and no patients treated with placebo, </w:t>
      </w:r>
      <w:proofErr w:type="spellStart"/>
      <w:r w:rsidRPr="0026162F">
        <w:t>peginterferon</w:t>
      </w:r>
      <w:proofErr w:type="spellEnd"/>
      <w:r w:rsidRPr="0026162F">
        <w:t xml:space="preserve"> </w:t>
      </w:r>
      <w:proofErr w:type="spellStart"/>
      <w:r w:rsidRPr="0026162F">
        <w:t>alfa</w:t>
      </w:r>
      <w:proofErr w:type="spellEnd"/>
      <w:r w:rsidRPr="0026162F">
        <w:t xml:space="preserve"> and ribavirin, respectively.</w:t>
      </w:r>
    </w:p>
    <w:p w:rsidR="00D22F3F" w:rsidRDefault="00D22F3F" w:rsidP="00146A47"/>
    <w:p w:rsidR="005B0C27" w:rsidRPr="0026162F" w:rsidRDefault="005B0C27" w:rsidP="005B0C27">
      <w:pPr>
        <w:pStyle w:val="Heading4"/>
      </w:pPr>
      <w:r>
        <w:t>B</w:t>
      </w:r>
      <w:r w:rsidRPr="0026162F">
        <w:t>lood bilirubin</w:t>
      </w:r>
      <w:r w:rsidRPr="00EF0CBB">
        <w:t xml:space="preserve"> </w:t>
      </w:r>
      <w:r>
        <w:t>i</w:t>
      </w:r>
      <w:r w:rsidRPr="0026162F">
        <w:t>ncreased</w:t>
      </w:r>
    </w:p>
    <w:p w:rsidR="005B0C27" w:rsidRDefault="005B0C27" w:rsidP="005B0C27">
      <w:r w:rsidRPr="0026162F">
        <w:t xml:space="preserve">During the 12 weeks treatment with </w:t>
      </w:r>
      <w:r w:rsidR="00194D66">
        <w:t>OLYSIO</w:t>
      </w:r>
      <w:r w:rsidRPr="0026162F">
        <w:t xml:space="preserve">, </w:t>
      </w:r>
      <w:r>
        <w:t>‘</w:t>
      </w:r>
      <w:r w:rsidRPr="0026162F">
        <w:t>blood bilirubin increased</w:t>
      </w:r>
      <w:r>
        <w:t>’</w:t>
      </w:r>
      <w:r w:rsidRPr="0026162F">
        <w:t xml:space="preserve"> was </w:t>
      </w:r>
      <w:r>
        <w:t>reported</w:t>
      </w:r>
      <w:r w:rsidRPr="0026162F">
        <w:t xml:space="preserve"> in 7.4% of </w:t>
      </w:r>
      <w:r w:rsidR="00194D66">
        <w:t>OLYSIO</w:t>
      </w:r>
      <w:r w:rsidRPr="0026162F">
        <w:noBreakHyphen/>
        <w:t>treated patients, compared to 2.8% in patients treated with placebo,</w:t>
      </w:r>
      <w:r>
        <w:t xml:space="preserve">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w:t>
      </w:r>
      <w:r>
        <w:t>(all grades; pooled Phase</w:t>
      </w:r>
      <w:r w:rsidRPr="00AF6861">
        <w:t> </w:t>
      </w:r>
      <w:r>
        <w:t>3)</w:t>
      </w:r>
      <w:r w:rsidRPr="00AF6861">
        <w:t xml:space="preserve">. </w:t>
      </w:r>
      <w:r>
        <w:t xml:space="preserve">In 2% </w:t>
      </w:r>
      <w:r w:rsidRPr="00AF6861">
        <w:t>and 0.</w:t>
      </w:r>
      <w:r>
        <w:t>3</w:t>
      </w:r>
      <w:r w:rsidRPr="00AF6861">
        <w:t xml:space="preserve">% of the </w:t>
      </w:r>
      <w:r w:rsidR="00194D66">
        <w:t>OLYSIO</w:t>
      </w:r>
      <w:r w:rsidRPr="00AF6861">
        <w:noBreakHyphen/>
        <w:t xml:space="preserve">treated patients Grade 3 or Grade 4 </w:t>
      </w:r>
      <w:r>
        <w:t>‘</w:t>
      </w:r>
      <w:r w:rsidRPr="00AF6861">
        <w:t>blood bilirubin</w:t>
      </w:r>
      <w:r w:rsidRPr="005235DC">
        <w:t xml:space="preserve"> </w:t>
      </w:r>
      <w:r w:rsidRPr="00AF6861">
        <w:t>increase</w:t>
      </w:r>
      <w:r>
        <w:t>d’ was reported</w:t>
      </w:r>
      <w:r w:rsidRPr="00AF6861">
        <w:t xml:space="preserve">, respectively (pooled Phase 3 studies). Discontinuation of </w:t>
      </w:r>
      <w:r w:rsidR="00194D66">
        <w:t>OLYSIO</w:t>
      </w:r>
      <w:r w:rsidRPr="00AF6861">
        <w:t xml:space="preserve"> due to </w:t>
      </w:r>
      <w:r>
        <w:t>‘</w:t>
      </w:r>
      <w:r w:rsidRPr="00AF6861">
        <w:t>blood bilirubin</w:t>
      </w:r>
      <w:r w:rsidRPr="005235DC">
        <w:t xml:space="preserve"> </w:t>
      </w:r>
      <w:r w:rsidRPr="00AF6861">
        <w:t>increase</w:t>
      </w:r>
      <w:r>
        <w:t>d’</w:t>
      </w:r>
      <w:r w:rsidRPr="00AF6861">
        <w:t xml:space="preserve"> was rare (0.1%; n=1). </w:t>
      </w:r>
    </w:p>
    <w:p w:rsidR="00D22F3F" w:rsidRDefault="005B0C27" w:rsidP="005B0C27">
      <w:r w:rsidRPr="00AF6861">
        <w:t>The elevations in direct and indirect bilirubin were mostly of mild or moderate severity</w:t>
      </w:r>
      <w:r w:rsidRPr="007A578D">
        <w:t xml:space="preserve"> </w:t>
      </w:r>
      <w:r w:rsidRPr="00AF6861">
        <w:t>and</w:t>
      </w:r>
      <w:r w:rsidRPr="007A578D">
        <w:t xml:space="preserve"> </w:t>
      </w:r>
      <w:r>
        <w:t>were reversible.</w:t>
      </w:r>
      <w:r w:rsidRPr="00AF6861">
        <w:t xml:space="preserve"> Bilirubin elevations were general</w:t>
      </w:r>
      <w:r>
        <w:t>ly</w:t>
      </w:r>
      <w:r w:rsidRPr="00AF6861">
        <w:t xml:space="preserve"> not associated with elevations in liver transaminases and are attributed to a decrease in bilirubin </w:t>
      </w:r>
      <w:r>
        <w:t>elimination</w:t>
      </w:r>
      <w:r w:rsidRPr="00AF6861">
        <w:t xml:space="preserve"> related to inhibition of the hepatocyte transporters OATP1B1 and MRP2 by </w:t>
      </w:r>
      <w:proofErr w:type="spellStart"/>
      <w:r w:rsidRPr="00AF6861">
        <w:t>simeprevir</w:t>
      </w:r>
      <w:proofErr w:type="spellEnd"/>
      <w:r w:rsidRPr="00AF6861">
        <w:t>. These changes are not considered to be clinically relevant.</w:t>
      </w:r>
    </w:p>
    <w:p w:rsidR="005B0C27" w:rsidRDefault="005B0C27" w:rsidP="005B0C27"/>
    <w:p w:rsidR="005B0C27" w:rsidRPr="00AF6861" w:rsidRDefault="005B0C27" w:rsidP="005B0C27">
      <w:pPr>
        <w:pStyle w:val="Heading4"/>
      </w:pPr>
      <w:r w:rsidRPr="00AF6861">
        <w:t>Photosensitivity reactions</w:t>
      </w:r>
    </w:p>
    <w:p w:rsidR="005B0C27" w:rsidRPr="00AF6861" w:rsidRDefault="005B0C27" w:rsidP="005B0C27">
      <w:r w:rsidRPr="00AF6861">
        <w:t xml:space="preserve">During the 12 weeks treatment with </w:t>
      </w:r>
      <w:r w:rsidR="00194D66">
        <w:t>OLYSIO</w:t>
      </w:r>
      <w:r w:rsidRPr="00AF6861">
        <w:t xml:space="preserve">, photosensitivity reactions were </w:t>
      </w:r>
      <w:r>
        <w:t>reported</w:t>
      </w:r>
      <w:r w:rsidRPr="00AF6861">
        <w:t xml:space="preserve"> in 4.7% of </w:t>
      </w:r>
      <w:r w:rsidR="00194D66">
        <w:t>OLYSIO</w:t>
      </w:r>
      <w:r w:rsidRPr="00AF6861">
        <w:noBreakHyphen/>
        <w:t xml:space="preserve">treated patients compared to 0.8% in patients treated </w:t>
      </w:r>
      <w:r w:rsidRPr="0026162F">
        <w:t xml:space="preserve">with placebo, </w:t>
      </w:r>
      <w:proofErr w:type="spellStart"/>
      <w:r w:rsidRPr="0026162F">
        <w:t>peginterferon</w:t>
      </w:r>
      <w:proofErr w:type="spellEnd"/>
      <w:r w:rsidRPr="0026162F">
        <w:t xml:space="preserve"> </w:t>
      </w:r>
      <w:proofErr w:type="spellStart"/>
      <w:r w:rsidRPr="0026162F">
        <w:t>alfa</w:t>
      </w:r>
      <w:proofErr w:type="spellEnd"/>
      <w:r w:rsidRPr="0026162F">
        <w:t xml:space="preserve"> and ribavirin (all grades; pooled Phase 3). Most photosensitivity reactions in </w:t>
      </w:r>
      <w:r w:rsidR="00194D66">
        <w:t>OLYSIO</w:t>
      </w:r>
      <w:r w:rsidRPr="0026162F">
        <w:noBreakHyphen/>
        <w:t>treated patients were of mild or moderate severity (Grade</w:t>
      </w:r>
      <w:r>
        <w:t> </w:t>
      </w:r>
      <w:r w:rsidRPr="0026162F">
        <w:t>1 or 2); 0</w:t>
      </w:r>
      <w:r w:rsidRPr="00AF6861">
        <w:t xml:space="preserve">.1% of the </w:t>
      </w:r>
      <w:r w:rsidR="00194D66">
        <w:t>OLYSIO</w:t>
      </w:r>
      <w:r w:rsidRPr="00AF6861">
        <w:noBreakHyphen/>
        <w:t>treated patients experienced Grade 3 photosensitivity reactions</w:t>
      </w:r>
      <w:r>
        <w:t xml:space="preserve">. There </w:t>
      </w:r>
      <w:proofErr w:type="gramStart"/>
      <w:r>
        <w:t>were</w:t>
      </w:r>
      <w:proofErr w:type="gramEnd"/>
      <w:r>
        <w:t xml:space="preserve"> no </w:t>
      </w:r>
      <w:r w:rsidRPr="00AF6861">
        <w:t>Grade </w:t>
      </w:r>
      <w:r>
        <w:t>4</w:t>
      </w:r>
      <w:r w:rsidRPr="00AF6861">
        <w:t xml:space="preserve"> photosensitivity reactions</w:t>
      </w:r>
      <w:r>
        <w:t xml:space="preserve"> reported</w:t>
      </w:r>
      <w:r w:rsidRPr="00AF6861">
        <w:t>.</w:t>
      </w:r>
      <w:r>
        <w:t xml:space="preserve"> None of the patients discontinued treatment due to photosensitivity reactions.</w:t>
      </w:r>
    </w:p>
    <w:p w:rsidR="00D22F3F" w:rsidRDefault="00D22F3F" w:rsidP="00146A47"/>
    <w:p w:rsidR="005B0C27" w:rsidRPr="00AF6861" w:rsidRDefault="005B0C27" w:rsidP="005B0C27">
      <w:pPr>
        <w:pStyle w:val="Heading3"/>
      </w:pPr>
      <w:r w:rsidRPr="00AF6861">
        <w:lastRenderedPageBreak/>
        <w:t>Laboratory abnormalities</w:t>
      </w:r>
    </w:p>
    <w:p w:rsidR="005B0C27" w:rsidRDefault="005B0C27" w:rsidP="005B0C27">
      <w:r>
        <w:t xml:space="preserve">There were no differences in </w:t>
      </w:r>
      <w:proofErr w:type="spellStart"/>
      <w:r>
        <w:t>hemoglobin</w:t>
      </w:r>
      <w:proofErr w:type="spellEnd"/>
      <w:r>
        <w:t xml:space="preserve">, neutrophils or platelets between both treatment groups. </w:t>
      </w:r>
      <w:r w:rsidRPr="0026162F">
        <w:t>Treatment</w:t>
      </w:r>
      <w:r w:rsidRPr="0026162F">
        <w:noBreakHyphen/>
        <w:t xml:space="preserve">emergent laboratory abnormalities that were observed at a higher incidence in </w:t>
      </w:r>
      <w:r w:rsidR="00194D66">
        <w:t>OLYSIO</w:t>
      </w:r>
      <w:r w:rsidRPr="0026162F">
        <w:noBreakHyphen/>
        <w:t xml:space="preserve">treated patients than in patients treated with placebo, </w:t>
      </w:r>
      <w:proofErr w:type="spellStart"/>
      <w:r w:rsidRPr="0026162F">
        <w:t>peginterferon</w:t>
      </w:r>
      <w:proofErr w:type="spellEnd"/>
      <w:r w:rsidRPr="0026162F">
        <w:t xml:space="preserve"> </w:t>
      </w:r>
      <w:proofErr w:type="spellStart"/>
      <w:r w:rsidRPr="0026162F">
        <w:t>alfa</w:t>
      </w:r>
      <w:proofErr w:type="spellEnd"/>
      <w:r w:rsidRPr="0026162F">
        <w:t xml:space="preserve"> and ribavirin are </w:t>
      </w:r>
      <w:r>
        <w:t>given</w:t>
      </w:r>
      <w:r w:rsidRPr="0026162F">
        <w:t xml:space="preserve"> </w:t>
      </w:r>
      <w:r>
        <w:t>in Table </w:t>
      </w:r>
      <w:r w:rsidR="00F86D96">
        <w:t>16</w:t>
      </w:r>
      <w:r w:rsidRPr="0026162F">
        <w:t>.</w:t>
      </w:r>
    </w:p>
    <w:p w:rsidR="005B0C27" w:rsidRPr="0026162F" w:rsidRDefault="001C6A82" w:rsidP="005B0C27">
      <w:r>
        <w:br w:type="page"/>
      </w:r>
    </w:p>
    <w:tbl>
      <w:tblPr>
        <w:tblW w:w="915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442"/>
        <w:gridCol w:w="2125"/>
        <w:gridCol w:w="1795"/>
        <w:gridCol w:w="1795"/>
      </w:tblGrid>
      <w:tr w:rsidR="005B0C27" w:rsidRPr="00AF6861" w:rsidTr="001C1F21">
        <w:trPr>
          <w:cantSplit/>
        </w:trPr>
        <w:tc>
          <w:tcPr>
            <w:tcW w:w="9157" w:type="dxa"/>
            <w:gridSpan w:val="4"/>
            <w:tcBorders>
              <w:top w:val="nil"/>
              <w:left w:val="nil"/>
              <w:right w:val="nil"/>
            </w:tcBorders>
            <w:shd w:val="clear" w:color="auto" w:fill="auto"/>
          </w:tcPr>
          <w:p w:rsidR="005B0C27" w:rsidRPr="00AF6861" w:rsidRDefault="005B0C27" w:rsidP="00F86D96">
            <w:pPr>
              <w:pStyle w:val="Caption"/>
              <w:rPr>
                <w:lang w:eastAsia="en-US"/>
              </w:rPr>
            </w:pPr>
            <w:r>
              <w:rPr>
                <w:lang w:eastAsia="en-US"/>
              </w:rPr>
              <w:lastRenderedPageBreak/>
              <w:t>Table </w:t>
            </w:r>
            <w:r w:rsidR="00F86D96">
              <w:rPr>
                <w:lang w:eastAsia="en-US"/>
              </w:rPr>
              <w:t>16</w:t>
            </w:r>
            <w:r w:rsidRPr="0026162F">
              <w:rPr>
                <w:lang w:eastAsia="en-US"/>
              </w:rPr>
              <w:t>:</w:t>
            </w:r>
            <w:r w:rsidRPr="0026162F">
              <w:rPr>
                <w:lang w:eastAsia="en-US"/>
              </w:rPr>
              <w:tab/>
              <w:t>Treatment</w:t>
            </w:r>
            <w:r w:rsidRPr="0026162F">
              <w:rPr>
                <w:lang w:eastAsia="en-US"/>
              </w:rPr>
              <w:noBreakHyphen/>
              <w:t xml:space="preserve">Emergent Laboratory Abnormalities (WHO Worst Toxicity Grades 1 to 4) Observed at a Higher Incidence in </w:t>
            </w:r>
            <w:r w:rsidR="00194D66">
              <w:rPr>
                <w:lang w:eastAsia="en-US"/>
              </w:rPr>
              <w:t>OLYSIO</w:t>
            </w:r>
            <w:r w:rsidRPr="0026162F">
              <w:rPr>
                <w:lang w:eastAsia="en-US"/>
              </w:rPr>
              <w:noBreakHyphen/>
              <w:t>Treated Patients (Pooled Phase 3 Studies C208, C216 and HPC3007; First 12 Weeks of Treatments; Intent</w:t>
            </w:r>
            <w:r w:rsidRPr="0026162F">
              <w:rPr>
                <w:lang w:eastAsia="en-US"/>
              </w:rPr>
              <w:noBreakHyphen/>
              <w:t>to</w:t>
            </w:r>
            <w:r w:rsidRPr="0026162F">
              <w:rPr>
                <w:lang w:eastAsia="en-US"/>
              </w:rPr>
              <w:noBreakHyphen/>
              <w:t>Treat Analysis)</w:t>
            </w:r>
          </w:p>
        </w:tc>
      </w:tr>
      <w:tr w:rsidR="005B0C27" w:rsidRPr="00AF6861" w:rsidTr="001C1F21">
        <w:trPr>
          <w:cantSplit/>
        </w:trPr>
        <w:tc>
          <w:tcPr>
            <w:tcW w:w="3442" w:type="dxa"/>
            <w:shd w:val="clear" w:color="auto" w:fill="auto"/>
            <w:vAlign w:val="bottom"/>
          </w:tcPr>
          <w:p w:rsidR="005B0C27" w:rsidRPr="00AF6861" w:rsidRDefault="005B0C27" w:rsidP="001C1F21">
            <w:pPr>
              <w:pStyle w:val="TableText0"/>
              <w:rPr>
                <w:b/>
              </w:rPr>
            </w:pPr>
            <w:r w:rsidRPr="00AF6861">
              <w:rPr>
                <w:b/>
              </w:rPr>
              <w:t>Laboratory Parameter</w:t>
            </w:r>
          </w:p>
        </w:tc>
        <w:tc>
          <w:tcPr>
            <w:tcW w:w="2125" w:type="dxa"/>
            <w:shd w:val="clear" w:color="auto" w:fill="auto"/>
            <w:vAlign w:val="bottom"/>
          </w:tcPr>
          <w:p w:rsidR="005B0C27" w:rsidRPr="00AF6861" w:rsidRDefault="005B0C27" w:rsidP="001C1F21">
            <w:pPr>
              <w:pStyle w:val="TableText0"/>
              <w:jc w:val="center"/>
              <w:rPr>
                <w:b/>
              </w:rPr>
            </w:pPr>
            <w:r w:rsidRPr="00AF6861">
              <w:rPr>
                <w:b/>
              </w:rPr>
              <w:t>WHO Toxicity Range</w:t>
            </w:r>
          </w:p>
        </w:tc>
        <w:tc>
          <w:tcPr>
            <w:tcW w:w="1795" w:type="dxa"/>
            <w:shd w:val="clear" w:color="auto" w:fill="auto"/>
          </w:tcPr>
          <w:p w:rsidR="005B0C27" w:rsidRPr="00AF6861" w:rsidRDefault="00194D66" w:rsidP="001C1F21">
            <w:pPr>
              <w:pStyle w:val="TableText0"/>
              <w:jc w:val="center"/>
              <w:rPr>
                <w:b/>
              </w:rPr>
            </w:pPr>
            <w:r>
              <w:rPr>
                <w:b/>
              </w:rPr>
              <w:t>OLYSIO</w:t>
            </w:r>
            <w:r w:rsidR="005B0C27" w:rsidRPr="00AF6861">
              <w:rPr>
                <w:b/>
              </w:rPr>
              <w:t xml:space="preserve"> + </w:t>
            </w:r>
            <w:proofErr w:type="spellStart"/>
            <w:r w:rsidR="005B0C27" w:rsidRPr="00AF6861">
              <w:rPr>
                <w:b/>
              </w:rPr>
              <w:t>Peginterferon</w:t>
            </w:r>
            <w:proofErr w:type="spellEnd"/>
            <w:r w:rsidR="005B0C27" w:rsidRPr="00AF6861">
              <w:rPr>
                <w:b/>
              </w:rPr>
              <w:t xml:space="preserve"> </w:t>
            </w:r>
            <w:proofErr w:type="spellStart"/>
            <w:r w:rsidR="005B0C27" w:rsidRPr="00AF6861">
              <w:rPr>
                <w:b/>
              </w:rPr>
              <w:t>alfa</w:t>
            </w:r>
            <w:proofErr w:type="spellEnd"/>
            <w:r w:rsidR="005B0C27" w:rsidRPr="00AF6861">
              <w:rPr>
                <w:b/>
              </w:rPr>
              <w:t xml:space="preserve"> + Ribavirin</w:t>
            </w:r>
          </w:p>
          <w:p w:rsidR="005B0C27" w:rsidRPr="00AF6861" w:rsidRDefault="005B0C27" w:rsidP="001C1F21">
            <w:pPr>
              <w:pStyle w:val="TableText0"/>
              <w:jc w:val="center"/>
              <w:rPr>
                <w:b/>
              </w:rPr>
            </w:pPr>
            <w:r w:rsidRPr="00AF6861">
              <w:rPr>
                <w:b/>
              </w:rPr>
              <w:t>N=781</w:t>
            </w:r>
          </w:p>
          <w:p w:rsidR="005B0C27" w:rsidRPr="00AF6861" w:rsidRDefault="005B0C27" w:rsidP="001C1F21">
            <w:pPr>
              <w:pStyle w:val="TableText0"/>
              <w:jc w:val="center"/>
              <w:rPr>
                <w:b/>
              </w:rPr>
            </w:pPr>
            <w:proofErr w:type="gramStart"/>
            <w:r w:rsidRPr="00AF6861">
              <w:rPr>
                <w:b/>
              </w:rPr>
              <w:t>n</w:t>
            </w:r>
            <w:proofErr w:type="gramEnd"/>
            <w:r w:rsidRPr="00AF6861">
              <w:rPr>
                <w:b/>
              </w:rPr>
              <w:t xml:space="preserve"> (%)</w:t>
            </w:r>
          </w:p>
        </w:tc>
        <w:tc>
          <w:tcPr>
            <w:tcW w:w="1795" w:type="dxa"/>
            <w:shd w:val="clear" w:color="auto" w:fill="auto"/>
          </w:tcPr>
          <w:p w:rsidR="005B0C27" w:rsidRPr="00AF6861" w:rsidRDefault="005B0C27" w:rsidP="001C1F21">
            <w:pPr>
              <w:pStyle w:val="TableText0"/>
              <w:jc w:val="center"/>
              <w:rPr>
                <w:b/>
              </w:rPr>
            </w:pPr>
            <w:r w:rsidRPr="00AF6861">
              <w:rPr>
                <w:b/>
              </w:rPr>
              <w:t xml:space="preserve">Placebo+ </w:t>
            </w:r>
            <w:proofErr w:type="spellStart"/>
            <w:r w:rsidRPr="00AF6861">
              <w:rPr>
                <w:b/>
              </w:rPr>
              <w:t>Peginterferon</w:t>
            </w:r>
            <w:proofErr w:type="spellEnd"/>
            <w:r w:rsidRPr="00AF6861">
              <w:rPr>
                <w:b/>
              </w:rPr>
              <w:t xml:space="preserve"> </w:t>
            </w:r>
            <w:proofErr w:type="spellStart"/>
            <w:r w:rsidRPr="00AF6861">
              <w:rPr>
                <w:b/>
              </w:rPr>
              <w:t>alfa</w:t>
            </w:r>
            <w:proofErr w:type="spellEnd"/>
            <w:r w:rsidRPr="00AF6861">
              <w:rPr>
                <w:b/>
              </w:rPr>
              <w:t xml:space="preserve"> + Ribavirin</w:t>
            </w:r>
          </w:p>
          <w:p w:rsidR="005B0C27" w:rsidRPr="00AF6861" w:rsidRDefault="005B0C27" w:rsidP="001C1F21">
            <w:pPr>
              <w:pStyle w:val="TableText0"/>
              <w:jc w:val="center"/>
              <w:rPr>
                <w:b/>
              </w:rPr>
            </w:pPr>
            <w:r w:rsidRPr="00AF6861">
              <w:rPr>
                <w:b/>
              </w:rPr>
              <w:t>N=397</w:t>
            </w:r>
          </w:p>
          <w:p w:rsidR="005B0C27" w:rsidRPr="00AF6861" w:rsidRDefault="005B0C27" w:rsidP="001C1F21">
            <w:pPr>
              <w:pStyle w:val="TableText0"/>
              <w:jc w:val="center"/>
              <w:rPr>
                <w:b/>
              </w:rPr>
            </w:pPr>
            <w:proofErr w:type="gramStart"/>
            <w:r w:rsidRPr="00AF6861">
              <w:rPr>
                <w:b/>
              </w:rPr>
              <w:t>n</w:t>
            </w:r>
            <w:proofErr w:type="gramEnd"/>
            <w:r w:rsidRPr="00AF6861">
              <w:rPr>
                <w:b/>
              </w:rPr>
              <w:t xml:space="preserve"> (%)</w:t>
            </w: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r w:rsidRPr="00AF6861">
              <w:rPr>
                <w:b/>
              </w:rPr>
              <w:t>Chemistry</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p>
        </w:tc>
      </w:tr>
      <w:tr w:rsidR="005B0C27" w:rsidRPr="00AF6861" w:rsidTr="005B0C27">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140"/>
              <w:rPr>
                <w:b/>
              </w:rPr>
            </w:pPr>
            <w:r w:rsidRPr="00AF6861">
              <w:rPr>
                <w:b/>
              </w:rPr>
              <w:t>Alkaline Phosphatase</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282"/>
            </w:pPr>
            <w:r w:rsidRPr="00AF6861">
              <w:t>Grade 1</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r w:rsidRPr="00AF6861">
              <w:t>≥ 1.25 to ≤ 2.50 x ULN</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26 (3.3%)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5 (1.3%)</w:t>
            </w: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282"/>
            </w:pPr>
            <w:r w:rsidRPr="00AF6861">
              <w:t>Grade 2</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r w:rsidRPr="00AF6861">
              <w:t>&gt; 2.50 to ≤ 5.00 x ULN</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1 (0.1%)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0 (0%)</w:t>
            </w:r>
          </w:p>
        </w:tc>
      </w:tr>
      <w:tr w:rsidR="005B0C27" w:rsidRPr="00AF6861" w:rsidTr="005B0C27">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140"/>
              <w:rPr>
                <w:b/>
              </w:rPr>
            </w:pPr>
            <w:proofErr w:type="spellStart"/>
            <w:r w:rsidRPr="00AF6861">
              <w:rPr>
                <w:b/>
              </w:rPr>
              <w:t>Hyperbilirubinemia</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pP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282"/>
            </w:pPr>
            <w:r w:rsidRPr="00AF6861">
              <w:t>Grade 1</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r w:rsidRPr="00AF6861">
              <w:t>≥ 1.1 to ≤ 1.5 x ULN</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208 (26.7%)</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61 (15.4%)</w:t>
            </w: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282"/>
            </w:pPr>
            <w:r w:rsidRPr="00AF6861">
              <w:t>Grade 2</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r w:rsidRPr="00AF6861">
              <w:t>&gt; 1.5 to ≤ 2.5 x ULN</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143 (18.3%)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36 (9.1%)</w:t>
            </w: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282"/>
            </w:pPr>
            <w:r w:rsidRPr="00AF6861">
              <w:t>Grade 3</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r w:rsidRPr="00AF6861">
              <w:t>&gt; 2.5 to ≤ 5.0 x ULN</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32 (4.1%)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6 (1.5%)</w:t>
            </w:r>
          </w:p>
        </w:tc>
      </w:tr>
      <w:tr w:rsidR="005B0C27" w:rsidRPr="00AF6861" w:rsidTr="001C1F21">
        <w:trPr>
          <w:cantSplit/>
        </w:trPr>
        <w:tc>
          <w:tcPr>
            <w:tcW w:w="3442"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ind w:left="282"/>
            </w:pPr>
            <w:r w:rsidRPr="00AF6861">
              <w:t>Grade 4</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B0C27" w:rsidRPr="00AF6861" w:rsidRDefault="005B0C27" w:rsidP="001C1F21">
            <w:pPr>
              <w:pStyle w:val="TableText0"/>
              <w:jc w:val="center"/>
            </w:pPr>
            <w:r w:rsidRPr="00AF6861">
              <w:t>&gt; 5.0 x ULN</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3 (0.4%)</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rsidR="005B0C27" w:rsidRPr="00AF6861" w:rsidRDefault="005B0C27" w:rsidP="001C1F21">
            <w:pPr>
              <w:pStyle w:val="TableText0"/>
              <w:jc w:val="center"/>
            </w:pPr>
            <w:r w:rsidRPr="00AF6861">
              <w:t>0 (0%)</w:t>
            </w:r>
          </w:p>
        </w:tc>
      </w:tr>
      <w:tr w:rsidR="005B0C27" w:rsidRPr="00AF6861" w:rsidTr="001C1F21">
        <w:trPr>
          <w:cantSplit/>
        </w:trPr>
        <w:tc>
          <w:tcPr>
            <w:tcW w:w="9157" w:type="dxa"/>
            <w:gridSpan w:val="4"/>
            <w:tcBorders>
              <w:top w:val="single" w:sz="4" w:space="0" w:color="auto"/>
              <w:left w:val="single" w:sz="4" w:space="0" w:color="auto"/>
              <w:bottom w:val="single" w:sz="4" w:space="0" w:color="auto"/>
              <w:right w:val="single" w:sz="4" w:space="0" w:color="auto"/>
            </w:tcBorders>
            <w:shd w:val="clear" w:color="auto" w:fill="auto"/>
          </w:tcPr>
          <w:p w:rsidR="005B0C27" w:rsidRDefault="005B0C27" w:rsidP="001C1F21">
            <w:pPr>
              <w:pStyle w:val="TableText0"/>
            </w:pPr>
            <w:r w:rsidRPr="00AF6861">
              <w:t>ULN= Upper Limit of Normal</w:t>
            </w:r>
          </w:p>
          <w:p w:rsidR="005B0C27" w:rsidRPr="00AF6861" w:rsidRDefault="005B0C27" w:rsidP="001C1F21">
            <w:pPr>
              <w:pStyle w:val="TableText0"/>
            </w:pPr>
            <w:r>
              <w:t xml:space="preserve">No </w:t>
            </w:r>
            <w:r w:rsidRPr="00A865F3">
              <w:t>Grade </w:t>
            </w:r>
            <w:r>
              <w:t>3 or 4 changes in alkaline phosphatase were observed.</w:t>
            </w:r>
          </w:p>
        </w:tc>
      </w:tr>
    </w:tbl>
    <w:p w:rsidR="005B0C27" w:rsidRPr="00AF6861" w:rsidRDefault="005B0C27" w:rsidP="005B0C27">
      <w:pPr>
        <w:pStyle w:val="BodyText120"/>
      </w:pPr>
    </w:p>
    <w:p w:rsidR="001C1F21" w:rsidRPr="00AF6861" w:rsidRDefault="001C1F21" w:rsidP="001C1F21">
      <w:pPr>
        <w:pStyle w:val="Heading3"/>
      </w:pPr>
      <w:r w:rsidRPr="00AF6861">
        <w:t>Additional information on special populations</w:t>
      </w:r>
    </w:p>
    <w:p w:rsidR="001C1F21" w:rsidRPr="00AF6861" w:rsidRDefault="001C1F21" w:rsidP="001C1F21">
      <w:pPr>
        <w:pStyle w:val="Heading4"/>
      </w:pPr>
      <w:r w:rsidRPr="00AF6861">
        <w:t>Patients co</w:t>
      </w:r>
      <w:r w:rsidRPr="00AF6861">
        <w:noBreakHyphen/>
        <w:t>infected with HIV</w:t>
      </w:r>
      <w:r w:rsidRPr="00AF6861">
        <w:noBreakHyphen/>
        <w:t>1</w:t>
      </w:r>
    </w:p>
    <w:p w:rsidR="001C1F21" w:rsidRPr="00AF6861" w:rsidRDefault="001C1F21" w:rsidP="001C1F21">
      <w:r w:rsidRPr="00AF6861">
        <w:t xml:space="preserve">The safety profile of </w:t>
      </w:r>
      <w:r w:rsidR="00194D66">
        <w:t>OLYSIO</w:t>
      </w:r>
      <w:r w:rsidRPr="00AF6861">
        <w:t xml:space="preserve"> is comparable in patients with </w:t>
      </w:r>
      <w:r>
        <w:t>HCV g</w:t>
      </w:r>
      <w:r w:rsidRPr="00AF6861">
        <w:t>enotype 1 infection with (N=106) and without HIV</w:t>
      </w:r>
      <w:r w:rsidRPr="00AF6861">
        <w:noBreakHyphen/>
        <w:t>1 co</w:t>
      </w:r>
      <w:r w:rsidRPr="00AF6861">
        <w:noBreakHyphen/>
        <w:t>infection.</w:t>
      </w:r>
    </w:p>
    <w:p w:rsidR="001C1F21" w:rsidRDefault="001C1F21" w:rsidP="001C1F21">
      <w:pPr>
        <w:pStyle w:val="Heading4"/>
      </w:pPr>
    </w:p>
    <w:p w:rsidR="001C1F21" w:rsidRPr="00AF6861" w:rsidRDefault="001C1F21" w:rsidP="001C1F21">
      <w:pPr>
        <w:pStyle w:val="Heading4"/>
        <w:rPr>
          <w:b/>
        </w:rPr>
      </w:pPr>
      <w:r w:rsidRPr="00AF6861">
        <w:t xml:space="preserve">Safety in adults with </w:t>
      </w:r>
      <w:r>
        <w:t>HCV g</w:t>
      </w:r>
      <w:r w:rsidRPr="00AF6861">
        <w:t>enotype 4 infection</w:t>
      </w:r>
    </w:p>
    <w:p w:rsidR="001C1F21" w:rsidRPr="001C1F21" w:rsidRDefault="001C1F21" w:rsidP="00CB2E5A">
      <w:r w:rsidRPr="00AF6861">
        <w:t xml:space="preserve">The safety profile of </w:t>
      </w:r>
      <w:r w:rsidR="00194D66">
        <w:t>OLYSIO</w:t>
      </w:r>
      <w:r w:rsidRPr="00AF6861">
        <w:t xml:space="preserve"> is comparable in patients with </w:t>
      </w:r>
      <w:r>
        <w:t>HCV g</w:t>
      </w:r>
      <w:r w:rsidRPr="00AF6861">
        <w:t>enotype 4 infection (N=107) and genotype 1 infection.</w:t>
      </w:r>
    </w:p>
    <w:p w:rsidR="003B09E3" w:rsidRDefault="003A72D8" w:rsidP="00146A47">
      <w:pPr>
        <w:pStyle w:val="Heading1"/>
      </w:pPr>
      <w:r>
        <w:t>DOSAGE AND ADMINISTRATION</w:t>
      </w:r>
    </w:p>
    <w:p w:rsidR="001C1F21" w:rsidRPr="00AF6861" w:rsidRDefault="00194D66" w:rsidP="001C1F21">
      <w:r>
        <w:t>OLYSIO</w:t>
      </w:r>
      <w:r w:rsidR="001C1F21" w:rsidRPr="00AF6861">
        <w:t xml:space="preserve"> must be administered in combination with </w:t>
      </w:r>
      <w:proofErr w:type="spellStart"/>
      <w:r w:rsidR="001C1F21" w:rsidRPr="00AF6861">
        <w:t>peginterferon</w:t>
      </w:r>
      <w:proofErr w:type="spellEnd"/>
      <w:r w:rsidR="001C1F21" w:rsidRPr="00AF6861">
        <w:t xml:space="preserve"> </w:t>
      </w:r>
      <w:proofErr w:type="spellStart"/>
      <w:r w:rsidR="001C1F21" w:rsidRPr="00AF6861">
        <w:t>alfa</w:t>
      </w:r>
      <w:proofErr w:type="spellEnd"/>
      <w:r w:rsidR="001C1F21" w:rsidRPr="00AF6861">
        <w:t xml:space="preserve"> and ribavirin.</w:t>
      </w:r>
    </w:p>
    <w:p w:rsidR="001C1F21" w:rsidRPr="00AF6861" w:rsidRDefault="001C1F21" w:rsidP="001C1F21">
      <w:pPr>
        <w:rPr>
          <w:b/>
        </w:rPr>
      </w:pPr>
      <w:r w:rsidRPr="00AF6861">
        <w:t xml:space="preserve">For dosage instructions for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refer to the </w:t>
      </w:r>
      <w:r w:rsidR="0037285D">
        <w:t>product</w:t>
      </w:r>
      <w:r w:rsidRPr="00AF6861">
        <w:t xml:space="preserve"> information for these medicinal products.</w:t>
      </w:r>
    </w:p>
    <w:p w:rsidR="00590BEF" w:rsidRPr="003758BE" w:rsidRDefault="00590BEF" w:rsidP="009F3479">
      <w:pPr>
        <w:rPr>
          <w:highlight w:val="yellow"/>
        </w:rPr>
      </w:pPr>
    </w:p>
    <w:p w:rsidR="001C1F21" w:rsidRPr="00AF6861" w:rsidRDefault="001C1F21" w:rsidP="001C1F21">
      <w:pPr>
        <w:pStyle w:val="Heading3"/>
      </w:pPr>
      <w:r w:rsidRPr="00AF6861">
        <w:t>Dosage – Adults (</w:t>
      </w:r>
      <w:r w:rsidRPr="00AF6861">
        <w:rPr>
          <w:rFonts w:cs="Arial"/>
        </w:rPr>
        <w:t>≥ </w:t>
      </w:r>
      <w:r w:rsidRPr="00AF6861">
        <w:t>18 years)</w:t>
      </w:r>
    </w:p>
    <w:p w:rsidR="001C1F21" w:rsidRPr="001C1F21" w:rsidRDefault="001C1F21" w:rsidP="001C1F21">
      <w:r w:rsidRPr="001C1F21">
        <w:t xml:space="preserve">The recommended dosage of </w:t>
      </w:r>
      <w:r w:rsidR="00194D66">
        <w:t>OLYSIO</w:t>
      </w:r>
      <w:r w:rsidRPr="001C1F21">
        <w:t xml:space="preserve"> is 150 mg once daily for 12 weeks, taken with food.</w:t>
      </w:r>
    </w:p>
    <w:p w:rsidR="001C1F21" w:rsidRPr="00AF6861" w:rsidRDefault="001C1F21" w:rsidP="001C1F21">
      <w:r w:rsidRPr="001C1F21">
        <w:t xml:space="preserve">In all patients, treatment with </w:t>
      </w:r>
      <w:r w:rsidR="00194D66">
        <w:t>OLYSIO</w:t>
      </w:r>
      <w:r w:rsidRPr="001C1F21">
        <w:t xml:space="preserve"> must be initiated in combination with </w:t>
      </w:r>
      <w:proofErr w:type="spellStart"/>
      <w:r w:rsidRPr="001C1F21">
        <w:t>peginterferon</w:t>
      </w:r>
      <w:proofErr w:type="spellEnd"/>
      <w:r w:rsidRPr="001C1F21">
        <w:t xml:space="preserve"> </w:t>
      </w:r>
      <w:proofErr w:type="spellStart"/>
      <w:r w:rsidRPr="001C1F21">
        <w:t>alfa</w:t>
      </w:r>
      <w:proofErr w:type="spellEnd"/>
      <w:r w:rsidRPr="001C1F21">
        <w:t xml:space="preserve"> and ribavirin and administered for 12 weeks. Hepatitis C virus (HCV) RNA levels should be assessed at treatment Week 4 to determine the total treatment duration with </w:t>
      </w:r>
      <w:proofErr w:type="spellStart"/>
      <w:r w:rsidRPr="001C1F21">
        <w:t>peginterferon</w:t>
      </w:r>
      <w:proofErr w:type="spellEnd"/>
      <w:r w:rsidRPr="001C1F21">
        <w:t xml:space="preserve"> </w:t>
      </w:r>
      <w:proofErr w:type="spellStart"/>
      <w:r w:rsidRPr="001C1F21">
        <w:t>alfa</w:t>
      </w:r>
      <w:proofErr w:type="spellEnd"/>
      <w:r w:rsidRPr="001C1F21">
        <w:t xml:space="preserve"> and ribavirin.</w:t>
      </w:r>
      <w:r w:rsidRPr="00730D44">
        <w:t xml:space="preserve"> </w:t>
      </w:r>
      <w:r w:rsidRPr="001C1F21">
        <w:t xml:space="preserve">The recommended duration of treatment with </w:t>
      </w:r>
      <w:r w:rsidR="00194D66">
        <w:t>OLYSIO</w:t>
      </w:r>
      <w:r w:rsidRPr="001C1F21">
        <w:t xml:space="preserve">, </w:t>
      </w:r>
      <w:proofErr w:type="spellStart"/>
      <w:r w:rsidRPr="001C1F21">
        <w:t>peginterferon</w:t>
      </w:r>
      <w:proofErr w:type="spellEnd"/>
      <w:r w:rsidRPr="001C1F21">
        <w:t xml:space="preserve"> </w:t>
      </w:r>
      <w:proofErr w:type="spellStart"/>
      <w:r w:rsidRPr="001C1F21">
        <w:t>alfa</w:t>
      </w:r>
      <w:proofErr w:type="spellEnd"/>
      <w:r w:rsidRPr="001C1F21">
        <w:t xml:space="preserve"> and ribavirin is presented in Figure 1. Refer to Table </w:t>
      </w:r>
      <w:r w:rsidR="00F86D96">
        <w:t>17</w:t>
      </w:r>
      <w:r w:rsidR="00F86D96" w:rsidRPr="001C1F21">
        <w:t xml:space="preserve"> </w:t>
      </w:r>
      <w:r w:rsidRPr="001C1F21">
        <w:t>for treatment stopping rules.</w:t>
      </w:r>
    </w:p>
    <w:p w:rsidR="00590BEF" w:rsidRDefault="00590BEF" w:rsidP="009F3479"/>
    <w:p w:rsidR="00A93B4C" w:rsidRDefault="00A93B4C" w:rsidP="00A93B4C">
      <w:pPr>
        <w:pStyle w:val="ListParagraph"/>
        <w:numPr>
          <w:ilvl w:val="0"/>
          <w:numId w:val="41"/>
        </w:numPr>
      </w:pPr>
      <w:r w:rsidRPr="00EA367E">
        <w:t>Treatment</w:t>
      </w:r>
      <w:r w:rsidRPr="00EA367E">
        <w:noBreakHyphen/>
        <w:t xml:space="preserve">naïve and prior relapse patients with </w:t>
      </w:r>
      <w:r w:rsidRPr="001E26A7">
        <w:t>undetectable HCV RNA</w:t>
      </w:r>
      <w:r w:rsidRPr="00EA367E">
        <w:t xml:space="preserve"> </w:t>
      </w:r>
      <w:r w:rsidRPr="00AF6861">
        <w:t xml:space="preserve">at treatment Week 4 receive an additional 12 weeks of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after completing 12 weeks of </w:t>
      </w:r>
      <w:r>
        <w:t>treatment</w:t>
      </w:r>
      <w:r w:rsidRPr="00AF6861">
        <w:t xml:space="preserve"> with </w:t>
      </w:r>
      <w:r w:rsidR="00194D66">
        <w:t>OLYSIO</w:t>
      </w:r>
      <w:r w:rsidRPr="00AF6861">
        <w:t xml:space="preserve">,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(total treatment duration of 24 weeks).</w:t>
      </w:r>
    </w:p>
    <w:p w:rsidR="00A93B4C" w:rsidRPr="00AF6861" w:rsidRDefault="00A93B4C" w:rsidP="00A93B4C"/>
    <w:p w:rsidR="00A93B4C" w:rsidRDefault="00A93B4C" w:rsidP="00A93B4C">
      <w:pPr>
        <w:pStyle w:val="ListParagraph"/>
        <w:numPr>
          <w:ilvl w:val="0"/>
          <w:numId w:val="41"/>
        </w:numPr>
      </w:pPr>
      <w:r w:rsidRPr="00A93B4C">
        <w:t>In treatment</w:t>
      </w:r>
      <w:r w:rsidRPr="00A93B4C">
        <w:noBreakHyphen/>
        <w:t xml:space="preserve">naïve and prior relapse patients with HCV RNA &lt; 25 IU/mL detectable at treatment Week 4, an additional 36 weeks of </w:t>
      </w:r>
      <w:proofErr w:type="spellStart"/>
      <w:r w:rsidRPr="00A93B4C">
        <w:t>peginterferon</w:t>
      </w:r>
      <w:proofErr w:type="spellEnd"/>
      <w:r w:rsidRPr="00A93B4C">
        <w:t xml:space="preserve"> </w:t>
      </w:r>
      <w:proofErr w:type="spellStart"/>
      <w:r w:rsidRPr="00A93B4C">
        <w:t>alfa</w:t>
      </w:r>
      <w:proofErr w:type="spellEnd"/>
      <w:r w:rsidRPr="00A93B4C">
        <w:t xml:space="preserve"> and ribavirin is</w:t>
      </w:r>
      <w:r w:rsidRPr="00A93B4C">
        <w:rPr>
          <w:shd w:val="clear" w:color="auto" w:fill="B6DDE8"/>
        </w:rPr>
        <w:t xml:space="preserve"> </w:t>
      </w:r>
      <w:r w:rsidRPr="00A93B4C">
        <w:t xml:space="preserve">recommended after completing 12 weeks of treatment with </w:t>
      </w:r>
      <w:r w:rsidR="00194D66">
        <w:t>OLYSIO</w:t>
      </w:r>
      <w:r w:rsidRPr="00A93B4C">
        <w:t xml:space="preserve">, </w:t>
      </w:r>
      <w:proofErr w:type="spellStart"/>
      <w:r w:rsidRPr="00A93B4C">
        <w:t>peginterferon</w:t>
      </w:r>
      <w:proofErr w:type="spellEnd"/>
      <w:r w:rsidRPr="00A93B4C">
        <w:t xml:space="preserve"> </w:t>
      </w:r>
      <w:proofErr w:type="spellStart"/>
      <w:r w:rsidRPr="00A93B4C">
        <w:t>alfa</w:t>
      </w:r>
      <w:proofErr w:type="spellEnd"/>
      <w:r w:rsidRPr="00A93B4C">
        <w:t xml:space="preserve"> and ribavirin (total treatment duration of 48 weeks).</w:t>
      </w:r>
    </w:p>
    <w:p w:rsidR="00A93B4C" w:rsidRPr="00AF6861" w:rsidRDefault="00A93B4C" w:rsidP="00A93B4C"/>
    <w:p w:rsidR="00A93B4C" w:rsidRPr="00AF6861" w:rsidRDefault="00A93B4C" w:rsidP="00A93B4C">
      <w:pPr>
        <w:pStyle w:val="ListParagraph"/>
        <w:numPr>
          <w:ilvl w:val="0"/>
          <w:numId w:val="41"/>
        </w:numPr>
      </w:pPr>
      <w:r w:rsidRPr="00EA367E">
        <w:lastRenderedPageBreak/>
        <w:t>Prior non</w:t>
      </w:r>
      <w:r w:rsidRPr="00EA367E">
        <w:noBreakHyphen/>
        <w:t>responder patients (including partial and null responders)</w:t>
      </w:r>
      <w:r w:rsidRPr="00157AAF">
        <w:t xml:space="preserve"> with </w:t>
      </w:r>
      <w:r w:rsidRPr="00A82DAA">
        <w:t xml:space="preserve">undetectable HCV RNA or HCV RNA &lt; 25 IU/mL </w:t>
      </w:r>
      <w:r>
        <w:t xml:space="preserve">detectable </w:t>
      </w:r>
      <w:r w:rsidRPr="00AF6861">
        <w:t xml:space="preserve">at treatment Week 4 receive an additional 36 weeks of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after completing 12 weeks of </w:t>
      </w:r>
      <w:r>
        <w:t>treatment</w:t>
      </w:r>
      <w:r w:rsidRPr="00AF6861">
        <w:t xml:space="preserve"> with </w:t>
      </w:r>
      <w:r w:rsidR="00194D66">
        <w:t>OLYSIO</w:t>
      </w:r>
      <w:r w:rsidRPr="00AF6861">
        <w:t xml:space="preserve">, </w:t>
      </w:r>
      <w:proofErr w:type="spellStart"/>
      <w:r w:rsidRPr="00AF6861">
        <w:t>peginterferon</w:t>
      </w:r>
      <w:proofErr w:type="spellEnd"/>
      <w:r w:rsidRPr="00AF6861">
        <w:t xml:space="preserve"> </w:t>
      </w:r>
      <w:proofErr w:type="spellStart"/>
      <w:r w:rsidRPr="00AF6861">
        <w:t>alfa</w:t>
      </w:r>
      <w:proofErr w:type="spellEnd"/>
      <w:r w:rsidRPr="00AF6861">
        <w:t xml:space="preserve"> and ribavirin (total treatment duration of 48 weeks).</w:t>
      </w:r>
    </w:p>
    <w:p w:rsidR="001C1F21" w:rsidRDefault="001C1F21" w:rsidP="009F3479"/>
    <w:p w:rsidR="00A93B4C" w:rsidRDefault="00A93B4C" w:rsidP="00F253F0">
      <w:pPr>
        <w:pStyle w:val="Caption"/>
        <w:ind w:left="0" w:firstLine="0"/>
      </w:pPr>
      <w:r w:rsidRPr="00A93B4C">
        <w:t>Figure </w:t>
      </w:r>
      <w:r w:rsidR="005436F8">
        <w:fldChar w:fldCharType="begin"/>
      </w:r>
      <w:r w:rsidR="005436F8">
        <w:instrText xml:space="preserve"> SEQ Figure \* ARABIC </w:instrText>
      </w:r>
      <w:r w:rsidR="005436F8">
        <w:fldChar w:fldCharType="separate"/>
      </w:r>
      <w:r w:rsidR="0051373A">
        <w:rPr>
          <w:noProof/>
        </w:rPr>
        <w:t>1</w:t>
      </w:r>
      <w:r w:rsidR="005436F8">
        <w:fldChar w:fldCharType="end"/>
      </w:r>
      <w:r w:rsidRPr="00A93B4C">
        <w:t>:</w:t>
      </w:r>
      <w:r w:rsidRPr="00A93B4C">
        <w:tab/>
        <w:t xml:space="preserve">Duration of Treatment with </w:t>
      </w:r>
      <w:r w:rsidR="00194D66">
        <w:t>OLYSIO</w:t>
      </w:r>
      <w:r w:rsidRPr="00A93B4C">
        <w:t xml:space="preserve">, </w:t>
      </w:r>
      <w:proofErr w:type="spellStart"/>
      <w:r w:rsidRPr="00A93B4C">
        <w:t>Peginterferon</w:t>
      </w:r>
      <w:proofErr w:type="spellEnd"/>
      <w:r w:rsidRPr="00A93B4C">
        <w:t xml:space="preserve"> Alfa and Ribavirin</w:t>
      </w:r>
    </w:p>
    <w:p w:rsidR="0051373A" w:rsidRDefault="0051373A" w:rsidP="0051373A">
      <w:pPr>
        <w:rPr>
          <w:lang w:val="en-GB" w:eastAsia="x-none"/>
        </w:rPr>
      </w:pPr>
      <w:bookmarkStart w:id="1" w:name="_GoBack"/>
      <w:r>
        <w:rPr>
          <w:noProof/>
          <w:lang w:eastAsia="en-AU"/>
        </w:rPr>
        <w:drawing>
          <wp:inline distT="0" distB="0" distL="0" distR="0">
            <wp:extent cx="5769864" cy="1807464"/>
            <wp:effectExtent l="0" t="0" r="2540" b="2540"/>
            <wp:docPr id="52" name="Picture 52" descr="Figure 1: Duration of Treatment with OLYSIO, Peginterferon Alfa and Ribavirin"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simeprevir-141027-p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9864" cy="1807464"/>
                    </a:xfrm>
                    <a:prstGeom prst="rect">
                      <a:avLst/>
                    </a:prstGeom>
                  </pic:spPr>
                </pic:pic>
              </a:graphicData>
            </a:graphic>
          </wp:inline>
        </w:drawing>
      </w:r>
      <w:bookmarkEnd w:id="1"/>
    </w:p>
    <w:p w:rsidR="0051373A" w:rsidRDefault="0051373A" w:rsidP="00A93B4C">
      <w:pPr>
        <w:pStyle w:val="TableText0"/>
        <w:rPr>
          <w:noProof/>
        </w:rPr>
      </w:pPr>
    </w:p>
    <w:p w:rsidR="00A93B4C" w:rsidRPr="00AF6861" w:rsidRDefault="00A93B4C" w:rsidP="00A93B4C">
      <w:pPr>
        <w:pStyle w:val="TableText0"/>
      </w:pPr>
      <w:r w:rsidRPr="00AF6861">
        <w:rPr>
          <w:noProof/>
        </w:rPr>
        <w:t xml:space="preserve">Note: Duration of treatment: </w:t>
      </w:r>
      <w:r w:rsidRPr="00AF6861">
        <w:t>provided that a patient does not meet a treatment stopping rule (see Table </w:t>
      </w:r>
      <w:r w:rsidR="003825D6" w:rsidRPr="00AF6861">
        <w:t>1</w:t>
      </w:r>
      <w:r w:rsidR="003825D6">
        <w:t>6</w:t>
      </w:r>
      <w:r w:rsidRPr="00AF6861">
        <w:t>).</w:t>
      </w:r>
    </w:p>
    <w:p w:rsidR="00A93B4C" w:rsidRPr="00AF6861" w:rsidRDefault="00A93B4C" w:rsidP="00A93B4C">
      <w:pPr>
        <w:pStyle w:val="TableFootnote"/>
        <w:jc w:val="both"/>
      </w:pPr>
      <w:r w:rsidRPr="00AF6861">
        <w:rPr>
          <w:vertAlign w:val="superscript"/>
        </w:rPr>
        <w:t>1</w:t>
      </w:r>
      <w:r w:rsidRPr="00AF6861">
        <w:tab/>
      </w:r>
      <w:r w:rsidRPr="00A82DAA">
        <w:t>Relapse or non</w:t>
      </w:r>
      <w:r w:rsidRPr="00A82DAA">
        <w:noBreakHyphen/>
        <w:t>response following prior</w:t>
      </w:r>
      <w:r>
        <w:t xml:space="preserve"> </w:t>
      </w:r>
      <w:r w:rsidRPr="00AF6861">
        <w:t>treatment with interferon (</w:t>
      </w:r>
      <w:proofErr w:type="spellStart"/>
      <w:r w:rsidRPr="00AF6861">
        <w:t>pegylated</w:t>
      </w:r>
      <w:proofErr w:type="spellEnd"/>
      <w:r w:rsidRPr="00AF6861">
        <w:t xml:space="preserve"> or non</w:t>
      </w:r>
      <w:r w:rsidRPr="00AF6861">
        <w:noBreakHyphen/>
      </w:r>
      <w:proofErr w:type="spellStart"/>
      <w:r w:rsidRPr="00AF6861">
        <w:t>pegylated</w:t>
      </w:r>
      <w:proofErr w:type="spellEnd"/>
      <w:r w:rsidRPr="00AF6861">
        <w:t xml:space="preserve">), with or without ribavirin (see </w:t>
      </w:r>
      <w:r w:rsidR="008041ED">
        <w:rPr>
          <w:i/>
        </w:rPr>
        <w:t>Pharmacodynamic</w:t>
      </w:r>
      <w:r w:rsidRPr="00AF6861">
        <w:rPr>
          <w:i/>
        </w:rPr>
        <w:t>s</w:t>
      </w:r>
      <w:r w:rsidRPr="00AF6861">
        <w:t>).</w:t>
      </w:r>
    </w:p>
    <w:p w:rsidR="00A93B4C" w:rsidRPr="00AF6861" w:rsidRDefault="00A93B4C" w:rsidP="00A93B4C">
      <w:pPr>
        <w:pStyle w:val="TableFootnote"/>
        <w:jc w:val="both"/>
      </w:pPr>
      <w:r>
        <w:rPr>
          <w:vertAlign w:val="superscript"/>
        </w:rPr>
        <w:t>2</w:t>
      </w:r>
      <w:r w:rsidRPr="00AF6861">
        <w:tab/>
      </w:r>
      <w:r>
        <w:t xml:space="preserve">In </w:t>
      </w:r>
      <w:r w:rsidRPr="005676C0">
        <w:t>patients with HCV</w:t>
      </w:r>
      <w:r>
        <w:t> </w:t>
      </w:r>
      <w:r w:rsidRPr="005676C0">
        <w:t>RNA &lt;</w:t>
      </w:r>
      <w:r>
        <w:t> </w:t>
      </w:r>
      <w:r w:rsidRPr="005676C0">
        <w:t>25</w:t>
      </w:r>
      <w:r w:rsidRPr="00AF6861">
        <w:t> </w:t>
      </w:r>
      <w:r w:rsidRPr="005676C0">
        <w:t>IU/mL detectable at treatment Week</w:t>
      </w:r>
      <w:r w:rsidRPr="00AF6861">
        <w:t> </w:t>
      </w:r>
      <w:r w:rsidRPr="005676C0">
        <w:t xml:space="preserve">4, </w:t>
      </w:r>
      <w:proofErr w:type="gramStart"/>
      <w:r>
        <w:t xml:space="preserve">a </w:t>
      </w:r>
      <w:r w:rsidRPr="005676C0">
        <w:t>total</w:t>
      </w:r>
      <w:proofErr w:type="gramEnd"/>
      <w:r w:rsidRPr="005676C0">
        <w:t xml:space="preserve"> treatment duration of 48</w:t>
      </w:r>
      <w:r w:rsidRPr="00AF6861">
        <w:t> </w:t>
      </w:r>
      <w:r w:rsidRPr="005676C0">
        <w:t xml:space="preserve">weeks of </w:t>
      </w:r>
      <w:proofErr w:type="spellStart"/>
      <w:r w:rsidRPr="005676C0">
        <w:t>peginterferon</w:t>
      </w:r>
      <w:proofErr w:type="spellEnd"/>
      <w:r w:rsidRPr="005676C0">
        <w:t xml:space="preserve"> </w:t>
      </w:r>
      <w:proofErr w:type="spellStart"/>
      <w:r w:rsidRPr="005676C0">
        <w:t>alf</w:t>
      </w:r>
      <w:r>
        <w:t>a</w:t>
      </w:r>
      <w:proofErr w:type="spellEnd"/>
      <w:r>
        <w:t xml:space="preserve"> and ribavirin is recommended.</w:t>
      </w:r>
    </w:p>
    <w:p w:rsidR="001C1F21" w:rsidRDefault="00A93B4C" w:rsidP="00A93B4C">
      <w:pPr>
        <w:pStyle w:val="TableFootnote"/>
      </w:pPr>
      <w:r>
        <w:rPr>
          <w:vertAlign w:val="superscript"/>
        </w:rPr>
        <w:t>3</w:t>
      </w:r>
      <w:r w:rsidRPr="00AF6861">
        <w:tab/>
        <w:t>In clinical studies, HCV RNA in plasma was measured with a COBAS</w:t>
      </w:r>
      <w:r w:rsidRPr="00AF6861">
        <w:rPr>
          <w:vertAlign w:val="superscript"/>
        </w:rPr>
        <w:t>®</w:t>
      </w:r>
      <w:r w:rsidRPr="00AF6861">
        <w:t xml:space="preserve"> </w:t>
      </w:r>
      <w:proofErr w:type="spellStart"/>
      <w:r w:rsidRPr="00AF6861">
        <w:t>TaqMan</w:t>
      </w:r>
      <w:proofErr w:type="spellEnd"/>
      <w:r w:rsidRPr="00AF6861">
        <w:rPr>
          <w:vertAlign w:val="superscript"/>
        </w:rPr>
        <w:t>®</w:t>
      </w:r>
      <w:r w:rsidRPr="00AF6861">
        <w:t xml:space="preserve"> real</w:t>
      </w:r>
      <w:r w:rsidRPr="00AF6861">
        <w:noBreakHyphen/>
        <w:t>time polymerase chain reaction (RT</w:t>
      </w:r>
      <w:r w:rsidRPr="00AF6861">
        <w:noBreakHyphen/>
        <w:t xml:space="preserve">PCR) assay with a lower limit of quantification </w:t>
      </w:r>
      <w:r>
        <w:t xml:space="preserve">(LLOQ) </w:t>
      </w:r>
      <w:r w:rsidRPr="00AF6861">
        <w:t xml:space="preserve">of 25 IU/mL and a limit of detection of 15 IU/mL (see </w:t>
      </w:r>
      <w:r w:rsidR="008041ED">
        <w:rPr>
          <w:i/>
        </w:rPr>
        <w:t>Pharmacodynamic</w:t>
      </w:r>
      <w:r w:rsidRPr="00AF6861">
        <w:rPr>
          <w:i/>
        </w:rPr>
        <w:t>s</w:t>
      </w:r>
      <w:r w:rsidRPr="00AF6861">
        <w:t>).</w:t>
      </w:r>
      <w:r w:rsidRPr="0098749F">
        <w:t xml:space="preserve"> </w:t>
      </w:r>
      <w:r>
        <w:t>HCV RNA &lt;</w:t>
      </w:r>
      <w:r w:rsidRPr="00AF6861">
        <w:t> </w:t>
      </w:r>
      <w:r>
        <w:t>25</w:t>
      </w:r>
      <w:r w:rsidRPr="00AF6861">
        <w:t> </w:t>
      </w:r>
      <w:r>
        <w:t>IU/mL</w:t>
      </w:r>
      <w:r w:rsidRPr="0098749F">
        <w:t xml:space="preserve"> </w:t>
      </w:r>
      <w:r>
        <w:t>detectable corresponds to HCV below the LLOQ, but target detected; u</w:t>
      </w:r>
      <w:r w:rsidRPr="0098749F">
        <w:t>ndetectable HCV RNA corresponds to a result of target not detected</w:t>
      </w:r>
      <w:r>
        <w:t>.</w:t>
      </w:r>
    </w:p>
    <w:p w:rsidR="001C1F21" w:rsidRDefault="001C1F21" w:rsidP="009F3479"/>
    <w:p w:rsidR="00A93B4C" w:rsidRPr="00AF6861" w:rsidRDefault="00A93B4C" w:rsidP="00A93B4C">
      <w:pPr>
        <w:pStyle w:val="Heading4"/>
      </w:pPr>
      <w:r w:rsidRPr="00AF6861">
        <w:t>Treatment discontinuation in patients with inadequate on</w:t>
      </w:r>
      <w:r w:rsidRPr="00AF6861">
        <w:noBreakHyphen/>
        <w:t xml:space="preserve">treatment </w:t>
      </w:r>
      <w:proofErr w:type="spellStart"/>
      <w:r w:rsidRPr="00AF6861">
        <w:t>virologic</w:t>
      </w:r>
      <w:proofErr w:type="spellEnd"/>
      <w:r w:rsidRPr="00AF6861">
        <w:t xml:space="preserve"> response</w:t>
      </w:r>
    </w:p>
    <w:p w:rsidR="00A93B4C" w:rsidRDefault="00A93B4C" w:rsidP="00A93B4C">
      <w:r w:rsidRPr="00A93B4C">
        <w:t>It is unlikely that patients with inadequate on</w:t>
      </w:r>
      <w:r w:rsidRPr="00A93B4C">
        <w:noBreakHyphen/>
        <w:t xml:space="preserve">treatment </w:t>
      </w:r>
      <w:proofErr w:type="spellStart"/>
      <w:r w:rsidRPr="00A93B4C">
        <w:t>virologic</w:t>
      </w:r>
      <w:proofErr w:type="spellEnd"/>
      <w:r w:rsidRPr="00A93B4C">
        <w:t xml:space="preserve"> response will achieve a sustained </w:t>
      </w:r>
      <w:proofErr w:type="spellStart"/>
      <w:r w:rsidRPr="00A93B4C">
        <w:t>virologic</w:t>
      </w:r>
      <w:proofErr w:type="spellEnd"/>
      <w:r w:rsidRPr="00A93B4C">
        <w:t xml:space="preserve"> response (SVR), therefore discontinuation of treatment is recommended in these patients. The HCV RNA thresholds that trigger discontinuation of treatment (i.e., </w:t>
      </w:r>
      <w:r w:rsidR="00D47DED">
        <w:t>guidelines for discontinuation</w:t>
      </w:r>
      <w:r w:rsidRPr="00A93B4C">
        <w:t>) are presented in Table </w:t>
      </w:r>
      <w:r w:rsidR="00F86D96">
        <w:t>17</w:t>
      </w:r>
      <w:r w:rsidRPr="00A93B4C">
        <w:t>.</w:t>
      </w:r>
    </w:p>
    <w:p w:rsidR="00594CF4" w:rsidRDefault="00594CF4"/>
    <w:tbl>
      <w:tblPr>
        <w:tblW w:w="9402" w:type="dxa"/>
        <w:tblInd w:w="42" w:type="dxa"/>
        <w:shd w:val="clear" w:color="auto" w:fill="B6DDE8"/>
        <w:tblLayout w:type="fixed"/>
        <w:tblCellMar>
          <w:left w:w="42" w:type="dxa"/>
          <w:right w:w="42" w:type="dxa"/>
        </w:tblCellMar>
        <w:tblLook w:val="0000" w:firstRow="0" w:lastRow="0" w:firstColumn="0" w:lastColumn="0" w:noHBand="0" w:noVBand="0"/>
      </w:tblPr>
      <w:tblGrid>
        <w:gridCol w:w="3119"/>
        <w:gridCol w:w="6283"/>
      </w:tblGrid>
      <w:tr w:rsidR="00A93B4C" w:rsidRPr="00AF6861" w:rsidTr="00A93B4C">
        <w:trPr>
          <w:cantSplit/>
        </w:trPr>
        <w:tc>
          <w:tcPr>
            <w:tcW w:w="9402" w:type="dxa"/>
            <w:gridSpan w:val="2"/>
            <w:tcBorders>
              <w:bottom w:val="single" w:sz="4" w:space="0" w:color="auto"/>
            </w:tcBorders>
            <w:shd w:val="clear" w:color="auto" w:fill="auto"/>
          </w:tcPr>
          <w:p w:rsidR="00A93B4C" w:rsidRPr="00AF6861" w:rsidRDefault="00A93B4C" w:rsidP="00F86D96">
            <w:pPr>
              <w:pStyle w:val="Caption"/>
              <w:rPr>
                <w:lang w:eastAsia="en-US"/>
              </w:rPr>
            </w:pPr>
            <w:r w:rsidRPr="00AF6861">
              <w:rPr>
                <w:lang w:eastAsia="en-US"/>
              </w:rPr>
              <w:t>Table </w:t>
            </w:r>
            <w:r w:rsidR="00F86D96">
              <w:rPr>
                <w:lang w:eastAsia="en-US"/>
              </w:rPr>
              <w:t>17</w:t>
            </w:r>
            <w:r w:rsidRPr="00AF6861">
              <w:rPr>
                <w:lang w:eastAsia="en-US"/>
              </w:rPr>
              <w:t>:</w:t>
            </w:r>
            <w:r w:rsidRPr="00AF6861">
              <w:rPr>
                <w:lang w:eastAsia="en-US"/>
              </w:rPr>
              <w:tab/>
            </w:r>
            <w:r w:rsidR="00D47DED">
              <w:rPr>
                <w:lang w:eastAsia="en-US"/>
              </w:rPr>
              <w:t>Guideline for discontinuation</w:t>
            </w:r>
            <w:r w:rsidRPr="00AF6861">
              <w:rPr>
                <w:lang w:eastAsia="en-US"/>
              </w:rPr>
              <w:t xml:space="preserve"> in Patients with Inadequate On</w:t>
            </w:r>
            <w:r w:rsidRPr="00AF6861">
              <w:rPr>
                <w:lang w:eastAsia="en-US"/>
              </w:rPr>
              <w:noBreakHyphen/>
              <w:t xml:space="preserve">Treatment </w:t>
            </w:r>
            <w:proofErr w:type="spellStart"/>
            <w:r w:rsidRPr="00AF6861">
              <w:rPr>
                <w:lang w:eastAsia="en-US"/>
              </w:rPr>
              <w:t>Virologic</w:t>
            </w:r>
            <w:proofErr w:type="spellEnd"/>
            <w:r w:rsidRPr="00AF6861">
              <w:rPr>
                <w:lang w:eastAsia="en-US"/>
              </w:rPr>
              <w:t xml:space="preserve"> Response</w:t>
            </w:r>
          </w:p>
        </w:tc>
      </w:tr>
      <w:tr w:rsidR="00A93B4C" w:rsidRPr="00AF6861" w:rsidTr="00A93B4C">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tcPr>
          <w:p w:rsidR="00A93B4C" w:rsidRPr="00AF6861" w:rsidRDefault="00A93B4C" w:rsidP="002020CC">
            <w:pPr>
              <w:pStyle w:val="TableText0"/>
              <w:rPr>
                <w:b/>
              </w:rPr>
            </w:pPr>
            <w:r>
              <w:rPr>
                <w:b/>
              </w:rPr>
              <w:t>HCV RNA</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93B4C" w:rsidRPr="00637B01" w:rsidRDefault="00A93B4C" w:rsidP="002020CC">
            <w:pPr>
              <w:pStyle w:val="TableText0"/>
              <w:rPr>
                <w:b/>
                <w:szCs w:val="24"/>
                <w:lang w:val="fr-FR" w:eastAsia="fr-FR"/>
              </w:rPr>
            </w:pPr>
            <w:r w:rsidRPr="00637B01">
              <w:rPr>
                <w:b/>
                <w:szCs w:val="24"/>
                <w:lang w:val="fr-FR" w:eastAsia="fr-FR"/>
              </w:rPr>
              <w:t>Action</w:t>
            </w:r>
          </w:p>
        </w:tc>
      </w:tr>
      <w:tr w:rsidR="00A93B4C" w:rsidRPr="00AF6861" w:rsidTr="00A93B4C">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tcPr>
          <w:p w:rsidR="00A93B4C" w:rsidRPr="00637B01" w:rsidRDefault="00A93B4C" w:rsidP="002020CC">
            <w:pPr>
              <w:pStyle w:val="TableText0"/>
            </w:pPr>
            <w:r>
              <w:t xml:space="preserve">Treatment </w:t>
            </w:r>
            <w:r w:rsidRPr="00637B01">
              <w:t>Week</w:t>
            </w:r>
            <w:r>
              <w:t> </w:t>
            </w:r>
            <w:r w:rsidRPr="00637B01">
              <w:t>4: ≥</w:t>
            </w:r>
            <w:r>
              <w:t> </w:t>
            </w:r>
            <w:r w:rsidRPr="00637B01">
              <w:t>25</w:t>
            </w:r>
            <w:r>
              <w:t> </w:t>
            </w:r>
            <w:r w:rsidRPr="00637B01">
              <w:t>IU/mL</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93B4C" w:rsidRPr="00637B01" w:rsidRDefault="00A93B4C" w:rsidP="002020CC">
            <w:pPr>
              <w:pStyle w:val="TableText0"/>
              <w:rPr>
                <w:szCs w:val="24"/>
                <w:lang w:val="fr-FR" w:eastAsia="fr-FR"/>
              </w:rPr>
            </w:pPr>
            <w:r>
              <w:rPr>
                <w:szCs w:val="24"/>
                <w:lang w:val="fr-FR" w:eastAsia="fr-FR"/>
              </w:rPr>
              <w:t>D</w:t>
            </w:r>
            <w:r w:rsidRPr="00637B01">
              <w:rPr>
                <w:szCs w:val="24"/>
                <w:lang w:val="fr-FR" w:eastAsia="fr-FR"/>
              </w:rPr>
              <w:t xml:space="preserve">iscontinue </w:t>
            </w:r>
            <w:r w:rsidR="00194D66">
              <w:rPr>
                <w:szCs w:val="24"/>
                <w:lang w:val="fr-FR" w:eastAsia="fr-FR"/>
              </w:rPr>
              <w:t>OLYSIO</w:t>
            </w:r>
            <w:r w:rsidRPr="00637B01">
              <w:rPr>
                <w:szCs w:val="24"/>
                <w:lang w:val="fr-FR" w:eastAsia="fr-FR"/>
              </w:rPr>
              <w:t xml:space="preserve">, </w:t>
            </w:r>
            <w:proofErr w:type="spellStart"/>
            <w:r w:rsidRPr="00637B01">
              <w:rPr>
                <w:szCs w:val="24"/>
                <w:lang w:val="fr-FR" w:eastAsia="fr-FR"/>
              </w:rPr>
              <w:t>peg</w:t>
            </w:r>
            <w:r>
              <w:rPr>
                <w:szCs w:val="24"/>
                <w:lang w:val="fr-FR" w:eastAsia="fr-FR"/>
              </w:rPr>
              <w:t>interferon</w:t>
            </w:r>
            <w:proofErr w:type="spellEnd"/>
            <w:r>
              <w:rPr>
                <w:szCs w:val="24"/>
                <w:lang w:val="fr-FR" w:eastAsia="fr-FR"/>
              </w:rPr>
              <w:t xml:space="preserve"> alfa</w:t>
            </w:r>
            <w:r w:rsidRPr="00637B01">
              <w:rPr>
                <w:szCs w:val="24"/>
                <w:lang w:val="fr-FR" w:eastAsia="fr-FR"/>
              </w:rPr>
              <w:t xml:space="preserve"> and </w:t>
            </w:r>
            <w:proofErr w:type="spellStart"/>
            <w:r>
              <w:rPr>
                <w:szCs w:val="24"/>
                <w:lang w:val="fr-FR" w:eastAsia="fr-FR"/>
              </w:rPr>
              <w:t>ribavirin</w:t>
            </w:r>
            <w:proofErr w:type="spellEnd"/>
          </w:p>
        </w:tc>
      </w:tr>
      <w:tr w:rsidR="00A93B4C" w:rsidRPr="000A506A" w:rsidTr="00A93B4C">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tcPr>
          <w:p w:rsidR="00A93B4C" w:rsidRPr="00637B01" w:rsidRDefault="00A93B4C" w:rsidP="002020CC">
            <w:pPr>
              <w:pStyle w:val="TableText0"/>
            </w:pPr>
            <w:r>
              <w:t xml:space="preserve">Treatment </w:t>
            </w:r>
            <w:r w:rsidRPr="00637B01">
              <w:t>Week</w:t>
            </w:r>
            <w:r>
              <w:t> 12</w:t>
            </w:r>
            <w:r w:rsidRPr="00637B01">
              <w:t xml:space="preserve">: </w:t>
            </w:r>
            <w:r>
              <w:t>detectable</w:t>
            </w:r>
            <w:r>
              <w:rPr>
                <w:vertAlign w:val="superscript"/>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93B4C" w:rsidRPr="00637B01" w:rsidRDefault="00A93B4C" w:rsidP="002020CC">
            <w:pPr>
              <w:pStyle w:val="TableText0"/>
              <w:rPr>
                <w:szCs w:val="24"/>
                <w:lang w:val="fr-FR" w:eastAsia="fr-FR"/>
              </w:rPr>
            </w:pPr>
            <w:r>
              <w:rPr>
                <w:szCs w:val="24"/>
                <w:lang w:val="fr-FR" w:eastAsia="fr-FR"/>
              </w:rPr>
              <w:t>D</w:t>
            </w:r>
            <w:r w:rsidRPr="00637B01">
              <w:rPr>
                <w:szCs w:val="24"/>
                <w:lang w:val="fr-FR" w:eastAsia="fr-FR"/>
              </w:rPr>
              <w:t xml:space="preserve">iscontinue </w:t>
            </w:r>
            <w:proofErr w:type="spellStart"/>
            <w:r w:rsidRPr="00637B01">
              <w:rPr>
                <w:szCs w:val="24"/>
                <w:lang w:val="fr-FR" w:eastAsia="fr-FR"/>
              </w:rPr>
              <w:t>peg</w:t>
            </w:r>
            <w:r>
              <w:rPr>
                <w:szCs w:val="24"/>
                <w:lang w:val="fr-FR" w:eastAsia="fr-FR"/>
              </w:rPr>
              <w:t>interferon</w:t>
            </w:r>
            <w:proofErr w:type="spellEnd"/>
            <w:r>
              <w:rPr>
                <w:szCs w:val="24"/>
                <w:lang w:val="fr-FR" w:eastAsia="fr-FR"/>
              </w:rPr>
              <w:t xml:space="preserve"> alfa</w:t>
            </w:r>
            <w:r w:rsidRPr="00637B01">
              <w:rPr>
                <w:szCs w:val="24"/>
                <w:lang w:val="fr-FR" w:eastAsia="fr-FR"/>
              </w:rPr>
              <w:t xml:space="preserve"> and </w:t>
            </w:r>
            <w:proofErr w:type="spellStart"/>
            <w:r>
              <w:rPr>
                <w:szCs w:val="24"/>
                <w:lang w:val="fr-FR" w:eastAsia="fr-FR"/>
              </w:rPr>
              <w:t>ribavirin</w:t>
            </w:r>
            <w:proofErr w:type="spellEnd"/>
            <w:r>
              <w:rPr>
                <w:szCs w:val="24"/>
                <w:lang w:val="fr-FR" w:eastAsia="fr-FR"/>
              </w:rPr>
              <w:t xml:space="preserve"> (</w:t>
            </w:r>
            <w:proofErr w:type="spellStart"/>
            <w:r>
              <w:rPr>
                <w:szCs w:val="24"/>
                <w:lang w:val="fr-FR" w:eastAsia="fr-FR"/>
              </w:rPr>
              <w:t>treatment</w:t>
            </w:r>
            <w:proofErr w:type="spellEnd"/>
            <w:r>
              <w:rPr>
                <w:szCs w:val="24"/>
                <w:lang w:val="fr-FR" w:eastAsia="fr-FR"/>
              </w:rPr>
              <w:t xml:space="preserve"> </w:t>
            </w:r>
            <w:proofErr w:type="spellStart"/>
            <w:r>
              <w:rPr>
                <w:szCs w:val="24"/>
                <w:lang w:val="fr-FR" w:eastAsia="fr-FR"/>
              </w:rPr>
              <w:t>with</w:t>
            </w:r>
            <w:proofErr w:type="spellEnd"/>
            <w:r>
              <w:rPr>
                <w:szCs w:val="24"/>
                <w:lang w:val="fr-FR" w:eastAsia="fr-FR"/>
              </w:rPr>
              <w:t xml:space="preserve"> </w:t>
            </w:r>
            <w:r w:rsidR="00194D66">
              <w:rPr>
                <w:szCs w:val="24"/>
                <w:lang w:val="fr-FR" w:eastAsia="fr-FR"/>
              </w:rPr>
              <w:t>OLYSIO</w:t>
            </w:r>
            <w:r>
              <w:rPr>
                <w:szCs w:val="24"/>
                <w:lang w:val="fr-FR" w:eastAsia="fr-FR"/>
              </w:rPr>
              <w:t xml:space="preserve"> </w:t>
            </w:r>
            <w:proofErr w:type="spellStart"/>
            <w:r>
              <w:rPr>
                <w:szCs w:val="24"/>
                <w:lang w:val="fr-FR" w:eastAsia="fr-FR"/>
              </w:rPr>
              <w:t>is</w:t>
            </w:r>
            <w:proofErr w:type="spellEnd"/>
            <w:r>
              <w:rPr>
                <w:szCs w:val="24"/>
                <w:lang w:val="fr-FR" w:eastAsia="fr-FR"/>
              </w:rPr>
              <w:t xml:space="preserve"> </w:t>
            </w:r>
            <w:r w:rsidRPr="000A506A">
              <w:rPr>
                <w:szCs w:val="24"/>
                <w:lang w:val="en-GB" w:eastAsia="fr-FR"/>
              </w:rPr>
              <w:t xml:space="preserve">complete </w:t>
            </w:r>
            <w:r>
              <w:rPr>
                <w:szCs w:val="24"/>
                <w:lang w:val="fr-FR" w:eastAsia="fr-FR"/>
              </w:rPr>
              <w:t xml:space="preserve">at </w:t>
            </w:r>
            <w:proofErr w:type="spellStart"/>
            <w:r>
              <w:rPr>
                <w:szCs w:val="24"/>
                <w:lang w:val="fr-FR" w:eastAsia="fr-FR"/>
              </w:rPr>
              <w:t>Week</w:t>
            </w:r>
            <w:proofErr w:type="spellEnd"/>
            <w:r>
              <w:rPr>
                <w:szCs w:val="24"/>
                <w:lang w:val="fr-FR" w:eastAsia="fr-FR"/>
              </w:rPr>
              <w:t> 12)</w:t>
            </w:r>
          </w:p>
        </w:tc>
      </w:tr>
      <w:tr w:rsidR="00A93B4C" w:rsidRPr="00AF6861" w:rsidTr="00A93B4C">
        <w:trPr>
          <w:cantSplit/>
        </w:trPr>
        <w:tc>
          <w:tcPr>
            <w:tcW w:w="9402" w:type="dxa"/>
            <w:gridSpan w:val="2"/>
            <w:tcBorders>
              <w:top w:val="single" w:sz="4" w:space="0" w:color="auto"/>
              <w:left w:val="single" w:sz="4" w:space="0" w:color="auto"/>
              <w:bottom w:val="single" w:sz="4" w:space="0" w:color="auto"/>
              <w:right w:val="single" w:sz="4" w:space="0" w:color="auto"/>
            </w:tcBorders>
            <w:shd w:val="clear" w:color="auto" w:fill="auto"/>
          </w:tcPr>
          <w:p w:rsidR="00A93B4C" w:rsidRPr="00AF6861" w:rsidRDefault="00A93B4C" w:rsidP="002020CC">
            <w:pPr>
              <w:pStyle w:val="TableFootnote"/>
              <w:ind w:left="284" w:hanging="284"/>
            </w:pPr>
            <w:r>
              <w:rPr>
                <w:vertAlign w:val="superscript"/>
              </w:rPr>
              <w:t>1</w:t>
            </w:r>
            <w:r w:rsidRPr="00AF6861">
              <w:tab/>
              <w:t>Re</w:t>
            </w:r>
            <w:r w:rsidRPr="00AF6861">
              <w:noBreakHyphen/>
              <w:t>evaluation of HCV RNA is recommended in case of detectable HCV RNA after previous undetectable HCV RNA to confirm HCV RNA levels prior to discontinuing HCV treatment.</w:t>
            </w:r>
          </w:p>
        </w:tc>
      </w:tr>
    </w:tbl>
    <w:p w:rsidR="00A93B4C" w:rsidRPr="00AF6861" w:rsidRDefault="00A93B4C" w:rsidP="00A93B4C">
      <w:pPr>
        <w:pStyle w:val="BodyText120"/>
      </w:pPr>
    </w:p>
    <w:p w:rsidR="00D47DED" w:rsidRDefault="00D47DED" w:rsidP="00D47DED">
      <w:pPr>
        <w:autoSpaceDE w:val="0"/>
        <w:autoSpaceDN w:val="0"/>
        <w:adjustRightInd w:val="0"/>
      </w:pPr>
      <w:r w:rsidRPr="00D47DED">
        <w:t xml:space="preserve">Testing at week 24 may be considered in addition to the tests at week 4 and week 12. Patients with HCV RNA detectable at week 24 should discontinue </w:t>
      </w:r>
      <w:proofErr w:type="spellStart"/>
      <w:r w:rsidRPr="00D47DED">
        <w:t>peginterferon</w:t>
      </w:r>
      <w:proofErr w:type="spellEnd"/>
      <w:r w:rsidRPr="00D47DED">
        <w:t xml:space="preserve"> </w:t>
      </w:r>
      <w:proofErr w:type="spellStart"/>
      <w:r w:rsidRPr="00D47DED">
        <w:t>alfa</w:t>
      </w:r>
      <w:proofErr w:type="spellEnd"/>
      <w:r w:rsidRPr="00D47DED">
        <w:t xml:space="preserve"> and ribavirin.</w:t>
      </w:r>
    </w:p>
    <w:p w:rsidR="00A93B4C" w:rsidRPr="00AF6861" w:rsidRDefault="00A93B4C" w:rsidP="00A93B4C">
      <w:r w:rsidRPr="00AF6861">
        <w:t xml:space="preserve">If </w:t>
      </w:r>
      <w:proofErr w:type="spellStart"/>
      <w:r w:rsidRPr="00AF6861">
        <w:t>peginterferon</w:t>
      </w:r>
      <w:proofErr w:type="spellEnd"/>
      <w:r w:rsidRPr="00AF6861">
        <w:t xml:space="preserve"> </w:t>
      </w:r>
      <w:proofErr w:type="spellStart"/>
      <w:r w:rsidRPr="00AF6861">
        <w:t>alfa</w:t>
      </w:r>
      <w:proofErr w:type="spellEnd"/>
      <w:r w:rsidRPr="00AF6861">
        <w:t xml:space="preserve"> or ribavirin is discontinued for any reason, </w:t>
      </w:r>
      <w:r w:rsidR="00194D66">
        <w:t>OLYSIO</w:t>
      </w:r>
      <w:r w:rsidRPr="00AF6861">
        <w:t xml:space="preserve"> must also be discontinued.</w:t>
      </w:r>
    </w:p>
    <w:p w:rsidR="00A93B4C" w:rsidRDefault="00A93B4C" w:rsidP="009F3479"/>
    <w:p w:rsidR="00FC56D9" w:rsidRPr="00AF6861" w:rsidRDefault="00FC56D9" w:rsidP="00FC56D9">
      <w:pPr>
        <w:pStyle w:val="Heading4"/>
        <w:rPr>
          <w:i w:val="0"/>
        </w:rPr>
      </w:pPr>
      <w:r w:rsidRPr="00AF6861">
        <w:t xml:space="preserve">Dosage adjustment or interruption of </w:t>
      </w:r>
      <w:r w:rsidR="00194D66">
        <w:t>OLYSIO</w:t>
      </w:r>
      <w:r w:rsidRPr="00AF6861">
        <w:t xml:space="preserve"> treatment</w:t>
      </w:r>
    </w:p>
    <w:p w:rsidR="00FC56D9" w:rsidRDefault="00FC56D9" w:rsidP="00FC56D9">
      <w:r w:rsidRPr="00AF6861">
        <w:t xml:space="preserve">To prevent treatment failure, the dose of </w:t>
      </w:r>
      <w:r w:rsidR="00194D66">
        <w:t>OLYSIO</w:t>
      </w:r>
      <w:r w:rsidRPr="00AF6861">
        <w:t xml:space="preserve"> must not be reduced or interrupted. If treatment with </w:t>
      </w:r>
      <w:r w:rsidR="00194D66">
        <w:t>OLYSIO</w:t>
      </w:r>
      <w:r w:rsidRPr="00AF6861">
        <w:t xml:space="preserve"> is discontinued because of adverse reactions or inadequate on</w:t>
      </w:r>
      <w:r w:rsidRPr="00AF6861">
        <w:noBreakHyphen/>
        <w:t xml:space="preserve">treatment </w:t>
      </w:r>
      <w:proofErr w:type="spellStart"/>
      <w:r w:rsidRPr="00AF6861">
        <w:t>virologic</w:t>
      </w:r>
      <w:proofErr w:type="spellEnd"/>
      <w:r w:rsidRPr="00AF6861">
        <w:t xml:space="preserve"> response, </w:t>
      </w:r>
      <w:r w:rsidR="00194D66">
        <w:t>OLYSIO</w:t>
      </w:r>
      <w:r w:rsidRPr="00AF6861">
        <w:t xml:space="preserve"> treatment must not be reinitiated.</w:t>
      </w:r>
    </w:p>
    <w:p w:rsidR="00FC56D9" w:rsidRPr="00AF6861" w:rsidRDefault="00FC56D9" w:rsidP="00FC56D9"/>
    <w:p w:rsidR="00FC56D9" w:rsidRPr="00AF6861" w:rsidRDefault="00FC56D9" w:rsidP="00FC56D9">
      <w:pPr>
        <w:pStyle w:val="Heading4"/>
        <w:rPr>
          <w:i w:val="0"/>
        </w:rPr>
      </w:pPr>
      <w:r w:rsidRPr="00AF6861">
        <w:lastRenderedPageBreak/>
        <w:t xml:space="preserve">Dosage adjustment or interruption of </w:t>
      </w:r>
      <w:proofErr w:type="spellStart"/>
      <w:r w:rsidRPr="00AF6861">
        <w:t>peginterferon</w:t>
      </w:r>
      <w:proofErr w:type="spellEnd"/>
      <w:r w:rsidRPr="00AF6861">
        <w:t xml:space="preserve"> </w:t>
      </w:r>
      <w:proofErr w:type="spellStart"/>
      <w:r w:rsidRPr="00AF6861">
        <w:t>alfa</w:t>
      </w:r>
      <w:proofErr w:type="spellEnd"/>
      <w:r w:rsidRPr="00AF6861">
        <w:t xml:space="preserve"> and/or ribavirin treatment</w:t>
      </w:r>
    </w:p>
    <w:p w:rsidR="00FC56D9" w:rsidRPr="00AF6861" w:rsidRDefault="00FC56D9" w:rsidP="00FC56D9">
      <w:r w:rsidRPr="00AF6861">
        <w:t xml:space="preserve">If adverse reactions, potentially related to </w:t>
      </w:r>
      <w:proofErr w:type="spellStart"/>
      <w:r w:rsidRPr="00AF6861">
        <w:t>peginterferon</w:t>
      </w:r>
      <w:proofErr w:type="spellEnd"/>
      <w:r w:rsidRPr="00AF6861">
        <w:t xml:space="preserve"> </w:t>
      </w:r>
      <w:proofErr w:type="spellStart"/>
      <w:r w:rsidRPr="00AF6861">
        <w:t>alfa</w:t>
      </w:r>
      <w:proofErr w:type="spellEnd"/>
      <w:r w:rsidRPr="00AF6861">
        <w:t xml:space="preserve"> and/or ribavirin, require dosage adjustment or interruption of either medicinal product, refer to the instructions outlined in the respective </w:t>
      </w:r>
      <w:r w:rsidR="0037285D">
        <w:t>product</w:t>
      </w:r>
      <w:r w:rsidRPr="00AF6861">
        <w:t xml:space="preserve"> information for these medicinal products.</w:t>
      </w:r>
    </w:p>
    <w:p w:rsidR="00903B18" w:rsidRDefault="00903B18" w:rsidP="00903B18">
      <w:pPr>
        <w:pStyle w:val="Heading4"/>
      </w:pPr>
    </w:p>
    <w:p w:rsidR="00FC56D9" w:rsidRPr="00AF6861" w:rsidRDefault="00FC56D9" w:rsidP="00903B18">
      <w:pPr>
        <w:pStyle w:val="Heading4"/>
      </w:pPr>
      <w:r w:rsidRPr="00AF6861">
        <w:t>Missed dose(s)</w:t>
      </w:r>
    </w:p>
    <w:p w:rsidR="00FC56D9" w:rsidRPr="00AF6861" w:rsidRDefault="00FC56D9" w:rsidP="00FC56D9">
      <w:r w:rsidRPr="00AF6861">
        <w:t xml:space="preserve">If a dose of </w:t>
      </w:r>
      <w:r w:rsidR="00194D66">
        <w:t>OLYSIO</w:t>
      </w:r>
      <w:r w:rsidRPr="00AF6861">
        <w:t xml:space="preserve"> is missed and the patient remembers within 12 hours of the usual dosing time, the patient should take the missed dose of </w:t>
      </w:r>
      <w:r w:rsidR="00194D66">
        <w:t>OLYSIO</w:t>
      </w:r>
      <w:r w:rsidRPr="00AF6861">
        <w:t xml:space="preserve"> with food as soon as possible and then take the next dose of </w:t>
      </w:r>
      <w:r w:rsidR="00194D66">
        <w:t>OLYSIO</w:t>
      </w:r>
      <w:r w:rsidRPr="00AF6861">
        <w:t xml:space="preserve"> at the regularly scheduled time. If a dose of </w:t>
      </w:r>
      <w:r w:rsidR="00194D66">
        <w:t>OLYSIO</w:t>
      </w:r>
      <w:r w:rsidRPr="00AF6861">
        <w:t xml:space="preserve"> is missed by more than 12 hours after the usual dosing time, the patient should not take the missed dose of </w:t>
      </w:r>
      <w:r w:rsidR="00194D66">
        <w:t>OLYSIO</w:t>
      </w:r>
      <w:r w:rsidRPr="00AF6861">
        <w:t xml:space="preserve">, and should resume dosing of </w:t>
      </w:r>
      <w:r w:rsidR="00194D66">
        <w:t>OLYSIO</w:t>
      </w:r>
      <w:r w:rsidRPr="00AF6861">
        <w:t xml:space="preserve"> with food at the regularly scheduled time.</w:t>
      </w:r>
    </w:p>
    <w:p w:rsidR="00A93B4C" w:rsidRDefault="00A93B4C" w:rsidP="009F3479"/>
    <w:p w:rsidR="00FC56D9" w:rsidRPr="00AF6861" w:rsidRDefault="00FC56D9" w:rsidP="00FC56D9">
      <w:pPr>
        <w:pStyle w:val="Heading3"/>
        <w:rPr>
          <w:bCs w:val="0"/>
        </w:rPr>
      </w:pPr>
      <w:r w:rsidRPr="00AF6861">
        <w:t>Special populations</w:t>
      </w:r>
    </w:p>
    <w:p w:rsidR="00FC56D9" w:rsidRPr="00AF6861" w:rsidRDefault="00FC56D9" w:rsidP="00FC56D9">
      <w:pPr>
        <w:pStyle w:val="Heading4"/>
        <w:rPr>
          <w:i w:val="0"/>
        </w:rPr>
      </w:pPr>
      <w:r w:rsidRPr="00AF6861">
        <w:t>P</w:t>
      </w:r>
      <w:r w:rsidR="00903B18">
        <w:t>a</w:t>
      </w:r>
      <w:r w:rsidRPr="00AF6861">
        <w:t>ediatrics (below 18 years of age)</w:t>
      </w:r>
    </w:p>
    <w:p w:rsidR="00FC56D9" w:rsidRDefault="00FC56D9" w:rsidP="00FC56D9">
      <w:r w:rsidRPr="00AF6861">
        <w:t xml:space="preserve">The safety and efficacy of </w:t>
      </w:r>
      <w:r w:rsidR="00194D66">
        <w:t>OLYSIO</w:t>
      </w:r>
      <w:r w:rsidRPr="00AF6861">
        <w:t xml:space="preserve"> have not been established in </w:t>
      </w:r>
      <w:proofErr w:type="spellStart"/>
      <w:r w:rsidRPr="00AF6861">
        <w:t>pediatric</w:t>
      </w:r>
      <w:proofErr w:type="spellEnd"/>
      <w:r w:rsidRPr="00AF6861">
        <w:t xml:space="preserve"> patients.</w:t>
      </w:r>
    </w:p>
    <w:p w:rsidR="00FC56D9" w:rsidRPr="00AF6861" w:rsidRDefault="00FC56D9" w:rsidP="00FC56D9">
      <w:pPr>
        <w:rPr>
          <w:b/>
        </w:rPr>
      </w:pPr>
    </w:p>
    <w:p w:rsidR="00FC56D9" w:rsidRPr="00AF6861" w:rsidRDefault="00FC56D9" w:rsidP="00FC56D9">
      <w:pPr>
        <w:pStyle w:val="Heading4"/>
        <w:rPr>
          <w:i w:val="0"/>
        </w:rPr>
      </w:pPr>
      <w:r w:rsidRPr="00AF6861">
        <w:t>Elderly (above 65 years of age)</w:t>
      </w:r>
    </w:p>
    <w:p w:rsidR="00FC56D9" w:rsidRDefault="00FC56D9" w:rsidP="00FC56D9">
      <w:r w:rsidRPr="00BC77E2">
        <w:t xml:space="preserve">There are limited data on the safety and efficacy of </w:t>
      </w:r>
      <w:r w:rsidR="00194D66">
        <w:t>OLYSIO</w:t>
      </w:r>
      <w:r w:rsidRPr="00BC77E2">
        <w:t xml:space="preserve"> in patients older than 65 years. No dose adjustment of </w:t>
      </w:r>
      <w:r w:rsidR="00194D66">
        <w:t>OLYSIO</w:t>
      </w:r>
      <w:r w:rsidRPr="00BC77E2">
        <w:t xml:space="preserve"> is required in elderly patients </w:t>
      </w:r>
      <w:r w:rsidRPr="00AF6861">
        <w:t xml:space="preserve">(see </w:t>
      </w:r>
      <w:r w:rsidR="008041ED">
        <w:rPr>
          <w:i/>
        </w:rPr>
        <w:t>Pharmacokinetic</w:t>
      </w:r>
      <w:r w:rsidRPr="00AF6861">
        <w:rPr>
          <w:i/>
        </w:rPr>
        <w:t>s</w:t>
      </w:r>
      <w:r w:rsidRPr="00AF6861">
        <w:t>).</w:t>
      </w:r>
    </w:p>
    <w:p w:rsidR="00FC56D9" w:rsidRPr="00AF6861" w:rsidRDefault="00FC56D9" w:rsidP="00FC56D9">
      <w:pPr>
        <w:rPr>
          <w:b/>
        </w:rPr>
      </w:pPr>
    </w:p>
    <w:p w:rsidR="00FC56D9" w:rsidRPr="00AF6861" w:rsidRDefault="00FC56D9" w:rsidP="00FC56D9">
      <w:pPr>
        <w:pStyle w:val="Heading4"/>
        <w:rPr>
          <w:i w:val="0"/>
        </w:rPr>
      </w:pPr>
      <w:r w:rsidRPr="00AF6861">
        <w:t>Renal impairment</w:t>
      </w:r>
    </w:p>
    <w:p w:rsidR="00FC56D9" w:rsidRPr="00AF6861" w:rsidRDefault="00FC56D9" w:rsidP="00FC56D9">
      <w:r w:rsidRPr="00AF6861">
        <w:t xml:space="preserve">No dose adjustment of </w:t>
      </w:r>
      <w:r w:rsidR="00194D66">
        <w:t>OLYSIO</w:t>
      </w:r>
      <w:r w:rsidRPr="00AF6861">
        <w:t xml:space="preserve"> is required in patients with mild, moderate or severe renal impairment (see </w:t>
      </w:r>
      <w:r w:rsidR="008041ED">
        <w:rPr>
          <w:i/>
        </w:rPr>
        <w:t>Pharmacokinetic</w:t>
      </w:r>
      <w:r w:rsidRPr="00AF6861">
        <w:rPr>
          <w:i/>
        </w:rPr>
        <w:t>s</w:t>
      </w:r>
      <w:r w:rsidRPr="00AF6861">
        <w:t xml:space="preserve">). </w:t>
      </w:r>
      <w:r w:rsidRPr="00FC56D9">
        <w:t xml:space="preserve">The safety and efficacy of </w:t>
      </w:r>
      <w:r w:rsidR="00194D66">
        <w:t>OLYSIO</w:t>
      </w:r>
      <w:r w:rsidRPr="00FC56D9">
        <w:t xml:space="preserve"> have not been studied in HCV</w:t>
      </w:r>
      <w:r w:rsidRPr="00FC56D9">
        <w:noBreakHyphen/>
        <w:t>infected patients with severe renal impairment (creatinine clearance below 30 mL/min) or end</w:t>
      </w:r>
      <w:r w:rsidRPr="00FC56D9">
        <w:noBreakHyphen/>
        <w:t>stage renal disease, including patients requiring dialysis.</w:t>
      </w:r>
      <w:r w:rsidRPr="00E81A60">
        <w:t xml:space="preserve"> </w:t>
      </w:r>
      <w:proofErr w:type="spellStart"/>
      <w:r w:rsidRPr="00A82DAA">
        <w:t>Simeprevir</w:t>
      </w:r>
      <w:proofErr w:type="spellEnd"/>
      <w:r w:rsidRPr="00A82DAA">
        <w:t xml:space="preserve"> is highly protein </w:t>
      </w:r>
      <w:proofErr w:type="gramStart"/>
      <w:r w:rsidRPr="00A82DAA">
        <w:t>bound,</w:t>
      </w:r>
      <w:proofErr w:type="gramEnd"/>
      <w:r w:rsidRPr="00A82DAA">
        <w:t xml:space="preserve"> therefore dialysis is unlikely to result in significant removal of </w:t>
      </w:r>
      <w:proofErr w:type="spellStart"/>
      <w:r w:rsidRPr="00A82DAA">
        <w:t>simeprevir</w:t>
      </w:r>
      <w:proofErr w:type="spellEnd"/>
      <w:r w:rsidRPr="00A82DAA">
        <w:t xml:space="preserve"> (see </w:t>
      </w:r>
      <w:r w:rsidRPr="00A82DAA">
        <w:rPr>
          <w:i/>
        </w:rPr>
        <w:t>Pharmacokineti</w:t>
      </w:r>
      <w:r w:rsidR="003118E6">
        <w:rPr>
          <w:i/>
        </w:rPr>
        <w:t>cs</w:t>
      </w:r>
      <w:r w:rsidRPr="00A82DAA">
        <w:t>).</w:t>
      </w:r>
    </w:p>
    <w:p w:rsidR="008041ED" w:rsidRDefault="008041ED" w:rsidP="00FC56D9"/>
    <w:p w:rsidR="00FC56D9" w:rsidRPr="007F6E5B" w:rsidRDefault="00FC56D9" w:rsidP="007F6E5B">
      <w:r w:rsidRPr="00FC56D9">
        <w:t xml:space="preserve">Refer to the respective </w:t>
      </w:r>
      <w:r w:rsidR="0037285D">
        <w:t>product</w:t>
      </w:r>
      <w:r w:rsidRPr="00FC56D9">
        <w:t xml:space="preserve"> information for </w:t>
      </w:r>
      <w:proofErr w:type="spellStart"/>
      <w:r w:rsidRPr="00FC56D9">
        <w:t>peginterferon</w:t>
      </w:r>
      <w:proofErr w:type="spellEnd"/>
      <w:r w:rsidRPr="00FC56D9">
        <w:t xml:space="preserve"> </w:t>
      </w:r>
      <w:proofErr w:type="spellStart"/>
      <w:r w:rsidRPr="00FC56D9">
        <w:t>alfa</w:t>
      </w:r>
      <w:proofErr w:type="spellEnd"/>
      <w:r w:rsidRPr="00FC56D9">
        <w:t xml:space="preserve"> and ribavirin regarding use in patients with renal impairment.</w:t>
      </w:r>
      <w:r w:rsidR="007F6E5B">
        <w:t xml:space="preserve">  Ribavirin is contraindicated, or to be used with extreme caution in patients with </w:t>
      </w:r>
      <w:proofErr w:type="spellStart"/>
      <w:r w:rsidR="007F6E5B">
        <w:t>CrCl</w:t>
      </w:r>
      <w:proofErr w:type="spellEnd"/>
      <w:r w:rsidR="007F6E5B">
        <w:t xml:space="preserve"> &lt; 50 ml/min (see the Product Information for ribavirin).  </w:t>
      </w:r>
    </w:p>
    <w:p w:rsidR="00FC56D9" w:rsidRPr="00AF6861" w:rsidRDefault="00FC56D9" w:rsidP="00FC56D9">
      <w:pPr>
        <w:rPr>
          <w:b/>
        </w:rPr>
      </w:pPr>
    </w:p>
    <w:p w:rsidR="00FC56D9" w:rsidRPr="00AF6861" w:rsidRDefault="00FC56D9" w:rsidP="00FC56D9">
      <w:pPr>
        <w:pStyle w:val="Heading4"/>
        <w:rPr>
          <w:i w:val="0"/>
        </w:rPr>
      </w:pPr>
      <w:r w:rsidRPr="00AF6861">
        <w:t>Hepatic impairment</w:t>
      </w:r>
    </w:p>
    <w:p w:rsidR="00FC56D9" w:rsidRDefault="00C97847" w:rsidP="00FC56D9">
      <w:r w:rsidRPr="00C97847">
        <w:t xml:space="preserve">No dose adjustment of </w:t>
      </w:r>
      <w:r>
        <w:t>OLYSIO</w:t>
      </w:r>
      <w:r w:rsidRPr="00C97847">
        <w:t xml:space="preserve"> is required in patients with mild hepatic impairment (Child-Pugh Class A).</w:t>
      </w:r>
      <w:r>
        <w:t xml:space="preserve"> </w:t>
      </w:r>
      <w:r w:rsidRPr="00C97847">
        <w:t xml:space="preserve"> However, moderate and severe hepatic impairment (Child-Pugh Class B or C) are associated with increases in </w:t>
      </w:r>
      <w:proofErr w:type="spellStart"/>
      <w:r>
        <w:t>simeprevir</w:t>
      </w:r>
      <w:proofErr w:type="spellEnd"/>
      <w:r w:rsidRPr="00C97847">
        <w:t xml:space="preserve"> exposure (see Pharmacokinetics).</w:t>
      </w:r>
      <w:r>
        <w:t xml:space="preserve"> </w:t>
      </w:r>
      <w:r w:rsidRPr="00C97847">
        <w:t xml:space="preserve"> In addition, the safety and efficacy of </w:t>
      </w:r>
      <w:r>
        <w:t>OLYSIO</w:t>
      </w:r>
      <w:r w:rsidRPr="00C97847">
        <w:t xml:space="preserve"> have not been studied in HCV-infected patients with moderate or severe hepatic impairment (Child-Pugh Class B or C). </w:t>
      </w:r>
      <w:r>
        <w:t xml:space="preserve"> </w:t>
      </w:r>
      <w:r w:rsidRPr="00C97847">
        <w:t xml:space="preserve">Therefore, the potential risks and benefits of </w:t>
      </w:r>
      <w:proofErr w:type="spellStart"/>
      <w:r w:rsidRPr="00C97847">
        <w:t>simeprevir</w:t>
      </w:r>
      <w:proofErr w:type="spellEnd"/>
      <w:r w:rsidRPr="00C97847">
        <w:t xml:space="preserve"> should be carefully considered prior to use in patients with moderate or severe hepatic impairment (Child-Pugh Class B or C).</w:t>
      </w:r>
      <w:r>
        <w:t xml:space="preserve">  </w:t>
      </w:r>
    </w:p>
    <w:p w:rsidR="00C97847" w:rsidRPr="00AF6861" w:rsidRDefault="00C97847" w:rsidP="00FC56D9"/>
    <w:p w:rsidR="00FC56D9" w:rsidRDefault="00FC56D9" w:rsidP="007F6E5B">
      <w:r w:rsidRPr="00FC56D9">
        <w:t xml:space="preserve">Refer to the respective </w:t>
      </w:r>
      <w:r w:rsidR="0037285D">
        <w:t>product</w:t>
      </w:r>
      <w:r w:rsidRPr="00FC56D9">
        <w:t xml:space="preserve"> information for </w:t>
      </w:r>
      <w:proofErr w:type="spellStart"/>
      <w:r w:rsidRPr="00FC56D9">
        <w:t>peginterferon</w:t>
      </w:r>
      <w:proofErr w:type="spellEnd"/>
      <w:r w:rsidRPr="00FC56D9">
        <w:t xml:space="preserve"> </w:t>
      </w:r>
      <w:proofErr w:type="spellStart"/>
      <w:r w:rsidRPr="00FC56D9">
        <w:t>alfa</w:t>
      </w:r>
      <w:proofErr w:type="spellEnd"/>
      <w:r w:rsidRPr="00FC56D9">
        <w:t xml:space="preserve"> and ribavirin which are contraindicated in patients with decompensated cirrhosis (Child</w:t>
      </w:r>
      <w:r w:rsidRPr="00FC56D9">
        <w:noBreakHyphen/>
        <w:t>Pugh Class B or C).</w:t>
      </w:r>
      <w:r w:rsidR="007F6E5B">
        <w:t xml:space="preserve">  Refer also to the Product Information for </w:t>
      </w:r>
      <w:proofErr w:type="spellStart"/>
      <w:r w:rsidR="007F6E5B">
        <w:t>peginterferon</w:t>
      </w:r>
      <w:proofErr w:type="spellEnd"/>
      <w:r w:rsidR="007F6E5B">
        <w:t xml:space="preserve"> </w:t>
      </w:r>
      <w:proofErr w:type="spellStart"/>
      <w:r w:rsidR="007F6E5B">
        <w:t>alfa</w:t>
      </w:r>
      <w:proofErr w:type="spellEnd"/>
      <w:r w:rsidR="007F6E5B">
        <w:t xml:space="preserve"> and ribavirin which are contraindicated in patients with liver cirrhosis and a Child-Pugh score ≥ 6.  </w:t>
      </w:r>
    </w:p>
    <w:p w:rsidR="00C504AE" w:rsidRDefault="00C504AE" w:rsidP="00FC56D9"/>
    <w:p w:rsidR="003C568A" w:rsidRPr="003C568A" w:rsidRDefault="003C568A" w:rsidP="003C568A">
      <w:pPr>
        <w:rPr>
          <w:i/>
        </w:rPr>
      </w:pPr>
      <w:r w:rsidRPr="003C568A">
        <w:rPr>
          <w:i/>
        </w:rPr>
        <w:t xml:space="preserve">Race </w:t>
      </w:r>
    </w:p>
    <w:p w:rsidR="00FC56D9" w:rsidRPr="003C568A" w:rsidRDefault="003C568A" w:rsidP="003C568A">
      <w:r w:rsidRPr="003C568A">
        <w:t>Given limited data, the potential risks and benefits of OLYSIO should be carefully considered prior to use in East Asian patients (see Pharmacokinetics).</w:t>
      </w:r>
      <w:r>
        <w:t xml:space="preserve">  </w:t>
      </w:r>
    </w:p>
    <w:p w:rsidR="003C568A" w:rsidRPr="00AF6861" w:rsidRDefault="003C568A" w:rsidP="00FC56D9">
      <w:pPr>
        <w:rPr>
          <w:b/>
        </w:rPr>
      </w:pPr>
    </w:p>
    <w:p w:rsidR="00FC56D9" w:rsidRPr="00AF6861" w:rsidRDefault="00FC56D9" w:rsidP="00FC56D9">
      <w:pPr>
        <w:pStyle w:val="Heading4"/>
        <w:rPr>
          <w:i w:val="0"/>
        </w:rPr>
      </w:pPr>
      <w:r w:rsidRPr="00AF6861">
        <w:t>Human immunodeficiency virus type 1 (HIV</w:t>
      </w:r>
      <w:r w:rsidRPr="00AF6861">
        <w:noBreakHyphen/>
        <w:t>1) co</w:t>
      </w:r>
      <w:r w:rsidRPr="00AF6861">
        <w:noBreakHyphen/>
        <w:t>infection</w:t>
      </w:r>
    </w:p>
    <w:p w:rsidR="00FC56D9" w:rsidRPr="00AF6861" w:rsidRDefault="00FC56D9" w:rsidP="00FC56D9">
      <w:r w:rsidRPr="00AF6861">
        <w:t xml:space="preserve">No dose adjustment of </w:t>
      </w:r>
      <w:r w:rsidR="00194D66">
        <w:t>OLYSIO</w:t>
      </w:r>
      <w:r w:rsidRPr="00AF6861">
        <w:t xml:space="preserve"> is required in </w:t>
      </w:r>
      <w:r>
        <w:t>patients with HCV g</w:t>
      </w:r>
      <w:r w:rsidRPr="00AF6861">
        <w:t>enotype 1</w:t>
      </w:r>
      <w:r>
        <w:t xml:space="preserve"> or genotype</w:t>
      </w:r>
      <w:r w:rsidRPr="00AF6861">
        <w:t> </w:t>
      </w:r>
      <w:r>
        <w:t>4 co</w:t>
      </w:r>
      <w:r w:rsidRPr="00AF6861">
        <w:noBreakHyphen/>
      </w:r>
      <w:r w:rsidRPr="00A82DAA">
        <w:t>infection</w:t>
      </w:r>
      <w:r>
        <w:t xml:space="preserve"> with </w:t>
      </w:r>
      <w:r w:rsidRPr="00AF6861">
        <w:t>HIV</w:t>
      </w:r>
      <w:r w:rsidRPr="00AF6861">
        <w:noBreakHyphen/>
        <w:t xml:space="preserve">1 (see </w:t>
      </w:r>
      <w:r w:rsidRPr="00AF6861">
        <w:rPr>
          <w:i/>
        </w:rPr>
        <w:t xml:space="preserve">Adverse </w:t>
      </w:r>
      <w:r w:rsidR="004F1CD8">
        <w:rPr>
          <w:i/>
        </w:rPr>
        <w:t>Effects</w:t>
      </w:r>
      <w:r w:rsidRPr="00AF6861">
        <w:t xml:space="preserve">, </w:t>
      </w:r>
      <w:r w:rsidR="004F1CD8">
        <w:rPr>
          <w:i/>
        </w:rPr>
        <w:t>Clinical Trials</w:t>
      </w:r>
      <w:r w:rsidRPr="00AF6861">
        <w:t xml:space="preserve">, </w:t>
      </w:r>
      <w:r w:rsidR="004F1CD8">
        <w:rPr>
          <w:i/>
        </w:rPr>
        <w:t>Pharmacokinetic</w:t>
      </w:r>
      <w:r w:rsidRPr="00AF6861">
        <w:rPr>
          <w:i/>
        </w:rPr>
        <w:t>s</w:t>
      </w:r>
      <w:r w:rsidR="008041ED">
        <w:rPr>
          <w:i/>
        </w:rPr>
        <w:t xml:space="preserve"> </w:t>
      </w:r>
      <w:r w:rsidR="008041ED" w:rsidRPr="008041ED">
        <w:t>sections</w:t>
      </w:r>
      <w:r w:rsidRPr="00AF6861">
        <w:t>).</w:t>
      </w:r>
      <w:r w:rsidRPr="0063655C">
        <w:t xml:space="preserve"> </w:t>
      </w:r>
      <w:r w:rsidRPr="00AF6861">
        <w:t xml:space="preserve">For information on interactions with antiretroviral agents, see </w:t>
      </w:r>
      <w:r w:rsidRPr="00AF6861">
        <w:rPr>
          <w:i/>
        </w:rPr>
        <w:t>Interactions</w:t>
      </w:r>
      <w:r w:rsidR="008041ED">
        <w:rPr>
          <w:i/>
        </w:rPr>
        <w:t xml:space="preserve"> with other medicines</w:t>
      </w:r>
      <w:r w:rsidRPr="00AF6861">
        <w:t>.</w:t>
      </w:r>
    </w:p>
    <w:p w:rsidR="00A93B4C" w:rsidRDefault="00A93B4C" w:rsidP="009F3479"/>
    <w:p w:rsidR="00B0058A" w:rsidRPr="00AF6861" w:rsidRDefault="00B0058A" w:rsidP="00B0058A">
      <w:pPr>
        <w:pStyle w:val="Heading3"/>
        <w:rPr>
          <w:bCs w:val="0"/>
        </w:rPr>
      </w:pPr>
      <w:r w:rsidRPr="00AF6861">
        <w:lastRenderedPageBreak/>
        <w:t>Administration</w:t>
      </w:r>
    </w:p>
    <w:p w:rsidR="00B0058A" w:rsidRDefault="00194D66" w:rsidP="00B0058A">
      <w:r>
        <w:t>OLYSIO</w:t>
      </w:r>
      <w:r w:rsidR="00B0058A" w:rsidRPr="00AF6861">
        <w:t xml:space="preserve"> should be taken orally once a day with food. The type of food does not affect exposure to </w:t>
      </w:r>
      <w:proofErr w:type="spellStart"/>
      <w:r w:rsidR="00B0058A" w:rsidRPr="00AF6861">
        <w:t>simeprevir</w:t>
      </w:r>
      <w:proofErr w:type="spellEnd"/>
      <w:r w:rsidR="00B0058A" w:rsidRPr="00AF6861">
        <w:t xml:space="preserve"> (see </w:t>
      </w:r>
      <w:r w:rsidR="00B0058A" w:rsidRPr="00AF6861">
        <w:rPr>
          <w:i/>
        </w:rPr>
        <w:t>Pharmacokinetics</w:t>
      </w:r>
      <w:r w:rsidR="00B0058A" w:rsidRPr="00AF6861">
        <w:t>). The capsule should be swallowed as a whole.</w:t>
      </w:r>
    </w:p>
    <w:p w:rsidR="00B0058A" w:rsidRPr="00AF6861" w:rsidRDefault="00B0058A" w:rsidP="00B0058A"/>
    <w:p w:rsidR="002F0EB2" w:rsidRDefault="00194D66" w:rsidP="009F3479">
      <w:r>
        <w:t>OLYSIO</w:t>
      </w:r>
      <w:r w:rsidR="00B0058A" w:rsidRPr="00AF6861">
        <w:t xml:space="preserve"> must be used in combination with </w:t>
      </w:r>
      <w:proofErr w:type="spellStart"/>
      <w:r w:rsidR="00B0058A" w:rsidRPr="00AF6861">
        <w:t>peginterferon</w:t>
      </w:r>
      <w:proofErr w:type="spellEnd"/>
      <w:r w:rsidR="00B0058A" w:rsidRPr="00AF6861">
        <w:t xml:space="preserve"> </w:t>
      </w:r>
      <w:proofErr w:type="spellStart"/>
      <w:r w:rsidR="00B0058A" w:rsidRPr="00AF6861">
        <w:t>alfa</w:t>
      </w:r>
      <w:proofErr w:type="spellEnd"/>
      <w:r w:rsidR="00B0058A" w:rsidRPr="00AF6861">
        <w:t xml:space="preserve"> and ribavirin. For </w:t>
      </w:r>
      <w:proofErr w:type="spellStart"/>
      <w:r w:rsidR="00B0058A" w:rsidRPr="00A82DAA">
        <w:t>peginterferon</w:t>
      </w:r>
      <w:proofErr w:type="spellEnd"/>
      <w:r w:rsidR="00B0058A" w:rsidRPr="00A82DAA">
        <w:t xml:space="preserve"> </w:t>
      </w:r>
      <w:proofErr w:type="spellStart"/>
      <w:r w:rsidR="00B0058A" w:rsidRPr="00A82DAA">
        <w:t>alfa</w:t>
      </w:r>
      <w:proofErr w:type="spellEnd"/>
      <w:r w:rsidR="00B0058A" w:rsidRPr="00A82DAA">
        <w:t xml:space="preserve"> and ribavirin dosage instructions, see</w:t>
      </w:r>
      <w:r w:rsidR="00B0058A" w:rsidRPr="00AF6861">
        <w:t xml:space="preserve"> the respective </w:t>
      </w:r>
      <w:r w:rsidR="0037285D">
        <w:t>product</w:t>
      </w:r>
      <w:r w:rsidR="00B0058A" w:rsidRPr="00AF6861">
        <w:t xml:space="preserve"> information.</w:t>
      </w:r>
    </w:p>
    <w:p w:rsidR="003B09E3" w:rsidRDefault="003A72D8" w:rsidP="00146A47">
      <w:pPr>
        <w:pStyle w:val="Heading1"/>
      </w:pPr>
      <w:r>
        <w:t>OVERDOSAGE</w:t>
      </w:r>
    </w:p>
    <w:p w:rsidR="00B21A80" w:rsidRPr="00B21A80" w:rsidRDefault="00B21A80" w:rsidP="00B21A80">
      <w:pPr>
        <w:pStyle w:val="Heading3"/>
      </w:pPr>
      <w:r w:rsidRPr="00B21A80">
        <w:t>Symptoms and signs</w:t>
      </w:r>
    </w:p>
    <w:p w:rsidR="00B21A80" w:rsidRDefault="00B21A80" w:rsidP="00904AF2">
      <w:r w:rsidRPr="00AF6861">
        <w:t xml:space="preserve">Human experience of overdose with </w:t>
      </w:r>
      <w:r w:rsidR="00194D66">
        <w:t>OLYSIO</w:t>
      </w:r>
      <w:r w:rsidRPr="00AF6861">
        <w:t xml:space="preserve"> is limited. </w:t>
      </w:r>
      <w:r w:rsidR="00194D66">
        <w:t>OLYSIO</w:t>
      </w:r>
      <w:r w:rsidRPr="00AF6861">
        <w:t xml:space="preserve"> was generally well tolerated when given as single doses up to 600 mg or once daily doses up to 400 mg for 5 days in healthy adult </w:t>
      </w:r>
      <w:r w:rsidR="0037285D">
        <w:t>participants</w:t>
      </w:r>
      <w:r w:rsidRPr="00AF6861">
        <w:t xml:space="preserve">, and as 200 mg once daily for 4 weeks in adult patients with </w:t>
      </w:r>
      <w:r w:rsidRPr="0026162F">
        <w:t>HCV</w:t>
      </w:r>
      <w:r w:rsidRPr="00AF6861">
        <w:t>.</w:t>
      </w:r>
      <w:r w:rsidR="00904AF2">
        <w:t xml:space="preserve">  OLYSIO mildly inhibits intestinal CYP3A, but not hepatic CYP3A.  </w:t>
      </w:r>
      <w:proofErr w:type="spellStart"/>
      <w:r w:rsidR="00904AF2">
        <w:t>Coadministration</w:t>
      </w:r>
      <w:proofErr w:type="spellEnd"/>
      <w:r w:rsidR="00904AF2">
        <w:t xml:space="preserve"> of OLYSIO with orally administered drugs that are solely dependent on CYP3A4 for their elimination may result in increased plasma concentrations of such drugs and may cause life threatening consequences in case of drugs with narrow therapeutic index.  </w:t>
      </w:r>
    </w:p>
    <w:p w:rsidR="00B21A80" w:rsidRPr="00AF6861" w:rsidRDefault="00B21A80" w:rsidP="00B21A80"/>
    <w:p w:rsidR="00B21A80" w:rsidRPr="00B21A80" w:rsidRDefault="00B21A80" w:rsidP="00B21A80">
      <w:pPr>
        <w:pStyle w:val="Heading3"/>
      </w:pPr>
      <w:r w:rsidRPr="00B21A80">
        <w:t>Treatment</w:t>
      </w:r>
    </w:p>
    <w:p w:rsidR="00B21A80" w:rsidRDefault="00B21A80" w:rsidP="00B21A80">
      <w:r w:rsidRPr="00AF6861">
        <w:t xml:space="preserve">There is no specific antidote for overdose with </w:t>
      </w:r>
      <w:r w:rsidR="00194D66">
        <w:t>OLYSIO</w:t>
      </w:r>
      <w:r w:rsidRPr="00AF6861">
        <w:t>. In the event of an overdose, it is recommended to employ the usual supportive measures and observing the patient’s clinical status.</w:t>
      </w:r>
    </w:p>
    <w:p w:rsidR="00B21A80" w:rsidRPr="00AF6861" w:rsidRDefault="00B21A80" w:rsidP="00B21A80"/>
    <w:p w:rsidR="00B21A80" w:rsidRPr="009431DB" w:rsidRDefault="00B21A80" w:rsidP="00B21A80">
      <w:proofErr w:type="spellStart"/>
      <w:r w:rsidRPr="00B21A80">
        <w:t>Simeprevir</w:t>
      </w:r>
      <w:proofErr w:type="spellEnd"/>
      <w:r w:rsidRPr="00B21A80">
        <w:t xml:space="preserve"> is highly protein </w:t>
      </w:r>
      <w:proofErr w:type="gramStart"/>
      <w:r w:rsidRPr="00B21A80">
        <w:t>bound,</w:t>
      </w:r>
      <w:proofErr w:type="gramEnd"/>
      <w:r w:rsidRPr="00B21A80">
        <w:t xml:space="preserve"> therefore dialysis is unlikely to result in significant removal of </w:t>
      </w:r>
      <w:proofErr w:type="spellStart"/>
      <w:r w:rsidRPr="00B21A80">
        <w:t>simeprevir</w:t>
      </w:r>
      <w:proofErr w:type="spellEnd"/>
      <w:r w:rsidRPr="00AF6861">
        <w:t xml:space="preserve"> (see </w:t>
      </w:r>
      <w:r>
        <w:rPr>
          <w:i/>
        </w:rPr>
        <w:t>Pharmacokinetic</w:t>
      </w:r>
      <w:r w:rsidRPr="00AF6861">
        <w:rPr>
          <w:i/>
        </w:rPr>
        <w:t>s</w:t>
      </w:r>
      <w:r w:rsidRPr="00AF6861">
        <w:t>).</w:t>
      </w:r>
    </w:p>
    <w:p w:rsidR="00B21A80" w:rsidRDefault="00B21A80" w:rsidP="009F3479"/>
    <w:p w:rsidR="003B09E3" w:rsidRDefault="003A72D8" w:rsidP="00146A47">
      <w:pPr>
        <w:pStyle w:val="Heading1"/>
      </w:pPr>
      <w:r>
        <w:t>PRESENTATION AND STORAGE CONDITIONS</w:t>
      </w:r>
    </w:p>
    <w:p w:rsidR="00DC59BC" w:rsidRPr="00B5772C" w:rsidRDefault="00194D66" w:rsidP="009F3479">
      <w:r>
        <w:t>OLYSIO</w:t>
      </w:r>
      <w:r w:rsidR="00B5772C" w:rsidRPr="00B5772C">
        <w:t xml:space="preserve"> 1</w:t>
      </w:r>
      <w:r w:rsidR="00410797" w:rsidRPr="00B5772C">
        <w:t>5</w:t>
      </w:r>
      <w:r w:rsidR="00B5772C" w:rsidRPr="00B5772C">
        <w:t>0 mg capsules</w:t>
      </w:r>
      <w:r w:rsidR="00410797" w:rsidRPr="00B5772C">
        <w:t xml:space="preserve"> </w:t>
      </w:r>
      <w:r w:rsidR="00B5772C" w:rsidRPr="00B5772C">
        <w:t>are white (white body/white cap)</w:t>
      </w:r>
      <w:r w:rsidR="00410797" w:rsidRPr="00B5772C">
        <w:t>,</w:t>
      </w:r>
      <w:r w:rsidR="00B5772C" w:rsidRPr="00B5772C">
        <w:t xml:space="preserve"> with “TMC435 150” printed in black ink.</w:t>
      </w:r>
    </w:p>
    <w:p w:rsidR="00DC59BC" w:rsidRPr="003758BE" w:rsidRDefault="00DC59BC" w:rsidP="009F3479">
      <w:pPr>
        <w:rPr>
          <w:highlight w:val="yellow"/>
        </w:rPr>
      </w:pPr>
    </w:p>
    <w:p w:rsidR="00E71CEC" w:rsidRDefault="00194D66" w:rsidP="009F3479">
      <w:pPr>
        <w:rPr>
          <w:highlight w:val="yellow"/>
        </w:rPr>
      </w:pPr>
      <w:r>
        <w:t>OLYSIO</w:t>
      </w:r>
      <w:r w:rsidR="00E71CEC" w:rsidRPr="00E71CEC">
        <w:t xml:space="preserve"> capsules are provided in a </w:t>
      </w:r>
      <w:r w:rsidR="00E71CEC" w:rsidRPr="00E71CEC">
        <w:rPr>
          <w:noProof/>
          <w:szCs w:val="22"/>
        </w:rPr>
        <w:t>polyvinylchloride</w:t>
      </w:r>
      <w:r w:rsidR="00E71CEC" w:rsidRPr="00600F65">
        <w:rPr>
          <w:noProof/>
          <w:szCs w:val="22"/>
        </w:rPr>
        <w:t>/polyethylene/polyvinylidenechloride (PVC/PE/PVDC) aluminium push</w:t>
      </w:r>
      <w:r w:rsidR="00E71CEC" w:rsidRPr="00600F65">
        <w:rPr>
          <w:noProof/>
          <w:szCs w:val="22"/>
        </w:rPr>
        <w:noBreakHyphen/>
        <w:t>through blister strips of 7 capsules</w:t>
      </w:r>
      <w:r w:rsidR="00E71CEC">
        <w:rPr>
          <w:noProof/>
          <w:szCs w:val="22"/>
        </w:rPr>
        <w:t xml:space="preserve"> contained within an outer carton. </w:t>
      </w:r>
      <w:r>
        <w:rPr>
          <w:noProof/>
          <w:szCs w:val="22"/>
        </w:rPr>
        <w:t>OLYSIO</w:t>
      </w:r>
      <w:r w:rsidR="00E71CEC">
        <w:rPr>
          <w:noProof/>
          <w:szCs w:val="22"/>
        </w:rPr>
        <w:t xml:space="preserve"> is available in pack sizes of </w:t>
      </w:r>
      <w:r w:rsidR="00E71CEC" w:rsidRPr="00600F65">
        <w:rPr>
          <w:bCs/>
          <w:noProof/>
          <w:szCs w:val="22"/>
        </w:rPr>
        <w:t>7 or 28 capsules</w:t>
      </w:r>
      <w:r w:rsidR="00E71CEC">
        <w:rPr>
          <w:bCs/>
          <w:noProof/>
          <w:szCs w:val="22"/>
        </w:rPr>
        <w:t>*</w:t>
      </w:r>
      <w:r w:rsidR="00E71CEC" w:rsidRPr="00600F65">
        <w:rPr>
          <w:bCs/>
          <w:noProof/>
          <w:szCs w:val="22"/>
        </w:rPr>
        <w:t>.</w:t>
      </w:r>
      <w:r w:rsidR="00E71CEC">
        <w:rPr>
          <w:bCs/>
          <w:noProof/>
          <w:szCs w:val="22"/>
        </w:rPr>
        <w:t xml:space="preserve"> </w:t>
      </w:r>
    </w:p>
    <w:p w:rsidR="00E71CEC" w:rsidRPr="003F64EC" w:rsidRDefault="00E71CEC" w:rsidP="009F3479">
      <w:r w:rsidRPr="003F64EC">
        <w:t xml:space="preserve">*Not all pack sizes </w:t>
      </w:r>
      <w:r w:rsidR="003F64EC" w:rsidRPr="003F64EC">
        <w:t>may be available.</w:t>
      </w:r>
    </w:p>
    <w:p w:rsidR="00DC59BC" w:rsidRPr="003758BE" w:rsidRDefault="00DC59BC" w:rsidP="009F3479">
      <w:pPr>
        <w:rPr>
          <w:highlight w:val="yellow"/>
        </w:rPr>
      </w:pPr>
    </w:p>
    <w:p w:rsidR="00594CF4" w:rsidRPr="00E8186D" w:rsidRDefault="00DC59BC" w:rsidP="00E8186D">
      <w:pPr>
        <w:rPr>
          <w:noProof/>
          <w:szCs w:val="22"/>
        </w:rPr>
      </w:pPr>
      <w:r w:rsidRPr="00F253F0">
        <w:t>Store below 30</w:t>
      </w:r>
      <w:r w:rsidRPr="00F253F0">
        <w:rPr>
          <w:rFonts w:cs="Arial"/>
        </w:rPr>
        <w:t>°</w:t>
      </w:r>
      <w:r w:rsidRPr="00F253F0">
        <w:t xml:space="preserve">C.  </w:t>
      </w:r>
      <w:r w:rsidR="00E71CEC" w:rsidRPr="00F253F0">
        <w:rPr>
          <w:noProof/>
          <w:szCs w:val="22"/>
        </w:rPr>
        <w:t>Store in the original container</w:t>
      </w:r>
      <w:r w:rsidR="00A855F9" w:rsidRPr="00F253F0">
        <w:rPr>
          <w:noProof/>
          <w:szCs w:val="22"/>
        </w:rPr>
        <w:t>.</w:t>
      </w:r>
      <w:r w:rsidR="008157CB" w:rsidRPr="00F253F0">
        <w:rPr>
          <w:noProof/>
          <w:szCs w:val="22"/>
        </w:rPr>
        <w:t xml:space="preserve"> </w:t>
      </w:r>
      <w:r w:rsidR="00A855F9" w:rsidRPr="00F253F0">
        <w:rPr>
          <w:noProof/>
          <w:szCs w:val="22"/>
        </w:rPr>
        <w:t>P</w:t>
      </w:r>
      <w:r w:rsidR="008157CB" w:rsidRPr="00F253F0">
        <w:rPr>
          <w:noProof/>
          <w:szCs w:val="22"/>
        </w:rPr>
        <w:t>rotect from light</w:t>
      </w:r>
      <w:r w:rsidRPr="00F253F0">
        <w:rPr>
          <w:noProof/>
          <w:szCs w:val="22"/>
        </w:rPr>
        <w:t>.</w:t>
      </w:r>
    </w:p>
    <w:p w:rsidR="003B09E3" w:rsidRDefault="003A72D8" w:rsidP="00146A47">
      <w:pPr>
        <w:pStyle w:val="Heading1"/>
      </w:pPr>
      <w:r>
        <w:t>NAME and ADDRESS OF Sponsor</w:t>
      </w:r>
    </w:p>
    <w:p w:rsidR="003B09E3" w:rsidRPr="005F1B74" w:rsidRDefault="00B84836" w:rsidP="009F3479">
      <w:pPr>
        <w:rPr>
          <w:lang w:val="en-US"/>
        </w:rPr>
      </w:pPr>
      <w:r w:rsidRPr="005F1B74">
        <w:rPr>
          <w:lang w:val="en-US"/>
        </w:rPr>
        <w:t xml:space="preserve">JANSSEN-CILAG Pty Ltd </w:t>
      </w:r>
    </w:p>
    <w:p w:rsidR="006F6D21" w:rsidRPr="005F1B74" w:rsidRDefault="003A72D8" w:rsidP="009F3479">
      <w:r w:rsidRPr="005F1B74">
        <w:t xml:space="preserve">1-5 Khartoum Rd </w:t>
      </w:r>
    </w:p>
    <w:p w:rsidR="003B09E3" w:rsidRDefault="006F6D21" w:rsidP="009F3479">
      <w:r>
        <w:t>Macquarie Park</w:t>
      </w:r>
      <w:r w:rsidR="003A72D8">
        <w:t xml:space="preserve"> NSW 2113 Australia</w:t>
      </w:r>
    </w:p>
    <w:p w:rsidR="00261AB5" w:rsidRPr="00F561C7" w:rsidRDefault="003A72D8" w:rsidP="00F561C7">
      <w:pPr>
        <w:pStyle w:val="PIEXPLAIN"/>
        <w:keepLines/>
        <w:tabs>
          <w:tab w:val="clear" w:pos="-720"/>
        </w:tabs>
        <w:suppressAutoHyphens w:val="0"/>
        <w:spacing w:before="0" w:after="0"/>
        <w:rPr>
          <w:spacing w:val="0"/>
        </w:rPr>
      </w:pPr>
      <w:r>
        <w:rPr>
          <w:spacing w:val="0"/>
        </w:rPr>
        <w:t>NZ Office: Auckland New Zealand</w:t>
      </w:r>
    </w:p>
    <w:p w:rsidR="003B09E3" w:rsidRDefault="002D49F1" w:rsidP="00146A47">
      <w:pPr>
        <w:pStyle w:val="Heading1"/>
      </w:pPr>
      <w:r>
        <w:t>poison schedule of the MEDICINE</w:t>
      </w:r>
    </w:p>
    <w:p w:rsidR="003B09E3" w:rsidRDefault="003A72D8" w:rsidP="009F3479">
      <w:pPr>
        <w:pStyle w:val="PIEXPLAIN"/>
        <w:keepLines/>
      </w:pPr>
      <w:r>
        <w:t>Prescription Only Medicine</w:t>
      </w:r>
      <w:r w:rsidR="00E460DA">
        <w:t xml:space="preserve"> (Schedule 4)</w:t>
      </w:r>
    </w:p>
    <w:p w:rsidR="002D49F1" w:rsidRPr="002D49F1" w:rsidRDefault="002D49F1" w:rsidP="002D49F1">
      <w:pPr>
        <w:pStyle w:val="Heading1"/>
        <w:rPr>
          <w:lang w:val="en-US"/>
        </w:rPr>
      </w:pPr>
      <w:r w:rsidRPr="002D49F1">
        <w:rPr>
          <w:lang w:val="en-US"/>
        </w:rPr>
        <w:t xml:space="preserve">Date of </w:t>
      </w:r>
      <w:r>
        <w:rPr>
          <w:lang w:val="en-US"/>
        </w:rPr>
        <w:t>first inclusion in the ARTG</w:t>
      </w:r>
    </w:p>
    <w:p w:rsidR="002D49F1" w:rsidRDefault="00DA3860" w:rsidP="009F3479">
      <w:pPr>
        <w:pStyle w:val="PIEXPLAIN"/>
        <w:keepLines/>
      </w:pPr>
      <w:r>
        <w:t>18 July 2014</w:t>
      </w:r>
    </w:p>
    <w:sectPr w:rsidR="002D49F1" w:rsidSect="001C6A82">
      <w:headerReference w:type="default" r:id="rId14"/>
      <w:type w:val="continuous"/>
      <w:pgSz w:w="11909" w:h="16834" w:code="9"/>
      <w:pgMar w:top="1134" w:right="1418" w:bottom="851" w:left="1134" w:header="284" w:footer="35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06" w:rsidRDefault="000A5006">
      <w:r>
        <w:separator/>
      </w:r>
    </w:p>
  </w:endnote>
  <w:endnote w:type="continuationSeparator" w:id="0">
    <w:p w:rsidR="000A5006" w:rsidRDefault="000A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y">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9F" w:rsidRPr="00E71CEC" w:rsidRDefault="00B34F9F" w:rsidP="00E71CEC">
    <w:pPr>
      <w:pBdr>
        <w:top w:val="single" w:sz="6" w:space="1" w:color="auto"/>
      </w:pBdr>
      <w:tabs>
        <w:tab w:val="center" w:pos="4536"/>
        <w:tab w:val="right" w:pos="9072"/>
      </w:tabs>
      <w:suppressAutoHyphens/>
      <w:spacing w:before="240"/>
      <w:rPr>
        <w:spacing w:val="-2"/>
        <w:sz w:val="16"/>
      </w:rPr>
    </w:pPr>
    <w:r>
      <w:rPr>
        <w:spacing w:val="-2"/>
        <w:sz w:val="16"/>
      </w:rPr>
      <w:t>CCDS 130328</w:t>
    </w:r>
    <w:r>
      <w:rPr>
        <w:spacing w:val="-2"/>
        <w:sz w:val="16"/>
      </w:rPr>
      <w:tab/>
    </w:r>
    <w:r>
      <w:rPr>
        <w:sz w:val="16"/>
      </w:rPr>
      <w:fldChar w:fldCharType="begin"/>
    </w:r>
    <w:r>
      <w:rPr>
        <w:sz w:val="16"/>
      </w:rPr>
      <w:instrText xml:space="preserve"> PAGE </w:instrText>
    </w:r>
    <w:r>
      <w:rPr>
        <w:sz w:val="16"/>
      </w:rPr>
      <w:fldChar w:fldCharType="separate"/>
    </w:r>
    <w:r w:rsidR="0051373A">
      <w:rPr>
        <w:noProof/>
        <w:sz w:val="16"/>
      </w:rPr>
      <w:t>33</w:t>
    </w:r>
    <w:r>
      <w:rPr>
        <w:sz w:val="16"/>
      </w:rPr>
      <w:fldChar w:fldCharType="end"/>
    </w:r>
    <w:r>
      <w:rPr>
        <w:spacing w:val="-2"/>
        <w:sz w:val="16"/>
      </w:rPr>
      <w:tab/>
    </w:r>
    <w:proofErr w:type="gramStart"/>
    <w:r>
      <w:rPr>
        <w:spacing w:val="-2"/>
        <w:sz w:val="16"/>
      </w:rPr>
      <w:t>OLYSIO(</w:t>
    </w:r>
    <w:proofErr w:type="gramEnd"/>
    <w:r w:rsidRPr="00194D66">
      <w:rPr>
        <w:spacing w:val="-2"/>
        <w:sz w:val="16"/>
      </w:rPr>
      <w:t>14</w:t>
    </w:r>
    <w:r w:rsidR="00BF52AB">
      <w:rPr>
        <w:spacing w:val="-2"/>
        <w:sz w:val="16"/>
      </w:rPr>
      <w:t>07</w:t>
    </w:r>
    <w:r w:rsidR="00DA3860">
      <w:rPr>
        <w:spacing w:val="-2"/>
        <w:sz w:val="16"/>
      </w:rPr>
      <w:t>10)A</w:t>
    </w:r>
    <w:r>
      <w:rPr>
        <w:spacing w:val="-2"/>
        <w:sz w:val="16"/>
      </w:rPr>
      <w:t>PI 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06" w:rsidRDefault="000A5006">
      <w:r>
        <w:separator/>
      </w:r>
    </w:p>
  </w:footnote>
  <w:footnote w:type="continuationSeparator" w:id="0">
    <w:p w:rsidR="000A5006" w:rsidRDefault="000A5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82" w:rsidRDefault="001C6A82" w:rsidP="001C6A82">
    <w:pPr>
      <w:jc w:val="right"/>
      <w:rPr>
        <w:i/>
      </w:rPr>
    </w:pPr>
    <w:r>
      <w:rPr>
        <w:noProof/>
        <w:lang w:eastAsia="en-AU"/>
      </w:rPr>
      <w:drawing>
        <wp:inline distT="0" distB="0" distL="0" distR="0">
          <wp:extent cx="1828800" cy="819785"/>
          <wp:effectExtent l="0" t="0" r="0" b="0"/>
          <wp:docPr id="19" name="Picture 2"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ssen_Cons_RGB"/>
                  <pic:cNvPicPr>
                    <a:picLocks noChangeAspect="1" noChangeArrowheads="1"/>
                  </pic:cNvPicPr>
                </pic:nvPicPr>
                <pic:blipFill>
                  <a:blip r:embed="rId1">
                    <a:extLst>
                      <a:ext uri="{28A0092B-C50C-407E-A947-70E740481C1C}">
                        <a14:useLocalDpi xmlns:a14="http://schemas.microsoft.com/office/drawing/2010/main" val="0"/>
                      </a:ext>
                    </a:extLst>
                  </a:blip>
                  <a:srcRect t="23622" b="31496"/>
                  <a:stretch>
                    <a:fillRect/>
                  </a:stretch>
                </pic:blipFill>
                <pic:spPr bwMode="auto">
                  <a:xfrm>
                    <a:off x="0" y="0"/>
                    <a:ext cx="1828800" cy="819785"/>
                  </a:xfrm>
                  <a:prstGeom prst="rect">
                    <a:avLst/>
                  </a:prstGeom>
                  <a:noFill/>
                  <a:ln>
                    <a:noFill/>
                  </a:ln>
                </pic:spPr>
              </pic:pic>
            </a:graphicData>
          </a:graphic>
        </wp:inline>
      </w:drawing>
    </w:r>
  </w:p>
  <w:tbl>
    <w:tblPr>
      <w:tblStyle w:val="TableGrid"/>
      <w:tblW w:w="0" w:type="auto"/>
      <w:shd w:val="clear" w:color="auto" w:fill="E4F2E0"/>
      <w:tblLook w:val="04A0" w:firstRow="1" w:lastRow="0" w:firstColumn="1" w:lastColumn="0" w:noHBand="0" w:noVBand="1"/>
    </w:tblPr>
    <w:tblGrid>
      <w:gridCol w:w="9464"/>
    </w:tblGrid>
    <w:tr w:rsidR="001C6A82" w:rsidRPr="001C6A82" w:rsidTr="001C6A82">
      <w:tc>
        <w:tcPr>
          <w:tcW w:w="9464" w:type="dxa"/>
          <w:shd w:val="clear" w:color="auto" w:fill="E4F2E0"/>
        </w:tcPr>
        <w:p w:rsidR="001C6A82" w:rsidRPr="001C6A82" w:rsidRDefault="001C6A82" w:rsidP="004D4325">
          <w:pPr>
            <w:spacing w:before="40" w:after="40"/>
            <w:rPr>
              <w:rFonts w:asciiTheme="majorHAnsi" w:hAnsiTheme="majorHAnsi"/>
              <w:b/>
              <w:sz w:val="20"/>
            </w:rPr>
          </w:pPr>
          <w:r w:rsidRPr="001C6A82">
            <w:rPr>
              <w:rFonts w:asciiTheme="majorHAnsi" w:hAnsiTheme="majorHAnsi"/>
              <w:b/>
              <w:sz w:val="20"/>
            </w:rPr>
            <w:t xml:space="preserve">Attachment 1: Product information for </w:t>
          </w:r>
          <w:proofErr w:type="spellStart"/>
          <w:r w:rsidRPr="001C6A82">
            <w:rPr>
              <w:rFonts w:asciiTheme="majorHAnsi" w:hAnsiTheme="majorHAnsi"/>
              <w:b/>
              <w:sz w:val="20"/>
            </w:rPr>
            <w:t>AusPAR</w:t>
          </w:r>
          <w:proofErr w:type="spellEnd"/>
          <w:r w:rsidRPr="001C6A82">
            <w:rPr>
              <w:rFonts w:asciiTheme="majorHAnsi" w:hAnsiTheme="majorHAnsi"/>
              <w:b/>
              <w:sz w:val="20"/>
            </w:rPr>
            <w:t xml:space="preserve"> </w:t>
          </w:r>
          <w:proofErr w:type="spellStart"/>
          <w:r w:rsidRPr="001C6A82">
            <w:rPr>
              <w:rFonts w:asciiTheme="majorHAnsi" w:hAnsiTheme="majorHAnsi"/>
              <w:b/>
              <w:sz w:val="20"/>
            </w:rPr>
            <w:t>Olysio</w:t>
          </w:r>
          <w:proofErr w:type="spellEnd"/>
          <w:r w:rsidRPr="001C6A82">
            <w:rPr>
              <w:rFonts w:asciiTheme="majorHAnsi" w:hAnsiTheme="majorHAnsi"/>
              <w:b/>
              <w:sz w:val="20"/>
            </w:rPr>
            <w:t xml:space="preserve">/Janssen </w:t>
          </w:r>
          <w:proofErr w:type="spellStart"/>
          <w:r w:rsidRPr="001C6A82">
            <w:rPr>
              <w:rFonts w:asciiTheme="majorHAnsi" w:hAnsiTheme="majorHAnsi"/>
              <w:b/>
              <w:sz w:val="20"/>
            </w:rPr>
            <w:t>Simeprevir</w:t>
          </w:r>
          <w:proofErr w:type="spellEnd"/>
          <w:r w:rsidRPr="001C6A82">
            <w:rPr>
              <w:rFonts w:asciiTheme="majorHAnsi" w:hAnsiTheme="majorHAnsi"/>
              <w:b/>
              <w:sz w:val="20"/>
            </w:rPr>
            <w:t xml:space="preserve">, </w:t>
          </w:r>
          <w:proofErr w:type="spellStart"/>
          <w:r w:rsidRPr="001C6A82">
            <w:rPr>
              <w:rFonts w:asciiTheme="majorHAnsi" w:hAnsiTheme="majorHAnsi"/>
              <w:b/>
              <w:sz w:val="20"/>
            </w:rPr>
            <w:t>simeprevir</w:t>
          </w:r>
          <w:proofErr w:type="spellEnd"/>
          <w:r w:rsidRPr="001C6A82">
            <w:rPr>
              <w:rFonts w:asciiTheme="majorHAnsi" w:hAnsiTheme="majorHAnsi"/>
              <w:b/>
              <w:sz w:val="20"/>
            </w:rPr>
            <w:t xml:space="preserve"> (as sodium) Janssen </w:t>
          </w:r>
          <w:proofErr w:type="spellStart"/>
          <w:r w:rsidRPr="001C6A82">
            <w:rPr>
              <w:rFonts w:asciiTheme="majorHAnsi" w:hAnsiTheme="majorHAnsi"/>
              <w:b/>
              <w:sz w:val="20"/>
            </w:rPr>
            <w:t>Cilag</w:t>
          </w:r>
          <w:proofErr w:type="spellEnd"/>
          <w:r w:rsidRPr="001C6A82">
            <w:rPr>
              <w:rFonts w:asciiTheme="majorHAnsi" w:hAnsiTheme="majorHAnsi"/>
              <w:b/>
              <w:sz w:val="20"/>
            </w:rPr>
            <w:t xml:space="preserve"> Pty Ltd PM-2013-01557-1-2 Date of Finalisation 27 October 2014. This Product Information was approved at the time this </w:t>
          </w:r>
          <w:proofErr w:type="spellStart"/>
          <w:r w:rsidRPr="001C6A82">
            <w:rPr>
              <w:rFonts w:asciiTheme="majorHAnsi" w:hAnsiTheme="majorHAnsi"/>
              <w:b/>
              <w:sz w:val="20"/>
            </w:rPr>
            <w:t>AusPAR</w:t>
          </w:r>
          <w:proofErr w:type="spellEnd"/>
          <w:r w:rsidRPr="001C6A82">
            <w:rPr>
              <w:rFonts w:asciiTheme="majorHAnsi" w:hAnsiTheme="majorHAnsi"/>
              <w:b/>
              <w:sz w:val="20"/>
            </w:rPr>
            <w:t xml:space="preserve"> was published.</w:t>
          </w:r>
        </w:p>
      </w:tc>
    </w:tr>
  </w:tbl>
  <w:p w:rsidR="00B34F9F" w:rsidRDefault="00B34F9F" w:rsidP="001C6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9464"/>
    </w:tblGrid>
    <w:tr w:rsidR="001C6A82" w:rsidRPr="001C6A82" w:rsidTr="004D4325">
      <w:tc>
        <w:tcPr>
          <w:tcW w:w="9464" w:type="dxa"/>
          <w:shd w:val="clear" w:color="auto" w:fill="E4F2E0"/>
        </w:tcPr>
        <w:p w:rsidR="001C6A82" w:rsidRPr="001C6A82" w:rsidRDefault="001C6A82" w:rsidP="004D4325">
          <w:pPr>
            <w:spacing w:before="40" w:after="40"/>
            <w:rPr>
              <w:rFonts w:ascii="Cambria" w:hAnsi="Cambria"/>
              <w:b/>
              <w:sz w:val="20"/>
            </w:rPr>
          </w:pPr>
          <w:r w:rsidRPr="001C6A82">
            <w:rPr>
              <w:rFonts w:ascii="Cambria" w:hAnsi="Cambria"/>
              <w:b/>
              <w:sz w:val="20"/>
            </w:rPr>
            <w:t xml:space="preserve">Attachment 1: Product information for </w:t>
          </w:r>
          <w:proofErr w:type="spellStart"/>
          <w:r w:rsidRPr="001C6A82">
            <w:rPr>
              <w:rFonts w:ascii="Cambria" w:hAnsi="Cambria"/>
              <w:b/>
              <w:sz w:val="20"/>
            </w:rPr>
            <w:t>AusPAR</w:t>
          </w:r>
          <w:proofErr w:type="spellEnd"/>
          <w:r w:rsidRPr="001C6A82">
            <w:rPr>
              <w:rFonts w:ascii="Cambria" w:hAnsi="Cambria"/>
              <w:b/>
              <w:sz w:val="20"/>
            </w:rPr>
            <w:t xml:space="preserve"> </w:t>
          </w:r>
          <w:proofErr w:type="spellStart"/>
          <w:r w:rsidRPr="001C6A82">
            <w:rPr>
              <w:rFonts w:ascii="Cambria" w:hAnsi="Cambria"/>
              <w:b/>
              <w:sz w:val="20"/>
            </w:rPr>
            <w:t>Olysio</w:t>
          </w:r>
          <w:proofErr w:type="spellEnd"/>
          <w:r w:rsidRPr="001C6A82">
            <w:rPr>
              <w:rFonts w:ascii="Cambria" w:hAnsi="Cambria"/>
              <w:b/>
              <w:sz w:val="20"/>
            </w:rPr>
            <w:t xml:space="preserve">/Janssen </w:t>
          </w:r>
          <w:proofErr w:type="spellStart"/>
          <w:r w:rsidRPr="001C6A82">
            <w:rPr>
              <w:rFonts w:ascii="Cambria" w:hAnsi="Cambria"/>
              <w:b/>
              <w:sz w:val="20"/>
            </w:rPr>
            <w:t>Simeprevir</w:t>
          </w:r>
          <w:proofErr w:type="spellEnd"/>
          <w:r w:rsidRPr="001C6A82">
            <w:rPr>
              <w:rFonts w:ascii="Cambria" w:hAnsi="Cambria"/>
              <w:b/>
              <w:sz w:val="20"/>
            </w:rPr>
            <w:t xml:space="preserve">, </w:t>
          </w:r>
          <w:proofErr w:type="spellStart"/>
          <w:r w:rsidRPr="001C6A82">
            <w:rPr>
              <w:rFonts w:ascii="Cambria" w:hAnsi="Cambria"/>
              <w:b/>
              <w:sz w:val="20"/>
            </w:rPr>
            <w:t>simeprevir</w:t>
          </w:r>
          <w:proofErr w:type="spellEnd"/>
          <w:r w:rsidRPr="001C6A82">
            <w:rPr>
              <w:rFonts w:ascii="Cambria" w:hAnsi="Cambria"/>
              <w:b/>
              <w:sz w:val="20"/>
            </w:rPr>
            <w:t xml:space="preserve"> (as sodium) Janssen </w:t>
          </w:r>
          <w:proofErr w:type="spellStart"/>
          <w:r w:rsidRPr="001C6A82">
            <w:rPr>
              <w:rFonts w:ascii="Cambria" w:hAnsi="Cambria"/>
              <w:b/>
              <w:sz w:val="20"/>
            </w:rPr>
            <w:t>Cilag</w:t>
          </w:r>
          <w:proofErr w:type="spellEnd"/>
          <w:r w:rsidRPr="001C6A82">
            <w:rPr>
              <w:rFonts w:ascii="Cambria" w:hAnsi="Cambria"/>
              <w:b/>
              <w:sz w:val="20"/>
            </w:rPr>
            <w:t xml:space="preserve"> Pty Ltd PM-2013-01557-1-2 Date of Finalisation 27 October 2014. This Product Information was approved at the time this </w:t>
          </w:r>
          <w:proofErr w:type="spellStart"/>
          <w:r w:rsidRPr="001C6A82">
            <w:rPr>
              <w:rFonts w:ascii="Cambria" w:hAnsi="Cambria"/>
              <w:b/>
              <w:sz w:val="20"/>
            </w:rPr>
            <w:t>AusPAR</w:t>
          </w:r>
          <w:proofErr w:type="spellEnd"/>
          <w:r w:rsidRPr="001C6A82">
            <w:rPr>
              <w:rFonts w:ascii="Cambria" w:hAnsi="Cambria"/>
              <w:b/>
              <w:sz w:val="20"/>
            </w:rPr>
            <w:t xml:space="preserve"> was published.</w:t>
          </w:r>
        </w:p>
      </w:tc>
    </w:tr>
  </w:tbl>
  <w:p w:rsidR="00B34F9F" w:rsidRDefault="00B34F9F" w:rsidP="001C6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0A97"/>
    <w:multiLevelType w:val="hybridMultilevel"/>
    <w:tmpl w:val="21AC0D6E"/>
    <w:lvl w:ilvl="0" w:tplc="7CBA4CD0">
      <w:start w:val="1"/>
      <w:numFmt w:val="lowerLetter"/>
      <w:pStyle w:val="Numbered11-2"/>
      <w:lvlText w:val="%1."/>
      <w:lvlJc w:val="left"/>
      <w:pPr>
        <w:tabs>
          <w:tab w:val="num" w:pos="864"/>
        </w:tabs>
        <w:ind w:left="864" w:hanging="432"/>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E4F1D31"/>
    <w:multiLevelType w:val="hybridMultilevel"/>
    <w:tmpl w:val="17EE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B2E61"/>
    <w:multiLevelType w:val="hybridMultilevel"/>
    <w:tmpl w:val="C264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7A4DA8"/>
    <w:multiLevelType w:val="hybridMultilevel"/>
    <w:tmpl w:val="8406616A"/>
    <w:lvl w:ilvl="0" w:tplc="50B49BA8">
      <w:start w:val="1"/>
      <w:numFmt w:val="decimal"/>
      <w:pStyle w:val="NumberList-DS-1double-spaced"/>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5E1179"/>
    <w:multiLevelType w:val="hybridMultilevel"/>
    <w:tmpl w:val="2202F57E"/>
    <w:lvl w:ilvl="0" w:tplc="478664D0">
      <w:start w:val="1"/>
      <w:numFmt w:val="bullet"/>
      <w:pStyle w:val="Bullet11-1"/>
      <w:lvlText w:val=""/>
      <w:lvlJc w:val="left"/>
      <w:pPr>
        <w:tabs>
          <w:tab w:val="num" w:pos="432"/>
        </w:tabs>
        <w:ind w:left="432" w:hanging="432"/>
      </w:pPr>
      <w:rPr>
        <w:rFonts w:ascii="Symbol" w:hAnsi="Symbol" w:hint="default"/>
      </w:rPr>
    </w:lvl>
    <w:lvl w:ilvl="1" w:tplc="1AF46238" w:tentative="1">
      <w:start w:val="1"/>
      <w:numFmt w:val="bullet"/>
      <w:lvlText w:val="o"/>
      <w:lvlJc w:val="left"/>
      <w:pPr>
        <w:ind w:left="1440" w:hanging="360"/>
      </w:pPr>
      <w:rPr>
        <w:rFonts w:ascii="Courier New" w:hAnsi="Courier New" w:cs="Courier New" w:hint="default"/>
      </w:rPr>
    </w:lvl>
    <w:lvl w:ilvl="2" w:tplc="6658D844" w:tentative="1">
      <w:start w:val="1"/>
      <w:numFmt w:val="bullet"/>
      <w:lvlText w:val=""/>
      <w:lvlJc w:val="left"/>
      <w:pPr>
        <w:ind w:left="2160" w:hanging="360"/>
      </w:pPr>
      <w:rPr>
        <w:rFonts w:ascii="Wingdings" w:hAnsi="Wingdings" w:hint="default"/>
      </w:rPr>
    </w:lvl>
    <w:lvl w:ilvl="3" w:tplc="5F70B7D0" w:tentative="1">
      <w:start w:val="1"/>
      <w:numFmt w:val="bullet"/>
      <w:lvlText w:val=""/>
      <w:lvlJc w:val="left"/>
      <w:pPr>
        <w:ind w:left="2880" w:hanging="360"/>
      </w:pPr>
      <w:rPr>
        <w:rFonts w:ascii="Symbol" w:hAnsi="Symbol" w:hint="default"/>
      </w:rPr>
    </w:lvl>
    <w:lvl w:ilvl="4" w:tplc="208E36DA" w:tentative="1">
      <w:start w:val="1"/>
      <w:numFmt w:val="bullet"/>
      <w:lvlText w:val="o"/>
      <w:lvlJc w:val="left"/>
      <w:pPr>
        <w:ind w:left="3600" w:hanging="360"/>
      </w:pPr>
      <w:rPr>
        <w:rFonts w:ascii="Courier New" w:hAnsi="Courier New" w:cs="Courier New" w:hint="default"/>
      </w:rPr>
    </w:lvl>
    <w:lvl w:ilvl="5" w:tplc="9432C20C" w:tentative="1">
      <w:start w:val="1"/>
      <w:numFmt w:val="bullet"/>
      <w:lvlText w:val=""/>
      <w:lvlJc w:val="left"/>
      <w:pPr>
        <w:ind w:left="4320" w:hanging="360"/>
      </w:pPr>
      <w:rPr>
        <w:rFonts w:ascii="Wingdings" w:hAnsi="Wingdings" w:hint="default"/>
      </w:rPr>
    </w:lvl>
    <w:lvl w:ilvl="6" w:tplc="B91CE60C" w:tentative="1">
      <w:start w:val="1"/>
      <w:numFmt w:val="bullet"/>
      <w:lvlText w:val=""/>
      <w:lvlJc w:val="left"/>
      <w:pPr>
        <w:ind w:left="5040" w:hanging="360"/>
      </w:pPr>
      <w:rPr>
        <w:rFonts w:ascii="Symbol" w:hAnsi="Symbol" w:hint="default"/>
      </w:rPr>
    </w:lvl>
    <w:lvl w:ilvl="7" w:tplc="12CEDB1A" w:tentative="1">
      <w:start w:val="1"/>
      <w:numFmt w:val="bullet"/>
      <w:lvlText w:val="o"/>
      <w:lvlJc w:val="left"/>
      <w:pPr>
        <w:ind w:left="5760" w:hanging="360"/>
      </w:pPr>
      <w:rPr>
        <w:rFonts w:ascii="Courier New" w:hAnsi="Courier New" w:cs="Courier New" w:hint="default"/>
      </w:rPr>
    </w:lvl>
    <w:lvl w:ilvl="8" w:tplc="012073D8" w:tentative="1">
      <w:start w:val="1"/>
      <w:numFmt w:val="bullet"/>
      <w:lvlText w:val=""/>
      <w:lvlJc w:val="left"/>
      <w:pPr>
        <w:ind w:left="6480" w:hanging="360"/>
      </w:pPr>
      <w:rPr>
        <w:rFonts w:ascii="Wingdings" w:hAnsi="Wingdings" w:hint="default"/>
      </w:rPr>
    </w:lvl>
  </w:abstractNum>
  <w:abstractNum w:abstractNumId="5">
    <w:nsid w:val="1CB6395A"/>
    <w:multiLevelType w:val="hybridMultilevel"/>
    <w:tmpl w:val="1CC06AF0"/>
    <w:lvl w:ilvl="0" w:tplc="81700F12">
      <w:start w:val="1"/>
      <w:numFmt w:val="lowerLetter"/>
      <w:pStyle w:val="Numbered12-2"/>
      <w:lvlText w:val="%1."/>
      <w:lvlJc w:val="left"/>
      <w:pPr>
        <w:tabs>
          <w:tab w:val="num" w:pos="864"/>
        </w:tabs>
        <w:ind w:left="864" w:hanging="432"/>
      </w:pPr>
      <w:rPr>
        <w:rFonts w:hint="default"/>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6">
    <w:nsid w:val="202D0459"/>
    <w:multiLevelType w:val="hybridMultilevel"/>
    <w:tmpl w:val="41AA9688"/>
    <w:lvl w:ilvl="0" w:tplc="E7D6A98E">
      <w:start w:val="5"/>
      <w:numFmt w:val="bullet"/>
      <w:lvlText w:val=""/>
      <w:lvlJc w:val="left"/>
      <w:pPr>
        <w:ind w:left="720" w:hanging="360"/>
      </w:pPr>
      <w:rPr>
        <w:rFonts w:ascii="Wingdings" w:eastAsia="Times New Roman" w:hAnsi="Wingdings" w:cs="Times New Roman"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B7B82"/>
    <w:multiLevelType w:val="multilevel"/>
    <w:tmpl w:val="40D0DB70"/>
    <w:lvl w:ilvl="0">
      <w:start w:val="1"/>
      <w:numFmt w:val="upperLetter"/>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nsid w:val="25B84494"/>
    <w:multiLevelType w:val="hybridMultilevel"/>
    <w:tmpl w:val="6DEA1B10"/>
    <w:lvl w:ilvl="0" w:tplc="527CEBF6">
      <w:start w:val="1"/>
      <w:numFmt w:val="bullet"/>
      <w:pStyle w:val="Bullet11-2"/>
      <w:lvlText w:val=""/>
      <w:lvlJc w:val="left"/>
      <w:pPr>
        <w:tabs>
          <w:tab w:val="num" w:pos="864"/>
        </w:tabs>
        <w:ind w:left="864" w:hanging="432"/>
      </w:pPr>
      <w:rPr>
        <w:rFonts w:ascii="Symbol" w:hAnsi="Symbol" w:hint="default"/>
      </w:rPr>
    </w:lvl>
    <w:lvl w:ilvl="1" w:tplc="C2A4C420" w:tentative="1">
      <w:start w:val="1"/>
      <w:numFmt w:val="bullet"/>
      <w:lvlText w:val="o"/>
      <w:lvlJc w:val="left"/>
      <w:pPr>
        <w:ind w:left="1872" w:hanging="360"/>
      </w:pPr>
      <w:rPr>
        <w:rFonts w:ascii="Courier New" w:hAnsi="Courier New" w:cs="Courier New" w:hint="default"/>
      </w:rPr>
    </w:lvl>
    <w:lvl w:ilvl="2" w:tplc="73D89ECE" w:tentative="1">
      <w:start w:val="1"/>
      <w:numFmt w:val="bullet"/>
      <w:lvlText w:val=""/>
      <w:lvlJc w:val="left"/>
      <w:pPr>
        <w:ind w:left="2592" w:hanging="360"/>
      </w:pPr>
      <w:rPr>
        <w:rFonts w:ascii="Wingdings" w:hAnsi="Wingdings" w:hint="default"/>
      </w:rPr>
    </w:lvl>
    <w:lvl w:ilvl="3" w:tplc="CE4A8868" w:tentative="1">
      <w:start w:val="1"/>
      <w:numFmt w:val="bullet"/>
      <w:lvlText w:val=""/>
      <w:lvlJc w:val="left"/>
      <w:pPr>
        <w:ind w:left="3312" w:hanging="360"/>
      </w:pPr>
      <w:rPr>
        <w:rFonts w:ascii="Symbol" w:hAnsi="Symbol" w:hint="default"/>
      </w:rPr>
    </w:lvl>
    <w:lvl w:ilvl="4" w:tplc="72324B84" w:tentative="1">
      <w:start w:val="1"/>
      <w:numFmt w:val="bullet"/>
      <w:lvlText w:val="o"/>
      <w:lvlJc w:val="left"/>
      <w:pPr>
        <w:ind w:left="4032" w:hanging="360"/>
      </w:pPr>
      <w:rPr>
        <w:rFonts w:ascii="Courier New" w:hAnsi="Courier New" w:cs="Courier New" w:hint="default"/>
      </w:rPr>
    </w:lvl>
    <w:lvl w:ilvl="5" w:tplc="847E5BBA" w:tentative="1">
      <w:start w:val="1"/>
      <w:numFmt w:val="bullet"/>
      <w:lvlText w:val=""/>
      <w:lvlJc w:val="left"/>
      <w:pPr>
        <w:ind w:left="4752" w:hanging="360"/>
      </w:pPr>
      <w:rPr>
        <w:rFonts w:ascii="Wingdings" w:hAnsi="Wingdings" w:hint="default"/>
      </w:rPr>
    </w:lvl>
    <w:lvl w:ilvl="6" w:tplc="6CCEB7E2" w:tentative="1">
      <w:start w:val="1"/>
      <w:numFmt w:val="bullet"/>
      <w:lvlText w:val=""/>
      <w:lvlJc w:val="left"/>
      <w:pPr>
        <w:ind w:left="5472" w:hanging="360"/>
      </w:pPr>
      <w:rPr>
        <w:rFonts w:ascii="Symbol" w:hAnsi="Symbol" w:hint="default"/>
      </w:rPr>
    </w:lvl>
    <w:lvl w:ilvl="7" w:tplc="06AA2970" w:tentative="1">
      <w:start w:val="1"/>
      <w:numFmt w:val="bullet"/>
      <w:lvlText w:val="o"/>
      <w:lvlJc w:val="left"/>
      <w:pPr>
        <w:ind w:left="6192" w:hanging="360"/>
      </w:pPr>
      <w:rPr>
        <w:rFonts w:ascii="Courier New" w:hAnsi="Courier New" w:cs="Courier New" w:hint="default"/>
      </w:rPr>
    </w:lvl>
    <w:lvl w:ilvl="8" w:tplc="247AE906" w:tentative="1">
      <w:start w:val="1"/>
      <w:numFmt w:val="bullet"/>
      <w:lvlText w:val=""/>
      <w:lvlJc w:val="left"/>
      <w:pPr>
        <w:ind w:left="6912" w:hanging="360"/>
      </w:pPr>
      <w:rPr>
        <w:rFonts w:ascii="Wingdings" w:hAnsi="Wingdings" w:hint="default"/>
      </w:rPr>
    </w:lvl>
  </w:abstractNum>
  <w:abstractNum w:abstractNumId="9">
    <w:nsid w:val="26012133"/>
    <w:multiLevelType w:val="hybridMultilevel"/>
    <w:tmpl w:val="086EAE32"/>
    <w:lvl w:ilvl="0" w:tplc="4E24535A">
      <w:start w:val="1"/>
      <w:numFmt w:val="bullet"/>
      <w:pStyle w:val="GuideDash"/>
      <w:lvlText w:val=""/>
      <w:lvlJc w:val="left"/>
      <w:pPr>
        <w:tabs>
          <w:tab w:val="num" w:pos="1786"/>
        </w:tabs>
        <w:ind w:left="1714" w:hanging="288"/>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6596F28"/>
    <w:multiLevelType w:val="hybridMultilevel"/>
    <w:tmpl w:val="BA84FCE2"/>
    <w:lvl w:ilvl="0" w:tplc="CF52285A">
      <w:start w:val="1"/>
      <w:numFmt w:val="bullet"/>
      <w:pStyle w:val="BulletList-SS-3single-spaced"/>
      <w:lvlText w:val=""/>
      <w:lvlJc w:val="left"/>
      <w:pPr>
        <w:tabs>
          <w:tab w:val="num" w:pos="1728"/>
        </w:tabs>
        <w:ind w:left="1728" w:hanging="57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5196D"/>
    <w:multiLevelType w:val="hybridMultilevel"/>
    <w:tmpl w:val="89A64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8394E85"/>
    <w:multiLevelType w:val="hybridMultilevel"/>
    <w:tmpl w:val="01CE96D6"/>
    <w:lvl w:ilvl="0" w:tplc="90046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971AB"/>
    <w:multiLevelType w:val="hybridMultilevel"/>
    <w:tmpl w:val="FF4A67DC"/>
    <w:lvl w:ilvl="0" w:tplc="7FA6A4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132FB"/>
    <w:multiLevelType w:val="hybridMultilevel"/>
    <w:tmpl w:val="199AA300"/>
    <w:lvl w:ilvl="0" w:tplc="563240EE">
      <w:start w:val="1"/>
      <w:numFmt w:val="decimal"/>
      <w:pStyle w:val="Numbered12-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15">
    <w:nsid w:val="2FD130CD"/>
    <w:multiLevelType w:val="hybridMultilevel"/>
    <w:tmpl w:val="B022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75770"/>
    <w:multiLevelType w:val="hybridMultilevel"/>
    <w:tmpl w:val="A54E2CCE"/>
    <w:lvl w:ilvl="0" w:tplc="A8F0B0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9076A9"/>
    <w:multiLevelType w:val="hybridMultilevel"/>
    <w:tmpl w:val="D30E6264"/>
    <w:lvl w:ilvl="0" w:tplc="04090001">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9340E1"/>
    <w:multiLevelType w:val="hybridMultilevel"/>
    <w:tmpl w:val="40B6106E"/>
    <w:lvl w:ilvl="0" w:tplc="0409000B">
      <w:start w:val="1"/>
      <w:numFmt w:val="bullet"/>
      <w:lvlText w:val=""/>
      <w:lvlJc w:val="left"/>
      <w:pPr>
        <w:tabs>
          <w:tab w:val="num" w:pos="1728"/>
        </w:tabs>
        <w:ind w:left="1728" w:hanging="432"/>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nsid w:val="3A627BA6"/>
    <w:multiLevelType w:val="hybridMultilevel"/>
    <w:tmpl w:val="D222FADE"/>
    <w:lvl w:ilvl="0" w:tplc="CB12182E">
      <w:start w:val="1"/>
      <w:numFmt w:val="lowerLetter"/>
      <w:pStyle w:val="Numbered11-4"/>
      <w:lvlText w:val="%1)"/>
      <w:lvlJc w:val="left"/>
      <w:pPr>
        <w:tabs>
          <w:tab w:val="num" w:pos="1728"/>
        </w:tabs>
        <w:ind w:left="1728" w:hanging="432"/>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nsid w:val="3BFE4B2A"/>
    <w:multiLevelType w:val="hybridMultilevel"/>
    <w:tmpl w:val="0D68D196"/>
    <w:lvl w:ilvl="0" w:tplc="543CD1EE">
      <w:start w:val="1"/>
      <w:numFmt w:val="bullet"/>
      <w:pStyle w:val="GuideBullet"/>
      <w:lvlText w:val=""/>
      <w:lvlJc w:val="left"/>
      <w:pPr>
        <w:tabs>
          <w:tab w:val="num" w:pos="360"/>
        </w:tabs>
        <w:ind w:left="288" w:hanging="288"/>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C681289"/>
    <w:multiLevelType w:val="hybridMultilevel"/>
    <w:tmpl w:val="4C747622"/>
    <w:lvl w:ilvl="0" w:tplc="7D78CA18">
      <w:start w:val="1"/>
      <w:numFmt w:val="decimal"/>
      <w:pStyle w:val="Reference"/>
      <w:lvlText w:val="%1."/>
      <w:lvlJc w:val="left"/>
      <w:pPr>
        <w:tabs>
          <w:tab w:val="num" w:pos="432"/>
        </w:tabs>
        <w:ind w:left="432" w:hanging="432"/>
      </w:pPr>
      <w:rPr>
        <w:rFonts w:ascii="Times New Roman" w:hAnsi="Times New Roman" w:hint="default"/>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48106289"/>
    <w:multiLevelType w:val="hybridMultilevel"/>
    <w:tmpl w:val="AA305F66"/>
    <w:lvl w:ilvl="0" w:tplc="E3F24EE2">
      <w:start w:val="1"/>
      <w:numFmt w:val="bullet"/>
      <w:pStyle w:val="Bullet12-4"/>
      <w:lvlText w:val=""/>
      <w:lvlJc w:val="left"/>
      <w:pPr>
        <w:tabs>
          <w:tab w:val="num" w:pos="1728"/>
        </w:tabs>
        <w:ind w:left="1728" w:hanging="432"/>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nsid w:val="52D921AD"/>
    <w:multiLevelType w:val="hybridMultilevel"/>
    <w:tmpl w:val="518A8974"/>
    <w:lvl w:ilvl="0" w:tplc="6FB625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14268"/>
    <w:multiLevelType w:val="hybridMultilevel"/>
    <w:tmpl w:val="F1C471A8"/>
    <w:lvl w:ilvl="0" w:tplc="3FEEF272">
      <w:start w:val="1"/>
      <w:numFmt w:val="decimal"/>
      <w:pStyle w:val="Numbered12-1"/>
      <w:lvlText w:val="%1."/>
      <w:lvlJc w:val="left"/>
      <w:pPr>
        <w:tabs>
          <w:tab w:val="num" w:pos="432"/>
        </w:tabs>
        <w:ind w:left="432" w:hanging="432"/>
      </w:pPr>
      <w:rPr>
        <w:rFonts w:ascii="Times New Roman" w:hAnsi="Times New Roman" w:hint="default"/>
        <w:sz w:val="24"/>
      </w:rPr>
    </w:lvl>
    <w:lvl w:ilvl="1" w:tplc="87B84278" w:tentative="1">
      <w:start w:val="1"/>
      <w:numFmt w:val="lowerLetter"/>
      <w:lvlText w:val="%2."/>
      <w:lvlJc w:val="left"/>
      <w:pPr>
        <w:ind w:left="1440" w:hanging="360"/>
      </w:pPr>
    </w:lvl>
    <w:lvl w:ilvl="2" w:tplc="61B6F222" w:tentative="1">
      <w:start w:val="1"/>
      <w:numFmt w:val="lowerRoman"/>
      <w:lvlText w:val="%3."/>
      <w:lvlJc w:val="right"/>
      <w:pPr>
        <w:ind w:left="2160" w:hanging="180"/>
      </w:pPr>
    </w:lvl>
    <w:lvl w:ilvl="3" w:tplc="A5D68794" w:tentative="1">
      <w:start w:val="1"/>
      <w:numFmt w:val="decimal"/>
      <w:lvlText w:val="%4."/>
      <w:lvlJc w:val="left"/>
      <w:pPr>
        <w:ind w:left="2880" w:hanging="360"/>
      </w:pPr>
    </w:lvl>
    <w:lvl w:ilvl="4" w:tplc="9988A51E" w:tentative="1">
      <w:start w:val="1"/>
      <w:numFmt w:val="lowerLetter"/>
      <w:lvlText w:val="%5."/>
      <w:lvlJc w:val="left"/>
      <w:pPr>
        <w:ind w:left="3600" w:hanging="360"/>
      </w:pPr>
    </w:lvl>
    <w:lvl w:ilvl="5" w:tplc="0EA8A69C" w:tentative="1">
      <w:start w:val="1"/>
      <w:numFmt w:val="lowerRoman"/>
      <w:lvlText w:val="%6."/>
      <w:lvlJc w:val="right"/>
      <w:pPr>
        <w:ind w:left="4320" w:hanging="180"/>
      </w:pPr>
    </w:lvl>
    <w:lvl w:ilvl="6" w:tplc="33E8BFD2" w:tentative="1">
      <w:start w:val="1"/>
      <w:numFmt w:val="decimal"/>
      <w:lvlText w:val="%7."/>
      <w:lvlJc w:val="left"/>
      <w:pPr>
        <w:ind w:left="5040" w:hanging="360"/>
      </w:pPr>
    </w:lvl>
    <w:lvl w:ilvl="7" w:tplc="6F7EBE98" w:tentative="1">
      <w:start w:val="1"/>
      <w:numFmt w:val="lowerLetter"/>
      <w:lvlText w:val="%8."/>
      <w:lvlJc w:val="left"/>
      <w:pPr>
        <w:ind w:left="5760" w:hanging="360"/>
      </w:pPr>
    </w:lvl>
    <w:lvl w:ilvl="8" w:tplc="75B29F26" w:tentative="1">
      <w:start w:val="1"/>
      <w:numFmt w:val="lowerRoman"/>
      <w:lvlText w:val="%9."/>
      <w:lvlJc w:val="right"/>
      <w:pPr>
        <w:ind w:left="6480" w:hanging="180"/>
      </w:pPr>
    </w:lvl>
  </w:abstractNum>
  <w:abstractNum w:abstractNumId="25">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3"/>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26">
    <w:nsid w:val="5A7E640C"/>
    <w:multiLevelType w:val="hybridMultilevel"/>
    <w:tmpl w:val="44D2802E"/>
    <w:lvl w:ilvl="0" w:tplc="BE72BDF0">
      <w:start w:val="7"/>
      <w:numFmt w:val="bullet"/>
      <w:lvlText w:val=""/>
      <w:lvlJc w:val="left"/>
      <w:pPr>
        <w:ind w:left="720" w:hanging="360"/>
      </w:pPr>
      <w:rPr>
        <w:rFonts w:ascii="Wingdings" w:eastAsia="Times New Roman" w:hAnsi="Wingdings" w:cs="Tahoma"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28457D"/>
    <w:multiLevelType w:val="hybridMultilevel"/>
    <w:tmpl w:val="730629E8"/>
    <w:lvl w:ilvl="0" w:tplc="0750DDFA">
      <w:start w:val="2"/>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46286D"/>
    <w:multiLevelType w:val="hybridMultilevel"/>
    <w:tmpl w:val="467A231A"/>
    <w:lvl w:ilvl="0" w:tplc="ED5CA3A0">
      <w:start w:val="1"/>
      <w:numFmt w:val="lowerLetter"/>
      <w:pStyle w:val="NumberedList4"/>
      <w:lvlText w:val="%1)"/>
      <w:lvlJc w:val="left"/>
      <w:pPr>
        <w:tabs>
          <w:tab w:val="num" w:pos="1728"/>
        </w:tabs>
        <w:ind w:left="172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022CB1"/>
    <w:multiLevelType w:val="singleLevel"/>
    <w:tmpl w:val="577EEDDE"/>
    <w:lvl w:ilvl="0">
      <w:start w:val="1"/>
      <w:numFmt w:val="bullet"/>
      <w:pStyle w:val="Bullet12-3"/>
      <w:lvlText w:val="o"/>
      <w:lvlJc w:val="left"/>
      <w:pPr>
        <w:tabs>
          <w:tab w:val="num" w:pos="1296"/>
        </w:tabs>
        <w:ind w:left="1296" w:hanging="432"/>
      </w:pPr>
      <w:rPr>
        <w:rFonts w:ascii="Courier New" w:hAnsi="Courier New" w:hint="default"/>
      </w:rPr>
    </w:lvl>
  </w:abstractNum>
  <w:abstractNum w:abstractNumId="3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31">
    <w:nsid w:val="60BE2FF2"/>
    <w:multiLevelType w:val="hybridMultilevel"/>
    <w:tmpl w:val="E3ACF658"/>
    <w:lvl w:ilvl="0" w:tplc="6FB04B04">
      <w:start w:val="1"/>
      <w:numFmt w:val="bullet"/>
      <w:pStyle w:val="Bullet11-3"/>
      <w:lvlText w:val="o"/>
      <w:lvlJc w:val="left"/>
      <w:pPr>
        <w:tabs>
          <w:tab w:val="num" w:pos="1296"/>
        </w:tabs>
        <w:ind w:left="1296" w:hanging="432"/>
      </w:pPr>
      <w:rPr>
        <w:rFonts w:ascii="Courier New" w:hAnsi="Courier New" w:hint="default"/>
      </w:rPr>
    </w:lvl>
    <w:lvl w:ilvl="1" w:tplc="30F80A3A" w:tentative="1">
      <w:start w:val="1"/>
      <w:numFmt w:val="bullet"/>
      <w:lvlText w:val="o"/>
      <w:lvlJc w:val="left"/>
      <w:pPr>
        <w:ind w:left="2304" w:hanging="360"/>
      </w:pPr>
      <w:rPr>
        <w:rFonts w:ascii="Courier New" w:hAnsi="Courier New" w:cs="Courier New" w:hint="default"/>
      </w:rPr>
    </w:lvl>
    <w:lvl w:ilvl="2" w:tplc="8CDA1A42" w:tentative="1">
      <w:start w:val="1"/>
      <w:numFmt w:val="bullet"/>
      <w:lvlText w:val=""/>
      <w:lvlJc w:val="left"/>
      <w:pPr>
        <w:ind w:left="3024" w:hanging="360"/>
      </w:pPr>
      <w:rPr>
        <w:rFonts w:ascii="Wingdings" w:hAnsi="Wingdings" w:hint="default"/>
      </w:rPr>
    </w:lvl>
    <w:lvl w:ilvl="3" w:tplc="DEC24F36" w:tentative="1">
      <w:start w:val="1"/>
      <w:numFmt w:val="bullet"/>
      <w:lvlText w:val=""/>
      <w:lvlJc w:val="left"/>
      <w:pPr>
        <w:ind w:left="3744" w:hanging="360"/>
      </w:pPr>
      <w:rPr>
        <w:rFonts w:ascii="Symbol" w:hAnsi="Symbol" w:hint="default"/>
      </w:rPr>
    </w:lvl>
    <w:lvl w:ilvl="4" w:tplc="259660AE" w:tentative="1">
      <w:start w:val="1"/>
      <w:numFmt w:val="bullet"/>
      <w:lvlText w:val="o"/>
      <w:lvlJc w:val="left"/>
      <w:pPr>
        <w:ind w:left="4464" w:hanging="360"/>
      </w:pPr>
      <w:rPr>
        <w:rFonts w:ascii="Courier New" w:hAnsi="Courier New" w:cs="Courier New" w:hint="default"/>
      </w:rPr>
    </w:lvl>
    <w:lvl w:ilvl="5" w:tplc="870AF7C0" w:tentative="1">
      <w:start w:val="1"/>
      <w:numFmt w:val="bullet"/>
      <w:lvlText w:val=""/>
      <w:lvlJc w:val="left"/>
      <w:pPr>
        <w:ind w:left="5184" w:hanging="360"/>
      </w:pPr>
      <w:rPr>
        <w:rFonts w:ascii="Wingdings" w:hAnsi="Wingdings" w:hint="default"/>
      </w:rPr>
    </w:lvl>
    <w:lvl w:ilvl="6" w:tplc="1F24EC32" w:tentative="1">
      <w:start w:val="1"/>
      <w:numFmt w:val="bullet"/>
      <w:lvlText w:val=""/>
      <w:lvlJc w:val="left"/>
      <w:pPr>
        <w:ind w:left="5904" w:hanging="360"/>
      </w:pPr>
      <w:rPr>
        <w:rFonts w:ascii="Symbol" w:hAnsi="Symbol" w:hint="default"/>
      </w:rPr>
    </w:lvl>
    <w:lvl w:ilvl="7" w:tplc="E24895F2" w:tentative="1">
      <w:start w:val="1"/>
      <w:numFmt w:val="bullet"/>
      <w:lvlText w:val="o"/>
      <w:lvlJc w:val="left"/>
      <w:pPr>
        <w:ind w:left="6624" w:hanging="360"/>
      </w:pPr>
      <w:rPr>
        <w:rFonts w:ascii="Courier New" w:hAnsi="Courier New" w:cs="Courier New" w:hint="default"/>
      </w:rPr>
    </w:lvl>
    <w:lvl w:ilvl="8" w:tplc="FD3A6574" w:tentative="1">
      <w:start w:val="1"/>
      <w:numFmt w:val="bullet"/>
      <w:lvlText w:val=""/>
      <w:lvlJc w:val="left"/>
      <w:pPr>
        <w:ind w:left="7344" w:hanging="360"/>
      </w:pPr>
      <w:rPr>
        <w:rFonts w:ascii="Wingdings" w:hAnsi="Wingdings" w:hint="default"/>
      </w:rPr>
    </w:lvl>
  </w:abstractNum>
  <w:abstractNum w:abstractNumId="32">
    <w:nsid w:val="611227B5"/>
    <w:multiLevelType w:val="hybridMultilevel"/>
    <w:tmpl w:val="DD861FAE"/>
    <w:lvl w:ilvl="0" w:tplc="4F501F7C">
      <w:start w:val="1"/>
      <w:numFmt w:val="decimal"/>
      <w:pStyle w:val="Numbered11-1"/>
      <w:lvlText w:val="%1."/>
      <w:lvlJc w:val="left"/>
      <w:pPr>
        <w:tabs>
          <w:tab w:val="num" w:pos="432"/>
        </w:tabs>
        <w:ind w:left="432" w:hanging="432"/>
      </w:pPr>
      <w:rPr>
        <w:rFonts w:ascii="Times New Roman" w:hAnsi="Times New Roman" w:hint="default"/>
        <w:sz w:val="22"/>
      </w:rPr>
    </w:lvl>
    <w:lvl w:ilvl="1" w:tplc="A732B43C" w:tentative="1">
      <w:start w:val="1"/>
      <w:numFmt w:val="lowerLetter"/>
      <w:lvlText w:val="%2."/>
      <w:lvlJc w:val="left"/>
      <w:pPr>
        <w:ind w:left="1440" w:hanging="360"/>
      </w:pPr>
    </w:lvl>
    <w:lvl w:ilvl="2" w:tplc="1012CAA0" w:tentative="1">
      <w:start w:val="1"/>
      <w:numFmt w:val="lowerRoman"/>
      <w:lvlText w:val="%3."/>
      <w:lvlJc w:val="right"/>
      <w:pPr>
        <w:ind w:left="2160" w:hanging="180"/>
      </w:pPr>
    </w:lvl>
    <w:lvl w:ilvl="3" w:tplc="D1621BA6" w:tentative="1">
      <w:start w:val="1"/>
      <w:numFmt w:val="decimal"/>
      <w:lvlText w:val="%4."/>
      <w:lvlJc w:val="left"/>
      <w:pPr>
        <w:ind w:left="2880" w:hanging="360"/>
      </w:pPr>
    </w:lvl>
    <w:lvl w:ilvl="4" w:tplc="1754574C" w:tentative="1">
      <w:start w:val="1"/>
      <w:numFmt w:val="lowerLetter"/>
      <w:lvlText w:val="%5."/>
      <w:lvlJc w:val="left"/>
      <w:pPr>
        <w:ind w:left="3600" w:hanging="360"/>
      </w:pPr>
    </w:lvl>
    <w:lvl w:ilvl="5" w:tplc="727A3324" w:tentative="1">
      <w:start w:val="1"/>
      <w:numFmt w:val="lowerRoman"/>
      <w:lvlText w:val="%6."/>
      <w:lvlJc w:val="right"/>
      <w:pPr>
        <w:ind w:left="4320" w:hanging="180"/>
      </w:pPr>
    </w:lvl>
    <w:lvl w:ilvl="6" w:tplc="3C1C7644" w:tentative="1">
      <w:start w:val="1"/>
      <w:numFmt w:val="decimal"/>
      <w:lvlText w:val="%7."/>
      <w:lvlJc w:val="left"/>
      <w:pPr>
        <w:ind w:left="5040" w:hanging="360"/>
      </w:pPr>
    </w:lvl>
    <w:lvl w:ilvl="7" w:tplc="B21A45CA" w:tentative="1">
      <w:start w:val="1"/>
      <w:numFmt w:val="lowerLetter"/>
      <w:lvlText w:val="%8."/>
      <w:lvlJc w:val="left"/>
      <w:pPr>
        <w:ind w:left="5760" w:hanging="360"/>
      </w:pPr>
    </w:lvl>
    <w:lvl w:ilvl="8" w:tplc="C088A29A" w:tentative="1">
      <w:start w:val="1"/>
      <w:numFmt w:val="lowerRoman"/>
      <w:lvlText w:val="%9."/>
      <w:lvlJc w:val="right"/>
      <w:pPr>
        <w:ind w:left="6480" w:hanging="180"/>
      </w:pPr>
    </w:lvl>
  </w:abstractNum>
  <w:abstractNum w:abstractNumId="33">
    <w:nsid w:val="618030C8"/>
    <w:multiLevelType w:val="hybridMultilevel"/>
    <w:tmpl w:val="207EE9C2"/>
    <w:lvl w:ilvl="0" w:tplc="1B74770E">
      <w:start w:val="1"/>
      <w:numFmt w:val="lowerLetter"/>
      <w:pStyle w:val="Numbered12-4"/>
      <w:lvlText w:val="%1)"/>
      <w:lvlJc w:val="left"/>
      <w:pPr>
        <w:tabs>
          <w:tab w:val="num" w:pos="1728"/>
        </w:tabs>
        <w:ind w:left="1728" w:hanging="432"/>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4">
    <w:nsid w:val="61A07FDA"/>
    <w:multiLevelType w:val="hybridMultilevel"/>
    <w:tmpl w:val="1150A41C"/>
    <w:lvl w:ilvl="0" w:tplc="1DFCB68A">
      <w:start w:val="1"/>
      <w:numFmt w:val="bullet"/>
      <w:pStyle w:val="PABullet1"/>
      <w:lvlText w:val=""/>
      <w:lvlJc w:val="left"/>
      <w:pPr>
        <w:tabs>
          <w:tab w:val="num" w:pos="720"/>
        </w:tabs>
        <w:ind w:left="360" w:firstLine="0"/>
      </w:pPr>
      <w:rPr>
        <w:rFonts w:ascii="Symbol" w:hAnsi="Symbol"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3713A5C"/>
    <w:multiLevelType w:val="hybridMultilevel"/>
    <w:tmpl w:val="30D49C44"/>
    <w:lvl w:ilvl="0" w:tplc="79288F10">
      <w:start w:val="1"/>
      <w:numFmt w:val="decimal"/>
      <w:pStyle w:val="Numbered11-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36">
    <w:nsid w:val="65216385"/>
    <w:multiLevelType w:val="hybridMultilevel"/>
    <w:tmpl w:val="8710D3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A24365C"/>
    <w:multiLevelType w:val="singleLevel"/>
    <w:tmpl w:val="907A1B6C"/>
    <w:lvl w:ilvl="0">
      <w:start w:val="1"/>
      <w:numFmt w:val="bullet"/>
      <w:pStyle w:val="ReferenceBullet"/>
      <w:lvlText w:val=""/>
      <w:lvlJc w:val="left"/>
      <w:pPr>
        <w:tabs>
          <w:tab w:val="num" w:pos="1224"/>
        </w:tabs>
        <w:ind w:left="1224" w:hanging="389"/>
      </w:pPr>
      <w:rPr>
        <w:rFonts w:ascii="Symbol" w:hAnsi="Symbol" w:hint="default"/>
        <w:color w:val="auto"/>
      </w:rPr>
    </w:lvl>
  </w:abstractNum>
  <w:abstractNum w:abstractNumId="38">
    <w:nsid w:val="71035216"/>
    <w:multiLevelType w:val="hybridMultilevel"/>
    <w:tmpl w:val="BAE47760"/>
    <w:lvl w:ilvl="0" w:tplc="9336FE86">
      <w:start w:val="1"/>
      <w:numFmt w:val="lowerLetter"/>
      <w:pStyle w:val="NumberList-SS-2singled-spaced"/>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894C68"/>
    <w:multiLevelType w:val="singleLevel"/>
    <w:tmpl w:val="A28A1628"/>
    <w:lvl w:ilvl="0">
      <w:start w:val="1"/>
      <w:numFmt w:val="bullet"/>
      <w:pStyle w:val="Bullet12-2"/>
      <w:lvlText w:val=""/>
      <w:lvlJc w:val="left"/>
      <w:pPr>
        <w:tabs>
          <w:tab w:val="num" w:pos="864"/>
        </w:tabs>
        <w:ind w:left="864" w:hanging="432"/>
      </w:pPr>
      <w:rPr>
        <w:rFonts w:ascii="Symbol" w:hAnsi="Symbol" w:hint="default"/>
      </w:rPr>
    </w:lvl>
  </w:abstractNum>
  <w:abstractNum w:abstractNumId="40">
    <w:nsid w:val="7EA6710E"/>
    <w:multiLevelType w:val="hybridMultilevel"/>
    <w:tmpl w:val="586A44F0"/>
    <w:lvl w:ilvl="0" w:tplc="08E0CEE0">
      <w:start w:val="5"/>
      <w:numFmt w:val="bullet"/>
      <w:lvlText w:val=""/>
      <w:lvlJc w:val="left"/>
      <w:pPr>
        <w:ind w:left="720" w:hanging="360"/>
      </w:pPr>
      <w:rPr>
        <w:rFonts w:ascii="Wingdings" w:eastAsia="Times New Roman" w:hAnsi="Wingdings" w:cs="Times New Roman" w:hint="default"/>
      </w:rPr>
    </w:lvl>
    <w:lvl w:ilvl="1" w:tplc="02E20C12" w:tentative="1">
      <w:start w:val="1"/>
      <w:numFmt w:val="bullet"/>
      <w:lvlText w:val="o"/>
      <w:lvlJc w:val="left"/>
      <w:pPr>
        <w:ind w:left="1440" w:hanging="360"/>
      </w:pPr>
      <w:rPr>
        <w:rFonts w:ascii="Courier New" w:hAnsi="Courier New" w:cs="Courier New" w:hint="default"/>
      </w:rPr>
    </w:lvl>
    <w:lvl w:ilvl="2" w:tplc="7890C536" w:tentative="1">
      <w:start w:val="1"/>
      <w:numFmt w:val="bullet"/>
      <w:lvlText w:val=""/>
      <w:lvlJc w:val="left"/>
      <w:pPr>
        <w:ind w:left="2160" w:hanging="360"/>
      </w:pPr>
      <w:rPr>
        <w:rFonts w:ascii="Wingdings" w:hAnsi="Wingdings" w:hint="default"/>
      </w:rPr>
    </w:lvl>
    <w:lvl w:ilvl="3" w:tplc="32C05924" w:tentative="1">
      <w:start w:val="1"/>
      <w:numFmt w:val="bullet"/>
      <w:lvlText w:val=""/>
      <w:lvlJc w:val="left"/>
      <w:pPr>
        <w:ind w:left="2880" w:hanging="360"/>
      </w:pPr>
      <w:rPr>
        <w:rFonts w:ascii="Symbol" w:hAnsi="Symbol" w:hint="default"/>
      </w:rPr>
    </w:lvl>
    <w:lvl w:ilvl="4" w:tplc="5240E3DC" w:tentative="1">
      <w:start w:val="1"/>
      <w:numFmt w:val="bullet"/>
      <w:lvlText w:val="o"/>
      <w:lvlJc w:val="left"/>
      <w:pPr>
        <w:ind w:left="3600" w:hanging="360"/>
      </w:pPr>
      <w:rPr>
        <w:rFonts w:ascii="Courier New" w:hAnsi="Courier New" w:cs="Courier New" w:hint="default"/>
      </w:rPr>
    </w:lvl>
    <w:lvl w:ilvl="5" w:tplc="32C285EE" w:tentative="1">
      <w:start w:val="1"/>
      <w:numFmt w:val="bullet"/>
      <w:lvlText w:val=""/>
      <w:lvlJc w:val="left"/>
      <w:pPr>
        <w:ind w:left="4320" w:hanging="360"/>
      </w:pPr>
      <w:rPr>
        <w:rFonts w:ascii="Wingdings" w:hAnsi="Wingdings" w:hint="default"/>
      </w:rPr>
    </w:lvl>
    <w:lvl w:ilvl="6" w:tplc="94FC10F4" w:tentative="1">
      <w:start w:val="1"/>
      <w:numFmt w:val="bullet"/>
      <w:lvlText w:val=""/>
      <w:lvlJc w:val="left"/>
      <w:pPr>
        <w:ind w:left="5040" w:hanging="360"/>
      </w:pPr>
      <w:rPr>
        <w:rFonts w:ascii="Symbol" w:hAnsi="Symbol" w:hint="default"/>
      </w:rPr>
    </w:lvl>
    <w:lvl w:ilvl="7" w:tplc="B164F09A" w:tentative="1">
      <w:start w:val="1"/>
      <w:numFmt w:val="bullet"/>
      <w:lvlText w:val="o"/>
      <w:lvlJc w:val="left"/>
      <w:pPr>
        <w:ind w:left="5760" w:hanging="360"/>
      </w:pPr>
      <w:rPr>
        <w:rFonts w:ascii="Courier New" w:hAnsi="Courier New" w:cs="Courier New" w:hint="default"/>
      </w:rPr>
    </w:lvl>
    <w:lvl w:ilvl="8" w:tplc="CC464236" w:tentative="1">
      <w:start w:val="1"/>
      <w:numFmt w:val="bullet"/>
      <w:lvlText w:val=""/>
      <w:lvlJc w:val="left"/>
      <w:pPr>
        <w:ind w:left="6480" w:hanging="360"/>
      </w:pPr>
      <w:rPr>
        <w:rFonts w:ascii="Wingdings" w:hAnsi="Wingdings" w:hint="default"/>
      </w:rPr>
    </w:lvl>
  </w:abstractNum>
  <w:abstractNum w:abstractNumId="41">
    <w:nsid w:val="7FB63700"/>
    <w:multiLevelType w:val="hybridMultilevel"/>
    <w:tmpl w:val="0A1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0"/>
  </w:num>
  <w:num w:numId="4">
    <w:abstractNumId w:val="17"/>
  </w:num>
  <w:num w:numId="5">
    <w:abstractNumId w:val="6"/>
  </w:num>
  <w:num w:numId="6">
    <w:abstractNumId w:val="20"/>
  </w:num>
  <w:num w:numId="7">
    <w:abstractNumId w:val="9"/>
  </w:num>
  <w:num w:numId="8">
    <w:abstractNumId w:val="4"/>
  </w:num>
  <w:num w:numId="9">
    <w:abstractNumId w:val="8"/>
  </w:num>
  <w:num w:numId="10">
    <w:abstractNumId w:val="31"/>
  </w:num>
  <w:num w:numId="11">
    <w:abstractNumId w:val="18"/>
  </w:num>
  <w:num w:numId="12">
    <w:abstractNumId w:val="30"/>
  </w:num>
  <w:num w:numId="13">
    <w:abstractNumId w:val="39"/>
  </w:num>
  <w:num w:numId="14">
    <w:abstractNumId w:val="29"/>
  </w:num>
  <w:num w:numId="15">
    <w:abstractNumId w:val="22"/>
  </w:num>
  <w:num w:numId="16">
    <w:abstractNumId w:val="32"/>
  </w:num>
  <w:num w:numId="17">
    <w:abstractNumId w:val="0"/>
  </w:num>
  <w:num w:numId="18">
    <w:abstractNumId w:val="35"/>
  </w:num>
  <w:num w:numId="19">
    <w:abstractNumId w:val="19"/>
  </w:num>
  <w:num w:numId="20">
    <w:abstractNumId w:val="24"/>
  </w:num>
  <w:num w:numId="21">
    <w:abstractNumId w:val="5"/>
  </w:num>
  <w:num w:numId="22">
    <w:abstractNumId w:val="14"/>
  </w:num>
  <w:num w:numId="23">
    <w:abstractNumId w:val="33"/>
  </w:num>
  <w:num w:numId="24">
    <w:abstractNumId w:val="21"/>
  </w:num>
  <w:num w:numId="25">
    <w:abstractNumId w:val="34"/>
  </w:num>
  <w:num w:numId="26">
    <w:abstractNumId w:val="10"/>
  </w:num>
  <w:num w:numId="27">
    <w:abstractNumId w:val="3"/>
  </w:num>
  <w:num w:numId="28">
    <w:abstractNumId w:val="38"/>
  </w:num>
  <w:num w:numId="29">
    <w:abstractNumId w:val="28"/>
  </w:num>
  <w:num w:numId="30">
    <w:abstractNumId w:val="37"/>
  </w:num>
  <w:num w:numId="31">
    <w:abstractNumId w:val="25"/>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5"/>
  </w:num>
  <w:num w:numId="36">
    <w:abstractNumId w:val="12"/>
  </w:num>
  <w:num w:numId="37">
    <w:abstractNumId w:val="27"/>
  </w:num>
  <w:num w:numId="38">
    <w:abstractNumId w:val="26"/>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4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7" w:nlCheck="1" w:checkStyle="1"/>
  <w:activeWritingStyle w:appName="MSWord" w:lang="en-US"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2D8"/>
    <w:rsid w:val="000015DD"/>
    <w:rsid w:val="000037D6"/>
    <w:rsid w:val="00003CAD"/>
    <w:rsid w:val="000077D1"/>
    <w:rsid w:val="00010B01"/>
    <w:rsid w:val="00012B59"/>
    <w:rsid w:val="00013660"/>
    <w:rsid w:val="000272F4"/>
    <w:rsid w:val="00031445"/>
    <w:rsid w:val="00031937"/>
    <w:rsid w:val="00031C15"/>
    <w:rsid w:val="00041DB3"/>
    <w:rsid w:val="00050643"/>
    <w:rsid w:val="0005317D"/>
    <w:rsid w:val="00054DAA"/>
    <w:rsid w:val="000604CC"/>
    <w:rsid w:val="00067BE5"/>
    <w:rsid w:val="00070F96"/>
    <w:rsid w:val="00072784"/>
    <w:rsid w:val="00073A80"/>
    <w:rsid w:val="0007470B"/>
    <w:rsid w:val="000766E8"/>
    <w:rsid w:val="00080FBA"/>
    <w:rsid w:val="00081419"/>
    <w:rsid w:val="00082CEB"/>
    <w:rsid w:val="00090B32"/>
    <w:rsid w:val="00094A8E"/>
    <w:rsid w:val="00095EB6"/>
    <w:rsid w:val="000A012D"/>
    <w:rsid w:val="000A275D"/>
    <w:rsid w:val="000A5006"/>
    <w:rsid w:val="000B095D"/>
    <w:rsid w:val="000B1B06"/>
    <w:rsid w:val="000B3096"/>
    <w:rsid w:val="000B3F04"/>
    <w:rsid w:val="000B479E"/>
    <w:rsid w:val="000B5037"/>
    <w:rsid w:val="000C1951"/>
    <w:rsid w:val="000D106A"/>
    <w:rsid w:val="000D2AA5"/>
    <w:rsid w:val="000D5214"/>
    <w:rsid w:val="000D6127"/>
    <w:rsid w:val="000E7136"/>
    <w:rsid w:val="000F0665"/>
    <w:rsid w:val="000F3748"/>
    <w:rsid w:val="000F392E"/>
    <w:rsid w:val="00102E8C"/>
    <w:rsid w:val="00105EA1"/>
    <w:rsid w:val="00106590"/>
    <w:rsid w:val="0010764D"/>
    <w:rsid w:val="00124A55"/>
    <w:rsid w:val="00124F1B"/>
    <w:rsid w:val="001257AD"/>
    <w:rsid w:val="00126786"/>
    <w:rsid w:val="00130C5D"/>
    <w:rsid w:val="00130DE8"/>
    <w:rsid w:val="00146A47"/>
    <w:rsid w:val="00150468"/>
    <w:rsid w:val="001509B0"/>
    <w:rsid w:val="0015301B"/>
    <w:rsid w:val="0015689E"/>
    <w:rsid w:val="00157594"/>
    <w:rsid w:val="00157B27"/>
    <w:rsid w:val="001623F1"/>
    <w:rsid w:val="00162B0B"/>
    <w:rsid w:val="0016317F"/>
    <w:rsid w:val="00166B4C"/>
    <w:rsid w:val="00172329"/>
    <w:rsid w:val="0017329D"/>
    <w:rsid w:val="00173847"/>
    <w:rsid w:val="0017626E"/>
    <w:rsid w:val="001762DE"/>
    <w:rsid w:val="00177A58"/>
    <w:rsid w:val="001812CF"/>
    <w:rsid w:val="00184B1F"/>
    <w:rsid w:val="00191BD5"/>
    <w:rsid w:val="00194D66"/>
    <w:rsid w:val="0019582C"/>
    <w:rsid w:val="001970D7"/>
    <w:rsid w:val="001A0865"/>
    <w:rsid w:val="001A311E"/>
    <w:rsid w:val="001A4B3F"/>
    <w:rsid w:val="001A653B"/>
    <w:rsid w:val="001B0033"/>
    <w:rsid w:val="001B1EF2"/>
    <w:rsid w:val="001B319B"/>
    <w:rsid w:val="001B60B3"/>
    <w:rsid w:val="001B76E3"/>
    <w:rsid w:val="001C0850"/>
    <w:rsid w:val="001C1F21"/>
    <w:rsid w:val="001C6A82"/>
    <w:rsid w:val="001C7AA4"/>
    <w:rsid w:val="001D74F2"/>
    <w:rsid w:val="001E52C3"/>
    <w:rsid w:val="001E65B0"/>
    <w:rsid w:val="00201B1F"/>
    <w:rsid w:val="002020CC"/>
    <w:rsid w:val="0020307B"/>
    <w:rsid w:val="002032B5"/>
    <w:rsid w:val="002035C6"/>
    <w:rsid w:val="00205997"/>
    <w:rsid w:val="0021123E"/>
    <w:rsid w:val="002128D0"/>
    <w:rsid w:val="00215E2E"/>
    <w:rsid w:val="00216E5D"/>
    <w:rsid w:val="002171F1"/>
    <w:rsid w:val="00221847"/>
    <w:rsid w:val="00222483"/>
    <w:rsid w:val="00224434"/>
    <w:rsid w:val="00230648"/>
    <w:rsid w:val="002378EC"/>
    <w:rsid w:val="00245D1C"/>
    <w:rsid w:val="00247324"/>
    <w:rsid w:val="00255313"/>
    <w:rsid w:val="00256D3A"/>
    <w:rsid w:val="00261AB5"/>
    <w:rsid w:val="00261BA4"/>
    <w:rsid w:val="00262EC8"/>
    <w:rsid w:val="002652C9"/>
    <w:rsid w:val="00275047"/>
    <w:rsid w:val="0027701A"/>
    <w:rsid w:val="00292DC2"/>
    <w:rsid w:val="002B10B9"/>
    <w:rsid w:val="002B1F6E"/>
    <w:rsid w:val="002B3109"/>
    <w:rsid w:val="002B3B51"/>
    <w:rsid w:val="002C1A32"/>
    <w:rsid w:val="002C223A"/>
    <w:rsid w:val="002C3C7D"/>
    <w:rsid w:val="002C6BA1"/>
    <w:rsid w:val="002C78A3"/>
    <w:rsid w:val="002D06E6"/>
    <w:rsid w:val="002D09F3"/>
    <w:rsid w:val="002D49F1"/>
    <w:rsid w:val="002D7CB2"/>
    <w:rsid w:val="002E1704"/>
    <w:rsid w:val="002E4FDB"/>
    <w:rsid w:val="002E6C63"/>
    <w:rsid w:val="002E73FC"/>
    <w:rsid w:val="002F0EB2"/>
    <w:rsid w:val="002F1CF4"/>
    <w:rsid w:val="002F3AAE"/>
    <w:rsid w:val="00303BF4"/>
    <w:rsid w:val="00304387"/>
    <w:rsid w:val="00305A47"/>
    <w:rsid w:val="00305B7A"/>
    <w:rsid w:val="00310468"/>
    <w:rsid w:val="00311444"/>
    <w:rsid w:val="003118E6"/>
    <w:rsid w:val="003123F9"/>
    <w:rsid w:val="0031740B"/>
    <w:rsid w:val="00322DB7"/>
    <w:rsid w:val="00326902"/>
    <w:rsid w:val="00327D37"/>
    <w:rsid w:val="003320C7"/>
    <w:rsid w:val="00332CB8"/>
    <w:rsid w:val="003342E2"/>
    <w:rsid w:val="0033446A"/>
    <w:rsid w:val="003406B3"/>
    <w:rsid w:val="00340C05"/>
    <w:rsid w:val="0034167A"/>
    <w:rsid w:val="00343E24"/>
    <w:rsid w:val="00346705"/>
    <w:rsid w:val="003512DF"/>
    <w:rsid w:val="00353F9A"/>
    <w:rsid w:val="003556C2"/>
    <w:rsid w:val="00355FFE"/>
    <w:rsid w:val="00356417"/>
    <w:rsid w:val="0035732C"/>
    <w:rsid w:val="00362957"/>
    <w:rsid w:val="00364046"/>
    <w:rsid w:val="00364CA6"/>
    <w:rsid w:val="00366A5C"/>
    <w:rsid w:val="00372397"/>
    <w:rsid w:val="0037285D"/>
    <w:rsid w:val="00373E88"/>
    <w:rsid w:val="00374E60"/>
    <w:rsid w:val="0037578D"/>
    <w:rsid w:val="003758BE"/>
    <w:rsid w:val="003824E3"/>
    <w:rsid w:val="003825D6"/>
    <w:rsid w:val="0038568A"/>
    <w:rsid w:val="0038701C"/>
    <w:rsid w:val="003872F1"/>
    <w:rsid w:val="003874E8"/>
    <w:rsid w:val="0039022C"/>
    <w:rsid w:val="003903C4"/>
    <w:rsid w:val="00392BD8"/>
    <w:rsid w:val="00394A5D"/>
    <w:rsid w:val="00394AB1"/>
    <w:rsid w:val="003969B4"/>
    <w:rsid w:val="003A211C"/>
    <w:rsid w:val="003A225C"/>
    <w:rsid w:val="003A72D8"/>
    <w:rsid w:val="003B09E3"/>
    <w:rsid w:val="003B0A62"/>
    <w:rsid w:val="003B1AFF"/>
    <w:rsid w:val="003B1C60"/>
    <w:rsid w:val="003B5625"/>
    <w:rsid w:val="003B5C7C"/>
    <w:rsid w:val="003B5E89"/>
    <w:rsid w:val="003C568A"/>
    <w:rsid w:val="003D2243"/>
    <w:rsid w:val="003D23AA"/>
    <w:rsid w:val="003D42C4"/>
    <w:rsid w:val="003E02AE"/>
    <w:rsid w:val="003E2A1D"/>
    <w:rsid w:val="003E3154"/>
    <w:rsid w:val="003E70C6"/>
    <w:rsid w:val="003F00F9"/>
    <w:rsid w:val="003F1F88"/>
    <w:rsid w:val="003F541A"/>
    <w:rsid w:val="003F5C2B"/>
    <w:rsid w:val="003F64EC"/>
    <w:rsid w:val="003F7D89"/>
    <w:rsid w:val="0040132D"/>
    <w:rsid w:val="00402F0E"/>
    <w:rsid w:val="00403379"/>
    <w:rsid w:val="00403604"/>
    <w:rsid w:val="00405520"/>
    <w:rsid w:val="00407B57"/>
    <w:rsid w:val="0041031A"/>
    <w:rsid w:val="00410797"/>
    <w:rsid w:val="00411549"/>
    <w:rsid w:val="0041195C"/>
    <w:rsid w:val="00414FD8"/>
    <w:rsid w:val="00416C01"/>
    <w:rsid w:val="00426AE6"/>
    <w:rsid w:val="004276B2"/>
    <w:rsid w:val="00430699"/>
    <w:rsid w:val="00430945"/>
    <w:rsid w:val="004337A7"/>
    <w:rsid w:val="00434ADA"/>
    <w:rsid w:val="00435A2C"/>
    <w:rsid w:val="00435D90"/>
    <w:rsid w:val="004404BA"/>
    <w:rsid w:val="00441F97"/>
    <w:rsid w:val="0044643B"/>
    <w:rsid w:val="00447222"/>
    <w:rsid w:val="00452913"/>
    <w:rsid w:val="004571CD"/>
    <w:rsid w:val="00470946"/>
    <w:rsid w:val="00471150"/>
    <w:rsid w:val="00472C26"/>
    <w:rsid w:val="00472D0C"/>
    <w:rsid w:val="00474D29"/>
    <w:rsid w:val="00476CAA"/>
    <w:rsid w:val="00481084"/>
    <w:rsid w:val="004818E2"/>
    <w:rsid w:val="00482C75"/>
    <w:rsid w:val="004908EE"/>
    <w:rsid w:val="00491394"/>
    <w:rsid w:val="00491A35"/>
    <w:rsid w:val="00493AD6"/>
    <w:rsid w:val="0049447A"/>
    <w:rsid w:val="0049559C"/>
    <w:rsid w:val="00496C47"/>
    <w:rsid w:val="004A0804"/>
    <w:rsid w:val="004A0BED"/>
    <w:rsid w:val="004A1C0E"/>
    <w:rsid w:val="004A22BD"/>
    <w:rsid w:val="004A3E7F"/>
    <w:rsid w:val="004A5A2F"/>
    <w:rsid w:val="004A75AB"/>
    <w:rsid w:val="004B1335"/>
    <w:rsid w:val="004B26F2"/>
    <w:rsid w:val="004B2B9C"/>
    <w:rsid w:val="004B2FDE"/>
    <w:rsid w:val="004B7C9E"/>
    <w:rsid w:val="004C0569"/>
    <w:rsid w:val="004C2546"/>
    <w:rsid w:val="004C25DD"/>
    <w:rsid w:val="004C4B1C"/>
    <w:rsid w:val="004C4B80"/>
    <w:rsid w:val="004C7C38"/>
    <w:rsid w:val="004D3366"/>
    <w:rsid w:val="004D3504"/>
    <w:rsid w:val="004D58F3"/>
    <w:rsid w:val="004D61A9"/>
    <w:rsid w:val="004D775D"/>
    <w:rsid w:val="004D7B28"/>
    <w:rsid w:val="004E0343"/>
    <w:rsid w:val="004E2312"/>
    <w:rsid w:val="004E2316"/>
    <w:rsid w:val="004E70A4"/>
    <w:rsid w:val="004F1CD8"/>
    <w:rsid w:val="004F2A8D"/>
    <w:rsid w:val="004F6A70"/>
    <w:rsid w:val="00501B0B"/>
    <w:rsid w:val="00505167"/>
    <w:rsid w:val="00511D06"/>
    <w:rsid w:val="0051217B"/>
    <w:rsid w:val="00513013"/>
    <w:rsid w:val="005130FC"/>
    <w:rsid w:val="0051373A"/>
    <w:rsid w:val="0052473B"/>
    <w:rsid w:val="0053101C"/>
    <w:rsid w:val="0053167C"/>
    <w:rsid w:val="0053187D"/>
    <w:rsid w:val="00531AE2"/>
    <w:rsid w:val="005332A6"/>
    <w:rsid w:val="005427D0"/>
    <w:rsid w:val="00542E16"/>
    <w:rsid w:val="005436F8"/>
    <w:rsid w:val="00544C46"/>
    <w:rsid w:val="0056033D"/>
    <w:rsid w:val="0056172C"/>
    <w:rsid w:val="00561C72"/>
    <w:rsid w:val="00567383"/>
    <w:rsid w:val="005719F8"/>
    <w:rsid w:val="00577AB6"/>
    <w:rsid w:val="00586354"/>
    <w:rsid w:val="00587B18"/>
    <w:rsid w:val="00590BEF"/>
    <w:rsid w:val="005910FB"/>
    <w:rsid w:val="0059376B"/>
    <w:rsid w:val="00594CF4"/>
    <w:rsid w:val="00597EB2"/>
    <w:rsid w:val="005A2423"/>
    <w:rsid w:val="005A7D1C"/>
    <w:rsid w:val="005B0A52"/>
    <w:rsid w:val="005B0C27"/>
    <w:rsid w:val="005B2C7B"/>
    <w:rsid w:val="005C2669"/>
    <w:rsid w:val="005C4230"/>
    <w:rsid w:val="005C7A43"/>
    <w:rsid w:val="005E3BAF"/>
    <w:rsid w:val="005E3DE2"/>
    <w:rsid w:val="005E68D5"/>
    <w:rsid w:val="005E7889"/>
    <w:rsid w:val="005F1B74"/>
    <w:rsid w:val="005F2794"/>
    <w:rsid w:val="005F6077"/>
    <w:rsid w:val="005F755F"/>
    <w:rsid w:val="00602485"/>
    <w:rsid w:val="0060555D"/>
    <w:rsid w:val="00610D45"/>
    <w:rsid w:val="00611B77"/>
    <w:rsid w:val="0061265D"/>
    <w:rsid w:val="0061300F"/>
    <w:rsid w:val="00615628"/>
    <w:rsid w:val="00622013"/>
    <w:rsid w:val="00640AE9"/>
    <w:rsid w:val="006460A5"/>
    <w:rsid w:val="0065136D"/>
    <w:rsid w:val="00651CBC"/>
    <w:rsid w:val="00651DDB"/>
    <w:rsid w:val="00652424"/>
    <w:rsid w:val="006544CE"/>
    <w:rsid w:val="0065739D"/>
    <w:rsid w:val="0066466A"/>
    <w:rsid w:val="006652CC"/>
    <w:rsid w:val="006652D0"/>
    <w:rsid w:val="00667091"/>
    <w:rsid w:val="0067191E"/>
    <w:rsid w:val="006814C2"/>
    <w:rsid w:val="006844C8"/>
    <w:rsid w:val="00685988"/>
    <w:rsid w:val="00692297"/>
    <w:rsid w:val="006A0D70"/>
    <w:rsid w:val="006A3AC8"/>
    <w:rsid w:val="006A5058"/>
    <w:rsid w:val="006B03EC"/>
    <w:rsid w:val="006B3A2B"/>
    <w:rsid w:val="006B7380"/>
    <w:rsid w:val="006C42DC"/>
    <w:rsid w:val="006C4D4F"/>
    <w:rsid w:val="006D6DD6"/>
    <w:rsid w:val="006E1319"/>
    <w:rsid w:val="006E2115"/>
    <w:rsid w:val="006E46E9"/>
    <w:rsid w:val="006F1FC6"/>
    <w:rsid w:val="006F2618"/>
    <w:rsid w:val="006F2AFB"/>
    <w:rsid w:val="006F323B"/>
    <w:rsid w:val="006F4A31"/>
    <w:rsid w:val="006F6D21"/>
    <w:rsid w:val="006F6F00"/>
    <w:rsid w:val="00701EF5"/>
    <w:rsid w:val="00702255"/>
    <w:rsid w:val="0070263E"/>
    <w:rsid w:val="0070488E"/>
    <w:rsid w:val="007061C7"/>
    <w:rsid w:val="0071142F"/>
    <w:rsid w:val="00712862"/>
    <w:rsid w:val="007302CD"/>
    <w:rsid w:val="00730D44"/>
    <w:rsid w:val="00731445"/>
    <w:rsid w:val="007351A0"/>
    <w:rsid w:val="00740106"/>
    <w:rsid w:val="0074030C"/>
    <w:rsid w:val="007443EA"/>
    <w:rsid w:val="00744703"/>
    <w:rsid w:val="00745EBF"/>
    <w:rsid w:val="00746102"/>
    <w:rsid w:val="00747ED1"/>
    <w:rsid w:val="00750BF0"/>
    <w:rsid w:val="00751E15"/>
    <w:rsid w:val="0075496B"/>
    <w:rsid w:val="00760864"/>
    <w:rsid w:val="007610D6"/>
    <w:rsid w:val="007638FA"/>
    <w:rsid w:val="00767A93"/>
    <w:rsid w:val="00771E73"/>
    <w:rsid w:val="00771FCB"/>
    <w:rsid w:val="00775C3F"/>
    <w:rsid w:val="0078286E"/>
    <w:rsid w:val="0078360D"/>
    <w:rsid w:val="007842DE"/>
    <w:rsid w:val="0078436C"/>
    <w:rsid w:val="0078757E"/>
    <w:rsid w:val="007875FD"/>
    <w:rsid w:val="00792ABB"/>
    <w:rsid w:val="0079505B"/>
    <w:rsid w:val="00795089"/>
    <w:rsid w:val="007966EF"/>
    <w:rsid w:val="007A5F77"/>
    <w:rsid w:val="007B0B42"/>
    <w:rsid w:val="007B20F3"/>
    <w:rsid w:val="007B2987"/>
    <w:rsid w:val="007B3954"/>
    <w:rsid w:val="007B4599"/>
    <w:rsid w:val="007B4932"/>
    <w:rsid w:val="007B7613"/>
    <w:rsid w:val="007B7990"/>
    <w:rsid w:val="007C1BBF"/>
    <w:rsid w:val="007C1F92"/>
    <w:rsid w:val="007C21BD"/>
    <w:rsid w:val="007C2C15"/>
    <w:rsid w:val="007C3508"/>
    <w:rsid w:val="007C3EE8"/>
    <w:rsid w:val="007C512E"/>
    <w:rsid w:val="007D048D"/>
    <w:rsid w:val="007D1FBE"/>
    <w:rsid w:val="007D5624"/>
    <w:rsid w:val="007E02E1"/>
    <w:rsid w:val="007E0B8A"/>
    <w:rsid w:val="007E257A"/>
    <w:rsid w:val="007E3436"/>
    <w:rsid w:val="007E4806"/>
    <w:rsid w:val="007E485B"/>
    <w:rsid w:val="007E583E"/>
    <w:rsid w:val="007E646F"/>
    <w:rsid w:val="007E6C3B"/>
    <w:rsid w:val="007F13E8"/>
    <w:rsid w:val="007F3065"/>
    <w:rsid w:val="007F464C"/>
    <w:rsid w:val="007F4BCD"/>
    <w:rsid w:val="007F6E5B"/>
    <w:rsid w:val="008005E8"/>
    <w:rsid w:val="008007AC"/>
    <w:rsid w:val="008041ED"/>
    <w:rsid w:val="008157CB"/>
    <w:rsid w:val="00817653"/>
    <w:rsid w:val="00820FCC"/>
    <w:rsid w:val="008226AB"/>
    <w:rsid w:val="00823568"/>
    <w:rsid w:val="00823E4E"/>
    <w:rsid w:val="00826B87"/>
    <w:rsid w:val="008306F2"/>
    <w:rsid w:val="00830E1F"/>
    <w:rsid w:val="008321BA"/>
    <w:rsid w:val="0083318F"/>
    <w:rsid w:val="00834420"/>
    <w:rsid w:val="00837C48"/>
    <w:rsid w:val="00842039"/>
    <w:rsid w:val="00844545"/>
    <w:rsid w:val="00846F2A"/>
    <w:rsid w:val="00860CFC"/>
    <w:rsid w:val="00873D69"/>
    <w:rsid w:val="00874CE7"/>
    <w:rsid w:val="008760FC"/>
    <w:rsid w:val="008854BB"/>
    <w:rsid w:val="008858DC"/>
    <w:rsid w:val="008915DD"/>
    <w:rsid w:val="008936E0"/>
    <w:rsid w:val="00893FD1"/>
    <w:rsid w:val="008945D3"/>
    <w:rsid w:val="008956E4"/>
    <w:rsid w:val="00896096"/>
    <w:rsid w:val="008A084B"/>
    <w:rsid w:val="008A3C4F"/>
    <w:rsid w:val="008A5373"/>
    <w:rsid w:val="008A6AEE"/>
    <w:rsid w:val="008A78C9"/>
    <w:rsid w:val="008B2017"/>
    <w:rsid w:val="008B2B08"/>
    <w:rsid w:val="008B3F84"/>
    <w:rsid w:val="008B67B8"/>
    <w:rsid w:val="008C23DF"/>
    <w:rsid w:val="008C2FA8"/>
    <w:rsid w:val="008D22AC"/>
    <w:rsid w:val="008D2467"/>
    <w:rsid w:val="008D2994"/>
    <w:rsid w:val="008D4C1B"/>
    <w:rsid w:val="008E103F"/>
    <w:rsid w:val="008E1401"/>
    <w:rsid w:val="008E175A"/>
    <w:rsid w:val="008E4B37"/>
    <w:rsid w:val="008E70F2"/>
    <w:rsid w:val="008E7290"/>
    <w:rsid w:val="008F01E2"/>
    <w:rsid w:val="008F0774"/>
    <w:rsid w:val="008F0D7D"/>
    <w:rsid w:val="008F1D17"/>
    <w:rsid w:val="008F57A0"/>
    <w:rsid w:val="00900758"/>
    <w:rsid w:val="00903B18"/>
    <w:rsid w:val="00904AF2"/>
    <w:rsid w:val="00904C2D"/>
    <w:rsid w:val="00910105"/>
    <w:rsid w:val="00910E4D"/>
    <w:rsid w:val="00913CED"/>
    <w:rsid w:val="00931C13"/>
    <w:rsid w:val="00932825"/>
    <w:rsid w:val="00937654"/>
    <w:rsid w:val="00942EF9"/>
    <w:rsid w:val="00943AFF"/>
    <w:rsid w:val="00947CD1"/>
    <w:rsid w:val="00957346"/>
    <w:rsid w:val="009609B9"/>
    <w:rsid w:val="00962608"/>
    <w:rsid w:val="00963555"/>
    <w:rsid w:val="00965395"/>
    <w:rsid w:val="00966330"/>
    <w:rsid w:val="00970479"/>
    <w:rsid w:val="00971080"/>
    <w:rsid w:val="00976567"/>
    <w:rsid w:val="00977FE6"/>
    <w:rsid w:val="009936BA"/>
    <w:rsid w:val="009B00A6"/>
    <w:rsid w:val="009B0472"/>
    <w:rsid w:val="009B5357"/>
    <w:rsid w:val="009C1555"/>
    <w:rsid w:val="009C17C4"/>
    <w:rsid w:val="009C1A51"/>
    <w:rsid w:val="009C20F9"/>
    <w:rsid w:val="009C7EEE"/>
    <w:rsid w:val="009D0A85"/>
    <w:rsid w:val="009D3DCE"/>
    <w:rsid w:val="009D5020"/>
    <w:rsid w:val="009D682E"/>
    <w:rsid w:val="009D72CF"/>
    <w:rsid w:val="009D7754"/>
    <w:rsid w:val="009F0785"/>
    <w:rsid w:val="009F14FC"/>
    <w:rsid w:val="009F3479"/>
    <w:rsid w:val="009F64F3"/>
    <w:rsid w:val="009F6E51"/>
    <w:rsid w:val="009F701F"/>
    <w:rsid w:val="00A013A2"/>
    <w:rsid w:val="00A20AD6"/>
    <w:rsid w:val="00A25FD3"/>
    <w:rsid w:val="00A3646B"/>
    <w:rsid w:val="00A40936"/>
    <w:rsid w:val="00A43BA2"/>
    <w:rsid w:val="00A45E20"/>
    <w:rsid w:val="00A46BBA"/>
    <w:rsid w:val="00A52AF9"/>
    <w:rsid w:val="00A70AC8"/>
    <w:rsid w:val="00A75A0E"/>
    <w:rsid w:val="00A76816"/>
    <w:rsid w:val="00A817E8"/>
    <w:rsid w:val="00A829AE"/>
    <w:rsid w:val="00A8512F"/>
    <w:rsid w:val="00A855F9"/>
    <w:rsid w:val="00A8659F"/>
    <w:rsid w:val="00A90F0D"/>
    <w:rsid w:val="00A912FA"/>
    <w:rsid w:val="00A92685"/>
    <w:rsid w:val="00A93B4C"/>
    <w:rsid w:val="00A955F2"/>
    <w:rsid w:val="00A968E4"/>
    <w:rsid w:val="00A975F2"/>
    <w:rsid w:val="00AA6F23"/>
    <w:rsid w:val="00AB1BA7"/>
    <w:rsid w:val="00AB21C0"/>
    <w:rsid w:val="00AC40EE"/>
    <w:rsid w:val="00AD2DAA"/>
    <w:rsid w:val="00AE3FAE"/>
    <w:rsid w:val="00AE7E99"/>
    <w:rsid w:val="00B0058A"/>
    <w:rsid w:val="00B01716"/>
    <w:rsid w:val="00B0238A"/>
    <w:rsid w:val="00B059FF"/>
    <w:rsid w:val="00B11D31"/>
    <w:rsid w:val="00B16C28"/>
    <w:rsid w:val="00B20047"/>
    <w:rsid w:val="00B21A80"/>
    <w:rsid w:val="00B21D6C"/>
    <w:rsid w:val="00B22109"/>
    <w:rsid w:val="00B22EF1"/>
    <w:rsid w:val="00B2345D"/>
    <w:rsid w:val="00B23F82"/>
    <w:rsid w:val="00B25B6F"/>
    <w:rsid w:val="00B3085F"/>
    <w:rsid w:val="00B31C0A"/>
    <w:rsid w:val="00B34F9F"/>
    <w:rsid w:val="00B41F52"/>
    <w:rsid w:val="00B459DD"/>
    <w:rsid w:val="00B46892"/>
    <w:rsid w:val="00B468FC"/>
    <w:rsid w:val="00B46F09"/>
    <w:rsid w:val="00B5484F"/>
    <w:rsid w:val="00B5772C"/>
    <w:rsid w:val="00B61554"/>
    <w:rsid w:val="00B64CAB"/>
    <w:rsid w:val="00B6624C"/>
    <w:rsid w:val="00B66F9B"/>
    <w:rsid w:val="00B74996"/>
    <w:rsid w:val="00B76D61"/>
    <w:rsid w:val="00B812D2"/>
    <w:rsid w:val="00B841D2"/>
    <w:rsid w:val="00B84836"/>
    <w:rsid w:val="00B916DF"/>
    <w:rsid w:val="00B971E4"/>
    <w:rsid w:val="00BA1DCF"/>
    <w:rsid w:val="00BA260E"/>
    <w:rsid w:val="00BA2E51"/>
    <w:rsid w:val="00BB0384"/>
    <w:rsid w:val="00BB13C0"/>
    <w:rsid w:val="00BB140F"/>
    <w:rsid w:val="00BB4196"/>
    <w:rsid w:val="00BB7681"/>
    <w:rsid w:val="00BC4CDE"/>
    <w:rsid w:val="00BC6816"/>
    <w:rsid w:val="00BC7851"/>
    <w:rsid w:val="00BD4261"/>
    <w:rsid w:val="00BD70BA"/>
    <w:rsid w:val="00BE588E"/>
    <w:rsid w:val="00BE5B08"/>
    <w:rsid w:val="00BF4FE9"/>
    <w:rsid w:val="00BF52AB"/>
    <w:rsid w:val="00BF7F5E"/>
    <w:rsid w:val="00C01FD2"/>
    <w:rsid w:val="00C04338"/>
    <w:rsid w:val="00C0440A"/>
    <w:rsid w:val="00C05AF7"/>
    <w:rsid w:val="00C05CAC"/>
    <w:rsid w:val="00C0714E"/>
    <w:rsid w:val="00C07517"/>
    <w:rsid w:val="00C178E7"/>
    <w:rsid w:val="00C22378"/>
    <w:rsid w:val="00C25540"/>
    <w:rsid w:val="00C276EA"/>
    <w:rsid w:val="00C3223F"/>
    <w:rsid w:val="00C34BCC"/>
    <w:rsid w:val="00C37872"/>
    <w:rsid w:val="00C41AE4"/>
    <w:rsid w:val="00C41BFD"/>
    <w:rsid w:val="00C44C1F"/>
    <w:rsid w:val="00C45206"/>
    <w:rsid w:val="00C452B9"/>
    <w:rsid w:val="00C45D1C"/>
    <w:rsid w:val="00C47E2D"/>
    <w:rsid w:val="00C504AE"/>
    <w:rsid w:val="00C50CA8"/>
    <w:rsid w:val="00C66204"/>
    <w:rsid w:val="00C676CF"/>
    <w:rsid w:val="00C74B02"/>
    <w:rsid w:val="00C74C9F"/>
    <w:rsid w:val="00C77622"/>
    <w:rsid w:val="00C77D35"/>
    <w:rsid w:val="00C856BA"/>
    <w:rsid w:val="00C8796F"/>
    <w:rsid w:val="00C9384F"/>
    <w:rsid w:val="00C9459E"/>
    <w:rsid w:val="00C94AF7"/>
    <w:rsid w:val="00C974F4"/>
    <w:rsid w:val="00C9764A"/>
    <w:rsid w:val="00C97847"/>
    <w:rsid w:val="00CA1F10"/>
    <w:rsid w:val="00CA38DD"/>
    <w:rsid w:val="00CB2E5A"/>
    <w:rsid w:val="00CB3FF7"/>
    <w:rsid w:val="00CC2744"/>
    <w:rsid w:val="00CC2FB0"/>
    <w:rsid w:val="00CD0487"/>
    <w:rsid w:val="00CD73CF"/>
    <w:rsid w:val="00CE0D59"/>
    <w:rsid w:val="00CE40B7"/>
    <w:rsid w:val="00CE4193"/>
    <w:rsid w:val="00CE42AA"/>
    <w:rsid w:val="00CE7C05"/>
    <w:rsid w:val="00D0456A"/>
    <w:rsid w:val="00D05097"/>
    <w:rsid w:val="00D0772D"/>
    <w:rsid w:val="00D154D7"/>
    <w:rsid w:val="00D170A6"/>
    <w:rsid w:val="00D176D2"/>
    <w:rsid w:val="00D21607"/>
    <w:rsid w:val="00D22F3F"/>
    <w:rsid w:val="00D31092"/>
    <w:rsid w:val="00D33932"/>
    <w:rsid w:val="00D47DED"/>
    <w:rsid w:val="00D542DD"/>
    <w:rsid w:val="00D60E1D"/>
    <w:rsid w:val="00D61888"/>
    <w:rsid w:val="00D62688"/>
    <w:rsid w:val="00D6778C"/>
    <w:rsid w:val="00D71846"/>
    <w:rsid w:val="00D74CEE"/>
    <w:rsid w:val="00D7687A"/>
    <w:rsid w:val="00D76F99"/>
    <w:rsid w:val="00D813B8"/>
    <w:rsid w:val="00D81EB1"/>
    <w:rsid w:val="00D84174"/>
    <w:rsid w:val="00D850D0"/>
    <w:rsid w:val="00D91A69"/>
    <w:rsid w:val="00D93599"/>
    <w:rsid w:val="00DA1708"/>
    <w:rsid w:val="00DA2AE8"/>
    <w:rsid w:val="00DA3860"/>
    <w:rsid w:val="00DA4957"/>
    <w:rsid w:val="00DA59B1"/>
    <w:rsid w:val="00DB4C3F"/>
    <w:rsid w:val="00DB4E23"/>
    <w:rsid w:val="00DB705C"/>
    <w:rsid w:val="00DB7E75"/>
    <w:rsid w:val="00DC07DC"/>
    <w:rsid w:val="00DC0C07"/>
    <w:rsid w:val="00DC26F7"/>
    <w:rsid w:val="00DC2C1C"/>
    <w:rsid w:val="00DC4401"/>
    <w:rsid w:val="00DC54C6"/>
    <w:rsid w:val="00DC59BC"/>
    <w:rsid w:val="00DC7ABC"/>
    <w:rsid w:val="00DC7F31"/>
    <w:rsid w:val="00DD1B44"/>
    <w:rsid w:val="00DD4F95"/>
    <w:rsid w:val="00DD741A"/>
    <w:rsid w:val="00DE2DDD"/>
    <w:rsid w:val="00DE42C9"/>
    <w:rsid w:val="00DF6929"/>
    <w:rsid w:val="00DF6961"/>
    <w:rsid w:val="00E02CFF"/>
    <w:rsid w:val="00E04D40"/>
    <w:rsid w:val="00E053CA"/>
    <w:rsid w:val="00E061D9"/>
    <w:rsid w:val="00E06681"/>
    <w:rsid w:val="00E068C3"/>
    <w:rsid w:val="00E12A52"/>
    <w:rsid w:val="00E12E45"/>
    <w:rsid w:val="00E203B5"/>
    <w:rsid w:val="00E23C58"/>
    <w:rsid w:val="00E252FA"/>
    <w:rsid w:val="00E257B5"/>
    <w:rsid w:val="00E300A3"/>
    <w:rsid w:val="00E32F28"/>
    <w:rsid w:val="00E34E83"/>
    <w:rsid w:val="00E36E08"/>
    <w:rsid w:val="00E37DBF"/>
    <w:rsid w:val="00E43763"/>
    <w:rsid w:val="00E4459E"/>
    <w:rsid w:val="00E44CDA"/>
    <w:rsid w:val="00E44F45"/>
    <w:rsid w:val="00E460DA"/>
    <w:rsid w:val="00E47E45"/>
    <w:rsid w:val="00E529B9"/>
    <w:rsid w:val="00E6222A"/>
    <w:rsid w:val="00E652F9"/>
    <w:rsid w:val="00E70BB2"/>
    <w:rsid w:val="00E71618"/>
    <w:rsid w:val="00E71CEC"/>
    <w:rsid w:val="00E8186D"/>
    <w:rsid w:val="00E82D98"/>
    <w:rsid w:val="00E85DC6"/>
    <w:rsid w:val="00E86FD1"/>
    <w:rsid w:val="00E9765F"/>
    <w:rsid w:val="00EA6E53"/>
    <w:rsid w:val="00EB43EE"/>
    <w:rsid w:val="00EC082B"/>
    <w:rsid w:val="00EC4147"/>
    <w:rsid w:val="00EC5D50"/>
    <w:rsid w:val="00EC7DC3"/>
    <w:rsid w:val="00EE3E2C"/>
    <w:rsid w:val="00EE62BD"/>
    <w:rsid w:val="00EE7072"/>
    <w:rsid w:val="00EE79BE"/>
    <w:rsid w:val="00EE7C43"/>
    <w:rsid w:val="00EF0F75"/>
    <w:rsid w:val="00EF4DF7"/>
    <w:rsid w:val="00F007F2"/>
    <w:rsid w:val="00F0462A"/>
    <w:rsid w:val="00F05B5A"/>
    <w:rsid w:val="00F10E51"/>
    <w:rsid w:val="00F11EDE"/>
    <w:rsid w:val="00F14119"/>
    <w:rsid w:val="00F14BDC"/>
    <w:rsid w:val="00F20053"/>
    <w:rsid w:val="00F253F0"/>
    <w:rsid w:val="00F25556"/>
    <w:rsid w:val="00F34005"/>
    <w:rsid w:val="00F4410E"/>
    <w:rsid w:val="00F51A42"/>
    <w:rsid w:val="00F52FA0"/>
    <w:rsid w:val="00F53DFC"/>
    <w:rsid w:val="00F54A93"/>
    <w:rsid w:val="00F561C7"/>
    <w:rsid w:val="00F574B7"/>
    <w:rsid w:val="00F57536"/>
    <w:rsid w:val="00F617E6"/>
    <w:rsid w:val="00F64030"/>
    <w:rsid w:val="00F7363D"/>
    <w:rsid w:val="00F8443C"/>
    <w:rsid w:val="00F86D96"/>
    <w:rsid w:val="00F902EF"/>
    <w:rsid w:val="00F9323C"/>
    <w:rsid w:val="00F93C93"/>
    <w:rsid w:val="00F977D0"/>
    <w:rsid w:val="00FA18B9"/>
    <w:rsid w:val="00FA4E41"/>
    <w:rsid w:val="00FA534A"/>
    <w:rsid w:val="00FA6FA3"/>
    <w:rsid w:val="00FC33A5"/>
    <w:rsid w:val="00FC56D9"/>
    <w:rsid w:val="00FC5AC2"/>
    <w:rsid w:val="00FC5D26"/>
    <w:rsid w:val="00FC63E6"/>
    <w:rsid w:val="00FD0004"/>
    <w:rsid w:val="00FD475E"/>
    <w:rsid w:val="00FE0FD0"/>
    <w:rsid w:val="00FE2955"/>
    <w:rsid w:val="00FE3221"/>
    <w:rsid w:val="00FF338C"/>
    <w:rsid w:val="00FF3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1"/>
    <w:lsdException w:name="header" w:uiPriority="0"/>
    <w:lsdException w:name="footer" w:uiPriority="0"/>
    <w:lsdException w:name="caption" w:semiHidden="0" w:unhideWhenUsed="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F84"/>
    <w:pPr>
      <w:keepLines/>
    </w:pPr>
    <w:rPr>
      <w:rFonts w:ascii="Arial" w:hAnsi="Arial"/>
      <w:sz w:val="22"/>
      <w:lang w:eastAsia="en-US"/>
    </w:rPr>
  </w:style>
  <w:style w:type="paragraph" w:styleId="Heading1">
    <w:name w:val="heading 1"/>
    <w:basedOn w:val="Normal"/>
    <w:next w:val="Normal"/>
    <w:qFormat/>
    <w:rsid w:val="00E44F45"/>
    <w:pPr>
      <w:keepNext/>
      <w:keepLines w:val="0"/>
      <w:spacing w:before="360" w:after="120"/>
      <w:outlineLvl w:val="0"/>
    </w:pPr>
    <w:rPr>
      <w:b/>
      <w:caps/>
      <w:kern w:val="28"/>
      <w:sz w:val="28"/>
    </w:rPr>
  </w:style>
  <w:style w:type="paragraph" w:styleId="Heading2">
    <w:name w:val="heading 2"/>
    <w:basedOn w:val="Normal"/>
    <w:next w:val="Normal"/>
    <w:qFormat/>
    <w:rsid w:val="004F2A8D"/>
    <w:pPr>
      <w:keepNext/>
      <w:spacing w:before="120" w:after="120"/>
      <w:outlineLvl w:val="1"/>
    </w:pPr>
    <w:rPr>
      <w:b/>
      <w:sz w:val="28"/>
    </w:rPr>
  </w:style>
  <w:style w:type="paragraph" w:styleId="Heading3">
    <w:name w:val="heading 3"/>
    <w:basedOn w:val="Normal"/>
    <w:next w:val="Normal"/>
    <w:link w:val="Heading3Char"/>
    <w:qFormat/>
    <w:rsid w:val="00E44F45"/>
    <w:pPr>
      <w:keepNext/>
      <w:keepLines w:val="0"/>
      <w:spacing w:before="120" w:after="120"/>
      <w:outlineLvl w:val="2"/>
    </w:pPr>
    <w:rPr>
      <w:b/>
      <w:bCs/>
    </w:rPr>
  </w:style>
  <w:style w:type="paragraph" w:styleId="Heading4">
    <w:name w:val="heading 4"/>
    <w:basedOn w:val="Normal"/>
    <w:next w:val="Normal"/>
    <w:qFormat/>
    <w:rsid w:val="004F2A8D"/>
    <w:pPr>
      <w:keepNext/>
      <w:outlineLvl w:val="3"/>
    </w:pPr>
    <w:rPr>
      <w:i/>
    </w:rPr>
  </w:style>
  <w:style w:type="paragraph" w:styleId="Heading5">
    <w:name w:val="heading 5"/>
    <w:basedOn w:val="Normal"/>
    <w:next w:val="Normal"/>
    <w:qFormat/>
    <w:rsid w:val="00031C15"/>
    <w:pPr>
      <w:keepNext/>
      <w:outlineLvl w:val="4"/>
    </w:pPr>
    <w:rPr>
      <w:iCs/>
      <w:u w:val="single"/>
    </w:rPr>
  </w:style>
  <w:style w:type="paragraph" w:styleId="Heading6">
    <w:name w:val="heading 6"/>
    <w:basedOn w:val="Normal"/>
    <w:next w:val="Normal"/>
    <w:qFormat/>
    <w:rsid w:val="003B09E3"/>
    <w:pPr>
      <w:keepNext/>
      <w:tabs>
        <w:tab w:val="right" w:pos="9072"/>
      </w:tabs>
      <w:suppressAutoHyphens/>
      <w:outlineLvl w:val="5"/>
    </w:pPr>
    <w:rPr>
      <w:vanish/>
      <w:sz w:val="16"/>
    </w:rPr>
  </w:style>
  <w:style w:type="paragraph" w:styleId="Heading7">
    <w:name w:val="heading 7"/>
    <w:basedOn w:val="Normal"/>
    <w:next w:val="Normal"/>
    <w:qFormat/>
    <w:rsid w:val="003B09E3"/>
    <w:pPr>
      <w:keepNext/>
      <w:outlineLvl w:val="6"/>
    </w:pPr>
    <w:rPr>
      <w:i/>
    </w:rPr>
  </w:style>
  <w:style w:type="paragraph" w:styleId="Heading8">
    <w:name w:val="heading 8"/>
    <w:basedOn w:val="Normal"/>
    <w:next w:val="Normal"/>
    <w:qFormat/>
    <w:rsid w:val="003B09E3"/>
    <w:pPr>
      <w:keepNext/>
      <w:outlineLvl w:val="7"/>
    </w:pPr>
    <w:rPr>
      <w:b/>
      <w:sz w:val="18"/>
    </w:rPr>
  </w:style>
  <w:style w:type="paragraph" w:styleId="Heading9">
    <w:name w:val="heading 9"/>
    <w:basedOn w:val="Normal"/>
    <w:next w:val="Normal"/>
    <w:qFormat/>
    <w:rsid w:val="003B09E3"/>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09E3"/>
    <w:pPr>
      <w:tabs>
        <w:tab w:val="right" w:pos="9639"/>
      </w:tabs>
    </w:pPr>
    <w:rPr>
      <w:rFonts w:ascii="Arial Narrow" w:hAnsi="Arial Narrow"/>
      <w:i/>
    </w:rPr>
  </w:style>
  <w:style w:type="paragraph" w:customStyle="1" w:styleId="Hint">
    <w:name w:val="Hint"/>
    <w:basedOn w:val="BodyTextIndent2"/>
    <w:autoRedefine/>
    <w:rsid w:val="003B09E3"/>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semiHidden/>
    <w:rsid w:val="003B09E3"/>
    <w:pPr>
      <w:spacing w:after="120" w:line="480" w:lineRule="auto"/>
      <w:ind w:left="360"/>
    </w:pPr>
  </w:style>
  <w:style w:type="paragraph" w:customStyle="1" w:styleId="PIMAINHEADING">
    <w:name w:val="PI MAINHEADING"/>
    <w:basedOn w:val="Heading1"/>
    <w:rsid w:val="003B09E3"/>
    <w:pPr>
      <w:keepNext w:val="0"/>
      <w:keepLines/>
      <w:widowControl w:val="0"/>
      <w:pBdr>
        <w:top w:val="single" w:sz="6" w:space="1" w:color="auto"/>
        <w:bottom w:val="single" w:sz="6" w:space="1" w:color="auto"/>
      </w:pBdr>
      <w:spacing w:before="0" w:after="0"/>
      <w:jc w:val="both"/>
      <w:outlineLvl w:val="9"/>
    </w:pPr>
    <w:rPr>
      <w:rFonts w:ascii="Arial Black" w:hAnsi="Arial Black"/>
      <w:sz w:val="56"/>
    </w:rPr>
  </w:style>
  <w:style w:type="paragraph" w:customStyle="1" w:styleId="PIProductInfo">
    <w:name w:val="PI Product Info"/>
    <w:basedOn w:val="Normal"/>
    <w:rsid w:val="003B09E3"/>
    <w:pPr>
      <w:keepLines w:val="0"/>
      <w:widowControl w:val="0"/>
      <w:pBdr>
        <w:bottom w:val="single" w:sz="6" w:space="1" w:color="auto"/>
      </w:pBdr>
      <w:spacing w:before="60" w:after="240"/>
      <w:jc w:val="center"/>
    </w:pPr>
    <w:rPr>
      <w:b/>
      <w:sz w:val="36"/>
      <w:lang w:val="en-US"/>
    </w:rPr>
  </w:style>
  <w:style w:type="paragraph" w:customStyle="1" w:styleId="PIHEADTOP">
    <w:name w:val="PI HEADTOP"/>
    <w:basedOn w:val="Normal"/>
    <w:rsid w:val="003B09E3"/>
    <w:pPr>
      <w:keepLines w:val="0"/>
      <w:tabs>
        <w:tab w:val="left" w:pos="-720"/>
      </w:tabs>
      <w:suppressAutoHyphens/>
      <w:spacing w:after="120"/>
    </w:pPr>
    <w:rPr>
      <w:b/>
      <w:caps/>
      <w:spacing w:val="-2"/>
      <w:sz w:val="28"/>
    </w:rPr>
  </w:style>
  <w:style w:type="paragraph" w:customStyle="1" w:styleId="PIEXPLAIN">
    <w:name w:val="PI EXPLAIN"/>
    <w:basedOn w:val="Normal"/>
    <w:rsid w:val="003B09E3"/>
    <w:pPr>
      <w:keepLines w:val="0"/>
      <w:tabs>
        <w:tab w:val="left" w:pos="-720"/>
      </w:tabs>
      <w:suppressAutoHyphens/>
      <w:spacing w:before="20" w:after="80"/>
    </w:pPr>
    <w:rPr>
      <w:spacing w:val="-2"/>
    </w:rPr>
  </w:style>
  <w:style w:type="paragraph" w:customStyle="1" w:styleId="PIHEADING1">
    <w:name w:val="PI HEADING1"/>
    <w:basedOn w:val="PIHEADTOP"/>
    <w:rsid w:val="003B09E3"/>
    <w:pPr>
      <w:keepNext/>
      <w:keepLines/>
      <w:spacing w:before="360"/>
      <w:jc w:val="both"/>
    </w:pPr>
  </w:style>
  <w:style w:type="paragraph" w:customStyle="1" w:styleId="PIHEADING2">
    <w:name w:val="PI HEADING2"/>
    <w:basedOn w:val="Normal"/>
    <w:rsid w:val="003B09E3"/>
    <w:pPr>
      <w:keepNext/>
      <w:tabs>
        <w:tab w:val="left" w:pos="-720"/>
      </w:tabs>
      <w:suppressAutoHyphens/>
      <w:spacing w:before="120" w:after="80"/>
    </w:pPr>
    <w:rPr>
      <w:b/>
      <w:spacing w:val="-2"/>
      <w:sz w:val="28"/>
    </w:rPr>
  </w:style>
  <w:style w:type="paragraph" w:customStyle="1" w:styleId="PIDOTPOINT">
    <w:name w:val="PI DOTPOINT"/>
    <w:basedOn w:val="PIEXPLAIN"/>
    <w:rsid w:val="003B09E3"/>
    <w:pPr>
      <w:spacing w:before="0" w:after="40"/>
      <w:ind w:left="568" w:hanging="284"/>
    </w:pPr>
  </w:style>
  <w:style w:type="paragraph" w:styleId="Footer">
    <w:name w:val="footer"/>
    <w:basedOn w:val="Normal"/>
    <w:link w:val="FooterChar"/>
    <w:rsid w:val="003B09E3"/>
    <w:pPr>
      <w:tabs>
        <w:tab w:val="center" w:pos="4153"/>
        <w:tab w:val="right" w:pos="8306"/>
      </w:tabs>
    </w:pPr>
  </w:style>
  <w:style w:type="character" w:styleId="LineNumber">
    <w:name w:val="line number"/>
    <w:basedOn w:val="DefaultParagraphFont"/>
    <w:uiPriority w:val="99"/>
    <w:semiHidden/>
    <w:rsid w:val="003B09E3"/>
  </w:style>
  <w:style w:type="character" w:styleId="Strong">
    <w:name w:val="Strong"/>
    <w:qFormat/>
    <w:rsid w:val="003B09E3"/>
    <w:rPr>
      <w: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semiHidden/>
    <w:rsid w:val="003B09E3"/>
    <w:pPr>
      <w:keepLines w:val="0"/>
      <w:tabs>
        <w:tab w:val="left" w:pos="567"/>
      </w:tabs>
      <w:spacing w:line="260" w:lineRule="exact"/>
    </w:pPr>
    <w:rPr>
      <w:rFonts w:ascii="Times New Roman" w:hAnsi="Times New Roman"/>
      <w:b/>
      <w:i/>
      <w:lang w:val="en-GB"/>
    </w:rPr>
  </w:style>
  <w:style w:type="paragraph" w:customStyle="1" w:styleId="Paragraph">
    <w:name w:val="Paragraph"/>
    <w:rsid w:val="003B09E3"/>
    <w:pPr>
      <w:numPr>
        <w:ilvl w:val="12"/>
      </w:numPr>
      <w:suppressAutoHyphens/>
      <w:spacing w:before="120" w:line="260" w:lineRule="exact"/>
    </w:pPr>
    <w:rPr>
      <w:sz w:val="22"/>
      <w:lang w:val="en-US" w:eastAsia="en-US"/>
    </w:rPr>
  </w:style>
  <w:style w:type="paragraph" w:styleId="CommentText">
    <w:name w:val="annotation text"/>
    <w:basedOn w:val="Normal"/>
    <w:link w:val="CommentTextChar"/>
    <w:uiPriority w:val="99"/>
    <w:rsid w:val="003B09E3"/>
    <w:pPr>
      <w:keepLines w:val="0"/>
      <w:tabs>
        <w:tab w:val="left" w:pos="567"/>
      </w:tabs>
      <w:spacing w:line="260" w:lineRule="exact"/>
    </w:pPr>
    <w:rPr>
      <w:rFonts w:ascii="Times New Roman" w:hAnsi="Times New Roman"/>
      <w:sz w:val="20"/>
      <w:lang w:val="en-GB"/>
    </w:rPr>
  </w:style>
  <w:style w:type="paragraph" w:styleId="EndnoteText">
    <w:name w:val="endnote text"/>
    <w:basedOn w:val="Normal"/>
    <w:next w:val="Normal"/>
    <w:link w:val="EndnoteTextChar"/>
    <w:semiHidden/>
    <w:rsid w:val="003B09E3"/>
    <w:pPr>
      <w:keepLines w:val="0"/>
      <w:tabs>
        <w:tab w:val="left" w:pos="567"/>
      </w:tabs>
    </w:pPr>
    <w:rPr>
      <w:rFonts w:ascii="Times New Roman" w:hAnsi="Times New Roman"/>
      <w:lang w:val="en-GB"/>
    </w:rPr>
  </w:style>
  <w:style w:type="character" w:styleId="PageNumber">
    <w:name w:val="page number"/>
    <w:basedOn w:val="DefaultParagraphFont"/>
    <w:semiHidden/>
    <w:rsid w:val="003B09E3"/>
  </w:style>
  <w:style w:type="paragraph" w:customStyle="1" w:styleId="ParagraphChar">
    <w:name w:val="Paragraph Char"/>
    <w:rsid w:val="003B09E3"/>
    <w:pPr>
      <w:numPr>
        <w:ilvl w:val="12"/>
      </w:numPr>
      <w:suppressAutoHyphens/>
      <w:spacing w:after="120" w:line="260" w:lineRule="exact"/>
    </w:pPr>
    <w:rPr>
      <w:sz w:val="22"/>
      <w:lang w:val="en-US" w:eastAsia="en-US"/>
    </w:rPr>
  </w:style>
  <w:style w:type="paragraph" w:styleId="BodyText2">
    <w:name w:val="Body Text 2"/>
    <w:basedOn w:val="Normal"/>
    <w:link w:val="BodyText2Char"/>
    <w:semiHidden/>
    <w:rsid w:val="003B09E3"/>
    <w:rPr>
      <w:b/>
      <w:bCs/>
    </w:rPr>
  </w:style>
  <w:style w:type="character" w:customStyle="1" w:styleId="TableFootnoteChar1">
    <w:name w:val="Table Footnote Char1"/>
    <w:rsid w:val="003B09E3"/>
    <w:rPr>
      <w:noProof w:val="0"/>
      <w:snapToGrid w:val="0"/>
      <w:lang w:val="en-US" w:eastAsia="en-US" w:bidi="ar-SA"/>
    </w:rPr>
  </w:style>
  <w:style w:type="paragraph" w:customStyle="1" w:styleId="tablebodyChar">
    <w:name w:val="table:body Char"/>
    <w:basedOn w:val="Normal"/>
    <w:rsid w:val="003B09E3"/>
    <w:pPr>
      <w:keepLines w:val="0"/>
      <w:suppressAutoHyphens/>
      <w:spacing w:before="20" w:after="20"/>
    </w:pPr>
    <w:rPr>
      <w:rFonts w:ascii="Times New Roman" w:hAnsi="Times New Roman"/>
      <w:sz w:val="20"/>
      <w:lang w:val="en-US"/>
    </w:rPr>
  </w:style>
  <w:style w:type="paragraph" w:customStyle="1" w:styleId="ParagraphCharChar">
    <w:name w:val="Paragraph Char Char"/>
    <w:rsid w:val="003B09E3"/>
    <w:pPr>
      <w:numPr>
        <w:ilvl w:val="12"/>
      </w:numPr>
      <w:suppressAutoHyphens/>
      <w:spacing w:after="120" w:line="260" w:lineRule="exact"/>
    </w:pPr>
    <w:rPr>
      <w:sz w:val="22"/>
      <w:lang w:val="en-US" w:eastAsia="en-US"/>
    </w:rPr>
  </w:style>
  <w:style w:type="paragraph" w:customStyle="1" w:styleId="tabletitleCharChar">
    <w:name w:val="table:title Char Char"/>
    <w:basedOn w:val="Normal"/>
    <w:next w:val="Normal"/>
    <w:rsid w:val="003B09E3"/>
    <w:pPr>
      <w:keepNext/>
      <w:keepLines w:val="0"/>
      <w:numPr>
        <w:ilvl w:val="12"/>
      </w:numPr>
      <w:suppressAutoHyphens/>
      <w:spacing w:before="120" w:after="120" w:line="260" w:lineRule="exact"/>
      <w:ind w:left="1152" w:hanging="1152"/>
    </w:pPr>
    <w:rPr>
      <w:rFonts w:ascii="Times New Roman" w:hAnsi="Times New Roman"/>
      <w:b/>
      <w:lang w:val="en-US"/>
    </w:rPr>
  </w:style>
  <w:style w:type="character" w:customStyle="1" w:styleId="BodyTextIndentCharChar">
    <w:name w:val="Body Text Indent Char Char"/>
    <w:rsid w:val="003B09E3"/>
    <w:rPr>
      <w:lang w:val="en-US" w:eastAsia="en-US" w:bidi="ar-SA"/>
    </w:rPr>
  </w:style>
  <w:style w:type="paragraph" w:customStyle="1" w:styleId="BodyText12">
    <w:name w:val="BodyText12"/>
    <w:rsid w:val="003B09E3"/>
    <w:pPr>
      <w:spacing w:after="200" w:line="300" w:lineRule="auto"/>
      <w:ind w:left="850"/>
      <w:jc w:val="both"/>
    </w:pPr>
    <w:rPr>
      <w:sz w:val="24"/>
      <w:lang w:val="en-US" w:eastAsia="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character" w:styleId="CommentReference">
    <w:name w:val="annotation reference"/>
    <w:uiPriority w:val="99"/>
    <w:semiHidden/>
    <w:rsid w:val="003B09E3"/>
    <w:rPr>
      <w:sz w:val="16"/>
    </w:rPr>
  </w:style>
  <w:style w:type="paragraph" w:customStyle="1" w:styleId="TableFootnoteCharChar1">
    <w:name w:val="Table Footnote Char Char1"/>
    <w:basedOn w:val="Normal"/>
    <w:next w:val="Normal"/>
    <w:rsid w:val="003B09E3"/>
    <w:pPr>
      <w:keepNext/>
      <w:widowControl w:val="0"/>
      <w:tabs>
        <w:tab w:val="left" w:pos="259"/>
      </w:tabs>
      <w:spacing w:before="20" w:after="20" w:line="220" w:lineRule="atLeast"/>
      <w:ind w:left="259" w:hanging="259"/>
    </w:pPr>
    <w:rPr>
      <w:rFonts w:ascii="Times New Roman" w:hAnsi="Times New Roman"/>
      <w:sz w:val="20"/>
      <w:lang w:val="en-US"/>
    </w:rPr>
  </w:style>
  <w:style w:type="paragraph" w:styleId="FootnoteText">
    <w:name w:val="footnote text"/>
    <w:basedOn w:val="Normal"/>
    <w:uiPriority w:val="1"/>
    <w:semiHidden/>
    <w:rsid w:val="003B09E3"/>
    <w:pPr>
      <w:keepLines w:val="0"/>
    </w:pPr>
    <w:rPr>
      <w:rFonts w:ascii="Times New Roman" w:hAnsi="Times New Roman"/>
      <w:sz w:val="20"/>
      <w:lang w:val="en-GB"/>
    </w:rPr>
  </w:style>
  <w:style w:type="character" w:styleId="EndnoteReference">
    <w:name w:val="endnote reference"/>
    <w:uiPriority w:val="99"/>
    <w:semiHidden/>
    <w:rsid w:val="003B09E3"/>
    <w:rPr>
      <w:vertAlign w:val="superscript"/>
    </w:rPr>
  </w:style>
  <w:style w:type="paragraph" w:customStyle="1" w:styleId="tableheaderChar">
    <w:name w:val="table:header Char"/>
    <w:basedOn w:val="Normal"/>
    <w:rsid w:val="003B09E3"/>
    <w:pPr>
      <w:keepLines w:val="0"/>
      <w:suppressAutoHyphens/>
      <w:spacing w:before="20" w:after="20"/>
    </w:pPr>
    <w:rPr>
      <w:rFonts w:ascii="Times New Roman" w:hAnsi="Times New Roman"/>
      <w:b/>
      <w:sz w:val="20"/>
      <w:lang w:val="en-US"/>
    </w:rPr>
  </w:style>
  <w:style w:type="character" w:styleId="Hyperlink">
    <w:name w:val="Hyperlink"/>
    <w:uiPriority w:val="1"/>
    <w:rsid w:val="003B09E3"/>
    <w:rPr>
      <w:color w:val="0000FF"/>
      <w:u w:val="single"/>
    </w:rPr>
  </w:style>
  <w:style w:type="character" w:styleId="FollowedHyperlink">
    <w:name w:val="FollowedHyperlink"/>
    <w:semiHidden/>
    <w:rsid w:val="003B09E3"/>
    <w:rPr>
      <w:color w:val="800080"/>
      <w:u w:val="single"/>
    </w:rPr>
  </w:style>
  <w:style w:type="paragraph" w:customStyle="1" w:styleId="Narrative1">
    <w:name w:val="Narrative 1"/>
    <w:rsid w:val="003B09E3"/>
    <w:pPr>
      <w:tabs>
        <w:tab w:val="num" w:pos="1210"/>
      </w:tabs>
      <w:spacing w:after="200" w:line="300" w:lineRule="auto"/>
      <w:ind w:left="1210" w:hanging="360"/>
      <w:jc w:val="both"/>
    </w:pPr>
    <w:rPr>
      <w:sz w:val="24"/>
      <w:lang w:val="en-US" w:eastAsia="en-US"/>
    </w:rPr>
  </w:style>
  <w:style w:type="paragraph" w:customStyle="1" w:styleId="Narrative2">
    <w:name w:val="Narrative 2"/>
    <w:rsid w:val="003B09E3"/>
    <w:pPr>
      <w:tabs>
        <w:tab w:val="num" w:pos="1570"/>
      </w:tabs>
      <w:spacing w:after="200" w:line="300" w:lineRule="auto"/>
      <w:ind w:left="1570" w:hanging="360"/>
      <w:jc w:val="both"/>
    </w:pPr>
    <w:rPr>
      <w:sz w:val="24"/>
      <w:lang w:val="en-US" w:eastAsia="en-US"/>
    </w:rPr>
  </w:style>
  <w:style w:type="paragraph" w:customStyle="1" w:styleId="MarkTable">
    <w:name w:val="Mark Table"/>
    <w:next w:val="TableText"/>
    <w:rsid w:val="003B0A62"/>
    <w:pPr>
      <w:keepNext/>
      <w:ind w:left="14"/>
    </w:pPr>
    <w:rPr>
      <w:rFonts w:ascii="Arial" w:hAnsi="Arial"/>
      <w:lang w:val="en-US" w:eastAsia="en-US"/>
    </w:rPr>
  </w:style>
  <w:style w:type="paragraph" w:customStyle="1" w:styleId="TableText">
    <w:name w:val="TableText"/>
    <w:rsid w:val="003B09E3"/>
    <w:pPr>
      <w:keepNext/>
    </w:pPr>
    <w:rPr>
      <w:lang w:val="en-US" w:eastAsia="en-US"/>
    </w:rPr>
  </w:style>
  <w:style w:type="paragraph" w:customStyle="1" w:styleId="paragraph0">
    <w:name w:val="paragraph"/>
    <w:basedOn w:val="Normal"/>
    <w:rsid w:val="003B09E3"/>
    <w:pPr>
      <w:keepLines w:val="0"/>
      <w:spacing w:before="120" w:after="120" w:line="280" w:lineRule="atLeast"/>
    </w:pPr>
    <w:rPr>
      <w:rFonts w:ascii="Times New Roman" w:eastAsia="Arial Unicode MS" w:hAnsi="Times New Roman"/>
      <w:sz w:val="24"/>
      <w:szCs w:val="24"/>
      <w:lang w:val="en-GB"/>
    </w:rPr>
  </w:style>
  <w:style w:type="paragraph" w:styleId="BodyText3">
    <w:name w:val="Body Text 3"/>
    <w:basedOn w:val="Normal"/>
    <w:semiHidden/>
    <w:rsid w:val="003B09E3"/>
    <w:pPr>
      <w:jc w:val="center"/>
    </w:pPr>
    <w:rPr>
      <w:sz w:val="20"/>
    </w:rPr>
  </w:style>
  <w:style w:type="paragraph" w:customStyle="1" w:styleId="Body">
    <w:name w:val="Body"/>
    <w:basedOn w:val="Normal"/>
    <w:link w:val="BodyChar"/>
    <w:uiPriority w:val="99"/>
    <w:rsid w:val="003B09E3"/>
    <w:pPr>
      <w:keepLines w:val="0"/>
      <w:ind w:firstLine="288"/>
    </w:pPr>
    <w:rPr>
      <w:sz w:val="20"/>
      <w:lang w:val="en-US"/>
    </w:rPr>
  </w:style>
  <w:style w:type="paragraph" w:styleId="NormalWeb">
    <w:name w:val="Normal (Web)"/>
    <w:basedOn w:val="Normal"/>
    <w:uiPriority w:val="99"/>
    <w:semiHidden/>
    <w:rsid w:val="003B09E3"/>
    <w:pPr>
      <w:keepLines w:val="0"/>
      <w:spacing w:before="100" w:beforeAutospacing="1" w:after="100" w:afterAutospacing="1"/>
    </w:pPr>
    <w:rPr>
      <w:rFonts w:eastAsia="Arial Unicode MS" w:cs="Arial"/>
      <w:sz w:val="20"/>
    </w:rPr>
  </w:style>
  <w:style w:type="character" w:styleId="FootnoteReference">
    <w:name w:val="footnote reference"/>
    <w:semiHidden/>
    <w:rsid w:val="003B09E3"/>
    <w:rPr>
      <w:vertAlign w:val="superscript"/>
    </w:rPr>
  </w:style>
  <w:style w:type="paragraph" w:styleId="Caption">
    <w:name w:val="caption"/>
    <w:aliases w:val="Caption 3,c,appendix,Caption 1,appendix Cha"/>
    <w:basedOn w:val="Normal"/>
    <w:next w:val="Normal"/>
    <w:link w:val="CaptionChar"/>
    <w:uiPriority w:val="99"/>
    <w:qFormat/>
    <w:rsid w:val="003B5625"/>
    <w:pPr>
      <w:keepLines w:val="0"/>
      <w:tabs>
        <w:tab w:val="left" w:pos="1281"/>
      </w:tabs>
      <w:spacing w:before="120" w:after="120"/>
      <w:ind w:left="1281" w:hanging="1281"/>
    </w:pPr>
    <w:rPr>
      <w:b/>
      <w:bCs/>
      <w:szCs w:val="24"/>
      <w:lang w:val="en-GB" w:eastAsia="x-none"/>
    </w:rPr>
  </w:style>
  <w:style w:type="paragraph" w:customStyle="1" w:styleId="Footnote">
    <w:name w:val="Footnote"/>
    <w:basedOn w:val="Normal"/>
    <w:next w:val="Body"/>
    <w:rsid w:val="003B09E3"/>
    <w:pPr>
      <w:tabs>
        <w:tab w:val="right" w:pos="317"/>
        <w:tab w:val="left" w:pos="346"/>
      </w:tabs>
      <w:ind w:left="346" w:hanging="346"/>
    </w:pPr>
    <w:rPr>
      <w:rFonts w:ascii="Times New Roman" w:hAnsi="Times New Roman"/>
      <w:sz w:val="14"/>
      <w:szCs w:val="24"/>
      <w:lang w:val="en-US"/>
    </w:rPr>
  </w:style>
  <w:style w:type="paragraph" w:customStyle="1" w:styleId="TradeName">
    <w:name w:val="Trade Name"/>
    <w:basedOn w:val="Normal"/>
    <w:next w:val="Normal"/>
    <w:rsid w:val="003B09E3"/>
    <w:pPr>
      <w:keepNext/>
    </w:pPr>
    <w:rPr>
      <w:rFonts w:ascii="Times New Roman" w:hAnsi="Times New Roman"/>
      <w:b/>
      <w:caps/>
      <w:sz w:val="30"/>
      <w:szCs w:val="24"/>
      <w:lang w:val="en-US"/>
    </w:rPr>
  </w:style>
  <w:style w:type="character" w:customStyle="1" w:styleId="EmailStyle62">
    <w:name w:val="EmailStyle62"/>
    <w:rsid w:val="003B09E3"/>
    <w:rPr>
      <w:rFonts w:ascii="Arial" w:hAnsi="Arial" w:cs="Arial"/>
      <w:color w:val="000080"/>
      <w:sz w:val="20"/>
    </w:rPr>
  </w:style>
  <w:style w:type="paragraph" w:styleId="DocumentMap">
    <w:name w:val="Document Map"/>
    <w:basedOn w:val="Normal"/>
    <w:semiHidden/>
    <w:rsid w:val="003B09E3"/>
    <w:pPr>
      <w:shd w:val="clear" w:color="auto" w:fill="000080"/>
    </w:pPr>
    <w:rPr>
      <w:rFonts w:ascii="Tahoma" w:hAnsi="Tahoma" w:cs="Tahoma"/>
    </w:rPr>
  </w:style>
  <w:style w:type="paragraph" w:styleId="BodyTextIndent">
    <w:name w:val="Body Text Indent"/>
    <w:basedOn w:val="Normal"/>
    <w:semiHidden/>
    <w:rsid w:val="003B09E3"/>
    <w:pPr>
      <w:ind w:left="1418" w:hanging="1418"/>
    </w:pPr>
    <w:rPr>
      <w:b/>
      <w:bCs/>
    </w:rPr>
  </w:style>
  <w:style w:type="paragraph" w:styleId="BodyTextIndent3">
    <w:name w:val="Body Text Indent 3"/>
    <w:basedOn w:val="Normal"/>
    <w:semiHidden/>
    <w:rsid w:val="003B09E3"/>
    <w:pPr>
      <w:keepNext/>
      <w:ind w:left="1134" w:hanging="1134"/>
    </w:pPr>
    <w:rPr>
      <w:b/>
      <w:bCs/>
    </w:rPr>
  </w:style>
  <w:style w:type="paragraph" w:customStyle="1" w:styleId="Turnedtext">
    <w:name w:val="Turned text"/>
    <w:basedOn w:val="Normal"/>
    <w:next w:val="Body"/>
    <w:rsid w:val="003B09E3"/>
    <w:pPr>
      <w:jc w:val="center"/>
    </w:pPr>
    <w:rPr>
      <w:sz w:val="20"/>
      <w:lang w:val="en-US"/>
    </w:rPr>
  </w:style>
  <w:style w:type="paragraph" w:customStyle="1" w:styleId="colspan">
    <w:name w:val="colspan"/>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left">
    <w:name w:val="rowleft"/>
    <w:basedOn w:val="Normal"/>
    <w:next w:val="Normal"/>
    <w:rsid w:val="003B09E3"/>
    <w:pPr>
      <w:keepLines w:val="0"/>
      <w:widowControl w:val="0"/>
      <w:autoSpaceDE w:val="0"/>
      <w:autoSpaceDN w:val="0"/>
      <w:adjustRightInd w:val="0"/>
      <w:ind w:left="40" w:right="40"/>
    </w:pPr>
    <w:rPr>
      <w:rFonts w:ascii="Times New Roman" w:hAnsi="Times New Roman"/>
      <w:sz w:val="20"/>
      <w:lang w:val="en-US"/>
    </w:rPr>
  </w:style>
  <w:style w:type="paragraph" w:customStyle="1" w:styleId="topleft">
    <w:name w:val="topleft"/>
    <w:basedOn w:val="Normal"/>
    <w:next w:val="Normal"/>
    <w:rsid w:val="003B09E3"/>
    <w:pPr>
      <w:keepLines w:val="0"/>
      <w:widowControl w:val="0"/>
      <w:autoSpaceDE w:val="0"/>
      <w:autoSpaceDN w:val="0"/>
      <w:adjustRightInd w:val="0"/>
      <w:ind w:left="40" w:right="40"/>
    </w:pPr>
    <w:rPr>
      <w:rFonts w:ascii="Times New Roman" w:hAnsi="Times New Roman"/>
      <w:b/>
      <w:bCs/>
      <w:sz w:val="20"/>
      <w:lang w:val="en-US"/>
    </w:rPr>
  </w:style>
  <w:style w:type="paragraph" w:customStyle="1" w:styleId="colorder">
    <w:name w:val="colorder"/>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
    <w:name w:val="row"/>
    <w:basedOn w:val="Normal"/>
    <w:next w:val="Normal"/>
    <w:rsid w:val="003B09E3"/>
    <w:pPr>
      <w:keepLines w:val="0"/>
      <w:widowControl w:val="0"/>
      <w:autoSpaceDE w:val="0"/>
      <w:autoSpaceDN w:val="0"/>
      <w:adjustRightInd w:val="0"/>
      <w:ind w:left="40" w:right="40"/>
      <w:jc w:val="center"/>
    </w:pPr>
    <w:rPr>
      <w:rFonts w:ascii="Times New Roman" w:hAnsi="Times New Roman"/>
      <w:sz w:val="20"/>
      <w:lang w:val="en-US"/>
    </w:rPr>
  </w:style>
  <w:style w:type="paragraph" w:customStyle="1" w:styleId="section">
    <w:name w:val="section"/>
    <w:basedOn w:val="Normal"/>
    <w:next w:val="Normal"/>
    <w:rsid w:val="003B09E3"/>
    <w:pPr>
      <w:keepLines w:val="0"/>
      <w:widowControl w:val="0"/>
      <w:autoSpaceDE w:val="0"/>
      <w:autoSpaceDN w:val="0"/>
      <w:adjustRightInd w:val="0"/>
      <w:ind w:left="40" w:right="40"/>
    </w:pPr>
    <w:rPr>
      <w:rFonts w:ascii="Times New Roman" w:hAnsi="Times New Roman"/>
      <w:b/>
      <w:bCs/>
      <w:sz w:val="20"/>
      <w:lang w:val="en-US"/>
    </w:rPr>
  </w:style>
  <w:style w:type="paragraph" w:styleId="PlainText">
    <w:name w:val="Plain Text"/>
    <w:basedOn w:val="Normal"/>
    <w:semiHidden/>
    <w:unhideWhenUsed/>
    <w:rsid w:val="003B09E3"/>
    <w:pPr>
      <w:keepLines w:val="0"/>
    </w:pPr>
    <w:rPr>
      <w:rFonts w:eastAsia="Calibri" w:cs="Arial"/>
      <w:sz w:val="20"/>
      <w:lang w:val="en-US"/>
    </w:rPr>
  </w:style>
  <w:style w:type="character" w:customStyle="1" w:styleId="PlainTextChar">
    <w:name w:val="Plain Text Char"/>
    <w:rsid w:val="003B09E3"/>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79505B"/>
    <w:pPr>
      <w:keepLines/>
      <w:tabs>
        <w:tab w:val="clear" w:pos="567"/>
      </w:tabs>
      <w:spacing w:line="240" w:lineRule="auto"/>
      <w:jc w:val="both"/>
    </w:pPr>
    <w:rPr>
      <w:rFonts w:ascii="Arial" w:hAnsi="Arial"/>
      <w:b/>
      <w:bCs/>
      <w:lang w:val="en-AU"/>
    </w:rPr>
  </w:style>
  <w:style w:type="character" w:customStyle="1" w:styleId="CommentTextChar">
    <w:name w:val="Comment Text Char"/>
    <w:link w:val="CommentText"/>
    <w:uiPriority w:val="99"/>
    <w:rsid w:val="0079505B"/>
    <w:rPr>
      <w:lang w:val="en-GB"/>
    </w:rPr>
  </w:style>
  <w:style w:type="character" w:customStyle="1" w:styleId="CommentSubjectChar">
    <w:name w:val="Comment Subject Char"/>
    <w:basedOn w:val="CommentTextChar"/>
    <w:link w:val="CommentSubject"/>
    <w:uiPriority w:val="99"/>
    <w:rsid w:val="0079505B"/>
    <w:rPr>
      <w:lang w:val="en-GB"/>
    </w:rPr>
  </w:style>
  <w:style w:type="paragraph" w:styleId="Revision">
    <w:name w:val="Revision"/>
    <w:hidden/>
    <w:uiPriority w:val="99"/>
    <w:semiHidden/>
    <w:rsid w:val="0079505B"/>
    <w:rPr>
      <w:rFonts w:ascii="Arial" w:hAnsi="Arial"/>
      <w:sz w:val="22"/>
      <w:lang w:eastAsia="en-US"/>
    </w:rPr>
  </w:style>
  <w:style w:type="paragraph" w:styleId="BalloonText">
    <w:name w:val="Balloon Text"/>
    <w:basedOn w:val="Normal"/>
    <w:link w:val="BalloonTextChar"/>
    <w:uiPriority w:val="99"/>
    <w:semiHidden/>
    <w:unhideWhenUsed/>
    <w:rsid w:val="0079505B"/>
    <w:rPr>
      <w:rFonts w:ascii="Tahoma" w:hAnsi="Tahoma" w:cs="Tahoma"/>
      <w:sz w:val="16"/>
      <w:szCs w:val="16"/>
    </w:rPr>
  </w:style>
  <w:style w:type="character" w:customStyle="1" w:styleId="BalloonTextChar">
    <w:name w:val="Balloon Text Char"/>
    <w:link w:val="BalloonText"/>
    <w:uiPriority w:val="99"/>
    <w:semiHidden/>
    <w:rsid w:val="0079505B"/>
    <w:rPr>
      <w:rFonts w:ascii="Tahoma" w:hAnsi="Tahoma" w:cs="Tahoma"/>
      <w:sz w:val="16"/>
      <w:szCs w:val="16"/>
      <w:lang w:val="en-AU"/>
    </w:rPr>
  </w:style>
  <w:style w:type="character" w:customStyle="1" w:styleId="bold1">
    <w:name w:val="bold1"/>
    <w:rsid w:val="00C77D35"/>
    <w:rPr>
      <w:b/>
      <w:bCs/>
    </w:rPr>
  </w:style>
  <w:style w:type="character" w:customStyle="1" w:styleId="EndnoteTextChar">
    <w:name w:val="Endnote Text Char"/>
    <w:link w:val="EndnoteText"/>
    <w:uiPriority w:val="99"/>
    <w:semiHidden/>
    <w:rsid w:val="00C77D35"/>
    <w:rPr>
      <w:sz w:val="22"/>
      <w:lang w:val="en-GB"/>
    </w:rPr>
  </w:style>
  <w:style w:type="paragraph" w:customStyle="1" w:styleId="Default">
    <w:name w:val="Default"/>
    <w:rsid w:val="003B0A62"/>
    <w:pPr>
      <w:autoSpaceDE w:val="0"/>
      <w:autoSpaceDN w:val="0"/>
      <w:adjustRightInd w:val="0"/>
    </w:pPr>
    <w:rPr>
      <w:rFonts w:ascii="Arial" w:hAnsi="Arial"/>
      <w:color w:val="000000"/>
      <w:szCs w:val="24"/>
      <w:lang w:val="en-US" w:eastAsia="en-US"/>
    </w:rPr>
  </w:style>
  <w:style w:type="paragraph" w:customStyle="1" w:styleId="BoldTitle">
    <w:name w:val="BoldTitle"/>
    <w:basedOn w:val="Normal"/>
    <w:next w:val="Normal"/>
    <w:rsid w:val="00DB4C3F"/>
    <w:pPr>
      <w:keepLines w:val="0"/>
    </w:pPr>
    <w:rPr>
      <w:rFonts w:ascii="Times New Roman" w:hAnsi="Times New Roman"/>
      <w:b/>
      <w:bCs/>
      <w:sz w:val="24"/>
      <w:szCs w:val="24"/>
      <w:lang w:val="en-GB"/>
    </w:rPr>
  </w:style>
  <w:style w:type="paragraph" w:customStyle="1" w:styleId="Heading1withoutnumbering">
    <w:name w:val="Heading1 without numbering"/>
    <w:basedOn w:val="Normal"/>
    <w:next w:val="Normal"/>
    <w:rsid w:val="00DB4C3F"/>
    <w:pPr>
      <w:keepLines w:val="0"/>
      <w:spacing w:before="240" w:after="120"/>
      <w:outlineLvl w:val="0"/>
    </w:pPr>
    <w:rPr>
      <w:rFonts w:ascii="Times New Roman" w:hAnsi="Times New Roman"/>
      <w:b/>
      <w:caps/>
      <w:kern w:val="22"/>
      <w:szCs w:val="24"/>
      <w:lang w:val="en-GB"/>
    </w:rPr>
  </w:style>
  <w:style w:type="paragraph" w:customStyle="1" w:styleId="colheadmt">
    <w:name w:val="colhead_mt"/>
    <w:basedOn w:val="Normal"/>
    <w:rsid w:val="00E061D9"/>
    <w:pPr>
      <w:keepLines w:val="0"/>
      <w:spacing w:before="100" w:beforeAutospacing="1" w:after="100" w:afterAutospacing="1"/>
    </w:pPr>
    <w:rPr>
      <w:rFonts w:ascii="Times New Roman" w:eastAsia="SimSun" w:hAnsi="Times New Roman"/>
      <w:sz w:val="24"/>
      <w:szCs w:val="24"/>
      <w:lang w:val="en-US" w:eastAsia="zh-CN"/>
    </w:rPr>
  </w:style>
  <w:style w:type="paragraph" w:customStyle="1" w:styleId="colheadmb">
    <w:name w:val="colhead_mb"/>
    <w:basedOn w:val="Normal"/>
    <w:rsid w:val="00E061D9"/>
    <w:pPr>
      <w:keepLines w:val="0"/>
      <w:spacing w:before="100" w:beforeAutospacing="1" w:after="100" w:afterAutospacing="1"/>
    </w:pPr>
    <w:rPr>
      <w:rFonts w:ascii="Times New Roman" w:eastAsia="SimSun" w:hAnsi="Times New Roman"/>
      <w:sz w:val="24"/>
      <w:szCs w:val="24"/>
      <w:lang w:val="en-US" w:eastAsia="zh-CN"/>
    </w:rPr>
  </w:style>
  <w:style w:type="paragraph" w:customStyle="1" w:styleId="TableBodyText">
    <w:name w:val="Table Body Text"/>
    <w:basedOn w:val="Normal"/>
    <w:rsid w:val="00305B7A"/>
    <w:pPr>
      <w:keepLines w:val="0"/>
    </w:pPr>
    <w:rPr>
      <w:rFonts w:ascii="Times New Roman" w:eastAsia="Times" w:hAnsi="Times New Roman"/>
      <w:sz w:val="20"/>
      <w:lang w:val="en-US"/>
    </w:rPr>
  </w:style>
  <w:style w:type="paragraph" w:customStyle="1" w:styleId="BodyText10">
    <w:name w:val="BodyText10"/>
    <w:rsid w:val="00305B7A"/>
    <w:pPr>
      <w:suppressAutoHyphens/>
      <w:jc w:val="both"/>
    </w:pPr>
    <w:rPr>
      <w:lang w:val="en-US" w:eastAsia="en-US"/>
    </w:rPr>
  </w:style>
  <w:style w:type="character" w:customStyle="1" w:styleId="EndnoteTextChar1">
    <w:name w:val="Endnote Text Char1"/>
    <w:semiHidden/>
    <w:rsid w:val="00D7687A"/>
    <w:rPr>
      <w:sz w:val="22"/>
      <w:lang w:val="en-GB"/>
    </w:rPr>
  </w:style>
  <w:style w:type="paragraph" w:styleId="ListParagraph">
    <w:name w:val="List Paragraph"/>
    <w:basedOn w:val="Normal"/>
    <w:uiPriority w:val="34"/>
    <w:qFormat/>
    <w:rsid w:val="00105EA1"/>
    <w:pPr>
      <w:ind w:left="720"/>
      <w:contextualSpacing/>
    </w:pPr>
  </w:style>
  <w:style w:type="character" w:customStyle="1" w:styleId="BodyChar">
    <w:name w:val="Body Char"/>
    <w:link w:val="Body"/>
    <w:uiPriority w:val="99"/>
    <w:rsid w:val="00CB2E5A"/>
    <w:rPr>
      <w:rFonts w:ascii="Arial" w:hAnsi="Arial"/>
    </w:rPr>
  </w:style>
  <w:style w:type="table" w:styleId="TableGrid">
    <w:name w:val="Table Grid"/>
    <w:basedOn w:val="TableNormal"/>
    <w:uiPriority w:val="59"/>
    <w:rsid w:val="004B7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0">
    <w:name w:val="Body Text 12"/>
    <w:qFormat/>
    <w:rsid w:val="002C6BA1"/>
    <w:pPr>
      <w:spacing w:after="200" w:line="264" w:lineRule="auto"/>
      <w:jc w:val="both"/>
    </w:pPr>
    <w:rPr>
      <w:sz w:val="24"/>
      <w:lang w:val="en-US" w:eastAsia="en-US"/>
    </w:rPr>
  </w:style>
  <w:style w:type="paragraph" w:customStyle="1" w:styleId="TableText0">
    <w:name w:val="Table Text"/>
    <w:qFormat/>
    <w:rsid w:val="00162B0B"/>
    <w:pPr>
      <w:tabs>
        <w:tab w:val="left" w:pos="288"/>
        <w:tab w:val="left" w:pos="576"/>
        <w:tab w:val="left" w:pos="864"/>
      </w:tabs>
    </w:pPr>
    <w:rPr>
      <w:rFonts w:ascii="Arial" w:hAnsi="Arial"/>
      <w:lang w:val="en-US" w:eastAsia="en-US"/>
    </w:rPr>
  </w:style>
  <w:style w:type="paragraph" w:customStyle="1" w:styleId="TableFootnote">
    <w:name w:val="Table Footnote"/>
    <w:qFormat/>
    <w:rsid w:val="00162B0B"/>
    <w:pPr>
      <w:tabs>
        <w:tab w:val="left" w:pos="288"/>
      </w:tabs>
      <w:ind w:left="288" w:hanging="288"/>
    </w:pPr>
    <w:rPr>
      <w:rFonts w:ascii="Arial" w:hAnsi="Arial"/>
      <w:lang w:val="en-US" w:eastAsia="en-US"/>
    </w:rPr>
  </w:style>
  <w:style w:type="character" w:customStyle="1" w:styleId="CaptionChar">
    <w:name w:val="Caption Char"/>
    <w:aliases w:val="Caption 3 Char,c Char,appendix Char,Caption 1 Char,appendix Cha Char"/>
    <w:link w:val="Caption"/>
    <w:uiPriority w:val="99"/>
    <w:rsid w:val="003B5625"/>
    <w:rPr>
      <w:rFonts w:ascii="Arial" w:hAnsi="Arial"/>
      <w:b/>
      <w:bCs/>
      <w:sz w:val="22"/>
      <w:szCs w:val="24"/>
      <w:lang w:val="en-GB"/>
    </w:rPr>
  </w:style>
  <w:style w:type="paragraph" w:styleId="TOC1">
    <w:name w:val="toc 1"/>
    <w:uiPriority w:val="39"/>
    <w:rsid w:val="003B0A62"/>
    <w:pPr>
      <w:tabs>
        <w:tab w:val="left" w:pos="504"/>
        <w:tab w:val="right" w:leader="dot" w:pos="9360"/>
      </w:tabs>
      <w:spacing w:before="200"/>
      <w:ind w:left="504" w:right="720" w:hanging="504"/>
    </w:pPr>
    <w:rPr>
      <w:rFonts w:ascii="Arial" w:hAnsi="Arial"/>
      <w:b/>
      <w:caps/>
      <w:lang w:val="en-US" w:eastAsia="en-US"/>
    </w:rPr>
  </w:style>
  <w:style w:type="paragraph" w:styleId="TOC2">
    <w:name w:val="toc 2"/>
    <w:uiPriority w:val="39"/>
    <w:rsid w:val="003B0A62"/>
    <w:pPr>
      <w:tabs>
        <w:tab w:val="left" w:pos="720"/>
        <w:tab w:val="right" w:leader="dot" w:pos="9360"/>
      </w:tabs>
      <w:ind w:left="720" w:right="720" w:hanging="720"/>
    </w:pPr>
    <w:rPr>
      <w:rFonts w:ascii="Arial" w:hAnsi="Arial"/>
      <w:lang w:val="en-US" w:eastAsia="en-US"/>
    </w:rPr>
  </w:style>
  <w:style w:type="paragraph" w:styleId="TOC3">
    <w:name w:val="toc 3"/>
    <w:uiPriority w:val="39"/>
    <w:rsid w:val="003B0A62"/>
    <w:pPr>
      <w:tabs>
        <w:tab w:val="left" w:pos="907"/>
        <w:tab w:val="right" w:leader="dot" w:pos="9360"/>
      </w:tabs>
      <w:ind w:left="907" w:right="720" w:hanging="907"/>
    </w:pPr>
    <w:rPr>
      <w:rFonts w:ascii="Arial" w:hAnsi="Arial"/>
      <w:lang w:val="en-US" w:eastAsia="en-US"/>
    </w:rPr>
  </w:style>
  <w:style w:type="paragraph" w:styleId="TOC4">
    <w:name w:val="toc 4"/>
    <w:uiPriority w:val="39"/>
    <w:rsid w:val="003B0A62"/>
    <w:pPr>
      <w:tabs>
        <w:tab w:val="left" w:pos="1080"/>
        <w:tab w:val="right" w:leader="dot" w:pos="9360"/>
      </w:tabs>
      <w:ind w:left="1080" w:right="720" w:hanging="1080"/>
    </w:pPr>
    <w:rPr>
      <w:rFonts w:ascii="Arial" w:hAnsi="Arial"/>
      <w:lang w:val="en-US" w:eastAsia="en-US"/>
    </w:rPr>
  </w:style>
  <w:style w:type="paragraph" w:styleId="TOC5">
    <w:name w:val="toc 5"/>
    <w:uiPriority w:val="39"/>
    <w:rsid w:val="003B0A62"/>
    <w:pPr>
      <w:tabs>
        <w:tab w:val="left" w:pos="1267"/>
        <w:tab w:val="right" w:leader="dot" w:pos="9360"/>
      </w:tabs>
      <w:ind w:left="1267" w:right="720" w:hanging="1267"/>
    </w:pPr>
    <w:rPr>
      <w:rFonts w:ascii="Arial" w:hAnsi="Arial"/>
      <w:szCs w:val="24"/>
      <w:lang w:val="en-US" w:eastAsia="en-US"/>
    </w:rPr>
  </w:style>
  <w:style w:type="paragraph" w:styleId="TOC6">
    <w:name w:val="toc 6"/>
    <w:uiPriority w:val="39"/>
    <w:semiHidden/>
    <w:rsid w:val="003B0A62"/>
    <w:pPr>
      <w:tabs>
        <w:tab w:val="left" w:pos="1440"/>
        <w:tab w:val="right" w:leader="dot" w:pos="9360"/>
      </w:tabs>
      <w:ind w:left="1440" w:right="720" w:hanging="1440"/>
    </w:pPr>
    <w:rPr>
      <w:rFonts w:ascii="Arial" w:hAnsi="Arial"/>
      <w:lang w:val="en-US" w:eastAsia="en-US"/>
    </w:rPr>
  </w:style>
  <w:style w:type="paragraph" w:styleId="TOC7">
    <w:name w:val="toc 7"/>
    <w:uiPriority w:val="39"/>
    <w:semiHidden/>
    <w:rsid w:val="003B0A62"/>
    <w:pPr>
      <w:tabs>
        <w:tab w:val="left" w:pos="1613"/>
        <w:tab w:val="right" w:leader="dot" w:pos="9360"/>
      </w:tabs>
      <w:ind w:left="1613" w:right="720" w:hanging="1613"/>
    </w:pPr>
    <w:rPr>
      <w:rFonts w:ascii="Arial" w:hAnsi="Arial"/>
      <w:lang w:val="en-US" w:eastAsia="en-US"/>
    </w:rPr>
  </w:style>
  <w:style w:type="paragraph" w:styleId="TOC8">
    <w:name w:val="toc 8"/>
    <w:next w:val="Basic12"/>
    <w:uiPriority w:val="39"/>
    <w:semiHidden/>
    <w:rsid w:val="003B0A62"/>
    <w:pPr>
      <w:tabs>
        <w:tab w:val="left" w:pos="1800"/>
        <w:tab w:val="right" w:leader="dot" w:pos="9360"/>
      </w:tabs>
      <w:ind w:left="1800" w:right="720" w:hanging="1800"/>
    </w:pPr>
    <w:rPr>
      <w:rFonts w:ascii="Arial" w:hAnsi="Arial"/>
      <w:lang w:val="en-US" w:eastAsia="en-US"/>
    </w:rPr>
  </w:style>
  <w:style w:type="paragraph" w:customStyle="1" w:styleId="Basic12">
    <w:name w:val="Basic 12"/>
    <w:qFormat/>
    <w:rsid w:val="003B0A62"/>
    <w:rPr>
      <w:sz w:val="24"/>
      <w:lang w:val="en-US" w:eastAsia="en-US"/>
    </w:rPr>
  </w:style>
  <w:style w:type="paragraph" w:styleId="TOC9">
    <w:name w:val="toc 9"/>
    <w:basedOn w:val="Normal"/>
    <w:next w:val="Normal"/>
    <w:autoRedefine/>
    <w:semiHidden/>
    <w:rsid w:val="003B0A62"/>
    <w:pPr>
      <w:keepLines w:val="0"/>
      <w:tabs>
        <w:tab w:val="left" w:pos="2347"/>
        <w:tab w:val="right" w:leader="dot" w:pos="9360"/>
      </w:tabs>
      <w:ind w:left="1627" w:right="720" w:hanging="1627"/>
      <w:jc w:val="both"/>
    </w:pPr>
    <w:rPr>
      <w:sz w:val="20"/>
      <w:lang w:val="en-US"/>
    </w:rPr>
  </w:style>
  <w:style w:type="character" w:customStyle="1" w:styleId="HeaderChar">
    <w:name w:val="Header Char"/>
    <w:link w:val="Header"/>
    <w:rsid w:val="003B0A62"/>
    <w:rPr>
      <w:rFonts w:ascii="Arial Narrow" w:hAnsi="Arial Narrow"/>
      <w:i/>
      <w:sz w:val="22"/>
      <w:lang w:val="en-AU"/>
    </w:rPr>
  </w:style>
  <w:style w:type="paragraph" w:customStyle="1" w:styleId="Basic11">
    <w:name w:val="Basic 11"/>
    <w:qFormat/>
    <w:rsid w:val="003B0A62"/>
    <w:rPr>
      <w:sz w:val="22"/>
      <w:lang w:val="en-US" w:eastAsia="en-US"/>
    </w:rPr>
  </w:style>
  <w:style w:type="paragraph" w:customStyle="1" w:styleId="BodyText11">
    <w:name w:val="Body Text 11"/>
    <w:qFormat/>
    <w:rsid w:val="003B0A62"/>
    <w:pPr>
      <w:spacing w:after="180"/>
      <w:jc w:val="both"/>
    </w:pPr>
    <w:rPr>
      <w:sz w:val="22"/>
      <w:lang w:val="en-US" w:eastAsia="en-US"/>
    </w:rPr>
  </w:style>
  <w:style w:type="character" w:customStyle="1" w:styleId="FooterChar">
    <w:name w:val="Footer Char"/>
    <w:link w:val="Footer"/>
    <w:rsid w:val="003B0A62"/>
    <w:rPr>
      <w:rFonts w:ascii="Arial" w:hAnsi="Arial"/>
      <w:sz w:val="22"/>
      <w:lang w:val="en-AU"/>
    </w:rPr>
  </w:style>
  <w:style w:type="paragraph" w:customStyle="1" w:styleId="MarkforTOC">
    <w:name w:val="Mark for TOC"/>
    <w:next w:val="Basic11"/>
    <w:rsid w:val="003B0A62"/>
    <w:pPr>
      <w:keepNext/>
      <w:spacing w:before="60" w:after="60"/>
      <w:ind w:left="1440" w:hanging="1440"/>
    </w:pPr>
    <w:rPr>
      <w:rFonts w:ascii="Arial" w:hAnsi="Arial"/>
      <w:b/>
      <w:lang w:val="en-US" w:eastAsia="en-US"/>
    </w:rPr>
  </w:style>
  <w:style w:type="paragraph" w:customStyle="1" w:styleId="GuideBullet">
    <w:name w:val="GuideBullet"/>
    <w:semiHidden/>
    <w:rsid w:val="003B0A62"/>
    <w:pPr>
      <w:numPr>
        <w:numId w:val="6"/>
      </w:numPr>
      <w:tabs>
        <w:tab w:val="left" w:pos="288"/>
      </w:tabs>
      <w:spacing w:after="40"/>
    </w:pPr>
    <w:rPr>
      <w:sz w:val="22"/>
      <w:lang w:val="en-US" w:eastAsia="en-US"/>
    </w:rPr>
  </w:style>
  <w:style w:type="paragraph" w:customStyle="1" w:styleId="GuideDash">
    <w:name w:val="GuideDash"/>
    <w:semiHidden/>
    <w:rsid w:val="003B0A62"/>
    <w:pPr>
      <w:numPr>
        <w:numId w:val="7"/>
      </w:numPr>
      <w:tabs>
        <w:tab w:val="clear" w:pos="1786"/>
        <w:tab w:val="left" w:pos="576"/>
      </w:tabs>
      <w:spacing w:after="40"/>
      <w:ind w:left="576"/>
    </w:pPr>
    <w:rPr>
      <w:sz w:val="22"/>
      <w:lang w:val="en-US" w:eastAsia="en-US"/>
    </w:rPr>
  </w:style>
  <w:style w:type="paragraph" w:customStyle="1" w:styleId="GuideText">
    <w:name w:val="GuideText"/>
    <w:semiHidden/>
    <w:rsid w:val="003B0A62"/>
    <w:pPr>
      <w:keepLines/>
      <w:spacing w:after="100"/>
    </w:pPr>
    <w:rPr>
      <w:sz w:val="22"/>
      <w:lang w:val="en-US" w:eastAsia="en-US"/>
    </w:rPr>
  </w:style>
  <w:style w:type="paragraph" w:customStyle="1" w:styleId="BodyText11Indent">
    <w:name w:val="Body Text 11 Indent"/>
    <w:qFormat/>
    <w:rsid w:val="003B0A62"/>
    <w:pPr>
      <w:spacing w:after="180"/>
      <w:ind w:left="432"/>
      <w:jc w:val="both"/>
    </w:pPr>
    <w:rPr>
      <w:sz w:val="22"/>
      <w:lang w:val="en-US" w:eastAsia="en-US"/>
    </w:rPr>
  </w:style>
  <w:style w:type="paragraph" w:customStyle="1" w:styleId="BodyText12Indent">
    <w:name w:val="Body Text 12 Indent"/>
    <w:qFormat/>
    <w:rsid w:val="003B0A62"/>
    <w:pPr>
      <w:spacing w:after="240"/>
      <w:ind w:left="432"/>
      <w:jc w:val="both"/>
    </w:pPr>
    <w:rPr>
      <w:sz w:val="24"/>
      <w:lang w:val="en-US" w:eastAsia="en-US"/>
    </w:rPr>
  </w:style>
  <w:style w:type="paragraph" w:customStyle="1" w:styleId="Bullet11-1">
    <w:name w:val="Bullet 11-1"/>
    <w:qFormat/>
    <w:rsid w:val="003B0A62"/>
    <w:pPr>
      <w:numPr>
        <w:numId w:val="8"/>
      </w:numPr>
      <w:spacing w:after="120"/>
      <w:jc w:val="both"/>
    </w:pPr>
    <w:rPr>
      <w:sz w:val="22"/>
      <w:lang w:val="en-US" w:eastAsia="en-US"/>
    </w:rPr>
  </w:style>
  <w:style w:type="paragraph" w:customStyle="1" w:styleId="Bullet11-2">
    <w:name w:val="Bullet 11-2"/>
    <w:qFormat/>
    <w:rsid w:val="003B0A62"/>
    <w:pPr>
      <w:numPr>
        <w:numId w:val="9"/>
      </w:numPr>
      <w:spacing w:after="120"/>
      <w:jc w:val="both"/>
    </w:pPr>
    <w:rPr>
      <w:sz w:val="22"/>
      <w:lang w:val="en-US" w:eastAsia="en-US"/>
    </w:rPr>
  </w:style>
  <w:style w:type="paragraph" w:customStyle="1" w:styleId="Bullet11-3">
    <w:name w:val="Bullet 11-3"/>
    <w:qFormat/>
    <w:rsid w:val="003B0A62"/>
    <w:pPr>
      <w:numPr>
        <w:numId w:val="10"/>
      </w:numPr>
      <w:spacing w:after="120"/>
      <w:jc w:val="both"/>
    </w:pPr>
    <w:rPr>
      <w:sz w:val="22"/>
      <w:lang w:val="en-US" w:eastAsia="en-US"/>
    </w:rPr>
  </w:style>
  <w:style w:type="paragraph" w:customStyle="1" w:styleId="Bullet11-4">
    <w:name w:val="Bullet 11-4"/>
    <w:qFormat/>
    <w:rsid w:val="003B0A62"/>
    <w:pPr>
      <w:tabs>
        <w:tab w:val="num" w:pos="1728"/>
      </w:tabs>
      <w:spacing w:after="120"/>
      <w:ind w:left="1728" w:hanging="432"/>
      <w:jc w:val="both"/>
    </w:pPr>
    <w:rPr>
      <w:sz w:val="22"/>
      <w:lang w:val="en-US" w:eastAsia="en-US"/>
    </w:rPr>
  </w:style>
  <w:style w:type="paragraph" w:customStyle="1" w:styleId="Bullet12-1">
    <w:name w:val="Bullet 12-1"/>
    <w:qFormat/>
    <w:rsid w:val="003B0A62"/>
    <w:pPr>
      <w:numPr>
        <w:numId w:val="12"/>
      </w:numPr>
      <w:spacing w:after="120"/>
      <w:jc w:val="both"/>
    </w:pPr>
    <w:rPr>
      <w:sz w:val="24"/>
      <w:lang w:val="en-US" w:eastAsia="en-US"/>
    </w:rPr>
  </w:style>
  <w:style w:type="paragraph" w:customStyle="1" w:styleId="Bullet12-2">
    <w:name w:val="Bullet 12-2"/>
    <w:qFormat/>
    <w:rsid w:val="003B0A62"/>
    <w:pPr>
      <w:numPr>
        <w:numId w:val="13"/>
      </w:numPr>
      <w:spacing w:after="120"/>
      <w:jc w:val="both"/>
    </w:pPr>
    <w:rPr>
      <w:sz w:val="24"/>
      <w:lang w:val="en-US" w:eastAsia="en-US"/>
    </w:rPr>
  </w:style>
  <w:style w:type="paragraph" w:customStyle="1" w:styleId="Bullet12-3">
    <w:name w:val="Bullet 12-3"/>
    <w:qFormat/>
    <w:rsid w:val="003B0A62"/>
    <w:pPr>
      <w:numPr>
        <w:numId w:val="14"/>
      </w:numPr>
      <w:spacing w:after="120"/>
      <w:jc w:val="both"/>
    </w:pPr>
    <w:rPr>
      <w:sz w:val="24"/>
      <w:lang w:val="en-US" w:eastAsia="en-US"/>
    </w:rPr>
  </w:style>
  <w:style w:type="paragraph" w:customStyle="1" w:styleId="Bullet12-4">
    <w:name w:val="Bullet 12-4"/>
    <w:qFormat/>
    <w:rsid w:val="003B0A62"/>
    <w:pPr>
      <w:numPr>
        <w:numId w:val="15"/>
      </w:numPr>
      <w:spacing w:after="120"/>
      <w:jc w:val="both"/>
    </w:pPr>
    <w:rPr>
      <w:sz w:val="24"/>
      <w:lang w:val="en-US" w:eastAsia="en-US"/>
    </w:rPr>
  </w:style>
  <w:style w:type="paragraph" w:customStyle="1" w:styleId="Heading0">
    <w:name w:val="Heading 0"/>
    <w:next w:val="BodyText120"/>
    <w:qFormat/>
    <w:rsid w:val="003B0A62"/>
    <w:pPr>
      <w:keepNext/>
      <w:keepLines/>
      <w:tabs>
        <w:tab w:val="num" w:pos="432"/>
      </w:tabs>
      <w:spacing w:before="240" w:after="120"/>
      <w:ind w:left="432" w:hanging="432"/>
      <w:outlineLvl w:val="0"/>
    </w:pPr>
    <w:rPr>
      <w:rFonts w:ascii="Arial" w:hAnsi="Arial"/>
      <w:b/>
      <w:caps/>
      <w:sz w:val="24"/>
      <w:lang w:val="en-US" w:eastAsia="en-US"/>
    </w:rPr>
  </w:style>
  <w:style w:type="paragraph" w:customStyle="1" w:styleId="Numbered11-1">
    <w:name w:val="Numbered 11-1"/>
    <w:qFormat/>
    <w:rsid w:val="003B0A62"/>
    <w:pPr>
      <w:numPr>
        <w:numId w:val="16"/>
      </w:numPr>
      <w:spacing w:after="120"/>
      <w:jc w:val="both"/>
    </w:pPr>
    <w:rPr>
      <w:sz w:val="22"/>
      <w:lang w:val="en-US" w:eastAsia="en-US"/>
    </w:rPr>
  </w:style>
  <w:style w:type="paragraph" w:customStyle="1" w:styleId="Numbered11-2">
    <w:name w:val="Numbered 11-2"/>
    <w:qFormat/>
    <w:rsid w:val="003B0A62"/>
    <w:pPr>
      <w:numPr>
        <w:numId w:val="17"/>
      </w:numPr>
      <w:spacing w:after="120"/>
      <w:jc w:val="both"/>
    </w:pPr>
    <w:rPr>
      <w:sz w:val="22"/>
      <w:lang w:val="en-US" w:eastAsia="en-US"/>
    </w:rPr>
  </w:style>
  <w:style w:type="paragraph" w:customStyle="1" w:styleId="Numbered11-3">
    <w:name w:val="Numbered 11-3"/>
    <w:qFormat/>
    <w:rsid w:val="003B0A62"/>
    <w:pPr>
      <w:numPr>
        <w:numId w:val="18"/>
      </w:numPr>
      <w:spacing w:after="120"/>
      <w:jc w:val="both"/>
    </w:pPr>
    <w:rPr>
      <w:sz w:val="22"/>
      <w:lang w:val="en-US" w:eastAsia="en-US"/>
    </w:rPr>
  </w:style>
  <w:style w:type="paragraph" w:customStyle="1" w:styleId="Numbered11-4">
    <w:name w:val="Numbered 11-4"/>
    <w:qFormat/>
    <w:rsid w:val="003B0A62"/>
    <w:pPr>
      <w:numPr>
        <w:numId w:val="19"/>
      </w:numPr>
      <w:spacing w:after="120"/>
      <w:jc w:val="both"/>
    </w:pPr>
    <w:rPr>
      <w:sz w:val="22"/>
      <w:lang w:val="en-US" w:eastAsia="en-US"/>
    </w:rPr>
  </w:style>
  <w:style w:type="paragraph" w:customStyle="1" w:styleId="Numbered12-1">
    <w:name w:val="Numbered 12-1"/>
    <w:qFormat/>
    <w:rsid w:val="003B0A62"/>
    <w:pPr>
      <w:numPr>
        <w:numId w:val="20"/>
      </w:numPr>
      <w:spacing w:after="120"/>
      <w:jc w:val="both"/>
    </w:pPr>
    <w:rPr>
      <w:sz w:val="24"/>
      <w:lang w:val="en-US" w:eastAsia="en-US"/>
    </w:rPr>
  </w:style>
  <w:style w:type="paragraph" w:customStyle="1" w:styleId="Numbered12-2">
    <w:name w:val="Numbered 12-2"/>
    <w:qFormat/>
    <w:rsid w:val="003B0A62"/>
    <w:pPr>
      <w:numPr>
        <w:numId w:val="21"/>
      </w:numPr>
      <w:spacing w:after="120"/>
      <w:jc w:val="both"/>
    </w:pPr>
    <w:rPr>
      <w:sz w:val="24"/>
      <w:lang w:val="en-US" w:eastAsia="en-US"/>
    </w:rPr>
  </w:style>
  <w:style w:type="paragraph" w:customStyle="1" w:styleId="Numbered12-3">
    <w:name w:val="Numbered 12-3"/>
    <w:qFormat/>
    <w:rsid w:val="003B0A62"/>
    <w:pPr>
      <w:numPr>
        <w:numId w:val="22"/>
      </w:numPr>
      <w:spacing w:after="120"/>
      <w:jc w:val="both"/>
    </w:pPr>
    <w:rPr>
      <w:sz w:val="24"/>
      <w:lang w:val="en-US" w:eastAsia="en-US"/>
    </w:rPr>
  </w:style>
  <w:style w:type="paragraph" w:customStyle="1" w:styleId="Numbered12-4">
    <w:name w:val="Numbered 12-4"/>
    <w:qFormat/>
    <w:rsid w:val="003B0A62"/>
    <w:pPr>
      <w:numPr>
        <w:numId w:val="23"/>
      </w:numPr>
      <w:spacing w:after="120"/>
      <w:jc w:val="both"/>
    </w:pPr>
    <w:rPr>
      <w:sz w:val="24"/>
      <w:lang w:val="en-US" w:eastAsia="en-US"/>
    </w:rPr>
  </w:style>
  <w:style w:type="paragraph" w:customStyle="1" w:styleId="Reference">
    <w:name w:val="Reference"/>
    <w:qFormat/>
    <w:rsid w:val="003B0A62"/>
    <w:pPr>
      <w:keepLines/>
      <w:numPr>
        <w:numId w:val="24"/>
      </w:numPr>
      <w:spacing w:after="120"/>
    </w:pPr>
    <w:rPr>
      <w:lang w:val="en-US" w:eastAsia="en-US"/>
    </w:rPr>
  </w:style>
  <w:style w:type="paragraph" w:customStyle="1" w:styleId="SubheadingBold11">
    <w:name w:val="Subheading Bold 11"/>
    <w:next w:val="BodyText11"/>
    <w:qFormat/>
    <w:rsid w:val="003B0A62"/>
    <w:pPr>
      <w:keepNext/>
      <w:keepLines/>
      <w:spacing w:before="240" w:after="120"/>
    </w:pPr>
    <w:rPr>
      <w:b/>
      <w:sz w:val="22"/>
      <w:lang w:val="en-US" w:eastAsia="en-US"/>
    </w:rPr>
  </w:style>
  <w:style w:type="paragraph" w:customStyle="1" w:styleId="SubheadingBold12">
    <w:name w:val="Subheading Bold 12"/>
    <w:next w:val="BodyText120"/>
    <w:qFormat/>
    <w:rsid w:val="003B0A62"/>
    <w:pPr>
      <w:keepNext/>
      <w:keepLines/>
      <w:spacing w:before="240" w:after="120"/>
    </w:pPr>
    <w:rPr>
      <w:b/>
      <w:sz w:val="24"/>
      <w:lang w:val="en-US" w:eastAsia="en-US"/>
    </w:rPr>
  </w:style>
  <w:style w:type="paragraph" w:customStyle="1" w:styleId="SubheadingBoldItalics11">
    <w:name w:val="Subheading Bold Italics 11"/>
    <w:next w:val="BodyText11"/>
    <w:qFormat/>
    <w:rsid w:val="003B0A62"/>
    <w:pPr>
      <w:keepNext/>
      <w:keepLines/>
      <w:spacing w:before="240" w:after="120"/>
    </w:pPr>
    <w:rPr>
      <w:b/>
      <w:i/>
      <w:sz w:val="22"/>
      <w:lang w:val="en-US" w:eastAsia="en-US"/>
    </w:rPr>
  </w:style>
  <w:style w:type="paragraph" w:customStyle="1" w:styleId="SubheadingBoldItalics12">
    <w:name w:val="Subheading Bold Italics 12"/>
    <w:next w:val="BodyText120"/>
    <w:qFormat/>
    <w:rsid w:val="003B0A62"/>
    <w:pPr>
      <w:keepNext/>
      <w:keepLines/>
      <w:spacing w:before="240" w:after="120"/>
    </w:pPr>
    <w:rPr>
      <w:b/>
      <w:i/>
      <w:sz w:val="24"/>
      <w:lang w:val="en-US" w:eastAsia="en-US"/>
    </w:rPr>
  </w:style>
  <w:style w:type="paragraph" w:styleId="TableofFigures">
    <w:name w:val="table of figures"/>
    <w:next w:val="Basic11"/>
    <w:uiPriority w:val="99"/>
    <w:unhideWhenUsed/>
    <w:rsid w:val="003B0A62"/>
    <w:pPr>
      <w:tabs>
        <w:tab w:val="left" w:pos="1008"/>
        <w:tab w:val="right" w:leader="dot" w:pos="9360"/>
      </w:tabs>
      <w:ind w:left="1008" w:right="720" w:hanging="1008"/>
    </w:pPr>
    <w:rPr>
      <w:rFonts w:ascii="Arial" w:hAnsi="Arial"/>
      <w:lang w:val="en-US" w:eastAsia="en-US"/>
    </w:rPr>
  </w:style>
  <w:style w:type="paragraph" w:customStyle="1" w:styleId="PABullet1">
    <w:name w:val="PA Bullet 1"/>
    <w:rsid w:val="003B0A62"/>
    <w:pPr>
      <w:numPr>
        <w:numId w:val="25"/>
      </w:numPr>
      <w:ind w:left="1080" w:hanging="720"/>
    </w:pPr>
    <w:rPr>
      <w:sz w:val="24"/>
      <w:lang w:val="en-US" w:eastAsia="en-US"/>
    </w:rPr>
  </w:style>
  <w:style w:type="character" w:styleId="PlaceholderText">
    <w:name w:val="Placeholder Text"/>
    <w:uiPriority w:val="99"/>
    <w:semiHidden/>
    <w:rsid w:val="003B0A62"/>
    <w:rPr>
      <w:color w:val="808080"/>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link w:val="BodyText"/>
    <w:semiHidden/>
    <w:rsid w:val="003B0A62"/>
    <w:rPr>
      <w:b/>
      <w:i/>
      <w:sz w:val="22"/>
      <w:lang w:val="en-GB"/>
    </w:rPr>
  </w:style>
  <w:style w:type="character" w:customStyle="1" w:styleId="BodyText2Char">
    <w:name w:val="Body Text 2 Char"/>
    <w:link w:val="BodyText2"/>
    <w:semiHidden/>
    <w:rsid w:val="003B0A62"/>
    <w:rPr>
      <w:rFonts w:ascii="Arial" w:hAnsi="Arial"/>
      <w:b/>
      <w:bCs/>
      <w:sz w:val="22"/>
      <w:lang w:val="en-AU"/>
    </w:rPr>
  </w:style>
  <w:style w:type="paragraph" w:customStyle="1" w:styleId="BulletList-SS-3single-spaced">
    <w:name w:val="Bullet List-SS-3 (single-spaced)"/>
    <w:basedOn w:val="Normal"/>
    <w:rsid w:val="003B0A62"/>
    <w:pPr>
      <w:keepLines w:val="0"/>
      <w:numPr>
        <w:numId w:val="26"/>
      </w:numPr>
      <w:jc w:val="both"/>
    </w:pPr>
    <w:rPr>
      <w:rFonts w:ascii="Times New Roman" w:hAnsi="Times New Roman"/>
      <w:sz w:val="24"/>
      <w:lang w:val="en-US"/>
    </w:rPr>
  </w:style>
  <w:style w:type="paragraph" w:customStyle="1" w:styleId="NumberList-DS-1double-spaced">
    <w:name w:val="Number List-DS-1 (double-spaced)"/>
    <w:basedOn w:val="Normal"/>
    <w:rsid w:val="003B0A62"/>
    <w:pPr>
      <w:keepLines w:val="0"/>
      <w:numPr>
        <w:numId w:val="27"/>
      </w:numPr>
      <w:spacing w:after="240"/>
      <w:jc w:val="both"/>
    </w:pPr>
    <w:rPr>
      <w:rFonts w:ascii="Times New Roman" w:hAnsi="Times New Roman"/>
      <w:sz w:val="24"/>
      <w:lang w:val="en-US"/>
    </w:rPr>
  </w:style>
  <w:style w:type="paragraph" w:customStyle="1" w:styleId="NumberList-SS-2singled-spaced">
    <w:name w:val="Number List-SS-2 (singled-spaced)"/>
    <w:basedOn w:val="Normal"/>
    <w:rsid w:val="003B0A62"/>
    <w:pPr>
      <w:keepLines w:val="0"/>
      <w:numPr>
        <w:numId w:val="28"/>
      </w:numPr>
      <w:jc w:val="both"/>
    </w:pPr>
    <w:rPr>
      <w:rFonts w:ascii="Times New Roman" w:hAnsi="Times New Roman"/>
      <w:sz w:val="24"/>
      <w:lang w:val="en-US"/>
    </w:rPr>
  </w:style>
  <w:style w:type="paragraph" w:customStyle="1" w:styleId="NumberedList4">
    <w:name w:val="NumberedList4"/>
    <w:qFormat/>
    <w:rsid w:val="003B0A62"/>
    <w:pPr>
      <w:numPr>
        <w:numId w:val="29"/>
      </w:numPr>
      <w:jc w:val="both"/>
    </w:pPr>
    <w:rPr>
      <w:sz w:val="24"/>
      <w:lang w:val="en-US" w:eastAsia="en-US"/>
    </w:rPr>
  </w:style>
  <w:style w:type="paragraph" w:customStyle="1" w:styleId="Question1">
    <w:name w:val="Question1"/>
    <w:basedOn w:val="Normal"/>
    <w:next w:val="Normal"/>
    <w:uiPriority w:val="99"/>
    <w:rsid w:val="003B0A62"/>
    <w:pPr>
      <w:keepLines w:val="0"/>
      <w:spacing w:before="120"/>
      <w:outlineLvl w:val="2"/>
    </w:pPr>
    <w:rPr>
      <w:rFonts w:ascii="Times New Roman Bold" w:hAnsi="Times New Roman Bold"/>
      <w:b/>
      <w:kern w:val="28"/>
      <w:sz w:val="24"/>
      <w:szCs w:val="24"/>
      <w:lang w:val="en-US"/>
    </w:rPr>
  </w:style>
  <w:style w:type="paragraph" w:customStyle="1" w:styleId="ReferenceHeading2">
    <w:name w:val="Reference Heading 2"/>
    <w:basedOn w:val="Reference"/>
    <w:next w:val="Normal"/>
    <w:rsid w:val="003B0A62"/>
    <w:pPr>
      <w:numPr>
        <w:numId w:val="31"/>
      </w:numPr>
      <w:spacing w:after="200"/>
      <w:jc w:val="both"/>
      <w:outlineLvl w:val="0"/>
    </w:pPr>
    <w:rPr>
      <w:rFonts w:ascii="Arial" w:hAnsi="Arial"/>
      <w:b/>
      <w:caps/>
      <w:sz w:val="24"/>
    </w:rPr>
  </w:style>
  <w:style w:type="paragraph" w:customStyle="1" w:styleId="ReferenceHeading3">
    <w:name w:val="Reference Heading 3"/>
    <w:basedOn w:val="ReferenceHeading2"/>
    <w:next w:val="Normal"/>
    <w:rsid w:val="003B0A62"/>
    <w:pPr>
      <w:numPr>
        <w:ilvl w:val="1"/>
      </w:numPr>
      <w:outlineLvl w:val="1"/>
    </w:pPr>
    <w:rPr>
      <w:caps w:val="0"/>
    </w:rPr>
  </w:style>
  <w:style w:type="paragraph" w:customStyle="1" w:styleId="ReferenceBullet">
    <w:name w:val="Reference Bullet"/>
    <w:basedOn w:val="Normal"/>
    <w:rsid w:val="003B0A62"/>
    <w:pPr>
      <w:keepLines w:val="0"/>
      <w:numPr>
        <w:numId w:val="30"/>
      </w:numPr>
      <w:suppressAutoHyphens/>
      <w:spacing w:after="200"/>
      <w:jc w:val="both"/>
    </w:pPr>
    <w:rPr>
      <w:rFonts w:ascii="Times New Roman" w:hAnsi="Times New Roman"/>
      <w:sz w:val="20"/>
      <w:lang w:val="en-US"/>
    </w:rPr>
  </w:style>
  <w:style w:type="paragraph" w:customStyle="1" w:styleId="BulletIndent5-">
    <w:name w:val="Bullet Indent 5 (-)"/>
    <w:rsid w:val="003B0A62"/>
    <w:pPr>
      <w:tabs>
        <w:tab w:val="left" w:pos="1426"/>
      </w:tabs>
      <w:spacing w:after="120"/>
      <w:ind w:left="1426" w:hanging="288"/>
      <w:jc w:val="both"/>
    </w:pPr>
    <w:rPr>
      <w:sz w:val="24"/>
      <w:lang w:val="en-US" w:eastAsia="en-US"/>
    </w:rPr>
  </w:style>
  <w:style w:type="paragraph" w:customStyle="1" w:styleId="Narrative3">
    <w:name w:val="Narrative 3"/>
    <w:rsid w:val="003B0A62"/>
    <w:pPr>
      <w:tabs>
        <w:tab w:val="num" w:pos="2160"/>
      </w:tabs>
      <w:spacing w:after="200" w:line="300" w:lineRule="auto"/>
      <w:ind w:left="2160" w:hanging="590"/>
      <w:jc w:val="both"/>
    </w:pPr>
    <w:rPr>
      <w:sz w:val="24"/>
      <w:lang w:val="en-US" w:eastAsia="en-US"/>
    </w:rPr>
  </w:style>
  <w:style w:type="character" w:customStyle="1" w:styleId="Heading3Char">
    <w:name w:val="Heading 3 Char"/>
    <w:link w:val="Heading3"/>
    <w:rsid w:val="003B0A62"/>
    <w:rPr>
      <w:rFonts w:ascii="Arial" w:hAnsi="Arial"/>
      <w:b/>
      <w:bCs/>
      <w:sz w:val="22"/>
      <w:lang w:val="en-AU"/>
    </w:rPr>
  </w:style>
  <w:style w:type="paragraph" w:customStyle="1" w:styleId="CM8">
    <w:name w:val="CM8"/>
    <w:basedOn w:val="Default"/>
    <w:next w:val="Default"/>
    <w:uiPriority w:val="99"/>
    <w:rsid w:val="003B0A62"/>
    <w:pPr>
      <w:spacing w:line="186" w:lineRule="atLeast"/>
    </w:pPr>
    <w:rPr>
      <w:color w:val="auto"/>
    </w:rPr>
  </w:style>
  <w:style w:type="paragraph" w:customStyle="1" w:styleId="CM53">
    <w:name w:val="CM53"/>
    <w:basedOn w:val="Default"/>
    <w:next w:val="Default"/>
    <w:uiPriority w:val="99"/>
    <w:rsid w:val="003B0A62"/>
    <w:rPr>
      <w:color w:val="auto"/>
    </w:rPr>
  </w:style>
  <w:style w:type="paragraph" w:customStyle="1" w:styleId="pdata2rm">
    <w:name w:val="p_data2_rm"/>
    <w:basedOn w:val="Normal"/>
    <w:semiHidden/>
    <w:rsid w:val="003B0A62"/>
    <w:pPr>
      <w:keepLines w:val="0"/>
      <w:spacing w:before="100" w:beforeAutospacing="1" w:after="100" w:afterAutospacing="1"/>
      <w:jc w:val="center"/>
    </w:pPr>
    <w:rPr>
      <w:rFonts w:ascii="Times New Roman" w:hAnsi="Times New Roman"/>
      <w:sz w:val="24"/>
      <w:szCs w:val="24"/>
      <w:lang w:val="en-US"/>
    </w:rPr>
  </w:style>
  <w:style w:type="paragraph" w:customStyle="1" w:styleId="pdata1mm">
    <w:name w:val="p_data1_mm"/>
    <w:basedOn w:val="Normal"/>
    <w:semiHidden/>
    <w:rsid w:val="003B0A62"/>
    <w:pPr>
      <w:keepLines w:val="0"/>
      <w:spacing w:before="100" w:beforeAutospacing="1" w:after="100" w:afterAutospacing="1"/>
      <w:jc w:val="center"/>
    </w:pPr>
    <w:rPr>
      <w:rFonts w:ascii="Times New Roman" w:hAnsi="Times New Roman"/>
      <w:b/>
      <w:bCs/>
      <w:sz w:val="24"/>
      <w:szCs w:val="24"/>
      <w:lang w:val="en-US"/>
    </w:rPr>
  </w:style>
  <w:style w:type="paragraph" w:customStyle="1" w:styleId="pdata1rm">
    <w:name w:val="p_data1_rm"/>
    <w:basedOn w:val="Normal"/>
    <w:semiHidden/>
    <w:rsid w:val="003B0A62"/>
    <w:pPr>
      <w:keepLines w:val="0"/>
      <w:spacing w:before="100" w:beforeAutospacing="1" w:after="100" w:afterAutospacing="1"/>
      <w:jc w:val="center"/>
    </w:pPr>
    <w:rPr>
      <w:rFonts w:ascii="Times New Roman" w:hAnsi="Times New Roman"/>
      <w:b/>
      <w:bCs/>
      <w:sz w:val="24"/>
      <w:szCs w:val="24"/>
      <w:lang w:val="en-US"/>
    </w:rPr>
  </w:style>
  <w:style w:type="paragraph" w:customStyle="1" w:styleId="pdata2mm">
    <w:name w:val="p_data2_mm"/>
    <w:basedOn w:val="Normal"/>
    <w:semiHidden/>
    <w:rsid w:val="003B0A62"/>
    <w:pPr>
      <w:keepLines w:val="0"/>
      <w:spacing w:before="100" w:beforeAutospacing="1" w:after="100" w:afterAutospacing="1"/>
      <w:jc w:val="center"/>
    </w:pPr>
    <w:rPr>
      <w:rFonts w:ascii="Times New Roman" w:hAnsi="Times New Roman"/>
      <w:sz w:val="24"/>
      <w:szCs w:val="24"/>
      <w:lang w:val="en-US"/>
    </w:rPr>
  </w:style>
  <w:style w:type="paragraph" w:customStyle="1" w:styleId="pdata2mb">
    <w:name w:val="p_data2_mb"/>
    <w:basedOn w:val="Normal"/>
    <w:semiHidden/>
    <w:rsid w:val="003B0A62"/>
    <w:pPr>
      <w:keepLines w:val="0"/>
      <w:spacing w:before="100" w:beforeAutospacing="1" w:after="100" w:afterAutospacing="1"/>
      <w:jc w:val="center"/>
    </w:pPr>
    <w:rPr>
      <w:rFonts w:ascii="Times New Roman" w:hAnsi="Times New Roman"/>
      <w:sz w:val="24"/>
      <w:szCs w:val="24"/>
      <w:lang w:val="en-US"/>
    </w:rPr>
  </w:style>
  <w:style w:type="paragraph" w:customStyle="1" w:styleId="colheadmtb">
    <w:name w:val="colhead_mtb"/>
    <w:basedOn w:val="Normal"/>
    <w:rsid w:val="003B0A62"/>
    <w:pPr>
      <w:keepLines w:val="0"/>
      <w:spacing w:before="100" w:beforeAutospacing="1" w:after="100" w:afterAutospacing="1"/>
    </w:pPr>
    <w:rPr>
      <w:rFonts w:ascii="Times New Roman" w:hAnsi="Times New Roman"/>
      <w:sz w:val="24"/>
      <w:szCs w:val="24"/>
      <w:lang w:val="en-US"/>
    </w:rPr>
  </w:style>
  <w:style w:type="character" w:customStyle="1" w:styleId="denomtext1">
    <w:name w:val="denomtext1"/>
    <w:basedOn w:val="DefaultParagraphFont"/>
    <w:semiHidden/>
    <w:rsid w:val="003B0A62"/>
  </w:style>
  <w:style w:type="paragraph" w:styleId="Subtitle">
    <w:name w:val="Subtitle"/>
    <w:basedOn w:val="Normal"/>
    <w:link w:val="SubtitleChar"/>
    <w:qFormat/>
    <w:rsid w:val="003B0A62"/>
    <w:pPr>
      <w:keepLines w:val="0"/>
    </w:pPr>
    <w:rPr>
      <w:rFonts w:ascii="Times New Roman" w:hAnsi="Times New Roman"/>
      <w:b/>
      <w:bCs/>
      <w:sz w:val="24"/>
      <w:szCs w:val="24"/>
      <w:lang w:val="en-US"/>
    </w:rPr>
  </w:style>
  <w:style w:type="character" w:customStyle="1" w:styleId="SubtitleChar">
    <w:name w:val="Subtitle Char"/>
    <w:link w:val="Subtitle"/>
    <w:rsid w:val="003B0A62"/>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1"/>
    <w:lsdException w:name="header" w:uiPriority="0"/>
    <w:lsdException w:name="footer" w:uiPriority="0"/>
    <w:lsdException w:name="caption" w:semiHidden="0" w:unhideWhenUsed="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F84"/>
    <w:pPr>
      <w:keepLines/>
    </w:pPr>
    <w:rPr>
      <w:rFonts w:ascii="Arial" w:hAnsi="Arial"/>
      <w:sz w:val="22"/>
      <w:lang w:eastAsia="en-US"/>
    </w:rPr>
  </w:style>
  <w:style w:type="paragraph" w:styleId="Heading1">
    <w:name w:val="heading 1"/>
    <w:basedOn w:val="Normal"/>
    <w:next w:val="Normal"/>
    <w:qFormat/>
    <w:rsid w:val="00E44F45"/>
    <w:pPr>
      <w:keepNext/>
      <w:keepLines w:val="0"/>
      <w:spacing w:before="360" w:after="120"/>
      <w:outlineLvl w:val="0"/>
    </w:pPr>
    <w:rPr>
      <w:b/>
      <w:caps/>
      <w:kern w:val="28"/>
      <w:sz w:val="28"/>
    </w:rPr>
  </w:style>
  <w:style w:type="paragraph" w:styleId="Heading2">
    <w:name w:val="heading 2"/>
    <w:basedOn w:val="Normal"/>
    <w:next w:val="Normal"/>
    <w:qFormat/>
    <w:rsid w:val="004F2A8D"/>
    <w:pPr>
      <w:keepNext/>
      <w:spacing w:before="120" w:after="120"/>
      <w:outlineLvl w:val="1"/>
    </w:pPr>
    <w:rPr>
      <w:b/>
      <w:sz w:val="28"/>
    </w:rPr>
  </w:style>
  <w:style w:type="paragraph" w:styleId="Heading3">
    <w:name w:val="heading 3"/>
    <w:basedOn w:val="Normal"/>
    <w:next w:val="Normal"/>
    <w:link w:val="Heading3Char"/>
    <w:qFormat/>
    <w:rsid w:val="00E44F45"/>
    <w:pPr>
      <w:keepNext/>
      <w:keepLines w:val="0"/>
      <w:spacing w:before="120" w:after="120"/>
      <w:outlineLvl w:val="2"/>
    </w:pPr>
    <w:rPr>
      <w:b/>
      <w:bCs/>
    </w:rPr>
  </w:style>
  <w:style w:type="paragraph" w:styleId="Heading4">
    <w:name w:val="heading 4"/>
    <w:basedOn w:val="Normal"/>
    <w:next w:val="Normal"/>
    <w:qFormat/>
    <w:rsid w:val="004F2A8D"/>
    <w:pPr>
      <w:keepNext/>
      <w:outlineLvl w:val="3"/>
    </w:pPr>
    <w:rPr>
      <w:i/>
    </w:rPr>
  </w:style>
  <w:style w:type="paragraph" w:styleId="Heading5">
    <w:name w:val="heading 5"/>
    <w:basedOn w:val="Normal"/>
    <w:next w:val="Normal"/>
    <w:qFormat/>
    <w:rsid w:val="00031C15"/>
    <w:pPr>
      <w:keepNext/>
      <w:outlineLvl w:val="4"/>
    </w:pPr>
    <w:rPr>
      <w:iCs/>
      <w:u w:val="single"/>
    </w:rPr>
  </w:style>
  <w:style w:type="paragraph" w:styleId="Heading6">
    <w:name w:val="heading 6"/>
    <w:basedOn w:val="Normal"/>
    <w:next w:val="Normal"/>
    <w:qFormat/>
    <w:rsid w:val="003B09E3"/>
    <w:pPr>
      <w:keepNext/>
      <w:tabs>
        <w:tab w:val="right" w:pos="9072"/>
      </w:tabs>
      <w:suppressAutoHyphens/>
      <w:outlineLvl w:val="5"/>
    </w:pPr>
    <w:rPr>
      <w:vanish/>
      <w:sz w:val="16"/>
    </w:rPr>
  </w:style>
  <w:style w:type="paragraph" w:styleId="Heading7">
    <w:name w:val="heading 7"/>
    <w:basedOn w:val="Normal"/>
    <w:next w:val="Normal"/>
    <w:qFormat/>
    <w:rsid w:val="003B09E3"/>
    <w:pPr>
      <w:keepNext/>
      <w:outlineLvl w:val="6"/>
    </w:pPr>
    <w:rPr>
      <w:i/>
    </w:rPr>
  </w:style>
  <w:style w:type="paragraph" w:styleId="Heading8">
    <w:name w:val="heading 8"/>
    <w:basedOn w:val="Normal"/>
    <w:next w:val="Normal"/>
    <w:qFormat/>
    <w:rsid w:val="003B09E3"/>
    <w:pPr>
      <w:keepNext/>
      <w:outlineLvl w:val="7"/>
    </w:pPr>
    <w:rPr>
      <w:b/>
      <w:sz w:val="18"/>
    </w:rPr>
  </w:style>
  <w:style w:type="paragraph" w:styleId="Heading9">
    <w:name w:val="heading 9"/>
    <w:basedOn w:val="Normal"/>
    <w:next w:val="Normal"/>
    <w:qFormat/>
    <w:rsid w:val="003B09E3"/>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09E3"/>
    <w:pPr>
      <w:tabs>
        <w:tab w:val="right" w:pos="9639"/>
      </w:tabs>
    </w:pPr>
    <w:rPr>
      <w:rFonts w:ascii="Arial Narrow" w:hAnsi="Arial Narrow"/>
      <w:i/>
    </w:rPr>
  </w:style>
  <w:style w:type="paragraph" w:customStyle="1" w:styleId="Hint">
    <w:name w:val="Hint"/>
    <w:basedOn w:val="BodyTextIndent2"/>
    <w:autoRedefine/>
    <w:rsid w:val="003B09E3"/>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semiHidden/>
    <w:rsid w:val="003B09E3"/>
    <w:pPr>
      <w:spacing w:after="120" w:line="480" w:lineRule="auto"/>
      <w:ind w:left="360"/>
    </w:pPr>
  </w:style>
  <w:style w:type="paragraph" w:customStyle="1" w:styleId="PIMAINHEADING">
    <w:name w:val="PI MAINHEADING"/>
    <w:basedOn w:val="Heading1"/>
    <w:rsid w:val="003B09E3"/>
    <w:pPr>
      <w:keepNext w:val="0"/>
      <w:keepLines/>
      <w:widowControl w:val="0"/>
      <w:pBdr>
        <w:top w:val="single" w:sz="6" w:space="1" w:color="auto"/>
        <w:bottom w:val="single" w:sz="6" w:space="1" w:color="auto"/>
      </w:pBdr>
      <w:spacing w:before="0" w:after="0"/>
      <w:jc w:val="both"/>
      <w:outlineLvl w:val="9"/>
    </w:pPr>
    <w:rPr>
      <w:rFonts w:ascii="Arial Black" w:hAnsi="Arial Black"/>
      <w:sz w:val="56"/>
    </w:rPr>
  </w:style>
  <w:style w:type="paragraph" w:customStyle="1" w:styleId="PIProductInfo">
    <w:name w:val="PI Product Info"/>
    <w:basedOn w:val="Normal"/>
    <w:rsid w:val="003B09E3"/>
    <w:pPr>
      <w:keepLines w:val="0"/>
      <w:widowControl w:val="0"/>
      <w:pBdr>
        <w:bottom w:val="single" w:sz="6" w:space="1" w:color="auto"/>
      </w:pBdr>
      <w:spacing w:before="60" w:after="240"/>
      <w:jc w:val="center"/>
    </w:pPr>
    <w:rPr>
      <w:b/>
      <w:sz w:val="36"/>
      <w:lang w:val="en-US"/>
    </w:rPr>
  </w:style>
  <w:style w:type="paragraph" w:customStyle="1" w:styleId="PIHEADTOP">
    <w:name w:val="PI HEADTOP"/>
    <w:basedOn w:val="Normal"/>
    <w:rsid w:val="003B09E3"/>
    <w:pPr>
      <w:keepLines w:val="0"/>
      <w:tabs>
        <w:tab w:val="left" w:pos="-720"/>
      </w:tabs>
      <w:suppressAutoHyphens/>
      <w:spacing w:after="120"/>
    </w:pPr>
    <w:rPr>
      <w:b/>
      <w:caps/>
      <w:spacing w:val="-2"/>
      <w:sz w:val="28"/>
    </w:rPr>
  </w:style>
  <w:style w:type="paragraph" w:customStyle="1" w:styleId="PIEXPLAIN">
    <w:name w:val="PI EXPLAIN"/>
    <w:basedOn w:val="Normal"/>
    <w:rsid w:val="003B09E3"/>
    <w:pPr>
      <w:keepLines w:val="0"/>
      <w:tabs>
        <w:tab w:val="left" w:pos="-720"/>
      </w:tabs>
      <w:suppressAutoHyphens/>
      <w:spacing w:before="20" w:after="80"/>
    </w:pPr>
    <w:rPr>
      <w:spacing w:val="-2"/>
    </w:rPr>
  </w:style>
  <w:style w:type="paragraph" w:customStyle="1" w:styleId="PIHEADING1">
    <w:name w:val="PI HEADING1"/>
    <w:basedOn w:val="PIHEADTOP"/>
    <w:rsid w:val="003B09E3"/>
    <w:pPr>
      <w:keepNext/>
      <w:keepLines/>
      <w:spacing w:before="360"/>
      <w:jc w:val="both"/>
    </w:pPr>
  </w:style>
  <w:style w:type="paragraph" w:customStyle="1" w:styleId="PIHEADING2">
    <w:name w:val="PI HEADING2"/>
    <w:basedOn w:val="Normal"/>
    <w:rsid w:val="003B09E3"/>
    <w:pPr>
      <w:keepNext/>
      <w:tabs>
        <w:tab w:val="left" w:pos="-720"/>
      </w:tabs>
      <w:suppressAutoHyphens/>
      <w:spacing w:before="120" w:after="80"/>
    </w:pPr>
    <w:rPr>
      <w:b/>
      <w:spacing w:val="-2"/>
      <w:sz w:val="28"/>
    </w:rPr>
  </w:style>
  <w:style w:type="paragraph" w:customStyle="1" w:styleId="PIDOTPOINT">
    <w:name w:val="PI DOTPOINT"/>
    <w:basedOn w:val="PIEXPLAIN"/>
    <w:rsid w:val="003B09E3"/>
    <w:pPr>
      <w:spacing w:before="0" w:after="40"/>
      <w:ind w:left="568" w:hanging="284"/>
    </w:pPr>
  </w:style>
  <w:style w:type="paragraph" w:styleId="Footer">
    <w:name w:val="footer"/>
    <w:basedOn w:val="Normal"/>
    <w:link w:val="FooterChar"/>
    <w:rsid w:val="003B09E3"/>
    <w:pPr>
      <w:tabs>
        <w:tab w:val="center" w:pos="4153"/>
        <w:tab w:val="right" w:pos="8306"/>
      </w:tabs>
    </w:pPr>
  </w:style>
  <w:style w:type="character" w:styleId="LineNumber">
    <w:name w:val="line number"/>
    <w:basedOn w:val="DefaultParagraphFont"/>
    <w:uiPriority w:val="99"/>
    <w:semiHidden/>
    <w:rsid w:val="003B09E3"/>
  </w:style>
  <w:style w:type="character" w:styleId="Strong">
    <w:name w:val="Strong"/>
    <w:qFormat/>
    <w:rsid w:val="003B09E3"/>
    <w:rPr>
      <w: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semiHidden/>
    <w:rsid w:val="003B09E3"/>
    <w:pPr>
      <w:keepLines w:val="0"/>
      <w:tabs>
        <w:tab w:val="left" w:pos="567"/>
      </w:tabs>
      <w:spacing w:line="260" w:lineRule="exact"/>
    </w:pPr>
    <w:rPr>
      <w:rFonts w:ascii="Times New Roman" w:hAnsi="Times New Roman"/>
      <w:b/>
      <w:i/>
      <w:lang w:val="en-GB"/>
    </w:rPr>
  </w:style>
  <w:style w:type="paragraph" w:customStyle="1" w:styleId="Paragraph">
    <w:name w:val="Paragraph"/>
    <w:rsid w:val="003B09E3"/>
    <w:pPr>
      <w:numPr>
        <w:ilvl w:val="12"/>
      </w:numPr>
      <w:suppressAutoHyphens/>
      <w:spacing w:before="120" w:line="260" w:lineRule="exact"/>
    </w:pPr>
    <w:rPr>
      <w:sz w:val="22"/>
      <w:lang w:val="en-US" w:eastAsia="en-US"/>
    </w:rPr>
  </w:style>
  <w:style w:type="paragraph" w:styleId="CommentText">
    <w:name w:val="annotation text"/>
    <w:basedOn w:val="Normal"/>
    <w:link w:val="CommentTextChar"/>
    <w:uiPriority w:val="99"/>
    <w:rsid w:val="003B09E3"/>
    <w:pPr>
      <w:keepLines w:val="0"/>
      <w:tabs>
        <w:tab w:val="left" w:pos="567"/>
      </w:tabs>
      <w:spacing w:line="260" w:lineRule="exact"/>
    </w:pPr>
    <w:rPr>
      <w:rFonts w:ascii="Times New Roman" w:hAnsi="Times New Roman"/>
      <w:sz w:val="20"/>
      <w:lang w:val="en-GB"/>
    </w:rPr>
  </w:style>
  <w:style w:type="paragraph" w:styleId="EndnoteText">
    <w:name w:val="endnote text"/>
    <w:basedOn w:val="Normal"/>
    <w:next w:val="Normal"/>
    <w:link w:val="EndnoteTextChar"/>
    <w:semiHidden/>
    <w:rsid w:val="003B09E3"/>
    <w:pPr>
      <w:keepLines w:val="0"/>
      <w:tabs>
        <w:tab w:val="left" w:pos="567"/>
      </w:tabs>
    </w:pPr>
    <w:rPr>
      <w:rFonts w:ascii="Times New Roman" w:hAnsi="Times New Roman"/>
      <w:lang w:val="en-GB"/>
    </w:rPr>
  </w:style>
  <w:style w:type="character" w:styleId="PageNumber">
    <w:name w:val="page number"/>
    <w:basedOn w:val="DefaultParagraphFont"/>
    <w:semiHidden/>
    <w:rsid w:val="003B09E3"/>
  </w:style>
  <w:style w:type="paragraph" w:customStyle="1" w:styleId="ParagraphChar">
    <w:name w:val="Paragraph Char"/>
    <w:rsid w:val="003B09E3"/>
    <w:pPr>
      <w:numPr>
        <w:ilvl w:val="12"/>
      </w:numPr>
      <w:suppressAutoHyphens/>
      <w:spacing w:after="120" w:line="260" w:lineRule="exact"/>
    </w:pPr>
    <w:rPr>
      <w:sz w:val="22"/>
      <w:lang w:val="en-US" w:eastAsia="en-US"/>
    </w:rPr>
  </w:style>
  <w:style w:type="paragraph" w:styleId="BodyText2">
    <w:name w:val="Body Text 2"/>
    <w:basedOn w:val="Normal"/>
    <w:link w:val="BodyText2Char"/>
    <w:semiHidden/>
    <w:rsid w:val="003B09E3"/>
    <w:rPr>
      <w:b/>
      <w:bCs/>
    </w:rPr>
  </w:style>
  <w:style w:type="character" w:customStyle="1" w:styleId="TableFootnoteChar1">
    <w:name w:val="Table Footnote Char1"/>
    <w:rsid w:val="003B09E3"/>
    <w:rPr>
      <w:noProof w:val="0"/>
      <w:snapToGrid w:val="0"/>
      <w:lang w:val="en-US" w:eastAsia="en-US" w:bidi="ar-SA"/>
    </w:rPr>
  </w:style>
  <w:style w:type="paragraph" w:customStyle="1" w:styleId="tablebodyChar">
    <w:name w:val="table:body Char"/>
    <w:basedOn w:val="Normal"/>
    <w:rsid w:val="003B09E3"/>
    <w:pPr>
      <w:keepLines w:val="0"/>
      <w:suppressAutoHyphens/>
      <w:spacing w:before="20" w:after="20"/>
    </w:pPr>
    <w:rPr>
      <w:rFonts w:ascii="Times New Roman" w:hAnsi="Times New Roman"/>
      <w:sz w:val="20"/>
      <w:lang w:val="en-US"/>
    </w:rPr>
  </w:style>
  <w:style w:type="paragraph" w:customStyle="1" w:styleId="ParagraphCharChar">
    <w:name w:val="Paragraph Char Char"/>
    <w:rsid w:val="003B09E3"/>
    <w:pPr>
      <w:numPr>
        <w:ilvl w:val="12"/>
      </w:numPr>
      <w:suppressAutoHyphens/>
      <w:spacing w:after="120" w:line="260" w:lineRule="exact"/>
    </w:pPr>
    <w:rPr>
      <w:sz w:val="22"/>
      <w:lang w:val="en-US" w:eastAsia="en-US"/>
    </w:rPr>
  </w:style>
  <w:style w:type="paragraph" w:customStyle="1" w:styleId="tabletitleCharChar">
    <w:name w:val="table:title Char Char"/>
    <w:basedOn w:val="Normal"/>
    <w:next w:val="Normal"/>
    <w:rsid w:val="003B09E3"/>
    <w:pPr>
      <w:keepNext/>
      <w:keepLines w:val="0"/>
      <w:numPr>
        <w:ilvl w:val="12"/>
      </w:numPr>
      <w:suppressAutoHyphens/>
      <w:spacing w:before="120" w:after="120" w:line="260" w:lineRule="exact"/>
      <w:ind w:left="1152" w:hanging="1152"/>
    </w:pPr>
    <w:rPr>
      <w:rFonts w:ascii="Times New Roman" w:hAnsi="Times New Roman"/>
      <w:b/>
      <w:lang w:val="en-US"/>
    </w:rPr>
  </w:style>
  <w:style w:type="character" w:customStyle="1" w:styleId="BodyTextIndentCharChar">
    <w:name w:val="Body Text Indent Char Char"/>
    <w:rsid w:val="003B09E3"/>
    <w:rPr>
      <w:lang w:val="en-US" w:eastAsia="en-US" w:bidi="ar-SA"/>
    </w:rPr>
  </w:style>
  <w:style w:type="paragraph" w:customStyle="1" w:styleId="BodyText12">
    <w:name w:val="BodyText12"/>
    <w:rsid w:val="003B09E3"/>
    <w:pPr>
      <w:spacing w:after="200" w:line="300" w:lineRule="auto"/>
      <w:ind w:left="850"/>
      <w:jc w:val="both"/>
    </w:pPr>
    <w:rPr>
      <w:sz w:val="24"/>
      <w:lang w:val="en-US" w:eastAsia="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character" w:styleId="CommentReference">
    <w:name w:val="annotation reference"/>
    <w:uiPriority w:val="99"/>
    <w:semiHidden/>
    <w:rsid w:val="003B09E3"/>
    <w:rPr>
      <w:sz w:val="16"/>
    </w:rPr>
  </w:style>
  <w:style w:type="paragraph" w:customStyle="1" w:styleId="TableFootnoteCharChar1">
    <w:name w:val="Table Footnote Char Char1"/>
    <w:basedOn w:val="Normal"/>
    <w:next w:val="Normal"/>
    <w:rsid w:val="003B09E3"/>
    <w:pPr>
      <w:keepNext/>
      <w:widowControl w:val="0"/>
      <w:tabs>
        <w:tab w:val="left" w:pos="259"/>
      </w:tabs>
      <w:spacing w:before="20" w:after="20" w:line="220" w:lineRule="atLeast"/>
      <w:ind w:left="259" w:hanging="259"/>
    </w:pPr>
    <w:rPr>
      <w:rFonts w:ascii="Times New Roman" w:hAnsi="Times New Roman"/>
      <w:sz w:val="20"/>
      <w:lang w:val="en-US"/>
    </w:rPr>
  </w:style>
  <w:style w:type="paragraph" w:styleId="FootnoteText">
    <w:name w:val="footnote text"/>
    <w:basedOn w:val="Normal"/>
    <w:uiPriority w:val="1"/>
    <w:semiHidden/>
    <w:rsid w:val="003B09E3"/>
    <w:pPr>
      <w:keepLines w:val="0"/>
    </w:pPr>
    <w:rPr>
      <w:rFonts w:ascii="Times New Roman" w:hAnsi="Times New Roman"/>
      <w:sz w:val="20"/>
      <w:lang w:val="en-GB"/>
    </w:rPr>
  </w:style>
  <w:style w:type="character" w:styleId="EndnoteReference">
    <w:name w:val="endnote reference"/>
    <w:uiPriority w:val="99"/>
    <w:semiHidden/>
    <w:rsid w:val="003B09E3"/>
    <w:rPr>
      <w:vertAlign w:val="superscript"/>
    </w:rPr>
  </w:style>
  <w:style w:type="paragraph" w:customStyle="1" w:styleId="tableheaderChar">
    <w:name w:val="table:header Char"/>
    <w:basedOn w:val="Normal"/>
    <w:rsid w:val="003B09E3"/>
    <w:pPr>
      <w:keepLines w:val="0"/>
      <w:suppressAutoHyphens/>
      <w:spacing w:before="20" w:after="20"/>
    </w:pPr>
    <w:rPr>
      <w:rFonts w:ascii="Times New Roman" w:hAnsi="Times New Roman"/>
      <w:b/>
      <w:sz w:val="20"/>
      <w:lang w:val="en-US"/>
    </w:rPr>
  </w:style>
  <w:style w:type="character" w:styleId="Hyperlink">
    <w:name w:val="Hyperlink"/>
    <w:uiPriority w:val="1"/>
    <w:rsid w:val="003B09E3"/>
    <w:rPr>
      <w:color w:val="0000FF"/>
      <w:u w:val="single"/>
    </w:rPr>
  </w:style>
  <w:style w:type="character" w:styleId="FollowedHyperlink">
    <w:name w:val="FollowedHyperlink"/>
    <w:semiHidden/>
    <w:rsid w:val="003B09E3"/>
    <w:rPr>
      <w:color w:val="800080"/>
      <w:u w:val="single"/>
    </w:rPr>
  </w:style>
  <w:style w:type="paragraph" w:customStyle="1" w:styleId="Narrative1">
    <w:name w:val="Narrative 1"/>
    <w:rsid w:val="003B09E3"/>
    <w:pPr>
      <w:tabs>
        <w:tab w:val="num" w:pos="1210"/>
      </w:tabs>
      <w:spacing w:after="200" w:line="300" w:lineRule="auto"/>
      <w:ind w:left="1210" w:hanging="360"/>
      <w:jc w:val="both"/>
    </w:pPr>
    <w:rPr>
      <w:sz w:val="24"/>
      <w:lang w:val="en-US" w:eastAsia="en-US"/>
    </w:rPr>
  </w:style>
  <w:style w:type="paragraph" w:customStyle="1" w:styleId="Narrative2">
    <w:name w:val="Narrative 2"/>
    <w:rsid w:val="003B09E3"/>
    <w:pPr>
      <w:tabs>
        <w:tab w:val="num" w:pos="1570"/>
      </w:tabs>
      <w:spacing w:after="200" w:line="300" w:lineRule="auto"/>
      <w:ind w:left="1570" w:hanging="360"/>
      <w:jc w:val="both"/>
    </w:pPr>
    <w:rPr>
      <w:sz w:val="24"/>
      <w:lang w:val="en-US" w:eastAsia="en-US"/>
    </w:rPr>
  </w:style>
  <w:style w:type="paragraph" w:customStyle="1" w:styleId="MarkTable">
    <w:name w:val="Mark Table"/>
    <w:next w:val="TableText"/>
    <w:rsid w:val="003B0A62"/>
    <w:pPr>
      <w:keepNext/>
      <w:ind w:left="14"/>
    </w:pPr>
    <w:rPr>
      <w:rFonts w:ascii="Arial" w:hAnsi="Arial"/>
      <w:lang w:val="en-US" w:eastAsia="en-US"/>
    </w:rPr>
  </w:style>
  <w:style w:type="paragraph" w:customStyle="1" w:styleId="TableText">
    <w:name w:val="TableText"/>
    <w:rsid w:val="003B09E3"/>
    <w:pPr>
      <w:keepNext/>
    </w:pPr>
    <w:rPr>
      <w:lang w:val="en-US" w:eastAsia="en-US"/>
    </w:rPr>
  </w:style>
  <w:style w:type="paragraph" w:customStyle="1" w:styleId="paragraph0">
    <w:name w:val="paragraph"/>
    <w:basedOn w:val="Normal"/>
    <w:rsid w:val="003B09E3"/>
    <w:pPr>
      <w:keepLines w:val="0"/>
      <w:spacing w:before="120" w:after="120" w:line="280" w:lineRule="atLeast"/>
    </w:pPr>
    <w:rPr>
      <w:rFonts w:ascii="Times New Roman" w:eastAsia="Arial Unicode MS" w:hAnsi="Times New Roman"/>
      <w:sz w:val="24"/>
      <w:szCs w:val="24"/>
      <w:lang w:val="en-GB"/>
    </w:rPr>
  </w:style>
  <w:style w:type="paragraph" w:styleId="BodyText3">
    <w:name w:val="Body Text 3"/>
    <w:basedOn w:val="Normal"/>
    <w:semiHidden/>
    <w:rsid w:val="003B09E3"/>
    <w:pPr>
      <w:jc w:val="center"/>
    </w:pPr>
    <w:rPr>
      <w:sz w:val="20"/>
    </w:rPr>
  </w:style>
  <w:style w:type="paragraph" w:customStyle="1" w:styleId="Body">
    <w:name w:val="Body"/>
    <w:basedOn w:val="Normal"/>
    <w:link w:val="BodyChar"/>
    <w:uiPriority w:val="99"/>
    <w:rsid w:val="003B09E3"/>
    <w:pPr>
      <w:keepLines w:val="0"/>
      <w:ind w:firstLine="288"/>
    </w:pPr>
    <w:rPr>
      <w:sz w:val="20"/>
      <w:lang w:val="en-US"/>
    </w:rPr>
  </w:style>
  <w:style w:type="paragraph" w:styleId="NormalWeb">
    <w:name w:val="Normal (Web)"/>
    <w:basedOn w:val="Normal"/>
    <w:uiPriority w:val="99"/>
    <w:semiHidden/>
    <w:rsid w:val="003B09E3"/>
    <w:pPr>
      <w:keepLines w:val="0"/>
      <w:spacing w:before="100" w:beforeAutospacing="1" w:after="100" w:afterAutospacing="1"/>
    </w:pPr>
    <w:rPr>
      <w:rFonts w:eastAsia="Arial Unicode MS" w:cs="Arial"/>
      <w:sz w:val="20"/>
    </w:rPr>
  </w:style>
  <w:style w:type="character" w:styleId="FootnoteReference">
    <w:name w:val="footnote reference"/>
    <w:semiHidden/>
    <w:rsid w:val="003B09E3"/>
    <w:rPr>
      <w:vertAlign w:val="superscript"/>
    </w:rPr>
  </w:style>
  <w:style w:type="paragraph" w:styleId="Caption">
    <w:name w:val="caption"/>
    <w:aliases w:val="Caption 3,c,appendix,Caption 1,appendix Cha"/>
    <w:basedOn w:val="Normal"/>
    <w:next w:val="Normal"/>
    <w:link w:val="CaptionChar"/>
    <w:uiPriority w:val="99"/>
    <w:qFormat/>
    <w:rsid w:val="003B5625"/>
    <w:pPr>
      <w:keepLines w:val="0"/>
      <w:tabs>
        <w:tab w:val="left" w:pos="1281"/>
      </w:tabs>
      <w:spacing w:before="120" w:after="120"/>
      <w:ind w:left="1281" w:hanging="1281"/>
    </w:pPr>
    <w:rPr>
      <w:b/>
      <w:bCs/>
      <w:szCs w:val="24"/>
      <w:lang w:val="en-GB" w:eastAsia="x-none"/>
    </w:rPr>
  </w:style>
  <w:style w:type="paragraph" w:customStyle="1" w:styleId="Footnote">
    <w:name w:val="Footnote"/>
    <w:basedOn w:val="Normal"/>
    <w:next w:val="Body"/>
    <w:rsid w:val="003B09E3"/>
    <w:pPr>
      <w:tabs>
        <w:tab w:val="right" w:pos="317"/>
        <w:tab w:val="left" w:pos="346"/>
      </w:tabs>
      <w:ind w:left="346" w:hanging="346"/>
    </w:pPr>
    <w:rPr>
      <w:rFonts w:ascii="Times New Roman" w:hAnsi="Times New Roman"/>
      <w:sz w:val="14"/>
      <w:szCs w:val="24"/>
      <w:lang w:val="en-US"/>
    </w:rPr>
  </w:style>
  <w:style w:type="paragraph" w:customStyle="1" w:styleId="TradeName">
    <w:name w:val="Trade Name"/>
    <w:basedOn w:val="Normal"/>
    <w:next w:val="Normal"/>
    <w:rsid w:val="003B09E3"/>
    <w:pPr>
      <w:keepNext/>
    </w:pPr>
    <w:rPr>
      <w:rFonts w:ascii="Times New Roman" w:hAnsi="Times New Roman"/>
      <w:b/>
      <w:caps/>
      <w:sz w:val="30"/>
      <w:szCs w:val="24"/>
      <w:lang w:val="en-US"/>
    </w:rPr>
  </w:style>
  <w:style w:type="character" w:customStyle="1" w:styleId="EmailStyle62">
    <w:name w:val="EmailStyle62"/>
    <w:rsid w:val="003B09E3"/>
    <w:rPr>
      <w:rFonts w:ascii="Arial" w:hAnsi="Arial" w:cs="Arial"/>
      <w:color w:val="000080"/>
      <w:sz w:val="20"/>
    </w:rPr>
  </w:style>
  <w:style w:type="paragraph" w:styleId="DocumentMap">
    <w:name w:val="Document Map"/>
    <w:basedOn w:val="Normal"/>
    <w:semiHidden/>
    <w:rsid w:val="003B09E3"/>
    <w:pPr>
      <w:shd w:val="clear" w:color="auto" w:fill="000080"/>
    </w:pPr>
    <w:rPr>
      <w:rFonts w:ascii="Tahoma" w:hAnsi="Tahoma" w:cs="Tahoma"/>
    </w:rPr>
  </w:style>
  <w:style w:type="paragraph" w:styleId="BodyTextIndent">
    <w:name w:val="Body Text Indent"/>
    <w:basedOn w:val="Normal"/>
    <w:semiHidden/>
    <w:rsid w:val="003B09E3"/>
    <w:pPr>
      <w:ind w:left="1418" w:hanging="1418"/>
    </w:pPr>
    <w:rPr>
      <w:b/>
      <w:bCs/>
    </w:rPr>
  </w:style>
  <w:style w:type="paragraph" w:styleId="BodyTextIndent3">
    <w:name w:val="Body Text Indent 3"/>
    <w:basedOn w:val="Normal"/>
    <w:semiHidden/>
    <w:rsid w:val="003B09E3"/>
    <w:pPr>
      <w:keepNext/>
      <w:ind w:left="1134" w:hanging="1134"/>
    </w:pPr>
    <w:rPr>
      <w:b/>
      <w:bCs/>
    </w:rPr>
  </w:style>
  <w:style w:type="paragraph" w:customStyle="1" w:styleId="Turnedtext">
    <w:name w:val="Turned text"/>
    <w:basedOn w:val="Normal"/>
    <w:next w:val="Body"/>
    <w:rsid w:val="003B09E3"/>
    <w:pPr>
      <w:jc w:val="center"/>
    </w:pPr>
    <w:rPr>
      <w:sz w:val="20"/>
      <w:lang w:val="en-US"/>
    </w:rPr>
  </w:style>
  <w:style w:type="paragraph" w:customStyle="1" w:styleId="colspan">
    <w:name w:val="colspan"/>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left">
    <w:name w:val="rowleft"/>
    <w:basedOn w:val="Normal"/>
    <w:next w:val="Normal"/>
    <w:rsid w:val="003B09E3"/>
    <w:pPr>
      <w:keepLines w:val="0"/>
      <w:widowControl w:val="0"/>
      <w:autoSpaceDE w:val="0"/>
      <w:autoSpaceDN w:val="0"/>
      <w:adjustRightInd w:val="0"/>
      <w:ind w:left="40" w:right="40"/>
    </w:pPr>
    <w:rPr>
      <w:rFonts w:ascii="Times New Roman" w:hAnsi="Times New Roman"/>
      <w:sz w:val="20"/>
      <w:lang w:val="en-US"/>
    </w:rPr>
  </w:style>
  <w:style w:type="paragraph" w:customStyle="1" w:styleId="topleft">
    <w:name w:val="topleft"/>
    <w:basedOn w:val="Normal"/>
    <w:next w:val="Normal"/>
    <w:rsid w:val="003B09E3"/>
    <w:pPr>
      <w:keepLines w:val="0"/>
      <w:widowControl w:val="0"/>
      <w:autoSpaceDE w:val="0"/>
      <w:autoSpaceDN w:val="0"/>
      <w:adjustRightInd w:val="0"/>
      <w:ind w:left="40" w:right="40"/>
    </w:pPr>
    <w:rPr>
      <w:rFonts w:ascii="Times New Roman" w:hAnsi="Times New Roman"/>
      <w:b/>
      <w:bCs/>
      <w:sz w:val="20"/>
      <w:lang w:val="en-US"/>
    </w:rPr>
  </w:style>
  <w:style w:type="paragraph" w:customStyle="1" w:styleId="colorder">
    <w:name w:val="colorder"/>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
    <w:name w:val="row"/>
    <w:basedOn w:val="Normal"/>
    <w:next w:val="Normal"/>
    <w:rsid w:val="003B09E3"/>
    <w:pPr>
      <w:keepLines w:val="0"/>
      <w:widowControl w:val="0"/>
      <w:autoSpaceDE w:val="0"/>
      <w:autoSpaceDN w:val="0"/>
      <w:adjustRightInd w:val="0"/>
      <w:ind w:left="40" w:right="40"/>
      <w:jc w:val="center"/>
    </w:pPr>
    <w:rPr>
      <w:rFonts w:ascii="Times New Roman" w:hAnsi="Times New Roman"/>
      <w:sz w:val="20"/>
      <w:lang w:val="en-US"/>
    </w:rPr>
  </w:style>
  <w:style w:type="paragraph" w:customStyle="1" w:styleId="section">
    <w:name w:val="section"/>
    <w:basedOn w:val="Normal"/>
    <w:next w:val="Normal"/>
    <w:rsid w:val="003B09E3"/>
    <w:pPr>
      <w:keepLines w:val="0"/>
      <w:widowControl w:val="0"/>
      <w:autoSpaceDE w:val="0"/>
      <w:autoSpaceDN w:val="0"/>
      <w:adjustRightInd w:val="0"/>
      <w:ind w:left="40" w:right="40"/>
    </w:pPr>
    <w:rPr>
      <w:rFonts w:ascii="Times New Roman" w:hAnsi="Times New Roman"/>
      <w:b/>
      <w:bCs/>
      <w:sz w:val="20"/>
      <w:lang w:val="en-US"/>
    </w:rPr>
  </w:style>
  <w:style w:type="paragraph" w:styleId="PlainText">
    <w:name w:val="Plain Text"/>
    <w:basedOn w:val="Normal"/>
    <w:semiHidden/>
    <w:unhideWhenUsed/>
    <w:rsid w:val="003B09E3"/>
    <w:pPr>
      <w:keepLines w:val="0"/>
    </w:pPr>
    <w:rPr>
      <w:rFonts w:eastAsia="Calibri" w:cs="Arial"/>
      <w:sz w:val="20"/>
      <w:lang w:val="en-US"/>
    </w:rPr>
  </w:style>
  <w:style w:type="character" w:customStyle="1" w:styleId="PlainTextChar">
    <w:name w:val="Plain Text Char"/>
    <w:rsid w:val="003B09E3"/>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79505B"/>
    <w:pPr>
      <w:keepLines/>
      <w:tabs>
        <w:tab w:val="clear" w:pos="567"/>
      </w:tabs>
      <w:spacing w:line="240" w:lineRule="auto"/>
      <w:jc w:val="both"/>
    </w:pPr>
    <w:rPr>
      <w:rFonts w:ascii="Arial" w:hAnsi="Arial"/>
      <w:b/>
      <w:bCs/>
      <w:lang w:val="en-AU"/>
    </w:rPr>
  </w:style>
  <w:style w:type="character" w:customStyle="1" w:styleId="CommentTextChar">
    <w:name w:val="Comment Text Char"/>
    <w:link w:val="CommentText"/>
    <w:uiPriority w:val="99"/>
    <w:rsid w:val="0079505B"/>
    <w:rPr>
      <w:lang w:val="en-GB"/>
    </w:rPr>
  </w:style>
  <w:style w:type="character" w:customStyle="1" w:styleId="CommentSubjectChar">
    <w:name w:val="Comment Subject Char"/>
    <w:basedOn w:val="CommentTextChar"/>
    <w:link w:val="CommentSubject"/>
    <w:uiPriority w:val="99"/>
    <w:rsid w:val="0079505B"/>
    <w:rPr>
      <w:lang w:val="en-GB"/>
    </w:rPr>
  </w:style>
  <w:style w:type="paragraph" w:styleId="Revision">
    <w:name w:val="Revision"/>
    <w:hidden/>
    <w:uiPriority w:val="99"/>
    <w:semiHidden/>
    <w:rsid w:val="0079505B"/>
    <w:rPr>
      <w:rFonts w:ascii="Arial" w:hAnsi="Arial"/>
      <w:sz w:val="22"/>
      <w:lang w:eastAsia="en-US"/>
    </w:rPr>
  </w:style>
  <w:style w:type="paragraph" w:styleId="BalloonText">
    <w:name w:val="Balloon Text"/>
    <w:basedOn w:val="Normal"/>
    <w:link w:val="BalloonTextChar"/>
    <w:uiPriority w:val="99"/>
    <w:semiHidden/>
    <w:unhideWhenUsed/>
    <w:rsid w:val="0079505B"/>
    <w:rPr>
      <w:rFonts w:ascii="Tahoma" w:hAnsi="Tahoma" w:cs="Tahoma"/>
      <w:sz w:val="16"/>
      <w:szCs w:val="16"/>
    </w:rPr>
  </w:style>
  <w:style w:type="character" w:customStyle="1" w:styleId="BalloonTextChar">
    <w:name w:val="Balloon Text Char"/>
    <w:link w:val="BalloonText"/>
    <w:uiPriority w:val="99"/>
    <w:semiHidden/>
    <w:rsid w:val="0079505B"/>
    <w:rPr>
      <w:rFonts w:ascii="Tahoma" w:hAnsi="Tahoma" w:cs="Tahoma"/>
      <w:sz w:val="16"/>
      <w:szCs w:val="16"/>
      <w:lang w:val="en-AU"/>
    </w:rPr>
  </w:style>
  <w:style w:type="character" w:customStyle="1" w:styleId="bold1">
    <w:name w:val="bold1"/>
    <w:rsid w:val="00C77D35"/>
    <w:rPr>
      <w:b/>
      <w:bCs/>
    </w:rPr>
  </w:style>
  <w:style w:type="character" w:customStyle="1" w:styleId="EndnoteTextChar">
    <w:name w:val="Endnote Text Char"/>
    <w:link w:val="EndnoteText"/>
    <w:uiPriority w:val="99"/>
    <w:semiHidden/>
    <w:rsid w:val="00C77D35"/>
    <w:rPr>
      <w:sz w:val="22"/>
      <w:lang w:val="en-GB"/>
    </w:rPr>
  </w:style>
  <w:style w:type="paragraph" w:customStyle="1" w:styleId="Default">
    <w:name w:val="Default"/>
    <w:rsid w:val="003B0A62"/>
    <w:pPr>
      <w:autoSpaceDE w:val="0"/>
      <w:autoSpaceDN w:val="0"/>
      <w:adjustRightInd w:val="0"/>
    </w:pPr>
    <w:rPr>
      <w:rFonts w:ascii="Arial" w:hAnsi="Arial"/>
      <w:color w:val="000000"/>
      <w:szCs w:val="24"/>
      <w:lang w:val="en-US" w:eastAsia="en-US"/>
    </w:rPr>
  </w:style>
  <w:style w:type="paragraph" w:customStyle="1" w:styleId="BoldTitle">
    <w:name w:val="BoldTitle"/>
    <w:basedOn w:val="Normal"/>
    <w:next w:val="Normal"/>
    <w:rsid w:val="00DB4C3F"/>
    <w:pPr>
      <w:keepLines w:val="0"/>
    </w:pPr>
    <w:rPr>
      <w:rFonts w:ascii="Times New Roman" w:hAnsi="Times New Roman"/>
      <w:b/>
      <w:bCs/>
      <w:sz w:val="24"/>
      <w:szCs w:val="24"/>
      <w:lang w:val="en-GB"/>
    </w:rPr>
  </w:style>
  <w:style w:type="paragraph" w:customStyle="1" w:styleId="Heading1withoutnumbering">
    <w:name w:val="Heading1 without numbering"/>
    <w:basedOn w:val="Normal"/>
    <w:next w:val="Normal"/>
    <w:rsid w:val="00DB4C3F"/>
    <w:pPr>
      <w:keepLines w:val="0"/>
      <w:spacing w:before="240" w:after="120"/>
      <w:outlineLvl w:val="0"/>
    </w:pPr>
    <w:rPr>
      <w:rFonts w:ascii="Times New Roman" w:hAnsi="Times New Roman"/>
      <w:b/>
      <w:caps/>
      <w:kern w:val="22"/>
      <w:szCs w:val="24"/>
      <w:lang w:val="en-GB"/>
    </w:rPr>
  </w:style>
  <w:style w:type="paragraph" w:customStyle="1" w:styleId="colheadmt">
    <w:name w:val="colhead_mt"/>
    <w:basedOn w:val="Normal"/>
    <w:rsid w:val="00E061D9"/>
    <w:pPr>
      <w:keepLines w:val="0"/>
      <w:spacing w:before="100" w:beforeAutospacing="1" w:after="100" w:afterAutospacing="1"/>
    </w:pPr>
    <w:rPr>
      <w:rFonts w:ascii="Times New Roman" w:eastAsia="SimSun" w:hAnsi="Times New Roman"/>
      <w:sz w:val="24"/>
      <w:szCs w:val="24"/>
      <w:lang w:val="en-US" w:eastAsia="zh-CN"/>
    </w:rPr>
  </w:style>
  <w:style w:type="paragraph" w:customStyle="1" w:styleId="colheadmb">
    <w:name w:val="colhead_mb"/>
    <w:basedOn w:val="Normal"/>
    <w:rsid w:val="00E061D9"/>
    <w:pPr>
      <w:keepLines w:val="0"/>
      <w:spacing w:before="100" w:beforeAutospacing="1" w:after="100" w:afterAutospacing="1"/>
    </w:pPr>
    <w:rPr>
      <w:rFonts w:ascii="Times New Roman" w:eastAsia="SimSun" w:hAnsi="Times New Roman"/>
      <w:sz w:val="24"/>
      <w:szCs w:val="24"/>
      <w:lang w:val="en-US" w:eastAsia="zh-CN"/>
    </w:rPr>
  </w:style>
  <w:style w:type="paragraph" w:customStyle="1" w:styleId="TableBodyText">
    <w:name w:val="Table Body Text"/>
    <w:basedOn w:val="Normal"/>
    <w:rsid w:val="00305B7A"/>
    <w:pPr>
      <w:keepLines w:val="0"/>
    </w:pPr>
    <w:rPr>
      <w:rFonts w:ascii="Times New Roman" w:eastAsia="Times" w:hAnsi="Times New Roman"/>
      <w:sz w:val="20"/>
      <w:lang w:val="en-US"/>
    </w:rPr>
  </w:style>
  <w:style w:type="paragraph" w:customStyle="1" w:styleId="BodyText10">
    <w:name w:val="BodyText10"/>
    <w:rsid w:val="00305B7A"/>
    <w:pPr>
      <w:suppressAutoHyphens/>
      <w:jc w:val="both"/>
    </w:pPr>
    <w:rPr>
      <w:lang w:val="en-US" w:eastAsia="en-US"/>
    </w:rPr>
  </w:style>
  <w:style w:type="character" w:customStyle="1" w:styleId="EndnoteTextChar1">
    <w:name w:val="Endnote Text Char1"/>
    <w:semiHidden/>
    <w:rsid w:val="00D7687A"/>
    <w:rPr>
      <w:sz w:val="22"/>
      <w:lang w:val="en-GB"/>
    </w:rPr>
  </w:style>
  <w:style w:type="paragraph" w:styleId="ListParagraph">
    <w:name w:val="List Paragraph"/>
    <w:basedOn w:val="Normal"/>
    <w:uiPriority w:val="34"/>
    <w:qFormat/>
    <w:rsid w:val="00105EA1"/>
    <w:pPr>
      <w:ind w:left="720"/>
      <w:contextualSpacing/>
    </w:pPr>
  </w:style>
  <w:style w:type="character" w:customStyle="1" w:styleId="BodyChar">
    <w:name w:val="Body Char"/>
    <w:link w:val="Body"/>
    <w:uiPriority w:val="99"/>
    <w:rsid w:val="00CB2E5A"/>
    <w:rPr>
      <w:rFonts w:ascii="Arial" w:hAnsi="Arial"/>
    </w:rPr>
  </w:style>
  <w:style w:type="table" w:styleId="TableGrid">
    <w:name w:val="Table Grid"/>
    <w:basedOn w:val="TableNormal"/>
    <w:uiPriority w:val="59"/>
    <w:rsid w:val="004B7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0">
    <w:name w:val="Body Text 12"/>
    <w:qFormat/>
    <w:rsid w:val="002C6BA1"/>
    <w:pPr>
      <w:spacing w:after="200" w:line="264" w:lineRule="auto"/>
      <w:jc w:val="both"/>
    </w:pPr>
    <w:rPr>
      <w:sz w:val="24"/>
      <w:lang w:val="en-US" w:eastAsia="en-US"/>
    </w:rPr>
  </w:style>
  <w:style w:type="paragraph" w:customStyle="1" w:styleId="TableText0">
    <w:name w:val="Table Text"/>
    <w:qFormat/>
    <w:rsid w:val="00162B0B"/>
    <w:pPr>
      <w:tabs>
        <w:tab w:val="left" w:pos="288"/>
        <w:tab w:val="left" w:pos="576"/>
        <w:tab w:val="left" w:pos="864"/>
      </w:tabs>
    </w:pPr>
    <w:rPr>
      <w:rFonts w:ascii="Arial" w:hAnsi="Arial"/>
      <w:lang w:val="en-US" w:eastAsia="en-US"/>
    </w:rPr>
  </w:style>
  <w:style w:type="paragraph" w:customStyle="1" w:styleId="TableFootnote">
    <w:name w:val="Table Footnote"/>
    <w:qFormat/>
    <w:rsid w:val="00162B0B"/>
    <w:pPr>
      <w:tabs>
        <w:tab w:val="left" w:pos="288"/>
      </w:tabs>
      <w:ind w:left="288" w:hanging="288"/>
    </w:pPr>
    <w:rPr>
      <w:rFonts w:ascii="Arial" w:hAnsi="Arial"/>
      <w:lang w:val="en-US" w:eastAsia="en-US"/>
    </w:rPr>
  </w:style>
  <w:style w:type="character" w:customStyle="1" w:styleId="CaptionChar">
    <w:name w:val="Caption Char"/>
    <w:aliases w:val="Caption 3 Char,c Char,appendix Char,Caption 1 Char,appendix Cha Char"/>
    <w:link w:val="Caption"/>
    <w:uiPriority w:val="99"/>
    <w:rsid w:val="003B5625"/>
    <w:rPr>
      <w:rFonts w:ascii="Arial" w:hAnsi="Arial"/>
      <w:b/>
      <w:bCs/>
      <w:sz w:val="22"/>
      <w:szCs w:val="24"/>
      <w:lang w:val="en-GB"/>
    </w:rPr>
  </w:style>
  <w:style w:type="paragraph" w:styleId="TOC1">
    <w:name w:val="toc 1"/>
    <w:uiPriority w:val="39"/>
    <w:rsid w:val="003B0A62"/>
    <w:pPr>
      <w:tabs>
        <w:tab w:val="left" w:pos="504"/>
        <w:tab w:val="right" w:leader="dot" w:pos="9360"/>
      </w:tabs>
      <w:spacing w:before="200"/>
      <w:ind w:left="504" w:right="720" w:hanging="504"/>
    </w:pPr>
    <w:rPr>
      <w:rFonts w:ascii="Arial" w:hAnsi="Arial"/>
      <w:b/>
      <w:caps/>
      <w:lang w:val="en-US" w:eastAsia="en-US"/>
    </w:rPr>
  </w:style>
  <w:style w:type="paragraph" w:styleId="TOC2">
    <w:name w:val="toc 2"/>
    <w:uiPriority w:val="39"/>
    <w:rsid w:val="003B0A62"/>
    <w:pPr>
      <w:tabs>
        <w:tab w:val="left" w:pos="720"/>
        <w:tab w:val="right" w:leader="dot" w:pos="9360"/>
      </w:tabs>
      <w:ind w:left="720" w:right="720" w:hanging="720"/>
    </w:pPr>
    <w:rPr>
      <w:rFonts w:ascii="Arial" w:hAnsi="Arial"/>
      <w:lang w:val="en-US" w:eastAsia="en-US"/>
    </w:rPr>
  </w:style>
  <w:style w:type="paragraph" w:styleId="TOC3">
    <w:name w:val="toc 3"/>
    <w:uiPriority w:val="39"/>
    <w:rsid w:val="003B0A62"/>
    <w:pPr>
      <w:tabs>
        <w:tab w:val="left" w:pos="907"/>
        <w:tab w:val="right" w:leader="dot" w:pos="9360"/>
      </w:tabs>
      <w:ind w:left="907" w:right="720" w:hanging="907"/>
    </w:pPr>
    <w:rPr>
      <w:rFonts w:ascii="Arial" w:hAnsi="Arial"/>
      <w:lang w:val="en-US" w:eastAsia="en-US"/>
    </w:rPr>
  </w:style>
  <w:style w:type="paragraph" w:styleId="TOC4">
    <w:name w:val="toc 4"/>
    <w:uiPriority w:val="39"/>
    <w:rsid w:val="003B0A62"/>
    <w:pPr>
      <w:tabs>
        <w:tab w:val="left" w:pos="1080"/>
        <w:tab w:val="right" w:leader="dot" w:pos="9360"/>
      </w:tabs>
      <w:ind w:left="1080" w:right="720" w:hanging="1080"/>
    </w:pPr>
    <w:rPr>
      <w:rFonts w:ascii="Arial" w:hAnsi="Arial"/>
      <w:lang w:val="en-US" w:eastAsia="en-US"/>
    </w:rPr>
  </w:style>
  <w:style w:type="paragraph" w:styleId="TOC5">
    <w:name w:val="toc 5"/>
    <w:uiPriority w:val="39"/>
    <w:rsid w:val="003B0A62"/>
    <w:pPr>
      <w:tabs>
        <w:tab w:val="left" w:pos="1267"/>
        <w:tab w:val="right" w:leader="dot" w:pos="9360"/>
      </w:tabs>
      <w:ind w:left="1267" w:right="720" w:hanging="1267"/>
    </w:pPr>
    <w:rPr>
      <w:rFonts w:ascii="Arial" w:hAnsi="Arial"/>
      <w:szCs w:val="24"/>
      <w:lang w:val="en-US" w:eastAsia="en-US"/>
    </w:rPr>
  </w:style>
  <w:style w:type="paragraph" w:styleId="TOC6">
    <w:name w:val="toc 6"/>
    <w:uiPriority w:val="39"/>
    <w:semiHidden/>
    <w:rsid w:val="003B0A62"/>
    <w:pPr>
      <w:tabs>
        <w:tab w:val="left" w:pos="1440"/>
        <w:tab w:val="right" w:leader="dot" w:pos="9360"/>
      </w:tabs>
      <w:ind w:left="1440" w:right="720" w:hanging="1440"/>
    </w:pPr>
    <w:rPr>
      <w:rFonts w:ascii="Arial" w:hAnsi="Arial"/>
      <w:lang w:val="en-US" w:eastAsia="en-US"/>
    </w:rPr>
  </w:style>
  <w:style w:type="paragraph" w:styleId="TOC7">
    <w:name w:val="toc 7"/>
    <w:uiPriority w:val="39"/>
    <w:semiHidden/>
    <w:rsid w:val="003B0A62"/>
    <w:pPr>
      <w:tabs>
        <w:tab w:val="left" w:pos="1613"/>
        <w:tab w:val="right" w:leader="dot" w:pos="9360"/>
      </w:tabs>
      <w:ind w:left="1613" w:right="720" w:hanging="1613"/>
    </w:pPr>
    <w:rPr>
      <w:rFonts w:ascii="Arial" w:hAnsi="Arial"/>
      <w:lang w:val="en-US" w:eastAsia="en-US"/>
    </w:rPr>
  </w:style>
  <w:style w:type="paragraph" w:styleId="TOC8">
    <w:name w:val="toc 8"/>
    <w:next w:val="Basic12"/>
    <w:uiPriority w:val="39"/>
    <w:semiHidden/>
    <w:rsid w:val="003B0A62"/>
    <w:pPr>
      <w:tabs>
        <w:tab w:val="left" w:pos="1800"/>
        <w:tab w:val="right" w:leader="dot" w:pos="9360"/>
      </w:tabs>
      <w:ind w:left="1800" w:right="720" w:hanging="1800"/>
    </w:pPr>
    <w:rPr>
      <w:rFonts w:ascii="Arial" w:hAnsi="Arial"/>
      <w:lang w:val="en-US" w:eastAsia="en-US"/>
    </w:rPr>
  </w:style>
  <w:style w:type="paragraph" w:customStyle="1" w:styleId="Basic12">
    <w:name w:val="Basic 12"/>
    <w:qFormat/>
    <w:rsid w:val="003B0A62"/>
    <w:rPr>
      <w:sz w:val="24"/>
      <w:lang w:val="en-US" w:eastAsia="en-US"/>
    </w:rPr>
  </w:style>
  <w:style w:type="paragraph" w:styleId="TOC9">
    <w:name w:val="toc 9"/>
    <w:basedOn w:val="Normal"/>
    <w:next w:val="Normal"/>
    <w:autoRedefine/>
    <w:semiHidden/>
    <w:rsid w:val="003B0A62"/>
    <w:pPr>
      <w:keepLines w:val="0"/>
      <w:tabs>
        <w:tab w:val="left" w:pos="2347"/>
        <w:tab w:val="right" w:leader="dot" w:pos="9360"/>
      </w:tabs>
      <w:ind w:left="1627" w:right="720" w:hanging="1627"/>
      <w:jc w:val="both"/>
    </w:pPr>
    <w:rPr>
      <w:sz w:val="20"/>
      <w:lang w:val="en-US"/>
    </w:rPr>
  </w:style>
  <w:style w:type="character" w:customStyle="1" w:styleId="HeaderChar">
    <w:name w:val="Header Char"/>
    <w:link w:val="Header"/>
    <w:rsid w:val="003B0A62"/>
    <w:rPr>
      <w:rFonts w:ascii="Arial Narrow" w:hAnsi="Arial Narrow"/>
      <w:i/>
      <w:sz w:val="22"/>
      <w:lang w:val="en-AU"/>
    </w:rPr>
  </w:style>
  <w:style w:type="paragraph" w:customStyle="1" w:styleId="Basic11">
    <w:name w:val="Basic 11"/>
    <w:qFormat/>
    <w:rsid w:val="003B0A62"/>
    <w:rPr>
      <w:sz w:val="22"/>
      <w:lang w:val="en-US" w:eastAsia="en-US"/>
    </w:rPr>
  </w:style>
  <w:style w:type="paragraph" w:customStyle="1" w:styleId="BodyText11">
    <w:name w:val="Body Text 11"/>
    <w:qFormat/>
    <w:rsid w:val="003B0A62"/>
    <w:pPr>
      <w:spacing w:after="180"/>
      <w:jc w:val="both"/>
    </w:pPr>
    <w:rPr>
      <w:sz w:val="22"/>
      <w:lang w:val="en-US" w:eastAsia="en-US"/>
    </w:rPr>
  </w:style>
  <w:style w:type="character" w:customStyle="1" w:styleId="FooterChar">
    <w:name w:val="Footer Char"/>
    <w:link w:val="Footer"/>
    <w:rsid w:val="003B0A62"/>
    <w:rPr>
      <w:rFonts w:ascii="Arial" w:hAnsi="Arial"/>
      <w:sz w:val="22"/>
      <w:lang w:val="en-AU"/>
    </w:rPr>
  </w:style>
  <w:style w:type="paragraph" w:customStyle="1" w:styleId="MarkforTOC">
    <w:name w:val="Mark for TOC"/>
    <w:next w:val="Basic11"/>
    <w:rsid w:val="003B0A62"/>
    <w:pPr>
      <w:keepNext/>
      <w:spacing w:before="60" w:after="60"/>
      <w:ind w:left="1440" w:hanging="1440"/>
    </w:pPr>
    <w:rPr>
      <w:rFonts w:ascii="Arial" w:hAnsi="Arial"/>
      <w:b/>
      <w:lang w:val="en-US" w:eastAsia="en-US"/>
    </w:rPr>
  </w:style>
  <w:style w:type="paragraph" w:customStyle="1" w:styleId="GuideBullet">
    <w:name w:val="GuideBullet"/>
    <w:semiHidden/>
    <w:rsid w:val="003B0A62"/>
    <w:pPr>
      <w:numPr>
        <w:numId w:val="6"/>
      </w:numPr>
      <w:tabs>
        <w:tab w:val="left" w:pos="288"/>
      </w:tabs>
      <w:spacing w:after="40"/>
    </w:pPr>
    <w:rPr>
      <w:sz w:val="22"/>
      <w:lang w:val="en-US" w:eastAsia="en-US"/>
    </w:rPr>
  </w:style>
  <w:style w:type="paragraph" w:customStyle="1" w:styleId="GuideDash">
    <w:name w:val="GuideDash"/>
    <w:semiHidden/>
    <w:rsid w:val="003B0A62"/>
    <w:pPr>
      <w:numPr>
        <w:numId w:val="7"/>
      </w:numPr>
      <w:tabs>
        <w:tab w:val="clear" w:pos="1786"/>
        <w:tab w:val="left" w:pos="576"/>
      </w:tabs>
      <w:spacing w:after="40"/>
      <w:ind w:left="576"/>
    </w:pPr>
    <w:rPr>
      <w:sz w:val="22"/>
      <w:lang w:val="en-US" w:eastAsia="en-US"/>
    </w:rPr>
  </w:style>
  <w:style w:type="paragraph" w:customStyle="1" w:styleId="GuideText">
    <w:name w:val="GuideText"/>
    <w:semiHidden/>
    <w:rsid w:val="003B0A62"/>
    <w:pPr>
      <w:keepLines/>
      <w:spacing w:after="100"/>
    </w:pPr>
    <w:rPr>
      <w:sz w:val="22"/>
      <w:lang w:val="en-US" w:eastAsia="en-US"/>
    </w:rPr>
  </w:style>
  <w:style w:type="paragraph" w:customStyle="1" w:styleId="BodyText11Indent">
    <w:name w:val="Body Text 11 Indent"/>
    <w:qFormat/>
    <w:rsid w:val="003B0A62"/>
    <w:pPr>
      <w:spacing w:after="180"/>
      <w:ind w:left="432"/>
      <w:jc w:val="both"/>
    </w:pPr>
    <w:rPr>
      <w:sz w:val="22"/>
      <w:lang w:val="en-US" w:eastAsia="en-US"/>
    </w:rPr>
  </w:style>
  <w:style w:type="paragraph" w:customStyle="1" w:styleId="BodyText12Indent">
    <w:name w:val="Body Text 12 Indent"/>
    <w:qFormat/>
    <w:rsid w:val="003B0A62"/>
    <w:pPr>
      <w:spacing w:after="240"/>
      <w:ind w:left="432"/>
      <w:jc w:val="both"/>
    </w:pPr>
    <w:rPr>
      <w:sz w:val="24"/>
      <w:lang w:val="en-US" w:eastAsia="en-US"/>
    </w:rPr>
  </w:style>
  <w:style w:type="paragraph" w:customStyle="1" w:styleId="Bullet11-1">
    <w:name w:val="Bullet 11-1"/>
    <w:qFormat/>
    <w:rsid w:val="003B0A62"/>
    <w:pPr>
      <w:numPr>
        <w:numId w:val="8"/>
      </w:numPr>
      <w:spacing w:after="120"/>
      <w:jc w:val="both"/>
    </w:pPr>
    <w:rPr>
      <w:sz w:val="22"/>
      <w:lang w:val="en-US" w:eastAsia="en-US"/>
    </w:rPr>
  </w:style>
  <w:style w:type="paragraph" w:customStyle="1" w:styleId="Bullet11-2">
    <w:name w:val="Bullet 11-2"/>
    <w:qFormat/>
    <w:rsid w:val="003B0A62"/>
    <w:pPr>
      <w:numPr>
        <w:numId w:val="9"/>
      </w:numPr>
      <w:spacing w:after="120"/>
      <w:jc w:val="both"/>
    </w:pPr>
    <w:rPr>
      <w:sz w:val="22"/>
      <w:lang w:val="en-US" w:eastAsia="en-US"/>
    </w:rPr>
  </w:style>
  <w:style w:type="paragraph" w:customStyle="1" w:styleId="Bullet11-3">
    <w:name w:val="Bullet 11-3"/>
    <w:qFormat/>
    <w:rsid w:val="003B0A62"/>
    <w:pPr>
      <w:numPr>
        <w:numId w:val="10"/>
      </w:numPr>
      <w:spacing w:after="120"/>
      <w:jc w:val="both"/>
    </w:pPr>
    <w:rPr>
      <w:sz w:val="22"/>
      <w:lang w:val="en-US" w:eastAsia="en-US"/>
    </w:rPr>
  </w:style>
  <w:style w:type="paragraph" w:customStyle="1" w:styleId="Bullet11-4">
    <w:name w:val="Bullet 11-4"/>
    <w:qFormat/>
    <w:rsid w:val="003B0A62"/>
    <w:pPr>
      <w:tabs>
        <w:tab w:val="num" w:pos="1728"/>
      </w:tabs>
      <w:spacing w:after="120"/>
      <w:ind w:left="1728" w:hanging="432"/>
      <w:jc w:val="both"/>
    </w:pPr>
    <w:rPr>
      <w:sz w:val="22"/>
      <w:lang w:val="en-US" w:eastAsia="en-US"/>
    </w:rPr>
  </w:style>
  <w:style w:type="paragraph" w:customStyle="1" w:styleId="Bullet12-1">
    <w:name w:val="Bullet 12-1"/>
    <w:qFormat/>
    <w:rsid w:val="003B0A62"/>
    <w:pPr>
      <w:numPr>
        <w:numId w:val="12"/>
      </w:numPr>
      <w:spacing w:after="120"/>
      <w:jc w:val="both"/>
    </w:pPr>
    <w:rPr>
      <w:sz w:val="24"/>
      <w:lang w:val="en-US" w:eastAsia="en-US"/>
    </w:rPr>
  </w:style>
  <w:style w:type="paragraph" w:customStyle="1" w:styleId="Bullet12-2">
    <w:name w:val="Bullet 12-2"/>
    <w:qFormat/>
    <w:rsid w:val="003B0A62"/>
    <w:pPr>
      <w:numPr>
        <w:numId w:val="13"/>
      </w:numPr>
      <w:spacing w:after="120"/>
      <w:jc w:val="both"/>
    </w:pPr>
    <w:rPr>
      <w:sz w:val="24"/>
      <w:lang w:val="en-US" w:eastAsia="en-US"/>
    </w:rPr>
  </w:style>
  <w:style w:type="paragraph" w:customStyle="1" w:styleId="Bullet12-3">
    <w:name w:val="Bullet 12-3"/>
    <w:qFormat/>
    <w:rsid w:val="003B0A62"/>
    <w:pPr>
      <w:numPr>
        <w:numId w:val="14"/>
      </w:numPr>
      <w:spacing w:after="120"/>
      <w:jc w:val="both"/>
    </w:pPr>
    <w:rPr>
      <w:sz w:val="24"/>
      <w:lang w:val="en-US" w:eastAsia="en-US"/>
    </w:rPr>
  </w:style>
  <w:style w:type="paragraph" w:customStyle="1" w:styleId="Bullet12-4">
    <w:name w:val="Bullet 12-4"/>
    <w:qFormat/>
    <w:rsid w:val="003B0A62"/>
    <w:pPr>
      <w:numPr>
        <w:numId w:val="15"/>
      </w:numPr>
      <w:spacing w:after="120"/>
      <w:jc w:val="both"/>
    </w:pPr>
    <w:rPr>
      <w:sz w:val="24"/>
      <w:lang w:val="en-US" w:eastAsia="en-US"/>
    </w:rPr>
  </w:style>
  <w:style w:type="paragraph" w:customStyle="1" w:styleId="Heading0">
    <w:name w:val="Heading 0"/>
    <w:next w:val="BodyText120"/>
    <w:qFormat/>
    <w:rsid w:val="003B0A62"/>
    <w:pPr>
      <w:keepNext/>
      <w:keepLines/>
      <w:tabs>
        <w:tab w:val="num" w:pos="432"/>
      </w:tabs>
      <w:spacing w:before="240" w:after="120"/>
      <w:ind w:left="432" w:hanging="432"/>
      <w:outlineLvl w:val="0"/>
    </w:pPr>
    <w:rPr>
      <w:rFonts w:ascii="Arial" w:hAnsi="Arial"/>
      <w:b/>
      <w:caps/>
      <w:sz w:val="24"/>
      <w:lang w:val="en-US" w:eastAsia="en-US"/>
    </w:rPr>
  </w:style>
  <w:style w:type="paragraph" w:customStyle="1" w:styleId="Numbered11-1">
    <w:name w:val="Numbered 11-1"/>
    <w:qFormat/>
    <w:rsid w:val="003B0A62"/>
    <w:pPr>
      <w:numPr>
        <w:numId w:val="16"/>
      </w:numPr>
      <w:spacing w:after="120"/>
      <w:jc w:val="both"/>
    </w:pPr>
    <w:rPr>
      <w:sz w:val="22"/>
      <w:lang w:val="en-US" w:eastAsia="en-US"/>
    </w:rPr>
  </w:style>
  <w:style w:type="paragraph" w:customStyle="1" w:styleId="Numbered11-2">
    <w:name w:val="Numbered 11-2"/>
    <w:qFormat/>
    <w:rsid w:val="003B0A62"/>
    <w:pPr>
      <w:numPr>
        <w:numId w:val="17"/>
      </w:numPr>
      <w:spacing w:after="120"/>
      <w:jc w:val="both"/>
    </w:pPr>
    <w:rPr>
      <w:sz w:val="22"/>
      <w:lang w:val="en-US" w:eastAsia="en-US"/>
    </w:rPr>
  </w:style>
  <w:style w:type="paragraph" w:customStyle="1" w:styleId="Numbered11-3">
    <w:name w:val="Numbered 11-3"/>
    <w:qFormat/>
    <w:rsid w:val="003B0A62"/>
    <w:pPr>
      <w:numPr>
        <w:numId w:val="18"/>
      </w:numPr>
      <w:spacing w:after="120"/>
      <w:jc w:val="both"/>
    </w:pPr>
    <w:rPr>
      <w:sz w:val="22"/>
      <w:lang w:val="en-US" w:eastAsia="en-US"/>
    </w:rPr>
  </w:style>
  <w:style w:type="paragraph" w:customStyle="1" w:styleId="Numbered11-4">
    <w:name w:val="Numbered 11-4"/>
    <w:qFormat/>
    <w:rsid w:val="003B0A62"/>
    <w:pPr>
      <w:numPr>
        <w:numId w:val="19"/>
      </w:numPr>
      <w:spacing w:after="120"/>
      <w:jc w:val="both"/>
    </w:pPr>
    <w:rPr>
      <w:sz w:val="22"/>
      <w:lang w:val="en-US" w:eastAsia="en-US"/>
    </w:rPr>
  </w:style>
  <w:style w:type="paragraph" w:customStyle="1" w:styleId="Numbered12-1">
    <w:name w:val="Numbered 12-1"/>
    <w:qFormat/>
    <w:rsid w:val="003B0A62"/>
    <w:pPr>
      <w:numPr>
        <w:numId w:val="20"/>
      </w:numPr>
      <w:spacing w:after="120"/>
      <w:jc w:val="both"/>
    </w:pPr>
    <w:rPr>
      <w:sz w:val="24"/>
      <w:lang w:val="en-US" w:eastAsia="en-US"/>
    </w:rPr>
  </w:style>
  <w:style w:type="paragraph" w:customStyle="1" w:styleId="Numbered12-2">
    <w:name w:val="Numbered 12-2"/>
    <w:qFormat/>
    <w:rsid w:val="003B0A62"/>
    <w:pPr>
      <w:numPr>
        <w:numId w:val="21"/>
      </w:numPr>
      <w:spacing w:after="120"/>
      <w:jc w:val="both"/>
    </w:pPr>
    <w:rPr>
      <w:sz w:val="24"/>
      <w:lang w:val="en-US" w:eastAsia="en-US"/>
    </w:rPr>
  </w:style>
  <w:style w:type="paragraph" w:customStyle="1" w:styleId="Numbered12-3">
    <w:name w:val="Numbered 12-3"/>
    <w:qFormat/>
    <w:rsid w:val="003B0A62"/>
    <w:pPr>
      <w:numPr>
        <w:numId w:val="22"/>
      </w:numPr>
      <w:spacing w:after="120"/>
      <w:jc w:val="both"/>
    </w:pPr>
    <w:rPr>
      <w:sz w:val="24"/>
      <w:lang w:val="en-US" w:eastAsia="en-US"/>
    </w:rPr>
  </w:style>
  <w:style w:type="paragraph" w:customStyle="1" w:styleId="Numbered12-4">
    <w:name w:val="Numbered 12-4"/>
    <w:qFormat/>
    <w:rsid w:val="003B0A62"/>
    <w:pPr>
      <w:numPr>
        <w:numId w:val="23"/>
      </w:numPr>
      <w:spacing w:after="120"/>
      <w:jc w:val="both"/>
    </w:pPr>
    <w:rPr>
      <w:sz w:val="24"/>
      <w:lang w:val="en-US" w:eastAsia="en-US"/>
    </w:rPr>
  </w:style>
  <w:style w:type="paragraph" w:customStyle="1" w:styleId="Reference">
    <w:name w:val="Reference"/>
    <w:qFormat/>
    <w:rsid w:val="003B0A62"/>
    <w:pPr>
      <w:keepLines/>
      <w:numPr>
        <w:numId w:val="24"/>
      </w:numPr>
      <w:spacing w:after="120"/>
    </w:pPr>
    <w:rPr>
      <w:lang w:val="en-US" w:eastAsia="en-US"/>
    </w:rPr>
  </w:style>
  <w:style w:type="paragraph" w:customStyle="1" w:styleId="SubheadingBold11">
    <w:name w:val="Subheading Bold 11"/>
    <w:next w:val="BodyText11"/>
    <w:qFormat/>
    <w:rsid w:val="003B0A62"/>
    <w:pPr>
      <w:keepNext/>
      <w:keepLines/>
      <w:spacing w:before="240" w:after="120"/>
    </w:pPr>
    <w:rPr>
      <w:b/>
      <w:sz w:val="22"/>
      <w:lang w:val="en-US" w:eastAsia="en-US"/>
    </w:rPr>
  </w:style>
  <w:style w:type="paragraph" w:customStyle="1" w:styleId="SubheadingBold12">
    <w:name w:val="Subheading Bold 12"/>
    <w:next w:val="BodyText120"/>
    <w:qFormat/>
    <w:rsid w:val="003B0A62"/>
    <w:pPr>
      <w:keepNext/>
      <w:keepLines/>
      <w:spacing w:before="240" w:after="120"/>
    </w:pPr>
    <w:rPr>
      <w:b/>
      <w:sz w:val="24"/>
      <w:lang w:val="en-US" w:eastAsia="en-US"/>
    </w:rPr>
  </w:style>
  <w:style w:type="paragraph" w:customStyle="1" w:styleId="SubheadingBoldItalics11">
    <w:name w:val="Subheading Bold Italics 11"/>
    <w:next w:val="BodyText11"/>
    <w:qFormat/>
    <w:rsid w:val="003B0A62"/>
    <w:pPr>
      <w:keepNext/>
      <w:keepLines/>
      <w:spacing w:before="240" w:after="120"/>
    </w:pPr>
    <w:rPr>
      <w:b/>
      <w:i/>
      <w:sz w:val="22"/>
      <w:lang w:val="en-US" w:eastAsia="en-US"/>
    </w:rPr>
  </w:style>
  <w:style w:type="paragraph" w:customStyle="1" w:styleId="SubheadingBoldItalics12">
    <w:name w:val="Subheading Bold Italics 12"/>
    <w:next w:val="BodyText120"/>
    <w:qFormat/>
    <w:rsid w:val="003B0A62"/>
    <w:pPr>
      <w:keepNext/>
      <w:keepLines/>
      <w:spacing w:before="240" w:after="120"/>
    </w:pPr>
    <w:rPr>
      <w:b/>
      <w:i/>
      <w:sz w:val="24"/>
      <w:lang w:val="en-US" w:eastAsia="en-US"/>
    </w:rPr>
  </w:style>
  <w:style w:type="paragraph" w:styleId="TableofFigures">
    <w:name w:val="table of figures"/>
    <w:next w:val="Basic11"/>
    <w:uiPriority w:val="99"/>
    <w:unhideWhenUsed/>
    <w:rsid w:val="003B0A62"/>
    <w:pPr>
      <w:tabs>
        <w:tab w:val="left" w:pos="1008"/>
        <w:tab w:val="right" w:leader="dot" w:pos="9360"/>
      </w:tabs>
      <w:ind w:left="1008" w:right="720" w:hanging="1008"/>
    </w:pPr>
    <w:rPr>
      <w:rFonts w:ascii="Arial" w:hAnsi="Arial"/>
      <w:lang w:val="en-US" w:eastAsia="en-US"/>
    </w:rPr>
  </w:style>
  <w:style w:type="paragraph" w:customStyle="1" w:styleId="PABullet1">
    <w:name w:val="PA Bullet 1"/>
    <w:rsid w:val="003B0A62"/>
    <w:pPr>
      <w:numPr>
        <w:numId w:val="25"/>
      </w:numPr>
      <w:ind w:left="1080" w:hanging="720"/>
    </w:pPr>
    <w:rPr>
      <w:sz w:val="24"/>
      <w:lang w:val="en-US" w:eastAsia="en-US"/>
    </w:rPr>
  </w:style>
  <w:style w:type="character" w:styleId="PlaceholderText">
    <w:name w:val="Placeholder Text"/>
    <w:uiPriority w:val="99"/>
    <w:semiHidden/>
    <w:rsid w:val="003B0A62"/>
    <w:rPr>
      <w:color w:val="808080"/>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link w:val="BodyText"/>
    <w:semiHidden/>
    <w:rsid w:val="003B0A62"/>
    <w:rPr>
      <w:b/>
      <w:i/>
      <w:sz w:val="22"/>
      <w:lang w:val="en-GB"/>
    </w:rPr>
  </w:style>
  <w:style w:type="character" w:customStyle="1" w:styleId="BodyText2Char">
    <w:name w:val="Body Text 2 Char"/>
    <w:link w:val="BodyText2"/>
    <w:semiHidden/>
    <w:rsid w:val="003B0A62"/>
    <w:rPr>
      <w:rFonts w:ascii="Arial" w:hAnsi="Arial"/>
      <w:b/>
      <w:bCs/>
      <w:sz w:val="22"/>
      <w:lang w:val="en-AU"/>
    </w:rPr>
  </w:style>
  <w:style w:type="paragraph" w:customStyle="1" w:styleId="BulletList-SS-3single-spaced">
    <w:name w:val="Bullet List-SS-3 (single-spaced)"/>
    <w:basedOn w:val="Normal"/>
    <w:rsid w:val="003B0A62"/>
    <w:pPr>
      <w:keepLines w:val="0"/>
      <w:numPr>
        <w:numId w:val="26"/>
      </w:numPr>
      <w:jc w:val="both"/>
    </w:pPr>
    <w:rPr>
      <w:rFonts w:ascii="Times New Roman" w:hAnsi="Times New Roman"/>
      <w:sz w:val="24"/>
      <w:lang w:val="en-US"/>
    </w:rPr>
  </w:style>
  <w:style w:type="paragraph" w:customStyle="1" w:styleId="NumberList-DS-1double-spaced">
    <w:name w:val="Number List-DS-1 (double-spaced)"/>
    <w:basedOn w:val="Normal"/>
    <w:rsid w:val="003B0A62"/>
    <w:pPr>
      <w:keepLines w:val="0"/>
      <w:numPr>
        <w:numId w:val="27"/>
      </w:numPr>
      <w:spacing w:after="240"/>
      <w:jc w:val="both"/>
    </w:pPr>
    <w:rPr>
      <w:rFonts w:ascii="Times New Roman" w:hAnsi="Times New Roman"/>
      <w:sz w:val="24"/>
      <w:lang w:val="en-US"/>
    </w:rPr>
  </w:style>
  <w:style w:type="paragraph" w:customStyle="1" w:styleId="NumberList-SS-2singled-spaced">
    <w:name w:val="Number List-SS-2 (singled-spaced)"/>
    <w:basedOn w:val="Normal"/>
    <w:rsid w:val="003B0A62"/>
    <w:pPr>
      <w:keepLines w:val="0"/>
      <w:numPr>
        <w:numId w:val="28"/>
      </w:numPr>
      <w:jc w:val="both"/>
    </w:pPr>
    <w:rPr>
      <w:rFonts w:ascii="Times New Roman" w:hAnsi="Times New Roman"/>
      <w:sz w:val="24"/>
      <w:lang w:val="en-US"/>
    </w:rPr>
  </w:style>
  <w:style w:type="paragraph" w:customStyle="1" w:styleId="NumberedList4">
    <w:name w:val="NumberedList4"/>
    <w:qFormat/>
    <w:rsid w:val="003B0A62"/>
    <w:pPr>
      <w:numPr>
        <w:numId w:val="29"/>
      </w:numPr>
      <w:jc w:val="both"/>
    </w:pPr>
    <w:rPr>
      <w:sz w:val="24"/>
      <w:lang w:val="en-US" w:eastAsia="en-US"/>
    </w:rPr>
  </w:style>
  <w:style w:type="paragraph" w:customStyle="1" w:styleId="Question1">
    <w:name w:val="Question1"/>
    <w:basedOn w:val="Normal"/>
    <w:next w:val="Normal"/>
    <w:uiPriority w:val="99"/>
    <w:rsid w:val="003B0A62"/>
    <w:pPr>
      <w:keepLines w:val="0"/>
      <w:spacing w:before="120"/>
      <w:outlineLvl w:val="2"/>
    </w:pPr>
    <w:rPr>
      <w:rFonts w:ascii="Times New Roman Bold" w:hAnsi="Times New Roman Bold"/>
      <w:b/>
      <w:kern w:val="28"/>
      <w:sz w:val="24"/>
      <w:szCs w:val="24"/>
      <w:lang w:val="en-US"/>
    </w:rPr>
  </w:style>
  <w:style w:type="paragraph" w:customStyle="1" w:styleId="ReferenceHeading2">
    <w:name w:val="Reference Heading 2"/>
    <w:basedOn w:val="Reference"/>
    <w:next w:val="Normal"/>
    <w:rsid w:val="003B0A62"/>
    <w:pPr>
      <w:numPr>
        <w:numId w:val="31"/>
      </w:numPr>
      <w:spacing w:after="200"/>
      <w:jc w:val="both"/>
      <w:outlineLvl w:val="0"/>
    </w:pPr>
    <w:rPr>
      <w:rFonts w:ascii="Arial" w:hAnsi="Arial"/>
      <w:b/>
      <w:caps/>
      <w:sz w:val="24"/>
    </w:rPr>
  </w:style>
  <w:style w:type="paragraph" w:customStyle="1" w:styleId="ReferenceHeading3">
    <w:name w:val="Reference Heading 3"/>
    <w:basedOn w:val="ReferenceHeading2"/>
    <w:next w:val="Normal"/>
    <w:rsid w:val="003B0A62"/>
    <w:pPr>
      <w:numPr>
        <w:ilvl w:val="1"/>
      </w:numPr>
      <w:outlineLvl w:val="1"/>
    </w:pPr>
    <w:rPr>
      <w:caps w:val="0"/>
    </w:rPr>
  </w:style>
  <w:style w:type="paragraph" w:customStyle="1" w:styleId="ReferenceBullet">
    <w:name w:val="Reference Bullet"/>
    <w:basedOn w:val="Normal"/>
    <w:rsid w:val="003B0A62"/>
    <w:pPr>
      <w:keepLines w:val="0"/>
      <w:numPr>
        <w:numId w:val="30"/>
      </w:numPr>
      <w:suppressAutoHyphens/>
      <w:spacing w:after="200"/>
      <w:jc w:val="both"/>
    </w:pPr>
    <w:rPr>
      <w:rFonts w:ascii="Times New Roman" w:hAnsi="Times New Roman"/>
      <w:sz w:val="20"/>
      <w:lang w:val="en-US"/>
    </w:rPr>
  </w:style>
  <w:style w:type="paragraph" w:customStyle="1" w:styleId="BulletIndent5-">
    <w:name w:val="Bullet Indent 5 (-)"/>
    <w:rsid w:val="003B0A62"/>
    <w:pPr>
      <w:tabs>
        <w:tab w:val="left" w:pos="1426"/>
      </w:tabs>
      <w:spacing w:after="120"/>
      <w:ind w:left="1426" w:hanging="288"/>
      <w:jc w:val="both"/>
    </w:pPr>
    <w:rPr>
      <w:sz w:val="24"/>
      <w:lang w:val="en-US" w:eastAsia="en-US"/>
    </w:rPr>
  </w:style>
  <w:style w:type="paragraph" w:customStyle="1" w:styleId="Narrative3">
    <w:name w:val="Narrative 3"/>
    <w:rsid w:val="003B0A62"/>
    <w:pPr>
      <w:tabs>
        <w:tab w:val="num" w:pos="2160"/>
      </w:tabs>
      <w:spacing w:after="200" w:line="300" w:lineRule="auto"/>
      <w:ind w:left="2160" w:hanging="590"/>
      <w:jc w:val="both"/>
    </w:pPr>
    <w:rPr>
      <w:sz w:val="24"/>
      <w:lang w:val="en-US" w:eastAsia="en-US"/>
    </w:rPr>
  </w:style>
  <w:style w:type="character" w:customStyle="1" w:styleId="Heading3Char">
    <w:name w:val="Heading 3 Char"/>
    <w:link w:val="Heading3"/>
    <w:rsid w:val="003B0A62"/>
    <w:rPr>
      <w:rFonts w:ascii="Arial" w:hAnsi="Arial"/>
      <w:b/>
      <w:bCs/>
      <w:sz w:val="22"/>
      <w:lang w:val="en-AU"/>
    </w:rPr>
  </w:style>
  <w:style w:type="paragraph" w:customStyle="1" w:styleId="CM8">
    <w:name w:val="CM8"/>
    <w:basedOn w:val="Default"/>
    <w:next w:val="Default"/>
    <w:uiPriority w:val="99"/>
    <w:rsid w:val="003B0A62"/>
    <w:pPr>
      <w:spacing w:line="186" w:lineRule="atLeast"/>
    </w:pPr>
    <w:rPr>
      <w:color w:val="auto"/>
    </w:rPr>
  </w:style>
  <w:style w:type="paragraph" w:customStyle="1" w:styleId="CM53">
    <w:name w:val="CM53"/>
    <w:basedOn w:val="Default"/>
    <w:next w:val="Default"/>
    <w:uiPriority w:val="99"/>
    <w:rsid w:val="003B0A62"/>
    <w:rPr>
      <w:color w:val="auto"/>
    </w:rPr>
  </w:style>
  <w:style w:type="paragraph" w:customStyle="1" w:styleId="pdata2rm">
    <w:name w:val="p_data2_rm"/>
    <w:basedOn w:val="Normal"/>
    <w:semiHidden/>
    <w:rsid w:val="003B0A62"/>
    <w:pPr>
      <w:keepLines w:val="0"/>
      <w:spacing w:before="100" w:beforeAutospacing="1" w:after="100" w:afterAutospacing="1"/>
      <w:jc w:val="center"/>
    </w:pPr>
    <w:rPr>
      <w:rFonts w:ascii="Times New Roman" w:hAnsi="Times New Roman"/>
      <w:sz w:val="24"/>
      <w:szCs w:val="24"/>
      <w:lang w:val="en-US"/>
    </w:rPr>
  </w:style>
  <w:style w:type="paragraph" w:customStyle="1" w:styleId="pdata1mm">
    <w:name w:val="p_data1_mm"/>
    <w:basedOn w:val="Normal"/>
    <w:semiHidden/>
    <w:rsid w:val="003B0A62"/>
    <w:pPr>
      <w:keepLines w:val="0"/>
      <w:spacing w:before="100" w:beforeAutospacing="1" w:after="100" w:afterAutospacing="1"/>
      <w:jc w:val="center"/>
    </w:pPr>
    <w:rPr>
      <w:rFonts w:ascii="Times New Roman" w:hAnsi="Times New Roman"/>
      <w:b/>
      <w:bCs/>
      <w:sz w:val="24"/>
      <w:szCs w:val="24"/>
      <w:lang w:val="en-US"/>
    </w:rPr>
  </w:style>
  <w:style w:type="paragraph" w:customStyle="1" w:styleId="pdata1rm">
    <w:name w:val="p_data1_rm"/>
    <w:basedOn w:val="Normal"/>
    <w:semiHidden/>
    <w:rsid w:val="003B0A62"/>
    <w:pPr>
      <w:keepLines w:val="0"/>
      <w:spacing w:before="100" w:beforeAutospacing="1" w:after="100" w:afterAutospacing="1"/>
      <w:jc w:val="center"/>
    </w:pPr>
    <w:rPr>
      <w:rFonts w:ascii="Times New Roman" w:hAnsi="Times New Roman"/>
      <w:b/>
      <w:bCs/>
      <w:sz w:val="24"/>
      <w:szCs w:val="24"/>
      <w:lang w:val="en-US"/>
    </w:rPr>
  </w:style>
  <w:style w:type="paragraph" w:customStyle="1" w:styleId="pdata2mm">
    <w:name w:val="p_data2_mm"/>
    <w:basedOn w:val="Normal"/>
    <w:semiHidden/>
    <w:rsid w:val="003B0A62"/>
    <w:pPr>
      <w:keepLines w:val="0"/>
      <w:spacing w:before="100" w:beforeAutospacing="1" w:after="100" w:afterAutospacing="1"/>
      <w:jc w:val="center"/>
    </w:pPr>
    <w:rPr>
      <w:rFonts w:ascii="Times New Roman" w:hAnsi="Times New Roman"/>
      <w:sz w:val="24"/>
      <w:szCs w:val="24"/>
      <w:lang w:val="en-US"/>
    </w:rPr>
  </w:style>
  <w:style w:type="paragraph" w:customStyle="1" w:styleId="pdata2mb">
    <w:name w:val="p_data2_mb"/>
    <w:basedOn w:val="Normal"/>
    <w:semiHidden/>
    <w:rsid w:val="003B0A62"/>
    <w:pPr>
      <w:keepLines w:val="0"/>
      <w:spacing w:before="100" w:beforeAutospacing="1" w:after="100" w:afterAutospacing="1"/>
      <w:jc w:val="center"/>
    </w:pPr>
    <w:rPr>
      <w:rFonts w:ascii="Times New Roman" w:hAnsi="Times New Roman"/>
      <w:sz w:val="24"/>
      <w:szCs w:val="24"/>
      <w:lang w:val="en-US"/>
    </w:rPr>
  </w:style>
  <w:style w:type="paragraph" w:customStyle="1" w:styleId="colheadmtb">
    <w:name w:val="colhead_mtb"/>
    <w:basedOn w:val="Normal"/>
    <w:rsid w:val="003B0A62"/>
    <w:pPr>
      <w:keepLines w:val="0"/>
      <w:spacing w:before="100" w:beforeAutospacing="1" w:after="100" w:afterAutospacing="1"/>
    </w:pPr>
    <w:rPr>
      <w:rFonts w:ascii="Times New Roman" w:hAnsi="Times New Roman"/>
      <w:sz w:val="24"/>
      <w:szCs w:val="24"/>
      <w:lang w:val="en-US"/>
    </w:rPr>
  </w:style>
  <w:style w:type="character" w:customStyle="1" w:styleId="denomtext1">
    <w:name w:val="denomtext1"/>
    <w:basedOn w:val="DefaultParagraphFont"/>
    <w:semiHidden/>
    <w:rsid w:val="003B0A62"/>
  </w:style>
  <w:style w:type="paragraph" w:styleId="Subtitle">
    <w:name w:val="Subtitle"/>
    <w:basedOn w:val="Normal"/>
    <w:link w:val="SubtitleChar"/>
    <w:qFormat/>
    <w:rsid w:val="003B0A62"/>
    <w:pPr>
      <w:keepLines w:val="0"/>
    </w:pPr>
    <w:rPr>
      <w:rFonts w:ascii="Times New Roman" w:hAnsi="Times New Roman"/>
      <w:b/>
      <w:bCs/>
      <w:sz w:val="24"/>
      <w:szCs w:val="24"/>
      <w:lang w:val="en-US"/>
    </w:rPr>
  </w:style>
  <w:style w:type="character" w:customStyle="1" w:styleId="SubtitleChar">
    <w:name w:val="Subtitle Char"/>
    <w:link w:val="Subtitle"/>
    <w:rsid w:val="003B0A6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401">
      <w:bodyDiv w:val="1"/>
      <w:marLeft w:val="0"/>
      <w:marRight w:val="0"/>
      <w:marTop w:val="0"/>
      <w:marBottom w:val="0"/>
      <w:divBdr>
        <w:top w:val="none" w:sz="0" w:space="0" w:color="auto"/>
        <w:left w:val="none" w:sz="0" w:space="0" w:color="auto"/>
        <w:bottom w:val="none" w:sz="0" w:space="0" w:color="auto"/>
        <w:right w:val="none" w:sz="0" w:space="0" w:color="auto"/>
      </w:divBdr>
    </w:div>
    <w:div w:id="136652289">
      <w:bodyDiv w:val="1"/>
      <w:marLeft w:val="0"/>
      <w:marRight w:val="0"/>
      <w:marTop w:val="0"/>
      <w:marBottom w:val="0"/>
      <w:divBdr>
        <w:top w:val="none" w:sz="0" w:space="0" w:color="auto"/>
        <w:left w:val="none" w:sz="0" w:space="0" w:color="auto"/>
        <w:bottom w:val="none" w:sz="0" w:space="0" w:color="auto"/>
        <w:right w:val="none" w:sz="0" w:space="0" w:color="auto"/>
      </w:divBdr>
    </w:div>
    <w:div w:id="282268990">
      <w:bodyDiv w:val="1"/>
      <w:marLeft w:val="0"/>
      <w:marRight w:val="0"/>
      <w:marTop w:val="0"/>
      <w:marBottom w:val="0"/>
      <w:divBdr>
        <w:top w:val="none" w:sz="0" w:space="0" w:color="auto"/>
        <w:left w:val="none" w:sz="0" w:space="0" w:color="auto"/>
        <w:bottom w:val="none" w:sz="0" w:space="0" w:color="auto"/>
        <w:right w:val="none" w:sz="0" w:space="0" w:color="auto"/>
      </w:divBdr>
    </w:div>
    <w:div w:id="859585487">
      <w:bodyDiv w:val="1"/>
      <w:marLeft w:val="0"/>
      <w:marRight w:val="0"/>
      <w:marTop w:val="0"/>
      <w:marBottom w:val="0"/>
      <w:divBdr>
        <w:top w:val="none" w:sz="0" w:space="0" w:color="auto"/>
        <w:left w:val="none" w:sz="0" w:space="0" w:color="auto"/>
        <w:bottom w:val="none" w:sz="0" w:space="0" w:color="auto"/>
        <w:right w:val="none" w:sz="0" w:space="0" w:color="auto"/>
      </w:divBdr>
    </w:div>
    <w:div w:id="1152285819">
      <w:bodyDiv w:val="1"/>
      <w:marLeft w:val="0"/>
      <w:marRight w:val="0"/>
      <w:marTop w:val="0"/>
      <w:marBottom w:val="0"/>
      <w:divBdr>
        <w:top w:val="none" w:sz="0" w:space="0" w:color="auto"/>
        <w:left w:val="none" w:sz="0" w:space="0" w:color="auto"/>
        <w:bottom w:val="none" w:sz="0" w:space="0" w:color="auto"/>
        <w:right w:val="none" w:sz="0" w:space="0" w:color="auto"/>
      </w:divBdr>
    </w:div>
    <w:div w:id="17515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D4F1-D6F5-4ADD-AEBD-F308AC54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15178</Words>
  <Characters>87508</Characters>
  <Application>Microsoft Office Word</Application>
  <DocSecurity>0</DocSecurity>
  <Lines>2573</Lines>
  <Paragraphs>1604</Paragraphs>
  <ScaleCrop>false</ScaleCrop>
  <HeadingPairs>
    <vt:vector size="2" baseType="variant">
      <vt:variant>
        <vt:lpstr>Title</vt:lpstr>
      </vt:variant>
      <vt:variant>
        <vt:i4>1</vt:i4>
      </vt:variant>
    </vt:vector>
  </HeadingPairs>
  <TitlesOfParts>
    <vt:vector size="1" baseType="lpstr">
      <vt:lpstr>AusPAR Attachment 1: Product Information for Olysio/Janssen Simeprevir</vt:lpstr>
    </vt:vector>
  </TitlesOfParts>
  <Company>Janssen-Cilag Pty Ltd</Company>
  <LinksUpToDate>false</LinksUpToDate>
  <CharactersWithSpaces>101082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Olysio/Janssen Simeprevir</dc:title>
  <dc:subject>prescription medicine regulation</dc:subject>
  <dc:creator>Janssen-Cilag Pty Ltd</dc:creator>
  <cp:keywords>product information, prescription, medicine, regulation, simeprevir, sodium, olysio, janssen, cilag</cp:keywords>
  <cp:lastModifiedBy>Searson, Lisa</cp:lastModifiedBy>
  <cp:revision>4</cp:revision>
  <cp:lastPrinted>2014-11-19T04:23:00Z</cp:lastPrinted>
  <dcterms:created xsi:type="dcterms:W3CDTF">2014-11-19T04:15:00Z</dcterms:created>
  <dcterms:modified xsi:type="dcterms:W3CDTF">2014-11-19T04:26:00Z</dcterms:modified>
</cp:coreProperties>
</file>