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D6D05" w14:textId="77777777" w:rsidR="00DB18D1" w:rsidRDefault="00DB18D1"/>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21E18ED1" w14:textId="77777777" w:rsidTr="00BF1190">
        <w:trPr>
          <w:trHeight w:val="1863"/>
        </w:trPr>
        <w:tc>
          <w:tcPr>
            <w:tcW w:w="3652" w:type="dxa"/>
            <w:tcBorders>
              <w:top w:val="nil"/>
              <w:left w:val="nil"/>
              <w:bottom w:val="nil"/>
              <w:right w:val="nil"/>
            </w:tcBorders>
          </w:tcPr>
          <w:p w14:paraId="66B7526A" w14:textId="77777777" w:rsidR="008E7846" w:rsidRPr="00096AA7" w:rsidRDefault="00C403B1" w:rsidP="00096AA7">
            <w:pPr>
              <w:rPr>
                <w:rFonts w:ascii="Arial" w:hAnsi="Arial" w:cs="Arial"/>
                <w:b/>
                <w:color w:val="002C47"/>
                <w:sz w:val="36"/>
                <w:szCs w:val="36"/>
              </w:rPr>
            </w:pPr>
            <w:r>
              <w:rPr>
                <w:rFonts w:ascii="Arial" w:hAnsi="Arial" w:cs="Arial"/>
                <w:b/>
                <w:color w:val="002C47"/>
                <w:sz w:val="36"/>
                <w:szCs w:val="36"/>
              </w:rPr>
              <w:t>October</w:t>
            </w:r>
            <w:r w:rsidR="00C346AB">
              <w:rPr>
                <w:rFonts w:ascii="Arial" w:hAnsi="Arial" w:cs="Arial"/>
                <w:b/>
                <w:color w:val="002C47"/>
                <w:sz w:val="36"/>
                <w:szCs w:val="36"/>
              </w:rPr>
              <w:t xml:space="preserve"> </w:t>
            </w:r>
            <w:r>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16927B67" w14:textId="77777777" w:rsidTr="0032583B">
        <w:trPr>
          <w:trHeight w:val="868"/>
        </w:trPr>
        <w:tc>
          <w:tcPr>
            <w:tcW w:w="9079" w:type="dxa"/>
          </w:tcPr>
          <w:p w14:paraId="6530A763" w14:textId="0B744D39" w:rsidR="0032583B" w:rsidRPr="00A964D1" w:rsidRDefault="0032583B" w:rsidP="00D5579B">
            <w:pPr>
              <w:pStyle w:val="Title"/>
              <w:rPr>
                <w:color w:val="FFFFFF" w:themeColor="background1"/>
              </w:rPr>
            </w:pPr>
            <w:r w:rsidRPr="00A964D1">
              <w:rPr>
                <w:color w:val="FFFFFF" w:themeColor="background1"/>
              </w:rPr>
              <w:t>Australia</w:t>
            </w:r>
            <w:r w:rsidR="00C403B1">
              <w:rPr>
                <w:color w:val="FFFFFF" w:themeColor="background1"/>
              </w:rPr>
              <w:t xml:space="preserve">n Public Assessment Report for </w:t>
            </w:r>
            <w:proofErr w:type="spellStart"/>
            <w:r w:rsidR="00C403B1">
              <w:rPr>
                <w:color w:val="FFFFFF" w:themeColor="background1"/>
              </w:rPr>
              <w:t>S</w:t>
            </w:r>
            <w:r w:rsidR="00C403B1" w:rsidRPr="00C403B1">
              <w:rPr>
                <w:color w:val="FFFFFF" w:themeColor="background1"/>
              </w:rPr>
              <w:t>emaglutide</w:t>
            </w:r>
            <w:proofErr w:type="spellEnd"/>
          </w:p>
        </w:tc>
      </w:tr>
      <w:tr w:rsidR="0032583B" w:rsidRPr="00B64760" w14:paraId="431FDD0E" w14:textId="77777777" w:rsidTr="0032583B">
        <w:tc>
          <w:tcPr>
            <w:tcW w:w="9079" w:type="dxa"/>
          </w:tcPr>
          <w:p w14:paraId="0C94CA41" w14:textId="77777777" w:rsidR="0032583B" w:rsidRPr="008E7846" w:rsidRDefault="00C403B1" w:rsidP="00C403B1">
            <w:pPr>
              <w:pStyle w:val="Subtitle"/>
              <w:rPr>
                <w:color w:val="FFFFFF" w:themeColor="background1"/>
              </w:rPr>
            </w:pPr>
            <w:r>
              <w:rPr>
                <w:color w:val="FFFFFF" w:themeColor="background1"/>
              </w:rPr>
              <w:t xml:space="preserve">Proprietary Product Name: </w:t>
            </w:r>
            <w:proofErr w:type="spellStart"/>
            <w:r w:rsidRPr="00C403B1">
              <w:rPr>
                <w:color w:val="FFFFFF" w:themeColor="background1"/>
              </w:rPr>
              <w:t>Ozempic</w:t>
            </w:r>
            <w:proofErr w:type="spellEnd"/>
          </w:p>
        </w:tc>
      </w:tr>
      <w:tr w:rsidR="0032583B" w:rsidRPr="00B64760" w14:paraId="44674864" w14:textId="77777777" w:rsidTr="0032583B">
        <w:trPr>
          <w:trHeight w:val="486"/>
        </w:trPr>
        <w:tc>
          <w:tcPr>
            <w:tcW w:w="9079" w:type="dxa"/>
          </w:tcPr>
          <w:p w14:paraId="387039D4" w14:textId="77777777" w:rsidR="0032583B" w:rsidRPr="008E7846" w:rsidRDefault="00C403B1" w:rsidP="0032583B">
            <w:pPr>
              <w:pStyle w:val="Subtitle"/>
              <w:rPr>
                <w:color w:val="FFFFFF" w:themeColor="background1"/>
              </w:rPr>
            </w:pPr>
            <w:r>
              <w:rPr>
                <w:color w:val="FFFFFF" w:themeColor="background1"/>
              </w:rPr>
              <w:t xml:space="preserve">Sponsor: </w:t>
            </w:r>
            <w:r w:rsidRPr="00C403B1">
              <w:rPr>
                <w:color w:val="FFFFFF" w:themeColor="background1"/>
              </w:rPr>
              <w:t>Novo Nordisk Pharmaceuticals Pty Ltd</w:t>
            </w:r>
          </w:p>
        </w:tc>
      </w:tr>
    </w:tbl>
    <w:p w14:paraId="4950FE04" w14:textId="77777777" w:rsidR="008E7846" w:rsidRPr="0085156D" w:rsidRDefault="008E7846" w:rsidP="0085156D">
      <w:r w:rsidRPr="0085156D">
        <w:br w:type="page"/>
      </w:r>
    </w:p>
    <w:p w14:paraId="432DC98D" w14:textId="77777777" w:rsidR="008E7846" w:rsidRPr="001F6CBA" w:rsidRDefault="008E7846" w:rsidP="008E7846">
      <w:pPr>
        <w:pStyle w:val="NonTOCHeading2"/>
      </w:pPr>
      <w:r w:rsidRPr="001F6CBA">
        <w:lastRenderedPageBreak/>
        <w:t>About the Therapeutic Goods Administration (TGA)</w:t>
      </w:r>
    </w:p>
    <w:p w14:paraId="4E9A07DB"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062C2A0A"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67556E10"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536C5100"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7D6C4A22" w14:textId="41893356"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3E64F216" w14:textId="77777777" w:rsidR="008E7846" w:rsidRDefault="008E7846" w:rsidP="00875A6B">
      <w:pPr>
        <w:pStyle w:val="NonTOCHeading2"/>
      </w:pPr>
      <w:r>
        <w:t>About AusPARs</w:t>
      </w:r>
    </w:p>
    <w:p w14:paraId="41A81A06"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68FB1E76" w14:textId="77777777" w:rsidR="008E7846" w:rsidRDefault="008E7846" w:rsidP="008E7846">
      <w:pPr>
        <w:pStyle w:val="ListBullet"/>
        <w:numPr>
          <w:ilvl w:val="0"/>
          <w:numId w:val="3"/>
        </w:numPr>
        <w:ind w:left="357" w:hanging="357"/>
      </w:pPr>
      <w:r>
        <w:t>AusPARs are prepared and published by the TGA.</w:t>
      </w:r>
    </w:p>
    <w:p w14:paraId="04CC7D3F"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33ED8E56"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3B7A58C7"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5FAC9478" w14:textId="77777777" w:rsidR="00924482" w:rsidRPr="00DF1D7F" w:rsidRDefault="00924482" w:rsidP="00F54B65">
      <w:pPr>
        <w:pStyle w:val="LegalSubheading"/>
        <w:spacing w:before="3120"/>
      </w:pPr>
      <w:r w:rsidRPr="00DF1D7F">
        <w:t>Copyright</w:t>
      </w:r>
    </w:p>
    <w:p w14:paraId="7AC8B90D" w14:textId="47833878"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0170126D"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437F85E3" w14:textId="77777777" w:rsidR="0089635C" w:rsidRPr="0089635C" w:rsidRDefault="0089635C" w:rsidP="0010788A">
          <w:pPr>
            <w:pStyle w:val="Contents"/>
          </w:pPr>
          <w:r w:rsidRPr="0010788A">
            <w:t>Con</w:t>
          </w:r>
          <w:bookmarkStart w:id="2" w:name="_GoBack"/>
          <w:bookmarkEnd w:id="2"/>
          <w:r w:rsidRPr="0010788A">
            <w:t>tents</w:t>
          </w:r>
        </w:p>
        <w:p w14:paraId="0D5EA5B5" w14:textId="0FEB66C4" w:rsidR="002F2D29"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57827157" w:history="1">
            <w:r w:rsidR="002F2D29" w:rsidRPr="00695C58">
              <w:rPr>
                <w:rStyle w:val="Hyperlink"/>
                <w:noProof/>
              </w:rPr>
              <w:t>Common abbreviations</w:t>
            </w:r>
            <w:r w:rsidR="002F2D29">
              <w:rPr>
                <w:noProof/>
                <w:webHidden/>
              </w:rPr>
              <w:tab/>
            </w:r>
            <w:r w:rsidR="002F2D29">
              <w:rPr>
                <w:noProof/>
                <w:webHidden/>
              </w:rPr>
              <w:fldChar w:fldCharType="begin"/>
            </w:r>
            <w:r w:rsidR="002F2D29">
              <w:rPr>
                <w:noProof/>
                <w:webHidden/>
              </w:rPr>
              <w:instrText xml:space="preserve"> PAGEREF _Toc57827157 \h </w:instrText>
            </w:r>
            <w:r w:rsidR="002F2D29">
              <w:rPr>
                <w:noProof/>
                <w:webHidden/>
              </w:rPr>
            </w:r>
            <w:r w:rsidR="002F2D29">
              <w:rPr>
                <w:noProof/>
                <w:webHidden/>
              </w:rPr>
              <w:fldChar w:fldCharType="separate"/>
            </w:r>
            <w:r w:rsidR="002F2D29">
              <w:rPr>
                <w:noProof/>
                <w:webHidden/>
              </w:rPr>
              <w:t>4</w:t>
            </w:r>
            <w:r w:rsidR="002F2D29">
              <w:rPr>
                <w:noProof/>
                <w:webHidden/>
              </w:rPr>
              <w:fldChar w:fldCharType="end"/>
            </w:r>
          </w:hyperlink>
        </w:p>
        <w:p w14:paraId="0307D28C" w14:textId="309BCF22" w:rsidR="002F2D29" w:rsidRDefault="002F2D29">
          <w:pPr>
            <w:pStyle w:val="TOC1"/>
            <w:rPr>
              <w:rFonts w:asciiTheme="minorHAnsi" w:eastAsiaTheme="minorEastAsia" w:hAnsiTheme="minorHAnsi" w:cstheme="minorBidi"/>
              <w:b w:val="0"/>
              <w:noProof/>
              <w:sz w:val="22"/>
              <w:lang w:eastAsia="en-AU"/>
            </w:rPr>
          </w:pPr>
          <w:hyperlink w:anchor="_Toc57827158" w:history="1">
            <w:r w:rsidRPr="00695C58">
              <w:rPr>
                <w:rStyle w:val="Hyperlink"/>
                <w:noProof/>
              </w:rPr>
              <w:t>I. Introduction to product submission</w:t>
            </w:r>
            <w:r>
              <w:rPr>
                <w:noProof/>
                <w:webHidden/>
              </w:rPr>
              <w:tab/>
            </w:r>
            <w:r>
              <w:rPr>
                <w:noProof/>
                <w:webHidden/>
              </w:rPr>
              <w:fldChar w:fldCharType="begin"/>
            </w:r>
            <w:r>
              <w:rPr>
                <w:noProof/>
                <w:webHidden/>
              </w:rPr>
              <w:instrText xml:space="preserve"> PAGEREF _Toc57827158 \h </w:instrText>
            </w:r>
            <w:r>
              <w:rPr>
                <w:noProof/>
                <w:webHidden/>
              </w:rPr>
            </w:r>
            <w:r>
              <w:rPr>
                <w:noProof/>
                <w:webHidden/>
              </w:rPr>
              <w:fldChar w:fldCharType="separate"/>
            </w:r>
            <w:r>
              <w:rPr>
                <w:noProof/>
                <w:webHidden/>
              </w:rPr>
              <w:t>6</w:t>
            </w:r>
            <w:r>
              <w:rPr>
                <w:noProof/>
                <w:webHidden/>
              </w:rPr>
              <w:fldChar w:fldCharType="end"/>
            </w:r>
          </w:hyperlink>
        </w:p>
        <w:p w14:paraId="5E24E467" w14:textId="5434B6B8" w:rsidR="002F2D29" w:rsidRDefault="002F2D29">
          <w:pPr>
            <w:pStyle w:val="TOC2"/>
            <w:rPr>
              <w:rFonts w:asciiTheme="minorHAnsi" w:eastAsiaTheme="minorEastAsia" w:hAnsiTheme="minorHAnsi" w:cstheme="minorBidi"/>
              <w:b w:val="0"/>
              <w:noProof/>
              <w:sz w:val="22"/>
              <w:lang w:eastAsia="en-AU"/>
            </w:rPr>
          </w:pPr>
          <w:hyperlink w:anchor="_Toc57827159" w:history="1">
            <w:r w:rsidRPr="00695C58">
              <w:rPr>
                <w:rStyle w:val="Hyperlink"/>
                <w:noProof/>
                <w:lang w:eastAsia="en-AU"/>
              </w:rPr>
              <w:t>Submission details</w:t>
            </w:r>
            <w:r>
              <w:rPr>
                <w:noProof/>
                <w:webHidden/>
              </w:rPr>
              <w:tab/>
            </w:r>
            <w:r>
              <w:rPr>
                <w:noProof/>
                <w:webHidden/>
              </w:rPr>
              <w:fldChar w:fldCharType="begin"/>
            </w:r>
            <w:r>
              <w:rPr>
                <w:noProof/>
                <w:webHidden/>
              </w:rPr>
              <w:instrText xml:space="preserve"> PAGEREF _Toc57827159 \h </w:instrText>
            </w:r>
            <w:r>
              <w:rPr>
                <w:noProof/>
                <w:webHidden/>
              </w:rPr>
            </w:r>
            <w:r>
              <w:rPr>
                <w:noProof/>
                <w:webHidden/>
              </w:rPr>
              <w:fldChar w:fldCharType="separate"/>
            </w:r>
            <w:r>
              <w:rPr>
                <w:noProof/>
                <w:webHidden/>
              </w:rPr>
              <w:t>6</w:t>
            </w:r>
            <w:r>
              <w:rPr>
                <w:noProof/>
                <w:webHidden/>
              </w:rPr>
              <w:fldChar w:fldCharType="end"/>
            </w:r>
          </w:hyperlink>
        </w:p>
        <w:p w14:paraId="485B2F51" w14:textId="307235DD" w:rsidR="002F2D29" w:rsidRDefault="002F2D29">
          <w:pPr>
            <w:pStyle w:val="TOC2"/>
            <w:rPr>
              <w:rFonts w:asciiTheme="minorHAnsi" w:eastAsiaTheme="minorEastAsia" w:hAnsiTheme="minorHAnsi" w:cstheme="minorBidi"/>
              <w:b w:val="0"/>
              <w:noProof/>
              <w:sz w:val="22"/>
              <w:lang w:eastAsia="en-AU"/>
            </w:rPr>
          </w:pPr>
          <w:hyperlink w:anchor="_Toc57827160" w:history="1">
            <w:r w:rsidRPr="00695C58">
              <w:rPr>
                <w:rStyle w:val="Hyperlink"/>
                <w:noProof/>
              </w:rPr>
              <w:t>Product background</w:t>
            </w:r>
            <w:r>
              <w:rPr>
                <w:noProof/>
                <w:webHidden/>
              </w:rPr>
              <w:tab/>
            </w:r>
            <w:r>
              <w:rPr>
                <w:noProof/>
                <w:webHidden/>
              </w:rPr>
              <w:fldChar w:fldCharType="begin"/>
            </w:r>
            <w:r>
              <w:rPr>
                <w:noProof/>
                <w:webHidden/>
              </w:rPr>
              <w:instrText xml:space="preserve"> PAGEREF _Toc57827160 \h </w:instrText>
            </w:r>
            <w:r>
              <w:rPr>
                <w:noProof/>
                <w:webHidden/>
              </w:rPr>
            </w:r>
            <w:r>
              <w:rPr>
                <w:noProof/>
                <w:webHidden/>
              </w:rPr>
              <w:fldChar w:fldCharType="separate"/>
            </w:r>
            <w:r>
              <w:rPr>
                <w:noProof/>
                <w:webHidden/>
              </w:rPr>
              <w:t>7</w:t>
            </w:r>
            <w:r>
              <w:rPr>
                <w:noProof/>
                <w:webHidden/>
              </w:rPr>
              <w:fldChar w:fldCharType="end"/>
            </w:r>
          </w:hyperlink>
        </w:p>
        <w:p w14:paraId="6D33167B" w14:textId="6DC1E245" w:rsidR="002F2D29" w:rsidRDefault="002F2D29">
          <w:pPr>
            <w:pStyle w:val="TOC2"/>
            <w:rPr>
              <w:rFonts w:asciiTheme="minorHAnsi" w:eastAsiaTheme="minorEastAsia" w:hAnsiTheme="minorHAnsi" w:cstheme="minorBidi"/>
              <w:b w:val="0"/>
              <w:noProof/>
              <w:sz w:val="22"/>
              <w:lang w:eastAsia="en-AU"/>
            </w:rPr>
          </w:pPr>
          <w:hyperlink w:anchor="_Toc57827161" w:history="1">
            <w:r w:rsidRPr="00695C58">
              <w:rPr>
                <w:rStyle w:val="Hyperlink"/>
                <w:noProof/>
              </w:rPr>
              <w:t>Regulatory status</w:t>
            </w:r>
            <w:r>
              <w:rPr>
                <w:noProof/>
                <w:webHidden/>
              </w:rPr>
              <w:tab/>
            </w:r>
            <w:r>
              <w:rPr>
                <w:noProof/>
                <w:webHidden/>
              </w:rPr>
              <w:fldChar w:fldCharType="begin"/>
            </w:r>
            <w:r>
              <w:rPr>
                <w:noProof/>
                <w:webHidden/>
              </w:rPr>
              <w:instrText xml:space="preserve"> PAGEREF _Toc57827161 \h </w:instrText>
            </w:r>
            <w:r>
              <w:rPr>
                <w:noProof/>
                <w:webHidden/>
              </w:rPr>
            </w:r>
            <w:r>
              <w:rPr>
                <w:noProof/>
                <w:webHidden/>
              </w:rPr>
              <w:fldChar w:fldCharType="separate"/>
            </w:r>
            <w:r>
              <w:rPr>
                <w:noProof/>
                <w:webHidden/>
              </w:rPr>
              <w:t>8</w:t>
            </w:r>
            <w:r>
              <w:rPr>
                <w:noProof/>
                <w:webHidden/>
              </w:rPr>
              <w:fldChar w:fldCharType="end"/>
            </w:r>
          </w:hyperlink>
        </w:p>
        <w:p w14:paraId="5BF267A4" w14:textId="60582912" w:rsidR="002F2D29" w:rsidRDefault="002F2D29">
          <w:pPr>
            <w:pStyle w:val="TOC2"/>
            <w:rPr>
              <w:rFonts w:asciiTheme="minorHAnsi" w:eastAsiaTheme="minorEastAsia" w:hAnsiTheme="minorHAnsi" w:cstheme="minorBidi"/>
              <w:b w:val="0"/>
              <w:noProof/>
              <w:sz w:val="22"/>
              <w:lang w:eastAsia="en-AU"/>
            </w:rPr>
          </w:pPr>
          <w:hyperlink w:anchor="_Toc57827162" w:history="1">
            <w:r w:rsidRPr="00695C58">
              <w:rPr>
                <w:rStyle w:val="Hyperlink"/>
                <w:noProof/>
              </w:rPr>
              <w:t>Product Information</w:t>
            </w:r>
            <w:r>
              <w:rPr>
                <w:noProof/>
                <w:webHidden/>
              </w:rPr>
              <w:tab/>
            </w:r>
            <w:r>
              <w:rPr>
                <w:noProof/>
                <w:webHidden/>
              </w:rPr>
              <w:fldChar w:fldCharType="begin"/>
            </w:r>
            <w:r>
              <w:rPr>
                <w:noProof/>
                <w:webHidden/>
              </w:rPr>
              <w:instrText xml:space="preserve"> PAGEREF _Toc57827162 \h </w:instrText>
            </w:r>
            <w:r>
              <w:rPr>
                <w:noProof/>
                <w:webHidden/>
              </w:rPr>
            </w:r>
            <w:r>
              <w:rPr>
                <w:noProof/>
                <w:webHidden/>
              </w:rPr>
              <w:fldChar w:fldCharType="separate"/>
            </w:r>
            <w:r>
              <w:rPr>
                <w:noProof/>
                <w:webHidden/>
              </w:rPr>
              <w:t>9</w:t>
            </w:r>
            <w:r>
              <w:rPr>
                <w:noProof/>
                <w:webHidden/>
              </w:rPr>
              <w:fldChar w:fldCharType="end"/>
            </w:r>
          </w:hyperlink>
        </w:p>
        <w:p w14:paraId="7D7EDB43" w14:textId="06C9F29A" w:rsidR="002F2D29" w:rsidRDefault="002F2D29">
          <w:pPr>
            <w:pStyle w:val="TOC1"/>
            <w:rPr>
              <w:rFonts w:asciiTheme="minorHAnsi" w:eastAsiaTheme="minorEastAsia" w:hAnsiTheme="minorHAnsi" w:cstheme="minorBidi"/>
              <w:b w:val="0"/>
              <w:noProof/>
              <w:sz w:val="22"/>
              <w:lang w:eastAsia="en-AU"/>
            </w:rPr>
          </w:pPr>
          <w:hyperlink w:anchor="_Toc57827163" w:history="1">
            <w:r w:rsidRPr="00695C58">
              <w:rPr>
                <w:rStyle w:val="Hyperlink"/>
                <w:noProof/>
              </w:rPr>
              <w:t>II. Registration timeline</w:t>
            </w:r>
            <w:r>
              <w:rPr>
                <w:noProof/>
                <w:webHidden/>
              </w:rPr>
              <w:tab/>
            </w:r>
            <w:r>
              <w:rPr>
                <w:noProof/>
                <w:webHidden/>
              </w:rPr>
              <w:fldChar w:fldCharType="begin"/>
            </w:r>
            <w:r>
              <w:rPr>
                <w:noProof/>
                <w:webHidden/>
              </w:rPr>
              <w:instrText xml:space="preserve"> PAGEREF _Toc57827163 \h </w:instrText>
            </w:r>
            <w:r>
              <w:rPr>
                <w:noProof/>
                <w:webHidden/>
              </w:rPr>
            </w:r>
            <w:r>
              <w:rPr>
                <w:noProof/>
                <w:webHidden/>
              </w:rPr>
              <w:fldChar w:fldCharType="separate"/>
            </w:r>
            <w:r>
              <w:rPr>
                <w:noProof/>
                <w:webHidden/>
              </w:rPr>
              <w:t>9</w:t>
            </w:r>
            <w:r>
              <w:rPr>
                <w:noProof/>
                <w:webHidden/>
              </w:rPr>
              <w:fldChar w:fldCharType="end"/>
            </w:r>
          </w:hyperlink>
        </w:p>
        <w:p w14:paraId="06AE8DA2" w14:textId="1263B7CC" w:rsidR="002F2D29" w:rsidRDefault="002F2D29">
          <w:pPr>
            <w:pStyle w:val="TOC1"/>
            <w:rPr>
              <w:rFonts w:asciiTheme="minorHAnsi" w:eastAsiaTheme="minorEastAsia" w:hAnsiTheme="minorHAnsi" w:cstheme="minorBidi"/>
              <w:b w:val="0"/>
              <w:noProof/>
              <w:sz w:val="22"/>
              <w:lang w:eastAsia="en-AU"/>
            </w:rPr>
          </w:pPr>
          <w:hyperlink w:anchor="_Toc57827164" w:history="1">
            <w:r w:rsidRPr="00695C58">
              <w:rPr>
                <w:rStyle w:val="Hyperlink"/>
                <w:noProof/>
              </w:rPr>
              <w:t>III. Submission overview and risk/benefit assessment</w:t>
            </w:r>
            <w:r>
              <w:rPr>
                <w:noProof/>
                <w:webHidden/>
              </w:rPr>
              <w:tab/>
            </w:r>
            <w:r>
              <w:rPr>
                <w:noProof/>
                <w:webHidden/>
              </w:rPr>
              <w:fldChar w:fldCharType="begin"/>
            </w:r>
            <w:r>
              <w:rPr>
                <w:noProof/>
                <w:webHidden/>
              </w:rPr>
              <w:instrText xml:space="preserve"> PAGEREF _Toc57827164 \h </w:instrText>
            </w:r>
            <w:r>
              <w:rPr>
                <w:noProof/>
                <w:webHidden/>
              </w:rPr>
            </w:r>
            <w:r>
              <w:rPr>
                <w:noProof/>
                <w:webHidden/>
              </w:rPr>
              <w:fldChar w:fldCharType="separate"/>
            </w:r>
            <w:r>
              <w:rPr>
                <w:noProof/>
                <w:webHidden/>
              </w:rPr>
              <w:t>10</w:t>
            </w:r>
            <w:r>
              <w:rPr>
                <w:noProof/>
                <w:webHidden/>
              </w:rPr>
              <w:fldChar w:fldCharType="end"/>
            </w:r>
          </w:hyperlink>
        </w:p>
        <w:p w14:paraId="717C2FBA" w14:textId="63FEBB20" w:rsidR="002F2D29" w:rsidRDefault="002F2D29">
          <w:pPr>
            <w:pStyle w:val="TOC2"/>
            <w:rPr>
              <w:rFonts w:asciiTheme="minorHAnsi" w:eastAsiaTheme="minorEastAsia" w:hAnsiTheme="minorHAnsi" w:cstheme="minorBidi"/>
              <w:b w:val="0"/>
              <w:noProof/>
              <w:sz w:val="22"/>
              <w:lang w:eastAsia="en-AU"/>
            </w:rPr>
          </w:pPr>
          <w:hyperlink w:anchor="_Toc57827165" w:history="1">
            <w:r w:rsidRPr="00695C58">
              <w:rPr>
                <w:rStyle w:val="Hyperlink"/>
                <w:noProof/>
              </w:rPr>
              <w:t>Quality</w:t>
            </w:r>
            <w:r>
              <w:rPr>
                <w:noProof/>
                <w:webHidden/>
              </w:rPr>
              <w:tab/>
            </w:r>
            <w:r>
              <w:rPr>
                <w:noProof/>
                <w:webHidden/>
              </w:rPr>
              <w:fldChar w:fldCharType="begin"/>
            </w:r>
            <w:r>
              <w:rPr>
                <w:noProof/>
                <w:webHidden/>
              </w:rPr>
              <w:instrText xml:space="preserve"> PAGEREF _Toc57827165 \h </w:instrText>
            </w:r>
            <w:r>
              <w:rPr>
                <w:noProof/>
                <w:webHidden/>
              </w:rPr>
            </w:r>
            <w:r>
              <w:rPr>
                <w:noProof/>
                <w:webHidden/>
              </w:rPr>
              <w:fldChar w:fldCharType="separate"/>
            </w:r>
            <w:r>
              <w:rPr>
                <w:noProof/>
                <w:webHidden/>
              </w:rPr>
              <w:t>10</w:t>
            </w:r>
            <w:r>
              <w:rPr>
                <w:noProof/>
                <w:webHidden/>
              </w:rPr>
              <w:fldChar w:fldCharType="end"/>
            </w:r>
          </w:hyperlink>
        </w:p>
        <w:p w14:paraId="443FF565" w14:textId="2738CB0C" w:rsidR="002F2D29" w:rsidRDefault="002F2D29">
          <w:pPr>
            <w:pStyle w:val="TOC2"/>
            <w:rPr>
              <w:rFonts w:asciiTheme="minorHAnsi" w:eastAsiaTheme="minorEastAsia" w:hAnsiTheme="minorHAnsi" w:cstheme="minorBidi"/>
              <w:b w:val="0"/>
              <w:noProof/>
              <w:sz w:val="22"/>
              <w:lang w:eastAsia="en-AU"/>
            </w:rPr>
          </w:pPr>
          <w:hyperlink w:anchor="_Toc57827166" w:history="1">
            <w:r w:rsidRPr="00695C58">
              <w:rPr>
                <w:rStyle w:val="Hyperlink"/>
                <w:noProof/>
              </w:rPr>
              <w:t>Nonclinical</w:t>
            </w:r>
            <w:r>
              <w:rPr>
                <w:noProof/>
                <w:webHidden/>
              </w:rPr>
              <w:tab/>
            </w:r>
            <w:r>
              <w:rPr>
                <w:noProof/>
                <w:webHidden/>
              </w:rPr>
              <w:fldChar w:fldCharType="begin"/>
            </w:r>
            <w:r>
              <w:rPr>
                <w:noProof/>
                <w:webHidden/>
              </w:rPr>
              <w:instrText xml:space="preserve"> PAGEREF _Toc57827166 \h </w:instrText>
            </w:r>
            <w:r>
              <w:rPr>
                <w:noProof/>
                <w:webHidden/>
              </w:rPr>
            </w:r>
            <w:r>
              <w:rPr>
                <w:noProof/>
                <w:webHidden/>
              </w:rPr>
              <w:fldChar w:fldCharType="separate"/>
            </w:r>
            <w:r>
              <w:rPr>
                <w:noProof/>
                <w:webHidden/>
              </w:rPr>
              <w:t>12</w:t>
            </w:r>
            <w:r>
              <w:rPr>
                <w:noProof/>
                <w:webHidden/>
              </w:rPr>
              <w:fldChar w:fldCharType="end"/>
            </w:r>
          </w:hyperlink>
        </w:p>
        <w:p w14:paraId="64B60339" w14:textId="21684879" w:rsidR="002F2D29" w:rsidRDefault="002F2D29">
          <w:pPr>
            <w:pStyle w:val="TOC2"/>
            <w:rPr>
              <w:rFonts w:asciiTheme="minorHAnsi" w:eastAsiaTheme="minorEastAsia" w:hAnsiTheme="minorHAnsi" w:cstheme="minorBidi"/>
              <w:b w:val="0"/>
              <w:noProof/>
              <w:sz w:val="22"/>
              <w:lang w:eastAsia="en-AU"/>
            </w:rPr>
          </w:pPr>
          <w:hyperlink w:anchor="_Toc57827167" w:history="1">
            <w:r w:rsidRPr="00695C58">
              <w:rPr>
                <w:rStyle w:val="Hyperlink"/>
                <w:noProof/>
              </w:rPr>
              <w:t>Clinical</w:t>
            </w:r>
            <w:r>
              <w:rPr>
                <w:noProof/>
                <w:webHidden/>
              </w:rPr>
              <w:tab/>
            </w:r>
            <w:r>
              <w:rPr>
                <w:noProof/>
                <w:webHidden/>
              </w:rPr>
              <w:fldChar w:fldCharType="begin"/>
            </w:r>
            <w:r>
              <w:rPr>
                <w:noProof/>
                <w:webHidden/>
              </w:rPr>
              <w:instrText xml:space="preserve"> PAGEREF _Toc57827167 \h </w:instrText>
            </w:r>
            <w:r>
              <w:rPr>
                <w:noProof/>
                <w:webHidden/>
              </w:rPr>
            </w:r>
            <w:r>
              <w:rPr>
                <w:noProof/>
                <w:webHidden/>
              </w:rPr>
              <w:fldChar w:fldCharType="separate"/>
            </w:r>
            <w:r>
              <w:rPr>
                <w:noProof/>
                <w:webHidden/>
              </w:rPr>
              <w:t>13</w:t>
            </w:r>
            <w:r>
              <w:rPr>
                <w:noProof/>
                <w:webHidden/>
              </w:rPr>
              <w:fldChar w:fldCharType="end"/>
            </w:r>
          </w:hyperlink>
        </w:p>
        <w:p w14:paraId="35A69240" w14:textId="47CDF91E" w:rsidR="002F2D29" w:rsidRDefault="002F2D29">
          <w:pPr>
            <w:pStyle w:val="TOC2"/>
            <w:rPr>
              <w:rFonts w:asciiTheme="minorHAnsi" w:eastAsiaTheme="minorEastAsia" w:hAnsiTheme="minorHAnsi" w:cstheme="minorBidi"/>
              <w:b w:val="0"/>
              <w:noProof/>
              <w:sz w:val="22"/>
              <w:lang w:eastAsia="en-AU"/>
            </w:rPr>
          </w:pPr>
          <w:hyperlink w:anchor="_Toc57827168" w:history="1">
            <w:r w:rsidRPr="00695C58">
              <w:rPr>
                <w:rStyle w:val="Hyperlink"/>
                <w:noProof/>
                <w:lang w:eastAsia="en-AU"/>
              </w:rPr>
              <w:t>Risk management plan</w:t>
            </w:r>
            <w:r>
              <w:rPr>
                <w:noProof/>
                <w:webHidden/>
              </w:rPr>
              <w:tab/>
            </w:r>
            <w:r>
              <w:rPr>
                <w:noProof/>
                <w:webHidden/>
              </w:rPr>
              <w:fldChar w:fldCharType="begin"/>
            </w:r>
            <w:r>
              <w:rPr>
                <w:noProof/>
                <w:webHidden/>
              </w:rPr>
              <w:instrText xml:space="preserve"> PAGEREF _Toc57827168 \h </w:instrText>
            </w:r>
            <w:r>
              <w:rPr>
                <w:noProof/>
                <w:webHidden/>
              </w:rPr>
            </w:r>
            <w:r>
              <w:rPr>
                <w:noProof/>
                <w:webHidden/>
              </w:rPr>
              <w:fldChar w:fldCharType="separate"/>
            </w:r>
            <w:r>
              <w:rPr>
                <w:noProof/>
                <w:webHidden/>
              </w:rPr>
              <w:t>17</w:t>
            </w:r>
            <w:r>
              <w:rPr>
                <w:noProof/>
                <w:webHidden/>
              </w:rPr>
              <w:fldChar w:fldCharType="end"/>
            </w:r>
          </w:hyperlink>
        </w:p>
        <w:p w14:paraId="52457458" w14:textId="3E86C1ED" w:rsidR="002F2D29" w:rsidRDefault="002F2D29">
          <w:pPr>
            <w:pStyle w:val="TOC2"/>
            <w:rPr>
              <w:rFonts w:asciiTheme="minorHAnsi" w:eastAsiaTheme="minorEastAsia" w:hAnsiTheme="minorHAnsi" w:cstheme="minorBidi"/>
              <w:b w:val="0"/>
              <w:noProof/>
              <w:sz w:val="22"/>
              <w:lang w:eastAsia="en-AU"/>
            </w:rPr>
          </w:pPr>
          <w:hyperlink w:anchor="_Toc57827169" w:history="1">
            <w:r w:rsidRPr="00695C58">
              <w:rPr>
                <w:rStyle w:val="Hyperlink"/>
                <w:noProof/>
              </w:rPr>
              <w:t>Risk-benefit analysis</w:t>
            </w:r>
            <w:r>
              <w:rPr>
                <w:noProof/>
                <w:webHidden/>
              </w:rPr>
              <w:tab/>
            </w:r>
            <w:r>
              <w:rPr>
                <w:noProof/>
                <w:webHidden/>
              </w:rPr>
              <w:fldChar w:fldCharType="begin"/>
            </w:r>
            <w:r>
              <w:rPr>
                <w:noProof/>
                <w:webHidden/>
              </w:rPr>
              <w:instrText xml:space="preserve"> PAGEREF _Toc57827169 \h </w:instrText>
            </w:r>
            <w:r>
              <w:rPr>
                <w:noProof/>
                <w:webHidden/>
              </w:rPr>
            </w:r>
            <w:r>
              <w:rPr>
                <w:noProof/>
                <w:webHidden/>
              </w:rPr>
              <w:fldChar w:fldCharType="separate"/>
            </w:r>
            <w:r>
              <w:rPr>
                <w:noProof/>
                <w:webHidden/>
              </w:rPr>
              <w:t>19</w:t>
            </w:r>
            <w:r>
              <w:rPr>
                <w:noProof/>
                <w:webHidden/>
              </w:rPr>
              <w:fldChar w:fldCharType="end"/>
            </w:r>
          </w:hyperlink>
        </w:p>
        <w:p w14:paraId="4D8D3EAB" w14:textId="0EABAEF3" w:rsidR="002F2D29" w:rsidRDefault="002F2D29">
          <w:pPr>
            <w:pStyle w:val="TOC2"/>
            <w:rPr>
              <w:rFonts w:asciiTheme="minorHAnsi" w:eastAsiaTheme="minorEastAsia" w:hAnsiTheme="minorHAnsi" w:cstheme="minorBidi"/>
              <w:b w:val="0"/>
              <w:noProof/>
              <w:sz w:val="22"/>
              <w:lang w:eastAsia="en-AU"/>
            </w:rPr>
          </w:pPr>
          <w:hyperlink w:anchor="_Toc57827170" w:history="1">
            <w:r w:rsidRPr="00695C58">
              <w:rPr>
                <w:rStyle w:val="Hyperlink"/>
                <w:noProof/>
              </w:rPr>
              <w:t>Outcome</w:t>
            </w:r>
            <w:r>
              <w:rPr>
                <w:noProof/>
                <w:webHidden/>
              </w:rPr>
              <w:tab/>
            </w:r>
            <w:r>
              <w:rPr>
                <w:noProof/>
                <w:webHidden/>
              </w:rPr>
              <w:fldChar w:fldCharType="begin"/>
            </w:r>
            <w:r>
              <w:rPr>
                <w:noProof/>
                <w:webHidden/>
              </w:rPr>
              <w:instrText xml:space="preserve"> PAGEREF _Toc57827170 \h </w:instrText>
            </w:r>
            <w:r>
              <w:rPr>
                <w:noProof/>
                <w:webHidden/>
              </w:rPr>
            </w:r>
            <w:r>
              <w:rPr>
                <w:noProof/>
                <w:webHidden/>
              </w:rPr>
              <w:fldChar w:fldCharType="separate"/>
            </w:r>
            <w:r>
              <w:rPr>
                <w:noProof/>
                <w:webHidden/>
              </w:rPr>
              <w:t>21</w:t>
            </w:r>
            <w:r>
              <w:rPr>
                <w:noProof/>
                <w:webHidden/>
              </w:rPr>
              <w:fldChar w:fldCharType="end"/>
            </w:r>
          </w:hyperlink>
        </w:p>
        <w:p w14:paraId="3EA9F2C6" w14:textId="6E69536A" w:rsidR="002F2D29" w:rsidRDefault="002F2D29">
          <w:pPr>
            <w:pStyle w:val="TOC1"/>
            <w:rPr>
              <w:rFonts w:asciiTheme="minorHAnsi" w:eastAsiaTheme="minorEastAsia" w:hAnsiTheme="minorHAnsi" w:cstheme="minorBidi"/>
              <w:b w:val="0"/>
              <w:noProof/>
              <w:sz w:val="22"/>
              <w:lang w:eastAsia="en-AU"/>
            </w:rPr>
          </w:pPr>
          <w:hyperlink w:anchor="_Toc57827171" w:history="1">
            <w:r w:rsidRPr="00695C58">
              <w:rPr>
                <w:rStyle w:val="Hyperlink"/>
                <w:noProof/>
              </w:rPr>
              <w:t>Attachment 1. Product Information</w:t>
            </w:r>
            <w:r>
              <w:rPr>
                <w:noProof/>
                <w:webHidden/>
              </w:rPr>
              <w:tab/>
            </w:r>
            <w:r>
              <w:rPr>
                <w:noProof/>
                <w:webHidden/>
              </w:rPr>
              <w:fldChar w:fldCharType="begin"/>
            </w:r>
            <w:r>
              <w:rPr>
                <w:noProof/>
                <w:webHidden/>
              </w:rPr>
              <w:instrText xml:space="preserve"> PAGEREF _Toc57827171 \h </w:instrText>
            </w:r>
            <w:r>
              <w:rPr>
                <w:noProof/>
                <w:webHidden/>
              </w:rPr>
            </w:r>
            <w:r>
              <w:rPr>
                <w:noProof/>
                <w:webHidden/>
              </w:rPr>
              <w:fldChar w:fldCharType="separate"/>
            </w:r>
            <w:r>
              <w:rPr>
                <w:noProof/>
                <w:webHidden/>
              </w:rPr>
              <w:t>22</w:t>
            </w:r>
            <w:r>
              <w:rPr>
                <w:noProof/>
                <w:webHidden/>
              </w:rPr>
              <w:fldChar w:fldCharType="end"/>
            </w:r>
          </w:hyperlink>
        </w:p>
        <w:p w14:paraId="6A4D3B61" w14:textId="0EA93B8F" w:rsidR="003A7F6C" w:rsidRPr="00B811C6" w:rsidRDefault="00C525A2" w:rsidP="00B811C6">
          <w:pPr>
            <w:pStyle w:val="TOC2"/>
          </w:pPr>
          <w:r>
            <w:fldChar w:fldCharType="end"/>
          </w:r>
        </w:p>
      </w:sdtContent>
    </w:sdt>
    <w:bookmarkStart w:id="3" w:name="_Toc314842482" w:displacedByCustomXml="prev"/>
    <w:p w14:paraId="2FEBF18C" w14:textId="77777777" w:rsidR="00FD119B" w:rsidRDefault="00FD119B">
      <w:pPr>
        <w:spacing w:before="0" w:after="200" w:line="0" w:lineRule="auto"/>
      </w:pPr>
      <w:r>
        <w:br w:type="page"/>
      </w:r>
    </w:p>
    <w:p w14:paraId="099E64A0" w14:textId="77777777" w:rsidR="00C52E24" w:rsidRPr="00C52E24" w:rsidRDefault="00441C3F" w:rsidP="00C403B1">
      <w:pPr>
        <w:pStyle w:val="Heading2"/>
      </w:pPr>
      <w:bookmarkStart w:id="4" w:name="_Toc351716269"/>
      <w:bookmarkStart w:id="5" w:name="_Toc351718881"/>
      <w:bookmarkStart w:id="6" w:name="_Toc355338616"/>
      <w:bookmarkStart w:id="7" w:name="_Toc356306144"/>
      <w:bookmarkStart w:id="8" w:name="_Toc57827157"/>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211C88" w:rsidRPr="00FD119B" w14:paraId="2DC23401" w14:textId="77777777" w:rsidTr="00CF5DAD">
        <w:trPr>
          <w:cnfStyle w:val="100000000000" w:firstRow="1" w:lastRow="0" w:firstColumn="0" w:lastColumn="0" w:oddVBand="0" w:evenVBand="0" w:oddHBand="0" w:evenHBand="0" w:firstRowFirstColumn="0" w:firstRowLastColumn="0" w:lastRowFirstColumn="0" w:lastRowLastColumn="0"/>
        </w:trPr>
        <w:tc>
          <w:tcPr>
            <w:tcW w:w="1809" w:type="dxa"/>
            <w:tcBorders>
              <w:top w:val="single" w:sz="4" w:space="0" w:color="auto"/>
              <w:left w:val="single" w:sz="4" w:space="0" w:color="auto"/>
              <w:bottom w:val="single" w:sz="4" w:space="0" w:color="auto"/>
              <w:right w:val="single" w:sz="4" w:space="0" w:color="auto"/>
            </w:tcBorders>
          </w:tcPr>
          <w:p w14:paraId="1C86FCA8" w14:textId="77777777" w:rsidR="00211C88" w:rsidRPr="00FD119B" w:rsidRDefault="00211C88" w:rsidP="00CF5DAD">
            <w:pPr>
              <w:keepNext w:val="0"/>
              <w:ind w:left="0" w:right="0"/>
              <w:rPr>
                <w:szCs w:val="22"/>
                <w:lang w:eastAsia="en-US"/>
              </w:rPr>
            </w:pPr>
            <w:r w:rsidRPr="00FD119B">
              <w:rPr>
                <w:szCs w:val="22"/>
                <w:lang w:eastAsia="en-US"/>
              </w:rPr>
              <w:t>Abbreviation</w:t>
            </w:r>
          </w:p>
        </w:tc>
        <w:tc>
          <w:tcPr>
            <w:tcW w:w="6911" w:type="dxa"/>
            <w:tcBorders>
              <w:top w:val="single" w:sz="4" w:space="0" w:color="auto"/>
              <w:left w:val="single" w:sz="4" w:space="0" w:color="auto"/>
              <w:bottom w:val="single" w:sz="4" w:space="0" w:color="auto"/>
              <w:right w:val="single" w:sz="4" w:space="0" w:color="auto"/>
            </w:tcBorders>
          </w:tcPr>
          <w:p w14:paraId="01978B28" w14:textId="77777777" w:rsidR="00211C88" w:rsidRPr="00FD119B" w:rsidRDefault="00211C88" w:rsidP="00CF5DAD">
            <w:pPr>
              <w:keepNext w:val="0"/>
              <w:ind w:left="0" w:right="0"/>
              <w:rPr>
                <w:szCs w:val="22"/>
                <w:lang w:eastAsia="en-US"/>
              </w:rPr>
            </w:pPr>
            <w:r w:rsidRPr="00FD119B">
              <w:rPr>
                <w:szCs w:val="22"/>
                <w:lang w:eastAsia="en-US"/>
              </w:rPr>
              <w:t>Meaning</w:t>
            </w:r>
          </w:p>
        </w:tc>
      </w:tr>
      <w:tr w:rsidR="00211C88" w14:paraId="738D84E5" w14:textId="77777777" w:rsidTr="00C403B1">
        <w:tc>
          <w:tcPr>
            <w:tcW w:w="1809" w:type="dxa"/>
          </w:tcPr>
          <w:p w14:paraId="0E51E63B" w14:textId="77777777" w:rsidR="00211C88" w:rsidRDefault="00211C88" w:rsidP="007039E0">
            <w:r>
              <w:t>ACM</w:t>
            </w:r>
          </w:p>
        </w:tc>
        <w:tc>
          <w:tcPr>
            <w:tcW w:w="6911" w:type="dxa"/>
          </w:tcPr>
          <w:p w14:paraId="76FA1892" w14:textId="77777777" w:rsidR="00211C88" w:rsidRDefault="00211C88" w:rsidP="007039E0">
            <w:r>
              <w:t>Advisory Committee on Medicines</w:t>
            </w:r>
          </w:p>
        </w:tc>
      </w:tr>
      <w:tr w:rsidR="00211C88" w:rsidRPr="00FD119B" w14:paraId="657AAF93" w14:textId="77777777" w:rsidTr="00C403B1">
        <w:tc>
          <w:tcPr>
            <w:tcW w:w="1809" w:type="dxa"/>
          </w:tcPr>
          <w:p w14:paraId="17304459" w14:textId="77777777" w:rsidR="00211C88" w:rsidRPr="00FD119B" w:rsidRDefault="00211C88" w:rsidP="007039E0">
            <w:r>
              <w:t>AE</w:t>
            </w:r>
          </w:p>
        </w:tc>
        <w:tc>
          <w:tcPr>
            <w:tcW w:w="6911" w:type="dxa"/>
          </w:tcPr>
          <w:p w14:paraId="31BAC740" w14:textId="7884BFC6" w:rsidR="00211C88" w:rsidRPr="00FD119B" w:rsidRDefault="00211C88" w:rsidP="007039E0">
            <w:r>
              <w:t>Adverse event</w:t>
            </w:r>
          </w:p>
        </w:tc>
      </w:tr>
      <w:tr w:rsidR="00211C88" w:rsidRPr="00FD119B" w14:paraId="28B18E30" w14:textId="77777777" w:rsidTr="00C403B1">
        <w:tc>
          <w:tcPr>
            <w:tcW w:w="1809" w:type="dxa"/>
          </w:tcPr>
          <w:p w14:paraId="2EAE85A0" w14:textId="77777777" w:rsidR="00211C88" w:rsidRPr="00FD119B" w:rsidRDefault="00211C88" w:rsidP="007039E0">
            <w:r>
              <w:t>ARGPM</w:t>
            </w:r>
          </w:p>
        </w:tc>
        <w:tc>
          <w:tcPr>
            <w:tcW w:w="6911" w:type="dxa"/>
          </w:tcPr>
          <w:p w14:paraId="78492230" w14:textId="77777777" w:rsidR="00211C88" w:rsidRPr="00FD119B" w:rsidRDefault="00211C88" w:rsidP="007039E0">
            <w:r>
              <w:t>Australian Regulatory Guidelines for Prescription Medicines</w:t>
            </w:r>
          </w:p>
        </w:tc>
      </w:tr>
      <w:tr w:rsidR="00211C88" w14:paraId="7D522696" w14:textId="77777777" w:rsidTr="00C403B1">
        <w:tc>
          <w:tcPr>
            <w:tcW w:w="1809" w:type="dxa"/>
          </w:tcPr>
          <w:p w14:paraId="3EA89FEE" w14:textId="77777777" w:rsidR="00211C88" w:rsidRDefault="00211C88" w:rsidP="007039E0">
            <w:r>
              <w:t>ASA</w:t>
            </w:r>
          </w:p>
        </w:tc>
        <w:tc>
          <w:tcPr>
            <w:tcW w:w="6911" w:type="dxa"/>
          </w:tcPr>
          <w:p w14:paraId="660C34CA" w14:textId="5E3E6C65" w:rsidR="00211C88" w:rsidRDefault="00211C88" w:rsidP="007039E0">
            <w:r>
              <w:t>Australia specific Annex</w:t>
            </w:r>
          </w:p>
        </w:tc>
      </w:tr>
      <w:tr w:rsidR="00211C88" w14:paraId="44007329" w14:textId="77777777" w:rsidTr="00C403B1">
        <w:tc>
          <w:tcPr>
            <w:tcW w:w="1809" w:type="dxa"/>
          </w:tcPr>
          <w:p w14:paraId="539F3656" w14:textId="77777777" w:rsidR="00211C88" w:rsidRDefault="00211C88" w:rsidP="007039E0">
            <w:r>
              <w:t>CMI</w:t>
            </w:r>
          </w:p>
        </w:tc>
        <w:tc>
          <w:tcPr>
            <w:tcW w:w="6911" w:type="dxa"/>
          </w:tcPr>
          <w:p w14:paraId="1DF4662C" w14:textId="77777777" w:rsidR="00211C88" w:rsidRDefault="00211C88" w:rsidP="007039E0">
            <w:r>
              <w:t>Consumer Medicines Information</w:t>
            </w:r>
          </w:p>
        </w:tc>
      </w:tr>
      <w:tr w:rsidR="00211C88" w:rsidRPr="00FD119B" w14:paraId="1F94A075" w14:textId="77777777" w:rsidTr="00C403B1">
        <w:tc>
          <w:tcPr>
            <w:tcW w:w="1809" w:type="dxa"/>
          </w:tcPr>
          <w:p w14:paraId="604EC92E" w14:textId="77777777" w:rsidR="00211C88" w:rsidRPr="00FD119B" w:rsidRDefault="00211C88" w:rsidP="007039E0">
            <w:r>
              <w:t>CPD</w:t>
            </w:r>
          </w:p>
        </w:tc>
        <w:tc>
          <w:tcPr>
            <w:tcW w:w="6911" w:type="dxa"/>
          </w:tcPr>
          <w:p w14:paraId="4988C905" w14:textId="77777777" w:rsidR="00211C88" w:rsidRPr="00FD119B" w:rsidRDefault="00211C88" w:rsidP="007039E0">
            <w:r>
              <w:t>Certified Product Details</w:t>
            </w:r>
          </w:p>
        </w:tc>
      </w:tr>
      <w:tr w:rsidR="00211C88" w:rsidRPr="00FD119B" w14:paraId="03A719C0" w14:textId="77777777" w:rsidTr="00C403B1">
        <w:tc>
          <w:tcPr>
            <w:tcW w:w="1809" w:type="dxa"/>
          </w:tcPr>
          <w:p w14:paraId="23DC619A" w14:textId="77777777" w:rsidR="00211C88" w:rsidRPr="00FD119B" w:rsidRDefault="00211C88" w:rsidP="007039E0">
            <w:r>
              <w:t>CV</w:t>
            </w:r>
          </w:p>
        </w:tc>
        <w:tc>
          <w:tcPr>
            <w:tcW w:w="6911" w:type="dxa"/>
          </w:tcPr>
          <w:p w14:paraId="58991428" w14:textId="77777777" w:rsidR="00211C88" w:rsidRPr="00FD119B" w:rsidRDefault="00211C88" w:rsidP="007039E0">
            <w:r>
              <w:t>Cardiovascular</w:t>
            </w:r>
          </w:p>
        </w:tc>
      </w:tr>
      <w:tr w:rsidR="00211C88" w:rsidRPr="00FD119B" w14:paraId="59790A5C" w14:textId="77777777" w:rsidTr="00C403B1">
        <w:tc>
          <w:tcPr>
            <w:tcW w:w="1809" w:type="dxa"/>
          </w:tcPr>
          <w:p w14:paraId="3C939EB6" w14:textId="77777777" w:rsidR="00211C88" w:rsidRPr="00FD119B" w:rsidRDefault="00211C88" w:rsidP="007039E0">
            <w:r>
              <w:t>CVOT</w:t>
            </w:r>
          </w:p>
        </w:tc>
        <w:tc>
          <w:tcPr>
            <w:tcW w:w="6911" w:type="dxa"/>
          </w:tcPr>
          <w:p w14:paraId="063C7C4B" w14:textId="77777777" w:rsidR="00211C88" w:rsidRPr="00FD119B" w:rsidRDefault="00211C88" w:rsidP="007039E0">
            <w:r>
              <w:t>Cardiovascular outcome trial</w:t>
            </w:r>
          </w:p>
        </w:tc>
      </w:tr>
      <w:tr w:rsidR="00211C88" w14:paraId="6BB6B81D" w14:textId="77777777" w:rsidTr="00C403B1">
        <w:tc>
          <w:tcPr>
            <w:tcW w:w="1809" w:type="dxa"/>
          </w:tcPr>
          <w:p w14:paraId="138F3F58" w14:textId="77777777" w:rsidR="00211C88" w:rsidRDefault="00211C88" w:rsidP="007039E0">
            <w:r>
              <w:t>DLP</w:t>
            </w:r>
          </w:p>
        </w:tc>
        <w:tc>
          <w:tcPr>
            <w:tcW w:w="6911" w:type="dxa"/>
          </w:tcPr>
          <w:p w14:paraId="797DD73A" w14:textId="77777777" w:rsidR="00211C88" w:rsidRDefault="00211C88" w:rsidP="007039E0">
            <w:r>
              <w:t>Data lock point</w:t>
            </w:r>
          </w:p>
        </w:tc>
      </w:tr>
      <w:tr w:rsidR="004317C3" w:rsidRPr="00FD119B" w14:paraId="4B675613" w14:textId="77777777" w:rsidTr="00C403B1">
        <w:tc>
          <w:tcPr>
            <w:tcW w:w="1809" w:type="dxa"/>
          </w:tcPr>
          <w:p w14:paraId="5BC22E0A" w14:textId="77777777" w:rsidR="004317C3" w:rsidRDefault="004317C3" w:rsidP="007039E0">
            <w:r>
              <w:t>DNA</w:t>
            </w:r>
          </w:p>
        </w:tc>
        <w:tc>
          <w:tcPr>
            <w:tcW w:w="6911" w:type="dxa"/>
          </w:tcPr>
          <w:p w14:paraId="436D1910" w14:textId="77777777" w:rsidR="004317C3" w:rsidRDefault="004317C3" w:rsidP="007039E0">
            <w:r w:rsidRPr="004317C3">
              <w:t>Deoxyribonucleic acid</w:t>
            </w:r>
          </w:p>
        </w:tc>
      </w:tr>
      <w:tr w:rsidR="00211C88" w:rsidRPr="00FD119B" w14:paraId="61A34EB6" w14:textId="77777777" w:rsidTr="00C403B1">
        <w:tc>
          <w:tcPr>
            <w:tcW w:w="1809" w:type="dxa"/>
          </w:tcPr>
          <w:p w14:paraId="565DF9E2" w14:textId="77777777" w:rsidR="00211C88" w:rsidRPr="00FD119B" w:rsidRDefault="00211C88" w:rsidP="007039E0">
            <w:r>
              <w:t>DPP-4</w:t>
            </w:r>
          </w:p>
        </w:tc>
        <w:tc>
          <w:tcPr>
            <w:tcW w:w="6911" w:type="dxa"/>
          </w:tcPr>
          <w:p w14:paraId="6E482AEA" w14:textId="77777777" w:rsidR="00211C88" w:rsidRPr="00FD119B" w:rsidRDefault="00211C88" w:rsidP="007039E0">
            <w:r>
              <w:t>D</w:t>
            </w:r>
            <w:r w:rsidRPr="00FE32E2">
              <w:t>ipeptidyl peptida</w:t>
            </w:r>
            <w:r>
              <w:t>se-4</w:t>
            </w:r>
          </w:p>
        </w:tc>
      </w:tr>
      <w:tr w:rsidR="00211C88" w:rsidRPr="00FD119B" w14:paraId="1D45A962" w14:textId="77777777" w:rsidTr="00C403B1">
        <w:tc>
          <w:tcPr>
            <w:tcW w:w="1809" w:type="dxa"/>
          </w:tcPr>
          <w:p w14:paraId="510F981F" w14:textId="77777777" w:rsidR="00211C88" w:rsidRPr="00FD119B" w:rsidRDefault="00211C88" w:rsidP="007039E0">
            <w:r>
              <w:t>ER</w:t>
            </w:r>
          </w:p>
        </w:tc>
        <w:tc>
          <w:tcPr>
            <w:tcW w:w="6911" w:type="dxa"/>
          </w:tcPr>
          <w:p w14:paraId="5E4BCEB4" w14:textId="77777777" w:rsidR="00211C88" w:rsidRPr="00FD119B" w:rsidRDefault="00211C88" w:rsidP="007039E0">
            <w:r>
              <w:t>Extended release</w:t>
            </w:r>
          </w:p>
        </w:tc>
      </w:tr>
      <w:tr w:rsidR="00211C88" w:rsidRPr="00FD119B" w14:paraId="1AF94229" w14:textId="77777777" w:rsidTr="00C403B1">
        <w:tc>
          <w:tcPr>
            <w:tcW w:w="1809" w:type="dxa"/>
          </w:tcPr>
          <w:p w14:paraId="147FCDDA" w14:textId="77777777" w:rsidR="00211C88" w:rsidRPr="00FD119B" w:rsidRDefault="00211C88" w:rsidP="007039E0">
            <w:r>
              <w:t>EU</w:t>
            </w:r>
          </w:p>
        </w:tc>
        <w:tc>
          <w:tcPr>
            <w:tcW w:w="6911" w:type="dxa"/>
          </w:tcPr>
          <w:p w14:paraId="0608CEFC" w14:textId="77777777" w:rsidR="00211C88" w:rsidRPr="00FD119B" w:rsidRDefault="00211C88" w:rsidP="007039E0">
            <w:r>
              <w:t>European Union</w:t>
            </w:r>
          </w:p>
        </w:tc>
      </w:tr>
      <w:tr w:rsidR="00211C88" w14:paraId="06F0FF52" w14:textId="77777777" w:rsidTr="00C403B1">
        <w:tc>
          <w:tcPr>
            <w:tcW w:w="1809" w:type="dxa"/>
          </w:tcPr>
          <w:p w14:paraId="676BE39A" w14:textId="77777777" w:rsidR="00211C88" w:rsidRDefault="00211C88" w:rsidP="007039E0">
            <w:r>
              <w:t>EU-RMP</w:t>
            </w:r>
          </w:p>
        </w:tc>
        <w:tc>
          <w:tcPr>
            <w:tcW w:w="6911" w:type="dxa"/>
          </w:tcPr>
          <w:p w14:paraId="31077A71" w14:textId="77777777" w:rsidR="00211C88" w:rsidRDefault="00211C88" w:rsidP="007039E0">
            <w:r>
              <w:t>European Union risk management plan</w:t>
            </w:r>
          </w:p>
        </w:tc>
      </w:tr>
      <w:tr w:rsidR="00211C88" w:rsidRPr="00FD119B" w14:paraId="721D976F" w14:textId="77777777" w:rsidTr="00C403B1">
        <w:tc>
          <w:tcPr>
            <w:tcW w:w="1809" w:type="dxa"/>
          </w:tcPr>
          <w:p w14:paraId="667F9E17" w14:textId="77777777" w:rsidR="00211C88" w:rsidRPr="00FD119B" w:rsidRDefault="00211C88" w:rsidP="007039E0">
            <w:r>
              <w:t>GI</w:t>
            </w:r>
          </w:p>
        </w:tc>
        <w:tc>
          <w:tcPr>
            <w:tcW w:w="6911" w:type="dxa"/>
          </w:tcPr>
          <w:p w14:paraId="48E0C620" w14:textId="77777777" w:rsidR="00211C88" w:rsidRPr="00FD119B" w:rsidRDefault="00211C88" w:rsidP="007039E0">
            <w:r>
              <w:t>Gastrointestinal</w:t>
            </w:r>
          </w:p>
        </w:tc>
      </w:tr>
      <w:tr w:rsidR="00211C88" w:rsidRPr="00FD119B" w14:paraId="79DA8F9D" w14:textId="77777777" w:rsidTr="00C403B1">
        <w:tc>
          <w:tcPr>
            <w:tcW w:w="1809" w:type="dxa"/>
          </w:tcPr>
          <w:p w14:paraId="7447670C" w14:textId="77777777" w:rsidR="00211C88" w:rsidRPr="00FD119B" w:rsidRDefault="00211C88" w:rsidP="007039E0">
            <w:r>
              <w:t>GLP-1</w:t>
            </w:r>
          </w:p>
        </w:tc>
        <w:tc>
          <w:tcPr>
            <w:tcW w:w="6911" w:type="dxa"/>
          </w:tcPr>
          <w:p w14:paraId="72491C96" w14:textId="77777777" w:rsidR="00211C88" w:rsidRPr="00FD119B" w:rsidRDefault="00211C88" w:rsidP="007039E0">
            <w:r>
              <w:t>Glucagon like peptide-1</w:t>
            </w:r>
          </w:p>
        </w:tc>
      </w:tr>
      <w:tr w:rsidR="00211C88" w:rsidRPr="00FD119B" w14:paraId="3CDC5863" w14:textId="77777777" w:rsidTr="00C403B1">
        <w:tc>
          <w:tcPr>
            <w:tcW w:w="1809" w:type="dxa"/>
          </w:tcPr>
          <w:p w14:paraId="50C4743E" w14:textId="77777777" w:rsidR="00211C88" w:rsidRPr="00FD119B" w:rsidRDefault="00211C88" w:rsidP="007039E0">
            <w:r>
              <w:t>GLP-1 RA</w:t>
            </w:r>
          </w:p>
        </w:tc>
        <w:tc>
          <w:tcPr>
            <w:tcW w:w="6911" w:type="dxa"/>
          </w:tcPr>
          <w:p w14:paraId="1BAC5241" w14:textId="77777777" w:rsidR="00211C88" w:rsidRPr="00FD119B" w:rsidRDefault="00211C88" w:rsidP="007039E0">
            <w:r>
              <w:t>Glucagon like peptide-1 receptor agonist</w:t>
            </w:r>
          </w:p>
        </w:tc>
      </w:tr>
      <w:tr w:rsidR="00211C88" w:rsidRPr="00FD119B" w14:paraId="6627DA54" w14:textId="77777777" w:rsidTr="00C403B1">
        <w:tc>
          <w:tcPr>
            <w:tcW w:w="1809" w:type="dxa"/>
          </w:tcPr>
          <w:p w14:paraId="6C37A075" w14:textId="77777777" w:rsidR="00211C88" w:rsidRPr="00FD119B" w:rsidRDefault="00211C88" w:rsidP="007039E0">
            <w:r>
              <w:t>GMP</w:t>
            </w:r>
          </w:p>
        </w:tc>
        <w:tc>
          <w:tcPr>
            <w:tcW w:w="6911" w:type="dxa"/>
          </w:tcPr>
          <w:p w14:paraId="2D13A82F" w14:textId="77777777" w:rsidR="00211C88" w:rsidRPr="00FD119B" w:rsidRDefault="00211C88" w:rsidP="007039E0">
            <w:r>
              <w:t>Good Manufacturing Practice</w:t>
            </w:r>
          </w:p>
        </w:tc>
      </w:tr>
      <w:tr w:rsidR="00211C88" w14:paraId="10FBF9E3" w14:textId="77777777" w:rsidTr="00C403B1">
        <w:tc>
          <w:tcPr>
            <w:tcW w:w="1809" w:type="dxa"/>
          </w:tcPr>
          <w:p w14:paraId="21EFBEC1" w14:textId="77777777" w:rsidR="00211C88" w:rsidRDefault="00211C88" w:rsidP="007039E0">
            <w:r>
              <w:t>GVP</w:t>
            </w:r>
          </w:p>
        </w:tc>
        <w:tc>
          <w:tcPr>
            <w:tcW w:w="6911" w:type="dxa"/>
          </w:tcPr>
          <w:p w14:paraId="0575BDB8" w14:textId="645EF968" w:rsidR="00211C88" w:rsidRDefault="00211C88" w:rsidP="007039E0">
            <w:r>
              <w:t>Good Pharmacovigilance Practice</w:t>
            </w:r>
            <w:r w:rsidR="00DB18D1">
              <w:t>(</w:t>
            </w:r>
            <w:r>
              <w:t>s</w:t>
            </w:r>
            <w:r w:rsidR="00DB18D1">
              <w:t>)</w:t>
            </w:r>
          </w:p>
        </w:tc>
      </w:tr>
      <w:tr w:rsidR="00211C88" w:rsidRPr="00FD119B" w14:paraId="67AF24CA" w14:textId="77777777" w:rsidTr="00C403B1">
        <w:tc>
          <w:tcPr>
            <w:tcW w:w="1809" w:type="dxa"/>
          </w:tcPr>
          <w:p w14:paraId="2DAE3C3A" w14:textId="77777777" w:rsidR="00211C88" w:rsidRPr="00FD119B" w:rsidRDefault="00211C88" w:rsidP="007039E0">
            <w:r>
              <w:t>HbA1c</w:t>
            </w:r>
          </w:p>
        </w:tc>
        <w:tc>
          <w:tcPr>
            <w:tcW w:w="6911" w:type="dxa"/>
          </w:tcPr>
          <w:p w14:paraId="104950D8" w14:textId="77777777" w:rsidR="00211C88" w:rsidRPr="00FD119B" w:rsidRDefault="00211C88" w:rsidP="007039E0">
            <w:r>
              <w:t>Glycated haemoglobin</w:t>
            </w:r>
          </w:p>
        </w:tc>
      </w:tr>
      <w:tr w:rsidR="00211C88" w:rsidRPr="00FD119B" w14:paraId="7EE7DD07" w14:textId="77777777" w:rsidTr="00C403B1">
        <w:tc>
          <w:tcPr>
            <w:tcW w:w="1809" w:type="dxa"/>
          </w:tcPr>
          <w:p w14:paraId="45234DAC" w14:textId="77777777" w:rsidR="00211C88" w:rsidRDefault="00211C88" w:rsidP="007039E0">
            <w:r>
              <w:t>MACE</w:t>
            </w:r>
          </w:p>
        </w:tc>
        <w:tc>
          <w:tcPr>
            <w:tcW w:w="6911" w:type="dxa"/>
          </w:tcPr>
          <w:p w14:paraId="766795B9" w14:textId="3C749879" w:rsidR="00211C88" w:rsidRDefault="00211C88" w:rsidP="007039E0">
            <w:r>
              <w:t>Major adverse coronary event</w:t>
            </w:r>
            <w:r w:rsidR="00DB18D1">
              <w:t>(</w:t>
            </w:r>
            <w:r>
              <w:t>s</w:t>
            </w:r>
            <w:r w:rsidR="00DB18D1">
              <w:t>)</w:t>
            </w:r>
          </w:p>
        </w:tc>
      </w:tr>
      <w:tr w:rsidR="00211C88" w:rsidRPr="00FD119B" w14:paraId="33E03267" w14:textId="77777777" w:rsidTr="00C403B1">
        <w:tc>
          <w:tcPr>
            <w:tcW w:w="1809" w:type="dxa"/>
          </w:tcPr>
          <w:p w14:paraId="20175B71" w14:textId="77777777" w:rsidR="00211C88" w:rsidRPr="00FD119B" w:rsidRDefault="00211C88" w:rsidP="007039E0">
            <w:r>
              <w:t>PD</w:t>
            </w:r>
          </w:p>
        </w:tc>
        <w:tc>
          <w:tcPr>
            <w:tcW w:w="6911" w:type="dxa"/>
          </w:tcPr>
          <w:p w14:paraId="3B1BC84E" w14:textId="77777777" w:rsidR="00211C88" w:rsidRPr="00FD119B" w:rsidRDefault="00211C88" w:rsidP="007039E0">
            <w:r>
              <w:t>Pharmacodynamic(s)</w:t>
            </w:r>
          </w:p>
        </w:tc>
      </w:tr>
      <w:tr w:rsidR="00211C88" w:rsidRPr="00FD119B" w14:paraId="01BD4F17" w14:textId="77777777" w:rsidTr="00C403B1">
        <w:tc>
          <w:tcPr>
            <w:tcW w:w="1809" w:type="dxa"/>
          </w:tcPr>
          <w:p w14:paraId="3AFA59A2" w14:textId="77777777" w:rsidR="00211C88" w:rsidRPr="00FD119B" w:rsidRDefault="00211C88" w:rsidP="007039E0">
            <w:r>
              <w:t>PI</w:t>
            </w:r>
          </w:p>
        </w:tc>
        <w:tc>
          <w:tcPr>
            <w:tcW w:w="6911" w:type="dxa"/>
          </w:tcPr>
          <w:p w14:paraId="314D68E1" w14:textId="77777777" w:rsidR="00211C88" w:rsidRPr="00FD119B" w:rsidRDefault="00211C88" w:rsidP="007039E0">
            <w:r>
              <w:t>Product Information</w:t>
            </w:r>
          </w:p>
        </w:tc>
      </w:tr>
      <w:tr w:rsidR="00211C88" w:rsidRPr="00FD119B" w14:paraId="441BD61B" w14:textId="77777777" w:rsidTr="00C403B1">
        <w:tc>
          <w:tcPr>
            <w:tcW w:w="1809" w:type="dxa"/>
          </w:tcPr>
          <w:p w14:paraId="568FE68B" w14:textId="77777777" w:rsidR="00211C88" w:rsidRPr="00FD119B" w:rsidRDefault="00211C88" w:rsidP="007039E0">
            <w:r>
              <w:t>PK</w:t>
            </w:r>
          </w:p>
        </w:tc>
        <w:tc>
          <w:tcPr>
            <w:tcW w:w="6911" w:type="dxa"/>
          </w:tcPr>
          <w:p w14:paraId="698C3D62" w14:textId="77777777" w:rsidR="00211C88" w:rsidRPr="00FD119B" w:rsidRDefault="00211C88" w:rsidP="007039E0">
            <w:r>
              <w:t>Pharmacokinetic(s)</w:t>
            </w:r>
          </w:p>
        </w:tc>
      </w:tr>
      <w:tr w:rsidR="00211C88" w:rsidRPr="00FD119B" w14:paraId="4F282066" w14:textId="77777777" w:rsidTr="00C403B1">
        <w:tc>
          <w:tcPr>
            <w:tcW w:w="1809" w:type="dxa"/>
          </w:tcPr>
          <w:p w14:paraId="7AF1AD29" w14:textId="77777777" w:rsidR="00211C88" w:rsidRPr="00FD119B" w:rsidRDefault="00211C88" w:rsidP="007039E0">
            <w:r>
              <w:t>PopPK</w:t>
            </w:r>
          </w:p>
        </w:tc>
        <w:tc>
          <w:tcPr>
            <w:tcW w:w="6911" w:type="dxa"/>
          </w:tcPr>
          <w:p w14:paraId="248CF88E" w14:textId="77777777" w:rsidR="00211C88" w:rsidRPr="00FD119B" w:rsidRDefault="00211C88" w:rsidP="007039E0">
            <w:r>
              <w:t>Population pharmacokinetic(s)</w:t>
            </w:r>
          </w:p>
        </w:tc>
      </w:tr>
      <w:tr w:rsidR="00211C88" w14:paraId="7219DF01" w14:textId="77777777" w:rsidTr="00C403B1">
        <w:tc>
          <w:tcPr>
            <w:tcW w:w="1809" w:type="dxa"/>
          </w:tcPr>
          <w:p w14:paraId="516FC777" w14:textId="77777777" w:rsidR="00211C88" w:rsidRDefault="00211C88" w:rsidP="007039E0">
            <w:r>
              <w:lastRenderedPageBreak/>
              <w:t>PSUR</w:t>
            </w:r>
          </w:p>
        </w:tc>
        <w:tc>
          <w:tcPr>
            <w:tcW w:w="6911" w:type="dxa"/>
          </w:tcPr>
          <w:p w14:paraId="4843F4F9" w14:textId="7874950E" w:rsidR="00211C88" w:rsidRDefault="00211C88" w:rsidP="007039E0">
            <w:r>
              <w:t>Periodic safety update report</w:t>
            </w:r>
          </w:p>
        </w:tc>
      </w:tr>
      <w:tr w:rsidR="00211C88" w:rsidRPr="00FD119B" w14:paraId="31FA602C" w14:textId="77777777" w:rsidTr="00C403B1">
        <w:tc>
          <w:tcPr>
            <w:tcW w:w="1809" w:type="dxa"/>
          </w:tcPr>
          <w:p w14:paraId="658D0E71" w14:textId="77777777" w:rsidR="00211C88" w:rsidRPr="00FD119B" w:rsidRDefault="00211C88" w:rsidP="007039E0">
            <w:r>
              <w:t>RA</w:t>
            </w:r>
          </w:p>
        </w:tc>
        <w:tc>
          <w:tcPr>
            <w:tcW w:w="6911" w:type="dxa"/>
          </w:tcPr>
          <w:p w14:paraId="6F6FE03C" w14:textId="77777777" w:rsidR="00211C88" w:rsidRPr="00FD119B" w:rsidRDefault="00211C88" w:rsidP="007039E0">
            <w:r>
              <w:t>Receptor agonist</w:t>
            </w:r>
          </w:p>
        </w:tc>
      </w:tr>
      <w:tr w:rsidR="00211C88" w14:paraId="432627A1" w14:textId="77777777" w:rsidTr="00C403B1">
        <w:tc>
          <w:tcPr>
            <w:tcW w:w="1809" w:type="dxa"/>
          </w:tcPr>
          <w:p w14:paraId="6D4853EB" w14:textId="77777777" w:rsidR="00211C88" w:rsidRDefault="00211C88" w:rsidP="007039E0">
            <w:r>
              <w:t>RMP</w:t>
            </w:r>
          </w:p>
        </w:tc>
        <w:tc>
          <w:tcPr>
            <w:tcW w:w="6911" w:type="dxa"/>
          </w:tcPr>
          <w:p w14:paraId="0AC859B5" w14:textId="77777777" w:rsidR="00211C88" w:rsidRDefault="00211C88" w:rsidP="007039E0">
            <w:r>
              <w:t>Risk management plan</w:t>
            </w:r>
          </w:p>
        </w:tc>
      </w:tr>
      <w:tr w:rsidR="00211C88" w14:paraId="47989B21" w14:textId="77777777" w:rsidTr="00C403B1">
        <w:tc>
          <w:tcPr>
            <w:tcW w:w="1809" w:type="dxa"/>
          </w:tcPr>
          <w:p w14:paraId="29CB3224" w14:textId="77777777" w:rsidR="00211C88" w:rsidRDefault="00211C88" w:rsidP="007039E0">
            <w:r>
              <w:t>SAE</w:t>
            </w:r>
          </w:p>
        </w:tc>
        <w:tc>
          <w:tcPr>
            <w:tcW w:w="6911" w:type="dxa"/>
          </w:tcPr>
          <w:p w14:paraId="734F6312" w14:textId="6408B779" w:rsidR="00211C88" w:rsidRDefault="00211C88" w:rsidP="007039E0">
            <w:r>
              <w:t>Serious adverse event</w:t>
            </w:r>
          </w:p>
        </w:tc>
      </w:tr>
      <w:tr w:rsidR="00211C88" w:rsidRPr="00FD119B" w14:paraId="4D3DE4C5" w14:textId="77777777" w:rsidTr="00C403B1">
        <w:tc>
          <w:tcPr>
            <w:tcW w:w="1809" w:type="dxa"/>
          </w:tcPr>
          <w:p w14:paraId="448428EA" w14:textId="77777777" w:rsidR="00211C88" w:rsidRPr="00FD119B" w:rsidRDefault="00211C88" w:rsidP="007039E0">
            <w:r>
              <w:t>SGLT-2</w:t>
            </w:r>
          </w:p>
        </w:tc>
        <w:tc>
          <w:tcPr>
            <w:tcW w:w="6911" w:type="dxa"/>
          </w:tcPr>
          <w:p w14:paraId="1D227060" w14:textId="77777777" w:rsidR="00211C88" w:rsidRPr="00FD119B" w:rsidRDefault="00211C88" w:rsidP="007039E0">
            <w:r>
              <w:t>S</w:t>
            </w:r>
            <w:r w:rsidRPr="00FE32E2">
              <w:t>odium-g</w:t>
            </w:r>
            <w:r>
              <w:t>lucose transport protein-2</w:t>
            </w:r>
          </w:p>
        </w:tc>
      </w:tr>
      <w:tr w:rsidR="00211C88" w:rsidRPr="00FD119B" w14:paraId="0A8D9DAF" w14:textId="77777777" w:rsidTr="00C403B1">
        <w:tc>
          <w:tcPr>
            <w:tcW w:w="1809" w:type="dxa"/>
          </w:tcPr>
          <w:p w14:paraId="5A7E47DC" w14:textId="77777777" w:rsidR="00211C88" w:rsidRDefault="00211C88" w:rsidP="007039E0">
            <w:r>
              <w:t>SU</w:t>
            </w:r>
          </w:p>
        </w:tc>
        <w:tc>
          <w:tcPr>
            <w:tcW w:w="6911" w:type="dxa"/>
          </w:tcPr>
          <w:p w14:paraId="3997AB26" w14:textId="1BD157C7" w:rsidR="00211C88" w:rsidRDefault="00211C88" w:rsidP="007039E0">
            <w:r>
              <w:t>S</w:t>
            </w:r>
            <w:r w:rsidRPr="00FE32E2">
              <w:t>ulfonylurea</w:t>
            </w:r>
          </w:p>
        </w:tc>
      </w:tr>
      <w:tr w:rsidR="00211C88" w:rsidRPr="00FD119B" w14:paraId="5FAF45BE" w14:textId="77777777" w:rsidTr="00C403B1">
        <w:tc>
          <w:tcPr>
            <w:tcW w:w="1809" w:type="dxa"/>
          </w:tcPr>
          <w:p w14:paraId="75E703FC" w14:textId="77777777" w:rsidR="00211C88" w:rsidRPr="00FD119B" w:rsidRDefault="00211C88" w:rsidP="007039E0">
            <w:r>
              <w:t>T2DM</w:t>
            </w:r>
          </w:p>
        </w:tc>
        <w:tc>
          <w:tcPr>
            <w:tcW w:w="6911" w:type="dxa"/>
          </w:tcPr>
          <w:p w14:paraId="3A90CA57" w14:textId="77777777" w:rsidR="00211C88" w:rsidRPr="00FD119B" w:rsidRDefault="00211C88" w:rsidP="007039E0">
            <w:r>
              <w:t>Type 2 diabetes mellitus</w:t>
            </w:r>
          </w:p>
        </w:tc>
      </w:tr>
      <w:tr w:rsidR="00211C88" w:rsidRPr="00FD119B" w14:paraId="4501E7A3" w14:textId="77777777" w:rsidTr="00C403B1">
        <w:tc>
          <w:tcPr>
            <w:tcW w:w="1809" w:type="dxa"/>
          </w:tcPr>
          <w:p w14:paraId="62137791" w14:textId="77777777" w:rsidR="00211C88" w:rsidRDefault="00211C88" w:rsidP="007039E0">
            <w:r>
              <w:t>TGA</w:t>
            </w:r>
          </w:p>
        </w:tc>
        <w:tc>
          <w:tcPr>
            <w:tcW w:w="6911" w:type="dxa"/>
          </w:tcPr>
          <w:p w14:paraId="1FDEE4F2" w14:textId="77777777" w:rsidR="00211C88" w:rsidRDefault="00211C88" w:rsidP="007039E0">
            <w:r>
              <w:t>Therapeutic Goods Administration</w:t>
            </w:r>
          </w:p>
        </w:tc>
      </w:tr>
      <w:tr w:rsidR="00211C88" w:rsidRPr="00FD119B" w14:paraId="44EA7125" w14:textId="77777777" w:rsidTr="00C403B1">
        <w:tc>
          <w:tcPr>
            <w:tcW w:w="1809" w:type="dxa"/>
          </w:tcPr>
          <w:p w14:paraId="75203C3E" w14:textId="77777777" w:rsidR="00211C88" w:rsidRPr="00FD119B" w:rsidRDefault="00211C88" w:rsidP="007039E0">
            <w:r>
              <w:t>TZD</w:t>
            </w:r>
          </w:p>
        </w:tc>
        <w:tc>
          <w:tcPr>
            <w:tcW w:w="6911" w:type="dxa"/>
          </w:tcPr>
          <w:p w14:paraId="70B4032B" w14:textId="77777777" w:rsidR="00211C88" w:rsidRPr="00FD119B" w:rsidRDefault="00211C88" w:rsidP="007039E0">
            <w:r>
              <w:t>Thiazolidinedione</w:t>
            </w:r>
          </w:p>
        </w:tc>
      </w:tr>
      <w:tr w:rsidR="00211C88" w:rsidRPr="00FD119B" w14:paraId="6FA329AF" w14:textId="77777777" w:rsidTr="00C403B1">
        <w:tc>
          <w:tcPr>
            <w:tcW w:w="1809" w:type="dxa"/>
          </w:tcPr>
          <w:p w14:paraId="71038143" w14:textId="77777777" w:rsidR="00211C88" w:rsidRPr="00FD119B" w:rsidRDefault="00211C88" w:rsidP="007039E0">
            <w:r>
              <w:t>US(A)</w:t>
            </w:r>
          </w:p>
        </w:tc>
        <w:tc>
          <w:tcPr>
            <w:tcW w:w="6911" w:type="dxa"/>
          </w:tcPr>
          <w:p w14:paraId="2E82EBF7" w14:textId="77777777" w:rsidR="00211C88" w:rsidRPr="00FD119B" w:rsidRDefault="00211C88" w:rsidP="007039E0">
            <w:r>
              <w:t>United States (of America)</w:t>
            </w:r>
          </w:p>
        </w:tc>
      </w:tr>
    </w:tbl>
    <w:p w14:paraId="61831F4D" w14:textId="77777777" w:rsidR="00FD119B" w:rsidRDefault="00FD119B" w:rsidP="00FD119B"/>
    <w:p w14:paraId="7E54A935" w14:textId="77777777" w:rsidR="00FD119B" w:rsidRPr="00FD119B" w:rsidRDefault="00FD119B" w:rsidP="00FD119B">
      <w:pPr>
        <w:spacing w:before="0" w:after="200" w:line="0" w:lineRule="auto"/>
        <w:rPr>
          <w:b/>
          <w:i/>
          <w:sz w:val="24"/>
          <w:szCs w:val="24"/>
        </w:rPr>
      </w:pPr>
      <w:r w:rsidRPr="00FD119B">
        <w:rPr>
          <w:b/>
          <w:i/>
          <w:sz w:val="24"/>
          <w:szCs w:val="24"/>
        </w:rPr>
        <w:br w:type="page"/>
      </w:r>
    </w:p>
    <w:p w14:paraId="10EC4719" w14:textId="77777777" w:rsidR="008E7846" w:rsidRDefault="00F53C07" w:rsidP="008E7846">
      <w:pPr>
        <w:pStyle w:val="Heading2"/>
      </w:pPr>
      <w:bookmarkStart w:id="9" w:name="_Toc57827158"/>
      <w:r>
        <w:lastRenderedPageBreak/>
        <w:t>I.</w:t>
      </w:r>
      <w:r w:rsidR="008E7846">
        <w:t xml:space="preserve"> Introduction to product submission</w:t>
      </w:r>
      <w:bookmarkEnd w:id="0"/>
      <w:bookmarkEnd w:id="3"/>
      <w:bookmarkEnd w:id="9"/>
    </w:p>
    <w:p w14:paraId="537052D6" w14:textId="77777777" w:rsidR="008E7846" w:rsidRDefault="008E7846" w:rsidP="008E7846">
      <w:pPr>
        <w:pStyle w:val="Heading3"/>
        <w:rPr>
          <w:lang w:eastAsia="en-AU"/>
        </w:rPr>
      </w:pPr>
      <w:bookmarkStart w:id="10" w:name="_Toc247691502"/>
      <w:bookmarkStart w:id="11" w:name="_Toc314842483"/>
      <w:bookmarkStart w:id="12" w:name="_Toc57827159"/>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40FC20FB" w14:textId="77777777" w:rsidTr="003735BC">
        <w:tc>
          <w:tcPr>
            <w:tcW w:w="2907" w:type="dxa"/>
          </w:tcPr>
          <w:p w14:paraId="1726C3E5"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4535EE19" w14:textId="77777777" w:rsidR="008E7846" w:rsidRPr="003D1E62" w:rsidRDefault="008E7846" w:rsidP="00C403B1">
            <w:r w:rsidRPr="003D1E62">
              <w:t xml:space="preserve">New </w:t>
            </w:r>
            <w:r w:rsidR="00C403B1">
              <w:t>biological entity</w:t>
            </w:r>
          </w:p>
        </w:tc>
      </w:tr>
      <w:tr w:rsidR="00460036" w:rsidRPr="003D1E62" w14:paraId="7E1D6713" w14:textId="77777777" w:rsidTr="003735BC">
        <w:tc>
          <w:tcPr>
            <w:tcW w:w="2907" w:type="dxa"/>
          </w:tcPr>
          <w:p w14:paraId="238A063E" w14:textId="77777777" w:rsidR="00460036" w:rsidRPr="003D1E62" w:rsidRDefault="00C403B1" w:rsidP="003D1E62">
            <w:pPr>
              <w:rPr>
                <w:i/>
              </w:rPr>
            </w:pPr>
            <w:r>
              <w:rPr>
                <w:i/>
              </w:rPr>
              <w:t>Product name</w:t>
            </w:r>
            <w:r w:rsidR="00460036" w:rsidRPr="00460036">
              <w:rPr>
                <w:i/>
              </w:rPr>
              <w:t>:</w:t>
            </w:r>
          </w:p>
        </w:tc>
        <w:tc>
          <w:tcPr>
            <w:tcW w:w="6307" w:type="dxa"/>
          </w:tcPr>
          <w:p w14:paraId="011E2FD3" w14:textId="77777777" w:rsidR="00460036" w:rsidRPr="003D1E62" w:rsidRDefault="00C403B1" w:rsidP="001B5C90">
            <w:proofErr w:type="spellStart"/>
            <w:r w:rsidRPr="00C403B1">
              <w:t>Ozempic</w:t>
            </w:r>
            <w:proofErr w:type="spellEnd"/>
          </w:p>
        </w:tc>
      </w:tr>
      <w:tr w:rsidR="00460036" w:rsidRPr="003D1E62" w14:paraId="016FCE9B" w14:textId="77777777" w:rsidTr="003735BC">
        <w:tc>
          <w:tcPr>
            <w:tcW w:w="2907" w:type="dxa"/>
          </w:tcPr>
          <w:p w14:paraId="4908314C" w14:textId="77777777" w:rsidR="00460036" w:rsidRPr="003D1E62" w:rsidRDefault="00C403B1" w:rsidP="003D1E62">
            <w:pPr>
              <w:rPr>
                <w:i/>
              </w:rPr>
            </w:pPr>
            <w:r>
              <w:rPr>
                <w:i/>
              </w:rPr>
              <w:t>Active ingredient</w:t>
            </w:r>
            <w:r w:rsidR="00460036" w:rsidRPr="00460036">
              <w:rPr>
                <w:i/>
              </w:rPr>
              <w:t>:</w:t>
            </w:r>
          </w:p>
        </w:tc>
        <w:tc>
          <w:tcPr>
            <w:tcW w:w="6307" w:type="dxa"/>
          </w:tcPr>
          <w:p w14:paraId="5A581D7B" w14:textId="77777777" w:rsidR="00460036" w:rsidRPr="003D1E62" w:rsidRDefault="00C403B1" w:rsidP="001B5C90">
            <w:proofErr w:type="spellStart"/>
            <w:r>
              <w:t>S</w:t>
            </w:r>
            <w:r w:rsidRPr="00C403B1">
              <w:t>emaglutide</w:t>
            </w:r>
            <w:proofErr w:type="spellEnd"/>
            <w:r>
              <w:t xml:space="preserve"> (rys)</w:t>
            </w:r>
          </w:p>
        </w:tc>
      </w:tr>
      <w:tr w:rsidR="008E7846" w:rsidRPr="003D1E62" w14:paraId="31DED6C6" w14:textId="77777777" w:rsidTr="003735BC">
        <w:tc>
          <w:tcPr>
            <w:tcW w:w="2907" w:type="dxa"/>
          </w:tcPr>
          <w:p w14:paraId="3955B865" w14:textId="77777777" w:rsidR="008E7846" w:rsidRPr="003D1E62" w:rsidRDefault="008E7846" w:rsidP="003D1E62">
            <w:r w:rsidRPr="003D1E62">
              <w:rPr>
                <w:i/>
              </w:rPr>
              <w:t>Decision</w:t>
            </w:r>
            <w:r w:rsidRPr="003D1E62">
              <w:t>:</w:t>
            </w:r>
          </w:p>
        </w:tc>
        <w:tc>
          <w:tcPr>
            <w:tcW w:w="6307" w:type="dxa"/>
          </w:tcPr>
          <w:p w14:paraId="288FDB5A" w14:textId="77777777" w:rsidR="008E7846" w:rsidRPr="003D1E62" w:rsidRDefault="00C403B1" w:rsidP="00C403B1">
            <w:r>
              <w:t>Approved</w:t>
            </w:r>
          </w:p>
        </w:tc>
      </w:tr>
      <w:tr w:rsidR="008E7846" w:rsidRPr="003D1E62" w14:paraId="050C0756" w14:textId="77777777" w:rsidTr="003735BC">
        <w:tc>
          <w:tcPr>
            <w:tcW w:w="2907" w:type="dxa"/>
          </w:tcPr>
          <w:p w14:paraId="4CE243EB"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1F546DFB" w14:textId="77777777" w:rsidR="008E7846" w:rsidRPr="003D1E62" w:rsidRDefault="00C403B1" w:rsidP="00C403B1">
            <w:r>
              <w:t>15 August 2019</w:t>
            </w:r>
          </w:p>
        </w:tc>
      </w:tr>
      <w:tr w:rsidR="00ED2922" w:rsidRPr="003D1E62" w14:paraId="5A4BE432" w14:textId="77777777" w:rsidTr="003735BC">
        <w:tc>
          <w:tcPr>
            <w:tcW w:w="2907" w:type="dxa"/>
          </w:tcPr>
          <w:p w14:paraId="398216DB" w14:textId="77777777" w:rsidR="00ED2922" w:rsidRPr="00441C3F" w:rsidRDefault="00ED2922" w:rsidP="001B5C90">
            <w:pPr>
              <w:rPr>
                <w:i/>
              </w:rPr>
            </w:pPr>
            <w:r w:rsidRPr="00441C3F">
              <w:rPr>
                <w:i/>
              </w:rPr>
              <w:t>Date of entry onto ARTG</w:t>
            </w:r>
            <w:r w:rsidR="00500337">
              <w:rPr>
                <w:i/>
              </w:rPr>
              <w:t>:</w:t>
            </w:r>
          </w:p>
        </w:tc>
        <w:tc>
          <w:tcPr>
            <w:tcW w:w="6307" w:type="dxa"/>
          </w:tcPr>
          <w:p w14:paraId="4EB39444" w14:textId="77777777" w:rsidR="00ED2922" w:rsidRPr="00441C3F" w:rsidRDefault="004B6BD2" w:rsidP="004B6BD2">
            <w:pPr>
              <w:rPr>
                <w:i/>
              </w:rPr>
            </w:pPr>
            <w:r>
              <w:t>28 August 2019</w:t>
            </w:r>
          </w:p>
        </w:tc>
      </w:tr>
      <w:tr w:rsidR="00500337" w:rsidRPr="003D1E62" w14:paraId="4CBC66EA" w14:textId="77777777" w:rsidTr="003735BC">
        <w:tc>
          <w:tcPr>
            <w:tcW w:w="2907" w:type="dxa"/>
          </w:tcPr>
          <w:p w14:paraId="2C7E36CB" w14:textId="77777777" w:rsidR="00500337" w:rsidRPr="00441C3F" w:rsidRDefault="007039E0" w:rsidP="001B5C90">
            <w:pPr>
              <w:rPr>
                <w:i/>
              </w:rPr>
            </w:pPr>
            <w:r>
              <w:rPr>
                <w:i/>
              </w:rPr>
              <w:t>ARTG numbers</w:t>
            </w:r>
            <w:r w:rsidR="00500337">
              <w:rPr>
                <w:i/>
              </w:rPr>
              <w:t>:</w:t>
            </w:r>
          </w:p>
        </w:tc>
        <w:tc>
          <w:tcPr>
            <w:tcW w:w="6307" w:type="dxa"/>
          </w:tcPr>
          <w:p w14:paraId="0108E16B" w14:textId="77777777" w:rsidR="00500337" w:rsidRPr="00441C3F" w:rsidRDefault="004B6BD2" w:rsidP="00EC463D">
            <w:r>
              <w:t>308324, 315107</w:t>
            </w:r>
          </w:p>
        </w:tc>
      </w:tr>
      <w:tr w:rsidR="003735BC" w:rsidRPr="003D1E62" w14:paraId="542C83DB" w14:textId="77777777" w:rsidTr="003735BC">
        <w:tc>
          <w:tcPr>
            <w:tcW w:w="2907" w:type="dxa"/>
          </w:tcPr>
          <w:p w14:paraId="72C4FCD1"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bookmarkStart w:id="13" w:name="_Ref54907412"/>
            <w:r w:rsidR="00460036">
              <w:rPr>
                <w:rStyle w:val="FootnoteReference"/>
                <w:i/>
              </w:rPr>
              <w:footnoteReference w:id="1"/>
            </w:r>
            <w:bookmarkEnd w:id="13"/>
          </w:p>
        </w:tc>
        <w:tc>
          <w:tcPr>
            <w:tcW w:w="6307" w:type="dxa"/>
          </w:tcPr>
          <w:p w14:paraId="0A23D31E" w14:textId="77777777" w:rsidR="003735BC" w:rsidRDefault="004B6BD2" w:rsidP="003735BC">
            <w:r>
              <w:t>Yes</w:t>
            </w:r>
          </w:p>
          <w:p w14:paraId="1B66DCAC" w14:textId="77777777" w:rsidR="003735BC" w:rsidRPr="00487162" w:rsidRDefault="003735BC" w:rsidP="003735BC">
            <w:r>
              <w:t xml:space="preserve">This product will remain in the scheme for 5 years, starting on the date the product is first supplied in </w:t>
            </w:r>
            <w:r w:rsidR="004B6BD2">
              <w:t>Australia.</w:t>
            </w:r>
          </w:p>
        </w:tc>
      </w:tr>
      <w:tr w:rsidR="008E7846" w:rsidRPr="00487162" w14:paraId="7FF02949" w14:textId="77777777" w:rsidTr="00BF1190">
        <w:tc>
          <w:tcPr>
            <w:tcW w:w="2907" w:type="dxa"/>
          </w:tcPr>
          <w:p w14:paraId="74404365"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60666A4F" w14:textId="77777777" w:rsidR="004B6BD2" w:rsidRDefault="004B6BD2" w:rsidP="004B6BD2">
            <w:r>
              <w:t>Novo Nordisk Pharmaceuticals Pty Ltd</w:t>
            </w:r>
          </w:p>
          <w:p w14:paraId="540932D6" w14:textId="77777777" w:rsidR="008E7846" w:rsidRPr="00487162" w:rsidRDefault="00D5579B" w:rsidP="004B6BD2">
            <w:r w:rsidRPr="00D5579B">
              <w:t xml:space="preserve">Level 3, </w:t>
            </w:r>
            <w:r w:rsidR="004B6BD2">
              <w:t>21 Solent Circuit, Baulkham Hills NSW 2153</w:t>
            </w:r>
          </w:p>
        </w:tc>
      </w:tr>
      <w:tr w:rsidR="008E7846" w:rsidRPr="00487162" w14:paraId="0FF254B6" w14:textId="77777777" w:rsidTr="00BF1190">
        <w:tc>
          <w:tcPr>
            <w:tcW w:w="2907" w:type="dxa"/>
          </w:tcPr>
          <w:p w14:paraId="3B6CC4CA" w14:textId="77777777" w:rsidR="008E7846" w:rsidRPr="00487162" w:rsidRDefault="004B6BD2" w:rsidP="00E45619">
            <w:pPr>
              <w:rPr>
                <w:i/>
              </w:rPr>
            </w:pPr>
            <w:r>
              <w:rPr>
                <w:i/>
              </w:rPr>
              <w:t>Dose form</w:t>
            </w:r>
            <w:r w:rsidR="001B5C90">
              <w:rPr>
                <w:i/>
              </w:rPr>
              <w:t>:</w:t>
            </w:r>
          </w:p>
        </w:tc>
        <w:tc>
          <w:tcPr>
            <w:tcW w:w="6307" w:type="dxa"/>
          </w:tcPr>
          <w:p w14:paraId="56C6492E" w14:textId="77777777" w:rsidR="008E7846" w:rsidRPr="00487162" w:rsidRDefault="004B6BD2" w:rsidP="00E45619">
            <w:r>
              <w:t>Solution for injection</w:t>
            </w:r>
          </w:p>
        </w:tc>
      </w:tr>
      <w:tr w:rsidR="008E7846" w:rsidRPr="00487162" w14:paraId="272973CA" w14:textId="77777777" w:rsidTr="00BF1190">
        <w:tc>
          <w:tcPr>
            <w:tcW w:w="2907" w:type="dxa"/>
          </w:tcPr>
          <w:p w14:paraId="5EA88C47" w14:textId="3A084121" w:rsidR="008E7846" w:rsidRPr="00487162" w:rsidRDefault="004B6BD2" w:rsidP="00E45619">
            <w:pPr>
              <w:rPr>
                <w:i/>
              </w:rPr>
            </w:pPr>
            <w:r>
              <w:rPr>
                <w:i/>
              </w:rPr>
              <w:t>Strength</w:t>
            </w:r>
            <w:r w:rsidR="008E7846" w:rsidRPr="00487162">
              <w:rPr>
                <w:i/>
              </w:rPr>
              <w:t>:</w:t>
            </w:r>
          </w:p>
        </w:tc>
        <w:tc>
          <w:tcPr>
            <w:tcW w:w="6307" w:type="dxa"/>
          </w:tcPr>
          <w:p w14:paraId="031A688C" w14:textId="77777777" w:rsidR="008E7846" w:rsidRPr="00487162" w:rsidRDefault="004B6BD2" w:rsidP="00E45619">
            <w:r>
              <w:t>1.34 mg/mL</w:t>
            </w:r>
          </w:p>
        </w:tc>
      </w:tr>
      <w:tr w:rsidR="008E7846" w:rsidRPr="00487162" w14:paraId="22A18CD6" w14:textId="77777777" w:rsidTr="00BF1190">
        <w:tc>
          <w:tcPr>
            <w:tcW w:w="2907" w:type="dxa"/>
          </w:tcPr>
          <w:p w14:paraId="7C4BD74F" w14:textId="77777777" w:rsidR="008E7846" w:rsidRPr="00487162" w:rsidRDefault="004B6BD2" w:rsidP="00E45619">
            <w:pPr>
              <w:rPr>
                <w:i/>
              </w:rPr>
            </w:pPr>
            <w:r>
              <w:rPr>
                <w:i/>
              </w:rPr>
              <w:t>Container</w:t>
            </w:r>
            <w:r w:rsidR="008E7846" w:rsidRPr="00487162">
              <w:rPr>
                <w:i/>
              </w:rPr>
              <w:t>:</w:t>
            </w:r>
          </w:p>
        </w:tc>
        <w:tc>
          <w:tcPr>
            <w:tcW w:w="6307" w:type="dxa"/>
          </w:tcPr>
          <w:p w14:paraId="048FFB1F" w14:textId="77777777" w:rsidR="008E7846" w:rsidRPr="00487162" w:rsidRDefault="004B6BD2" w:rsidP="00E45619">
            <w:r>
              <w:t>Pre-filled pen</w:t>
            </w:r>
          </w:p>
        </w:tc>
      </w:tr>
      <w:tr w:rsidR="008E7846" w:rsidRPr="00487162" w14:paraId="526CD814" w14:textId="77777777" w:rsidTr="00BF1190">
        <w:tc>
          <w:tcPr>
            <w:tcW w:w="2907" w:type="dxa"/>
          </w:tcPr>
          <w:p w14:paraId="2AA4A68A" w14:textId="77777777" w:rsidR="008E7846" w:rsidRPr="00487162" w:rsidRDefault="004B6BD2" w:rsidP="00E45619">
            <w:pPr>
              <w:rPr>
                <w:i/>
              </w:rPr>
            </w:pPr>
            <w:r>
              <w:rPr>
                <w:i/>
              </w:rPr>
              <w:t>Pack size</w:t>
            </w:r>
            <w:r w:rsidR="008E7846" w:rsidRPr="00487162">
              <w:rPr>
                <w:i/>
              </w:rPr>
              <w:t>:</w:t>
            </w:r>
          </w:p>
        </w:tc>
        <w:tc>
          <w:tcPr>
            <w:tcW w:w="6307" w:type="dxa"/>
          </w:tcPr>
          <w:p w14:paraId="0995C9D6" w14:textId="77777777" w:rsidR="008E7846" w:rsidRPr="00487162" w:rsidRDefault="004B6BD2" w:rsidP="004B6BD2">
            <w:r w:rsidRPr="004B6BD2">
              <w:t>Single pre-filled pen (0.25/0.5 mg); single pre-filled pen (1.0 mg)</w:t>
            </w:r>
          </w:p>
        </w:tc>
      </w:tr>
      <w:tr w:rsidR="008E7846" w:rsidRPr="00487162" w14:paraId="1E96E435" w14:textId="77777777" w:rsidTr="00BF1190">
        <w:tc>
          <w:tcPr>
            <w:tcW w:w="2907" w:type="dxa"/>
          </w:tcPr>
          <w:p w14:paraId="34AA6017"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0735309E" w14:textId="77777777" w:rsidR="008E7846" w:rsidRPr="004B6BD2" w:rsidRDefault="004B6BD2" w:rsidP="00E45619">
            <w:pPr>
              <w:rPr>
                <w:rFonts w:eastAsia="MS Mincho"/>
                <w:i/>
                <w:lang w:eastAsia="ja-JP"/>
              </w:rPr>
            </w:pPr>
            <w:proofErr w:type="spellStart"/>
            <w:r w:rsidRPr="004B6BD2">
              <w:rPr>
                <w:i/>
              </w:rPr>
              <w:t>Ozempic</w:t>
            </w:r>
            <w:proofErr w:type="spellEnd"/>
            <w:r w:rsidRPr="004B6BD2">
              <w:rPr>
                <w:i/>
              </w:rPr>
              <w:t xml:space="preserve"> is indicated for the treatment of adults with insufficiently controlled type 2 diabetes mellitus as an adjunct to diet and exercise:,- as monotherapy when metformin is not tolerated or contraindicated.,- in addition to other medicinal products for the treatment of type 2 diabetes.</w:t>
            </w:r>
          </w:p>
        </w:tc>
      </w:tr>
      <w:tr w:rsidR="008E7846" w:rsidRPr="00487162" w14:paraId="3DD7244A" w14:textId="77777777" w:rsidTr="00BF1190">
        <w:tc>
          <w:tcPr>
            <w:tcW w:w="2907" w:type="dxa"/>
          </w:tcPr>
          <w:p w14:paraId="1DBD91AF" w14:textId="21F59BBA" w:rsidR="008E7846" w:rsidRPr="00487162" w:rsidRDefault="008E7846" w:rsidP="00E45619">
            <w:pPr>
              <w:rPr>
                <w:i/>
              </w:rPr>
            </w:pPr>
            <w:r w:rsidRPr="00487162">
              <w:rPr>
                <w:i/>
              </w:rPr>
              <w:t>Route of administration:</w:t>
            </w:r>
          </w:p>
        </w:tc>
        <w:tc>
          <w:tcPr>
            <w:tcW w:w="6307" w:type="dxa"/>
          </w:tcPr>
          <w:p w14:paraId="0C8AA48B" w14:textId="77777777" w:rsidR="008E7846" w:rsidRPr="00487162" w:rsidRDefault="004B6BD2" w:rsidP="00E45619">
            <w:r>
              <w:t>Subcutaneous</w:t>
            </w:r>
          </w:p>
        </w:tc>
      </w:tr>
      <w:tr w:rsidR="008E7846" w:rsidRPr="00487162" w14:paraId="5C90C167" w14:textId="77777777" w:rsidTr="00BF1190">
        <w:tc>
          <w:tcPr>
            <w:tcW w:w="2907" w:type="dxa"/>
          </w:tcPr>
          <w:p w14:paraId="019802C7" w14:textId="77777777" w:rsidR="008E7846" w:rsidRPr="00487162" w:rsidRDefault="008E7846" w:rsidP="00E45619">
            <w:pPr>
              <w:rPr>
                <w:i/>
              </w:rPr>
            </w:pPr>
            <w:r w:rsidRPr="00487162">
              <w:rPr>
                <w:i/>
              </w:rPr>
              <w:t>Dosage:</w:t>
            </w:r>
          </w:p>
        </w:tc>
        <w:tc>
          <w:tcPr>
            <w:tcW w:w="6307" w:type="dxa"/>
          </w:tcPr>
          <w:p w14:paraId="1CC95E71" w14:textId="77777777" w:rsidR="00DB18D1" w:rsidRDefault="004B6BD2" w:rsidP="00E45619">
            <w:proofErr w:type="spellStart"/>
            <w:r w:rsidRPr="004B6BD2">
              <w:t>Ozempic</w:t>
            </w:r>
            <w:proofErr w:type="spellEnd"/>
            <w:r w:rsidRPr="004B6BD2">
              <w:t xml:space="preserve"> starting dose is 0.25 mg once weekly.</w:t>
            </w:r>
          </w:p>
          <w:p w14:paraId="38956907" w14:textId="7FB2EFBC" w:rsidR="00DB18D1" w:rsidRDefault="004B6BD2" w:rsidP="00E45619">
            <w:r w:rsidRPr="004B6BD2">
              <w:t>After 4 weeks, the dose should be increased to 0.5 mg once</w:t>
            </w:r>
            <w:r w:rsidR="00DB18D1">
              <w:t> </w:t>
            </w:r>
            <w:r w:rsidRPr="004B6BD2">
              <w:t>weekly.</w:t>
            </w:r>
          </w:p>
          <w:p w14:paraId="3FAF423E" w14:textId="466ACDC7" w:rsidR="008E7846" w:rsidRDefault="004B6BD2" w:rsidP="00E45619">
            <w:r w:rsidRPr="004B6BD2">
              <w:t>After at least 4</w:t>
            </w:r>
            <w:r w:rsidR="00DB18D1">
              <w:t> </w:t>
            </w:r>
            <w:r w:rsidRPr="004B6BD2">
              <w:t xml:space="preserve">weeks with a dose of 0.5 mg once weekly, the dose can be increased to 1 mg once weekly to further improve </w:t>
            </w:r>
            <w:r w:rsidRPr="004B6BD2">
              <w:lastRenderedPageBreak/>
              <w:t>glycaemic control.</w:t>
            </w:r>
          </w:p>
          <w:p w14:paraId="418D15F9" w14:textId="77777777" w:rsidR="00460036" w:rsidRPr="00487162" w:rsidRDefault="00460036" w:rsidP="00E45619">
            <w:r w:rsidRPr="00460036">
              <w:t>For further information regarding dosage, r</w:t>
            </w:r>
            <w:r w:rsidR="004B6BD2">
              <w:t>efer</w:t>
            </w:r>
            <w:r w:rsidR="00214680">
              <w:t xml:space="preserve"> to the Product Information</w:t>
            </w:r>
            <w:r w:rsidR="004B6BD2">
              <w:t>.</w:t>
            </w:r>
          </w:p>
        </w:tc>
      </w:tr>
      <w:tr w:rsidR="00460036" w:rsidRPr="00487162" w14:paraId="09A17AB8" w14:textId="77777777" w:rsidTr="00BF1190">
        <w:tc>
          <w:tcPr>
            <w:tcW w:w="2907" w:type="dxa"/>
          </w:tcPr>
          <w:p w14:paraId="3858855A" w14:textId="77777777" w:rsidR="00460036" w:rsidRPr="00487162" w:rsidRDefault="00460036" w:rsidP="00E45619">
            <w:pPr>
              <w:rPr>
                <w:i/>
              </w:rPr>
            </w:pPr>
            <w:r w:rsidRPr="00460036">
              <w:rPr>
                <w:i/>
              </w:rPr>
              <w:lastRenderedPageBreak/>
              <w:t>Pregnancy category</w:t>
            </w:r>
            <w:r>
              <w:rPr>
                <w:i/>
              </w:rPr>
              <w:t>:</w:t>
            </w:r>
          </w:p>
        </w:tc>
        <w:tc>
          <w:tcPr>
            <w:tcW w:w="6307" w:type="dxa"/>
          </w:tcPr>
          <w:p w14:paraId="3700ADFB" w14:textId="77777777" w:rsidR="004B6BD2" w:rsidRDefault="004B6BD2" w:rsidP="004B6BD2">
            <w:r>
              <w:t>D</w:t>
            </w:r>
          </w:p>
          <w:p w14:paraId="301F3952" w14:textId="77777777" w:rsidR="004B6BD2" w:rsidRDefault="004B6BD2" w:rsidP="004B6BD2">
            <w:r w:rsidRPr="004B6BD2">
              <w:t xml:space="preserve">Drugs which have caused, are suspected to have caused or may be expected to cause, an increased incidence of human </w:t>
            </w:r>
            <w:proofErr w:type="spellStart"/>
            <w:r w:rsidRPr="004B6BD2">
              <w:t>fetal</w:t>
            </w:r>
            <w:proofErr w:type="spellEnd"/>
            <w:r w:rsidRPr="004B6BD2">
              <w:t xml:space="preserve"> malformations or irreversible damage. These drugs may also have adverse pharmacological effects. Accompanying </w:t>
            </w:r>
            <w:r>
              <w:t>texts should be consulted for f</w:t>
            </w:r>
            <w:r w:rsidRPr="004B6BD2">
              <w:t>urther details.</w:t>
            </w:r>
          </w:p>
          <w:p w14:paraId="38E6CF0A" w14:textId="77777777"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w:t>
            </w:r>
            <w:r w:rsidR="004B6BD2">
              <w:t>ces in your State or Territory.</w:t>
            </w:r>
          </w:p>
        </w:tc>
      </w:tr>
    </w:tbl>
    <w:p w14:paraId="12ED8E48" w14:textId="77777777" w:rsidR="008E7846" w:rsidRDefault="008E7846" w:rsidP="008E7846">
      <w:pPr>
        <w:pStyle w:val="Heading3"/>
      </w:pPr>
      <w:bookmarkStart w:id="14" w:name="_Toc247691503"/>
      <w:bookmarkStart w:id="15" w:name="_Toc314842484"/>
      <w:bookmarkStart w:id="16" w:name="_Toc57827160"/>
      <w:r>
        <w:t>Product background</w:t>
      </w:r>
      <w:bookmarkEnd w:id="14"/>
      <w:bookmarkEnd w:id="15"/>
      <w:bookmarkEnd w:id="16"/>
    </w:p>
    <w:p w14:paraId="3E7824CA" w14:textId="05DDE1CF" w:rsidR="008E7846" w:rsidRDefault="00250271" w:rsidP="00940A89">
      <w:r w:rsidRPr="00250271">
        <w:t xml:space="preserve">This AusPAR describes the application by </w:t>
      </w:r>
      <w:r w:rsidR="004B6BD2" w:rsidRPr="004B6BD2">
        <w:t xml:space="preserve">Novo Nordisk Pharmaceuticals Pty Ltd </w:t>
      </w:r>
      <w:r w:rsidRPr="00250271">
        <w:t>(the sponsor) to register</w:t>
      </w:r>
      <w:r w:rsidR="004B6BD2">
        <w:t xml:space="preserve"> </w:t>
      </w:r>
      <w:proofErr w:type="spellStart"/>
      <w:r w:rsidR="004B6BD2" w:rsidRPr="004B6BD2">
        <w:t>Ozempic</w:t>
      </w:r>
      <w:proofErr w:type="spellEnd"/>
      <w:r w:rsidR="004B6BD2" w:rsidRPr="004B6BD2">
        <w:t xml:space="preserve"> (</w:t>
      </w:r>
      <w:proofErr w:type="spellStart"/>
      <w:r w:rsidR="004B6BD2" w:rsidRPr="004B6BD2">
        <w:t>semaglutide</w:t>
      </w:r>
      <w:proofErr w:type="spellEnd"/>
      <w:r w:rsidR="004B6BD2">
        <w:t>)</w:t>
      </w:r>
      <w:r w:rsidR="004B6BD2" w:rsidRPr="004B6BD2">
        <w:t xml:space="preserve"> 1.34 mg/mL solution for </w:t>
      </w:r>
      <w:r w:rsidR="004B6BD2">
        <w:t>injection</w:t>
      </w:r>
      <w:r w:rsidRPr="00250271">
        <w:t xml:space="preserve"> for the following proposed indication</w:t>
      </w:r>
      <w:r w:rsidR="00CF5DAD">
        <w:t>:</w:t>
      </w:r>
    </w:p>
    <w:p w14:paraId="222841E9" w14:textId="77777777" w:rsidR="00CF62AD" w:rsidRPr="00CF62AD" w:rsidRDefault="00CF62AD" w:rsidP="00CF62AD">
      <w:pPr>
        <w:ind w:left="360"/>
        <w:rPr>
          <w:i/>
        </w:rPr>
      </w:pPr>
      <w:proofErr w:type="spellStart"/>
      <w:r w:rsidRPr="00CF62AD">
        <w:rPr>
          <w:i/>
        </w:rPr>
        <w:t>Ozempic</w:t>
      </w:r>
      <w:proofErr w:type="spellEnd"/>
      <w:r w:rsidRPr="00CF62AD">
        <w:rPr>
          <w:i/>
        </w:rPr>
        <w:t xml:space="preserve"> is indicated for the treatment of adults with i</w:t>
      </w:r>
      <w:r>
        <w:rPr>
          <w:i/>
        </w:rPr>
        <w:t xml:space="preserve">nsufficiently controlled type 2 </w:t>
      </w:r>
      <w:r w:rsidRPr="00CF62AD">
        <w:rPr>
          <w:i/>
        </w:rPr>
        <w:t>diabetes mellitus as an adjunct to diet and exercise:</w:t>
      </w:r>
    </w:p>
    <w:p w14:paraId="7D754A07" w14:textId="77777777" w:rsidR="00CF62AD" w:rsidRPr="00CF62AD" w:rsidRDefault="00CF62AD" w:rsidP="00CF62AD">
      <w:pPr>
        <w:pStyle w:val="ListBullet"/>
        <w:ind w:left="720"/>
        <w:rPr>
          <w:i/>
        </w:rPr>
      </w:pPr>
      <w:r w:rsidRPr="00CF62AD">
        <w:rPr>
          <w:i/>
        </w:rPr>
        <w:t>as monotherapy when metformin is not tolerated or contraindicated.</w:t>
      </w:r>
    </w:p>
    <w:p w14:paraId="17A5EC33" w14:textId="77777777" w:rsidR="00CF62AD" w:rsidRPr="00CF62AD" w:rsidRDefault="00CF62AD" w:rsidP="00CF62AD">
      <w:pPr>
        <w:pStyle w:val="ListBullet"/>
        <w:ind w:left="720"/>
        <w:rPr>
          <w:i/>
        </w:rPr>
      </w:pPr>
      <w:r w:rsidRPr="00CF62AD">
        <w:rPr>
          <w:i/>
        </w:rPr>
        <w:t>in addition to other medicinal products for the treatment of type 2 diabetes.</w:t>
      </w:r>
    </w:p>
    <w:p w14:paraId="53632B88" w14:textId="77777777" w:rsidR="00CF62AD" w:rsidRPr="00C13CEF" w:rsidRDefault="00CF62AD" w:rsidP="00CF62AD">
      <w:proofErr w:type="spellStart"/>
      <w:r w:rsidRPr="00C13CEF">
        <w:t>Semaglutide</w:t>
      </w:r>
      <w:proofErr w:type="spellEnd"/>
      <w:r w:rsidRPr="00C13CEF">
        <w:t xml:space="preserve"> is a long-acting </w:t>
      </w:r>
      <w:bookmarkStart w:id="17" w:name="_Hlk532124469"/>
      <w:r w:rsidRPr="00C13CEF">
        <w:t>glucagon like peptide-1 (GLP-1) receptor agonis</w:t>
      </w:r>
      <w:bookmarkEnd w:id="17"/>
      <w:r w:rsidRPr="00C13CEF">
        <w:t>t (GLP</w:t>
      </w:r>
      <w:r>
        <w:t>-</w:t>
      </w:r>
      <w:r w:rsidRPr="00C13CEF">
        <w:t>1</w:t>
      </w:r>
      <w:r>
        <w:t> </w:t>
      </w:r>
      <w:r w:rsidRPr="00C13CEF">
        <w:t xml:space="preserve">RA). </w:t>
      </w:r>
      <w:proofErr w:type="spellStart"/>
      <w:r w:rsidRPr="00C13CEF">
        <w:t>Semaglutide</w:t>
      </w:r>
      <w:proofErr w:type="spellEnd"/>
      <w:r w:rsidRPr="00C13CEF">
        <w:t xml:space="preserve"> reduces blood glucose through a mechanism where it stimulates insulin secretion and lowers glucagon secretion, both in a glucose-dependent manner. </w:t>
      </w:r>
      <w:proofErr w:type="spellStart"/>
      <w:r w:rsidRPr="00C13CEF">
        <w:t>Semaglutide</w:t>
      </w:r>
      <w:proofErr w:type="spellEnd"/>
      <w:r w:rsidRPr="00C13CEF">
        <w:t xml:space="preserve"> is a new GLP-1 RA that has been synthesised to have a longer half-life suitable for once-weekly dosing.</w:t>
      </w:r>
    </w:p>
    <w:p w14:paraId="1E89D36E" w14:textId="673FA4A6" w:rsidR="00CF62AD" w:rsidRPr="00FE32E2" w:rsidRDefault="00CF62AD" w:rsidP="00CF62AD">
      <w:r w:rsidRPr="00FE32E2">
        <w:t>T</w:t>
      </w:r>
      <w:r>
        <w:t>ype 2 diabetes mellitus (T</w:t>
      </w:r>
      <w:r w:rsidRPr="00FE32E2">
        <w:t>2DM</w:t>
      </w:r>
      <w:r>
        <w:t>)</w:t>
      </w:r>
      <w:r w:rsidRPr="00FE32E2">
        <w:t xml:space="preserve"> manifests as impaired glucose homeostasis giving rise to chronic hyperglycaemia that result in micro- and macro</w:t>
      </w:r>
      <w:r>
        <w:t>-</w:t>
      </w:r>
      <w:r w:rsidRPr="00FE32E2">
        <w:t>vascular pathology leading to significant morbidity and mortality. Complications include, but are not limited to, retinopathy and blindness, chronic kidney disease, cardiovascular (CV) disease, neuropathy and amputations; of these CV disease is the leading cause of death.</w:t>
      </w:r>
    </w:p>
    <w:p w14:paraId="2880E054" w14:textId="77777777" w:rsidR="00CF62AD" w:rsidRPr="001A4022" w:rsidRDefault="00CF62AD" w:rsidP="00CF62AD">
      <w:r w:rsidRPr="001A4022">
        <w:t>There are several classes of medicines available to treat T2DM, used alone or in combination</w:t>
      </w:r>
      <w:r>
        <w:t xml:space="preserve"> as detailed in the following list</w:t>
      </w:r>
      <w:r w:rsidRPr="001A4022">
        <w:t>:</w:t>
      </w:r>
    </w:p>
    <w:p w14:paraId="732AC749" w14:textId="77777777" w:rsidR="00CF62AD" w:rsidRPr="00FE32E2" w:rsidRDefault="00CF62AD" w:rsidP="00CF62AD">
      <w:pPr>
        <w:pStyle w:val="ListBullet"/>
      </w:pPr>
      <w:proofErr w:type="spellStart"/>
      <w:r>
        <w:t>biguanides</w:t>
      </w:r>
      <w:proofErr w:type="spellEnd"/>
      <w:r>
        <w:t xml:space="preserve">, namely </w:t>
      </w:r>
      <w:r w:rsidRPr="00FE32E2">
        <w:t>metformin</w:t>
      </w:r>
    </w:p>
    <w:p w14:paraId="4B2C3461" w14:textId="77777777" w:rsidR="00CF62AD" w:rsidRPr="00FE32E2" w:rsidRDefault="00CF62AD" w:rsidP="003203DB">
      <w:pPr>
        <w:pStyle w:val="ListBullet"/>
      </w:pPr>
      <w:r w:rsidRPr="00FE32E2">
        <w:t>sulfonylureas</w:t>
      </w:r>
      <w:r w:rsidR="003203DB">
        <w:t xml:space="preserve"> (SU)</w:t>
      </w:r>
      <w:r w:rsidRPr="00FE32E2">
        <w:t xml:space="preserve"> such as </w:t>
      </w:r>
      <w:proofErr w:type="spellStart"/>
      <w:r w:rsidRPr="00FE32E2">
        <w:t>gliclazide</w:t>
      </w:r>
      <w:proofErr w:type="spellEnd"/>
    </w:p>
    <w:p w14:paraId="79E246A0" w14:textId="77777777" w:rsidR="00CF62AD" w:rsidRPr="00FE32E2" w:rsidRDefault="00CF62AD" w:rsidP="00CF62AD">
      <w:pPr>
        <w:pStyle w:val="ListBullet"/>
      </w:pPr>
      <w:proofErr w:type="spellStart"/>
      <w:r w:rsidRPr="00FE32E2">
        <w:t>thiazolidinediones</w:t>
      </w:r>
      <w:proofErr w:type="spellEnd"/>
      <w:r w:rsidRPr="00FE32E2">
        <w:t xml:space="preserve"> (</w:t>
      </w:r>
      <w:r w:rsidR="00021555">
        <w:t>TZD</w:t>
      </w:r>
      <w:r w:rsidRPr="00FE32E2">
        <w:t>) such as pioglitazone</w:t>
      </w:r>
    </w:p>
    <w:p w14:paraId="78BC5CB6" w14:textId="77777777" w:rsidR="00CF62AD" w:rsidRPr="00FE32E2" w:rsidRDefault="00CF62AD" w:rsidP="00CF62AD">
      <w:pPr>
        <w:pStyle w:val="ListBullet"/>
      </w:pPr>
      <w:proofErr w:type="spellStart"/>
      <w:r w:rsidRPr="00FE32E2">
        <w:t>meglitinides</w:t>
      </w:r>
      <w:proofErr w:type="spellEnd"/>
      <w:r w:rsidRPr="00FE32E2">
        <w:t xml:space="preserve"> such as </w:t>
      </w:r>
      <w:proofErr w:type="spellStart"/>
      <w:r w:rsidRPr="00FE32E2">
        <w:t>nateglinide</w:t>
      </w:r>
      <w:proofErr w:type="spellEnd"/>
    </w:p>
    <w:p w14:paraId="6D3DA43B" w14:textId="77777777" w:rsidR="00CF62AD" w:rsidRPr="00FE32E2" w:rsidRDefault="00CF62AD" w:rsidP="00CF62AD">
      <w:pPr>
        <w:pStyle w:val="ListBullet"/>
      </w:pPr>
      <w:r w:rsidRPr="00FE32E2">
        <w:t>dipeptidyl peptida</w:t>
      </w:r>
      <w:r>
        <w:t>se-4 (DPP</w:t>
      </w:r>
      <w:r w:rsidRPr="00FE32E2">
        <w:t>-4</w:t>
      </w:r>
      <w:r>
        <w:t xml:space="preserve">) </w:t>
      </w:r>
      <w:r w:rsidR="007039E0">
        <w:t xml:space="preserve">inhibitors such as </w:t>
      </w:r>
      <w:proofErr w:type="spellStart"/>
      <w:r w:rsidR="007039E0">
        <w:t>sitagliptin</w:t>
      </w:r>
      <w:proofErr w:type="spellEnd"/>
    </w:p>
    <w:p w14:paraId="70D25DD9" w14:textId="77777777" w:rsidR="00CF62AD" w:rsidRPr="00FE32E2" w:rsidRDefault="00CF62AD" w:rsidP="00CF62AD">
      <w:pPr>
        <w:pStyle w:val="ListBullet"/>
      </w:pPr>
      <w:r>
        <w:t>GLP-1 RA</w:t>
      </w:r>
      <w:r w:rsidRPr="00FE32E2">
        <w:t xml:space="preserve"> such as </w:t>
      </w:r>
      <w:proofErr w:type="spellStart"/>
      <w:r w:rsidRPr="00FE32E2">
        <w:t>dulagutide</w:t>
      </w:r>
      <w:proofErr w:type="spellEnd"/>
    </w:p>
    <w:p w14:paraId="516735C2" w14:textId="77777777" w:rsidR="00CF62AD" w:rsidRPr="00FE32E2" w:rsidRDefault="00CF62AD" w:rsidP="00CF62AD">
      <w:pPr>
        <w:pStyle w:val="ListBullet"/>
      </w:pPr>
      <w:r w:rsidRPr="00FE32E2">
        <w:t>sodium-g</w:t>
      </w:r>
      <w:r>
        <w:t>lucose transport protein-2 (SGLT</w:t>
      </w:r>
      <w:r w:rsidRPr="00FE32E2">
        <w:t>-</w:t>
      </w:r>
      <w:r>
        <w:t>2</w:t>
      </w:r>
      <w:r w:rsidRPr="00FE32E2">
        <w:t xml:space="preserve">) inhibitors such as </w:t>
      </w:r>
      <w:proofErr w:type="spellStart"/>
      <w:r w:rsidRPr="00FE32E2">
        <w:t>empagliflozin</w:t>
      </w:r>
      <w:proofErr w:type="spellEnd"/>
    </w:p>
    <w:p w14:paraId="7F862AEA" w14:textId="77777777" w:rsidR="00CF62AD" w:rsidRPr="00FE32E2" w:rsidRDefault="00CF62AD" w:rsidP="00CF62AD">
      <w:pPr>
        <w:pStyle w:val="ListBullet"/>
      </w:pPr>
      <w:r w:rsidRPr="00FE32E2">
        <w:lastRenderedPageBreak/>
        <w:t xml:space="preserve">amylin analogues such as </w:t>
      </w:r>
      <w:proofErr w:type="spellStart"/>
      <w:r w:rsidRPr="00FE32E2">
        <w:t>pramlintide</w:t>
      </w:r>
      <w:proofErr w:type="spellEnd"/>
    </w:p>
    <w:p w14:paraId="5929523C" w14:textId="77777777" w:rsidR="00CF62AD" w:rsidRPr="00FE32E2" w:rsidRDefault="00CF62AD" w:rsidP="00CF62AD">
      <w:pPr>
        <w:pStyle w:val="ListBullet"/>
      </w:pPr>
      <w:r w:rsidRPr="00FE32E2">
        <w:t>insulin and insulin analogues</w:t>
      </w:r>
    </w:p>
    <w:p w14:paraId="2144B21F" w14:textId="77777777" w:rsidR="008E7846" w:rsidRPr="003F31A2" w:rsidRDefault="00386150" w:rsidP="008E7846">
      <w:pPr>
        <w:pStyle w:val="Heading3"/>
      </w:pPr>
      <w:bookmarkStart w:id="18" w:name="_Toc314842485"/>
      <w:bookmarkStart w:id="19" w:name="_Toc247691504"/>
      <w:bookmarkStart w:id="20" w:name="_Toc57827161"/>
      <w:r>
        <w:t>Regulatory s</w:t>
      </w:r>
      <w:r w:rsidR="008E7846">
        <w:t>tatus</w:t>
      </w:r>
      <w:bookmarkEnd w:id="18"/>
      <w:bookmarkEnd w:id="19"/>
      <w:bookmarkEnd w:id="20"/>
    </w:p>
    <w:p w14:paraId="63721F6F" w14:textId="77777777" w:rsidR="00006FAB" w:rsidRDefault="00006FAB" w:rsidP="00CF62AD">
      <w:bookmarkStart w:id="21" w:name="_Toc247691505"/>
      <w:bookmarkStart w:id="22" w:name="_Toc314842486"/>
      <w:r w:rsidRPr="00006FAB">
        <w:t>This produ</w:t>
      </w:r>
      <w:r w:rsidR="00CF62AD">
        <w:t xml:space="preserve">ct is considered a new </w:t>
      </w:r>
      <w:r w:rsidRPr="00006FAB">
        <w:t>biological entity for Australian regulatory purposes.</w:t>
      </w:r>
    </w:p>
    <w:p w14:paraId="2C2CCCCD" w14:textId="0F9C5DA8" w:rsidR="00940A89" w:rsidRDefault="00006FAB" w:rsidP="00214680">
      <w:r>
        <w:t xml:space="preserve">At the time the TGA considered this application, a similar application </w:t>
      </w:r>
      <w:r w:rsidR="00CF62AD" w:rsidRPr="00CF62AD">
        <w:t>had been approved in the Eur</w:t>
      </w:r>
      <w:r w:rsidR="00CF62AD">
        <w:t>opean Union (EU) (</w:t>
      </w:r>
      <w:r w:rsidR="007039E0">
        <w:t xml:space="preserve">8 </w:t>
      </w:r>
      <w:r w:rsidR="00CF62AD">
        <w:t>February 2018),</w:t>
      </w:r>
      <w:r w:rsidR="00CF62AD" w:rsidRPr="00CF62AD">
        <w:t xml:space="preserve"> th</w:t>
      </w:r>
      <w:r w:rsidR="00CF62AD">
        <w:t>e United States of America (USA)</w:t>
      </w:r>
      <w:r w:rsidR="00CF62AD" w:rsidRPr="00CF62AD">
        <w:t xml:space="preserve"> </w:t>
      </w:r>
      <w:r w:rsidR="00CF62AD">
        <w:t>(</w:t>
      </w:r>
      <w:r w:rsidR="007039E0">
        <w:t>5</w:t>
      </w:r>
      <w:r w:rsidR="00DB18D1">
        <w:t> </w:t>
      </w:r>
      <w:r w:rsidR="00CF62AD" w:rsidRPr="00CF62AD">
        <w:t>December 2017) and Canada (</w:t>
      </w:r>
      <w:r w:rsidR="007039E0">
        <w:t xml:space="preserve">4 </w:t>
      </w:r>
      <w:r w:rsidR="00CF62AD" w:rsidRPr="00CF62AD">
        <w:t>January 2018)</w:t>
      </w:r>
      <w:r w:rsidR="00CF62AD">
        <w:t>.</w:t>
      </w:r>
    </w:p>
    <w:p w14:paraId="4DB9A864" w14:textId="668D906A" w:rsidR="00D5579B" w:rsidRDefault="004364F3" w:rsidP="00827DA7">
      <w:pPr>
        <w:pStyle w:val="TableTitle"/>
      </w:pPr>
      <w:r>
        <w:t xml:space="preserve">Table </w:t>
      </w:r>
      <w:fldSimple w:instr=" SEQ Table \* ARABIC ">
        <w:r w:rsidR="009B528E">
          <w:rPr>
            <w:noProof/>
          </w:rPr>
          <w:t>1</w:t>
        </w:r>
      </w:fldSimple>
      <w:r>
        <w:t xml:space="preserve">: </w:t>
      </w:r>
      <w:r w:rsidR="00D5579B">
        <w:t xml:space="preserve">International regulatory status of </w:t>
      </w:r>
      <w:proofErr w:type="spellStart"/>
      <w:r w:rsidR="00D5579B">
        <w:t>Ozempic</w:t>
      </w:r>
      <w:proofErr w:type="spellEnd"/>
      <w:r w:rsidR="00D5579B">
        <w:t xml:space="preserve"> as of </w:t>
      </w:r>
      <w:r>
        <w:t>August 2019</w:t>
      </w:r>
    </w:p>
    <w:tbl>
      <w:tblPr>
        <w:tblStyle w:val="TableTGAblue"/>
        <w:tblW w:w="0" w:type="auto"/>
        <w:tblLook w:val="04A0" w:firstRow="1" w:lastRow="0" w:firstColumn="1" w:lastColumn="0" w:noHBand="0" w:noVBand="1"/>
      </w:tblPr>
      <w:tblGrid>
        <w:gridCol w:w="1077"/>
        <w:gridCol w:w="1911"/>
        <w:gridCol w:w="1561"/>
        <w:gridCol w:w="4171"/>
      </w:tblGrid>
      <w:tr w:rsidR="00006FAB" w14:paraId="21166F76" w14:textId="77777777" w:rsidTr="002F538B">
        <w:trPr>
          <w:cnfStyle w:val="100000000000" w:firstRow="1" w:lastRow="0" w:firstColumn="0" w:lastColumn="0" w:oddVBand="0" w:evenVBand="0" w:oddHBand="0" w:evenHBand="0" w:firstRowFirstColumn="0" w:firstRowLastColumn="0" w:lastRowFirstColumn="0" w:lastRowLastColumn="0"/>
        </w:trPr>
        <w:tc>
          <w:tcPr>
            <w:tcW w:w="1077" w:type="dxa"/>
            <w:tcBorders>
              <w:top w:val="single" w:sz="4" w:space="0" w:color="auto"/>
              <w:left w:val="single" w:sz="4" w:space="0" w:color="auto"/>
              <w:bottom w:val="single" w:sz="4" w:space="0" w:color="auto"/>
              <w:right w:val="single" w:sz="4" w:space="0" w:color="auto"/>
            </w:tcBorders>
          </w:tcPr>
          <w:p w14:paraId="667DEEF3" w14:textId="77777777" w:rsidR="00006FAB" w:rsidRDefault="00006FAB" w:rsidP="00006FAB">
            <w:pPr>
              <w:ind w:left="0" w:right="0"/>
            </w:pPr>
            <w:r>
              <w:t>Region</w:t>
            </w:r>
          </w:p>
        </w:tc>
        <w:tc>
          <w:tcPr>
            <w:tcW w:w="1911" w:type="dxa"/>
            <w:tcBorders>
              <w:top w:val="single" w:sz="4" w:space="0" w:color="auto"/>
              <w:left w:val="single" w:sz="4" w:space="0" w:color="auto"/>
              <w:bottom w:val="single" w:sz="4" w:space="0" w:color="auto"/>
              <w:right w:val="single" w:sz="4" w:space="0" w:color="auto"/>
            </w:tcBorders>
          </w:tcPr>
          <w:p w14:paraId="0844CC54" w14:textId="77777777" w:rsidR="00006FAB" w:rsidRDefault="00006FAB" w:rsidP="00006FAB">
            <w:pPr>
              <w:ind w:left="0" w:right="0"/>
            </w:pPr>
            <w:r>
              <w:t>Submission date</w:t>
            </w:r>
          </w:p>
        </w:tc>
        <w:tc>
          <w:tcPr>
            <w:tcW w:w="1561" w:type="dxa"/>
            <w:tcBorders>
              <w:top w:val="single" w:sz="4" w:space="0" w:color="auto"/>
              <w:left w:val="single" w:sz="4" w:space="0" w:color="auto"/>
              <w:bottom w:val="single" w:sz="4" w:space="0" w:color="auto"/>
              <w:right w:val="single" w:sz="4" w:space="0" w:color="auto"/>
            </w:tcBorders>
          </w:tcPr>
          <w:p w14:paraId="525F6325" w14:textId="77777777" w:rsidR="00006FAB" w:rsidRDefault="00006FAB" w:rsidP="00006FAB">
            <w:pPr>
              <w:ind w:left="0" w:right="0"/>
            </w:pPr>
            <w:r>
              <w:t>Status</w:t>
            </w:r>
          </w:p>
        </w:tc>
        <w:tc>
          <w:tcPr>
            <w:tcW w:w="4171" w:type="dxa"/>
            <w:tcBorders>
              <w:top w:val="single" w:sz="4" w:space="0" w:color="auto"/>
              <w:left w:val="single" w:sz="4" w:space="0" w:color="auto"/>
              <w:bottom w:val="single" w:sz="4" w:space="0" w:color="auto"/>
              <w:right w:val="single" w:sz="4" w:space="0" w:color="auto"/>
            </w:tcBorders>
          </w:tcPr>
          <w:p w14:paraId="306B57DC" w14:textId="77777777" w:rsidR="00006FAB" w:rsidRDefault="00006FAB" w:rsidP="00006FAB">
            <w:pPr>
              <w:ind w:left="0" w:right="0"/>
            </w:pPr>
            <w:r>
              <w:t>Approved indications</w:t>
            </w:r>
          </w:p>
        </w:tc>
      </w:tr>
      <w:tr w:rsidR="00006FAB" w14:paraId="2DAC6F02" w14:textId="77777777" w:rsidTr="002F538B">
        <w:tc>
          <w:tcPr>
            <w:tcW w:w="1077" w:type="dxa"/>
            <w:tcBorders>
              <w:top w:val="single" w:sz="4" w:space="0" w:color="auto"/>
            </w:tcBorders>
          </w:tcPr>
          <w:p w14:paraId="74BEC1DA" w14:textId="77777777" w:rsidR="00006FAB" w:rsidRDefault="00882555" w:rsidP="00006FAB">
            <w:pPr>
              <w:ind w:left="0" w:right="0"/>
            </w:pPr>
            <w:r>
              <w:t>EU</w:t>
            </w:r>
          </w:p>
        </w:tc>
        <w:tc>
          <w:tcPr>
            <w:tcW w:w="1911" w:type="dxa"/>
            <w:tcBorders>
              <w:top w:val="single" w:sz="4" w:space="0" w:color="auto"/>
            </w:tcBorders>
          </w:tcPr>
          <w:p w14:paraId="551FCD0B" w14:textId="77777777" w:rsidR="00006FAB" w:rsidRDefault="00882555" w:rsidP="00006FAB">
            <w:pPr>
              <w:ind w:left="0" w:right="0"/>
            </w:pPr>
            <w:r>
              <w:t>5 December 2016</w:t>
            </w:r>
          </w:p>
        </w:tc>
        <w:tc>
          <w:tcPr>
            <w:tcW w:w="1561" w:type="dxa"/>
            <w:tcBorders>
              <w:top w:val="single" w:sz="4" w:space="0" w:color="auto"/>
            </w:tcBorders>
          </w:tcPr>
          <w:p w14:paraId="4009FAC9" w14:textId="77777777" w:rsidR="00006FAB" w:rsidRDefault="00882555" w:rsidP="00006FAB">
            <w:pPr>
              <w:ind w:left="0" w:right="0"/>
            </w:pPr>
            <w:r>
              <w:t>Approved on 8 February 2018</w:t>
            </w:r>
          </w:p>
        </w:tc>
        <w:tc>
          <w:tcPr>
            <w:tcW w:w="4171" w:type="dxa"/>
            <w:tcBorders>
              <w:top w:val="single" w:sz="4" w:space="0" w:color="auto"/>
            </w:tcBorders>
          </w:tcPr>
          <w:p w14:paraId="59E6B80D" w14:textId="77777777" w:rsidR="00882555" w:rsidRPr="00882555" w:rsidRDefault="00882555" w:rsidP="00882555">
            <w:pPr>
              <w:ind w:left="0"/>
              <w:rPr>
                <w:i/>
              </w:rPr>
            </w:pPr>
            <w:proofErr w:type="spellStart"/>
            <w:r w:rsidRPr="00882555">
              <w:rPr>
                <w:i/>
              </w:rPr>
              <w:t>Ozempic</w:t>
            </w:r>
            <w:proofErr w:type="spellEnd"/>
            <w:r w:rsidRPr="00882555">
              <w:rPr>
                <w:i/>
              </w:rPr>
              <w:t xml:space="preserve"> is indicated for the treatment of adults with insufficiently controlled type 2 diabetes mellitus as an adjunct to diet and exercise:</w:t>
            </w:r>
          </w:p>
          <w:p w14:paraId="032FAC0F" w14:textId="77777777" w:rsidR="00882555" w:rsidRPr="00882555" w:rsidRDefault="00882555" w:rsidP="00882555">
            <w:pPr>
              <w:pStyle w:val="ListBullet"/>
              <w:rPr>
                <w:i/>
              </w:rPr>
            </w:pPr>
            <w:r w:rsidRPr="00882555">
              <w:rPr>
                <w:i/>
              </w:rPr>
              <w:t>as monothera</w:t>
            </w:r>
            <w:r>
              <w:rPr>
                <w:i/>
              </w:rPr>
              <w:t xml:space="preserve">py when </w:t>
            </w:r>
            <w:r w:rsidRPr="00882555">
              <w:rPr>
                <w:i/>
              </w:rPr>
              <w:t>metformin is considered inappropriate due t</w:t>
            </w:r>
            <w:r>
              <w:rPr>
                <w:i/>
              </w:rPr>
              <w:t>o intolerance or contraindicatio</w:t>
            </w:r>
            <w:r w:rsidRPr="00882555">
              <w:rPr>
                <w:i/>
              </w:rPr>
              <w:t>ns</w:t>
            </w:r>
          </w:p>
          <w:p w14:paraId="56E86D0D" w14:textId="77777777" w:rsidR="00006FAB" w:rsidRPr="00882555" w:rsidRDefault="00882555" w:rsidP="00882555">
            <w:pPr>
              <w:pStyle w:val="ListBullet"/>
            </w:pPr>
            <w:r w:rsidRPr="00882555">
              <w:rPr>
                <w:i/>
              </w:rPr>
              <w:t>in addition to other medicinal products for the treatment of diabete</w:t>
            </w:r>
            <w:r>
              <w:rPr>
                <w:i/>
              </w:rPr>
              <w:t>s.</w:t>
            </w:r>
          </w:p>
        </w:tc>
      </w:tr>
      <w:tr w:rsidR="00006FAB" w14:paraId="6DA2EFCF" w14:textId="77777777" w:rsidTr="002F538B">
        <w:tc>
          <w:tcPr>
            <w:tcW w:w="1077" w:type="dxa"/>
          </w:tcPr>
          <w:p w14:paraId="4B2B5DB1" w14:textId="77777777" w:rsidR="00006FAB" w:rsidRDefault="00882555" w:rsidP="00006FAB">
            <w:pPr>
              <w:ind w:left="0" w:right="0"/>
            </w:pPr>
            <w:r>
              <w:t>USA</w:t>
            </w:r>
          </w:p>
        </w:tc>
        <w:tc>
          <w:tcPr>
            <w:tcW w:w="1911" w:type="dxa"/>
          </w:tcPr>
          <w:p w14:paraId="59B63175" w14:textId="77777777" w:rsidR="00006FAB" w:rsidRDefault="00882555" w:rsidP="00006FAB">
            <w:pPr>
              <w:ind w:left="0" w:right="0"/>
            </w:pPr>
            <w:r>
              <w:t>5 December 2016</w:t>
            </w:r>
          </w:p>
        </w:tc>
        <w:tc>
          <w:tcPr>
            <w:tcW w:w="1561" w:type="dxa"/>
          </w:tcPr>
          <w:p w14:paraId="3D942D65" w14:textId="77777777" w:rsidR="00006FAB" w:rsidRDefault="00882555" w:rsidP="00006FAB">
            <w:pPr>
              <w:ind w:left="0" w:right="0"/>
            </w:pPr>
            <w:r>
              <w:t>Approved on 5 December 2017</w:t>
            </w:r>
          </w:p>
        </w:tc>
        <w:tc>
          <w:tcPr>
            <w:tcW w:w="4171" w:type="dxa"/>
          </w:tcPr>
          <w:p w14:paraId="789E5800" w14:textId="77777777" w:rsidR="00006FAB" w:rsidRPr="00882555" w:rsidRDefault="00882555" w:rsidP="00882555">
            <w:pPr>
              <w:ind w:left="0"/>
              <w:rPr>
                <w:i/>
              </w:rPr>
            </w:pPr>
            <w:proofErr w:type="spellStart"/>
            <w:r w:rsidRPr="00882555">
              <w:rPr>
                <w:i/>
              </w:rPr>
              <w:t>O</w:t>
            </w:r>
            <w:r>
              <w:rPr>
                <w:i/>
              </w:rPr>
              <w:t>zempic</w:t>
            </w:r>
            <w:proofErr w:type="spellEnd"/>
            <w:r w:rsidRPr="00882555">
              <w:rPr>
                <w:i/>
              </w:rPr>
              <w:t xml:space="preserve"> is indicated as </w:t>
            </w:r>
            <w:r>
              <w:rPr>
                <w:i/>
              </w:rPr>
              <w:t xml:space="preserve">an adjunct to diet and exercise </w:t>
            </w:r>
            <w:r w:rsidRPr="00882555">
              <w:rPr>
                <w:i/>
              </w:rPr>
              <w:t xml:space="preserve">to improve </w:t>
            </w:r>
            <w:proofErr w:type="spellStart"/>
            <w:r w:rsidRPr="00882555">
              <w:rPr>
                <w:i/>
              </w:rPr>
              <w:t>glycemic</w:t>
            </w:r>
            <w:proofErr w:type="spellEnd"/>
            <w:r w:rsidRPr="00882555">
              <w:rPr>
                <w:i/>
              </w:rPr>
              <w:t xml:space="preserve"> control in adults with type 2 </w:t>
            </w:r>
            <w:r>
              <w:rPr>
                <w:i/>
              </w:rPr>
              <w:t xml:space="preserve">diabetes </w:t>
            </w:r>
            <w:r w:rsidRPr="00882555">
              <w:rPr>
                <w:i/>
              </w:rPr>
              <w:t>mellitus</w:t>
            </w:r>
          </w:p>
        </w:tc>
      </w:tr>
      <w:tr w:rsidR="00882555" w14:paraId="128F839F" w14:textId="77777777" w:rsidTr="002F538B">
        <w:trPr>
          <w:cantSplit/>
        </w:trPr>
        <w:tc>
          <w:tcPr>
            <w:tcW w:w="1077" w:type="dxa"/>
          </w:tcPr>
          <w:p w14:paraId="1ED6C320" w14:textId="77777777" w:rsidR="00882555" w:rsidRDefault="00882555" w:rsidP="00882555">
            <w:pPr>
              <w:ind w:left="0"/>
            </w:pPr>
            <w:r>
              <w:lastRenderedPageBreak/>
              <w:t>Canada</w:t>
            </w:r>
          </w:p>
        </w:tc>
        <w:tc>
          <w:tcPr>
            <w:tcW w:w="1911" w:type="dxa"/>
          </w:tcPr>
          <w:p w14:paraId="30085DE5" w14:textId="77777777" w:rsidR="00882555" w:rsidRDefault="00882555" w:rsidP="00882555">
            <w:pPr>
              <w:ind w:left="0"/>
            </w:pPr>
            <w:r>
              <w:t>18 January 2017</w:t>
            </w:r>
          </w:p>
        </w:tc>
        <w:tc>
          <w:tcPr>
            <w:tcW w:w="1561" w:type="dxa"/>
          </w:tcPr>
          <w:p w14:paraId="4C06E7AB" w14:textId="77777777" w:rsidR="00882555" w:rsidRDefault="00882555" w:rsidP="00882555">
            <w:pPr>
              <w:ind w:left="0"/>
            </w:pPr>
            <w:r>
              <w:t>Approved on 4 January 2018</w:t>
            </w:r>
          </w:p>
        </w:tc>
        <w:tc>
          <w:tcPr>
            <w:tcW w:w="4171" w:type="dxa"/>
          </w:tcPr>
          <w:p w14:paraId="3FF25DEB" w14:textId="77777777" w:rsidR="00214680" w:rsidRPr="00960EE8" w:rsidRDefault="00214680" w:rsidP="00214680">
            <w:pPr>
              <w:ind w:left="0"/>
              <w:rPr>
                <w:i/>
              </w:rPr>
            </w:pPr>
            <w:proofErr w:type="spellStart"/>
            <w:r w:rsidRPr="00960EE8">
              <w:rPr>
                <w:i/>
              </w:rPr>
              <w:t>Ozempic</w:t>
            </w:r>
            <w:proofErr w:type="spellEnd"/>
            <w:r w:rsidRPr="00960EE8">
              <w:rPr>
                <w:i/>
              </w:rPr>
              <w:t xml:space="preserve"> is indicated for the once-weekly treatment of adult patients with type 2 diabetes mellitus to improve </w:t>
            </w:r>
            <w:proofErr w:type="spellStart"/>
            <w:r w:rsidRPr="00960EE8">
              <w:rPr>
                <w:i/>
              </w:rPr>
              <w:t>glycemic</w:t>
            </w:r>
            <w:proofErr w:type="spellEnd"/>
            <w:r w:rsidRPr="00960EE8">
              <w:rPr>
                <w:i/>
              </w:rPr>
              <w:t xml:space="preserve"> control, in combination with:</w:t>
            </w:r>
          </w:p>
          <w:p w14:paraId="5009CF32" w14:textId="77777777" w:rsidR="00214680" w:rsidRPr="00960EE8" w:rsidRDefault="00214680" w:rsidP="00214680">
            <w:pPr>
              <w:pStyle w:val="ListBullet"/>
              <w:rPr>
                <w:i/>
              </w:rPr>
            </w:pPr>
            <w:r w:rsidRPr="00960EE8">
              <w:rPr>
                <w:i/>
              </w:rPr>
              <w:t>diet and exercise in patients for whom metformin is inappropriate due to contraindication or intolerance.</w:t>
            </w:r>
          </w:p>
          <w:p w14:paraId="235E8E4D" w14:textId="77777777" w:rsidR="00214680" w:rsidRPr="00960EE8" w:rsidRDefault="00214680" w:rsidP="00214680">
            <w:pPr>
              <w:pStyle w:val="ListBullet"/>
              <w:rPr>
                <w:i/>
              </w:rPr>
            </w:pPr>
            <w:r w:rsidRPr="00960EE8">
              <w:rPr>
                <w:i/>
              </w:rPr>
              <w:t xml:space="preserve">metformin, when diet and exercise plus maximal tolerated dose of metformin do not achieve adequate </w:t>
            </w:r>
            <w:proofErr w:type="spellStart"/>
            <w:r w:rsidRPr="00960EE8">
              <w:rPr>
                <w:i/>
              </w:rPr>
              <w:t>glycemic</w:t>
            </w:r>
            <w:proofErr w:type="spellEnd"/>
            <w:r w:rsidRPr="00960EE8">
              <w:rPr>
                <w:i/>
              </w:rPr>
              <w:t xml:space="preserve"> control.</w:t>
            </w:r>
          </w:p>
          <w:p w14:paraId="7D85F157" w14:textId="77777777" w:rsidR="00214680" w:rsidRPr="00960EE8" w:rsidRDefault="00214680" w:rsidP="00214680">
            <w:pPr>
              <w:pStyle w:val="ListBullet"/>
              <w:rPr>
                <w:i/>
              </w:rPr>
            </w:pPr>
            <w:r w:rsidRPr="00960EE8">
              <w:rPr>
                <w:i/>
              </w:rPr>
              <w:t xml:space="preserve">metformin and a sulfonylurea, when diet and exercise plus dual therapy with metformin and a sulfonylurea do not achieve adequate </w:t>
            </w:r>
            <w:proofErr w:type="spellStart"/>
            <w:r w:rsidRPr="00960EE8">
              <w:rPr>
                <w:i/>
              </w:rPr>
              <w:t>glycemic</w:t>
            </w:r>
            <w:proofErr w:type="spellEnd"/>
            <w:r w:rsidRPr="00960EE8">
              <w:rPr>
                <w:i/>
              </w:rPr>
              <w:t xml:space="preserve"> control.</w:t>
            </w:r>
          </w:p>
          <w:p w14:paraId="1688A0DA" w14:textId="77777777" w:rsidR="00882555" w:rsidRPr="00960EE8" w:rsidRDefault="00214680" w:rsidP="00214680">
            <w:pPr>
              <w:pStyle w:val="ListBullet"/>
              <w:rPr>
                <w:i/>
              </w:rPr>
            </w:pPr>
            <w:r w:rsidRPr="00960EE8">
              <w:rPr>
                <w:i/>
              </w:rPr>
              <w:t xml:space="preserve">basal insulin with metformin, when diet and exercise plus basal insulin with metformin do not achieve adequate </w:t>
            </w:r>
            <w:proofErr w:type="spellStart"/>
            <w:r w:rsidRPr="00960EE8">
              <w:rPr>
                <w:i/>
              </w:rPr>
              <w:t>glycemic</w:t>
            </w:r>
            <w:proofErr w:type="spellEnd"/>
            <w:r w:rsidRPr="00960EE8">
              <w:rPr>
                <w:i/>
              </w:rPr>
              <w:t xml:space="preserve"> control</w:t>
            </w:r>
          </w:p>
        </w:tc>
      </w:tr>
    </w:tbl>
    <w:p w14:paraId="26B9159F" w14:textId="77777777" w:rsidR="008E7846" w:rsidRDefault="008E7846" w:rsidP="00940A89">
      <w:pPr>
        <w:pStyle w:val="Heading3"/>
      </w:pPr>
      <w:bookmarkStart w:id="23" w:name="_Toc57827162"/>
      <w:r>
        <w:t>Product Information</w:t>
      </w:r>
      <w:bookmarkEnd w:id="21"/>
      <w:bookmarkEnd w:id="22"/>
      <w:bookmarkEnd w:id="23"/>
    </w:p>
    <w:p w14:paraId="257F4AB5" w14:textId="5FEA2F90" w:rsidR="00940A89" w:rsidRDefault="006136D7" w:rsidP="00940A89">
      <w:bookmarkStart w:id="24" w:name="_Toc247691506"/>
      <w:bookmarkStart w:id="25"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1F61C258" w14:textId="77777777" w:rsidR="00500337" w:rsidRDefault="00500337" w:rsidP="00500337">
      <w:pPr>
        <w:pStyle w:val="Heading2"/>
      </w:pPr>
      <w:bookmarkStart w:id="26" w:name="_Toc504480011"/>
      <w:bookmarkStart w:id="27" w:name="_Toc57827163"/>
      <w:r>
        <w:t>II. Registration timeline</w:t>
      </w:r>
      <w:bookmarkEnd w:id="26"/>
      <w:bookmarkEnd w:id="27"/>
    </w:p>
    <w:p w14:paraId="0469737A" w14:textId="77777777" w:rsidR="00500337" w:rsidRDefault="00500337" w:rsidP="00500337">
      <w:r>
        <w:t>The following table captures the key steps and dates for this application and which are detailed and discussed in this AusPAR.</w:t>
      </w:r>
    </w:p>
    <w:p w14:paraId="5C7FCA10" w14:textId="544B99C9" w:rsidR="00500337" w:rsidRPr="00377BD4" w:rsidRDefault="00132EB9" w:rsidP="00132EB9">
      <w:pPr>
        <w:pStyle w:val="TableTitle"/>
      </w:pPr>
      <w:r w:rsidRPr="00132EB9">
        <w:t xml:space="preserve">Table </w:t>
      </w:r>
      <w:fldSimple w:instr=" SEQ Table \* ARABIC ">
        <w:r w:rsidR="009B528E">
          <w:rPr>
            <w:noProof/>
          </w:rPr>
          <w:t>2</w:t>
        </w:r>
      </w:fldSimple>
      <w:r w:rsidR="00006FAB">
        <w:t>:</w:t>
      </w:r>
      <w:r w:rsidR="00214680">
        <w:t xml:space="preserve"> Timeline for Submission PM-2018-02748-1-5</w:t>
      </w:r>
    </w:p>
    <w:tbl>
      <w:tblPr>
        <w:tblStyle w:val="TableTGAblue"/>
        <w:tblW w:w="0" w:type="auto"/>
        <w:tblLook w:val="04A0" w:firstRow="1" w:lastRow="0" w:firstColumn="1" w:lastColumn="0" w:noHBand="0" w:noVBand="1"/>
      </w:tblPr>
      <w:tblGrid>
        <w:gridCol w:w="6062"/>
        <w:gridCol w:w="2658"/>
      </w:tblGrid>
      <w:tr w:rsidR="00500337" w14:paraId="52E9CD41" w14:textId="77777777" w:rsidTr="002F2D29">
        <w:trPr>
          <w:cnfStyle w:val="100000000000" w:firstRow="1" w:lastRow="0" w:firstColumn="0" w:lastColumn="0" w:oddVBand="0" w:evenVBand="0" w:oddHBand="0" w:evenHBand="0" w:firstRowFirstColumn="0" w:firstRowLastColumn="0" w:lastRowFirstColumn="0" w:lastRowLastColumn="0"/>
          <w:cantSplit/>
        </w:trPr>
        <w:tc>
          <w:tcPr>
            <w:tcW w:w="6062" w:type="dxa"/>
            <w:tcBorders>
              <w:top w:val="single" w:sz="4" w:space="0" w:color="auto"/>
              <w:left w:val="single" w:sz="4" w:space="0" w:color="auto"/>
              <w:bottom w:val="single" w:sz="4" w:space="0" w:color="auto"/>
              <w:right w:val="single" w:sz="4" w:space="0" w:color="auto"/>
            </w:tcBorders>
          </w:tcPr>
          <w:p w14:paraId="2D77B13D" w14:textId="77777777" w:rsidR="00500337" w:rsidRDefault="00500337" w:rsidP="00500337">
            <w:pPr>
              <w:ind w:left="0" w:right="0"/>
            </w:pPr>
            <w:r>
              <w:t>Description</w:t>
            </w:r>
          </w:p>
        </w:tc>
        <w:tc>
          <w:tcPr>
            <w:tcW w:w="2658" w:type="dxa"/>
            <w:tcBorders>
              <w:top w:val="single" w:sz="4" w:space="0" w:color="auto"/>
              <w:left w:val="single" w:sz="4" w:space="0" w:color="auto"/>
              <w:bottom w:val="single" w:sz="4" w:space="0" w:color="auto"/>
              <w:right w:val="single" w:sz="4" w:space="0" w:color="auto"/>
            </w:tcBorders>
          </w:tcPr>
          <w:p w14:paraId="63D73A70" w14:textId="77777777" w:rsidR="00500337" w:rsidRDefault="00500337" w:rsidP="00500337">
            <w:pPr>
              <w:ind w:left="0" w:right="0"/>
            </w:pPr>
            <w:r>
              <w:t>Date</w:t>
            </w:r>
          </w:p>
        </w:tc>
      </w:tr>
      <w:tr w:rsidR="00500337" w14:paraId="696B9D39" w14:textId="77777777" w:rsidTr="002F2D29">
        <w:tc>
          <w:tcPr>
            <w:tcW w:w="6062" w:type="dxa"/>
            <w:tcBorders>
              <w:top w:val="single" w:sz="4" w:space="0" w:color="auto"/>
            </w:tcBorders>
          </w:tcPr>
          <w:p w14:paraId="6E740609" w14:textId="77777777" w:rsidR="00500337" w:rsidRDefault="00500337" w:rsidP="00500337">
            <w:pPr>
              <w:ind w:left="0" w:right="0"/>
            </w:pPr>
            <w:r>
              <w:t>Submission dossier accepted and first round evaluation commenced</w:t>
            </w:r>
          </w:p>
        </w:tc>
        <w:tc>
          <w:tcPr>
            <w:tcW w:w="2658" w:type="dxa"/>
            <w:tcBorders>
              <w:top w:val="single" w:sz="4" w:space="0" w:color="auto"/>
            </w:tcBorders>
          </w:tcPr>
          <w:p w14:paraId="741875C9" w14:textId="77777777" w:rsidR="00500337" w:rsidRDefault="00214680" w:rsidP="00500337">
            <w:pPr>
              <w:ind w:left="0" w:right="0"/>
            </w:pPr>
            <w:r>
              <w:t>3 October 2018</w:t>
            </w:r>
          </w:p>
        </w:tc>
      </w:tr>
      <w:tr w:rsidR="00500337" w14:paraId="1FC8C67F" w14:textId="77777777" w:rsidTr="002F2D29">
        <w:tc>
          <w:tcPr>
            <w:tcW w:w="6062" w:type="dxa"/>
          </w:tcPr>
          <w:p w14:paraId="607B81A0" w14:textId="77777777" w:rsidR="00500337" w:rsidRDefault="00500337" w:rsidP="00500337">
            <w:pPr>
              <w:ind w:left="0" w:right="0"/>
            </w:pPr>
            <w:r>
              <w:t>First round evaluation completed</w:t>
            </w:r>
          </w:p>
        </w:tc>
        <w:tc>
          <w:tcPr>
            <w:tcW w:w="2658" w:type="dxa"/>
          </w:tcPr>
          <w:p w14:paraId="7D28C2DE" w14:textId="77777777" w:rsidR="00500337" w:rsidRDefault="003B5453" w:rsidP="00500337">
            <w:pPr>
              <w:ind w:left="0" w:right="0"/>
            </w:pPr>
            <w:r>
              <w:t>7 March 2019</w:t>
            </w:r>
          </w:p>
        </w:tc>
      </w:tr>
      <w:tr w:rsidR="00500337" w14:paraId="0E8FA46F" w14:textId="77777777" w:rsidTr="002F2D29">
        <w:tc>
          <w:tcPr>
            <w:tcW w:w="6062" w:type="dxa"/>
          </w:tcPr>
          <w:p w14:paraId="7473B5BF" w14:textId="77777777" w:rsidR="00500337" w:rsidRDefault="00500337" w:rsidP="00500337">
            <w:pPr>
              <w:ind w:left="0" w:right="0"/>
            </w:pPr>
            <w:r>
              <w:t>Sponsor provides responses on questions raised in first round evaluation</w:t>
            </w:r>
          </w:p>
        </w:tc>
        <w:tc>
          <w:tcPr>
            <w:tcW w:w="2658" w:type="dxa"/>
          </w:tcPr>
          <w:p w14:paraId="161068C2" w14:textId="77777777" w:rsidR="00500337" w:rsidRDefault="003B5453" w:rsidP="00500337">
            <w:pPr>
              <w:ind w:left="0" w:right="0"/>
            </w:pPr>
            <w:r>
              <w:t>7 May 2019</w:t>
            </w:r>
          </w:p>
        </w:tc>
      </w:tr>
      <w:tr w:rsidR="00500337" w14:paraId="136B9E33" w14:textId="77777777" w:rsidTr="002F2D29">
        <w:tc>
          <w:tcPr>
            <w:tcW w:w="6062" w:type="dxa"/>
          </w:tcPr>
          <w:p w14:paraId="37A3F484" w14:textId="77777777" w:rsidR="00500337" w:rsidRDefault="00500337" w:rsidP="00500337">
            <w:pPr>
              <w:ind w:left="0" w:right="0"/>
            </w:pPr>
            <w:r>
              <w:t>Second round evaluation completed</w:t>
            </w:r>
          </w:p>
        </w:tc>
        <w:tc>
          <w:tcPr>
            <w:tcW w:w="2658" w:type="dxa"/>
          </w:tcPr>
          <w:p w14:paraId="27E83CA7" w14:textId="77777777" w:rsidR="00500337" w:rsidRDefault="003B5453" w:rsidP="00500337">
            <w:pPr>
              <w:ind w:left="0" w:right="0"/>
            </w:pPr>
            <w:r>
              <w:t>14 June 2019</w:t>
            </w:r>
          </w:p>
        </w:tc>
      </w:tr>
      <w:tr w:rsidR="00500337" w14:paraId="2743536A" w14:textId="77777777" w:rsidTr="002F2D29">
        <w:tc>
          <w:tcPr>
            <w:tcW w:w="6062" w:type="dxa"/>
          </w:tcPr>
          <w:p w14:paraId="22A0C19A" w14:textId="77777777" w:rsidR="00500337" w:rsidRDefault="00500337" w:rsidP="003B5453">
            <w:pPr>
              <w:ind w:left="0" w:right="0"/>
            </w:pPr>
            <w:r>
              <w:t xml:space="preserve">Delegate’s </w:t>
            </w:r>
            <w:r w:rsidR="003B5453">
              <w:t>Overall benefit-risk assessment</w:t>
            </w:r>
          </w:p>
        </w:tc>
        <w:tc>
          <w:tcPr>
            <w:tcW w:w="2658" w:type="dxa"/>
          </w:tcPr>
          <w:p w14:paraId="0C2FF7D5" w14:textId="77777777" w:rsidR="00500337" w:rsidRDefault="003B5453" w:rsidP="00500337">
            <w:pPr>
              <w:ind w:left="0" w:right="0"/>
            </w:pPr>
            <w:r>
              <w:t>2 August 2019</w:t>
            </w:r>
          </w:p>
        </w:tc>
      </w:tr>
      <w:tr w:rsidR="00500337" w14:paraId="708F2370" w14:textId="77777777" w:rsidTr="002F2D29">
        <w:tc>
          <w:tcPr>
            <w:tcW w:w="6062" w:type="dxa"/>
          </w:tcPr>
          <w:p w14:paraId="5CE3C35A" w14:textId="77777777" w:rsidR="00500337" w:rsidRDefault="00500337" w:rsidP="00500337">
            <w:pPr>
              <w:ind w:left="0" w:right="0"/>
            </w:pPr>
            <w:r>
              <w:lastRenderedPageBreak/>
              <w:t>Sponsor’s pre-Advisory Committee response</w:t>
            </w:r>
          </w:p>
        </w:tc>
        <w:tc>
          <w:tcPr>
            <w:tcW w:w="2658" w:type="dxa"/>
          </w:tcPr>
          <w:p w14:paraId="28CA363A" w14:textId="77777777" w:rsidR="00500337" w:rsidRDefault="003B5453" w:rsidP="00500337">
            <w:pPr>
              <w:ind w:left="0" w:right="0"/>
            </w:pPr>
            <w:r>
              <w:t>Not applicable</w:t>
            </w:r>
          </w:p>
        </w:tc>
      </w:tr>
      <w:tr w:rsidR="00500337" w14:paraId="143A1139" w14:textId="77777777" w:rsidTr="002F2D29">
        <w:tc>
          <w:tcPr>
            <w:tcW w:w="6062" w:type="dxa"/>
          </w:tcPr>
          <w:p w14:paraId="3E4F6DC2" w14:textId="77777777" w:rsidR="00500337" w:rsidRDefault="00500337" w:rsidP="00500337">
            <w:pPr>
              <w:ind w:left="0" w:right="0"/>
            </w:pPr>
            <w:r>
              <w:t>Advisory Committee meeting</w:t>
            </w:r>
          </w:p>
        </w:tc>
        <w:tc>
          <w:tcPr>
            <w:tcW w:w="2658" w:type="dxa"/>
          </w:tcPr>
          <w:p w14:paraId="08327EE0" w14:textId="77777777" w:rsidR="00500337" w:rsidRDefault="003B5453" w:rsidP="00500337">
            <w:pPr>
              <w:ind w:left="0" w:right="0"/>
            </w:pPr>
            <w:r>
              <w:t>Not applicable</w:t>
            </w:r>
          </w:p>
        </w:tc>
      </w:tr>
      <w:tr w:rsidR="00500337" w14:paraId="55CE6318" w14:textId="77777777" w:rsidTr="002F2D29">
        <w:tc>
          <w:tcPr>
            <w:tcW w:w="6062" w:type="dxa"/>
          </w:tcPr>
          <w:p w14:paraId="12B373E1" w14:textId="77777777" w:rsidR="00500337" w:rsidRDefault="00500337" w:rsidP="00500337">
            <w:pPr>
              <w:ind w:left="0" w:right="0"/>
            </w:pPr>
            <w:r>
              <w:t>Registration decision (Outcome)</w:t>
            </w:r>
          </w:p>
        </w:tc>
        <w:tc>
          <w:tcPr>
            <w:tcW w:w="2658" w:type="dxa"/>
          </w:tcPr>
          <w:p w14:paraId="09712CBF" w14:textId="77777777" w:rsidR="00500337" w:rsidRDefault="003B5453" w:rsidP="00500337">
            <w:pPr>
              <w:ind w:left="0" w:right="0"/>
            </w:pPr>
            <w:r>
              <w:t>15 August 2019</w:t>
            </w:r>
          </w:p>
        </w:tc>
      </w:tr>
      <w:tr w:rsidR="00500337" w14:paraId="077504AB" w14:textId="77777777" w:rsidTr="002F2D29">
        <w:tc>
          <w:tcPr>
            <w:tcW w:w="6062" w:type="dxa"/>
          </w:tcPr>
          <w:p w14:paraId="69BC6309" w14:textId="77777777" w:rsidR="00500337" w:rsidRDefault="00500337" w:rsidP="00500337">
            <w:pPr>
              <w:ind w:left="0" w:right="0"/>
            </w:pPr>
            <w:r>
              <w:t xml:space="preserve">Completion of administrative activities and registration on </w:t>
            </w:r>
            <w:r w:rsidR="00006FAB">
              <w:t xml:space="preserve">the </w:t>
            </w:r>
            <w:r>
              <w:t>ARTG</w:t>
            </w:r>
          </w:p>
        </w:tc>
        <w:tc>
          <w:tcPr>
            <w:tcW w:w="2658" w:type="dxa"/>
          </w:tcPr>
          <w:p w14:paraId="7B304FDE" w14:textId="77777777" w:rsidR="00500337" w:rsidRDefault="003B5453" w:rsidP="00500337">
            <w:pPr>
              <w:ind w:left="0" w:right="0"/>
            </w:pPr>
            <w:r>
              <w:t>28 August 2019</w:t>
            </w:r>
          </w:p>
        </w:tc>
      </w:tr>
      <w:tr w:rsidR="00500337" w14:paraId="6E4CC94F" w14:textId="77777777" w:rsidTr="002F2D29">
        <w:tc>
          <w:tcPr>
            <w:tcW w:w="6062" w:type="dxa"/>
          </w:tcPr>
          <w:p w14:paraId="2F40C1E7" w14:textId="77777777" w:rsidR="00500337" w:rsidRDefault="00500337" w:rsidP="00500337">
            <w:pPr>
              <w:ind w:left="0" w:right="0"/>
            </w:pPr>
            <w:r>
              <w:t>Number of working days from submission dossier acceptance to registration decision*</w:t>
            </w:r>
          </w:p>
        </w:tc>
        <w:tc>
          <w:tcPr>
            <w:tcW w:w="2658" w:type="dxa"/>
          </w:tcPr>
          <w:p w14:paraId="625B9415" w14:textId="77777777" w:rsidR="00500337" w:rsidRDefault="003B5453" w:rsidP="00500337">
            <w:pPr>
              <w:ind w:left="0" w:right="0"/>
            </w:pPr>
            <w:r>
              <w:t>177 days</w:t>
            </w:r>
          </w:p>
        </w:tc>
      </w:tr>
    </w:tbl>
    <w:p w14:paraId="12D3DA2E"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6465E190" w14:textId="77777777" w:rsidR="008E7846" w:rsidRPr="00792A32" w:rsidRDefault="00456765" w:rsidP="008E7846">
      <w:pPr>
        <w:pStyle w:val="Heading2"/>
      </w:pPr>
      <w:bookmarkStart w:id="28" w:name="_Toc196046504"/>
      <w:bookmarkStart w:id="29" w:name="_Toc247691527"/>
      <w:bookmarkStart w:id="30" w:name="_Toc314842510"/>
      <w:bookmarkStart w:id="31" w:name="_Toc163441390"/>
      <w:bookmarkStart w:id="32" w:name="_Toc57827164"/>
      <w:bookmarkEnd w:id="1"/>
      <w:bookmarkEnd w:id="24"/>
      <w:bookmarkEnd w:id="25"/>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8"/>
      <w:bookmarkEnd w:id="29"/>
      <w:bookmarkEnd w:id="30"/>
      <w:bookmarkEnd w:id="32"/>
    </w:p>
    <w:p w14:paraId="338B3CC3" w14:textId="77777777" w:rsidR="00006FAB" w:rsidRDefault="00006FAB" w:rsidP="00006FAB">
      <w:bookmarkStart w:id="33" w:name="_Toc247691528"/>
      <w:r>
        <w:t>The submission was summarised in the following Delegate’s overview and recommendations.</w:t>
      </w:r>
    </w:p>
    <w:p w14:paraId="7FA6CA72" w14:textId="77777777" w:rsidR="008E7846" w:rsidRDefault="008E7846" w:rsidP="008E7846">
      <w:pPr>
        <w:pStyle w:val="Heading3"/>
      </w:pPr>
      <w:bookmarkStart w:id="34" w:name="_Toc314842511"/>
      <w:bookmarkStart w:id="35" w:name="_Toc57827165"/>
      <w:r>
        <w:t>Quality</w:t>
      </w:r>
      <w:bookmarkEnd w:id="33"/>
      <w:bookmarkEnd w:id="34"/>
      <w:bookmarkEnd w:id="35"/>
    </w:p>
    <w:p w14:paraId="3CB16DCD" w14:textId="749829D3" w:rsidR="00EA49A8" w:rsidRPr="00F66F75" w:rsidRDefault="00EA49A8" w:rsidP="00EA49A8">
      <w:bookmarkStart w:id="36" w:name="_Toc314842512"/>
      <w:proofErr w:type="spellStart"/>
      <w:r w:rsidRPr="00F66F75">
        <w:t>Semaglutide</w:t>
      </w:r>
      <w:proofErr w:type="spellEnd"/>
      <w:r w:rsidRPr="00F66F75">
        <w:t xml:space="preserve"> is a recombinant long acting analogue of human GLP-1. </w:t>
      </w:r>
      <w:proofErr w:type="spellStart"/>
      <w:r w:rsidRPr="00F66F75">
        <w:t>Semaglutide</w:t>
      </w:r>
      <w:proofErr w:type="spellEnd"/>
      <w:r w:rsidRPr="00F66F75">
        <w:t xml:space="preserve"> acts as a GLP-1 </w:t>
      </w:r>
      <w:r w:rsidR="00002625">
        <w:t>RA</w:t>
      </w:r>
      <w:r w:rsidRPr="00F66F75">
        <w:t xml:space="preserve"> that selectively binds to and activates the GLP-1 receptor, the target for native GLP-1. Compared to native GLP-1, </w:t>
      </w:r>
      <w:proofErr w:type="spellStart"/>
      <w:r w:rsidRPr="00F66F75">
        <w:t>semaglutide</w:t>
      </w:r>
      <w:proofErr w:type="spellEnd"/>
      <w:r w:rsidRPr="00F66F75">
        <w:t xml:space="preserve"> has a prolonged half-life of around 1 week making it suitable for once-weekly </w:t>
      </w:r>
      <w:r w:rsidRPr="00F66F75">
        <w:rPr>
          <w:i/>
          <w:iCs/>
        </w:rPr>
        <w:t xml:space="preserve">subcutaneous </w:t>
      </w:r>
      <w:r w:rsidRPr="00F66F75">
        <w:t>administration</w:t>
      </w:r>
      <w:r w:rsidR="00002625">
        <w:t>.</w:t>
      </w:r>
    </w:p>
    <w:p w14:paraId="7DCE2B02" w14:textId="728FB267" w:rsidR="00EA49A8" w:rsidRPr="00F66F75" w:rsidRDefault="00EA49A8" w:rsidP="00EA49A8">
      <w:proofErr w:type="spellStart"/>
      <w:r w:rsidRPr="00F66F75">
        <w:rPr>
          <w:lang w:val="en-GB"/>
        </w:rPr>
        <w:t>Semaglutide</w:t>
      </w:r>
      <w:proofErr w:type="spellEnd"/>
      <w:r w:rsidRPr="00F66F75">
        <w:rPr>
          <w:lang w:val="en-GB"/>
        </w:rPr>
        <w:t xml:space="preserve"> is produced using recombinant </w:t>
      </w:r>
      <w:r w:rsidR="004317C3">
        <w:rPr>
          <w:lang w:val="en-GB"/>
        </w:rPr>
        <w:t>d</w:t>
      </w:r>
      <w:r w:rsidR="004317C3" w:rsidRPr="004317C3">
        <w:rPr>
          <w:lang w:val="en-GB"/>
        </w:rPr>
        <w:t>eoxyribonucleic acid</w:t>
      </w:r>
      <w:r w:rsidR="004317C3">
        <w:rPr>
          <w:lang w:val="en-GB"/>
        </w:rPr>
        <w:t xml:space="preserve"> (</w:t>
      </w:r>
      <w:r w:rsidRPr="00F66F75">
        <w:rPr>
          <w:lang w:val="en-GB"/>
        </w:rPr>
        <w:t>DNA</w:t>
      </w:r>
      <w:r w:rsidR="004317C3">
        <w:rPr>
          <w:lang w:val="en-GB"/>
        </w:rPr>
        <w:t>)</w:t>
      </w:r>
      <w:r w:rsidRPr="00F66F75">
        <w:rPr>
          <w:lang w:val="en-GB"/>
        </w:rPr>
        <w:t xml:space="preserve"> technology in yeast (</w:t>
      </w:r>
      <w:r w:rsidRPr="004317C3">
        <w:rPr>
          <w:i/>
          <w:lang w:val="en-GB"/>
        </w:rPr>
        <w:t>Saccharomyces cerevisiae</w:t>
      </w:r>
      <w:r w:rsidRPr="00F66F75">
        <w:rPr>
          <w:lang w:val="en-GB"/>
        </w:rPr>
        <w:t xml:space="preserve">) and chemical modification. </w:t>
      </w:r>
      <w:r w:rsidRPr="00F66F75">
        <w:t xml:space="preserve">The molecular formula of </w:t>
      </w:r>
      <w:proofErr w:type="spellStart"/>
      <w:r w:rsidRPr="00F66F75">
        <w:t>semaglutide</w:t>
      </w:r>
      <w:proofErr w:type="spellEnd"/>
      <w:r w:rsidRPr="00F66F75">
        <w:t xml:space="preserve"> is C</w:t>
      </w:r>
      <w:r w:rsidRPr="00F66F75">
        <w:rPr>
          <w:vertAlign w:val="subscript"/>
        </w:rPr>
        <w:t>187</w:t>
      </w:r>
      <w:r w:rsidRPr="00F66F75">
        <w:t>H</w:t>
      </w:r>
      <w:r w:rsidRPr="00F66F75">
        <w:rPr>
          <w:vertAlign w:val="subscript"/>
        </w:rPr>
        <w:t>291</w:t>
      </w:r>
      <w:r w:rsidRPr="00F66F75">
        <w:t>N</w:t>
      </w:r>
      <w:r w:rsidRPr="00F66F75">
        <w:rPr>
          <w:vertAlign w:val="subscript"/>
        </w:rPr>
        <w:t>45</w:t>
      </w:r>
      <w:r w:rsidRPr="00F66F75">
        <w:t>O</w:t>
      </w:r>
      <w:r w:rsidRPr="00F66F75">
        <w:rPr>
          <w:vertAlign w:val="subscript"/>
        </w:rPr>
        <w:t>59</w:t>
      </w:r>
      <w:r w:rsidR="004364F3">
        <w:t>, structure shown below.</w:t>
      </w:r>
    </w:p>
    <w:p w14:paraId="6954EE40" w14:textId="0A72D596" w:rsidR="00EA49A8" w:rsidRDefault="00EA49A8" w:rsidP="00EA49A8">
      <w:pPr>
        <w:pStyle w:val="FigureTitle"/>
      </w:pPr>
      <w:r w:rsidRPr="00EA49A8">
        <w:t xml:space="preserve">Figure </w:t>
      </w:r>
      <w:fldSimple w:instr=" SEQ Figure \* ARABIC ">
        <w:r w:rsidR="009B528E">
          <w:rPr>
            <w:noProof/>
          </w:rPr>
          <w:t>1</w:t>
        </w:r>
      </w:fldSimple>
      <w:r>
        <w:t>:</w:t>
      </w:r>
      <w:r w:rsidRPr="00F66F75">
        <w:t xml:space="preserve"> The structural formula of </w:t>
      </w:r>
      <w:proofErr w:type="spellStart"/>
      <w:r w:rsidRPr="00F66F75">
        <w:t>semaglutide</w:t>
      </w:r>
      <w:proofErr w:type="spellEnd"/>
    </w:p>
    <w:p w14:paraId="7A44F745" w14:textId="77777777" w:rsidR="00EA49A8" w:rsidRDefault="00EA49A8" w:rsidP="00EA49A8">
      <w:r w:rsidRPr="00F66F75">
        <w:rPr>
          <w:rFonts w:asciiTheme="minorHAnsi" w:hAnsiTheme="minorHAnsi"/>
          <w:noProof/>
          <w:lang w:eastAsia="en-AU"/>
        </w:rPr>
        <w:drawing>
          <wp:inline distT="0" distB="0" distL="0" distR="0" wp14:anchorId="0AE7E155" wp14:editId="7CBC2316">
            <wp:extent cx="5400040" cy="1606550"/>
            <wp:effectExtent l="0" t="0" r="0" b="0"/>
            <wp:docPr id="4" name="Picture 4" descr="The structural formula of semaglut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00040" cy="1606550"/>
                    </a:xfrm>
                    <a:prstGeom prst="rect">
                      <a:avLst/>
                    </a:prstGeom>
                  </pic:spPr>
                </pic:pic>
              </a:graphicData>
            </a:graphic>
          </wp:inline>
        </w:drawing>
      </w:r>
    </w:p>
    <w:p w14:paraId="42CF1318" w14:textId="77777777" w:rsidR="00EA49A8" w:rsidRDefault="00EA49A8" w:rsidP="00EA49A8">
      <w:r>
        <w:t>All manufacturing steps are validated and there are no outstanding Good Manufacturing Practice (GMP) issues. There are outstanding microbiology evaluation issues as discussed below.</w:t>
      </w:r>
    </w:p>
    <w:p w14:paraId="1D1C5178" w14:textId="77777777" w:rsidR="00EA49A8" w:rsidRDefault="00EA49A8" w:rsidP="00EA49A8">
      <w:r>
        <w:t xml:space="preserve">From an infectious disease safety assessment viewpoint, the evaluator has concluded that sufficient evidence has been provided to demonstrate that the risks related to the presence of adventitious agents (prions, viruses and mycoplasmas) in the manufacturing of </w:t>
      </w:r>
      <w:proofErr w:type="spellStart"/>
      <w:r>
        <w:t>Ozempic</w:t>
      </w:r>
      <w:proofErr w:type="spellEnd"/>
      <w:r>
        <w:t xml:space="preserve"> (</w:t>
      </w:r>
      <w:proofErr w:type="spellStart"/>
      <w:r>
        <w:t>semaglutide</w:t>
      </w:r>
      <w:proofErr w:type="spellEnd"/>
      <w:r>
        <w:t>) have been controlled to an acceptable level.</w:t>
      </w:r>
    </w:p>
    <w:p w14:paraId="626E2296" w14:textId="77777777" w:rsidR="00EA49A8" w:rsidRDefault="00EA49A8" w:rsidP="00EA49A8">
      <w:r>
        <w:t xml:space="preserve">From an evaluation of the endotoxin aspects of safety, there are no outstanding issues and the evaluator has recommended in the report that, ‘based on the evaluation conducted; </w:t>
      </w:r>
      <w:r>
        <w:lastRenderedPageBreak/>
        <w:t>there are no further concerns with regard to endotoxin testing that need delay registration</w:t>
      </w:r>
      <w:r w:rsidR="004364F3">
        <w:t>’</w:t>
      </w:r>
      <w:r>
        <w:t>.</w:t>
      </w:r>
    </w:p>
    <w:p w14:paraId="3631C4F6" w14:textId="77777777" w:rsidR="00EA49A8" w:rsidRDefault="00EA49A8" w:rsidP="00EA49A8">
      <w:pPr>
        <w:pStyle w:val="Heading4"/>
      </w:pPr>
      <w:r>
        <w:t>Outstanding microbiology recommendation</w:t>
      </w:r>
    </w:p>
    <w:p w14:paraId="2E5DDD7F" w14:textId="4E88CF1E" w:rsidR="00EA49A8" w:rsidRDefault="00EA49A8" w:rsidP="00EA49A8">
      <w:r>
        <w:t>There is still an outstanding issue;</w:t>
      </w:r>
      <w:bookmarkStart w:id="37" w:name="_Ref53493668"/>
      <w:r>
        <w:rPr>
          <w:rStyle w:val="FootnoteReference"/>
        </w:rPr>
        <w:footnoteReference w:id="2"/>
      </w:r>
      <w:bookmarkEnd w:id="37"/>
      <w:r>
        <w:t xml:space="preserve"> regarding the open shelf life of </w:t>
      </w:r>
      <w:proofErr w:type="spellStart"/>
      <w:r>
        <w:t>Ozempic</w:t>
      </w:r>
      <w:proofErr w:type="spellEnd"/>
      <w:r>
        <w:t xml:space="preserve"> pen</w:t>
      </w:r>
      <w:r w:rsidR="004364F3">
        <w:t>.</w:t>
      </w:r>
    </w:p>
    <w:p w14:paraId="62071997" w14:textId="2BDD09C7" w:rsidR="00EA49A8" w:rsidRDefault="00EA49A8" w:rsidP="00EA49A8">
      <w:pPr>
        <w:pStyle w:val="ListBullet"/>
        <w:numPr>
          <w:ilvl w:val="0"/>
          <w:numId w:val="0"/>
        </w:numPr>
      </w:pPr>
      <w:r>
        <w:t xml:space="preserve">In a response dated 27 June 2019, the sponsor concludes that the available evidence, both clinical, post marketing and stability testing data demonstrate that there is no increased risk of microbial contamination for </w:t>
      </w:r>
      <w:proofErr w:type="spellStart"/>
      <w:r>
        <w:t>Ozempic</w:t>
      </w:r>
      <w:proofErr w:type="spellEnd"/>
      <w:r>
        <w:t xml:space="preserve"> administered once weekly.</w:t>
      </w:r>
    </w:p>
    <w:p w14:paraId="456DA87F" w14:textId="77777777" w:rsidR="00EA49A8" w:rsidRDefault="00EA49A8" w:rsidP="00EA49A8">
      <w:pPr>
        <w:pStyle w:val="ListBullet"/>
        <w:numPr>
          <w:ilvl w:val="0"/>
          <w:numId w:val="0"/>
        </w:numPr>
      </w:pPr>
      <w:r>
        <w:t>The sponsor does not agree with the evaluator’s conclusions with respect to the proposed open shelf life of 42 days and provides the following arguments</w:t>
      </w:r>
      <w:r w:rsidR="00AE4646">
        <w:t>.</w:t>
      </w:r>
    </w:p>
    <w:p w14:paraId="1AE5E688" w14:textId="77777777" w:rsidR="00EA49A8" w:rsidRDefault="00EA49A8" w:rsidP="00EA49A8">
      <w:pPr>
        <w:pStyle w:val="ListBullet"/>
      </w:pPr>
      <w:r>
        <w:t xml:space="preserve">The evaluator states that an open shelf life of greater than 28 days has never been approved due to microbial concerns in Australia. The sponsor states that it has provided substantial data demonstrating no increased risk of microbial contamination over the proposed 42 day in use period for </w:t>
      </w:r>
      <w:proofErr w:type="spellStart"/>
      <w:r>
        <w:t>Ozempic</w:t>
      </w:r>
      <w:proofErr w:type="spellEnd"/>
      <w:r>
        <w:t>. Further, there is available clinical and post marketing experience demonstrating no increased risk for microbial contamination.</w:t>
      </w:r>
    </w:p>
    <w:p w14:paraId="00C9B372" w14:textId="44EA8265" w:rsidR="00EA49A8" w:rsidRDefault="00EA49A8" w:rsidP="00EA49A8">
      <w:pPr>
        <w:pStyle w:val="ListBullet"/>
      </w:pPr>
      <w:r>
        <w:t xml:space="preserve">When compared to once daily dosing of insulin and other daily dosed GLP-1 drugs, the number of times </w:t>
      </w:r>
      <w:proofErr w:type="spellStart"/>
      <w:r>
        <w:t>Ozempic</w:t>
      </w:r>
      <w:proofErr w:type="spellEnd"/>
      <w:r>
        <w:t xml:space="preserve"> will be accessed over the in use period is less than one quarter of </w:t>
      </w:r>
      <w:r w:rsidR="00002625">
        <w:t xml:space="preserve">the times </w:t>
      </w:r>
      <w:r>
        <w:t xml:space="preserve">these </w:t>
      </w:r>
      <w:r w:rsidR="00002625">
        <w:t xml:space="preserve">comparative </w:t>
      </w:r>
      <w:r>
        <w:t>products</w:t>
      </w:r>
      <w:r w:rsidR="00002625">
        <w:t xml:space="preserve"> are accessed</w:t>
      </w:r>
      <w:r>
        <w:t>, as the product is administered once weekly. It follows that the reduced number of access points by the patient over the in use period also reduces the opportunity for contamination to be introduced into the product, and therefore allays the concerns expressed by the evaluator.</w:t>
      </w:r>
    </w:p>
    <w:p w14:paraId="54F5CD31" w14:textId="2969AFCE" w:rsidR="00EA49A8" w:rsidRDefault="00EA49A8" w:rsidP="00EA49A8">
      <w:pPr>
        <w:pStyle w:val="ListBullet2"/>
        <w:numPr>
          <w:ilvl w:val="1"/>
          <w:numId w:val="0"/>
        </w:numPr>
      </w:pPr>
      <w:r>
        <w:t>In response to</w:t>
      </w:r>
      <w:r w:rsidR="00002625">
        <w:t xml:space="preserve"> the</w:t>
      </w:r>
      <w:r>
        <w:t xml:space="preserve"> evaluator</w:t>
      </w:r>
      <w:r w:rsidR="004C25E0">
        <w:t>’</w:t>
      </w:r>
      <w:r>
        <w:t xml:space="preserve">s concerns that the data is based on simulated testing and the assertion that patients may administer the product incorrectly the sponsor states that during development of </w:t>
      </w:r>
      <w:proofErr w:type="spellStart"/>
      <w:r>
        <w:t>Ozempic</w:t>
      </w:r>
      <w:proofErr w:type="spellEnd"/>
      <w:r>
        <w:t xml:space="preserve">, validation of patient’s ability to administer doses correctly and to use the device as intended has been successfully undertaken. Furthermore, the PDS290 device in which </w:t>
      </w:r>
      <w:proofErr w:type="spellStart"/>
      <w:r>
        <w:t>Ozempic</w:t>
      </w:r>
      <w:proofErr w:type="spellEnd"/>
      <w:r>
        <w:t xml:space="preserve"> will be supplied</w:t>
      </w:r>
      <w:r w:rsidR="00002625">
        <w:t>;</w:t>
      </w:r>
      <w:bookmarkStart w:id="38" w:name="_Ref54905289"/>
      <w:r w:rsidR="00002625">
        <w:rPr>
          <w:rStyle w:val="FootnoteReference"/>
        </w:rPr>
        <w:footnoteReference w:id="3"/>
      </w:r>
      <w:bookmarkEnd w:id="38"/>
      <w:r>
        <w:t xml:space="preserve"> is an established device platform and is used for many different Novo Nordisk products.</w:t>
      </w:r>
    </w:p>
    <w:p w14:paraId="74CDB427" w14:textId="77777777" w:rsidR="00EA49A8" w:rsidRDefault="007039E0" w:rsidP="00132EB9">
      <w:pPr>
        <w:pStyle w:val="ListBullet"/>
      </w:pPr>
      <w:r>
        <w:t>The sponsor draw</w:t>
      </w:r>
      <w:r w:rsidR="00EA49A8">
        <w:t xml:space="preserve">s attention to the post marketing experience with </w:t>
      </w:r>
      <w:proofErr w:type="spellStart"/>
      <w:r w:rsidR="00EA49A8">
        <w:t>Ozempic</w:t>
      </w:r>
      <w:proofErr w:type="spellEnd"/>
      <w:r w:rsidR="00EA49A8">
        <w:t xml:space="preserve"> in overseas markets with an approved in use shelf life of either 6 or 8 weeks and note that no reports of microbial contamination have been received, nor have there been any safety issues identified with respect to injection site reactions (which might be indicative of microbial contamination).</w:t>
      </w:r>
    </w:p>
    <w:p w14:paraId="1285424B" w14:textId="1550FA6F" w:rsidR="00EA49A8" w:rsidRDefault="00EA49A8" w:rsidP="00132EB9">
      <w:pPr>
        <w:pStyle w:val="ListBullet"/>
      </w:pPr>
      <w:r>
        <w:t xml:space="preserve">The evaluator also states that a single dose injection device may be possible. The sponsor has based the </w:t>
      </w:r>
      <w:proofErr w:type="spellStart"/>
      <w:r>
        <w:t>Ozempic</w:t>
      </w:r>
      <w:proofErr w:type="spellEnd"/>
      <w:r>
        <w:t xml:space="preserve"> dosing regimen on the established FlexTouch device platform;</w:t>
      </w:r>
      <w:r w:rsidR="00002625" w:rsidRPr="002F538B">
        <w:rPr>
          <w:vertAlign w:val="superscript"/>
        </w:rPr>
        <w:fldChar w:fldCharType="begin"/>
      </w:r>
      <w:r w:rsidR="00002625" w:rsidRPr="002F538B">
        <w:rPr>
          <w:vertAlign w:val="superscript"/>
        </w:rPr>
        <w:instrText xml:space="preserve"> NOTEREF _Ref54905289 \h  \* MERGEFORMAT </w:instrText>
      </w:r>
      <w:r w:rsidR="00002625" w:rsidRPr="002F538B">
        <w:rPr>
          <w:vertAlign w:val="superscript"/>
        </w:rPr>
      </w:r>
      <w:r w:rsidR="00002625" w:rsidRPr="002F538B">
        <w:rPr>
          <w:vertAlign w:val="superscript"/>
        </w:rPr>
        <w:fldChar w:fldCharType="separate"/>
      </w:r>
      <w:r w:rsidR="009B528E">
        <w:rPr>
          <w:vertAlign w:val="superscript"/>
        </w:rPr>
        <w:t>3</w:t>
      </w:r>
      <w:r w:rsidR="00002625" w:rsidRPr="002F538B">
        <w:rPr>
          <w:vertAlign w:val="superscript"/>
        </w:rPr>
        <w:fldChar w:fldCharType="end"/>
      </w:r>
      <w:r>
        <w:t xml:space="preserve"> which has been developed for ease of use for patients. A single dose pen is not considered a reasonable option at this time and is not considered as an appropriate conclusion in the context of the product development program and the available supporting data.</w:t>
      </w:r>
    </w:p>
    <w:p w14:paraId="1D4CF01E" w14:textId="77777777" w:rsidR="00EA49A8" w:rsidRDefault="00EA49A8" w:rsidP="00EA49A8">
      <w:pPr>
        <w:pStyle w:val="Heading4"/>
      </w:pPr>
      <w:r>
        <w:t>Conditions of registration</w:t>
      </w:r>
    </w:p>
    <w:p w14:paraId="2BA48392" w14:textId="77777777" w:rsidR="00EA49A8" w:rsidRDefault="00EA49A8" w:rsidP="00EA49A8">
      <w:r>
        <w:t>The evaluator has summarised the listed conditions</w:t>
      </w:r>
      <w:r w:rsidR="00960EE8">
        <w:t xml:space="preserve"> of registration below for batch release testing and compliance with certified product details (CPD).</w:t>
      </w:r>
    </w:p>
    <w:p w14:paraId="61583541" w14:textId="13073523" w:rsidR="00EA49A8" w:rsidRDefault="00EA49A8" w:rsidP="00EA49A8">
      <w:pPr>
        <w:pStyle w:val="ListBullet"/>
      </w:pPr>
      <w:r>
        <w:lastRenderedPageBreak/>
        <w:t xml:space="preserve">It is a condition of registration that all batches of </w:t>
      </w:r>
      <w:proofErr w:type="spellStart"/>
      <w:r>
        <w:t>Ozempic</w:t>
      </w:r>
      <w:proofErr w:type="spellEnd"/>
      <w:r>
        <w:t xml:space="preserve"> 0.25/0.5 mg </w:t>
      </w:r>
      <w:proofErr w:type="spellStart"/>
      <w:r>
        <w:t>semaglutide</w:t>
      </w:r>
      <w:proofErr w:type="spellEnd"/>
      <w:r w:rsidR="001C6D9C">
        <w:t> </w:t>
      </w:r>
      <w:r>
        <w:t xml:space="preserve">(rys) 1.34 mg/mL solution for injection pre-filled pen and </w:t>
      </w:r>
      <w:proofErr w:type="spellStart"/>
      <w:r>
        <w:t>Ozempic</w:t>
      </w:r>
      <w:proofErr w:type="spellEnd"/>
      <w:r>
        <w:t xml:space="preserve"> 1 mg </w:t>
      </w:r>
      <w:proofErr w:type="spellStart"/>
      <w:r>
        <w:t>semaglutide</w:t>
      </w:r>
      <w:proofErr w:type="spellEnd"/>
      <w:r>
        <w:t xml:space="preserve"> (rys) 1.34 mg/mL solution for injection pre-filled pen imported into/manufactured in Australia must comply with the product details and specifications approved during evaluation and detailed in the </w:t>
      </w:r>
      <w:r w:rsidR="00960EE8">
        <w:t>CPD</w:t>
      </w:r>
      <w:r w:rsidR="00AE4646">
        <w:t>.</w:t>
      </w:r>
    </w:p>
    <w:p w14:paraId="0FFFE7D1" w14:textId="28CE21B8" w:rsidR="00EA49A8" w:rsidRDefault="00EA49A8" w:rsidP="00EA49A8">
      <w:pPr>
        <w:pStyle w:val="ListBullet"/>
      </w:pPr>
      <w:r>
        <w:t xml:space="preserve">It is a condition of registration that each batch of </w:t>
      </w:r>
      <w:proofErr w:type="spellStart"/>
      <w:r>
        <w:t>Ozempic</w:t>
      </w:r>
      <w:proofErr w:type="spellEnd"/>
      <w:r>
        <w:t xml:space="preserve"> 0.25/0.5 mg </w:t>
      </w:r>
      <w:proofErr w:type="spellStart"/>
      <w:r>
        <w:t>semaglutide</w:t>
      </w:r>
      <w:proofErr w:type="spellEnd"/>
      <w:r w:rsidR="001C6D9C">
        <w:t> </w:t>
      </w:r>
      <w:r>
        <w:t xml:space="preserve">(rys) 1.34 mg/mL solution for injection pre-filled pen and </w:t>
      </w:r>
      <w:proofErr w:type="spellStart"/>
      <w:r>
        <w:t>Ozempic</w:t>
      </w:r>
      <w:proofErr w:type="spellEnd"/>
      <w:r>
        <w:t xml:space="preserve"> 1 mg </w:t>
      </w:r>
      <w:proofErr w:type="spellStart"/>
      <w:r>
        <w:t>semaglutide</w:t>
      </w:r>
      <w:proofErr w:type="spellEnd"/>
      <w:r>
        <w:t xml:space="preserve"> (rys) 1.34 mg/mL solution for injection pre-filled pen imported into/manufactured in Australia is not released for sale until samples and/or the manufacturer’s release data have been assessed and endorsed for release by the TGA</w:t>
      </w:r>
      <w:r w:rsidR="001C6D9C">
        <w:t> </w:t>
      </w:r>
      <w:r>
        <w:t>Laboratories Branch. Outcomes of laboratory testing are published biannually in the TGA Database of Laboratory Testing Results</w:t>
      </w:r>
      <w:r w:rsidR="001C6D9C">
        <w:t>; available at</w:t>
      </w:r>
      <w:r w:rsidR="001C6D9C">
        <w:br/>
        <w:t xml:space="preserve"> </w:t>
      </w:r>
      <w:r>
        <w:t>http://www.tga.gov.au/w</w:t>
      </w:r>
      <w:r w:rsidR="00AE4646">
        <w:t>s</w:t>
      </w:r>
      <w:r w:rsidR="001C6D9C">
        <w:noBreakHyphen/>
      </w:r>
      <w:r w:rsidR="00AE4646">
        <w:t>labs</w:t>
      </w:r>
      <w:r w:rsidR="001C6D9C">
        <w:noBreakHyphen/>
      </w:r>
      <w:r w:rsidR="00AE4646">
        <w:t>index.</w:t>
      </w:r>
    </w:p>
    <w:p w14:paraId="676CF14C" w14:textId="77777777" w:rsidR="00EA49A8" w:rsidRDefault="00EA49A8" w:rsidP="00EA49A8">
      <w:pPr>
        <w:pStyle w:val="ListBullet"/>
      </w:pPr>
      <w:r>
        <w:t>The sponsor should be prepared to provide product samples, reference materials and documentary evidence as defined by the TGA Laboratories br</w:t>
      </w:r>
      <w:r w:rsidR="00960EE8">
        <w:t>anch. The sponsor must contact biochemistry.t</w:t>
      </w:r>
      <w:r>
        <w:t>esting@health.gov.au for specific material requirements related to the batch release testing/assessment of the product. More information on TGA testing of biological medicines is available at https://www.tga.gov.au/publicatio</w:t>
      </w:r>
      <w:r w:rsidR="00AE4646">
        <w:t>n/testing-biological-medicines.</w:t>
      </w:r>
    </w:p>
    <w:p w14:paraId="5971EF89" w14:textId="77777777" w:rsidR="00EA49A8" w:rsidRDefault="00EA49A8" w:rsidP="00EA49A8">
      <w:pPr>
        <w:pStyle w:val="ListBullet"/>
      </w:pPr>
      <w:r>
        <w:t>This batch release condition will be reviewed and may be modified on the basis of actual batch quality and consistency. This condition remains in place until you are notified in writing of any variation.</w:t>
      </w:r>
    </w:p>
    <w:p w14:paraId="02FF4F70" w14:textId="0CDBA139" w:rsidR="00EA49A8" w:rsidRDefault="00EA49A8" w:rsidP="00EA49A8">
      <w:r>
        <w:t>Certified Product Details:</w:t>
      </w:r>
    </w:p>
    <w:p w14:paraId="1797280C" w14:textId="77777777" w:rsidR="00EA49A8" w:rsidRPr="00F66F75" w:rsidRDefault="00EA49A8" w:rsidP="00960EE8">
      <w:pPr>
        <w:pStyle w:val="ListBullet"/>
      </w:pPr>
      <w:r>
        <w:t xml:space="preserve">The </w:t>
      </w:r>
      <w:r w:rsidR="00F810F8">
        <w:t>CPD</w:t>
      </w:r>
      <w:r>
        <w:t xml:space="preserve">, as described in Guidance 7: </w:t>
      </w:r>
      <w:r w:rsidR="00F810F8">
        <w:t>Certified Product Details</w:t>
      </w:r>
      <w:r>
        <w:t xml:space="preserve"> of the Australian Regulatory Guidelines for </w:t>
      </w:r>
      <w:r w:rsidR="00960EE8">
        <w:t>Prescription Medicines (ARGPM) (</w:t>
      </w:r>
      <w:r>
        <w:t>http://www.tga.gov.au/i</w:t>
      </w:r>
      <w:r w:rsidR="00960EE8">
        <w:t xml:space="preserve">ndustry/pm-argpm-guidance-7.htm), in </w:t>
      </w:r>
      <w:r w:rsidR="00960EE8" w:rsidRPr="00960EE8">
        <w:t>portable document format</w:t>
      </w:r>
      <w:r>
        <w: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1CE81C38" w14:textId="77777777" w:rsidR="008E7846" w:rsidRDefault="008E7846" w:rsidP="008E7846">
      <w:pPr>
        <w:pStyle w:val="Heading3"/>
      </w:pPr>
      <w:bookmarkStart w:id="39" w:name="_Toc57827166"/>
      <w:r>
        <w:t>Nonclinical</w:t>
      </w:r>
      <w:bookmarkEnd w:id="36"/>
      <w:bookmarkEnd w:id="39"/>
    </w:p>
    <w:p w14:paraId="0F8F623E" w14:textId="77777777" w:rsidR="00132EB9" w:rsidRDefault="00132EB9" w:rsidP="00132EB9">
      <w:pPr>
        <w:pStyle w:val="ListBullet"/>
        <w:numPr>
          <w:ilvl w:val="0"/>
          <w:numId w:val="0"/>
        </w:numPr>
        <w:ind w:left="360" w:hanging="360"/>
      </w:pPr>
      <w:bookmarkStart w:id="40" w:name="_Toc247691530"/>
      <w:bookmarkStart w:id="41" w:name="_Toc314842513"/>
      <w:r>
        <w:t>The conclusions of the nonclinical evaluator are summarised below:</w:t>
      </w:r>
    </w:p>
    <w:p w14:paraId="0AB8AC75" w14:textId="77777777" w:rsidR="00132EB9" w:rsidRDefault="007039E0" w:rsidP="00132EB9">
      <w:pPr>
        <w:pStyle w:val="ListBullet"/>
      </w:pPr>
      <w:r>
        <w:t>t</w:t>
      </w:r>
      <w:r w:rsidR="00132EB9">
        <w:t>he nonclinical dossier con</w:t>
      </w:r>
      <w:r>
        <w:t>tained no critical deficiencies</w:t>
      </w:r>
    </w:p>
    <w:p w14:paraId="69BCC65D" w14:textId="77777777" w:rsidR="00132EB9" w:rsidRDefault="007039E0" w:rsidP="00132EB9">
      <w:pPr>
        <w:pStyle w:val="ListBullet"/>
      </w:pPr>
      <w:r>
        <w:t>p</w:t>
      </w:r>
      <w:r w:rsidR="00132EB9">
        <w:t>rimary pharmacology studies offer support for the proposed use of th</w:t>
      </w:r>
      <w:r>
        <w:t>e drug in the treatment of T2DM</w:t>
      </w:r>
    </w:p>
    <w:p w14:paraId="0A12D107" w14:textId="24BA95A6" w:rsidR="00132EB9" w:rsidRDefault="00EC4062" w:rsidP="00132EB9">
      <w:pPr>
        <w:pStyle w:val="ListBullet"/>
      </w:pPr>
      <w:r>
        <w:t>t</w:t>
      </w:r>
      <w:r w:rsidR="00132EB9">
        <w:t>he combined safety studies indicate the following as potentially clinically-relevant:</w:t>
      </w:r>
    </w:p>
    <w:p w14:paraId="0EE9BAF5" w14:textId="77777777" w:rsidR="00132EB9" w:rsidRPr="00132EB9" w:rsidRDefault="00132EB9" w:rsidP="00132EB9">
      <w:pPr>
        <w:pStyle w:val="ListBullet2"/>
      </w:pPr>
      <w:r>
        <w:t>transient acute effects (</w:t>
      </w:r>
      <w:proofErr w:type="spellStart"/>
      <w:r>
        <w:t>hypoactivity</w:t>
      </w:r>
      <w:proofErr w:type="spellEnd"/>
      <w:r>
        <w:t xml:space="preserve">, suppressed appetite, reduced food consumption) at </w:t>
      </w:r>
      <w:r w:rsidR="007039E0">
        <w:t>dose initiation</w:t>
      </w:r>
    </w:p>
    <w:p w14:paraId="37B6126F" w14:textId="77777777" w:rsidR="00132EB9" w:rsidRPr="00132EB9" w:rsidRDefault="007039E0" w:rsidP="00132EB9">
      <w:pPr>
        <w:pStyle w:val="ListBullet2"/>
      </w:pPr>
      <w:r>
        <w:t xml:space="preserve">diuresis and </w:t>
      </w:r>
      <w:proofErr w:type="spellStart"/>
      <w:r>
        <w:t>natriuresis</w:t>
      </w:r>
      <w:proofErr w:type="spellEnd"/>
    </w:p>
    <w:p w14:paraId="5EEE0676" w14:textId="77777777" w:rsidR="00132EB9" w:rsidRPr="00132EB9" w:rsidRDefault="00132EB9" w:rsidP="00132EB9">
      <w:pPr>
        <w:pStyle w:val="ListBullet2"/>
      </w:pPr>
      <w:r w:rsidRPr="00132EB9">
        <w:t>gastrointestinal effects associated with de</w:t>
      </w:r>
      <w:r w:rsidR="007039E0">
        <w:t>layed gastric emptying</w:t>
      </w:r>
    </w:p>
    <w:p w14:paraId="6C7ACA69" w14:textId="77777777" w:rsidR="00132EB9" w:rsidRPr="00132EB9" w:rsidRDefault="007039E0" w:rsidP="00132EB9">
      <w:pPr>
        <w:pStyle w:val="ListBullet"/>
      </w:pPr>
      <w:r>
        <w:t>a</w:t>
      </w:r>
      <w:r w:rsidR="00132EB9" w:rsidRPr="00132EB9">
        <w:t xml:space="preserve"> risk for thyroid carcinogenicity cannot be completely dismissed but there is no greater risk with </w:t>
      </w:r>
      <w:proofErr w:type="spellStart"/>
      <w:r w:rsidR="00132EB9" w:rsidRPr="00132EB9">
        <w:t>semaglutide</w:t>
      </w:r>
      <w:proofErr w:type="spellEnd"/>
      <w:r w:rsidR="00132EB9" w:rsidRPr="00132EB9">
        <w:t xml:space="preserve"> compared with currently-registered long</w:t>
      </w:r>
      <w:r>
        <w:t>-acting GLP-1 receptor agonists</w:t>
      </w:r>
    </w:p>
    <w:p w14:paraId="3DB40D6A" w14:textId="6E220CF0" w:rsidR="00132EB9" w:rsidRPr="00132EB9" w:rsidRDefault="007039E0" w:rsidP="00132EB9">
      <w:pPr>
        <w:pStyle w:val="ListBullet"/>
      </w:pPr>
      <w:r>
        <w:t>t</w:t>
      </w:r>
      <w:r w:rsidR="00132EB9" w:rsidRPr="00132EB9">
        <w:t xml:space="preserve">here are no nonclinical objections to the registration of </w:t>
      </w:r>
      <w:proofErr w:type="spellStart"/>
      <w:r w:rsidR="00132EB9" w:rsidRPr="00132EB9">
        <w:t>Ozempic</w:t>
      </w:r>
      <w:proofErr w:type="spellEnd"/>
      <w:r w:rsidR="00132EB9" w:rsidRPr="00132EB9">
        <w:t xml:space="preserve"> </w:t>
      </w:r>
      <w:proofErr w:type="spellStart"/>
      <w:r w:rsidR="00132EB9" w:rsidRPr="00132EB9">
        <w:t>semaglutide</w:t>
      </w:r>
      <w:proofErr w:type="spellEnd"/>
      <w:r w:rsidR="00132EB9" w:rsidRPr="00132EB9">
        <w:t xml:space="preserve"> for monotherapy for the proposed indication. No studies were submitted in the nonclinical data to support combination therapy with one or more antidiabetic</w:t>
      </w:r>
      <w:r w:rsidR="000F0B8F">
        <w:t xml:space="preserve"> drugs. </w:t>
      </w:r>
      <w:r w:rsidR="000F0B8F">
        <w:lastRenderedPageBreak/>
        <w:t>The low potential for pharmacokinetic (PK)</w:t>
      </w:r>
      <w:r w:rsidR="00132EB9" w:rsidRPr="00132EB9">
        <w:t xml:space="preserve"> drug interactions and limited toxicity profile with </w:t>
      </w:r>
      <w:proofErr w:type="spellStart"/>
      <w:r w:rsidR="00132EB9" w:rsidRPr="00132EB9">
        <w:t>semaglutide</w:t>
      </w:r>
      <w:proofErr w:type="spellEnd"/>
      <w:r w:rsidR="00132EB9" w:rsidRPr="00132EB9">
        <w:t xml:space="preserve"> do not raise any obvious safety concerns for the proposed combination use. The PI is ame</w:t>
      </w:r>
      <w:r>
        <w:t>nded as directed</w:t>
      </w:r>
      <w:r w:rsidR="004364F3">
        <w:t>.</w:t>
      </w:r>
    </w:p>
    <w:p w14:paraId="3F736B4F" w14:textId="77777777" w:rsidR="00132EB9" w:rsidRPr="00DC1948" w:rsidRDefault="00132EB9" w:rsidP="00132EB9">
      <w:r>
        <w:t xml:space="preserve">Further to sponsor’s acceptance of recommendations made by the nonclinical evaluator there are no further outstanding issues and the evaluator has confirmed that, </w:t>
      </w:r>
      <w:r w:rsidRPr="00B50C95">
        <w:rPr>
          <w:i/>
        </w:rPr>
        <w:t>‘no further comment is required from a nonclinical perspective.’</w:t>
      </w:r>
    </w:p>
    <w:p w14:paraId="49E87A55" w14:textId="77777777" w:rsidR="008E7846" w:rsidRDefault="008E7846" w:rsidP="008E7846">
      <w:pPr>
        <w:pStyle w:val="Heading3"/>
      </w:pPr>
      <w:bookmarkStart w:id="42" w:name="_Toc57827167"/>
      <w:r w:rsidRPr="00F810F8">
        <w:t>Clinical</w:t>
      </w:r>
      <w:bookmarkEnd w:id="40"/>
      <w:bookmarkEnd w:id="41"/>
      <w:bookmarkEnd w:id="42"/>
    </w:p>
    <w:p w14:paraId="76A9F767" w14:textId="77777777" w:rsidR="00132EB9" w:rsidRDefault="00132EB9" w:rsidP="00132EB9">
      <w:pPr>
        <w:pStyle w:val="Heading4"/>
      </w:pPr>
      <w:bookmarkStart w:id="43" w:name="_Toc314842514"/>
      <w:r>
        <w:t>Pharmacology</w:t>
      </w:r>
    </w:p>
    <w:p w14:paraId="7185132A" w14:textId="77777777" w:rsidR="00132EB9" w:rsidRDefault="00132EB9" w:rsidP="00132EB9">
      <w:pPr>
        <w:pStyle w:val="Heading5"/>
      </w:pPr>
      <w:r>
        <w:t>Pharmacokinetics</w:t>
      </w:r>
    </w:p>
    <w:p w14:paraId="193D3011" w14:textId="3F9584D7" w:rsidR="00132EB9" w:rsidRDefault="00132EB9" w:rsidP="00132EB9">
      <w:r>
        <w:t xml:space="preserve">The PK of </w:t>
      </w:r>
      <w:proofErr w:type="spellStart"/>
      <w:r>
        <w:t>semaglutide</w:t>
      </w:r>
      <w:proofErr w:type="spellEnd"/>
      <w:r>
        <w:t xml:space="preserve"> in patients with T2DM, in general, are adequately characterised during the clinical pharmacology programme. The maximum multiple dose tested was 1.5</w:t>
      </w:r>
      <w:r w:rsidR="004364F3">
        <w:t> </w:t>
      </w:r>
      <w:r>
        <w:t xml:space="preserve">mg once weekly and in T2DM patients, the maximum multiple dose tested was 1.6 mg once weekly. The PK profile is suitable for once weekly subcutaneous administration due to the prolonged release characteristics (for example, albumin binding, slow release from </w:t>
      </w:r>
      <w:proofErr w:type="spellStart"/>
      <w:r>
        <w:t>subcutis</w:t>
      </w:r>
      <w:proofErr w:type="spellEnd"/>
      <w:r>
        <w:t xml:space="preserve"> and reduced degradation by enzymes) of </w:t>
      </w:r>
      <w:proofErr w:type="spellStart"/>
      <w:r>
        <w:t>semaglutide</w:t>
      </w:r>
      <w:proofErr w:type="spellEnd"/>
      <w:r>
        <w:t>.</w:t>
      </w:r>
    </w:p>
    <w:p w14:paraId="5B69AEC0" w14:textId="77777777" w:rsidR="00132EB9" w:rsidRDefault="00132EB9" w:rsidP="00132EB9">
      <w:r>
        <w:t xml:space="preserve">The absolute bioavailability of </w:t>
      </w:r>
      <w:proofErr w:type="spellStart"/>
      <w:r>
        <w:t>semaglutide</w:t>
      </w:r>
      <w:proofErr w:type="spellEnd"/>
      <w:r>
        <w:t xml:space="preserve"> after a single dose, this was estimated to be 89% after subcutaneous injection into the abdomen. Based on the presented data it can be concluded that all three injection sites (thigh, upper arm and abdomen), can be used interchangeably.</w:t>
      </w:r>
    </w:p>
    <w:p w14:paraId="0061ECE5" w14:textId="77777777" w:rsidR="00132EB9" w:rsidRDefault="00132EB9" w:rsidP="00132EB9">
      <w:r>
        <w:t xml:space="preserve">The results of the studies and the analysis indicate a linear PK model within the dose range 0.25 mg to 1 mg. Steady state was reached between 4 to 5 weeks. Bodyweight is the only identified factor causing variability in the PK evaluation. The PK of </w:t>
      </w:r>
      <w:proofErr w:type="spellStart"/>
      <w:r>
        <w:t>semaglutide</w:t>
      </w:r>
      <w:proofErr w:type="spellEnd"/>
      <w:r>
        <w:t xml:space="preserve"> in patients with T2DM was similar to those in healthy subjects. The PK properties for the </w:t>
      </w:r>
      <w:proofErr w:type="spellStart"/>
      <w:r>
        <w:t>hepatically</w:t>
      </w:r>
      <w:proofErr w:type="spellEnd"/>
      <w:r>
        <w:t xml:space="preserve"> impaired subjects were similar to those of the subject</w:t>
      </w:r>
      <w:r w:rsidR="000F0B8F">
        <w:t>s with normal hepatic function.</w:t>
      </w:r>
    </w:p>
    <w:p w14:paraId="47C9CB4F" w14:textId="06F05874" w:rsidR="00132EB9" w:rsidRDefault="00132EB9" w:rsidP="00132EB9">
      <w:r>
        <w:t xml:space="preserve">The </w:t>
      </w:r>
      <w:r w:rsidR="000F0B8F">
        <w:t>population pharmacokinetic (</w:t>
      </w:r>
      <w:r>
        <w:t>PopPK</w:t>
      </w:r>
      <w:r w:rsidR="000F0B8F">
        <w:t>)</w:t>
      </w:r>
      <w:r>
        <w:t xml:space="preserve"> analysis wa</w:t>
      </w:r>
      <w:r w:rsidR="000F0B8F">
        <w:t>s a meta-analysis of data from five</w:t>
      </w:r>
      <w:r w:rsidR="005F40F4">
        <w:t> </w:t>
      </w:r>
      <w:r>
        <w:t xml:space="preserve">Phase </w:t>
      </w:r>
      <w:proofErr w:type="spellStart"/>
      <w:r>
        <w:t>IIIa</w:t>
      </w:r>
      <w:proofErr w:type="spellEnd"/>
      <w:r>
        <w:t xml:space="preserve"> clinical studies, comprising four global studies (Studies 3623, 3626, 3624, and 3744) and one study conducted in Japan (Study 4091). The analysis investigated the influence of age, race, ethnicity, body weight, renal impairment, and maintenance dose and injection site on the PK of </w:t>
      </w:r>
      <w:proofErr w:type="spellStart"/>
      <w:r>
        <w:t>semaglutide</w:t>
      </w:r>
      <w:proofErr w:type="spellEnd"/>
      <w:r>
        <w:t xml:space="preserve">. Bodyweight was the only covariate that appeared to have a significant effect on exposure; the exposures of </w:t>
      </w:r>
      <w:proofErr w:type="spellStart"/>
      <w:r>
        <w:t>semaglutide</w:t>
      </w:r>
      <w:proofErr w:type="spellEnd"/>
      <w:r>
        <w:t xml:space="preserve"> decreased with increasing bodyweight and vice versa. The applicant conducted an additional analysis to evaluate the relationship between body weights and the safety and efficacy of </w:t>
      </w:r>
      <w:proofErr w:type="spellStart"/>
      <w:r>
        <w:t>semaglutide</w:t>
      </w:r>
      <w:proofErr w:type="spellEnd"/>
      <w:r>
        <w:t>. There was no clear body weight related trend in safety across body weight cate</w:t>
      </w:r>
      <w:r w:rsidR="000F0B8F">
        <w:t>gories and the efficacy (glycated haemoglobin (HbA1c);</w:t>
      </w:r>
      <w:r w:rsidR="008B0CA7">
        <w:rPr>
          <w:rStyle w:val="FootnoteReference"/>
        </w:rPr>
        <w:footnoteReference w:id="4"/>
      </w:r>
      <w:r>
        <w:t xml:space="preserve"> change from Baseline response) appears to be similar across body weight. No dose adjustment is necessary based on age, s</w:t>
      </w:r>
      <w:r w:rsidR="000F0B8F">
        <w:t>ex, renal or hepatic function.</w:t>
      </w:r>
    </w:p>
    <w:p w14:paraId="23895F6F" w14:textId="4D7E0DFE" w:rsidR="00132EB9" w:rsidRDefault="00132EB9" w:rsidP="00132EB9">
      <w:proofErr w:type="spellStart"/>
      <w:r>
        <w:t>Semaglutide</w:t>
      </w:r>
      <w:proofErr w:type="spellEnd"/>
      <w:r>
        <w:t xml:space="preserve"> is homologous to endogenous GLP-1, thus it is anticipated that the potential for interaction is low as it undergoes protein degradation and has no effect on important enzyme systems. In specific interaction studies the only significant effect was the decrease in maximum concentration of atorvastatin (likely due to delayed gastric emptying), this is </w:t>
      </w:r>
      <w:r>
        <w:lastRenderedPageBreak/>
        <w:t>not considered clinically relevant for a medicine such as atorvastatin that is administered long-term.</w:t>
      </w:r>
    </w:p>
    <w:p w14:paraId="681EDCFE" w14:textId="77777777" w:rsidR="00132EB9" w:rsidRDefault="00132EB9" w:rsidP="00132EB9">
      <w:pPr>
        <w:pStyle w:val="Heading5"/>
      </w:pPr>
      <w:r>
        <w:t>Pharmacodynamics</w:t>
      </w:r>
    </w:p>
    <w:p w14:paraId="0310FAE8" w14:textId="77777777" w:rsidR="00132EB9" w:rsidRDefault="00132EB9" w:rsidP="00132EB9">
      <w:proofErr w:type="spellStart"/>
      <w:r>
        <w:t>Semaglutide</w:t>
      </w:r>
      <w:proofErr w:type="spellEnd"/>
      <w:r>
        <w:t xml:space="preserve"> treatment, as compared with placebo, lowered fasting and postprandial blood glucose by improving multiple aspects of beta-cell function, including insulin secretion, and by reducing both fasting and postprandial glucagon concentrations, all in a glucose dependent manner. The glucose-dependent decrease in glucagon concentrations was observed with increasing concentrations of glucose in patients with T2DM was greater following treatment with </w:t>
      </w:r>
      <w:proofErr w:type="spellStart"/>
      <w:r>
        <w:t>semaglutide</w:t>
      </w:r>
      <w:proofErr w:type="spellEnd"/>
      <w:r>
        <w:t xml:space="preserve"> compared to placebo.</w:t>
      </w:r>
    </w:p>
    <w:p w14:paraId="3D7648B5" w14:textId="77777777" w:rsidR="00132EB9" w:rsidRDefault="00132EB9" w:rsidP="00132EB9">
      <w:r>
        <w:t xml:space="preserve">In general, the pharmacokinetics and pharmacodynamics of </w:t>
      </w:r>
      <w:proofErr w:type="spellStart"/>
      <w:r>
        <w:t>semaglutide</w:t>
      </w:r>
      <w:proofErr w:type="spellEnd"/>
      <w:r>
        <w:t xml:space="preserve"> have been sufficiently characterised.</w:t>
      </w:r>
    </w:p>
    <w:p w14:paraId="7DD02AF5" w14:textId="77777777" w:rsidR="00132EB9" w:rsidRDefault="00132EB9" w:rsidP="00827DA7">
      <w:pPr>
        <w:pStyle w:val="Heading4"/>
      </w:pPr>
      <w:r>
        <w:t>Efficacy</w:t>
      </w:r>
    </w:p>
    <w:p w14:paraId="360CFCBB" w14:textId="241CF562" w:rsidR="00132EB9" w:rsidRDefault="00132EB9" w:rsidP="00132EB9">
      <w:r>
        <w:t>The dose selection strategy was based on results of a Phase I and a Phase II study plus PK</w:t>
      </w:r>
      <w:r w:rsidR="008B0CA7">
        <w:t> </w:t>
      </w:r>
      <w:r>
        <w:t xml:space="preserve">modelling across the Phase </w:t>
      </w:r>
      <w:proofErr w:type="spellStart"/>
      <w:r>
        <w:t>IIIa</w:t>
      </w:r>
      <w:proofErr w:type="spellEnd"/>
      <w:r>
        <w:t xml:space="preserve"> study program. </w:t>
      </w:r>
      <w:proofErr w:type="spellStart"/>
      <w:r>
        <w:t>Semaglutide</w:t>
      </w:r>
      <w:proofErr w:type="spellEnd"/>
      <w:r>
        <w:t xml:space="preserve"> was investigated at two dose levels (0.5 mg and 1.0 mg) in most Phase </w:t>
      </w:r>
      <w:proofErr w:type="spellStart"/>
      <w:r>
        <w:t>IIIa</w:t>
      </w:r>
      <w:proofErr w:type="spellEnd"/>
      <w:r>
        <w:t xml:space="preserve"> trials. This established the need for a slow dose escalation to increase tolerability by minimising gastrointestinal (GI) adverse events (AE). A dose response was seen between the proposed doses was small.</w:t>
      </w:r>
    </w:p>
    <w:p w14:paraId="2B485200" w14:textId="0FA1F348" w:rsidR="00132EB9" w:rsidRDefault="00132EB9" w:rsidP="00132EB9">
      <w:r>
        <w:t xml:space="preserve">There were five key efficacy trials that evaluated the efficacy and safety of </w:t>
      </w:r>
      <w:proofErr w:type="spellStart"/>
      <w:r>
        <w:t>semaglutide</w:t>
      </w:r>
      <w:proofErr w:type="spellEnd"/>
      <w:r>
        <w:t xml:space="preserve"> as mono- and combination therapy (primarily combinations with metformin, a</w:t>
      </w:r>
      <w:r w:rsidR="008B0CA7">
        <w:t> thiazolidinedione (</w:t>
      </w:r>
      <w:r>
        <w:t>TZD</w:t>
      </w:r>
      <w:r w:rsidR="008B0CA7">
        <w:t>)</w:t>
      </w:r>
      <w:r>
        <w:t xml:space="preserve">, a </w:t>
      </w:r>
      <w:r w:rsidR="008B0CA7">
        <w:t xml:space="preserve">sulfonylurea (SU) </w:t>
      </w:r>
      <w:r>
        <w:t xml:space="preserve">and/or insulin). In addition, </w:t>
      </w:r>
      <w:proofErr w:type="spellStart"/>
      <w:r>
        <w:t>semaglutide</w:t>
      </w:r>
      <w:proofErr w:type="spellEnd"/>
      <w:r>
        <w:t xml:space="preserve"> was compared with insulin glargine, a DPP-4 inhibitor and another long acting GLP-1 receptor agonist. Two Phase </w:t>
      </w:r>
      <w:proofErr w:type="spellStart"/>
      <w:r>
        <w:t>IIIa</w:t>
      </w:r>
      <w:proofErr w:type="spellEnd"/>
      <w:r>
        <w:t xml:space="preserve"> trials evaluated </w:t>
      </w:r>
      <w:proofErr w:type="spellStart"/>
      <w:r>
        <w:t>semaglutide</w:t>
      </w:r>
      <w:proofErr w:type="spellEnd"/>
      <w:r>
        <w:t xml:space="preserve"> for treatment of T2DM in Japanese subjects (Trials 4092 and 4091). While safety was the primary endpoint for the Japanese trials, they were designed and conducted in a similar manner to the key efficacy trials. The last Phase </w:t>
      </w:r>
      <w:proofErr w:type="spellStart"/>
      <w:r>
        <w:t>IIIa</w:t>
      </w:r>
      <w:proofErr w:type="spellEnd"/>
      <w:r>
        <w:t xml:space="preserve"> trial (Trial 3744) was a 104 week cardiovascular outcomes trial (CVOT) in a T2DM population at high risk of CV events that investigated the effect of </w:t>
      </w:r>
      <w:proofErr w:type="spellStart"/>
      <w:r>
        <w:t>semaglutide</w:t>
      </w:r>
      <w:proofErr w:type="spellEnd"/>
      <w:r>
        <w:t xml:space="preserve"> on CV events as well as long-term safety and efficacy.</w:t>
      </w:r>
    </w:p>
    <w:p w14:paraId="107E8918" w14:textId="77777777" w:rsidR="00132EB9" w:rsidRDefault="00132EB9" w:rsidP="00132EB9">
      <w:r>
        <w:t xml:space="preserve">The studies that had markers of T2DM as primary endpoints were of similar design and </w:t>
      </w:r>
      <w:r w:rsidR="00021555">
        <w:t xml:space="preserve">had similar primary endpoints. </w:t>
      </w:r>
      <w:r>
        <w:t>There were a large number of secondary endpoints in each study; endpoints relevant to the proposed indication are presented in this report. Multiplicity was handled using a pre-specified hierarchical testing schemes. Of note, in the long term CV study superiority on time to major a</w:t>
      </w:r>
      <w:r w:rsidR="00021555">
        <w:t xml:space="preserve">dverse coronary events (MACE); </w:t>
      </w:r>
      <w:r>
        <w:t>was not included in the predefined testing hierarchy.</w:t>
      </w:r>
    </w:p>
    <w:p w14:paraId="615E0EF2" w14:textId="77777777" w:rsidR="00132EB9" w:rsidRDefault="00021555" w:rsidP="00132EB9">
      <w:r>
        <w:t>In Study 3623 (</w:t>
      </w:r>
      <w:r w:rsidR="00132EB9">
        <w:t xml:space="preserve">SUSTAIN 1-Monotherapy trial) in drug naïve T2DM subjects, </w:t>
      </w:r>
      <w:proofErr w:type="spellStart"/>
      <w:r w:rsidR="00132EB9">
        <w:t>semaglutide</w:t>
      </w:r>
      <w:proofErr w:type="spellEnd"/>
      <w:r w:rsidR="00132EB9">
        <w:t xml:space="preserve"> was associated with a statistically significant decrease in HbA1c after 30 w</w:t>
      </w:r>
      <w:r>
        <w:t>eeks (</w:t>
      </w:r>
      <w:proofErr w:type="spellStart"/>
      <w:r>
        <w:t>semaglutide</w:t>
      </w:r>
      <w:proofErr w:type="spellEnd"/>
      <w:r>
        <w:t xml:space="preserve"> 0.5 mg (</w:t>
      </w:r>
      <w:r w:rsidR="00132EB9">
        <w:t>1.43%</w:t>
      </w:r>
      <w:r>
        <w:t xml:space="preserve">); </w:t>
      </w:r>
      <w:proofErr w:type="spellStart"/>
      <w:r>
        <w:t>semaglutide</w:t>
      </w:r>
      <w:proofErr w:type="spellEnd"/>
      <w:r>
        <w:t xml:space="preserve"> 1.0 mg (</w:t>
      </w:r>
      <w:r w:rsidR="00132EB9">
        <w:t>1.53%</w:t>
      </w:r>
      <w:r>
        <w:t>)</w:t>
      </w:r>
      <w:r w:rsidR="00132EB9">
        <w:t xml:space="preserve">) compared to placebo. In addition, there were changes in </w:t>
      </w:r>
      <w:r>
        <w:t>bodyweight (</w:t>
      </w:r>
      <w:proofErr w:type="spellStart"/>
      <w:r>
        <w:t>semaglutide</w:t>
      </w:r>
      <w:proofErr w:type="spellEnd"/>
      <w:r>
        <w:t xml:space="preserve"> 0.5 mg (</w:t>
      </w:r>
      <w:r w:rsidR="00132EB9">
        <w:t>2.75 kg</w:t>
      </w:r>
      <w:r>
        <w:t xml:space="preserve">); </w:t>
      </w:r>
      <w:proofErr w:type="spellStart"/>
      <w:r>
        <w:t>semaglutide</w:t>
      </w:r>
      <w:proofErr w:type="spellEnd"/>
      <w:r>
        <w:t xml:space="preserve"> 1.0 mg (</w:t>
      </w:r>
      <w:r w:rsidR="00132EB9">
        <w:t>3.56 kg</w:t>
      </w:r>
      <w:r>
        <w:t>)</w:t>
      </w:r>
      <w:r w:rsidR="00132EB9">
        <w:t>).</w:t>
      </w:r>
    </w:p>
    <w:p w14:paraId="707040B7" w14:textId="77777777" w:rsidR="00132EB9" w:rsidRDefault="00021555" w:rsidP="00132EB9">
      <w:r>
        <w:t xml:space="preserve">Study 3626 (SUSTAIN </w:t>
      </w:r>
      <w:r w:rsidR="00132EB9">
        <w:t xml:space="preserve">2 trial) was performed in T2DM subjects who had not achieved adequate glycaemic control on metformin, TZD or a combination of metformin/TZD. Compared to </w:t>
      </w:r>
      <w:proofErr w:type="spellStart"/>
      <w:r w:rsidR="00132EB9">
        <w:t>sitagliptin</w:t>
      </w:r>
      <w:proofErr w:type="spellEnd"/>
      <w:r w:rsidR="00132EB9">
        <w:t xml:space="preserve">, </w:t>
      </w:r>
      <w:proofErr w:type="spellStart"/>
      <w:r w:rsidR="00132EB9">
        <w:t>semaglutide</w:t>
      </w:r>
      <w:proofErr w:type="spellEnd"/>
      <w:r w:rsidR="00132EB9">
        <w:t xml:space="preserve"> was associated with a statistically significant decrease in HbA1c afte</w:t>
      </w:r>
      <w:r>
        <w:t>r 56 weeks (</w:t>
      </w:r>
      <w:proofErr w:type="spellStart"/>
      <w:r>
        <w:t>semaglutide</w:t>
      </w:r>
      <w:proofErr w:type="spellEnd"/>
      <w:r>
        <w:t xml:space="preserve"> 0.5 mg (</w:t>
      </w:r>
      <w:r w:rsidR="00132EB9">
        <w:t>0.77%</w:t>
      </w:r>
      <w:r>
        <w:t>)</w:t>
      </w:r>
      <w:r w:rsidR="00132EB9">
        <w:t xml:space="preserve">; </w:t>
      </w:r>
      <w:proofErr w:type="spellStart"/>
      <w:r w:rsidR="00132EB9">
        <w:t>semaglutide</w:t>
      </w:r>
      <w:proofErr w:type="spellEnd"/>
      <w:r w:rsidR="00132EB9">
        <w:t xml:space="preserve"> 1.</w:t>
      </w:r>
      <w:r>
        <w:t>0 mg (</w:t>
      </w:r>
      <w:r w:rsidR="00132EB9">
        <w:t>1.06%</w:t>
      </w:r>
      <w:r>
        <w:t>)</w:t>
      </w:r>
      <w:r w:rsidR="00132EB9">
        <w:t xml:space="preserve">). In addition, compared to </w:t>
      </w:r>
      <w:proofErr w:type="spellStart"/>
      <w:r w:rsidR="00132EB9">
        <w:t>sitagliptin</w:t>
      </w:r>
      <w:proofErr w:type="spellEnd"/>
      <w:r w:rsidR="00132EB9">
        <w:t xml:space="preserve">, </w:t>
      </w:r>
      <w:proofErr w:type="spellStart"/>
      <w:r w:rsidR="00132EB9">
        <w:t>semaglutide</w:t>
      </w:r>
      <w:proofErr w:type="spellEnd"/>
      <w:r w:rsidR="00132EB9">
        <w:t xml:space="preserve"> was associated with a decrease in </w:t>
      </w:r>
      <w:r>
        <w:t>bodyweight (</w:t>
      </w:r>
      <w:proofErr w:type="spellStart"/>
      <w:r>
        <w:t>semaglutide</w:t>
      </w:r>
      <w:proofErr w:type="spellEnd"/>
      <w:r>
        <w:t xml:space="preserve"> 0.5 mg (</w:t>
      </w:r>
      <w:r w:rsidR="00132EB9">
        <w:t>2.35 kg</w:t>
      </w:r>
      <w:r>
        <w:t xml:space="preserve">); </w:t>
      </w:r>
      <w:proofErr w:type="spellStart"/>
      <w:r>
        <w:t>semaglutide</w:t>
      </w:r>
      <w:proofErr w:type="spellEnd"/>
      <w:r>
        <w:t xml:space="preserve"> 1.0 mg (</w:t>
      </w:r>
      <w:r w:rsidR="00132EB9">
        <w:t>4.20 kg</w:t>
      </w:r>
      <w:r>
        <w:t>)</w:t>
      </w:r>
      <w:r w:rsidR="00132EB9">
        <w:t>).</w:t>
      </w:r>
    </w:p>
    <w:p w14:paraId="1D6F8E6A" w14:textId="52FEBA97" w:rsidR="00132EB9" w:rsidRDefault="00021555" w:rsidP="00132EB9">
      <w:r>
        <w:t>In Study 3624 (SUSTAIN 3</w:t>
      </w:r>
      <w:r w:rsidR="004364F3">
        <w:t xml:space="preserve"> trial</w:t>
      </w:r>
      <w:r>
        <w:t>, c</w:t>
      </w:r>
      <w:r w:rsidR="00132EB9">
        <w:t xml:space="preserve">ombination with metformin or metformin with </w:t>
      </w:r>
      <w:r w:rsidR="008B0CA7">
        <w:t xml:space="preserve">SU </w:t>
      </w:r>
      <w:r w:rsidR="00132EB9">
        <w:t xml:space="preserve">trial) after 56 weeks compared to </w:t>
      </w:r>
      <w:proofErr w:type="spellStart"/>
      <w:r w:rsidR="00132EB9">
        <w:t>exenatide</w:t>
      </w:r>
      <w:proofErr w:type="spellEnd"/>
      <w:r w:rsidR="00132EB9">
        <w:t xml:space="preserve"> (extended release (ER) formulation), </w:t>
      </w:r>
      <w:proofErr w:type="spellStart"/>
      <w:r w:rsidR="00132EB9">
        <w:t>semaglutide</w:t>
      </w:r>
      <w:proofErr w:type="spellEnd"/>
      <w:r w:rsidR="00132EB9">
        <w:t xml:space="preserve"> 1.0 mg was associated with statistically significant decrease in HbA1c </w:t>
      </w:r>
      <w:r>
        <w:t xml:space="preserve">of -0.62% and in bodyweight of </w:t>
      </w:r>
      <w:r w:rsidR="00132EB9">
        <w:t>3.78 kg.</w:t>
      </w:r>
    </w:p>
    <w:p w14:paraId="5BB73B91" w14:textId="11491DDB" w:rsidR="00132EB9" w:rsidRDefault="00021555" w:rsidP="00132EB9">
      <w:r>
        <w:lastRenderedPageBreak/>
        <w:t>In Study 3625 (SUSTAIN 4</w:t>
      </w:r>
      <w:r w:rsidR="004364F3">
        <w:t xml:space="preserve"> trial</w:t>
      </w:r>
      <w:r>
        <w:t>, c</w:t>
      </w:r>
      <w:r w:rsidR="00132EB9">
        <w:t xml:space="preserve">ombination with 1 or 2 oral antidiabetic drugs: metformin or metformin and </w:t>
      </w:r>
      <w:r w:rsidR="008B0CA7">
        <w:t>SU</w:t>
      </w:r>
      <w:r w:rsidR="00132EB9">
        <w:t xml:space="preserve"> trial) after 30 weeks compared to insulin glargine, </w:t>
      </w:r>
      <w:proofErr w:type="spellStart"/>
      <w:r w:rsidR="00132EB9">
        <w:t>semaglutide</w:t>
      </w:r>
      <w:proofErr w:type="spellEnd"/>
      <w:r w:rsidR="00132EB9">
        <w:t xml:space="preserve"> was associated with statistically significant decrease in HbA1c (</w:t>
      </w:r>
      <w:proofErr w:type="spellStart"/>
      <w:r w:rsidR="00132EB9">
        <w:t>semaglutide</w:t>
      </w:r>
      <w:proofErr w:type="spellEnd"/>
      <w:r w:rsidR="00132EB9">
        <w:t xml:space="preserve"> 0.5 mg </w:t>
      </w:r>
      <w:r w:rsidR="006970E6">
        <w:t>(</w:t>
      </w:r>
      <w:r w:rsidR="00132EB9">
        <w:t>0.38%</w:t>
      </w:r>
      <w:r w:rsidR="006970E6">
        <w:t xml:space="preserve">); </w:t>
      </w:r>
      <w:proofErr w:type="spellStart"/>
      <w:r w:rsidR="006970E6">
        <w:t>semaglutide</w:t>
      </w:r>
      <w:proofErr w:type="spellEnd"/>
      <w:r w:rsidR="006970E6">
        <w:t xml:space="preserve"> 1.0 mg (</w:t>
      </w:r>
      <w:r w:rsidR="00132EB9">
        <w:t>0.81%</w:t>
      </w:r>
      <w:r w:rsidR="006970E6">
        <w:t>)</w:t>
      </w:r>
      <w:r w:rsidR="00132EB9">
        <w:t xml:space="preserve">) and in </w:t>
      </w:r>
      <w:r w:rsidR="006970E6">
        <w:t>bodyweight (</w:t>
      </w:r>
      <w:proofErr w:type="spellStart"/>
      <w:r w:rsidR="006970E6">
        <w:t>semaglutide</w:t>
      </w:r>
      <w:proofErr w:type="spellEnd"/>
      <w:r w:rsidR="006970E6">
        <w:t xml:space="preserve"> 0.5 mg (</w:t>
      </w:r>
      <w:r w:rsidR="00132EB9">
        <w:t>4.62 kg</w:t>
      </w:r>
      <w:r w:rsidR="006970E6">
        <w:t xml:space="preserve">); </w:t>
      </w:r>
      <w:proofErr w:type="spellStart"/>
      <w:r w:rsidR="006970E6">
        <w:t>semaglutide</w:t>
      </w:r>
      <w:proofErr w:type="spellEnd"/>
      <w:r w:rsidR="006970E6">
        <w:t xml:space="preserve"> 1.0 mg (</w:t>
      </w:r>
      <w:r w:rsidR="00132EB9">
        <w:t>6.33 kg</w:t>
      </w:r>
      <w:r w:rsidR="006970E6">
        <w:t>)</w:t>
      </w:r>
      <w:r w:rsidR="00132EB9">
        <w:t>).</w:t>
      </w:r>
    </w:p>
    <w:p w14:paraId="1F751952" w14:textId="77777777" w:rsidR="00132EB9" w:rsidRDefault="004317C3" w:rsidP="00132EB9">
      <w:r>
        <w:t xml:space="preserve">In Study 3627 (SUSTAIN </w:t>
      </w:r>
      <w:r w:rsidR="006970E6">
        <w:t>5</w:t>
      </w:r>
      <w:r w:rsidR="004364F3">
        <w:t xml:space="preserve"> trial</w:t>
      </w:r>
      <w:r w:rsidR="006970E6">
        <w:t>, c</w:t>
      </w:r>
      <w:r w:rsidR="00132EB9">
        <w:t xml:space="preserve">ombination with basal insulin trial) in subjects with T2DM on basal insulin, After 30 weeks compared to placebo, </w:t>
      </w:r>
      <w:proofErr w:type="spellStart"/>
      <w:r w:rsidR="00132EB9">
        <w:t>semaglutide</w:t>
      </w:r>
      <w:proofErr w:type="spellEnd"/>
      <w:r w:rsidR="00132EB9">
        <w:t xml:space="preserve"> was associated with statistically significant decreas</w:t>
      </w:r>
      <w:r w:rsidR="006970E6">
        <w:t>e in HbA1c (</w:t>
      </w:r>
      <w:proofErr w:type="spellStart"/>
      <w:r w:rsidR="006970E6">
        <w:t>semaglutide</w:t>
      </w:r>
      <w:proofErr w:type="spellEnd"/>
      <w:r w:rsidR="006970E6">
        <w:t xml:space="preserve"> 0.5 mg (</w:t>
      </w:r>
      <w:r w:rsidR="00132EB9">
        <w:t>1.35%</w:t>
      </w:r>
      <w:r w:rsidR="006970E6">
        <w:t xml:space="preserve">); </w:t>
      </w:r>
      <w:proofErr w:type="spellStart"/>
      <w:r w:rsidR="006970E6">
        <w:t>semaglutide</w:t>
      </w:r>
      <w:proofErr w:type="spellEnd"/>
      <w:r w:rsidR="006970E6">
        <w:t xml:space="preserve"> 1.0 mg (</w:t>
      </w:r>
      <w:r w:rsidR="00132EB9">
        <w:t>1.75%</w:t>
      </w:r>
      <w:r w:rsidR="006970E6">
        <w:t>)</w:t>
      </w:r>
      <w:r w:rsidR="00132EB9">
        <w:t xml:space="preserve">) and in </w:t>
      </w:r>
      <w:r w:rsidR="006970E6">
        <w:t>bodyweight (</w:t>
      </w:r>
      <w:proofErr w:type="spellStart"/>
      <w:r w:rsidR="006970E6">
        <w:t>semaglutide</w:t>
      </w:r>
      <w:proofErr w:type="spellEnd"/>
      <w:r w:rsidR="006970E6">
        <w:t xml:space="preserve"> 0.5 mg (</w:t>
      </w:r>
      <w:r w:rsidR="00132EB9">
        <w:t>2.31 kg</w:t>
      </w:r>
      <w:r w:rsidR="006970E6">
        <w:t xml:space="preserve">); </w:t>
      </w:r>
      <w:proofErr w:type="spellStart"/>
      <w:r w:rsidR="006970E6">
        <w:t>semaglutide</w:t>
      </w:r>
      <w:proofErr w:type="spellEnd"/>
      <w:r w:rsidR="006970E6">
        <w:t xml:space="preserve"> 1.0 mg (</w:t>
      </w:r>
      <w:r w:rsidR="00132EB9">
        <w:t>5.06 kg</w:t>
      </w:r>
      <w:r w:rsidR="006970E6">
        <w:t>)</w:t>
      </w:r>
      <w:r w:rsidR="00132EB9">
        <w:t>).</w:t>
      </w:r>
    </w:p>
    <w:p w14:paraId="6A592AFD" w14:textId="3D0B1CB9" w:rsidR="00132EB9" w:rsidRDefault="006970E6" w:rsidP="00132EB9">
      <w:r>
        <w:t>In Study 3744 (</w:t>
      </w:r>
      <w:r w:rsidR="00132EB9">
        <w:t>SUSTAIN 6-</w:t>
      </w:r>
      <w:r>
        <w:t>CVOT; c</w:t>
      </w:r>
      <w:r w:rsidR="00132EB9">
        <w:t xml:space="preserve">ombination with </w:t>
      </w:r>
      <w:r w:rsidR="001432B9">
        <w:t xml:space="preserve">SU </w:t>
      </w:r>
      <w:r w:rsidR="00132EB9">
        <w:t xml:space="preserve">monotherapy or premix insulin ± 1 or 2 oral antidiabetic drugs); the primary objective was to confirm that treatment with </w:t>
      </w:r>
      <w:proofErr w:type="spellStart"/>
      <w:r w:rsidR="00132EB9">
        <w:t>semaglutide</w:t>
      </w:r>
      <w:proofErr w:type="spellEnd"/>
      <w:r w:rsidR="00132EB9">
        <w:t xml:space="preserve"> does not result in an unacceptable increase in CV risk compared to placebo in T2DM subjects. The secondary objectives were to assess the long-term safety and efficacy of </w:t>
      </w:r>
      <w:proofErr w:type="spellStart"/>
      <w:r w:rsidR="00132EB9">
        <w:t>sem</w:t>
      </w:r>
      <w:r>
        <w:t>aglutide</w:t>
      </w:r>
      <w:proofErr w:type="spellEnd"/>
      <w:r>
        <w:t xml:space="preserve"> 0.5 mg and 1.0 mg once </w:t>
      </w:r>
      <w:r w:rsidR="00132EB9">
        <w:t>weekly compared to pla</w:t>
      </w:r>
      <w:r>
        <w:t xml:space="preserve">cebo, both added on to standard of </w:t>
      </w:r>
      <w:r w:rsidR="00132EB9">
        <w:t xml:space="preserve">care, in T2DM subjects at high risk of CV events. The trial reached its primary objective and demonstrated non-inferiority of </w:t>
      </w:r>
      <w:proofErr w:type="spellStart"/>
      <w:r w:rsidR="00132EB9">
        <w:t>semaglutide</w:t>
      </w:r>
      <w:proofErr w:type="spellEnd"/>
      <w:r w:rsidR="00132EB9">
        <w:t xml:space="preserve"> versus placebo in terms of MACE. The composite primary outcome occurred in 108 of 1648 patients (6.6%) in the </w:t>
      </w:r>
      <w:proofErr w:type="spellStart"/>
      <w:r w:rsidR="00132EB9">
        <w:t>semaglutide</w:t>
      </w:r>
      <w:proofErr w:type="spellEnd"/>
      <w:r w:rsidR="00132EB9">
        <w:t xml:space="preserve"> group and 146 of 1649 (8.9%) in the placebo group (hazard ratio, 0.74; 95% confidence interval (CI), 0.58 to 0.95; p &lt; 0.001 for </w:t>
      </w:r>
      <w:r>
        <w:t>non-inferiority).</w:t>
      </w:r>
      <w:r w:rsidR="00132EB9">
        <w:t xml:space="preserve"> Superiority was tested post hoc without a statistical penalty for multiple testing. At Week 104, the mean HbA1c level in the </w:t>
      </w:r>
      <w:proofErr w:type="spellStart"/>
      <w:r w:rsidR="00132EB9">
        <w:t>semaglutide</w:t>
      </w:r>
      <w:proofErr w:type="spellEnd"/>
      <w:r w:rsidR="00132EB9">
        <w:t xml:space="preserve"> group, as compared with the placebo group, was 0.7% points lower in the group receiving 0.5 mg and 1.0% point lower in the group receiving 1.0 mg (estimated treatment difference) (p &lt; 0.001 for both comparisons). At Week 104, the mean bodyweight in the </w:t>
      </w:r>
      <w:proofErr w:type="spellStart"/>
      <w:r w:rsidR="00132EB9">
        <w:t>semaglutide</w:t>
      </w:r>
      <w:proofErr w:type="spellEnd"/>
      <w:r w:rsidR="00132EB9">
        <w:t xml:space="preserve"> group, as compared with the placebo group, was 2.9 kg lower in the group receiving 0.5 mg and 4.3 kg lower in the group receiving 1.0 mg </w:t>
      </w:r>
      <w:proofErr w:type="spellStart"/>
      <w:r w:rsidR="00132EB9">
        <w:t>semaglutide</w:t>
      </w:r>
      <w:proofErr w:type="spellEnd"/>
      <w:r w:rsidR="00132EB9">
        <w:t xml:space="preserve"> (p &lt; 0.001 for both comparisons). In addition, mean systolic blood pressure in the </w:t>
      </w:r>
      <w:proofErr w:type="spellStart"/>
      <w:r w:rsidR="00132EB9">
        <w:t>semaglutide</w:t>
      </w:r>
      <w:proofErr w:type="spellEnd"/>
      <w:r w:rsidR="00132EB9">
        <w:t xml:space="preserve"> group, as compared with the placebo group, was 1.3 mm Hg lower in the group receiving 0.5 mg (p = 0.10) and 2.6 mm Hg lower in the group receiving 1.0 mg (p &lt; 0.001). Changes in diastolic blood pressure were similar across treatment groups. It is unknown if impact on CV endpoint was a primary effect of the drug or secondary effect of improvement in CV risk parameters (bodyweight, blood pressure, HbAc1 level).</w:t>
      </w:r>
    </w:p>
    <w:p w14:paraId="79D321B2" w14:textId="77777777" w:rsidR="00132EB9" w:rsidRDefault="00132EB9" w:rsidP="00827DA7">
      <w:pPr>
        <w:pStyle w:val="Heading5"/>
      </w:pPr>
      <w:r>
        <w:t>Supportive studies</w:t>
      </w:r>
    </w:p>
    <w:p w14:paraId="33C0982F" w14:textId="007F4984" w:rsidR="00132EB9" w:rsidRDefault="00132EB9" w:rsidP="00132EB9">
      <w:r>
        <w:t>Studies 4091 and 4092 were both conducted in Japan. These studies are only considered supportive because they were performed in Japanese individuals only and efficacy was not a primary endpoint. In Study 4091, the primary objective wa</w:t>
      </w:r>
      <w:r w:rsidR="006970E6">
        <w:t xml:space="preserve">s to compare the safety of once </w:t>
      </w:r>
      <w:r>
        <w:t xml:space="preserve">weekly dosing of </w:t>
      </w:r>
      <w:proofErr w:type="spellStart"/>
      <w:r>
        <w:t>semaglutide</w:t>
      </w:r>
      <w:proofErr w:type="spellEnd"/>
      <w:r>
        <w:t xml:space="preserve"> in monotherapy or in combination with 1 oral antidiabetic drug (either of a sulfonylurea, </w:t>
      </w:r>
      <w:proofErr w:type="spellStart"/>
      <w:r>
        <w:t>glinide</w:t>
      </w:r>
      <w:proofErr w:type="spellEnd"/>
      <w:r>
        <w:t>, alpha-glucosidase or TZD) and in Study</w:t>
      </w:r>
      <w:r w:rsidR="008B0CA7">
        <w:t> </w:t>
      </w:r>
      <w:r>
        <w:t>4092 it was to</w:t>
      </w:r>
      <w:r w:rsidR="006970E6">
        <w:t xml:space="preserve"> compare the safety of once </w:t>
      </w:r>
      <w:r>
        <w:t xml:space="preserve">weekly dosing of </w:t>
      </w:r>
      <w:proofErr w:type="spellStart"/>
      <w:r>
        <w:t>semaglutide</w:t>
      </w:r>
      <w:proofErr w:type="spellEnd"/>
      <w:r>
        <w:t xml:space="preserve"> (0.5 and 1.0 mg) versus </w:t>
      </w:r>
      <w:proofErr w:type="spellStart"/>
      <w:r>
        <w:t>sitagliptin</w:t>
      </w:r>
      <w:proofErr w:type="spellEnd"/>
      <w:r>
        <w:t xml:space="preserve"> (100 mg) once daily, both as monotherapy during 30 weeks of treatment in Japanese T2DM subjects. In Study 4091, compared to additional oral antidiabetic drugs, </w:t>
      </w:r>
      <w:proofErr w:type="spellStart"/>
      <w:r>
        <w:t>semaglutide</w:t>
      </w:r>
      <w:proofErr w:type="spellEnd"/>
      <w:r>
        <w:t xml:space="preserve"> was associated with a decrease in HbA1c after 56</w:t>
      </w:r>
      <w:r w:rsidR="006970E6">
        <w:t xml:space="preserve"> weeks (for </w:t>
      </w:r>
      <w:proofErr w:type="spellStart"/>
      <w:r w:rsidR="006970E6">
        <w:t>semaglutide</w:t>
      </w:r>
      <w:proofErr w:type="spellEnd"/>
      <w:r w:rsidR="006970E6">
        <w:t xml:space="preserve"> 0.5 mg (</w:t>
      </w:r>
      <w:r>
        <w:t>1.08%</w:t>
      </w:r>
      <w:r w:rsidR="006970E6">
        <w:t>)</w:t>
      </w:r>
      <w:r>
        <w:t xml:space="preserve">; for </w:t>
      </w:r>
      <w:proofErr w:type="spellStart"/>
      <w:r>
        <w:t>semaglutide</w:t>
      </w:r>
      <w:proofErr w:type="spellEnd"/>
      <w:r>
        <w:t xml:space="preserve"> 1.0 mg </w:t>
      </w:r>
      <w:r w:rsidR="006970E6">
        <w:t>(</w:t>
      </w:r>
      <w:r>
        <w:t>1.37%</w:t>
      </w:r>
      <w:r w:rsidR="006970E6">
        <w:t>)</w:t>
      </w:r>
      <w:r>
        <w:t xml:space="preserve">). In Study 4092, compared to </w:t>
      </w:r>
      <w:proofErr w:type="spellStart"/>
      <w:r>
        <w:t>sitagliptin</w:t>
      </w:r>
      <w:proofErr w:type="spellEnd"/>
      <w:r>
        <w:t xml:space="preserve">, </w:t>
      </w:r>
      <w:proofErr w:type="spellStart"/>
      <w:r>
        <w:t>semaglutide</w:t>
      </w:r>
      <w:proofErr w:type="spellEnd"/>
      <w:r>
        <w:t xml:space="preserve"> was associated with decrease in HbA1c after 30</w:t>
      </w:r>
      <w:r w:rsidR="008B0CA7">
        <w:t> </w:t>
      </w:r>
      <w:r>
        <w:t xml:space="preserve">weeks (for </w:t>
      </w:r>
      <w:proofErr w:type="spellStart"/>
      <w:r>
        <w:t>semaglutide</w:t>
      </w:r>
      <w:proofErr w:type="spellEnd"/>
      <w:r>
        <w:t xml:space="preserve"> 0.5 mg </w:t>
      </w:r>
      <w:r w:rsidR="006970E6">
        <w:t>(</w:t>
      </w:r>
      <w:r>
        <w:t>1.13%</w:t>
      </w:r>
      <w:r w:rsidR="006970E6">
        <w:t>)</w:t>
      </w:r>
      <w:r>
        <w:t xml:space="preserve">; for </w:t>
      </w:r>
      <w:proofErr w:type="spellStart"/>
      <w:r>
        <w:t>semaglutide</w:t>
      </w:r>
      <w:proofErr w:type="spellEnd"/>
      <w:r>
        <w:t xml:space="preserve"> 1.0 mg </w:t>
      </w:r>
      <w:r w:rsidR="006970E6">
        <w:t>(</w:t>
      </w:r>
      <w:r>
        <w:t>1.44%</w:t>
      </w:r>
      <w:r w:rsidR="006970E6">
        <w:t>)</w:t>
      </w:r>
      <w:r>
        <w:t>).</w:t>
      </w:r>
    </w:p>
    <w:p w14:paraId="7E9B19EA" w14:textId="2E33F198" w:rsidR="00132EB9" w:rsidRDefault="00132EB9" w:rsidP="00132EB9">
      <w:r>
        <w:t xml:space="preserve">The results of Study 4216 (efficacy and safety of </w:t>
      </w:r>
      <w:proofErr w:type="spellStart"/>
      <w:r>
        <w:t>semaglutide</w:t>
      </w:r>
      <w:proofErr w:type="spellEnd"/>
      <w:r>
        <w:t xml:space="preserve"> versus </w:t>
      </w:r>
      <w:proofErr w:type="spellStart"/>
      <w:r>
        <w:t>dulaglutide</w:t>
      </w:r>
      <w:proofErr w:type="spellEnd"/>
      <w:r>
        <w:t xml:space="preserve"> as add on to metformin in subjects with T2DM) provide further support to Phase </w:t>
      </w:r>
      <w:proofErr w:type="spellStart"/>
      <w:r>
        <w:t>IIIa</w:t>
      </w:r>
      <w:proofErr w:type="spellEnd"/>
      <w:r>
        <w:t xml:space="preserve"> studies. Compared </w:t>
      </w:r>
      <w:proofErr w:type="spellStart"/>
      <w:r>
        <w:t>semaglutide</w:t>
      </w:r>
      <w:proofErr w:type="spellEnd"/>
      <w:r>
        <w:t xml:space="preserve"> was statistically superior to </w:t>
      </w:r>
      <w:proofErr w:type="spellStart"/>
      <w:r>
        <w:t>dulaglutide</w:t>
      </w:r>
      <w:proofErr w:type="spellEnd"/>
      <w:r>
        <w:t xml:space="preserve"> at reducing HbA1c. However, the treatment difference was small (0.4%) and unlik</w:t>
      </w:r>
      <w:r w:rsidR="006970E6">
        <w:t>ely to be clinically relevant.</w:t>
      </w:r>
    </w:p>
    <w:p w14:paraId="1F3E13DB" w14:textId="114341E8" w:rsidR="00132EB9" w:rsidRDefault="00132EB9" w:rsidP="00132EB9">
      <w:r>
        <w:t xml:space="preserve">In conclusion, the studies provided with this application (key efficacy and supportive) support the efficacy of </w:t>
      </w:r>
      <w:proofErr w:type="spellStart"/>
      <w:r>
        <w:t>semaglutide</w:t>
      </w:r>
      <w:proofErr w:type="spellEnd"/>
      <w:r>
        <w:t xml:space="preserve"> (for doses 0.5 mg and 1 mg once weekly) at achieving </w:t>
      </w:r>
      <w:r>
        <w:lastRenderedPageBreak/>
        <w:t xml:space="preserve">glycaemic control (as evidenced by a reduction in HbA1c) when used as either a monotherapy or in combination with other oral antidiabetic drugs (discussed above). The observed decrease in HbA1c was supported by reductions in fasting blood glucose and there was reduction in body weight. Both the dose levels of </w:t>
      </w:r>
      <w:proofErr w:type="spellStart"/>
      <w:r>
        <w:t>semaglutide</w:t>
      </w:r>
      <w:proofErr w:type="spellEnd"/>
      <w:r>
        <w:t xml:space="preserve"> can be efficacious and should be based on individual needs. The proposed dosing in the PI is a stepwise progression depending on the patient need and tolerance. The SUSTAIN 6 trial </w:t>
      </w:r>
      <w:r w:rsidR="001432B9">
        <w:t xml:space="preserve">(CVOT; Study 3744) </w:t>
      </w:r>
      <w:r>
        <w:t xml:space="preserve">reached its primary objective and demonstrated non-inferiority of </w:t>
      </w:r>
      <w:proofErr w:type="spellStart"/>
      <w:r>
        <w:t>semaglutide</w:t>
      </w:r>
      <w:proofErr w:type="spellEnd"/>
      <w:r>
        <w:t xml:space="preserve"> versus placebo in terms of MACE. However, occurrence of cardiovascular death was similar with </w:t>
      </w:r>
      <w:proofErr w:type="spellStart"/>
      <w:r>
        <w:t>semaglutide</w:t>
      </w:r>
      <w:proofErr w:type="spellEnd"/>
      <w:r>
        <w:t xml:space="preserve"> and placebo. Superiority was tested post hoc without a statistical penalty for multiple testing. The duration of the trial was relatively short. It is not possible to establish if there is any benefit effect of </w:t>
      </w:r>
      <w:proofErr w:type="spellStart"/>
      <w:r>
        <w:t>semaglutide</w:t>
      </w:r>
      <w:proofErr w:type="spellEnd"/>
      <w:r>
        <w:t xml:space="preserve"> on the individual components of MACEs.</w:t>
      </w:r>
    </w:p>
    <w:p w14:paraId="2B8C7720" w14:textId="77777777" w:rsidR="00132EB9" w:rsidRDefault="00132EB9" w:rsidP="00827DA7">
      <w:pPr>
        <w:pStyle w:val="Heading4"/>
      </w:pPr>
      <w:r>
        <w:t>Safety</w:t>
      </w:r>
    </w:p>
    <w:p w14:paraId="46C2D3CD" w14:textId="19C8273E" w:rsidR="00132EB9" w:rsidRDefault="00132EB9" w:rsidP="00132EB9">
      <w:r>
        <w:t xml:space="preserve">The number of patients exposed in the Phase </w:t>
      </w:r>
      <w:proofErr w:type="spellStart"/>
      <w:r>
        <w:t>IIIa</w:t>
      </w:r>
      <w:proofErr w:type="spellEnd"/>
      <w:r>
        <w:t xml:space="preserve"> trials included a total of 8,093 patients of whom 4,792 patients received at least one dose of </w:t>
      </w:r>
      <w:proofErr w:type="spellStart"/>
      <w:r>
        <w:t>semaglutide</w:t>
      </w:r>
      <w:proofErr w:type="spellEnd"/>
      <w:r>
        <w:t>. A total of 3,301 patients were included in comparator groups including 1,906 in placebo groups and 1,395 in active comparator groups (oral antidiabet</w:t>
      </w:r>
      <w:r w:rsidR="001432B9">
        <w:t>ic</w:t>
      </w:r>
      <w:r>
        <w:t xml:space="preserve"> drugs: 120; </w:t>
      </w:r>
      <w:proofErr w:type="spellStart"/>
      <w:r>
        <w:t>sitagliptin</w:t>
      </w:r>
      <w:proofErr w:type="spellEnd"/>
      <w:r>
        <w:t xml:space="preserve">: 510, </w:t>
      </w:r>
      <w:proofErr w:type="spellStart"/>
      <w:r>
        <w:t>exenatide</w:t>
      </w:r>
      <w:proofErr w:type="spellEnd"/>
      <w:r>
        <w:t xml:space="preserve"> ER: 405; insulin glargine: 360). A total of 1,321 patients were exposed to </w:t>
      </w:r>
      <w:proofErr w:type="spellStart"/>
      <w:r>
        <w:t>semaglutide</w:t>
      </w:r>
      <w:proofErr w:type="spellEnd"/>
      <w:r>
        <w:t xml:space="preserve"> for 18</w:t>
      </w:r>
      <w:r w:rsidR="001432B9">
        <w:t> </w:t>
      </w:r>
      <w:r>
        <w:t>months or longer.</w:t>
      </w:r>
    </w:p>
    <w:p w14:paraId="3B443CC2" w14:textId="2E963E65" w:rsidR="00132EB9" w:rsidRDefault="00132EB9" w:rsidP="00132EB9">
      <w:r>
        <w:t xml:space="preserve">The proportion of patients reporting at least one AE was higher with </w:t>
      </w:r>
      <w:proofErr w:type="spellStart"/>
      <w:r>
        <w:t>semaglutide</w:t>
      </w:r>
      <w:proofErr w:type="spellEnd"/>
      <w:r>
        <w:t xml:space="preserve"> (0.5 mg and 1.0 mg) than comparators in the Phase </w:t>
      </w:r>
      <w:proofErr w:type="spellStart"/>
      <w:r>
        <w:t>IIIa</w:t>
      </w:r>
      <w:proofErr w:type="spellEnd"/>
      <w:r>
        <w:t xml:space="preserve"> pool and similar with </w:t>
      </w:r>
      <w:proofErr w:type="spellStart"/>
      <w:r>
        <w:t>semaglutide</w:t>
      </w:r>
      <w:proofErr w:type="spellEnd"/>
      <w:r>
        <w:t xml:space="preserve"> (0.5 mg and 1.0 mg) and placebo in the 2-year CVOT</w:t>
      </w:r>
      <w:r w:rsidR="001432B9">
        <w:t xml:space="preserve"> (SUSTAIN 6 trial / Study 3744)</w:t>
      </w:r>
      <w:r>
        <w:t xml:space="preserve">. The overall rate of AEs was higher with </w:t>
      </w:r>
      <w:proofErr w:type="spellStart"/>
      <w:r>
        <w:t>semaglutide</w:t>
      </w:r>
      <w:proofErr w:type="spellEnd"/>
      <w:r>
        <w:t xml:space="preserve"> than placebo and comparators across all Phase</w:t>
      </w:r>
      <w:r w:rsidR="001432B9">
        <w:t> </w:t>
      </w:r>
      <w:proofErr w:type="spellStart"/>
      <w:r>
        <w:t>IIIa</w:t>
      </w:r>
      <w:proofErr w:type="spellEnd"/>
      <w:r>
        <w:t xml:space="preserve"> including the CVOT. The higher proportions and rates of AEs were mainly driven by GI disorders.</w:t>
      </w:r>
    </w:p>
    <w:p w14:paraId="43DBBDC9" w14:textId="5886D5A8" w:rsidR="00132EB9" w:rsidRDefault="00132EB9" w:rsidP="00132EB9">
      <w:r>
        <w:t xml:space="preserve">All safety issues identified among commonly reported AEs or serious adverse events (SAE) have previously been seen for other GLP-1 RA drugs, except for the adjudicated endpoint diabetic retinopathy complications in the CVOT. Systematic evaluation of diabetic retinopathy complications was only performed in the CVOT and not in the remaining Phase </w:t>
      </w:r>
      <w:proofErr w:type="spellStart"/>
      <w:r>
        <w:t>IIIa</w:t>
      </w:r>
      <w:proofErr w:type="spellEnd"/>
      <w:r>
        <w:t xml:space="preserve"> trials. Patients requiring active treatment for known proliferative retinopathy or maculopathy at </w:t>
      </w:r>
      <w:r w:rsidR="001432B9">
        <w:t>B</w:t>
      </w:r>
      <w:r>
        <w:t>aseline were excluded from these trials, and overall no safety concerns related to retinopathy were observed.</w:t>
      </w:r>
    </w:p>
    <w:p w14:paraId="600CA3A8" w14:textId="77777777" w:rsidR="00132EB9" w:rsidRDefault="00132EB9" w:rsidP="00132EB9">
      <w:r>
        <w:t xml:space="preserve">The </w:t>
      </w:r>
      <w:proofErr w:type="spellStart"/>
      <w:r>
        <w:t>semaglutide</w:t>
      </w:r>
      <w:proofErr w:type="spellEnd"/>
      <w:r>
        <w:t xml:space="preserve"> safety profile in patients at high CV risk (CVOT) generally resembled that observed in the more broad T2DM population (Phase </w:t>
      </w:r>
      <w:proofErr w:type="spellStart"/>
      <w:r>
        <w:t>IIIa</w:t>
      </w:r>
      <w:proofErr w:type="spellEnd"/>
      <w:r>
        <w:t xml:space="preserve"> pool), albeit the incidences of especially deaths and CV events were higher reflecting a population at high risk of CV disease.</w:t>
      </w:r>
    </w:p>
    <w:p w14:paraId="5FEF437D" w14:textId="77777777" w:rsidR="00132EB9" w:rsidRDefault="00132EB9" w:rsidP="00132EB9">
      <w:r>
        <w:t xml:space="preserve">The most commonly reported AEs with </w:t>
      </w:r>
      <w:proofErr w:type="spellStart"/>
      <w:r>
        <w:t>semaglutide</w:t>
      </w:r>
      <w:proofErr w:type="spellEnd"/>
      <w:r>
        <w:t xml:space="preserve"> (0.5 mg and 1.0 mg) were GI disorders including nausea, diarrhoea, vomiting, constipation, dyspepsia, abdominal pain, abdominal distension, gastritis, gastro-oesophageal reflux disease, eructation and flatulence, which are known common side effects of GLP-1 RA drugs particularly at the start of treatment. In general, these reactions were mild or moderate in severity and of short duration.</w:t>
      </w:r>
    </w:p>
    <w:p w14:paraId="78FCFBFB" w14:textId="77777777" w:rsidR="00132EB9" w:rsidRDefault="00132EB9" w:rsidP="00AB7599">
      <w:pPr>
        <w:pStyle w:val="Heading5"/>
      </w:pPr>
      <w:r>
        <w:t>Serious adverse events and deaths</w:t>
      </w:r>
    </w:p>
    <w:p w14:paraId="1C5BC9C4" w14:textId="73655B30" w:rsidR="00132EB9" w:rsidRDefault="00132EB9" w:rsidP="00132EB9">
      <w:r>
        <w:t xml:space="preserve">In the Phase </w:t>
      </w:r>
      <w:proofErr w:type="spellStart"/>
      <w:r>
        <w:t>IIIa</w:t>
      </w:r>
      <w:proofErr w:type="spellEnd"/>
      <w:r>
        <w:t xml:space="preserve"> pool the proportion of patients with SAEs were generally low, and slightly higher with </w:t>
      </w:r>
      <w:proofErr w:type="spellStart"/>
      <w:r>
        <w:t>semaglutide</w:t>
      </w:r>
      <w:proofErr w:type="spellEnd"/>
      <w:r>
        <w:t xml:space="preserve"> (0.5 mg: 6.6%; 1.0 mg: 6.7%) than with comparator products (5.8%). This difference was mainly explained by more GI SAEs with </w:t>
      </w:r>
      <w:proofErr w:type="spellStart"/>
      <w:r>
        <w:t>semaglutide</w:t>
      </w:r>
      <w:proofErr w:type="spellEnd"/>
      <w:r>
        <w:t>. In the CVOT</w:t>
      </w:r>
      <w:r w:rsidR="001432B9">
        <w:t xml:space="preserve"> (SUSTAIN 6 trial / Study 3744)</w:t>
      </w:r>
      <w:r>
        <w:t xml:space="preserve">, the proportion of patients with SAEs was lower with </w:t>
      </w:r>
      <w:proofErr w:type="spellStart"/>
      <w:r>
        <w:t>semaglutide</w:t>
      </w:r>
      <w:proofErr w:type="spellEnd"/>
      <w:r>
        <w:t xml:space="preserve"> (0.5 mg: 32.1%; 1.0 mg: 29.3%) than with placebo (34.9%). In the CVOT the proportion of SAEs was slightly lower with </w:t>
      </w:r>
      <w:proofErr w:type="spellStart"/>
      <w:r>
        <w:t>semaglutide</w:t>
      </w:r>
      <w:proofErr w:type="spellEnd"/>
      <w:r>
        <w:t xml:space="preserve"> 1.0 mg than with 0.5 mg (0.5 mg: 32.1%; 1.0 mg: 29.3%).</w:t>
      </w:r>
    </w:p>
    <w:p w14:paraId="0858282B" w14:textId="7E460A3D" w:rsidR="00132EB9" w:rsidRDefault="00132EB9" w:rsidP="00132EB9">
      <w:r>
        <w:lastRenderedPageBreak/>
        <w:t xml:space="preserve">Across the </w:t>
      </w:r>
      <w:proofErr w:type="spellStart"/>
      <w:r>
        <w:t>semaglutide</w:t>
      </w:r>
      <w:proofErr w:type="spellEnd"/>
      <w:r>
        <w:t xml:space="preserve"> development programme, a total of 140 patients died. In the CVOT, a total of 123 patients (3.7%) with T2DM and high risk of CV events died due to </w:t>
      </w:r>
      <w:r w:rsidR="003203DB">
        <w:t xml:space="preserve">AEs that had onset during the 2 year in </w:t>
      </w:r>
      <w:r>
        <w:t xml:space="preserve">trial period of the trial; 62 with </w:t>
      </w:r>
      <w:proofErr w:type="spellStart"/>
      <w:r>
        <w:t>semagluti</w:t>
      </w:r>
      <w:r w:rsidR="003203DB">
        <w:t>de</w:t>
      </w:r>
      <w:proofErr w:type="spellEnd"/>
      <w:r w:rsidR="003203DB">
        <w:t xml:space="preserve"> and 61 with placebo. In the seven</w:t>
      </w:r>
      <w:r>
        <w:t xml:space="preserve"> Phase </w:t>
      </w:r>
      <w:proofErr w:type="spellStart"/>
      <w:r>
        <w:t>IIIa</w:t>
      </w:r>
      <w:proofErr w:type="spellEnd"/>
      <w:r>
        <w:t xml:space="preserve"> trials in patients with T2D</w:t>
      </w:r>
      <w:r w:rsidR="001432B9">
        <w:t>M</w:t>
      </w:r>
      <w:r>
        <w:t xml:space="preserve">, a total of 16 patients died; 10 (0.3%) randomised to </w:t>
      </w:r>
      <w:proofErr w:type="spellStart"/>
      <w:r>
        <w:t>semaglutide</w:t>
      </w:r>
      <w:proofErr w:type="spellEnd"/>
      <w:r>
        <w:t xml:space="preserve">, and 6 patients (0.4%) randomised to comparator products. A review of the narratives did not reveal any significant concerns. There were no significant differences between </w:t>
      </w:r>
      <w:proofErr w:type="spellStart"/>
      <w:r>
        <w:t>semaglutide</w:t>
      </w:r>
      <w:proofErr w:type="spellEnd"/>
      <w:r>
        <w:t xml:space="preserve"> (0.5 mg and 1.0 mg pooled) and placebo (pooled) for external </w:t>
      </w:r>
      <w:r w:rsidR="003203DB">
        <w:t>adjudication committee confirmed all-</w:t>
      </w:r>
      <w:r>
        <w:t>cause mortality or CV death.</w:t>
      </w:r>
    </w:p>
    <w:p w14:paraId="3909A36F" w14:textId="77777777" w:rsidR="00132EB9" w:rsidRDefault="00132EB9" w:rsidP="00132EB9">
      <w:r>
        <w:t xml:space="preserve">Across the clinical development program there was a variable pattern of liver function testing results with overall a decrease in liver enzymes. The overall proportion of subjects with acute renal failure-related AEs and the corresponding rates were low with </w:t>
      </w:r>
      <w:proofErr w:type="spellStart"/>
      <w:r>
        <w:t>semaglutide</w:t>
      </w:r>
      <w:proofErr w:type="spellEnd"/>
      <w:r>
        <w:t xml:space="preserve"> (both doses) and comparators. There were no clinically relevant mean changes in haematology or biochemistry parameters.</w:t>
      </w:r>
    </w:p>
    <w:p w14:paraId="41CF9A70" w14:textId="77777777" w:rsidR="00132EB9" w:rsidRDefault="00132EB9" w:rsidP="00132EB9">
      <w:r>
        <w:t xml:space="preserve">Overall there does not appear to be a CV safety signal related to the use of </w:t>
      </w:r>
      <w:proofErr w:type="spellStart"/>
      <w:r>
        <w:t>semaglutide</w:t>
      </w:r>
      <w:proofErr w:type="spellEnd"/>
      <w:r>
        <w:t xml:space="preserve">. There is no significant effect of </w:t>
      </w:r>
      <w:proofErr w:type="spellStart"/>
      <w:r>
        <w:t>semaglutide</w:t>
      </w:r>
      <w:proofErr w:type="spellEnd"/>
      <w:r>
        <w:t xml:space="preserve"> on cardiac repolarisation. There was a consistent small increase in mean resting pulse rate associated with the use of </w:t>
      </w:r>
      <w:proofErr w:type="spellStart"/>
      <w:r>
        <w:t>semaglutide</w:t>
      </w:r>
      <w:proofErr w:type="spellEnd"/>
      <w:r>
        <w:t>. This is likely non-significant and of similar magnitude as seen with other GLP-1 RA drugs.</w:t>
      </w:r>
    </w:p>
    <w:p w14:paraId="54648E9B" w14:textId="77777777" w:rsidR="00132EB9" w:rsidRDefault="00132EB9" w:rsidP="00132EB9">
      <w:r>
        <w:t xml:space="preserve">Overall the event rate for pancreatitis was low. Although the use of </w:t>
      </w:r>
      <w:proofErr w:type="spellStart"/>
      <w:r>
        <w:t>semaglutide</w:t>
      </w:r>
      <w:proofErr w:type="spellEnd"/>
      <w:r>
        <w:t xml:space="preserve"> is associated with an increase in pancreatic lipase and amylase there is no apparent association with the development of pancreatitis. Overall, across the study program, </w:t>
      </w:r>
      <w:proofErr w:type="spellStart"/>
      <w:r>
        <w:t>cholelithiasis</w:t>
      </w:r>
      <w:proofErr w:type="spellEnd"/>
      <w:r>
        <w:t xml:space="preserve"> was reported more frequently for subjects treated with </w:t>
      </w:r>
      <w:proofErr w:type="spellStart"/>
      <w:r>
        <w:t>semaglutide</w:t>
      </w:r>
      <w:proofErr w:type="spellEnd"/>
      <w:r>
        <w:t xml:space="preserve"> versus placebo or a comparator with the exception of </w:t>
      </w:r>
      <w:proofErr w:type="spellStart"/>
      <w:r>
        <w:t>dulaglutide</w:t>
      </w:r>
      <w:proofErr w:type="spellEnd"/>
      <w:r>
        <w:t xml:space="preserve"> in which the rates were similar. </w:t>
      </w:r>
      <w:proofErr w:type="spellStart"/>
      <w:r>
        <w:t>Cholelithiasis</w:t>
      </w:r>
      <w:proofErr w:type="spellEnd"/>
      <w:r>
        <w:t xml:space="preserve"> is a known effect of GLP-1 RA drugs.</w:t>
      </w:r>
    </w:p>
    <w:p w14:paraId="30BFBAEF" w14:textId="77777777" w:rsidR="00132EB9" w:rsidRDefault="00132EB9" w:rsidP="00132EB9">
      <w:r>
        <w:t xml:space="preserve">Episodes of hypoglycaemia were generally infrequent with </w:t>
      </w:r>
      <w:proofErr w:type="spellStart"/>
      <w:r>
        <w:t>semaglutide</w:t>
      </w:r>
      <w:proofErr w:type="spellEnd"/>
      <w:r>
        <w:t xml:space="preserve"> treatment when used as monotherapy or in combination with oral antidiabetic drugs excluding sulfonylureas. Episodes of severe hypoglycaemia were infrequent when </w:t>
      </w:r>
      <w:proofErr w:type="spellStart"/>
      <w:r>
        <w:t>semaglutide</w:t>
      </w:r>
      <w:proofErr w:type="spellEnd"/>
      <w:r>
        <w:t xml:space="preserve"> was administered concomitantly with oral antidiabetic drugs excluding SU and primarily observed when </w:t>
      </w:r>
      <w:proofErr w:type="spellStart"/>
      <w:r>
        <w:t>semaglutide</w:t>
      </w:r>
      <w:proofErr w:type="spellEnd"/>
      <w:r>
        <w:t xml:space="preserve"> was used with a </w:t>
      </w:r>
      <w:r w:rsidR="003203DB">
        <w:t>SU</w:t>
      </w:r>
      <w:r>
        <w:t xml:space="preserve"> or insulin with no apparent differences between </w:t>
      </w:r>
      <w:proofErr w:type="spellStart"/>
      <w:r>
        <w:t>semaglutide</w:t>
      </w:r>
      <w:proofErr w:type="spellEnd"/>
      <w:r>
        <w:t xml:space="preserve"> and comparators.</w:t>
      </w:r>
    </w:p>
    <w:p w14:paraId="46732882" w14:textId="77777777" w:rsidR="00132EB9" w:rsidRDefault="00132EB9" w:rsidP="00132EB9">
      <w:r>
        <w:t xml:space="preserve">There was no indication of an immunogenic response against </w:t>
      </w:r>
      <w:proofErr w:type="spellStart"/>
      <w:r>
        <w:t>semaglutide</w:t>
      </w:r>
      <w:proofErr w:type="spellEnd"/>
      <w:r>
        <w:t xml:space="preserve">. Allergic reactions were reported by a low (4 to 6%) proportion of patients. Most of the allergic reactions were of mild or moderate severity, did not lead to premature treatment discontinuation and no differences between </w:t>
      </w:r>
      <w:proofErr w:type="spellStart"/>
      <w:r>
        <w:t>semaglutide</w:t>
      </w:r>
      <w:proofErr w:type="spellEnd"/>
      <w:r>
        <w:t xml:space="preserve"> and placebo/comparators were observed. Injection site reactions were reported by a low (approximately 1%) proportion of patients with </w:t>
      </w:r>
      <w:proofErr w:type="spellStart"/>
      <w:r>
        <w:t>semaglutide</w:t>
      </w:r>
      <w:proofErr w:type="spellEnd"/>
      <w:r>
        <w:t xml:space="preserve"> and were not recurrent in those individuals. Most injections site reactions were of mild or moderate severity, did not lead to premature treatment discontinuation and no differences between </w:t>
      </w:r>
      <w:proofErr w:type="spellStart"/>
      <w:r>
        <w:t>semaglutide</w:t>
      </w:r>
      <w:proofErr w:type="spellEnd"/>
      <w:r>
        <w:t xml:space="preserve"> and placebo and non-</w:t>
      </w:r>
      <w:proofErr w:type="spellStart"/>
      <w:r>
        <w:t>exenatide</w:t>
      </w:r>
      <w:proofErr w:type="spellEnd"/>
      <w:r>
        <w:t xml:space="preserve"> comparators was observed.</w:t>
      </w:r>
    </w:p>
    <w:p w14:paraId="4AE5DA38" w14:textId="77777777" w:rsidR="007B6132" w:rsidRPr="007B6132" w:rsidRDefault="00132EB9" w:rsidP="00132EB9">
      <w:r>
        <w:t xml:space="preserve">Overall the safety profile of </w:t>
      </w:r>
      <w:proofErr w:type="spellStart"/>
      <w:r>
        <w:t>semaglutide</w:t>
      </w:r>
      <w:proofErr w:type="spellEnd"/>
      <w:r>
        <w:t xml:space="preserve"> was generally similar to that for other GLP-1 RA drugs.</w:t>
      </w:r>
    </w:p>
    <w:p w14:paraId="6EF16BC2" w14:textId="77777777" w:rsidR="008E7846" w:rsidRDefault="00386150" w:rsidP="007B6132">
      <w:pPr>
        <w:pStyle w:val="Heading3"/>
        <w:rPr>
          <w:lang w:eastAsia="en-AU"/>
        </w:rPr>
      </w:pPr>
      <w:bookmarkStart w:id="44" w:name="_Toc57827168"/>
      <w:r>
        <w:rPr>
          <w:lang w:eastAsia="en-AU"/>
        </w:rPr>
        <w:t>Risk m</w:t>
      </w:r>
      <w:r w:rsidR="008E7846">
        <w:rPr>
          <w:lang w:eastAsia="en-AU"/>
        </w:rPr>
        <w:t xml:space="preserve">anagement </w:t>
      </w:r>
      <w:r>
        <w:rPr>
          <w:lang w:eastAsia="en-AU"/>
        </w:rPr>
        <w:t>p</w:t>
      </w:r>
      <w:r w:rsidR="008E7846">
        <w:rPr>
          <w:lang w:eastAsia="en-AU"/>
        </w:rPr>
        <w:t>lan</w:t>
      </w:r>
      <w:bookmarkEnd w:id="43"/>
      <w:bookmarkEnd w:id="44"/>
    </w:p>
    <w:p w14:paraId="3EBFF460" w14:textId="77777777" w:rsidR="00132EB9" w:rsidRDefault="00132EB9" w:rsidP="007D53B6">
      <w:r w:rsidRPr="00132EB9">
        <w:t>The sponsor submitted EU risk management plan (EU-RMP) version 2.0 (26 June 2018; data lock point (DLP) 1 November 2017) and Australian-specific Annex (ASA) version 0.1 (11 July 2018) in support of this application. In its first round response the sponsor has updated these to EU-RMP version 3.1 (5 March 2019; DLP 31 May 2018) and ASA version 0.2 (20 March 2019).</w:t>
      </w:r>
    </w:p>
    <w:p w14:paraId="650EED4D" w14:textId="5FB89582" w:rsidR="007D53B6" w:rsidRDefault="007D53B6" w:rsidP="007D53B6">
      <w:r>
        <w:lastRenderedPageBreak/>
        <w:t>The summary of safety concerns and their associated risk monitoring and mitigation strat</w:t>
      </w:r>
      <w:r w:rsidR="00406FA7">
        <w:t xml:space="preserve">egies are summarised in </w:t>
      </w:r>
      <w:r w:rsidR="00406FA7">
        <w:fldChar w:fldCharType="begin"/>
      </w:r>
      <w:r w:rsidR="00406FA7">
        <w:instrText xml:space="preserve"> REF _Ref53148271 \h </w:instrText>
      </w:r>
      <w:r w:rsidR="00406FA7">
        <w:fldChar w:fldCharType="separate"/>
      </w:r>
      <w:r w:rsidR="009B528E">
        <w:t xml:space="preserve">Table </w:t>
      </w:r>
      <w:r w:rsidR="009B528E">
        <w:rPr>
          <w:noProof/>
        </w:rPr>
        <w:t>3</w:t>
      </w:r>
      <w:r w:rsidR="00406FA7">
        <w:fldChar w:fldCharType="end"/>
      </w:r>
      <w:r>
        <w:t>.</w:t>
      </w:r>
      <w:r>
        <w:rPr>
          <w:rStyle w:val="FootnoteReference"/>
        </w:rPr>
        <w:footnoteReference w:id="5"/>
      </w:r>
    </w:p>
    <w:p w14:paraId="08B2886E" w14:textId="150F3E13" w:rsidR="00132EB9" w:rsidRDefault="00132EB9" w:rsidP="00132EB9">
      <w:pPr>
        <w:pStyle w:val="TableTitle"/>
      </w:pPr>
      <w:bookmarkStart w:id="45" w:name="_Ref53148271"/>
      <w:r>
        <w:t xml:space="preserve">Table </w:t>
      </w:r>
      <w:fldSimple w:instr=" SEQ Table \* ARABIC ">
        <w:r w:rsidR="009B528E">
          <w:rPr>
            <w:noProof/>
          </w:rPr>
          <w:t>3</w:t>
        </w:r>
      </w:fldSimple>
      <w:bookmarkEnd w:id="45"/>
      <w:r>
        <w:t>: Summary of safety concerns</w:t>
      </w:r>
    </w:p>
    <w:tbl>
      <w:tblPr>
        <w:tblStyle w:val="TableTGAblue"/>
        <w:tblW w:w="5481" w:type="pct"/>
        <w:tblLayout w:type="fixed"/>
        <w:tblLook w:val="04A0" w:firstRow="1" w:lastRow="0" w:firstColumn="1" w:lastColumn="0" w:noHBand="0" w:noVBand="1"/>
      </w:tblPr>
      <w:tblGrid>
        <w:gridCol w:w="1547"/>
        <w:gridCol w:w="2522"/>
        <w:gridCol w:w="1260"/>
        <w:gridCol w:w="1441"/>
        <w:gridCol w:w="1258"/>
        <w:gridCol w:w="1531"/>
      </w:tblGrid>
      <w:tr w:rsidR="00132EB9" w:rsidRPr="00A965D3" w14:paraId="0FA64AB5" w14:textId="77777777" w:rsidTr="002F538B">
        <w:trPr>
          <w:cnfStyle w:val="100000000000" w:firstRow="1" w:lastRow="0" w:firstColumn="0" w:lastColumn="0" w:oddVBand="0" w:evenVBand="0" w:oddHBand="0" w:evenHBand="0" w:firstRowFirstColumn="0" w:firstRowLastColumn="0" w:lastRowFirstColumn="0" w:lastRowLastColumn="0"/>
          <w:trHeight w:val="131"/>
        </w:trPr>
        <w:tc>
          <w:tcPr>
            <w:tcW w:w="2128" w:type="pct"/>
            <w:gridSpan w:val="2"/>
            <w:vMerge w:val="restart"/>
            <w:tcBorders>
              <w:top w:val="single" w:sz="4" w:space="0" w:color="auto"/>
              <w:left w:val="single" w:sz="4" w:space="0" w:color="auto"/>
              <w:bottom w:val="single" w:sz="4" w:space="0" w:color="auto"/>
              <w:right w:val="single" w:sz="4" w:space="0" w:color="auto"/>
            </w:tcBorders>
          </w:tcPr>
          <w:p w14:paraId="44289530" w14:textId="77777777" w:rsidR="00132EB9" w:rsidRPr="00A965D3" w:rsidRDefault="00132EB9" w:rsidP="00406FA7">
            <w:pPr>
              <w:pStyle w:val="Tabletext"/>
            </w:pPr>
            <w:r w:rsidRPr="00A965D3">
              <w:t>Summary of safety concerns</w:t>
            </w:r>
          </w:p>
        </w:tc>
        <w:tc>
          <w:tcPr>
            <w:tcW w:w="1413" w:type="pct"/>
            <w:gridSpan w:val="2"/>
            <w:tcBorders>
              <w:top w:val="single" w:sz="4" w:space="0" w:color="auto"/>
              <w:left w:val="single" w:sz="4" w:space="0" w:color="auto"/>
              <w:bottom w:val="single" w:sz="4" w:space="0" w:color="auto"/>
              <w:right w:val="single" w:sz="4" w:space="0" w:color="auto"/>
            </w:tcBorders>
          </w:tcPr>
          <w:p w14:paraId="63F0393D" w14:textId="77777777" w:rsidR="00132EB9" w:rsidRPr="00A965D3" w:rsidRDefault="00132EB9" w:rsidP="00406FA7">
            <w:pPr>
              <w:pStyle w:val="Tabletext"/>
              <w:rPr>
                <w:b w:val="0"/>
              </w:rPr>
            </w:pPr>
            <w:r w:rsidRPr="00A965D3">
              <w:rPr>
                <w:b w:val="0"/>
              </w:rPr>
              <w:t>Pharmacovigilance</w:t>
            </w:r>
          </w:p>
        </w:tc>
        <w:tc>
          <w:tcPr>
            <w:tcW w:w="1459" w:type="pct"/>
            <w:gridSpan w:val="2"/>
            <w:tcBorders>
              <w:top w:val="single" w:sz="4" w:space="0" w:color="auto"/>
              <w:left w:val="single" w:sz="4" w:space="0" w:color="auto"/>
              <w:bottom w:val="single" w:sz="4" w:space="0" w:color="auto"/>
              <w:right w:val="single" w:sz="4" w:space="0" w:color="auto"/>
            </w:tcBorders>
          </w:tcPr>
          <w:p w14:paraId="11D0BB18" w14:textId="28C9E00A" w:rsidR="00132EB9" w:rsidRPr="00A965D3" w:rsidRDefault="00132EB9" w:rsidP="00406FA7">
            <w:pPr>
              <w:pStyle w:val="Tabletext"/>
              <w:rPr>
                <w:b w:val="0"/>
              </w:rPr>
            </w:pPr>
            <w:r w:rsidRPr="00A965D3">
              <w:rPr>
                <w:b w:val="0"/>
              </w:rPr>
              <w:t xml:space="preserve">Risk </w:t>
            </w:r>
            <w:r w:rsidR="004364F3">
              <w:rPr>
                <w:b w:val="0"/>
              </w:rPr>
              <w:t>m</w:t>
            </w:r>
            <w:r w:rsidRPr="00A965D3">
              <w:rPr>
                <w:b w:val="0"/>
              </w:rPr>
              <w:t>inimisation</w:t>
            </w:r>
          </w:p>
        </w:tc>
      </w:tr>
      <w:tr w:rsidR="001432B9" w:rsidRPr="00A965D3" w14:paraId="61E8D019" w14:textId="77777777" w:rsidTr="002F538B">
        <w:trPr>
          <w:trHeight w:val="150"/>
        </w:trPr>
        <w:tc>
          <w:tcPr>
            <w:tcW w:w="2128" w:type="pct"/>
            <w:gridSpan w:val="2"/>
            <w:vMerge/>
            <w:tcBorders>
              <w:top w:val="single" w:sz="4" w:space="0" w:color="auto"/>
              <w:left w:val="single" w:sz="4" w:space="0" w:color="auto"/>
              <w:bottom w:val="single" w:sz="4" w:space="0" w:color="auto"/>
              <w:right w:val="single" w:sz="4" w:space="0" w:color="auto"/>
            </w:tcBorders>
            <w:shd w:val="clear" w:color="auto" w:fill="006DA7"/>
          </w:tcPr>
          <w:p w14:paraId="798CC410" w14:textId="77777777" w:rsidR="00132EB9" w:rsidRPr="00A965D3" w:rsidRDefault="00132EB9" w:rsidP="00406FA7">
            <w:pPr>
              <w:pStyle w:val="Tabletext"/>
            </w:pPr>
          </w:p>
        </w:tc>
        <w:tc>
          <w:tcPr>
            <w:tcW w:w="659" w:type="pct"/>
            <w:tcBorders>
              <w:top w:val="single" w:sz="4" w:space="0" w:color="auto"/>
              <w:left w:val="single" w:sz="4" w:space="0" w:color="auto"/>
              <w:bottom w:val="single" w:sz="4" w:space="0" w:color="auto"/>
              <w:right w:val="single" w:sz="4" w:space="0" w:color="auto"/>
            </w:tcBorders>
            <w:shd w:val="clear" w:color="auto" w:fill="006DA7"/>
          </w:tcPr>
          <w:p w14:paraId="284A9080" w14:textId="77777777" w:rsidR="00132EB9" w:rsidRPr="003F0059" w:rsidRDefault="00132EB9" w:rsidP="00406FA7">
            <w:pPr>
              <w:pStyle w:val="Tabletext"/>
              <w:rPr>
                <w:color w:val="FFFFFF" w:themeColor="background1"/>
              </w:rPr>
            </w:pPr>
            <w:r w:rsidRPr="003F0059">
              <w:rPr>
                <w:color w:val="FFFFFF" w:themeColor="background1"/>
              </w:rPr>
              <w:t>Routine</w:t>
            </w:r>
          </w:p>
        </w:tc>
        <w:tc>
          <w:tcPr>
            <w:tcW w:w="754" w:type="pct"/>
            <w:tcBorders>
              <w:top w:val="single" w:sz="4" w:space="0" w:color="auto"/>
              <w:left w:val="single" w:sz="4" w:space="0" w:color="auto"/>
              <w:bottom w:val="single" w:sz="4" w:space="0" w:color="auto"/>
              <w:right w:val="single" w:sz="4" w:space="0" w:color="auto"/>
            </w:tcBorders>
            <w:shd w:val="clear" w:color="auto" w:fill="006DA7"/>
          </w:tcPr>
          <w:p w14:paraId="4F964D8C" w14:textId="77777777" w:rsidR="00132EB9" w:rsidRPr="003F0059" w:rsidRDefault="00132EB9" w:rsidP="00406FA7">
            <w:pPr>
              <w:pStyle w:val="Tabletext"/>
              <w:rPr>
                <w:color w:val="FFFFFF" w:themeColor="background1"/>
              </w:rPr>
            </w:pPr>
            <w:r w:rsidRPr="003F0059">
              <w:rPr>
                <w:color w:val="FFFFFF" w:themeColor="background1"/>
              </w:rPr>
              <w:t>Additional</w:t>
            </w:r>
          </w:p>
        </w:tc>
        <w:tc>
          <w:tcPr>
            <w:tcW w:w="658" w:type="pct"/>
            <w:tcBorders>
              <w:top w:val="single" w:sz="4" w:space="0" w:color="auto"/>
              <w:left w:val="single" w:sz="4" w:space="0" w:color="auto"/>
              <w:bottom w:val="single" w:sz="4" w:space="0" w:color="auto"/>
              <w:right w:val="single" w:sz="4" w:space="0" w:color="auto"/>
            </w:tcBorders>
            <w:shd w:val="clear" w:color="auto" w:fill="006DA7"/>
          </w:tcPr>
          <w:p w14:paraId="5429E5E6" w14:textId="77777777" w:rsidR="00132EB9" w:rsidRPr="003F0059" w:rsidRDefault="00132EB9" w:rsidP="00406FA7">
            <w:pPr>
              <w:pStyle w:val="Tabletext"/>
              <w:rPr>
                <w:color w:val="FFFFFF" w:themeColor="background1"/>
              </w:rPr>
            </w:pPr>
            <w:r w:rsidRPr="003F0059">
              <w:rPr>
                <w:color w:val="FFFFFF" w:themeColor="background1"/>
              </w:rPr>
              <w:t>Routine</w:t>
            </w:r>
          </w:p>
        </w:tc>
        <w:tc>
          <w:tcPr>
            <w:tcW w:w="801" w:type="pct"/>
            <w:tcBorders>
              <w:top w:val="single" w:sz="4" w:space="0" w:color="auto"/>
              <w:left w:val="single" w:sz="4" w:space="0" w:color="auto"/>
              <w:bottom w:val="single" w:sz="4" w:space="0" w:color="auto"/>
              <w:right w:val="single" w:sz="4" w:space="0" w:color="auto"/>
            </w:tcBorders>
            <w:shd w:val="clear" w:color="auto" w:fill="006DA7"/>
          </w:tcPr>
          <w:p w14:paraId="666593ED" w14:textId="77777777" w:rsidR="00132EB9" w:rsidRPr="003F0059" w:rsidRDefault="00132EB9" w:rsidP="00406FA7">
            <w:pPr>
              <w:pStyle w:val="Tabletext"/>
              <w:rPr>
                <w:color w:val="FFFFFF" w:themeColor="background1"/>
              </w:rPr>
            </w:pPr>
            <w:r w:rsidRPr="003F0059">
              <w:rPr>
                <w:color w:val="FFFFFF" w:themeColor="background1"/>
              </w:rPr>
              <w:t>Additional</w:t>
            </w:r>
          </w:p>
        </w:tc>
      </w:tr>
      <w:tr w:rsidR="001432B9" w:rsidRPr="00A965D3" w14:paraId="4EEE0AA3" w14:textId="77777777" w:rsidTr="002F538B">
        <w:trPr>
          <w:trHeight w:val="137"/>
        </w:trPr>
        <w:tc>
          <w:tcPr>
            <w:tcW w:w="809" w:type="pct"/>
            <w:tcBorders>
              <w:top w:val="single" w:sz="4" w:space="0" w:color="auto"/>
            </w:tcBorders>
          </w:tcPr>
          <w:p w14:paraId="3B844997" w14:textId="77777777" w:rsidR="00132EB9" w:rsidRPr="00A965D3" w:rsidRDefault="00132EB9" w:rsidP="00406FA7">
            <w:pPr>
              <w:pStyle w:val="Tabletext"/>
            </w:pPr>
            <w:r w:rsidRPr="00A965D3">
              <w:t>Important identified risks</w:t>
            </w:r>
          </w:p>
        </w:tc>
        <w:tc>
          <w:tcPr>
            <w:tcW w:w="1319" w:type="pct"/>
            <w:tcBorders>
              <w:top w:val="single" w:sz="4" w:space="0" w:color="auto"/>
            </w:tcBorders>
          </w:tcPr>
          <w:p w14:paraId="5D07FF05" w14:textId="77777777" w:rsidR="00132EB9" w:rsidRPr="00A965D3" w:rsidRDefault="00132EB9" w:rsidP="00406FA7">
            <w:pPr>
              <w:pStyle w:val="Tabletext"/>
            </w:pPr>
            <w:r w:rsidRPr="00A965D3">
              <w:t>Diabetic retinopathy complications</w:t>
            </w:r>
          </w:p>
        </w:tc>
        <w:tc>
          <w:tcPr>
            <w:tcW w:w="659" w:type="pct"/>
            <w:tcBorders>
              <w:top w:val="single" w:sz="4" w:space="0" w:color="auto"/>
            </w:tcBorders>
          </w:tcPr>
          <w:p w14:paraId="16CF4281" w14:textId="77777777" w:rsidR="00132EB9" w:rsidRPr="00A965D3" w:rsidRDefault="00132EB9" w:rsidP="00406FA7">
            <w:pPr>
              <w:pStyle w:val="Tabletext"/>
            </w:pPr>
            <w:r w:rsidRPr="00A965D3">
              <w:sym w:font="Wingdings" w:char="F0FC"/>
            </w:r>
          </w:p>
        </w:tc>
        <w:tc>
          <w:tcPr>
            <w:tcW w:w="754" w:type="pct"/>
            <w:tcBorders>
              <w:top w:val="single" w:sz="4" w:space="0" w:color="auto"/>
            </w:tcBorders>
          </w:tcPr>
          <w:p w14:paraId="2837009E" w14:textId="77777777" w:rsidR="00132EB9" w:rsidRPr="00A965D3" w:rsidRDefault="00132EB9" w:rsidP="00406FA7">
            <w:pPr>
              <w:pStyle w:val="Tabletext"/>
            </w:pPr>
            <w:r w:rsidRPr="00A965D3">
              <w:sym w:font="Wingdings" w:char="F0FC"/>
            </w:r>
            <w:r w:rsidRPr="00A965D3">
              <w:t>*</w:t>
            </w:r>
          </w:p>
        </w:tc>
        <w:tc>
          <w:tcPr>
            <w:tcW w:w="658" w:type="pct"/>
            <w:tcBorders>
              <w:top w:val="single" w:sz="4" w:space="0" w:color="auto"/>
            </w:tcBorders>
          </w:tcPr>
          <w:p w14:paraId="611F7840" w14:textId="77777777" w:rsidR="00132EB9" w:rsidRPr="00A965D3" w:rsidRDefault="00132EB9" w:rsidP="00406FA7">
            <w:pPr>
              <w:pStyle w:val="Tabletext"/>
            </w:pPr>
            <w:r w:rsidRPr="00A965D3">
              <w:sym w:font="Wingdings" w:char="F0FC"/>
            </w:r>
          </w:p>
        </w:tc>
        <w:tc>
          <w:tcPr>
            <w:tcW w:w="801" w:type="pct"/>
            <w:tcBorders>
              <w:top w:val="single" w:sz="4" w:space="0" w:color="auto"/>
            </w:tcBorders>
          </w:tcPr>
          <w:p w14:paraId="0F551AB3" w14:textId="77777777" w:rsidR="00132EB9" w:rsidRPr="00A965D3" w:rsidRDefault="00132EB9" w:rsidP="00406FA7">
            <w:pPr>
              <w:pStyle w:val="Tabletext"/>
            </w:pPr>
            <w:r w:rsidRPr="00A965D3">
              <w:t>–</w:t>
            </w:r>
          </w:p>
        </w:tc>
      </w:tr>
      <w:tr w:rsidR="001432B9" w:rsidRPr="00A965D3" w14:paraId="2176D662" w14:textId="77777777" w:rsidTr="002F538B">
        <w:trPr>
          <w:trHeight w:val="159"/>
        </w:trPr>
        <w:tc>
          <w:tcPr>
            <w:tcW w:w="809" w:type="pct"/>
            <w:vMerge w:val="restart"/>
          </w:tcPr>
          <w:p w14:paraId="1D1ADF3E" w14:textId="77777777" w:rsidR="00132EB9" w:rsidRPr="00A965D3" w:rsidRDefault="00132EB9" w:rsidP="00406FA7">
            <w:pPr>
              <w:pStyle w:val="Tabletext"/>
            </w:pPr>
            <w:r w:rsidRPr="00A965D3">
              <w:t>Important potential risks</w:t>
            </w:r>
          </w:p>
        </w:tc>
        <w:tc>
          <w:tcPr>
            <w:tcW w:w="1319" w:type="pct"/>
          </w:tcPr>
          <w:p w14:paraId="2AF300B3" w14:textId="77777777" w:rsidR="00132EB9" w:rsidRPr="00A965D3" w:rsidRDefault="00132EB9" w:rsidP="00406FA7">
            <w:pPr>
              <w:pStyle w:val="Tabletext"/>
            </w:pPr>
            <w:r w:rsidRPr="00A965D3">
              <w:t>Acute pancreatitis</w:t>
            </w:r>
          </w:p>
        </w:tc>
        <w:tc>
          <w:tcPr>
            <w:tcW w:w="659" w:type="pct"/>
          </w:tcPr>
          <w:p w14:paraId="476EAF30" w14:textId="77777777" w:rsidR="00132EB9" w:rsidRPr="00A965D3" w:rsidRDefault="00132EB9" w:rsidP="00406FA7">
            <w:pPr>
              <w:pStyle w:val="Tabletext"/>
            </w:pPr>
            <w:r w:rsidRPr="00A965D3">
              <w:sym w:font="Wingdings" w:char="F0FC"/>
            </w:r>
          </w:p>
        </w:tc>
        <w:tc>
          <w:tcPr>
            <w:tcW w:w="754" w:type="pct"/>
          </w:tcPr>
          <w:p w14:paraId="7C43AE4F" w14:textId="77777777" w:rsidR="00132EB9" w:rsidRPr="00A965D3" w:rsidRDefault="00132EB9" w:rsidP="00406FA7">
            <w:pPr>
              <w:pStyle w:val="Tabletext"/>
            </w:pPr>
            <w:r w:rsidRPr="00A965D3">
              <w:t>–</w:t>
            </w:r>
          </w:p>
        </w:tc>
        <w:tc>
          <w:tcPr>
            <w:tcW w:w="658" w:type="pct"/>
          </w:tcPr>
          <w:p w14:paraId="4B82FFCA" w14:textId="77777777" w:rsidR="00132EB9" w:rsidRPr="00A965D3" w:rsidRDefault="00132EB9" w:rsidP="00406FA7">
            <w:pPr>
              <w:pStyle w:val="Tabletext"/>
            </w:pPr>
            <w:r w:rsidRPr="00A965D3">
              <w:sym w:font="Wingdings" w:char="F0FC"/>
            </w:r>
          </w:p>
        </w:tc>
        <w:tc>
          <w:tcPr>
            <w:tcW w:w="801" w:type="pct"/>
          </w:tcPr>
          <w:p w14:paraId="7B9BC238" w14:textId="77777777" w:rsidR="00132EB9" w:rsidRPr="00A965D3" w:rsidRDefault="00132EB9" w:rsidP="00406FA7">
            <w:pPr>
              <w:pStyle w:val="Tabletext"/>
            </w:pPr>
            <w:r w:rsidRPr="00A965D3">
              <w:t>–</w:t>
            </w:r>
          </w:p>
        </w:tc>
      </w:tr>
      <w:tr w:rsidR="001432B9" w:rsidRPr="00A965D3" w14:paraId="79DA8294" w14:textId="77777777" w:rsidTr="002F538B">
        <w:trPr>
          <w:trHeight w:val="122"/>
        </w:trPr>
        <w:tc>
          <w:tcPr>
            <w:tcW w:w="809" w:type="pct"/>
            <w:vMerge/>
          </w:tcPr>
          <w:p w14:paraId="670B20C7" w14:textId="77777777" w:rsidR="00132EB9" w:rsidRPr="00A965D3" w:rsidRDefault="00132EB9" w:rsidP="00406FA7">
            <w:pPr>
              <w:pStyle w:val="Tabletext"/>
            </w:pPr>
          </w:p>
        </w:tc>
        <w:tc>
          <w:tcPr>
            <w:tcW w:w="1319" w:type="pct"/>
          </w:tcPr>
          <w:p w14:paraId="30F54E75" w14:textId="77777777" w:rsidR="00132EB9" w:rsidRPr="00A965D3" w:rsidRDefault="00132EB9" w:rsidP="00406FA7">
            <w:pPr>
              <w:pStyle w:val="Tabletext"/>
            </w:pPr>
            <w:r w:rsidRPr="00A965D3">
              <w:t>Pancreatic cancer</w:t>
            </w:r>
          </w:p>
        </w:tc>
        <w:tc>
          <w:tcPr>
            <w:tcW w:w="659" w:type="pct"/>
          </w:tcPr>
          <w:p w14:paraId="4DCFA204" w14:textId="77777777" w:rsidR="00132EB9" w:rsidRPr="00A965D3" w:rsidRDefault="00132EB9" w:rsidP="00406FA7">
            <w:pPr>
              <w:pStyle w:val="Tabletext"/>
            </w:pPr>
            <w:r w:rsidRPr="00A965D3">
              <w:sym w:font="Wingdings" w:char="F0FC"/>
            </w:r>
          </w:p>
        </w:tc>
        <w:tc>
          <w:tcPr>
            <w:tcW w:w="754" w:type="pct"/>
          </w:tcPr>
          <w:p w14:paraId="3187402E" w14:textId="77777777" w:rsidR="00132EB9" w:rsidRPr="00A965D3" w:rsidRDefault="00132EB9" w:rsidP="00406FA7">
            <w:pPr>
              <w:pStyle w:val="Tabletext"/>
            </w:pPr>
            <w:r w:rsidRPr="00A965D3">
              <w:sym w:font="Wingdings" w:char="F0FC"/>
            </w:r>
            <w:r w:rsidRPr="00A965D3">
              <w:t>*</w:t>
            </w:r>
          </w:p>
        </w:tc>
        <w:tc>
          <w:tcPr>
            <w:tcW w:w="658" w:type="pct"/>
          </w:tcPr>
          <w:p w14:paraId="2CB5FE8D" w14:textId="77777777" w:rsidR="00132EB9" w:rsidRPr="00A965D3" w:rsidRDefault="00132EB9" w:rsidP="00406FA7">
            <w:pPr>
              <w:pStyle w:val="Tabletext"/>
            </w:pPr>
            <w:r w:rsidRPr="00A965D3">
              <w:t>–</w:t>
            </w:r>
          </w:p>
        </w:tc>
        <w:tc>
          <w:tcPr>
            <w:tcW w:w="801" w:type="pct"/>
          </w:tcPr>
          <w:p w14:paraId="5CF338E5" w14:textId="77777777" w:rsidR="00132EB9" w:rsidRPr="00A965D3" w:rsidRDefault="00132EB9" w:rsidP="00406FA7">
            <w:pPr>
              <w:pStyle w:val="Tabletext"/>
            </w:pPr>
            <w:r w:rsidRPr="00A965D3">
              <w:t>–</w:t>
            </w:r>
          </w:p>
        </w:tc>
      </w:tr>
      <w:tr w:rsidR="001432B9" w:rsidRPr="00A965D3" w14:paraId="50EE5786" w14:textId="77777777" w:rsidTr="002F538B">
        <w:trPr>
          <w:trHeight w:val="112"/>
        </w:trPr>
        <w:tc>
          <w:tcPr>
            <w:tcW w:w="809" w:type="pct"/>
            <w:vMerge/>
          </w:tcPr>
          <w:p w14:paraId="4ED05C5A" w14:textId="77777777" w:rsidR="00132EB9" w:rsidRPr="00A965D3" w:rsidRDefault="00132EB9" w:rsidP="00406FA7">
            <w:pPr>
              <w:pStyle w:val="Tabletext"/>
            </w:pPr>
          </w:p>
        </w:tc>
        <w:tc>
          <w:tcPr>
            <w:tcW w:w="1319" w:type="pct"/>
          </w:tcPr>
          <w:p w14:paraId="2A73DAD0" w14:textId="77777777" w:rsidR="00132EB9" w:rsidRPr="00A965D3" w:rsidRDefault="00132EB9" w:rsidP="00406FA7">
            <w:pPr>
              <w:pStyle w:val="Tabletext"/>
            </w:pPr>
            <w:r w:rsidRPr="00A965D3">
              <w:t>Medullary thyroid cancer</w:t>
            </w:r>
          </w:p>
        </w:tc>
        <w:tc>
          <w:tcPr>
            <w:tcW w:w="659" w:type="pct"/>
          </w:tcPr>
          <w:p w14:paraId="399E298A" w14:textId="77777777" w:rsidR="00132EB9" w:rsidRPr="00A965D3" w:rsidRDefault="00132EB9" w:rsidP="00406FA7">
            <w:pPr>
              <w:pStyle w:val="Tabletext"/>
            </w:pPr>
            <w:r w:rsidRPr="00A965D3">
              <w:sym w:font="Wingdings" w:char="F0FC"/>
            </w:r>
          </w:p>
        </w:tc>
        <w:tc>
          <w:tcPr>
            <w:tcW w:w="754" w:type="pct"/>
          </w:tcPr>
          <w:p w14:paraId="03AC7405" w14:textId="77777777" w:rsidR="00132EB9" w:rsidRPr="00A965D3" w:rsidRDefault="00132EB9" w:rsidP="00406FA7">
            <w:pPr>
              <w:pStyle w:val="Tabletext"/>
            </w:pPr>
            <w:r w:rsidRPr="00A965D3">
              <w:sym w:font="Wingdings" w:char="F0FC"/>
            </w:r>
            <w:r w:rsidRPr="00A965D3">
              <w:t>*</w:t>
            </w:r>
          </w:p>
        </w:tc>
        <w:tc>
          <w:tcPr>
            <w:tcW w:w="658" w:type="pct"/>
          </w:tcPr>
          <w:p w14:paraId="09EB91FA" w14:textId="77777777" w:rsidR="00132EB9" w:rsidRPr="00A965D3" w:rsidRDefault="00132EB9" w:rsidP="00406FA7">
            <w:pPr>
              <w:pStyle w:val="Tabletext"/>
            </w:pPr>
            <w:r w:rsidRPr="00A965D3">
              <w:t>–</w:t>
            </w:r>
          </w:p>
        </w:tc>
        <w:tc>
          <w:tcPr>
            <w:tcW w:w="801" w:type="pct"/>
          </w:tcPr>
          <w:p w14:paraId="2D4BD31A" w14:textId="77777777" w:rsidR="00132EB9" w:rsidRPr="00A965D3" w:rsidRDefault="00132EB9" w:rsidP="00406FA7">
            <w:pPr>
              <w:pStyle w:val="Tabletext"/>
            </w:pPr>
            <w:r w:rsidRPr="00A965D3">
              <w:t>–</w:t>
            </w:r>
          </w:p>
        </w:tc>
      </w:tr>
      <w:tr w:rsidR="001432B9" w:rsidRPr="00A965D3" w14:paraId="217F068C" w14:textId="77777777" w:rsidTr="002F538B">
        <w:trPr>
          <w:trHeight w:val="112"/>
        </w:trPr>
        <w:tc>
          <w:tcPr>
            <w:tcW w:w="809" w:type="pct"/>
            <w:vMerge/>
          </w:tcPr>
          <w:p w14:paraId="62A089AB" w14:textId="77777777" w:rsidR="00132EB9" w:rsidRPr="00A965D3" w:rsidRDefault="00132EB9" w:rsidP="00406FA7">
            <w:pPr>
              <w:pStyle w:val="Tabletext"/>
            </w:pPr>
          </w:p>
        </w:tc>
        <w:tc>
          <w:tcPr>
            <w:tcW w:w="1319" w:type="pct"/>
          </w:tcPr>
          <w:p w14:paraId="43CE44BB" w14:textId="77777777" w:rsidR="00132EB9" w:rsidRPr="00A965D3" w:rsidRDefault="00132EB9" w:rsidP="00406FA7">
            <w:pPr>
              <w:pStyle w:val="Tabletext"/>
            </w:pPr>
            <w:r w:rsidRPr="00A965D3">
              <w:t>Pregnancy and lactation</w:t>
            </w:r>
          </w:p>
        </w:tc>
        <w:tc>
          <w:tcPr>
            <w:tcW w:w="659" w:type="pct"/>
          </w:tcPr>
          <w:p w14:paraId="5B2F8B14" w14:textId="77777777" w:rsidR="00132EB9" w:rsidRPr="00A965D3" w:rsidRDefault="00132EB9" w:rsidP="00406FA7">
            <w:pPr>
              <w:pStyle w:val="Tabletext"/>
            </w:pPr>
            <w:r w:rsidRPr="00A965D3">
              <w:sym w:font="Wingdings" w:char="F0FC"/>
            </w:r>
          </w:p>
        </w:tc>
        <w:tc>
          <w:tcPr>
            <w:tcW w:w="754" w:type="pct"/>
          </w:tcPr>
          <w:p w14:paraId="49F7739A" w14:textId="77777777" w:rsidR="00132EB9" w:rsidRPr="00A965D3" w:rsidRDefault="00132EB9" w:rsidP="00406FA7">
            <w:pPr>
              <w:pStyle w:val="Tabletext"/>
            </w:pPr>
            <w:r w:rsidRPr="00A965D3">
              <w:t>–</w:t>
            </w:r>
          </w:p>
        </w:tc>
        <w:tc>
          <w:tcPr>
            <w:tcW w:w="658" w:type="pct"/>
          </w:tcPr>
          <w:p w14:paraId="351AC605" w14:textId="77777777" w:rsidR="00132EB9" w:rsidRPr="00A965D3" w:rsidRDefault="00132EB9" w:rsidP="00406FA7">
            <w:pPr>
              <w:pStyle w:val="Tabletext"/>
            </w:pPr>
            <w:r w:rsidRPr="00A965D3">
              <w:sym w:font="Wingdings" w:char="F0FC"/>
            </w:r>
          </w:p>
        </w:tc>
        <w:tc>
          <w:tcPr>
            <w:tcW w:w="801" w:type="pct"/>
          </w:tcPr>
          <w:p w14:paraId="5F2B76F2" w14:textId="77777777" w:rsidR="00132EB9" w:rsidRPr="00A965D3" w:rsidRDefault="00132EB9" w:rsidP="00406FA7">
            <w:pPr>
              <w:pStyle w:val="Tabletext"/>
            </w:pPr>
            <w:r w:rsidRPr="00A965D3">
              <w:t>–</w:t>
            </w:r>
          </w:p>
        </w:tc>
      </w:tr>
      <w:tr w:rsidR="001432B9" w:rsidRPr="00A965D3" w14:paraId="4B5CA83D" w14:textId="77777777" w:rsidTr="002F538B">
        <w:trPr>
          <w:trHeight w:val="178"/>
        </w:trPr>
        <w:tc>
          <w:tcPr>
            <w:tcW w:w="809" w:type="pct"/>
          </w:tcPr>
          <w:p w14:paraId="212ADA2A" w14:textId="77777777" w:rsidR="00132EB9" w:rsidRPr="00A965D3" w:rsidRDefault="00132EB9" w:rsidP="00406FA7">
            <w:pPr>
              <w:pStyle w:val="Tabletext"/>
            </w:pPr>
            <w:r w:rsidRPr="00A965D3">
              <w:t>Missing information</w:t>
            </w:r>
          </w:p>
        </w:tc>
        <w:tc>
          <w:tcPr>
            <w:tcW w:w="1319" w:type="pct"/>
          </w:tcPr>
          <w:p w14:paraId="040044AB" w14:textId="77777777" w:rsidR="00132EB9" w:rsidRPr="00A965D3" w:rsidRDefault="00132EB9" w:rsidP="00406FA7">
            <w:pPr>
              <w:pStyle w:val="Tabletext"/>
            </w:pPr>
            <w:r w:rsidRPr="00A965D3">
              <w:t>Patients with severe hepatic impairment</w:t>
            </w:r>
          </w:p>
        </w:tc>
        <w:tc>
          <w:tcPr>
            <w:tcW w:w="659" w:type="pct"/>
          </w:tcPr>
          <w:p w14:paraId="19570B92" w14:textId="77777777" w:rsidR="00132EB9" w:rsidRPr="00A965D3" w:rsidRDefault="00132EB9" w:rsidP="00406FA7">
            <w:pPr>
              <w:pStyle w:val="Tabletext"/>
            </w:pPr>
            <w:r w:rsidRPr="00A965D3">
              <w:sym w:font="Wingdings" w:char="F0FC"/>
            </w:r>
          </w:p>
        </w:tc>
        <w:tc>
          <w:tcPr>
            <w:tcW w:w="754" w:type="pct"/>
          </w:tcPr>
          <w:p w14:paraId="3B63A366" w14:textId="77777777" w:rsidR="00132EB9" w:rsidRPr="00A965D3" w:rsidRDefault="00132EB9" w:rsidP="00406FA7">
            <w:pPr>
              <w:pStyle w:val="Tabletext"/>
            </w:pPr>
            <w:r w:rsidRPr="00A965D3">
              <w:t>–</w:t>
            </w:r>
          </w:p>
        </w:tc>
        <w:tc>
          <w:tcPr>
            <w:tcW w:w="658" w:type="pct"/>
          </w:tcPr>
          <w:p w14:paraId="78806534" w14:textId="77777777" w:rsidR="00132EB9" w:rsidRPr="00A965D3" w:rsidRDefault="00132EB9" w:rsidP="00406FA7">
            <w:pPr>
              <w:pStyle w:val="Tabletext"/>
            </w:pPr>
            <w:r w:rsidRPr="00A965D3">
              <w:sym w:font="Wingdings" w:char="F0FC"/>
            </w:r>
          </w:p>
        </w:tc>
        <w:tc>
          <w:tcPr>
            <w:tcW w:w="801" w:type="pct"/>
          </w:tcPr>
          <w:p w14:paraId="70B78455" w14:textId="77777777" w:rsidR="00132EB9" w:rsidRPr="00A965D3" w:rsidRDefault="00132EB9" w:rsidP="00406FA7">
            <w:pPr>
              <w:pStyle w:val="Tabletext"/>
            </w:pPr>
            <w:r w:rsidRPr="00A965D3">
              <w:t>–</w:t>
            </w:r>
          </w:p>
        </w:tc>
      </w:tr>
    </w:tbl>
    <w:p w14:paraId="3CAF13A3" w14:textId="77777777" w:rsidR="00332E0F" w:rsidRDefault="00332E0F" w:rsidP="00332E0F">
      <w:pPr>
        <w:pStyle w:val="TableDescription"/>
      </w:pPr>
      <w:r w:rsidRPr="009E11C9">
        <w:t>* Planned pharmacovigilance studies</w:t>
      </w:r>
    </w:p>
    <w:p w14:paraId="23912823" w14:textId="77777777" w:rsidR="00332E0F" w:rsidRDefault="00332E0F" w:rsidP="00332E0F">
      <w:r>
        <w:t>The RMP evaluator has summarised as follows:</w:t>
      </w:r>
    </w:p>
    <w:p w14:paraId="12BD8AFA" w14:textId="77777777" w:rsidR="00332E0F" w:rsidRPr="004364F3" w:rsidRDefault="00332E0F" w:rsidP="00AB7599">
      <w:pPr>
        <w:pStyle w:val="ListBullet"/>
      </w:pPr>
      <w:r w:rsidRPr="004364F3">
        <w:t>The sponsor has proposed routine pharmacovigilance for all safety concerns. The sponsor has proposed international, additional pharmacovigilance studies to address diabetic retinopathy complications, pancreatic cancer and medullary thyroid cancer pending marketing approval. This is considered acceptable.</w:t>
      </w:r>
    </w:p>
    <w:p w14:paraId="0C895E82" w14:textId="77777777" w:rsidR="00332E0F" w:rsidRPr="004364F3" w:rsidRDefault="00332E0F" w:rsidP="00AB7599">
      <w:pPr>
        <w:pStyle w:val="ListBullet"/>
      </w:pPr>
      <w:r w:rsidRPr="004364F3">
        <w:t>The sponsor has proposed routine risk minimisation activities for all safety concerns. The Consumer Medicines Information (CMI) will be included as a package insert. The sponsor has proposed no additional risk minimisation activities. This is considered acceptable.</w:t>
      </w:r>
    </w:p>
    <w:p w14:paraId="0CFB51DC" w14:textId="47BF7A87" w:rsidR="00332E0F" w:rsidRDefault="00332E0F" w:rsidP="00332E0F">
      <w:pPr>
        <w:pStyle w:val="ListBullet"/>
        <w:numPr>
          <w:ilvl w:val="0"/>
          <w:numId w:val="0"/>
        </w:numPr>
      </w:pPr>
      <w:r>
        <w:t>The RMP evaluator has confirmed there are no new or outstanding recommendations and has suggested the following</w:t>
      </w:r>
      <w:r w:rsidR="001432B9">
        <w:t xml:space="preserve"> wording for conditions of registration (see following section).</w:t>
      </w:r>
    </w:p>
    <w:p w14:paraId="208013FB" w14:textId="77777777" w:rsidR="00332E0F" w:rsidRDefault="00332E0F" w:rsidP="00332E0F">
      <w:pPr>
        <w:pStyle w:val="Heading4"/>
      </w:pPr>
      <w:r>
        <w:t>Wording for conditions of registration</w:t>
      </w:r>
      <w:r w:rsidR="00697389">
        <w:t xml:space="preserve"> regarding the risk management plan</w:t>
      </w:r>
    </w:p>
    <w:p w14:paraId="6C8B3A5B" w14:textId="77777777" w:rsidR="00332E0F" w:rsidRDefault="00332E0F" w:rsidP="00332E0F">
      <w:r>
        <w:t>The following are the suggested wordings for conditions of registration:</w:t>
      </w:r>
    </w:p>
    <w:p w14:paraId="344A9B69" w14:textId="17AABCBE" w:rsidR="00332E0F" w:rsidRDefault="00332E0F" w:rsidP="00AB7599">
      <w:pPr>
        <w:pStyle w:val="ListBullet"/>
      </w:pPr>
      <w:r>
        <w:t xml:space="preserve">Any changes to which the sponsor has agreed should be included in a revised </w:t>
      </w:r>
      <w:r w:rsidR="00F810F8">
        <w:t>Risk Management Plan (RMP)</w:t>
      </w:r>
      <w:r>
        <w:t xml:space="preserve"> and </w:t>
      </w:r>
      <w:r w:rsidR="00F810F8">
        <w:t xml:space="preserve">Australia </w:t>
      </w:r>
      <w:r w:rsidR="00D52628">
        <w:t>s</w:t>
      </w:r>
      <w:r w:rsidR="00F810F8">
        <w:t>pecific Annex (</w:t>
      </w:r>
      <w:r>
        <w:t>ASA</w:t>
      </w:r>
      <w:r w:rsidR="00F810F8">
        <w:t>)</w:t>
      </w:r>
      <w:r>
        <w:t xml:space="preserve">. However, irrespective of </w:t>
      </w:r>
      <w:r>
        <w:lastRenderedPageBreak/>
        <w:t>whether or not they are included in the currently available version of the RMP document, the agreed changes become part of the risk management system.</w:t>
      </w:r>
    </w:p>
    <w:p w14:paraId="2D38E9C8" w14:textId="3E612BAD" w:rsidR="00332E0F" w:rsidRDefault="00332E0F" w:rsidP="00697389">
      <w:r>
        <w:t>The suggested wording is:</w:t>
      </w:r>
    </w:p>
    <w:p w14:paraId="7B6D60F0" w14:textId="77777777" w:rsidR="00332E0F" w:rsidRDefault="00332E0F" w:rsidP="00332E0F">
      <w:pPr>
        <w:pStyle w:val="ListBullet"/>
      </w:pPr>
      <w:r>
        <w:t xml:space="preserve">The </w:t>
      </w:r>
      <w:proofErr w:type="spellStart"/>
      <w:r>
        <w:t>Ozempic</w:t>
      </w:r>
      <w:proofErr w:type="spellEnd"/>
      <w:r>
        <w:t xml:space="preserve"> EU-</w:t>
      </w:r>
      <w:r w:rsidR="00F810F8">
        <w:t xml:space="preserve"> </w:t>
      </w:r>
      <w:r>
        <w:t xml:space="preserve">RMP (version 3.1, dated 5 March 2019, data lock point 31 May 2018), with </w:t>
      </w:r>
      <w:r w:rsidR="00F810F8">
        <w:t>ASA</w:t>
      </w:r>
      <w:r>
        <w:t xml:space="preserve"> (version 0.2, dated 20 March 2019), included with submission PM-2018-02748-1-5, and any subsequent revisions, as agreed with the TGA will be implemented in Australia.</w:t>
      </w:r>
    </w:p>
    <w:p w14:paraId="2E2CDBBD" w14:textId="77777777" w:rsidR="00332E0F" w:rsidRDefault="00332E0F" w:rsidP="00332E0F">
      <w:r>
        <w:t xml:space="preserve">The following wording is recommended for the </w:t>
      </w:r>
      <w:r w:rsidR="00F810F8">
        <w:t>periodic safety update reports (</w:t>
      </w:r>
      <w:r>
        <w:t>PSUR</w:t>
      </w:r>
      <w:r w:rsidR="00697389">
        <w:t>s</w:t>
      </w:r>
      <w:r w:rsidR="00F810F8">
        <w:t>)</w:t>
      </w:r>
      <w:r>
        <w:t xml:space="preserve"> requirement:</w:t>
      </w:r>
    </w:p>
    <w:p w14:paraId="09F6A194" w14:textId="77777777" w:rsidR="00332E0F" w:rsidRDefault="00332E0F" w:rsidP="00332E0F">
      <w:pPr>
        <w:pStyle w:val="ListBullet"/>
      </w:pPr>
      <w:r>
        <w:t xml:space="preserve">An obligatory component of risk management plans is routine pharmacovigilance. Routine pharmacovigilance includes the submission of </w:t>
      </w:r>
      <w:r w:rsidR="00F810F8">
        <w:t>PSURs</w:t>
      </w:r>
      <w:r>
        <w:t>.</w:t>
      </w:r>
    </w:p>
    <w:p w14:paraId="55A15BEB" w14:textId="30D56982" w:rsidR="00332E0F" w:rsidRDefault="00332E0F" w:rsidP="00332E0F">
      <w:pPr>
        <w:pStyle w:val="ListBullet"/>
      </w:pPr>
      <w:r>
        <w:t>Reports are to be provided in line with the current published list of EU reference dates and frequency of submission of PSURs until the period covered by such reports is not less than three years from the date of this approval letter.</w:t>
      </w:r>
    </w:p>
    <w:p w14:paraId="2A502635" w14:textId="063D7C04" w:rsidR="00332E0F" w:rsidRDefault="00332E0F" w:rsidP="00332E0F">
      <w:pPr>
        <w:pStyle w:val="ListBullet"/>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5FD67EF1" w14:textId="5BDBAD08" w:rsidR="00332E0F" w:rsidRDefault="00332E0F" w:rsidP="00AB7599">
      <w:r>
        <w:t xml:space="preserve">As </w:t>
      </w:r>
      <w:proofErr w:type="spellStart"/>
      <w:r>
        <w:t>Ozempic</w:t>
      </w:r>
      <w:proofErr w:type="spellEnd"/>
      <w:r>
        <w:t xml:space="preserve"> is a new chemical entity it should be included in the Black Triangle Scheme</w:t>
      </w:r>
      <w:r w:rsidR="00D52628">
        <w:t>;</w:t>
      </w:r>
      <w:r w:rsidR="00D52628" w:rsidRPr="002F538B">
        <w:rPr>
          <w:vertAlign w:val="superscript"/>
        </w:rPr>
        <w:fldChar w:fldCharType="begin"/>
      </w:r>
      <w:r w:rsidR="00D52628" w:rsidRPr="002F538B">
        <w:rPr>
          <w:vertAlign w:val="superscript"/>
        </w:rPr>
        <w:instrText xml:space="preserve"> NOTEREF _Ref54907412 \h </w:instrText>
      </w:r>
      <w:r w:rsidR="00D52628">
        <w:rPr>
          <w:vertAlign w:val="superscript"/>
        </w:rPr>
        <w:instrText xml:space="preserve"> \* MERGEFORMAT </w:instrText>
      </w:r>
      <w:r w:rsidR="00D52628" w:rsidRPr="002F538B">
        <w:rPr>
          <w:vertAlign w:val="superscript"/>
        </w:rPr>
      </w:r>
      <w:r w:rsidR="00D52628" w:rsidRPr="002F538B">
        <w:rPr>
          <w:vertAlign w:val="superscript"/>
        </w:rPr>
        <w:fldChar w:fldCharType="separate"/>
      </w:r>
      <w:r w:rsidR="009B528E">
        <w:rPr>
          <w:vertAlign w:val="superscript"/>
        </w:rPr>
        <w:t>1</w:t>
      </w:r>
      <w:r w:rsidR="00D52628" w:rsidRPr="002F538B">
        <w:rPr>
          <w:vertAlign w:val="superscript"/>
        </w:rPr>
        <w:fldChar w:fldCharType="end"/>
      </w:r>
      <w:r>
        <w:t xml:space="preserve"> as a condition of registration. The following wording is recommended for the condition of registration:</w:t>
      </w:r>
    </w:p>
    <w:p w14:paraId="42D0CC87" w14:textId="77777777" w:rsidR="00332E0F" w:rsidRDefault="00332E0F" w:rsidP="00332E0F">
      <w:pPr>
        <w:pStyle w:val="ListBullet"/>
      </w:pPr>
      <w:proofErr w:type="spellStart"/>
      <w:r>
        <w:t>Ozempic</w:t>
      </w:r>
      <w:proofErr w:type="spellEnd"/>
      <w:r>
        <w:t xml:space="preserve"> (</w:t>
      </w:r>
      <w:proofErr w:type="spellStart"/>
      <w:r>
        <w:t>semaglutide</w:t>
      </w:r>
      <w:proofErr w:type="spellEnd"/>
      <w:r>
        <w:t xml:space="preserve">) is to be included in the Black Triangle Scheme. The PI and CMI for </w:t>
      </w:r>
      <w:proofErr w:type="spellStart"/>
      <w:r>
        <w:t>Ozempic</w:t>
      </w:r>
      <w:proofErr w:type="spellEnd"/>
      <w:r>
        <w:t xml:space="preserve"> must include the black triangle symbol and mandatory accompanying text for five years, which starts from the date that the sponsor notifies the TGA of supply of the product.</w:t>
      </w:r>
    </w:p>
    <w:p w14:paraId="5F431CE0" w14:textId="21929933" w:rsidR="00332E0F" w:rsidRDefault="00332E0F" w:rsidP="00332E0F">
      <w:pPr>
        <w:pStyle w:val="Heading4"/>
      </w:pPr>
      <w:r>
        <w:t xml:space="preserve">Other advice to the </w:t>
      </w:r>
      <w:r w:rsidR="002F2D29">
        <w:t>d</w:t>
      </w:r>
      <w:r>
        <w:t>elegate</w:t>
      </w:r>
    </w:p>
    <w:p w14:paraId="2CB7A24E" w14:textId="77777777" w:rsidR="00132EB9" w:rsidRDefault="00332E0F" w:rsidP="00332E0F">
      <w:r>
        <w:t>The sponsor has committed to including the CMI as a package insert. It is recommended that the Delegate consider wording in the conditions of registration for inclusion of the CMI in the package.</w:t>
      </w:r>
    </w:p>
    <w:p w14:paraId="1BDA5784" w14:textId="77777777" w:rsidR="008E7846" w:rsidRDefault="00AA0ED0" w:rsidP="008E7846">
      <w:pPr>
        <w:pStyle w:val="Heading3"/>
      </w:pPr>
      <w:bookmarkStart w:id="46" w:name="_Toc247691531"/>
      <w:bookmarkStart w:id="47" w:name="_Toc314842515"/>
      <w:bookmarkStart w:id="48" w:name="_Toc196046505"/>
      <w:bookmarkStart w:id="49" w:name="_Toc196046949"/>
      <w:bookmarkStart w:id="50" w:name="_Toc57827169"/>
      <w:r>
        <w:t>Risk-benefit a</w:t>
      </w:r>
      <w:r w:rsidR="008E7846">
        <w:t>nalysis</w:t>
      </w:r>
      <w:bookmarkEnd w:id="46"/>
      <w:bookmarkEnd w:id="47"/>
      <w:bookmarkEnd w:id="50"/>
    </w:p>
    <w:p w14:paraId="225C19E1" w14:textId="77777777" w:rsidR="00D23139" w:rsidRDefault="007D53B6" w:rsidP="00D23139">
      <w:pPr>
        <w:pStyle w:val="Heading4"/>
      </w:pPr>
      <w:r>
        <w:t>Delegate’s considerations</w:t>
      </w:r>
    </w:p>
    <w:p w14:paraId="7F6A6635" w14:textId="65C6E77D" w:rsidR="00332E0F" w:rsidRDefault="00332E0F" w:rsidP="00332E0F">
      <w:r>
        <w:t xml:space="preserve">In relation to quality, there is still an outstanding microbiology issue regarding the open shelf life of </w:t>
      </w:r>
      <w:proofErr w:type="spellStart"/>
      <w:r>
        <w:t>Ozempic</w:t>
      </w:r>
      <w:proofErr w:type="spellEnd"/>
      <w:r>
        <w:t xml:space="preserve"> pen.</w:t>
      </w:r>
      <w:r w:rsidR="00697389">
        <w:fldChar w:fldCharType="begin"/>
      </w:r>
      <w:r w:rsidR="00697389">
        <w:instrText xml:space="preserve"> NOTEREF _Ref53493668 \f \h </w:instrText>
      </w:r>
      <w:r w:rsidR="00697389">
        <w:fldChar w:fldCharType="separate"/>
      </w:r>
      <w:r w:rsidR="009B528E" w:rsidRPr="009B528E">
        <w:rPr>
          <w:rStyle w:val="FootnoteReference"/>
        </w:rPr>
        <w:t>2</w:t>
      </w:r>
      <w:r w:rsidR="00697389">
        <w:fldChar w:fldCharType="end"/>
      </w:r>
    </w:p>
    <w:p w14:paraId="2FE00514" w14:textId="5B21A833" w:rsidR="00332E0F" w:rsidRDefault="00332E0F" w:rsidP="00332E0F">
      <w:r>
        <w:t>There are no outstanding issues from the nonclinical evaluation of data.</w:t>
      </w:r>
    </w:p>
    <w:p w14:paraId="402F93A0" w14:textId="7C344FA2" w:rsidR="00332E0F" w:rsidRDefault="00332E0F" w:rsidP="00332E0F">
      <w:r>
        <w:t xml:space="preserve">In relation to efficacy, </w:t>
      </w:r>
      <w:proofErr w:type="spellStart"/>
      <w:r>
        <w:t>semaglutide</w:t>
      </w:r>
      <w:proofErr w:type="spellEnd"/>
      <w:r>
        <w:t xml:space="preserve"> was effective at achieving glycaemic control as evidenced by a reduction in HbA1c when used as either a monotherapy or in combination with other oral antidiabetic drugs. The efficacy trials evaluated the efficacy of </w:t>
      </w:r>
      <w:proofErr w:type="spellStart"/>
      <w:r>
        <w:t>semaglutide</w:t>
      </w:r>
      <w:proofErr w:type="spellEnd"/>
      <w:r>
        <w:t xml:space="preserve"> as mono- and combination</w:t>
      </w:r>
      <w:r w:rsidR="002573ED">
        <w:t>-</w:t>
      </w:r>
      <w:r>
        <w:t xml:space="preserve">therapy (primarily combinations with metformin, a TZD, a </w:t>
      </w:r>
      <w:r w:rsidR="002573ED">
        <w:t xml:space="preserve">SU </w:t>
      </w:r>
      <w:r>
        <w:t xml:space="preserve">and/or insulin). In addition, </w:t>
      </w:r>
      <w:proofErr w:type="spellStart"/>
      <w:r>
        <w:t>semaglutide</w:t>
      </w:r>
      <w:proofErr w:type="spellEnd"/>
      <w:r>
        <w:t xml:space="preserve"> was compared with insulin glargine, a DPP-4 inhibitor and another long acting GLP-1 receptor agonist. No trials with combination therapy with DPP-4-inhibitors have been carried out which is acceptable as they ha</w:t>
      </w:r>
      <w:r w:rsidR="00F810F8">
        <w:t>ve similar mechanism of action.</w:t>
      </w:r>
      <w:r>
        <w:t xml:space="preserve"> As there were a few patients in the CVOT</w:t>
      </w:r>
      <w:r w:rsidR="002573ED">
        <w:t xml:space="preserve"> (SUSTAIN 6 trial / Study 3744)</w:t>
      </w:r>
      <w:r>
        <w:t xml:space="preserve"> with SGL</w:t>
      </w:r>
      <w:r w:rsidR="00F810F8">
        <w:t>T2</w:t>
      </w:r>
      <w:r w:rsidR="00F810F8">
        <w:noBreakHyphen/>
        <w:t xml:space="preserve">inhibitors added as standard of </w:t>
      </w:r>
      <w:r>
        <w:t xml:space="preserve">care treatment and as no </w:t>
      </w:r>
      <w:r>
        <w:lastRenderedPageBreak/>
        <w:t xml:space="preserve">interactions are expected between </w:t>
      </w:r>
      <w:proofErr w:type="spellStart"/>
      <w:r>
        <w:t>semaglutide</w:t>
      </w:r>
      <w:proofErr w:type="spellEnd"/>
      <w:r>
        <w:t xml:space="preserve"> and SGLT2-inhibitors, concomitant use is considered acceptable.  </w:t>
      </w:r>
    </w:p>
    <w:p w14:paraId="7C3F4646" w14:textId="77777777" w:rsidR="00332E0F" w:rsidRDefault="00332E0F" w:rsidP="00332E0F">
      <w:r>
        <w:t xml:space="preserve">In relation to safety, </w:t>
      </w:r>
      <w:proofErr w:type="spellStart"/>
      <w:r>
        <w:t>semaglutide</w:t>
      </w:r>
      <w:proofErr w:type="spellEnd"/>
      <w:r>
        <w:t xml:space="preserve"> does not increase the risk of hypoglycaemia unless combined with either a sulfonylurea or insulin. The AE profile is consistent with other drugs in this class and risks are described in the PI. The proposed summary of safety concerns and their associated risk monitoring and mitigation strategies are considered acceptable. Overall the safety profile of </w:t>
      </w:r>
      <w:proofErr w:type="spellStart"/>
      <w:r>
        <w:t>semaglutide</w:t>
      </w:r>
      <w:proofErr w:type="spellEnd"/>
      <w:r>
        <w:t xml:space="preserve"> was generally similar to that for other GLP-1 RA drugs.</w:t>
      </w:r>
    </w:p>
    <w:p w14:paraId="2277F3E0" w14:textId="77777777" w:rsidR="00332E0F" w:rsidRDefault="00332E0F" w:rsidP="00332E0F">
      <w:r>
        <w:t xml:space="preserve">The Delegate considers that the benefit-risk profile of </w:t>
      </w:r>
      <w:proofErr w:type="spellStart"/>
      <w:r>
        <w:t>Ozempic</w:t>
      </w:r>
      <w:proofErr w:type="spellEnd"/>
      <w:r>
        <w:t xml:space="preserve"> to be used:</w:t>
      </w:r>
    </w:p>
    <w:p w14:paraId="6ED3A95F" w14:textId="1FCBB832" w:rsidR="00332E0F" w:rsidRPr="00C74A6D" w:rsidRDefault="002573ED" w:rsidP="00332E0F">
      <w:pPr>
        <w:ind w:left="720"/>
        <w:rPr>
          <w:i/>
        </w:rPr>
      </w:pPr>
      <w:r>
        <w:rPr>
          <w:i/>
        </w:rPr>
        <w:t>‘</w:t>
      </w:r>
      <w:r w:rsidR="00332E0F">
        <w:rPr>
          <w:i/>
        </w:rPr>
        <w:t>F</w:t>
      </w:r>
      <w:r w:rsidR="00332E0F" w:rsidRPr="00C74A6D">
        <w:rPr>
          <w:i/>
        </w:rPr>
        <w:t>or the treatment of adults with insufficiently controlled type 2 diabetes mellitus as an adjunct to diet and exercise;</w:t>
      </w:r>
    </w:p>
    <w:p w14:paraId="491588EA" w14:textId="77777777" w:rsidR="00332E0F" w:rsidRPr="00C74A6D" w:rsidRDefault="00332E0F" w:rsidP="00332E0F">
      <w:pPr>
        <w:pStyle w:val="ListBullet"/>
        <w:ind w:left="1080"/>
        <w:rPr>
          <w:i/>
        </w:rPr>
      </w:pPr>
      <w:r w:rsidRPr="00C74A6D">
        <w:rPr>
          <w:i/>
        </w:rPr>
        <w:t>as monotherapy when metformin is not tolerated or contraindicated.</w:t>
      </w:r>
    </w:p>
    <w:p w14:paraId="5A3245F5" w14:textId="1C7A978E" w:rsidR="00332E0F" w:rsidRPr="00C74A6D" w:rsidRDefault="00332E0F" w:rsidP="00332E0F">
      <w:pPr>
        <w:pStyle w:val="ListBullet"/>
        <w:ind w:left="1080"/>
        <w:rPr>
          <w:i/>
        </w:rPr>
      </w:pPr>
      <w:r w:rsidRPr="00C74A6D">
        <w:rPr>
          <w:i/>
        </w:rPr>
        <w:t>in addition to other medicinal products for t</w:t>
      </w:r>
      <w:r>
        <w:rPr>
          <w:i/>
        </w:rPr>
        <w:t>he treatment of type 2 diabetes</w:t>
      </w:r>
      <w:r w:rsidR="002573ED">
        <w:rPr>
          <w:i/>
        </w:rPr>
        <w:t>’.</w:t>
      </w:r>
    </w:p>
    <w:p w14:paraId="55B2B6BF" w14:textId="77777777" w:rsidR="00332E0F" w:rsidRDefault="00332E0F" w:rsidP="00332E0F">
      <w:r>
        <w:t xml:space="preserve">as favourable and approvable subject to sponsor’s acceptance for below recommendations, conditions of registration and upon resolution of the outstanding microbiology issue on open shelf life of the </w:t>
      </w:r>
      <w:proofErr w:type="spellStart"/>
      <w:r>
        <w:t>Ozempic</w:t>
      </w:r>
      <w:proofErr w:type="spellEnd"/>
      <w:r>
        <w:t xml:space="preserve"> pen.</w:t>
      </w:r>
    </w:p>
    <w:p w14:paraId="4419A90F" w14:textId="7DDFF627" w:rsidR="00332E0F" w:rsidRDefault="00332E0F" w:rsidP="00332E0F">
      <w:r>
        <w:t>However, the benefit</w:t>
      </w:r>
      <w:r w:rsidR="002573ED">
        <w:t>-</w:t>
      </w:r>
      <w:r>
        <w:t xml:space="preserve">risk profile </w:t>
      </w:r>
      <w:proofErr w:type="spellStart"/>
      <w:r>
        <w:t>Ozempic</w:t>
      </w:r>
      <w:proofErr w:type="spellEnd"/>
      <w:r>
        <w:t xml:space="preserve"> to be used to prevent cardiovascular events in adults with type 2 diabetes mellitus and high cardiovascular risk, as an adjunct to standard treatment of cardiovascular risk factors is unfavourable and not approved because of the following reasons.</w:t>
      </w:r>
    </w:p>
    <w:p w14:paraId="27777EF7" w14:textId="77777777" w:rsidR="00332E0F" w:rsidRDefault="00332E0F" w:rsidP="00332E0F">
      <w:pPr>
        <w:pStyle w:val="ListBullet"/>
      </w:pPr>
      <w:r>
        <w:t>For a drug that is intended for long term diabetes treatment, the duration of the CVOT (2 years) is relatively short (also in comparison to several other cardiovascular outcome trials). Longer term safety is uncertain.</w:t>
      </w:r>
    </w:p>
    <w:p w14:paraId="2E4E8D64" w14:textId="77777777" w:rsidR="00332E0F" w:rsidRDefault="00332E0F" w:rsidP="00332E0F">
      <w:pPr>
        <w:pStyle w:val="ListBullet"/>
      </w:pPr>
      <w:r>
        <w:t xml:space="preserve">In the CVOT trial </w:t>
      </w:r>
      <w:proofErr w:type="spellStart"/>
      <w:r>
        <w:t>semaglutide</w:t>
      </w:r>
      <w:proofErr w:type="spellEnd"/>
      <w:r>
        <w:t xml:space="preserve"> had a favourable effect on non-fatal myocardial infarction and non-fatal stroke, but the occurrence of CV death was similar with </w:t>
      </w:r>
      <w:proofErr w:type="spellStart"/>
      <w:r>
        <w:t>semaglutide</w:t>
      </w:r>
      <w:proofErr w:type="spellEnd"/>
      <w:r>
        <w:t xml:space="preserve"> and placebo. Although the three individual components of the composite endpoint are clinically meaningful, CV death is considered more clinically relevant than non-fatal myocardial infarction and non-fatal stroke.</w:t>
      </w:r>
    </w:p>
    <w:p w14:paraId="16930FFF" w14:textId="77777777" w:rsidR="00332E0F" w:rsidRDefault="00332E0F" w:rsidP="00332E0F">
      <w:pPr>
        <w:pStyle w:val="ListBullet"/>
      </w:pPr>
      <w:r>
        <w:t xml:space="preserve">The effect of </w:t>
      </w:r>
      <w:proofErr w:type="spellStart"/>
      <w:r>
        <w:t>semaglutide</w:t>
      </w:r>
      <w:proofErr w:type="spellEnd"/>
      <w:r>
        <w:t xml:space="preserve"> on several other important outcome measures was negative. Hospitalisation for heart failure, all-cause mortality, SAEs of coronary artery disease, SAEs of cardiac failure and vascular therapeutic procedures (particularly cardiac interventions) were higher with </w:t>
      </w:r>
      <w:proofErr w:type="spellStart"/>
      <w:r>
        <w:t>semaglutide</w:t>
      </w:r>
      <w:proofErr w:type="spellEnd"/>
      <w:r>
        <w:t xml:space="preserve"> than </w:t>
      </w:r>
      <w:r w:rsidR="00F810F8">
        <w:t>with placebo. T</w:t>
      </w:r>
      <w:r>
        <w:t>he lack of concordance between primary and secondary endpoints and components of the MACE makes one question if the improvement in MACE may have occurred by chance.</w:t>
      </w:r>
    </w:p>
    <w:p w14:paraId="22D954DF" w14:textId="77777777" w:rsidR="00332E0F" w:rsidRDefault="00332E0F" w:rsidP="00332E0F">
      <w:pPr>
        <w:pStyle w:val="ListBullet"/>
      </w:pPr>
      <w:r>
        <w:t>In the CVOT superiority on time to MACE (</w:t>
      </w:r>
      <w:proofErr w:type="spellStart"/>
      <w:r>
        <w:t>semaglutide</w:t>
      </w:r>
      <w:proofErr w:type="spellEnd"/>
      <w:r>
        <w:t xml:space="preserve"> versus placebo) was not included in the predefined testing hierarchy and was only demonstrated in a post hoc analysis. However, the superiority test for MACE was performed as one of a range of </w:t>
      </w:r>
      <w:r w:rsidRPr="002F538B">
        <w:rPr>
          <w:i/>
        </w:rPr>
        <w:t>post-hoc</w:t>
      </w:r>
      <w:r>
        <w:t xml:space="preserve"> tests. This means that the sponsor had the chance to choose any statistically significant test from the </w:t>
      </w:r>
      <w:r w:rsidRPr="002F538B">
        <w:rPr>
          <w:i/>
        </w:rPr>
        <w:t>post-hoc</w:t>
      </w:r>
      <w:r>
        <w:t xml:space="preserve"> analyses, which will lead to inflation of the type I error. This should analysis should have been pre-specified to avoid bias thus superiority cannot be claimed.</w:t>
      </w:r>
    </w:p>
    <w:p w14:paraId="0699C170" w14:textId="77777777" w:rsidR="00332E0F" w:rsidRDefault="00332E0F" w:rsidP="00332E0F">
      <w:pPr>
        <w:pStyle w:val="ListBullet"/>
      </w:pPr>
      <w:r>
        <w:t xml:space="preserve">Single pivotal study and its problem; improvement in MACE is not a class effect, seen with </w:t>
      </w:r>
      <w:proofErr w:type="spellStart"/>
      <w:r>
        <w:t>liraglutide</w:t>
      </w:r>
      <w:proofErr w:type="spellEnd"/>
      <w:r>
        <w:t xml:space="preserve"> but no other drugs in this class.</w:t>
      </w:r>
    </w:p>
    <w:p w14:paraId="539E91AB" w14:textId="77777777" w:rsidR="00332E0F" w:rsidRDefault="00332E0F" w:rsidP="00332E0F">
      <w:pPr>
        <w:pStyle w:val="ListBullet"/>
      </w:pPr>
      <w:r>
        <w:t>Unknown if impact on CV endpoint was a primary effect of the drug or secondary effect of improvement in CV risk parameters (bodyweight, blood pressure, HbA1c).</w:t>
      </w:r>
    </w:p>
    <w:p w14:paraId="05473EDE" w14:textId="77777777" w:rsidR="00332E0F" w:rsidRDefault="00332E0F" w:rsidP="00332E0F">
      <w:pPr>
        <w:pStyle w:val="Heading5"/>
      </w:pPr>
      <w:r>
        <w:lastRenderedPageBreak/>
        <w:t>Outstanding microbiology recommendation</w:t>
      </w:r>
    </w:p>
    <w:p w14:paraId="194373C9" w14:textId="4343C7D1" w:rsidR="00332E0F" w:rsidRDefault="00332E0F" w:rsidP="00332E0F">
      <w:r>
        <w:t>The in use shelf life is 6 weeks (as proposed by the sponsor) versus 4 weeks (recommended by the microbiology evaluator).</w:t>
      </w:r>
      <w:r w:rsidR="00697389">
        <w:fldChar w:fldCharType="begin"/>
      </w:r>
      <w:r w:rsidR="00697389">
        <w:instrText xml:space="preserve"> NOTEREF _Ref53493668 \f \h </w:instrText>
      </w:r>
      <w:r w:rsidR="00697389">
        <w:fldChar w:fldCharType="separate"/>
      </w:r>
      <w:r w:rsidR="009B528E" w:rsidRPr="009B528E">
        <w:rPr>
          <w:rStyle w:val="FootnoteReference"/>
        </w:rPr>
        <w:t>2</w:t>
      </w:r>
      <w:r w:rsidR="00697389">
        <w:fldChar w:fldCharType="end"/>
      </w:r>
    </w:p>
    <w:p w14:paraId="4BBDB525" w14:textId="77777777" w:rsidR="00D23139" w:rsidRDefault="00D23139" w:rsidP="00D23139">
      <w:pPr>
        <w:pStyle w:val="Heading4"/>
      </w:pPr>
      <w:r w:rsidRPr="00D23139">
        <w:t>Proposed action</w:t>
      </w:r>
    </w:p>
    <w:p w14:paraId="47DB1F16" w14:textId="77777777" w:rsidR="00332E0F" w:rsidRDefault="00332E0F" w:rsidP="00332E0F">
      <w:r>
        <w:t xml:space="preserve">The Delegate considers that the benefit-risk profile of </w:t>
      </w:r>
      <w:proofErr w:type="spellStart"/>
      <w:r>
        <w:t>Ozempic</w:t>
      </w:r>
      <w:proofErr w:type="spellEnd"/>
      <w:r>
        <w:t xml:space="preserve"> to be used:</w:t>
      </w:r>
    </w:p>
    <w:p w14:paraId="3C44763E" w14:textId="77777777" w:rsidR="00332E0F" w:rsidRPr="00C74A6D" w:rsidRDefault="00332E0F" w:rsidP="00332E0F">
      <w:pPr>
        <w:ind w:left="720"/>
        <w:rPr>
          <w:i/>
        </w:rPr>
      </w:pPr>
      <w:r>
        <w:rPr>
          <w:i/>
        </w:rPr>
        <w:t>F</w:t>
      </w:r>
      <w:r w:rsidRPr="00C74A6D">
        <w:rPr>
          <w:i/>
        </w:rPr>
        <w:t>or the treatment of adults with insufficiently controlled type 2 diabetes mellitus as an adjunct to diet and exercise;</w:t>
      </w:r>
    </w:p>
    <w:p w14:paraId="29790DE7" w14:textId="77777777" w:rsidR="00332E0F" w:rsidRPr="00C74A6D" w:rsidRDefault="00332E0F" w:rsidP="00332E0F">
      <w:pPr>
        <w:pStyle w:val="ListBullet"/>
        <w:numPr>
          <w:ilvl w:val="0"/>
          <w:numId w:val="3"/>
        </w:numPr>
        <w:ind w:left="1080"/>
        <w:rPr>
          <w:i/>
        </w:rPr>
      </w:pPr>
      <w:r w:rsidRPr="00C74A6D">
        <w:rPr>
          <w:i/>
        </w:rPr>
        <w:t>as monotherapy when metformin is not tolerated or contraindicated.</w:t>
      </w:r>
    </w:p>
    <w:p w14:paraId="2417278B" w14:textId="77777777" w:rsidR="00332E0F" w:rsidRPr="00C74A6D" w:rsidRDefault="00332E0F" w:rsidP="00332E0F">
      <w:pPr>
        <w:pStyle w:val="ListBullet"/>
        <w:numPr>
          <w:ilvl w:val="0"/>
          <w:numId w:val="3"/>
        </w:numPr>
        <w:ind w:left="1080"/>
        <w:rPr>
          <w:i/>
        </w:rPr>
      </w:pPr>
      <w:r w:rsidRPr="00C74A6D">
        <w:rPr>
          <w:i/>
        </w:rPr>
        <w:t>in addition to other medicinal products for t</w:t>
      </w:r>
      <w:r>
        <w:rPr>
          <w:i/>
        </w:rPr>
        <w:t>he treatment of type 2 diabetes</w:t>
      </w:r>
    </w:p>
    <w:p w14:paraId="2754C40F" w14:textId="77777777" w:rsidR="00332E0F" w:rsidRDefault="00332E0F" w:rsidP="00332E0F">
      <w:r>
        <w:t xml:space="preserve">as favourable and approvable subject to sponsor’s acceptance for below recommendations, conditions of registration and upon resolution of the outstanding microbiology issue on open shelf life of the </w:t>
      </w:r>
      <w:proofErr w:type="spellStart"/>
      <w:r>
        <w:t>Ozempic</w:t>
      </w:r>
      <w:proofErr w:type="spellEnd"/>
      <w:r>
        <w:t xml:space="preserve"> pen.</w:t>
      </w:r>
    </w:p>
    <w:p w14:paraId="79F22EA4" w14:textId="77777777" w:rsidR="00332E0F" w:rsidRDefault="00332E0F" w:rsidP="00332E0F">
      <w:pPr>
        <w:pStyle w:val="Heading4"/>
      </w:pPr>
      <w:r>
        <w:t>Delegate’s update</w:t>
      </w:r>
    </w:p>
    <w:p w14:paraId="5AF43673" w14:textId="77777777" w:rsidR="00332E0F" w:rsidRPr="004E13E5" w:rsidRDefault="00332E0F" w:rsidP="00332E0F">
      <w:r>
        <w:t>As of 15 August 2019:</w:t>
      </w:r>
    </w:p>
    <w:p w14:paraId="65D9B0C4" w14:textId="77777777" w:rsidR="00332E0F" w:rsidRPr="00332E0F" w:rsidRDefault="00332E0F" w:rsidP="00332E0F">
      <w:pPr>
        <w:pStyle w:val="ListBullet"/>
      </w:pPr>
      <w:r w:rsidRPr="00332E0F">
        <w:t>the sponsor agreed to all the above recommendations and PI/CMI was amended; and</w:t>
      </w:r>
    </w:p>
    <w:p w14:paraId="6B5F4AFB" w14:textId="77777777" w:rsidR="00332E0F" w:rsidRPr="00332E0F" w:rsidRDefault="00697389" w:rsidP="00332E0F">
      <w:pPr>
        <w:pStyle w:val="ListBullet"/>
      </w:pPr>
      <w:r>
        <w:t xml:space="preserve">the </w:t>
      </w:r>
      <w:r w:rsidR="00332E0F" w:rsidRPr="00332E0F">
        <w:t xml:space="preserve">microbiology </w:t>
      </w:r>
      <w:r>
        <w:t xml:space="preserve">evaluation area at the TGA </w:t>
      </w:r>
      <w:r w:rsidR="00332E0F" w:rsidRPr="00332E0F">
        <w:t>reconsidered their decision and accepted the open shelf life of 42 days as proposed by the sponsor and had no objections from a microbiological perspective to the approval of this application.</w:t>
      </w:r>
    </w:p>
    <w:p w14:paraId="41CC8215"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6"/>
      </w:r>
    </w:p>
    <w:p w14:paraId="5DA7460E" w14:textId="77777777" w:rsidR="007D53B6" w:rsidRPr="007D53B6" w:rsidRDefault="007D53B6" w:rsidP="007D53B6">
      <w:r w:rsidRPr="007D53B6">
        <w:t>The Delegate did not refer this application to the Advisory Committee on Medicines (ACM) for advice.</w:t>
      </w:r>
    </w:p>
    <w:p w14:paraId="75376C89" w14:textId="77777777" w:rsidR="008E7846" w:rsidRPr="002E238E" w:rsidRDefault="008E7846" w:rsidP="008E7846">
      <w:pPr>
        <w:pStyle w:val="Heading3"/>
      </w:pPr>
      <w:bookmarkStart w:id="51" w:name="_Toc247691532"/>
      <w:bookmarkStart w:id="52" w:name="_Toc314842516"/>
      <w:bookmarkStart w:id="53" w:name="_Toc57827170"/>
      <w:bookmarkEnd w:id="31"/>
      <w:bookmarkEnd w:id="48"/>
      <w:bookmarkEnd w:id="49"/>
      <w:r>
        <w:t>Outcome</w:t>
      </w:r>
      <w:bookmarkEnd w:id="51"/>
      <w:bookmarkEnd w:id="52"/>
      <w:bookmarkEnd w:id="53"/>
    </w:p>
    <w:p w14:paraId="6A4BC1B9" w14:textId="0BDDC6A5" w:rsidR="00332E0F" w:rsidRDefault="00332E0F" w:rsidP="00332E0F">
      <w:bookmarkStart w:id="54" w:name="_Toc247691533"/>
      <w:bookmarkStart w:id="55" w:name="_Toc314842517"/>
      <w:r w:rsidRPr="00D23139">
        <w:t>Based on a review of quality, safety and efficacy,</w:t>
      </w:r>
      <w:r>
        <w:t xml:space="preserve"> the</w:t>
      </w:r>
      <w:r w:rsidRPr="00D23139">
        <w:t xml:space="preserve"> T</w:t>
      </w:r>
      <w:r>
        <w:t>GA approved the regi</w:t>
      </w:r>
      <w:r w:rsidR="00EC4062">
        <w:t xml:space="preserve">stration of </w:t>
      </w:r>
      <w:proofErr w:type="spellStart"/>
      <w:r w:rsidR="00EC4062">
        <w:t>Ozempic</w:t>
      </w:r>
      <w:proofErr w:type="spellEnd"/>
      <w:r w:rsidR="00EC4062">
        <w:t xml:space="preserve"> 0.25/0.5 mg</w:t>
      </w:r>
      <w:r w:rsidR="00697389">
        <w:t xml:space="preserve"> and 1 mg </w:t>
      </w:r>
      <w:proofErr w:type="spellStart"/>
      <w:r w:rsidR="00EC4062">
        <w:t>semaglutide</w:t>
      </w:r>
      <w:proofErr w:type="spellEnd"/>
      <w:r>
        <w:t xml:space="preserve"> 1.34 mg/mL solution for injection pre-filled pen for the following indication:</w:t>
      </w:r>
    </w:p>
    <w:p w14:paraId="7753BD15" w14:textId="77777777" w:rsidR="00332E0F" w:rsidRPr="00C74A6D" w:rsidRDefault="00332E0F" w:rsidP="00332E0F">
      <w:pPr>
        <w:ind w:left="720"/>
        <w:rPr>
          <w:i/>
        </w:rPr>
      </w:pPr>
      <w:proofErr w:type="spellStart"/>
      <w:r>
        <w:rPr>
          <w:i/>
        </w:rPr>
        <w:t>Ozempic</w:t>
      </w:r>
      <w:proofErr w:type="spellEnd"/>
      <w:r>
        <w:rPr>
          <w:i/>
        </w:rPr>
        <w:t xml:space="preserve"> is indicated </w:t>
      </w:r>
      <w:r w:rsidRPr="00C74A6D">
        <w:rPr>
          <w:i/>
        </w:rPr>
        <w:t>for the treatment of adults with insufficiently controlled type 2 diabetes mellitus as an adjunct to diet and exercise;</w:t>
      </w:r>
    </w:p>
    <w:p w14:paraId="6289B787" w14:textId="77777777" w:rsidR="00332E0F" w:rsidRPr="00C74A6D" w:rsidRDefault="00332E0F" w:rsidP="00332E0F">
      <w:pPr>
        <w:pStyle w:val="ListBullet"/>
        <w:numPr>
          <w:ilvl w:val="0"/>
          <w:numId w:val="3"/>
        </w:numPr>
        <w:ind w:left="1080"/>
        <w:rPr>
          <w:i/>
        </w:rPr>
      </w:pPr>
      <w:r w:rsidRPr="00C74A6D">
        <w:rPr>
          <w:i/>
        </w:rPr>
        <w:t>as monotherapy when metformin is not tolerated or contraindicated.</w:t>
      </w:r>
    </w:p>
    <w:p w14:paraId="58529B45" w14:textId="77777777" w:rsidR="00332E0F" w:rsidRPr="00B63A9E" w:rsidRDefault="00332E0F" w:rsidP="00332E0F">
      <w:pPr>
        <w:pStyle w:val="ListBullet"/>
        <w:numPr>
          <w:ilvl w:val="0"/>
          <w:numId w:val="3"/>
        </w:numPr>
        <w:ind w:left="1080"/>
        <w:rPr>
          <w:i/>
        </w:rPr>
      </w:pPr>
      <w:r w:rsidRPr="00C74A6D">
        <w:rPr>
          <w:i/>
        </w:rPr>
        <w:t>in addition to other medicinal products for t</w:t>
      </w:r>
      <w:r>
        <w:rPr>
          <w:i/>
        </w:rPr>
        <w:t>he treatment of type 2 diabetes</w:t>
      </w:r>
    </w:p>
    <w:p w14:paraId="741B8F1D" w14:textId="77777777" w:rsidR="00D23139" w:rsidRPr="00D23139" w:rsidRDefault="00D23139" w:rsidP="00D23139">
      <w:pPr>
        <w:pStyle w:val="Heading4"/>
      </w:pPr>
      <w:r w:rsidRPr="00D23139">
        <w:lastRenderedPageBreak/>
        <w:t>Specific conditions of registration applying to these goods</w:t>
      </w:r>
    </w:p>
    <w:p w14:paraId="604E3EB3" w14:textId="77777777" w:rsidR="00332E0F" w:rsidRPr="00332E0F" w:rsidRDefault="00332E0F" w:rsidP="00332E0F">
      <w:pPr>
        <w:pStyle w:val="ListBullet"/>
      </w:pPr>
      <w:proofErr w:type="spellStart"/>
      <w:r w:rsidRPr="00332E0F">
        <w:t>Ozempic</w:t>
      </w:r>
      <w:proofErr w:type="spellEnd"/>
      <w:r w:rsidRPr="00332E0F">
        <w:t xml:space="preserve"> </w:t>
      </w:r>
      <w:proofErr w:type="spellStart"/>
      <w:r w:rsidRPr="00332E0F">
        <w:t>semaglutide</w:t>
      </w:r>
      <w:proofErr w:type="spellEnd"/>
      <w:r w:rsidRPr="00332E0F">
        <w:t xml:space="preserve"> (rys) is to be included in the Black Triangle Scheme. The PI and CMI for </w:t>
      </w:r>
      <w:proofErr w:type="spellStart"/>
      <w:r w:rsidRPr="00332E0F">
        <w:t>Ozempic</w:t>
      </w:r>
      <w:proofErr w:type="spellEnd"/>
      <w:r w:rsidRPr="00332E0F">
        <w:t xml:space="preserve"> must include the black triangle symbol and mandatory accompanying text for five years, which starts from the date that the sponsor notifies the TGA of supply of the products.</w:t>
      </w:r>
    </w:p>
    <w:p w14:paraId="34C839E9" w14:textId="77777777" w:rsidR="00332E0F" w:rsidRPr="00332E0F" w:rsidRDefault="00332E0F" w:rsidP="00332E0F">
      <w:pPr>
        <w:pStyle w:val="ListBullet"/>
      </w:pPr>
      <w:r w:rsidRPr="00332E0F">
        <w:t>Any changes to which the sponsor has agreed should be included in a revised RMP and ASA. However, irrespective of whether or not they are included in the currently available version of the RMP document, the agreed changes become part of the risk management system.</w:t>
      </w:r>
    </w:p>
    <w:p w14:paraId="0062742B" w14:textId="77777777" w:rsidR="00332E0F" w:rsidRDefault="00332E0F" w:rsidP="00332E0F">
      <w:pPr>
        <w:pStyle w:val="ListBullet"/>
        <w:numPr>
          <w:ilvl w:val="0"/>
          <w:numId w:val="0"/>
        </w:numPr>
        <w:ind w:left="360"/>
      </w:pPr>
      <w:r>
        <w:t xml:space="preserve">The </w:t>
      </w:r>
      <w:proofErr w:type="spellStart"/>
      <w:r>
        <w:t>Ozempic</w:t>
      </w:r>
      <w:proofErr w:type="spellEnd"/>
      <w:r>
        <w:t xml:space="preserve"> EU-</w:t>
      </w:r>
      <w:r w:rsidR="00F810F8">
        <w:t>RMP</w:t>
      </w:r>
      <w:r>
        <w:t xml:space="preserve">, version 3.1, dated 5 March 2019 (data lock point 31 May 2018), with </w:t>
      </w:r>
      <w:r w:rsidR="00F810F8">
        <w:t>ASA</w:t>
      </w:r>
      <w:r>
        <w:t xml:space="preserve">, version 0.2, dated 20 March 2019, included with submission PM-2018-02748-1-5, and any subsequent revisions, as agreed with the TGA will be implemented in Australia. An obligatory component of risk management plans is routine pharmacovigilance. Routine pharmacovigilance includes the submission of </w:t>
      </w:r>
      <w:r w:rsidR="00F810F8">
        <w:t>PSURs</w:t>
      </w:r>
      <w:r>
        <w:t>.</w:t>
      </w:r>
    </w:p>
    <w:p w14:paraId="5C0F44E6" w14:textId="77777777" w:rsidR="00332E0F" w:rsidRDefault="00332E0F" w:rsidP="00332E0F">
      <w:pPr>
        <w:autoSpaceDE w:val="0"/>
        <w:autoSpaceDN w:val="0"/>
        <w:adjustRightInd w:val="0"/>
        <w:spacing w:before="0" w:after="0" w:line="240" w:lineRule="auto"/>
        <w:ind w:firstLine="360"/>
        <w:rPr>
          <w:rFonts w:eastAsiaTheme="minorHAnsi" w:cs="Cambria"/>
          <w:lang w:val="en-US"/>
        </w:rPr>
      </w:pPr>
      <w:r>
        <w:rPr>
          <w:rFonts w:eastAsiaTheme="minorHAnsi" w:cs="Cambria"/>
          <w:lang w:val="en-US"/>
        </w:rPr>
        <w:t>Reports are to be provided in line with the current published list of EU reference dates</w:t>
      </w:r>
    </w:p>
    <w:p w14:paraId="50D31CFF" w14:textId="3C291651" w:rsidR="00332E0F" w:rsidRDefault="00332E0F" w:rsidP="00332E0F">
      <w:pPr>
        <w:autoSpaceDE w:val="0"/>
        <w:autoSpaceDN w:val="0"/>
        <w:adjustRightInd w:val="0"/>
        <w:spacing w:before="0" w:after="0" w:line="240" w:lineRule="auto"/>
        <w:ind w:left="360"/>
        <w:rPr>
          <w:rFonts w:eastAsiaTheme="minorHAnsi" w:cs="Cambria"/>
          <w:lang w:val="en-US"/>
        </w:rPr>
      </w:pPr>
      <w:r>
        <w:rPr>
          <w:rFonts w:eastAsiaTheme="minorHAnsi" w:cs="Cambria"/>
          <w:lang w:val="en-US"/>
        </w:rPr>
        <w:t xml:space="preserve">and frequency of submission of PSURs until the period covered by such reports is not less than three years from the date of </w:t>
      </w:r>
      <w:r w:rsidR="00697389">
        <w:rPr>
          <w:rFonts w:eastAsiaTheme="minorHAnsi" w:cs="Cambria"/>
          <w:lang w:val="en-US"/>
        </w:rPr>
        <w:t xml:space="preserve">the </w:t>
      </w:r>
      <w:r>
        <w:rPr>
          <w:rFonts w:eastAsiaTheme="minorHAnsi" w:cs="Cambria"/>
          <w:lang w:val="en-US"/>
        </w:rPr>
        <w:t>approval letter.</w:t>
      </w:r>
    </w:p>
    <w:p w14:paraId="4E0C4B03" w14:textId="213F73A6" w:rsidR="00332E0F" w:rsidRPr="00B17C54" w:rsidRDefault="00332E0F" w:rsidP="00332E0F">
      <w:pPr>
        <w:ind w:left="360"/>
      </w:pPr>
      <w:r w:rsidRPr="00B17C54">
        <w:t>The reports are to at least meet the requirements for PSURs as described in the European Medicines Agency’s Guideline on GVP</w:t>
      </w:r>
      <w:r>
        <w:t xml:space="preserve"> </w:t>
      </w:r>
      <w:r w:rsidRPr="00B17C54">
        <w:t>Module VII-Periodic Safety Update Report (Rev 1), Part VII.B Structures and processes</w:t>
      </w:r>
      <w:r>
        <w:t xml:space="preserve">. </w:t>
      </w:r>
      <w:r w:rsidRPr="00B17C54">
        <w:t>Note that submission of a PSUR does not consti</w:t>
      </w:r>
      <w:r>
        <w:t xml:space="preserve">tute an application to vary the </w:t>
      </w:r>
      <w:r w:rsidRPr="00B17C54">
        <w:t>registration.</w:t>
      </w:r>
    </w:p>
    <w:p w14:paraId="48A68CE7" w14:textId="77777777" w:rsidR="00332E0F" w:rsidRPr="00332E0F" w:rsidRDefault="00332E0F" w:rsidP="00332E0F">
      <w:pPr>
        <w:pStyle w:val="ListBullet"/>
      </w:pPr>
      <w:r w:rsidRPr="00332E0F">
        <w:t xml:space="preserve">The </w:t>
      </w:r>
      <w:r w:rsidR="00F810F8">
        <w:t>CMI</w:t>
      </w:r>
      <w:r w:rsidRPr="00332E0F">
        <w:t xml:space="preserve"> must be included with the products as a package insert. The CMI should have a link to the full version of the PI on the TGA website.</w:t>
      </w:r>
    </w:p>
    <w:p w14:paraId="38785974" w14:textId="1A446C3E" w:rsidR="00332E0F" w:rsidRPr="00332E0F" w:rsidRDefault="00332E0F" w:rsidP="00332E0F">
      <w:pPr>
        <w:pStyle w:val="ListBullet"/>
      </w:pPr>
      <w:r w:rsidRPr="00332E0F">
        <w:t xml:space="preserve">Batch Release Testing </w:t>
      </w:r>
      <w:r w:rsidR="00697389">
        <w:t>and</w:t>
      </w:r>
      <w:r w:rsidRPr="00332E0F">
        <w:t xml:space="preserve"> Compliance with </w:t>
      </w:r>
      <w:r w:rsidR="00F810F8">
        <w:t>CPD</w:t>
      </w:r>
    </w:p>
    <w:p w14:paraId="7C0C8151" w14:textId="77777777" w:rsidR="00332E0F" w:rsidRPr="00332E0F" w:rsidRDefault="00332E0F" w:rsidP="00332E0F">
      <w:pPr>
        <w:pStyle w:val="ListBullet2"/>
      </w:pPr>
      <w:r w:rsidRPr="00332E0F">
        <w:t xml:space="preserve">All batches of </w:t>
      </w:r>
      <w:proofErr w:type="spellStart"/>
      <w:r w:rsidRPr="00332E0F">
        <w:t>Ozempic</w:t>
      </w:r>
      <w:proofErr w:type="spellEnd"/>
      <w:r w:rsidRPr="00332E0F">
        <w:t xml:space="preserve"> (</w:t>
      </w:r>
      <w:proofErr w:type="spellStart"/>
      <w:r w:rsidRPr="00332E0F">
        <w:t>semaglutide</w:t>
      </w:r>
      <w:proofErr w:type="spellEnd"/>
      <w:r w:rsidRPr="00332E0F">
        <w:t xml:space="preserve"> (rys)) 1.34 mg/mL solution for injection pre-filled pen imported into/manufactured in Australia must comply with the product details and specifications approved during evaluation and detailed in the </w:t>
      </w:r>
      <w:r w:rsidR="00F810F8">
        <w:t>CPD</w:t>
      </w:r>
      <w:r w:rsidRPr="00332E0F">
        <w:t>.</w:t>
      </w:r>
    </w:p>
    <w:p w14:paraId="06C9F9E3" w14:textId="77777777" w:rsidR="00332E0F" w:rsidRPr="00332E0F" w:rsidRDefault="00332E0F" w:rsidP="00332E0F">
      <w:pPr>
        <w:pStyle w:val="ListBullet2"/>
      </w:pPr>
      <w:r w:rsidRPr="00332E0F">
        <w:t xml:space="preserve">Each batch of </w:t>
      </w:r>
      <w:proofErr w:type="spellStart"/>
      <w:r w:rsidRPr="00332E0F">
        <w:t>Ozempic</w:t>
      </w:r>
      <w:proofErr w:type="spellEnd"/>
      <w:r w:rsidRPr="00332E0F">
        <w:t xml:space="preserve"> (</w:t>
      </w:r>
      <w:proofErr w:type="spellStart"/>
      <w:r w:rsidRPr="00332E0F">
        <w:t>semaglutide</w:t>
      </w:r>
      <w:proofErr w:type="spellEnd"/>
      <w:r w:rsidRPr="00332E0F">
        <w:t xml:space="preserve"> (rys)) 1.34 mg/mL solution for injection prefilled pen imported into/manufactured in Australia is not released for sale until samples and/or the manufacturer’s release data have been assessed and endorsed for release by the TGA Laboratories Branch. Outcomes of laboratory testing are published biannually in the TGA Database of Laboratory Testing Results (http://www.tga.gov.au/ws-labs-index).</w:t>
      </w:r>
    </w:p>
    <w:p w14:paraId="0D843DE1" w14:textId="77777777" w:rsidR="00332E0F" w:rsidRPr="00002671" w:rsidRDefault="00332E0F" w:rsidP="00AB7599">
      <w:pPr>
        <w:pStyle w:val="ListBullet"/>
        <w:numPr>
          <w:ilvl w:val="0"/>
          <w:numId w:val="0"/>
        </w:numPr>
        <w:ind w:left="360"/>
        <w:rPr>
          <w:lang w:val="en-US"/>
        </w:rPr>
      </w:pPr>
      <w:r w:rsidRPr="00002671">
        <w:rPr>
          <w:lang w:val="en-US"/>
        </w:rPr>
        <w:t>The sponsor should be prepared to provide product samples, reference materials</w:t>
      </w:r>
      <w:r>
        <w:rPr>
          <w:lang w:val="en-US"/>
        </w:rPr>
        <w:t xml:space="preserve"> </w:t>
      </w:r>
      <w:r w:rsidRPr="00002671">
        <w:rPr>
          <w:lang w:val="en-US"/>
        </w:rPr>
        <w:t xml:space="preserve">and documentary evidence as defined by </w:t>
      </w:r>
      <w:r>
        <w:rPr>
          <w:lang w:val="en-US"/>
        </w:rPr>
        <w:t>the TGA Laboratories Branch.</w:t>
      </w:r>
    </w:p>
    <w:p w14:paraId="25468DFF" w14:textId="77777777" w:rsidR="008E7846" w:rsidRDefault="00A80B5B" w:rsidP="00D23139">
      <w:pPr>
        <w:pStyle w:val="Heading2"/>
      </w:pPr>
      <w:bookmarkStart w:id="56" w:name="_Toc57827171"/>
      <w:r>
        <w:t xml:space="preserve">Attachment 1. </w:t>
      </w:r>
      <w:r w:rsidR="008E7846">
        <w:t xml:space="preserve">Product </w:t>
      </w:r>
      <w:r w:rsidR="00AA0ED0">
        <w:t>I</w:t>
      </w:r>
      <w:r w:rsidR="008E7846">
        <w:t>nformation</w:t>
      </w:r>
      <w:bookmarkEnd w:id="54"/>
      <w:bookmarkEnd w:id="55"/>
      <w:bookmarkEnd w:id="56"/>
    </w:p>
    <w:p w14:paraId="1EC23E64" w14:textId="63D0677F" w:rsidR="00291957" w:rsidRPr="00732F69" w:rsidRDefault="006136D7" w:rsidP="00291957">
      <w:pPr>
        <w:rPr>
          <w:color w:val="000000"/>
          <w:lang w:eastAsia="en-AU"/>
        </w:rPr>
      </w:pPr>
      <w:r w:rsidRPr="002B3624">
        <w:t xml:space="preserve">The </w:t>
      </w:r>
      <w:r>
        <w:t>PI</w:t>
      </w:r>
      <w:r w:rsidRPr="002B3624">
        <w:t xml:space="preserve"> </w:t>
      </w:r>
      <w:r w:rsidRPr="00732F69">
        <w:t xml:space="preserve">for </w:t>
      </w:r>
      <w:proofErr w:type="spellStart"/>
      <w:r w:rsidR="00732F69" w:rsidRPr="00732F69">
        <w:t>Ozempic</w:t>
      </w:r>
      <w:proofErr w:type="spellEnd"/>
      <w:r w:rsidRPr="00732F69">
        <w:t xml:space="preserve"> approved</w:t>
      </w:r>
      <w:r>
        <w:t xml:space="preserve">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8" w:history="1">
        <w:r w:rsidR="007C6B9B" w:rsidRPr="007C6B9B">
          <w:rPr>
            <w:rStyle w:val="Hyperlink"/>
          </w:rPr>
          <w:t>https://www.tga.gov.au/product-information-pi</w:t>
        </w:r>
      </w:hyperlink>
      <w:r w:rsidR="00732F69">
        <w:t>&gt;.</w:t>
      </w:r>
    </w:p>
    <w:p w14:paraId="1CE03223" w14:textId="77777777" w:rsidR="00C80137" w:rsidRPr="001D043B" w:rsidRDefault="00C80137" w:rsidP="003A7F6C">
      <w:pPr>
        <w:pStyle w:val="TableTitle"/>
        <w:sectPr w:rsidR="00C80137" w:rsidRPr="001D043B" w:rsidSect="00B452CE">
          <w:headerReference w:type="even" r:id="rId19"/>
          <w:headerReference w:type="default" r:id="rId20"/>
          <w:headerReference w:type="first" r:id="rId21"/>
          <w:footerReference w:type="first" r:id="rId22"/>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18CF9CFA" w14:textId="77777777" w:rsidTr="00A05FA4">
        <w:trPr>
          <w:trHeight w:hRule="exact" w:val="704"/>
        </w:trPr>
        <w:tc>
          <w:tcPr>
            <w:tcW w:w="9175" w:type="dxa"/>
          </w:tcPr>
          <w:p w14:paraId="5FF017D8" w14:textId="77777777" w:rsidR="001C32CD" w:rsidRPr="00487162" w:rsidRDefault="001C32CD" w:rsidP="00A05FA4">
            <w:pPr>
              <w:pStyle w:val="TGASignoff"/>
            </w:pPr>
            <w:r w:rsidRPr="00487162">
              <w:lastRenderedPageBreak/>
              <w:t>Therapeutic Goods Administration</w:t>
            </w:r>
          </w:p>
        </w:tc>
      </w:tr>
      <w:tr w:rsidR="001C32CD" w:rsidRPr="004C239D" w14:paraId="3682A189" w14:textId="77777777" w:rsidTr="00A05FA4">
        <w:trPr>
          <w:trHeight w:val="1221"/>
        </w:trPr>
        <w:tc>
          <w:tcPr>
            <w:tcW w:w="9175" w:type="dxa"/>
            <w:tcMar>
              <w:top w:w="28" w:type="dxa"/>
            </w:tcMar>
          </w:tcPr>
          <w:p w14:paraId="6FC5DEAF" w14:textId="77777777" w:rsidR="001C32CD" w:rsidRPr="00487162" w:rsidRDefault="001C32CD" w:rsidP="00A05FA4">
            <w:pPr>
              <w:pStyle w:val="Address"/>
            </w:pPr>
            <w:r w:rsidRPr="00487162">
              <w:t>PO Box 100 Woden ACT 2606 Australia</w:t>
            </w:r>
          </w:p>
          <w:p w14:paraId="14FCE4CD" w14:textId="4D1F6C12" w:rsidR="001C32CD" w:rsidRPr="00487162" w:rsidRDefault="001C32CD" w:rsidP="00A05FA4">
            <w:pPr>
              <w:pStyle w:val="Address"/>
            </w:pPr>
            <w:r w:rsidRPr="00487162">
              <w:t xml:space="preserve">Email: </w:t>
            </w:r>
            <w:hyperlink r:id="rId23" w:history="1">
              <w:r w:rsidRPr="004C239D">
                <w:rPr>
                  <w:rStyle w:val="Hyperlink"/>
                </w:rPr>
                <w:t>info@tga.gov.au</w:t>
              </w:r>
            </w:hyperlink>
            <w:r w:rsidRPr="00487162">
              <w:t xml:space="preserve">  Phone: 1800 020 653  Fax: 02 6232 8605</w:t>
            </w:r>
          </w:p>
          <w:p w14:paraId="44E23E73" w14:textId="4981CED2" w:rsidR="001C32CD" w:rsidRPr="004C239D" w:rsidRDefault="002F2D29" w:rsidP="00A05FA4">
            <w:pPr>
              <w:pStyle w:val="Address"/>
              <w:spacing w:line="260" w:lineRule="atLeast"/>
              <w:rPr>
                <w:b/>
                <w:color w:val="0000FF"/>
                <w:u w:val="single"/>
              </w:rPr>
            </w:pPr>
            <w:hyperlink r:id="rId24" w:history="1">
              <w:r w:rsidR="007C6B9B" w:rsidRPr="007C6B9B">
                <w:rPr>
                  <w:rStyle w:val="Hyperlink"/>
                  <w:b/>
                </w:rPr>
                <w:t>https://www.tga.gov.au</w:t>
              </w:r>
            </w:hyperlink>
          </w:p>
        </w:tc>
      </w:tr>
    </w:tbl>
    <w:p w14:paraId="4C7BE3DA" w14:textId="77777777" w:rsidR="00774E1D" w:rsidRPr="008A5E0B" w:rsidRDefault="00774E1D" w:rsidP="004C239D"/>
    <w:sectPr w:rsidR="00774E1D" w:rsidRPr="008A5E0B" w:rsidSect="001C32CD">
      <w:headerReference w:type="even" r:id="rId25"/>
      <w:headerReference w:type="default" r:id="rId26"/>
      <w:footerReference w:type="default" r:id="rId27"/>
      <w:headerReference w:type="first" r:id="rId28"/>
      <w:footerReference w:type="first" r:id="rId29"/>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80CA3" w14:textId="77777777" w:rsidR="00DB18D1" w:rsidRDefault="00DB18D1" w:rsidP="00C40A36">
      <w:pPr>
        <w:spacing w:after="0"/>
      </w:pPr>
      <w:r>
        <w:separator/>
      </w:r>
    </w:p>
  </w:endnote>
  <w:endnote w:type="continuationSeparator" w:id="0">
    <w:p w14:paraId="4B0805C4" w14:textId="77777777" w:rsidR="00DB18D1" w:rsidRDefault="00DB18D1"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615A6" w14:textId="77777777" w:rsidR="005D70EB" w:rsidRDefault="005D7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DB18D1" w:rsidRPr="00487162" w14:paraId="1FC5EEF1" w14:textId="77777777" w:rsidTr="00DB750B">
      <w:trPr>
        <w:trHeight w:val="269"/>
      </w:trPr>
      <w:tc>
        <w:tcPr>
          <w:tcW w:w="7371" w:type="dxa"/>
          <w:tcMar>
            <w:top w:w="142" w:type="dxa"/>
            <w:bottom w:w="0" w:type="dxa"/>
          </w:tcMar>
        </w:tcPr>
        <w:p w14:paraId="17C816DE" w14:textId="069E222D" w:rsidR="00DB18D1" w:rsidRPr="00487162" w:rsidRDefault="00DB18D1" w:rsidP="008514C8">
          <w:pPr>
            <w:pStyle w:val="Footer"/>
          </w:pPr>
          <w:r w:rsidRPr="00487162">
            <w:t>AusPA</w:t>
          </w:r>
          <w:r>
            <w:t xml:space="preserve">R - </w:t>
          </w:r>
          <w:proofErr w:type="spellStart"/>
          <w:r>
            <w:t>Ozempic</w:t>
          </w:r>
          <w:proofErr w:type="spellEnd"/>
          <w:r>
            <w:t xml:space="preserve"> – </w:t>
          </w:r>
          <w:proofErr w:type="spellStart"/>
          <w:r>
            <w:t>semaglutide</w:t>
          </w:r>
          <w:proofErr w:type="spellEnd"/>
          <w:r w:rsidRPr="00460036">
            <w:t xml:space="preserve"> </w:t>
          </w:r>
          <w:r>
            <w:t xml:space="preserve">- </w:t>
          </w:r>
          <w:r w:rsidRPr="00214680">
            <w:t>Novo Nordisk Pharmaceuticals Pty Ltd</w:t>
          </w:r>
          <w:r>
            <w:t xml:space="preserve"> </w:t>
          </w:r>
          <w:r w:rsidR="002F538B">
            <w:t>- PM-2018-02748-1-5</w:t>
          </w:r>
          <w:r w:rsidR="002F538B">
            <w:br/>
            <w:t>FINAL</w:t>
          </w:r>
          <w:r w:rsidRPr="00487162">
            <w:t xml:space="preserve"> </w:t>
          </w:r>
          <w:r w:rsidR="002F538B">
            <w:t>30</w:t>
          </w:r>
          <w:r>
            <w:t xml:space="preserve"> October 2020</w:t>
          </w:r>
        </w:p>
      </w:tc>
      <w:tc>
        <w:tcPr>
          <w:tcW w:w="1490" w:type="dxa"/>
          <w:tcMar>
            <w:top w:w="142" w:type="dxa"/>
            <w:bottom w:w="0" w:type="dxa"/>
          </w:tcMar>
        </w:tcPr>
        <w:p w14:paraId="72220FD2" w14:textId="573F927B" w:rsidR="00DB18D1" w:rsidRPr="00487162" w:rsidRDefault="00DB18D1" w:rsidP="00DB750B">
          <w:pPr>
            <w:pStyle w:val="Footer"/>
            <w:jc w:val="right"/>
          </w:pPr>
          <w:r w:rsidRPr="00487162">
            <w:t xml:space="preserve">Page </w:t>
          </w:r>
          <w:r>
            <w:fldChar w:fldCharType="begin"/>
          </w:r>
          <w:r>
            <w:instrText xml:space="preserve"> PAGE  \* Arabic </w:instrText>
          </w:r>
          <w:r>
            <w:fldChar w:fldCharType="separate"/>
          </w:r>
          <w:r w:rsidR="002F2D29">
            <w:rPr>
              <w:noProof/>
            </w:rPr>
            <w:t>21</w:t>
          </w:r>
          <w:r>
            <w:fldChar w:fldCharType="end"/>
          </w:r>
          <w:r w:rsidRPr="00487162">
            <w:t xml:space="preserve"> of </w:t>
          </w:r>
          <w:fldSimple w:instr=" NUMPAGES  \* Arabic ">
            <w:r w:rsidR="002F2D29">
              <w:rPr>
                <w:noProof/>
              </w:rPr>
              <w:t>23</w:t>
            </w:r>
          </w:fldSimple>
        </w:p>
      </w:tc>
    </w:tr>
  </w:tbl>
  <w:p w14:paraId="076C4C93" w14:textId="77777777" w:rsidR="00DB18D1" w:rsidRDefault="00DB18D1"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52EE6" w14:textId="77777777" w:rsidR="005D70EB" w:rsidRDefault="005D70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B18D1" w:rsidRPr="00487162" w14:paraId="4E920549" w14:textId="77777777" w:rsidTr="00E45619">
      <w:trPr>
        <w:trHeight w:val="269"/>
      </w:trPr>
      <w:tc>
        <w:tcPr>
          <w:tcW w:w="4519" w:type="dxa"/>
          <w:tcBorders>
            <w:top w:val="single" w:sz="4" w:space="0" w:color="auto"/>
          </w:tcBorders>
          <w:tcMar>
            <w:top w:w="142" w:type="dxa"/>
            <w:bottom w:w="0" w:type="dxa"/>
          </w:tcMar>
        </w:tcPr>
        <w:p w14:paraId="6278CE3E" w14:textId="77777777" w:rsidR="00DB18D1" w:rsidRPr="00487162" w:rsidRDefault="00DB18D1" w:rsidP="00FE1DEE">
          <w:pPr>
            <w:pStyle w:val="Footer"/>
          </w:pPr>
          <w:r w:rsidRPr="00487162">
            <w:t>Document title, Part #, Section # - Section title</w:t>
          </w:r>
        </w:p>
        <w:p w14:paraId="4F8D1DBA" w14:textId="77777777" w:rsidR="00DB18D1" w:rsidRPr="00487162" w:rsidRDefault="00DB18D1" w:rsidP="00FE1DEE">
          <w:pPr>
            <w:pStyle w:val="Footer"/>
          </w:pPr>
          <w:r w:rsidRPr="00487162">
            <w:t>V1.0 October 2010</w:t>
          </w:r>
        </w:p>
      </w:tc>
      <w:tc>
        <w:tcPr>
          <w:tcW w:w="4342" w:type="dxa"/>
          <w:tcBorders>
            <w:top w:val="single" w:sz="4" w:space="0" w:color="auto"/>
          </w:tcBorders>
          <w:tcMar>
            <w:top w:w="142" w:type="dxa"/>
            <w:bottom w:w="0" w:type="dxa"/>
          </w:tcMar>
        </w:tcPr>
        <w:p w14:paraId="73BA566A" w14:textId="77777777" w:rsidR="00DB18D1" w:rsidRPr="00487162" w:rsidRDefault="00DB18D1"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14:paraId="52E1A732" w14:textId="77777777" w:rsidR="00DB18D1" w:rsidRDefault="00DB18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08CA3" w14:textId="77777777" w:rsidR="00DB18D1" w:rsidRPr="001C32CD" w:rsidRDefault="00DB18D1"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B18D1" w14:paraId="3F1C28A7" w14:textId="77777777" w:rsidTr="0010601F">
      <w:trPr>
        <w:trHeight w:val="108"/>
      </w:trPr>
      <w:tc>
        <w:tcPr>
          <w:tcW w:w="8875" w:type="dxa"/>
          <w:gridSpan w:val="2"/>
          <w:tcBorders>
            <w:bottom w:val="single" w:sz="4" w:space="0" w:color="auto"/>
          </w:tcBorders>
          <w:tcMar>
            <w:right w:w="284" w:type="dxa"/>
          </w:tcMar>
        </w:tcPr>
        <w:p w14:paraId="21128413" w14:textId="77777777" w:rsidR="00DB18D1" w:rsidRDefault="00DB18D1" w:rsidP="006E08B3">
          <w:pPr>
            <w:pStyle w:val="Heading3"/>
          </w:pPr>
          <w:r>
            <w:t>Copyright</w:t>
          </w:r>
        </w:p>
        <w:p w14:paraId="5E6199ED" w14:textId="77777777" w:rsidR="00DB18D1" w:rsidRDefault="00DB18D1" w:rsidP="006E08B3">
          <w:r>
            <w:rPr>
              <w:rFonts w:cs="Arial"/>
            </w:rPr>
            <w:t>©</w:t>
          </w:r>
          <w:r>
            <w:t xml:space="preserve"> Commonwealth of Australia [add year]</w:t>
          </w:r>
        </w:p>
        <w:p w14:paraId="615B0ECF" w14:textId="77777777" w:rsidR="00DB18D1" w:rsidRDefault="00DB18D1" w:rsidP="006E08B3"/>
        <w:p w14:paraId="7D5402BF" w14:textId="77777777" w:rsidR="00DB18D1" w:rsidRDefault="00DB18D1"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1AFA5AA4" w14:textId="77777777" w:rsidR="00DB18D1" w:rsidRDefault="00DB18D1" w:rsidP="006E08B3"/>
        <w:p w14:paraId="117405CB" w14:textId="77777777" w:rsidR="00DB18D1" w:rsidRDefault="00DB18D1" w:rsidP="006E08B3">
          <w:pPr>
            <w:pStyle w:val="Heading3"/>
          </w:pPr>
          <w:r>
            <w:t>Confidentiality</w:t>
          </w:r>
        </w:p>
        <w:p w14:paraId="2B0F09C6" w14:textId="77777777" w:rsidR="00DB18D1" w:rsidRDefault="00DB18D1"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AF6C047" w14:textId="77777777" w:rsidR="00DB18D1" w:rsidRDefault="00DB18D1" w:rsidP="006E08B3"/>
        <w:p w14:paraId="673B4B58" w14:textId="77777777" w:rsidR="00DB18D1" w:rsidRDefault="00DB18D1" w:rsidP="006E08B3">
          <w:r>
            <w:t>For submission made by individuals, all personal details, other than your name, will be removed from your submission before it is published on the TGA’s Internet site.</w:t>
          </w:r>
        </w:p>
        <w:p w14:paraId="68C64A01" w14:textId="77777777" w:rsidR="00DB18D1" w:rsidRDefault="00DB18D1" w:rsidP="006E08B3"/>
        <w:p w14:paraId="1A11FCCE" w14:textId="77777777" w:rsidR="00DB18D1" w:rsidRDefault="00DB18D1"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DB18D1" w14:paraId="7B2F56EE" w14:textId="77777777" w:rsidTr="0010601F">
      <w:trPr>
        <w:trHeight w:val="417"/>
      </w:trPr>
      <w:tc>
        <w:tcPr>
          <w:tcW w:w="4519" w:type="dxa"/>
          <w:tcBorders>
            <w:top w:val="single" w:sz="4" w:space="0" w:color="auto"/>
          </w:tcBorders>
          <w:tcMar>
            <w:top w:w="142" w:type="dxa"/>
            <w:bottom w:w="0" w:type="dxa"/>
          </w:tcMar>
        </w:tcPr>
        <w:p w14:paraId="365062E3" w14:textId="77777777" w:rsidR="00DB18D1" w:rsidRDefault="00DB18D1" w:rsidP="006E08B3">
          <w:r>
            <w:t>Document title, Part #, Section # - Section title</w:t>
          </w:r>
        </w:p>
        <w:p w14:paraId="44EE7E99" w14:textId="77777777" w:rsidR="00DB18D1" w:rsidRDefault="00DB18D1" w:rsidP="006E08B3">
          <w:r>
            <w:t>V1.0 October 2010</w:t>
          </w:r>
        </w:p>
      </w:tc>
      <w:tc>
        <w:tcPr>
          <w:tcW w:w="4356" w:type="dxa"/>
          <w:tcBorders>
            <w:top w:val="single" w:sz="4" w:space="0" w:color="auto"/>
          </w:tcBorders>
          <w:tcMar>
            <w:top w:w="142" w:type="dxa"/>
            <w:bottom w:w="0" w:type="dxa"/>
          </w:tcMar>
        </w:tcPr>
        <w:p w14:paraId="0C7B8F26" w14:textId="77777777" w:rsidR="00DB18D1" w:rsidRDefault="00DB18D1"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14:paraId="6226D627" w14:textId="77777777" w:rsidR="00DB18D1" w:rsidRDefault="00DB18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A687D" w14:textId="77777777" w:rsidR="00DB18D1" w:rsidRDefault="00DB18D1" w:rsidP="00C40A36">
      <w:pPr>
        <w:spacing w:after="0"/>
      </w:pPr>
      <w:r>
        <w:separator/>
      </w:r>
    </w:p>
  </w:footnote>
  <w:footnote w:type="continuationSeparator" w:id="0">
    <w:p w14:paraId="3E35AC70" w14:textId="77777777" w:rsidR="00DB18D1" w:rsidRDefault="00DB18D1" w:rsidP="00C40A36">
      <w:pPr>
        <w:spacing w:after="0"/>
      </w:pPr>
      <w:r>
        <w:continuationSeparator/>
      </w:r>
    </w:p>
  </w:footnote>
  <w:footnote w:id="1">
    <w:p w14:paraId="0BCDE159" w14:textId="77777777" w:rsidR="00DB18D1" w:rsidRDefault="00DB18D1">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744ACF59" w14:textId="77777777" w:rsidR="00DB18D1" w:rsidRPr="00C21FB3" w:rsidRDefault="00DB18D1" w:rsidP="00EA49A8">
      <w:pPr>
        <w:pStyle w:val="FootnoteText"/>
        <w:rPr>
          <w:lang w:val="en-US"/>
        </w:rPr>
      </w:pPr>
      <w:r>
        <w:rPr>
          <w:rStyle w:val="FootnoteReference"/>
        </w:rPr>
        <w:footnoteRef/>
      </w:r>
      <w:r>
        <w:t xml:space="preserve"> </w:t>
      </w:r>
      <w:r>
        <w:rPr>
          <w:lang w:val="en-US"/>
        </w:rPr>
        <w:t xml:space="preserve">The outstanding microbiology recommendation was resolved following compilation of the Delegate’s Overview and prior to approval; see Section: </w:t>
      </w:r>
      <w:r w:rsidRPr="00C21FB3">
        <w:rPr>
          <w:i/>
          <w:lang w:val="en-US"/>
        </w:rPr>
        <w:t>Delegate’s update</w:t>
      </w:r>
      <w:r>
        <w:rPr>
          <w:lang w:val="en-US"/>
        </w:rPr>
        <w:t xml:space="preserve"> in the </w:t>
      </w:r>
      <w:r w:rsidRPr="00C21FB3">
        <w:rPr>
          <w:i/>
          <w:lang w:val="en-US"/>
        </w:rPr>
        <w:t>Risk-benefit analysis</w:t>
      </w:r>
      <w:r>
        <w:rPr>
          <w:lang w:val="en-US"/>
        </w:rPr>
        <w:t xml:space="preserve"> later in this document.</w:t>
      </w:r>
    </w:p>
  </w:footnote>
  <w:footnote w:id="3">
    <w:p w14:paraId="26E16CC6" w14:textId="3F6958CE" w:rsidR="00002625" w:rsidRPr="00335180" w:rsidRDefault="00002625" w:rsidP="00002625">
      <w:pPr>
        <w:pStyle w:val="FootnoteText"/>
        <w:rPr>
          <w:lang w:val="en-US"/>
        </w:rPr>
      </w:pPr>
      <w:r>
        <w:rPr>
          <w:rStyle w:val="FootnoteReference"/>
        </w:rPr>
        <w:footnoteRef/>
      </w:r>
      <w:r>
        <w:t xml:space="preserve"> </w:t>
      </w:r>
      <w:r>
        <w:rPr>
          <w:lang w:val="en-US"/>
        </w:rPr>
        <w:t xml:space="preserve">The </w:t>
      </w:r>
      <w:r w:rsidR="001C6D9C" w:rsidRPr="002F538B">
        <w:rPr>
          <w:b/>
          <w:lang w:val="en-US"/>
        </w:rPr>
        <w:t xml:space="preserve">PDS290 / </w:t>
      </w:r>
      <w:r w:rsidRPr="002F538B">
        <w:rPr>
          <w:b/>
          <w:lang w:val="en-US"/>
        </w:rPr>
        <w:t xml:space="preserve">FlexTouch device </w:t>
      </w:r>
      <w:r>
        <w:rPr>
          <w:lang w:val="en-US"/>
        </w:rPr>
        <w:t>is a pre-filled multi-use pen developed by the sponsor currently in use for a range of sponsor products approved in Australia and registered on the ARTG.</w:t>
      </w:r>
    </w:p>
  </w:footnote>
  <w:footnote w:id="4">
    <w:p w14:paraId="5BB63D38" w14:textId="670E03CF" w:rsidR="008B0CA7" w:rsidRPr="002F538B" w:rsidRDefault="008B0CA7">
      <w:pPr>
        <w:pStyle w:val="FootnoteText"/>
        <w:rPr>
          <w:lang w:val="en-US"/>
        </w:rPr>
      </w:pPr>
      <w:r>
        <w:rPr>
          <w:rStyle w:val="FootnoteReference"/>
        </w:rPr>
        <w:footnoteRef/>
      </w:r>
      <w:r>
        <w:t xml:space="preserve"> </w:t>
      </w:r>
      <w:r w:rsidRPr="002F538B">
        <w:rPr>
          <w:b/>
        </w:rPr>
        <w:t>HbA1c</w:t>
      </w:r>
      <w:r w:rsidRPr="008B0CA7">
        <w:t xml:space="preserve">, or </w:t>
      </w:r>
      <w:r w:rsidRPr="002F538B">
        <w:rPr>
          <w:b/>
        </w:rPr>
        <w:t>glycated haemoglobin</w:t>
      </w:r>
      <w:r w:rsidRPr="008B0CA7">
        <w:t xml:space="preserve">, is a form of haemoglobin chemically linked to a sugar via glycation. HbA1c is measured primarily to determine the three month average blood sugar level and is the most accepted method of measuring chronic glycaemia. Measurement can be used as a diagnostic test for diabetes mellitus and as an assessment test for glycaemic control in people with diabetes. An HbA1c of 48 </w:t>
      </w:r>
      <w:proofErr w:type="spellStart"/>
      <w:r w:rsidRPr="008B0CA7">
        <w:t>mmol</w:t>
      </w:r>
      <w:proofErr w:type="spellEnd"/>
      <w:r w:rsidRPr="008B0CA7">
        <w:t>/</w:t>
      </w:r>
      <w:proofErr w:type="spellStart"/>
      <w:r w:rsidRPr="008B0CA7">
        <w:t>mol</w:t>
      </w:r>
      <w:proofErr w:type="spellEnd"/>
      <w:r w:rsidRPr="008B0CA7">
        <w:t xml:space="preserve"> (6.5%) or greater has now been recommended in Australia for the diagnosis of type 2 diabetes</w:t>
      </w:r>
      <w:r>
        <w:t xml:space="preserve"> mellitus (T2DM)</w:t>
      </w:r>
      <w:r w:rsidRPr="008B0CA7">
        <w:t>.</w:t>
      </w:r>
    </w:p>
  </w:footnote>
  <w:footnote w:id="5">
    <w:p w14:paraId="541D9FF0" w14:textId="77777777" w:rsidR="00DB18D1" w:rsidRDefault="00DB18D1"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0F8D8CD6" w14:textId="77777777" w:rsidR="00DB18D1" w:rsidRDefault="00DB18D1" w:rsidP="007D53B6">
      <w:pPr>
        <w:pStyle w:val="FootnoteText"/>
      </w:pPr>
      <w:r w:rsidRPr="007D53B6">
        <w:rPr>
          <w:i/>
        </w:rPr>
        <w:t>Routine pharmacovigilance</w:t>
      </w:r>
      <w:r>
        <w:t xml:space="preserve"> practices involve the following activities:</w:t>
      </w:r>
    </w:p>
    <w:p w14:paraId="4460AEA1" w14:textId="77777777" w:rsidR="00DB18D1" w:rsidRDefault="00DB18D1" w:rsidP="007D53B6">
      <w:pPr>
        <w:pStyle w:val="FootnoteText"/>
        <w:numPr>
          <w:ilvl w:val="0"/>
          <w:numId w:val="32"/>
        </w:numPr>
        <w:ind w:left="284" w:hanging="284"/>
      </w:pPr>
      <w:r>
        <w:t>All suspected adverse reactions that are reported to the personnel of the company are collected and collated in an accessible manner;</w:t>
      </w:r>
    </w:p>
    <w:p w14:paraId="4C183BDE" w14:textId="77777777" w:rsidR="00DB18D1" w:rsidRDefault="00DB18D1" w:rsidP="007D53B6">
      <w:pPr>
        <w:pStyle w:val="FootnoteText"/>
        <w:numPr>
          <w:ilvl w:val="0"/>
          <w:numId w:val="32"/>
        </w:numPr>
        <w:ind w:left="284" w:hanging="284"/>
      </w:pPr>
      <w:r>
        <w:t>Reporting to regulatory authorities;</w:t>
      </w:r>
    </w:p>
    <w:p w14:paraId="58BD8445" w14:textId="77777777" w:rsidR="00DB18D1" w:rsidRDefault="00DB18D1" w:rsidP="007D53B6">
      <w:pPr>
        <w:pStyle w:val="FootnoteText"/>
        <w:numPr>
          <w:ilvl w:val="0"/>
          <w:numId w:val="32"/>
        </w:numPr>
        <w:ind w:left="284" w:hanging="284"/>
      </w:pPr>
      <w:r>
        <w:t>Continuous monitoring of the safety profiles of approved products including signal detection and updating of labelling;</w:t>
      </w:r>
    </w:p>
    <w:p w14:paraId="798835FC" w14:textId="77777777" w:rsidR="00DB18D1" w:rsidRDefault="00DB18D1" w:rsidP="007D53B6">
      <w:pPr>
        <w:pStyle w:val="FootnoteText"/>
        <w:numPr>
          <w:ilvl w:val="0"/>
          <w:numId w:val="32"/>
        </w:numPr>
        <w:ind w:left="284" w:hanging="284"/>
      </w:pPr>
      <w:r>
        <w:t>Submission of PSURs;</w:t>
      </w:r>
    </w:p>
    <w:p w14:paraId="798C0C77" w14:textId="77777777" w:rsidR="00DB18D1" w:rsidRDefault="00DB18D1" w:rsidP="007D53B6">
      <w:pPr>
        <w:pStyle w:val="FootnoteText"/>
        <w:numPr>
          <w:ilvl w:val="0"/>
          <w:numId w:val="32"/>
        </w:numPr>
        <w:ind w:left="284" w:hanging="284"/>
      </w:pPr>
      <w:r>
        <w:t>Meeting other local regulatory agency requirements.</w:t>
      </w:r>
    </w:p>
  </w:footnote>
  <w:footnote w:id="6">
    <w:p w14:paraId="0CC71E41" w14:textId="77777777" w:rsidR="00DB18D1" w:rsidRDefault="00DB18D1"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4DE0622E" w14:textId="77777777" w:rsidR="00DB18D1" w:rsidRPr="00456765" w:rsidRDefault="00DB18D1"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72EEE" w14:textId="77777777" w:rsidR="005D70EB" w:rsidRDefault="005D7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CA496" w14:textId="77777777" w:rsidR="00DB18D1" w:rsidRDefault="00DB18D1"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C1848" w14:textId="77777777" w:rsidR="00DB18D1" w:rsidRDefault="00DB18D1">
    <w:pPr>
      <w:rPr>
        <w:noProof/>
        <w:lang w:eastAsia="en-AU"/>
      </w:rPr>
    </w:pPr>
    <w:r w:rsidRPr="00347824">
      <w:rPr>
        <w:noProof/>
        <w:lang w:eastAsia="en-AU"/>
      </w:rPr>
      <w:drawing>
        <wp:anchor distT="0" distB="0" distL="114300" distR="114300" simplePos="0" relativeHeight="251659264" behindDoc="1" locked="0" layoutInCell="1" allowOverlap="1" wp14:anchorId="343134D7" wp14:editId="5EC4DB58">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659C45BD" w14:textId="77777777" w:rsidR="00DB18D1" w:rsidRDefault="00DB18D1" w:rsidP="00593AD1">
    <w:pPr>
      <w:pStyle w:val="HeaderNoLine"/>
    </w:pPr>
    <w:r>
      <w:rPr>
        <w:noProof/>
        <w:lang w:eastAsia="en-AU"/>
      </w:rPr>
      <w:drawing>
        <wp:inline distT="0" distB="0" distL="0" distR="0" wp14:anchorId="411FA47F" wp14:editId="75F67AB1">
          <wp:extent cx="5400675" cy="7639050"/>
          <wp:effectExtent l="0" t="0" r="9525" b="0"/>
          <wp:docPr id="5" name="Picture 5"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43190" w14:textId="77777777" w:rsidR="00DB18D1" w:rsidRDefault="00DB18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5264A" w14:textId="77777777" w:rsidR="00DB18D1" w:rsidRDefault="00DB18D1">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0604" w14:textId="77777777" w:rsidR="00DB18D1" w:rsidRDefault="00DB18D1">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CED5" w14:textId="77777777" w:rsidR="00DB18D1" w:rsidRDefault="00DB18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B151B" w14:textId="77777777" w:rsidR="00DB18D1" w:rsidRDefault="00DB18D1"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ED58" w14:textId="77777777" w:rsidR="00DB18D1" w:rsidRDefault="00DB18D1" w:rsidP="006E08B3">
    <w:r>
      <w:t>Therapeutic Goods Administration</w:t>
    </w:r>
  </w:p>
  <w:p w14:paraId="6A2203B6" w14:textId="77777777" w:rsidR="00DB18D1" w:rsidRDefault="00DB18D1"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420085F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1F9E655A"/>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9"/>
  </w:num>
  <w:num w:numId="28">
    <w:abstractNumId w:val="11"/>
  </w:num>
  <w:num w:numId="29">
    <w:abstractNumId w:val="6"/>
  </w:num>
  <w:num w:numId="30">
    <w:abstractNumId w:val="8"/>
  </w:num>
  <w:num w:numId="31">
    <w:abstractNumId w:val="4"/>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6F"/>
    <w:rsid w:val="00002031"/>
    <w:rsid w:val="00002625"/>
    <w:rsid w:val="00004734"/>
    <w:rsid w:val="00006B22"/>
    <w:rsid w:val="00006FAB"/>
    <w:rsid w:val="0001276A"/>
    <w:rsid w:val="00021555"/>
    <w:rsid w:val="000246AE"/>
    <w:rsid w:val="00025C67"/>
    <w:rsid w:val="00044772"/>
    <w:rsid w:val="0004541C"/>
    <w:rsid w:val="0005559E"/>
    <w:rsid w:val="000604D6"/>
    <w:rsid w:val="000734D8"/>
    <w:rsid w:val="00077775"/>
    <w:rsid w:val="00090471"/>
    <w:rsid w:val="00096AA7"/>
    <w:rsid w:val="000A3AED"/>
    <w:rsid w:val="000B1A15"/>
    <w:rsid w:val="000B3532"/>
    <w:rsid w:val="000B3A75"/>
    <w:rsid w:val="000C00C2"/>
    <w:rsid w:val="000C690F"/>
    <w:rsid w:val="000D1295"/>
    <w:rsid w:val="000D391B"/>
    <w:rsid w:val="000D3D6D"/>
    <w:rsid w:val="000D4FC7"/>
    <w:rsid w:val="000E6196"/>
    <w:rsid w:val="000F0B8F"/>
    <w:rsid w:val="000F4869"/>
    <w:rsid w:val="000F5B42"/>
    <w:rsid w:val="000F6E6F"/>
    <w:rsid w:val="0010601F"/>
    <w:rsid w:val="0010788A"/>
    <w:rsid w:val="00107A31"/>
    <w:rsid w:val="00110EA5"/>
    <w:rsid w:val="00112F56"/>
    <w:rsid w:val="00124ACD"/>
    <w:rsid w:val="00125318"/>
    <w:rsid w:val="001305A2"/>
    <w:rsid w:val="00132EB9"/>
    <w:rsid w:val="00133238"/>
    <w:rsid w:val="00133A1B"/>
    <w:rsid w:val="0014197B"/>
    <w:rsid w:val="001432B9"/>
    <w:rsid w:val="001447CD"/>
    <w:rsid w:val="001516B1"/>
    <w:rsid w:val="00154EBB"/>
    <w:rsid w:val="00156316"/>
    <w:rsid w:val="00161181"/>
    <w:rsid w:val="00162D14"/>
    <w:rsid w:val="00163780"/>
    <w:rsid w:val="00165389"/>
    <w:rsid w:val="0017693F"/>
    <w:rsid w:val="0018110E"/>
    <w:rsid w:val="00181684"/>
    <w:rsid w:val="001843C6"/>
    <w:rsid w:val="001850E0"/>
    <w:rsid w:val="001A03AF"/>
    <w:rsid w:val="001A2158"/>
    <w:rsid w:val="001A525F"/>
    <w:rsid w:val="001B09F9"/>
    <w:rsid w:val="001B5C90"/>
    <w:rsid w:val="001B6448"/>
    <w:rsid w:val="001C32CD"/>
    <w:rsid w:val="001C6D9C"/>
    <w:rsid w:val="001D2984"/>
    <w:rsid w:val="001E07CF"/>
    <w:rsid w:val="001E59F1"/>
    <w:rsid w:val="001F2CEE"/>
    <w:rsid w:val="001F49EB"/>
    <w:rsid w:val="001F6CBA"/>
    <w:rsid w:val="00201D4E"/>
    <w:rsid w:val="002076C9"/>
    <w:rsid w:val="00211C88"/>
    <w:rsid w:val="00214680"/>
    <w:rsid w:val="00220B8A"/>
    <w:rsid w:val="002257F3"/>
    <w:rsid w:val="00233456"/>
    <w:rsid w:val="002339A5"/>
    <w:rsid w:val="00250271"/>
    <w:rsid w:val="002573ED"/>
    <w:rsid w:val="00257848"/>
    <w:rsid w:val="002578E8"/>
    <w:rsid w:val="0027084A"/>
    <w:rsid w:val="00280265"/>
    <w:rsid w:val="00286434"/>
    <w:rsid w:val="00286C59"/>
    <w:rsid w:val="00291957"/>
    <w:rsid w:val="002942D1"/>
    <w:rsid w:val="0029501A"/>
    <w:rsid w:val="002A3721"/>
    <w:rsid w:val="002B1638"/>
    <w:rsid w:val="002B3624"/>
    <w:rsid w:val="002D0952"/>
    <w:rsid w:val="002E40B3"/>
    <w:rsid w:val="002E4C9A"/>
    <w:rsid w:val="002F11F8"/>
    <w:rsid w:val="002F2D29"/>
    <w:rsid w:val="002F3F56"/>
    <w:rsid w:val="002F44B5"/>
    <w:rsid w:val="002F5122"/>
    <w:rsid w:val="002F538B"/>
    <w:rsid w:val="00311AC0"/>
    <w:rsid w:val="003176FC"/>
    <w:rsid w:val="003203DB"/>
    <w:rsid w:val="0032583B"/>
    <w:rsid w:val="00327883"/>
    <w:rsid w:val="00332E0F"/>
    <w:rsid w:val="00335504"/>
    <w:rsid w:val="00340C18"/>
    <w:rsid w:val="003442FD"/>
    <w:rsid w:val="00347824"/>
    <w:rsid w:val="00350567"/>
    <w:rsid w:val="003521E8"/>
    <w:rsid w:val="00370CE3"/>
    <w:rsid w:val="003728F3"/>
    <w:rsid w:val="003735BC"/>
    <w:rsid w:val="0037496E"/>
    <w:rsid w:val="00383221"/>
    <w:rsid w:val="00386150"/>
    <w:rsid w:val="003874CE"/>
    <w:rsid w:val="00390900"/>
    <w:rsid w:val="003A7F6C"/>
    <w:rsid w:val="003B4D60"/>
    <w:rsid w:val="003B5453"/>
    <w:rsid w:val="003B7E39"/>
    <w:rsid w:val="003C58DC"/>
    <w:rsid w:val="003D0593"/>
    <w:rsid w:val="003D1E62"/>
    <w:rsid w:val="003E0B99"/>
    <w:rsid w:val="003E2486"/>
    <w:rsid w:val="003E3208"/>
    <w:rsid w:val="003F0059"/>
    <w:rsid w:val="003F0B04"/>
    <w:rsid w:val="0040134E"/>
    <w:rsid w:val="00406FA7"/>
    <w:rsid w:val="004317C3"/>
    <w:rsid w:val="004334C7"/>
    <w:rsid w:val="004364F3"/>
    <w:rsid w:val="00440A2D"/>
    <w:rsid w:val="00441C3F"/>
    <w:rsid w:val="00444D1A"/>
    <w:rsid w:val="0045186A"/>
    <w:rsid w:val="004564A7"/>
    <w:rsid w:val="00456765"/>
    <w:rsid w:val="00460036"/>
    <w:rsid w:val="004617BF"/>
    <w:rsid w:val="00463658"/>
    <w:rsid w:val="004637A0"/>
    <w:rsid w:val="004722CC"/>
    <w:rsid w:val="00490483"/>
    <w:rsid w:val="004936E4"/>
    <w:rsid w:val="00494E60"/>
    <w:rsid w:val="00497487"/>
    <w:rsid w:val="004A2771"/>
    <w:rsid w:val="004A5BB7"/>
    <w:rsid w:val="004A6189"/>
    <w:rsid w:val="004A7390"/>
    <w:rsid w:val="004B6BD2"/>
    <w:rsid w:val="004B7B76"/>
    <w:rsid w:val="004C239D"/>
    <w:rsid w:val="004C25E0"/>
    <w:rsid w:val="004C2DCA"/>
    <w:rsid w:val="004C4FBE"/>
    <w:rsid w:val="004C61D2"/>
    <w:rsid w:val="004F0C4A"/>
    <w:rsid w:val="004F0F38"/>
    <w:rsid w:val="004F47D6"/>
    <w:rsid w:val="00500337"/>
    <w:rsid w:val="00501921"/>
    <w:rsid w:val="00530354"/>
    <w:rsid w:val="0053625B"/>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A68B6"/>
    <w:rsid w:val="005B2A12"/>
    <w:rsid w:val="005C5570"/>
    <w:rsid w:val="005C5B66"/>
    <w:rsid w:val="005C79A4"/>
    <w:rsid w:val="005D5442"/>
    <w:rsid w:val="005D70EB"/>
    <w:rsid w:val="005F40F4"/>
    <w:rsid w:val="00603F32"/>
    <w:rsid w:val="00605AD4"/>
    <w:rsid w:val="006136D7"/>
    <w:rsid w:val="00625A6E"/>
    <w:rsid w:val="00632398"/>
    <w:rsid w:val="00640FC3"/>
    <w:rsid w:val="00642020"/>
    <w:rsid w:val="006430EE"/>
    <w:rsid w:val="0065337B"/>
    <w:rsid w:val="0065419D"/>
    <w:rsid w:val="006603BC"/>
    <w:rsid w:val="006604D8"/>
    <w:rsid w:val="00664A5B"/>
    <w:rsid w:val="0066735C"/>
    <w:rsid w:val="006763D2"/>
    <w:rsid w:val="00680C08"/>
    <w:rsid w:val="006916A0"/>
    <w:rsid w:val="006931B1"/>
    <w:rsid w:val="006970E6"/>
    <w:rsid w:val="00697389"/>
    <w:rsid w:val="006A15C0"/>
    <w:rsid w:val="006A58A8"/>
    <w:rsid w:val="006C3E2A"/>
    <w:rsid w:val="006C642F"/>
    <w:rsid w:val="006D03E5"/>
    <w:rsid w:val="006D5D3E"/>
    <w:rsid w:val="006E08B3"/>
    <w:rsid w:val="006F17AC"/>
    <w:rsid w:val="006F25B8"/>
    <w:rsid w:val="006F572E"/>
    <w:rsid w:val="007039E0"/>
    <w:rsid w:val="007046D6"/>
    <w:rsid w:val="00705DB0"/>
    <w:rsid w:val="00722B57"/>
    <w:rsid w:val="00730F8A"/>
    <w:rsid w:val="00731145"/>
    <w:rsid w:val="00732F69"/>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A46F5"/>
    <w:rsid w:val="007A6505"/>
    <w:rsid w:val="007B6132"/>
    <w:rsid w:val="007B6E9F"/>
    <w:rsid w:val="007C1216"/>
    <w:rsid w:val="007C1AF7"/>
    <w:rsid w:val="007C6B9B"/>
    <w:rsid w:val="007D53B6"/>
    <w:rsid w:val="00805D27"/>
    <w:rsid w:val="00806DCB"/>
    <w:rsid w:val="00821776"/>
    <w:rsid w:val="00827DA7"/>
    <w:rsid w:val="008321F5"/>
    <w:rsid w:val="00832369"/>
    <w:rsid w:val="00834660"/>
    <w:rsid w:val="00836BC2"/>
    <w:rsid w:val="008514C8"/>
    <w:rsid w:val="0085156D"/>
    <w:rsid w:val="00852B28"/>
    <w:rsid w:val="0085641B"/>
    <w:rsid w:val="00857136"/>
    <w:rsid w:val="00875A6B"/>
    <w:rsid w:val="00882555"/>
    <w:rsid w:val="00885B11"/>
    <w:rsid w:val="00886D15"/>
    <w:rsid w:val="00887DD8"/>
    <w:rsid w:val="00891BA9"/>
    <w:rsid w:val="00896018"/>
    <w:rsid w:val="008960DD"/>
    <w:rsid w:val="0089635C"/>
    <w:rsid w:val="008A2B9D"/>
    <w:rsid w:val="008A3D9F"/>
    <w:rsid w:val="008A5E0B"/>
    <w:rsid w:val="008A6D59"/>
    <w:rsid w:val="008B0CA7"/>
    <w:rsid w:val="008B38AC"/>
    <w:rsid w:val="008B4B03"/>
    <w:rsid w:val="008B596F"/>
    <w:rsid w:val="008C159F"/>
    <w:rsid w:val="008C1623"/>
    <w:rsid w:val="008C1850"/>
    <w:rsid w:val="008C51A9"/>
    <w:rsid w:val="008E7846"/>
    <w:rsid w:val="008F02E5"/>
    <w:rsid w:val="008F1CCC"/>
    <w:rsid w:val="008F2967"/>
    <w:rsid w:val="008F6943"/>
    <w:rsid w:val="00902A21"/>
    <w:rsid w:val="0091523F"/>
    <w:rsid w:val="00920330"/>
    <w:rsid w:val="009219D7"/>
    <w:rsid w:val="00922D53"/>
    <w:rsid w:val="00923B70"/>
    <w:rsid w:val="00924482"/>
    <w:rsid w:val="00930237"/>
    <w:rsid w:val="00937C17"/>
    <w:rsid w:val="00940A89"/>
    <w:rsid w:val="00941F77"/>
    <w:rsid w:val="00946EA5"/>
    <w:rsid w:val="00960520"/>
    <w:rsid w:val="00960EE8"/>
    <w:rsid w:val="00963C08"/>
    <w:rsid w:val="009752A5"/>
    <w:rsid w:val="0098585A"/>
    <w:rsid w:val="009A4CED"/>
    <w:rsid w:val="009A690D"/>
    <w:rsid w:val="009B1D12"/>
    <w:rsid w:val="009B416B"/>
    <w:rsid w:val="009B528E"/>
    <w:rsid w:val="009C4BD5"/>
    <w:rsid w:val="009D7B77"/>
    <w:rsid w:val="009E0BB0"/>
    <w:rsid w:val="009E3FBB"/>
    <w:rsid w:val="009F7353"/>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60BAD"/>
    <w:rsid w:val="00A77F87"/>
    <w:rsid w:val="00A80B5B"/>
    <w:rsid w:val="00A84963"/>
    <w:rsid w:val="00A84E36"/>
    <w:rsid w:val="00A964D1"/>
    <w:rsid w:val="00AA0ED0"/>
    <w:rsid w:val="00AB7599"/>
    <w:rsid w:val="00AC2B40"/>
    <w:rsid w:val="00AC2BB2"/>
    <w:rsid w:val="00AC2C3C"/>
    <w:rsid w:val="00AC512D"/>
    <w:rsid w:val="00AD0083"/>
    <w:rsid w:val="00AD3935"/>
    <w:rsid w:val="00AE4646"/>
    <w:rsid w:val="00AE65EB"/>
    <w:rsid w:val="00AE67A7"/>
    <w:rsid w:val="00AF1D94"/>
    <w:rsid w:val="00AF60C5"/>
    <w:rsid w:val="00B009C6"/>
    <w:rsid w:val="00B01548"/>
    <w:rsid w:val="00B130C5"/>
    <w:rsid w:val="00B13EBD"/>
    <w:rsid w:val="00B21D29"/>
    <w:rsid w:val="00B25034"/>
    <w:rsid w:val="00B33588"/>
    <w:rsid w:val="00B33863"/>
    <w:rsid w:val="00B37D17"/>
    <w:rsid w:val="00B401F9"/>
    <w:rsid w:val="00B4175E"/>
    <w:rsid w:val="00B41C85"/>
    <w:rsid w:val="00B452CE"/>
    <w:rsid w:val="00B54C25"/>
    <w:rsid w:val="00B76B91"/>
    <w:rsid w:val="00B77EB1"/>
    <w:rsid w:val="00B811C6"/>
    <w:rsid w:val="00B855B0"/>
    <w:rsid w:val="00B92E08"/>
    <w:rsid w:val="00BC622A"/>
    <w:rsid w:val="00BE0A78"/>
    <w:rsid w:val="00BE79F0"/>
    <w:rsid w:val="00BF046D"/>
    <w:rsid w:val="00BF1190"/>
    <w:rsid w:val="00BF3774"/>
    <w:rsid w:val="00BF5D04"/>
    <w:rsid w:val="00C009AA"/>
    <w:rsid w:val="00C1164D"/>
    <w:rsid w:val="00C16861"/>
    <w:rsid w:val="00C346AB"/>
    <w:rsid w:val="00C403B1"/>
    <w:rsid w:val="00C404A6"/>
    <w:rsid w:val="00C40A36"/>
    <w:rsid w:val="00C44419"/>
    <w:rsid w:val="00C45E7B"/>
    <w:rsid w:val="00C471B1"/>
    <w:rsid w:val="00C525A2"/>
    <w:rsid w:val="00C52E24"/>
    <w:rsid w:val="00C6316B"/>
    <w:rsid w:val="00C634A9"/>
    <w:rsid w:val="00C64586"/>
    <w:rsid w:val="00C70A36"/>
    <w:rsid w:val="00C70D53"/>
    <w:rsid w:val="00C73D0B"/>
    <w:rsid w:val="00C74F5C"/>
    <w:rsid w:val="00C772FF"/>
    <w:rsid w:val="00C80137"/>
    <w:rsid w:val="00C801AF"/>
    <w:rsid w:val="00C80256"/>
    <w:rsid w:val="00C94CD4"/>
    <w:rsid w:val="00C9747E"/>
    <w:rsid w:val="00CB6BC0"/>
    <w:rsid w:val="00CC1B7C"/>
    <w:rsid w:val="00CC727F"/>
    <w:rsid w:val="00CF15C3"/>
    <w:rsid w:val="00CF2B6F"/>
    <w:rsid w:val="00CF2F3E"/>
    <w:rsid w:val="00CF58B6"/>
    <w:rsid w:val="00CF5DAD"/>
    <w:rsid w:val="00CF62AD"/>
    <w:rsid w:val="00CF7D6F"/>
    <w:rsid w:val="00D0062D"/>
    <w:rsid w:val="00D017ED"/>
    <w:rsid w:val="00D040D3"/>
    <w:rsid w:val="00D04C65"/>
    <w:rsid w:val="00D153D8"/>
    <w:rsid w:val="00D201D2"/>
    <w:rsid w:val="00D224FE"/>
    <w:rsid w:val="00D23139"/>
    <w:rsid w:val="00D425BB"/>
    <w:rsid w:val="00D453FA"/>
    <w:rsid w:val="00D52628"/>
    <w:rsid w:val="00D5579B"/>
    <w:rsid w:val="00D6493E"/>
    <w:rsid w:val="00D7195D"/>
    <w:rsid w:val="00D7301E"/>
    <w:rsid w:val="00D83AE1"/>
    <w:rsid w:val="00D855D4"/>
    <w:rsid w:val="00D902C9"/>
    <w:rsid w:val="00D93466"/>
    <w:rsid w:val="00DA1124"/>
    <w:rsid w:val="00DA64CB"/>
    <w:rsid w:val="00DB06B8"/>
    <w:rsid w:val="00DB18D1"/>
    <w:rsid w:val="00DB6124"/>
    <w:rsid w:val="00DB750B"/>
    <w:rsid w:val="00DB75B7"/>
    <w:rsid w:val="00DC0A2F"/>
    <w:rsid w:val="00DC1948"/>
    <w:rsid w:val="00DC6E02"/>
    <w:rsid w:val="00DD28CD"/>
    <w:rsid w:val="00DE02AE"/>
    <w:rsid w:val="00DE39D1"/>
    <w:rsid w:val="00DF1D7F"/>
    <w:rsid w:val="00DF4BE4"/>
    <w:rsid w:val="00E02382"/>
    <w:rsid w:val="00E02FB4"/>
    <w:rsid w:val="00E13FC7"/>
    <w:rsid w:val="00E20571"/>
    <w:rsid w:val="00E235F7"/>
    <w:rsid w:val="00E23659"/>
    <w:rsid w:val="00E239D4"/>
    <w:rsid w:val="00E26130"/>
    <w:rsid w:val="00E40B22"/>
    <w:rsid w:val="00E44ED1"/>
    <w:rsid w:val="00E45619"/>
    <w:rsid w:val="00E4588F"/>
    <w:rsid w:val="00E46DA3"/>
    <w:rsid w:val="00E51BB1"/>
    <w:rsid w:val="00E55CB0"/>
    <w:rsid w:val="00E624A5"/>
    <w:rsid w:val="00E64BA4"/>
    <w:rsid w:val="00E7344E"/>
    <w:rsid w:val="00E82665"/>
    <w:rsid w:val="00EA49A8"/>
    <w:rsid w:val="00EB0798"/>
    <w:rsid w:val="00EB1389"/>
    <w:rsid w:val="00EB40AD"/>
    <w:rsid w:val="00EB586E"/>
    <w:rsid w:val="00EB5FC8"/>
    <w:rsid w:val="00EC4062"/>
    <w:rsid w:val="00EC463D"/>
    <w:rsid w:val="00EC7A85"/>
    <w:rsid w:val="00ED2922"/>
    <w:rsid w:val="00ED3CAD"/>
    <w:rsid w:val="00ED5A41"/>
    <w:rsid w:val="00EE1DE8"/>
    <w:rsid w:val="00EE27C2"/>
    <w:rsid w:val="00EF4BAD"/>
    <w:rsid w:val="00EF59DC"/>
    <w:rsid w:val="00F033EC"/>
    <w:rsid w:val="00F04F68"/>
    <w:rsid w:val="00F12670"/>
    <w:rsid w:val="00F14B27"/>
    <w:rsid w:val="00F3148D"/>
    <w:rsid w:val="00F325C5"/>
    <w:rsid w:val="00F32FE0"/>
    <w:rsid w:val="00F35298"/>
    <w:rsid w:val="00F47333"/>
    <w:rsid w:val="00F47E37"/>
    <w:rsid w:val="00F53C07"/>
    <w:rsid w:val="00F54B65"/>
    <w:rsid w:val="00F640B6"/>
    <w:rsid w:val="00F66DF2"/>
    <w:rsid w:val="00F80E40"/>
    <w:rsid w:val="00F810F8"/>
    <w:rsid w:val="00F848D9"/>
    <w:rsid w:val="00FA5069"/>
    <w:rsid w:val="00FA5B82"/>
    <w:rsid w:val="00FA639E"/>
    <w:rsid w:val="00FC1FCA"/>
    <w:rsid w:val="00FC25E4"/>
    <w:rsid w:val="00FC4EF7"/>
    <w:rsid w:val="00FD0824"/>
    <w:rsid w:val="00FD119B"/>
    <w:rsid w:val="00FD1EDC"/>
    <w:rsid w:val="00FD6198"/>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2785BA"/>
  <w15:docId w15:val="{70A00FAA-5AA2-4155-A4A1-CDB7F348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32E0F"/>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5D70EB"/>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hyperlink" Target="https://www.tga.gov.au/product-information-pi"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info@tga.gov.au"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65296\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C8728-C9C2-45F2-82E9-D7621A2E3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2</TotalTime>
  <Pages>23</Pages>
  <Words>7333</Words>
  <Characters>43707</Characters>
  <Application>Microsoft Office Word</Application>
  <DocSecurity>0</DocSecurity>
  <Lines>1560</Lines>
  <Paragraphs>1085</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49955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Semaglutide</dc:title>
  <dc:subject>prescription medicines</dc:subject>
  <dc:creator>Therapeutic Goods Administration</dc:creator>
  <cp:keywords/>
  <cp:lastPrinted>2019-08-14T04:30:00Z</cp:lastPrinted>
  <dcterms:created xsi:type="dcterms:W3CDTF">2020-12-02T07:43:00Z</dcterms:created>
  <dcterms:modified xsi:type="dcterms:W3CDTF">2020-12-02T07:45:00Z</dcterms:modified>
  <cp:category/>
</cp:coreProperties>
</file>