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5A356" w14:textId="059B2A93" w:rsidR="00D13846" w:rsidRPr="00FC4CA6" w:rsidRDefault="00D13846" w:rsidP="00A23FE4">
      <w:pPr>
        <w:pStyle w:val="Heading1"/>
        <w:spacing w:before="0" w:line="240" w:lineRule="auto"/>
        <w:jc w:val="left"/>
        <w:rPr>
          <w:rFonts w:asciiTheme="majorBidi" w:hAnsiTheme="majorBidi" w:cstheme="majorBidi"/>
        </w:rPr>
      </w:pPr>
      <w:r w:rsidRPr="00FC4CA6">
        <w:rPr>
          <w:rFonts w:asciiTheme="majorBidi" w:eastAsia="Times New Roman" w:hAnsiTheme="majorBidi" w:cstheme="majorBidi"/>
          <w:b w:val="0"/>
          <w:bCs w:val="0"/>
          <w:noProof/>
          <w:lang w:eastAsia="en-AU"/>
        </w:rPr>
        <mc:AlternateContent>
          <mc:Choice Requires="wps">
            <w:drawing>
              <wp:inline distT="0" distB="0" distL="0" distR="0" wp14:anchorId="5FE14D27" wp14:editId="6159A7EF">
                <wp:extent cx="252095" cy="252095"/>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BE3EA" w14:textId="77777777" w:rsidR="000B60E9" w:rsidRPr="00BE2A26" w:rsidRDefault="000B60E9" w:rsidP="00D13846">
                            <w:pPr>
                              <w:rPr>
                                <w:rFonts w:ascii="Wingdings 3" w:hAnsi="Wingdings 3"/>
                              </w:rPr>
                            </w:pPr>
                            <w:r w:rsidRPr="00BE2A26">
                              <w:rPr>
                                <w:rFonts w:ascii="SimSun" w:eastAsia="SimSun" w:hAnsi="SimSun" w:hint="eastAsia"/>
                                <w:sz w:val="40"/>
                              </w:rPr>
                              <w:t>▼</w:t>
                            </w:r>
                          </w:p>
                        </w:txbxContent>
                      </wps:txbx>
                      <wps:bodyPr rot="0" vert="horz" wrap="square" lIns="0" tIns="0" rIns="0" bIns="0" anchor="t" anchorCtr="0" upright="1">
                        <a:noAutofit/>
                      </wps:bodyPr>
                    </wps:wsp>
                  </a:graphicData>
                </a:graphic>
              </wp:inline>
            </w:drawing>
          </mc:Choice>
          <mc:Fallback>
            <w:pict>
              <v:shapetype w14:anchorId="5FE14D27" id="_x0000_t202" coordsize="21600,21600" o:spt="202" path="m,l,21600r21600,l21600,xe">
                <v:stroke joinstyle="miter"/>
                <v:path gradientshapeok="t" o:connecttype="rect"/>
              </v:shapetype>
              <v:shape id="Text Box 1"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" stroked="f">
                <v:textbox inset="0,0,0,0">
                  <w:txbxContent>
                    <w:p w14:paraId="132BE3EA" w14:textId="77777777" w:rsidR="000B60E9" w:rsidRPr="00BE2A26" w:rsidRDefault="000B60E9" w:rsidP="00D13846">
                      <w:pPr>
                        <w:rPr>
                          <w:rFonts w:ascii="Wingdings 3" w:hAnsi="Wingdings 3"/>
                        </w:rPr>
                      </w:pPr>
                      <w:r w:rsidRPr="00BE2A26">
                        <w:rPr>
                          <w:rFonts w:ascii="SimSun" w:eastAsia="SimSun" w:hAnsi="SimSun" w:hint="eastAsia"/>
                          <w:sz w:val="40"/>
                        </w:rPr>
                        <w:t>▼</w:t>
                      </w:r>
                    </w:p>
                  </w:txbxContent>
                </v:textbox>
                <w10:anchorlock/>
              </v:shape>
            </w:pict>
          </mc:Fallback>
        </mc:AlternateContent>
      </w:r>
      <w:r w:rsidRPr="00FC4CA6">
        <w:rPr>
          <w:rFonts w:asciiTheme="majorBidi" w:eastAsia="Times New Roman" w:hAnsiTheme="majorBidi" w:cstheme="majorBidi"/>
          <w:b w:val="0"/>
          <w:bCs w:val="0"/>
        </w:rPr>
        <w:t xml:space="preserve">This medicinal product is subject to additional monitoring in Australia. This will allow quick identification of new safety information. Healthcare professionals are asked to report any suspected adverse events at </w:t>
      </w:r>
      <w:hyperlink r:id="rId8" w:history="1">
        <w:r w:rsidR="000A5D99" w:rsidRPr="00FE5B26">
          <w:rPr>
            <w:rStyle w:val="Hyperlink"/>
            <w:rFonts w:asciiTheme="majorBidi" w:eastAsia="Times New Roman" w:hAnsiTheme="majorBidi" w:cstheme="majorBidi"/>
            <w:b w:val="0"/>
            <w:bCs w:val="0"/>
          </w:rPr>
          <w:t>www.tga.gov.au/reporting-problems</w:t>
        </w:r>
      </w:hyperlink>
      <w:r w:rsidRPr="00FC4CA6">
        <w:rPr>
          <w:rFonts w:asciiTheme="majorBidi" w:eastAsia="Times New Roman" w:hAnsiTheme="majorBidi" w:cstheme="majorBidi"/>
          <w:b w:val="0"/>
          <w:bCs w:val="0"/>
        </w:rPr>
        <w:t>.</w:t>
      </w:r>
    </w:p>
    <w:p w14:paraId="67C0FFCA" w14:textId="7BF7946A" w:rsidR="003F6359" w:rsidRPr="00E208C5" w:rsidRDefault="003F6359" w:rsidP="00C44B67">
      <w:pPr>
        <w:pStyle w:val="Heading1"/>
      </w:pPr>
      <w:r w:rsidRPr="00E208C5">
        <w:t>AUSTRALIAN PRODUCT INFORMATION</w:t>
      </w:r>
    </w:p>
    <w:p w14:paraId="7221D1E1" w14:textId="7055825B" w:rsidR="00AB3CBC" w:rsidRPr="00E208C5" w:rsidRDefault="000A2943" w:rsidP="00C44B67">
      <w:pPr>
        <w:pStyle w:val="Heading1"/>
      </w:pPr>
      <w:proofErr w:type="spellStart"/>
      <w:r w:rsidRPr="00E208C5">
        <w:t>Ozempic</w:t>
      </w:r>
      <w:proofErr w:type="spellEnd"/>
      <w:r w:rsidR="003F6359" w:rsidRPr="00E208C5">
        <w:rPr>
          <w:vertAlign w:val="superscript"/>
        </w:rPr>
        <w:t>®</w:t>
      </w:r>
      <w:r w:rsidR="003F6359" w:rsidRPr="00E208C5">
        <w:t xml:space="preserve"> </w:t>
      </w:r>
      <w:r w:rsidR="008C7DEA">
        <w:t>(</w:t>
      </w:r>
      <w:proofErr w:type="spellStart"/>
      <w:r w:rsidRPr="00E208C5">
        <w:t>semaglutide</w:t>
      </w:r>
      <w:proofErr w:type="spellEnd"/>
      <w:r w:rsidR="008C7DEA">
        <w:t>)</w:t>
      </w:r>
      <w:r w:rsidR="00FA2FCB">
        <w:t xml:space="preserve"> </w:t>
      </w:r>
      <w:r w:rsidR="008C7DEA" w:rsidRPr="00BA57A4">
        <w:t>solution for injection</w:t>
      </w:r>
    </w:p>
    <w:p w14:paraId="6BBD93D9" w14:textId="77777777" w:rsidR="003F6359" w:rsidRPr="00E208C5" w:rsidRDefault="003F6359" w:rsidP="00C44B67">
      <w:pPr>
        <w:pStyle w:val="Heading2"/>
      </w:pPr>
      <w:r w:rsidRPr="00E208C5">
        <w:t>1.</w:t>
      </w:r>
      <w:r w:rsidRPr="00E208C5">
        <w:tab/>
        <w:t>NAME OF THE MEDICINE</w:t>
      </w:r>
    </w:p>
    <w:p w14:paraId="62DDE8F6" w14:textId="3372257B" w:rsidR="003F6359" w:rsidRPr="000B60E9" w:rsidRDefault="005F4A93" w:rsidP="00C44B67">
      <w:pPr>
        <w:rPr>
          <w:lang w:val="fr-FR"/>
        </w:rPr>
      </w:pPr>
      <w:proofErr w:type="spellStart"/>
      <w:r w:rsidRPr="000B60E9">
        <w:rPr>
          <w:lang w:val="fr-FR"/>
        </w:rPr>
        <w:t>semaglutide</w:t>
      </w:r>
      <w:proofErr w:type="spellEnd"/>
      <w:r w:rsidRPr="000B60E9">
        <w:rPr>
          <w:lang w:val="fr-FR"/>
        </w:rPr>
        <w:t xml:space="preserve"> (rys)</w:t>
      </w:r>
    </w:p>
    <w:p w14:paraId="763F0C64" w14:textId="77777777" w:rsidR="003F6359" w:rsidRPr="000B60E9" w:rsidRDefault="003F6359" w:rsidP="00C44B67">
      <w:pPr>
        <w:pStyle w:val="Heading2"/>
        <w:rPr>
          <w:lang w:val="fr-FR"/>
        </w:rPr>
      </w:pPr>
      <w:r w:rsidRPr="000B60E9">
        <w:rPr>
          <w:lang w:val="fr-FR"/>
        </w:rPr>
        <w:t>2.</w:t>
      </w:r>
      <w:r w:rsidRPr="000B60E9">
        <w:rPr>
          <w:lang w:val="fr-FR"/>
        </w:rPr>
        <w:tab/>
        <w:t>QUALITATIVE AND QUANTITATIVE COMPOSITION</w:t>
      </w:r>
    </w:p>
    <w:p w14:paraId="6BCB4F29" w14:textId="77777777" w:rsidR="00D56FBE" w:rsidRPr="00E208C5" w:rsidRDefault="005F4A93" w:rsidP="005F4A93">
      <w:pPr>
        <w:pStyle w:val="Heading4"/>
      </w:pPr>
      <w:proofErr w:type="spellStart"/>
      <w:r w:rsidRPr="00E208C5">
        <w:t>Ozempic</w:t>
      </w:r>
      <w:proofErr w:type="spellEnd"/>
      <w:r w:rsidRPr="00E208C5">
        <w:t xml:space="preserve"> 0.25 mg, 0.5 mg/dose</w:t>
      </w:r>
    </w:p>
    <w:p w14:paraId="71A8DB64" w14:textId="3FDD9858" w:rsidR="005F4A93" w:rsidRPr="00FC4CA6" w:rsidRDefault="005F4A93" w:rsidP="005F4A93">
      <w:r w:rsidRPr="00E208C5">
        <w:t xml:space="preserve">One mL of solution contains 1.34 mg of </w:t>
      </w:r>
      <w:proofErr w:type="spellStart"/>
      <w:r w:rsidRPr="00E208C5">
        <w:t>sem</w:t>
      </w:r>
      <w:r w:rsidR="00407C4D" w:rsidRPr="00E208C5">
        <w:t>a</w:t>
      </w:r>
      <w:r w:rsidRPr="00E208C5">
        <w:t>glutide</w:t>
      </w:r>
      <w:proofErr w:type="spellEnd"/>
      <w:r w:rsidRPr="00E208C5">
        <w:t xml:space="preserve">. One pre-filled pen contains 2 mg </w:t>
      </w:r>
      <w:proofErr w:type="spellStart"/>
      <w:r w:rsidRPr="00E208C5">
        <w:t>semaglutide</w:t>
      </w:r>
      <w:proofErr w:type="spellEnd"/>
      <w:r w:rsidRPr="00E208C5">
        <w:t xml:space="preserve"> in 1.5 mL solution</w:t>
      </w:r>
      <w:r w:rsidRPr="00FC4CA6">
        <w:t>.</w:t>
      </w:r>
    </w:p>
    <w:p w14:paraId="75F58323" w14:textId="77777777" w:rsidR="005F4A93" w:rsidRPr="00E208C5" w:rsidRDefault="005F4A93" w:rsidP="005F4A93">
      <w:pPr>
        <w:pStyle w:val="Heading4"/>
      </w:pPr>
      <w:proofErr w:type="spellStart"/>
      <w:r w:rsidRPr="00E208C5">
        <w:t>Ozempic</w:t>
      </w:r>
      <w:proofErr w:type="spellEnd"/>
      <w:r w:rsidRPr="00E208C5">
        <w:t xml:space="preserve"> 1 mg/dose</w:t>
      </w:r>
    </w:p>
    <w:p w14:paraId="66B4C0A3" w14:textId="332A37B2" w:rsidR="00D56FBE" w:rsidRPr="00FC4CA6" w:rsidRDefault="005F4A93" w:rsidP="00C44B67">
      <w:r w:rsidRPr="00E208C5">
        <w:t xml:space="preserve">One mL of solution contains 1.34 mg </w:t>
      </w:r>
      <w:proofErr w:type="spellStart"/>
      <w:r w:rsidRPr="00E208C5">
        <w:t>semaglutide</w:t>
      </w:r>
      <w:proofErr w:type="spellEnd"/>
      <w:r w:rsidRPr="00E208C5">
        <w:t xml:space="preserve">. One pre-filled pen contains 4 mg </w:t>
      </w:r>
      <w:proofErr w:type="spellStart"/>
      <w:r w:rsidRPr="00E208C5">
        <w:t>semaglutide</w:t>
      </w:r>
      <w:proofErr w:type="spellEnd"/>
      <w:r w:rsidRPr="00E208C5">
        <w:t xml:space="preserve"> in 3 mL solution</w:t>
      </w:r>
      <w:r w:rsidRPr="00FC4CA6">
        <w:t>.</w:t>
      </w:r>
    </w:p>
    <w:p w14:paraId="3F4F0ED9" w14:textId="75A76554" w:rsidR="005F4A93" w:rsidRDefault="005F4A93" w:rsidP="00C44B67">
      <w:proofErr w:type="spellStart"/>
      <w:r w:rsidRPr="00E208C5">
        <w:t>Semaglutide</w:t>
      </w:r>
      <w:proofErr w:type="spellEnd"/>
      <w:r w:rsidRPr="00E208C5">
        <w:t xml:space="preserve"> is a human glucagon-like-peptide-1 (GLP-1) receptor agonist produ</w:t>
      </w:r>
      <w:r w:rsidR="00407C4D" w:rsidRPr="00E208C5">
        <w:t>c</w:t>
      </w:r>
      <w:r w:rsidRPr="00E208C5">
        <w:t xml:space="preserve">ed in </w:t>
      </w:r>
      <w:r w:rsidRPr="00E208C5">
        <w:rPr>
          <w:i/>
        </w:rPr>
        <w:t>Saccharomyces cerevisiae</w:t>
      </w:r>
      <w:r w:rsidRPr="00E208C5">
        <w:t xml:space="preserve"> by recombinant DNA technology followed by protein purification</w:t>
      </w:r>
      <w:r w:rsidRPr="00FC4CA6">
        <w:t>.</w:t>
      </w:r>
    </w:p>
    <w:p w14:paraId="3B7DE164" w14:textId="19A01E02" w:rsidR="008476E4" w:rsidRPr="00FC4CA6" w:rsidRDefault="008476E4" w:rsidP="00C44B67">
      <w:r w:rsidRPr="00BA57A4">
        <w:t>For the full list of excipients, see Section 6.1 List of Excipients.</w:t>
      </w:r>
    </w:p>
    <w:p w14:paraId="56F9684F" w14:textId="77777777" w:rsidR="00D56FBE" w:rsidRPr="00E208C5" w:rsidRDefault="00D56FBE" w:rsidP="00C44B67">
      <w:pPr>
        <w:pStyle w:val="Heading2"/>
      </w:pPr>
      <w:r w:rsidRPr="00E208C5">
        <w:t xml:space="preserve">3. </w:t>
      </w:r>
      <w:r w:rsidRPr="00E208C5">
        <w:tab/>
        <w:t>PHARMACEUTICAL FORM</w:t>
      </w:r>
    </w:p>
    <w:p w14:paraId="3923717F" w14:textId="0926CA35" w:rsidR="00223444" w:rsidRPr="00FC4CA6" w:rsidRDefault="00223444" w:rsidP="00223444">
      <w:proofErr w:type="spellStart"/>
      <w:r w:rsidRPr="00E208C5">
        <w:t>Ozempic</w:t>
      </w:r>
      <w:proofErr w:type="spellEnd"/>
      <w:r w:rsidRPr="00E208C5">
        <w:t xml:space="preserve"> </w:t>
      </w:r>
      <w:r w:rsidR="000B60E9" w:rsidRPr="00BA57A4">
        <w:t>solution for injection</w:t>
      </w:r>
      <w:r w:rsidR="000B60E9">
        <w:t xml:space="preserve"> </w:t>
      </w:r>
      <w:r w:rsidRPr="00E208C5">
        <w:t xml:space="preserve">is provided in a pre-filled multidose disposable pen, which contains </w:t>
      </w:r>
      <w:proofErr w:type="spellStart"/>
      <w:r w:rsidRPr="00E208C5">
        <w:t>semaglutide</w:t>
      </w:r>
      <w:proofErr w:type="spellEnd"/>
      <w:r w:rsidR="008C7DEA">
        <w:t xml:space="preserve"> </w:t>
      </w:r>
      <w:r w:rsidRPr="00E208C5">
        <w:t>in a 1.5 mL or 3 mL cartridge</w:t>
      </w:r>
      <w:r w:rsidRPr="00FC4CA6">
        <w:t>.</w:t>
      </w:r>
    </w:p>
    <w:p w14:paraId="1FC5E3F7" w14:textId="0DC8F16C" w:rsidR="00D56FBE" w:rsidRPr="00FC4CA6" w:rsidRDefault="00223444" w:rsidP="00C44B67">
      <w:r w:rsidRPr="00FC4CA6">
        <w:t>It is a clear and colourless</w:t>
      </w:r>
      <w:r w:rsidR="00407C4D" w:rsidRPr="00FC4CA6">
        <w:t>,</w:t>
      </w:r>
      <w:r w:rsidRPr="00FC4CA6">
        <w:t xml:space="preserve"> or almost colourless, isotonic solution with pH</w:t>
      </w:r>
      <w:r w:rsidR="00407C4D" w:rsidRPr="00FC4CA6">
        <w:t xml:space="preserve"> </w:t>
      </w:r>
      <w:r w:rsidRPr="00FC4CA6">
        <w:t>=</w:t>
      </w:r>
      <w:r w:rsidR="00407C4D" w:rsidRPr="00FC4CA6">
        <w:t xml:space="preserve"> </w:t>
      </w:r>
      <w:r w:rsidRPr="00FC4CA6">
        <w:t>7.4</w:t>
      </w:r>
      <w:r w:rsidR="003E0011" w:rsidRPr="00FC4CA6">
        <w:t>.</w:t>
      </w:r>
      <w:r w:rsidRPr="00FC4CA6">
        <w:t xml:space="preserve"> </w:t>
      </w:r>
    </w:p>
    <w:p w14:paraId="05C73182" w14:textId="77777777" w:rsidR="00D56FBE" w:rsidRPr="00E208C5" w:rsidRDefault="00D56FBE" w:rsidP="00C44B67">
      <w:pPr>
        <w:pStyle w:val="Heading2"/>
      </w:pPr>
      <w:r w:rsidRPr="00E208C5">
        <w:t xml:space="preserve">4. </w:t>
      </w:r>
      <w:r w:rsidRPr="00E208C5">
        <w:tab/>
        <w:t>CLINICAL PARTICULARS</w:t>
      </w:r>
    </w:p>
    <w:p w14:paraId="45C2F33C" w14:textId="70E27E9E" w:rsidR="00D56FBE" w:rsidRPr="00FC4CA6" w:rsidRDefault="00D56FBE" w:rsidP="00C44B67">
      <w:pPr>
        <w:pStyle w:val="Heading3"/>
      </w:pPr>
      <w:r w:rsidRPr="00E208C5">
        <w:t>4.1</w:t>
      </w:r>
      <w:r w:rsidRPr="00E208C5">
        <w:tab/>
        <w:t>Therapeutic Indications</w:t>
      </w:r>
    </w:p>
    <w:p w14:paraId="62FA28AD" w14:textId="77777777" w:rsidR="00C82FE2" w:rsidRPr="00E208C5" w:rsidRDefault="00223444" w:rsidP="00223444">
      <w:proofErr w:type="spellStart"/>
      <w:r w:rsidRPr="00E208C5">
        <w:t>Ozempic</w:t>
      </w:r>
      <w:proofErr w:type="spellEnd"/>
      <w:r w:rsidRPr="00E208C5">
        <w:t xml:space="preserve"> is indicated</w:t>
      </w:r>
      <w:r w:rsidR="00E234F5" w:rsidRPr="00E208C5">
        <w:t xml:space="preserve"> for the treatment of adults with insufficien</w:t>
      </w:r>
      <w:r w:rsidR="0052300A" w:rsidRPr="00E208C5">
        <w:t>t</w:t>
      </w:r>
      <w:r w:rsidR="006B06BE" w:rsidRPr="00E208C5">
        <w:t>ly controlled</w:t>
      </w:r>
      <w:r w:rsidRPr="00E208C5">
        <w:t xml:space="preserve"> </w:t>
      </w:r>
      <w:r w:rsidR="006B06BE" w:rsidRPr="00E208C5">
        <w:t xml:space="preserve">type 2 diabetes mellitus </w:t>
      </w:r>
      <w:r w:rsidRPr="00E208C5">
        <w:t>as an adjunct to diet and exercise</w:t>
      </w:r>
      <w:r w:rsidR="00C82FE2" w:rsidRPr="00E208C5">
        <w:t>:</w:t>
      </w:r>
    </w:p>
    <w:p w14:paraId="31F7538F" w14:textId="0302B49B" w:rsidR="00C82FE2" w:rsidRPr="00FC4CA6" w:rsidRDefault="00C82FE2" w:rsidP="008C0582">
      <w:pPr>
        <w:pStyle w:val="ListParagraph"/>
        <w:numPr>
          <w:ilvl w:val="0"/>
          <w:numId w:val="11"/>
        </w:numPr>
      </w:pPr>
      <w:r w:rsidRPr="00E208C5">
        <w:t xml:space="preserve">as monotherapy when metformin is </w:t>
      </w:r>
      <w:r w:rsidR="00C1027A" w:rsidRPr="00E208C5">
        <w:t xml:space="preserve">not </w:t>
      </w:r>
      <w:r w:rsidRPr="00E208C5">
        <w:t>tolera</w:t>
      </w:r>
      <w:r w:rsidR="00C1027A" w:rsidRPr="00E208C5">
        <w:t>ted</w:t>
      </w:r>
      <w:r w:rsidRPr="00E208C5">
        <w:t xml:space="preserve"> or contraindicat</w:t>
      </w:r>
      <w:r w:rsidR="00C1027A" w:rsidRPr="00E208C5">
        <w:t>ed.</w:t>
      </w:r>
    </w:p>
    <w:p w14:paraId="784D5F33" w14:textId="1436CD25" w:rsidR="00223444" w:rsidRPr="00E208C5" w:rsidRDefault="00C82FE2" w:rsidP="008C0582">
      <w:pPr>
        <w:pStyle w:val="ListParagraph"/>
        <w:numPr>
          <w:ilvl w:val="0"/>
          <w:numId w:val="11"/>
        </w:numPr>
      </w:pPr>
      <w:r w:rsidRPr="00E208C5">
        <w:t>in addition to other medicinal products for the treatment of type 2 diabete</w:t>
      </w:r>
      <w:r w:rsidR="008E1790" w:rsidRPr="00E208C5">
        <w:t>s</w:t>
      </w:r>
      <w:r w:rsidRPr="00E208C5">
        <w:t>.</w:t>
      </w:r>
    </w:p>
    <w:p w14:paraId="4B4A27F4" w14:textId="43F00C93" w:rsidR="00D56FBE" w:rsidRPr="00FC4CA6" w:rsidRDefault="00223444" w:rsidP="00C44B67">
      <w:r w:rsidRPr="00FC4CA6">
        <w:t xml:space="preserve"> </w:t>
      </w:r>
    </w:p>
    <w:p w14:paraId="76EBA25D" w14:textId="77777777" w:rsidR="00D56FBE" w:rsidRPr="00E208C5" w:rsidRDefault="00D56FBE" w:rsidP="00C44B67">
      <w:pPr>
        <w:pStyle w:val="Heading3"/>
      </w:pPr>
      <w:r w:rsidRPr="00E208C5">
        <w:lastRenderedPageBreak/>
        <w:t xml:space="preserve">4.2 </w:t>
      </w:r>
      <w:r w:rsidRPr="00E208C5">
        <w:tab/>
        <w:t>Dose and Method of Administration</w:t>
      </w:r>
    </w:p>
    <w:p w14:paraId="48C0CB1C" w14:textId="77777777" w:rsidR="00D56FBE" w:rsidRPr="00E208C5" w:rsidRDefault="00D56FBE" w:rsidP="00C44B67">
      <w:pPr>
        <w:pStyle w:val="Heading4"/>
      </w:pPr>
      <w:r w:rsidRPr="00E208C5">
        <w:t>Dosage</w:t>
      </w:r>
    </w:p>
    <w:p w14:paraId="273CDECB" w14:textId="3C20710E" w:rsidR="00223444" w:rsidRPr="00FC4CA6" w:rsidRDefault="00223444" w:rsidP="00223444">
      <w:proofErr w:type="spellStart"/>
      <w:r w:rsidRPr="00E208C5">
        <w:t>Ozempic</w:t>
      </w:r>
      <w:proofErr w:type="spellEnd"/>
      <w:r w:rsidRPr="00E208C5">
        <w:t xml:space="preserve"> starting dose is 0.25 mg once weekly. After 4 weeks, the dose should be increased to 0.5 mg once weekly. After at least 4 weeks with a dose of 0.5 mg once weekly, the dose can be increased to 1 mg once weekly to further improve glycaemic control</w:t>
      </w:r>
      <w:r w:rsidRPr="00FC4CA6">
        <w:t>.</w:t>
      </w:r>
    </w:p>
    <w:p w14:paraId="653BE19E" w14:textId="439DF117" w:rsidR="00D56FBE" w:rsidRPr="00FC4CA6" w:rsidRDefault="00223444" w:rsidP="00223444">
      <w:proofErr w:type="spellStart"/>
      <w:r w:rsidRPr="00FC4CA6">
        <w:t>Ozempic</w:t>
      </w:r>
      <w:proofErr w:type="spellEnd"/>
      <w:r w:rsidRPr="00FC4CA6">
        <w:t xml:space="preserve"> 0.25 mg is not a </w:t>
      </w:r>
      <w:r w:rsidR="00C82FE2" w:rsidRPr="00FC4CA6">
        <w:t xml:space="preserve">maintenance </w:t>
      </w:r>
      <w:r w:rsidRPr="00FC4CA6">
        <w:t>dose.</w:t>
      </w:r>
    </w:p>
    <w:p w14:paraId="77234030" w14:textId="1D36D261" w:rsidR="00223444" w:rsidRPr="00FC4CA6" w:rsidRDefault="00223444" w:rsidP="00223444">
      <w:r w:rsidRPr="00E208C5">
        <w:t xml:space="preserve">When </w:t>
      </w:r>
      <w:proofErr w:type="spellStart"/>
      <w:r w:rsidRPr="00E208C5">
        <w:t>Ozempic</w:t>
      </w:r>
      <w:proofErr w:type="spellEnd"/>
      <w:r w:rsidRPr="00E208C5">
        <w:t xml:space="preserve"> is added to existing metformin and/or thiazolidinedione therapy, the current dose of metformin and/or thiazolidinedione can be continued unchanged</w:t>
      </w:r>
      <w:r w:rsidRPr="00FC4CA6">
        <w:t>.</w:t>
      </w:r>
    </w:p>
    <w:p w14:paraId="1E625A90" w14:textId="5B31909A" w:rsidR="00223444" w:rsidRPr="00FC4CA6" w:rsidRDefault="00223444" w:rsidP="00223444">
      <w:r w:rsidRPr="00E208C5">
        <w:t xml:space="preserve">When </w:t>
      </w:r>
      <w:proofErr w:type="spellStart"/>
      <w:r w:rsidRPr="00E208C5">
        <w:t>Ozempic</w:t>
      </w:r>
      <w:proofErr w:type="spellEnd"/>
      <w:r w:rsidRPr="00E208C5">
        <w:t xml:space="preserve"> is added to existing therapy of a sulfonylurea or insulin, a reduction in the dose of sulfonylurea or insulin should be considered to reduce the risk of hypoglycaemia (see section </w:t>
      </w:r>
      <w:r w:rsidR="00907011" w:rsidRPr="00E208C5">
        <w:t>4.4</w:t>
      </w:r>
      <w:r w:rsidR="005C5E8B">
        <w:t xml:space="preserve"> </w:t>
      </w:r>
      <w:r w:rsidR="005C5E8B" w:rsidRPr="00BA57A4">
        <w:t>Special Warnings and Precautions for Use</w:t>
      </w:r>
      <w:r w:rsidRPr="00E208C5">
        <w:t>)</w:t>
      </w:r>
      <w:r w:rsidRPr="00FC4CA6">
        <w:t xml:space="preserve">. </w:t>
      </w:r>
    </w:p>
    <w:p w14:paraId="3E391A28" w14:textId="77777777" w:rsidR="00223444" w:rsidRPr="00E208C5" w:rsidRDefault="00223444" w:rsidP="00223444">
      <w:r w:rsidRPr="00E208C5">
        <w:t xml:space="preserve">The use of </w:t>
      </w:r>
      <w:proofErr w:type="spellStart"/>
      <w:r w:rsidRPr="00E208C5">
        <w:t>Ozempic</w:t>
      </w:r>
      <w:proofErr w:type="spellEnd"/>
      <w:r w:rsidRPr="00E208C5">
        <w:t xml:space="preserve"> does not require blood glucose self-monitoring. Self-monitoring may be performed when </w:t>
      </w:r>
      <w:proofErr w:type="spellStart"/>
      <w:r w:rsidRPr="00E208C5">
        <w:t>Ozempic</w:t>
      </w:r>
      <w:proofErr w:type="spellEnd"/>
      <w:r w:rsidRPr="00E208C5">
        <w:t xml:space="preserve"> is used together with sulfonylurea or insulin in order to allow adjustment of the dose of these medications.</w:t>
      </w:r>
    </w:p>
    <w:p w14:paraId="2FAD5430" w14:textId="17855B16" w:rsidR="00D56FBE" w:rsidRPr="00FC4CA6" w:rsidRDefault="00D56FBE" w:rsidP="00C44B67">
      <w:pPr>
        <w:pStyle w:val="Heading4"/>
      </w:pPr>
      <w:r w:rsidRPr="00E208C5">
        <w:t>Method of Administration</w:t>
      </w:r>
    </w:p>
    <w:p w14:paraId="27837F3E" w14:textId="481B0791" w:rsidR="00B21F96" w:rsidRPr="00E208C5" w:rsidRDefault="00B21F96" w:rsidP="00B21F96">
      <w:proofErr w:type="spellStart"/>
      <w:r w:rsidRPr="00E208C5">
        <w:t>Ozempic</w:t>
      </w:r>
      <w:proofErr w:type="spellEnd"/>
      <w:r w:rsidRPr="00E208C5">
        <w:t xml:space="preserve"> is to be administered once weekly</w:t>
      </w:r>
      <w:r w:rsidR="00273BA0" w:rsidRPr="00BA57A4">
        <w:t>, on the same day each week,</w:t>
      </w:r>
      <w:r w:rsidRPr="00BA57A4">
        <w:t xml:space="preserve"> at</w:t>
      </w:r>
      <w:r w:rsidRPr="00E208C5">
        <w:t xml:space="preserve"> any time of the day, with or without meals.</w:t>
      </w:r>
    </w:p>
    <w:p w14:paraId="7AB54423" w14:textId="1D355928" w:rsidR="00B21F96" w:rsidRPr="00BA57A4" w:rsidRDefault="00B21F96" w:rsidP="00B21F96">
      <w:proofErr w:type="spellStart"/>
      <w:r w:rsidRPr="00E208C5">
        <w:t>Ozempic</w:t>
      </w:r>
      <w:proofErr w:type="spellEnd"/>
      <w:r w:rsidRPr="00E208C5">
        <w:t xml:space="preserve"> is to be injected subcutaneously in the abdomen, in the thigh or in the upper arm. The injection site can be changed without dose adjustment. </w:t>
      </w:r>
      <w:proofErr w:type="spellStart"/>
      <w:r w:rsidRPr="00E208C5">
        <w:t>Ozempic</w:t>
      </w:r>
      <w:proofErr w:type="spellEnd"/>
      <w:r w:rsidRPr="00E208C5">
        <w:t xml:space="preserve"> should not be administered intravenously or intramuscularly. For further information on administration, see section 6</w:t>
      </w:r>
      <w:r w:rsidR="005C5E8B">
        <w:t xml:space="preserve"> </w:t>
      </w:r>
      <w:r w:rsidR="005C5E8B" w:rsidRPr="00BA57A4">
        <w:t>Pharmaceutical Particulars</w:t>
      </w:r>
      <w:r w:rsidRPr="00BA57A4">
        <w:t>.</w:t>
      </w:r>
    </w:p>
    <w:p w14:paraId="1703F205" w14:textId="5F3886C2" w:rsidR="00B21F96" w:rsidRPr="00E208C5" w:rsidRDefault="00B21F96" w:rsidP="00B21F96">
      <w:r w:rsidRPr="00BA57A4">
        <w:t xml:space="preserve">The day of weekly administration can be changed if necessary as long as the time between two doses is at least </w:t>
      </w:r>
      <w:r w:rsidR="00273BA0" w:rsidRPr="00BA57A4">
        <w:t>3 </w:t>
      </w:r>
      <w:r w:rsidRPr="00BA57A4">
        <w:t>days (&gt;</w:t>
      </w:r>
      <w:r w:rsidR="00273BA0" w:rsidRPr="00BA57A4">
        <w:t>72 </w:t>
      </w:r>
      <w:r w:rsidRPr="00BA57A4">
        <w:t>hours).</w:t>
      </w:r>
      <w:r w:rsidR="00273BA0" w:rsidRPr="00BA57A4">
        <w:t xml:space="preserve"> After selecting a new dosing day, once-weekly dosing should be continued.</w:t>
      </w:r>
    </w:p>
    <w:p w14:paraId="0D6874AC" w14:textId="7204071F" w:rsidR="00B21F96" w:rsidRPr="00FC4CA6" w:rsidRDefault="00B21F96" w:rsidP="00B21F96">
      <w:r w:rsidRPr="00E208C5">
        <w:t>If a dose is missed, it should be administered as soon as possible and within 5 days after the missed dose. If more than 5 days have passed, the missed dose should be skipped, and the next dose should be administered on the regularly scheduled day. In each case, patients can then resume their regular once weekly dosing schedule</w:t>
      </w:r>
      <w:r w:rsidRPr="00FC4CA6">
        <w:t>.</w:t>
      </w:r>
    </w:p>
    <w:p w14:paraId="7B50AF91" w14:textId="77777777" w:rsidR="00D56FBE" w:rsidRPr="00E208C5" w:rsidRDefault="00D56FBE" w:rsidP="00C44B67">
      <w:pPr>
        <w:pStyle w:val="Heading4"/>
      </w:pPr>
      <w:r w:rsidRPr="00E208C5">
        <w:t>Dosage Adjustment</w:t>
      </w:r>
    </w:p>
    <w:p w14:paraId="616C39A5" w14:textId="1F922FF1" w:rsidR="00D56FBE" w:rsidRPr="005A5D07" w:rsidRDefault="00223444" w:rsidP="005A5D07">
      <w:pPr>
        <w:spacing w:after="0" w:line="240" w:lineRule="auto"/>
        <w:rPr>
          <w:i/>
          <w:iCs/>
        </w:rPr>
      </w:pPr>
      <w:r w:rsidRPr="005A5D07">
        <w:rPr>
          <w:i/>
          <w:iCs/>
        </w:rPr>
        <w:t>Elderly (≥65 years old)</w:t>
      </w:r>
    </w:p>
    <w:p w14:paraId="0FEC6568" w14:textId="1696A34F" w:rsidR="00223444" w:rsidRPr="00FC4CA6" w:rsidRDefault="00223444" w:rsidP="00223444">
      <w:r w:rsidRPr="00E208C5">
        <w:t>No dose adjustment is required based on age.</w:t>
      </w:r>
      <w:r w:rsidR="00C82FE2" w:rsidRPr="00E208C5">
        <w:t xml:space="preserve"> Therapeutic experience in patients ≥75 years of age is limited (see </w:t>
      </w:r>
      <w:r w:rsidR="00C82FE2" w:rsidRPr="00BA57A4">
        <w:t>section 5.2</w:t>
      </w:r>
      <w:r w:rsidR="005C5E8B" w:rsidRPr="00BA57A4">
        <w:t xml:space="preserve"> Pharmacokinetic Properties</w:t>
      </w:r>
      <w:r w:rsidR="00C82FE2" w:rsidRPr="00BA57A4">
        <w:t>).</w:t>
      </w:r>
    </w:p>
    <w:p w14:paraId="7AFB00EC" w14:textId="4645F7CF" w:rsidR="00223444" w:rsidRPr="005A5D07" w:rsidRDefault="00223444" w:rsidP="005A5D07">
      <w:pPr>
        <w:spacing w:after="0" w:line="240" w:lineRule="auto"/>
        <w:rPr>
          <w:i/>
          <w:iCs/>
        </w:rPr>
      </w:pPr>
      <w:r w:rsidRPr="005A5D07">
        <w:rPr>
          <w:i/>
          <w:iCs/>
        </w:rPr>
        <w:t>Gender</w:t>
      </w:r>
    </w:p>
    <w:p w14:paraId="0A5F5C24" w14:textId="77777777" w:rsidR="00223444" w:rsidRPr="00E208C5" w:rsidRDefault="00223444" w:rsidP="00223444">
      <w:r w:rsidRPr="00E208C5">
        <w:t>No dose adjustment is required based on gender.</w:t>
      </w:r>
    </w:p>
    <w:p w14:paraId="075E950B" w14:textId="05409014" w:rsidR="00223444" w:rsidRPr="005A5D07" w:rsidRDefault="00223444" w:rsidP="005A5D07">
      <w:pPr>
        <w:spacing w:after="0" w:line="240" w:lineRule="auto"/>
        <w:rPr>
          <w:i/>
          <w:iCs/>
        </w:rPr>
      </w:pPr>
      <w:r w:rsidRPr="005A5D07">
        <w:rPr>
          <w:i/>
          <w:iCs/>
        </w:rPr>
        <w:lastRenderedPageBreak/>
        <w:t>Race and Ethni</w:t>
      </w:r>
      <w:r w:rsidR="00A35F6A" w:rsidRPr="005A5D07">
        <w:rPr>
          <w:i/>
          <w:iCs/>
        </w:rPr>
        <w:t>c</w:t>
      </w:r>
      <w:r w:rsidRPr="005A5D07">
        <w:rPr>
          <w:i/>
          <w:iCs/>
        </w:rPr>
        <w:t>ity</w:t>
      </w:r>
    </w:p>
    <w:p w14:paraId="528870CE" w14:textId="77777777" w:rsidR="00223444" w:rsidRPr="00E208C5" w:rsidRDefault="00B21F96" w:rsidP="00223444">
      <w:r w:rsidRPr="00E208C5">
        <w:t>No dose adjustment is required based on race and ethnicity.</w:t>
      </w:r>
    </w:p>
    <w:p w14:paraId="575C7650" w14:textId="18E3F482" w:rsidR="00B21F96" w:rsidRPr="005A5D07" w:rsidRDefault="00B21F96" w:rsidP="005A5D07">
      <w:pPr>
        <w:spacing w:after="0" w:line="240" w:lineRule="auto"/>
        <w:rPr>
          <w:i/>
          <w:iCs/>
        </w:rPr>
      </w:pPr>
      <w:r w:rsidRPr="005A5D07">
        <w:rPr>
          <w:i/>
          <w:iCs/>
        </w:rPr>
        <w:t>Patients with hepatic impairment</w:t>
      </w:r>
    </w:p>
    <w:p w14:paraId="1133AEFC" w14:textId="77777777" w:rsidR="00B21F96" w:rsidRPr="00E208C5" w:rsidRDefault="00B21F96" w:rsidP="00B21F96">
      <w:pPr>
        <w:rPr>
          <w:iCs/>
        </w:rPr>
      </w:pPr>
      <w:r w:rsidRPr="00E208C5">
        <w:rPr>
          <w:iCs/>
        </w:rPr>
        <w:t xml:space="preserve">No dose adjustment is required for patients with hepatic impairment (see section </w:t>
      </w:r>
      <w:r w:rsidR="00907011" w:rsidRPr="00E208C5">
        <w:rPr>
          <w:iCs/>
        </w:rPr>
        <w:t>5.2</w:t>
      </w:r>
      <w:r w:rsidRPr="00E208C5">
        <w:rPr>
          <w:iCs/>
        </w:rPr>
        <w:t xml:space="preserve">). Experience with the use of </w:t>
      </w:r>
      <w:proofErr w:type="spellStart"/>
      <w:r w:rsidRPr="00E208C5">
        <w:rPr>
          <w:iCs/>
        </w:rPr>
        <w:t>semaglutide</w:t>
      </w:r>
      <w:proofErr w:type="spellEnd"/>
      <w:r w:rsidRPr="00E208C5">
        <w:rPr>
          <w:iCs/>
        </w:rPr>
        <w:t xml:space="preserve"> in patients with severe hepatic impairment is limited. Caution should be exercised when treating these patients with </w:t>
      </w:r>
      <w:proofErr w:type="spellStart"/>
      <w:r w:rsidRPr="00E208C5">
        <w:rPr>
          <w:iCs/>
        </w:rPr>
        <w:t>semaglutide</w:t>
      </w:r>
      <w:proofErr w:type="spellEnd"/>
      <w:r w:rsidRPr="00E208C5">
        <w:rPr>
          <w:iCs/>
        </w:rPr>
        <w:t>.</w:t>
      </w:r>
    </w:p>
    <w:p w14:paraId="06CCBDCF" w14:textId="7C27DD44" w:rsidR="00B21F96" w:rsidRPr="005A5D07" w:rsidRDefault="00B21F96" w:rsidP="005A5D07">
      <w:pPr>
        <w:spacing w:after="0" w:line="240" w:lineRule="auto"/>
        <w:rPr>
          <w:i/>
          <w:iCs/>
        </w:rPr>
      </w:pPr>
      <w:r w:rsidRPr="005A5D07">
        <w:rPr>
          <w:i/>
          <w:iCs/>
        </w:rPr>
        <w:t>Patients with renal impairment</w:t>
      </w:r>
    </w:p>
    <w:p w14:paraId="779A73E1" w14:textId="2A72265A" w:rsidR="00B21F96" w:rsidRPr="00E208C5" w:rsidRDefault="00B21F96" w:rsidP="00AF3149">
      <w:pPr>
        <w:rPr>
          <w:iCs/>
        </w:rPr>
      </w:pPr>
      <w:r w:rsidRPr="00E208C5">
        <w:rPr>
          <w:iCs/>
        </w:rPr>
        <w:t xml:space="preserve">No dose adjustment is required for patients with renal impairment. Experience with the use of </w:t>
      </w:r>
      <w:proofErr w:type="spellStart"/>
      <w:r w:rsidRPr="00E208C5">
        <w:rPr>
          <w:iCs/>
        </w:rPr>
        <w:t>semaglutide</w:t>
      </w:r>
      <w:proofErr w:type="spellEnd"/>
      <w:r w:rsidRPr="00E208C5">
        <w:rPr>
          <w:iCs/>
        </w:rPr>
        <w:t xml:space="preserve"> in patients with </w:t>
      </w:r>
      <w:r w:rsidR="00023ED6" w:rsidRPr="00E208C5">
        <w:rPr>
          <w:iCs/>
        </w:rPr>
        <w:t xml:space="preserve">severe </w:t>
      </w:r>
      <w:r w:rsidR="00AF3149" w:rsidRPr="00E208C5">
        <w:rPr>
          <w:iCs/>
        </w:rPr>
        <w:t>(</w:t>
      </w:r>
      <w:proofErr w:type="spellStart"/>
      <w:r w:rsidR="00AF3149" w:rsidRPr="00E208C5">
        <w:rPr>
          <w:iCs/>
        </w:rPr>
        <w:t>CrCL</w:t>
      </w:r>
      <w:proofErr w:type="spellEnd"/>
      <w:r w:rsidR="00AF3149" w:rsidRPr="00E208C5">
        <w:rPr>
          <w:iCs/>
        </w:rPr>
        <w:t xml:space="preserve"> &lt;30 mL/min) </w:t>
      </w:r>
      <w:r w:rsidRPr="00E208C5">
        <w:rPr>
          <w:iCs/>
        </w:rPr>
        <w:t xml:space="preserve"> renal impairment is limited. </w:t>
      </w:r>
      <w:proofErr w:type="spellStart"/>
      <w:r w:rsidR="00F56BDD" w:rsidRPr="00E208C5">
        <w:rPr>
          <w:iCs/>
        </w:rPr>
        <w:t>Semaglutide</w:t>
      </w:r>
      <w:proofErr w:type="spellEnd"/>
      <w:r w:rsidR="00F56BDD" w:rsidRPr="00E208C5">
        <w:rPr>
          <w:iCs/>
        </w:rPr>
        <w:t xml:space="preserve"> is not recommended for use in patients with end-stage renal disease</w:t>
      </w:r>
      <w:r w:rsidRPr="00FC4CA6">
        <w:rPr>
          <w:iCs/>
        </w:rPr>
        <w:t xml:space="preserve"> (see section </w:t>
      </w:r>
      <w:r w:rsidR="00907011" w:rsidRPr="00E208C5">
        <w:rPr>
          <w:iCs/>
        </w:rPr>
        <w:t>5.2</w:t>
      </w:r>
      <w:r w:rsidR="005C5E8B">
        <w:rPr>
          <w:iCs/>
        </w:rPr>
        <w:t xml:space="preserve"> </w:t>
      </w:r>
      <w:r w:rsidR="005C5E8B" w:rsidRPr="00BA57A4">
        <w:rPr>
          <w:iCs/>
        </w:rPr>
        <w:t>Pharmacokinetic Properties</w:t>
      </w:r>
      <w:r w:rsidRPr="00BA57A4">
        <w:rPr>
          <w:iCs/>
        </w:rPr>
        <w:t>).</w:t>
      </w:r>
    </w:p>
    <w:p w14:paraId="7B5C7C17" w14:textId="77777777" w:rsidR="00B21F96" w:rsidRPr="005A5D07" w:rsidRDefault="00B21F96" w:rsidP="005A5D07">
      <w:pPr>
        <w:spacing w:after="0" w:line="240" w:lineRule="auto"/>
        <w:rPr>
          <w:i/>
          <w:iCs/>
        </w:rPr>
      </w:pPr>
      <w:r w:rsidRPr="005A5D07">
        <w:rPr>
          <w:i/>
          <w:iCs/>
        </w:rPr>
        <w:t>Children and adolescents</w:t>
      </w:r>
    </w:p>
    <w:p w14:paraId="26117A37" w14:textId="77777777" w:rsidR="00B21F96" w:rsidRPr="00E208C5" w:rsidRDefault="00B21F96" w:rsidP="00B21F96">
      <w:r w:rsidRPr="00E208C5">
        <w:rPr>
          <w:iCs/>
        </w:rPr>
        <w:t xml:space="preserve">Safety and efficacy of </w:t>
      </w:r>
      <w:proofErr w:type="spellStart"/>
      <w:r w:rsidRPr="00E208C5">
        <w:rPr>
          <w:iCs/>
        </w:rPr>
        <w:t>Ozempic</w:t>
      </w:r>
      <w:proofErr w:type="spellEnd"/>
      <w:r w:rsidRPr="00E208C5">
        <w:rPr>
          <w:iCs/>
        </w:rPr>
        <w:t xml:space="preserve"> in children and adolescents below 18 years have not been studied.</w:t>
      </w:r>
    </w:p>
    <w:p w14:paraId="078A4D33" w14:textId="77777777" w:rsidR="00D56FBE" w:rsidRPr="00E208C5" w:rsidRDefault="00F17541" w:rsidP="00C44B67">
      <w:pPr>
        <w:pStyle w:val="Heading3"/>
      </w:pPr>
      <w:r w:rsidRPr="00E208C5">
        <w:t>4.3</w:t>
      </w:r>
      <w:r w:rsidRPr="00E208C5">
        <w:tab/>
      </w:r>
      <w:r w:rsidR="00D56FBE" w:rsidRPr="00E208C5">
        <w:t>Contraindications</w:t>
      </w:r>
    </w:p>
    <w:p w14:paraId="5FC0605D" w14:textId="77777777" w:rsidR="00D56FBE" w:rsidRPr="00E208C5" w:rsidRDefault="00AF7AB3" w:rsidP="00C44B67">
      <w:r w:rsidRPr="00E208C5">
        <w:t>Hypersensitivity to the active substance or to any of the excipients listed in section 6.1.</w:t>
      </w:r>
    </w:p>
    <w:p w14:paraId="723DAA85" w14:textId="77777777" w:rsidR="00D56FBE" w:rsidRPr="00E208C5" w:rsidRDefault="00F17541" w:rsidP="00C44B67">
      <w:pPr>
        <w:pStyle w:val="Heading3"/>
      </w:pPr>
      <w:r w:rsidRPr="00E208C5">
        <w:t>4.4</w:t>
      </w:r>
      <w:r w:rsidRPr="00E208C5">
        <w:tab/>
      </w:r>
      <w:r w:rsidR="00D56FBE" w:rsidRPr="00E208C5">
        <w:t>Special Warnings and Precautions for Use</w:t>
      </w:r>
    </w:p>
    <w:p w14:paraId="42C3AF3F" w14:textId="77777777" w:rsidR="00652A78" w:rsidRPr="00E208C5" w:rsidRDefault="00652A78" w:rsidP="00652A78">
      <w:proofErr w:type="spellStart"/>
      <w:r w:rsidRPr="00E208C5">
        <w:rPr>
          <w:bCs/>
        </w:rPr>
        <w:t>Ozempic</w:t>
      </w:r>
      <w:proofErr w:type="spellEnd"/>
      <w:r w:rsidRPr="00E208C5">
        <w:t xml:space="preserve"> should not be used in patients with type 1 diabetes mellitus or for the treatment of diabetic ketoacidosis.</w:t>
      </w:r>
    </w:p>
    <w:p w14:paraId="6826D256" w14:textId="77777777" w:rsidR="00652A78" w:rsidRPr="00E208C5" w:rsidRDefault="00652A78" w:rsidP="00652A78">
      <w:proofErr w:type="spellStart"/>
      <w:r w:rsidRPr="00E208C5">
        <w:t>Ozempic</w:t>
      </w:r>
      <w:proofErr w:type="spellEnd"/>
      <w:r w:rsidRPr="00E208C5">
        <w:t xml:space="preserve"> is not a substitute for insulin.</w:t>
      </w:r>
    </w:p>
    <w:p w14:paraId="34600DE7" w14:textId="77777777" w:rsidR="00D56FBE" w:rsidRPr="00E208C5" w:rsidRDefault="00652A78" w:rsidP="00C44B67">
      <w:pPr>
        <w:pStyle w:val="Heading4"/>
      </w:pPr>
      <w:r w:rsidRPr="00E208C5">
        <w:t>Gastrointestinal Effects</w:t>
      </w:r>
    </w:p>
    <w:p w14:paraId="64021688" w14:textId="77777777" w:rsidR="00652A78" w:rsidRPr="00E208C5" w:rsidRDefault="00652A78" w:rsidP="00652A78">
      <w:r w:rsidRPr="00E208C5">
        <w:t xml:space="preserve">Use of GLP-1 receptor agonists may be associated with gastrointestinal adverse reactions. This should be considered when treating patients with impaired renal function as nausea, vomiting, and diarrhoea, may cause dehydration which could cause a deterioration of renal function. </w:t>
      </w:r>
    </w:p>
    <w:p w14:paraId="3F27416A" w14:textId="206062D4" w:rsidR="00D56FBE" w:rsidRPr="00FC4CA6" w:rsidRDefault="00652A78" w:rsidP="00652A78">
      <w:pPr>
        <w:pStyle w:val="Heading4"/>
      </w:pPr>
      <w:r w:rsidRPr="00E208C5">
        <w:t>Acute Pancreatitis</w:t>
      </w:r>
    </w:p>
    <w:p w14:paraId="60054976" w14:textId="77777777" w:rsidR="00652A78" w:rsidRPr="00E208C5" w:rsidRDefault="00652A78" w:rsidP="00652A78">
      <w:pPr>
        <w:rPr>
          <w:iCs/>
        </w:rPr>
      </w:pPr>
      <w:r w:rsidRPr="00E208C5">
        <w:rPr>
          <w:iCs/>
        </w:rPr>
        <w:t xml:space="preserve">Acute pancreatitis has been observed with the use of GLP-1 receptor agonists. Patients should be informed of the characteristic symptoms of acute pancreatitis. If pancreatitis is suspected, </w:t>
      </w:r>
      <w:proofErr w:type="spellStart"/>
      <w:r w:rsidRPr="00E208C5">
        <w:rPr>
          <w:bCs/>
          <w:iCs/>
        </w:rPr>
        <w:t>Ozempic</w:t>
      </w:r>
      <w:proofErr w:type="spellEnd"/>
      <w:r w:rsidRPr="00E208C5">
        <w:rPr>
          <w:i/>
          <w:iCs/>
        </w:rPr>
        <w:t xml:space="preserve"> </w:t>
      </w:r>
      <w:r w:rsidRPr="00E208C5">
        <w:rPr>
          <w:iCs/>
        </w:rPr>
        <w:t xml:space="preserve">should be discontinued; if confirmed, </w:t>
      </w:r>
      <w:proofErr w:type="spellStart"/>
      <w:r w:rsidRPr="00E208C5">
        <w:rPr>
          <w:bCs/>
          <w:iCs/>
        </w:rPr>
        <w:t>Ozempic</w:t>
      </w:r>
      <w:proofErr w:type="spellEnd"/>
      <w:r w:rsidRPr="00E208C5">
        <w:rPr>
          <w:bCs/>
          <w:iCs/>
        </w:rPr>
        <w:t xml:space="preserve"> </w:t>
      </w:r>
      <w:r w:rsidRPr="00E208C5">
        <w:rPr>
          <w:iCs/>
        </w:rPr>
        <w:t>should not be restarted. Caution should be exercised in patients with a history of pancreatitis.</w:t>
      </w:r>
    </w:p>
    <w:p w14:paraId="4115B7EF" w14:textId="2CBC32DD" w:rsidR="00652A78" w:rsidRPr="00FC4CA6" w:rsidRDefault="00652A78" w:rsidP="00652A78">
      <w:pPr>
        <w:pStyle w:val="Heading4"/>
      </w:pPr>
      <w:r w:rsidRPr="00FC4CA6">
        <w:t>Hypoglycaemia</w:t>
      </w:r>
    </w:p>
    <w:p w14:paraId="793E1759" w14:textId="77777777" w:rsidR="00652A78" w:rsidRPr="00E208C5" w:rsidRDefault="00652A78" w:rsidP="00652A78">
      <w:pPr>
        <w:rPr>
          <w:i/>
        </w:rPr>
      </w:pPr>
      <w:r w:rsidRPr="00E208C5">
        <w:t xml:space="preserve">Patients treated with </w:t>
      </w:r>
      <w:proofErr w:type="spellStart"/>
      <w:r w:rsidRPr="00E208C5">
        <w:rPr>
          <w:bCs/>
        </w:rPr>
        <w:t>Ozempic</w:t>
      </w:r>
      <w:proofErr w:type="spellEnd"/>
      <w:r w:rsidRPr="00E208C5">
        <w:t xml:space="preserve"> in combination with a sulfonylurea or insulin may have an increased risk of hypoglycaemia. The risk of hypoglycaemia can be lowered by reducing the dose of sulfonylurea or insulin when initiating treatment with </w:t>
      </w:r>
      <w:proofErr w:type="spellStart"/>
      <w:r w:rsidRPr="00E208C5">
        <w:rPr>
          <w:bCs/>
        </w:rPr>
        <w:t>Ozempic</w:t>
      </w:r>
      <w:proofErr w:type="spellEnd"/>
      <w:r w:rsidRPr="00E208C5">
        <w:rPr>
          <w:i/>
        </w:rPr>
        <w:t>.</w:t>
      </w:r>
    </w:p>
    <w:p w14:paraId="5E12B521" w14:textId="77777777" w:rsidR="00652A78" w:rsidRPr="00E208C5" w:rsidRDefault="00652A78" w:rsidP="00652A78">
      <w:pPr>
        <w:pStyle w:val="Heading4"/>
      </w:pPr>
      <w:r w:rsidRPr="00E208C5">
        <w:lastRenderedPageBreak/>
        <w:t>Diabetic Retinopathy</w:t>
      </w:r>
    </w:p>
    <w:p w14:paraId="0EBBA050" w14:textId="1344897E" w:rsidR="00652A78" w:rsidRPr="00E208C5" w:rsidRDefault="00624D7A" w:rsidP="00652A78">
      <w:r w:rsidRPr="00E208C5">
        <w:t xml:space="preserve">In patients with diabetic retinopathy treated with insulin and </w:t>
      </w:r>
      <w:proofErr w:type="spellStart"/>
      <w:r w:rsidRPr="00E208C5">
        <w:t>semaglutide</w:t>
      </w:r>
      <w:proofErr w:type="spellEnd"/>
      <w:r w:rsidRPr="00E208C5">
        <w:t>, an increased risk of developing diabetic retinopathy complications has been observed (see section 4.8</w:t>
      </w:r>
      <w:r w:rsidR="00D1006E">
        <w:t xml:space="preserve"> </w:t>
      </w:r>
      <w:r w:rsidR="00D1006E" w:rsidRPr="00BA57A4">
        <w:t>Adverse Effects</w:t>
      </w:r>
      <w:r w:rsidRPr="00BA57A4">
        <w:t>). Caution should</w:t>
      </w:r>
      <w:r w:rsidRPr="00E208C5">
        <w:t xml:space="preserve"> be exercised when using </w:t>
      </w:r>
      <w:proofErr w:type="spellStart"/>
      <w:r w:rsidRPr="00E208C5">
        <w:t>semaglutide</w:t>
      </w:r>
      <w:proofErr w:type="spellEnd"/>
      <w:r w:rsidRPr="00E208C5">
        <w:t xml:space="preserve"> in patients with diabetic retinopathy treated with insulin.</w:t>
      </w:r>
      <w:r w:rsidRPr="00FC4CA6">
        <w:t xml:space="preserve"> </w:t>
      </w:r>
      <w:r w:rsidR="00652A78" w:rsidRPr="00FC4CA6">
        <w:t>Rapid improvement in glucose control has been associated with a temporary worsening of diabetic retinopathy. Long-term glycaemic control decreases the risk of diabetic retinopathy. Patients with a history of diabetic retinopathy should be monitored for wor</w:t>
      </w:r>
      <w:r w:rsidR="00652A78" w:rsidRPr="00E208C5">
        <w:t xml:space="preserve">sening and treated according to clinical guidelines. </w:t>
      </w:r>
    </w:p>
    <w:p w14:paraId="4F01D110" w14:textId="77777777" w:rsidR="00652A78" w:rsidRPr="00E208C5" w:rsidRDefault="00652A78" w:rsidP="00652A78">
      <w:pPr>
        <w:pStyle w:val="Heading4"/>
      </w:pPr>
      <w:r w:rsidRPr="00E208C5">
        <w:t>Heart Failure</w:t>
      </w:r>
    </w:p>
    <w:p w14:paraId="13BE2EE7" w14:textId="1D96671B" w:rsidR="00652A78" w:rsidRPr="00FC4CA6" w:rsidRDefault="00652A78" w:rsidP="00652A78">
      <w:r w:rsidRPr="00E208C5">
        <w:t>There is no therapeutic experience in patients with congestive heart failure New York Heart Association (NYHA) class IV</w:t>
      </w:r>
      <w:r w:rsidR="00911FAC" w:rsidRPr="00E208C5">
        <w:t xml:space="preserve"> and therefore use of </w:t>
      </w:r>
      <w:proofErr w:type="spellStart"/>
      <w:r w:rsidR="00911FAC" w:rsidRPr="00E208C5">
        <w:t>semglutide</w:t>
      </w:r>
      <w:proofErr w:type="spellEnd"/>
      <w:r w:rsidR="00911FAC" w:rsidRPr="00E208C5">
        <w:t xml:space="preserve"> is not recommended in these patients</w:t>
      </w:r>
      <w:r w:rsidRPr="00FC4CA6">
        <w:rPr>
          <w:i/>
        </w:rPr>
        <w:t>.</w:t>
      </w:r>
    </w:p>
    <w:p w14:paraId="021A1077" w14:textId="77777777" w:rsidR="00D56FBE" w:rsidRPr="00E208C5" w:rsidRDefault="00D56FBE" w:rsidP="00C44B67">
      <w:pPr>
        <w:pStyle w:val="Heading4"/>
      </w:pPr>
      <w:r w:rsidRPr="00E208C5">
        <w:t>Use in hepatic impairment</w:t>
      </w:r>
    </w:p>
    <w:p w14:paraId="3CF64FB7" w14:textId="77777777" w:rsidR="00D56FBE" w:rsidRPr="00E208C5" w:rsidRDefault="00A373B1" w:rsidP="00C44B67">
      <w:r w:rsidRPr="00E208C5">
        <w:rPr>
          <w:iCs/>
        </w:rPr>
        <w:t xml:space="preserve">Experience with the use of </w:t>
      </w:r>
      <w:proofErr w:type="spellStart"/>
      <w:r w:rsidRPr="00E208C5">
        <w:rPr>
          <w:iCs/>
        </w:rPr>
        <w:t>semaglutide</w:t>
      </w:r>
      <w:proofErr w:type="spellEnd"/>
      <w:r w:rsidRPr="00E208C5">
        <w:rPr>
          <w:iCs/>
        </w:rPr>
        <w:t xml:space="preserve"> in patients with severe hepatic impairment is limited. Caution should be exercised when treating these patients with </w:t>
      </w:r>
      <w:proofErr w:type="spellStart"/>
      <w:r w:rsidRPr="00E208C5">
        <w:rPr>
          <w:iCs/>
        </w:rPr>
        <w:t>semaglutide</w:t>
      </w:r>
      <w:proofErr w:type="spellEnd"/>
      <w:r w:rsidRPr="00E208C5">
        <w:rPr>
          <w:iCs/>
        </w:rPr>
        <w:t>.</w:t>
      </w:r>
    </w:p>
    <w:p w14:paraId="505CF8F2" w14:textId="77777777" w:rsidR="00D56FBE" w:rsidRPr="00E208C5" w:rsidRDefault="00D56FBE" w:rsidP="00C44B67">
      <w:pPr>
        <w:pStyle w:val="Heading4"/>
      </w:pPr>
      <w:r w:rsidRPr="00E208C5">
        <w:t>Use in renal impairment</w:t>
      </w:r>
    </w:p>
    <w:p w14:paraId="19C7481D" w14:textId="27BBDC90" w:rsidR="00D56FBE" w:rsidRPr="00E208C5" w:rsidRDefault="00A373B1" w:rsidP="00AF3149">
      <w:pPr>
        <w:rPr>
          <w:iCs/>
        </w:rPr>
      </w:pPr>
      <w:r w:rsidRPr="00E208C5">
        <w:rPr>
          <w:iCs/>
        </w:rPr>
        <w:t xml:space="preserve">Experience with the use of </w:t>
      </w:r>
      <w:proofErr w:type="spellStart"/>
      <w:r w:rsidRPr="00E208C5">
        <w:rPr>
          <w:iCs/>
        </w:rPr>
        <w:t>semaglutide</w:t>
      </w:r>
      <w:proofErr w:type="spellEnd"/>
      <w:r w:rsidRPr="00E208C5">
        <w:rPr>
          <w:iCs/>
        </w:rPr>
        <w:t xml:space="preserve"> in patients with </w:t>
      </w:r>
      <w:r w:rsidR="00911FAC" w:rsidRPr="00E208C5">
        <w:rPr>
          <w:iCs/>
        </w:rPr>
        <w:t>severe</w:t>
      </w:r>
      <w:r w:rsidR="00AF3149" w:rsidRPr="00E208C5">
        <w:rPr>
          <w:iCs/>
        </w:rPr>
        <w:t xml:space="preserve"> (</w:t>
      </w:r>
      <w:proofErr w:type="spellStart"/>
      <w:r w:rsidR="00AF3149" w:rsidRPr="00E208C5">
        <w:rPr>
          <w:iCs/>
        </w:rPr>
        <w:t>CrCL</w:t>
      </w:r>
      <w:proofErr w:type="spellEnd"/>
      <w:r w:rsidR="00AF3149" w:rsidRPr="00E208C5">
        <w:rPr>
          <w:iCs/>
        </w:rPr>
        <w:t xml:space="preserve"> &lt;30 mL/min)</w:t>
      </w:r>
      <w:r w:rsidRPr="00E208C5">
        <w:rPr>
          <w:iCs/>
        </w:rPr>
        <w:t xml:space="preserve"> renal impairment is limited. </w:t>
      </w:r>
      <w:proofErr w:type="spellStart"/>
      <w:r w:rsidR="00911FAC" w:rsidRPr="00E208C5">
        <w:rPr>
          <w:iCs/>
        </w:rPr>
        <w:t>S</w:t>
      </w:r>
      <w:r w:rsidRPr="00E208C5">
        <w:rPr>
          <w:iCs/>
        </w:rPr>
        <w:t>emaglutide</w:t>
      </w:r>
      <w:proofErr w:type="spellEnd"/>
      <w:r w:rsidRPr="00E208C5">
        <w:rPr>
          <w:iCs/>
        </w:rPr>
        <w:t xml:space="preserve"> </w:t>
      </w:r>
      <w:r w:rsidR="00911FAC" w:rsidRPr="00E208C5">
        <w:rPr>
          <w:iCs/>
        </w:rPr>
        <w:t>is not recommended for use in patients with end-stage renal disease</w:t>
      </w:r>
      <w:r w:rsidR="00911FAC" w:rsidRPr="00FC4CA6">
        <w:rPr>
          <w:iCs/>
        </w:rPr>
        <w:t xml:space="preserve"> </w:t>
      </w:r>
      <w:r w:rsidRPr="00FC4CA6">
        <w:rPr>
          <w:iCs/>
        </w:rPr>
        <w:t>(see section</w:t>
      </w:r>
      <w:r w:rsidR="00AF3149" w:rsidRPr="00E208C5">
        <w:rPr>
          <w:iCs/>
        </w:rPr>
        <w:t xml:space="preserve">s 5.1 </w:t>
      </w:r>
      <w:r w:rsidR="00D1006E" w:rsidRPr="00BA57A4">
        <w:rPr>
          <w:iCs/>
        </w:rPr>
        <w:t xml:space="preserve">Pharmacodynamic Properties </w:t>
      </w:r>
      <w:r w:rsidR="00AF3149" w:rsidRPr="00BA57A4">
        <w:rPr>
          <w:iCs/>
        </w:rPr>
        <w:t>and</w:t>
      </w:r>
      <w:r w:rsidRPr="00BA57A4">
        <w:rPr>
          <w:iCs/>
        </w:rPr>
        <w:t xml:space="preserve"> 5.2</w:t>
      </w:r>
      <w:r w:rsidR="00D1006E" w:rsidRPr="00BA57A4">
        <w:rPr>
          <w:iCs/>
        </w:rPr>
        <w:t xml:space="preserve"> Pharmacokinetic Properties</w:t>
      </w:r>
      <w:r w:rsidRPr="00BA57A4">
        <w:rPr>
          <w:iCs/>
        </w:rPr>
        <w:t>).</w:t>
      </w:r>
    </w:p>
    <w:p w14:paraId="0D263F1B" w14:textId="77777777" w:rsidR="00D56FBE" w:rsidRPr="00E208C5" w:rsidRDefault="00D56FBE" w:rsidP="00C44B67">
      <w:pPr>
        <w:pStyle w:val="Heading4"/>
      </w:pPr>
      <w:r w:rsidRPr="00E208C5">
        <w:t>Use in elderly</w:t>
      </w:r>
    </w:p>
    <w:p w14:paraId="0F4F95A0" w14:textId="24C2993E" w:rsidR="00D56FBE" w:rsidRPr="00E208C5" w:rsidRDefault="00A373B1" w:rsidP="00C44B67">
      <w:r w:rsidRPr="00E208C5">
        <w:t>See section 5.2</w:t>
      </w:r>
      <w:r w:rsidR="00D1006E">
        <w:t xml:space="preserve"> </w:t>
      </w:r>
      <w:r w:rsidR="00D1006E" w:rsidRPr="00BA57A4">
        <w:t>Pharmacokinetic Properties</w:t>
      </w:r>
      <w:r w:rsidRPr="00BA57A4">
        <w:t>.</w:t>
      </w:r>
    </w:p>
    <w:p w14:paraId="7B2BD20B" w14:textId="77777777" w:rsidR="00D56FBE" w:rsidRPr="00E208C5" w:rsidRDefault="00D56FBE" w:rsidP="00C44B67">
      <w:pPr>
        <w:pStyle w:val="Heading4"/>
      </w:pPr>
      <w:r w:rsidRPr="00E208C5">
        <w:t xml:space="preserve">Paediatric </w:t>
      </w:r>
      <w:r w:rsidR="00907011" w:rsidRPr="00E208C5">
        <w:t>U</w:t>
      </w:r>
      <w:r w:rsidRPr="00E208C5">
        <w:t>se</w:t>
      </w:r>
    </w:p>
    <w:p w14:paraId="5B25F5AB" w14:textId="18F73150" w:rsidR="00F17541" w:rsidRPr="00FC4CA6" w:rsidRDefault="0040360B" w:rsidP="00C44B67">
      <w:r w:rsidRPr="00E208C5">
        <w:t xml:space="preserve">The safety and efficacy of </w:t>
      </w:r>
      <w:proofErr w:type="spellStart"/>
      <w:r w:rsidRPr="00E208C5">
        <w:t>semaglutide</w:t>
      </w:r>
      <w:proofErr w:type="spellEnd"/>
      <w:r w:rsidRPr="00E208C5">
        <w:t xml:space="preserve"> in children and adolescents aged below 18 years has not been studied.</w:t>
      </w:r>
    </w:p>
    <w:p w14:paraId="5A4E7CC2" w14:textId="77777777" w:rsidR="00F17541" w:rsidRPr="00E208C5" w:rsidRDefault="00F17541" w:rsidP="00C44B67">
      <w:pPr>
        <w:pStyle w:val="Heading4"/>
      </w:pPr>
      <w:r w:rsidRPr="00E208C5">
        <w:t>Effects on laboratory tests</w:t>
      </w:r>
    </w:p>
    <w:p w14:paraId="1014FDF0" w14:textId="77777777" w:rsidR="00F17541" w:rsidRPr="00E208C5" w:rsidRDefault="00A373B1" w:rsidP="00C44B67">
      <w:r w:rsidRPr="00E208C5">
        <w:t>No data available.</w:t>
      </w:r>
    </w:p>
    <w:p w14:paraId="105EA367" w14:textId="144DF133" w:rsidR="00F17541" w:rsidRPr="00E208C5" w:rsidRDefault="00F17541" w:rsidP="00C44B67">
      <w:pPr>
        <w:pStyle w:val="Heading3"/>
      </w:pPr>
      <w:r w:rsidRPr="00E208C5">
        <w:t>4.5</w:t>
      </w:r>
      <w:r w:rsidRPr="00E208C5">
        <w:tab/>
        <w:t>Interaction</w:t>
      </w:r>
      <w:r w:rsidR="008C7DEA" w:rsidRPr="00BA57A4">
        <w:t>s</w:t>
      </w:r>
      <w:r w:rsidRPr="00E208C5">
        <w:t xml:space="preserve"> with Other Medicines and Other Form</w:t>
      </w:r>
      <w:r w:rsidR="0075456C">
        <w:t>s</w:t>
      </w:r>
      <w:r w:rsidRPr="00E208C5">
        <w:t xml:space="preserve"> of Interactions</w:t>
      </w:r>
    </w:p>
    <w:p w14:paraId="19AF5746" w14:textId="4AF80593" w:rsidR="003102AA" w:rsidRPr="00FC4CA6" w:rsidRDefault="003102AA" w:rsidP="003102AA">
      <w:r w:rsidRPr="00E208C5">
        <w:rPr>
          <w:i/>
        </w:rPr>
        <w:t xml:space="preserve">In vitro </w:t>
      </w:r>
      <w:r w:rsidRPr="00E208C5">
        <w:t xml:space="preserve">studies have shown very low potential for </w:t>
      </w:r>
      <w:proofErr w:type="spellStart"/>
      <w:r w:rsidRPr="00E208C5">
        <w:t>semaglutide</w:t>
      </w:r>
      <w:proofErr w:type="spellEnd"/>
      <w:r w:rsidRPr="00E208C5">
        <w:t xml:space="preserve"> to inhibit or induce</w:t>
      </w:r>
      <w:r w:rsidRPr="00E208C5">
        <w:rPr>
          <w:i/>
        </w:rPr>
        <w:t xml:space="preserve"> </w:t>
      </w:r>
      <w:r w:rsidRPr="00E208C5">
        <w:t>CYP enzymes, and to inhibit drug transporters</w:t>
      </w:r>
      <w:r w:rsidRPr="00FC4CA6">
        <w:t xml:space="preserve">. </w:t>
      </w:r>
    </w:p>
    <w:p w14:paraId="76B3DC63" w14:textId="27FAC892" w:rsidR="00F17541" w:rsidRPr="00FC4CA6" w:rsidRDefault="003102AA" w:rsidP="003102AA">
      <w:r w:rsidRPr="00E208C5">
        <w:t xml:space="preserve">The delay of gastric emptying with </w:t>
      </w:r>
      <w:proofErr w:type="spellStart"/>
      <w:r w:rsidRPr="00E208C5">
        <w:t>semaglutide</w:t>
      </w:r>
      <w:proofErr w:type="spellEnd"/>
      <w:r w:rsidRPr="00E208C5">
        <w:t xml:space="preserve"> may influence the absorption of concomitantly administered oral medicinal products</w:t>
      </w:r>
      <w:r w:rsidR="005D5F23" w:rsidRPr="00E208C5">
        <w:t xml:space="preserve">, therefore </w:t>
      </w:r>
      <w:proofErr w:type="spellStart"/>
      <w:r w:rsidR="005D5F23" w:rsidRPr="00E208C5">
        <w:t>semaglutide</w:t>
      </w:r>
      <w:proofErr w:type="spellEnd"/>
      <w:r w:rsidR="005D5F23" w:rsidRPr="00E208C5">
        <w:t xml:space="preserve"> should be used with caution in patients receiving oral medicinal products that require rapid gastrointestinal absorption</w:t>
      </w:r>
      <w:r w:rsidRPr="00FC4CA6">
        <w:t xml:space="preserve">. The potential effect of </w:t>
      </w:r>
      <w:proofErr w:type="spellStart"/>
      <w:r w:rsidRPr="00FC4CA6">
        <w:t>semaglutide</w:t>
      </w:r>
      <w:proofErr w:type="spellEnd"/>
      <w:r w:rsidRPr="00FC4CA6">
        <w:t xml:space="preserve"> on the absorption of co-administered oral medications was studied in trials at </w:t>
      </w:r>
      <w:proofErr w:type="spellStart"/>
      <w:r w:rsidRPr="00FC4CA6">
        <w:t>semaglutide</w:t>
      </w:r>
      <w:proofErr w:type="spellEnd"/>
      <w:r w:rsidRPr="00FC4CA6">
        <w:t xml:space="preserve"> 1 mg steady state exposure.</w:t>
      </w:r>
    </w:p>
    <w:p w14:paraId="6D1AB880" w14:textId="5AED5FA8" w:rsidR="003102AA" w:rsidRPr="00FC4CA6" w:rsidRDefault="003102AA" w:rsidP="003102AA">
      <w:r w:rsidRPr="00E208C5">
        <w:lastRenderedPageBreak/>
        <w:t xml:space="preserve">No clinically relevant drug-drug interaction with </w:t>
      </w:r>
      <w:proofErr w:type="spellStart"/>
      <w:r w:rsidRPr="00E208C5">
        <w:t>semaglutide</w:t>
      </w:r>
      <w:proofErr w:type="spellEnd"/>
      <w:r w:rsidRPr="00E208C5">
        <w:t xml:space="preserve"> (Figure 1) was observed based on the evaluated medications. Therefore, no dose adjustment is required when co-administered with </w:t>
      </w:r>
      <w:proofErr w:type="spellStart"/>
      <w:r w:rsidRPr="00E208C5">
        <w:t>semaglutide</w:t>
      </w:r>
      <w:proofErr w:type="spellEnd"/>
      <w:r w:rsidRPr="00FC4CA6">
        <w:t>.</w:t>
      </w:r>
    </w:p>
    <w:bookmarkStart w:id="0" w:name="_MON_1539883134"/>
    <w:bookmarkEnd w:id="0"/>
    <w:p w14:paraId="3524EE20" w14:textId="77777777" w:rsidR="003102AA" w:rsidRPr="00E208C5" w:rsidRDefault="003102AA" w:rsidP="003102AA">
      <w:pPr>
        <w:spacing w:after="0" w:line="240" w:lineRule="auto"/>
        <w:rPr>
          <w:iCs/>
          <w:sz w:val="20"/>
          <w:szCs w:val="20"/>
          <w:lang w:eastAsia="en-GB"/>
        </w:rPr>
      </w:pPr>
      <w:r w:rsidRPr="00FC4CA6">
        <w:rPr>
          <w:b/>
          <w:lang w:eastAsia="en-GB"/>
        </w:rPr>
        <w:object w:dxaOrig="9070" w:dyaOrig="4062" w14:anchorId="31822B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204.1pt" o:ole="">
            <v:imagedata r:id="rId9" o:title=""/>
          </v:shape>
          <o:OLEObject Type="Embed" ProgID="Word.Document.12" ShapeID="_x0000_i1025" DrawAspect="Content" ObjectID="_1668440527" r:id="rId10">
            <o:FieldCodes>\s</o:FieldCodes>
          </o:OLEObject>
        </w:object>
      </w:r>
      <w:r w:rsidRPr="00FC4CA6">
        <w:rPr>
          <w:iCs/>
          <w:sz w:val="20"/>
          <w:szCs w:val="20"/>
          <w:lang w:eastAsia="en-GB"/>
        </w:rPr>
        <w:t xml:space="preserve">Relative exposure in terms of AUC and </w:t>
      </w:r>
      <w:proofErr w:type="spellStart"/>
      <w:r w:rsidRPr="00FC4CA6">
        <w:rPr>
          <w:iCs/>
          <w:sz w:val="20"/>
          <w:szCs w:val="20"/>
          <w:lang w:eastAsia="en-GB"/>
        </w:rPr>
        <w:t>C</w:t>
      </w:r>
      <w:r w:rsidRPr="00FC4CA6">
        <w:rPr>
          <w:iCs/>
          <w:sz w:val="20"/>
          <w:szCs w:val="20"/>
          <w:vertAlign w:val="subscript"/>
          <w:lang w:eastAsia="en-GB"/>
        </w:rPr>
        <w:t>max</w:t>
      </w:r>
      <w:proofErr w:type="spellEnd"/>
      <w:r w:rsidRPr="00FC4CA6">
        <w:rPr>
          <w:iCs/>
          <w:sz w:val="20"/>
          <w:szCs w:val="20"/>
          <w:lang w:eastAsia="en-GB"/>
        </w:rPr>
        <w:t xml:space="preserve"> for each medication when given with </w:t>
      </w:r>
      <w:proofErr w:type="spellStart"/>
      <w:r w:rsidRPr="00FC4CA6">
        <w:rPr>
          <w:iCs/>
          <w:sz w:val="20"/>
          <w:szCs w:val="20"/>
          <w:lang w:eastAsia="en-GB"/>
        </w:rPr>
        <w:t>semaglutide</w:t>
      </w:r>
      <w:proofErr w:type="spellEnd"/>
      <w:r w:rsidRPr="00FC4CA6">
        <w:rPr>
          <w:iCs/>
          <w:sz w:val="20"/>
          <w:szCs w:val="20"/>
          <w:lang w:eastAsia="en-GB"/>
        </w:rPr>
        <w:t xml:space="preserve"> compared to without </w:t>
      </w:r>
      <w:proofErr w:type="spellStart"/>
      <w:r w:rsidRPr="00FC4CA6">
        <w:rPr>
          <w:iCs/>
          <w:sz w:val="20"/>
          <w:szCs w:val="20"/>
          <w:lang w:eastAsia="en-GB"/>
        </w:rPr>
        <w:t>semaglutide</w:t>
      </w:r>
      <w:proofErr w:type="spellEnd"/>
      <w:r w:rsidRPr="00FC4CA6">
        <w:rPr>
          <w:iCs/>
          <w:sz w:val="20"/>
          <w:szCs w:val="20"/>
          <w:lang w:eastAsia="en-GB"/>
        </w:rPr>
        <w:t xml:space="preserve">. Metformin </w:t>
      </w:r>
      <w:r w:rsidRPr="00E208C5">
        <w:rPr>
          <w:iCs/>
          <w:sz w:val="20"/>
          <w:szCs w:val="20"/>
          <w:lang w:eastAsia="en-GB"/>
        </w:rPr>
        <w:t>and oral contraceptive drug (ethinylestradiol/</w:t>
      </w:r>
      <w:proofErr w:type="spellStart"/>
      <w:r w:rsidRPr="00E208C5">
        <w:rPr>
          <w:iCs/>
          <w:sz w:val="20"/>
          <w:szCs w:val="20"/>
          <w:lang w:eastAsia="en-GB"/>
        </w:rPr>
        <w:t>levonorgestrel</w:t>
      </w:r>
      <w:proofErr w:type="spellEnd"/>
      <w:r w:rsidRPr="00E208C5">
        <w:rPr>
          <w:iCs/>
          <w:sz w:val="20"/>
          <w:szCs w:val="20"/>
          <w:lang w:eastAsia="en-GB"/>
        </w:rPr>
        <w:t xml:space="preserve">) were assessed at steady state. Warfarin (S-warfarin/R-warfarin), digoxin and atorvastatin were assessed after a single dose. </w:t>
      </w:r>
    </w:p>
    <w:p w14:paraId="64D0238E" w14:textId="77777777" w:rsidR="003102AA" w:rsidRPr="00291B69" w:rsidRDefault="003102AA" w:rsidP="003102AA">
      <w:pPr>
        <w:rPr>
          <w:bCs/>
          <w:iCs/>
          <w:sz w:val="20"/>
          <w:szCs w:val="20"/>
          <w:lang w:val="fr-FR" w:eastAsia="en-GB"/>
        </w:rPr>
      </w:pPr>
      <w:r w:rsidRPr="00E208C5">
        <w:rPr>
          <w:bCs/>
          <w:iCs/>
          <w:sz w:val="20"/>
          <w:szCs w:val="20"/>
          <w:lang w:eastAsia="en-GB"/>
        </w:rPr>
        <w:t xml:space="preserve">Abbreviations: AUC: area under the curve. </w:t>
      </w:r>
      <w:r w:rsidRPr="00291B69">
        <w:rPr>
          <w:bCs/>
          <w:iCs/>
          <w:sz w:val="20"/>
          <w:szCs w:val="20"/>
          <w:lang w:val="fr-FR" w:eastAsia="en-GB"/>
        </w:rPr>
        <w:t>C</w:t>
      </w:r>
      <w:r w:rsidRPr="00291B69">
        <w:rPr>
          <w:bCs/>
          <w:iCs/>
          <w:sz w:val="20"/>
          <w:szCs w:val="20"/>
          <w:vertAlign w:val="subscript"/>
          <w:lang w:val="fr-FR" w:eastAsia="en-GB"/>
        </w:rPr>
        <w:t>max</w:t>
      </w:r>
      <w:r w:rsidRPr="00291B69">
        <w:rPr>
          <w:bCs/>
          <w:iCs/>
          <w:sz w:val="20"/>
          <w:szCs w:val="20"/>
          <w:lang w:val="fr-FR" w:eastAsia="en-GB"/>
        </w:rPr>
        <w:t xml:space="preserve">: maximum concentration. CI: confidence </w:t>
      </w:r>
      <w:proofErr w:type="spellStart"/>
      <w:r w:rsidRPr="00291B69">
        <w:rPr>
          <w:bCs/>
          <w:iCs/>
          <w:sz w:val="20"/>
          <w:szCs w:val="20"/>
          <w:lang w:val="fr-FR" w:eastAsia="en-GB"/>
        </w:rPr>
        <w:t>interval</w:t>
      </w:r>
      <w:proofErr w:type="spellEnd"/>
      <w:r w:rsidRPr="00291B69">
        <w:rPr>
          <w:bCs/>
          <w:iCs/>
          <w:sz w:val="20"/>
          <w:szCs w:val="20"/>
          <w:lang w:val="fr-FR" w:eastAsia="en-GB"/>
        </w:rPr>
        <w:t>.</w:t>
      </w:r>
    </w:p>
    <w:p w14:paraId="1FF0E7F0" w14:textId="5F7B88F8" w:rsidR="003102AA" w:rsidRPr="00FC4CA6" w:rsidRDefault="003102AA" w:rsidP="003102AA">
      <w:pPr>
        <w:rPr>
          <w:b/>
          <w:bCs/>
          <w:lang w:eastAsia="en-GB"/>
        </w:rPr>
      </w:pPr>
      <w:bookmarkStart w:id="1" w:name="_Ref508880989"/>
      <w:bookmarkStart w:id="2" w:name="_Toc506554280"/>
      <w:bookmarkStart w:id="3" w:name="_Toc514933329"/>
      <w:bookmarkStart w:id="4" w:name="_Toc514933444"/>
      <w:r w:rsidRPr="00FC4CA6">
        <w:rPr>
          <w:b/>
          <w:bCs/>
          <w:lang w:eastAsia="en-GB"/>
        </w:rPr>
        <w:t xml:space="preserve">Figure </w:t>
      </w:r>
      <w:r w:rsidRPr="00FC4CA6">
        <w:rPr>
          <w:b/>
          <w:bCs/>
          <w:lang w:eastAsia="en-GB"/>
        </w:rPr>
        <w:fldChar w:fldCharType="begin"/>
      </w:r>
      <w:r w:rsidRPr="00E208C5">
        <w:rPr>
          <w:b/>
          <w:bCs/>
          <w:lang w:eastAsia="en-GB"/>
        </w:rPr>
        <w:instrText xml:space="preserve"> SEQ Figure \* ARABIC \s 1 </w:instrText>
      </w:r>
      <w:r w:rsidRPr="00FC4CA6">
        <w:rPr>
          <w:b/>
          <w:bCs/>
          <w:lang w:eastAsia="en-GB"/>
        </w:rPr>
        <w:fldChar w:fldCharType="separate"/>
      </w:r>
      <w:r w:rsidR="003F4E02" w:rsidRPr="00FC4CA6">
        <w:rPr>
          <w:b/>
          <w:bCs/>
          <w:noProof/>
          <w:lang w:eastAsia="en-GB"/>
        </w:rPr>
        <w:t>1</w:t>
      </w:r>
      <w:r w:rsidRPr="00FC4CA6">
        <w:rPr>
          <w:b/>
          <w:lang w:eastAsia="en-GB"/>
        </w:rPr>
        <w:fldChar w:fldCharType="end"/>
      </w:r>
      <w:bookmarkEnd w:id="1"/>
      <w:r w:rsidRPr="00FC4CA6">
        <w:rPr>
          <w:b/>
          <w:lang w:eastAsia="en-GB"/>
        </w:rPr>
        <w:t xml:space="preserve">: </w:t>
      </w:r>
      <w:r w:rsidRPr="00FC4CA6">
        <w:rPr>
          <w:b/>
          <w:bCs/>
          <w:lang w:eastAsia="en-GB"/>
        </w:rPr>
        <w:t xml:space="preserve">Impact of </w:t>
      </w:r>
      <w:proofErr w:type="spellStart"/>
      <w:r w:rsidRPr="00FC4CA6">
        <w:rPr>
          <w:b/>
          <w:bCs/>
          <w:lang w:eastAsia="en-GB"/>
        </w:rPr>
        <w:t>semaglutide</w:t>
      </w:r>
      <w:proofErr w:type="spellEnd"/>
      <w:r w:rsidRPr="00FC4CA6">
        <w:rPr>
          <w:b/>
          <w:bCs/>
          <w:lang w:eastAsia="en-GB"/>
        </w:rPr>
        <w:t xml:space="preserve"> on the exposure of co-administered oral medications</w:t>
      </w:r>
      <w:bookmarkEnd w:id="2"/>
      <w:bookmarkEnd w:id="3"/>
      <w:bookmarkEnd w:id="4"/>
    </w:p>
    <w:p w14:paraId="77FEA47F" w14:textId="2142833D" w:rsidR="003102AA" w:rsidRPr="00FC4CA6" w:rsidRDefault="003102AA" w:rsidP="005A5D07">
      <w:pPr>
        <w:pStyle w:val="Heading4"/>
      </w:pPr>
      <w:r w:rsidRPr="00FC4CA6">
        <w:t>Oral Contraceptives</w:t>
      </w:r>
    </w:p>
    <w:p w14:paraId="7EF992D2" w14:textId="77777777" w:rsidR="003102AA" w:rsidRPr="00E208C5" w:rsidRDefault="003102AA" w:rsidP="003102AA">
      <w:proofErr w:type="spellStart"/>
      <w:r w:rsidRPr="00E208C5">
        <w:t>Semaglutide</w:t>
      </w:r>
      <w:proofErr w:type="spellEnd"/>
      <w:r w:rsidRPr="00E208C5">
        <w:t xml:space="preserve"> is not anticipated to decrease the effectiveness of oral contraceptives as </w:t>
      </w:r>
      <w:proofErr w:type="spellStart"/>
      <w:r w:rsidRPr="00E208C5">
        <w:t>semaglutide</w:t>
      </w:r>
      <w:proofErr w:type="spellEnd"/>
      <w:r w:rsidRPr="00E208C5">
        <w:t xml:space="preserve"> did not change the overall exposure of ethinylestradiol and </w:t>
      </w:r>
      <w:proofErr w:type="spellStart"/>
      <w:r w:rsidRPr="00E208C5">
        <w:t>levonorgestrel</w:t>
      </w:r>
      <w:proofErr w:type="spellEnd"/>
      <w:r w:rsidRPr="00E208C5">
        <w:t xml:space="preserve"> to a clinically relevant degree when an oral contraceptive combination medicinal product (0.03 mg ethinylestradiol/0.15 mg </w:t>
      </w:r>
      <w:proofErr w:type="spellStart"/>
      <w:r w:rsidRPr="00E208C5">
        <w:t>levonorgestrel</w:t>
      </w:r>
      <w:proofErr w:type="spellEnd"/>
      <w:r w:rsidRPr="00E208C5">
        <w:t xml:space="preserve">) was co-administered with </w:t>
      </w:r>
      <w:proofErr w:type="spellStart"/>
      <w:r w:rsidRPr="00E208C5">
        <w:t>semaglutide</w:t>
      </w:r>
      <w:proofErr w:type="spellEnd"/>
      <w:r w:rsidRPr="00E208C5">
        <w:t xml:space="preserve">. Exposure of ethinylestradiol was not affected; an increase of 20% was observed for levonorgestrel exposure at steady state. </w:t>
      </w:r>
      <w:proofErr w:type="spellStart"/>
      <w:r w:rsidRPr="00E208C5">
        <w:t>C</w:t>
      </w:r>
      <w:r w:rsidRPr="00E208C5">
        <w:rPr>
          <w:vertAlign w:val="subscript"/>
        </w:rPr>
        <w:t>max</w:t>
      </w:r>
      <w:proofErr w:type="spellEnd"/>
      <w:r w:rsidRPr="00E208C5">
        <w:t xml:space="preserve"> was not affected for any of the compounds.</w:t>
      </w:r>
    </w:p>
    <w:p w14:paraId="478277B4" w14:textId="0FB17947" w:rsidR="003102AA" w:rsidRPr="00FC4CA6" w:rsidRDefault="003102AA" w:rsidP="005A5D07">
      <w:pPr>
        <w:pStyle w:val="Heading4"/>
      </w:pPr>
      <w:r w:rsidRPr="00E208C5">
        <w:t>Atorvastatin</w:t>
      </w:r>
    </w:p>
    <w:p w14:paraId="73370024" w14:textId="77777777" w:rsidR="003102AA" w:rsidRPr="00E208C5" w:rsidRDefault="003102AA" w:rsidP="003102AA">
      <w:proofErr w:type="spellStart"/>
      <w:r w:rsidRPr="00E208C5">
        <w:t>Semaglutide</w:t>
      </w:r>
      <w:proofErr w:type="spellEnd"/>
      <w:r w:rsidRPr="00E208C5">
        <w:t xml:space="preserve"> did not change the overall exposure of atorvastatin following a single dose administration of atorvastatin (40 mg). Atorvastatin </w:t>
      </w:r>
      <w:proofErr w:type="spellStart"/>
      <w:r w:rsidRPr="00E208C5">
        <w:t>C</w:t>
      </w:r>
      <w:r w:rsidRPr="00E208C5">
        <w:rPr>
          <w:vertAlign w:val="subscript"/>
        </w:rPr>
        <w:t>max</w:t>
      </w:r>
      <w:proofErr w:type="spellEnd"/>
      <w:r w:rsidRPr="00E208C5">
        <w:t xml:space="preserve"> was decreased by 38%. This was assessed not to be clinically relevant.</w:t>
      </w:r>
    </w:p>
    <w:p w14:paraId="200D576C" w14:textId="26866286" w:rsidR="003102AA" w:rsidRPr="00FC4CA6" w:rsidRDefault="003102AA" w:rsidP="005A5D07">
      <w:pPr>
        <w:pStyle w:val="Heading4"/>
      </w:pPr>
      <w:r w:rsidRPr="00E208C5">
        <w:t>Digoxin</w:t>
      </w:r>
    </w:p>
    <w:p w14:paraId="3ADF84E7" w14:textId="77777777" w:rsidR="003102AA" w:rsidRPr="00E208C5" w:rsidRDefault="003102AA" w:rsidP="003102AA">
      <w:proofErr w:type="spellStart"/>
      <w:r w:rsidRPr="00E208C5">
        <w:t>Semaglutide</w:t>
      </w:r>
      <w:proofErr w:type="spellEnd"/>
      <w:r w:rsidRPr="00E208C5">
        <w:t xml:space="preserve"> did not change the overall exposure or </w:t>
      </w:r>
      <w:proofErr w:type="spellStart"/>
      <w:r w:rsidRPr="00E208C5">
        <w:t>C</w:t>
      </w:r>
      <w:r w:rsidRPr="00E208C5">
        <w:rPr>
          <w:vertAlign w:val="subscript"/>
        </w:rPr>
        <w:t>max</w:t>
      </w:r>
      <w:proofErr w:type="spellEnd"/>
      <w:r w:rsidRPr="00E208C5">
        <w:t xml:space="preserve"> of digoxin following a single dose of digoxin (0.5 mg). </w:t>
      </w:r>
    </w:p>
    <w:p w14:paraId="2BFA7460" w14:textId="0C7E7E55" w:rsidR="003102AA" w:rsidRPr="00FC4CA6" w:rsidRDefault="003102AA" w:rsidP="005A5D07">
      <w:pPr>
        <w:pStyle w:val="Heading4"/>
      </w:pPr>
      <w:r w:rsidRPr="00E208C5">
        <w:t>Metformin</w:t>
      </w:r>
    </w:p>
    <w:p w14:paraId="424F5447" w14:textId="77777777" w:rsidR="003102AA" w:rsidRPr="00E208C5" w:rsidRDefault="003102AA" w:rsidP="003102AA">
      <w:proofErr w:type="spellStart"/>
      <w:r w:rsidRPr="00E208C5">
        <w:t>Semaglutide</w:t>
      </w:r>
      <w:proofErr w:type="spellEnd"/>
      <w:r w:rsidRPr="00E208C5">
        <w:t xml:space="preserve"> did not change the overall exposure or </w:t>
      </w:r>
      <w:proofErr w:type="spellStart"/>
      <w:r w:rsidRPr="00E208C5">
        <w:t>C</w:t>
      </w:r>
      <w:r w:rsidRPr="00E208C5">
        <w:rPr>
          <w:vertAlign w:val="subscript"/>
        </w:rPr>
        <w:t>max</w:t>
      </w:r>
      <w:proofErr w:type="spellEnd"/>
      <w:r w:rsidRPr="00E208C5">
        <w:rPr>
          <w:vertAlign w:val="subscript"/>
        </w:rPr>
        <w:t xml:space="preserve"> </w:t>
      </w:r>
      <w:r w:rsidRPr="00E208C5">
        <w:t>of metformin following dosing of 500 mg twice daily over 3.5 days.</w:t>
      </w:r>
    </w:p>
    <w:p w14:paraId="7860F39E" w14:textId="6BC13993" w:rsidR="003102AA" w:rsidRPr="00FC4CA6" w:rsidRDefault="003102AA" w:rsidP="005A5D07">
      <w:pPr>
        <w:pStyle w:val="Heading4"/>
      </w:pPr>
      <w:r w:rsidRPr="00E208C5">
        <w:lastRenderedPageBreak/>
        <w:t>Warfarin</w:t>
      </w:r>
    </w:p>
    <w:p w14:paraId="3A6EEDB5" w14:textId="77777777" w:rsidR="003102AA" w:rsidRPr="00E208C5" w:rsidRDefault="003102AA" w:rsidP="003102AA">
      <w:proofErr w:type="spellStart"/>
      <w:r w:rsidRPr="00E208C5">
        <w:t>Semaglutide</w:t>
      </w:r>
      <w:proofErr w:type="spellEnd"/>
      <w:r w:rsidRPr="00E208C5">
        <w:t xml:space="preserve"> did not change overall exposure or </w:t>
      </w:r>
      <w:proofErr w:type="spellStart"/>
      <w:r w:rsidRPr="00E208C5">
        <w:t>C</w:t>
      </w:r>
      <w:r w:rsidRPr="00E208C5">
        <w:rPr>
          <w:vertAlign w:val="subscript"/>
        </w:rPr>
        <w:t>max</w:t>
      </w:r>
      <w:proofErr w:type="spellEnd"/>
      <w:r w:rsidRPr="00E208C5">
        <w:t xml:space="preserve"> of R- and S-warfarin following a single dose of warfarin (25 mg), and the pharmacodynamic effects of warfarin as measured by the international normalised ratio were not affected in a clinically relevant manner. </w:t>
      </w:r>
    </w:p>
    <w:p w14:paraId="4CA21597" w14:textId="77777777" w:rsidR="00F17541" w:rsidRPr="00E208C5" w:rsidRDefault="00F17541" w:rsidP="00C44B67">
      <w:pPr>
        <w:pStyle w:val="Heading3"/>
      </w:pPr>
      <w:r w:rsidRPr="00E208C5">
        <w:t>4.6</w:t>
      </w:r>
      <w:r w:rsidRPr="00E208C5">
        <w:tab/>
        <w:t>Fertility, Pregnancy and Lactation</w:t>
      </w:r>
    </w:p>
    <w:p w14:paraId="01231DB9" w14:textId="6ECAAD2B" w:rsidR="00F17541" w:rsidRPr="00FC4CA6" w:rsidRDefault="00F17541" w:rsidP="00C44B67">
      <w:pPr>
        <w:pStyle w:val="Heading4"/>
      </w:pPr>
      <w:r w:rsidRPr="00E208C5">
        <w:t>Effects on fertility</w:t>
      </w:r>
    </w:p>
    <w:p w14:paraId="3B37E9D8" w14:textId="00B36681" w:rsidR="00F17541" w:rsidRPr="00FC4CA6" w:rsidRDefault="004D7F11" w:rsidP="00646041">
      <w:r w:rsidRPr="00E208C5">
        <w:t xml:space="preserve">The effect of </w:t>
      </w:r>
      <w:proofErr w:type="spellStart"/>
      <w:r w:rsidRPr="00E208C5">
        <w:t>semaglutide</w:t>
      </w:r>
      <w:proofErr w:type="spellEnd"/>
      <w:r w:rsidRPr="00E208C5">
        <w:t xml:space="preserve"> on fertility in humans is unknown. </w:t>
      </w:r>
      <w:proofErr w:type="spellStart"/>
      <w:r w:rsidRPr="00E208C5">
        <w:t>Semaglutide</w:t>
      </w:r>
      <w:proofErr w:type="spellEnd"/>
      <w:r w:rsidRPr="00E208C5">
        <w:t xml:space="preserve"> did not affect male fertility in rats</w:t>
      </w:r>
      <w:r w:rsidR="001774E8" w:rsidRPr="00E208C5">
        <w:t xml:space="preserve"> </w:t>
      </w:r>
      <w:r w:rsidR="001774E8" w:rsidRPr="00BA57A4">
        <w:t>at daily SC doses of 828 μg/kg, resulting in exposures approximately 13</w:t>
      </w:r>
      <w:r w:rsidR="00646041" w:rsidRPr="00BA57A4">
        <w:t xml:space="preserve"> </w:t>
      </w:r>
      <w:r w:rsidR="001774E8" w:rsidRPr="00BA57A4">
        <w:t>times the clinical AUC</w:t>
      </w:r>
      <w:r w:rsidRPr="00BA57A4">
        <w:t>. In female rats, an increase in oestrous length and a small reduction in number of ovulations were observed at doses associated with maternal body weight loss</w:t>
      </w:r>
      <w:r w:rsidR="00B836C2" w:rsidRPr="00BA57A4">
        <w:t xml:space="preserve"> </w:t>
      </w:r>
      <w:r w:rsidR="00646041" w:rsidRPr="00BA57A4">
        <w:t>(≥30 μg/kg/day SC, resulting in subclinical exposures)</w:t>
      </w:r>
      <w:r w:rsidRPr="00BA57A4">
        <w:t>.</w:t>
      </w:r>
      <w:r w:rsidRPr="00FC4CA6">
        <w:t xml:space="preserve"> </w:t>
      </w:r>
    </w:p>
    <w:p w14:paraId="6B12E0AE" w14:textId="706232B2" w:rsidR="00F17541" w:rsidRPr="00FC4CA6" w:rsidRDefault="00F17541" w:rsidP="00C44B67">
      <w:pPr>
        <w:pStyle w:val="Heading4"/>
      </w:pPr>
      <w:r w:rsidRPr="00E208C5">
        <w:t>Use in pregnancy</w:t>
      </w:r>
    </w:p>
    <w:p w14:paraId="4E425704" w14:textId="5E2B76A5" w:rsidR="00F17541" w:rsidRPr="00FC4CA6" w:rsidRDefault="004D7F11" w:rsidP="00C44B67">
      <w:r w:rsidRPr="00FC4CA6">
        <w:t xml:space="preserve">Pregnancy Category: </w:t>
      </w:r>
      <w:r w:rsidR="00ED63B7" w:rsidRPr="00ED63B7">
        <w:rPr>
          <w:highlight w:val="lightGray"/>
        </w:rPr>
        <w:t>D</w:t>
      </w:r>
    </w:p>
    <w:p w14:paraId="7FBC8DB4" w14:textId="649CEACC" w:rsidR="00085B6D" w:rsidRPr="00FC4CA6" w:rsidRDefault="00646041" w:rsidP="00C44B67">
      <w:pPr>
        <w:pStyle w:val="Heading4"/>
        <w:rPr>
          <w:u w:val="none"/>
        </w:rPr>
      </w:pPr>
      <w:proofErr w:type="spellStart"/>
      <w:r w:rsidRPr="00E208C5">
        <w:rPr>
          <w:u w:val="none"/>
        </w:rPr>
        <w:t>S</w:t>
      </w:r>
      <w:r w:rsidR="004D7F11" w:rsidRPr="00E208C5">
        <w:rPr>
          <w:u w:val="none"/>
        </w:rPr>
        <w:t>emaglutide</w:t>
      </w:r>
      <w:proofErr w:type="spellEnd"/>
      <w:r w:rsidR="004D7F11" w:rsidRPr="00E208C5">
        <w:rPr>
          <w:u w:val="none"/>
        </w:rPr>
        <w:t xml:space="preserve"> should not be used during pregnancy. Women of childbearing potential are recommended to use contraception when treated with </w:t>
      </w:r>
      <w:proofErr w:type="spellStart"/>
      <w:r w:rsidR="004D7F11" w:rsidRPr="00E208C5">
        <w:rPr>
          <w:u w:val="none"/>
        </w:rPr>
        <w:t>semaglutide</w:t>
      </w:r>
      <w:proofErr w:type="spellEnd"/>
      <w:r w:rsidR="004D7F11" w:rsidRPr="00E208C5">
        <w:rPr>
          <w:u w:val="none"/>
        </w:rPr>
        <w:t xml:space="preserve">. If a patient wishes to become pregnant, or pregnancy occurs, </w:t>
      </w:r>
      <w:proofErr w:type="spellStart"/>
      <w:r w:rsidR="004D7F11" w:rsidRPr="00E208C5">
        <w:rPr>
          <w:u w:val="none"/>
        </w:rPr>
        <w:t>semaglutide</w:t>
      </w:r>
      <w:proofErr w:type="spellEnd"/>
      <w:r w:rsidR="004D7F11" w:rsidRPr="00E208C5">
        <w:rPr>
          <w:u w:val="none"/>
        </w:rPr>
        <w:t xml:space="preserve"> should be discontinued. </w:t>
      </w:r>
      <w:proofErr w:type="spellStart"/>
      <w:r w:rsidR="004D7F11" w:rsidRPr="00E208C5">
        <w:rPr>
          <w:u w:val="none"/>
        </w:rPr>
        <w:t>Semaglutide</w:t>
      </w:r>
      <w:proofErr w:type="spellEnd"/>
      <w:r w:rsidR="004D7F11" w:rsidRPr="00E208C5">
        <w:rPr>
          <w:u w:val="none"/>
        </w:rPr>
        <w:t xml:space="preserve"> should be discontinued at least 2</w:t>
      </w:r>
      <w:r w:rsidR="004D7F11" w:rsidRPr="00FC4CA6">
        <w:rPr>
          <w:u w:val="none"/>
        </w:rPr>
        <w:t xml:space="preserve"> months before a planned pregnancy due to the long half-life (see section </w:t>
      </w:r>
      <w:r w:rsidR="00A373B1" w:rsidRPr="00FC4CA6">
        <w:rPr>
          <w:u w:val="none"/>
        </w:rPr>
        <w:t>5.1</w:t>
      </w:r>
      <w:r w:rsidR="00D1006E">
        <w:rPr>
          <w:u w:val="none"/>
        </w:rPr>
        <w:t xml:space="preserve"> </w:t>
      </w:r>
      <w:r w:rsidR="00D1006E" w:rsidRPr="00BA57A4">
        <w:rPr>
          <w:u w:val="none"/>
        </w:rPr>
        <w:t>Pharmacodynamic Properties</w:t>
      </w:r>
      <w:r w:rsidR="004D7F11" w:rsidRPr="00BA57A4">
        <w:rPr>
          <w:u w:val="none"/>
        </w:rPr>
        <w:t>).</w:t>
      </w:r>
    </w:p>
    <w:p w14:paraId="6378F150" w14:textId="77777777" w:rsidR="00DF6514" w:rsidRPr="00E208C5" w:rsidRDefault="00DF6514" w:rsidP="006A2D12">
      <w:pPr>
        <w:spacing w:after="0" w:line="240" w:lineRule="auto"/>
        <w:rPr>
          <w:highlight w:val="yellow"/>
        </w:rPr>
      </w:pPr>
    </w:p>
    <w:p w14:paraId="5C18093B" w14:textId="118A9F7F" w:rsidR="00085B6D" w:rsidRPr="00BA57A4" w:rsidRDefault="00085B6D" w:rsidP="006A2D12">
      <w:r w:rsidRPr="00BA57A4">
        <w:t xml:space="preserve">Studies in animals have shown reproductive toxicity when </w:t>
      </w:r>
      <w:proofErr w:type="spellStart"/>
      <w:r w:rsidRPr="00BA57A4">
        <w:t>semaglutide</w:t>
      </w:r>
      <w:proofErr w:type="spellEnd"/>
      <w:r w:rsidRPr="00BA57A4">
        <w:t xml:space="preserve"> was administered during organogenesis. In pregnant rats, embryofetal toxicity (lethality, impaired growth and an increased incidence of </w:t>
      </w:r>
      <w:proofErr w:type="spellStart"/>
      <w:r w:rsidRPr="00BA57A4">
        <w:t>fetal</w:t>
      </w:r>
      <w:proofErr w:type="spellEnd"/>
      <w:r w:rsidRPr="00BA57A4">
        <w:t xml:space="preserve"> abnormalities) was observed at subclinical plasma exposures. Mechanistic studies suggest a direct GLP-1 receptor mediated role of </w:t>
      </w:r>
      <w:proofErr w:type="spellStart"/>
      <w:r w:rsidRPr="00BA57A4">
        <w:t>semaglutide</w:t>
      </w:r>
      <w:proofErr w:type="spellEnd"/>
      <w:r w:rsidRPr="00BA57A4">
        <w:t xml:space="preserve"> on some of the effects in rats (species specific). In pregnant rabbits, pharmacologically mediated reductions in maternal body weight gain and food consumption were observed at all dose levels. Early pregnancy losses and increased incidences of minor visceral (kidney, liver) and skeletal (</w:t>
      </w:r>
      <w:proofErr w:type="spellStart"/>
      <w:r w:rsidRPr="00BA57A4">
        <w:t>sternebra</w:t>
      </w:r>
      <w:proofErr w:type="spellEnd"/>
      <w:r w:rsidRPr="00BA57A4">
        <w:t xml:space="preserve">) </w:t>
      </w:r>
      <w:proofErr w:type="spellStart"/>
      <w:r w:rsidRPr="00BA57A4">
        <w:t>fetal</w:t>
      </w:r>
      <w:proofErr w:type="spellEnd"/>
      <w:r w:rsidRPr="00BA57A4">
        <w:t xml:space="preserve"> abnormalities were observed at ≥0.0025 mg/kg/day, at clinically relevant exposures. In pregnant cynomolgus monkeys, pharmacologically mediated, marked initial maternal body weight loss and reductions in body weight gain and food consumption coincided with the occurrence of sporadic abnormalities (vertebra, </w:t>
      </w:r>
      <w:proofErr w:type="spellStart"/>
      <w:r w:rsidRPr="00BA57A4">
        <w:t>sternebra</w:t>
      </w:r>
      <w:proofErr w:type="spellEnd"/>
      <w:r w:rsidRPr="00BA57A4">
        <w:t>, ribs) and with an increase in early pregnancy losses at ≥0.075 mg/kg twice weekly (&gt;2.7 fold clinical exposure at 1 mg/week).</w:t>
      </w:r>
      <w:r w:rsidR="00ED63B7" w:rsidRPr="00BA57A4">
        <w:t xml:space="preserve"> Exposures at the NOAEL in all species were subclinical and a direct effect of </w:t>
      </w:r>
      <w:proofErr w:type="spellStart"/>
      <w:r w:rsidR="00ED63B7" w:rsidRPr="00BA57A4">
        <w:t>semaglutide</w:t>
      </w:r>
      <w:proofErr w:type="spellEnd"/>
      <w:r w:rsidR="00ED63B7" w:rsidRPr="00BA57A4">
        <w:t xml:space="preserve"> on the </w:t>
      </w:r>
      <w:proofErr w:type="spellStart"/>
      <w:r w:rsidR="00ED63B7" w:rsidRPr="00BA57A4">
        <w:t>fetus</w:t>
      </w:r>
      <w:proofErr w:type="spellEnd"/>
      <w:r w:rsidR="00ED63B7" w:rsidRPr="00BA57A4">
        <w:t xml:space="preserve"> cannot be excluded.</w:t>
      </w:r>
    </w:p>
    <w:p w14:paraId="430DA88A" w14:textId="023FBC0C" w:rsidR="00F17541" w:rsidRPr="00FC4CA6" w:rsidRDefault="00F17541" w:rsidP="00C44B67">
      <w:pPr>
        <w:pStyle w:val="Heading4"/>
      </w:pPr>
      <w:r w:rsidRPr="00FC4CA6">
        <w:t>Use in lactation</w:t>
      </w:r>
    </w:p>
    <w:p w14:paraId="7E078FD2" w14:textId="77777777" w:rsidR="00F17541" w:rsidRPr="00E208C5" w:rsidRDefault="004D7F11" w:rsidP="00C44B67">
      <w:r w:rsidRPr="00E208C5">
        <w:t xml:space="preserve">In lactating rats, </w:t>
      </w:r>
      <w:proofErr w:type="spellStart"/>
      <w:r w:rsidRPr="00E208C5">
        <w:t>semaglutide</w:t>
      </w:r>
      <w:proofErr w:type="spellEnd"/>
      <w:r w:rsidRPr="00E208C5">
        <w:t xml:space="preserve"> was excreted in milk. A risk to a breast-fed child cannot be excluded. </w:t>
      </w:r>
      <w:proofErr w:type="spellStart"/>
      <w:r w:rsidRPr="00E208C5">
        <w:t>Semaglutide</w:t>
      </w:r>
      <w:proofErr w:type="spellEnd"/>
      <w:r w:rsidRPr="00E208C5">
        <w:t xml:space="preserve"> should not be used during breast-feeding.</w:t>
      </w:r>
    </w:p>
    <w:p w14:paraId="03255564" w14:textId="621DC2B1" w:rsidR="00F17541" w:rsidRPr="00FC4CA6" w:rsidRDefault="00F17541" w:rsidP="00C44B67">
      <w:pPr>
        <w:pStyle w:val="Heading3"/>
      </w:pPr>
      <w:r w:rsidRPr="00E208C5">
        <w:lastRenderedPageBreak/>
        <w:t>4.7</w:t>
      </w:r>
      <w:r w:rsidRPr="00E208C5">
        <w:tab/>
        <w:t>Effects on Ability to Drive and Use Machines</w:t>
      </w:r>
    </w:p>
    <w:p w14:paraId="4A499899" w14:textId="5795FAD5" w:rsidR="00F17541" w:rsidRDefault="00652A78" w:rsidP="00C44B67">
      <w:proofErr w:type="spellStart"/>
      <w:r w:rsidRPr="00E208C5">
        <w:t>Ozempic</w:t>
      </w:r>
      <w:proofErr w:type="spellEnd"/>
      <w:r w:rsidRPr="00E208C5">
        <w:rPr>
          <w:i/>
        </w:rPr>
        <w:t xml:space="preserve"> </w:t>
      </w:r>
      <w:r w:rsidRPr="00E208C5">
        <w:t>has no or negligible influence on the ability to drive or use machines. When it is used in combination with a sulfonylurea or insulin, patients should be advised to take precautions to avoid hypoglycaemia while driving and using machines.</w:t>
      </w:r>
    </w:p>
    <w:p w14:paraId="2FC4AB3A" w14:textId="2AC2F232" w:rsidR="00C74F8F" w:rsidRPr="00E208C5" w:rsidRDefault="00C74F8F" w:rsidP="00C44B67">
      <w:r w:rsidRPr="00BA57A4">
        <w:t xml:space="preserve">Adverse effects of </w:t>
      </w:r>
      <w:proofErr w:type="spellStart"/>
      <w:r w:rsidRPr="00BA57A4">
        <w:t>Ozempic</w:t>
      </w:r>
      <w:proofErr w:type="spellEnd"/>
      <w:r w:rsidRPr="00BA57A4">
        <w:t xml:space="preserve"> include dizziness which could affect the ability to drive or use machines (see Section 4.8 Adverse Effects (Undesirable Effects).</w:t>
      </w:r>
    </w:p>
    <w:p w14:paraId="046FF310" w14:textId="50B4E081" w:rsidR="00F17541" w:rsidRPr="00E208C5" w:rsidRDefault="00F17541" w:rsidP="00C44B67">
      <w:pPr>
        <w:pStyle w:val="Heading3"/>
      </w:pPr>
      <w:r w:rsidRPr="00E208C5">
        <w:t>4.8</w:t>
      </w:r>
      <w:r w:rsidRPr="00E208C5">
        <w:tab/>
        <w:t xml:space="preserve">Adverse </w:t>
      </w:r>
      <w:r w:rsidRPr="00BA57A4">
        <w:t>Effects</w:t>
      </w:r>
      <w:r w:rsidR="00C74F8F" w:rsidRPr="00BA57A4">
        <w:t xml:space="preserve"> (Undesirable Effects)</w:t>
      </w:r>
    </w:p>
    <w:p w14:paraId="55CC703F" w14:textId="13D2363E" w:rsidR="00AF7AB3" w:rsidRPr="00FC4CA6" w:rsidRDefault="00AF7AB3" w:rsidP="00AF7AB3">
      <w:pPr>
        <w:pStyle w:val="Heading4"/>
      </w:pPr>
      <w:r w:rsidRPr="00E208C5">
        <w:t>Summary of the Safety Profile</w:t>
      </w:r>
    </w:p>
    <w:p w14:paraId="1EFB0D03" w14:textId="77777777" w:rsidR="00AF7AB3" w:rsidRPr="00E208C5" w:rsidRDefault="00AF7AB3" w:rsidP="00AF7AB3">
      <w:pPr>
        <w:rPr>
          <w:iCs/>
        </w:rPr>
      </w:pPr>
      <w:r w:rsidRPr="00E208C5">
        <w:rPr>
          <w:iCs/>
        </w:rPr>
        <w:t xml:space="preserve">In 8 phase 3a trials, 4,792 patients were exposed to </w:t>
      </w:r>
      <w:proofErr w:type="spellStart"/>
      <w:r w:rsidRPr="00E208C5">
        <w:rPr>
          <w:bCs/>
          <w:iCs/>
        </w:rPr>
        <w:t>Ozempic</w:t>
      </w:r>
      <w:proofErr w:type="spellEnd"/>
      <w:r w:rsidRPr="00E208C5">
        <w:rPr>
          <w:iCs/>
        </w:rPr>
        <w:t xml:space="preserve"> alone or in combination with other glucose lowering medicinal products. The duration of the treatment ranged from 30 weeks to 2 years. </w:t>
      </w:r>
    </w:p>
    <w:p w14:paraId="202EE3B0" w14:textId="77777777" w:rsidR="00F17541" w:rsidRPr="00E208C5" w:rsidRDefault="00AF7AB3" w:rsidP="00AF7AB3">
      <w:r w:rsidRPr="00E208C5">
        <w:t>The most frequently reported adverse reactions in clinical trials were gastrointestinal disorders, including nausea, diarrhoea and vomiting. In general, these reactions were mild or moderate in severity and of short duration.</w:t>
      </w:r>
    </w:p>
    <w:p w14:paraId="6041BCCF" w14:textId="6EBB2D77" w:rsidR="00C74F8F" w:rsidRDefault="00C74F8F" w:rsidP="00C74F8F">
      <w:pPr>
        <w:pStyle w:val="Heading4"/>
      </w:pPr>
      <w:r w:rsidRPr="00BA57A4">
        <w:t xml:space="preserve">Reporting </w:t>
      </w:r>
      <w:r w:rsidR="0075456C">
        <w:t xml:space="preserve">suspected </w:t>
      </w:r>
      <w:r w:rsidRPr="00BA57A4">
        <w:t xml:space="preserve">adverse </w:t>
      </w:r>
      <w:r w:rsidR="0075456C">
        <w:t>effects</w:t>
      </w:r>
    </w:p>
    <w:p w14:paraId="41E1A83C" w14:textId="1379040E" w:rsidR="00F17541" w:rsidRPr="00FC4CA6" w:rsidRDefault="00F17541" w:rsidP="00C44B67">
      <w:r w:rsidRPr="00E208C5">
        <w:t>Reporting suspected adverse reactions after registration of the medicinal product is important. It allows continued monitoring of the benefit-risk balance of the medicinal product.</w:t>
      </w:r>
      <w:r w:rsidR="00C44B67" w:rsidRPr="00E208C5">
        <w:t xml:space="preserve"> Healthcare professionals are as</w:t>
      </w:r>
      <w:r w:rsidRPr="00E208C5">
        <w:t xml:space="preserve">ked to report any suspected adverse reactions at </w:t>
      </w:r>
      <w:hyperlink r:id="rId11" w:history="1">
        <w:r w:rsidR="0075456C" w:rsidRPr="000467C5">
          <w:rPr>
            <w:rStyle w:val="Hyperlink"/>
          </w:rPr>
          <w:t>www.tga.gov.au/reporting-problems</w:t>
        </w:r>
      </w:hyperlink>
      <w:r w:rsidRPr="00FC4CA6">
        <w:t>.</w:t>
      </w:r>
    </w:p>
    <w:p w14:paraId="08FFE2B6" w14:textId="0277A658" w:rsidR="00121E71" w:rsidRPr="00FC4CA6" w:rsidRDefault="00AF7AB3" w:rsidP="00AF7AB3">
      <w:pPr>
        <w:pStyle w:val="Heading4"/>
      </w:pPr>
      <w:r w:rsidRPr="00FC4CA6">
        <w:t xml:space="preserve">Tabulated List of </w:t>
      </w:r>
      <w:r w:rsidR="00121E71" w:rsidRPr="00FC4CA6">
        <w:t>Adverse Events</w:t>
      </w:r>
    </w:p>
    <w:p w14:paraId="5BA91C95" w14:textId="77777777" w:rsidR="00121E71" w:rsidRPr="00FC4CA6" w:rsidRDefault="00121E71" w:rsidP="00121E71">
      <w:pPr>
        <w:spacing w:after="0" w:line="240" w:lineRule="auto"/>
      </w:pPr>
      <w:r w:rsidRPr="00FC4CA6">
        <w:t xml:space="preserve">Table </w:t>
      </w:r>
      <w:r w:rsidR="00291B69">
        <w:rPr>
          <w:noProof/>
        </w:rPr>
        <w:fldChar w:fldCharType="begin"/>
      </w:r>
      <w:r w:rsidR="00291B69">
        <w:rPr>
          <w:noProof/>
        </w:rPr>
        <w:instrText xml:space="preserve"> SEQ Table \* ARABIC </w:instrText>
      </w:r>
      <w:r w:rsidR="00291B69">
        <w:rPr>
          <w:noProof/>
        </w:rPr>
        <w:fldChar w:fldCharType="separate"/>
      </w:r>
      <w:r w:rsidR="003F4E02" w:rsidRPr="00FC4CA6">
        <w:rPr>
          <w:noProof/>
        </w:rPr>
        <w:t>1</w:t>
      </w:r>
      <w:r w:rsidR="00291B69">
        <w:rPr>
          <w:noProof/>
        </w:rPr>
        <w:fldChar w:fldCharType="end"/>
      </w:r>
      <w:r w:rsidRPr="00FC4CA6">
        <w:t xml:space="preserve">: Treatment-emergent adverse events with frequency ≥ 5% comparing </w:t>
      </w:r>
      <w:proofErr w:type="spellStart"/>
      <w:r w:rsidRPr="00FC4CA6">
        <w:t>Ozempic</w:t>
      </w:r>
      <w:proofErr w:type="spellEnd"/>
      <w:r w:rsidRPr="00FC4CA6">
        <w:t xml:space="preserve"> 0.5 mg dose, </w:t>
      </w:r>
      <w:proofErr w:type="spellStart"/>
      <w:r w:rsidRPr="00FC4CA6">
        <w:t>Ozempic</w:t>
      </w:r>
      <w:proofErr w:type="spellEnd"/>
      <w:r w:rsidRPr="00FC4CA6">
        <w:t xml:space="preserve"> 1.0 mg dose with comparators</w:t>
      </w:r>
    </w:p>
    <w:p w14:paraId="01BA7060" w14:textId="77777777" w:rsidR="00121E71" w:rsidRPr="00FC4CA6" w:rsidRDefault="00121E71" w:rsidP="00121E71">
      <w:pPr>
        <w:spacing w:after="0" w:line="240" w:lineRule="auto"/>
      </w:pPr>
    </w:p>
    <w:tbl>
      <w:tblPr>
        <w:tblStyle w:val="TableGrid"/>
        <w:tblW w:w="0" w:type="auto"/>
        <w:tblLook w:val="04A0" w:firstRow="1" w:lastRow="0" w:firstColumn="1" w:lastColumn="0" w:noHBand="0" w:noVBand="1"/>
      </w:tblPr>
      <w:tblGrid>
        <w:gridCol w:w="2270"/>
        <w:gridCol w:w="2243"/>
        <w:gridCol w:w="2244"/>
        <w:gridCol w:w="2259"/>
      </w:tblGrid>
      <w:tr w:rsidR="00121E71" w:rsidRPr="00E208C5" w14:paraId="56813B38" w14:textId="77777777" w:rsidTr="00121E71">
        <w:tc>
          <w:tcPr>
            <w:tcW w:w="2310" w:type="dxa"/>
          </w:tcPr>
          <w:p w14:paraId="6875CA18" w14:textId="77777777" w:rsidR="00121E71" w:rsidRPr="00FC4CA6" w:rsidRDefault="00121E71" w:rsidP="00121E71">
            <w:pPr>
              <w:jc w:val="center"/>
              <w:rPr>
                <w:b/>
                <w:sz w:val="20"/>
                <w:szCs w:val="20"/>
              </w:rPr>
            </w:pPr>
            <w:r w:rsidRPr="00FC4CA6">
              <w:rPr>
                <w:b/>
                <w:sz w:val="20"/>
                <w:szCs w:val="20"/>
              </w:rPr>
              <w:t>Adverse Event Term</w:t>
            </w:r>
          </w:p>
        </w:tc>
        <w:tc>
          <w:tcPr>
            <w:tcW w:w="2310" w:type="dxa"/>
          </w:tcPr>
          <w:p w14:paraId="09D6F5E8" w14:textId="77777777" w:rsidR="00121E71" w:rsidRPr="00E208C5" w:rsidRDefault="00121E71" w:rsidP="00121E71">
            <w:pPr>
              <w:jc w:val="center"/>
              <w:rPr>
                <w:b/>
                <w:sz w:val="20"/>
                <w:szCs w:val="20"/>
              </w:rPr>
            </w:pPr>
            <w:proofErr w:type="spellStart"/>
            <w:r w:rsidRPr="00E208C5">
              <w:rPr>
                <w:b/>
                <w:sz w:val="20"/>
                <w:szCs w:val="20"/>
              </w:rPr>
              <w:t>Ozempic</w:t>
            </w:r>
            <w:proofErr w:type="spellEnd"/>
            <w:r w:rsidRPr="00E208C5">
              <w:rPr>
                <w:b/>
                <w:sz w:val="20"/>
                <w:szCs w:val="20"/>
              </w:rPr>
              <w:t xml:space="preserve"> 0.5 mg dose</w:t>
            </w:r>
          </w:p>
          <w:p w14:paraId="16A48114" w14:textId="77777777" w:rsidR="00121E71" w:rsidRPr="00E208C5" w:rsidRDefault="004974E0" w:rsidP="004974E0">
            <w:pPr>
              <w:jc w:val="center"/>
              <w:rPr>
                <w:b/>
                <w:sz w:val="20"/>
                <w:szCs w:val="20"/>
              </w:rPr>
            </w:pPr>
            <w:r w:rsidRPr="00E208C5">
              <w:rPr>
                <w:b/>
                <w:sz w:val="20"/>
                <w:szCs w:val="20"/>
              </w:rPr>
              <w:t>% (n=1373)</w:t>
            </w:r>
          </w:p>
        </w:tc>
        <w:tc>
          <w:tcPr>
            <w:tcW w:w="2311" w:type="dxa"/>
          </w:tcPr>
          <w:p w14:paraId="3FF88DCB" w14:textId="77777777" w:rsidR="00121E71" w:rsidRPr="00E208C5" w:rsidRDefault="00121E71" w:rsidP="00121E71">
            <w:pPr>
              <w:jc w:val="center"/>
              <w:rPr>
                <w:b/>
                <w:sz w:val="20"/>
                <w:szCs w:val="20"/>
              </w:rPr>
            </w:pPr>
            <w:proofErr w:type="spellStart"/>
            <w:r w:rsidRPr="00E208C5">
              <w:rPr>
                <w:b/>
                <w:sz w:val="20"/>
                <w:szCs w:val="20"/>
              </w:rPr>
              <w:t>Ozempic</w:t>
            </w:r>
            <w:proofErr w:type="spellEnd"/>
            <w:r w:rsidRPr="00E208C5">
              <w:rPr>
                <w:b/>
                <w:sz w:val="20"/>
                <w:szCs w:val="20"/>
              </w:rPr>
              <w:t xml:space="preserve"> 1.0 mg dose</w:t>
            </w:r>
          </w:p>
          <w:p w14:paraId="3D64810F" w14:textId="77777777" w:rsidR="00121E71" w:rsidRPr="00E208C5" w:rsidRDefault="00121E71" w:rsidP="004974E0">
            <w:pPr>
              <w:jc w:val="center"/>
              <w:rPr>
                <w:b/>
                <w:sz w:val="20"/>
                <w:szCs w:val="20"/>
              </w:rPr>
            </w:pPr>
            <w:r w:rsidRPr="00E208C5">
              <w:rPr>
                <w:b/>
                <w:sz w:val="20"/>
                <w:szCs w:val="20"/>
              </w:rPr>
              <w:t>%</w:t>
            </w:r>
            <w:r w:rsidR="004974E0" w:rsidRPr="00E208C5">
              <w:rPr>
                <w:b/>
                <w:sz w:val="20"/>
                <w:szCs w:val="20"/>
              </w:rPr>
              <w:t xml:space="preserve"> (n=1777)</w:t>
            </w:r>
          </w:p>
        </w:tc>
        <w:tc>
          <w:tcPr>
            <w:tcW w:w="2311" w:type="dxa"/>
          </w:tcPr>
          <w:p w14:paraId="53B7EDE5" w14:textId="77777777" w:rsidR="00121E71" w:rsidRPr="00E208C5" w:rsidRDefault="00121E71" w:rsidP="00121E71">
            <w:pPr>
              <w:jc w:val="center"/>
              <w:rPr>
                <w:b/>
                <w:sz w:val="20"/>
                <w:szCs w:val="20"/>
              </w:rPr>
            </w:pPr>
            <w:r w:rsidRPr="00E208C5">
              <w:rPr>
                <w:b/>
                <w:sz w:val="20"/>
                <w:szCs w:val="20"/>
              </w:rPr>
              <w:t>Comparator</w:t>
            </w:r>
          </w:p>
          <w:p w14:paraId="522E550A" w14:textId="77777777" w:rsidR="00121E71" w:rsidRPr="00E208C5" w:rsidRDefault="00121E71" w:rsidP="004974E0">
            <w:pPr>
              <w:jc w:val="center"/>
              <w:rPr>
                <w:b/>
                <w:sz w:val="20"/>
                <w:szCs w:val="20"/>
              </w:rPr>
            </w:pPr>
            <w:r w:rsidRPr="00E208C5">
              <w:rPr>
                <w:b/>
                <w:sz w:val="20"/>
                <w:szCs w:val="20"/>
              </w:rPr>
              <w:t>%</w:t>
            </w:r>
            <w:r w:rsidR="004974E0" w:rsidRPr="00E208C5">
              <w:rPr>
                <w:b/>
                <w:sz w:val="20"/>
                <w:szCs w:val="20"/>
              </w:rPr>
              <w:t xml:space="preserve"> (n=1657)</w:t>
            </w:r>
          </w:p>
        </w:tc>
      </w:tr>
      <w:tr w:rsidR="00121E71" w:rsidRPr="00E208C5" w14:paraId="25324FE8" w14:textId="77777777" w:rsidTr="00121E71">
        <w:tc>
          <w:tcPr>
            <w:tcW w:w="2310" w:type="dxa"/>
          </w:tcPr>
          <w:p w14:paraId="36C9C456" w14:textId="77777777" w:rsidR="00121E71" w:rsidRPr="00E208C5" w:rsidRDefault="00121E71" w:rsidP="00121E71">
            <w:pPr>
              <w:rPr>
                <w:sz w:val="20"/>
                <w:szCs w:val="20"/>
              </w:rPr>
            </w:pPr>
            <w:r w:rsidRPr="00E208C5">
              <w:rPr>
                <w:sz w:val="20"/>
                <w:szCs w:val="20"/>
              </w:rPr>
              <w:t>Nausea</w:t>
            </w:r>
          </w:p>
        </w:tc>
        <w:tc>
          <w:tcPr>
            <w:tcW w:w="2310" w:type="dxa"/>
          </w:tcPr>
          <w:p w14:paraId="757DEDC8" w14:textId="77777777" w:rsidR="00121E71" w:rsidRPr="00E208C5" w:rsidRDefault="004974E0" w:rsidP="00121E71">
            <w:pPr>
              <w:jc w:val="center"/>
              <w:rPr>
                <w:sz w:val="20"/>
                <w:szCs w:val="20"/>
              </w:rPr>
            </w:pPr>
            <w:r w:rsidRPr="00E208C5">
              <w:rPr>
                <w:sz w:val="20"/>
                <w:szCs w:val="20"/>
              </w:rPr>
              <w:t>17.0</w:t>
            </w:r>
          </w:p>
        </w:tc>
        <w:tc>
          <w:tcPr>
            <w:tcW w:w="2311" w:type="dxa"/>
          </w:tcPr>
          <w:p w14:paraId="7B1809FD" w14:textId="77777777" w:rsidR="004974E0" w:rsidRPr="00E208C5" w:rsidRDefault="004974E0" w:rsidP="004974E0">
            <w:pPr>
              <w:jc w:val="center"/>
              <w:rPr>
                <w:sz w:val="20"/>
                <w:szCs w:val="20"/>
              </w:rPr>
            </w:pPr>
            <w:r w:rsidRPr="00E208C5">
              <w:rPr>
                <w:sz w:val="20"/>
                <w:szCs w:val="20"/>
              </w:rPr>
              <w:t>19.9</w:t>
            </w:r>
          </w:p>
        </w:tc>
        <w:tc>
          <w:tcPr>
            <w:tcW w:w="2311" w:type="dxa"/>
          </w:tcPr>
          <w:p w14:paraId="64442452" w14:textId="77777777" w:rsidR="00121E71" w:rsidRPr="00E208C5" w:rsidRDefault="004974E0" w:rsidP="00121E71">
            <w:pPr>
              <w:jc w:val="center"/>
              <w:rPr>
                <w:sz w:val="20"/>
                <w:szCs w:val="20"/>
              </w:rPr>
            </w:pPr>
            <w:r w:rsidRPr="00E208C5">
              <w:rPr>
                <w:sz w:val="20"/>
                <w:szCs w:val="20"/>
              </w:rPr>
              <w:t>6.3</w:t>
            </w:r>
          </w:p>
        </w:tc>
      </w:tr>
      <w:tr w:rsidR="00121E71" w:rsidRPr="00E208C5" w14:paraId="7F8E5EBD" w14:textId="77777777" w:rsidTr="00121E71">
        <w:tc>
          <w:tcPr>
            <w:tcW w:w="2310" w:type="dxa"/>
          </w:tcPr>
          <w:p w14:paraId="16304343" w14:textId="77777777" w:rsidR="00121E71" w:rsidRPr="00E208C5" w:rsidRDefault="00121E71" w:rsidP="00121E71">
            <w:pPr>
              <w:rPr>
                <w:sz w:val="20"/>
                <w:szCs w:val="20"/>
              </w:rPr>
            </w:pPr>
            <w:r w:rsidRPr="00E208C5">
              <w:rPr>
                <w:sz w:val="20"/>
                <w:szCs w:val="20"/>
              </w:rPr>
              <w:t>Vomiting</w:t>
            </w:r>
          </w:p>
        </w:tc>
        <w:tc>
          <w:tcPr>
            <w:tcW w:w="2310" w:type="dxa"/>
          </w:tcPr>
          <w:p w14:paraId="54911BDC" w14:textId="77777777" w:rsidR="00121E71" w:rsidRPr="00E208C5" w:rsidRDefault="004974E0" w:rsidP="00121E71">
            <w:pPr>
              <w:jc w:val="center"/>
              <w:rPr>
                <w:sz w:val="20"/>
                <w:szCs w:val="20"/>
              </w:rPr>
            </w:pPr>
            <w:r w:rsidRPr="00E208C5">
              <w:rPr>
                <w:sz w:val="20"/>
                <w:szCs w:val="20"/>
              </w:rPr>
              <w:t>6.4</w:t>
            </w:r>
          </w:p>
        </w:tc>
        <w:tc>
          <w:tcPr>
            <w:tcW w:w="2311" w:type="dxa"/>
          </w:tcPr>
          <w:p w14:paraId="5DE69B71" w14:textId="77777777" w:rsidR="00121E71" w:rsidRPr="00E208C5" w:rsidRDefault="004974E0" w:rsidP="00121E71">
            <w:pPr>
              <w:jc w:val="center"/>
              <w:rPr>
                <w:sz w:val="20"/>
                <w:szCs w:val="20"/>
              </w:rPr>
            </w:pPr>
            <w:r w:rsidRPr="00E208C5">
              <w:rPr>
                <w:sz w:val="20"/>
                <w:szCs w:val="20"/>
              </w:rPr>
              <w:t>8.4</w:t>
            </w:r>
          </w:p>
        </w:tc>
        <w:tc>
          <w:tcPr>
            <w:tcW w:w="2311" w:type="dxa"/>
          </w:tcPr>
          <w:p w14:paraId="72E613B1" w14:textId="77777777" w:rsidR="00121E71" w:rsidRPr="00E208C5" w:rsidRDefault="004974E0" w:rsidP="00121E71">
            <w:pPr>
              <w:jc w:val="center"/>
              <w:rPr>
                <w:sz w:val="20"/>
                <w:szCs w:val="20"/>
              </w:rPr>
            </w:pPr>
            <w:r w:rsidRPr="00E208C5">
              <w:rPr>
                <w:sz w:val="20"/>
                <w:szCs w:val="20"/>
              </w:rPr>
              <w:t>3.3</w:t>
            </w:r>
          </w:p>
        </w:tc>
      </w:tr>
      <w:tr w:rsidR="00121E71" w:rsidRPr="00E208C5" w14:paraId="1532538C" w14:textId="77777777" w:rsidTr="00121E71">
        <w:tc>
          <w:tcPr>
            <w:tcW w:w="2310" w:type="dxa"/>
          </w:tcPr>
          <w:p w14:paraId="13D5792A" w14:textId="77777777" w:rsidR="00121E71" w:rsidRPr="00E208C5" w:rsidRDefault="00121E71" w:rsidP="00121E71">
            <w:pPr>
              <w:rPr>
                <w:sz w:val="20"/>
                <w:szCs w:val="20"/>
              </w:rPr>
            </w:pPr>
            <w:r w:rsidRPr="00E208C5">
              <w:rPr>
                <w:sz w:val="20"/>
                <w:szCs w:val="20"/>
              </w:rPr>
              <w:t>Dyspepsia</w:t>
            </w:r>
          </w:p>
        </w:tc>
        <w:tc>
          <w:tcPr>
            <w:tcW w:w="2310" w:type="dxa"/>
          </w:tcPr>
          <w:p w14:paraId="7F960783" w14:textId="77777777" w:rsidR="00121E71" w:rsidRPr="00E208C5" w:rsidRDefault="004974E0" w:rsidP="00121E71">
            <w:pPr>
              <w:jc w:val="center"/>
              <w:rPr>
                <w:sz w:val="20"/>
                <w:szCs w:val="20"/>
              </w:rPr>
            </w:pPr>
            <w:r w:rsidRPr="00E208C5">
              <w:rPr>
                <w:sz w:val="20"/>
                <w:szCs w:val="20"/>
              </w:rPr>
              <w:t>4.1</w:t>
            </w:r>
          </w:p>
        </w:tc>
        <w:tc>
          <w:tcPr>
            <w:tcW w:w="2311" w:type="dxa"/>
          </w:tcPr>
          <w:p w14:paraId="39AB22D4" w14:textId="77777777" w:rsidR="00121E71" w:rsidRPr="00E208C5" w:rsidRDefault="004974E0" w:rsidP="00121E71">
            <w:pPr>
              <w:jc w:val="center"/>
              <w:rPr>
                <w:sz w:val="20"/>
                <w:szCs w:val="20"/>
              </w:rPr>
            </w:pPr>
            <w:r w:rsidRPr="00E208C5">
              <w:rPr>
                <w:sz w:val="20"/>
                <w:szCs w:val="20"/>
              </w:rPr>
              <w:t>5.2</w:t>
            </w:r>
          </w:p>
        </w:tc>
        <w:tc>
          <w:tcPr>
            <w:tcW w:w="2311" w:type="dxa"/>
          </w:tcPr>
          <w:p w14:paraId="7563EAC4" w14:textId="77777777" w:rsidR="00121E71" w:rsidRPr="00E208C5" w:rsidRDefault="004974E0" w:rsidP="00121E71">
            <w:pPr>
              <w:jc w:val="center"/>
              <w:rPr>
                <w:sz w:val="20"/>
                <w:szCs w:val="20"/>
              </w:rPr>
            </w:pPr>
            <w:r w:rsidRPr="00E208C5">
              <w:rPr>
                <w:sz w:val="20"/>
                <w:szCs w:val="20"/>
              </w:rPr>
              <w:t>2.1</w:t>
            </w:r>
          </w:p>
        </w:tc>
      </w:tr>
      <w:tr w:rsidR="00121E71" w:rsidRPr="00E208C5" w14:paraId="5493D755" w14:textId="77777777" w:rsidTr="00121E71">
        <w:tc>
          <w:tcPr>
            <w:tcW w:w="2310" w:type="dxa"/>
          </w:tcPr>
          <w:p w14:paraId="46BBDC87" w14:textId="77777777" w:rsidR="00121E71" w:rsidRPr="00E208C5" w:rsidRDefault="00121E71" w:rsidP="00121E71">
            <w:pPr>
              <w:rPr>
                <w:sz w:val="20"/>
                <w:szCs w:val="20"/>
              </w:rPr>
            </w:pPr>
            <w:r w:rsidRPr="00E208C5">
              <w:rPr>
                <w:sz w:val="20"/>
                <w:szCs w:val="20"/>
              </w:rPr>
              <w:t>Diarrhoea</w:t>
            </w:r>
          </w:p>
        </w:tc>
        <w:tc>
          <w:tcPr>
            <w:tcW w:w="2310" w:type="dxa"/>
          </w:tcPr>
          <w:p w14:paraId="30080980" w14:textId="77777777" w:rsidR="00121E71" w:rsidRPr="00E208C5" w:rsidRDefault="004974E0" w:rsidP="00121E71">
            <w:pPr>
              <w:jc w:val="center"/>
              <w:rPr>
                <w:sz w:val="20"/>
                <w:szCs w:val="20"/>
              </w:rPr>
            </w:pPr>
            <w:r w:rsidRPr="00E208C5">
              <w:rPr>
                <w:sz w:val="20"/>
                <w:szCs w:val="20"/>
              </w:rPr>
              <w:t>12.2</w:t>
            </w:r>
          </w:p>
        </w:tc>
        <w:tc>
          <w:tcPr>
            <w:tcW w:w="2311" w:type="dxa"/>
          </w:tcPr>
          <w:p w14:paraId="3F6140E7" w14:textId="77777777" w:rsidR="00121E71" w:rsidRPr="00E208C5" w:rsidRDefault="004974E0" w:rsidP="00121E71">
            <w:pPr>
              <w:jc w:val="center"/>
              <w:rPr>
                <w:sz w:val="20"/>
                <w:szCs w:val="20"/>
              </w:rPr>
            </w:pPr>
            <w:r w:rsidRPr="00E208C5">
              <w:rPr>
                <w:sz w:val="20"/>
                <w:szCs w:val="20"/>
              </w:rPr>
              <w:t>13.3</w:t>
            </w:r>
          </w:p>
        </w:tc>
        <w:tc>
          <w:tcPr>
            <w:tcW w:w="2311" w:type="dxa"/>
          </w:tcPr>
          <w:p w14:paraId="1103A9C0" w14:textId="77777777" w:rsidR="00121E71" w:rsidRPr="00E208C5" w:rsidRDefault="004974E0" w:rsidP="00121E71">
            <w:pPr>
              <w:jc w:val="center"/>
              <w:rPr>
                <w:sz w:val="20"/>
                <w:szCs w:val="20"/>
              </w:rPr>
            </w:pPr>
            <w:r w:rsidRPr="00E208C5">
              <w:rPr>
                <w:sz w:val="20"/>
                <w:szCs w:val="20"/>
              </w:rPr>
              <w:t>5.7</w:t>
            </w:r>
          </w:p>
        </w:tc>
      </w:tr>
      <w:tr w:rsidR="00121E71" w:rsidRPr="00E208C5" w14:paraId="021F3D50" w14:textId="77777777" w:rsidTr="00121E71">
        <w:tc>
          <w:tcPr>
            <w:tcW w:w="2310" w:type="dxa"/>
          </w:tcPr>
          <w:p w14:paraId="46B8B4A4" w14:textId="77777777" w:rsidR="00121E71" w:rsidRPr="00E208C5" w:rsidRDefault="00121E71" w:rsidP="00121E71">
            <w:pPr>
              <w:rPr>
                <w:sz w:val="20"/>
                <w:szCs w:val="20"/>
              </w:rPr>
            </w:pPr>
            <w:r w:rsidRPr="00E208C5">
              <w:rPr>
                <w:sz w:val="20"/>
                <w:szCs w:val="20"/>
              </w:rPr>
              <w:t>Constipation</w:t>
            </w:r>
          </w:p>
        </w:tc>
        <w:tc>
          <w:tcPr>
            <w:tcW w:w="2310" w:type="dxa"/>
          </w:tcPr>
          <w:p w14:paraId="36F6CC79" w14:textId="77777777" w:rsidR="00121E71" w:rsidRPr="00E208C5" w:rsidRDefault="004974E0" w:rsidP="00121E71">
            <w:pPr>
              <w:jc w:val="center"/>
              <w:rPr>
                <w:sz w:val="20"/>
                <w:szCs w:val="20"/>
              </w:rPr>
            </w:pPr>
            <w:r w:rsidRPr="00E208C5">
              <w:rPr>
                <w:sz w:val="20"/>
                <w:szCs w:val="20"/>
              </w:rPr>
              <w:t>6.9</w:t>
            </w:r>
          </w:p>
        </w:tc>
        <w:tc>
          <w:tcPr>
            <w:tcW w:w="2311" w:type="dxa"/>
          </w:tcPr>
          <w:p w14:paraId="350F1014" w14:textId="77777777" w:rsidR="00121E71" w:rsidRPr="00E208C5" w:rsidRDefault="004974E0" w:rsidP="00121E71">
            <w:pPr>
              <w:jc w:val="center"/>
              <w:rPr>
                <w:sz w:val="20"/>
                <w:szCs w:val="20"/>
              </w:rPr>
            </w:pPr>
            <w:r w:rsidRPr="00E208C5">
              <w:rPr>
                <w:sz w:val="20"/>
                <w:szCs w:val="20"/>
              </w:rPr>
              <w:t>6.2</w:t>
            </w:r>
          </w:p>
        </w:tc>
        <w:tc>
          <w:tcPr>
            <w:tcW w:w="2311" w:type="dxa"/>
          </w:tcPr>
          <w:p w14:paraId="1DE8AC1B" w14:textId="77777777" w:rsidR="00121E71" w:rsidRPr="00E208C5" w:rsidRDefault="004974E0" w:rsidP="00121E71">
            <w:pPr>
              <w:jc w:val="center"/>
              <w:rPr>
                <w:sz w:val="20"/>
                <w:szCs w:val="20"/>
              </w:rPr>
            </w:pPr>
            <w:r w:rsidRPr="00E208C5">
              <w:rPr>
                <w:sz w:val="20"/>
                <w:szCs w:val="20"/>
              </w:rPr>
              <w:t>2.7</w:t>
            </w:r>
          </w:p>
        </w:tc>
      </w:tr>
      <w:tr w:rsidR="00121E71" w:rsidRPr="00E208C5" w14:paraId="6BDD9D4E" w14:textId="77777777" w:rsidTr="00121E71">
        <w:tc>
          <w:tcPr>
            <w:tcW w:w="2310" w:type="dxa"/>
          </w:tcPr>
          <w:p w14:paraId="037FCDB4" w14:textId="77777777" w:rsidR="00121E71" w:rsidRPr="00E208C5" w:rsidRDefault="00121E71" w:rsidP="00121E71">
            <w:pPr>
              <w:rPr>
                <w:sz w:val="20"/>
                <w:szCs w:val="20"/>
              </w:rPr>
            </w:pPr>
            <w:r w:rsidRPr="00E208C5">
              <w:rPr>
                <w:sz w:val="20"/>
                <w:szCs w:val="20"/>
              </w:rPr>
              <w:t>Nasopharyngitis</w:t>
            </w:r>
          </w:p>
        </w:tc>
        <w:tc>
          <w:tcPr>
            <w:tcW w:w="2310" w:type="dxa"/>
          </w:tcPr>
          <w:p w14:paraId="5903293D" w14:textId="77777777" w:rsidR="00121E71" w:rsidRPr="00E208C5" w:rsidRDefault="004974E0" w:rsidP="00121E71">
            <w:pPr>
              <w:jc w:val="center"/>
              <w:rPr>
                <w:sz w:val="20"/>
                <w:szCs w:val="20"/>
              </w:rPr>
            </w:pPr>
            <w:r w:rsidRPr="00E208C5">
              <w:rPr>
                <w:sz w:val="20"/>
                <w:szCs w:val="20"/>
              </w:rPr>
              <w:t>14.5</w:t>
            </w:r>
          </w:p>
        </w:tc>
        <w:tc>
          <w:tcPr>
            <w:tcW w:w="2311" w:type="dxa"/>
          </w:tcPr>
          <w:p w14:paraId="6951F87E" w14:textId="77777777" w:rsidR="00121E71" w:rsidRPr="00E208C5" w:rsidRDefault="004974E0" w:rsidP="00121E71">
            <w:pPr>
              <w:jc w:val="center"/>
              <w:rPr>
                <w:sz w:val="20"/>
                <w:szCs w:val="20"/>
              </w:rPr>
            </w:pPr>
            <w:r w:rsidRPr="00E208C5">
              <w:rPr>
                <w:sz w:val="20"/>
                <w:szCs w:val="20"/>
              </w:rPr>
              <w:t>10.7</w:t>
            </w:r>
          </w:p>
        </w:tc>
        <w:tc>
          <w:tcPr>
            <w:tcW w:w="2311" w:type="dxa"/>
          </w:tcPr>
          <w:p w14:paraId="08B6E78C" w14:textId="77777777" w:rsidR="00121E71" w:rsidRPr="00E208C5" w:rsidRDefault="004974E0" w:rsidP="00121E71">
            <w:pPr>
              <w:jc w:val="center"/>
              <w:rPr>
                <w:sz w:val="20"/>
                <w:szCs w:val="20"/>
              </w:rPr>
            </w:pPr>
            <w:r w:rsidRPr="00E208C5">
              <w:rPr>
                <w:sz w:val="20"/>
                <w:szCs w:val="20"/>
              </w:rPr>
              <w:t>13.8</w:t>
            </w:r>
          </w:p>
        </w:tc>
      </w:tr>
      <w:tr w:rsidR="00121E71" w:rsidRPr="00E208C5" w14:paraId="050A3BDF" w14:textId="77777777" w:rsidTr="00121E71">
        <w:tc>
          <w:tcPr>
            <w:tcW w:w="2310" w:type="dxa"/>
          </w:tcPr>
          <w:p w14:paraId="2FE8A310" w14:textId="77777777" w:rsidR="00121E71" w:rsidRPr="00E208C5" w:rsidRDefault="00121E71" w:rsidP="00121E71">
            <w:pPr>
              <w:rPr>
                <w:sz w:val="20"/>
                <w:szCs w:val="20"/>
              </w:rPr>
            </w:pPr>
            <w:r w:rsidRPr="00E208C5">
              <w:rPr>
                <w:sz w:val="20"/>
                <w:szCs w:val="20"/>
              </w:rPr>
              <w:t>Lipase increased</w:t>
            </w:r>
          </w:p>
        </w:tc>
        <w:tc>
          <w:tcPr>
            <w:tcW w:w="2310" w:type="dxa"/>
          </w:tcPr>
          <w:p w14:paraId="0AC45BAE" w14:textId="77777777" w:rsidR="00121E71" w:rsidRPr="00E208C5" w:rsidRDefault="004974E0" w:rsidP="00121E71">
            <w:pPr>
              <w:jc w:val="center"/>
              <w:rPr>
                <w:sz w:val="20"/>
                <w:szCs w:val="20"/>
              </w:rPr>
            </w:pPr>
            <w:r w:rsidRPr="00E208C5">
              <w:rPr>
                <w:sz w:val="20"/>
                <w:szCs w:val="20"/>
              </w:rPr>
              <w:t>8.7</w:t>
            </w:r>
          </w:p>
        </w:tc>
        <w:tc>
          <w:tcPr>
            <w:tcW w:w="2311" w:type="dxa"/>
          </w:tcPr>
          <w:p w14:paraId="29FDE4E6" w14:textId="77777777" w:rsidR="00121E71" w:rsidRPr="00E208C5" w:rsidRDefault="004974E0" w:rsidP="00121E71">
            <w:pPr>
              <w:jc w:val="center"/>
              <w:rPr>
                <w:sz w:val="20"/>
                <w:szCs w:val="20"/>
              </w:rPr>
            </w:pPr>
            <w:r w:rsidRPr="00E208C5">
              <w:rPr>
                <w:sz w:val="20"/>
                <w:szCs w:val="20"/>
              </w:rPr>
              <w:t>8.5</w:t>
            </w:r>
          </w:p>
        </w:tc>
        <w:tc>
          <w:tcPr>
            <w:tcW w:w="2311" w:type="dxa"/>
          </w:tcPr>
          <w:p w14:paraId="0C43185C" w14:textId="77777777" w:rsidR="00121E71" w:rsidRPr="00E208C5" w:rsidRDefault="004974E0" w:rsidP="00121E71">
            <w:pPr>
              <w:jc w:val="center"/>
              <w:rPr>
                <w:sz w:val="20"/>
                <w:szCs w:val="20"/>
              </w:rPr>
            </w:pPr>
            <w:r w:rsidRPr="00E208C5">
              <w:rPr>
                <w:sz w:val="20"/>
                <w:szCs w:val="20"/>
              </w:rPr>
              <w:t>6.3</w:t>
            </w:r>
          </w:p>
        </w:tc>
      </w:tr>
      <w:tr w:rsidR="00121E71" w:rsidRPr="00E208C5" w14:paraId="0AAEF82B" w14:textId="77777777" w:rsidTr="00121E71">
        <w:tc>
          <w:tcPr>
            <w:tcW w:w="2310" w:type="dxa"/>
          </w:tcPr>
          <w:p w14:paraId="74A78132" w14:textId="77777777" w:rsidR="00121E71" w:rsidRPr="00E208C5" w:rsidRDefault="00121E71" w:rsidP="00121E71">
            <w:pPr>
              <w:rPr>
                <w:sz w:val="20"/>
                <w:szCs w:val="20"/>
              </w:rPr>
            </w:pPr>
            <w:r w:rsidRPr="00E208C5">
              <w:rPr>
                <w:sz w:val="20"/>
                <w:szCs w:val="20"/>
              </w:rPr>
              <w:t>Headache</w:t>
            </w:r>
          </w:p>
        </w:tc>
        <w:tc>
          <w:tcPr>
            <w:tcW w:w="2310" w:type="dxa"/>
          </w:tcPr>
          <w:p w14:paraId="59145B4A" w14:textId="77777777" w:rsidR="00121E71" w:rsidRPr="00E208C5" w:rsidRDefault="004974E0" w:rsidP="00121E71">
            <w:pPr>
              <w:jc w:val="center"/>
              <w:rPr>
                <w:sz w:val="20"/>
                <w:szCs w:val="20"/>
              </w:rPr>
            </w:pPr>
            <w:r w:rsidRPr="00E208C5">
              <w:rPr>
                <w:sz w:val="20"/>
                <w:szCs w:val="20"/>
              </w:rPr>
              <w:t>5.3</w:t>
            </w:r>
          </w:p>
        </w:tc>
        <w:tc>
          <w:tcPr>
            <w:tcW w:w="2311" w:type="dxa"/>
          </w:tcPr>
          <w:p w14:paraId="7CFF1719" w14:textId="77777777" w:rsidR="00121E71" w:rsidRPr="00E208C5" w:rsidRDefault="004974E0" w:rsidP="00121E71">
            <w:pPr>
              <w:jc w:val="center"/>
              <w:rPr>
                <w:sz w:val="20"/>
                <w:szCs w:val="20"/>
              </w:rPr>
            </w:pPr>
            <w:r w:rsidRPr="00E208C5">
              <w:rPr>
                <w:sz w:val="20"/>
                <w:szCs w:val="20"/>
              </w:rPr>
              <w:t>6.4</w:t>
            </w:r>
          </w:p>
        </w:tc>
        <w:tc>
          <w:tcPr>
            <w:tcW w:w="2311" w:type="dxa"/>
          </w:tcPr>
          <w:p w14:paraId="61260587" w14:textId="77777777" w:rsidR="00121E71" w:rsidRPr="00E208C5" w:rsidRDefault="004974E0" w:rsidP="00121E71">
            <w:pPr>
              <w:jc w:val="center"/>
              <w:rPr>
                <w:sz w:val="20"/>
                <w:szCs w:val="20"/>
              </w:rPr>
            </w:pPr>
            <w:r w:rsidRPr="00E208C5">
              <w:rPr>
                <w:sz w:val="20"/>
                <w:szCs w:val="20"/>
              </w:rPr>
              <w:t>5.5</w:t>
            </w:r>
          </w:p>
        </w:tc>
      </w:tr>
      <w:tr w:rsidR="00121E71" w:rsidRPr="00E208C5" w14:paraId="4372EE4B" w14:textId="77777777" w:rsidTr="00121E71">
        <w:tc>
          <w:tcPr>
            <w:tcW w:w="2310" w:type="dxa"/>
          </w:tcPr>
          <w:p w14:paraId="75734137" w14:textId="77777777" w:rsidR="00121E71" w:rsidRPr="00E208C5" w:rsidRDefault="00121E71" w:rsidP="00121E71">
            <w:pPr>
              <w:rPr>
                <w:sz w:val="20"/>
                <w:szCs w:val="20"/>
              </w:rPr>
            </w:pPr>
            <w:r w:rsidRPr="00E208C5">
              <w:rPr>
                <w:sz w:val="20"/>
                <w:szCs w:val="20"/>
              </w:rPr>
              <w:t>Decreased appetite</w:t>
            </w:r>
          </w:p>
        </w:tc>
        <w:tc>
          <w:tcPr>
            <w:tcW w:w="2310" w:type="dxa"/>
          </w:tcPr>
          <w:p w14:paraId="6199D2A4" w14:textId="77777777" w:rsidR="00121E71" w:rsidRPr="00E208C5" w:rsidRDefault="004974E0" w:rsidP="00121E71">
            <w:pPr>
              <w:jc w:val="center"/>
              <w:rPr>
                <w:sz w:val="20"/>
                <w:szCs w:val="20"/>
              </w:rPr>
            </w:pPr>
            <w:r w:rsidRPr="00E208C5">
              <w:rPr>
                <w:sz w:val="20"/>
                <w:szCs w:val="20"/>
              </w:rPr>
              <w:t>6.3</w:t>
            </w:r>
          </w:p>
        </w:tc>
        <w:tc>
          <w:tcPr>
            <w:tcW w:w="2311" w:type="dxa"/>
          </w:tcPr>
          <w:p w14:paraId="6532BA90" w14:textId="77777777" w:rsidR="00121E71" w:rsidRPr="00E208C5" w:rsidRDefault="004974E0" w:rsidP="00121E71">
            <w:pPr>
              <w:jc w:val="center"/>
              <w:rPr>
                <w:sz w:val="20"/>
                <w:szCs w:val="20"/>
              </w:rPr>
            </w:pPr>
            <w:r w:rsidRPr="00E208C5">
              <w:rPr>
                <w:sz w:val="20"/>
                <w:szCs w:val="20"/>
              </w:rPr>
              <w:t>7.2</w:t>
            </w:r>
          </w:p>
        </w:tc>
        <w:tc>
          <w:tcPr>
            <w:tcW w:w="2311" w:type="dxa"/>
          </w:tcPr>
          <w:p w14:paraId="662C101C" w14:textId="77777777" w:rsidR="00121E71" w:rsidRPr="00E208C5" w:rsidRDefault="004974E0" w:rsidP="00121E71">
            <w:pPr>
              <w:jc w:val="center"/>
              <w:rPr>
                <w:sz w:val="20"/>
                <w:szCs w:val="20"/>
              </w:rPr>
            </w:pPr>
            <w:r w:rsidRPr="00E208C5">
              <w:rPr>
                <w:sz w:val="20"/>
                <w:szCs w:val="20"/>
              </w:rPr>
              <w:t>2.0</w:t>
            </w:r>
          </w:p>
        </w:tc>
      </w:tr>
    </w:tbl>
    <w:p w14:paraId="2B2C9135" w14:textId="77777777" w:rsidR="00121E71" w:rsidRPr="00E208C5" w:rsidRDefault="00121E71" w:rsidP="00121E71"/>
    <w:p w14:paraId="67CB6F8D" w14:textId="43352BD3" w:rsidR="00C44B67" w:rsidRPr="00FC4CA6" w:rsidRDefault="00AF7AB3" w:rsidP="00AF7AB3">
      <w:pPr>
        <w:pStyle w:val="Heading4"/>
      </w:pPr>
      <w:r w:rsidRPr="00E208C5">
        <w:t>Adverse Reactions</w:t>
      </w:r>
    </w:p>
    <w:p w14:paraId="02835123" w14:textId="5F551552" w:rsidR="00AF7AB3" w:rsidRPr="00E208C5" w:rsidRDefault="00AF7AB3" w:rsidP="00AF7AB3">
      <w:pPr>
        <w:rPr>
          <w:iCs/>
        </w:rPr>
      </w:pPr>
      <w:r w:rsidRPr="00BA57A4">
        <w:rPr>
          <w:iCs/>
        </w:rPr>
        <w:t xml:space="preserve">Table </w:t>
      </w:r>
      <w:r w:rsidR="00273BA0" w:rsidRPr="00BA57A4">
        <w:rPr>
          <w:iCs/>
        </w:rPr>
        <w:t>2</w:t>
      </w:r>
      <w:r w:rsidRPr="00BA57A4">
        <w:rPr>
          <w:iCs/>
        </w:rPr>
        <w:t xml:space="preserve"> lists adverse reactions identified in phase 3a trials in patients with type 2 diabetes (further described in section </w:t>
      </w:r>
      <w:r w:rsidR="00A373B1" w:rsidRPr="00BA57A4">
        <w:rPr>
          <w:iCs/>
        </w:rPr>
        <w:t>5</w:t>
      </w:r>
      <w:r w:rsidRPr="00BA57A4">
        <w:rPr>
          <w:iCs/>
        </w:rPr>
        <w:t>.1</w:t>
      </w:r>
      <w:r w:rsidR="00273BA0" w:rsidRPr="00BA57A4">
        <w:rPr>
          <w:iCs/>
        </w:rPr>
        <w:t xml:space="preserve"> Pharmacodynamic Properties</w:t>
      </w:r>
      <w:r w:rsidRPr="00BA57A4">
        <w:rPr>
          <w:iCs/>
        </w:rPr>
        <w:t>). The fr</w:t>
      </w:r>
      <w:r w:rsidRPr="00E208C5">
        <w:rPr>
          <w:iCs/>
        </w:rPr>
        <w:t>equencies of the adverse reactions are based on a pool of the phase 3a trials excluding the cardiovascular outcomes trial.</w:t>
      </w:r>
    </w:p>
    <w:p w14:paraId="02CC6830" w14:textId="77777777" w:rsidR="00AF7AB3" w:rsidRPr="00E208C5" w:rsidRDefault="00AF7AB3" w:rsidP="00AF7AB3">
      <w:r w:rsidRPr="00E208C5">
        <w:lastRenderedPageBreak/>
        <w:t>The reactions are listed below by system organ class and absolute frequency. Frequencies are defined as: very common: (≥1/10); common: (≥1/100 to &lt;1/10); uncommon (≥1/1,000 to &lt;1/100); rare: (≥1/10,000 to &lt;1/1,000); and very rare: (&lt;1/10,000). Within each frequency grouping, adverse reactions are presented in order of decreasing seriousness.</w:t>
      </w:r>
    </w:p>
    <w:p w14:paraId="76C59CF4" w14:textId="60397713" w:rsidR="00AF7AB3" w:rsidRPr="00FC4CA6" w:rsidRDefault="00AF7AB3" w:rsidP="00AF7AB3">
      <w:pPr>
        <w:rPr>
          <w:b/>
          <w:bCs/>
        </w:rPr>
      </w:pPr>
      <w:bookmarkStart w:id="5" w:name="_Ref509307287"/>
      <w:bookmarkStart w:id="6" w:name="_Toc514933351"/>
      <w:bookmarkStart w:id="7" w:name="_Toc514933434"/>
      <w:bookmarkStart w:id="8" w:name="_GoBack"/>
      <w:bookmarkEnd w:id="8"/>
      <w:r w:rsidRPr="00E208C5">
        <w:rPr>
          <w:b/>
          <w:bCs/>
        </w:rPr>
        <w:t xml:space="preserve">Table </w:t>
      </w:r>
      <w:r w:rsidRPr="00FC4CA6">
        <w:rPr>
          <w:b/>
          <w:bCs/>
        </w:rPr>
        <w:fldChar w:fldCharType="begin"/>
      </w:r>
      <w:r w:rsidRPr="00FC4CA6">
        <w:rPr>
          <w:b/>
          <w:bCs/>
        </w:rPr>
        <w:instrText xml:space="preserve"> SEQ Table \* ARABIC \s 1 </w:instrText>
      </w:r>
      <w:r w:rsidRPr="00FC4CA6">
        <w:rPr>
          <w:b/>
          <w:bCs/>
        </w:rPr>
        <w:fldChar w:fldCharType="separate"/>
      </w:r>
      <w:r w:rsidR="003F4E02" w:rsidRPr="00FC4CA6">
        <w:rPr>
          <w:b/>
          <w:bCs/>
          <w:noProof/>
        </w:rPr>
        <w:t>2</w:t>
      </w:r>
      <w:r w:rsidRPr="00FC4CA6">
        <w:fldChar w:fldCharType="end"/>
      </w:r>
      <w:bookmarkEnd w:id="5"/>
      <w:r w:rsidRPr="00FC4CA6">
        <w:t xml:space="preserve">: </w:t>
      </w:r>
      <w:r w:rsidRPr="00FC4CA6">
        <w:rPr>
          <w:b/>
          <w:bCs/>
        </w:rPr>
        <w:t>Adverse reactions from controlled phase 3a trials</w:t>
      </w:r>
      <w:bookmarkEnd w:id="6"/>
      <w:bookmarkEnd w:id="7"/>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36"/>
        <w:gridCol w:w="1836"/>
        <w:gridCol w:w="1836"/>
        <w:gridCol w:w="1836"/>
      </w:tblGrid>
      <w:tr w:rsidR="00AF7AB3" w:rsidRPr="00E208C5" w14:paraId="5E81C184" w14:textId="77777777" w:rsidTr="00AF7AB3">
        <w:tc>
          <w:tcPr>
            <w:tcW w:w="1000" w:type="pct"/>
            <w:tcBorders>
              <w:top w:val="single" w:sz="4" w:space="0" w:color="auto"/>
              <w:left w:val="single" w:sz="4" w:space="0" w:color="auto"/>
              <w:bottom w:val="single" w:sz="4" w:space="0" w:color="auto"/>
              <w:right w:val="single" w:sz="4" w:space="0" w:color="auto"/>
            </w:tcBorders>
            <w:vAlign w:val="center"/>
            <w:hideMark/>
          </w:tcPr>
          <w:p w14:paraId="1623313A" w14:textId="77777777" w:rsidR="00AF7AB3" w:rsidRPr="00E208C5" w:rsidRDefault="00AF7AB3" w:rsidP="00121E71">
            <w:pPr>
              <w:pStyle w:val="TableText"/>
              <w:rPr>
                <w:b/>
                <w:szCs w:val="20"/>
                <w:lang w:val="en-AU"/>
              </w:rPr>
            </w:pPr>
            <w:r w:rsidRPr="00E208C5">
              <w:rPr>
                <w:b/>
                <w:szCs w:val="20"/>
                <w:lang w:val="en-AU"/>
              </w:rPr>
              <w:t>MedDRA</w:t>
            </w:r>
          </w:p>
          <w:p w14:paraId="5F244254" w14:textId="77777777" w:rsidR="00AF7AB3" w:rsidRPr="00E208C5" w:rsidRDefault="00AF7AB3" w:rsidP="00121E71">
            <w:pPr>
              <w:pStyle w:val="TableText"/>
              <w:rPr>
                <w:b/>
                <w:szCs w:val="20"/>
                <w:lang w:val="en-AU"/>
              </w:rPr>
            </w:pPr>
            <w:r w:rsidRPr="00E208C5">
              <w:rPr>
                <w:b/>
                <w:szCs w:val="20"/>
                <w:lang w:val="en-AU"/>
              </w:rPr>
              <w:t>system organ</w:t>
            </w:r>
          </w:p>
          <w:p w14:paraId="0D117C91" w14:textId="77777777" w:rsidR="00AF7AB3" w:rsidRPr="00E208C5" w:rsidRDefault="00AF7AB3" w:rsidP="00121E71">
            <w:pPr>
              <w:pStyle w:val="TableText"/>
              <w:rPr>
                <w:b/>
                <w:szCs w:val="20"/>
                <w:lang w:val="en-AU"/>
              </w:rPr>
            </w:pPr>
            <w:r w:rsidRPr="00E208C5">
              <w:rPr>
                <w:b/>
                <w:szCs w:val="20"/>
                <w:lang w:val="en-AU"/>
              </w:rPr>
              <w:t>class</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2E4774D" w14:textId="77777777" w:rsidR="00AF7AB3" w:rsidRPr="00E208C5" w:rsidRDefault="00AF7AB3" w:rsidP="00121E71">
            <w:pPr>
              <w:pStyle w:val="TableText"/>
              <w:rPr>
                <w:b/>
                <w:szCs w:val="20"/>
                <w:lang w:val="en-AU"/>
              </w:rPr>
            </w:pPr>
            <w:r w:rsidRPr="00E208C5">
              <w:rPr>
                <w:b/>
                <w:szCs w:val="20"/>
                <w:lang w:val="en-AU"/>
              </w:rPr>
              <w:t>Very common</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1C1C0C1" w14:textId="77777777" w:rsidR="00AF7AB3" w:rsidRPr="00E208C5" w:rsidRDefault="00AF7AB3" w:rsidP="00121E71">
            <w:pPr>
              <w:pStyle w:val="TableText"/>
              <w:rPr>
                <w:b/>
                <w:szCs w:val="20"/>
                <w:lang w:val="en-AU"/>
              </w:rPr>
            </w:pPr>
            <w:r w:rsidRPr="00E208C5">
              <w:rPr>
                <w:b/>
                <w:szCs w:val="20"/>
                <w:lang w:val="en-AU"/>
              </w:rPr>
              <w:t>Common</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10C88A6" w14:textId="77777777" w:rsidR="00AF7AB3" w:rsidRPr="00E208C5" w:rsidRDefault="00AF7AB3" w:rsidP="00121E71">
            <w:pPr>
              <w:pStyle w:val="TableText"/>
              <w:rPr>
                <w:b/>
                <w:szCs w:val="20"/>
                <w:lang w:val="en-AU"/>
              </w:rPr>
            </w:pPr>
            <w:r w:rsidRPr="00E208C5">
              <w:rPr>
                <w:b/>
                <w:szCs w:val="20"/>
                <w:lang w:val="en-AU"/>
              </w:rPr>
              <w:t>Uncommon</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8E32EA9" w14:textId="77777777" w:rsidR="00AF7AB3" w:rsidRPr="00E208C5" w:rsidRDefault="00AF7AB3" w:rsidP="00121E71">
            <w:pPr>
              <w:pStyle w:val="TableText"/>
              <w:rPr>
                <w:b/>
                <w:szCs w:val="20"/>
                <w:lang w:val="en-AU"/>
              </w:rPr>
            </w:pPr>
            <w:r w:rsidRPr="00E208C5">
              <w:rPr>
                <w:b/>
                <w:szCs w:val="20"/>
                <w:lang w:val="en-AU"/>
              </w:rPr>
              <w:t>Rare</w:t>
            </w:r>
          </w:p>
        </w:tc>
      </w:tr>
      <w:tr w:rsidR="00AF7AB3" w:rsidRPr="00E208C5" w14:paraId="72D81378" w14:textId="77777777" w:rsidTr="00AF7AB3">
        <w:trPr>
          <w:trHeight w:val="399"/>
        </w:trPr>
        <w:tc>
          <w:tcPr>
            <w:tcW w:w="1000" w:type="pct"/>
            <w:tcBorders>
              <w:top w:val="single" w:sz="4" w:space="0" w:color="auto"/>
              <w:left w:val="single" w:sz="4" w:space="0" w:color="auto"/>
              <w:bottom w:val="single" w:sz="4" w:space="0" w:color="auto"/>
              <w:right w:val="single" w:sz="4" w:space="0" w:color="auto"/>
            </w:tcBorders>
            <w:hideMark/>
          </w:tcPr>
          <w:p w14:paraId="32E9C0AB" w14:textId="77777777" w:rsidR="00AF7AB3" w:rsidRPr="00E208C5" w:rsidRDefault="00AF7AB3" w:rsidP="00121E71">
            <w:pPr>
              <w:pStyle w:val="TableText"/>
              <w:rPr>
                <w:szCs w:val="20"/>
                <w:lang w:val="en-AU"/>
              </w:rPr>
            </w:pPr>
            <w:r w:rsidRPr="00E208C5">
              <w:rPr>
                <w:szCs w:val="20"/>
                <w:lang w:val="en-AU"/>
              </w:rPr>
              <w:t xml:space="preserve">Immune-system disorders </w:t>
            </w:r>
          </w:p>
        </w:tc>
        <w:tc>
          <w:tcPr>
            <w:tcW w:w="1000" w:type="pct"/>
            <w:tcBorders>
              <w:top w:val="single" w:sz="4" w:space="0" w:color="auto"/>
              <w:left w:val="single" w:sz="4" w:space="0" w:color="auto"/>
              <w:bottom w:val="single" w:sz="4" w:space="0" w:color="auto"/>
              <w:right w:val="single" w:sz="4" w:space="0" w:color="auto"/>
            </w:tcBorders>
          </w:tcPr>
          <w:p w14:paraId="4C91202F"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768C9086"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hideMark/>
          </w:tcPr>
          <w:p w14:paraId="099162A3"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2981C7BB" w14:textId="77777777" w:rsidR="00AF7AB3" w:rsidRPr="00E208C5" w:rsidRDefault="00AF7AB3" w:rsidP="00121E71">
            <w:pPr>
              <w:pStyle w:val="TableText"/>
              <w:rPr>
                <w:szCs w:val="20"/>
                <w:lang w:val="en-AU"/>
              </w:rPr>
            </w:pPr>
            <w:r w:rsidRPr="00E208C5">
              <w:rPr>
                <w:szCs w:val="20"/>
                <w:lang w:val="en-AU"/>
              </w:rPr>
              <w:t>Anaphylactic reaction</w:t>
            </w:r>
          </w:p>
        </w:tc>
      </w:tr>
      <w:tr w:rsidR="00AF7AB3" w:rsidRPr="00E208C5" w14:paraId="1A80635D" w14:textId="77777777" w:rsidTr="00AF7AB3">
        <w:trPr>
          <w:trHeight w:val="399"/>
        </w:trPr>
        <w:tc>
          <w:tcPr>
            <w:tcW w:w="1000" w:type="pct"/>
            <w:tcBorders>
              <w:top w:val="single" w:sz="4" w:space="0" w:color="auto"/>
              <w:left w:val="single" w:sz="4" w:space="0" w:color="auto"/>
              <w:bottom w:val="single" w:sz="4" w:space="0" w:color="auto"/>
              <w:right w:val="single" w:sz="4" w:space="0" w:color="auto"/>
            </w:tcBorders>
            <w:hideMark/>
          </w:tcPr>
          <w:p w14:paraId="666FC7D2" w14:textId="77777777" w:rsidR="00AF7AB3" w:rsidRPr="00E208C5" w:rsidRDefault="00AF7AB3" w:rsidP="00121E71">
            <w:pPr>
              <w:pStyle w:val="TableText"/>
              <w:rPr>
                <w:szCs w:val="20"/>
                <w:lang w:val="en-AU"/>
              </w:rPr>
            </w:pPr>
            <w:r w:rsidRPr="00E208C5">
              <w:rPr>
                <w:szCs w:val="20"/>
                <w:lang w:val="en-AU"/>
              </w:rPr>
              <w:t xml:space="preserve">Metabolism and nutrition disorders </w:t>
            </w:r>
          </w:p>
        </w:tc>
        <w:tc>
          <w:tcPr>
            <w:tcW w:w="1000" w:type="pct"/>
            <w:tcBorders>
              <w:top w:val="single" w:sz="4" w:space="0" w:color="auto"/>
              <w:left w:val="single" w:sz="4" w:space="0" w:color="auto"/>
              <w:bottom w:val="single" w:sz="4" w:space="0" w:color="auto"/>
              <w:right w:val="single" w:sz="4" w:space="0" w:color="auto"/>
            </w:tcBorders>
            <w:hideMark/>
          </w:tcPr>
          <w:p w14:paraId="6951AC69" w14:textId="77777777" w:rsidR="00AF7AB3" w:rsidRPr="00E208C5" w:rsidRDefault="00AF7AB3" w:rsidP="00121E71">
            <w:pPr>
              <w:pStyle w:val="TableText"/>
              <w:rPr>
                <w:szCs w:val="20"/>
                <w:lang w:val="en-AU"/>
              </w:rPr>
            </w:pPr>
            <w:proofErr w:type="spellStart"/>
            <w:r w:rsidRPr="00E208C5">
              <w:rPr>
                <w:szCs w:val="20"/>
                <w:lang w:val="en-AU"/>
              </w:rPr>
              <w:t>Hypoglycaemia</w:t>
            </w:r>
            <w:r w:rsidRPr="00E208C5">
              <w:rPr>
                <w:szCs w:val="20"/>
                <w:vertAlign w:val="superscript"/>
                <w:lang w:val="en-AU"/>
              </w:rPr>
              <w:t>a</w:t>
            </w:r>
            <w:proofErr w:type="spellEnd"/>
            <w:r w:rsidRPr="00E208C5">
              <w:rPr>
                <w:szCs w:val="20"/>
                <w:lang w:val="en-AU"/>
              </w:rPr>
              <w:t xml:space="preserve"> when used with insulin or sulfonylurea</w:t>
            </w:r>
          </w:p>
        </w:tc>
        <w:tc>
          <w:tcPr>
            <w:tcW w:w="1000" w:type="pct"/>
            <w:tcBorders>
              <w:top w:val="single" w:sz="4" w:space="0" w:color="auto"/>
              <w:left w:val="single" w:sz="4" w:space="0" w:color="auto"/>
              <w:bottom w:val="single" w:sz="4" w:space="0" w:color="auto"/>
              <w:right w:val="single" w:sz="4" w:space="0" w:color="auto"/>
            </w:tcBorders>
          </w:tcPr>
          <w:p w14:paraId="7D503246" w14:textId="77777777" w:rsidR="00AF7AB3" w:rsidRPr="00E208C5" w:rsidRDefault="00AF7AB3" w:rsidP="00121E71">
            <w:pPr>
              <w:pStyle w:val="TableText"/>
              <w:rPr>
                <w:szCs w:val="20"/>
                <w:lang w:val="en-AU"/>
              </w:rPr>
            </w:pPr>
            <w:proofErr w:type="spellStart"/>
            <w:r w:rsidRPr="00E208C5">
              <w:rPr>
                <w:szCs w:val="20"/>
                <w:lang w:val="en-AU"/>
              </w:rPr>
              <w:t>Hypoglycaemia</w:t>
            </w:r>
            <w:r w:rsidRPr="00E208C5">
              <w:rPr>
                <w:szCs w:val="20"/>
                <w:vertAlign w:val="superscript"/>
                <w:lang w:val="en-AU"/>
              </w:rPr>
              <w:t>a</w:t>
            </w:r>
            <w:proofErr w:type="spellEnd"/>
            <w:r w:rsidRPr="00E208C5">
              <w:rPr>
                <w:szCs w:val="20"/>
                <w:lang w:val="en-AU"/>
              </w:rPr>
              <w:t xml:space="preserve"> when used with other OADs</w:t>
            </w:r>
          </w:p>
          <w:p w14:paraId="08A5AA7C" w14:textId="77777777" w:rsidR="00AF7AB3" w:rsidRPr="00E208C5" w:rsidRDefault="00AF7AB3" w:rsidP="00121E71">
            <w:pPr>
              <w:pStyle w:val="TableText"/>
              <w:rPr>
                <w:szCs w:val="20"/>
                <w:lang w:val="en-AU"/>
              </w:rPr>
            </w:pPr>
            <w:r w:rsidRPr="00E208C5">
              <w:rPr>
                <w:szCs w:val="20"/>
                <w:lang w:val="en-AU"/>
              </w:rPr>
              <w:t>Decreased appetite</w:t>
            </w:r>
          </w:p>
        </w:tc>
        <w:tc>
          <w:tcPr>
            <w:tcW w:w="1000" w:type="pct"/>
            <w:tcBorders>
              <w:top w:val="single" w:sz="4" w:space="0" w:color="auto"/>
              <w:left w:val="single" w:sz="4" w:space="0" w:color="auto"/>
              <w:bottom w:val="single" w:sz="4" w:space="0" w:color="auto"/>
              <w:right w:val="single" w:sz="4" w:space="0" w:color="auto"/>
            </w:tcBorders>
          </w:tcPr>
          <w:p w14:paraId="5689FEAF"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06FC5CCA" w14:textId="77777777" w:rsidR="00AF7AB3" w:rsidRPr="00E208C5" w:rsidRDefault="00AF7AB3" w:rsidP="00121E71">
            <w:pPr>
              <w:pStyle w:val="TableText"/>
              <w:rPr>
                <w:szCs w:val="20"/>
                <w:lang w:val="en-AU"/>
              </w:rPr>
            </w:pPr>
          </w:p>
        </w:tc>
      </w:tr>
      <w:tr w:rsidR="00AF7AB3" w:rsidRPr="00E208C5" w14:paraId="725ED510" w14:textId="77777777" w:rsidTr="00AF7AB3">
        <w:trPr>
          <w:trHeight w:val="399"/>
        </w:trPr>
        <w:tc>
          <w:tcPr>
            <w:tcW w:w="1000" w:type="pct"/>
            <w:tcBorders>
              <w:top w:val="single" w:sz="4" w:space="0" w:color="auto"/>
              <w:left w:val="single" w:sz="4" w:space="0" w:color="auto"/>
              <w:bottom w:val="single" w:sz="4" w:space="0" w:color="auto"/>
              <w:right w:val="single" w:sz="4" w:space="0" w:color="auto"/>
            </w:tcBorders>
          </w:tcPr>
          <w:p w14:paraId="4A70A02E" w14:textId="77777777" w:rsidR="00AF7AB3" w:rsidRPr="00E208C5" w:rsidRDefault="00AF7AB3" w:rsidP="00121E71">
            <w:pPr>
              <w:pStyle w:val="TableText"/>
              <w:rPr>
                <w:szCs w:val="20"/>
                <w:lang w:val="en-AU"/>
              </w:rPr>
            </w:pPr>
            <w:r w:rsidRPr="00E208C5">
              <w:rPr>
                <w:szCs w:val="20"/>
                <w:lang w:val="en-AU"/>
              </w:rPr>
              <w:t>Nervous system disorders</w:t>
            </w:r>
          </w:p>
        </w:tc>
        <w:tc>
          <w:tcPr>
            <w:tcW w:w="1000" w:type="pct"/>
            <w:tcBorders>
              <w:top w:val="single" w:sz="4" w:space="0" w:color="auto"/>
              <w:left w:val="single" w:sz="4" w:space="0" w:color="auto"/>
              <w:bottom w:val="single" w:sz="4" w:space="0" w:color="auto"/>
              <w:right w:val="single" w:sz="4" w:space="0" w:color="auto"/>
            </w:tcBorders>
          </w:tcPr>
          <w:p w14:paraId="5DBDE3CB"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58D8CFD7" w14:textId="77777777" w:rsidR="00AF7AB3" w:rsidRPr="00E208C5" w:rsidRDefault="00AF7AB3" w:rsidP="00121E71">
            <w:pPr>
              <w:pStyle w:val="TableText"/>
              <w:rPr>
                <w:szCs w:val="20"/>
                <w:lang w:val="en-AU"/>
              </w:rPr>
            </w:pPr>
            <w:r w:rsidRPr="00E208C5">
              <w:rPr>
                <w:szCs w:val="20"/>
                <w:lang w:val="en-AU"/>
              </w:rPr>
              <w:t>Dizziness</w:t>
            </w:r>
          </w:p>
          <w:p w14:paraId="10AA56EE"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71D5AA8C" w14:textId="77777777" w:rsidR="00AF7AB3" w:rsidRPr="00E208C5" w:rsidRDefault="00AF7AB3" w:rsidP="00121E71">
            <w:pPr>
              <w:pStyle w:val="TableText"/>
              <w:rPr>
                <w:szCs w:val="20"/>
                <w:lang w:val="en-AU"/>
              </w:rPr>
            </w:pPr>
            <w:r w:rsidRPr="00E208C5">
              <w:rPr>
                <w:szCs w:val="20"/>
                <w:lang w:val="en-AU"/>
              </w:rPr>
              <w:t>Dysgeusia</w:t>
            </w:r>
          </w:p>
        </w:tc>
        <w:tc>
          <w:tcPr>
            <w:tcW w:w="1000" w:type="pct"/>
            <w:tcBorders>
              <w:top w:val="single" w:sz="4" w:space="0" w:color="auto"/>
              <w:left w:val="single" w:sz="4" w:space="0" w:color="auto"/>
              <w:bottom w:val="single" w:sz="4" w:space="0" w:color="auto"/>
              <w:right w:val="single" w:sz="4" w:space="0" w:color="auto"/>
            </w:tcBorders>
          </w:tcPr>
          <w:p w14:paraId="2CFC9EA4" w14:textId="77777777" w:rsidR="00AF7AB3" w:rsidRPr="00E208C5" w:rsidRDefault="00AF7AB3" w:rsidP="00121E71">
            <w:pPr>
              <w:pStyle w:val="TableText"/>
              <w:rPr>
                <w:szCs w:val="20"/>
                <w:lang w:val="en-AU"/>
              </w:rPr>
            </w:pPr>
          </w:p>
        </w:tc>
      </w:tr>
      <w:tr w:rsidR="00AF7AB3" w:rsidRPr="00E208C5" w14:paraId="516706F9" w14:textId="77777777" w:rsidTr="00AF7AB3">
        <w:trPr>
          <w:trHeight w:val="399"/>
        </w:trPr>
        <w:tc>
          <w:tcPr>
            <w:tcW w:w="1000" w:type="pct"/>
            <w:tcBorders>
              <w:top w:val="single" w:sz="4" w:space="0" w:color="auto"/>
              <w:left w:val="single" w:sz="4" w:space="0" w:color="auto"/>
              <w:bottom w:val="single" w:sz="4" w:space="0" w:color="auto"/>
              <w:right w:val="single" w:sz="4" w:space="0" w:color="auto"/>
            </w:tcBorders>
          </w:tcPr>
          <w:p w14:paraId="3B20BEB3" w14:textId="77777777" w:rsidR="00AF7AB3" w:rsidRPr="00E208C5" w:rsidRDefault="00AF7AB3" w:rsidP="00121E71">
            <w:pPr>
              <w:pStyle w:val="TableText"/>
              <w:rPr>
                <w:szCs w:val="20"/>
                <w:lang w:val="en-AU"/>
              </w:rPr>
            </w:pPr>
            <w:r w:rsidRPr="00E208C5">
              <w:rPr>
                <w:szCs w:val="20"/>
                <w:lang w:val="en-AU"/>
              </w:rPr>
              <w:t>Eye disorders</w:t>
            </w:r>
          </w:p>
        </w:tc>
        <w:tc>
          <w:tcPr>
            <w:tcW w:w="1000" w:type="pct"/>
            <w:tcBorders>
              <w:top w:val="single" w:sz="4" w:space="0" w:color="auto"/>
              <w:left w:val="single" w:sz="4" w:space="0" w:color="auto"/>
              <w:bottom w:val="single" w:sz="4" w:space="0" w:color="auto"/>
              <w:right w:val="single" w:sz="4" w:space="0" w:color="auto"/>
            </w:tcBorders>
          </w:tcPr>
          <w:p w14:paraId="7240A47A"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34F2D927" w14:textId="77777777" w:rsidR="00AF7AB3" w:rsidRPr="00E208C5" w:rsidRDefault="00AF7AB3" w:rsidP="00121E71">
            <w:pPr>
              <w:pStyle w:val="TableText"/>
              <w:rPr>
                <w:szCs w:val="20"/>
                <w:lang w:val="en-AU"/>
              </w:rPr>
            </w:pPr>
            <w:r w:rsidRPr="00E208C5">
              <w:rPr>
                <w:szCs w:val="20"/>
                <w:lang w:val="en-AU"/>
              </w:rPr>
              <w:t>Diabetic retinopathy</w:t>
            </w:r>
          </w:p>
          <w:p w14:paraId="63817852" w14:textId="77777777" w:rsidR="00AF7AB3" w:rsidRPr="00E208C5" w:rsidRDefault="00AF7AB3" w:rsidP="00121E71">
            <w:pPr>
              <w:pStyle w:val="TableText"/>
              <w:rPr>
                <w:szCs w:val="20"/>
                <w:vertAlign w:val="superscript"/>
                <w:lang w:val="en-AU"/>
              </w:rPr>
            </w:pPr>
            <w:proofErr w:type="spellStart"/>
            <w:r w:rsidRPr="00E208C5">
              <w:rPr>
                <w:szCs w:val="20"/>
                <w:lang w:val="en-AU"/>
              </w:rPr>
              <w:t>complications</w:t>
            </w:r>
            <w:r w:rsidRPr="00E208C5">
              <w:rPr>
                <w:szCs w:val="20"/>
                <w:vertAlign w:val="superscript"/>
                <w:lang w:val="en-AU"/>
              </w:rPr>
              <w:t>b</w:t>
            </w:r>
            <w:proofErr w:type="spellEnd"/>
          </w:p>
        </w:tc>
        <w:tc>
          <w:tcPr>
            <w:tcW w:w="1000" w:type="pct"/>
            <w:tcBorders>
              <w:top w:val="single" w:sz="4" w:space="0" w:color="auto"/>
              <w:left w:val="single" w:sz="4" w:space="0" w:color="auto"/>
              <w:bottom w:val="single" w:sz="4" w:space="0" w:color="auto"/>
              <w:right w:val="single" w:sz="4" w:space="0" w:color="auto"/>
            </w:tcBorders>
          </w:tcPr>
          <w:p w14:paraId="78F1C2BE"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6DC8F4DF" w14:textId="77777777" w:rsidR="00AF7AB3" w:rsidRPr="00E208C5" w:rsidRDefault="00AF7AB3" w:rsidP="00121E71">
            <w:pPr>
              <w:pStyle w:val="TableText"/>
              <w:rPr>
                <w:szCs w:val="20"/>
                <w:lang w:val="en-AU"/>
              </w:rPr>
            </w:pPr>
          </w:p>
        </w:tc>
      </w:tr>
      <w:tr w:rsidR="00AF7AB3" w:rsidRPr="00E208C5" w14:paraId="7C4EE688" w14:textId="77777777" w:rsidTr="00AF7AB3">
        <w:trPr>
          <w:trHeight w:val="482"/>
        </w:trPr>
        <w:tc>
          <w:tcPr>
            <w:tcW w:w="1000" w:type="pct"/>
            <w:tcBorders>
              <w:top w:val="single" w:sz="4" w:space="0" w:color="auto"/>
              <w:left w:val="single" w:sz="4" w:space="0" w:color="auto"/>
              <w:bottom w:val="single" w:sz="4" w:space="0" w:color="auto"/>
              <w:right w:val="single" w:sz="4" w:space="0" w:color="auto"/>
            </w:tcBorders>
            <w:hideMark/>
          </w:tcPr>
          <w:p w14:paraId="788350F3" w14:textId="77777777" w:rsidR="00AF7AB3" w:rsidRPr="00E208C5" w:rsidRDefault="00AF7AB3" w:rsidP="00121E71">
            <w:pPr>
              <w:pStyle w:val="TableText"/>
              <w:rPr>
                <w:szCs w:val="20"/>
                <w:lang w:val="en-AU"/>
              </w:rPr>
            </w:pPr>
            <w:r w:rsidRPr="00E208C5">
              <w:rPr>
                <w:szCs w:val="20"/>
                <w:lang w:val="en-AU"/>
              </w:rPr>
              <w:t xml:space="preserve">Cardiac disorders </w:t>
            </w:r>
          </w:p>
        </w:tc>
        <w:tc>
          <w:tcPr>
            <w:tcW w:w="1000" w:type="pct"/>
            <w:tcBorders>
              <w:top w:val="single" w:sz="4" w:space="0" w:color="auto"/>
              <w:left w:val="single" w:sz="4" w:space="0" w:color="auto"/>
              <w:bottom w:val="single" w:sz="4" w:space="0" w:color="auto"/>
              <w:right w:val="single" w:sz="4" w:space="0" w:color="auto"/>
            </w:tcBorders>
          </w:tcPr>
          <w:p w14:paraId="60C579F4"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12E47344"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hideMark/>
          </w:tcPr>
          <w:p w14:paraId="6126A136" w14:textId="77777777" w:rsidR="00AF7AB3" w:rsidRPr="00E208C5" w:rsidRDefault="00AF7AB3" w:rsidP="00121E71">
            <w:pPr>
              <w:pStyle w:val="TableText"/>
              <w:rPr>
                <w:szCs w:val="20"/>
                <w:lang w:val="en-AU"/>
              </w:rPr>
            </w:pPr>
            <w:r w:rsidRPr="00E208C5">
              <w:rPr>
                <w:szCs w:val="20"/>
                <w:lang w:val="en-AU"/>
              </w:rPr>
              <w:t>Increased heart rate</w:t>
            </w:r>
          </w:p>
        </w:tc>
        <w:tc>
          <w:tcPr>
            <w:tcW w:w="1000" w:type="pct"/>
            <w:tcBorders>
              <w:top w:val="single" w:sz="4" w:space="0" w:color="auto"/>
              <w:left w:val="single" w:sz="4" w:space="0" w:color="auto"/>
              <w:bottom w:val="single" w:sz="4" w:space="0" w:color="auto"/>
              <w:right w:val="single" w:sz="4" w:space="0" w:color="auto"/>
            </w:tcBorders>
          </w:tcPr>
          <w:p w14:paraId="22038696" w14:textId="77777777" w:rsidR="00AF7AB3" w:rsidRPr="00E208C5" w:rsidRDefault="00AF7AB3" w:rsidP="00121E71">
            <w:pPr>
              <w:pStyle w:val="TableText"/>
              <w:rPr>
                <w:szCs w:val="20"/>
                <w:lang w:val="en-AU"/>
              </w:rPr>
            </w:pPr>
          </w:p>
        </w:tc>
      </w:tr>
      <w:tr w:rsidR="00AF7AB3" w:rsidRPr="00E208C5" w14:paraId="6E54FD8D" w14:textId="77777777" w:rsidTr="00AF7AB3">
        <w:trPr>
          <w:trHeight w:val="482"/>
        </w:trPr>
        <w:tc>
          <w:tcPr>
            <w:tcW w:w="1000" w:type="pct"/>
            <w:tcBorders>
              <w:top w:val="single" w:sz="4" w:space="0" w:color="auto"/>
              <w:left w:val="single" w:sz="4" w:space="0" w:color="auto"/>
              <w:bottom w:val="single" w:sz="4" w:space="0" w:color="auto"/>
              <w:right w:val="single" w:sz="4" w:space="0" w:color="auto"/>
            </w:tcBorders>
            <w:hideMark/>
          </w:tcPr>
          <w:p w14:paraId="79EED887" w14:textId="77777777" w:rsidR="00AF7AB3" w:rsidRPr="00E208C5" w:rsidRDefault="00AF7AB3" w:rsidP="00121E71">
            <w:pPr>
              <w:pStyle w:val="TableText"/>
              <w:rPr>
                <w:szCs w:val="20"/>
                <w:lang w:val="en-AU"/>
              </w:rPr>
            </w:pPr>
            <w:r w:rsidRPr="00E208C5">
              <w:rPr>
                <w:szCs w:val="20"/>
                <w:lang w:val="en-AU"/>
              </w:rPr>
              <w:t xml:space="preserve">Gastrointestinal disorders </w:t>
            </w:r>
          </w:p>
        </w:tc>
        <w:tc>
          <w:tcPr>
            <w:tcW w:w="1000" w:type="pct"/>
            <w:tcBorders>
              <w:top w:val="single" w:sz="4" w:space="0" w:color="auto"/>
              <w:left w:val="single" w:sz="4" w:space="0" w:color="auto"/>
              <w:bottom w:val="single" w:sz="4" w:space="0" w:color="auto"/>
              <w:right w:val="single" w:sz="4" w:space="0" w:color="auto"/>
            </w:tcBorders>
            <w:hideMark/>
          </w:tcPr>
          <w:p w14:paraId="5AF5AD40" w14:textId="77777777" w:rsidR="00AF7AB3" w:rsidRPr="00E208C5" w:rsidRDefault="00AF7AB3" w:rsidP="00121E71">
            <w:pPr>
              <w:pStyle w:val="TableText"/>
              <w:rPr>
                <w:szCs w:val="20"/>
                <w:lang w:val="en-AU"/>
              </w:rPr>
            </w:pPr>
            <w:r w:rsidRPr="00E208C5">
              <w:rPr>
                <w:szCs w:val="20"/>
                <w:lang w:val="en-AU"/>
              </w:rPr>
              <w:t>Nausea</w:t>
            </w:r>
          </w:p>
          <w:p w14:paraId="1E0453FB" w14:textId="77777777" w:rsidR="00AF7AB3" w:rsidRPr="00E208C5" w:rsidRDefault="00AF7AB3" w:rsidP="00121E71">
            <w:pPr>
              <w:pStyle w:val="TableText"/>
              <w:rPr>
                <w:szCs w:val="20"/>
                <w:lang w:val="en-AU"/>
              </w:rPr>
            </w:pPr>
            <w:r w:rsidRPr="00E208C5">
              <w:rPr>
                <w:szCs w:val="20"/>
                <w:lang w:val="en-AU"/>
              </w:rPr>
              <w:t>Diarrhoea</w:t>
            </w:r>
          </w:p>
        </w:tc>
        <w:tc>
          <w:tcPr>
            <w:tcW w:w="1000" w:type="pct"/>
            <w:tcBorders>
              <w:top w:val="single" w:sz="4" w:space="0" w:color="auto"/>
              <w:left w:val="single" w:sz="4" w:space="0" w:color="auto"/>
              <w:bottom w:val="single" w:sz="4" w:space="0" w:color="auto"/>
              <w:right w:val="single" w:sz="4" w:space="0" w:color="auto"/>
            </w:tcBorders>
            <w:hideMark/>
          </w:tcPr>
          <w:p w14:paraId="271694F5" w14:textId="77777777" w:rsidR="00AF7AB3" w:rsidRPr="00E208C5" w:rsidRDefault="00AF7AB3" w:rsidP="00121E71">
            <w:pPr>
              <w:pStyle w:val="TableText"/>
              <w:rPr>
                <w:szCs w:val="20"/>
                <w:lang w:val="en-AU"/>
              </w:rPr>
            </w:pPr>
            <w:r w:rsidRPr="00E208C5">
              <w:rPr>
                <w:szCs w:val="20"/>
                <w:lang w:val="en-AU"/>
              </w:rPr>
              <w:t>Vomiting</w:t>
            </w:r>
          </w:p>
          <w:p w14:paraId="285D4D80" w14:textId="77777777" w:rsidR="00AF7AB3" w:rsidRPr="00E208C5" w:rsidRDefault="00AF7AB3" w:rsidP="00121E71">
            <w:pPr>
              <w:pStyle w:val="TableText"/>
              <w:rPr>
                <w:szCs w:val="20"/>
                <w:lang w:val="en-AU"/>
              </w:rPr>
            </w:pPr>
            <w:r w:rsidRPr="00E208C5">
              <w:rPr>
                <w:szCs w:val="20"/>
                <w:lang w:val="en-AU"/>
              </w:rPr>
              <w:t>Abdominal pain</w:t>
            </w:r>
          </w:p>
          <w:p w14:paraId="1E7300D1" w14:textId="77777777" w:rsidR="00AF7AB3" w:rsidRPr="00E208C5" w:rsidRDefault="00AF7AB3" w:rsidP="00121E71">
            <w:pPr>
              <w:pStyle w:val="TableText"/>
              <w:rPr>
                <w:szCs w:val="20"/>
                <w:lang w:val="en-AU"/>
              </w:rPr>
            </w:pPr>
            <w:r w:rsidRPr="00E208C5">
              <w:rPr>
                <w:szCs w:val="20"/>
                <w:lang w:val="en-AU"/>
              </w:rPr>
              <w:t>Abdominal distension</w:t>
            </w:r>
          </w:p>
          <w:p w14:paraId="3CF3192F" w14:textId="77777777" w:rsidR="00AF7AB3" w:rsidRPr="00E208C5" w:rsidRDefault="00AF7AB3" w:rsidP="00121E71">
            <w:pPr>
              <w:pStyle w:val="TableText"/>
              <w:rPr>
                <w:szCs w:val="20"/>
                <w:lang w:val="en-AU"/>
              </w:rPr>
            </w:pPr>
            <w:r w:rsidRPr="00E208C5">
              <w:rPr>
                <w:szCs w:val="20"/>
                <w:lang w:val="en-AU"/>
              </w:rPr>
              <w:t>Constipation</w:t>
            </w:r>
          </w:p>
          <w:p w14:paraId="5519EFF2" w14:textId="77777777" w:rsidR="00AF7AB3" w:rsidRPr="00E208C5" w:rsidRDefault="00AF7AB3" w:rsidP="00121E71">
            <w:pPr>
              <w:pStyle w:val="TableText"/>
              <w:rPr>
                <w:szCs w:val="20"/>
                <w:lang w:val="en-AU"/>
              </w:rPr>
            </w:pPr>
            <w:r w:rsidRPr="00E208C5">
              <w:rPr>
                <w:szCs w:val="20"/>
                <w:lang w:val="en-AU"/>
              </w:rPr>
              <w:t>Dyspepsia</w:t>
            </w:r>
          </w:p>
          <w:p w14:paraId="5F1708E1" w14:textId="77777777" w:rsidR="00AF7AB3" w:rsidRPr="00E208C5" w:rsidRDefault="00AF7AB3" w:rsidP="00121E71">
            <w:pPr>
              <w:pStyle w:val="TableText"/>
              <w:rPr>
                <w:szCs w:val="20"/>
                <w:lang w:val="en-AU"/>
              </w:rPr>
            </w:pPr>
            <w:r w:rsidRPr="00E208C5">
              <w:rPr>
                <w:szCs w:val="20"/>
                <w:lang w:val="en-AU"/>
              </w:rPr>
              <w:t>Gastritis</w:t>
            </w:r>
          </w:p>
          <w:p w14:paraId="11BC8425" w14:textId="77777777" w:rsidR="00AF7AB3" w:rsidRPr="00E208C5" w:rsidRDefault="00AF7AB3" w:rsidP="00121E71">
            <w:pPr>
              <w:pStyle w:val="TableText"/>
              <w:rPr>
                <w:szCs w:val="20"/>
                <w:lang w:val="en-AU"/>
              </w:rPr>
            </w:pPr>
            <w:r w:rsidRPr="00E208C5">
              <w:rPr>
                <w:szCs w:val="20"/>
                <w:lang w:val="en-AU"/>
              </w:rPr>
              <w:t>Gastro-oesophageal</w:t>
            </w:r>
          </w:p>
          <w:p w14:paraId="08264235" w14:textId="77777777" w:rsidR="00AF7AB3" w:rsidRPr="00E208C5" w:rsidRDefault="00AF7AB3" w:rsidP="00121E71">
            <w:pPr>
              <w:pStyle w:val="TableText"/>
              <w:rPr>
                <w:szCs w:val="20"/>
                <w:lang w:val="en-AU"/>
              </w:rPr>
            </w:pPr>
            <w:r w:rsidRPr="00E208C5">
              <w:rPr>
                <w:szCs w:val="20"/>
                <w:lang w:val="en-AU"/>
              </w:rPr>
              <w:t>reflux disease</w:t>
            </w:r>
          </w:p>
          <w:p w14:paraId="3EC698A9" w14:textId="77777777" w:rsidR="00AF7AB3" w:rsidRPr="00E208C5" w:rsidRDefault="00AF7AB3" w:rsidP="00121E71">
            <w:pPr>
              <w:pStyle w:val="TableText"/>
              <w:rPr>
                <w:szCs w:val="20"/>
                <w:lang w:val="en-AU"/>
              </w:rPr>
            </w:pPr>
            <w:r w:rsidRPr="00E208C5">
              <w:rPr>
                <w:szCs w:val="20"/>
                <w:lang w:val="en-AU"/>
              </w:rPr>
              <w:t>Eructation</w:t>
            </w:r>
          </w:p>
          <w:p w14:paraId="63DB6814" w14:textId="77777777" w:rsidR="00AF7AB3" w:rsidRPr="00E208C5" w:rsidRDefault="00AF7AB3" w:rsidP="00121E71">
            <w:pPr>
              <w:pStyle w:val="TableText"/>
              <w:rPr>
                <w:szCs w:val="20"/>
                <w:lang w:val="en-AU"/>
              </w:rPr>
            </w:pPr>
            <w:r w:rsidRPr="00E208C5">
              <w:rPr>
                <w:szCs w:val="20"/>
                <w:lang w:val="en-AU"/>
              </w:rPr>
              <w:t>Flatulence</w:t>
            </w:r>
          </w:p>
        </w:tc>
        <w:tc>
          <w:tcPr>
            <w:tcW w:w="1000" w:type="pct"/>
            <w:tcBorders>
              <w:top w:val="single" w:sz="4" w:space="0" w:color="auto"/>
              <w:left w:val="single" w:sz="4" w:space="0" w:color="auto"/>
              <w:bottom w:val="single" w:sz="4" w:space="0" w:color="auto"/>
              <w:right w:val="single" w:sz="4" w:space="0" w:color="auto"/>
            </w:tcBorders>
            <w:hideMark/>
          </w:tcPr>
          <w:p w14:paraId="7334BB8D"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490C0CD4" w14:textId="77777777" w:rsidR="00AF7AB3" w:rsidRPr="00E208C5" w:rsidRDefault="00AF7AB3" w:rsidP="00121E71">
            <w:pPr>
              <w:pStyle w:val="TableText"/>
              <w:rPr>
                <w:szCs w:val="20"/>
                <w:lang w:val="en-AU"/>
              </w:rPr>
            </w:pPr>
          </w:p>
        </w:tc>
      </w:tr>
      <w:tr w:rsidR="00AF7AB3" w:rsidRPr="00E208C5" w14:paraId="31E52BEF" w14:textId="77777777" w:rsidTr="00AF7AB3">
        <w:trPr>
          <w:trHeight w:val="482"/>
        </w:trPr>
        <w:tc>
          <w:tcPr>
            <w:tcW w:w="1000" w:type="pct"/>
            <w:tcBorders>
              <w:top w:val="single" w:sz="4" w:space="0" w:color="auto"/>
              <w:left w:val="single" w:sz="4" w:space="0" w:color="auto"/>
              <w:bottom w:val="single" w:sz="4" w:space="0" w:color="auto"/>
              <w:right w:val="single" w:sz="4" w:space="0" w:color="auto"/>
            </w:tcBorders>
            <w:hideMark/>
          </w:tcPr>
          <w:p w14:paraId="4D8FF093" w14:textId="77777777" w:rsidR="00AF7AB3" w:rsidRPr="00E208C5" w:rsidRDefault="00AF7AB3" w:rsidP="00121E71">
            <w:pPr>
              <w:pStyle w:val="TableText"/>
              <w:rPr>
                <w:szCs w:val="20"/>
                <w:lang w:val="en-AU"/>
              </w:rPr>
            </w:pPr>
            <w:r w:rsidRPr="00E208C5">
              <w:rPr>
                <w:szCs w:val="20"/>
                <w:lang w:val="en-AU"/>
              </w:rPr>
              <w:t xml:space="preserve">Hepatobiliary disorders </w:t>
            </w:r>
          </w:p>
        </w:tc>
        <w:tc>
          <w:tcPr>
            <w:tcW w:w="1000" w:type="pct"/>
            <w:tcBorders>
              <w:top w:val="single" w:sz="4" w:space="0" w:color="auto"/>
              <w:left w:val="single" w:sz="4" w:space="0" w:color="auto"/>
              <w:bottom w:val="single" w:sz="4" w:space="0" w:color="auto"/>
              <w:right w:val="single" w:sz="4" w:space="0" w:color="auto"/>
            </w:tcBorders>
          </w:tcPr>
          <w:p w14:paraId="260D160A"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hideMark/>
          </w:tcPr>
          <w:p w14:paraId="5F1340EB" w14:textId="77777777" w:rsidR="00AF7AB3" w:rsidRPr="00E208C5" w:rsidRDefault="00AF7AB3" w:rsidP="00121E71">
            <w:pPr>
              <w:pStyle w:val="TableText"/>
              <w:rPr>
                <w:szCs w:val="20"/>
                <w:lang w:val="en-AU"/>
              </w:rPr>
            </w:pPr>
            <w:r w:rsidRPr="00E208C5">
              <w:rPr>
                <w:szCs w:val="20"/>
                <w:lang w:val="en-AU"/>
              </w:rPr>
              <w:t>Cholelithiasis</w:t>
            </w:r>
          </w:p>
        </w:tc>
        <w:tc>
          <w:tcPr>
            <w:tcW w:w="1000" w:type="pct"/>
            <w:tcBorders>
              <w:top w:val="single" w:sz="4" w:space="0" w:color="auto"/>
              <w:left w:val="single" w:sz="4" w:space="0" w:color="auto"/>
              <w:bottom w:val="single" w:sz="4" w:space="0" w:color="auto"/>
              <w:right w:val="single" w:sz="4" w:space="0" w:color="auto"/>
            </w:tcBorders>
          </w:tcPr>
          <w:p w14:paraId="00AE558F"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3B150ECA" w14:textId="77777777" w:rsidR="00AF7AB3" w:rsidRPr="00E208C5" w:rsidRDefault="00AF7AB3" w:rsidP="00121E71">
            <w:pPr>
              <w:pStyle w:val="TableText"/>
              <w:rPr>
                <w:szCs w:val="20"/>
                <w:lang w:val="en-AU"/>
              </w:rPr>
            </w:pPr>
          </w:p>
        </w:tc>
      </w:tr>
      <w:tr w:rsidR="00AF7AB3" w:rsidRPr="00E208C5" w14:paraId="0021746D" w14:textId="77777777" w:rsidTr="00AF7AB3">
        <w:trPr>
          <w:trHeight w:val="482"/>
        </w:trPr>
        <w:tc>
          <w:tcPr>
            <w:tcW w:w="1000" w:type="pct"/>
            <w:tcBorders>
              <w:top w:val="single" w:sz="4" w:space="0" w:color="auto"/>
              <w:left w:val="single" w:sz="4" w:space="0" w:color="auto"/>
              <w:bottom w:val="single" w:sz="4" w:space="0" w:color="auto"/>
              <w:right w:val="single" w:sz="4" w:space="0" w:color="auto"/>
            </w:tcBorders>
            <w:hideMark/>
          </w:tcPr>
          <w:p w14:paraId="3FD338E1" w14:textId="77777777" w:rsidR="00AF7AB3" w:rsidRPr="00E208C5" w:rsidRDefault="00AF7AB3" w:rsidP="00121E71">
            <w:pPr>
              <w:pStyle w:val="TableText"/>
              <w:rPr>
                <w:szCs w:val="20"/>
                <w:lang w:val="en-AU"/>
              </w:rPr>
            </w:pPr>
            <w:r w:rsidRPr="00E208C5">
              <w:rPr>
                <w:szCs w:val="20"/>
                <w:lang w:val="en-AU"/>
              </w:rPr>
              <w:t xml:space="preserve">General disorders  and administration site conditions </w:t>
            </w:r>
          </w:p>
        </w:tc>
        <w:tc>
          <w:tcPr>
            <w:tcW w:w="1000" w:type="pct"/>
            <w:tcBorders>
              <w:top w:val="single" w:sz="4" w:space="0" w:color="auto"/>
              <w:left w:val="single" w:sz="4" w:space="0" w:color="auto"/>
              <w:bottom w:val="single" w:sz="4" w:space="0" w:color="auto"/>
              <w:right w:val="single" w:sz="4" w:space="0" w:color="auto"/>
            </w:tcBorders>
          </w:tcPr>
          <w:p w14:paraId="2539ED67"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3A553DD8" w14:textId="77777777" w:rsidR="00AF7AB3" w:rsidRPr="00E208C5" w:rsidRDefault="00AF7AB3" w:rsidP="00121E71">
            <w:pPr>
              <w:pStyle w:val="TableText"/>
              <w:rPr>
                <w:szCs w:val="20"/>
                <w:lang w:val="en-AU"/>
              </w:rPr>
            </w:pPr>
            <w:r w:rsidRPr="00E208C5">
              <w:rPr>
                <w:szCs w:val="20"/>
                <w:lang w:val="en-AU"/>
              </w:rPr>
              <w:t>Fatigue</w:t>
            </w:r>
          </w:p>
        </w:tc>
        <w:tc>
          <w:tcPr>
            <w:tcW w:w="1000" w:type="pct"/>
            <w:tcBorders>
              <w:top w:val="single" w:sz="4" w:space="0" w:color="auto"/>
              <w:left w:val="single" w:sz="4" w:space="0" w:color="auto"/>
              <w:bottom w:val="single" w:sz="4" w:space="0" w:color="auto"/>
              <w:right w:val="single" w:sz="4" w:space="0" w:color="auto"/>
            </w:tcBorders>
            <w:hideMark/>
          </w:tcPr>
          <w:p w14:paraId="73324E7F" w14:textId="77777777" w:rsidR="00AF7AB3" w:rsidRPr="00E208C5" w:rsidRDefault="00AF7AB3" w:rsidP="00121E71">
            <w:pPr>
              <w:pStyle w:val="TableText"/>
              <w:rPr>
                <w:szCs w:val="20"/>
                <w:lang w:val="en-AU"/>
              </w:rPr>
            </w:pPr>
            <w:r w:rsidRPr="00E208C5">
              <w:rPr>
                <w:szCs w:val="20"/>
                <w:lang w:val="en-AU"/>
              </w:rPr>
              <w:t>Injection site reactions</w:t>
            </w:r>
          </w:p>
        </w:tc>
        <w:tc>
          <w:tcPr>
            <w:tcW w:w="1000" w:type="pct"/>
            <w:tcBorders>
              <w:top w:val="single" w:sz="4" w:space="0" w:color="auto"/>
              <w:left w:val="single" w:sz="4" w:space="0" w:color="auto"/>
              <w:bottom w:val="single" w:sz="4" w:space="0" w:color="auto"/>
              <w:right w:val="single" w:sz="4" w:space="0" w:color="auto"/>
            </w:tcBorders>
          </w:tcPr>
          <w:p w14:paraId="6BFA65D4" w14:textId="77777777" w:rsidR="00AF7AB3" w:rsidRPr="00E208C5" w:rsidRDefault="00AF7AB3" w:rsidP="00121E71">
            <w:pPr>
              <w:pStyle w:val="TableText"/>
              <w:rPr>
                <w:szCs w:val="20"/>
                <w:lang w:val="en-AU"/>
              </w:rPr>
            </w:pPr>
          </w:p>
        </w:tc>
      </w:tr>
      <w:tr w:rsidR="00AF7AB3" w:rsidRPr="00E208C5" w14:paraId="6F59AD74" w14:textId="77777777" w:rsidTr="00AF7AB3">
        <w:trPr>
          <w:trHeight w:val="482"/>
        </w:trPr>
        <w:tc>
          <w:tcPr>
            <w:tcW w:w="1000" w:type="pct"/>
            <w:tcBorders>
              <w:top w:val="single" w:sz="4" w:space="0" w:color="auto"/>
              <w:left w:val="single" w:sz="4" w:space="0" w:color="auto"/>
              <w:bottom w:val="single" w:sz="4" w:space="0" w:color="auto"/>
              <w:right w:val="single" w:sz="4" w:space="0" w:color="auto"/>
            </w:tcBorders>
            <w:hideMark/>
          </w:tcPr>
          <w:p w14:paraId="1E7C1732" w14:textId="77777777" w:rsidR="00AF7AB3" w:rsidRPr="00E208C5" w:rsidRDefault="00AF7AB3" w:rsidP="00121E71">
            <w:pPr>
              <w:pStyle w:val="TableText"/>
              <w:rPr>
                <w:szCs w:val="20"/>
                <w:lang w:val="en-AU"/>
              </w:rPr>
            </w:pPr>
            <w:r w:rsidRPr="00E208C5">
              <w:rPr>
                <w:szCs w:val="20"/>
                <w:lang w:val="en-AU"/>
              </w:rPr>
              <w:t>Investigations</w:t>
            </w:r>
          </w:p>
        </w:tc>
        <w:tc>
          <w:tcPr>
            <w:tcW w:w="1000" w:type="pct"/>
            <w:tcBorders>
              <w:top w:val="single" w:sz="4" w:space="0" w:color="auto"/>
              <w:left w:val="single" w:sz="4" w:space="0" w:color="auto"/>
              <w:bottom w:val="single" w:sz="4" w:space="0" w:color="auto"/>
              <w:right w:val="single" w:sz="4" w:space="0" w:color="auto"/>
            </w:tcBorders>
          </w:tcPr>
          <w:p w14:paraId="1992A957"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2A773E1B" w14:textId="77777777" w:rsidR="00AF7AB3" w:rsidRPr="00E208C5" w:rsidRDefault="00AF7AB3" w:rsidP="00121E71">
            <w:pPr>
              <w:pStyle w:val="TableText"/>
              <w:rPr>
                <w:szCs w:val="20"/>
                <w:lang w:val="en-AU"/>
              </w:rPr>
            </w:pPr>
            <w:r w:rsidRPr="00E208C5">
              <w:rPr>
                <w:szCs w:val="20"/>
                <w:lang w:val="en-AU"/>
              </w:rPr>
              <w:t xml:space="preserve">Increased lipase </w:t>
            </w:r>
          </w:p>
          <w:p w14:paraId="3B9660EF" w14:textId="77777777" w:rsidR="00AF7AB3" w:rsidRPr="00E208C5" w:rsidRDefault="00AF7AB3" w:rsidP="00121E71">
            <w:pPr>
              <w:pStyle w:val="TableText"/>
              <w:rPr>
                <w:szCs w:val="20"/>
                <w:lang w:val="en-AU"/>
              </w:rPr>
            </w:pPr>
            <w:r w:rsidRPr="00E208C5">
              <w:rPr>
                <w:szCs w:val="20"/>
                <w:lang w:val="en-AU"/>
              </w:rPr>
              <w:t xml:space="preserve">Increased amylase </w:t>
            </w:r>
          </w:p>
          <w:p w14:paraId="13118379" w14:textId="77777777" w:rsidR="00AF7AB3" w:rsidRPr="00E208C5" w:rsidRDefault="00AF7AB3" w:rsidP="00121E71">
            <w:pPr>
              <w:pStyle w:val="TableText"/>
              <w:rPr>
                <w:szCs w:val="20"/>
                <w:lang w:val="en-AU"/>
              </w:rPr>
            </w:pPr>
            <w:r w:rsidRPr="00E208C5">
              <w:rPr>
                <w:szCs w:val="20"/>
                <w:lang w:val="en-AU"/>
              </w:rPr>
              <w:t>Weight decreased</w:t>
            </w:r>
          </w:p>
        </w:tc>
        <w:tc>
          <w:tcPr>
            <w:tcW w:w="1000" w:type="pct"/>
            <w:tcBorders>
              <w:top w:val="single" w:sz="4" w:space="0" w:color="auto"/>
              <w:left w:val="single" w:sz="4" w:space="0" w:color="auto"/>
              <w:bottom w:val="single" w:sz="4" w:space="0" w:color="auto"/>
              <w:right w:val="single" w:sz="4" w:space="0" w:color="auto"/>
            </w:tcBorders>
            <w:hideMark/>
          </w:tcPr>
          <w:p w14:paraId="21ED79D9" w14:textId="77777777" w:rsidR="00AF7AB3" w:rsidRPr="00E208C5" w:rsidRDefault="00AF7AB3" w:rsidP="00121E71">
            <w:pPr>
              <w:pStyle w:val="TableText"/>
              <w:rPr>
                <w:szCs w:val="20"/>
                <w:lang w:val="en-AU"/>
              </w:rPr>
            </w:pPr>
          </w:p>
        </w:tc>
        <w:tc>
          <w:tcPr>
            <w:tcW w:w="1000" w:type="pct"/>
            <w:tcBorders>
              <w:top w:val="single" w:sz="4" w:space="0" w:color="auto"/>
              <w:left w:val="single" w:sz="4" w:space="0" w:color="auto"/>
              <w:bottom w:val="single" w:sz="4" w:space="0" w:color="auto"/>
              <w:right w:val="single" w:sz="4" w:space="0" w:color="auto"/>
            </w:tcBorders>
          </w:tcPr>
          <w:p w14:paraId="2E6838D9" w14:textId="77777777" w:rsidR="00AF7AB3" w:rsidRPr="00E208C5" w:rsidRDefault="00AF7AB3" w:rsidP="00121E71">
            <w:pPr>
              <w:pStyle w:val="TableText"/>
              <w:rPr>
                <w:szCs w:val="20"/>
                <w:lang w:val="en-AU"/>
              </w:rPr>
            </w:pPr>
          </w:p>
        </w:tc>
      </w:tr>
    </w:tbl>
    <w:p w14:paraId="5E602610" w14:textId="77777777" w:rsidR="00AF7AB3" w:rsidRPr="00E208C5" w:rsidRDefault="00AF7AB3" w:rsidP="00AF7AB3">
      <w:pPr>
        <w:spacing w:after="0" w:line="240" w:lineRule="auto"/>
        <w:rPr>
          <w:sz w:val="20"/>
          <w:szCs w:val="20"/>
        </w:rPr>
      </w:pPr>
      <w:proofErr w:type="spellStart"/>
      <w:r w:rsidRPr="00E208C5">
        <w:rPr>
          <w:sz w:val="20"/>
          <w:szCs w:val="20"/>
          <w:vertAlign w:val="superscript"/>
        </w:rPr>
        <w:t>a</w:t>
      </w:r>
      <w:r w:rsidRPr="00E208C5">
        <w:rPr>
          <w:sz w:val="20"/>
          <w:szCs w:val="20"/>
        </w:rPr>
        <w:t>Hypoglycaemia</w:t>
      </w:r>
      <w:proofErr w:type="spellEnd"/>
      <w:r w:rsidRPr="00E208C5">
        <w:rPr>
          <w:sz w:val="20"/>
          <w:szCs w:val="20"/>
        </w:rPr>
        <w:t xml:space="preserve"> defined as severe (requiring the assistance of another person) or symptomatic in combination with a blood glucose &lt;3.1 mmol/l</w:t>
      </w:r>
    </w:p>
    <w:p w14:paraId="29A11572" w14:textId="77777777" w:rsidR="00AF7AB3" w:rsidRPr="00E208C5" w:rsidRDefault="00AF7AB3" w:rsidP="00AF7AB3">
      <w:pPr>
        <w:rPr>
          <w:sz w:val="20"/>
          <w:szCs w:val="20"/>
        </w:rPr>
      </w:pPr>
      <w:proofErr w:type="spellStart"/>
      <w:r w:rsidRPr="00E208C5">
        <w:rPr>
          <w:sz w:val="20"/>
          <w:szCs w:val="20"/>
          <w:vertAlign w:val="superscript"/>
        </w:rPr>
        <w:t>b</w:t>
      </w:r>
      <w:r w:rsidRPr="00E208C5">
        <w:rPr>
          <w:sz w:val="20"/>
          <w:szCs w:val="20"/>
        </w:rPr>
        <w:t>Diabetic</w:t>
      </w:r>
      <w:proofErr w:type="spellEnd"/>
      <w:r w:rsidRPr="00E208C5">
        <w:rPr>
          <w:sz w:val="20"/>
          <w:szCs w:val="20"/>
        </w:rPr>
        <w:t xml:space="preserve"> retinopathy complications is a composite of: need for retinal photocoagulation, need for treatment with intravitreal agents, vitreous haemorrhage, onset of diabetes-related blindness. Frequency based on cardiovascular outcomes trial.</w:t>
      </w:r>
    </w:p>
    <w:p w14:paraId="23C083E4" w14:textId="09870993" w:rsidR="00AF7AB3" w:rsidRPr="005A5D07" w:rsidRDefault="00AF7AB3" w:rsidP="005A5D07">
      <w:pPr>
        <w:spacing w:after="0" w:line="240" w:lineRule="auto"/>
        <w:rPr>
          <w:i/>
          <w:iCs/>
        </w:rPr>
      </w:pPr>
      <w:r w:rsidRPr="005A5D07">
        <w:rPr>
          <w:i/>
          <w:iCs/>
        </w:rPr>
        <w:lastRenderedPageBreak/>
        <w:t>2-year cardiovascular outcomes and safety trial</w:t>
      </w:r>
    </w:p>
    <w:p w14:paraId="2B9094A0" w14:textId="77777777" w:rsidR="00AF7AB3" w:rsidRPr="00E208C5" w:rsidRDefault="00AF7AB3" w:rsidP="00AF7AB3">
      <w:pPr>
        <w:rPr>
          <w:iCs/>
        </w:rPr>
      </w:pPr>
      <w:r w:rsidRPr="00E208C5">
        <w:rPr>
          <w:iCs/>
        </w:rPr>
        <w:t xml:space="preserve">In a high cardiovascular risk population the adverse reaction profile was similar to that seen in the other phase 3a trials (described in section </w:t>
      </w:r>
      <w:r w:rsidR="00A373B1" w:rsidRPr="00E208C5">
        <w:rPr>
          <w:iCs/>
        </w:rPr>
        <w:t>5</w:t>
      </w:r>
      <w:r w:rsidRPr="00E208C5">
        <w:rPr>
          <w:iCs/>
        </w:rPr>
        <w:t xml:space="preserve">.1). </w:t>
      </w:r>
    </w:p>
    <w:p w14:paraId="64A28CF3" w14:textId="77777777" w:rsidR="00AF7AB3" w:rsidRPr="00E208C5" w:rsidRDefault="00AF7AB3" w:rsidP="00AF7AB3">
      <w:pPr>
        <w:pStyle w:val="Heading4"/>
      </w:pPr>
      <w:r w:rsidRPr="00E208C5">
        <w:t>Description of Selected Adverse Reactions</w:t>
      </w:r>
    </w:p>
    <w:p w14:paraId="4B06236A" w14:textId="1C870AF8" w:rsidR="00AF7AB3" w:rsidRPr="005A5D07" w:rsidRDefault="00AF7AB3" w:rsidP="005A5D07">
      <w:pPr>
        <w:spacing w:after="0" w:line="240" w:lineRule="auto"/>
        <w:rPr>
          <w:i/>
          <w:iCs/>
        </w:rPr>
      </w:pPr>
      <w:r w:rsidRPr="005A5D07">
        <w:rPr>
          <w:i/>
          <w:iCs/>
        </w:rPr>
        <w:t>Hypoglycaemia</w:t>
      </w:r>
    </w:p>
    <w:p w14:paraId="45896AE1" w14:textId="77777777" w:rsidR="00AF7AB3" w:rsidRPr="00E208C5" w:rsidRDefault="00AF7AB3" w:rsidP="00AF7AB3">
      <w:r w:rsidRPr="00E208C5">
        <w:t xml:space="preserve">No episodes of severe hypoglycaemia were observed when </w:t>
      </w:r>
      <w:proofErr w:type="spellStart"/>
      <w:r w:rsidRPr="00E208C5">
        <w:rPr>
          <w:bCs/>
        </w:rPr>
        <w:t>Ozempic</w:t>
      </w:r>
      <w:proofErr w:type="spellEnd"/>
      <w:r w:rsidRPr="00E208C5">
        <w:t xml:space="preserve"> was used as monotherapy. Severe hypoglycaemia was primarily observed when </w:t>
      </w:r>
      <w:proofErr w:type="spellStart"/>
      <w:r w:rsidRPr="00E208C5">
        <w:rPr>
          <w:bCs/>
        </w:rPr>
        <w:t>Ozempic</w:t>
      </w:r>
      <w:proofErr w:type="spellEnd"/>
      <w:r w:rsidRPr="00E208C5">
        <w:t xml:space="preserve"> was used with a sulfonylurea (1.2% of subjects, 0.03 events/patient year) or insulin (1.5% of subjects, 0.02 events/patient year). Few severe episodes (0.1% of subjects, 0.001 events/patient year) were observed with </w:t>
      </w:r>
      <w:proofErr w:type="spellStart"/>
      <w:r w:rsidRPr="00E208C5">
        <w:rPr>
          <w:bCs/>
        </w:rPr>
        <w:t>Ozempic</w:t>
      </w:r>
      <w:proofErr w:type="spellEnd"/>
      <w:r w:rsidRPr="00E208C5">
        <w:t xml:space="preserve"> in combination with oral antidiabetics other than sulfonylureas.</w:t>
      </w:r>
    </w:p>
    <w:p w14:paraId="43D61D9E" w14:textId="03BC9946" w:rsidR="00AF7AB3" w:rsidRPr="005A5D07" w:rsidRDefault="00AF7AB3" w:rsidP="005A5D07">
      <w:pPr>
        <w:spacing w:after="0" w:line="240" w:lineRule="auto"/>
        <w:rPr>
          <w:i/>
          <w:iCs/>
        </w:rPr>
      </w:pPr>
      <w:r w:rsidRPr="005A5D07">
        <w:rPr>
          <w:i/>
          <w:iCs/>
        </w:rPr>
        <w:t>Gastrointestinal Adverse Reactions</w:t>
      </w:r>
    </w:p>
    <w:p w14:paraId="083B151D" w14:textId="56DBBEEE" w:rsidR="00AF7AB3" w:rsidRPr="00FC4CA6" w:rsidRDefault="00AF7AB3" w:rsidP="00AF7AB3">
      <w:pPr>
        <w:rPr>
          <w:iCs/>
        </w:rPr>
      </w:pPr>
      <w:r w:rsidRPr="00E208C5">
        <w:rPr>
          <w:iCs/>
        </w:rPr>
        <w:t xml:space="preserve">Nausea occurred in 17.0% and 19.9% patients when treated with </w:t>
      </w:r>
      <w:proofErr w:type="spellStart"/>
      <w:r w:rsidRPr="00E208C5">
        <w:rPr>
          <w:bCs/>
          <w:iCs/>
        </w:rPr>
        <w:t>Ozempic</w:t>
      </w:r>
      <w:proofErr w:type="spellEnd"/>
      <w:r w:rsidRPr="00E208C5">
        <w:rPr>
          <w:iCs/>
        </w:rPr>
        <w:t xml:space="preserve"> 0.5 mg and 1 mg respectively, diarrhoea in 12.2% and 13.3% and vomiting in 6.4% and 8.4%. Most events were mild to moderate in severity and of short duration. The events led to treatment discontinuation in 3.9% and 5.9% of subjects. The events were most frequently reported during the first months on treatment.</w:t>
      </w:r>
      <w:r w:rsidR="00DA4E2B" w:rsidRPr="00E208C5">
        <w:rPr>
          <w:iCs/>
        </w:rPr>
        <w:t xml:space="preserve"> Patients with low body weight may experience more gastrointestinal side effects when treated with </w:t>
      </w:r>
      <w:proofErr w:type="spellStart"/>
      <w:r w:rsidR="00DA4E2B" w:rsidRPr="00E208C5">
        <w:rPr>
          <w:iCs/>
        </w:rPr>
        <w:t>semaglutide</w:t>
      </w:r>
      <w:proofErr w:type="spellEnd"/>
      <w:r w:rsidR="00DA4E2B" w:rsidRPr="00E208C5">
        <w:rPr>
          <w:iCs/>
        </w:rPr>
        <w:t>.</w:t>
      </w:r>
    </w:p>
    <w:p w14:paraId="5DA59D6D" w14:textId="77777777" w:rsidR="00AF7AB3" w:rsidRPr="00AA4520" w:rsidRDefault="00AF7AB3" w:rsidP="00BA57A4">
      <w:pPr>
        <w:spacing w:after="0" w:line="240" w:lineRule="auto"/>
      </w:pPr>
      <w:r w:rsidRPr="00BA57A4">
        <w:rPr>
          <w:i/>
          <w:iCs/>
        </w:rPr>
        <w:t>Diabetic Retinopathy Complications</w:t>
      </w:r>
    </w:p>
    <w:p w14:paraId="359538AA" w14:textId="7550C959" w:rsidR="00AF7AB3" w:rsidRPr="00FC4CA6" w:rsidRDefault="00AF7AB3" w:rsidP="00AF7AB3">
      <w:pPr>
        <w:rPr>
          <w:iCs/>
        </w:rPr>
      </w:pPr>
      <w:r w:rsidRPr="00E208C5">
        <w:rPr>
          <w:iCs/>
        </w:rPr>
        <w:t xml:space="preserve">In a 2-year clinical trial involving 3,297 patients with type 2 diabetes and high cardiovascular risk, long duration of diabetes and poorly controlled blood glucose, adjudicated events of diabetic retinopathy complications occurred in more patients treated with </w:t>
      </w:r>
      <w:proofErr w:type="spellStart"/>
      <w:r w:rsidRPr="00E208C5">
        <w:rPr>
          <w:bCs/>
          <w:iCs/>
        </w:rPr>
        <w:t>Ozempic</w:t>
      </w:r>
      <w:proofErr w:type="spellEnd"/>
      <w:r w:rsidRPr="00E208C5">
        <w:rPr>
          <w:iCs/>
        </w:rPr>
        <w:t xml:space="preserve"> (3.0%) compared to placebo (1.8%). </w:t>
      </w:r>
      <w:r w:rsidR="00EB572B" w:rsidRPr="00E208C5">
        <w:rPr>
          <w:iCs/>
        </w:rPr>
        <w:t>The treatment difference appeared early and persisted throughout the trial.</w:t>
      </w:r>
      <w:r w:rsidR="00EB572B" w:rsidRPr="00FC4CA6">
        <w:rPr>
          <w:iCs/>
        </w:rPr>
        <w:t xml:space="preserve"> </w:t>
      </w:r>
      <w:r w:rsidRPr="00FC4CA6">
        <w:rPr>
          <w:iCs/>
        </w:rPr>
        <w:t xml:space="preserve">The absolute risk increase for diabetic retinopathy complications was larger among patients with a history of diabetic retinopathy </w:t>
      </w:r>
      <w:r w:rsidR="00A35F6A" w:rsidRPr="00FC4CA6">
        <w:rPr>
          <w:iCs/>
        </w:rPr>
        <w:t xml:space="preserve">treated with insulin </w:t>
      </w:r>
      <w:r w:rsidRPr="00FC4CA6">
        <w:rPr>
          <w:iCs/>
        </w:rPr>
        <w:t xml:space="preserve">at baseline. In the patients that did not have a documented history of diabetic retinopathy the number of events were similar for </w:t>
      </w:r>
      <w:proofErr w:type="spellStart"/>
      <w:r w:rsidRPr="00FC4CA6">
        <w:rPr>
          <w:bCs/>
          <w:iCs/>
        </w:rPr>
        <w:t>Ozempic</w:t>
      </w:r>
      <w:proofErr w:type="spellEnd"/>
      <w:r w:rsidRPr="00FC4CA6">
        <w:rPr>
          <w:iCs/>
        </w:rPr>
        <w:t xml:space="preserve"> and placebo. </w:t>
      </w:r>
    </w:p>
    <w:p w14:paraId="38AB91F9" w14:textId="37496101" w:rsidR="00AF7AB3" w:rsidRPr="00FC4CA6" w:rsidRDefault="00AF7AB3" w:rsidP="00AF7AB3">
      <w:pPr>
        <w:rPr>
          <w:iCs/>
        </w:rPr>
      </w:pPr>
      <w:r w:rsidRPr="00E208C5">
        <w:rPr>
          <w:iCs/>
        </w:rPr>
        <w:t xml:space="preserve">In other clinical trials up to 1 year involving 4,807 patients with type 2 diabetes patients, adverse events related to diabetic retinopathy were reported in similar proportions of subjects treated with </w:t>
      </w:r>
      <w:proofErr w:type="spellStart"/>
      <w:r w:rsidRPr="00E208C5">
        <w:rPr>
          <w:bCs/>
          <w:iCs/>
        </w:rPr>
        <w:t>Ozempic</w:t>
      </w:r>
      <w:proofErr w:type="spellEnd"/>
      <w:r w:rsidRPr="00E208C5">
        <w:rPr>
          <w:iCs/>
        </w:rPr>
        <w:t xml:space="preserve"> (1.7%) and comparators (2.0%)</w:t>
      </w:r>
      <w:r w:rsidRPr="00FC4CA6">
        <w:rPr>
          <w:iCs/>
        </w:rPr>
        <w:t>.</w:t>
      </w:r>
    </w:p>
    <w:p w14:paraId="290BCA7C" w14:textId="10C56303" w:rsidR="00AF7AB3" w:rsidRPr="005A5D07" w:rsidRDefault="00AF7AB3" w:rsidP="005A5D07">
      <w:pPr>
        <w:spacing w:after="0" w:line="240" w:lineRule="auto"/>
        <w:rPr>
          <w:i/>
          <w:iCs/>
        </w:rPr>
      </w:pPr>
      <w:r w:rsidRPr="005A5D07">
        <w:rPr>
          <w:i/>
          <w:iCs/>
        </w:rPr>
        <w:t>Discontinuation Due to an Adverse Event</w:t>
      </w:r>
    </w:p>
    <w:p w14:paraId="4463C665" w14:textId="04961CDA" w:rsidR="00AF7AB3" w:rsidRPr="00FC4CA6" w:rsidRDefault="00AF7AB3" w:rsidP="00AF7AB3">
      <w:pPr>
        <w:rPr>
          <w:iCs/>
        </w:rPr>
      </w:pPr>
      <w:r w:rsidRPr="00E208C5">
        <w:rPr>
          <w:iCs/>
        </w:rPr>
        <w:t xml:space="preserve">The incidence of discontinuation of treatment due to adverse events was </w:t>
      </w:r>
      <w:r w:rsidR="006029F2" w:rsidRPr="00E208C5">
        <w:rPr>
          <w:iCs/>
        </w:rPr>
        <w:t xml:space="preserve">6.1% and </w:t>
      </w:r>
      <w:r w:rsidRPr="00E208C5">
        <w:rPr>
          <w:iCs/>
        </w:rPr>
        <w:t xml:space="preserve">8.7% for patients treated with </w:t>
      </w:r>
      <w:proofErr w:type="spellStart"/>
      <w:r w:rsidR="006029F2" w:rsidRPr="00E208C5">
        <w:rPr>
          <w:iCs/>
        </w:rPr>
        <w:t>semaglutide</w:t>
      </w:r>
      <w:proofErr w:type="spellEnd"/>
      <w:r w:rsidR="006029F2" w:rsidRPr="00E208C5">
        <w:rPr>
          <w:iCs/>
        </w:rPr>
        <w:t xml:space="preserve"> 0.5 mg and </w:t>
      </w:r>
      <w:r w:rsidRPr="00E208C5">
        <w:rPr>
          <w:iCs/>
        </w:rPr>
        <w:t xml:space="preserve">1 mg </w:t>
      </w:r>
      <w:r w:rsidR="006029F2" w:rsidRPr="00E208C5">
        <w:rPr>
          <w:iCs/>
        </w:rPr>
        <w:t>respectively,</w:t>
      </w:r>
      <w:r w:rsidR="006029F2" w:rsidRPr="00E208C5">
        <w:rPr>
          <w:bCs/>
          <w:iCs/>
        </w:rPr>
        <w:t xml:space="preserve"> versus 1.5% for placebo</w:t>
      </w:r>
      <w:r w:rsidRPr="00E208C5">
        <w:rPr>
          <w:i/>
          <w:iCs/>
        </w:rPr>
        <w:t>.</w:t>
      </w:r>
      <w:r w:rsidRPr="00FC4CA6">
        <w:rPr>
          <w:iCs/>
        </w:rPr>
        <w:t xml:space="preserve"> The most frequent adverse events leading to discontinuation were gastrointestinal. </w:t>
      </w:r>
    </w:p>
    <w:p w14:paraId="5A9ADD1D" w14:textId="2D9F20D2" w:rsidR="005D5F23" w:rsidRPr="005A5D07" w:rsidRDefault="005D5F23" w:rsidP="005A5D07">
      <w:pPr>
        <w:spacing w:after="0" w:line="240" w:lineRule="auto"/>
        <w:rPr>
          <w:i/>
          <w:iCs/>
        </w:rPr>
      </w:pPr>
      <w:r w:rsidRPr="005A5D07">
        <w:rPr>
          <w:i/>
          <w:iCs/>
        </w:rPr>
        <w:t>Injection Site Reactions</w:t>
      </w:r>
    </w:p>
    <w:p w14:paraId="4955900F" w14:textId="182EC690" w:rsidR="005D5F23" w:rsidRPr="00E208C5" w:rsidRDefault="005D5F23">
      <w:r w:rsidRPr="00E208C5">
        <w:t xml:space="preserve">Injection site reactions (e.g. injection site rash, erythema) have been reported by 0.6% and 0.5% of patients receiving </w:t>
      </w:r>
      <w:proofErr w:type="spellStart"/>
      <w:r w:rsidRPr="00E208C5">
        <w:t>semaglutide</w:t>
      </w:r>
      <w:proofErr w:type="spellEnd"/>
      <w:r w:rsidRPr="00E208C5">
        <w:t xml:space="preserve"> 0.5 mg and 1 mg respectively.</w:t>
      </w:r>
      <w:r w:rsidR="00EE4BAF" w:rsidRPr="00E208C5">
        <w:t xml:space="preserve"> A</w:t>
      </w:r>
      <w:r w:rsidR="00EE4BAF" w:rsidRPr="00FC4CA6">
        <w:t xml:space="preserve"> similar rate of injection site reactions was experienced by patients receiving placebo.</w:t>
      </w:r>
      <w:r w:rsidRPr="00FC4CA6">
        <w:t xml:space="preserve"> These reactions have usually been mild</w:t>
      </w:r>
      <w:r w:rsidRPr="00E208C5">
        <w:t>.</w:t>
      </w:r>
    </w:p>
    <w:p w14:paraId="33DAF15D" w14:textId="77777777" w:rsidR="008F61B7" w:rsidRPr="005A5D07" w:rsidRDefault="008F61B7" w:rsidP="005A5D07">
      <w:pPr>
        <w:spacing w:after="0" w:line="240" w:lineRule="auto"/>
        <w:rPr>
          <w:i/>
          <w:iCs/>
        </w:rPr>
      </w:pPr>
      <w:r w:rsidRPr="005A5D07">
        <w:rPr>
          <w:i/>
          <w:iCs/>
        </w:rPr>
        <w:lastRenderedPageBreak/>
        <w:t>Immunogenicity</w:t>
      </w:r>
    </w:p>
    <w:p w14:paraId="716A5413" w14:textId="77777777" w:rsidR="008F61B7" w:rsidRPr="00E208C5" w:rsidRDefault="008F61B7" w:rsidP="008F61B7">
      <w:r w:rsidRPr="00E208C5">
        <w:t xml:space="preserve">Consistent with the potentially immunogenic properties of medicinal products containing proteins or peptides, patients may develop antibodies following treatment with </w:t>
      </w:r>
      <w:proofErr w:type="spellStart"/>
      <w:r w:rsidRPr="00E208C5">
        <w:t>semaglutide</w:t>
      </w:r>
      <w:proofErr w:type="spellEnd"/>
      <w:r w:rsidRPr="00E208C5">
        <w:t>. The proportion of patients tested positive for anti-</w:t>
      </w:r>
      <w:proofErr w:type="spellStart"/>
      <w:r w:rsidRPr="00E208C5">
        <w:t>semaglutide</w:t>
      </w:r>
      <w:proofErr w:type="spellEnd"/>
      <w:r w:rsidRPr="00E208C5">
        <w:t xml:space="preserve"> antibodies at any time point post-baseline was low (1-2%) and no patients had anti-</w:t>
      </w:r>
      <w:proofErr w:type="spellStart"/>
      <w:r w:rsidRPr="00E208C5">
        <w:t>semaglutide</w:t>
      </w:r>
      <w:proofErr w:type="spellEnd"/>
      <w:r w:rsidRPr="00E208C5">
        <w:t xml:space="preserve"> neutralising antibodies or anti-</w:t>
      </w:r>
      <w:proofErr w:type="spellStart"/>
      <w:r w:rsidRPr="00E208C5">
        <w:t>semaglutide</w:t>
      </w:r>
      <w:proofErr w:type="spellEnd"/>
      <w:r w:rsidRPr="00E208C5">
        <w:t xml:space="preserve"> antibodies with endogenous GLP-1 neutralising effect at end-of-trial.</w:t>
      </w:r>
    </w:p>
    <w:p w14:paraId="17284E32" w14:textId="77777777" w:rsidR="008F61B7" w:rsidRPr="005A5D07" w:rsidRDefault="008F61B7" w:rsidP="005A5D07">
      <w:pPr>
        <w:spacing w:after="0" w:line="240" w:lineRule="auto"/>
        <w:rPr>
          <w:i/>
          <w:iCs/>
        </w:rPr>
      </w:pPr>
      <w:r w:rsidRPr="005A5D07">
        <w:rPr>
          <w:i/>
          <w:iCs/>
        </w:rPr>
        <w:t>Heart Rate Increase</w:t>
      </w:r>
    </w:p>
    <w:p w14:paraId="004CA038" w14:textId="77777777" w:rsidR="008F61B7" w:rsidRPr="00E208C5" w:rsidRDefault="008F61B7" w:rsidP="008F61B7">
      <w:r w:rsidRPr="00E208C5">
        <w:t xml:space="preserve">Increased heart rate has been observed with GLP-1 receptor agonists. In the phase 3a trials, mean increases of 1 to 6 beats per minute (bpm) from a baseline of 72 to 76 bpm were observed in subjects treated with </w:t>
      </w:r>
      <w:proofErr w:type="spellStart"/>
      <w:r w:rsidRPr="00E208C5">
        <w:t>semaglutide</w:t>
      </w:r>
      <w:proofErr w:type="spellEnd"/>
      <w:r w:rsidRPr="00E208C5">
        <w:t xml:space="preserve">. In a long-term trial in subjects with cardiovascular risk factors, 16% of </w:t>
      </w:r>
      <w:proofErr w:type="spellStart"/>
      <w:r w:rsidRPr="00E208C5">
        <w:t>semaglutide</w:t>
      </w:r>
      <w:proofErr w:type="spellEnd"/>
      <w:r w:rsidRPr="00E208C5">
        <w:t>-treated subjects had an increase in heart rate of &gt;10 bpm compared to 11% of subjects on placebo after 2 years of treatment.</w:t>
      </w:r>
    </w:p>
    <w:p w14:paraId="16AB45D5" w14:textId="77777777" w:rsidR="008F61B7" w:rsidRPr="005A5D07" w:rsidRDefault="008F61B7" w:rsidP="005A5D07">
      <w:pPr>
        <w:spacing w:after="0" w:line="240" w:lineRule="auto"/>
        <w:rPr>
          <w:i/>
          <w:iCs/>
        </w:rPr>
      </w:pPr>
      <w:r w:rsidRPr="005A5D07">
        <w:rPr>
          <w:i/>
          <w:iCs/>
        </w:rPr>
        <w:t>Increases in Amylase and Lipase</w:t>
      </w:r>
    </w:p>
    <w:p w14:paraId="255FF2FD" w14:textId="0DD8C737" w:rsidR="00EE4BAF" w:rsidRPr="00FC4CA6" w:rsidRDefault="008F61B7" w:rsidP="001C0326">
      <w:r w:rsidRPr="00E208C5">
        <w:t xml:space="preserve">In placebo-controlled trials, patients exposed to </w:t>
      </w:r>
      <w:proofErr w:type="spellStart"/>
      <w:r w:rsidRPr="00E208C5">
        <w:t>semaglutide</w:t>
      </w:r>
      <w:proofErr w:type="spellEnd"/>
      <w:r w:rsidRPr="00E208C5">
        <w:t xml:space="preserve"> had a mean increase from baseline in amylase of 13% and lipase of 22%. These changes were not observed in placebo-treated patients.</w:t>
      </w:r>
      <w:r w:rsidR="00F70D22">
        <w:t xml:space="preserve"> </w:t>
      </w:r>
      <w:r w:rsidR="00EE4BAF" w:rsidRPr="00E208C5">
        <w:t>In the absence of other signs and symptoms of acute pancreatitis, elevations in pancreatic enzymes alone are not predictive of acute pancreatitis.</w:t>
      </w:r>
    </w:p>
    <w:p w14:paraId="73EC420A" w14:textId="77777777" w:rsidR="008F61B7" w:rsidRPr="005A5D07" w:rsidRDefault="008F61B7" w:rsidP="005A5D07">
      <w:pPr>
        <w:spacing w:after="0" w:line="240" w:lineRule="auto"/>
        <w:rPr>
          <w:i/>
          <w:iCs/>
        </w:rPr>
      </w:pPr>
      <w:r w:rsidRPr="005A5D07">
        <w:rPr>
          <w:i/>
          <w:iCs/>
        </w:rPr>
        <w:t>Cholelithiasis</w:t>
      </w:r>
    </w:p>
    <w:p w14:paraId="49AE67C7" w14:textId="77777777" w:rsidR="008F61B7" w:rsidRPr="00E208C5" w:rsidRDefault="008F61B7" w:rsidP="008F61B7">
      <w:r w:rsidRPr="00E208C5">
        <w:t xml:space="preserve">In placebo-controlled trials, cholelithiasis was reported in 1.5% and 0.4% of patients-treated with </w:t>
      </w:r>
      <w:proofErr w:type="spellStart"/>
      <w:r w:rsidRPr="00E208C5">
        <w:t>semaglutide</w:t>
      </w:r>
      <w:proofErr w:type="spellEnd"/>
      <w:r w:rsidRPr="00E208C5">
        <w:t xml:space="preserve"> 0.5 mg and 1 mg respectively. Cholelithiasis was not reported in placebo-treated patients.</w:t>
      </w:r>
    </w:p>
    <w:p w14:paraId="03851750" w14:textId="42D017BB" w:rsidR="00DA4E2B" w:rsidRPr="005A5D07" w:rsidRDefault="008F61B7" w:rsidP="005A5D07">
      <w:pPr>
        <w:spacing w:after="0" w:line="240" w:lineRule="auto"/>
        <w:rPr>
          <w:i/>
          <w:iCs/>
        </w:rPr>
      </w:pPr>
      <w:r w:rsidRPr="005A5D07">
        <w:rPr>
          <w:i/>
          <w:iCs/>
        </w:rPr>
        <w:t>Fatigue, Dysgeusia and Dizziness</w:t>
      </w:r>
    </w:p>
    <w:p w14:paraId="3A7B80E0" w14:textId="7098F632" w:rsidR="00DA4E2B" w:rsidRPr="00E208C5" w:rsidRDefault="00DA4E2B">
      <w:r w:rsidRPr="00E208C5">
        <w:t xml:space="preserve">Other adverse reactions with a frequency of &gt;0.4% associated with </w:t>
      </w:r>
      <w:proofErr w:type="spellStart"/>
      <w:r w:rsidRPr="00E208C5">
        <w:t>semaglutide</w:t>
      </w:r>
      <w:proofErr w:type="spellEnd"/>
      <w:r w:rsidRPr="00E208C5">
        <w:t xml:space="preserve"> include fatigue, </w:t>
      </w:r>
      <w:proofErr w:type="spellStart"/>
      <w:r w:rsidRPr="00E208C5">
        <w:t>dysgeusia</w:t>
      </w:r>
      <w:proofErr w:type="spellEnd"/>
      <w:r w:rsidRPr="00E208C5">
        <w:t xml:space="preserve"> and dizziness.</w:t>
      </w:r>
    </w:p>
    <w:p w14:paraId="28AECBA6" w14:textId="7F7413E5" w:rsidR="00C44B67" w:rsidRPr="00FC4CA6" w:rsidRDefault="00C44B67" w:rsidP="00C44B67">
      <w:pPr>
        <w:pStyle w:val="Heading3"/>
      </w:pPr>
      <w:r w:rsidRPr="00FC4CA6">
        <w:t>4.9</w:t>
      </w:r>
      <w:r w:rsidRPr="00FC4CA6">
        <w:tab/>
        <w:t>Overdose</w:t>
      </w:r>
    </w:p>
    <w:p w14:paraId="54C7655D" w14:textId="77777777" w:rsidR="003102AA" w:rsidRPr="00E208C5" w:rsidRDefault="003102AA" w:rsidP="003102AA">
      <w:r w:rsidRPr="00E208C5">
        <w:t>Overdoses of up to 4 mg in a single dose, and up to 4 mg in a week have been reported in clinical trials. The most commonly reported adverse event was nausea. All patients recovered without complications.</w:t>
      </w:r>
    </w:p>
    <w:p w14:paraId="00887442" w14:textId="3515AFAF" w:rsidR="00C44B67" w:rsidRPr="00E208C5" w:rsidRDefault="003102AA" w:rsidP="003102AA">
      <w:r w:rsidRPr="00E208C5">
        <w:t xml:space="preserve">There is no specific antidote for overdose with </w:t>
      </w:r>
      <w:proofErr w:type="spellStart"/>
      <w:r w:rsidRPr="00E208C5">
        <w:rPr>
          <w:bCs/>
        </w:rPr>
        <w:t>Ozempic</w:t>
      </w:r>
      <w:proofErr w:type="spellEnd"/>
      <w:r w:rsidRPr="00E208C5">
        <w:rPr>
          <w:i/>
        </w:rPr>
        <w:t>.</w:t>
      </w:r>
      <w:r w:rsidRPr="00E208C5">
        <w:t xml:space="preserve"> In the event of overdose, appropriate supportive treatment should be initiated according to the patient’s clinical signs and symptoms. A prolonged period of observation and treatment for these symptoms may be necessary, taking into account the long half-life of </w:t>
      </w:r>
      <w:proofErr w:type="spellStart"/>
      <w:r w:rsidRPr="00E208C5">
        <w:rPr>
          <w:bCs/>
        </w:rPr>
        <w:t>Ozempic</w:t>
      </w:r>
      <w:proofErr w:type="spellEnd"/>
      <w:r w:rsidRPr="00E208C5">
        <w:rPr>
          <w:i/>
        </w:rPr>
        <w:t xml:space="preserve"> </w:t>
      </w:r>
      <w:r w:rsidRPr="00E208C5">
        <w:t xml:space="preserve">of approximately 1 week (see section </w:t>
      </w:r>
      <w:r w:rsidR="00A373B1" w:rsidRPr="00E208C5">
        <w:t>5</w:t>
      </w:r>
      <w:r w:rsidRPr="00E208C5">
        <w:t>.2</w:t>
      </w:r>
      <w:r w:rsidR="00D1006E">
        <w:t xml:space="preserve"> </w:t>
      </w:r>
      <w:r w:rsidR="00D1006E" w:rsidRPr="00CC3889">
        <w:t>Pharmacokinetic Properties</w:t>
      </w:r>
      <w:r w:rsidRPr="00CC3889">
        <w:t>).</w:t>
      </w:r>
    </w:p>
    <w:p w14:paraId="0DE0C8CB" w14:textId="77777777" w:rsidR="00C44B67" w:rsidRPr="00E208C5" w:rsidRDefault="00C44B67" w:rsidP="00C44B67">
      <w:r w:rsidRPr="00E208C5">
        <w:t>For information on the management of overdose, contact the Poisons Information Centre on 13 11 26 (Australia).</w:t>
      </w:r>
    </w:p>
    <w:p w14:paraId="0383CBCC" w14:textId="77777777" w:rsidR="00C44B67" w:rsidRPr="00E208C5" w:rsidRDefault="00C44B67" w:rsidP="00C44B67">
      <w:pPr>
        <w:pStyle w:val="Heading2"/>
      </w:pPr>
      <w:r w:rsidRPr="00E208C5">
        <w:lastRenderedPageBreak/>
        <w:t>5.</w:t>
      </w:r>
      <w:r w:rsidRPr="00E208C5">
        <w:tab/>
        <w:t>PHAMACOLOGICAL PROPERTIES</w:t>
      </w:r>
    </w:p>
    <w:p w14:paraId="722E0AFD" w14:textId="77777777" w:rsidR="00C44B67" w:rsidRPr="00E208C5" w:rsidRDefault="00C44B67" w:rsidP="00C44B67">
      <w:pPr>
        <w:pStyle w:val="Heading3"/>
      </w:pPr>
      <w:r w:rsidRPr="00E208C5">
        <w:t>5.1</w:t>
      </w:r>
      <w:r w:rsidRPr="00E208C5">
        <w:tab/>
        <w:t>Pharmacodynamic Properties</w:t>
      </w:r>
    </w:p>
    <w:p w14:paraId="6B68851B" w14:textId="77777777" w:rsidR="00D436B9" w:rsidRPr="00E208C5" w:rsidRDefault="00D436B9" w:rsidP="00D436B9">
      <w:r w:rsidRPr="00E208C5">
        <w:t>Pharmacotherapeutic group: Drugs used in diabetes, Glucagon-like peptide-1 (GLP-1) analogues, ATC code: A10BJ06.</w:t>
      </w:r>
    </w:p>
    <w:p w14:paraId="23C74257" w14:textId="77777777" w:rsidR="00C44B67" w:rsidRPr="00E208C5" w:rsidRDefault="00C44B67" w:rsidP="00C44B67">
      <w:pPr>
        <w:pStyle w:val="Heading4"/>
      </w:pPr>
      <w:r w:rsidRPr="00E208C5">
        <w:t>Mechanism of action</w:t>
      </w:r>
    </w:p>
    <w:p w14:paraId="2E48BBE1" w14:textId="1C3DACBA" w:rsidR="00D436B9" w:rsidRPr="00E208C5" w:rsidRDefault="00D436B9" w:rsidP="00D436B9">
      <w:proofErr w:type="spellStart"/>
      <w:r w:rsidRPr="00E208C5">
        <w:t>Semaglutide</w:t>
      </w:r>
      <w:proofErr w:type="spellEnd"/>
      <w:r w:rsidRPr="00E208C5">
        <w:t xml:space="preserve"> is a GLP-1 analogue with 94% sequence homology to human GLP-1. </w:t>
      </w:r>
      <w:proofErr w:type="spellStart"/>
      <w:r w:rsidRPr="00E208C5">
        <w:t>Semaglutide</w:t>
      </w:r>
      <w:proofErr w:type="spellEnd"/>
      <w:r w:rsidRPr="00E208C5">
        <w:t xml:space="preserve"> acts as a GLP-1 receptor agonist that  binds to and activates the GLP-1 receptor, the target for native GLP-1. </w:t>
      </w:r>
    </w:p>
    <w:p w14:paraId="375C6A06" w14:textId="67ABA9DD" w:rsidR="00C44B67" w:rsidRPr="00FC4CA6" w:rsidRDefault="00D436B9" w:rsidP="00D436B9">
      <w:r w:rsidRPr="00E208C5">
        <w:t>GLP-1 is a physiological hormone that has multiple actions in glucose and appetite regulation, and in the cardiovascular system. The glucose and appetite effects are specifically mediated via GLP-1 receptors in the pancreas and the brain. GLP-1 receptors are also expressed in the heart, vasculature and immune system and kidney from where it may mediate cardiovascular and microvascular effects.</w:t>
      </w:r>
      <w:r w:rsidRPr="00FC4CA6">
        <w:t xml:space="preserve"> </w:t>
      </w:r>
    </w:p>
    <w:p w14:paraId="6F5C465D" w14:textId="232C4608" w:rsidR="00C44B67" w:rsidRPr="00FC4CA6" w:rsidRDefault="00D436B9" w:rsidP="00C44B67">
      <w:r w:rsidRPr="00E208C5">
        <w:t xml:space="preserve">Compared to native GLP-1, </w:t>
      </w:r>
      <w:proofErr w:type="spellStart"/>
      <w:r w:rsidRPr="00E208C5">
        <w:t>semaglutide</w:t>
      </w:r>
      <w:proofErr w:type="spellEnd"/>
      <w:r w:rsidRPr="00E208C5">
        <w:t xml:space="preserve"> has a prolonged half-life of around 1 week making it suitable for once weekly </w:t>
      </w:r>
      <w:proofErr w:type="spellStart"/>
      <w:r w:rsidRPr="00E208C5">
        <w:t>s.c.</w:t>
      </w:r>
      <w:proofErr w:type="spellEnd"/>
      <w:r w:rsidRPr="00E208C5">
        <w:t xml:space="preserve"> administration. The principal mechanism of protraction is albumin binding, which results in decreased renal clearance and protection from metabolic degradation. Furthermore, </w:t>
      </w:r>
      <w:proofErr w:type="spellStart"/>
      <w:r w:rsidRPr="00E208C5">
        <w:t>semaglutide</w:t>
      </w:r>
      <w:proofErr w:type="spellEnd"/>
      <w:r w:rsidRPr="00E208C5">
        <w:t xml:space="preserve"> is stabilised against degradation by the DPP-4 enzyme</w:t>
      </w:r>
      <w:r w:rsidRPr="00FC4CA6">
        <w:t>.</w:t>
      </w:r>
    </w:p>
    <w:p w14:paraId="420443FD" w14:textId="748774E6" w:rsidR="00D436B9" w:rsidRPr="00CC3889" w:rsidRDefault="00D436B9" w:rsidP="00C44B67">
      <w:proofErr w:type="spellStart"/>
      <w:r w:rsidRPr="00E208C5">
        <w:t>Semaglutide</w:t>
      </w:r>
      <w:proofErr w:type="spellEnd"/>
      <w:r w:rsidRPr="00E208C5">
        <w:t xml:space="preserve"> reduces blood glucose through a mechanism where it stimulates insulin secretion and lowers glucagon secretion, both in a glucose-dependent manner. Thus, when blood glucose is high, insulin secretion is stimulated and glucagon secretion is inhibited. The mechanism of blood glucose lowering also involves a minor delay in gastric emptying in the early postprandial phase. </w:t>
      </w:r>
      <w:r w:rsidRPr="00CC3889">
        <w:t xml:space="preserve">During hypoglycaemia </w:t>
      </w:r>
      <w:proofErr w:type="spellStart"/>
      <w:r w:rsidRPr="00CC3889">
        <w:t>semaglutide</w:t>
      </w:r>
      <w:proofErr w:type="spellEnd"/>
      <w:r w:rsidRPr="00CC3889">
        <w:t xml:space="preserve"> diminishes insulin secretion and does not impair glucagon secretion.</w:t>
      </w:r>
    </w:p>
    <w:p w14:paraId="7BF79974" w14:textId="0B9C8D26" w:rsidR="00D436B9" w:rsidRPr="00FC4CA6" w:rsidRDefault="00D436B9">
      <w:proofErr w:type="spellStart"/>
      <w:r w:rsidRPr="00CC3889">
        <w:t>Semaglutide</w:t>
      </w:r>
      <w:proofErr w:type="spellEnd"/>
      <w:r w:rsidRPr="00CC3889">
        <w:t xml:space="preserve"> reduces body weight and body fat mass through lowered energy intake</w:t>
      </w:r>
      <w:r w:rsidR="006E013C" w:rsidRPr="00CC3889">
        <w:t>,</w:t>
      </w:r>
      <w:r w:rsidRPr="00CC3889">
        <w:t xml:space="preserve"> involv</w:t>
      </w:r>
      <w:r w:rsidR="006E013C" w:rsidRPr="00CC3889">
        <w:t>ing</w:t>
      </w:r>
      <w:r w:rsidRPr="00CC3889">
        <w:t xml:space="preserve"> an overall reduced appetite, which includes increased satiety and reduced hunger, as well as improved control of eating and decreased food cravings. Insulin resistance is also reduced, probably through reduction in body weight. In addition, </w:t>
      </w:r>
      <w:proofErr w:type="spellStart"/>
      <w:r w:rsidRPr="00CC3889">
        <w:t>semaglutide</w:t>
      </w:r>
      <w:proofErr w:type="spellEnd"/>
      <w:r w:rsidRPr="00CC3889">
        <w:t xml:space="preserve"> reduces the</w:t>
      </w:r>
      <w:r w:rsidRPr="00FC4CA6">
        <w:t xml:space="preserve"> preference for high fat foods. </w:t>
      </w:r>
      <w:proofErr w:type="spellStart"/>
      <w:r w:rsidRPr="00E208C5">
        <w:t>Semaglutide</w:t>
      </w:r>
      <w:proofErr w:type="spellEnd"/>
      <w:r w:rsidRPr="00E208C5">
        <w:t xml:space="preserve"> had a beneficial effect on plasma lipids, lowered systolic blood pressure and reduced inflammation in clinical studies</w:t>
      </w:r>
      <w:r w:rsidRPr="00FC4CA6">
        <w:t>.</w:t>
      </w:r>
    </w:p>
    <w:p w14:paraId="64C7032E" w14:textId="77777777" w:rsidR="00D436B9" w:rsidRPr="00E208C5" w:rsidRDefault="00D436B9" w:rsidP="00D436B9">
      <w:r w:rsidRPr="00E208C5">
        <w:t xml:space="preserve">In animal studies, </w:t>
      </w:r>
      <w:proofErr w:type="spellStart"/>
      <w:r w:rsidRPr="00E208C5">
        <w:t>semaglutide</w:t>
      </w:r>
      <w:proofErr w:type="spellEnd"/>
      <w:r w:rsidRPr="00E208C5">
        <w:t xml:space="preserve"> attenuates the development of atherosclerosis by preventing aortic plaque progression and reducing inflammation in the plaque.</w:t>
      </w:r>
    </w:p>
    <w:p w14:paraId="41D1E848" w14:textId="77777777" w:rsidR="00D436B9" w:rsidRPr="00E208C5" w:rsidRDefault="00D436B9" w:rsidP="00D436B9">
      <w:pPr>
        <w:pStyle w:val="Heading4"/>
      </w:pPr>
      <w:r w:rsidRPr="00E208C5">
        <w:t>Pharmacodynamic Effects</w:t>
      </w:r>
    </w:p>
    <w:p w14:paraId="2CC8F391" w14:textId="0FDFAC5F" w:rsidR="00D436B9" w:rsidRPr="00FC4CA6" w:rsidRDefault="00D436B9" w:rsidP="00D436B9">
      <w:r w:rsidRPr="00E208C5">
        <w:t xml:space="preserve">All </w:t>
      </w:r>
      <w:proofErr w:type="spellStart"/>
      <w:r w:rsidRPr="00E208C5">
        <w:t>pharmacodyamic</w:t>
      </w:r>
      <w:proofErr w:type="spellEnd"/>
      <w:r w:rsidRPr="00E208C5">
        <w:t xml:space="preserve"> evaluations were performed after 12 weeks </w:t>
      </w:r>
      <w:r w:rsidR="006E013C" w:rsidRPr="00E208C5">
        <w:t>o</w:t>
      </w:r>
      <w:r w:rsidRPr="00FC4CA6">
        <w:t xml:space="preserve">f treatment (including dose escalation) at steady state with </w:t>
      </w:r>
      <w:proofErr w:type="spellStart"/>
      <w:r w:rsidRPr="00FC4CA6">
        <w:t>semaglutide</w:t>
      </w:r>
      <w:proofErr w:type="spellEnd"/>
      <w:r w:rsidRPr="00FC4CA6">
        <w:t xml:space="preserve"> 1 mg once weekly.</w:t>
      </w:r>
    </w:p>
    <w:p w14:paraId="3434BA3F" w14:textId="77777777" w:rsidR="00D436B9" w:rsidRPr="007B1772" w:rsidRDefault="00D436B9" w:rsidP="007B1772">
      <w:pPr>
        <w:spacing w:after="0" w:line="240" w:lineRule="auto"/>
        <w:rPr>
          <w:i/>
          <w:iCs/>
        </w:rPr>
      </w:pPr>
      <w:r w:rsidRPr="007B1772">
        <w:rPr>
          <w:i/>
          <w:iCs/>
        </w:rPr>
        <w:lastRenderedPageBreak/>
        <w:t>Fasting and Postprandial Glucose</w:t>
      </w:r>
    </w:p>
    <w:p w14:paraId="65D9E20B" w14:textId="12E46985" w:rsidR="00D436B9" w:rsidRPr="00FC4CA6" w:rsidRDefault="00D436B9" w:rsidP="00D436B9">
      <w:proofErr w:type="spellStart"/>
      <w:r w:rsidRPr="00E208C5">
        <w:t>Semaglutide</w:t>
      </w:r>
      <w:proofErr w:type="spellEnd"/>
      <w:r w:rsidRPr="00E208C5">
        <w:t xml:space="preserve"> reduces fasting and postprandial glucose concentrations. In patients with type 2 diabetes, treatment with </w:t>
      </w:r>
      <w:proofErr w:type="spellStart"/>
      <w:r w:rsidRPr="00E208C5">
        <w:t>semaglutide</w:t>
      </w:r>
      <w:proofErr w:type="spellEnd"/>
      <w:r w:rsidRPr="00E208C5">
        <w:t xml:space="preserve"> 1 mg resulted in reductions in glucose in terms of absolute change from baseline (mmol/l / mg/dl) and  relative reduction compared to placebo (%) for fasting glucose (1.6 mmol/l / 29 mg/dl; 22%), 2 hour postprandial glucose (4.1mmol/l / 74 mg/dl; 37%), mean 24 hour glucose concentration (1.7 mmol/l / 30 mg/dl; 22% reduction) and postprandial glucose excursions over 3 meals (0.6-1.1mmol/L / 11-20 mg/dl) compared to placebo(see Figure </w:t>
      </w:r>
      <w:r w:rsidR="00A373B1" w:rsidRPr="00E208C5">
        <w:t>2</w:t>
      </w:r>
      <w:r w:rsidRPr="00E208C5">
        <w:t>)</w:t>
      </w:r>
      <w:r w:rsidRPr="00FC4CA6">
        <w:t>.</w:t>
      </w:r>
    </w:p>
    <w:p w14:paraId="72C1B40F" w14:textId="77777777" w:rsidR="00D436B9" w:rsidRPr="00E208C5" w:rsidRDefault="00D436B9" w:rsidP="00D436B9">
      <w:proofErr w:type="spellStart"/>
      <w:r w:rsidRPr="00FC4CA6">
        <w:t>Semaglutide</w:t>
      </w:r>
      <w:proofErr w:type="spellEnd"/>
      <w:r w:rsidRPr="00FC4CA6">
        <w:t xml:space="preserve"> lowered fasting glucose after the first dose.</w:t>
      </w:r>
    </w:p>
    <w:p w14:paraId="0C258B27" w14:textId="77777777" w:rsidR="0077211B" w:rsidRPr="00FC4CA6" w:rsidRDefault="0077211B" w:rsidP="00D436B9">
      <w:pPr>
        <w:rPr>
          <w:b/>
          <w:sz w:val="22"/>
          <w:szCs w:val="22"/>
        </w:rPr>
      </w:pPr>
      <w:r w:rsidRPr="00FC4CA6">
        <w:rPr>
          <w:b/>
          <w:sz w:val="22"/>
          <w:szCs w:val="22"/>
        </w:rPr>
        <w:object w:dxaOrig="5670" w:dyaOrig="3975" w14:anchorId="69CF2694">
          <v:shape id="_x0000_i1026" type="#_x0000_t75" style="width:284.85pt;height:197.2pt" o:ole="">
            <v:imagedata r:id="rId12" o:title=""/>
          </v:shape>
          <o:OLEObject Type="Embed" ProgID="Word.Document.12" ShapeID="_x0000_i1026" DrawAspect="Content" ObjectID="_1668440528" r:id="rId13">
            <o:FieldCodes>\s</o:FieldCodes>
          </o:OLEObject>
        </w:object>
      </w:r>
    </w:p>
    <w:p w14:paraId="175819A2" w14:textId="5FB0BED9" w:rsidR="0077211B" w:rsidRPr="00FC4CA6" w:rsidRDefault="0077211B" w:rsidP="00D436B9">
      <w:pPr>
        <w:rPr>
          <w:b/>
        </w:rPr>
      </w:pPr>
      <w:bookmarkStart w:id="9" w:name="_Ref508880986"/>
      <w:bookmarkStart w:id="10" w:name="_Toc506554277"/>
      <w:bookmarkStart w:id="11" w:name="_Toc514933326"/>
      <w:bookmarkStart w:id="12" w:name="_Toc514933441"/>
      <w:r w:rsidRPr="00FC4CA6">
        <w:rPr>
          <w:b/>
        </w:rPr>
        <w:t xml:space="preserve">Figure </w:t>
      </w:r>
      <w:r w:rsidRPr="00FC4CA6">
        <w:rPr>
          <w:b/>
        </w:rPr>
        <w:fldChar w:fldCharType="begin"/>
      </w:r>
      <w:r w:rsidRPr="00E208C5">
        <w:rPr>
          <w:b/>
        </w:rPr>
        <w:instrText xml:space="preserve"> SEQ Figure \* ARABIC \s 1 </w:instrText>
      </w:r>
      <w:r w:rsidRPr="00FC4CA6">
        <w:rPr>
          <w:b/>
        </w:rPr>
        <w:fldChar w:fldCharType="separate"/>
      </w:r>
      <w:r w:rsidR="003F4E02" w:rsidRPr="00FC4CA6">
        <w:rPr>
          <w:b/>
          <w:noProof/>
        </w:rPr>
        <w:t>2</w:t>
      </w:r>
      <w:r w:rsidRPr="00FC4CA6">
        <w:rPr>
          <w:b/>
        </w:rPr>
        <w:fldChar w:fldCharType="end"/>
      </w:r>
      <w:bookmarkEnd w:id="9"/>
      <w:r w:rsidRPr="00FC4CA6">
        <w:rPr>
          <w:b/>
        </w:rPr>
        <w:t xml:space="preserve">: Mean 24 hour plasma glucose profiles (standardised meals) in patients with type 2 diabetes before (baseline) and after 12 weeks of treatment with </w:t>
      </w:r>
      <w:proofErr w:type="spellStart"/>
      <w:r w:rsidRPr="00FC4CA6">
        <w:rPr>
          <w:b/>
        </w:rPr>
        <w:t>semaglutide</w:t>
      </w:r>
      <w:proofErr w:type="spellEnd"/>
      <w:r w:rsidRPr="00FC4CA6">
        <w:rPr>
          <w:b/>
        </w:rPr>
        <w:t xml:space="preserve"> or placebo</w:t>
      </w:r>
      <w:bookmarkEnd w:id="10"/>
      <w:bookmarkEnd w:id="11"/>
      <w:bookmarkEnd w:id="12"/>
    </w:p>
    <w:p w14:paraId="29DC13C0" w14:textId="1A967921" w:rsidR="0077211B" w:rsidRPr="001F16E0" w:rsidRDefault="0077211B" w:rsidP="001F16E0">
      <w:pPr>
        <w:spacing w:after="0" w:line="240" w:lineRule="auto"/>
        <w:rPr>
          <w:i/>
          <w:iCs/>
        </w:rPr>
      </w:pPr>
      <w:bookmarkStart w:id="13" w:name="_Toc508876608"/>
      <w:bookmarkStart w:id="14" w:name="_Toc509910895"/>
      <w:bookmarkStart w:id="15" w:name="_Toc509911007"/>
      <w:bookmarkStart w:id="16" w:name="_Toc514845179"/>
      <w:bookmarkStart w:id="17" w:name="_Toc514933275"/>
      <w:bookmarkStart w:id="18" w:name="_Toc515008228"/>
      <w:r w:rsidRPr="001F16E0">
        <w:rPr>
          <w:i/>
          <w:iCs/>
        </w:rPr>
        <w:t>Beta-cell function and insulin secretion</w:t>
      </w:r>
      <w:bookmarkEnd w:id="13"/>
      <w:bookmarkEnd w:id="14"/>
      <w:bookmarkEnd w:id="15"/>
      <w:bookmarkEnd w:id="16"/>
      <w:bookmarkEnd w:id="17"/>
      <w:bookmarkEnd w:id="18"/>
    </w:p>
    <w:p w14:paraId="7AEE738E" w14:textId="77777777" w:rsidR="0077211B" w:rsidRPr="00E208C5" w:rsidRDefault="0077211B" w:rsidP="0077211B">
      <w:proofErr w:type="spellStart"/>
      <w:r w:rsidRPr="00E208C5">
        <w:t>Semaglutide</w:t>
      </w:r>
      <w:proofErr w:type="spellEnd"/>
      <w:r w:rsidRPr="00E208C5">
        <w:t xml:space="preserve"> improves beta-cell function. </w:t>
      </w:r>
      <w:proofErr w:type="spellStart"/>
      <w:r w:rsidRPr="00E208C5">
        <w:t>Semaglutide</w:t>
      </w:r>
      <w:proofErr w:type="spellEnd"/>
      <w:r w:rsidRPr="00E208C5">
        <w:t xml:space="preserve">, compared to placebo, improved first- and second-phase insulin response, with a 3- and 2-fold increase, respectively, following an intravenous bolus of glucose, and increased maximal beta-cell secretory capacity after an arginine stimulation test in patients with type 2 diabetes. In addition, </w:t>
      </w:r>
      <w:proofErr w:type="spellStart"/>
      <w:r w:rsidRPr="00E208C5">
        <w:t>semaglutide</w:t>
      </w:r>
      <w:proofErr w:type="spellEnd"/>
      <w:r w:rsidRPr="00E208C5">
        <w:t xml:space="preserve"> treatment increased fasting insulin concentrations compared to placebo. </w:t>
      </w:r>
    </w:p>
    <w:p w14:paraId="28D40161" w14:textId="19B1A8DA" w:rsidR="0077211B" w:rsidRPr="001F16E0" w:rsidRDefault="0077211B" w:rsidP="001F16E0">
      <w:pPr>
        <w:spacing w:after="0" w:line="240" w:lineRule="auto"/>
        <w:rPr>
          <w:i/>
          <w:iCs/>
        </w:rPr>
      </w:pPr>
      <w:r w:rsidRPr="001F16E0">
        <w:rPr>
          <w:i/>
          <w:iCs/>
        </w:rPr>
        <w:t>Glucagon Secretion</w:t>
      </w:r>
    </w:p>
    <w:p w14:paraId="6845A434" w14:textId="77777777" w:rsidR="0077211B" w:rsidRPr="00E208C5" w:rsidRDefault="0077211B" w:rsidP="0077211B">
      <w:proofErr w:type="spellStart"/>
      <w:r w:rsidRPr="00E208C5">
        <w:t>Semaglutide</w:t>
      </w:r>
      <w:proofErr w:type="spellEnd"/>
      <w:r w:rsidRPr="00E208C5">
        <w:t xml:space="preserve"> lowers the fasting and postprandial glucagon concentrations. In patients with type 2 diabetes, </w:t>
      </w:r>
      <w:proofErr w:type="spellStart"/>
      <w:r w:rsidRPr="00E208C5">
        <w:t>semaglutide</w:t>
      </w:r>
      <w:proofErr w:type="spellEnd"/>
      <w:r w:rsidRPr="00E208C5">
        <w:t xml:space="preserve"> resulted in the following relative reductions in glucagon compared to placebo: fasting glucagon (8-21%), postprandial glucagon response (14-15%) and mean 24 hour glucagon concentration (12%).</w:t>
      </w:r>
    </w:p>
    <w:p w14:paraId="52B9410C" w14:textId="4FA78012" w:rsidR="0077211B" w:rsidRPr="001F16E0" w:rsidRDefault="0077211B" w:rsidP="001F16E0">
      <w:pPr>
        <w:spacing w:after="0" w:line="240" w:lineRule="auto"/>
        <w:rPr>
          <w:i/>
          <w:iCs/>
        </w:rPr>
      </w:pPr>
      <w:bookmarkStart w:id="19" w:name="_Toc508876610"/>
      <w:bookmarkStart w:id="20" w:name="_Toc509910897"/>
      <w:bookmarkStart w:id="21" w:name="_Toc509911009"/>
      <w:bookmarkStart w:id="22" w:name="_Toc514845181"/>
      <w:bookmarkStart w:id="23" w:name="_Toc514933277"/>
      <w:bookmarkStart w:id="24" w:name="_Toc515008230"/>
      <w:r w:rsidRPr="001F16E0">
        <w:rPr>
          <w:i/>
          <w:iCs/>
        </w:rPr>
        <w:t>Glucose Dependent Insulin and Glucagon Secretion</w:t>
      </w:r>
      <w:bookmarkEnd w:id="19"/>
      <w:bookmarkEnd w:id="20"/>
      <w:bookmarkEnd w:id="21"/>
      <w:bookmarkEnd w:id="22"/>
      <w:bookmarkEnd w:id="23"/>
      <w:bookmarkEnd w:id="24"/>
    </w:p>
    <w:p w14:paraId="28014141" w14:textId="77777777" w:rsidR="0077211B" w:rsidRPr="00E208C5" w:rsidRDefault="0077211B" w:rsidP="0077211B">
      <w:proofErr w:type="spellStart"/>
      <w:r w:rsidRPr="00E208C5">
        <w:lastRenderedPageBreak/>
        <w:t>Semaglutide</w:t>
      </w:r>
      <w:proofErr w:type="spellEnd"/>
      <w:r w:rsidRPr="00E208C5">
        <w:t xml:space="preserve"> lowered high blood glucose concentrations by stimulating insulin secretion and lowering glucagon secretion in a glucose dependent manner. With </w:t>
      </w:r>
      <w:proofErr w:type="spellStart"/>
      <w:r w:rsidRPr="00E208C5">
        <w:t>semaglutide</w:t>
      </w:r>
      <w:proofErr w:type="spellEnd"/>
      <w:r w:rsidRPr="00E208C5">
        <w:t xml:space="preserve">, the insulin secretion rate in patients with type 2 diabetes was comparable to that of healthy subjects (see Figure </w:t>
      </w:r>
      <w:r w:rsidR="00A373B1" w:rsidRPr="00E208C5">
        <w:t>3</w:t>
      </w:r>
      <w:r w:rsidRPr="00E208C5">
        <w:t xml:space="preserve">). </w:t>
      </w:r>
    </w:p>
    <w:p w14:paraId="53311090" w14:textId="77777777" w:rsidR="0077211B" w:rsidRPr="00FC4CA6" w:rsidRDefault="0077211B" w:rsidP="0077211B">
      <w:pPr>
        <w:rPr>
          <w:b/>
          <w:sz w:val="22"/>
          <w:szCs w:val="22"/>
        </w:rPr>
      </w:pPr>
      <w:r w:rsidRPr="00FC4CA6">
        <w:rPr>
          <w:b/>
          <w:sz w:val="22"/>
          <w:szCs w:val="22"/>
        </w:rPr>
        <w:object w:dxaOrig="5670" w:dyaOrig="4050" w14:anchorId="4B07FD17">
          <v:shape id="_x0000_i1027" type="#_x0000_t75" style="width:284.85pt;height:203.5pt" o:ole="">
            <v:imagedata r:id="rId14" o:title=""/>
          </v:shape>
          <o:OLEObject Type="Embed" ProgID="Word.Document.12" ShapeID="_x0000_i1027" DrawAspect="Content" ObjectID="_1668440529" r:id="rId15">
            <o:FieldCodes>\s</o:FieldCodes>
          </o:OLEObject>
        </w:object>
      </w:r>
    </w:p>
    <w:p w14:paraId="1C5535C3" w14:textId="67E91A50" w:rsidR="0077211B" w:rsidRPr="00FC4CA6" w:rsidRDefault="0077211B" w:rsidP="0077211B">
      <w:pPr>
        <w:rPr>
          <w:b/>
        </w:rPr>
      </w:pPr>
      <w:bookmarkStart w:id="25" w:name="_Ref508880987"/>
      <w:bookmarkStart w:id="26" w:name="_Toc506554278"/>
      <w:bookmarkStart w:id="27" w:name="_Toc514933327"/>
      <w:bookmarkStart w:id="28" w:name="_Toc514933442"/>
      <w:r w:rsidRPr="00FC4CA6">
        <w:rPr>
          <w:b/>
        </w:rPr>
        <w:t xml:space="preserve">Figure </w:t>
      </w:r>
      <w:r w:rsidRPr="00FC4CA6">
        <w:rPr>
          <w:b/>
        </w:rPr>
        <w:fldChar w:fldCharType="begin"/>
      </w:r>
      <w:r w:rsidRPr="00E208C5">
        <w:rPr>
          <w:b/>
        </w:rPr>
        <w:instrText xml:space="preserve"> SEQ Figure \* ARABIC \s 1 </w:instrText>
      </w:r>
      <w:r w:rsidRPr="00FC4CA6">
        <w:rPr>
          <w:b/>
        </w:rPr>
        <w:fldChar w:fldCharType="separate"/>
      </w:r>
      <w:r w:rsidR="003F4E02" w:rsidRPr="00FC4CA6">
        <w:rPr>
          <w:b/>
          <w:noProof/>
        </w:rPr>
        <w:t>3</w:t>
      </w:r>
      <w:r w:rsidRPr="00FC4CA6">
        <w:rPr>
          <w:b/>
        </w:rPr>
        <w:fldChar w:fldCharType="end"/>
      </w:r>
      <w:bookmarkEnd w:id="25"/>
      <w:r w:rsidRPr="00FC4CA6">
        <w:rPr>
          <w:b/>
        </w:rPr>
        <w:t xml:space="preserve">: Mean insulin secretion rate versus glucose concentration in patients with type 2 diabetes during graded glucose infusion before (baseline) and after 12 weeks of treatment with </w:t>
      </w:r>
      <w:proofErr w:type="spellStart"/>
      <w:r w:rsidRPr="00FC4CA6">
        <w:rPr>
          <w:b/>
        </w:rPr>
        <w:t>semaglutide</w:t>
      </w:r>
      <w:proofErr w:type="spellEnd"/>
      <w:r w:rsidRPr="00FC4CA6">
        <w:rPr>
          <w:b/>
        </w:rPr>
        <w:t xml:space="preserve"> or placebo and in untreated healthy subjects</w:t>
      </w:r>
      <w:bookmarkEnd w:id="26"/>
      <w:bookmarkEnd w:id="27"/>
      <w:bookmarkEnd w:id="28"/>
    </w:p>
    <w:p w14:paraId="0BFC3E54" w14:textId="74A35EDA" w:rsidR="0077211B" w:rsidRPr="00FC4CA6" w:rsidRDefault="0077211B" w:rsidP="0077211B">
      <w:r w:rsidRPr="00E208C5">
        <w:t xml:space="preserve">During induced hypoglycaemia, </w:t>
      </w:r>
      <w:proofErr w:type="spellStart"/>
      <w:r w:rsidRPr="00E208C5">
        <w:t>semaglutide</w:t>
      </w:r>
      <w:proofErr w:type="spellEnd"/>
      <w:r w:rsidRPr="00E208C5">
        <w:t xml:space="preserve"> compared to placebo did not alter the counter regulatory responses of increased glucagon, and did not impair the decrease of C-peptide in patients with type 2 diabetes</w:t>
      </w:r>
      <w:r w:rsidRPr="00FC4CA6">
        <w:t xml:space="preserve">. </w:t>
      </w:r>
    </w:p>
    <w:p w14:paraId="66EFD0BD" w14:textId="3A7AD1B3" w:rsidR="0077211B" w:rsidRPr="001F16E0" w:rsidRDefault="0077211B" w:rsidP="001F16E0">
      <w:pPr>
        <w:spacing w:after="0" w:line="240" w:lineRule="auto"/>
        <w:rPr>
          <w:i/>
          <w:iCs/>
        </w:rPr>
      </w:pPr>
      <w:r w:rsidRPr="001F16E0">
        <w:rPr>
          <w:i/>
          <w:iCs/>
        </w:rPr>
        <w:t>Gastric Emptying</w:t>
      </w:r>
    </w:p>
    <w:p w14:paraId="1927D3A8" w14:textId="77777777" w:rsidR="0077211B" w:rsidRPr="00E208C5" w:rsidRDefault="0077211B" w:rsidP="0077211B">
      <w:proofErr w:type="spellStart"/>
      <w:r w:rsidRPr="00E208C5">
        <w:t>Semaglutide</w:t>
      </w:r>
      <w:proofErr w:type="spellEnd"/>
      <w:r w:rsidRPr="00E208C5">
        <w:t xml:space="preserve"> caused a minor delay of early postprandial gastric emptying, thereby reducing the rate at which glucose appears in the circulation postprandially.</w:t>
      </w:r>
    </w:p>
    <w:p w14:paraId="27EF8436" w14:textId="14CB874A" w:rsidR="0077211B" w:rsidRPr="001F16E0" w:rsidRDefault="0077211B" w:rsidP="001F16E0">
      <w:pPr>
        <w:spacing w:after="0" w:line="240" w:lineRule="auto"/>
        <w:rPr>
          <w:i/>
          <w:iCs/>
        </w:rPr>
      </w:pPr>
      <w:r w:rsidRPr="001F16E0">
        <w:rPr>
          <w:i/>
          <w:iCs/>
        </w:rPr>
        <w:t>Body Weight and Body Composition</w:t>
      </w:r>
    </w:p>
    <w:p w14:paraId="7DD0815B" w14:textId="77777777" w:rsidR="00CC3889" w:rsidRDefault="0077211B" w:rsidP="00CC3889">
      <w:r w:rsidRPr="00E208C5">
        <w:t xml:space="preserve">A greater reduction in body weight was observed with </w:t>
      </w:r>
      <w:proofErr w:type="spellStart"/>
      <w:r w:rsidRPr="00E208C5">
        <w:t>semaglutide</w:t>
      </w:r>
      <w:proofErr w:type="spellEnd"/>
      <w:r w:rsidRPr="00E208C5">
        <w:t xml:space="preserve"> compared to studied comparators (placebo, sitagliptin, exenatide ER and insulin glargine) (section </w:t>
      </w:r>
      <w:r w:rsidR="00A373B1" w:rsidRPr="00E208C5">
        <w:t>5.1</w:t>
      </w:r>
      <w:r w:rsidRPr="00E208C5">
        <w:t xml:space="preserve">). The body weight loss with </w:t>
      </w:r>
      <w:proofErr w:type="spellStart"/>
      <w:r w:rsidRPr="00E208C5">
        <w:t>semaglutide</w:t>
      </w:r>
      <w:proofErr w:type="spellEnd"/>
      <w:r w:rsidRPr="00E208C5">
        <w:t xml:space="preserve"> was predominantly from fat tissue with loss of fat mass being 3-fold larger than loss of lean mass.</w:t>
      </w:r>
      <w:bookmarkStart w:id="29" w:name="_Toc508876613"/>
      <w:bookmarkStart w:id="30" w:name="_Toc509910900"/>
      <w:bookmarkStart w:id="31" w:name="_Toc509911012"/>
      <w:bookmarkStart w:id="32" w:name="_Toc514845184"/>
      <w:bookmarkStart w:id="33" w:name="_Toc514933280"/>
      <w:bookmarkStart w:id="34" w:name="_Toc515008233"/>
    </w:p>
    <w:p w14:paraId="37D4B8C1" w14:textId="740D8A9B" w:rsidR="0077211B" w:rsidRPr="001F16E0" w:rsidRDefault="0077211B" w:rsidP="001F16E0">
      <w:pPr>
        <w:spacing w:after="0" w:line="240" w:lineRule="auto"/>
        <w:rPr>
          <w:i/>
          <w:iCs/>
        </w:rPr>
      </w:pPr>
      <w:r w:rsidRPr="001F16E0">
        <w:rPr>
          <w:i/>
          <w:iCs/>
        </w:rPr>
        <w:t>Appetite, Energy Intake and Food Choice</w:t>
      </w:r>
      <w:bookmarkEnd w:id="29"/>
      <w:bookmarkEnd w:id="30"/>
      <w:bookmarkEnd w:id="31"/>
      <w:bookmarkEnd w:id="32"/>
      <w:bookmarkEnd w:id="33"/>
      <w:bookmarkEnd w:id="34"/>
    </w:p>
    <w:p w14:paraId="76C0A837" w14:textId="77777777" w:rsidR="0077211B" w:rsidRPr="00E208C5" w:rsidRDefault="0077211B" w:rsidP="0077211B">
      <w:pPr>
        <w:rPr>
          <w:bCs/>
        </w:rPr>
      </w:pPr>
      <w:proofErr w:type="spellStart"/>
      <w:r w:rsidRPr="00E208C5">
        <w:rPr>
          <w:bCs/>
        </w:rPr>
        <w:t>Semaglutide</w:t>
      </w:r>
      <w:proofErr w:type="spellEnd"/>
      <w:r w:rsidRPr="00E208C5">
        <w:rPr>
          <w:bCs/>
        </w:rPr>
        <w:t xml:space="preserve"> compared to placebo lowered the energy intake of 3 consecutive </w:t>
      </w:r>
      <w:r w:rsidRPr="00E208C5">
        <w:rPr>
          <w:bCs/>
          <w:i/>
        </w:rPr>
        <w:t>ad libitum</w:t>
      </w:r>
      <w:r w:rsidRPr="00E208C5">
        <w:rPr>
          <w:bCs/>
        </w:rPr>
        <w:t xml:space="preserve"> meals by 18-35%. This was supported by a </w:t>
      </w:r>
      <w:proofErr w:type="spellStart"/>
      <w:r w:rsidRPr="00E208C5">
        <w:rPr>
          <w:bCs/>
        </w:rPr>
        <w:t>semaglutide</w:t>
      </w:r>
      <w:proofErr w:type="spellEnd"/>
      <w:r w:rsidRPr="00E208C5">
        <w:rPr>
          <w:bCs/>
        </w:rPr>
        <w:t>-induced suppression of appetite in the fasting state as well as postprandially, improved control of eating, less food cravings and a relative lower preference for high fat food.</w:t>
      </w:r>
    </w:p>
    <w:p w14:paraId="58023998" w14:textId="468B437C" w:rsidR="0077211B" w:rsidRPr="001F16E0" w:rsidRDefault="0077211B" w:rsidP="001F16E0">
      <w:pPr>
        <w:spacing w:after="0" w:line="240" w:lineRule="auto"/>
        <w:rPr>
          <w:i/>
          <w:iCs/>
        </w:rPr>
      </w:pPr>
      <w:bookmarkStart w:id="35" w:name="_Toc508876614"/>
      <w:bookmarkStart w:id="36" w:name="_Toc509910901"/>
      <w:bookmarkStart w:id="37" w:name="_Toc509911013"/>
      <w:bookmarkStart w:id="38" w:name="_Toc514845185"/>
      <w:bookmarkStart w:id="39" w:name="_Toc514933281"/>
      <w:bookmarkStart w:id="40" w:name="_Toc515008234"/>
      <w:r w:rsidRPr="001F16E0">
        <w:rPr>
          <w:i/>
          <w:iCs/>
        </w:rPr>
        <w:t>Fasting and Postprandial Lipids</w:t>
      </w:r>
      <w:bookmarkEnd w:id="35"/>
      <w:bookmarkEnd w:id="36"/>
      <w:bookmarkEnd w:id="37"/>
      <w:bookmarkEnd w:id="38"/>
      <w:bookmarkEnd w:id="39"/>
      <w:bookmarkEnd w:id="40"/>
    </w:p>
    <w:p w14:paraId="71FC105B" w14:textId="77777777" w:rsidR="00CC3889" w:rsidRDefault="0077211B" w:rsidP="00CC3889">
      <w:proofErr w:type="spellStart"/>
      <w:r w:rsidRPr="00E208C5">
        <w:lastRenderedPageBreak/>
        <w:t>Semaglutide</w:t>
      </w:r>
      <w:proofErr w:type="spellEnd"/>
      <w:r w:rsidRPr="00E208C5">
        <w:t xml:space="preserve"> compared to placebo lowered fasting triglyceride and VLDL cholesterol concentrations by 12% and 21%, respectively. The postprandial triglyceride and VLDL cholesterol response to a high fat meal was reduced by &gt;40%.</w:t>
      </w:r>
      <w:bookmarkStart w:id="41" w:name="_Toc508876615"/>
      <w:bookmarkStart w:id="42" w:name="_Toc509910902"/>
      <w:bookmarkStart w:id="43" w:name="_Toc509911014"/>
      <w:bookmarkStart w:id="44" w:name="_Toc514845186"/>
      <w:bookmarkStart w:id="45" w:name="_Toc514933282"/>
      <w:bookmarkStart w:id="46" w:name="_Toc515008235"/>
    </w:p>
    <w:p w14:paraId="074CBD05" w14:textId="487D366B" w:rsidR="0077211B" w:rsidRPr="001F16E0" w:rsidRDefault="0077211B" w:rsidP="001F16E0">
      <w:pPr>
        <w:spacing w:after="0" w:line="240" w:lineRule="auto"/>
        <w:rPr>
          <w:i/>
          <w:iCs/>
        </w:rPr>
      </w:pPr>
      <w:r w:rsidRPr="001F16E0">
        <w:rPr>
          <w:i/>
          <w:iCs/>
        </w:rPr>
        <w:t>Cardiac Electrophysiology (QTc)</w:t>
      </w:r>
      <w:bookmarkEnd w:id="41"/>
      <w:bookmarkEnd w:id="42"/>
      <w:bookmarkEnd w:id="43"/>
      <w:bookmarkEnd w:id="44"/>
      <w:bookmarkEnd w:id="45"/>
      <w:bookmarkEnd w:id="46"/>
    </w:p>
    <w:p w14:paraId="25FC1A59" w14:textId="77777777" w:rsidR="0077211B" w:rsidRPr="00E208C5" w:rsidRDefault="0077211B" w:rsidP="0077211B">
      <w:r w:rsidRPr="00E208C5">
        <w:t xml:space="preserve">The effect of </w:t>
      </w:r>
      <w:proofErr w:type="spellStart"/>
      <w:r w:rsidRPr="00E208C5">
        <w:t>semaglutide</w:t>
      </w:r>
      <w:proofErr w:type="spellEnd"/>
      <w:r w:rsidRPr="00E208C5">
        <w:t xml:space="preserve"> on cardiac repolarization was tested in a thorough QTc trial. </w:t>
      </w:r>
      <w:proofErr w:type="spellStart"/>
      <w:r w:rsidRPr="00E208C5">
        <w:t>Semaglutide</w:t>
      </w:r>
      <w:proofErr w:type="spellEnd"/>
      <w:r w:rsidRPr="00E208C5">
        <w:t xml:space="preserve"> did not prolong QTc intervals at supra-therapeutic dose levels (up to 1.5 mg at steady state).</w:t>
      </w:r>
    </w:p>
    <w:p w14:paraId="538B7E48" w14:textId="069D6F68" w:rsidR="00C44B67" w:rsidRPr="00FC4CA6" w:rsidRDefault="00C44B67" w:rsidP="00C44B67">
      <w:pPr>
        <w:pStyle w:val="Heading4"/>
      </w:pPr>
      <w:r w:rsidRPr="00E208C5">
        <w:t>Clinical trials</w:t>
      </w:r>
    </w:p>
    <w:p w14:paraId="2978619B" w14:textId="77777777" w:rsidR="00B21F96" w:rsidRPr="00E208C5" w:rsidRDefault="00B21F96" w:rsidP="00B21F96">
      <w:r w:rsidRPr="00E208C5">
        <w:t>Both improvement of glycaemic control and reduction of cardiovascular morbidity and mortality are an integral part of the treatment of type 2 diabetes.</w:t>
      </w:r>
    </w:p>
    <w:p w14:paraId="0A453BCC" w14:textId="785544A1" w:rsidR="00B21F96" w:rsidRPr="00FC4CA6" w:rsidRDefault="00B21F96" w:rsidP="00B21F96">
      <w:r w:rsidRPr="00E208C5">
        <w:t xml:space="preserve">The efficacy and safety of </w:t>
      </w:r>
      <w:proofErr w:type="spellStart"/>
      <w:r w:rsidRPr="00E208C5">
        <w:t>Ozempic</w:t>
      </w:r>
      <w:proofErr w:type="spellEnd"/>
      <w:r w:rsidRPr="00E208C5">
        <w:t xml:space="preserve"> 0.5 mg and 1 mg once weekly were evaluated in six randomised controlled phase 3a trials. Of these, five trials (SUSTAIN 1-5) had glycaemic efficacy assessment as the primary objective, while one trial (SUSTAIN 6) had cardiovascular outcome as the primary objective. Additionally, two phase 3 trials were conducted with </w:t>
      </w:r>
      <w:proofErr w:type="spellStart"/>
      <w:r w:rsidRPr="00E208C5">
        <w:t>Ozempic</w:t>
      </w:r>
      <w:proofErr w:type="spellEnd"/>
      <w:r w:rsidRPr="00E208C5">
        <w:t xml:space="preserve"> in Japanese patients</w:t>
      </w:r>
      <w:r w:rsidR="00273BA0">
        <w:t xml:space="preserve"> </w:t>
      </w:r>
      <w:r w:rsidR="00273BA0" w:rsidRPr="00CC3889">
        <w:t>with safety as the primary objective and efficacy the secondary objective</w:t>
      </w:r>
      <w:r w:rsidRPr="00CC3889">
        <w:t>.</w:t>
      </w:r>
    </w:p>
    <w:p w14:paraId="1D13B556" w14:textId="7A36CF11" w:rsidR="00B21F96" w:rsidRPr="00FC4CA6" w:rsidRDefault="00B21F96" w:rsidP="00B21F96">
      <w:r w:rsidRPr="00E208C5">
        <w:t xml:space="preserve">The trials included in total 8,124 randomised patients with type 2 diabetes (4,792 treated with </w:t>
      </w:r>
      <w:proofErr w:type="spellStart"/>
      <w:r w:rsidR="000D4888" w:rsidRPr="00E208C5">
        <w:t>semaglutide</w:t>
      </w:r>
      <w:proofErr w:type="spellEnd"/>
      <w:r w:rsidRPr="00FC4CA6">
        <w:t>).</w:t>
      </w:r>
    </w:p>
    <w:p w14:paraId="18206EE0" w14:textId="207B96B8" w:rsidR="00B21F96" w:rsidRPr="00E208C5" w:rsidRDefault="00B21F96" w:rsidP="00B21F96">
      <w:r w:rsidRPr="00E208C5">
        <w:t>An additional trial including 1,201</w:t>
      </w:r>
      <w:r w:rsidR="00356B98" w:rsidRPr="00E208C5">
        <w:t xml:space="preserve"> </w:t>
      </w:r>
      <w:r w:rsidRPr="00E208C5">
        <w:t xml:space="preserve">patients was conducted to compare the efficacy and safety of </w:t>
      </w:r>
      <w:proofErr w:type="spellStart"/>
      <w:r w:rsidRPr="00E208C5">
        <w:t>Ozempic</w:t>
      </w:r>
      <w:proofErr w:type="spellEnd"/>
      <w:r w:rsidRPr="00E208C5">
        <w:t xml:space="preserve"> 0.5 mg and 1 mg once weekly versus dulaglutide 0.75 mg and 1.5 mg once weekly, respectively.</w:t>
      </w:r>
    </w:p>
    <w:p w14:paraId="2F4A378E" w14:textId="1C563320" w:rsidR="00C44B67" w:rsidRPr="00E208C5" w:rsidRDefault="00B21F96" w:rsidP="00B21F96">
      <w:r w:rsidRPr="00E208C5">
        <w:t xml:space="preserve">Treatment with </w:t>
      </w:r>
      <w:proofErr w:type="spellStart"/>
      <w:r w:rsidRPr="00E208C5">
        <w:t>Ozempic</w:t>
      </w:r>
      <w:proofErr w:type="spellEnd"/>
      <w:r w:rsidRPr="00E208C5">
        <w:t xml:space="preserve"> demonstrated statistically </w:t>
      </w:r>
      <w:r w:rsidR="000D4888" w:rsidRPr="00E208C5">
        <w:t>significant</w:t>
      </w:r>
      <w:r w:rsidR="000D4888" w:rsidRPr="00FC4CA6">
        <w:t xml:space="preserve"> </w:t>
      </w:r>
      <w:r w:rsidRPr="00FC4CA6">
        <w:t>and clinically meaningful reductions in HbA</w:t>
      </w:r>
      <w:r w:rsidRPr="00E208C5">
        <w:rPr>
          <w:vertAlign w:val="subscript"/>
        </w:rPr>
        <w:t>1c</w:t>
      </w:r>
      <w:r w:rsidRPr="00E208C5">
        <w:t xml:space="preserve"> (see Figure </w:t>
      </w:r>
      <w:r w:rsidR="00A373B1" w:rsidRPr="00E208C5">
        <w:t>4</w:t>
      </w:r>
      <w:r w:rsidRPr="00E208C5">
        <w:t xml:space="preserve">) and body weight </w:t>
      </w:r>
      <w:r w:rsidR="00163AEC" w:rsidRPr="00E208C5">
        <w:t xml:space="preserve">maintained </w:t>
      </w:r>
      <w:r w:rsidRPr="00E208C5">
        <w:t>for up to 2 years compared to placebo and active control treatment (sitagliptin, insulin glargine, exenatide ER and dulaglutide).</w:t>
      </w:r>
    </w:p>
    <w:bookmarkStart w:id="47" w:name="_MON_1580132525"/>
    <w:bookmarkEnd w:id="47"/>
    <w:p w14:paraId="4D42148F" w14:textId="60C795A9" w:rsidR="001F1E3F" w:rsidRPr="00FC4CA6" w:rsidRDefault="001F1E3F" w:rsidP="001F1E3F">
      <w:pPr>
        <w:rPr>
          <w:b/>
          <w:bCs/>
        </w:rPr>
      </w:pPr>
      <w:r w:rsidRPr="00FC4CA6">
        <w:rPr>
          <w:b/>
          <w:sz w:val="22"/>
          <w:szCs w:val="22"/>
        </w:rPr>
        <w:object w:dxaOrig="9030" w:dyaOrig="5578" w14:anchorId="0C8548D4">
          <v:shape id="_x0000_i1028" type="#_x0000_t75" style="width:452.65pt;height:278.6pt" o:ole="" filled="t">
            <v:imagedata r:id="rId16" o:title=""/>
          </v:shape>
          <o:OLEObject Type="Embed" ProgID="Word.Document.12" ShapeID="_x0000_i1028" DrawAspect="Content" ObjectID="_1668440530" r:id="rId17">
            <o:FieldCodes>\s</o:FieldCodes>
          </o:OLEObject>
        </w:object>
      </w:r>
      <w:bookmarkStart w:id="48" w:name="_Toc514933320"/>
      <w:bookmarkStart w:id="49" w:name="_Toc514933435"/>
      <w:r w:rsidRPr="00FC4CA6">
        <w:rPr>
          <w:b/>
          <w:bCs/>
        </w:rPr>
        <w:t xml:space="preserve">Figure </w:t>
      </w:r>
      <w:r w:rsidRPr="00FC4CA6">
        <w:rPr>
          <w:b/>
          <w:bCs/>
        </w:rPr>
        <w:fldChar w:fldCharType="begin"/>
      </w:r>
      <w:r w:rsidRPr="00E208C5">
        <w:rPr>
          <w:b/>
          <w:bCs/>
        </w:rPr>
        <w:instrText xml:space="preserve"> SEQ Figure \* ARABIC \s 1 </w:instrText>
      </w:r>
      <w:r w:rsidRPr="00FC4CA6">
        <w:rPr>
          <w:b/>
          <w:bCs/>
        </w:rPr>
        <w:fldChar w:fldCharType="separate"/>
      </w:r>
      <w:r w:rsidR="003F4E02" w:rsidRPr="00FC4CA6">
        <w:rPr>
          <w:b/>
          <w:bCs/>
          <w:noProof/>
        </w:rPr>
        <w:t>4</w:t>
      </w:r>
      <w:r w:rsidRPr="00FC4CA6">
        <w:rPr>
          <w:b/>
        </w:rPr>
        <w:fldChar w:fldCharType="end"/>
      </w:r>
      <w:r w:rsidRPr="00FC4CA6">
        <w:rPr>
          <w:b/>
        </w:rPr>
        <w:t xml:space="preserve">: </w:t>
      </w:r>
      <w:r w:rsidRPr="00FC4CA6">
        <w:rPr>
          <w:b/>
          <w:bCs/>
        </w:rPr>
        <w:t>HbA</w:t>
      </w:r>
      <w:r w:rsidRPr="00E208C5">
        <w:rPr>
          <w:b/>
          <w:bCs/>
          <w:vertAlign w:val="subscript"/>
        </w:rPr>
        <w:t>1c</w:t>
      </w:r>
      <w:r w:rsidRPr="00E208C5">
        <w:rPr>
          <w:b/>
          <w:bCs/>
        </w:rPr>
        <w:t xml:space="preserve"> (%)-estimated change from baseline to end of treatment in SUSTAIN 1-7, Japan Monotherapy and Japan OAD Combination trials (</w:t>
      </w:r>
      <w:proofErr w:type="spellStart"/>
      <w:r w:rsidRPr="00E208C5">
        <w:rPr>
          <w:b/>
          <w:bCs/>
        </w:rPr>
        <w:t>semaglutide</w:t>
      </w:r>
      <w:proofErr w:type="spellEnd"/>
      <w:r w:rsidRPr="00E208C5">
        <w:rPr>
          <w:b/>
          <w:bCs/>
        </w:rPr>
        <w:t xml:space="preserve"> 0.5 mg dark grey, </w:t>
      </w:r>
      <w:proofErr w:type="spellStart"/>
      <w:r w:rsidRPr="00E208C5">
        <w:rPr>
          <w:b/>
          <w:bCs/>
        </w:rPr>
        <w:t>semaglutide</w:t>
      </w:r>
      <w:proofErr w:type="spellEnd"/>
      <w:r w:rsidRPr="00E208C5">
        <w:rPr>
          <w:b/>
          <w:bCs/>
        </w:rPr>
        <w:t xml:space="preserve"> 1 mg black, competitors white and placebo light grey)</w:t>
      </w:r>
      <w:bookmarkEnd w:id="48"/>
      <w:bookmarkEnd w:id="49"/>
    </w:p>
    <w:p w14:paraId="7B1B80D8" w14:textId="63C56D07" w:rsidR="001F1E3F" w:rsidRPr="00FC4CA6" w:rsidRDefault="001F1E3F" w:rsidP="001F1E3F">
      <w:r w:rsidRPr="00E208C5">
        <w:t xml:space="preserve">The efficacy of </w:t>
      </w:r>
      <w:proofErr w:type="spellStart"/>
      <w:r w:rsidRPr="00E208C5">
        <w:t>Ozempic</w:t>
      </w:r>
      <w:proofErr w:type="spellEnd"/>
      <w:r w:rsidRPr="00E208C5">
        <w:t xml:space="preserve"> was not impacted by age, gender, race, ethnicity, BMI at baseline, body weight (kg) at baseline, diabetes duration and level of renal function impairment</w:t>
      </w:r>
      <w:r w:rsidRPr="00FC4CA6">
        <w:t xml:space="preserve">. </w:t>
      </w:r>
    </w:p>
    <w:p w14:paraId="692AE8EF" w14:textId="77777777" w:rsidR="001F1E3F" w:rsidRPr="005A5D07" w:rsidRDefault="001F1E3F" w:rsidP="005A5D07">
      <w:pPr>
        <w:spacing w:after="0" w:line="240" w:lineRule="auto"/>
        <w:rPr>
          <w:i/>
          <w:iCs/>
        </w:rPr>
      </w:pPr>
      <w:r w:rsidRPr="005A5D07">
        <w:rPr>
          <w:i/>
          <w:iCs/>
        </w:rPr>
        <w:t>SUSTAIN 1</w:t>
      </w:r>
      <w:r w:rsidRPr="005A5D07">
        <w:rPr>
          <w:bCs/>
          <w:i/>
          <w:iCs/>
        </w:rPr>
        <w:t xml:space="preserve"> – </w:t>
      </w:r>
      <w:r w:rsidRPr="005A5D07">
        <w:rPr>
          <w:i/>
          <w:iCs/>
        </w:rPr>
        <w:t>Monotherapy</w:t>
      </w:r>
    </w:p>
    <w:p w14:paraId="2E370C71" w14:textId="6C51470B" w:rsidR="001F1E3F" w:rsidRPr="00FC4CA6" w:rsidRDefault="001F1E3F" w:rsidP="001F1E3F">
      <w:r w:rsidRPr="00E208C5">
        <w:t xml:space="preserve">In a 30-week double-blind trial, 388 patients inadequately controlled with diet and exercise were randomised to </w:t>
      </w:r>
      <w:proofErr w:type="spellStart"/>
      <w:r w:rsidRPr="00E208C5">
        <w:t>Ozempic</w:t>
      </w:r>
      <w:proofErr w:type="spellEnd"/>
      <w:r w:rsidRPr="00E208C5">
        <w:t xml:space="preserve"> 0.5 mg or </w:t>
      </w:r>
      <w:proofErr w:type="spellStart"/>
      <w:r w:rsidRPr="00E208C5">
        <w:t>Ozempic</w:t>
      </w:r>
      <w:proofErr w:type="spellEnd"/>
      <w:r w:rsidRPr="00E208C5">
        <w:t xml:space="preserve"> 1 mg once weekly or placebo</w:t>
      </w:r>
      <w:r w:rsidRPr="00FC4CA6">
        <w:t xml:space="preserve">. </w:t>
      </w:r>
    </w:p>
    <w:p w14:paraId="10E508F2" w14:textId="27F49051" w:rsidR="001F1E3F" w:rsidRPr="00FC4CA6" w:rsidRDefault="001F1E3F" w:rsidP="001F1E3F">
      <w:r w:rsidRPr="00E208C5">
        <w:t>Patients had a mean age of 54 years and a mean duration of type 2 diabetes of 4.2 years. There were 64% White patients, 8% were Black or African Americans and 21% were Asian. For ethnicity, 30% of patients (n=115) were Hispanic or Latino. The mean BMI was 33 kg/m</w:t>
      </w:r>
      <w:r w:rsidRPr="00E208C5">
        <w:rPr>
          <w:vertAlign w:val="superscript"/>
        </w:rPr>
        <w:t>2</w:t>
      </w:r>
      <w:r w:rsidRPr="00E208C5">
        <w:t>.</w:t>
      </w:r>
    </w:p>
    <w:p w14:paraId="137E8EAD" w14:textId="051F661D" w:rsidR="001F1E3F" w:rsidRPr="00FC4CA6" w:rsidRDefault="001F1E3F" w:rsidP="001F1E3F">
      <w:pPr>
        <w:rPr>
          <w:b/>
        </w:rPr>
      </w:pPr>
      <w:bookmarkStart w:id="50" w:name="_Ref509297369"/>
      <w:bookmarkStart w:id="51" w:name="_Toc514933345"/>
      <w:bookmarkStart w:id="52" w:name="_Toc514933428"/>
      <w:r w:rsidRPr="00FC4CA6">
        <w:rPr>
          <w:b/>
        </w:rPr>
        <w:t>Tabl</w:t>
      </w:r>
      <w:r w:rsidRPr="00E208C5">
        <w:rPr>
          <w:b/>
        </w:rPr>
        <w:t xml:space="preserve">e </w:t>
      </w:r>
      <w:r w:rsidRPr="00FC4CA6">
        <w:rPr>
          <w:b/>
        </w:rPr>
        <w:fldChar w:fldCharType="begin"/>
      </w:r>
      <w:r w:rsidRPr="00E208C5">
        <w:rPr>
          <w:b/>
        </w:rPr>
        <w:instrText xml:space="preserve"> SEQ Table \* ARABIC \s 1 </w:instrText>
      </w:r>
      <w:r w:rsidRPr="00FC4CA6">
        <w:rPr>
          <w:b/>
        </w:rPr>
        <w:fldChar w:fldCharType="separate"/>
      </w:r>
      <w:r w:rsidR="003F4E02" w:rsidRPr="00FC4CA6">
        <w:rPr>
          <w:b/>
          <w:noProof/>
        </w:rPr>
        <w:t>3</w:t>
      </w:r>
      <w:r w:rsidRPr="00FC4CA6">
        <w:rPr>
          <w:b/>
        </w:rPr>
        <w:fldChar w:fldCharType="end"/>
      </w:r>
      <w:bookmarkEnd w:id="50"/>
      <w:r w:rsidRPr="00FC4CA6">
        <w:rPr>
          <w:b/>
        </w:rPr>
        <w:t>: Results of a at 30 weeks monotherapy trial (SUSTAIN 1)</w:t>
      </w:r>
      <w:bookmarkEnd w:id="51"/>
      <w:bookmarkEnd w:id="52"/>
    </w:p>
    <w:tbl>
      <w:tblPr>
        <w:tblW w:w="946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794"/>
        <w:gridCol w:w="1984"/>
        <w:gridCol w:w="1985"/>
        <w:gridCol w:w="1701"/>
      </w:tblGrid>
      <w:tr w:rsidR="00C77047" w:rsidRPr="00E208C5" w14:paraId="67D46F92" w14:textId="77777777" w:rsidTr="00A2533A">
        <w:trPr>
          <w:trHeight w:val="274"/>
        </w:trPr>
        <w:tc>
          <w:tcPr>
            <w:tcW w:w="3794" w:type="dxa"/>
            <w:tcBorders>
              <w:top w:val="single" w:sz="4" w:space="0" w:color="auto"/>
              <w:left w:val="single" w:sz="4" w:space="0" w:color="auto"/>
              <w:bottom w:val="single" w:sz="4" w:space="0" w:color="auto"/>
              <w:right w:val="single" w:sz="4" w:space="0" w:color="auto"/>
            </w:tcBorders>
          </w:tcPr>
          <w:p w14:paraId="7934386B" w14:textId="77777777" w:rsidR="00C77047" w:rsidRPr="00E208C5" w:rsidRDefault="00C77047" w:rsidP="000B3BBA">
            <w:pPr>
              <w:pStyle w:val="TableText"/>
              <w:rPr>
                <w:lang w:val="en-AU"/>
              </w:rPr>
            </w:pP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3655C34" w14:textId="77777777" w:rsidR="00C77047" w:rsidRPr="00E208C5" w:rsidRDefault="00C77047" w:rsidP="00C77047">
            <w:pPr>
              <w:pStyle w:val="TableText"/>
              <w:rPr>
                <w:b/>
                <w:lang w:val="en-AU"/>
              </w:rPr>
            </w:pPr>
            <w:proofErr w:type="spellStart"/>
            <w:r w:rsidRPr="00E208C5">
              <w:rPr>
                <w:b/>
                <w:lang w:val="en-AU"/>
              </w:rPr>
              <w:t>Ozempic</w:t>
            </w:r>
            <w:proofErr w:type="spellEnd"/>
            <w:r w:rsidRPr="00E208C5">
              <w:rPr>
                <w:b/>
                <w:lang w:val="en-AU"/>
              </w:rPr>
              <w:t xml:space="preserve"> 0.5 mg</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8F1021" w14:textId="77777777" w:rsidR="00C77047" w:rsidRPr="00E208C5" w:rsidRDefault="00C77047" w:rsidP="00C77047">
            <w:pPr>
              <w:pStyle w:val="TableText"/>
              <w:rPr>
                <w:b/>
                <w:lang w:val="en-AU"/>
              </w:rPr>
            </w:pPr>
            <w:proofErr w:type="spellStart"/>
            <w:r w:rsidRPr="00E208C5">
              <w:rPr>
                <w:b/>
                <w:lang w:val="en-AU"/>
              </w:rPr>
              <w:t>Ozempic</w:t>
            </w:r>
            <w:proofErr w:type="spellEnd"/>
            <w:r w:rsidRPr="00E208C5">
              <w:rPr>
                <w:b/>
                <w:lang w:val="en-AU"/>
              </w:rPr>
              <w:t xml:space="preserve"> 1 mg</w:t>
            </w:r>
          </w:p>
        </w:tc>
        <w:tc>
          <w:tcPr>
            <w:tcW w:w="1701" w:type="dxa"/>
            <w:tcBorders>
              <w:top w:val="single" w:sz="4" w:space="0" w:color="auto"/>
              <w:left w:val="single" w:sz="4" w:space="0" w:color="auto"/>
              <w:bottom w:val="single" w:sz="4" w:space="0" w:color="auto"/>
              <w:right w:val="single" w:sz="4" w:space="0" w:color="auto"/>
            </w:tcBorders>
          </w:tcPr>
          <w:p w14:paraId="056AA8A5" w14:textId="77777777" w:rsidR="00C77047" w:rsidRPr="00E208C5" w:rsidRDefault="00C77047" w:rsidP="000B3BBA">
            <w:pPr>
              <w:pStyle w:val="TableText"/>
              <w:rPr>
                <w:b/>
                <w:lang w:val="en-AU"/>
              </w:rPr>
            </w:pPr>
            <w:r w:rsidRPr="00E208C5">
              <w:rPr>
                <w:b/>
                <w:lang w:val="en-AU"/>
              </w:rPr>
              <w:t>Placebo</w:t>
            </w:r>
          </w:p>
        </w:tc>
      </w:tr>
      <w:tr w:rsidR="00CC3889" w:rsidRPr="00E208C5" w14:paraId="333DE3A6" w14:textId="77777777" w:rsidTr="000B60E9">
        <w:trPr>
          <w:trHeight w:val="340"/>
        </w:trPr>
        <w:tc>
          <w:tcPr>
            <w:tcW w:w="3794" w:type="dxa"/>
            <w:tcBorders>
              <w:top w:val="single" w:sz="4" w:space="0" w:color="auto"/>
              <w:left w:val="single" w:sz="4" w:space="0" w:color="auto"/>
              <w:bottom w:val="single" w:sz="4" w:space="0" w:color="auto"/>
              <w:right w:val="single" w:sz="4" w:space="0" w:color="auto"/>
            </w:tcBorders>
          </w:tcPr>
          <w:p w14:paraId="5BC925A1" w14:textId="77777777" w:rsidR="00CC3889" w:rsidRPr="00E208C5" w:rsidRDefault="00CC3889" w:rsidP="000B3BBA">
            <w:pPr>
              <w:pStyle w:val="TableText"/>
              <w:rPr>
                <w:lang w:val="en-AU"/>
              </w:rPr>
            </w:pPr>
            <w:r w:rsidRPr="00E208C5">
              <w:rPr>
                <w:lang w:val="en-AU"/>
              </w:rPr>
              <w:t>Intent-to-Treat (ITT) Population (N)</w:t>
            </w:r>
          </w:p>
        </w:tc>
        <w:tc>
          <w:tcPr>
            <w:tcW w:w="19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EB5796A" w14:textId="77777777" w:rsidR="00CC3889" w:rsidRPr="00E208C5" w:rsidRDefault="00CC3889" w:rsidP="000B3BBA">
            <w:pPr>
              <w:pStyle w:val="TableText"/>
              <w:rPr>
                <w:lang w:val="en-AU"/>
              </w:rPr>
            </w:pPr>
            <w:r w:rsidRPr="00E208C5">
              <w:rPr>
                <w:lang w:val="en-AU"/>
              </w:rPr>
              <w:t>128</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5E49946" w14:textId="41C55E6F" w:rsidR="00CC3889" w:rsidRPr="00E208C5" w:rsidRDefault="00CC3889" w:rsidP="000B3BBA">
            <w:pPr>
              <w:pStyle w:val="TableText"/>
              <w:rPr>
                <w:lang w:val="en-AU"/>
              </w:rPr>
            </w:pPr>
            <w:r w:rsidRPr="00E208C5">
              <w:rPr>
                <w:lang w:val="en-AU"/>
              </w:rPr>
              <w:t>130</w:t>
            </w:r>
          </w:p>
        </w:tc>
        <w:tc>
          <w:tcPr>
            <w:tcW w:w="1701" w:type="dxa"/>
            <w:tcBorders>
              <w:top w:val="single" w:sz="4" w:space="0" w:color="auto"/>
              <w:left w:val="single" w:sz="4" w:space="0" w:color="auto"/>
              <w:bottom w:val="single" w:sz="4" w:space="0" w:color="auto"/>
              <w:right w:val="single" w:sz="4" w:space="0" w:color="auto"/>
            </w:tcBorders>
          </w:tcPr>
          <w:p w14:paraId="6DD8DA5C" w14:textId="77777777" w:rsidR="00CC3889" w:rsidRPr="00E208C5" w:rsidRDefault="00CC3889" w:rsidP="000B3BBA">
            <w:pPr>
              <w:pStyle w:val="TableText"/>
              <w:rPr>
                <w:lang w:val="en-AU"/>
              </w:rPr>
            </w:pPr>
            <w:r w:rsidRPr="00E208C5">
              <w:rPr>
                <w:lang w:val="en-AU"/>
              </w:rPr>
              <w:t>129</w:t>
            </w:r>
          </w:p>
        </w:tc>
      </w:tr>
      <w:tr w:rsidR="00CC3889" w:rsidRPr="00E208C5" w14:paraId="00149D71" w14:textId="77777777" w:rsidTr="000B60E9">
        <w:trPr>
          <w:trHeight w:val="225"/>
        </w:trPr>
        <w:tc>
          <w:tcPr>
            <w:tcW w:w="9464" w:type="dxa"/>
            <w:gridSpan w:val="4"/>
            <w:tcBorders>
              <w:top w:val="single" w:sz="4" w:space="0" w:color="auto"/>
              <w:left w:val="single" w:sz="4" w:space="0" w:color="auto"/>
              <w:bottom w:val="single" w:sz="4" w:space="0" w:color="auto"/>
              <w:right w:val="single" w:sz="4" w:space="0" w:color="auto"/>
            </w:tcBorders>
            <w:hideMark/>
          </w:tcPr>
          <w:p w14:paraId="646B3672" w14:textId="031FE3DD" w:rsidR="00CC3889" w:rsidRPr="00E208C5" w:rsidRDefault="00CC3889" w:rsidP="000B3BBA">
            <w:pPr>
              <w:pStyle w:val="TableText"/>
              <w:rPr>
                <w:lang w:val="en-AU"/>
              </w:rPr>
            </w:pPr>
            <w:r w:rsidRPr="00E208C5">
              <w:rPr>
                <w:lang w:val="en-AU"/>
              </w:rPr>
              <w:t>HbA</w:t>
            </w:r>
            <w:r w:rsidRPr="00E208C5">
              <w:rPr>
                <w:vertAlign w:val="subscript"/>
                <w:lang w:val="en-AU"/>
              </w:rPr>
              <w:t xml:space="preserve">1c </w:t>
            </w:r>
            <w:r w:rsidRPr="00E208C5">
              <w:rPr>
                <w:lang w:val="en-AU"/>
              </w:rPr>
              <w:t>(%)</w:t>
            </w:r>
          </w:p>
        </w:tc>
      </w:tr>
      <w:tr w:rsidR="00CC3889" w:rsidRPr="00E208C5" w14:paraId="4121C9DC" w14:textId="77777777" w:rsidTr="000B60E9">
        <w:trPr>
          <w:trHeight w:val="204"/>
        </w:trPr>
        <w:tc>
          <w:tcPr>
            <w:tcW w:w="3794" w:type="dxa"/>
            <w:tcBorders>
              <w:top w:val="single" w:sz="4" w:space="0" w:color="auto"/>
              <w:left w:val="single" w:sz="4" w:space="0" w:color="auto"/>
              <w:bottom w:val="single" w:sz="4" w:space="0" w:color="auto"/>
              <w:right w:val="single" w:sz="4" w:space="0" w:color="auto"/>
            </w:tcBorders>
            <w:hideMark/>
          </w:tcPr>
          <w:p w14:paraId="31E8AC5A" w14:textId="77777777" w:rsidR="00CC3889" w:rsidRPr="00E208C5" w:rsidRDefault="00CC3889" w:rsidP="000B3BBA">
            <w:pPr>
              <w:pStyle w:val="TableText"/>
              <w:rPr>
                <w:b/>
                <w:bCs/>
                <w:lang w:val="en-AU"/>
              </w:rPr>
            </w:pPr>
            <w:r w:rsidRPr="00E208C5">
              <w:rPr>
                <w:lang w:val="en-AU"/>
              </w:rPr>
              <w:t>Baseline (mean)</w:t>
            </w:r>
          </w:p>
        </w:tc>
        <w:tc>
          <w:tcPr>
            <w:tcW w:w="1984" w:type="dxa"/>
            <w:tcBorders>
              <w:top w:val="single" w:sz="4" w:space="0" w:color="auto"/>
              <w:left w:val="single" w:sz="4" w:space="0" w:color="auto"/>
              <w:bottom w:val="single" w:sz="4" w:space="0" w:color="auto"/>
              <w:right w:val="single" w:sz="4" w:space="0" w:color="auto"/>
            </w:tcBorders>
            <w:hideMark/>
          </w:tcPr>
          <w:p w14:paraId="4628CA4B" w14:textId="77777777" w:rsidR="00CC3889" w:rsidRPr="00E208C5" w:rsidRDefault="00CC3889" w:rsidP="000B3BBA">
            <w:pPr>
              <w:pStyle w:val="TableText"/>
              <w:rPr>
                <w:lang w:val="en-AU"/>
              </w:rPr>
            </w:pPr>
            <w:r w:rsidRPr="00E208C5">
              <w:rPr>
                <w:lang w:val="en-AU"/>
              </w:rPr>
              <w:t>8.1</w:t>
            </w:r>
          </w:p>
        </w:tc>
        <w:tc>
          <w:tcPr>
            <w:tcW w:w="1985" w:type="dxa"/>
            <w:tcBorders>
              <w:top w:val="single" w:sz="4" w:space="0" w:color="auto"/>
              <w:left w:val="single" w:sz="4" w:space="0" w:color="auto"/>
              <w:bottom w:val="single" w:sz="4" w:space="0" w:color="auto"/>
              <w:right w:val="single" w:sz="4" w:space="0" w:color="auto"/>
            </w:tcBorders>
            <w:hideMark/>
          </w:tcPr>
          <w:p w14:paraId="7051A7ED" w14:textId="74707965" w:rsidR="00CC3889" w:rsidRPr="00E208C5" w:rsidRDefault="00CC3889" w:rsidP="000B3BBA">
            <w:pPr>
              <w:pStyle w:val="TableText"/>
              <w:rPr>
                <w:lang w:val="en-AU"/>
              </w:rPr>
            </w:pPr>
            <w:r w:rsidRPr="00E208C5">
              <w:rPr>
                <w:lang w:val="en-AU"/>
              </w:rPr>
              <w:t>8.1</w:t>
            </w:r>
          </w:p>
        </w:tc>
        <w:tc>
          <w:tcPr>
            <w:tcW w:w="1701" w:type="dxa"/>
            <w:tcBorders>
              <w:top w:val="single" w:sz="4" w:space="0" w:color="auto"/>
              <w:left w:val="single" w:sz="4" w:space="0" w:color="auto"/>
              <w:bottom w:val="single" w:sz="4" w:space="0" w:color="auto"/>
              <w:right w:val="single" w:sz="4" w:space="0" w:color="auto"/>
            </w:tcBorders>
            <w:hideMark/>
          </w:tcPr>
          <w:p w14:paraId="07A43213" w14:textId="77777777" w:rsidR="00CC3889" w:rsidRPr="00E208C5" w:rsidRDefault="00CC3889" w:rsidP="000B3BBA">
            <w:pPr>
              <w:pStyle w:val="TableText"/>
              <w:rPr>
                <w:lang w:val="en-AU"/>
              </w:rPr>
            </w:pPr>
            <w:r w:rsidRPr="00E208C5">
              <w:rPr>
                <w:lang w:val="en-AU"/>
              </w:rPr>
              <w:t>8.0</w:t>
            </w:r>
          </w:p>
        </w:tc>
      </w:tr>
      <w:tr w:rsidR="00CC3889" w:rsidRPr="00E208C5" w14:paraId="79C4CFE0" w14:textId="77777777" w:rsidTr="000B60E9">
        <w:trPr>
          <w:trHeight w:val="204"/>
        </w:trPr>
        <w:tc>
          <w:tcPr>
            <w:tcW w:w="3794" w:type="dxa"/>
            <w:tcBorders>
              <w:top w:val="single" w:sz="4" w:space="0" w:color="auto"/>
              <w:left w:val="single" w:sz="4" w:space="0" w:color="auto"/>
              <w:bottom w:val="single" w:sz="4" w:space="0" w:color="auto"/>
              <w:right w:val="single" w:sz="4" w:space="0" w:color="auto"/>
            </w:tcBorders>
            <w:hideMark/>
          </w:tcPr>
          <w:p w14:paraId="4849D749" w14:textId="77777777" w:rsidR="00CC3889" w:rsidRPr="00E208C5" w:rsidRDefault="00CC3889" w:rsidP="000B3BBA">
            <w:pPr>
              <w:pStyle w:val="TableText"/>
              <w:rPr>
                <w:lang w:val="en-AU"/>
              </w:rPr>
            </w:pPr>
            <w:r w:rsidRPr="00E208C5">
              <w:rPr>
                <w:lang w:val="en-AU"/>
              </w:rPr>
              <w:t>Change from baseline at week 30</w:t>
            </w:r>
          </w:p>
        </w:tc>
        <w:tc>
          <w:tcPr>
            <w:tcW w:w="1984" w:type="dxa"/>
            <w:tcBorders>
              <w:top w:val="single" w:sz="4" w:space="0" w:color="auto"/>
              <w:left w:val="single" w:sz="4" w:space="0" w:color="auto"/>
              <w:bottom w:val="single" w:sz="4" w:space="0" w:color="auto"/>
              <w:right w:val="single" w:sz="4" w:space="0" w:color="auto"/>
            </w:tcBorders>
            <w:hideMark/>
          </w:tcPr>
          <w:p w14:paraId="53D4E79B" w14:textId="77777777" w:rsidR="00CC3889" w:rsidRPr="00E208C5" w:rsidRDefault="00CC3889" w:rsidP="000B3BBA">
            <w:pPr>
              <w:pStyle w:val="TableText"/>
              <w:rPr>
                <w:lang w:val="en-AU"/>
              </w:rPr>
            </w:pPr>
            <w:r w:rsidRPr="00E208C5">
              <w:rPr>
                <w:lang w:val="en-AU"/>
              </w:rPr>
              <w:t>-1.5</w:t>
            </w:r>
          </w:p>
        </w:tc>
        <w:tc>
          <w:tcPr>
            <w:tcW w:w="1985" w:type="dxa"/>
            <w:tcBorders>
              <w:top w:val="single" w:sz="4" w:space="0" w:color="auto"/>
              <w:left w:val="single" w:sz="4" w:space="0" w:color="auto"/>
              <w:bottom w:val="single" w:sz="4" w:space="0" w:color="auto"/>
              <w:right w:val="single" w:sz="4" w:space="0" w:color="auto"/>
            </w:tcBorders>
            <w:hideMark/>
          </w:tcPr>
          <w:p w14:paraId="2D35F6D4" w14:textId="4B5010B5" w:rsidR="00CC3889" w:rsidRPr="00E208C5" w:rsidRDefault="00CC3889" w:rsidP="000B3BBA">
            <w:pPr>
              <w:pStyle w:val="TableText"/>
              <w:rPr>
                <w:lang w:val="en-AU"/>
              </w:rPr>
            </w:pPr>
            <w:r w:rsidRPr="00E208C5">
              <w:rPr>
                <w:lang w:val="en-AU"/>
              </w:rPr>
              <w:t>-1.6</w:t>
            </w:r>
          </w:p>
        </w:tc>
        <w:tc>
          <w:tcPr>
            <w:tcW w:w="1701" w:type="dxa"/>
            <w:tcBorders>
              <w:top w:val="single" w:sz="4" w:space="0" w:color="auto"/>
              <w:left w:val="single" w:sz="4" w:space="0" w:color="auto"/>
              <w:bottom w:val="single" w:sz="4" w:space="0" w:color="auto"/>
              <w:right w:val="single" w:sz="4" w:space="0" w:color="auto"/>
            </w:tcBorders>
            <w:hideMark/>
          </w:tcPr>
          <w:p w14:paraId="0A4AFC7C" w14:textId="77777777" w:rsidR="00CC3889" w:rsidRPr="00E208C5" w:rsidRDefault="00CC3889" w:rsidP="000B3BBA">
            <w:pPr>
              <w:pStyle w:val="TableText"/>
              <w:rPr>
                <w:lang w:val="en-AU"/>
              </w:rPr>
            </w:pPr>
            <w:r w:rsidRPr="00E208C5">
              <w:rPr>
                <w:lang w:val="en-AU"/>
              </w:rPr>
              <w:t>0</w:t>
            </w:r>
          </w:p>
        </w:tc>
      </w:tr>
      <w:tr w:rsidR="00CC3889" w:rsidRPr="00E208C5" w14:paraId="1F3A196B" w14:textId="77777777" w:rsidTr="000B60E9">
        <w:trPr>
          <w:trHeight w:val="510"/>
        </w:trPr>
        <w:tc>
          <w:tcPr>
            <w:tcW w:w="3794" w:type="dxa"/>
            <w:tcBorders>
              <w:top w:val="single" w:sz="4" w:space="0" w:color="auto"/>
              <w:left w:val="single" w:sz="4" w:space="0" w:color="auto"/>
              <w:bottom w:val="single" w:sz="4" w:space="0" w:color="auto"/>
              <w:right w:val="single" w:sz="4" w:space="0" w:color="auto"/>
            </w:tcBorders>
            <w:hideMark/>
          </w:tcPr>
          <w:p w14:paraId="0E67B260" w14:textId="77777777" w:rsidR="00CC3889" w:rsidRPr="00E208C5" w:rsidRDefault="00CC3889" w:rsidP="000B3BBA">
            <w:pPr>
              <w:pStyle w:val="TableText"/>
              <w:rPr>
                <w:lang w:val="en-AU"/>
              </w:rPr>
            </w:pPr>
            <w:r w:rsidRPr="00E208C5">
              <w:rPr>
                <w:lang w:val="en-AU"/>
              </w:rPr>
              <w:t>Difference from placebo</w:t>
            </w:r>
          </w:p>
          <w:p w14:paraId="3B32B2DD" w14:textId="77777777" w:rsidR="00CC3889" w:rsidRPr="00E208C5" w:rsidRDefault="00CC3889" w:rsidP="000B3BBA">
            <w:pPr>
              <w:pStyle w:val="TableText"/>
              <w:rPr>
                <w:lang w:val="en-AU"/>
              </w:rPr>
            </w:pPr>
            <w:r w:rsidRPr="00E208C5">
              <w:rPr>
                <w:lang w:val="en-AU"/>
              </w:rPr>
              <w:t xml:space="preserve"> [95% CI]</w:t>
            </w:r>
          </w:p>
        </w:tc>
        <w:tc>
          <w:tcPr>
            <w:tcW w:w="1984" w:type="dxa"/>
            <w:tcBorders>
              <w:top w:val="single" w:sz="4" w:space="0" w:color="auto"/>
              <w:left w:val="single" w:sz="4" w:space="0" w:color="auto"/>
              <w:bottom w:val="single" w:sz="4" w:space="0" w:color="auto"/>
              <w:right w:val="single" w:sz="4" w:space="0" w:color="auto"/>
            </w:tcBorders>
            <w:hideMark/>
          </w:tcPr>
          <w:p w14:paraId="2304A5A6" w14:textId="77777777" w:rsidR="00CC3889" w:rsidRPr="00E208C5" w:rsidRDefault="00CC3889" w:rsidP="000B3BBA">
            <w:pPr>
              <w:pStyle w:val="TableText"/>
              <w:rPr>
                <w:lang w:val="en-AU"/>
              </w:rPr>
            </w:pPr>
            <w:r w:rsidRPr="00E208C5">
              <w:rPr>
                <w:lang w:val="en-AU"/>
              </w:rPr>
              <w:t>-1.4</w:t>
            </w:r>
          </w:p>
          <w:p w14:paraId="04539139" w14:textId="77777777" w:rsidR="00CC3889" w:rsidRPr="00E208C5" w:rsidRDefault="00CC3889" w:rsidP="000B3BBA">
            <w:pPr>
              <w:pStyle w:val="TableText"/>
              <w:rPr>
                <w:vertAlign w:val="superscript"/>
                <w:lang w:val="en-AU"/>
              </w:rPr>
            </w:pPr>
            <w:r w:rsidRPr="00E208C5">
              <w:rPr>
                <w:lang w:val="en-AU"/>
              </w:rPr>
              <w:t>[-1.7; -1.1]</w:t>
            </w:r>
            <w:r w:rsidRPr="00E208C5">
              <w:rPr>
                <w:vertAlign w:val="superscript"/>
                <w:lang w:val="en-AU"/>
              </w:rPr>
              <w:t>a</w:t>
            </w:r>
          </w:p>
        </w:tc>
        <w:tc>
          <w:tcPr>
            <w:tcW w:w="1985" w:type="dxa"/>
            <w:tcBorders>
              <w:top w:val="single" w:sz="4" w:space="0" w:color="auto"/>
              <w:left w:val="single" w:sz="4" w:space="0" w:color="auto"/>
              <w:bottom w:val="single" w:sz="4" w:space="0" w:color="auto"/>
              <w:right w:val="single" w:sz="4" w:space="0" w:color="auto"/>
            </w:tcBorders>
            <w:hideMark/>
          </w:tcPr>
          <w:p w14:paraId="3C701659" w14:textId="77777777" w:rsidR="00CC3889" w:rsidRPr="00E208C5" w:rsidRDefault="00CC3889" w:rsidP="000B3BBA">
            <w:pPr>
              <w:pStyle w:val="TableText"/>
              <w:rPr>
                <w:lang w:val="en-AU"/>
              </w:rPr>
            </w:pPr>
            <w:r w:rsidRPr="00E208C5">
              <w:rPr>
                <w:lang w:val="en-AU"/>
              </w:rPr>
              <w:t>-1.5</w:t>
            </w:r>
          </w:p>
          <w:p w14:paraId="1FDF152B" w14:textId="52A760BA" w:rsidR="00CC3889" w:rsidRPr="00CC3889" w:rsidRDefault="00CC3889" w:rsidP="00CC3889">
            <w:pPr>
              <w:pStyle w:val="TableText"/>
              <w:rPr>
                <w:vertAlign w:val="superscript"/>
                <w:lang w:val="en-AU"/>
              </w:rPr>
            </w:pPr>
            <w:r w:rsidRPr="00E208C5">
              <w:rPr>
                <w:lang w:val="en-AU"/>
              </w:rPr>
              <w:t>[-1.8; -1.2]</w:t>
            </w:r>
            <w:r w:rsidRPr="00E208C5">
              <w:rPr>
                <w:vertAlign w:val="superscript"/>
                <w:lang w:val="en-AU"/>
              </w:rPr>
              <w:t>a</w:t>
            </w:r>
          </w:p>
          <w:p w14:paraId="4C3BD53B" w14:textId="77777777" w:rsidR="00CC3889" w:rsidRPr="00E208C5" w:rsidRDefault="00CC3889" w:rsidP="000B3BBA">
            <w:pPr>
              <w:pStyle w:val="TableText"/>
              <w:rPr>
                <w:lang w:val="en-AU"/>
              </w:rPr>
            </w:pPr>
          </w:p>
        </w:tc>
        <w:tc>
          <w:tcPr>
            <w:tcW w:w="1701" w:type="dxa"/>
            <w:tcBorders>
              <w:top w:val="single" w:sz="4" w:space="0" w:color="auto"/>
              <w:left w:val="single" w:sz="4" w:space="0" w:color="auto"/>
              <w:bottom w:val="single" w:sz="4" w:space="0" w:color="auto"/>
              <w:right w:val="single" w:sz="4" w:space="0" w:color="auto"/>
            </w:tcBorders>
            <w:hideMark/>
          </w:tcPr>
          <w:p w14:paraId="2E7024A2" w14:textId="77777777" w:rsidR="00CC3889" w:rsidRPr="00E208C5" w:rsidRDefault="00CC3889" w:rsidP="000B3BBA">
            <w:pPr>
              <w:pStyle w:val="TableText"/>
              <w:rPr>
                <w:lang w:val="en-AU"/>
              </w:rPr>
            </w:pPr>
            <w:r w:rsidRPr="00E208C5">
              <w:rPr>
                <w:lang w:val="en-AU"/>
              </w:rPr>
              <w:t>-</w:t>
            </w:r>
          </w:p>
        </w:tc>
      </w:tr>
      <w:tr w:rsidR="00CC3889" w:rsidRPr="00E208C5" w14:paraId="6DC8A52D" w14:textId="77777777" w:rsidTr="000B60E9">
        <w:trPr>
          <w:trHeight w:val="108"/>
        </w:trPr>
        <w:tc>
          <w:tcPr>
            <w:tcW w:w="3794" w:type="dxa"/>
            <w:tcBorders>
              <w:top w:val="single" w:sz="4" w:space="0" w:color="auto"/>
              <w:left w:val="single" w:sz="4" w:space="0" w:color="auto"/>
              <w:bottom w:val="single" w:sz="4" w:space="0" w:color="auto"/>
              <w:right w:val="single" w:sz="4" w:space="0" w:color="auto"/>
            </w:tcBorders>
            <w:hideMark/>
          </w:tcPr>
          <w:p w14:paraId="12EDEB0D" w14:textId="77777777" w:rsidR="00CC3889" w:rsidRPr="00E208C5" w:rsidRDefault="00CC3889" w:rsidP="001F1E3F">
            <w:pPr>
              <w:pStyle w:val="TableText"/>
              <w:rPr>
                <w:lang w:val="en-AU"/>
              </w:rPr>
            </w:pPr>
            <w:r w:rsidRPr="00E208C5">
              <w:rPr>
                <w:lang w:val="en-AU"/>
              </w:rPr>
              <w:t>Patients (%) achieving HbA</w:t>
            </w:r>
            <w:r w:rsidRPr="00E208C5">
              <w:rPr>
                <w:vertAlign w:val="subscript"/>
                <w:lang w:val="en-AU"/>
              </w:rPr>
              <w:t>1c</w:t>
            </w:r>
            <w:r w:rsidRPr="00E208C5">
              <w:rPr>
                <w:lang w:val="en-AU"/>
              </w:rPr>
              <w:t xml:space="preserve"> &lt;7%</w:t>
            </w:r>
          </w:p>
        </w:tc>
        <w:tc>
          <w:tcPr>
            <w:tcW w:w="1984" w:type="dxa"/>
            <w:tcBorders>
              <w:top w:val="single" w:sz="4" w:space="0" w:color="auto"/>
              <w:left w:val="single" w:sz="4" w:space="0" w:color="auto"/>
              <w:bottom w:val="single" w:sz="4" w:space="0" w:color="auto"/>
              <w:right w:val="single" w:sz="4" w:space="0" w:color="auto"/>
            </w:tcBorders>
            <w:hideMark/>
          </w:tcPr>
          <w:p w14:paraId="4C5F08A5" w14:textId="77777777" w:rsidR="00CC3889" w:rsidRPr="00E208C5" w:rsidRDefault="00CC3889" w:rsidP="000B3BBA">
            <w:pPr>
              <w:pStyle w:val="TableText"/>
              <w:rPr>
                <w:lang w:val="en-AU"/>
              </w:rPr>
            </w:pPr>
            <w:r w:rsidRPr="00E208C5">
              <w:rPr>
                <w:lang w:val="en-AU"/>
              </w:rPr>
              <w:t>74</w:t>
            </w:r>
            <w:r w:rsidRPr="00E208C5">
              <w:rPr>
                <w:vertAlign w:val="superscript"/>
                <w:lang w:val="en-AU"/>
              </w:rPr>
              <w:t>b</w:t>
            </w:r>
          </w:p>
        </w:tc>
        <w:tc>
          <w:tcPr>
            <w:tcW w:w="1985" w:type="dxa"/>
            <w:tcBorders>
              <w:top w:val="single" w:sz="4" w:space="0" w:color="auto"/>
              <w:left w:val="single" w:sz="4" w:space="0" w:color="auto"/>
              <w:bottom w:val="single" w:sz="4" w:space="0" w:color="auto"/>
              <w:right w:val="single" w:sz="4" w:space="0" w:color="auto"/>
            </w:tcBorders>
            <w:hideMark/>
          </w:tcPr>
          <w:p w14:paraId="23FA4FE4" w14:textId="7F0FD125" w:rsidR="00CC3889" w:rsidRPr="00E208C5" w:rsidRDefault="00CC3889" w:rsidP="000B3BBA">
            <w:pPr>
              <w:pStyle w:val="TableText"/>
              <w:rPr>
                <w:lang w:val="en-AU"/>
              </w:rPr>
            </w:pPr>
            <w:r w:rsidRPr="00E208C5">
              <w:rPr>
                <w:lang w:val="en-AU"/>
              </w:rPr>
              <w:t>72</w:t>
            </w:r>
            <w:r w:rsidRPr="00E208C5">
              <w:rPr>
                <w:vertAlign w:val="superscript"/>
                <w:lang w:val="en-AU"/>
              </w:rPr>
              <w:t>b</w:t>
            </w:r>
          </w:p>
        </w:tc>
        <w:tc>
          <w:tcPr>
            <w:tcW w:w="1701" w:type="dxa"/>
            <w:tcBorders>
              <w:top w:val="single" w:sz="4" w:space="0" w:color="auto"/>
              <w:left w:val="single" w:sz="4" w:space="0" w:color="auto"/>
              <w:bottom w:val="single" w:sz="4" w:space="0" w:color="auto"/>
              <w:right w:val="single" w:sz="4" w:space="0" w:color="auto"/>
            </w:tcBorders>
            <w:hideMark/>
          </w:tcPr>
          <w:p w14:paraId="54D796FF" w14:textId="77777777" w:rsidR="00CC3889" w:rsidRPr="00E208C5" w:rsidRDefault="00CC3889" w:rsidP="000B3BBA">
            <w:pPr>
              <w:pStyle w:val="TableText"/>
              <w:rPr>
                <w:lang w:val="en-AU"/>
              </w:rPr>
            </w:pPr>
            <w:r w:rsidRPr="00E208C5">
              <w:rPr>
                <w:lang w:val="en-AU"/>
              </w:rPr>
              <w:t>25</w:t>
            </w:r>
          </w:p>
        </w:tc>
      </w:tr>
      <w:tr w:rsidR="00CC3889" w:rsidRPr="00E208C5" w14:paraId="49BE5854" w14:textId="68C6820D" w:rsidTr="000B60E9">
        <w:tc>
          <w:tcPr>
            <w:tcW w:w="3794" w:type="dxa"/>
            <w:tcBorders>
              <w:top w:val="single" w:sz="4" w:space="0" w:color="auto"/>
              <w:left w:val="single" w:sz="4" w:space="0" w:color="auto"/>
              <w:bottom w:val="single" w:sz="4" w:space="0" w:color="auto"/>
              <w:right w:val="single" w:sz="4" w:space="0" w:color="auto"/>
            </w:tcBorders>
            <w:hideMark/>
          </w:tcPr>
          <w:p w14:paraId="4575A8CE" w14:textId="0117DFFC" w:rsidR="00CC3889" w:rsidRPr="00E208C5" w:rsidRDefault="00CC3889" w:rsidP="001F1E3F">
            <w:pPr>
              <w:pStyle w:val="TableText"/>
              <w:rPr>
                <w:lang w:val="en-AU"/>
              </w:rPr>
            </w:pPr>
            <w:r w:rsidRPr="00E208C5">
              <w:rPr>
                <w:lang w:val="en-AU"/>
              </w:rPr>
              <w:t>Patients (%) achieving HbA</w:t>
            </w:r>
            <w:r w:rsidRPr="00E208C5">
              <w:rPr>
                <w:vertAlign w:val="subscript"/>
                <w:lang w:val="en-AU"/>
              </w:rPr>
              <w:t>1c</w:t>
            </w:r>
            <w:r w:rsidRPr="00E208C5">
              <w:rPr>
                <w:lang w:val="en-AU"/>
              </w:rPr>
              <w:t xml:space="preserve"> ≤6.5%</w:t>
            </w:r>
          </w:p>
        </w:tc>
        <w:tc>
          <w:tcPr>
            <w:tcW w:w="1984" w:type="dxa"/>
            <w:tcBorders>
              <w:top w:val="single" w:sz="4" w:space="0" w:color="auto"/>
              <w:left w:val="single" w:sz="4" w:space="0" w:color="auto"/>
              <w:bottom w:val="single" w:sz="4" w:space="0" w:color="auto"/>
              <w:right w:val="single" w:sz="4" w:space="0" w:color="auto"/>
            </w:tcBorders>
            <w:hideMark/>
          </w:tcPr>
          <w:p w14:paraId="4DD9D19C" w14:textId="25B96C6C" w:rsidR="00CC3889" w:rsidRPr="00E208C5" w:rsidRDefault="00CC3889" w:rsidP="000B3BBA">
            <w:pPr>
              <w:pStyle w:val="TableText"/>
              <w:rPr>
                <w:lang w:val="en-AU"/>
              </w:rPr>
            </w:pPr>
            <w:r w:rsidRPr="00E208C5">
              <w:rPr>
                <w:lang w:val="en-AU"/>
              </w:rPr>
              <w:t>59</w:t>
            </w:r>
            <w:r w:rsidRPr="00E208C5">
              <w:rPr>
                <w:vertAlign w:val="superscript"/>
                <w:lang w:val="en-AU"/>
              </w:rPr>
              <w:t>b</w:t>
            </w:r>
          </w:p>
        </w:tc>
        <w:tc>
          <w:tcPr>
            <w:tcW w:w="1985" w:type="dxa"/>
            <w:tcBorders>
              <w:top w:val="single" w:sz="4" w:space="0" w:color="auto"/>
              <w:left w:val="single" w:sz="4" w:space="0" w:color="auto"/>
              <w:bottom w:val="single" w:sz="4" w:space="0" w:color="auto"/>
              <w:right w:val="single" w:sz="4" w:space="0" w:color="auto"/>
            </w:tcBorders>
            <w:hideMark/>
          </w:tcPr>
          <w:p w14:paraId="354908FF" w14:textId="27038557" w:rsidR="00CC3889" w:rsidRPr="00E208C5" w:rsidRDefault="00CC3889" w:rsidP="000B3BBA">
            <w:pPr>
              <w:pStyle w:val="TableText"/>
              <w:rPr>
                <w:lang w:val="en-AU"/>
              </w:rPr>
            </w:pPr>
            <w:r w:rsidRPr="00E208C5">
              <w:rPr>
                <w:lang w:val="en-AU"/>
              </w:rPr>
              <w:t>60</w:t>
            </w:r>
            <w:r w:rsidRPr="00E208C5">
              <w:rPr>
                <w:vertAlign w:val="superscript"/>
                <w:lang w:val="en-AU"/>
              </w:rPr>
              <w:t>b</w:t>
            </w:r>
          </w:p>
        </w:tc>
        <w:tc>
          <w:tcPr>
            <w:tcW w:w="1701" w:type="dxa"/>
            <w:tcBorders>
              <w:top w:val="single" w:sz="4" w:space="0" w:color="auto"/>
              <w:left w:val="single" w:sz="4" w:space="0" w:color="auto"/>
              <w:bottom w:val="single" w:sz="4" w:space="0" w:color="auto"/>
              <w:right w:val="single" w:sz="4" w:space="0" w:color="auto"/>
            </w:tcBorders>
            <w:hideMark/>
          </w:tcPr>
          <w:p w14:paraId="4DEAF4CE" w14:textId="1B4CB4F3" w:rsidR="00CC3889" w:rsidRPr="00E208C5" w:rsidRDefault="00CC3889" w:rsidP="000B3BBA">
            <w:pPr>
              <w:pStyle w:val="TableText"/>
              <w:rPr>
                <w:lang w:val="en-AU"/>
              </w:rPr>
            </w:pPr>
            <w:r w:rsidRPr="00E208C5">
              <w:rPr>
                <w:lang w:val="en-AU"/>
              </w:rPr>
              <w:t>13</w:t>
            </w:r>
          </w:p>
        </w:tc>
      </w:tr>
      <w:tr w:rsidR="00CC3889" w:rsidRPr="00E208C5" w14:paraId="7211A497" w14:textId="77777777" w:rsidTr="000B60E9">
        <w:trPr>
          <w:trHeight w:val="193"/>
        </w:trPr>
        <w:tc>
          <w:tcPr>
            <w:tcW w:w="9464" w:type="dxa"/>
            <w:gridSpan w:val="4"/>
            <w:tcBorders>
              <w:top w:val="single" w:sz="4" w:space="0" w:color="auto"/>
              <w:left w:val="single" w:sz="4" w:space="0" w:color="auto"/>
              <w:bottom w:val="single" w:sz="4" w:space="0" w:color="auto"/>
              <w:right w:val="single" w:sz="4" w:space="0" w:color="auto"/>
            </w:tcBorders>
            <w:hideMark/>
          </w:tcPr>
          <w:p w14:paraId="0FB6C78A" w14:textId="737C1B5C" w:rsidR="00CC3889" w:rsidRPr="00E208C5" w:rsidRDefault="00CC3889" w:rsidP="000B3BBA">
            <w:pPr>
              <w:pStyle w:val="TableText"/>
              <w:rPr>
                <w:lang w:val="en-AU"/>
              </w:rPr>
            </w:pPr>
            <w:r w:rsidRPr="00E208C5">
              <w:rPr>
                <w:lang w:val="en-AU"/>
              </w:rPr>
              <w:t>FPG (mmol/l)</w:t>
            </w:r>
          </w:p>
        </w:tc>
      </w:tr>
      <w:tr w:rsidR="00CC3889" w:rsidRPr="00E208C5" w14:paraId="3DCC2A53" w14:textId="77777777" w:rsidTr="000B60E9">
        <w:trPr>
          <w:trHeight w:val="182"/>
        </w:trPr>
        <w:tc>
          <w:tcPr>
            <w:tcW w:w="3794" w:type="dxa"/>
            <w:tcBorders>
              <w:top w:val="single" w:sz="4" w:space="0" w:color="auto"/>
              <w:left w:val="single" w:sz="4" w:space="0" w:color="auto"/>
              <w:bottom w:val="single" w:sz="4" w:space="0" w:color="auto"/>
              <w:right w:val="single" w:sz="4" w:space="0" w:color="auto"/>
            </w:tcBorders>
            <w:hideMark/>
          </w:tcPr>
          <w:p w14:paraId="29E41C2F" w14:textId="77777777" w:rsidR="00CC3889" w:rsidRPr="00E208C5" w:rsidRDefault="00CC3889" w:rsidP="000B3BBA">
            <w:pPr>
              <w:pStyle w:val="TableText"/>
              <w:rPr>
                <w:b/>
                <w:bCs/>
                <w:lang w:val="en-AU"/>
              </w:rPr>
            </w:pPr>
            <w:r w:rsidRPr="00E208C5">
              <w:rPr>
                <w:lang w:val="en-AU"/>
              </w:rPr>
              <w:t>Baseline (mean)</w:t>
            </w:r>
          </w:p>
        </w:tc>
        <w:tc>
          <w:tcPr>
            <w:tcW w:w="1984" w:type="dxa"/>
            <w:tcBorders>
              <w:top w:val="single" w:sz="4" w:space="0" w:color="auto"/>
              <w:left w:val="single" w:sz="4" w:space="0" w:color="auto"/>
              <w:bottom w:val="single" w:sz="4" w:space="0" w:color="auto"/>
              <w:right w:val="single" w:sz="4" w:space="0" w:color="auto"/>
            </w:tcBorders>
            <w:hideMark/>
          </w:tcPr>
          <w:p w14:paraId="2F19FD22" w14:textId="77777777" w:rsidR="00CC3889" w:rsidRPr="00E208C5" w:rsidRDefault="00CC3889" w:rsidP="000B3BBA">
            <w:pPr>
              <w:pStyle w:val="TableText"/>
              <w:rPr>
                <w:lang w:val="en-AU"/>
              </w:rPr>
            </w:pPr>
            <w:r w:rsidRPr="00E208C5">
              <w:rPr>
                <w:lang w:val="en-AU"/>
              </w:rPr>
              <w:t>9.7</w:t>
            </w:r>
          </w:p>
        </w:tc>
        <w:tc>
          <w:tcPr>
            <w:tcW w:w="1985" w:type="dxa"/>
            <w:tcBorders>
              <w:top w:val="single" w:sz="4" w:space="0" w:color="auto"/>
              <w:left w:val="single" w:sz="4" w:space="0" w:color="auto"/>
              <w:bottom w:val="single" w:sz="4" w:space="0" w:color="auto"/>
              <w:right w:val="single" w:sz="4" w:space="0" w:color="auto"/>
            </w:tcBorders>
            <w:hideMark/>
          </w:tcPr>
          <w:p w14:paraId="07C16378" w14:textId="31D394AE" w:rsidR="00CC3889" w:rsidRPr="00E208C5" w:rsidRDefault="00CC3889" w:rsidP="000B3BBA">
            <w:pPr>
              <w:pStyle w:val="TableText"/>
              <w:rPr>
                <w:lang w:val="en-AU"/>
              </w:rPr>
            </w:pPr>
            <w:r w:rsidRPr="00E208C5">
              <w:rPr>
                <w:lang w:val="en-AU"/>
              </w:rPr>
              <w:t>9.9</w:t>
            </w:r>
          </w:p>
        </w:tc>
        <w:tc>
          <w:tcPr>
            <w:tcW w:w="1701" w:type="dxa"/>
            <w:tcBorders>
              <w:top w:val="single" w:sz="4" w:space="0" w:color="auto"/>
              <w:left w:val="single" w:sz="4" w:space="0" w:color="auto"/>
              <w:bottom w:val="single" w:sz="4" w:space="0" w:color="auto"/>
              <w:right w:val="single" w:sz="4" w:space="0" w:color="auto"/>
            </w:tcBorders>
            <w:hideMark/>
          </w:tcPr>
          <w:p w14:paraId="2111AAA4" w14:textId="77777777" w:rsidR="00CC3889" w:rsidRPr="00E208C5" w:rsidRDefault="00CC3889" w:rsidP="000B3BBA">
            <w:pPr>
              <w:pStyle w:val="TableText"/>
              <w:rPr>
                <w:lang w:val="en-AU"/>
              </w:rPr>
            </w:pPr>
            <w:r w:rsidRPr="00E208C5">
              <w:rPr>
                <w:lang w:val="en-AU"/>
              </w:rPr>
              <w:t>9.7</w:t>
            </w:r>
          </w:p>
        </w:tc>
      </w:tr>
      <w:tr w:rsidR="00CC3889" w:rsidRPr="00E208C5" w14:paraId="505E8F31" w14:textId="77777777" w:rsidTr="000B60E9">
        <w:trPr>
          <w:trHeight w:val="216"/>
        </w:trPr>
        <w:tc>
          <w:tcPr>
            <w:tcW w:w="3794" w:type="dxa"/>
            <w:tcBorders>
              <w:top w:val="single" w:sz="4" w:space="0" w:color="auto"/>
              <w:left w:val="single" w:sz="4" w:space="0" w:color="auto"/>
              <w:bottom w:val="single" w:sz="4" w:space="0" w:color="auto"/>
              <w:right w:val="single" w:sz="4" w:space="0" w:color="auto"/>
            </w:tcBorders>
            <w:hideMark/>
          </w:tcPr>
          <w:p w14:paraId="5C807656" w14:textId="77777777" w:rsidR="00CC3889" w:rsidRPr="00E208C5" w:rsidRDefault="00CC3889" w:rsidP="000B3BBA">
            <w:pPr>
              <w:pStyle w:val="TableText"/>
              <w:rPr>
                <w:lang w:val="en-AU"/>
              </w:rPr>
            </w:pPr>
            <w:r w:rsidRPr="00E208C5">
              <w:rPr>
                <w:lang w:val="en-AU"/>
              </w:rPr>
              <w:t xml:space="preserve">Change from baseline at week 30 </w:t>
            </w:r>
          </w:p>
        </w:tc>
        <w:tc>
          <w:tcPr>
            <w:tcW w:w="1984" w:type="dxa"/>
            <w:tcBorders>
              <w:top w:val="single" w:sz="4" w:space="0" w:color="auto"/>
              <w:left w:val="single" w:sz="4" w:space="0" w:color="auto"/>
              <w:bottom w:val="single" w:sz="4" w:space="0" w:color="auto"/>
              <w:right w:val="single" w:sz="4" w:space="0" w:color="auto"/>
            </w:tcBorders>
            <w:hideMark/>
          </w:tcPr>
          <w:p w14:paraId="4748A652" w14:textId="77777777" w:rsidR="00CC3889" w:rsidRPr="00E208C5" w:rsidRDefault="00CC3889" w:rsidP="000B3BBA">
            <w:pPr>
              <w:pStyle w:val="TableText"/>
              <w:rPr>
                <w:lang w:val="en-AU"/>
              </w:rPr>
            </w:pPr>
            <w:r w:rsidRPr="00E208C5">
              <w:rPr>
                <w:lang w:val="en-AU"/>
              </w:rPr>
              <w:t>-2.5</w:t>
            </w:r>
          </w:p>
        </w:tc>
        <w:tc>
          <w:tcPr>
            <w:tcW w:w="1985" w:type="dxa"/>
            <w:tcBorders>
              <w:top w:val="single" w:sz="4" w:space="0" w:color="auto"/>
              <w:left w:val="single" w:sz="4" w:space="0" w:color="auto"/>
              <w:bottom w:val="single" w:sz="4" w:space="0" w:color="auto"/>
              <w:right w:val="single" w:sz="4" w:space="0" w:color="auto"/>
            </w:tcBorders>
            <w:hideMark/>
          </w:tcPr>
          <w:p w14:paraId="2341DCF7" w14:textId="0D92DC5E" w:rsidR="00CC3889" w:rsidRPr="00E208C5" w:rsidRDefault="00CC3889" w:rsidP="000B3BBA">
            <w:pPr>
              <w:pStyle w:val="TableText"/>
              <w:rPr>
                <w:lang w:val="en-AU"/>
              </w:rPr>
            </w:pPr>
            <w:r w:rsidRPr="00E208C5">
              <w:rPr>
                <w:lang w:val="en-AU"/>
              </w:rPr>
              <w:t>-2.3</w:t>
            </w:r>
          </w:p>
        </w:tc>
        <w:tc>
          <w:tcPr>
            <w:tcW w:w="1701" w:type="dxa"/>
            <w:tcBorders>
              <w:top w:val="single" w:sz="4" w:space="0" w:color="auto"/>
              <w:left w:val="single" w:sz="4" w:space="0" w:color="auto"/>
              <w:bottom w:val="single" w:sz="4" w:space="0" w:color="auto"/>
              <w:right w:val="single" w:sz="4" w:space="0" w:color="auto"/>
            </w:tcBorders>
            <w:hideMark/>
          </w:tcPr>
          <w:p w14:paraId="30C6A96D" w14:textId="77777777" w:rsidR="00CC3889" w:rsidRPr="00E208C5" w:rsidRDefault="00CC3889" w:rsidP="000B3BBA">
            <w:pPr>
              <w:pStyle w:val="TableText"/>
              <w:rPr>
                <w:lang w:val="en-AU"/>
              </w:rPr>
            </w:pPr>
            <w:r w:rsidRPr="00E208C5">
              <w:rPr>
                <w:lang w:val="en-AU"/>
              </w:rPr>
              <w:t>-0.6</w:t>
            </w:r>
          </w:p>
        </w:tc>
      </w:tr>
      <w:tr w:rsidR="00CC3889" w:rsidRPr="00E208C5" w14:paraId="71C63D73" w14:textId="77777777" w:rsidTr="000B60E9">
        <w:trPr>
          <w:trHeight w:val="493"/>
        </w:trPr>
        <w:tc>
          <w:tcPr>
            <w:tcW w:w="3794" w:type="dxa"/>
            <w:tcBorders>
              <w:top w:val="single" w:sz="4" w:space="0" w:color="auto"/>
              <w:left w:val="single" w:sz="4" w:space="0" w:color="auto"/>
              <w:bottom w:val="single" w:sz="4" w:space="0" w:color="auto"/>
              <w:right w:val="single" w:sz="4" w:space="0" w:color="auto"/>
            </w:tcBorders>
            <w:hideMark/>
          </w:tcPr>
          <w:p w14:paraId="56A82769" w14:textId="77777777" w:rsidR="00CC3889" w:rsidRPr="00E208C5" w:rsidRDefault="00CC3889" w:rsidP="000B3BBA">
            <w:pPr>
              <w:pStyle w:val="TableText"/>
              <w:rPr>
                <w:lang w:val="en-AU"/>
              </w:rPr>
            </w:pPr>
            <w:r w:rsidRPr="00E208C5">
              <w:rPr>
                <w:lang w:val="en-AU"/>
              </w:rPr>
              <w:t xml:space="preserve">Difference from placebo </w:t>
            </w:r>
          </w:p>
          <w:p w14:paraId="0BFCD478" w14:textId="77777777" w:rsidR="00CC3889" w:rsidRPr="00E208C5" w:rsidRDefault="00CC3889" w:rsidP="000B3BBA">
            <w:pPr>
              <w:pStyle w:val="TableText"/>
              <w:rPr>
                <w:lang w:val="en-AU"/>
              </w:rPr>
            </w:pPr>
            <w:r w:rsidRPr="00E208C5">
              <w:rPr>
                <w:lang w:val="en-AU"/>
              </w:rPr>
              <w:t>[95% CI]</w:t>
            </w:r>
          </w:p>
        </w:tc>
        <w:tc>
          <w:tcPr>
            <w:tcW w:w="1984" w:type="dxa"/>
            <w:tcBorders>
              <w:top w:val="single" w:sz="4" w:space="0" w:color="auto"/>
              <w:left w:val="single" w:sz="4" w:space="0" w:color="auto"/>
              <w:bottom w:val="single" w:sz="4" w:space="0" w:color="auto"/>
              <w:right w:val="single" w:sz="4" w:space="0" w:color="auto"/>
            </w:tcBorders>
            <w:hideMark/>
          </w:tcPr>
          <w:p w14:paraId="7D6FB397" w14:textId="77777777" w:rsidR="00CC3889" w:rsidRPr="00E208C5" w:rsidRDefault="00CC3889" w:rsidP="000B3BBA">
            <w:pPr>
              <w:pStyle w:val="TableText"/>
              <w:rPr>
                <w:lang w:val="en-AU"/>
              </w:rPr>
            </w:pPr>
            <w:r w:rsidRPr="00E208C5">
              <w:rPr>
                <w:lang w:val="en-AU"/>
              </w:rPr>
              <w:t>-2.0</w:t>
            </w:r>
          </w:p>
          <w:p w14:paraId="4149AA4E" w14:textId="77777777" w:rsidR="00CC3889" w:rsidRPr="00E208C5" w:rsidRDefault="00CC3889" w:rsidP="000B3BBA">
            <w:pPr>
              <w:pStyle w:val="TableText"/>
              <w:rPr>
                <w:lang w:val="en-AU"/>
              </w:rPr>
            </w:pPr>
            <w:r w:rsidRPr="00E208C5">
              <w:rPr>
                <w:lang w:val="en-AU"/>
              </w:rPr>
              <w:t>[-2.5; -1.4]</w:t>
            </w:r>
            <w:r w:rsidRPr="00E208C5">
              <w:rPr>
                <w:vertAlign w:val="superscript"/>
                <w:lang w:val="en-AU"/>
              </w:rPr>
              <w:t>b</w:t>
            </w:r>
          </w:p>
        </w:tc>
        <w:tc>
          <w:tcPr>
            <w:tcW w:w="1985" w:type="dxa"/>
            <w:tcBorders>
              <w:top w:val="single" w:sz="4" w:space="0" w:color="auto"/>
              <w:left w:val="single" w:sz="4" w:space="0" w:color="auto"/>
              <w:bottom w:val="single" w:sz="4" w:space="0" w:color="auto"/>
              <w:right w:val="single" w:sz="4" w:space="0" w:color="auto"/>
            </w:tcBorders>
            <w:hideMark/>
          </w:tcPr>
          <w:p w14:paraId="031BF353" w14:textId="77777777" w:rsidR="00CC3889" w:rsidRPr="00E208C5" w:rsidRDefault="00CC3889" w:rsidP="000B3BBA">
            <w:pPr>
              <w:pStyle w:val="TableText"/>
              <w:rPr>
                <w:lang w:val="en-AU"/>
              </w:rPr>
            </w:pPr>
            <w:r w:rsidRPr="00E208C5">
              <w:rPr>
                <w:lang w:val="en-AU"/>
              </w:rPr>
              <w:t>-1.8</w:t>
            </w:r>
          </w:p>
          <w:p w14:paraId="317E0BDE" w14:textId="62526DC6" w:rsidR="00CC3889" w:rsidRPr="00E208C5" w:rsidRDefault="00CC3889" w:rsidP="000B3BBA">
            <w:pPr>
              <w:pStyle w:val="TableText"/>
              <w:rPr>
                <w:lang w:val="en-AU"/>
              </w:rPr>
            </w:pPr>
            <w:r w:rsidRPr="00E208C5">
              <w:rPr>
                <w:lang w:val="en-AU"/>
              </w:rPr>
              <w:t>[-2.3; -1.3]</w:t>
            </w:r>
            <w:r w:rsidRPr="00E208C5">
              <w:rPr>
                <w:vertAlign w:val="superscript"/>
                <w:lang w:val="en-AU"/>
              </w:rPr>
              <w:t>b</w:t>
            </w:r>
          </w:p>
        </w:tc>
        <w:tc>
          <w:tcPr>
            <w:tcW w:w="1701" w:type="dxa"/>
            <w:tcBorders>
              <w:top w:val="single" w:sz="4" w:space="0" w:color="auto"/>
              <w:left w:val="single" w:sz="4" w:space="0" w:color="auto"/>
              <w:bottom w:val="single" w:sz="4" w:space="0" w:color="auto"/>
              <w:right w:val="single" w:sz="4" w:space="0" w:color="auto"/>
            </w:tcBorders>
            <w:hideMark/>
          </w:tcPr>
          <w:p w14:paraId="4B9A1937" w14:textId="77777777" w:rsidR="00CC3889" w:rsidRPr="00E208C5" w:rsidRDefault="00CC3889" w:rsidP="000B3BBA">
            <w:pPr>
              <w:pStyle w:val="TableText"/>
              <w:rPr>
                <w:lang w:val="en-AU"/>
              </w:rPr>
            </w:pPr>
            <w:r w:rsidRPr="00E208C5">
              <w:rPr>
                <w:lang w:val="en-AU"/>
              </w:rPr>
              <w:t>-</w:t>
            </w:r>
          </w:p>
        </w:tc>
      </w:tr>
      <w:tr w:rsidR="00CC3889" w:rsidRPr="00E208C5" w14:paraId="4C27B0A6" w14:textId="77777777" w:rsidTr="000B60E9">
        <w:trPr>
          <w:trHeight w:val="236"/>
        </w:trPr>
        <w:tc>
          <w:tcPr>
            <w:tcW w:w="9464" w:type="dxa"/>
            <w:gridSpan w:val="4"/>
            <w:tcBorders>
              <w:top w:val="single" w:sz="4" w:space="0" w:color="auto"/>
              <w:left w:val="single" w:sz="4" w:space="0" w:color="auto"/>
              <w:bottom w:val="single" w:sz="4" w:space="0" w:color="auto"/>
              <w:right w:val="single" w:sz="4" w:space="0" w:color="auto"/>
            </w:tcBorders>
            <w:hideMark/>
          </w:tcPr>
          <w:p w14:paraId="31E22810" w14:textId="19B01061" w:rsidR="00CC3889" w:rsidRPr="00E208C5" w:rsidRDefault="00CC3889" w:rsidP="000B3BBA">
            <w:pPr>
              <w:pStyle w:val="TableText"/>
              <w:rPr>
                <w:lang w:val="en-AU"/>
              </w:rPr>
            </w:pPr>
            <w:r w:rsidRPr="00E208C5">
              <w:rPr>
                <w:lang w:val="en-AU"/>
              </w:rPr>
              <w:t>Body weight (kg)</w:t>
            </w:r>
          </w:p>
        </w:tc>
      </w:tr>
      <w:tr w:rsidR="00CC3889" w:rsidRPr="00E208C5" w14:paraId="10143208" w14:textId="77777777" w:rsidTr="000B60E9">
        <w:trPr>
          <w:trHeight w:val="175"/>
        </w:trPr>
        <w:tc>
          <w:tcPr>
            <w:tcW w:w="3794" w:type="dxa"/>
            <w:tcBorders>
              <w:top w:val="single" w:sz="4" w:space="0" w:color="auto"/>
              <w:left w:val="single" w:sz="4" w:space="0" w:color="auto"/>
              <w:bottom w:val="single" w:sz="4" w:space="0" w:color="auto"/>
              <w:right w:val="single" w:sz="4" w:space="0" w:color="auto"/>
            </w:tcBorders>
            <w:hideMark/>
          </w:tcPr>
          <w:p w14:paraId="29B0AB0B" w14:textId="77777777" w:rsidR="00CC3889" w:rsidRPr="00E208C5" w:rsidRDefault="00CC3889" w:rsidP="000B3BBA">
            <w:pPr>
              <w:pStyle w:val="TableText"/>
              <w:rPr>
                <w:b/>
                <w:bCs/>
                <w:lang w:val="en-AU"/>
              </w:rPr>
            </w:pPr>
            <w:r w:rsidRPr="00E208C5">
              <w:rPr>
                <w:lang w:val="en-AU"/>
              </w:rPr>
              <w:t>Baseline (mean)</w:t>
            </w:r>
          </w:p>
        </w:tc>
        <w:tc>
          <w:tcPr>
            <w:tcW w:w="1984" w:type="dxa"/>
            <w:tcBorders>
              <w:top w:val="single" w:sz="4" w:space="0" w:color="auto"/>
              <w:left w:val="single" w:sz="4" w:space="0" w:color="auto"/>
              <w:bottom w:val="single" w:sz="4" w:space="0" w:color="auto"/>
              <w:right w:val="single" w:sz="4" w:space="0" w:color="auto"/>
            </w:tcBorders>
            <w:hideMark/>
          </w:tcPr>
          <w:p w14:paraId="799E9D8F" w14:textId="77777777" w:rsidR="00CC3889" w:rsidRPr="00E208C5" w:rsidRDefault="00CC3889" w:rsidP="000B3BBA">
            <w:pPr>
              <w:pStyle w:val="TableText"/>
              <w:rPr>
                <w:lang w:val="en-AU"/>
              </w:rPr>
            </w:pPr>
            <w:r w:rsidRPr="00E208C5">
              <w:rPr>
                <w:lang w:val="en-AU"/>
              </w:rPr>
              <w:t>89.8</w:t>
            </w:r>
          </w:p>
        </w:tc>
        <w:tc>
          <w:tcPr>
            <w:tcW w:w="1985" w:type="dxa"/>
            <w:tcBorders>
              <w:top w:val="single" w:sz="4" w:space="0" w:color="auto"/>
              <w:left w:val="single" w:sz="4" w:space="0" w:color="auto"/>
              <w:bottom w:val="single" w:sz="4" w:space="0" w:color="auto"/>
              <w:right w:val="single" w:sz="4" w:space="0" w:color="auto"/>
            </w:tcBorders>
            <w:hideMark/>
          </w:tcPr>
          <w:p w14:paraId="4BA038D5" w14:textId="78140823" w:rsidR="00CC3889" w:rsidRPr="00E208C5" w:rsidRDefault="00CC3889" w:rsidP="000B3BBA">
            <w:pPr>
              <w:pStyle w:val="TableText"/>
              <w:rPr>
                <w:lang w:val="en-AU"/>
              </w:rPr>
            </w:pPr>
            <w:r w:rsidRPr="00E208C5">
              <w:rPr>
                <w:lang w:val="en-AU"/>
              </w:rPr>
              <w:t>96.9</w:t>
            </w:r>
          </w:p>
        </w:tc>
        <w:tc>
          <w:tcPr>
            <w:tcW w:w="1701" w:type="dxa"/>
            <w:tcBorders>
              <w:top w:val="single" w:sz="4" w:space="0" w:color="auto"/>
              <w:left w:val="single" w:sz="4" w:space="0" w:color="auto"/>
              <w:bottom w:val="single" w:sz="4" w:space="0" w:color="auto"/>
              <w:right w:val="single" w:sz="4" w:space="0" w:color="auto"/>
            </w:tcBorders>
            <w:hideMark/>
          </w:tcPr>
          <w:p w14:paraId="5CB11234" w14:textId="77777777" w:rsidR="00CC3889" w:rsidRPr="00E208C5" w:rsidRDefault="00CC3889" w:rsidP="000B3BBA">
            <w:pPr>
              <w:pStyle w:val="TableText"/>
              <w:rPr>
                <w:lang w:val="en-AU"/>
              </w:rPr>
            </w:pPr>
            <w:r w:rsidRPr="00E208C5">
              <w:rPr>
                <w:lang w:val="en-AU"/>
              </w:rPr>
              <w:t>89.1</w:t>
            </w:r>
          </w:p>
        </w:tc>
      </w:tr>
      <w:tr w:rsidR="00CC3889" w:rsidRPr="00E208C5" w14:paraId="19C7DF82" w14:textId="77777777" w:rsidTr="000B60E9">
        <w:trPr>
          <w:trHeight w:val="226"/>
        </w:trPr>
        <w:tc>
          <w:tcPr>
            <w:tcW w:w="3794" w:type="dxa"/>
            <w:tcBorders>
              <w:top w:val="single" w:sz="4" w:space="0" w:color="auto"/>
              <w:left w:val="single" w:sz="4" w:space="0" w:color="auto"/>
              <w:bottom w:val="single" w:sz="4" w:space="0" w:color="auto"/>
              <w:right w:val="single" w:sz="4" w:space="0" w:color="auto"/>
            </w:tcBorders>
            <w:hideMark/>
          </w:tcPr>
          <w:p w14:paraId="71D007EA" w14:textId="77777777" w:rsidR="00CC3889" w:rsidRPr="00E208C5" w:rsidRDefault="00CC3889" w:rsidP="000B3BBA">
            <w:pPr>
              <w:pStyle w:val="TableText"/>
              <w:rPr>
                <w:lang w:val="en-AU"/>
              </w:rPr>
            </w:pPr>
            <w:r w:rsidRPr="00E208C5">
              <w:rPr>
                <w:lang w:val="en-AU"/>
              </w:rPr>
              <w:t xml:space="preserve">Change from baseline at week 30 </w:t>
            </w:r>
          </w:p>
        </w:tc>
        <w:tc>
          <w:tcPr>
            <w:tcW w:w="1984" w:type="dxa"/>
            <w:tcBorders>
              <w:top w:val="single" w:sz="4" w:space="0" w:color="auto"/>
              <w:left w:val="single" w:sz="4" w:space="0" w:color="auto"/>
              <w:bottom w:val="single" w:sz="4" w:space="0" w:color="auto"/>
              <w:right w:val="single" w:sz="4" w:space="0" w:color="auto"/>
            </w:tcBorders>
            <w:hideMark/>
          </w:tcPr>
          <w:p w14:paraId="54CC7FE3" w14:textId="77777777" w:rsidR="00CC3889" w:rsidRPr="00E208C5" w:rsidRDefault="00CC3889" w:rsidP="000B3BBA">
            <w:pPr>
              <w:pStyle w:val="TableText"/>
              <w:rPr>
                <w:lang w:val="en-AU"/>
              </w:rPr>
            </w:pPr>
            <w:r w:rsidRPr="00E208C5">
              <w:rPr>
                <w:lang w:val="en-AU"/>
              </w:rPr>
              <w:t>-3.7</w:t>
            </w:r>
          </w:p>
        </w:tc>
        <w:tc>
          <w:tcPr>
            <w:tcW w:w="1985" w:type="dxa"/>
            <w:tcBorders>
              <w:top w:val="single" w:sz="4" w:space="0" w:color="auto"/>
              <w:left w:val="single" w:sz="4" w:space="0" w:color="auto"/>
              <w:bottom w:val="single" w:sz="4" w:space="0" w:color="auto"/>
              <w:right w:val="single" w:sz="4" w:space="0" w:color="auto"/>
            </w:tcBorders>
            <w:hideMark/>
          </w:tcPr>
          <w:p w14:paraId="40239679" w14:textId="3D7D2D59" w:rsidR="00CC3889" w:rsidRPr="00E208C5" w:rsidRDefault="00CC3889" w:rsidP="000B3BBA">
            <w:pPr>
              <w:pStyle w:val="TableText"/>
              <w:rPr>
                <w:lang w:val="en-AU"/>
              </w:rPr>
            </w:pPr>
            <w:r w:rsidRPr="00E208C5">
              <w:rPr>
                <w:lang w:val="en-AU"/>
              </w:rPr>
              <w:t>-4.5</w:t>
            </w:r>
          </w:p>
        </w:tc>
        <w:tc>
          <w:tcPr>
            <w:tcW w:w="1701" w:type="dxa"/>
            <w:tcBorders>
              <w:top w:val="single" w:sz="4" w:space="0" w:color="auto"/>
              <w:left w:val="single" w:sz="4" w:space="0" w:color="auto"/>
              <w:bottom w:val="single" w:sz="4" w:space="0" w:color="auto"/>
              <w:right w:val="single" w:sz="4" w:space="0" w:color="auto"/>
            </w:tcBorders>
            <w:hideMark/>
          </w:tcPr>
          <w:p w14:paraId="305075E7" w14:textId="77777777" w:rsidR="00CC3889" w:rsidRPr="00E208C5" w:rsidRDefault="00CC3889" w:rsidP="000B3BBA">
            <w:pPr>
              <w:pStyle w:val="TableText"/>
              <w:rPr>
                <w:lang w:val="en-AU"/>
              </w:rPr>
            </w:pPr>
            <w:r w:rsidRPr="00E208C5">
              <w:rPr>
                <w:lang w:val="en-AU"/>
              </w:rPr>
              <w:t>-1.0</w:t>
            </w:r>
          </w:p>
        </w:tc>
      </w:tr>
      <w:tr w:rsidR="00CC3889" w:rsidRPr="00E208C5" w14:paraId="085A1219" w14:textId="77777777" w:rsidTr="000B60E9">
        <w:trPr>
          <w:trHeight w:val="536"/>
        </w:trPr>
        <w:tc>
          <w:tcPr>
            <w:tcW w:w="3794" w:type="dxa"/>
            <w:tcBorders>
              <w:top w:val="single" w:sz="4" w:space="0" w:color="auto"/>
              <w:left w:val="single" w:sz="4" w:space="0" w:color="auto"/>
              <w:bottom w:val="single" w:sz="4" w:space="0" w:color="auto"/>
              <w:right w:val="single" w:sz="4" w:space="0" w:color="auto"/>
            </w:tcBorders>
            <w:hideMark/>
          </w:tcPr>
          <w:p w14:paraId="23D647BC" w14:textId="77777777" w:rsidR="00CC3889" w:rsidRPr="00E208C5" w:rsidRDefault="00CC3889" w:rsidP="000B3BBA">
            <w:pPr>
              <w:pStyle w:val="TableText"/>
              <w:rPr>
                <w:lang w:val="en-AU"/>
              </w:rPr>
            </w:pPr>
            <w:r w:rsidRPr="00E208C5">
              <w:rPr>
                <w:lang w:val="en-AU"/>
              </w:rPr>
              <w:t xml:space="preserve">Difference from placebo </w:t>
            </w:r>
          </w:p>
          <w:p w14:paraId="6E8AB20A" w14:textId="77777777" w:rsidR="00CC3889" w:rsidRPr="00E208C5" w:rsidRDefault="00CC3889" w:rsidP="000B3BBA">
            <w:pPr>
              <w:pStyle w:val="TableText"/>
              <w:rPr>
                <w:lang w:val="en-AU"/>
              </w:rPr>
            </w:pPr>
            <w:r w:rsidRPr="00E208C5">
              <w:rPr>
                <w:lang w:val="en-AU"/>
              </w:rPr>
              <w:t>[95% CI]</w:t>
            </w:r>
          </w:p>
        </w:tc>
        <w:tc>
          <w:tcPr>
            <w:tcW w:w="1984" w:type="dxa"/>
            <w:tcBorders>
              <w:top w:val="single" w:sz="4" w:space="0" w:color="auto"/>
              <w:left w:val="single" w:sz="4" w:space="0" w:color="auto"/>
              <w:bottom w:val="single" w:sz="4" w:space="0" w:color="auto"/>
              <w:right w:val="single" w:sz="4" w:space="0" w:color="auto"/>
            </w:tcBorders>
            <w:hideMark/>
          </w:tcPr>
          <w:p w14:paraId="59DD130E" w14:textId="77777777" w:rsidR="00CC3889" w:rsidRPr="00E208C5" w:rsidRDefault="00CC3889" w:rsidP="000B3BBA">
            <w:pPr>
              <w:pStyle w:val="TableText"/>
              <w:rPr>
                <w:lang w:val="en-AU"/>
              </w:rPr>
            </w:pPr>
            <w:r w:rsidRPr="00E208C5">
              <w:rPr>
                <w:lang w:val="en-AU"/>
              </w:rPr>
              <w:t>-2.7</w:t>
            </w:r>
          </w:p>
          <w:p w14:paraId="1130EFCF" w14:textId="77777777" w:rsidR="00CC3889" w:rsidRPr="00E208C5" w:rsidRDefault="00CC3889" w:rsidP="000B3BBA">
            <w:pPr>
              <w:pStyle w:val="TableText"/>
              <w:rPr>
                <w:lang w:val="en-AU"/>
              </w:rPr>
            </w:pPr>
            <w:r w:rsidRPr="00E208C5">
              <w:rPr>
                <w:lang w:val="en-AU"/>
              </w:rPr>
              <w:t>[-3.9; -1.6]</w:t>
            </w:r>
            <w:r w:rsidRPr="00E208C5">
              <w:rPr>
                <w:vertAlign w:val="superscript"/>
                <w:lang w:val="en-AU"/>
              </w:rPr>
              <w:t>a</w:t>
            </w:r>
          </w:p>
        </w:tc>
        <w:tc>
          <w:tcPr>
            <w:tcW w:w="1985" w:type="dxa"/>
            <w:tcBorders>
              <w:top w:val="single" w:sz="4" w:space="0" w:color="auto"/>
              <w:left w:val="single" w:sz="4" w:space="0" w:color="auto"/>
              <w:bottom w:val="single" w:sz="4" w:space="0" w:color="auto"/>
              <w:right w:val="single" w:sz="4" w:space="0" w:color="auto"/>
            </w:tcBorders>
            <w:hideMark/>
          </w:tcPr>
          <w:p w14:paraId="501DCDC7" w14:textId="77777777" w:rsidR="00CC3889" w:rsidRPr="00E208C5" w:rsidRDefault="00CC3889" w:rsidP="000B3BBA">
            <w:pPr>
              <w:pStyle w:val="TableText"/>
              <w:rPr>
                <w:lang w:val="en-AU"/>
              </w:rPr>
            </w:pPr>
            <w:r w:rsidRPr="00E208C5">
              <w:rPr>
                <w:lang w:val="en-AU"/>
              </w:rPr>
              <w:t>-3.6</w:t>
            </w:r>
          </w:p>
          <w:p w14:paraId="53C52070" w14:textId="226C2090" w:rsidR="00CC3889" w:rsidRPr="00E208C5" w:rsidRDefault="00CC3889" w:rsidP="000B3BBA">
            <w:pPr>
              <w:pStyle w:val="TableText"/>
              <w:rPr>
                <w:lang w:val="en-AU"/>
              </w:rPr>
            </w:pPr>
            <w:r w:rsidRPr="00E208C5">
              <w:rPr>
                <w:lang w:val="en-AU"/>
              </w:rPr>
              <w:t>[-4.7; -2.4]</w:t>
            </w:r>
            <w:r w:rsidRPr="00E208C5">
              <w:rPr>
                <w:vertAlign w:val="superscript"/>
                <w:lang w:val="en-AU"/>
              </w:rPr>
              <w:t>a</w:t>
            </w:r>
          </w:p>
        </w:tc>
        <w:tc>
          <w:tcPr>
            <w:tcW w:w="1701" w:type="dxa"/>
            <w:tcBorders>
              <w:top w:val="single" w:sz="4" w:space="0" w:color="auto"/>
              <w:left w:val="single" w:sz="4" w:space="0" w:color="auto"/>
              <w:bottom w:val="single" w:sz="4" w:space="0" w:color="auto"/>
              <w:right w:val="single" w:sz="4" w:space="0" w:color="auto"/>
            </w:tcBorders>
            <w:hideMark/>
          </w:tcPr>
          <w:p w14:paraId="4C7A3BEF" w14:textId="77777777" w:rsidR="00CC3889" w:rsidRPr="00E208C5" w:rsidRDefault="00CC3889" w:rsidP="000B3BBA">
            <w:pPr>
              <w:pStyle w:val="TableText"/>
              <w:rPr>
                <w:lang w:val="en-AU"/>
              </w:rPr>
            </w:pPr>
            <w:r w:rsidRPr="00E208C5">
              <w:rPr>
                <w:lang w:val="en-AU"/>
              </w:rPr>
              <w:t>-</w:t>
            </w:r>
          </w:p>
        </w:tc>
      </w:tr>
      <w:tr w:rsidR="00CC3889" w:rsidRPr="00E208C5" w14:paraId="2E0CD6AF" w14:textId="47070C9D" w:rsidTr="000B60E9">
        <w:trPr>
          <w:trHeight w:val="341"/>
        </w:trPr>
        <w:tc>
          <w:tcPr>
            <w:tcW w:w="3794" w:type="dxa"/>
            <w:tcBorders>
              <w:top w:val="single" w:sz="4" w:space="0" w:color="auto"/>
              <w:left w:val="single" w:sz="4" w:space="0" w:color="auto"/>
              <w:bottom w:val="single" w:sz="4" w:space="0" w:color="auto"/>
              <w:right w:val="single" w:sz="4" w:space="0" w:color="auto"/>
            </w:tcBorders>
          </w:tcPr>
          <w:p w14:paraId="02750D7F" w14:textId="30369C1B" w:rsidR="00CC3889" w:rsidRPr="00E208C5" w:rsidRDefault="00CC3889" w:rsidP="000B3BBA">
            <w:pPr>
              <w:pStyle w:val="TableText"/>
              <w:rPr>
                <w:lang w:val="en-AU"/>
              </w:rPr>
            </w:pPr>
            <w:r w:rsidRPr="00E208C5">
              <w:rPr>
                <w:lang w:val="en-AU"/>
              </w:rPr>
              <w:t>Patients (%) achieving weight loss ≥5%</w:t>
            </w:r>
          </w:p>
        </w:tc>
        <w:tc>
          <w:tcPr>
            <w:tcW w:w="1984" w:type="dxa"/>
            <w:tcBorders>
              <w:top w:val="single" w:sz="4" w:space="0" w:color="auto"/>
              <w:left w:val="single" w:sz="4" w:space="0" w:color="auto"/>
              <w:bottom w:val="single" w:sz="4" w:space="0" w:color="auto"/>
              <w:right w:val="single" w:sz="4" w:space="0" w:color="auto"/>
            </w:tcBorders>
          </w:tcPr>
          <w:p w14:paraId="5F936E64" w14:textId="087D1B6F" w:rsidR="00CC3889" w:rsidRPr="00E208C5" w:rsidRDefault="00CC3889" w:rsidP="000B3BBA">
            <w:pPr>
              <w:pStyle w:val="TableText"/>
              <w:rPr>
                <w:lang w:val="en-AU"/>
              </w:rPr>
            </w:pPr>
            <w:r w:rsidRPr="00E208C5">
              <w:rPr>
                <w:lang w:val="en-AU"/>
              </w:rPr>
              <w:t>37</w:t>
            </w:r>
            <w:r w:rsidRPr="00E208C5">
              <w:rPr>
                <w:vertAlign w:val="superscript"/>
                <w:lang w:val="en-AU"/>
              </w:rPr>
              <w:t>b</w:t>
            </w:r>
          </w:p>
        </w:tc>
        <w:tc>
          <w:tcPr>
            <w:tcW w:w="1985" w:type="dxa"/>
            <w:tcBorders>
              <w:top w:val="single" w:sz="4" w:space="0" w:color="auto"/>
              <w:left w:val="single" w:sz="4" w:space="0" w:color="auto"/>
              <w:bottom w:val="single" w:sz="4" w:space="0" w:color="auto"/>
              <w:right w:val="single" w:sz="4" w:space="0" w:color="auto"/>
            </w:tcBorders>
          </w:tcPr>
          <w:p w14:paraId="0F01C73A" w14:textId="457D5C30" w:rsidR="00CC3889" w:rsidRPr="00E208C5" w:rsidRDefault="00CC3889" w:rsidP="000B3BBA">
            <w:pPr>
              <w:pStyle w:val="TableText"/>
              <w:rPr>
                <w:lang w:val="en-AU"/>
              </w:rPr>
            </w:pPr>
            <w:r w:rsidRPr="00E208C5">
              <w:rPr>
                <w:lang w:val="en-AU"/>
              </w:rPr>
              <w:t>45</w:t>
            </w:r>
            <w:r w:rsidRPr="00E208C5">
              <w:rPr>
                <w:vertAlign w:val="superscript"/>
                <w:lang w:val="en-AU"/>
              </w:rPr>
              <w:t>b</w:t>
            </w:r>
          </w:p>
        </w:tc>
        <w:tc>
          <w:tcPr>
            <w:tcW w:w="1701" w:type="dxa"/>
            <w:tcBorders>
              <w:top w:val="single" w:sz="4" w:space="0" w:color="auto"/>
              <w:left w:val="single" w:sz="4" w:space="0" w:color="auto"/>
              <w:bottom w:val="single" w:sz="4" w:space="0" w:color="auto"/>
              <w:right w:val="single" w:sz="4" w:space="0" w:color="auto"/>
            </w:tcBorders>
          </w:tcPr>
          <w:p w14:paraId="5244A222" w14:textId="7CB857A3" w:rsidR="00CC3889" w:rsidRPr="00E208C5" w:rsidRDefault="00CC3889" w:rsidP="000B3BBA">
            <w:pPr>
              <w:pStyle w:val="TableText"/>
              <w:rPr>
                <w:lang w:val="en-AU"/>
              </w:rPr>
            </w:pPr>
            <w:r w:rsidRPr="00E208C5">
              <w:rPr>
                <w:lang w:val="en-AU"/>
              </w:rPr>
              <w:t>7</w:t>
            </w:r>
          </w:p>
        </w:tc>
      </w:tr>
      <w:tr w:rsidR="00CC3889" w:rsidRPr="00E208C5" w14:paraId="01C8DEA9" w14:textId="1AF2CF22" w:rsidTr="000B60E9">
        <w:trPr>
          <w:trHeight w:val="275"/>
        </w:trPr>
        <w:tc>
          <w:tcPr>
            <w:tcW w:w="3794" w:type="dxa"/>
            <w:tcBorders>
              <w:top w:val="single" w:sz="4" w:space="0" w:color="auto"/>
              <w:left w:val="single" w:sz="4" w:space="0" w:color="auto"/>
              <w:bottom w:val="single" w:sz="4" w:space="0" w:color="auto"/>
              <w:right w:val="single" w:sz="4" w:space="0" w:color="auto"/>
            </w:tcBorders>
          </w:tcPr>
          <w:p w14:paraId="3D94B35E" w14:textId="747BBB5F" w:rsidR="00CC3889" w:rsidRPr="00E208C5" w:rsidRDefault="00CC3889" w:rsidP="000B3BBA">
            <w:pPr>
              <w:pStyle w:val="TableText"/>
              <w:rPr>
                <w:lang w:val="en-AU"/>
              </w:rPr>
            </w:pPr>
            <w:r w:rsidRPr="00E208C5">
              <w:rPr>
                <w:lang w:val="en-AU"/>
              </w:rPr>
              <w:t>Patients (%) achieving weight loss ≥10%</w:t>
            </w:r>
          </w:p>
        </w:tc>
        <w:tc>
          <w:tcPr>
            <w:tcW w:w="1984" w:type="dxa"/>
            <w:tcBorders>
              <w:top w:val="single" w:sz="4" w:space="0" w:color="auto"/>
              <w:left w:val="single" w:sz="4" w:space="0" w:color="auto"/>
              <w:bottom w:val="single" w:sz="4" w:space="0" w:color="auto"/>
              <w:right w:val="single" w:sz="4" w:space="0" w:color="auto"/>
            </w:tcBorders>
          </w:tcPr>
          <w:p w14:paraId="0CB1F50B" w14:textId="530CF316" w:rsidR="00CC3889" w:rsidRPr="00E208C5" w:rsidRDefault="00CC3889" w:rsidP="000B3BBA">
            <w:pPr>
              <w:pStyle w:val="TableText"/>
              <w:rPr>
                <w:vertAlign w:val="superscript"/>
                <w:lang w:val="en-AU"/>
              </w:rPr>
            </w:pPr>
            <w:r w:rsidRPr="00E208C5">
              <w:rPr>
                <w:lang w:val="en-AU"/>
              </w:rPr>
              <w:t>8</w:t>
            </w:r>
            <w:r w:rsidRPr="00E208C5">
              <w:rPr>
                <w:vertAlign w:val="superscript"/>
                <w:lang w:val="en-AU"/>
              </w:rPr>
              <w:t>c</w:t>
            </w:r>
          </w:p>
        </w:tc>
        <w:tc>
          <w:tcPr>
            <w:tcW w:w="1985" w:type="dxa"/>
            <w:tcBorders>
              <w:top w:val="single" w:sz="4" w:space="0" w:color="auto"/>
              <w:left w:val="single" w:sz="4" w:space="0" w:color="auto"/>
              <w:bottom w:val="single" w:sz="4" w:space="0" w:color="auto"/>
              <w:right w:val="single" w:sz="4" w:space="0" w:color="auto"/>
            </w:tcBorders>
          </w:tcPr>
          <w:p w14:paraId="3584815D" w14:textId="1378004D" w:rsidR="00CC3889" w:rsidRPr="00E208C5" w:rsidRDefault="00CC3889" w:rsidP="000B3BBA">
            <w:pPr>
              <w:pStyle w:val="TableText"/>
              <w:rPr>
                <w:lang w:val="en-AU"/>
              </w:rPr>
            </w:pPr>
            <w:r w:rsidRPr="00E208C5">
              <w:rPr>
                <w:lang w:val="en-AU"/>
              </w:rPr>
              <w:t>13</w:t>
            </w:r>
            <w:r w:rsidRPr="00E208C5">
              <w:rPr>
                <w:vertAlign w:val="superscript"/>
                <w:lang w:val="en-AU"/>
              </w:rPr>
              <w:t>c</w:t>
            </w:r>
          </w:p>
        </w:tc>
        <w:tc>
          <w:tcPr>
            <w:tcW w:w="1701" w:type="dxa"/>
            <w:tcBorders>
              <w:top w:val="single" w:sz="4" w:space="0" w:color="auto"/>
              <w:left w:val="single" w:sz="4" w:space="0" w:color="auto"/>
              <w:bottom w:val="single" w:sz="4" w:space="0" w:color="auto"/>
              <w:right w:val="single" w:sz="4" w:space="0" w:color="auto"/>
            </w:tcBorders>
          </w:tcPr>
          <w:p w14:paraId="37639145" w14:textId="256125C5" w:rsidR="00CC3889" w:rsidRPr="00E208C5" w:rsidRDefault="00CC3889" w:rsidP="000B3BBA">
            <w:pPr>
              <w:pStyle w:val="TableText"/>
              <w:rPr>
                <w:lang w:val="en-AU"/>
              </w:rPr>
            </w:pPr>
            <w:r w:rsidRPr="00E208C5">
              <w:rPr>
                <w:lang w:val="en-AU"/>
              </w:rPr>
              <w:t>2</w:t>
            </w:r>
          </w:p>
        </w:tc>
      </w:tr>
    </w:tbl>
    <w:p w14:paraId="12129DAA" w14:textId="77777777" w:rsidR="00A2533A" w:rsidRPr="00E208C5" w:rsidRDefault="00A2533A" w:rsidP="00A2533A">
      <w:pPr>
        <w:spacing w:after="0" w:line="240" w:lineRule="auto"/>
        <w:rPr>
          <w:sz w:val="20"/>
          <w:szCs w:val="20"/>
        </w:rPr>
      </w:pPr>
      <w:r w:rsidRPr="00E208C5">
        <w:rPr>
          <w:sz w:val="20"/>
          <w:szCs w:val="20"/>
          <w:vertAlign w:val="superscript"/>
        </w:rPr>
        <w:t>a</w:t>
      </w:r>
      <w:r w:rsidRPr="00E208C5">
        <w:rPr>
          <w:sz w:val="20"/>
          <w:szCs w:val="20"/>
        </w:rPr>
        <w:t>p &lt;0.0001 ( 2-sided) for superiority, adjusted for multiplicity based on hierarchical testing of HbA</w:t>
      </w:r>
      <w:r w:rsidRPr="00E208C5">
        <w:rPr>
          <w:sz w:val="20"/>
          <w:szCs w:val="20"/>
          <w:vertAlign w:val="subscript"/>
        </w:rPr>
        <w:t>1c</w:t>
      </w:r>
      <w:r w:rsidRPr="00E208C5">
        <w:rPr>
          <w:sz w:val="20"/>
          <w:szCs w:val="20"/>
        </w:rPr>
        <w:t xml:space="preserve"> and body weight</w:t>
      </w:r>
    </w:p>
    <w:p w14:paraId="6F3732F0" w14:textId="77777777" w:rsidR="00A2533A" w:rsidRPr="00E208C5" w:rsidRDefault="00A2533A" w:rsidP="00A2533A">
      <w:pPr>
        <w:spacing w:after="0" w:line="240" w:lineRule="auto"/>
        <w:rPr>
          <w:b/>
          <w:sz w:val="20"/>
          <w:szCs w:val="20"/>
        </w:rPr>
      </w:pPr>
      <w:r w:rsidRPr="00E208C5">
        <w:rPr>
          <w:sz w:val="20"/>
          <w:szCs w:val="20"/>
          <w:vertAlign w:val="superscript"/>
        </w:rPr>
        <w:t>b</w:t>
      </w:r>
      <w:r w:rsidRPr="00E208C5">
        <w:rPr>
          <w:sz w:val="20"/>
          <w:szCs w:val="20"/>
        </w:rPr>
        <w:t>p &lt;0.0001 for treatment difference, unadjusted for multiplicity</w:t>
      </w:r>
      <w:r w:rsidRPr="00E208C5">
        <w:rPr>
          <w:b/>
          <w:sz w:val="20"/>
          <w:szCs w:val="20"/>
        </w:rPr>
        <w:t xml:space="preserve"> </w:t>
      </w:r>
    </w:p>
    <w:p w14:paraId="33AA0A2A" w14:textId="05988D5A" w:rsidR="001F1E3F" w:rsidRPr="00E208C5" w:rsidRDefault="00A2533A" w:rsidP="00A2533A">
      <w:pPr>
        <w:rPr>
          <w:sz w:val="20"/>
          <w:szCs w:val="20"/>
        </w:rPr>
      </w:pPr>
      <w:r w:rsidRPr="00E208C5">
        <w:rPr>
          <w:sz w:val="20"/>
          <w:szCs w:val="20"/>
          <w:vertAlign w:val="superscript"/>
        </w:rPr>
        <w:t>c</w:t>
      </w:r>
      <w:r w:rsidRPr="00E208C5">
        <w:rPr>
          <w:sz w:val="20"/>
          <w:szCs w:val="20"/>
        </w:rPr>
        <w:t>p &lt;0.05 for treatment difference, unadjusted for multiplicity</w:t>
      </w:r>
    </w:p>
    <w:p w14:paraId="1D54B32B" w14:textId="6EA505C3" w:rsidR="00A2533A" w:rsidRDefault="00A2533A" w:rsidP="005A5D07">
      <w:pPr>
        <w:spacing w:after="0" w:line="240" w:lineRule="auto"/>
        <w:rPr>
          <w:i/>
          <w:iCs/>
        </w:rPr>
      </w:pPr>
      <w:r w:rsidRPr="005A5D07">
        <w:rPr>
          <w:bCs/>
          <w:i/>
          <w:iCs/>
        </w:rPr>
        <w:t xml:space="preserve">SUSTAIN 2 – </w:t>
      </w:r>
      <w:proofErr w:type="spellStart"/>
      <w:r w:rsidRPr="005A5D07">
        <w:rPr>
          <w:i/>
          <w:iCs/>
        </w:rPr>
        <w:t>Ozempic</w:t>
      </w:r>
      <w:proofErr w:type="spellEnd"/>
      <w:r w:rsidRPr="005A5D07">
        <w:rPr>
          <w:i/>
          <w:iCs/>
        </w:rPr>
        <w:t xml:space="preserve"> vs. sitagliptin both in combination with 1</w:t>
      </w:r>
      <w:r w:rsidRPr="005A5D07">
        <w:rPr>
          <w:bCs/>
          <w:i/>
          <w:iCs/>
        </w:rPr>
        <w:t xml:space="preserve">–2 antidiabetic drugs </w:t>
      </w:r>
      <w:r w:rsidRPr="005A5D07">
        <w:rPr>
          <w:i/>
          <w:iCs/>
        </w:rPr>
        <w:t>(metformin and/ or thiazolidinediones)</w:t>
      </w:r>
    </w:p>
    <w:p w14:paraId="4BDB0F23" w14:textId="77777777" w:rsidR="00CC3889" w:rsidRPr="00CC3889" w:rsidRDefault="00CC3889" w:rsidP="005A5D07">
      <w:pPr>
        <w:spacing w:after="0" w:line="240" w:lineRule="auto"/>
      </w:pPr>
    </w:p>
    <w:p w14:paraId="556A3E27" w14:textId="7DB0471C" w:rsidR="00A2533A" w:rsidRPr="00FC4CA6" w:rsidRDefault="00A2533A" w:rsidP="00A2533A">
      <w:r w:rsidRPr="00E208C5">
        <w:t xml:space="preserve">In a 56-week double-blind trial, 1,231 patients were randomised to </w:t>
      </w:r>
      <w:proofErr w:type="spellStart"/>
      <w:r w:rsidRPr="00E208C5">
        <w:t>Ozempic</w:t>
      </w:r>
      <w:proofErr w:type="spellEnd"/>
      <w:r w:rsidRPr="00E208C5">
        <w:rPr>
          <w:i/>
        </w:rPr>
        <w:t xml:space="preserve"> </w:t>
      </w:r>
      <w:r w:rsidRPr="00E208C5">
        <w:t xml:space="preserve">0.5 mg once weekly, </w:t>
      </w:r>
      <w:proofErr w:type="spellStart"/>
      <w:r w:rsidRPr="00E208C5">
        <w:t>Ozempic</w:t>
      </w:r>
      <w:proofErr w:type="spellEnd"/>
      <w:r w:rsidRPr="00E208C5">
        <w:t xml:space="preserve"> 1 mg once weekly or sitagliptin 100 mg once daily, all in combination with metformin (94%) and/or </w:t>
      </w:r>
      <w:proofErr w:type="spellStart"/>
      <w:r w:rsidRPr="00E208C5">
        <w:t>thiazolidinedioness</w:t>
      </w:r>
      <w:proofErr w:type="spellEnd"/>
      <w:r w:rsidRPr="00E208C5">
        <w:t xml:space="preserve"> (6%). Patients had a mean age of 55 years and a mean duration of type 2 diabetes of 6.6 years. There were 68% White patients, 5% were Black or African-American and 25% were Asian. For ethnicity, 17% of patients (n=209) were Hispanic or Latino. Mean BMI was 32 kg/m</w:t>
      </w:r>
      <w:r w:rsidRPr="00E208C5">
        <w:rPr>
          <w:vertAlign w:val="superscript"/>
        </w:rPr>
        <w:t>2</w:t>
      </w:r>
      <w:r w:rsidRPr="00E208C5">
        <w:t>.</w:t>
      </w:r>
    </w:p>
    <w:p w14:paraId="68D1F5CD" w14:textId="2DE090F3" w:rsidR="00A2533A" w:rsidRPr="00FC4CA6" w:rsidRDefault="00A2533A" w:rsidP="00A2533A">
      <w:pPr>
        <w:rPr>
          <w:b/>
          <w:bCs/>
        </w:rPr>
      </w:pPr>
      <w:bookmarkStart w:id="53" w:name="_Ref509297373"/>
      <w:bookmarkStart w:id="54" w:name="_Toc506554422"/>
      <w:bookmarkStart w:id="55" w:name="_Toc514933346"/>
      <w:bookmarkStart w:id="56" w:name="_Toc514933429"/>
      <w:r w:rsidRPr="00E208C5">
        <w:rPr>
          <w:b/>
          <w:bCs/>
        </w:rPr>
        <w:t xml:space="preserve">Table </w:t>
      </w:r>
      <w:r w:rsidRPr="00FC4CA6">
        <w:rPr>
          <w:b/>
          <w:bCs/>
        </w:rPr>
        <w:fldChar w:fldCharType="begin"/>
      </w:r>
      <w:r w:rsidRPr="00E208C5">
        <w:rPr>
          <w:b/>
          <w:bCs/>
        </w:rPr>
        <w:instrText xml:space="preserve"> SEQ Table \* ARABIC \s 1 </w:instrText>
      </w:r>
      <w:r w:rsidRPr="00FC4CA6">
        <w:rPr>
          <w:b/>
          <w:bCs/>
        </w:rPr>
        <w:fldChar w:fldCharType="separate"/>
      </w:r>
      <w:r w:rsidR="003F4E02" w:rsidRPr="00FC4CA6">
        <w:rPr>
          <w:b/>
          <w:bCs/>
          <w:noProof/>
        </w:rPr>
        <w:t>4</w:t>
      </w:r>
      <w:r w:rsidRPr="00FC4CA6">
        <w:fldChar w:fldCharType="end"/>
      </w:r>
      <w:bookmarkEnd w:id="53"/>
      <w:r w:rsidRPr="00FC4CA6">
        <w:t xml:space="preserve">: </w:t>
      </w:r>
      <w:r w:rsidRPr="00FC4CA6">
        <w:rPr>
          <w:b/>
          <w:bCs/>
        </w:rPr>
        <w:t xml:space="preserve">Results of a 56-week trial of </w:t>
      </w:r>
      <w:proofErr w:type="spellStart"/>
      <w:r w:rsidRPr="00FC4CA6">
        <w:rPr>
          <w:b/>
          <w:bCs/>
        </w:rPr>
        <w:t>Ozempic</w:t>
      </w:r>
      <w:proofErr w:type="spellEnd"/>
      <w:r w:rsidRPr="00FC4CA6">
        <w:rPr>
          <w:b/>
          <w:bCs/>
        </w:rPr>
        <w:t xml:space="preserve"> compared to </w:t>
      </w:r>
      <w:proofErr w:type="spellStart"/>
      <w:r w:rsidRPr="00FC4CA6">
        <w:rPr>
          <w:b/>
          <w:bCs/>
        </w:rPr>
        <w:t>sitagliptin</w:t>
      </w:r>
      <w:proofErr w:type="spellEnd"/>
      <w:r w:rsidRPr="00FC4CA6">
        <w:rPr>
          <w:b/>
          <w:bCs/>
        </w:rPr>
        <w:t xml:space="preserve"> (SUSTAIN 2)</w:t>
      </w:r>
      <w:bookmarkEnd w:id="54"/>
      <w:bookmarkEnd w:id="55"/>
      <w:bookmarkEnd w:id="56"/>
    </w:p>
    <w:tbl>
      <w:tblPr>
        <w:tblW w:w="9180"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652"/>
        <w:gridCol w:w="1985"/>
        <w:gridCol w:w="1701"/>
        <w:gridCol w:w="1842"/>
      </w:tblGrid>
      <w:tr w:rsidR="00A2533A" w:rsidRPr="00E208C5" w14:paraId="6D5EF859" w14:textId="77777777" w:rsidTr="00A2533A">
        <w:trPr>
          <w:trHeight w:val="274"/>
        </w:trPr>
        <w:tc>
          <w:tcPr>
            <w:tcW w:w="3652" w:type="dxa"/>
            <w:tcBorders>
              <w:top w:val="single" w:sz="4" w:space="0" w:color="auto"/>
              <w:left w:val="single" w:sz="4" w:space="0" w:color="auto"/>
              <w:bottom w:val="single" w:sz="4" w:space="0" w:color="auto"/>
              <w:right w:val="single" w:sz="4" w:space="0" w:color="auto"/>
            </w:tcBorders>
          </w:tcPr>
          <w:p w14:paraId="59CF9D20" w14:textId="77777777" w:rsidR="00A2533A" w:rsidRPr="00E208C5" w:rsidRDefault="00A2533A" w:rsidP="000B3BBA">
            <w:pPr>
              <w:pStyle w:val="TableText"/>
              <w:rPr>
                <w:lang w:val="en-AU"/>
              </w:rPr>
            </w:pP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CBC4CC" w14:textId="77777777" w:rsidR="00A2533A" w:rsidRPr="00E208C5" w:rsidRDefault="00A2533A" w:rsidP="00195411">
            <w:pPr>
              <w:pStyle w:val="TableText"/>
              <w:rPr>
                <w:b/>
                <w:lang w:val="en-AU"/>
              </w:rPr>
            </w:pPr>
            <w:proofErr w:type="spellStart"/>
            <w:r w:rsidRPr="00E208C5">
              <w:rPr>
                <w:b/>
                <w:lang w:val="en-AU"/>
              </w:rPr>
              <w:t>Ozempic</w:t>
            </w:r>
            <w:proofErr w:type="spellEnd"/>
            <w:r w:rsidR="00195411" w:rsidRPr="00E208C5">
              <w:rPr>
                <w:b/>
                <w:lang w:val="en-AU"/>
              </w:rPr>
              <w:t xml:space="preserve"> </w:t>
            </w:r>
            <w:r w:rsidRPr="00E208C5">
              <w:rPr>
                <w:b/>
                <w:lang w:val="en-AU"/>
              </w:rPr>
              <w:t>0.5 mg</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49765E" w14:textId="77777777" w:rsidR="00A2533A" w:rsidRPr="00E208C5" w:rsidRDefault="00A2533A" w:rsidP="00195411">
            <w:pPr>
              <w:pStyle w:val="TableText"/>
              <w:rPr>
                <w:b/>
                <w:lang w:val="en-AU"/>
              </w:rPr>
            </w:pPr>
            <w:proofErr w:type="spellStart"/>
            <w:r w:rsidRPr="00E208C5">
              <w:rPr>
                <w:b/>
                <w:lang w:val="en-AU"/>
              </w:rPr>
              <w:t>Ozempic</w:t>
            </w:r>
            <w:proofErr w:type="spellEnd"/>
            <w:r w:rsidRPr="00E208C5">
              <w:rPr>
                <w:b/>
                <w:lang w:val="en-AU"/>
              </w:rPr>
              <w:t xml:space="preserve"> 1 mg</w:t>
            </w:r>
          </w:p>
        </w:tc>
        <w:tc>
          <w:tcPr>
            <w:tcW w:w="1842" w:type="dxa"/>
            <w:tcBorders>
              <w:top w:val="single" w:sz="4" w:space="0" w:color="auto"/>
              <w:left w:val="single" w:sz="4" w:space="0" w:color="auto"/>
              <w:bottom w:val="single" w:sz="4" w:space="0" w:color="auto"/>
              <w:right w:val="single" w:sz="4" w:space="0" w:color="auto"/>
            </w:tcBorders>
            <w:hideMark/>
          </w:tcPr>
          <w:p w14:paraId="1D4EA6BA" w14:textId="77777777" w:rsidR="00A2533A" w:rsidRPr="00E208C5" w:rsidRDefault="00A2533A" w:rsidP="00A2533A">
            <w:pPr>
              <w:pStyle w:val="TableText"/>
              <w:rPr>
                <w:b/>
                <w:lang w:val="en-AU"/>
              </w:rPr>
            </w:pPr>
            <w:r w:rsidRPr="00E208C5">
              <w:rPr>
                <w:b/>
                <w:lang w:val="en-AU"/>
              </w:rPr>
              <w:t>Sitagliptin 100 mg</w:t>
            </w:r>
          </w:p>
        </w:tc>
      </w:tr>
      <w:tr w:rsidR="00A2533A" w:rsidRPr="00E208C5" w14:paraId="2C0EA5F6" w14:textId="77777777" w:rsidTr="00A2533A">
        <w:trPr>
          <w:trHeight w:val="290"/>
        </w:trPr>
        <w:tc>
          <w:tcPr>
            <w:tcW w:w="3652" w:type="dxa"/>
            <w:tcBorders>
              <w:top w:val="single" w:sz="4" w:space="0" w:color="auto"/>
              <w:left w:val="single" w:sz="4" w:space="0" w:color="auto"/>
              <w:bottom w:val="single" w:sz="4" w:space="0" w:color="auto"/>
              <w:right w:val="single" w:sz="4" w:space="0" w:color="auto"/>
            </w:tcBorders>
          </w:tcPr>
          <w:p w14:paraId="6F6A6132" w14:textId="77777777" w:rsidR="00A2533A" w:rsidRPr="00E208C5" w:rsidRDefault="00A2533A" w:rsidP="000B3BBA">
            <w:pPr>
              <w:pStyle w:val="TableText"/>
              <w:rPr>
                <w:lang w:val="en-AU"/>
              </w:rPr>
            </w:pPr>
            <w:r w:rsidRPr="00E208C5">
              <w:rPr>
                <w:lang w:val="en-AU"/>
              </w:rPr>
              <w:t>Intent-to-Treat (ITT) Population (N)</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F1FA689" w14:textId="77777777" w:rsidR="00A2533A" w:rsidRPr="00E208C5" w:rsidRDefault="00A2533A" w:rsidP="000B3BBA">
            <w:pPr>
              <w:pStyle w:val="TableText"/>
              <w:rPr>
                <w:lang w:val="en-AU"/>
              </w:rPr>
            </w:pPr>
            <w:r w:rsidRPr="00E208C5">
              <w:rPr>
                <w:lang w:val="en-AU"/>
              </w:rPr>
              <w:t>409</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44BAD9" w14:textId="77777777" w:rsidR="00A2533A" w:rsidRPr="00E208C5" w:rsidRDefault="00A2533A" w:rsidP="000B3BBA">
            <w:pPr>
              <w:pStyle w:val="TableText"/>
              <w:rPr>
                <w:lang w:val="en-AU"/>
              </w:rPr>
            </w:pPr>
            <w:r w:rsidRPr="00E208C5">
              <w:rPr>
                <w:lang w:val="en-AU"/>
              </w:rPr>
              <w:t>409</w:t>
            </w:r>
          </w:p>
        </w:tc>
        <w:tc>
          <w:tcPr>
            <w:tcW w:w="1842" w:type="dxa"/>
            <w:tcBorders>
              <w:top w:val="single" w:sz="4" w:space="0" w:color="auto"/>
              <w:left w:val="single" w:sz="4" w:space="0" w:color="auto"/>
              <w:bottom w:val="single" w:sz="4" w:space="0" w:color="auto"/>
              <w:right w:val="single" w:sz="4" w:space="0" w:color="auto"/>
            </w:tcBorders>
          </w:tcPr>
          <w:p w14:paraId="53C0F1F2" w14:textId="77777777" w:rsidR="00A2533A" w:rsidRPr="00E208C5" w:rsidRDefault="00A2533A" w:rsidP="000B3BBA">
            <w:pPr>
              <w:pStyle w:val="TableText"/>
              <w:rPr>
                <w:lang w:val="en-AU"/>
              </w:rPr>
            </w:pPr>
            <w:r w:rsidRPr="00E208C5">
              <w:rPr>
                <w:lang w:val="en-AU"/>
              </w:rPr>
              <w:t>407</w:t>
            </w:r>
          </w:p>
        </w:tc>
      </w:tr>
      <w:tr w:rsidR="00CC3889" w:rsidRPr="00E208C5" w14:paraId="62F30BAB" w14:textId="77777777" w:rsidTr="000B60E9">
        <w:trPr>
          <w:trHeight w:val="225"/>
        </w:trPr>
        <w:tc>
          <w:tcPr>
            <w:tcW w:w="9180" w:type="dxa"/>
            <w:gridSpan w:val="4"/>
            <w:tcBorders>
              <w:top w:val="single" w:sz="4" w:space="0" w:color="auto"/>
              <w:left w:val="single" w:sz="4" w:space="0" w:color="auto"/>
              <w:bottom w:val="single" w:sz="4" w:space="0" w:color="auto"/>
              <w:right w:val="single" w:sz="4" w:space="0" w:color="auto"/>
            </w:tcBorders>
            <w:hideMark/>
          </w:tcPr>
          <w:p w14:paraId="276B85A6" w14:textId="020040BC" w:rsidR="00CC3889" w:rsidRPr="00E208C5" w:rsidRDefault="00CC3889" w:rsidP="000B3BBA">
            <w:pPr>
              <w:pStyle w:val="TableText"/>
              <w:rPr>
                <w:lang w:val="en-AU"/>
              </w:rPr>
            </w:pPr>
            <w:r w:rsidRPr="00E208C5">
              <w:rPr>
                <w:lang w:val="en-AU"/>
              </w:rPr>
              <w:t>HbA</w:t>
            </w:r>
            <w:r w:rsidRPr="00E208C5">
              <w:rPr>
                <w:vertAlign w:val="subscript"/>
                <w:lang w:val="en-AU"/>
              </w:rPr>
              <w:t xml:space="preserve">1c </w:t>
            </w:r>
            <w:r w:rsidRPr="00E208C5">
              <w:rPr>
                <w:lang w:val="en-AU"/>
              </w:rPr>
              <w:t>(%)</w:t>
            </w:r>
          </w:p>
        </w:tc>
      </w:tr>
      <w:tr w:rsidR="00A2533A" w:rsidRPr="00E208C5" w14:paraId="677E469A" w14:textId="77777777" w:rsidTr="00A2533A">
        <w:trPr>
          <w:trHeight w:val="204"/>
        </w:trPr>
        <w:tc>
          <w:tcPr>
            <w:tcW w:w="3652" w:type="dxa"/>
            <w:tcBorders>
              <w:top w:val="single" w:sz="4" w:space="0" w:color="auto"/>
              <w:left w:val="single" w:sz="4" w:space="0" w:color="auto"/>
              <w:bottom w:val="single" w:sz="4" w:space="0" w:color="auto"/>
              <w:right w:val="single" w:sz="4" w:space="0" w:color="auto"/>
            </w:tcBorders>
            <w:hideMark/>
          </w:tcPr>
          <w:p w14:paraId="21137B36" w14:textId="77777777" w:rsidR="00A2533A" w:rsidRPr="00E208C5" w:rsidRDefault="00A2533A" w:rsidP="000B3BBA">
            <w:pPr>
              <w:pStyle w:val="TableText"/>
              <w:rPr>
                <w:b/>
                <w:bCs/>
                <w:lang w:val="en-AU"/>
              </w:rPr>
            </w:pPr>
            <w:r w:rsidRPr="00E208C5">
              <w:rPr>
                <w:lang w:val="en-AU"/>
              </w:rPr>
              <w:t>Baseline (mean)</w:t>
            </w:r>
          </w:p>
        </w:tc>
        <w:tc>
          <w:tcPr>
            <w:tcW w:w="1985" w:type="dxa"/>
            <w:tcBorders>
              <w:top w:val="single" w:sz="4" w:space="0" w:color="auto"/>
              <w:left w:val="single" w:sz="4" w:space="0" w:color="auto"/>
              <w:bottom w:val="single" w:sz="4" w:space="0" w:color="auto"/>
              <w:right w:val="single" w:sz="4" w:space="0" w:color="auto"/>
            </w:tcBorders>
            <w:hideMark/>
          </w:tcPr>
          <w:p w14:paraId="036A832A" w14:textId="77777777" w:rsidR="00A2533A" w:rsidRPr="00E208C5" w:rsidRDefault="00A2533A" w:rsidP="000B3BBA">
            <w:pPr>
              <w:pStyle w:val="TableText"/>
              <w:rPr>
                <w:lang w:val="en-AU"/>
              </w:rPr>
            </w:pPr>
            <w:r w:rsidRPr="00E208C5">
              <w:rPr>
                <w:lang w:val="en-AU"/>
              </w:rPr>
              <w:t>8.0</w:t>
            </w:r>
          </w:p>
        </w:tc>
        <w:tc>
          <w:tcPr>
            <w:tcW w:w="1701" w:type="dxa"/>
            <w:tcBorders>
              <w:top w:val="single" w:sz="4" w:space="0" w:color="auto"/>
              <w:left w:val="single" w:sz="4" w:space="0" w:color="auto"/>
              <w:bottom w:val="single" w:sz="4" w:space="0" w:color="auto"/>
              <w:right w:val="single" w:sz="4" w:space="0" w:color="auto"/>
            </w:tcBorders>
            <w:hideMark/>
          </w:tcPr>
          <w:p w14:paraId="28368CBE" w14:textId="77777777" w:rsidR="00A2533A" w:rsidRPr="00E208C5" w:rsidRDefault="00A2533A" w:rsidP="000B3BBA">
            <w:pPr>
              <w:pStyle w:val="TableText"/>
              <w:rPr>
                <w:lang w:val="en-AU"/>
              </w:rPr>
            </w:pPr>
            <w:r w:rsidRPr="00E208C5">
              <w:rPr>
                <w:lang w:val="en-AU"/>
              </w:rPr>
              <w:t>8.0</w:t>
            </w:r>
          </w:p>
        </w:tc>
        <w:tc>
          <w:tcPr>
            <w:tcW w:w="1842" w:type="dxa"/>
            <w:tcBorders>
              <w:top w:val="single" w:sz="4" w:space="0" w:color="auto"/>
              <w:left w:val="single" w:sz="4" w:space="0" w:color="auto"/>
              <w:bottom w:val="single" w:sz="4" w:space="0" w:color="auto"/>
              <w:right w:val="single" w:sz="4" w:space="0" w:color="auto"/>
            </w:tcBorders>
            <w:hideMark/>
          </w:tcPr>
          <w:p w14:paraId="4FC22E7D" w14:textId="77777777" w:rsidR="00A2533A" w:rsidRPr="00E208C5" w:rsidRDefault="00A2533A" w:rsidP="000B3BBA">
            <w:pPr>
              <w:pStyle w:val="TableText"/>
              <w:rPr>
                <w:lang w:val="en-AU"/>
              </w:rPr>
            </w:pPr>
            <w:r w:rsidRPr="00E208C5">
              <w:rPr>
                <w:lang w:val="en-AU"/>
              </w:rPr>
              <w:t>8.2</w:t>
            </w:r>
          </w:p>
        </w:tc>
      </w:tr>
      <w:tr w:rsidR="00A2533A" w:rsidRPr="00E208C5" w14:paraId="378CD4F2" w14:textId="77777777" w:rsidTr="00A2533A">
        <w:trPr>
          <w:trHeight w:val="204"/>
        </w:trPr>
        <w:tc>
          <w:tcPr>
            <w:tcW w:w="3652" w:type="dxa"/>
            <w:tcBorders>
              <w:top w:val="single" w:sz="4" w:space="0" w:color="auto"/>
              <w:left w:val="single" w:sz="4" w:space="0" w:color="auto"/>
              <w:bottom w:val="single" w:sz="4" w:space="0" w:color="auto"/>
              <w:right w:val="single" w:sz="4" w:space="0" w:color="auto"/>
            </w:tcBorders>
            <w:hideMark/>
          </w:tcPr>
          <w:p w14:paraId="72676FF0" w14:textId="77777777" w:rsidR="00A2533A" w:rsidRPr="00E208C5" w:rsidRDefault="00A2533A" w:rsidP="000B3BBA">
            <w:pPr>
              <w:pStyle w:val="TableText"/>
              <w:rPr>
                <w:lang w:val="en-AU"/>
              </w:rPr>
            </w:pPr>
            <w:r w:rsidRPr="00E208C5">
              <w:rPr>
                <w:lang w:val="en-AU"/>
              </w:rPr>
              <w:t>Change from baseline at week 56</w:t>
            </w:r>
          </w:p>
        </w:tc>
        <w:tc>
          <w:tcPr>
            <w:tcW w:w="1985" w:type="dxa"/>
            <w:tcBorders>
              <w:top w:val="single" w:sz="4" w:space="0" w:color="auto"/>
              <w:left w:val="single" w:sz="4" w:space="0" w:color="auto"/>
              <w:bottom w:val="single" w:sz="4" w:space="0" w:color="auto"/>
              <w:right w:val="single" w:sz="4" w:space="0" w:color="auto"/>
            </w:tcBorders>
            <w:hideMark/>
          </w:tcPr>
          <w:p w14:paraId="053E3CE8" w14:textId="77777777" w:rsidR="00A2533A" w:rsidRPr="00E208C5" w:rsidRDefault="00A2533A" w:rsidP="000B3BBA">
            <w:pPr>
              <w:pStyle w:val="TableText"/>
              <w:rPr>
                <w:lang w:val="en-AU"/>
              </w:rPr>
            </w:pPr>
            <w:r w:rsidRPr="00E208C5">
              <w:rPr>
                <w:lang w:val="en-AU"/>
              </w:rPr>
              <w:t>-1.3</w:t>
            </w:r>
          </w:p>
        </w:tc>
        <w:tc>
          <w:tcPr>
            <w:tcW w:w="1701" w:type="dxa"/>
            <w:tcBorders>
              <w:top w:val="single" w:sz="4" w:space="0" w:color="auto"/>
              <w:left w:val="single" w:sz="4" w:space="0" w:color="auto"/>
              <w:bottom w:val="single" w:sz="4" w:space="0" w:color="auto"/>
              <w:right w:val="single" w:sz="4" w:space="0" w:color="auto"/>
            </w:tcBorders>
            <w:hideMark/>
          </w:tcPr>
          <w:p w14:paraId="3FB3475B" w14:textId="77777777" w:rsidR="00A2533A" w:rsidRPr="00E208C5" w:rsidRDefault="00A2533A" w:rsidP="000B3BBA">
            <w:pPr>
              <w:pStyle w:val="TableText"/>
              <w:rPr>
                <w:lang w:val="en-AU"/>
              </w:rPr>
            </w:pPr>
            <w:r w:rsidRPr="00E208C5">
              <w:rPr>
                <w:lang w:val="en-AU"/>
              </w:rPr>
              <w:t>-1.6</w:t>
            </w:r>
          </w:p>
        </w:tc>
        <w:tc>
          <w:tcPr>
            <w:tcW w:w="1842" w:type="dxa"/>
            <w:tcBorders>
              <w:top w:val="single" w:sz="4" w:space="0" w:color="auto"/>
              <w:left w:val="single" w:sz="4" w:space="0" w:color="auto"/>
              <w:bottom w:val="single" w:sz="4" w:space="0" w:color="auto"/>
              <w:right w:val="single" w:sz="4" w:space="0" w:color="auto"/>
            </w:tcBorders>
            <w:hideMark/>
          </w:tcPr>
          <w:p w14:paraId="5BC534F0" w14:textId="77777777" w:rsidR="00A2533A" w:rsidRPr="00E208C5" w:rsidRDefault="00A2533A" w:rsidP="000B3BBA">
            <w:pPr>
              <w:pStyle w:val="TableText"/>
              <w:rPr>
                <w:lang w:val="en-AU"/>
              </w:rPr>
            </w:pPr>
            <w:r w:rsidRPr="00E208C5">
              <w:rPr>
                <w:lang w:val="en-AU"/>
              </w:rPr>
              <w:t>-0.5</w:t>
            </w:r>
          </w:p>
        </w:tc>
      </w:tr>
      <w:tr w:rsidR="00A2533A" w:rsidRPr="00E208C5" w14:paraId="694ECB92" w14:textId="77777777" w:rsidTr="00A2533A">
        <w:trPr>
          <w:trHeight w:val="602"/>
        </w:trPr>
        <w:tc>
          <w:tcPr>
            <w:tcW w:w="3652" w:type="dxa"/>
            <w:tcBorders>
              <w:top w:val="single" w:sz="4" w:space="0" w:color="auto"/>
              <w:left w:val="single" w:sz="4" w:space="0" w:color="auto"/>
              <w:bottom w:val="single" w:sz="4" w:space="0" w:color="auto"/>
              <w:right w:val="single" w:sz="4" w:space="0" w:color="auto"/>
            </w:tcBorders>
            <w:hideMark/>
          </w:tcPr>
          <w:p w14:paraId="30D22820" w14:textId="77777777" w:rsidR="00A2533A" w:rsidRPr="00E208C5" w:rsidRDefault="00A2533A" w:rsidP="000B3BBA">
            <w:pPr>
              <w:pStyle w:val="TableText"/>
              <w:rPr>
                <w:lang w:val="en-AU"/>
              </w:rPr>
            </w:pPr>
            <w:r w:rsidRPr="00E208C5">
              <w:rPr>
                <w:lang w:val="en-AU"/>
              </w:rPr>
              <w:t xml:space="preserve">Difference from sitagliptin </w:t>
            </w:r>
          </w:p>
          <w:p w14:paraId="095A0FCC" w14:textId="77777777" w:rsidR="00A2533A" w:rsidRPr="00E208C5" w:rsidRDefault="00A2533A" w:rsidP="000B3BBA">
            <w:pPr>
              <w:pStyle w:val="TableText"/>
              <w:rPr>
                <w:lang w:val="en-AU"/>
              </w:rPr>
            </w:pPr>
            <w:r w:rsidRPr="00E208C5">
              <w:rPr>
                <w:lang w:val="en-AU"/>
              </w:rPr>
              <w:t xml:space="preserve"> [95% CI]</w:t>
            </w:r>
          </w:p>
        </w:tc>
        <w:tc>
          <w:tcPr>
            <w:tcW w:w="1985" w:type="dxa"/>
            <w:tcBorders>
              <w:top w:val="single" w:sz="4" w:space="0" w:color="auto"/>
              <w:left w:val="single" w:sz="4" w:space="0" w:color="auto"/>
              <w:bottom w:val="single" w:sz="4" w:space="0" w:color="auto"/>
              <w:right w:val="single" w:sz="4" w:space="0" w:color="auto"/>
            </w:tcBorders>
            <w:hideMark/>
          </w:tcPr>
          <w:p w14:paraId="5F1CB31D" w14:textId="77777777" w:rsidR="00A2533A" w:rsidRPr="00E208C5" w:rsidRDefault="00A2533A" w:rsidP="000B3BBA">
            <w:pPr>
              <w:pStyle w:val="TableText"/>
              <w:rPr>
                <w:lang w:val="en-AU"/>
              </w:rPr>
            </w:pPr>
            <w:r w:rsidRPr="00E208C5">
              <w:rPr>
                <w:lang w:val="en-AU"/>
              </w:rPr>
              <w:t xml:space="preserve">-0.8 </w:t>
            </w:r>
          </w:p>
          <w:p w14:paraId="6B104D9A" w14:textId="77777777" w:rsidR="00A2533A" w:rsidRPr="00E208C5" w:rsidRDefault="00A2533A" w:rsidP="000B3BBA">
            <w:pPr>
              <w:pStyle w:val="TableText"/>
              <w:rPr>
                <w:vertAlign w:val="superscript"/>
                <w:lang w:val="en-AU"/>
              </w:rPr>
            </w:pPr>
            <w:r w:rsidRPr="00E208C5">
              <w:rPr>
                <w:lang w:val="en-AU"/>
              </w:rPr>
              <w:t>[-0.9; -0.6]</w:t>
            </w:r>
            <w:r w:rsidRPr="00E208C5">
              <w:rPr>
                <w:vertAlign w:val="superscript"/>
                <w:lang w:val="en-AU"/>
              </w:rPr>
              <w:t>a</w:t>
            </w:r>
          </w:p>
        </w:tc>
        <w:tc>
          <w:tcPr>
            <w:tcW w:w="1701" w:type="dxa"/>
            <w:tcBorders>
              <w:top w:val="single" w:sz="4" w:space="0" w:color="auto"/>
              <w:left w:val="single" w:sz="4" w:space="0" w:color="auto"/>
              <w:bottom w:val="single" w:sz="4" w:space="0" w:color="auto"/>
              <w:right w:val="single" w:sz="4" w:space="0" w:color="auto"/>
            </w:tcBorders>
            <w:hideMark/>
          </w:tcPr>
          <w:p w14:paraId="6B7E06A0" w14:textId="77777777" w:rsidR="00A2533A" w:rsidRPr="00E208C5" w:rsidRDefault="00A2533A" w:rsidP="000B3BBA">
            <w:pPr>
              <w:pStyle w:val="TableText"/>
              <w:rPr>
                <w:lang w:val="en-AU"/>
              </w:rPr>
            </w:pPr>
            <w:r w:rsidRPr="00E208C5">
              <w:rPr>
                <w:lang w:val="en-AU"/>
              </w:rPr>
              <w:t xml:space="preserve">-1.1 </w:t>
            </w:r>
          </w:p>
          <w:p w14:paraId="5CD127BA" w14:textId="77777777" w:rsidR="00A2533A" w:rsidRPr="00E208C5" w:rsidRDefault="00A2533A" w:rsidP="00A2533A">
            <w:pPr>
              <w:pStyle w:val="TableText"/>
              <w:rPr>
                <w:lang w:val="en-AU"/>
              </w:rPr>
            </w:pPr>
            <w:r w:rsidRPr="00E208C5">
              <w:rPr>
                <w:lang w:val="en-AU"/>
              </w:rPr>
              <w:t>[-1.2; -0.9]</w:t>
            </w:r>
            <w:r w:rsidRPr="00E208C5">
              <w:rPr>
                <w:vertAlign w:val="superscript"/>
                <w:lang w:val="en-AU"/>
              </w:rPr>
              <w:t>a</w:t>
            </w:r>
          </w:p>
        </w:tc>
        <w:tc>
          <w:tcPr>
            <w:tcW w:w="1842" w:type="dxa"/>
            <w:tcBorders>
              <w:top w:val="single" w:sz="4" w:space="0" w:color="auto"/>
              <w:left w:val="single" w:sz="4" w:space="0" w:color="auto"/>
              <w:bottom w:val="single" w:sz="4" w:space="0" w:color="auto"/>
              <w:right w:val="single" w:sz="4" w:space="0" w:color="auto"/>
            </w:tcBorders>
            <w:hideMark/>
          </w:tcPr>
          <w:p w14:paraId="5EEDF14C" w14:textId="77777777" w:rsidR="00A2533A" w:rsidRPr="00E208C5" w:rsidRDefault="00A2533A" w:rsidP="000B3BBA">
            <w:pPr>
              <w:pStyle w:val="TableText"/>
              <w:rPr>
                <w:lang w:val="en-AU"/>
              </w:rPr>
            </w:pPr>
            <w:r w:rsidRPr="00E208C5">
              <w:rPr>
                <w:lang w:val="en-AU"/>
              </w:rPr>
              <w:t>-</w:t>
            </w:r>
          </w:p>
        </w:tc>
      </w:tr>
      <w:tr w:rsidR="00A2533A" w:rsidRPr="00E208C5" w14:paraId="4324A0F0" w14:textId="77777777" w:rsidTr="00A2533A">
        <w:trPr>
          <w:trHeight w:val="359"/>
        </w:trPr>
        <w:tc>
          <w:tcPr>
            <w:tcW w:w="3652" w:type="dxa"/>
            <w:tcBorders>
              <w:top w:val="single" w:sz="4" w:space="0" w:color="auto"/>
              <w:left w:val="single" w:sz="4" w:space="0" w:color="auto"/>
              <w:bottom w:val="single" w:sz="4" w:space="0" w:color="auto"/>
              <w:right w:val="single" w:sz="4" w:space="0" w:color="auto"/>
            </w:tcBorders>
            <w:hideMark/>
          </w:tcPr>
          <w:p w14:paraId="0EE48D83" w14:textId="77777777" w:rsidR="00A2533A" w:rsidRPr="00E208C5" w:rsidRDefault="00A2533A" w:rsidP="00A2533A">
            <w:pPr>
              <w:pStyle w:val="TableText"/>
              <w:rPr>
                <w:lang w:val="en-AU"/>
              </w:rPr>
            </w:pPr>
            <w:r w:rsidRPr="00E208C5">
              <w:rPr>
                <w:lang w:val="en-AU"/>
              </w:rPr>
              <w:t>Patients (%) achieving HbA</w:t>
            </w:r>
            <w:r w:rsidRPr="00E208C5">
              <w:rPr>
                <w:vertAlign w:val="subscript"/>
                <w:lang w:val="en-AU"/>
              </w:rPr>
              <w:t>1c</w:t>
            </w:r>
            <w:r w:rsidRPr="00E208C5">
              <w:rPr>
                <w:lang w:val="en-AU"/>
              </w:rPr>
              <w:t xml:space="preserve"> &lt;7%</w:t>
            </w:r>
          </w:p>
        </w:tc>
        <w:tc>
          <w:tcPr>
            <w:tcW w:w="1985" w:type="dxa"/>
            <w:tcBorders>
              <w:top w:val="single" w:sz="4" w:space="0" w:color="auto"/>
              <w:left w:val="single" w:sz="4" w:space="0" w:color="auto"/>
              <w:bottom w:val="single" w:sz="4" w:space="0" w:color="auto"/>
              <w:right w:val="single" w:sz="4" w:space="0" w:color="auto"/>
            </w:tcBorders>
            <w:hideMark/>
          </w:tcPr>
          <w:p w14:paraId="71159C86" w14:textId="77777777" w:rsidR="00A2533A" w:rsidRPr="00E208C5" w:rsidRDefault="00A2533A" w:rsidP="000B3BBA">
            <w:pPr>
              <w:pStyle w:val="TableText"/>
              <w:rPr>
                <w:lang w:val="en-AU"/>
              </w:rPr>
            </w:pPr>
            <w:r w:rsidRPr="00E208C5">
              <w:rPr>
                <w:lang w:val="en-AU"/>
              </w:rPr>
              <w:t>69</w:t>
            </w:r>
            <w:r w:rsidRPr="00E208C5">
              <w:rPr>
                <w:vertAlign w:val="superscript"/>
                <w:lang w:val="en-AU"/>
              </w:rPr>
              <w:t>b</w:t>
            </w:r>
          </w:p>
        </w:tc>
        <w:tc>
          <w:tcPr>
            <w:tcW w:w="1701" w:type="dxa"/>
            <w:tcBorders>
              <w:top w:val="single" w:sz="4" w:space="0" w:color="auto"/>
              <w:left w:val="single" w:sz="4" w:space="0" w:color="auto"/>
              <w:bottom w:val="single" w:sz="4" w:space="0" w:color="auto"/>
              <w:right w:val="single" w:sz="4" w:space="0" w:color="auto"/>
            </w:tcBorders>
            <w:hideMark/>
          </w:tcPr>
          <w:p w14:paraId="6522BAE3" w14:textId="77777777" w:rsidR="00A2533A" w:rsidRPr="00E208C5" w:rsidRDefault="00A2533A" w:rsidP="000B3BBA">
            <w:pPr>
              <w:pStyle w:val="TableText"/>
              <w:rPr>
                <w:lang w:val="en-AU"/>
              </w:rPr>
            </w:pPr>
            <w:r w:rsidRPr="00E208C5">
              <w:rPr>
                <w:lang w:val="en-AU"/>
              </w:rPr>
              <w:t>78</w:t>
            </w:r>
            <w:r w:rsidRPr="00E208C5">
              <w:rPr>
                <w:vertAlign w:val="superscript"/>
                <w:lang w:val="en-AU"/>
              </w:rPr>
              <w:t>b</w:t>
            </w:r>
          </w:p>
        </w:tc>
        <w:tc>
          <w:tcPr>
            <w:tcW w:w="1842" w:type="dxa"/>
            <w:tcBorders>
              <w:top w:val="single" w:sz="4" w:space="0" w:color="auto"/>
              <w:left w:val="single" w:sz="4" w:space="0" w:color="auto"/>
              <w:bottom w:val="single" w:sz="4" w:space="0" w:color="auto"/>
              <w:right w:val="single" w:sz="4" w:space="0" w:color="auto"/>
            </w:tcBorders>
            <w:hideMark/>
          </w:tcPr>
          <w:p w14:paraId="00687A33" w14:textId="77777777" w:rsidR="00A2533A" w:rsidRPr="00E208C5" w:rsidRDefault="00A2533A" w:rsidP="000B3BBA">
            <w:pPr>
              <w:pStyle w:val="TableText"/>
              <w:rPr>
                <w:lang w:val="en-AU"/>
              </w:rPr>
            </w:pPr>
            <w:r w:rsidRPr="00E208C5">
              <w:rPr>
                <w:lang w:val="en-AU"/>
              </w:rPr>
              <w:t>36</w:t>
            </w:r>
          </w:p>
        </w:tc>
      </w:tr>
      <w:tr w:rsidR="00A2533A" w:rsidRPr="00E208C5" w14:paraId="01BA9B30" w14:textId="2D3E0BBE" w:rsidTr="00A2533A">
        <w:tc>
          <w:tcPr>
            <w:tcW w:w="3652" w:type="dxa"/>
            <w:tcBorders>
              <w:top w:val="single" w:sz="4" w:space="0" w:color="auto"/>
              <w:left w:val="single" w:sz="4" w:space="0" w:color="auto"/>
              <w:bottom w:val="single" w:sz="4" w:space="0" w:color="auto"/>
              <w:right w:val="single" w:sz="4" w:space="0" w:color="auto"/>
            </w:tcBorders>
            <w:hideMark/>
          </w:tcPr>
          <w:p w14:paraId="6F3EE9AF" w14:textId="504BFBC2" w:rsidR="00A2533A" w:rsidRPr="00E208C5" w:rsidRDefault="00A2533A" w:rsidP="00A2533A">
            <w:pPr>
              <w:pStyle w:val="TableText"/>
              <w:rPr>
                <w:lang w:val="en-AU"/>
              </w:rPr>
            </w:pPr>
            <w:r w:rsidRPr="00E208C5">
              <w:rPr>
                <w:lang w:val="en-AU"/>
              </w:rPr>
              <w:t>Patients (%) achieving HbA</w:t>
            </w:r>
            <w:r w:rsidRPr="00E208C5">
              <w:rPr>
                <w:vertAlign w:val="subscript"/>
                <w:lang w:val="en-AU"/>
              </w:rPr>
              <w:t>1c</w:t>
            </w:r>
            <w:r w:rsidRPr="00E208C5">
              <w:rPr>
                <w:lang w:val="en-AU"/>
              </w:rPr>
              <w:t xml:space="preserve"> ≤6.5%</w:t>
            </w:r>
          </w:p>
        </w:tc>
        <w:tc>
          <w:tcPr>
            <w:tcW w:w="1985" w:type="dxa"/>
            <w:tcBorders>
              <w:top w:val="single" w:sz="4" w:space="0" w:color="auto"/>
              <w:left w:val="single" w:sz="4" w:space="0" w:color="auto"/>
              <w:bottom w:val="single" w:sz="4" w:space="0" w:color="auto"/>
              <w:right w:val="single" w:sz="4" w:space="0" w:color="auto"/>
            </w:tcBorders>
            <w:hideMark/>
          </w:tcPr>
          <w:p w14:paraId="5B97C646" w14:textId="76176853" w:rsidR="00A2533A" w:rsidRPr="00E208C5" w:rsidRDefault="00A2533A" w:rsidP="000B3BBA">
            <w:pPr>
              <w:pStyle w:val="TableText"/>
              <w:rPr>
                <w:lang w:val="en-AU"/>
              </w:rPr>
            </w:pPr>
            <w:r w:rsidRPr="00E208C5">
              <w:rPr>
                <w:lang w:val="en-AU"/>
              </w:rPr>
              <w:t>53</w:t>
            </w:r>
            <w:r w:rsidRPr="00E208C5">
              <w:rPr>
                <w:vertAlign w:val="superscript"/>
                <w:lang w:val="en-AU"/>
              </w:rPr>
              <w:t>b</w:t>
            </w:r>
          </w:p>
        </w:tc>
        <w:tc>
          <w:tcPr>
            <w:tcW w:w="1701" w:type="dxa"/>
            <w:tcBorders>
              <w:top w:val="single" w:sz="4" w:space="0" w:color="auto"/>
              <w:left w:val="single" w:sz="4" w:space="0" w:color="auto"/>
              <w:bottom w:val="single" w:sz="4" w:space="0" w:color="auto"/>
              <w:right w:val="single" w:sz="4" w:space="0" w:color="auto"/>
            </w:tcBorders>
            <w:hideMark/>
          </w:tcPr>
          <w:p w14:paraId="689E5441" w14:textId="1C97514E" w:rsidR="00A2533A" w:rsidRPr="00E208C5" w:rsidRDefault="00A2533A" w:rsidP="000B3BBA">
            <w:pPr>
              <w:pStyle w:val="TableText"/>
              <w:rPr>
                <w:lang w:val="en-AU"/>
              </w:rPr>
            </w:pPr>
            <w:r w:rsidRPr="00E208C5">
              <w:rPr>
                <w:lang w:val="en-AU"/>
              </w:rPr>
              <w:t>66</w:t>
            </w:r>
            <w:r w:rsidRPr="00E208C5">
              <w:rPr>
                <w:vertAlign w:val="superscript"/>
                <w:lang w:val="en-AU"/>
              </w:rPr>
              <w:t>b</w:t>
            </w:r>
          </w:p>
        </w:tc>
        <w:tc>
          <w:tcPr>
            <w:tcW w:w="1842" w:type="dxa"/>
            <w:tcBorders>
              <w:top w:val="single" w:sz="4" w:space="0" w:color="auto"/>
              <w:left w:val="nil"/>
              <w:bottom w:val="single" w:sz="4" w:space="0" w:color="auto"/>
              <w:right w:val="single" w:sz="4" w:space="0" w:color="auto"/>
            </w:tcBorders>
          </w:tcPr>
          <w:p w14:paraId="1D131FE0" w14:textId="7416E437" w:rsidR="00A2533A" w:rsidRPr="00E208C5" w:rsidRDefault="00A2533A" w:rsidP="000B3BBA">
            <w:pPr>
              <w:pStyle w:val="TableText"/>
              <w:rPr>
                <w:lang w:val="en-AU"/>
              </w:rPr>
            </w:pPr>
            <w:r w:rsidRPr="00E208C5">
              <w:rPr>
                <w:lang w:val="en-AU"/>
              </w:rPr>
              <w:t>20</w:t>
            </w:r>
          </w:p>
        </w:tc>
      </w:tr>
      <w:tr w:rsidR="00CC3889" w:rsidRPr="00E208C5" w14:paraId="1C8B1E2D" w14:textId="77777777" w:rsidTr="000B60E9">
        <w:tc>
          <w:tcPr>
            <w:tcW w:w="9180" w:type="dxa"/>
            <w:gridSpan w:val="4"/>
            <w:tcBorders>
              <w:top w:val="single" w:sz="4" w:space="0" w:color="auto"/>
              <w:left w:val="single" w:sz="4" w:space="0" w:color="auto"/>
              <w:bottom w:val="single" w:sz="4" w:space="0" w:color="auto"/>
              <w:right w:val="single" w:sz="4" w:space="0" w:color="auto"/>
            </w:tcBorders>
          </w:tcPr>
          <w:p w14:paraId="2831E0D5" w14:textId="756656F4" w:rsidR="00CC3889" w:rsidRPr="00E208C5" w:rsidRDefault="00CC3889" w:rsidP="000B3BBA">
            <w:pPr>
              <w:pStyle w:val="TableText"/>
              <w:rPr>
                <w:lang w:val="en-AU"/>
              </w:rPr>
            </w:pPr>
            <w:r w:rsidRPr="00E208C5">
              <w:rPr>
                <w:lang w:val="en-AU"/>
              </w:rPr>
              <w:t>FPG (mmol/l)</w:t>
            </w:r>
          </w:p>
        </w:tc>
      </w:tr>
      <w:tr w:rsidR="00A2533A" w:rsidRPr="00E208C5" w14:paraId="6805F8A4" w14:textId="77777777" w:rsidTr="00A2533A">
        <w:trPr>
          <w:trHeight w:val="273"/>
        </w:trPr>
        <w:tc>
          <w:tcPr>
            <w:tcW w:w="3652" w:type="dxa"/>
            <w:tcBorders>
              <w:top w:val="single" w:sz="4" w:space="0" w:color="auto"/>
              <w:left w:val="single" w:sz="4" w:space="0" w:color="auto"/>
              <w:bottom w:val="single" w:sz="4" w:space="0" w:color="auto"/>
              <w:right w:val="single" w:sz="4" w:space="0" w:color="auto"/>
            </w:tcBorders>
          </w:tcPr>
          <w:p w14:paraId="2011732D" w14:textId="77777777" w:rsidR="00A2533A" w:rsidRPr="00E208C5" w:rsidRDefault="00A2533A" w:rsidP="000B3BBA">
            <w:pPr>
              <w:numPr>
                <w:ilvl w:val="12"/>
                <w:numId w:val="0"/>
              </w:numPr>
              <w:ind w:right="-2"/>
              <w:rPr>
                <w:b/>
                <w:bCs/>
                <w:iCs/>
                <w:sz w:val="20"/>
                <w:szCs w:val="22"/>
              </w:rPr>
            </w:pPr>
            <w:r w:rsidRPr="00E208C5">
              <w:rPr>
                <w:bCs/>
                <w:iCs/>
                <w:sz w:val="20"/>
                <w:szCs w:val="22"/>
              </w:rPr>
              <w:t xml:space="preserve">  Baseline (mean)</w:t>
            </w:r>
          </w:p>
        </w:tc>
        <w:tc>
          <w:tcPr>
            <w:tcW w:w="1985" w:type="dxa"/>
            <w:tcBorders>
              <w:top w:val="single" w:sz="4" w:space="0" w:color="auto"/>
              <w:left w:val="single" w:sz="4" w:space="0" w:color="auto"/>
              <w:bottom w:val="single" w:sz="4" w:space="0" w:color="auto"/>
              <w:right w:val="single" w:sz="4" w:space="0" w:color="auto"/>
            </w:tcBorders>
          </w:tcPr>
          <w:p w14:paraId="587C3C1E" w14:textId="77777777" w:rsidR="00A2533A" w:rsidRPr="00E208C5" w:rsidRDefault="00A2533A" w:rsidP="00A2533A">
            <w:pPr>
              <w:numPr>
                <w:ilvl w:val="12"/>
                <w:numId w:val="0"/>
              </w:numPr>
              <w:ind w:right="-2"/>
              <w:rPr>
                <w:iCs/>
                <w:sz w:val="20"/>
                <w:szCs w:val="22"/>
              </w:rPr>
            </w:pPr>
            <w:r w:rsidRPr="00E208C5">
              <w:rPr>
                <w:iCs/>
                <w:sz w:val="20"/>
                <w:szCs w:val="22"/>
              </w:rPr>
              <w:t>9.3</w:t>
            </w:r>
          </w:p>
        </w:tc>
        <w:tc>
          <w:tcPr>
            <w:tcW w:w="1701" w:type="dxa"/>
            <w:tcBorders>
              <w:top w:val="single" w:sz="4" w:space="0" w:color="auto"/>
              <w:left w:val="single" w:sz="4" w:space="0" w:color="auto"/>
              <w:bottom w:val="single" w:sz="4" w:space="0" w:color="auto"/>
              <w:right w:val="single" w:sz="4" w:space="0" w:color="auto"/>
            </w:tcBorders>
          </w:tcPr>
          <w:p w14:paraId="311B42A3" w14:textId="77777777" w:rsidR="00A2533A" w:rsidRPr="00E208C5" w:rsidRDefault="00A2533A" w:rsidP="00A2533A">
            <w:pPr>
              <w:numPr>
                <w:ilvl w:val="12"/>
                <w:numId w:val="0"/>
              </w:numPr>
              <w:ind w:right="-2"/>
              <w:rPr>
                <w:iCs/>
                <w:sz w:val="20"/>
                <w:szCs w:val="22"/>
              </w:rPr>
            </w:pPr>
            <w:r w:rsidRPr="00E208C5">
              <w:rPr>
                <w:iCs/>
                <w:sz w:val="20"/>
                <w:szCs w:val="22"/>
              </w:rPr>
              <w:t>9.3</w:t>
            </w:r>
          </w:p>
        </w:tc>
        <w:tc>
          <w:tcPr>
            <w:tcW w:w="1842" w:type="dxa"/>
            <w:tcBorders>
              <w:top w:val="single" w:sz="4" w:space="0" w:color="auto"/>
              <w:left w:val="single" w:sz="4" w:space="0" w:color="auto"/>
              <w:bottom w:val="single" w:sz="4" w:space="0" w:color="auto"/>
              <w:right w:val="single" w:sz="4" w:space="0" w:color="auto"/>
            </w:tcBorders>
          </w:tcPr>
          <w:p w14:paraId="7DD824BA" w14:textId="77777777" w:rsidR="00A2533A" w:rsidRPr="00E208C5" w:rsidRDefault="00A2533A" w:rsidP="00A2533A">
            <w:pPr>
              <w:numPr>
                <w:ilvl w:val="12"/>
                <w:numId w:val="0"/>
              </w:numPr>
              <w:ind w:right="-2"/>
              <w:rPr>
                <w:iCs/>
                <w:sz w:val="20"/>
                <w:szCs w:val="22"/>
              </w:rPr>
            </w:pPr>
            <w:r w:rsidRPr="00E208C5">
              <w:rPr>
                <w:iCs/>
                <w:sz w:val="20"/>
                <w:szCs w:val="22"/>
              </w:rPr>
              <w:t>9.6</w:t>
            </w:r>
          </w:p>
        </w:tc>
      </w:tr>
      <w:tr w:rsidR="00A2533A" w:rsidRPr="00E208C5" w14:paraId="626F083A" w14:textId="77777777" w:rsidTr="00A2533A">
        <w:trPr>
          <w:trHeight w:val="223"/>
        </w:trPr>
        <w:tc>
          <w:tcPr>
            <w:tcW w:w="3652" w:type="dxa"/>
            <w:tcBorders>
              <w:top w:val="single" w:sz="4" w:space="0" w:color="auto"/>
              <w:left w:val="single" w:sz="4" w:space="0" w:color="auto"/>
              <w:bottom w:val="single" w:sz="4" w:space="0" w:color="auto"/>
              <w:right w:val="single" w:sz="4" w:space="0" w:color="auto"/>
            </w:tcBorders>
          </w:tcPr>
          <w:p w14:paraId="48209C32" w14:textId="77777777" w:rsidR="00A2533A" w:rsidRPr="00E208C5" w:rsidRDefault="00A2533A" w:rsidP="00A2533A">
            <w:pPr>
              <w:numPr>
                <w:ilvl w:val="12"/>
                <w:numId w:val="0"/>
              </w:numPr>
              <w:spacing w:after="0" w:line="240" w:lineRule="auto"/>
              <w:rPr>
                <w:b/>
                <w:bCs/>
                <w:iCs/>
                <w:sz w:val="20"/>
                <w:szCs w:val="22"/>
              </w:rPr>
            </w:pPr>
            <w:r w:rsidRPr="00E208C5">
              <w:rPr>
                <w:bCs/>
                <w:iCs/>
                <w:sz w:val="20"/>
                <w:szCs w:val="22"/>
              </w:rPr>
              <w:t xml:space="preserve">  Change from baseline at week 56</w:t>
            </w:r>
          </w:p>
        </w:tc>
        <w:tc>
          <w:tcPr>
            <w:tcW w:w="1985" w:type="dxa"/>
            <w:tcBorders>
              <w:top w:val="single" w:sz="4" w:space="0" w:color="auto"/>
              <w:left w:val="single" w:sz="4" w:space="0" w:color="auto"/>
              <w:bottom w:val="single" w:sz="4" w:space="0" w:color="auto"/>
              <w:right w:val="single" w:sz="4" w:space="0" w:color="auto"/>
            </w:tcBorders>
          </w:tcPr>
          <w:p w14:paraId="2615043B" w14:textId="77777777" w:rsidR="00A2533A" w:rsidRPr="00E208C5" w:rsidRDefault="00A2533A" w:rsidP="00A2533A">
            <w:pPr>
              <w:numPr>
                <w:ilvl w:val="12"/>
                <w:numId w:val="0"/>
              </w:numPr>
              <w:spacing w:after="0" w:line="240" w:lineRule="auto"/>
              <w:rPr>
                <w:iCs/>
                <w:sz w:val="20"/>
                <w:szCs w:val="22"/>
              </w:rPr>
            </w:pPr>
            <w:r w:rsidRPr="00E208C5">
              <w:rPr>
                <w:iCs/>
                <w:sz w:val="20"/>
                <w:szCs w:val="22"/>
              </w:rPr>
              <w:t>-2.1</w:t>
            </w:r>
          </w:p>
        </w:tc>
        <w:tc>
          <w:tcPr>
            <w:tcW w:w="1701" w:type="dxa"/>
            <w:tcBorders>
              <w:top w:val="single" w:sz="4" w:space="0" w:color="auto"/>
              <w:left w:val="single" w:sz="4" w:space="0" w:color="auto"/>
              <w:bottom w:val="single" w:sz="4" w:space="0" w:color="auto"/>
              <w:right w:val="single" w:sz="4" w:space="0" w:color="auto"/>
            </w:tcBorders>
          </w:tcPr>
          <w:p w14:paraId="0F500BA7" w14:textId="77777777" w:rsidR="00A2533A" w:rsidRPr="00E208C5" w:rsidRDefault="00A2533A" w:rsidP="00A2533A">
            <w:pPr>
              <w:numPr>
                <w:ilvl w:val="12"/>
                <w:numId w:val="0"/>
              </w:numPr>
              <w:spacing w:after="0" w:line="240" w:lineRule="auto"/>
              <w:rPr>
                <w:iCs/>
                <w:sz w:val="20"/>
                <w:szCs w:val="22"/>
              </w:rPr>
            </w:pPr>
            <w:r w:rsidRPr="00E208C5">
              <w:rPr>
                <w:iCs/>
                <w:sz w:val="20"/>
                <w:szCs w:val="22"/>
              </w:rPr>
              <w:t>-2.6</w:t>
            </w:r>
          </w:p>
        </w:tc>
        <w:tc>
          <w:tcPr>
            <w:tcW w:w="1842" w:type="dxa"/>
            <w:tcBorders>
              <w:top w:val="single" w:sz="4" w:space="0" w:color="auto"/>
              <w:left w:val="single" w:sz="4" w:space="0" w:color="auto"/>
              <w:bottom w:val="single" w:sz="4" w:space="0" w:color="auto"/>
              <w:right w:val="single" w:sz="4" w:space="0" w:color="auto"/>
            </w:tcBorders>
          </w:tcPr>
          <w:p w14:paraId="0CDBAC56" w14:textId="77777777" w:rsidR="00A2533A" w:rsidRPr="00E208C5" w:rsidRDefault="00A2533A" w:rsidP="00A2533A">
            <w:pPr>
              <w:numPr>
                <w:ilvl w:val="12"/>
                <w:numId w:val="0"/>
              </w:numPr>
              <w:spacing w:after="0" w:line="240" w:lineRule="auto"/>
              <w:rPr>
                <w:iCs/>
                <w:sz w:val="20"/>
                <w:szCs w:val="22"/>
              </w:rPr>
            </w:pPr>
            <w:r w:rsidRPr="00E208C5">
              <w:rPr>
                <w:iCs/>
                <w:sz w:val="20"/>
                <w:szCs w:val="22"/>
              </w:rPr>
              <w:t>-1.1</w:t>
            </w:r>
          </w:p>
        </w:tc>
      </w:tr>
      <w:tr w:rsidR="00A2533A" w:rsidRPr="00E208C5" w14:paraId="0692EAAA" w14:textId="77777777" w:rsidTr="00A2533A">
        <w:tc>
          <w:tcPr>
            <w:tcW w:w="3652" w:type="dxa"/>
            <w:tcBorders>
              <w:top w:val="single" w:sz="4" w:space="0" w:color="auto"/>
              <w:left w:val="single" w:sz="4" w:space="0" w:color="auto"/>
              <w:bottom w:val="single" w:sz="4" w:space="0" w:color="auto"/>
              <w:right w:val="single" w:sz="4" w:space="0" w:color="auto"/>
            </w:tcBorders>
          </w:tcPr>
          <w:p w14:paraId="589B809F" w14:textId="77777777" w:rsidR="00A2533A" w:rsidRPr="00E208C5" w:rsidRDefault="00A2533A" w:rsidP="00A2533A">
            <w:pPr>
              <w:numPr>
                <w:ilvl w:val="12"/>
                <w:numId w:val="0"/>
              </w:numPr>
              <w:spacing w:after="0" w:line="240" w:lineRule="auto"/>
              <w:rPr>
                <w:bCs/>
                <w:iCs/>
                <w:sz w:val="20"/>
                <w:szCs w:val="20"/>
              </w:rPr>
            </w:pPr>
            <w:r w:rsidRPr="00E208C5">
              <w:rPr>
                <w:bCs/>
                <w:iCs/>
                <w:sz w:val="20"/>
                <w:szCs w:val="20"/>
              </w:rPr>
              <w:t xml:space="preserve">  Difference from sitagliptin </w:t>
            </w:r>
          </w:p>
          <w:p w14:paraId="60A22EA6" w14:textId="77777777" w:rsidR="00A2533A" w:rsidRPr="00E208C5" w:rsidRDefault="00A2533A" w:rsidP="00A2533A">
            <w:pPr>
              <w:numPr>
                <w:ilvl w:val="12"/>
                <w:numId w:val="0"/>
              </w:numPr>
              <w:spacing w:after="0" w:line="240" w:lineRule="auto"/>
              <w:rPr>
                <w:bCs/>
                <w:iCs/>
                <w:sz w:val="20"/>
                <w:szCs w:val="22"/>
              </w:rPr>
            </w:pPr>
            <w:r w:rsidRPr="00E208C5">
              <w:rPr>
                <w:sz w:val="20"/>
                <w:szCs w:val="20"/>
              </w:rPr>
              <w:t xml:space="preserve">  [95% CI]</w:t>
            </w:r>
          </w:p>
        </w:tc>
        <w:tc>
          <w:tcPr>
            <w:tcW w:w="1985" w:type="dxa"/>
            <w:tcBorders>
              <w:top w:val="single" w:sz="4" w:space="0" w:color="auto"/>
              <w:left w:val="single" w:sz="4" w:space="0" w:color="auto"/>
              <w:bottom w:val="single" w:sz="4" w:space="0" w:color="auto"/>
              <w:right w:val="single" w:sz="4" w:space="0" w:color="auto"/>
            </w:tcBorders>
          </w:tcPr>
          <w:p w14:paraId="48E47CCE" w14:textId="77777777" w:rsidR="00A2533A" w:rsidRPr="00E208C5" w:rsidRDefault="00A2533A" w:rsidP="00F23E03">
            <w:pPr>
              <w:numPr>
                <w:ilvl w:val="12"/>
                <w:numId w:val="0"/>
              </w:numPr>
              <w:spacing w:after="0" w:line="240" w:lineRule="auto"/>
              <w:rPr>
                <w:iCs/>
                <w:sz w:val="20"/>
                <w:szCs w:val="22"/>
              </w:rPr>
            </w:pPr>
            <w:r w:rsidRPr="00E208C5">
              <w:rPr>
                <w:iCs/>
                <w:sz w:val="20"/>
                <w:szCs w:val="22"/>
              </w:rPr>
              <w:t>-1.0</w:t>
            </w:r>
          </w:p>
          <w:p w14:paraId="0094D743" w14:textId="77777777" w:rsidR="00A2533A" w:rsidRPr="00E208C5" w:rsidRDefault="00A2533A" w:rsidP="00F23E03">
            <w:pPr>
              <w:numPr>
                <w:ilvl w:val="12"/>
                <w:numId w:val="0"/>
              </w:numPr>
              <w:spacing w:after="0" w:line="240" w:lineRule="auto"/>
              <w:rPr>
                <w:iCs/>
                <w:sz w:val="20"/>
                <w:szCs w:val="22"/>
                <w:vertAlign w:val="superscript"/>
              </w:rPr>
            </w:pPr>
            <w:r w:rsidRPr="00E208C5">
              <w:rPr>
                <w:iCs/>
                <w:sz w:val="20"/>
                <w:szCs w:val="22"/>
              </w:rPr>
              <w:t>[-1.3; -0.7]</w:t>
            </w:r>
            <w:r w:rsidRPr="00E208C5">
              <w:rPr>
                <w:iCs/>
                <w:sz w:val="20"/>
                <w:szCs w:val="22"/>
                <w:vertAlign w:val="superscript"/>
              </w:rPr>
              <w:t>b</w:t>
            </w:r>
          </w:p>
        </w:tc>
        <w:tc>
          <w:tcPr>
            <w:tcW w:w="1701" w:type="dxa"/>
            <w:tcBorders>
              <w:top w:val="single" w:sz="4" w:space="0" w:color="auto"/>
              <w:left w:val="single" w:sz="4" w:space="0" w:color="auto"/>
              <w:bottom w:val="single" w:sz="4" w:space="0" w:color="auto"/>
              <w:right w:val="single" w:sz="4" w:space="0" w:color="auto"/>
            </w:tcBorders>
          </w:tcPr>
          <w:p w14:paraId="6912D272" w14:textId="77777777" w:rsidR="00A2533A" w:rsidRPr="00E208C5" w:rsidRDefault="00A2533A" w:rsidP="00F23E03">
            <w:pPr>
              <w:numPr>
                <w:ilvl w:val="12"/>
                <w:numId w:val="0"/>
              </w:numPr>
              <w:spacing w:after="0" w:line="240" w:lineRule="auto"/>
              <w:rPr>
                <w:iCs/>
                <w:sz w:val="20"/>
                <w:szCs w:val="22"/>
              </w:rPr>
            </w:pPr>
            <w:r w:rsidRPr="00E208C5">
              <w:rPr>
                <w:iCs/>
                <w:sz w:val="20"/>
                <w:szCs w:val="22"/>
              </w:rPr>
              <w:t>-1.5</w:t>
            </w:r>
          </w:p>
          <w:p w14:paraId="12204698" w14:textId="77777777" w:rsidR="00A2533A" w:rsidRPr="00E208C5" w:rsidRDefault="00A2533A" w:rsidP="00F23E03">
            <w:pPr>
              <w:numPr>
                <w:ilvl w:val="12"/>
                <w:numId w:val="0"/>
              </w:numPr>
              <w:spacing w:after="0" w:line="240" w:lineRule="auto"/>
              <w:rPr>
                <w:iCs/>
                <w:sz w:val="20"/>
                <w:szCs w:val="22"/>
              </w:rPr>
            </w:pPr>
            <w:r w:rsidRPr="00E208C5">
              <w:rPr>
                <w:iCs/>
                <w:sz w:val="20"/>
                <w:szCs w:val="22"/>
              </w:rPr>
              <w:t>[-1.8; -1.2]</w:t>
            </w:r>
            <w:r w:rsidRPr="00E208C5">
              <w:rPr>
                <w:iCs/>
                <w:sz w:val="20"/>
                <w:szCs w:val="22"/>
                <w:vertAlign w:val="superscript"/>
              </w:rPr>
              <w:t>b</w:t>
            </w:r>
          </w:p>
        </w:tc>
        <w:tc>
          <w:tcPr>
            <w:tcW w:w="1842" w:type="dxa"/>
            <w:tcBorders>
              <w:top w:val="single" w:sz="4" w:space="0" w:color="auto"/>
              <w:left w:val="single" w:sz="4" w:space="0" w:color="auto"/>
              <w:bottom w:val="single" w:sz="4" w:space="0" w:color="auto"/>
              <w:right w:val="single" w:sz="4" w:space="0" w:color="auto"/>
            </w:tcBorders>
          </w:tcPr>
          <w:p w14:paraId="7B40F8BA" w14:textId="77777777" w:rsidR="00A2533A" w:rsidRPr="00E208C5" w:rsidRDefault="00A2533A" w:rsidP="00F23E03">
            <w:pPr>
              <w:numPr>
                <w:ilvl w:val="12"/>
                <w:numId w:val="0"/>
              </w:numPr>
              <w:spacing w:after="0" w:line="240" w:lineRule="auto"/>
              <w:rPr>
                <w:iCs/>
                <w:sz w:val="20"/>
                <w:szCs w:val="22"/>
              </w:rPr>
            </w:pPr>
          </w:p>
        </w:tc>
      </w:tr>
      <w:tr w:rsidR="00CC3889" w:rsidRPr="00E208C5" w14:paraId="120D02AF" w14:textId="77777777" w:rsidTr="000B60E9">
        <w:trPr>
          <w:trHeight w:val="193"/>
        </w:trPr>
        <w:tc>
          <w:tcPr>
            <w:tcW w:w="9180" w:type="dxa"/>
            <w:gridSpan w:val="4"/>
            <w:tcBorders>
              <w:top w:val="single" w:sz="4" w:space="0" w:color="auto"/>
              <w:left w:val="single" w:sz="4" w:space="0" w:color="auto"/>
              <w:bottom w:val="single" w:sz="4" w:space="0" w:color="auto"/>
              <w:right w:val="single" w:sz="4" w:space="0" w:color="auto"/>
            </w:tcBorders>
            <w:hideMark/>
          </w:tcPr>
          <w:p w14:paraId="03CE07C7" w14:textId="2FF380A1" w:rsidR="00CC3889" w:rsidRPr="00E208C5" w:rsidRDefault="00CC3889" w:rsidP="000B3BBA">
            <w:pPr>
              <w:pStyle w:val="TableText"/>
              <w:rPr>
                <w:lang w:val="en-AU"/>
              </w:rPr>
            </w:pPr>
            <w:r w:rsidRPr="00E208C5">
              <w:rPr>
                <w:lang w:val="en-AU"/>
              </w:rPr>
              <w:t>Body weight (kg)</w:t>
            </w:r>
          </w:p>
        </w:tc>
      </w:tr>
      <w:tr w:rsidR="00A2533A" w:rsidRPr="00E208C5" w14:paraId="6B9204F8" w14:textId="77777777" w:rsidTr="00A2533A">
        <w:trPr>
          <w:trHeight w:val="182"/>
        </w:trPr>
        <w:tc>
          <w:tcPr>
            <w:tcW w:w="3652" w:type="dxa"/>
            <w:tcBorders>
              <w:top w:val="single" w:sz="4" w:space="0" w:color="auto"/>
              <w:left w:val="single" w:sz="4" w:space="0" w:color="auto"/>
              <w:bottom w:val="single" w:sz="4" w:space="0" w:color="auto"/>
              <w:right w:val="single" w:sz="4" w:space="0" w:color="auto"/>
            </w:tcBorders>
            <w:hideMark/>
          </w:tcPr>
          <w:p w14:paraId="182CBF8E" w14:textId="77777777" w:rsidR="00A2533A" w:rsidRPr="00E208C5" w:rsidRDefault="00A2533A" w:rsidP="000B3BBA">
            <w:pPr>
              <w:pStyle w:val="TableText"/>
              <w:rPr>
                <w:b/>
                <w:lang w:val="en-AU"/>
              </w:rPr>
            </w:pPr>
            <w:r w:rsidRPr="00E208C5">
              <w:rPr>
                <w:lang w:val="en-AU"/>
              </w:rPr>
              <w:t>Baseline (mean)</w:t>
            </w:r>
          </w:p>
        </w:tc>
        <w:tc>
          <w:tcPr>
            <w:tcW w:w="1985" w:type="dxa"/>
            <w:tcBorders>
              <w:top w:val="single" w:sz="4" w:space="0" w:color="auto"/>
              <w:left w:val="single" w:sz="4" w:space="0" w:color="auto"/>
              <w:bottom w:val="single" w:sz="4" w:space="0" w:color="auto"/>
              <w:right w:val="single" w:sz="4" w:space="0" w:color="auto"/>
            </w:tcBorders>
            <w:hideMark/>
          </w:tcPr>
          <w:p w14:paraId="07BD651C" w14:textId="77777777" w:rsidR="00A2533A" w:rsidRPr="00E208C5" w:rsidRDefault="00A2533A" w:rsidP="000B3BBA">
            <w:pPr>
              <w:pStyle w:val="TableText"/>
              <w:rPr>
                <w:lang w:val="en-AU"/>
              </w:rPr>
            </w:pPr>
            <w:r w:rsidRPr="00E208C5">
              <w:rPr>
                <w:lang w:val="en-AU"/>
              </w:rPr>
              <w:t>89.9</w:t>
            </w:r>
          </w:p>
        </w:tc>
        <w:tc>
          <w:tcPr>
            <w:tcW w:w="1701" w:type="dxa"/>
            <w:tcBorders>
              <w:top w:val="single" w:sz="4" w:space="0" w:color="auto"/>
              <w:left w:val="single" w:sz="4" w:space="0" w:color="auto"/>
              <w:bottom w:val="single" w:sz="4" w:space="0" w:color="auto"/>
              <w:right w:val="single" w:sz="4" w:space="0" w:color="auto"/>
            </w:tcBorders>
            <w:hideMark/>
          </w:tcPr>
          <w:p w14:paraId="07DC9155" w14:textId="77777777" w:rsidR="00A2533A" w:rsidRPr="00E208C5" w:rsidRDefault="00A2533A" w:rsidP="000B3BBA">
            <w:pPr>
              <w:pStyle w:val="TableText"/>
              <w:rPr>
                <w:lang w:val="en-AU"/>
              </w:rPr>
            </w:pPr>
            <w:r w:rsidRPr="00E208C5">
              <w:rPr>
                <w:lang w:val="en-AU"/>
              </w:rPr>
              <w:t>89.2</w:t>
            </w:r>
          </w:p>
        </w:tc>
        <w:tc>
          <w:tcPr>
            <w:tcW w:w="1842" w:type="dxa"/>
            <w:tcBorders>
              <w:top w:val="single" w:sz="4" w:space="0" w:color="auto"/>
              <w:left w:val="single" w:sz="4" w:space="0" w:color="auto"/>
              <w:bottom w:val="single" w:sz="4" w:space="0" w:color="auto"/>
              <w:right w:val="single" w:sz="4" w:space="0" w:color="auto"/>
            </w:tcBorders>
            <w:hideMark/>
          </w:tcPr>
          <w:p w14:paraId="33C01929" w14:textId="77777777" w:rsidR="00A2533A" w:rsidRPr="00E208C5" w:rsidRDefault="00A2533A" w:rsidP="000B3BBA">
            <w:pPr>
              <w:pStyle w:val="TableText"/>
              <w:rPr>
                <w:lang w:val="en-AU"/>
              </w:rPr>
            </w:pPr>
            <w:r w:rsidRPr="00E208C5">
              <w:rPr>
                <w:lang w:val="en-AU"/>
              </w:rPr>
              <w:t>89.3</w:t>
            </w:r>
          </w:p>
        </w:tc>
      </w:tr>
      <w:tr w:rsidR="00A2533A" w:rsidRPr="00E208C5" w14:paraId="2C791DB0" w14:textId="77777777" w:rsidTr="00A2533A">
        <w:trPr>
          <w:trHeight w:val="216"/>
        </w:trPr>
        <w:tc>
          <w:tcPr>
            <w:tcW w:w="3652" w:type="dxa"/>
            <w:tcBorders>
              <w:top w:val="single" w:sz="4" w:space="0" w:color="auto"/>
              <w:left w:val="single" w:sz="4" w:space="0" w:color="auto"/>
              <w:bottom w:val="single" w:sz="4" w:space="0" w:color="auto"/>
              <w:right w:val="single" w:sz="4" w:space="0" w:color="auto"/>
            </w:tcBorders>
            <w:hideMark/>
          </w:tcPr>
          <w:p w14:paraId="5BD59E72" w14:textId="77777777" w:rsidR="00A2533A" w:rsidRPr="00E208C5" w:rsidRDefault="00A2533A" w:rsidP="000B3BBA">
            <w:pPr>
              <w:pStyle w:val="TableText"/>
              <w:rPr>
                <w:lang w:val="en-AU"/>
              </w:rPr>
            </w:pPr>
            <w:r w:rsidRPr="00E208C5">
              <w:rPr>
                <w:lang w:val="en-AU"/>
              </w:rPr>
              <w:t>Change from baseline at week 56</w:t>
            </w:r>
          </w:p>
        </w:tc>
        <w:tc>
          <w:tcPr>
            <w:tcW w:w="1985" w:type="dxa"/>
            <w:tcBorders>
              <w:top w:val="single" w:sz="4" w:space="0" w:color="auto"/>
              <w:left w:val="single" w:sz="4" w:space="0" w:color="auto"/>
              <w:bottom w:val="single" w:sz="4" w:space="0" w:color="auto"/>
              <w:right w:val="single" w:sz="4" w:space="0" w:color="auto"/>
            </w:tcBorders>
            <w:hideMark/>
          </w:tcPr>
          <w:p w14:paraId="2D2C5B19" w14:textId="77777777" w:rsidR="00A2533A" w:rsidRPr="00E208C5" w:rsidRDefault="00A2533A" w:rsidP="000B3BBA">
            <w:pPr>
              <w:pStyle w:val="TableText"/>
              <w:rPr>
                <w:lang w:val="en-AU"/>
              </w:rPr>
            </w:pPr>
            <w:r w:rsidRPr="00E208C5">
              <w:rPr>
                <w:lang w:val="en-AU"/>
              </w:rPr>
              <w:t>-4.3</w:t>
            </w:r>
          </w:p>
        </w:tc>
        <w:tc>
          <w:tcPr>
            <w:tcW w:w="1701" w:type="dxa"/>
            <w:tcBorders>
              <w:top w:val="single" w:sz="4" w:space="0" w:color="auto"/>
              <w:left w:val="single" w:sz="4" w:space="0" w:color="auto"/>
              <w:bottom w:val="single" w:sz="4" w:space="0" w:color="auto"/>
              <w:right w:val="single" w:sz="4" w:space="0" w:color="auto"/>
            </w:tcBorders>
            <w:hideMark/>
          </w:tcPr>
          <w:p w14:paraId="19AFA633" w14:textId="77777777" w:rsidR="00A2533A" w:rsidRPr="00E208C5" w:rsidRDefault="00A2533A" w:rsidP="000B3BBA">
            <w:pPr>
              <w:pStyle w:val="TableText"/>
              <w:rPr>
                <w:lang w:val="en-AU"/>
              </w:rPr>
            </w:pPr>
            <w:r w:rsidRPr="00E208C5">
              <w:rPr>
                <w:lang w:val="en-AU"/>
              </w:rPr>
              <w:t>-6.1</w:t>
            </w:r>
          </w:p>
        </w:tc>
        <w:tc>
          <w:tcPr>
            <w:tcW w:w="1842" w:type="dxa"/>
            <w:tcBorders>
              <w:top w:val="single" w:sz="4" w:space="0" w:color="auto"/>
              <w:left w:val="single" w:sz="4" w:space="0" w:color="auto"/>
              <w:bottom w:val="single" w:sz="4" w:space="0" w:color="auto"/>
              <w:right w:val="single" w:sz="4" w:space="0" w:color="auto"/>
            </w:tcBorders>
            <w:hideMark/>
          </w:tcPr>
          <w:p w14:paraId="0287BD63" w14:textId="77777777" w:rsidR="00A2533A" w:rsidRPr="00E208C5" w:rsidRDefault="00A2533A" w:rsidP="000B3BBA">
            <w:pPr>
              <w:pStyle w:val="TableText"/>
              <w:rPr>
                <w:lang w:val="en-AU"/>
              </w:rPr>
            </w:pPr>
            <w:r w:rsidRPr="00E208C5">
              <w:rPr>
                <w:lang w:val="en-AU"/>
              </w:rPr>
              <w:t>-1.9</w:t>
            </w:r>
          </w:p>
        </w:tc>
      </w:tr>
      <w:tr w:rsidR="00A2533A" w:rsidRPr="00E208C5" w14:paraId="1E799EEA" w14:textId="77777777" w:rsidTr="00A2533A">
        <w:trPr>
          <w:trHeight w:val="493"/>
        </w:trPr>
        <w:tc>
          <w:tcPr>
            <w:tcW w:w="3652" w:type="dxa"/>
            <w:tcBorders>
              <w:top w:val="single" w:sz="4" w:space="0" w:color="auto"/>
              <w:left w:val="single" w:sz="4" w:space="0" w:color="auto"/>
              <w:bottom w:val="single" w:sz="4" w:space="0" w:color="auto"/>
              <w:right w:val="single" w:sz="4" w:space="0" w:color="auto"/>
            </w:tcBorders>
            <w:hideMark/>
          </w:tcPr>
          <w:p w14:paraId="3D74AE8C" w14:textId="77777777" w:rsidR="00A2533A" w:rsidRPr="00E208C5" w:rsidRDefault="00A2533A" w:rsidP="000B3BBA">
            <w:pPr>
              <w:pStyle w:val="TableText"/>
              <w:rPr>
                <w:lang w:val="en-AU"/>
              </w:rPr>
            </w:pPr>
            <w:r w:rsidRPr="00E208C5">
              <w:rPr>
                <w:lang w:val="en-AU"/>
              </w:rPr>
              <w:t xml:space="preserve">Difference from sitagliptin </w:t>
            </w:r>
          </w:p>
          <w:p w14:paraId="405917E3" w14:textId="77777777" w:rsidR="00A2533A" w:rsidRPr="00E208C5" w:rsidRDefault="00A2533A" w:rsidP="000B3BBA">
            <w:pPr>
              <w:pStyle w:val="TableText"/>
              <w:rPr>
                <w:bCs/>
                <w:lang w:val="en-AU"/>
              </w:rPr>
            </w:pPr>
            <w:r w:rsidRPr="00E208C5">
              <w:rPr>
                <w:lang w:val="en-AU"/>
              </w:rPr>
              <w:t xml:space="preserve"> [95% CI]</w:t>
            </w:r>
          </w:p>
        </w:tc>
        <w:tc>
          <w:tcPr>
            <w:tcW w:w="1985" w:type="dxa"/>
            <w:tcBorders>
              <w:top w:val="single" w:sz="4" w:space="0" w:color="auto"/>
              <w:left w:val="single" w:sz="4" w:space="0" w:color="auto"/>
              <w:bottom w:val="single" w:sz="4" w:space="0" w:color="auto"/>
              <w:right w:val="single" w:sz="4" w:space="0" w:color="auto"/>
            </w:tcBorders>
            <w:hideMark/>
          </w:tcPr>
          <w:p w14:paraId="34F62FF0" w14:textId="77777777" w:rsidR="00A2533A" w:rsidRPr="00E208C5" w:rsidRDefault="00A2533A" w:rsidP="000B3BBA">
            <w:pPr>
              <w:pStyle w:val="TableText"/>
              <w:rPr>
                <w:lang w:val="en-AU"/>
              </w:rPr>
            </w:pPr>
            <w:r w:rsidRPr="00E208C5">
              <w:rPr>
                <w:lang w:val="en-AU"/>
              </w:rPr>
              <w:t xml:space="preserve">-2.3 </w:t>
            </w:r>
          </w:p>
          <w:p w14:paraId="6399E72C" w14:textId="77777777" w:rsidR="00A2533A" w:rsidRPr="00E208C5" w:rsidRDefault="00A2533A" w:rsidP="000B3BBA">
            <w:pPr>
              <w:pStyle w:val="TableText"/>
              <w:rPr>
                <w:vertAlign w:val="superscript"/>
                <w:lang w:val="en-AU"/>
              </w:rPr>
            </w:pPr>
            <w:r w:rsidRPr="00E208C5">
              <w:rPr>
                <w:lang w:val="en-AU"/>
              </w:rPr>
              <w:t>[-3.1; -1.6]</w:t>
            </w:r>
            <w:r w:rsidRPr="00E208C5">
              <w:rPr>
                <w:vertAlign w:val="superscript"/>
                <w:lang w:val="en-AU"/>
              </w:rPr>
              <w:t>a</w:t>
            </w:r>
          </w:p>
        </w:tc>
        <w:tc>
          <w:tcPr>
            <w:tcW w:w="1701" w:type="dxa"/>
            <w:tcBorders>
              <w:top w:val="single" w:sz="4" w:space="0" w:color="auto"/>
              <w:left w:val="single" w:sz="4" w:space="0" w:color="auto"/>
              <w:bottom w:val="single" w:sz="4" w:space="0" w:color="auto"/>
              <w:right w:val="single" w:sz="4" w:space="0" w:color="auto"/>
            </w:tcBorders>
            <w:hideMark/>
          </w:tcPr>
          <w:p w14:paraId="22466CC9" w14:textId="77777777" w:rsidR="00A2533A" w:rsidRPr="00E208C5" w:rsidRDefault="00A2533A" w:rsidP="000B3BBA">
            <w:pPr>
              <w:pStyle w:val="TableText"/>
              <w:rPr>
                <w:lang w:val="en-AU"/>
              </w:rPr>
            </w:pPr>
            <w:r w:rsidRPr="00E208C5">
              <w:rPr>
                <w:lang w:val="en-AU"/>
              </w:rPr>
              <w:t xml:space="preserve">-4.2 </w:t>
            </w:r>
          </w:p>
          <w:p w14:paraId="02C820C8" w14:textId="77777777" w:rsidR="00A2533A" w:rsidRPr="00E208C5" w:rsidRDefault="00A2533A" w:rsidP="00A2533A">
            <w:pPr>
              <w:pStyle w:val="TableText"/>
              <w:rPr>
                <w:lang w:val="en-AU"/>
              </w:rPr>
            </w:pPr>
            <w:r w:rsidRPr="00E208C5">
              <w:rPr>
                <w:lang w:val="en-AU"/>
              </w:rPr>
              <w:t>[-4.9; -3.5]</w:t>
            </w:r>
            <w:r w:rsidRPr="00E208C5">
              <w:rPr>
                <w:vertAlign w:val="superscript"/>
                <w:lang w:val="en-AU"/>
              </w:rPr>
              <w:t>a</w:t>
            </w:r>
          </w:p>
        </w:tc>
        <w:tc>
          <w:tcPr>
            <w:tcW w:w="1842" w:type="dxa"/>
            <w:tcBorders>
              <w:top w:val="single" w:sz="4" w:space="0" w:color="auto"/>
              <w:left w:val="single" w:sz="4" w:space="0" w:color="auto"/>
              <w:bottom w:val="single" w:sz="4" w:space="0" w:color="auto"/>
              <w:right w:val="single" w:sz="4" w:space="0" w:color="auto"/>
            </w:tcBorders>
            <w:hideMark/>
          </w:tcPr>
          <w:p w14:paraId="529E5041" w14:textId="77777777" w:rsidR="00A2533A" w:rsidRPr="00E208C5" w:rsidRDefault="00A2533A" w:rsidP="000B3BBA">
            <w:pPr>
              <w:pStyle w:val="TableText"/>
              <w:rPr>
                <w:lang w:val="en-AU"/>
              </w:rPr>
            </w:pPr>
            <w:r w:rsidRPr="00E208C5">
              <w:rPr>
                <w:lang w:val="en-AU"/>
              </w:rPr>
              <w:t>-</w:t>
            </w:r>
          </w:p>
        </w:tc>
      </w:tr>
      <w:tr w:rsidR="00A2533A" w:rsidRPr="00E208C5" w14:paraId="6525A657" w14:textId="1CD31772" w:rsidTr="00A2533A">
        <w:tc>
          <w:tcPr>
            <w:tcW w:w="3652" w:type="dxa"/>
            <w:tcBorders>
              <w:top w:val="single" w:sz="4" w:space="0" w:color="auto"/>
              <w:left w:val="single" w:sz="4" w:space="0" w:color="auto"/>
              <w:bottom w:val="single" w:sz="4" w:space="0" w:color="auto"/>
              <w:right w:val="single" w:sz="4" w:space="0" w:color="auto"/>
            </w:tcBorders>
            <w:hideMark/>
          </w:tcPr>
          <w:p w14:paraId="3AD2448F" w14:textId="368A282A" w:rsidR="00A2533A" w:rsidRPr="00E208C5" w:rsidRDefault="00A2533A" w:rsidP="000B3BBA">
            <w:pPr>
              <w:pStyle w:val="TableText"/>
              <w:rPr>
                <w:lang w:val="en-AU"/>
              </w:rPr>
            </w:pPr>
            <w:r w:rsidRPr="00E208C5">
              <w:rPr>
                <w:lang w:val="en-AU"/>
              </w:rPr>
              <w:t>Patients (%) achieving weight loss ≥5%</w:t>
            </w:r>
          </w:p>
        </w:tc>
        <w:tc>
          <w:tcPr>
            <w:tcW w:w="1985" w:type="dxa"/>
            <w:tcBorders>
              <w:top w:val="single" w:sz="4" w:space="0" w:color="auto"/>
              <w:left w:val="single" w:sz="4" w:space="0" w:color="auto"/>
              <w:bottom w:val="single" w:sz="4" w:space="0" w:color="auto"/>
              <w:right w:val="single" w:sz="4" w:space="0" w:color="auto"/>
            </w:tcBorders>
            <w:hideMark/>
          </w:tcPr>
          <w:p w14:paraId="2F9CFBB7" w14:textId="1DCD5C89" w:rsidR="00A2533A" w:rsidRPr="00E208C5" w:rsidRDefault="00A2533A" w:rsidP="000B3BBA">
            <w:pPr>
              <w:pStyle w:val="TableText"/>
              <w:rPr>
                <w:lang w:val="en-AU"/>
              </w:rPr>
            </w:pPr>
            <w:r w:rsidRPr="00E208C5">
              <w:rPr>
                <w:lang w:val="en-AU"/>
              </w:rPr>
              <w:t>46</w:t>
            </w:r>
            <w:r w:rsidRPr="00E208C5">
              <w:rPr>
                <w:vertAlign w:val="superscript"/>
                <w:lang w:val="en-AU"/>
              </w:rPr>
              <w:t>b</w:t>
            </w:r>
          </w:p>
        </w:tc>
        <w:tc>
          <w:tcPr>
            <w:tcW w:w="1701" w:type="dxa"/>
            <w:tcBorders>
              <w:top w:val="single" w:sz="4" w:space="0" w:color="auto"/>
              <w:left w:val="single" w:sz="4" w:space="0" w:color="auto"/>
              <w:bottom w:val="single" w:sz="4" w:space="0" w:color="auto"/>
              <w:right w:val="single" w:sz="4" w:space="0" w:color="auto"/>
            </w:tcBorders>
            <w:hideMark/>
          </w:tcPr>
          <w:p w14:paraId="3471662F" w14:textId="6EC6AF5A" w:rsidR="00A2533A" w:rsidRPr="00E208C5" w:rsidRDefault="00A2533A" w:rsidP="000B3BBA">
            <w:pPr>
              <w:pStyle w:val="TableText"/>
              <w:rPr>
                <w:lang w:val="en-AU"/>
              </w:rPr>
            </w:pPr>
            <w:r w:rsidRPr="00E208C5">
              <w:rPr>
                <w:lang w:val="en-AU"/>
              </w:rPr>
              <w:t>62</w:t>
            </w:r>
            <w:r w:rsidRPr="00E208C5">
              <w:rPr>
                <w:vertAlign w:val="superscript"/>
                <w:lang w:val="en-AU"/>
              </w:rPr>
              <w:t>b</w:t>
            </w:r>
          </w:p>
        </w:tc>
        <w:tc>
          <w:tcPr>
            <w:tcW w:w="1842" w:type="dxa"/>
            <w:tcBorders>
              <w:top w:val="single" w:sz="4" w:space="0" w:color="auto"/>
              <w:left w:val="single" w:sz="4" w:space="0" w:color="auto"/>
              <w:bottom w:val="single" w:sz="4" w:space="0" w:color="auto"/>
              <w:right w:val="single" w:sz="4" w:space="0" w:color="auto"/>
            </w:tcBorders>
            <w:hideMark/>
          </w:tcPr>
          <w:p w14:paraId="7D69F695" w14:textId="574212AB" w:rsidR="00A2533A" w:rsidRPr="00E208C5" w:rsidRDefault="00A2533A" w:rsidP="000B3BBA">
            <w:pPr>
              <w:pStyle w:val="TableText"/>
              <w:rPr>
                <w:lang w:val="en-AU"/>
              </w:rPr>
            </w:pPr>
            <w:r w:rsidRPr="00E208C5">
              <w:rPr>
                <w:lang w:val="en-AU"/>
              </w:rPr>
              <w:t>18</w:t>
            </w:r>
          </w:p>
        </w:tc>
      </w:tr>
      <w:tr w:rsidR="00A2533A" w:rsidRPr="00E208C5" w14:paraId="1E4253D1" w14:textId="60CEFF79" w:rsidTr="00A2533A">
        <w:tc>
          <w:tcPr>
            <w:tcW w:w="3652" w:type="dxa"/>
            <w:tcBorders>
              <w:top w:val="single" w:sz="4" w:space="0" w:color="auto"/>
              <w:left w:val="single" w:sz="4" w:space="0" w:color="auto"/>
              <w:bottom w:val="single" w:sz="4" w:space="0" w:color="auto"/>
              <w:right w:val="single" w:sz="4" w:space="0" w:color="auto"/>
            </w:tcBorders>
            <w:hideMark/>
          </w:tcPr>
          <w:p w14:paraId="706B4D51" w14:textId="6937246A" w:rsidR="00A2533A" w:rsidRPr="00E208C5" w:rsidRDefault="00A2533A" w:rsidP="000B3BBA">
            <w:pPr>
              <w:pStyle w:val="TableText"/>
              <w:rPr>
                <w:lang w:val="en-AU"/>
              </w:rPr>
            </w:pPr>
            <w:r w:rsidRPr="00E208C5">
              <w:rPr>
                <w:lang w:val="en-AU"/>
              </w:rPr>
              <w:t>Patients (%) achieving weight loss ≥10%</w:t>
            </w:r>
          </w:p>
        </w:tc>
        <w:tc>
          <w:tcPr>
            <w:tcW w:w="1985" w:type="dxa"/>
            <w:tcBorders>
              <w:top w:val="single" w:sz="4" w:space="0" w:color="auto"/>
              <w:left w:val="single" w:sz="4" w:space="0" w:color="auto"/>
              <w:bottom w:val="single" w:sz="4" w:space="0" w:color="auto"/>
              <w:right w:val="single" w:sz="4" w:space="0" w:color="auto"/>
            </w:tcBorders>
            <w:hideMark/>
          </w:tcPr>
          <w:p w14:paraId="5F8203FA" w14:textId="544D4079" w:rsidR="00A2533A" w:rsidRPr="00E208C5" w:rsidRDefault="00A2533A" w:rsidP="000B3BBA">
            <w:pPr>
              <w:pStyle w:val="TableText"/>
              <w:rPr>
                <w:lang w:val="en-AU"/>
              </w:rPr>
            </w:pPr>
            <w:r w:rsidRPr="00E208C5">
              <w:rPr>
                <w:lang w:val="en-AU"/>
              </w:rPr>
              <w:t>13</w:t>
            </w:r>
            <w:r w:rsidRPr="00E208C5">
              <w:rPr>
                <w:vertAlign w:val="superscript"/>
                <w:lang w:val="en-AU"/>
              </w:rPr>
              <w:t>b</w:t>
            </w:r>
          </w:p>
        </w:tc>
        <w:tc>
          <w:tcPr>
            <w:tcW w:w="1701" w:type="dxa"/>
            <w:tcBorders>
              <w:top w:val="single" w:sz="4" w:space="0" w:color="auto"/>
              <w:left w:val="single" w:sz="4" w:space="0" w:color="auto"/>
              <w:bottom w:val="single" w:sz="4" w:space="0" w:color="auto"/>
              <w:right w:val="single" w:sz="4" w:space="0" w:color="auto"/>
            </w:tcBorders>
            <w:hideMark/>
          </w:tcPr>
          <w:p w14:paraId="19DF68DC" w14:textId="72640A97" w:rsidR="00A2533A" w:rsidRPr="00E208C5" w:rsidRDefault="00A2533A" w:rsidP="000B3BBA">
            <w:pPr>
              <w:pStyle w:val="TableText"/>
              <w:rPr>
                <w:lang w:val="en-AU"/>
              </w:rPr>
            </w:pPr>
            <w:r w:rsidRPr="00E208C5">
              <w:rPr>
                <w:lang w:val="en-AU"/>
              </w:rPr>
              <w:t>24</w:t>
            </w:r>
            <w:r w:rsidRPr="00E208C5">
              <w:rPr>
                <w:vertAlign w:val="superscript"/>
                <w:lang w:val="en-AU"/>
              </w:rPr>
              <w:t>b</w:t>
            </w:r>
          </w:p>
        </w:tc>
        <w:tc>
          <w:tcPr>
            <w:tcW w:w="1842" w:type="dxa"/>
            <w:tcBorders>
              <w:top w:val="single" w:sz="4" w:space="0" w:color="auto"/>
              <w:left w:val="single" w:sz="4" w:space="0" w:color="auto"/>
              <w:bottom w:val="single" w:sz="4" w:space="0" w:color="auto"/>
              <w:right w:val="single" w:sz="4" w:space="0" w:color="auto"/>
            </w:tcBorders>
            <w:hideMark/>
          </w:tcPr>
          <w:p w14:paraId="2AC68E00" w14:textId="02F73593" w:rsidR="00A2533A" w:rsidRPr="00E208C5" w:rsidRDefault="00A2533A" w:rsidP="000B3BBA">
            <w:pPr>
              <w:pStyle w:val="TableText"/>
              <w:rPr>
                <w:lang w:val="en-AU"/>
              </w:rPr>
            </w:pPr>
            <w:r w:rsidRPr="00E208C5">
              <w:rPr>
                <w:lang w:val="en-AU"/>
              </w:rPr>
              <w:t>3</w:t>
            </w:r>
          </w:p>
        </w:tc>
      </w:tr>
    </w:tbl>
    <w:p w14:paraId="71964D24" w14:textId="77777777" w:rsidR="00854B57" w:rsidRPr="00E208C5" w:rsidRDefault="00854B57" w:rsidP="00854B57">
      <w:pPr>
        <w:spacing w:after="0" w:line="240" w:lineRule="auto"/>
        <w:rPr>
          <w:sz w:val="20"/>
          <w:szCs w:val="20"/>
        </w:rPr>
      </w:pPr>
      <w:r w:rsidRPr="00E208C5">
        <w:rPr>
          <w:sz w:val="20"/>
          <w:szCs w:val="20"/>
          <w:vertAlign w:val="superscript"/>
        </w:rPr>
        <w:t>a</w:t>
      </w:r>
      <w:r w:rsidRPr="00E208C5">
        <w:rPr>
          <w:sz w:val="20"/>
          <w:szCs w:val="20"/>
        </w:rPr>
        <w:t>p &lt;0.0001 ( 2-sided) for superiority, adjusted for multiplicity based on hierarchical testing of HbA</w:t>
      </w:r>
      <w:r w:rsidRPr="00E208C5">
        <w:rPr>
          <w:sz w:val="20"/>
          <w:szCs w:val="20"/>
          <w:vertAlign w:val="subscript"/>
        </w:rPr>
        <w:t>1c</w:t>
      </w:r>
      <w:r w:rsidRPr="00E208C5">
        <w:rPr>
          <w:sz w:val="20"/>
          <w:szCs w:val="20"/>
        </w:rPr>
        <w:t xml:space="preserve"> and body weight</w:t>
      </w:r>
    </w:p>
    <w:p w14:paraId="2E1A6493" w14:textId="77777777" w:rsidR="00854B57" w:rsidRPr="00E208C5" w:rsidRDefault="00854B57" w:rsidP="00854B57">
      <w:pPr>
        <w:rPr>
          <w:sz w:val="20"/>
          <w:szCs w:val="20"/>
        </w:rPr>
      </w:pPr>
      <w:r w:rsidRPr="00E208C5">
        <w:rPr>
          <w:sz w:val="20"/>
          <w:szCs w:val="20"/>
          <w:vertAlign w:val="superscript"/>
        </w:rPr>
        <w:t>b</w:t>
      </w:r>
      <w:r w:rsidRPr="00E208C5">
        <w:rPr>
          <w:sz w:val="20"/>
          <w:szCs w:val="20"/>
        </w:rPr>
        <w:t xml:space="preserve">p &lt;0.0001 for treatment difference, unadjusted for multiplicity </w:t>
      </w:r>
      <w:r w:rsidRPr="00E208C5">
        <w:rPr>
          <w:sz w:val="20"/>
          <w:szCs w:val="20"/>
        </w:rPr>
        <w:tab/>
      </w:r>
    </w:p>
    <w:p w14:paraId="4591370A" w14:textId="77777777" w:rsidR="00A2533A" w:rsidRPr="00FC4CA6" w:rsidRDefault="00D97EBC" w:rsidP="00A2533A">
      <w:r w:rsidRPr="00FC4CA6">
        <w:object w:dxaOrig="4479" w:dyaOrig="3191" w14:anchorId="7047AEF3">
          <v:shape id="_x0000_i1029" type="#_x0000_t75" style="width:224.15pt;height:159.65pt" o:ole="">
            <v:imagedata r:id="rId18" o:title=""/>
          </v:shape>
          <o:OLEObject Type="Embed" ProgID="Word.Document.12" ShapeID="_x0000_i1029" DrawAspect="Content" ObjectID="_1668440531" r:id="rId19">
            <o:FieldCodes>\s</o:FieldCodes>
          </o:OLEObject>
        </w:object>
      </w:r>
    </w:p>
    <w:p w14:paraId="6EF95A17" w14:textId="77777777" w:rsidR="00D97EBC" w:rsidRPr="00FC4CA6" w:rsidRDefault="00D97EBC" w:rsidP="00A2533A">
      <w:r w:rsidRPr="00FC4CA6">
        <w:object w:dxaOrig="4479" w:dyaOrig="3191" w14:anchorId="090F9A7D">
          <v:shape id="_x0000_i1030" type="#_x0000_t75" style="width:224.15pt;height:159.65pt" o:ole="">
            <v:imagedata r:id="rId20" o:title=""/>
          </v:shape>
          <o:OLEObject Type="Embed" ProgID="Word.Document.12" ShapeID="_x0000_i1030" DrawAspect="Content" ObjectID="_1668440532" r:id="rId21">
            <o:FieldCodes>\s</o:FieldCodes>
          </o:OLEObject>
        </w:object>
      </w:r>
    </w:p>
    <w:p w14:paraId="6F020DED" w14:textId="2B9A759C" w:rsidR="00D97EBC" w:rsidRPr="00FC4CA6" w:rsidRDefault="00D97EBC" w:rsidP="00A2533A">
      <w:pPr>
        <w:rPr>
          <w:b/>
        </w:rPr>
      </w:pPr>
      <w:bookmarkStart w:id="57" w:name="_Ref508880981"/>
      <w:bookmarkStart w:id="58" w:name="_Toc506554272"/>
      <w:bookmarkStart w:id="59" w:name="_Toc514933321"/>
      <w:bookmarkStart w:id="60" w:name="_Toc514933436"/>
      <w:r w:rsidRPr="00FC4CA6">
        <w:rPr>
          <w:b/>
        </w:rPr>
        <w:t>Figur</w:t>
      </w:r>
      <w:r w:rsidRPr="00E208C5">
        <w:rPr>
          <w:b/>
        </w:rPr>
        <w:t xml:space="preserve">e </w:t>
      </w:r>
      <w:r w:rsidRPr="00FC4CA6">
        <w:rPr>
          <w:b/>
        </w:rPr>
        <w:fldChar w:fldCharType="begin"/>
      </w:r>
      <w:r w:rsidRPr="00E208C5">
        <w:rPr>
          <w:b/>
        </w:rPr>
        <w:instrText xml:space="preserve"> SEQ Figure \* ARABIC \s 1 </w:instrText>
      </w:r>
      <w:r w:rsidRPr="00FC4CA6">
        <w:rPr>
          <w:b/>
        </w:rPr>
        <w:fldChar w:fldCharType="separate"/>
      </w:r>
      <w:r w:rsidR="003F4E02" w:rsidRPr="00FC4CA6">
        <w:rPr>
          <w:b/>
          <w:noProof/>
        </w:rPr>
        <w:t>5</w:t>
      </w:r>
      <w:r w:rsidRPr="00FC4CA6">
        <w:rPr>
          <w:b/>
        </w:rPr>
        <w:fldChar w:fldCharType="end"/>
      </w:r>
      <w:bookmarkEnd w:id="57"/>
      <w:r w:rsidRPr="00FC4CA6">
        <w:rPr>
          <w:b/>
        </w:rPr>
        <w:t>: Mean change in HbA</w:t>
      </w:r>
      <w:r w:rsidRPr="00FC4CA6">
        <w:rPr>
          <w:b/>
          <w:vertAlign w:val="subscript"/>
        </w:rPr>
        <w:t>1c</w:t>
      </w:r>
      <w:r w:rsidRPr="00E208C5">
        <w:rPr>
          <w:b/>
        </w:rPr>
        <w:t xml:space="preserve"> (%) and body weight (kg) from baseline to week 56 (SUSTAIN 2)</w:t>
      </w:r>
      <w:bookmarkEnd w:id="58"/>
      <w:bookmarkEnd w:id="59"/>
      <w:bookmarkEnd w:id="60"/>
      <w:r w:rsidRPr="00FC4CA6">
        <w:rPr>
          <w:b/>
        </w:rPr>
        <w:t xml:space="preserve"> </w:t>
      </w:r>
    </w:p>
    <w:p w14:paraId="3CDD3AC1" w14:textId="5F9EA255" w:rsidR="00D97EBC" w:rsidRPr="005A5D07" w:rsidRDefault="00D97EBC" w:rsidP="005A5D07">
      <w:pPr>
        <w:spacing w:after="0" w:line="240" w:lineRule="auto"/>
        <w:rPr>
          <w:i/>
          <w:iCs/>
        </w:rPr>
      </w:pPr>
      <w:r w:rsidRPr="005A5D07">
        <w:rPr>
          <w:i/>
          <w:iCs/>
        </w:rPr>
        <w:t xml:space="preserve">SUSTAIN 7– </w:t>
      </w:r>
      <w:proofErr w:type="spellStart"/>
      <w:r w:rsidRPr="005A5D07">
        <w:rPr>
          <w:i/>
          <w:iCs/>
        </w:rPr>
        <w:t>Ozempic</w:t>
      </w:r>
      <w:proofErr w:type="spellEnd"/>
      <w:r w:rsidRPr="005A5D07">
        <w:rPr>
          <w:i/>
          <w:iCs/>
        </w:rPr>
        <w:t xml:space="preserve"> vs. dulaglutide both in combination with metformin </w:t>
      </w:r>
    </w:p>
    <w:p w14:paraId="0E23C91F" w14:textId="77777777" w:rsidR="00D97EBC" w:rsidRPr="00E208C5" w:rsidRDefault="00D97EBC" w:rsidP="00D97EBC">
      <w:r w:rsidRPr="00E208C5">
        <w:t xml:space="preserve">In a 40-week open-label trial, 1,201 patients on metformin were randomised to either </w:t>
      </w:r>
      <w:proofErr w:type="spellStart"/>
      <w:r w:rsidRPr="00E208C5">
        <w:t>Ozempic</w:t>
      </w:r>
      <w:proofErr w:type="spellEnd"/>
      <w:r w:rsidRPr="00E208C5">
        <w:t xml:space="preserve"> 0.5 mg or 1 mg once weekly or dulaglutide 0.75 mg or 1.5 mg once weekly. The trial compared 0.5 mg of </w:t>
      </w:r>
      <w:proofErr w:type="spellStart"/>
      <w:r w:rsidRPr="00E208C5">
        <w:t>semaglutide</w:t>
      </w:r>
      <w:proofErr w:type="spellEnd"/>
      <w:r w:rsidRPr="00E208C5">
        <w:t xml:space="preserve"> to 0.75 mg of dulaglutide and 1 mg of </w:t>
      </w:r>
      <w:proofErr w:type="spellStart"/>
      <w:r w:rsidRPr="00E208C5">
        <w:t>semaglutide</w:t>
      </w:r>
      <w:proofErr w:type="spellEnd"/>
      <w:r w:rsidRPr="00E208C5">
        <w:t xml:space="preserve"> to 1.5 mg of dulaglutide. Patients had a mean age of 56 years and a mean duration of type 2 diabetes of 7.4 years. There were 77% White patients, 6% were Black or African-American and 16% were Asian. For ethnicity, 11% of patients (n=138) were Hispanic or Latino. Mean BMI was 33.5 kg/m</w:t>
      </w:r>
      <w:r w:rsidRPr="00E208C5">
        <w:rPr>
          <w:vertAlign w:val="superscript"/>
        </w:rPr>
        <w:t>2</w:t>
      </w:r>
      <w:r w:rsidRPr="00E208C5">
        <w:t>.</w:t>
      </w:r>
    </w:p>
    <w:p w14:paraId="0DE756EC" w14:textId="77777777" w:rsidR="00D97EBC" w:rsidRPr="00E208C5" w:rsidRDefault="00D97EBC" w:rsidP="0028075D">
      <w:pPr>
        <w:keepNext/>
        <w:rPr>
          <w:b/>
          <w:u w:val="single"/>
        </w:rPr>
      </w:pPr>
      <w:bookmarkStart w:id="61" w:name="_Ref509297375"/>
      <w:bookmarkStart w:id="62" w:name="_Toc506554423"/>
      <w:bookmarkStart w:id="63" w:name="_Toc514933347"/>
      <w:bookmarkStart w:id="64" w:name="_Toc514933430"/>
      <w:r w:rsidRPr="00E208C5">
        <w:rPr>
          <w:b/>
        </w:rPr>
        <w:lastRenderedPageBreak/>
        <w:t xml:space="preserve">Table </w:t>
      </w:r>
      <w:r w:rsidRPr="00FC4CA6">
        <w:rPr>
          <w:b/>
        </w:rPr>
        <w:fldChar w:fldCharType="begin"/>
      </w:r>
      <w:r w:rsidRPr="00E208C5">
        <w:rPr>
          <w:b/>
        </w:rPr>
        <w:instrText xml:space="preserve"> SEQ Table \* ARABIC \s 1 </w:instrText>
      </w:r>
      <w:r w:rsidRPr="00FC4CA6">
        <w:rPr>
          <w:b/>
        </w:rPr>
        <w:fldChar w:fldCharType="separate"/>
      </w:r>
      <w:r w:rsidR="003F4E02" w:rsidRPr="00FC4CA6">
        <w:rPr>
          <w:b/>
          <w:noProof/>
        </w:rPr>
        <w:t>5</w:t>
      </w:r>
      <w:r w:rsidRPr="00FC4CA6">
        <w:rPr>
          <w:b/>
        </w:rPr>
        <w:fldChar w:fldCharType="end"/>
      </w:r>
      <w:bookmarkEnd w:id="61"/>
      <w:r w:rsidRPr="00FC4CA6">
        <w:rPr>
          <w:b/>
        </w:rPr>
        <w:t xml:space="preserve">: Results at week 40 trial of </w:t>
      </w:r>
      <w:proofErr w:type="spellStart"/>
      <w:r w:rsidRPr="00FC4CA6">
        <w:rPr>
          <w:b/>
        </w:rPr>
        <w:t>Ozempic</w:t>
      </w:r>
      <w:proofErr w:type="spellEnd"/>
      <w:r w:rsidRPr="00FC4CA6">
        <w:rPr>
          <w:b/>
        </w:rPr>
        <w:t xml:space="preserve"> versus </w:t>
      </w:r>
      <w:proofErr w:type="spellStart"/>
      <w:r w:rsidRPr="00FC4CA6">
        <w:rPr>
          <w:b/>
        </w:rPr>
        <w:t>dulaglutide</w:t>
      </w:r>
      <w:proofErr w:type="spellEnd"/>
      <w:r w:rsidRPr="00FC4CA6">
        <w:rPr>
          <w:b/>
        </w:rPr>
        <w:t xml:space="preserve"> (SUSTAIN 7)</w:t>
      </w:r>
      <w:bookmarkEnd w:id="62"/>
      <w:bookmarkEnd w:id="63"/>
      <w:bookmarkEnd w:id="64"/>
      <w:r w:rsidRPr="00FC4CA6">
        <w:rPr>
          <w:b/>
          <w:u w:val="single"/>
        </w:rPr>
        <w:t xml:space="preserve"> </w:t>
      </w:r>
    </w:p>
    <w:tbl>
      <w:tblPr>
        <w:tblW w:w="9180"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018"/>
        <w:gridCol w:w="1492"/>
        <w:gridCol w:w="298"/>
        <w:gridCol w:w="1119"/>
        <w:gridCol w:w="672"/>
        <w:gridCol w:w="746"/>
        <w:gridCol w:w="1044"/>
        <w:gridCol w:w="373"/>
        <w:gridCol w:w="1418"/>
      </w:tblGrid>
      <w:tr w:rsidR="00D97EBC" w:rsidRPr="00E208C5" w14:paraId="4BC3BDBD" w14:textId="77777777" w:rsidTr="00D97EBC">
        <w:trPr>
          <w:trHeight w:val="520"/>
        </w:trPr>
        <w:tc>
          <w:tcPr>
            <w:tcW w:w="3510" w:type="dxa"/>
            <w:gridSpan w:val="2"/>
            <w:tcBorders>
              <w:top w:val="single" w:sz="4" w:space="0" w:color="auto"/>
              <w:left w:val="single" w:sz="4" w:space="0" w:color="auto"/>
              <w:bottom w:val="single" w:sz="4" w:space="0" w:color="auto"/>
              <w:right w:val="single" w:sz="4" w:space="0" w:color="auto"/>
            </w:tcBorders>
          </w:tcPr>
          <w:p w14:paraId="7EFE5919" w14:textId="77777777" w:rsidR="00D97EBC" w:rsidRPr="00E208C5" w:rsidRDefault="00D97EBC" w:rsidP="000B3BBA">
            <w:pPr>
              <w:pStyle w:val="TableText"/>
              <w:rPr>
                <w:lang w:val="en-AU"/>
              </w:rPr>
            </w:pPr>
          </w:p>
        </w:tc>
        <w:tc>
          <w:tcPr>
            <w:tcW w:w="141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AD0B37" w14:textId="77777777" w:rsidR="00D97EBC" w:rsidRPr="00E208C5" w:rsidRDefault="00D97EBC" w:rsidP="00D97EBC">
            <w:pPr>
              <w:pStyle w:val="TableText"/>
              <w:rPr>
                <w:b/>
                <w:lang w:val="en-AU"/>
              </w:rPr>
            </w:pPr>
            <w:proofErr w:type="spellStart"/>
            <w:r w:rsidRPr="00E208C5">
              <w:rPr>
                <w:b/>
                <w:lang w:val="en-AU"/>
              </w:rPr>
              <w:t>Ozempic</w:t>
            </w:r>
            <w:proofErr w:type="spellEnd"/>
            <w:r w:rsidRPr="00E208C5">
              <w:rPr>
                <w:b/>
                <w:lang w:val="en-AU"/>
              </w:rPr>
              <w:t xml:space="preserve"> 0.5 mg</w:t>
            </w:r>
          </w:p>
        </w:tc>
        <w:tc>
          <w:tcPr>
            <w:tcW w:w="1418" w:type="dxa"/>
            <w:gridSpan w:val="2"/>
            <w:tcBorders>
              <w:top w:val="single" w:sz="4" w:space="0" w:color="auto"/>
              <w:left w:val="single" w:sz="4" w:space="0" w:color="auto"/>
              <w:bottom w:val="single" w:sz="4" w:space="0" w:color="auto"/>
              <w:right w:val="nil"/>
            </w:tcBorders>
            <w:tcMar>
              <w:top w:w="0" w:type="dxa"/>
              <w:left w:w="57" w:type="dxa"/>
              <w:bottom w:w="0" w:type="dxa"/>
              <w:right w:w="57" w:type="dxa"/>
            </w:tcMar>
            <w:hideMark/>
          </w:tcPr>
          <w:p w14:paraId="4F9435FD" w14:textId="77777777" w:rsidR="00D97EBC" w:rsidRPr="00E208C5" w:rsidRDefault="00D97EBC" w:rsidP="00D97EBC">
            <w:pPr>
              <w:pStyle w:val="TableText"/>
              <w:rPr>
                <w:b/>
                <w:lang w:val="en-AU"/>
              </w:rPr>
            </w:pPr>
            <w:proofErr w:type="spellStart"/>
            <w:r w:rsidRPr="00E208C5">
              <w:rPr>
                <w:b/>
                <w:lang w:val="en-AU"/>
              </w:rPr>
              <w:t>Ozempic</w:t>
            </w:r>
            <w:proofErr w:type="spellEnd"/>
            <w:r w:rsidRPr="00E208C5">
              <w:rPr>
                <w:b/>
                <w:lang w:val="en-AU"/>
              </w:rPr>
              <w:t xml:space="preserve"> 1 mg</w:t>
            </w:r>
          </w:p>
        </w:tc>
        <w:tc>
          <w:tcPr>
            <w:tcW w:w="1417" w:type="dxa"/>
            <w:gridSpan w:val="2"/>
            <w:tcBorders>
              <w:top w:val="single" w:sz="4" w:space="0" w:color="auto"/>
              <w:left w:val="single" w:sz="4" w:space="0" w:color="auto"/>
              <w:bottom w:val="single" w:sz="4" w:space="0" w:color="auto"/>
              <w:right w:val="single" w:sz="4" w:space="0" w:color="auto"/>
            </w:tcBorders>
            <w:hideMark/>
          </w:tcPr>
          <w:p w14:paraId="03E8123E" w14:textId="77777777" w:rsidR="00D97EBC" w:rsidRPr="00E208C5" w:rsidRDefault="00D97EBC" w:rsidP="000B3BBA">
            <w:pPr>
              <w:pStyle w:val="TableText"/>
              <w:rPr>
                <w:b/>
                <w:lang w:val="en-AU"/>
              </w:rPr>
            </w:pPr>
            <w:r w:rsidRPr="00E208C5">
              <w:rPr>
                <w:b/>
                <w:lang w:val="en-AU"/>
              </w:rPr>
              <w:t>Dulaglutide</w:t>
            </w:r>
          </w:p>
          <w:p w14:paraId="79107424" w14:textId="77777777" w:rsidR="00D97EBC" w:rsidRPr="00E208C5" w:rsidRDefault="00D97EBC" w:rsidP="000B3BBA">
            <w:pPr>
              <w:pStyle w:val="TableText"/>
              <w:rPr>
                <w:b/>
                <w:lang w:val="en-AU"/>
              </w:rPr>
            </w:pPr>
            <w:r w:rsidRPr="00E208C5">
              <w:rPr>
                <w:b/>
                <w:lang w:val="en-AU"/>
              </w:rPr>
              <w:t>0.75 mg</w:t>
            </w:r>
          </w:p>
        </w:tc>
        <w:tc>
          <w:tcPr>
            <w:tcW w:w="1418" w:type="dxa"/>
            <w:tcBorders>
              <w:top w:val="single" w:sz="4" w:space="0" w:color="auto"/>
              <w:left w:val="single" w:sz="4" w:space="0" w:color="auto"/>
              <w:bottom w:val="single" w:sz="4" w:space="0" w:color="auto"/>
              <w:right w:val="single" w:sz="4" w:space="0" w:color="auto"/>
            </w:tcBorders>
          </w:tcPr>
          <w:p w14:paraId="07447BF2" w14:textId="77777777" w:rsidR="00D97EBC" w:rsidRPr="00E208C5" w:rsidRDefault="00D97EBC" w:rsidP="000B3BBA">
            <w:pPr>
              <w:pStyle w:val="TableText"/>
              <w:rPr>
                <w:b/>
                <w:lang w:val="en-AU"/>
              </w:rPr>
            </w:pPr>
            <w:r w:rsidRPr="00E208C5">
              <w:rPr>
                <w:b/>
                <w:lang w:val="en-AU"/>
              </w:rPr>
              <w:t>Dulaglutide</w:t>
            </w:r>
          </w:p>
          <w:p w14:paraId="6953B7EC" w14:textId="77777777" w:rsidR="00D97EBC" w:rsidRPr="00E208C5" w:rsidRDefault="00D97EBC" w:rsidP="000B3BBA">
            <w:pPr>
              <w:pStyle w:val="TableText"/>
              <w:rPr>
                <w:b/>
                <w:lang w:val="en-AU"/>
              </w:rPr>
            </w:pPr>
            <w:r w:rsidRPr="00E208C5">
              <w:rPr>
                <w:b/>
                <w:lang w:val="en-AU"/>
              </w:rPr>
              <w:t>1.5 mg</w:t>
            </w:r>
          </w:p>
        </w:tc>
      </w:tr>
      <w:tr w:rsidR="00D97EBC" w:rsidRPr="00E208C5" w14:paraId="2079BFB1" w14:textId="77777777" w:rsidTr="00D97EBC">
        <w:trPr>
          <w:trHeight w:val="290"/>
        </w:trPr>
        <w:tc>
          <w:tcPr>
            <w:tcW w:w="3510" w:type="dxa"/>
            <w:gridSpan w:val="2"/>
            <w:tcBorders>
              <w:top w:val="single" w:sz="4" w:space="0" w:color="auto"/>
              <w:left w:val="single" w:sz="4" w:space="0" w:color="auto"/>
              <w:bottom w:val="single" w:sz="4" w:space="0" w:color="auto"/>
              <w:right w:val="single" w:sz="4" w:space="0" w:color="auto"/>
            </w:tcBorders>
          </w:tcPr>
          <w:p w14:paraId="2F52CFCE" w14:textId="77777777" w:rsidR="00D97EBC" w:rsidRPr="00E208C5" w:rsidRDefault="00D97EBC" w:rsidP="000B3BBA">
            <w:pPr>
              <w:pStyle w:val="TableText"/>
              <w:rPr>
                <w:lang w:val="en-AU"/>
              </w:rPr>
            </w:pPr>
            <w:r w:rsidRPr="00E208C5">
              <w:rPr>
                <w:lang w:val="en-AU"/>
              </w:rPr>
              <w:t>Intent-to-Treat (ITT) Population (N)</w:t>
            </w:r>
          </w:p>
        </w:tc>
        <w:tc>
          <w:tcPr>
            <w:tcW w:w="141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6FAEB01" w14:textId="77777777" w:rsidR="00D97EBC" w:rsidRPr="00E208C5" w:rsidRDefault="00D97EBC" w:rsidP="000B3BBA">
            <w:pPr>
              <w:pStyle w:val="TableText"/>
              <w:rPr>
                <w:lang w:val="en-AU"/>
              </w:rPr>
            </w:pPr>
            <w:r w:rsidRPr="00E208C5">
              <w:rPr>
                <w:lang w:val="en-AU"/>
              </w:rPr>
              <w:t>301</w:t>
            </w:r>
          </w:p>
        </w:tc>
        <w:tc>
          <w:tcPr>
            <w:tcW w:w="1418" w:type="dxa"/>
            <w:gridSpan w:val="2"/>
            <w:tcBorders>
              <w:top w:val="single" w:sz="4" w:space="0" w:color="auto"/>
              <w:left w:val="single" w:sz="4" w:space="0" w:color="auto"/>
              <w:bottom w:val="single" w:sz="4" w:space="0" w:color="auto"/>
              <w:right w:val="nil"/>
            </w:tcBorders>
            <w:tcMar>
              <w:top w:w="0" w:type="dxa"/>
              <w:left w:w="57" w:type="dxa"/>
              <w:bottom w:w="0" w:type="dxa"/>
              <w:right w:w="57" w:type="dxa"/>
            </w:tcMar>
          </w:tcPr>
          <w:p w14:paraId="33163EAF" w14:textId="77777777" w:rsidR="00D97EBC" w:rsidRPr="00E208C5" w:rsidRDefault="00D97EBC" w:rsidP="000B3BBA">
            <w:pPr>
              <w:pStyle w:val="TableText"/>
              <w:rPr>
                <w:lang w:val="en-AU"/>
              </w:rPr>
            </w:pPr>
            <w:r w:rsidRPr="00E208C5">
              <w:rPr>
                <w:lang w:val="en-AU"/>
              </w:rPr>
              <w:t>300</w:t>
            </w:r>
          </w:p>
        </w:tc>
        <w:tc>
          <w:tcPr>
            <w:tcW w:w="1417" w:type="dxa"/>
            <w:gridSpan w:val="2"/>
            <w:tcBorders>
              <w:top w:val="single" w:sz="4" w:space="0" w:color="auto"/>
              <w:left w:val="single" w:sz="4" w:space="0" w:color="auto"/>
              <w:bottom w:val="single" w:sz="4" w:space="0" w:color="auto"/>
              <w:right w:val="single" w:sz="4" w:space="0" w:color="auto"/>
            </w:tcBorders>
          </w:tcPr>
          <w:p w14:paraId="776F97B0" w14:textId="77777777" w:rsidR="00D97EBC" w:rsidRPr="00E208C5" w:rsidRDefault="00D97EBC" w:rsidP="000B3BBA">
            <w:pPr>
              <w:pStyle w:val="TableText"/>
              <w:rPr>
                <w:lang w:val="en-AU"/>
              </w:rPr>
            </w:pPr>
            <w:r w:rsidRPr="00E208C5">
              <w:rPr>
                <w:lang w:val="en-AU"/>
              </w:rPr>
              <w:t>299</w:t>
            </w:r>
          </w:p>
        </w:tc>
        <w:tc>
          <w:tcPr>
            <w:tcW w:w="1418" w:type="dxa"/>
            <w:tcBorders>
              <w:top w:val="single" w:sz="4" w:space="0" w:color="auto"/>
              <w:left w:val="single" w:sz="4" w:space="0" w:color="auto"/>
              <w:bottom w:val="single" w:sz="4" w:space="0" w:color="auto"/>
              <w:right w:val="single" w:sz="4" w:space="0" w:color="auto"/>
            </w:tcBorders>
          </w:tcPr>
          <w:p w14:paraId="0F1B2C28" w14:textId="77777777" w:rsidR="00D97EBC" w:rsidRPr="00E208C5" w:rsidRDefault="00D97EBC" w:rsidP="000B3BBA">
            <w:pPr>
              <w:pStyle w:val="TableText"/>
              <w:rPr>
                <w:lang w:val="en-AU"/>
              </w:rPr>
            </w:pPr>
            <w:r w:rsidRPr="00E208C5">
              <w:rPr>
                <w:lang w:val="en-AU"/>
              </w:rPr>
              <w:t>299</w:t>
            </w:r>
          </w:p>
        </w:tc>
      </w:tr>
      <w:tr w:rsidR="00D97EBC" w:rsidRPr="00E208C5" w14:paraId="313D44A4" w14:textId="77777777" w:rsidTr="00D97EBC">
        <w:trPr>
          <w:trHeight w:val="225"/>
        </w:trPr>
        <w:tc>
          <w:tcPr>
            <w:tcW w:w="9180" w:type="dxa"/>
            <w:gridSpan w:val="9"/>
            <w:tcBorders>
              <w:top w:val="single" w:sz="4" w:space="0" w:color="auto"/>
              <w:left w:val="single" w:sz="4" w:space="0" w:color="auto"/>
              <w:bottom w:val="single" w:sz="4" w:space="0" w:color="auto"/>
              <w:right w:val="single" w:sz="4" w:space="0" w:color="auto"/>
            </w:tcBorders>
            <w:hideMark/>
          </w:tcPr>
          <w:p w14:paraId="79BBB5E0" w14:textId="77777777" w:rsidR="00D97EBC" w:rsidRPr="00E208C5" w:rsidRDefault="00D97EBC" w:rsidP="000B3BBA">
            <w:pPr>
              <w:pStyle w:val="TableText"/>
              <w:rPr>
                <w:lang w:val="en-AU"/>
              </w:rPr>
            </w:pPr>
            <w:r w:rsidRPr="00E208C5">
              <w:rPr>
                <w:lang w:val="en-AU"/>
              </w:rPr>
              <w:t>HbA</w:t>
            </w:r>
            <w:r w:rsidRPr="00E208C5">
              <w:rPr>
                <w:vertAlign w:val="subscript"/>
                <w:lang w:val="en-AU"/>
              </w:rPr>
              <w:t xml:space="preserve">1c </w:t>
            </w:r>
            <w:r w:rsidRPr="00E208C5">
              <w:rPr>
                <w:lang w:val="en-AU"/>
              </w:rPr>
              <w:t>(%)</w:t>
            </w:r>
          </w:p>
        </w:tc>
      </w:tr>
      <w:tr w:rsidR="00D97EBC" w:rsidRPr="00E208C5" w14:paraId="001EFEE1" w14:textId="77777777" w:rsidTr="00D97EBC">
        <w:trPr>
          <w:trHeight w:val="204"/>
        </w:trPr>
        <w:tc>
          <w:tcPr>
            <w:tcW w:w="3510" w:type="dxa"/>
            <w:gridSpan w:val="2"/>
            <w:tcBorders>
              <w:top w:val="single" w:sz="4" w:space="0" w:color="auto"/>
              <w:left w:val="single" w:sz="4" w:space="0" w:color="auto"/>
              <w:bottom w:val="single" w:sz="4" w:space="0" w:color="auto"/>
              <w:right w:val="single" w:sz="4" w:space="0" w:color="auto"/>
            </w:tcBorders>
            <w:hideMark/>
          </w:tcPr>
          <w:p w14:paraId="167F2192" w14:textId="77777777" w:rsidR="00D97EBC" w:rsidRPr="00E208C5" w:rsidRDefault="00D97EBC" w:rsidP="000B3BBA">
            <w:pPr>
              <w:pStyle w:val="TableText"/>
              <w:rPr>
                <w:b/>
                <w:bCs/>
                <w:lang w:val="en-AU"/>
              </w:rPr>
            </w:pPr>
            <w:r w:rsidRPr="00E208C5">
              <w:rPr>
                <w:lang w:val="en-AU"/>
              </w:rPr>
              <w:t>Baseline (mean)</w:t>
            </w:r>
          </w:p>
        </w:tc>
        <w:tc>
          <w:tcPr>
            <w:tcW w:w="1417" w:type="dxa"/>
            <w:gridSpan w:val="2"/>
            <w:tcBorders>
              <w:top w:val="single" w:sz="4" w:space="0" w:color="auto"/>
              <w:left w:val="single" w:sz="4" w:space="0" w:color="auto"/>
              <w:bottom w:val="single" w:sz="4" w:space="0" w:color="auto"/>
              <w:right w:val="single" w:sz="4" w:space="0" w:color="auto"/>
            </w:tcBorders>
            <w:hideMark/>
          </w:tcPr>
          <w:p w14:paraId="26379749" w14:textId="77777777" w:rsidR="00D97EBC" w:rsidRPr="00E208C5" w:rsidRDefault="00D97EBC" w:rsidP="000B3BBA">
            <w:pPr>
              <w:pStyle w:val="TableText"/>
              <w:rPr>
                <w:lang w:val="en-AU"/>
              </w:rPr>
            </w:pPr>
            <w:r w:rsidRPr="00E208C5">
              <w:rPr>
                <w:lang w:val="en-AU"/>
              </w:rPr>
              <w:t>8.3</w:t>
            </w:r>
          </w:p>
        </w:tc>
        <w:tc>
          <w:tcPr>
            <w:tcW w:w="1418" w:type="dxa"/>
            <w:gridSpan w:val="2"/>
            <w:tcBorders>
              <w:top w:val="single" w:sz="4" w:space="0" w:color="auto"/>
              <w:left w:val="single" w:sz="4" w:space="0" w:color="auto"/>
              <w:bottom w:val="single" w:sz="4" w:space="0" w:color="auto"/>
              <w:right w:val="nil"/>
            </w:tcBorders>
            <w:hideMark/>
          </w:tcPr>
          <w:p w14:paraId="3DB39CAB" w14:textId="77777777" w:rsidR="00D97EBC" w:rsidRPr="00E208C5" w:rsidRDefault="00D97EBC" w:rsidP="000B3BBA">
            <w:pPr>
              <w:pStyle w:val="TableText"/>
              <w:rPr>
                <w:lang w:val="en-AU"/>
              </w:rPr>
            </w:pPr>
            <w:r w:rsidRPr="00E208C5">
              <w:rPr>
                <w:lang w:val="en-AU"/>
              </w:rPr>
              <w:t>8.2</w:t>
            </w:r>
          </w:p>
        </w:tc>
        <w:tc>
          <w:tcPr>
            <w:tcW w:w="1417" w:type="dxa"/>
            <w:gridSpan w:val="2"/>
            <w:tcBorders>
              <w:top w:val="single" w:sz="4" w:space="0" w:color="auto"/>
              <w:left w:val="single" w:sz="4" w:space="0" w:color="auto"/>
              <w:bottom w:val="single" w:sz="4" w:space="0" w:color="auto"/>
              <w:right w:val="single" w:sz="4" w:space="0" w:color="auto"/>
            </w:tcBorders>
            <w:hideMark/>
          </w:tcPr>
          <w:p w14:paraId="2E8E1B19" w14:textId="77777777" w:rsidR="00D97EBC" w:rsidRPr="00E208C5" w:rsidRDefault="00D97EBC" w:rsidP="000B3BBA">
            <w:pPr>
              <w:pStyle w:val="TableText"/>
              <w:rPr>
                <w:lang w:val="en-AU"/>
              </w:rPr>
            </w:pPr>
            <w:r w:rsidRPr="00E208C5">
              <w:rPr>
                <w:lang w:val="en-AU"/>
              </w:rPr>
              <w:t>8.2</w:t>
            </w:r>
          </w:p>
        </w:tc>
        <w:tc>
          <w:tcPr>
            <w:tcW w:w="1418" w:type="dxa"/>
            <w:tcBorders>
              <w:top w:val="single" w:sz="4" w:space="0" w:color="auto"/>
              <w:left w:val="single" w:sz="4" w:space="0" w:color="auto"/>
              <w:bottom w:val="single" w:sz="4" w:space="0" w:color="auto"/>
              <w:right w:val="single" w:sz="4" w:space="0" w:color="auto"/>
            </w:tcBorders>
          </w:tcPr>
          <w:p w14:paraId="1CB252CB" w14:textId="77777777" w:rsidR="00D97EBC" w:rsidRPr="00E208C5" w:rsidRDefault="00D97EBC" w:rsidP="000B3BBA">
            <w:pPr>
              <w:pStyle w:val="TableText"/>
              <w:rPr>
                <w:lang w:val="en-AU"/>
              </w:rPr>
            </w:pPr>
            <w:r w:rsidRPr="00E208C5">
              <w:rPr>
                <w:lang w:val="en-AU"/>
              </w:rPr>
              <w:t>8.2</w:t>
            </w:r>
          </w:p>
        </w:tc>
      </w:tr>
      <w:tr w:rsidR="00D97EBC" w:rsidRPr="00E208C5" w14:paraId="4E9C3261" w14:textId="77777777" w:rsidTr="00D97EBC">
        <w:trPr>
          <w:trHeight w:val="204"/>
        </w:trPr>
        <w:tc>
          <w:tcPr>
            <w:tcW w:w="3510" w:type="dxa"/>
            <w:gridSpan w:val="2"/>
            <w:tcBorders>
              <w:top w:val="single" w:sz="4" w:space="0" w:color="auto"/>
              <w:left w:val="single" w:sz="4" w:space="0" w:color="auto"/>
              <w:bottom w:val="single" w:sz="4" w:space="0" w:color="auto"/>
              <w:right w:val="single" w:sz="4" w:space="0" w:color="auto"/>
            </w:tcBorders>
            <w:hideMark/>
          </w:tcPr>
          <w:p w14:paraId="4024BC01" w14:textId="77777777" w:rsidR="00D97EBC" w:rsidRPr="00E208C5" w:rsidRDefault="00D97EBC" w:rsidP="000B3BBA">
            <w:pPr>
              <w:pStyle w:val="TableText"/>
              <w:rPr>
                <w:lang w:val="en-AU"/>
              </w:rPr>
            </w:pPr>
            <w:r w:rsidRPr="00E208C5">
              <w:rPr>
                <w:lang w:val="en-AU"/>
              </w:rPr>
              <w:t>Change from baseline at week 40</w:t>
            </w:r>
          </w:p>
        </w:tc>
        <w:tc>
          <w:tcPr>
            <w:tcW w:w="1417" w:type="dxa"/>
            <w:gridSpan w:val="2"/>
            <w:tcBorders>
              <w:top w:val="single" w:sz="4" w:space="0" w:color="auto"/>
              <w:left w:val="single" w:sz="4" w:space="0" w:color="auto"/>
              <w:bottom w:val="single" w:sz="4" w:space="0" w:color="auto"/>
              <w:right w:val="single" w:sz="4" w:space="0" w:color="auto"/>
            </w:tcBorders>
            <w:hideMark/>
          </w:tcPr>
          <w:p w14:paraId="5C4D4A08" w14:textId="77777777" w:rsidR="00D97EBC" w:rsidRPr="00E208C5" w:rsidRDefault="00D97EBC" w:rsidP="000B3BBA">
            <w:pPr>
              <w:pStyle w:val="TableText"/>
              <w:rPr>
                <w:lang w:val="en-AU"/>
              </w:rPr>
            </w:pPr>
            <w:r w:rsidRPr="00E208C5">
              <w:rPr>
                <w:lang w:val="en-AU"/>
              </w:rPr>
              <w:t>-1.5</w:t>
            </w:r>
          </w:p>
        </w:tc>
        <w:tc>
          <w:tcPr>
            <w:tcW w:w="1418" w:type="dxa"/>
            <w:gridSpan w:val="2"/>
            <w:tcBorders>
              <w:top w:val="single" w:sz="4" w:space="0" w:color="auto"/>
              <w:left w:val="single" w:sz="4" w:space="0" w:color="auto"/>
              <w:bottom w:val="single" w:sz="4" w:space="0" w:color="auto"/>
              <w:right w:val="nil"/>
            </w:tcBorders>
            <w:hideMark/>
          </w:tcPr>
          <w:p w14:paraId="1C1DEAB4" w14:textId="77777777" w:rsidR="00D97EBC" w:rsidRPr="00E208C5" w:rsidRDefault="00D97EBC" w:rsidP="000B3BBA">
            <w:pPr>
              <w:pStyle w:val="TableText"/>
              <w:rPr>
                <w:lang w:val="en-AU"/>
              </w:rPr>
            </w:pPr>
            <w:r w:rsidRPr="00E208C5">
              <w:rPr>
                <w:lang w:val="en-AU"/>
              </w:rPr>
              <w:t>-1.8</w:t>
            </w:r>
          </w:p>
        </w:tc>
        <w:tc>
          <w:tcPr>
            <w:tcW w:w="1417" w:type="dxa"/>
            <w:gridSpan w:val="2"/>
            <w:tcBorders>
              <w:top w:val="single" w:sz="4" w:space="0" w:color="auto"/>
              <w:left w:val="single" w:sz="4" w:space="0" w:color="auto"/>
              <w:bottom w:val="single" w:sz="4" w:space="0" w:color="auto"/>
              <w:right w:val="single" w:sz="4" w:space="0" w:color="auto"/>
            </w:tcBorders>
            <w:hideMark/>
          </w:tcPr>
          <w:p w14:paraId="42C1AE0B" w14:textId="77777777" w:rsidR="00D97EBC" w:rsidRPr="00E208C5" w:rsidRDefault="00D97EBC" w:rsidP="000B3BBA">
            <w:pPr>
              <w:pStyle w:val="TableText"/>
              <w:rPr>
                <w:lang w:val="en-AU"/>
              </w:rPr>
            </w:pPr>
            <w:r w:rsidRPr="00E208C5">
              <w:rPr>
                <w:lang w:val="en-AU"/>
              </w:rPr>
              <w:t>-1.1</w:t>
            </w:r>
          </w:p>
        </w:tc>
        <w:tc>
          <w:tcPr>
            <w:tcW w:w="1418" w:type="dxa"/>
            <w:tcBorders>
              <w:top w:val="single" w:sz="4" w:space="0" w:color="auto"/>
              <w:left w:val="single" w:sz="4" w:space="0" w:color="auto"/>
              <w:bottom w:val="single" w:sz="4" w:space="0" w:color="auto"/>
              <w:right w:val="single" w:sz="4" w:space="0" w:color="auto"/>
            </w:tcBorders>
          </w:tcPr>
          <w:p w14:paraId="1B3EADBF" w14:textId="77777777" w:rsidR="00D97EBC" w:rsidRPr="00E208C5" w:rsidRDefault="00D97EBC" w:rsidP="000B3BBA">
            <w:pPr>
              <w:pStyle w:val="TableText"/>
              <w:rPr>
                <w:lang w:val="en-AU"/>
              </w:rPr>
            </w:pPr>
            <w:r w:rsidRPr="00E208C5">
              <w:rPr>
                <w:lang w:val="en-AU"/>
              </w:rPr>
              <w:t>-1.4</w:t>
            </w:r>
          </w:p>
        </w:tc>
      </w:tr>
      <w:tr w:rsidR="00D97EBC" w:rsidRPr="00E208C5" w14:paraId="775F54D0" w14:textId="77777777" w:rsidTr="00D97EBC">
        <w:trPr>
          <w:trHeight w:val="602"/>
        </w:trPr>
        <w:tc>
          <w:tcPr>
            <w:tcW w:w="3510" w:type="dxa"/>
            <w:gridSpan w:val="2"/>
            <w:tcBorders>
              <w:top w:val="single" w:sz="4" w:space="0" w:color="auto"/>
              <w:left w:val="single" w:sz="4" w:space="0" w:color="auto"/>
              <w:bottom w:val="single" w:sz="4" w:space="0" w:color="auto"/>
              <w:right w:val="single" w:sz="4" w:space="0" w:color="auto"/>
            </w:tcBorders>
            <w:hideMark/>
          </w:tcPr>
          <w:p w14:paraId="5945A3B4" w14:textId="77777777" w:rsidR="00D97EBC" w:rsidRPr="00E208C5" w:rsidRDefault="00D97EBC" w:rsidP="000B3BBA">
            <w:pPr>
              <w:pStyle w:val="TableText"/>
              <w:rPr>
                <w:lang w:val="en-AU"/>
              </w:rPr>
            </w:pPr>
            <w:r w:rsidRPr="00E208C5">
              <w:rPr>
                <w:lang w:val="en-AU"/>
              </w:rPr>
              <w:t>Difference from dulaglutide</w:t>
            </w:r>
          </w:p>
          <w:p w14:paraId="5FA622E1" w14:textId="77777777" w:rsidR="00D97EBC" w:rsidRPr="00E208C5" w:rsidRDefault="00D97EBC" w:rsidP="000B3BBA">
            <w:pPr>
              <w:pStyle w:val="TableText"/>
              <w:rPr>
                <w:lang w:val="en-AU"/>
              </w:rPr>
            </w:pPr>
            <w:r w:rsidRPr="00E208C5">
              <w:rPr>
                <w:lang w:val="en-AU"/>
              </w:rPr>
              <w:t xml:space="preserve"> [95% CI]</w:t>
            </w:r>
          </w:p>
        </w:tc>
        <w:tc>
          <w:tcPr>
            <w:tcW w:w="1417" w:type="dxa"/>
            <w:gridSpan w:val="2"/>
            <w:tcBorders>
              <w:top w:val="single" w:sz="4" w:space="0" w:color="auto"/>
              <w:left w:val="single" w:sz="4" w:space="0" w:color="auto"/>
              <w:bottom w:val="single" w:sz="4" w:space="0" w:color="auto"/>
              <w:right w:val="single" w:sz="4" w:space="0" w:color="auto"/>
            </w:tcBorders>
            <w:hideMark/>
          </w:tcPr>
          <w:p w14:paraId="03950090" w14:textId="77777777" w:rsidR="00D97EBC" w:rsidRPr="00E208C5" w:rsidRDefault="00D97EBC" w:rsidP="000B3BBA">
            <w:pPr>
              <w:pStyle w:val="TableText"/>
              <w:rPr>
                <w:lang w:val="en-AU"/>
              </w:rPr>
            </w:pPr>
            <w:r w:rsidRPr="00E208C5">
              <w:rPr>
                <w:lang w:val="en-AU"/>
              </w:rPr>
              <w:t xml:space="preserve">-0.4 </w:t>
            </w:r>
          </w:p>
          <w:p w14:paraId="06433A3B" w14:textId="77777777" w:rsidR="00D97EBC" w:rsidRPr="00E208C5" w:rsidRDefault="00D97EBC" w:rsidP="000B3BBA">
            <w:pPr>
              <w:pStyle w:val="TableText"/>
              <w:rPr>
                <w:lang w:val="en-AU"/>
              </w:rPr>
            </w:pPr>
            <w:r w:rsidRPr="00E208C5">
              <w:rPr>
                <w:lang w:val="en-AU"/>
              </w:rPr>
              <w:t>[-0.6;-0.2]</w:t>
            </w:r>
            <w:proofErr w:type="spellStart"/>
            <w:r w:rsidRPr="00E208C5">
              <w:rPr>
                <w:vertAlign w:val="superscript"/>
                <w:lang w:val="en-AU"/>
              </w:rPr>
              <w:t>a,c</w:t>
            </w:r>
            <w:proofErr w:type="spellEnd"/>
          </w:p>
        </w:tc>
        <w:tc>
          <w:tcPr>
            <w:tcW w:w="1418" w:type="dxa"/>
            <w:gridSpan w:val="2"/>
            <w:tcBorders>
              <w:top w:val="single" w:sz="4" w:space="0" w:color="auto"/>
              <w:left w:val="single" w:sz="4" w:space="0" w:color="auto"/>
              <w:bottom w:val="single" w:sz="4" w:space="0" w:color="auto"/>
              <w:right w:val="nil"/>
            </w:tcBorders>
            <w:hideMark/>
          </w:tcPr>
          <w:p w14:paraId="5C1D9976" w14:textId="77777777" w:rsidR="00D97EBC" w:rsidRPr="00E208C5" w:rsidRDefault="00D97EBC" w:rsidP="000B3BBA">
            <w:pPr>
              <w:pStyle w:val="TableText"/>
              <w:rPr>
                <w:lang w:val="en-AU"/>
              </w:rPr>
            </w:pPr>
            <w:r w:rsidRPr="00E208C5">
              <w:rPr>
                <w:lang w:val="en-AU"/>
              </w:rPr>
              <w:t>-0.4</w:t>
            </w:r>
          </w:p>
          <w:p w14:paraId="76952E43" w14:textId="77777777" w:rsidR="00D97EBC" w:rsidRPr="00E208C5" w:rsidRDefault="00D97EBC" w:rsidP="000B3BBA">
            <w:pPr>
              <w:pStyle w:val="TableText"/>
              <w:rPr>
                <w:lang w:val="en-AU"/>
              </w:rPr>
            </w:pPr>
            <w:r w:rsidRPr="00E208C5">
              <w:rPr>
                <w:lang w:val="en-AU"/>
              </w:rPr>
              <w:t>[-0.6; -0.2]</w:t>
            </w:r>
            <w:proofErr w:type="spellStart"/>
            <w:r w:rsidRPr="00E208C5">
              <w:rPr>
                <w:vertAlign w:val="superscript"/>
                <w:lang w:val="en-AU"/>
              </w:rPr>
              <w:t>a,d</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14:paraId="541CBDD8" w14:textId="77777777" w:rsidR="00D97EBC" w:rsidRPr="00E208C5" w:rsidRDefault="00D97EBC" w:rsidP="000B3BBA">
            <w:pPr>
              <w:pStyle w:val="TableText"/>
              <w:rPr>
                <w:lang w:val="en-AU"/>
              </w:rPr>
            </w:pPr>
            <w:r w:rsidRPr="00E208C5">
              <w:rPr>
                <w:lang w:val="en-AU"/>
              </w:rPr>
              <w:t>-</w:t>
            </w:r>
          </w:p>
        </w:tc>
        <w:tc>
          <w:tcPr>
            <w:tcW w:w="1418" w:type="dxa"/>
            <w:tcBorders>
              <w:top w:val="single" w:sz="4" w:space="0" w:color="auto"/>
              <w:left w:val="single" w:sz="4" w:space="0" w:color="auto"/>
              <w:bottom w:val="single" w:sz="4" w:space="0" w:color="auto"/>
              <w:right w:val="single" w:sz="4" w:space="0" w:color="auto"/>
            </w:tcBorders>
          </w:tcPr>
          <w:p w14:paraId="6DABEAE5" w14:textId="77777777" w:rsidR="00D97EBC" w:rsidRPr="00E208C5" w:rsidRDefault="00D97EBC" w:rsidP="000B3BBA">
            <w:pPr>
              <w:pStyle w:val="TableText"/>
              <w:rPr>
                <w:lang w:val="en-AU"/>
              </w:rPr>
            </w:pPr>
          </w:p>
        </w:tc>
      </w:tr>
      <w:tr w:rsidR="00D97EBC" w:rsidRPr="00E208C5" w14:paraId="5154DD3A" w14:textId="77777777" w:rsidTr="00D97EBC">
        <w:trPr>
          <w:trHeight w:val="108"/>
        </w:trPr>
        <w:tc>
          <w:tcPr>
            <w:tcW w:w="3510" w:type="dxa"/>
            <w:gridSpan w:val="2"/>
            <w:tcBorders>
              <w:top w:val="single" w:sz="4" w:space="0" w:color="auto"/>
              <w:left w:val="single" w:sz="4" w:space="0" w:color="auto"/>
              <w:bottom w:val="single" w:sz="4" w:space="0" w:color="auto"/>
              <w:right w:val="single" w:sz="4" w:space="0" w:color="auto"/>
            </w:tcBorders>
            <w:hideMark/>
          </w:tcPr>
          <w:p w14:paraId="1F45B90F" w14:textId="798B9160" w:rsidR="00D97EBC" w:rsidRPr="00E208C5" w:rsidRDefault="00D97EBC" w:rsidP="00D97EBC">
            <w:pPr>
              <w:pStyle w:val="TableText"/>
              <w:rPr>
                <w:lang w:val="en-AU"/>
              </w:rPr>
            </w:pPr>
            <w:r w:rsidRPr="00E208C5">
              <w:rPr>
                <w:lang w:val="en-AU"/>
              </w:rPr>
              <w:t>Patients (%) achieving HbA</w:t>
            </w:r>
            <w:r w:rsidRPr="00E208C5">
              <w:rPr>
                <w:vertAlign w:val="subscript"/>
                <w:lang w:val="en-AU"/>
              </w:rPr>
              <w:t xml:space="preserve">1c </w:t>
            </w:r>
            <w:r w:rsidRPr="00E208C5">
              <w:rPr>
                <w:lang w:val="en-AU"/>
              </w:rPr>
              <w:t>&lt;7%</w:t>
            </w:r>
          </w:p>
        </w:tc>
        <w:tc>
          <w:tcPr>
            <w:tcW w:w="1417" w:type="dxa"/>
            <w:gridSpan w:val="2"/>
            <w:tcBorders>
              <w:top w:val="single" w:sz="4" w:space="0" w:color="auto"/>
              <w:left w:val="single" w:sz="4" w:space="0" w:color="auto"/>
              <w:bottom w:val="single" w:sz="4" w:space="0" w:color="auto"/>
              <w:right w:val="single" w:sz="4" w:space="0" w:color="auto"/>
            </w:tcBorders>
            <w:hideMark/>
          </w:tcPr>
          <w:p w14:paraId="50D933EA" w14:textId="77777777" w:rsidR="00D97EBC" w:rsidRPr="00E208C5" w:rsidRDefault="00D97EBC" w:rsidP="000B3BBA">
            <w:pPr>
              <w:pStyle w:val="TableText"/>
              <w:rPr>
                <w:lang w:val="en-AU"/>
              </w:rPr>
            </w:pPr>
            <w:r w:rsidRPr="00E208C5">
              <w:rPr>
                <w:lang w:val="en-AU"/>
              </w:rPr>
              <w:t>68</w:t>
            </w:r>
            <w:r w:rsidRPr="00E208C5">
              <w:rPr>
                <w:vertAlign w:val="superscript"/>
                <w:lang w:val="en-AU"/>
              </w:rPr>
              <w:t>b</w:t>
            </w:r>
          </w:p>
        </w:tc>
        <w:tc>
          <w:tcPr>
            <w:tcW w:w="1418" w:type="dxa"/>
            <w:gridSpan w:val="2"/>
            <w:tcBorders>
              <w:top w:val="single" w:sz="4" w:space="0" w:color="auto"/>
              <w:left w:val="single" w:sz="4" w:space="0" w:color="auto"/>
              <w:bottom w:val="single" w:sz="4" w:space="0" w:color="auto"/>
              <w:right w:val="nil"/>
            </w:tcBorders>
            <w:hideMark/>
          </w:tcPr>
          <w:p w14:paraId="37A96C14" w14:textId="77777777" w:rsidR="00D97EBC" w:rsidRPr="00E208C5" w:rsidRDefault="00D97EBC" w:rsidP="000B3BBA">
            <w:pPr>
              <w:pStyle w:val="TableText"/>
              <w:rPr>
                <w:lang w:val="en-AU"/>
              </w:rPr>
            </w:pPr>
            <w:r w:rsidRPr="00E208C5">
              <w:rPr>
                <w:lang w:val="en-AU"/>
              </w:rPr>
              <w:t>79</w:t>
            </w:r>
            <w:r w:rsidRPr="00E208C5">
              <w:rPr>
                <w:vertAlign w:val="superscript"/>
                <w:lang w:val="en-AU"/>
              </w:rPr>
              <w:t>b</w:t>
            </w:r>
          </w:p>
        </w:tc>
        <w:tc>
          <w:tcPr>
            <w:tcW w:w="1417" w:type="dxa"/>
            <w:gridSpan w:val="2"/>
            <w:tcBorders>
              <w:top w:val="single" w:sz="4" w:space="0" w:color="auto"/>
              <w:left w:val="single" w:sz="4" w:space="0" w:color="auto"/>
              <w:bottom w:val="single" w:sz="4" w:space="0" w:color="auto"/>
              <w:right w:val="single" w:sz="4" w:space="0" w:color="auto"/>
            </w:tcBorders>
            <w:hideMark/>
          </w:tcPr>
          <w:p w14:paraId="79A40D75" w14:textId="77777777" w:rsidR="00D97EBC" w:rsidRPr="00E208C5" w:rsidRDefault="00D97EBC" w:rsidP="000B3BBA">
            <w:pPr>
              <w:pStyle w:val="TableText"/>
              <w:rPr>
                <w:lang w:val="en-AU"/>
              </w:rPr>
            </w:pPr>
            <w:r w:rsidRPr="00E208C5">
              <w:rPr>
                <w:lang w:val="en-AU"/>
              </w:rPr>
              <w:t>52</w:t>
            </w:r>
          </w:p>
        </w:tc>
        <w:tc>
          <w:tcPr>
            <w:tcW w:w="1418" w:type="dxa"/>
            <w:tcBorders>
              <w:top w:val="single" w:sz="4" w:space="0" w:color="auto"/>
              <w:left w:val="single" w:sz="4" w:space="0" w:color="auto"/>
              <w:bottom w:val="single" w:sz="4" w:space="0" w:color="auto"/>
              <w:right w:val="single" w:sz="4" w:space="0" w:color="auto"/>
            </w:tcBorders>
          </w:tcPr>
          <w:p w14:paraId="25A54BAC" w14:textId="77777777" w:rsidR="00D97EBC" w:rsidRPr="00E208C5" w:rsidRDefault="00D97EBC" w:rsidP="000B3BBA">
            <w:pPr>
              <w:pStyle w:val="TableText"/>
              <w:rPr>
                <w:lang w:val="en-AU"/>
              </w:rPr>
            </w:pPr>
            <w:r w:rsidRPr="00E208C5">
              <w:rPr>
                <w:lang w:val="en-AU"/>
              </w:rPr>
              <w:t>67</w:t>
            </w:r>
          </w:p>
        </w:tc>
      </w:tr>
      <w:tr w:rsidR="00D97EBC" w:rsidRPr="00E208C5" w14:paraId="52849877" w14:textId="77777777" w:rsidTr="00D97EBC">
        <w:tc>
          <w:tcPr>
            <w:tcW w:w="2018" w:type="dxa"/>
            <w:tcBorders>
              <w:top w:val="single" w:sz="4" w:space="0" w:color="auto"/>
              <w:left w:val="single" w:sz="4" w:space="0" w:color="auto"/>
              <w:bottom w:val="single" w:sz="4" w:space="0" w:color="auto"/>
            </w:tcBorders>
          </w:tcPr>
          <w:p w14:paraId="759A3271" w14:textId="77777777" w:rsidR="00D97EBC" w:rsidRPr="00E208C5" w:rsidRDefault="00D97EBC" w:rsidP="000B3BBA">
            <w:pPr>
              <w:pStyle w:val="TableText"/>
              <w:rPr>
                <w:lang w:val="en-AU"/>
              </w:rPr>
            </w:pPr>
            <w:r w:rsidRPr="00E208C5">
              <w:rPr>
                <w:lang w:val="en-AU"/>
              </w:rPr>
              <w:t>FPG (mmol/l)</w:t>
            </w:r>
          </w:p>
        </w:tc>
        <w:tc>
          <w:tcPr>
            <w:tcW w:w="1790" w:type="dxa"/>
            <w:gridSpan w:val="2"/>
            <w:tcBorders>
              <w:top w:val="single" w:sz="4" w:space="0" w:color="auto"/>
              <w:left w:val="nil"/>
              <w:bottom w:val="single" w:sz="4" w:space="0" w:color="auto"/>
            </w:tcBorders>
          </w:tcPr>
          <w:p w14:paraId="378DFD28" w14:textId="77777777" w:rsidR="00D97EBC" w:rsidRPr="00E208C5" w:rsidRDefault="00D97EBC" w:rsidP="000B3BBA">
            <w:pPr>
              <w:pStyle w:val="TableText"/>
              <w:rPr>
                <w:lang w:val="en-AU"/>
              </w:rPr>
            </w:pPr>
          </w:p>
        </w:tc>
        <w:tc>
          <w:tcPr>
            <w:tcW w:w="1791" w:type="dxa"/>
            <w:gridSpan w:val="2"/>
            <w:tcBorders>
              <w:top w:val="single" w:sz="4" w:space="0" w:color="auto"/>
              <w:left w:val="nil"/>
              <w:bottom w:val="single" w:sz="4" w:space="0" w:color="auto"/>
            </w:tcBorders>
          </w:tcPr>
          <w:p w14:paraId="5D35B4C8" w14:textId="77777777" w:rsidR="00D97EBC" w:rsidRPr="00E208C5" w:rsidRDefault="00D97EBC" w:rsidP="000B3BBA">
            <w:pPr>
              <w:pStyle w:val="TableText"/>
              <w:rPr>
                <w:lang w:val="en-AU"/>
              </w:rPr>
            </w:pPr>
          </w:p>
        </w:tc>
        <w:tc>
          <w:tcPr>
            <w:tcW w:w="1790" w:type="dxa"/>
            <w:gridSpan w:val="2"/>
            <w:tcBorders>
              <w:top w:val="single" w:sz="4" w:space="0" w:color="auto"/>
              <w:left w:val="nil"/>
              <w:bottom w:val="single" w:sz="4" w:space="0" w:color="auto"/>
            </w:tcBorders>
          </w:tcPr>
          <w:p w14:paraId="706540E8" w14:textId="77777777" w:rsidR="00D97EBC" w:rsidRPr="00E208C5" w:rsidRDefault="00D97EBC" w:rsidP="000B3BBA">
            <w:pPr>
              <w:pStyle w:val="TableText"/>
              <w:rPr>
                <w:lang w:val="en-AU"/>
              </w:rPr>
            </w:pPr>
          </w:p>
        </w:tc>
        <w:tc>
          <w:tcPr>
            <w:tcW w:w="1791" w:type="dxa"/>
            <w:gridSpan w:val="2"/>
            <w:tcBorders>
              <w:top w:val="single" w:sz="4" w:space="0" w:color="auto"/>
              <w:left w:val="nil"/>
              <w:bottom w:val="single" w:sz="4" w:space="0" w:color="auto"/>
              <w:right w:val="single" w:sz="4" w:space="0" w:color="auto"/>
            </w:tcBorders>
          </w:tcPr>
          <w:p w14:paraId="777805D4" w14:textId="77777777" w:rsidR="00D97EBC" w:rsidRPr="00E208C5" w:rsidRDefault="00D97EBC" w:rsidP="000B3BBA">
            <w:pPr>
              <w:pStyle w:val="TableText"/>
              <w:rPr>
                <w:lang w:val="en-AU"/>
              </w:rPr>
            </w:pPr>
          </w:p>
        </w:tc>
      </w:tr>
      <w:tr w:rsidR="00D97EBC" w:rsidRPr="00E208C5" w14:paraId="54BFFB41" w14:textId="77777777" w:rsidTr="00D97EBC">
        <w:tc>
          <w:tcPr>
            <w:tcW w:w="3510" w:type="dxa"/>
            <w:gridSpan w:val="2"/>
            <w:tcBorders>
              <w:top w:val="single" w:sz="4" w:space="0" w:color="auto"/>
              <w:left w:val="single" w:sz="4" w:space="0" w:color="auto"/>
              <w:bottom w:val="single" w:sz="4" w:space="0" w:color="auto"/>
              <w:right w:val="single" w:sz="4" w:space="0" w:color="auto"/>
            </w:tcBorders>
          </w:tcPr>
          <w:p w14:paraId="43D9F036" w14:textId="77777777" w:rsidR="00D97EBC" w:rsidRPr="00E208C5" w:rsidRDefault="00D97EBC" w:rsidP="000B3BBA">
            <w:pPr>
              <w:pStyle w:val="TableText"/>
              <w:rPr>
                <w:b/>
                <w:lang w:val="en-AU"/>
              </w:rPr>
            </w:pPr>
            <w:r w:rsidRPr="00E208C5">
              <w:rPr>
                <w:lang w:val="en-AU"/>
              </w:rPr>
              <w:t xml:space="preserve">  Baseline (mean)</w:t>
            </w:r>
          </w:p>
        </w:tc>
        <w:tc>
          <w:tcPr>
            <w:tcW w:w="1417" w:type="dxa"/>
            <w:gridSpan w:val="2"/>
            <w:tcBorders>
              <w:top w:val="single" w:sz="4" w:space="0" w:color="auto"/>
              <w:left w:val="single" w:sz="4" w:space="0" w:color="auto"/>
              <w:bottom w:val="single" w:sz="4" w:space="0" w:color="auto"/>
              <w:right w:val="single" w:sz="4" w:space="0" w:color="auto"/>
            </w:tcBorders>
          </w:tcPr>
          <w:p w14:paraId="1AE11F70" w14:textId="77777777" w:rsidR="00D97EBC" w:rsidRPr="00E208C5" w:rsidRDefault="00D97EBC" w:rsidP="000B3BBA">
            <w:pPr>
              <w:pStyle w:val="TableText"/>
              <w:rPr>
                <w:lang w:val="en-AU"/>
              </w:rPr>
            </w:pPr>
            <w:r w:rsidRPr="00E208C5">
              <w:rPr>
                <w:lang w:val="en-AU"/>
              </w:rPr>
              <w:t>9.8</w:t>
            </w:r>
          </w:p>
        </w:tc>
        <w:tc>
          <w:tcPr>
            <w:tcW w:w="1418" w:type="dxa"/>
            <w:gridSpan w:val="2"/>
            <w:tcBorders>
              <w:top w:val="single" w:sz="4" w:space="0" w:color="auto"/>
              <w:left w:val="single" w:sz="4" w:space="0" w:color="auto"/>
              <w:bottom w:val="single" w:sz="4" w:space="0" w:color="auto"/>
              <w:right w:val="nil"/>
            </w:tcBorders>
          </w:tcPr>
          <w:p w14:paraId="497FBAAB" w14:textId="77777777" w:rsidR="00D97EBC" w:rsidRPr="00E208C5" w:rsidRDefault="00D97EBC" w:rsidP="000B3BBA">
            <w:pPr>
              <w:pStyle w:val="TableText"/>
              <w:rPr>
                <w:lang w:val="en-AU"/>
              </w:rPr>
            </w:pPr>
            <w:r w:rsidRPr="00E208C5">
              <w:rPr>
                <w:lang w:val="en-AU"/>
              </w:rPr>
              <w:t>9.8</w:t>
            </w:r>
          </w:p>
        </w:tc>
        <w:tc>
          <w:tcPr>
            <w:tcW w:w="1417" w:type="dxa"/>
            <w:gridSpan w:val="2"/>
            <w:tcBorders>
              <w:top w:val="single" w:sz="4" w:space="0" w:color="auto"/>
              <w:left w:val="single" w:sz="4" w:space="0" w:color="auto"/>
              <w:bottom w:val="single" w:sz="4" w:space="0" w:color="auto"/>
              <w:right w:val="single" w:sz="4" w:space="0" w:color="auto"/>
            </w:tcBorders>
          </w:tcPr>
          <w:p w14:paraId="442907B0" w14:textId="77777777" w:rsidR="00D97EBC" w:rsidRPr="00E208C5" w:rsidRDefault="00D97EBC" w:rsidP="000B3BBA">
            <w:pPr>
              <w:pStyle w:val="TableText"/>
              <w:rPr>
                <w:lang w:val="en-AU"/>
              </w:rPr>
            </w:pPr>
            <w:r w:rsidRPr="00E208C5">
              <w:rPr>
                <w:lang w:val="en-AU"/>
              </w:rPr>
              <w:t>9.7</w:t>
            </w:r>
          </w:p>
        </w:tc>
        <w:tc>
          <w:tcPr>
            <w:tcW w:w="1418" w:type="dxa"/>
            <w:tcBorders>
              <w:top w:val="single" w:sz="4" w:space="0" w:color="auto"/>
              <w:left w:val="single" w:sz="4" w:space="0" w:color="auto"/>
              <w:bottom w:val="single" w:sz="4" w:space="0" w:color="auto"/>
              <w:right w:val="single" w:sz="4" w:space="0" w:color="auto"/>
            </w:tcBorders>
          </w:tcPr>
          <w:p w14:paraId="7518D568" w14:textId="77777777" w:rsidR="00D97EBC" w:rsidRPr="00E208C5" w:rsidRDefault="00D97EBC" w:rsidP="000B3BBA">
            <w:pPr>
              <w:pStyle w:val="TableText"/>
              <w:rPr>
                <w:lang w:val="en-AU"/>
              </w:rPr>
            </w:pPr>
            <w:r w:rsidRPr="00E208C5">
              <w:rPr>
                <w:lang w:val="en-AU"/>
              </w:rPr>
              <w:t>9.6</w:t>
            </w:r>
          </w:p>
        </w:tc>
      </w:tr>
      <w:tr w:rsidR="00D97EBC" w:rsidRPr="00E208C5" w14:paraId="73C9AFA8" w14:textId="77777777" w:rsidTr="00D97EBC">
        <w:tc>
          <w:tcPr>
            <w:tcW w:w="3510" w:type="dxa"/>
            <w:gridSpan w:val="2"/>
            <w:tcBorders>
              <w:top w:val="single" w:sz="4" w:space="0" w:color="auto"/>
              <w:left w:val="single" w:sz="4" w:space="0" w:color="auto"/>
              <w:bottom w:val="single" w:sz="4" w:space="0" w:color="auto"/>
              <w:right w:val="single" w:sz="4" w:space="0" w:color="auto"/>
            </w:tcBorders>
          </w:tcPr>
          <w:p w14:paraId="6416CBD8" w14:textId="77777777" w:rsidR="00D97EBC" w:rsidRPr="00E208C5" w:rsidRDefault="00D97EBC" w:rsidP="000B3BBA">
            <w:pPr>
              <w:pStyle w:val="TableText"/>
              <w:rPr>
                <w:b/>
                <w:lang w:val="en-AU"/>
              </w:rPr>
            </w:pPr>
            <w:r w:rsidRPr="00E208C5">
              <w:rPr>
                <w:lang w:val="en-AU"/>
              </w:rPr>
              <w:t xml:space="preserve">  Change from baseline at week 40</w:t>
            </w:r>
          </w:p>
        </w:tc>
        <w:tc>
          <w:tcPr>
            <w:tcW w:w="1417" w:type="dxa"/>
            <w:gridSpan w:val="2"/>
            <w:tcBorders>
              <w:top w:val="single" w:sz="4" w:space="0" w:color="auto"/>
              <w:left w:val="single" w:sz="4" w:space="0" w:color="auto"/>
              <w:bottom w:val="single" w:sz="4" w:space="0" w:color="auto"/>
              <w:right w:val="single" w:sz="4" w:space="0" w:color="auto"/>
            </w:tcBorders>
          </w:tcPr>
          <w:p w14:paraId="59971880" w14:textId="77777777" w:rsidR="00D97EBC" w:rsidRPr="00E208C5" w:rsidRDefault="00D97EBC" w:rsidP="000B3BBA">
            <w:pPr>
              <w:pStyle w:val="TableText"/>
              <w:rPr>
                <w:lang w:val="en-AU"/>
              </w:rPr>
            </w:pPr>
            <w:r w:rsidRPr="00E208C5">
              <w:rPr>
                <w:lang w:val="en-AU"/>
              </w:rPr>
              <w:t>-2.2</w:t>
            </w:r>
          </w:p>
        </w:tc>
        <w:tc>
          <w:tcPr>
            <w:tcW w:w="1418" w:type="dxa"/>
            <w:gridSpan w:val="2"/>
            <w:tcBorders>
              <w:top w:val="single" w:sz="4" w:space="0" w:color="auto"/>
              <w:left w:val="single" w:sz="4" w:space="0" w:color="auto"/>
              <w:bottom w:val="single" w:sz="4" w:space="0" w:color="auto"/>
              <w:right w:val="nil"/>
            </w:tcBorders>
          </w:tcPr>
          <w:p w14:paraId="1493CA15" w14:textId="77777777" w:rsidR="00D97EBC" w:rsidRPr="00E208C5" w:rsidRDefault="00D97EBC" w:rsidP="000B3BBA">
            <w:pPr>
              <w:pStyle w:val="TableText"/>
              <w:rPr>
                <w:lang w:val="en-AU"/>
              </w:rPr>
            </w:pPr>
            <w:r w:rsidRPr="00E208C5">
              <w:rPr>
                <w:lang w:val="en-AU"/>
              </w:rPr>
              <w:t>-2.8</w:t>
            </w:r>
          </w:p>
        </w:tc>
        <w:tc>
          <w:tcPr>
            <w:tcW w:w="1417" w:type="dxa"/>
            <w:gridSpan w:val="2"/>
            <w:tcBorders>
              <w:top w:val="single" w:sz="4" w:space="0" w:color="auto"/>
              <w:left w:val="single" w:sz="4" w:space="0" w:color="auto"/>
              <w:bottom w:val="single" w:sz="4" w:space="0" w:color="auto"/>
              <w:right w:val="single" w:sz="4" w:space="0" w:color="auto"/>
            </w:tcBorders>
          </w:tcPr>
          <w:p w14:paraId="04BC4A78" w14:textId="77777777" w:rsidR="00D97EBC" w:rsidRPr="00E208C5" w:rsidRDefault="00D97EBC" w:rsidP="000B3BBA">
            <w:pPr>
              <w:pStyle w:val="TableText"/>
              <w:rPr>
                <w:lang w:val="en-AU"/>
              </w:rPr>
            </w:pPr>
            <w:r w:rsidRPr="00E208C5">
              <w:rPr>
                <w:lang w:val="en-AU"/>
              </w:rPr>
              <w:t>-1.9</w:t>
            </w:r>
          </w:p>
        </w:tc>
        <w:tc>
          <w:tcPr>
            <w:tcW w:w="1418" w:type="dxa"/>
            <w:tcBorders>
              <w:top w:val="single" w:sz="4" w:space="0" w:color="auto"/>
              <w:left w:val="single" w:sz="4" w:space="0" w:color="auto"/>
              <w:bottom w:val="single" w:sz="4" w:space="0" w:color="auto"/>
              <w:right w:val="single" w:sz="4" w:space="0" w:color="auto"/>
            </w:tcBorders>
          </w:tcPr>
          <w:p w14:paraId="468191F8" w14:textId="77777777" w:rsidR="00D97EBC" w:rsidRPr="00E208C5" w:rsidRDefault="00D97EBC" w:rsidP="000B3BBA">
            <w:pPr>
              <w:pStyle w:val="TableText"/>
              <w:rPr>
                <w:lang w:val="en-AU"/>
              </w:rPr>
            </w:pPr>
            <w:r w:rsidRPr="00E208C5">
              <w:rPr>
                <w:lang w:val="en-AU"/>
              </w:rPr>
              <w:t>-2.2</w:t>
            </w:r>
          </w:p>
        </w:tc>
      </w:tr>
      <w:tr w:rsidR="00D97EBC" w:rsidRPr="00E208C5" w14:paraId="6A062069" w14:textId="77777777" w:rsidTr="00D97EBC">
        <w:tc>
          <w:tcPr>
            <w:tcW w:w="3510" w:type="dxa"/>
            <w:gridSpan w:val="2"/>
            <w:tcBorders>
              <w:top w:val="single" w:sz="4" w:space="0" w:color="auto"/>
              <w:left w:val="single" w:sz="4" w:space="0" w:color="auto"/>
              <w:bottom w:val="single" w:sz="4" w:space="0" w:color="auto"/>
              <w:right w:val="single" w:sz="4" w:space="0" w:color="auto"/>
            </w:tcBorders>
          </w:tcPr>
          <w:p w14:paraId="1B64B4B2" w14:textId="77777777" w:rsidR="00D97EBC" w:rsidRPr="00E208C5" w:rsidRDefault="00D97EBC" w:rsidP="000B3BBA">
            <w:pPr>
              <w:pStyle w:val="TableText"/>
              <w:rPr>
                <w:lang w:val="en-AU"/>
              </w:rPr>
            </w:pPr>
            <w:r w:rsidRPr="00E208C5">
              <w:rPr>
                <w:lang w:val="en-AU"/>
              </w:rPr>
              <w:t xml:space="preserve">  Difference from dulaglutide </w:t>
            </w:r>
          </w:p>
          <w:p w14:paraId="0174E377" w14:textId="77777777" w:rsidR="00D97EBC" w:rsidRPr="00E208C5" w:rsidRDefault="00D97EBC" w:rsidP="000B3BBA">
            <w:pPr>
              <w:pStyle w:val="TableText"/>
              <w:rPr>
                <w:bCs/>
                <w:iCs/>
                <w:lang w:val="en-AU"/>
              </w:rPr>
            </w:pPr>
            <w:r w:rsidRPr="00E208C5">
              <w:rPr>
                <w:lang w:val="en-AU"/>
              </w:rPr>
              <w:t xml:space="preserve">  [95% CI]</w:t>
            </w:r>
          </w:p>
        </w:tc>
        <w:tc>
          <w:tcPr>
            <w:tcW w:w="1417" w:type="dxa"/>
            <w:gridSpan w:val="2"/>
            <w:tcBorders>
              <w:top w:val="single" w:sz="4" w:space="0" w:color="auto"/>
              <w:left w:val="single" w:sz="4" w:space="0" w:color="auto"/>
              <w:bottom w:val="single" w:sz="4" w:space="0" w:color="auto"/>
              <w:right w:val="single" w:sz="4" w:space="0" w:color="auto"/>
            </w:tcBorders>
          </w:tcPr>
          <w:p w14:paraId="7C46F4B0" w14:textId="77777777" w:rsidR="00D97EBC" w:rsidRPr="00E208C5" w:rsidRDefault="00D97EBC" w:rsidP="000B3BBA">
            <w:pPr>
              <w:pStyle w:val="TableText"/>
              <w:rPr>
                <w:lang w:val="en-AU"/>
              </w:rPr>
            </w:pPr>
            <w:r w:rsidRPr="00E208C5">
              <w:rPr>
                <w:lang w:val="en-AU"/>
              </w:rPr>
              <w:t>-0.3</w:t>
            </w:r>
          </w:p>
          <w:p w14:paraId="49260770" w14:textId="77777777" w:rsidR="00D97EBC" w:rsidRPr="00E208C5" w:rsidRDefault="00D97EBC" w:rsidP="00D97EBC">
            <w:pPr>
              <w:pStyle w:val="TableText"/>
              <w:rPr>
                <w:vertAlign w:val="superscript"/>
                <w:lang w:val="en-AU"/>
              </w:rPr>
            </w:pPr>
            <w:r w:rsidRPr="00E208C5">
              <w:rPr>
                <w:lang w:val="en-AU"/>
              </w:rPr>
              <w:t>[-0.6;-0.0]</w:t>
            </w:r>
            <w:proofErr w:type="spellStart"/>
            <w:r w:rsidRPr="00E208C5">
              <w:rPr>
                <w:vertAlign w:val="superscript"/>
                <w:lang w:val="en-AU"/>
              </w:rPr>
              <w:t>b,c</w:t>
            </w:r>
            <w:proofErr w:type="spellEnd"/>
          </w:p>
        </w:tc>
        <w:tc>
          <w:tcPr>
            <w:tcW w:w="1418" w:type="dxa"/>
            <w:gridSpan w:val="2"/>
            <w:tcBorders>
              <w:top w:val="single" w:sz="4" w:space="0" w:color="auto"/>
              <w:left w:val="single" w:sz="4" w:space="0" w:color="auto"/>
              <w:bottom w:val="single" w:sz="4" w:space="0" w:color="auto"/>
              <w:right w:val="nil"/>
            </w:tcBorders>
          </w:tcPr>
          <w:p w14:paraId="52F830AC" w14:textId="77777777" w:rsidR="00D97EBC" w:rsidRPr="00E208C5" w:rsidRDefault="00D97EBC" w:rsidP="000B3BBA">
            <w:pPr>
              <w:pStyle w:val="TableText"/>
              <w:rPr>
                <w:lang w:val="en-AU"/>
              </w:rPr>
            </w:pPr>
            <w:r w:rsidRPr="00E208C5">
              <w:rPr>
                <w:lang w:val="en-AU"/>
              </w:rPr>
              <w:t>-0.6</w:t>
            </w:r>
          </w:p>
          <w:p w14:paraId="16702049" w14:textId="77777777" w:rsidR="00D97EBC" w:rsidRPr="00E208C5" w:rsidRDefault="00D97EBC" w:rsidP="00D97EBC">
            <w:pPr>
              <w:pStyle w:val="TableText"/>
              <w:rPr>
                <w:vertAlign w:val="superscript"/>
                <w:lang w:val="en-AU"/>
              </w:rPr>
            </w:pPr>
            <w:r w:rsidRPr="00E208C5">
              <w:rPr>
                <w:lang w:val="en-AU"/>
              </w:rPr>
              <w:t>[-0.9;-0.3]</w:t>
            </w:r>
            <w:proofErr w:type="spellStart"/>
            <w:r w:rsidRPr="00E208C5">
              <w:rPr>
                <w:vertAlign w:val="superscript"/>
                <w:lang w:val="en-AU"/>
              </w:rPr>
              <w:t>b,d</w:t>
            </w:r>
            <w:proofErr w:type="spellEnd"/>
          </w:p>
        </w:tc>
        <w:tc>
          <w:tcPr>
            <w:tcW w:w="1417" w:type="dxa"/>
            <w:gridSpan w:val="2"/>
            <w:tcBorders>
              <w:top w:val="single" w:sz="4" w:space="0" w:color="auto"/>
              <w:left w:val="single" w:sz="4" w:space="0" w:color="auto"/>
              <w:bottom w:val="single" w:sz="4" w:space="0" w:color="auto"/>
              <w:right w:val="single" w:sz="4" w:space="0" w:color="auto"/>
            </w:tcBorders>
          </w:tcPr>
          <w:p w14:paraId="66935647" w14:textId="77777777" w:rsidR="00D97EBC" w:rsidRPr="00E208C5" w:rsidRDefault="00D97EBC" w:rsidP="000B3BBA">
            <w:pPr>
              <w:pStyle w:val="TableText"/>
              <w:rPr>
                <w:lang w:val="en-AU"/>
              </w:rPr>
            </w:pPr>
          </w:p>
        </w:tc>
        <w:tc>
          <w:tcPr>
            <w:tcW w:w="1418" w:type="dxa"/>
            <w:tcBorders>
              <w:top w:val="single" w:sz="4" w:space="0" w:color="auto"/>
              <w:left w:val="single" w:sz="4" w:space="0" w:color="auto"/>
              <w:bottom w:val="single" w:sz="4" w:space="0" w:color="auto"/>
              <w:right w:val="single" w:sz="4" w:space="0" w:color="auto"/>
            </w:tcBorders>
          </w:tcPr>
          <w:p w14:paraId="3D61BFC1" w14:textId="77777777" w:rsidR="00D97EBC" w:rsidRPr="00E208C5" w:rsidRDefault="00D97EBC" w:rsidP="000B3BBA">
            <w:pPr>
              <w:pStyle w:val="TableText"/>
              <w:rPr>
                <w:lang w:val="en-AU"/>
              </w:rPr>
            </w:pPr>
          </w:p>
        </w:tc>
      </w:tr>
      <w:tr w:rsidR="00D97EBC" w:rsidRPr="00E208C5" w14:paraId="5797B0EA" w14:textId="77777777" w:rsidTr="00D97EBC">
        <w:trPr>
          <w:trHeight w:val="193"/>
        </w:trPr>
        <w:tc>
          <w:tcPr>
            <w:tcW w:w="9180" w:type="dxa"/>
            <w:gridSpan w:val="9"/>
            <w:tcBorders>
              <w:top w:val="single" w:sz="4" w:space="0" w:color="auto"/>
              <w:left w:val="single" w:sz="4" w:space="0" w:color="auto"/>
              <w:bottom w:val="single" w:sz="4" w:space="0" w:color="auto"/>
              <w:right w:val="single" w:sz="4" w:space="0" w:color="auto"/>
            </w:tcBorders>
            <w:hideMark/>
          </w:tcPr>
          <w:p w14:paraId="0816390F" w14:textId="77777777" w:rsidR="00D97EBC" w:rsidRPr="00E208C5" w:rsidRDefault="00D97EBC" w:rsidP="000B3BBA">
            <w:pPr>
              <w:pStyle w:val="TableText"/>
              <w:rPr>
                <w:lang w:val="en-AU"/>
              </w:rPr>
            </w:pPr>
            <w:r w:rsidRPr="00E208C5">
              <w:rPr>
                <w:lang w:val="en-AU"/>
              </w:rPr>
              <w:t>Body weight (kg)</w:t>
            </w:r>
          </w:p>
        </w:tc>
      </w:tr>
      <w:tr w:rsidR="00D97EBC" w:rsidRPr="00E208C5" w14:paraId="413A6134" w14:textId="77777777" w:rsidTr="00D97EBC">
        <w:trPr>
          <w:trHeight w:val="182"/>
        </w:trPr>
        <w:tc>
          <w:tcPr>
            <w:tcW w:w="3510" w:type="dxa"/>
            <w:gridSpan w:val="2"/>
            <w:tcBorders>
              <w:top w:val="single" w:sz="4" w:space="0" w:color="auto"/>
              <w:left w:val="single" w:sz="4" w:space="0" w:color="auto"/>
              <w:bottom w:val="single" w:sz="4" w:space="0" w:color="auto"/>
              <w:right w:val="single" w:sz="4" w:space="0" w:color="auto"/>
            </w:tcBorders>
            <w:hideMark/>
          </w:tcPr>
          <w:p w14:paraId="716AF13F" w14:textId="77777777" w:rsidR="00D97EBC" w:rsidRPr="00E208C5" w:rsidRDefault="00D97EBC" w:rsidP="000B3BBA">
            <w:pPr>
              <w:pStyle w:val="TableText"/>
              <w:rPr>
                <w:b/>
                <w:lang w:val="en-AU"/>
              </w:rPr>
            </w:pPr>
            <w:r w:rsidRPr="00E208C5">
              <w:rPr>
                <w:lang w:val="en-AU"/>
              </w:rPr>
              <w:t>Baseline (mean)</w:t>
            </w:r>
          </w:p>
        </w:tc>
        <w:tc>
          <w:tcPr>
            <w:tcW w:w="1417" w:type="dxa"/>
            <w:gridSpan w:val="2"/>
            <w:tcBorders>
              <w:top w:val="single" w:sz="4" w:space="0" w:color="auto"/>
              <w:left w:val="single" w:sz="4" w:space="0" w:color="auto"/>
              <w:bottom w:val="single" w:sz="4" w:space="0" w:color="auto"/>
              <w:right w:val="single" w:sz="4" w:space="0" w:color="auto"/>
            </w:tcBorders>
            <w:hideMark/>
          </w:tcPr>
          <w:p w14:paraId="2EB601D6" w14:textId="77777777" w:rsidR="00D97EBC" w:rsidRPr="00E208C5" w:rsidRDefault="00D97EBC" w:rsidP="000B3BBA">
            <w:pPr>
              <w:pStyle w:val="TableText"/>
              <w:rPr>
                <w:lang w:val="en-AU"/>
              </w:rPr>
            </w:pPr>
            <w:r w:rsidRPr="00E208C5">
              <w:rPr>
                <w:lang w:val="en-AU"/>
              </w:rPr>
              <w:t>96.4</w:t>
            </w:r>
          </w:p>
        </w:tc>
        <w:tc>
          <w:tcPr>
            <w:tcW w:w="1418" w:type="dxa"/>
            <w:gridSpan w:val="2"/>
            <w:tcBorders>
              <w:top w:val="single" w:sz="4" w:space="0" w:color="auto"/>
              <w:left w:val="single" w:sz="4" w:space="0" w:color="auto"/>
              <w:bottom w:val="single" w:sz="4" w:space="0" w:color="auto"/>
              <w:right w:val="nil"/>
            </w:tcBorders>
            <w:hideMark/>
          </w:tcPr>
          <w:p w14:paraId="177143A4" w14:textId="77777777" w:rsidR="00D97EBC" w:rsidRPr="00E208C5" w:rsidRDefault="00D97EBC" w:rsidP="000B3BBA">
            <w:pPr>
              <w:pStyle w:val="TableText"/>
              <w:rPr>
                <w:lang w:val="en-AU"/>
              </w:rPr>
            </w:pPr>
            <w:r w:rsidRPr="00E208C5">
              <w:rPr>
                <w:lang w:val="en-AU"/>
              </w:rPr>
              <w:t>95.5</w:t>
            </w:r>
          </w:p>
        </w:tc>
        <w:tc>
          <w:tcPr>
            <w:tcW w:w="1417" w:type="dxa"/>
            <w:gridSpan w:val="2"/>
            <w:tcBorders>
              <w:top w:val="single" w:sz="4" w:space="0" w:color="auto"/>
              <w:left w:val="single" w:sz="4" w:space="0" w:color="auto"/>
              <w:bottom w:val="single" w:sz="4" w:space="0" w:color="auto"/>
              <w:right w:val="single" w:sz="4" w:space="0" w:color="auto"/>
            </w:tcBorders>
            <w:hideMark/>
          </w:tcPr>
          <w:p w14:paraId="6F3C9655" w14:textId="77777777" w:rsidR="00D97EBC" w:rsidRPr="00E208C5" w:rsidRDefault="00D97EBC" w:rsidP="000B3BBA">
            <w:pPr>
              <w:pStyle w:val="TableText"/>
              <w:rPr>
                <w:lang w:val="en-AU"/>
              </w:rPr>
            </w:pPr>
            <w:r w:rsidRPr="00E208C5">
              <w:rPr>
                <w:lang w:val="en-AU"/>
              </w:rPr>
              <w:t>95.6</w:t>
            </w:r>
          </w:p>
        </w:tc>
        <w:tc>
          <w:tcPr>
            <w:tcW w:w="1418" w:type="dxa"/>
            <w:tcBorders>
              <w:top w:val="single" w:sz="4" w:space="0" w:color="auto"/>
              <w:left w:val="single" w:sz="4" w:space="0" w:color="auto"/>
              <w:bottom w:val="single" w:sz="4" w:space="0" w:color="auto"/>
              <w:right w:val="single" w:sz="4" w:space="0" w:color="auto"/>
            </w:tcBorders>
          </w:tcPr>
          <w:p w14:paraId="02603E15" w14:textId="77777777" w:rsidR="00D97EBC" w:rsidRPr="00E208C5" w:rsidRDefault="00D97EBC" w:rsidP="000B3BBA">
            <w:pPr>
              <w:pStyle w:val="TableText"/>
              <w:rPr>
                <w:lang w:val="en-AU"/>
              </w:rPr>
            </w:pPr>
            <w:r w:rsidRPr="00E208C5">
              <w:rPr>
                <w:lang w:val="en-AU"/>
              </w:rPr>
              <w:t>93.4</w:t>
            </w:r>
          </w:p>
        </w:tc>
      </w:tr>
      <w:tr w:rsidR="00D97EBC" w:rsidRPr="00E208C5" w14:paraId="4DFA8C7D" w14:textId="77777777" w:rsidTr="00D97EBC">
        <w:trPr>
          <w:trHeight w:val="216"/>
        </w:trPr>
        <w:tc>
          <w:tcPr>
            <w:tcW w:w="3510" w:type="dxa"/>
            <w:gridSpan w:val="2"/>
            <w:tcBorders>
              <w:top w:val="single" w:sz="4" w:space="0" w:color="auto"/>
              <w:left w:val="single" w:sz="4" w:space="0" w:color="auto"/>
              <w:bottom w:val="single" w:sz="4" w:space="0" w:color="auto"/>
              <w:right w:val="single" w:sz="4" w:space="0" w:color="auto"/>
            </w:tcBorders>
            <w:hideMark/>
          </w:tcPr>
          <w:p w14:paraId="77AFDCDC" w14:textId="77777777" w:rsidR="00D97EBC" w:rsidRPr="00E208C5" w:rsidRDefault="00D97EBC" w:rsidP="000B3BBA">
            <w:pPr>
              <w:pStyle w:val="TableText"/>
              <w:rPr>
                <w:lang w:val="en-AU"/>
              </w:rPr>
            </w:pPr>
            <w:r w:rsidRPr="00E208C5">
              <w:rPr>
                <w:lang w:val="en-AU"/>
              </w:rPr>
              <w:t>Change from baseline at week 40</w:t>
            </w:r>
          </w:p>
        </w:tc>
        <w:tc>
          <w:tcPr>
            <w:tcW w:w="1417" w:type="dxa"/>
            <w:gridSpan w:val="2"/>
            <w:tcBorders>
              <w:top w:val="single" w:sz="4" w:space="0" w:color="auto"/>
              <w:left w:val="single" w:sz="4" w:space="0" w:color="auto"/>
              <w:bottom w:val="single" w:sz="4" w:space="0" w:color="auto"/>
              <w:right w:val="single" w:sz="4" w:space="0" w:color="auto"/>
            </w:tcBorders>
            <w:hideMark/>
          </w:tcPr>
          <w:p w14:paraId="30B8D404" w14:textId="77777777" w:rsidR="00D97EBC" w:rsidRPr="00E208C5" w:rsidRDefault="00D97EBC" w:rsidP="000B3BBA">
            <w:pPr>
              <w:pStyle w:val="TableText"/>
              <w:rPr>
                <w:lang w:val="en-AU"/>
              </w:rPr>
            </w:pPr>
            <w:r w:rsidRPr="00E208C5">
              <w:rPr>
                <w:lang w:val="en-AU"/>
              </w:rPr>
              <w:t>-4.6</w:t>
            </w:r>
          </w:p>
        </w:tc>
        <w:tc>
          <w:tcPr>
            <w:tcW w:w="1418" w:type="dxa"/>
            <w:gridSpan w:val="2"/>
            <w:tcBorders>
              <w:top w:val="single" w:sz="4" w:space="0" w:color="auto"/>
              <w:left w:val="single" w:sz="4" w:space="0" w:color="auto"/>
              <w:bottom w:val="single" w:sz="4" w:space="0" w:color="auto"/>
              <w:right w:val="nil"/>
            </w:tcBorders>
            <w:hideMark/>
          </w:tcPr>
          <w:p w14:paraId="3DAA6D1A" w14:textId="77777777" w:rsidR="00D97EBC" w:rsidRPr="00E208C5" w:rsidRDefault="00D97EBC" w:rsidP="000B3BBA">
            <w:pPr>
              <w:pStyle w:val="TableText"/>
              <w:rPr>
                <w:lang w:val="en-AU"/>
              </w:rPr>
            </w:pPr>
            <w:r w:rsidRPr="00E208C5">
              <w:rPr>
                <w:lang w:val="en-AU"/>
              </w:rPr>
              <w:t>-6.5</w:t>
            </w:r>
          </w:p>
        </w:tc>
        <w:tc>
          <w:tcPr>
            <w:tcW w:w="1417" w:type="dxa"/>
            <w:gridSpan w:val="2"/>
            <w:tcBorders>
              <w:top w:val="single" w:sz="4" w:space="0" w:color="auto"/>
              <w:left w:val="single" w:sz="4" w:space="0" w:color="auto"/>
              <w:bottom w:val="single" w:sz="4" w:space="0" w:color="auto"/>
              <w:right w:val="single" w:sz="4" w:space="0" w:color="auto"/>
            </w:tcBorders>
            <w:hideMark/>
          </w:tcPr>
          <w:p w14:paraId="4E285B81" w14:textId="77777777" w:rsidR="00D97EBC" w:rsidRPr="00E208C5" w:rsidRDefault="00D97EBC" w:rsidP="000B3BBA">
            <w:pPr>
              <w:pStyle w:val="TableText"/>
              <w:rPr>
                <w:lang w:val="en-AU"/>
              </w:rPr>
            </w:pPr>
            <w:r w:rsidRPr="00E208C5">
              <w:rPr>
                <w:lang w:val="en-AU"/>
              </w:rPr>
              <w:t>-2.3</w:t>
            </w:r>
          </w:p>
        </w:tc>
        <w:tc>
          <w:tcPr>
            <w:tcW w:w="1418" w:type="dxa"/>
            <w:tcBorders>
              <w:top w:val="single" w:sz="4" w:space="0" w:color="auto"/>
              <w:left w:val="single" w:sz="4" w:space="0" w:color="auto"/>
              <w:bottom w:val="single" w:sz="4" w:space="0" w:color="auto"/>
              <w:right w:val="single" w:sz="4" w:space="0" w:color="auto"/>
            </w:tcBorders>
          </w:tcPr>
          <w:p w14:paraId="7D4B54A0" w14:textId="77777777" w:rsidR="00D97EBC" w:rsidRPr="00E208C5" w:rsidRDefault="00D97EBC" w:rsidP="000B3BBA">
            <w:pPr>
              <w:pStyle w:val="TableText"/>
              <w:rPr>
                <w:lang w:val="en-AU"/>
              </w:rPr>
            </w:pPr>
            <w:r w:rsidRPr="00E208C5">
              <w:rPr>
                <w:lang w:val="en-AU"/>
              </w:rPr>
              <w:t>-3.0</w:t>
            </w:r>
          </w:p>
        </w:tc>
      </w:tr>
      <w:tr w:rsidR="00D97EBC" w:rsidRPr="00E208C5" w14:paraId="5651D98B" w14:textId="77777777" w:rsidTr="00D97EBC">
        <w:trPr>
          <w:trHeight w:val="493"/>
        </w:trPr>
        <w:tc>
          <w:tcPr>
            <w:tcW w:w="3510" w:type="dxa"/>
            <w:gridSpan w:val="2"/>
            <w:tcBorders>
              <w:top w:val="single" w:sz="4" w:space="0" w:color="auto"/>
              <w:left w:val="single" w:sz="4" w:space="0" w:color="auto"/>
              <w:bottom w:val="single" w:sz="4" w:space="0" w:color="auto"/>
              <w:right w:val="single" w:sz="4" w:space="0" w:color="auto"/>
            </w:tcBorders>
            <w:hideMark/>
          </w:tcPr>
          <w:p w14:paraId="1FEC75BF" w14:textId="77777777" w:rsidR="00D97EBC" w:rsidRPr="00E208C5" w:rsidRDefault="00D97EBC" w:rsidP="000B3BBA">
            <w:pPr>
              <w:pStyle w:val="TableText"/>
              <w:rPr>
                <w:lang w:val="en-AU"/>
              </w:rPr>
            </w:pPr>
            <w:r w:rsidRPr="00E208C5">
              <w:rPr>
                <w:lang w:val="en-AU"/>
              </w:rPr>
              <w:t>Difference from dulaglutide</w:t>
            </w:r>
          </w:p>
          <w:p w14:paraId="4D6DEE29" w14:textId="77777777" w:rsidR="00D97EBC" w:rsidRPr="00E208C5" w:rsidRDefault="00D97EBC" w:rsidP="000B3BBA">
            <w:pPr>
              <w:pStyle w:val="TableText"/>
              <w:rPr>
                <w:bCs/>
                <w:lang w:val="en-AU"/>
              </w:rPr>
            </w:pPr>
            <w:r w:rsidRPr="00E208C5">
              <w:rPr>
                <w:lang w:val="en-AU"/>
              </w:rPr>
              <w:t xml:space="preserve"> [95% CI]</w:t>
            </w:r>
          </w:p>
        </w:tc>
        <w:tc>
          <w:tcPr>
            <w:tcW w:w="1417" w:type="dxa"/>
            <w:gridSpan w:val="2"/>
            <w:tcBorders>
              <w:top w:val="single" w:sz="4" w:space="0" w:color="auto"/>
              <w:left w:val="single" w:sz="4" w:space="0" w:color="auto"/>
              <w:bottom w:val="single" w:sz="4" w:space="0" w:color="auto"/>
              <w:right w:val="single" w:sz="4" w:space="0" w:color="auto"/>
            </w:tcBorders>
            <w:hideMark/>
          </w:tcPr>
          <w:p w14:paraId="0D568991" w14:textId="77777777" w:rsidR="00D97EBC" w:rsidRPr="00E208C5" w:rsidRDefault="00D97EBC" w:rsidP="000B3BBA">
            <w:pPr>
              <w:pStyle w:val="TableText"/>
              <w:rPr>
                <w:lang w:val="en-AU"/>
              </w:rPr>
            </w:pPr>
            <w:r w:rsidRPr="00E208C5">
              <w:rPr>
                <w:lang w:val="en-AU"/>
              </w:rPr>
              <w:t xml:space="preserve">-2.3 </w:t>
            </w:r>
          </w:p>
          <w:p w14:paraId="4BE83E04" w14:textId="77777777" w:rsidR="00D97EBC" w:rsidRPr="00E208C5" w:rsidRDefault="00D97EBC" w:rsidP="00D97EBC">
            <w:pPr>
              <w:pStyle w:val="TableText"/>
              <w:rPr>
                <w:vertAlign w:val="superscript"/>
                <w:lang w:val="en-AU"/>
              </w:rPr>
            </w:pPr>
            <w:r w:rsidRPr="00E208C5">
              <w:rPr>
                <w:lang w:val="en-AU"/>
              </w:rPr>
              <w:t>[-3.0;-1.5]</w:t>
            </w:r>
            <w:proofErr w:type="spellStart"/>
            <w:r w:rsidRPr="00E208C5">
              <w:rPr>
                <w:vertAlign w:val="superscript"/>
                <w:lang w:val="en-AU"/>
              </w:rPr>
              <w:t>a,c</w:t>
            </w:r>
            <w:proofErr w:type="spellEnd"/>
          </w:p>
        </w:tc>
        <w:tc>
          <w:tcPr>
            <w:tcW w:w="1418" w:type="dxa"/>
            <w:gridSpan w:val="2"/>
            <w:tcBorders>
              <w:top w:val="single" w:sz="4" w:space="0" w:color="auto"/>
              <w:left w:val="single" w:sz="4" w:space="0" w:color="auto"/>
              <w:bottom w:val="single" w:sz="4" w:space="0" w:color="auto"/>
              <w:right w:val="nil"/>
            </w:tcBorders>
            <w:hideMark/>
          </w:tcPr>
          <w:p w14:paraId="279FFE17" w14:textId="77777777" w:rsidR="00D97EBC" w:rsidRPr="00E208C5" w:rsidRDefault="00D97EBC" w:rsidP="000B3BBA">
            <w:pPr>
              <w:pStyle w:val="TableText"/>
              <w:rPr>
                <w:lang w:val="en-AU"/>
              </w:rPr>
            </w:pPr>
            <w:r w:rsidRPr="00E208C5">
              <w:rPr>
                <w:lang w:val="en-AU"/>
              </w:rPr>
              <w:t>-3.5</w:t>
            </w:r>
          </w:p>
          <w:p w14:paraId="3FE37BA4" w14:textId="77777777" w:rsidR="00D97EBC" w:rsidRPr="00E208C5" w:rsidRDefault="00D97EBC" w:rsidP="00D97EBC">
            <w:pPr>
              <w:pStyle w:val="TableText"/>
              <w:rPr>
                <w:vertAlign w:val="superscript"/>
                <w:lang w:val="en-AU"/>
              </w:rPr>
            </w:pPr>
            <w:r w:rsidRPr="00E208C5">
              <w:rPr>
                <w:lang w:val="en-AU"/>
              </w:rPr>
              <w:t>[-4.3;-2.8]</w:t>
            </w:r>
            <w:proofErr w:type="spellStart"/>
            <w:r w:rsidRPr="00E208C5">
              <w:rPr>
                <w:vertAlign w:val="superscript"/>
                <w:lang w:val="en-AU"/>
              </w:rPr>
              <w:t>a,d</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14:paraId="150B20C4" w14:textId="77777777" w:rsidR="00D97EBC" w:rsidRPr="00E208C5" w:rsidRDefault="00D97EBC" w:rsidP="000B3BBA">
            <w:pPr>
              <w:pStyle w:val="TableText"/>
              <w:rPr>
                <w:lang w:val="en-AU"/>
              </w:rPr>
            </w:pPr>
            <w:r w:rsidRPr="00E208C5">
              <w:rPr>
                <w:lang w:val="en-AU"/>
              </w:rPr>
              <w:t>-</w:t>
            </w:r>
          </w:p>
        </w:tc>
        <w:tc>
          <w:tcPr>
            <w:tcW w:w="1418" w:type="dxa"/>
            <w:tcBorders>
              <w:top w:val="single" w:sz="4" w:space="0" w:color="auto"/>
              <w:left w:val="single" w:sz="4" w:space="0" w:color="auto"/>
              <w:bottom w:val="single" w:sz="4" w:space="0" w:color="auto"/>
              <w:right w:val="single" w:sz="4" w:space="0" w:color="auto"/>
            </w:tcBorders>
          </w:tcPr>
          <w:p w14:paraId="66F4BF0A" w14:textId="77777777" w:rsidR="00D97EBC" w:rsidRPr="00E208C5" w:rsidRDefault="00D97EBC" w:rsidP="000B3BBA">
            <w:pPr>
              <w:pStyle w:val="TableText"/>
              <w:rPr>
                <w:lang w:val="en-AU"/>
              </w:rPr>
            </w:pPr>
          </w:p>
        </w:tc>
      </w:tr>
      <w:tr w:rsidR="00D97EBC" w:rsidRPr="00E208C5" w14:paraId="6540FBFD" w14:textId="62A72C90" w:rsidTr="00D97EBC">
        <w:trPr>
          <w:trHeight w:val="271"/>
        </w:trPr>
        <w:tc>
          <w:tcPr>
            <w:tcW w:w="3510" w:type="dxa"/>
            <w:gridSpan w:val="2"/>
            <w:tcBorders>
              <w:top w:val="single" w:sz="4" w:space="0" w:color="auto"/>
              <w:left w:val="single" w:sz="4" w:space="0" w:color="auto"/>
              <w:bottom w:val="single" w:sz="4" w:space="0" w:color="auto"/>
              <w:right w:val="single" w:sz="4" w:space="0" w:color="auto"/>
            </w:tcBorders>
            <w:hideMark/>
          </w:tcPr>
          <w:p w14:paraId="1D138D74" w14:textId="15416150" w:rsidR="00D97EBC" w:rsidRPr="00E208C5" w:rsidRDefault="00D97EBC" w:rsidP="000B3BBA">
            <w:pPr>
              <w:pStyle w:val="TableText"/>
              <w:rPr>
                <w:lang w:val="en-AU"/>
              </w:rPr>
            </w:pPr>
            <w:r w:rsidRPr="00E208C5">
              <w:rPr>
                <w:lang w:val="en-AU"/>
              </w:rPr>
              <w:t>Patients (%) achieving weight loss ≥5%</w:t>
            </w:r>
          </w:p>
        </w:tc>
        <w:tc>
          <w:tcPr>
            <w:tcW w:w="1417" w:type="dxa"/>
            <w:gridSpan w:val="2"/>
            <w:tcBorders>
              <w:top w:val="single" w:sz="4" w:space="0" w:color="auto"/>
              <w:left w:val="single" w:sz="4" w:space="0" w:color="auto"/>
              <w:bottom w:val="single" w:sz="4" w:space="0" w:color="auto"/>
              <w:right w:val="single" w:sz="4" w:space="0" w:color="auto"/>
            </w:tcBorders>
            <w:hideMark/>
          </w:tcPr>
          <w:p w14:paraId="12265A75" w14:textId="1C55E485" w:rsidR="00D97EBC" w:rsidRPr="00E208C5" w:rsidRDefault="00D97EBC" w:rsidP="000B3BBA">
            <w:pPr>
              <w:pStyle w:val="TableText"/>
              <w:rPr>
                <w:lang w:val="en-AU"/>
              </w:rPr>
            </w:pPr>
            <w:r w:rsidRPr="00E208C5">
              <w:rPr>
                <w:lang w:val="en-AU"/>
              </w:rPr>
              <w:t>44</w:t>
            </w:r>
            <w:r w:rsidRPr="00E208C5">
              <w:rPr>
                <w:vertAlign w:val="superscript"/>
                <w:lang w:val="en-AU"/>
              </w:rPr>
              <w:t>b</w:t>
            </w:r>
          </w:p>
        </w:tc>
        <w:tc>
          <w:tcPr>
            <w:tcW w:w="1418" w:type="dxa"/>
            <w:gridSpan w:val="2"/>
            <w:tcBorders>
              <w:top w:val="single" w:sz="4" w:space="0" w:color="auto"/>
              <w:left w:val="single" w:sz="4" w:space="0" w:color="auto"/>
              <w:bottom w:val="single" w:sz="4" w:space="0" w:color="auto"/>
              <w:right w:val="nil"/>
            </w:tcBorders>
            <w:hideMark/>
          </w:tcPr>
          <w:p w14:paraId="646900A3" w14:textId="25F96A86" w:rsidR="00D97EBC" w:rsidRPr="00E208C5" w:rsidRDefault="00D97EBC" w:rsidP="000B3BBA">
            <w:pPr>
              <w:pStyle w:val="TableText"/>
              <w:rPr>
                <w:lang w:val="en-AU"/>
              </w:rPr>
            </w:pPr>
            <w:r w:rsidRPr="00E208C5">
              <w:rPr>
                <w:lang w:val="en-AU"/>
              </w:rPr>
              <w:t>63</w:t>
            </w:r>
            <w:r w:rsidRPr="00E208C5">
              <w:rPr>
                <w:vertAlign w:val="superscript"/>
                <w:lang w:val="en-AU"/>
              </w:rPr>
              <w:t>b</w:t>
            </w:r>
          </w:p>
        </w:tc>
        <w:tc>
          <w:tcPr>
            <w:tcW w:w="1417" w:type="dxa"/>
            <w:gridSpan w:val="2"/>
            <w:tcBorders>
              <w:top w:val="single" w:sz="4" w:space="0" w:color="auto"/>
              <w:left w:val="single" w:sz="4" w:space="0" w:color="auto"/>
              <w:bottom w:val="single" w:sz="4" w:space="0" w:color="auto"/>
              <w:right w:val="single" w:sz="4" w:space="0" w:color="auto"/>
            </w:tcBorders>
            <w:hideMark/>
          </w:tcPr>
          <w:p w14:paraId="2B4A47A8" w14:textId="6C7857B7" w:rsidR="00D97EBC" w:rsidRPr="00E208C5" w:rsidRDefault="00D97EBC" w:rsidP="000B3BBA">
            <w:pPr>
              <w:pStyle w:val="TableText"/>
              <w:rPr>
                <w:lang w:val="en-AU"/>
              </w:rPr>
            </w:pPr>
            <w:r w:rsidRPr="00E208C5">
              <w:rPr>
                <w:lang w:val="en-AU"/>
              </w:rPr>
              <w:t>23</w:t>
            </w:r>
          </w:p>
        </w:tc>
        <w:tc>
          <w:tcPr>
            <w:tcW w:w="1418" w:type="dxa"/>
            <w:tcBorders>
              <w:top w:val="single" w:sz="4" w:space="0" w:color="auto"/>
              <w:left w:val="single" w:sz="4" w:space="0" w:color="auto"/>
              <w:bottom w:val="single" w:sz="4" w:space="0" w:color="auto"/>
              <w:right w:val="single" w:sz="4" w:space="0" w:color="auto"/>
            </w:tcBorders>
          </w:tcPr>
          <w:p w14:paraId="5BABB4B9" w14:textId="5FC9FACB" w:rsidR="00D97EBC" w:rsidRPr="00E208C5" w:rsidRDefault="00D97EBC" w:rsidP="000B3BBA">
            <w:pPr>
              <w:pStyle w:val="TableText"/>
              <w:rPr>
                <w:lang w:val="en-AU"/>
              </w:rPr>
            </w:pPr>
            <w:r w:rsidRPr="00E208C5">
              <w:rPr>
                <w:lang w:val="en-AU"/>
              </w:rPr>
              <w:t>30</w:t>
            </w:r>
          </w:p>
        </w:tc>
      </w:tr>
      <w:tr w:rsidR="00D97EBC" w:rsidRPr="00E208C5" w14:paraId="7C7A729C" w14:textId="739A1578" w:rsidTr="00D97EBC">
        <w:tc>
          <w:tcPr>
            <w:tcW w:w="3510" w:type="dxa"/>
            <w:gridSpan w:val="2"/>
            <w:tcBorders>
              <w:top w:val="single" w:sz="4" w:space="0" w:color="auto"/>
              <w:left w:val="single" w:sz="4" w:space="0" w:color="auto"/>
              <w:bottom w:val="single" w:sz="4" w:space="0" w:color="auto"/>
              <w:right w:val="single" w:sz="4" w:space="0" w:color="auto"/>
            </w:tcBorders>
            <w:hideMark/>
          </w:tcPr>
          <w:p w14:paraId="09101080" w14:textId="426582F4" w:rsidR="00D97EBC" w:rsidRPr="00E208C5" w:rsidRDefault="00D97EBC" w:rsidP="000B3BBA">
            <w:pPr>
              <w:pStyle w:val="TableText"/>
              <w:rPr>
                <w:lang w:val="en-AU"/>
              </w:rPr>
            </w:pPr>
            <w:r w:rsidRPr="00E208C5">
              <w:rPr>
                <w:lang w:val="en-AU"/>
              </w:rPr>
              <w:t>Patients (%) achieving weight loss ≥10%</w:t>
            </w:r>
          </w:p>
        </w:tc>
        <w:tc>
          <w:tcPr>
            <w:tcW w:w="1417" w:type="dxa"/>
            <w:gridSpan w:val="2"/>
            <w:tcBorders>
              <w:top w:val="single" w:sz="4" w:space="0" w:color="auto"/>
              <w:left w:val="single" w:sz="4" w:space="0" w:color="auto"/>
              <w:bottom w:val="single" w:sz="4" w:space="0" w:color="auto"/>
              <w:right w:val="single" w:sz="4" w:space="0" w:color="auto"/>
            </w:tcBorders>
            <w:hideMark/>
          </w:tcPr>
          <w:p w14:paraId="4855AE14" w14:textId="72E7797A" w:rsidR="00D97EBC" w:rsidRPr="00E208C5" w:rsidRDefault="00D97EBC" w:rsidP="000B3BBA">
            <w:pPr>
              <w:pStyle w:val="TableText"/>
              <w:rPr>
                <w:lang w:val="en-AU"/>
              </w:rPr>
            </w:pPr>
            <w:r w:rsidRPr="00E208C5">
              <w:rPr>
                <w:lang w:val="en-AU"/>
              </w:rPr>
              <w:t>14</w:t>
            </w:r>
            <w:r w:rsidRPr="00E208C5">
              <w:rPr>
                <w:vertAlign w:val="superscript"/>
                <w:lang w:val="en-AU"/>
              </w:rPr>
              <w:t>b</w:t>
            </w:r>
          </w:p>
        </w:tc>
        <w:tc>
          <w:tcPr>
            <w:tcW w:w="1418" w:type="dxa"/>
            <w:gridSpan w:val="2"/>
            <w:tcBorders>
              <w:top w:val="single" w:sz="4" w:space="0" w:color="auto"/>
              <w:left w:val="single" w:sz="4" w:space="0" w:color="auto"/>
              <w:bottom w:val="single" w:sz="4" w:space="0" w:color="auto"/>
              <w:right w:val="nil"/>
            </w:tcBorders>
            <w:hideMark/>
          </w:tcPr>
          <w:p w14:paraId="1A041C38" w14:textId="6C1748EB" w:rsidR="00D97EBC" w:rsidRPr="00E208C5" w:rsidRDefault="00D97EBC" w:rsidP="000B3BBA">
            <w:pPr>
              <w:pStyle w:val="TableText"/>
              <w:rPr>
                <w:lang w:val="en-AU"/>
              </w:rPr>
            </w:pPr>
            <w:r w:rsidRPr="00E208C5">
              <w:rPr>
                <w:lang w:val="en-AU"/>
              </w:rPr>
              <w:t>27</w:t>
            </w:r>
            <w:r w:rsidRPr="00E208C5">
              <w:rPr>
                <w:vertAlign w:val="superscript"/>
                <w:lang w:val="en-AU"/>
              </w:rPr>
              <w:t>b</w:t>
            </w:r>
          </w:p>
        </w:tc>
        <w:tc>
          <w:tcPr>
            <w:tcW w:w="1417" w:type="dxa"/>
            <w:gridSpan w:val="2"/>
            <w:tcBorders>
              <w:top w:val="single" w:sz="4" w:space="0" w:color="auto"/>
              <w:left w:val="single" w:sz="4" w:space="0" w:color="auto"/>
              <w:bottom w:val="single" w:sz="4" w:space="0" w:color="auto"/>
              <w:right w:val="single" w:sz="4" w:space="0" w:color="auto"/>
            </w:tcBorders>
            <w:hideMark/>
          </w:tcPr>
          <w:p w14:paraId="2ABB59DA" w14:textId="54555515" w:rsidR="00D97EBC" w:rsidRPr="00E208C5" w:rsidRDefault="00D97EBC" w:rsidP="000B3BBA">
            <w:pPr>
              <w:pStyle w:val="TableText"/>
              <w:rPr>
                <w:lang w:val="en-AU"/>
              </w:rPr>
            </w:pPr>
            <w:r w:rsidRPr="00E208C5">
              <w:rPr>
                <w:lang w:val="en-AU"/>
              </w:rPr>
              <w:t>3</w:t>
            </w:r>
          </w:p>
        </w:tc>
        <w:tc>
          <w:tcPr>
            <w:tcW w:w="1418" w:type="dxa"/>
            <w:tcBorders>
              <w:top w:val="single" w:sz="4" w:space="0" w:color="auto"/>
              <w:left w:val="single" w:sz="4" w:space="0" w:color="auto"/>
              <w:bottom w:val="single" w:sz="4" w:space="0" w:color="auto"/>
              <w:right w:val="single" w:sz="4" w:space="0" w:color="auto"/>
            </w:tcBorders>
          </w:tcPr>
          <w:p w14:paraId="7072BAF0" w14:textId="68ADEE41" w:rsidR="00D97EBC" w:rsidRPr="00E208C5" w:rsidRDefault="00D97EBC" w:rsidP="000B3BBA">
            <w:pPr>
              <w:pStyle w:val="TableText"/>
              <w:rPr>
                <w:lang w:val="en-AU"/>
              </w:rPr>
            </w:pPr>
            <w:r w:rsidRPr="00E208C5">
              <w:rPr>
                <w:lang w:val="en-AU"/>
              </w:rPr>
              <w:t>8</w:t>
            </w:r>
          </w:p>
        </w:tc>
      </w:tr>
    </w:tbl>
    <w:p w14:paraId="008BBA65" w14:textId="77777777" w:rsidR="001A19F4" w:rsidRPr="00E208C5" w:rsidRDefault="001A19F4" w:rsidP="001A19F4">
      <w:pPr>
        <w:spacing w:after="0" w:line="240" w:lineRule="auto"/>
        <w:rPr>
          <w:sz w:val="20"/>
          <w:szCs w:val="20"/>
        </w:rPr>
      </w:pPr>
      <w:r w:rsidRPr="00E208C5">
        <w:rPr>
          <w:sz w:val="20"/>
          <w:szCs w:val="20"/>
          <w:vertAlign w:val="superscript"/>
        </w:rPr>
        <w:t>a</w:t>
      </w:r>
      <w:r w:rsidRPr="00E208C5">
        <w:rPr>
          <w:sz w:val="20"/>
          <w:szCs w:val="20"/>
        </w:rPr>
        <w:t>p &lt;0.0001 ( 2-sided) for superiority, adjusted for multiplicity based on hierarchical testing of HbA</w:t>
      </w:r>
      <w:r w:rsidRPr="00E208C5">
        <w:rPr>
          <w:sz w:val="20"/>
          <w:szCs w:val="20"/>
          <w:vertAlign w:val="subscript"/>
        </w:rPr>
        <w:t>1c</w:t>
      </w:r>
      <w:r w:rsidRPr="00E208C5">
        <w:rPr>
          <w:sz w:val="20"/>
          <w:szCs w:val="20"/>
        </w:rPr>
        <w:t xml:space="preserve"> and body weight</w:t>
      </w:r>
    </w:p>
    <w:p w14:paraId="0B7A6194" w14:textId="77777777" w:rsidR="001A19F4" w:rsidRPr="00E208C5" w:rsidRDefault="001A19F4" w:rsidP="001A19F4">
      <w:pPr>
        <w:rPr>
          <w:sz w:val="20"/>
          <w:szCs w:val="20"/>
        </w:rPr>
      </w:pPr>
      <w:r w:rsidRPr="00E208C5">
        <w:rPr>
          <w:sz w:val="20"/>
          <w:szCs w:val="20"/>
          <w:vertAlign w:val="superscript"/>
        </w:rPr>
        <w:t>b</w:t>
      </w:r>
      <w:r w:rsidRPr="00E208C5">
        <w:rPr>
          <w:sz w:val="20"/>
          <w:szCs w:val="20"/>
        </w:rPr>
        <w:t xml:space="preserve">p &lt;0.001 for treatment difference, unadjusted for multiplicity                                                                                       </w:t>
      </w:r>
      <w:proofErr w:type="spellStart"/>
      <w:r w:rsidRPr="00E208C5">
        <w:rPr>
          <w:sz w:val="20"/>
          <w:szCs w:val="20"/>
          <w:vertAlign w:val="superscript"/>
        </w:rPr>
        <w:t>c</w:t>
      </w:r>
      <w:r w:rsidRPr="00E208C5">
        <w:rPr>
          <w:sz w:val="20"/>
          <w:szCs w:val="20"/>
        </w:rPr>
        <w:t>Ozempic</w:t>
      </w:r>
      <w:proofErr w:type="spellEnd"/>
      <w:r w:rsidRPr="00E208C5">
        <w:rPr>
          <w:sz w:val="20"/>
          <w:szCs w:val="20"/>
          <w:vertAlign w:val="superscript"/>
        </w:rPr>
        <w:t>®</w:t>
      </w:r>
      <w:r w:rsidRPr="00E208C5">
        <w:rPr>
          <w:sz w:val="20"/>
          <w:szCs w:val="20"/>
        </w:rPr>
        <w:t xml:space="preserve"> 0.5 mg vs. </w:t>
      </w:r>
      <w:proofErr w:type="spellStart"/>
      <w:r w:rsidRPr="00E208C5">
        <w:rPr>
          <w:sz w:val="20"/>
          <w:szCs w:val="20"/>
        </w:rPr>
        <w:t>dulaglutide</w:t>
      </w:r>
      <w:proofErr w:type="spellEnd"/>
      <w:r w:rsidRPr="00E208C5">
        <w:rPr>
          <w:sz w:val="20"/>
          <w:szCs w:val="20"/>
        </w:rPr>
        <w:t xml:space="preserve"> 0.75 mg                                                                                                                         </w:t>
      </w:r>
      <w:proofErr w:type="spellStart"/>
      <w:r w:rsidRPr="00E208C5">
        <w:rPr>
          <w:sz w:val="20"/>
          <w:szCs w:val="20"/>
          <w:vertAlign w:val="superscript"/>
        </w:rPr>
        <w:t>d</w:t>
      </w:r>
      <w:r w:rsidRPr="00E208C5">
        <w:rPr>
          <w:sz w:val="20"/>
          <w:szCs w:val="20"/>
        </w:rPr>
        <w:t>Ozempic</w:t>
      </w:r>
      <w:proofErr w:type="spellEnd"/>
      <w:r w:rsidRPr="00E208C5">
        <w:rPr>
          <w:sz w:val="20"/>
          <w:szCs w:val="20"/>
          <w:vertAlign w:val="superscript"/>
        </w:rPr>
        <w:t>®</w:t>
      </w:r>
      <w:r w:rsidRPr="00E208C5">
        <w:rPr>
          <w:sz w:val="20"/>
          <w:szCs w:val="20"/>
        </w:rPr>
        <w:t xml:space="preserve"> 1 mg vs. dulaglutide 1.5 mg</w:t>
      </w:r>
    </w:p>
    <w:bookmarkStart w:id="65" w:name="_MON_1577286328"/>
    <w:bookmarkEnd w:id="65"/>
    <w:p w14:paraId="70FE16AC" w14:textId="77777777" w:rsidR="00D97EBC" w:rsidRPr="00FC4CA6" w:rsidRDefault="001A19F4" w:rsidP="00D97EBC">
      <w:pPr>
        <w:rPr>
          <w:b/>
          <w:sz w:val="22"/>
          <w:szCs w:val="22"/>
        </w:rPr>
      </w:pPr>
      <w:r w:rsidRPr="00FC4CA6">
        <w:rPr>
          <w:b/>
          <w:sz w:val="22"/>
          <w:szCs w:val="22"/>
        </w:rPr>
        <w:object w:dxaOrig="4523" w:dyaOrig="3192" w14:anchorId="36A66AC7">
          <v:shape id="_x0000_i1031" type="#_x0000_t75" style="width:227.25pt;height:159.65pt" o:ole="" filled="t">
            <v:imagedata r:id="rId22" o:title=""/>
          </v:shape>
          <o:OLEObject Type="Embed" ProgID="Word.Document.12" ShapeID="_x0000_i1031" DrawAspect="Content" ObjectID="_1668440533" r:id="rId23">
            <o:FieldCodes>\s</o:FieldCodes>
          </o:OLEObject>
        </w:object>
      </w:r>
    </w:p>
    <w:bookmarkStart w:id="66" w:name="_MON_1577286219"/>
    <w:bookmarkEnd w:id="66"/>
    <w:p w14:paraId="5EB8BAC2" w14:textId="77777777" w:rsidR="001A19F4" w:rsidRPr="00FC4CA6" w:rsidRDefault="001A19F4" w:rsidP="00D97EBC">
      <w:pPr>
        <w:rPr>
          <w:b/>
          <w:sz w:val="22"/>
          <w:szCs w:val="22"/>
        </w:rPr>
      </w:pPr>
      <w:r w:rsidRPr="00FC4CA6">
        <w:rPr>
          <w:b/>
          <w:sz w:val="22"/>
          <w:szCs w:val="22"/>
        </w:rPr>
        <w:object w:dxaOrig="4479" w:dyaOrig="3152" w14:anchorId="295B2511">
          <v:shape id="_x0000_i1032" type="#_x0000_t75" style="width:224.15pt;height:157.15pt" o:ole="" filled="t">
            <v:imagedata r:id="rId24" o:title=""/>
          </v:shape>
          <o:OLEObject Type="Embed" ProgID="Word.Document.12" ShapeID="_x0000_i1032" DrawAspect="Content" ObjectID="_1668440534" r:id="rId25">
            <o:FieldCodes>\s</o:FieldCodes>
          </o:OLEObject>
        </w:object>
      </w:r>
    </w:p>
    <w:p w14:paraId="6FE186DB" w14:textId="63C68DB7" w:rsidR="001A19F4" w:rsidRPr="00FC4CA6" w:rsidRDefault="001A19F4" w:rsidP="00D97EBC">
      <w:pPr>
        <w:rPr>
          <w:b/>
        </w:rPr>
      </w:pPr>
      <w:bookmarkStart w:id="67" w:name="_Ref508880982"/>
      <w:bookmarkStart w:id="68" w:name="_Toc506554273"/>
      <w:bookmarkStart w:id="69" w:name="_Toc514933322"/>
      <w:bookmarkStart w:id="70" w:name="_Toc514933437"/>
      <w:r w:rsidRPr="00FC4CA6">
        <w:rPr>
          <w:b/>
        </w:rPr>
        <w:t>Figure</w:t>
      </w:r>
      <w:r w:rsidRPr="00E208C5">
        <w:rPr>
          <w:b/>
        </w:rPr>
        <w:t xml:space="preserve"> </w:t>
      </w:r>
      <w:r w:rsidRPr="00FC4CA6">
        <w:rPr>
          <w:b/>
        </w:rPr>
        <w:fldChar w:fldCharType="begin"/>
      </w:r>
      <w:r w:rsidRPr="00E208C5">
        <w:rPr>
          <w:b/>
        </w:rPr>
        <w:instrText xml:space="preserve"> SEQ Figure \* ARABIC \s 1 </w:instrText>
      </w:r>
      <w:r w:rsidRPr="00FC4CA6">
        <w:rPr>
          <w:b/>
        </w:rPr>
        <w:fldChar w:fldCharType="separate"/>
      </w:r>
      <w:r w:rsidR="003F4E02" w:rsidRPr="00FC4CA6">
        <w:rPr>
          <w:b/>
          <w:noProof/>
        </w:rPr>
        <w:t>6</w:t>
      </w:r>
      <w:r w:rsidRPr="00FC4CA6">
        <w:rPr>
          <w:b/>
        </w:rPr>
        <w:fldChar w:fldCharType="end"/>
      </w:r>
      <w:bookmarkEnd w:id="67"/>
      <w:r w:rsidRPr="00FC4CA6">
        <w:rPr>
          <w:b/>
        </w:rPr>
        <w:t>: Mean change in HbA</w:t>
      </w:r>
      <w:r w:rsidRPr="00FC4CA6">
        <w:rPr>
          <w:b/>
          <w:vertAlign w:val="subscript"/>
        </w:rPr>
        <w:t>1c</w:t>
      </w:r>
      <w:r w:rsidRPr="00E208C5">
        <w:rPr>
          <w:b/>
        </w:rPr>
        <w:t xml:space="preserve"> (%) and body weight (kg) from baseline to week 40</w:t>
      </w:r>
      <w:bookmarkEnd w:id="68"/>
      <w:bookmarkEnd w:id="69"/>
      <w:bookmarkEnd w:id="70"/>
    </w:p>
    <w:p w14:paraId="39FF6C5B" w14:textId="77777777" w:rsidR="001A19F4" w:rsidRPr="00AA4520" w:rsidRDefault="001A19F4" w:rsidP="00BA57A4">
      <w:pPr>
        <w:spacing w:after="0" w:line="240" w:lineRule="auto"/>
        <w:rPr>
          <w:bCs/>
        </w:rPr>
      </w:pPr>
      <w:r w:rsidRPr="00BA57A4">
        <w:rPr>
          <w:i/>
          <w:iCs/>
        </w:rPr>
        <w:t xml:space="preserve">SUSTAIN 3 </w:t>
      </w:r>
      <w:r w:rsidRPr="00BA57A4">
        <w:rPr>
          <w:bCs/>
          <w:i/>
          <w:iCs/>
        </w:rPr>
        <w:t xml:space="preserve">– </w:t>
      </w:r>
      <w:proofErr w:type="spellStart"/>
      <w:r w:rsidRPr="00BA57A4">
        <w:rPr>
          <w:bCs/>
          <w:i/>
          <w:iCs/>
        </w:rPr>
        <w:t>Ozempic</w:t>
      </w:r>
      <w:proofErr w:type="spellEnd"/>
      <w:r w:rsidRPr="00BA57A4">
        <w:rPr>
          <w:bCs/>
          <w:i/>
          <w:iCs/>
        </w:rPr>
        <w:t xml:space="preserve"> vs. exenatide ER both in </w:t>
      </w:r>
      <w:r w:rsidRPr="00BA57A4">
        <w:rPr>
          <w:i/>
          <w:iCs/>
        </w:rPr>
        <w:t>combination with metformin or metformin with sulfonylurea</w:t>
      </w:r>
    </w:p>
    <w:p w14:paraId="16ECAF03" w14:textId="53378277" w:rsidR="001A19F4" w:rsidRPr="00FC4CA6" w:rsidRDefault="001A19F4" w:rsidP="001A19F4">
      <w:r w:rsidRPr="00E208C5">
        <w:t xml:space="preserve">In a 56-week open-label trial, 813 patients on metformin alone (49%), metformin with sulfonylurea (45%) or other (6%) were randomised to </w:t>
      </w:r>
      <w:proofErr w:type="spellStart"/>
      <w:r w:rsidRPr="00E208C5">
        <w:t>Ozempic</w:t>
      </w:r>
      <w:proofErr w:type="spellEnd"/>
      <w:r w:rsidRPr="00E208C5">
        <w:t xml:space="preserve"> 1 mg or </w:t>
      </w:r>
      <w:proofErr w:type="spellStart"/>
      <w:r w:rsidRPr="00E208C5">
        <w:t>exenatide</w:t>
      </w:r>
      <w:proofErr w:type="spellEnd"/>
      <w:r w:rsidRPr="00E208C5">
        <w:t xml:space="preserve"> ER 2.0 mg</w:t>
      </w:r>
      <w:r w:rsidR="0080230D" w:rsidRPr="00E208C5">
        <w:t xml:space="preserve"> each administered once-weekly</w:t>
      </w:r>
      <w:r w:rsidRPr="00FC4CA6">
        <w:t>. Patients had a mean age of 57 years and a mean duration of type 2 diabetes of 9 years. There were 84% White patients, 7% were Black or African-American and 2% were Asian. For ethnicity, 24% of patients (n=197) were Hispanic or Latino. Mean BMI was 34 kg/m</w:t>
      </w:r>
      <w:r w:rsidRPr="00E208C5">
        <w:rPr>
          <w:vertAlign w:val="superscript"/>
        </w:rPr>
        <w:t>2</w:t>
      </w:r>
      <w:r w:rsidRPr="00E208C5">
        <w:t>.</w:t>
      </w:r>
    </w:p>
    <w:p w14:paraId="2F7EEDE5" w14:textId="1394F908" w:rsidR="006C13DB" w:rsidRPr="00FC4CA6" w:rsidRDefault="006C13DB" w:rsidP="0028075D">
      <w:pPr>
        <w:keepNext/>
        <w:rPr>
          <w:b/>
          <w:bCs/>
        </w:rPr>
      </w:pPr>
      <w:bookmarkStart w:id="71" w:name="_Ref509297377"/>
      <w:bookmarkStart w:id="72" w:name="_Toc506554424"/>
      <w:bookmarkStart w:id="73" w:name="_Toc514933348"/>
      <w:bookmarkStart w:id="74" w:name="_Toc514933431"/>
      <w:r w:rsidRPr="00FC4CA6">
        <w:rPr>
          <w:b/>
          <w:bCs/>
        </w:rPr>
        <w:lastRenderedPageBreak/>
        <w:t xml:space="preserve">Table </w:t>
      </w:r>
      <w:r w:rsidRPr="00FC4CA6">
        <w:rPr>
          <w:b/>
          <w:bCs/>
        </w:rPr>
        <w:fldChar w:fldCharType="begin"/>
      </w:r>
      <w:r w:rsidRPr="00E208C5">
        <w:rPr>
          <w:b/>
          <w:bCs/>
        </w:rPr>
        <w:instrText xml:space="preserve"> SEQ Table \* ARABIC \s 1 </w:instrText>
      </w:r>
      <w:r w:rsidRPr="00FC4CA6">
        <w:rPr>
          <w:b/>
          <w:bCs/>
        </w:rPr>
        <w:fldChar w:fldCharType="separate"/>
      </w:r>
      <w:r w:rsidR="003F4E02" w:rsidRPr="00FC4CA6">
        <w:rPr>
          <w:b/>
          <w:bCs/>
          <w:noProof/>
        </w:rPr>
        <w:t>6</w:t>
      </w:r>
      <w:r w:rsidRPr="00FC4CA6">
        <w:fldChar w:fldCharType="end"/>
      </w:r>
      <w:bookmarkEnd w:id="71"/>
      <w:r w:rsidRPr="00FC4CA6">
        <w:t xml:space="preserve">: </w:t>
      </w:r>
      <w:r w:rsidRPr="00FC4CA6">
        <w:rPr>
          <w:b/>
          <w:bCs/>
        </w:rPr>
        <w:t xml:space="preserve">Results of a 56 week trial of </w:t>
      </w:r>
      <w:proofErr w:type="spellStart"/>
      <w:r w:rsidRPr="00FC4CA6">
        <w:rPr>
          <w:b/>
          <w:bCs/>
        </w:rPr>
        <w:t>Ozempic</w:t>
      </w:r>
      <w:proofErr w:type="spellEnd"/>
      <w:r w:rsidRPr="00FC4CA6">
        <w:rPr>
          <w:b/>
          <w:bCs/>
        </w:rPr>
        <w:t xml:space="preserve"> versus </w:t>
      </w:r>
      <w:proofErr w:type="spellStart"/>
      <w:r w:rsidRPr="00FC4CA6">
        <w:rPr>
          <w:b/>
          <w:bCs/>
        </w:rPr>
        <w:t>exenatide</w:t>
      </w:r>
      <w:proofErr w:type="spellEnd"/>
      <w:r w:rsidRPr="00FC4CA6">
        <w:rPr>
          <w:b/>
          <w:bCs/>
        </w:rPr>
        <w:t xml:space="preserve"> ER (SUSTAIN 3)</w:t>
      </w:r>
      <w:bookmarkEnd w:id="72"/>
      <w:bookmarkEnd w:id="73"/>
      <w:bookmarkEnd w:id="74"/>
    </w:p>
    <w:tbl>
      <w:tblPr>
        <w:tblW w:w="9180"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219"/>
        <w:gridCol w:w="2480"/>
        <w:gridCol w:w="2481"/>
      </w:tblGrid>
      <w:tr w:rsidR="006C13DB" w:rsidRPr="00E208C5" w14:paraId="26FC9FC3" w14:textId="77777777" w:rsidTr="006C13DB">
        <w:trPr>
          <w:trHeight w:val="520"/>
        </w:trPr>
        <w:tc>
          <w:tcPr>
            <w:tcW w:w="4219" w:type="dxa"/>
            <w:tcBorders>
              <w:top w:val="single" w:sz="4" w:space="0" w:color="auto"/>
              <w:left w:val="single" w:sz="4" w:space="0" w:color="auto"/>
              <w:bottom w:val="single" w:sz="4" w:space="0" w:color="auto"/>
              <w:right w:val="single" w:sz="4" w:space="0" w:color="auto"/>
            </w:tcBorders>
          </w:tcPr>
          <w:p w14:paraId="33792D54" w14:textId="77777777" w:rsidR="006C13DB" w:rsidRPr="00E208C5" w:rsidRDefault="006C13DB" w:rsidP="000B3BBA">
            <w:pPr>
              <w:pStyle w:val="TableText"/>
              <w:rPr>
                <w:lang w:val="en-AU"/>
              </w:rPr>
            </w:pPr>
          </w:p>
        </w:tc>
        <w:tc>
          <w:tcPr>
            <w:tcW w:w="24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CCBFC3" w14:textId="77777777" w:rsidR="006C13DB" w:rsidRPr="00E208C5" w:rsidRDefault="006C13DB" w:rsidP="000B3BBA">
            <w:pPr>
              <w:pStyle w:val="TableText"/>
              <w:rPr>
                <w:b/>
                <w:lang w:val="en-AU"/>
              </w:rPr>
            </w:pPr>
            <w:proofErr w:type="spellStart"/>
            <w:r w:rsidRPr="00E208C5">
              <w:rPr>
                <w:b/>
                <w:lang w:val="en-AU"/>
              </w:rPr>
              <w:t>Ozempic</w:t>
            </w:r>
            <w:proofErr w:type="spellEnd"/>
          </w:p>
          <w:p w14:paraId="2BE58A49" w14:textId="77777777" w:rsidR="006C13DB" w:rsidRPr="00E208C5" w:rsidRDefault="006C13DB" w:rsidP="000B3BBA">
            <w:pPr>
              <w:pStyle w:val="TableText"/>
              <w:rPr>
                <w:b/>
                <w:lang w:val="en-AU"/>
              </w:rPr>
            </w:pPr>
            <w:r w:rsidRPr="00E208C5">
              <w:rPr>
                <w:b/>
                <w:lang w:val="en-AU"/>
              </w:rPr>
              <w:t>1 mg</w:t>
            </w:r>
          </w:p>
        </w:tc>
        <w:tc>
          <w:tcPr>
            <w:tcW w:w="2481" w:type="dxa"/>
            <w:tcBorders>
              <w:top w:val="single" w:sz="4" w:space="0" w:color="auto"/>
              <w:left w:val="single" w:sz="4" w:space="0" w:color="auto"/>
              <w:bottom w:val="single" w:sz="4" w:space="0" w:color="auto"/>
              <w:right w:val="single" w:sz="4" w:space="0" w:color="auto"/>
            </w:tcBorders>
            <w:hideMark/>
          </w:tcPr>
          <w:p w14:paraId="1FF6E252" w14:textId="77777777" w:rsidR="006C13DB" w:rsidRPr="00E208C5" w:rsidRDefault="006C13DB" w:rsidP="000B3BBA">
            <w:pPr>
              <w:pStyle w:val="TableText"/>
              <w:rPr>
                <w:b/>
                <w:lang w:val="en-AU"/>
              </w:rPr>
            </w:pPr>
            <w:r w:rsidRPr="00E208C5">
              <w:rPr>
                <w:b/>
                <w:lang w:val="en-AU"/>
              </w:rPr>
              <w:t>Exenatide ER</w:t>
            </w:r>
          </w:p>
          <w:p w14:paraId="5D55286C" w14:textId="77777777" w:rsidR="006C13DB" w:rsidRPr="00E208C5" w:rsidRDefault="006C13DB" w:rsidP="000B3BBA">
            <w:pPr>
              <w:pStyle w:val="TableText"/>
              <w:rPr>
                <w:b/>
                <w:lang w:val="en-AU"/>
              </w:rPr>
            </w:pPr>
            <w:r w:rsidRPr="00E208C5">
              <w:rPr>
                <w:b/>
                <w:lang w:val="en-AU"/>
              </w:rPr>
              <w:t>2.0 mg</w:t>
            </w:r>
          </w:p>
        </w:tc>
      </w:tr>
      <w:tr w:rsidR="006C13DB" w:rsidRPr="00E208C5" w14:paraId="19EA4889" w14:textId="77777777" w:rsidTr="006C13DB">
        <w:trPr>
          <w:trHeight w:val="290"/>
        </w:trPr>
        <w:tc>
          <w:tcPr>
            <w:tcW w:w="4219" w:type="dxa"/>
            <w:tcBorders>
              <w:top w:val="single" w:sz="4" w:space="0" w:color="auto"/>
              <w:left w:val="single" w:sz="4" w:space="0" w:color="auto"/>
              <w:bottom w:val="single" w:sz="4" w:space="0" w:color="auto"/>
              <w:right w:val="single" w:sz="4" w:space="0" w:color="auto"/>
            </w:tcBorders>
          </w:tcPr>
          <w:p w14:paraId="4489BE3A" w14:textId="77777777" w:rsidR="006C13DB" w:rsidRPr="00E208C5" w:rsidRDefault="006C13DB" w:rsidP="000B3BBA">
            <w:pPr>
              <w:pStyle w:val="TableText"/>
              <w:rPr>
                <w:lang w:val="en-AU"/>
              </w:rPr>
            </w:pPr>
            <w:r w:rsidRPr="00E208C5">
              <w:rPr>
                <w:lang w:val="en-AU"/>
              </w:rPr>
              <w:t>Intent-to-Treat (ITT) Population (N)</w:t>
            </w:r>
          </w:p>
        </w:tc>
        <w:tc>
          <w:tcPr>
            <w:tcW w:w="24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3538E5C" w14:textId="77777777" w:rsidR="006C13DB" w:rsidRPr="00E208C5" w:rsidRDefault="006C13DB" w:rsidP="000B3BBA">
            <w:pPr>
              <w:pStyle w:val="TableText"/>
              <w:rPr>
                <w:lang w:val="en-AU"/>
              </w:rPr>
            </w:pPr>
            <w:r w:rsidRPr="00E208C5">
              <w:rPr>
                <w:lang w:val="en-AU"/>
              </w:rPr>
              <w:t>404</w:t>
            </w:r>
          </w:p>
        </w:tc>
        <w:tc>
          <w:tcPr>
            <w:tcW w:w="2481" w:type="dxa"/>
            <w:tcBorders>
              <w:top w:val="single" w:sz="4" w:space="0" w:color="auto"/>
              <w:left w:val="single" w:sz="4" w:space="0" w:color="auto"/>
              <w:bottom w:val="single" w:sz="4" w:space="0" w:color="auto"/>
              <w:right w:val="single" w:sz="4" w:space="0" w:color="auto"/>
            </w:tcBorders>
          </w:tcPr>
          <w:p w14:paraId="678950B6" w14:textId="77777777" w:rsidR="006C13DB" w:rsidRPr="00E208C5" w:rsidRDefault="006C13DB" w:rsidP="000B3BBA">
            <w:pPr>
              <w:pStyle w:val="TableText"/>
              <w:rPr>
                <w:lang w:val="en-AU"/>
              </w:rPr>
            </w:pPr>
            <w:r w:rsidRPr="00E208C5">
              <w:rPr>
                <w:lang w:val="en-AU"/>
              </w:rPr>
              <w:t>405</w:t>
            </w:r>
          </w:p>
        </w:tc>
      </w:tr>
      <w:tr w:rsidR="006C13DB" w:rsidRPr="00E208C5" w14:paraId="7104F9BF" w14:textId="77777777" w:rsidTr="006C13DB">
        <w:trPr>
          <w:trHeight w:val="225"/>
        </w:trPr>
        <w:tc>
          <w:tcPr>
            <w:tcW w:w="4219" w:type="dxa"/>
            <w:tcBorders>
              <w:top w:val="single" w:sz="4" w:space="0" w:color="auto"/>
              <w:left w:val="single" w:sz="4" w:space="0" w:color="auto"/>
              <w:bottom w:val="single" w:sz="4" w:space="0" w:color="auto"/>
              <w:right w:val="nil"/>
            </w:tcBorders>
            <w:hideMark/>
          </w:tcPr>
          <w:p w14:paraId="4BED7142" w14:textId="77777777" w:rsidR="006C13DB" w:rsidRPr="00E208C5" w:rsidRDefault="006C13DB" w:rsidP="000B3BBA">
            <w:pPr>
              <w:pStyle w:val="TableText"/>
              <w:rPr>
                <w:i/>
                <w:lang w:val="en-AU"/>
              </w:rPr>
            </w:pPr>
            <w:r w:rsidRPr="00E208C5">
              <w:rPr>
                <w:lang w:val="en-AU"/>
              </w:rPr>
              <w:t>HbA</w:t>
            </w:r>
            <w:r w:rsidRPr="00E208C5">
              <w:rPr>
                <w:vertAlign w:val="subscript"/>
                <w:lang w:val="en-AU"/>
              </w:rPr>
              <w:t xml:space="preserve">1c </w:t>
            </w:r>
            <w:r w:rsidRPr="00E208C5">
              <w:rPr>
                <w:lang w:val="en-AU"/>
              </w:rPr>
              <w:t>(%)</w:t>
            </w:r>
          </w:p>
        </w:tc>
        <w:tc>
          <w:tcPr>
            <w:tcW w:w="2480" w:type="dxa"/>
            <w:tcBorders>
              <w:top w:val="single" w:sz="4" w:space="0" w:color="auto"/>
              <w:left w:val="nil"/>
              <w:bottom w:val="single" w:sz="4" w:space="0" w:color="auto"/>
              <w:right w:val="nil"/>
            </w:tcBorders>
          </w:tcPr>
          <w:p w14:paraId="6F1EC15F" w14:textId="77777777" w:rsidR="006C13DB" w:rsidRPr="00E208C5" w:rsidRDefault="006C13DB" w:rsidP="000B3BBA">
            <w:pPr>
              <w:pStyle w:val="TableText"/>
              <w:rPr>
                <w:lang w:val="en-AU"/>
              </w:rPr>
            </w:pPr>
          </w:p>
        </w:tc>
        <w:tc>
          <w:tcPr>
            <w:tcW w:w="2481" w:type="dxa"/>
            <w:tcBorders>
              <w:top w:val="single" w:sz="4" w:space="0" w:color="auto"/>
              <w:left w:val="nil"/>
              <w:bottom w:val="single" w:sz="4" w:space="0" w:color="auto"/>
              <w:right w:val="single" w:sz="4" w:space="0" w:color="auto"/>
            </w:tcBorders>
          </w:tcPr>
          <w:p w14:paraId="09ED55E5" w14:textId="77777777" w:rsidR="006C13DB" w:rsidRPr="00E208C5" w:rsidRDefault="006C13DB" w:rsidP="000B3BBA">
            <w:pPr>
              <w:pStyle w:val="TableText"/>
              <w:rPr>
                <w:lang w:val="en-AU"/>
              </w:rPr>
            </w:pPr>
          </w:p>
        </w:tc>
      </w:tr>
      <w:tr w:rsidR="006C13DB" w:rsidRPr="00E208C5" w14:paraId="3D89E6FA" w14:textId="77777777" w:rsidTr="006C13DB">
        <w:trPr>
          <w:trHeight w:val="204"/>
        </w:trPr>
        <w:tc>
          <w:tcPr>
            <w:tcW w:w="4219" w:type="dxa"/>
            <w:tcBorders>
              <w:top w:val="single" w:sz="4" w:space="0" w:color="auto"/>
              <w:left w:val="single" w:sz="4" w:space="0" w:color="auto"/>
              <w:bottom w:val="single" w:sz="4" w:space="0" w:color="auto"/>
              <w:right w:val="single" w:sz="4" w:space="0" w:color="auto"/>
            </w:tcBorders>
            <w:hideMark/>
          </w:tcPr>
          <w:p w14:paraId="66EE0022" w14:textId="77777777" w:rsidR="006C13DB" w:rsidRPr="00E208C5" w:rsidRDefault="006C13DB" w:rsidP="000B3BBA">
            <w:pPr>
              <w:pStyle w:val="TableText"/>
              <w:rPr>
                <w:b/>
                <w:bCs/>
                <w:lang w:val="en-AU"/>
              </w:rPr>
            </w:pPr>
            <w:r w:rsidRPr="00E208C5">
              <w:rPr>
                <w:lang w:val="en-AU"/>
              </w:rPr>
              <w:t>Baseline (mean)</w:t>
            </w:r>
          </w:p>
        </w:tc>
        <w:tc>
          <w:tcPr>
            <w:tcW w:w="2480" w:type="dxa"/>
            <w:tcBorders>
              <w:top w:val="single" w:sz="4" w:space="0" w:color="auto"/>
              <w:left w:val="single" w:sz="4" w:space="0" w:color="auto"/>
              <w:bottom w:val="single" w:sz="4" w:space="0" w:color="auto"/>
              <w:right w:val="single" w:sz="4" w:space="0" w:color="auto"/>
            </w:tcBorders>
            <w:hideMark/>
          </w:tcPr>
          <w:p w14:paraId="5387F9FB" w14:textId="77777777" w:rsidR="006C13DB" w:rsidRPr="00E208C5" w:rsidRDefault="006C13DB" w:rsidP="000B3BBA">
            <w:pPr>
              <w:pStyle w:val="TableText"/>
              <w:rPr>
                <w:lang w:val="en-AU"/>
              </w:rPr>
            </w:pPr>
            <w:r w:rsidRPr="00E208C5">
              <w:rPr>
                <w:lang w:val="en-AU"/>
              </w:rPr>
              <w:t>8.4</w:t>
            </w:r>
          </w:p>
        </w:tc>
        <w:tc>
          <w:tcPr>
            <w:tcW w:w="2481" w:type="dxa"/>
            <w:tcBorders>
              <w:top w:val="single" w:sz="4" w:space="0" w:color="auto"/>
              <w:left w:val="single" w:sz="4" w:space="0" w:color="auto"/>
              <w:bottom w:val="single" w:sz="4" w:space="0" w:color="auto"/>
              <w:right w:val="single" w:sz="4" w:space="0" w:color="auto"/>
            </w:tcBorders>
            <w:hideMark/>
          </w:tcPr>
          <w:p w14:paraId="228E0606" w14:textId="77777777" w:rsidR="006C13DB" w:rsidRPr="00E208C5" w:rsidRDefault="006C13DB" w:rsidP="000B3BBA">
            <w:pPr>
              <w:pStyle w:val="TableText"/>
              <w:rPr>
                <w:lang w:val="en-AU"/>
              </w:rPr>
            </w:pPr>
            <w:r w:rsidRPr="00E208C5">
              <w:rPr>
                <w:lang w:val="en-AU"/>
              </w:rPr>
              <w:t>8.3</w:t>
            </w:r>
          </w:p>
        </w:tc>
      </w:tr>
      <w:tr w:rsidR="006C13DB" w:rsidRPr="00E208C5" w14:paraId="28C76EF7" w14:textId="77777777" w:rsidTr="006C13DB">
        <w:trPr>
          <w:trHeight w:val="204"/>
        </w:trPr>
        <w:tc>
          <w:tcPr>
            <w:tcW w:w="4219" w:type="dxa"/>
            <w:tcBorders>
              <w:top w:val="single" w:sz="4" w:space="0" w:color="auto"/>
              <w:left w:val="single" w:sz="4" w:space="0" w:color="auto"/>
              <w:bottom w:val="single" w:sz="4" w:space="0" w:color="auto"/>
              <w:right w:val="single" w:sz="4" w:space="0" w:color="auto"/>
            </w:tcBorders>
            <w:hideMark/>
          </w:tcPr>
          <w:p w14:paraId="6E6ED3A4" w14:textId="77777777" w:rsidR="006C13DB" w:rsidRPr="00E208C5" w:rsidRDefault="006C13DB" w:rsidP="000B3BBA">
            <w:pPr>
              <w:pStyle w:val="TableText"/>
              <w:rPr>
                <w:lang w:val="en-AU"/>
              </w:rPr>
            </w:pPr>
            <w:r w:rsidRPr="00E208C5">
              <w:rPr>
                <w:lang w:val="en-AU"/>
              </w:rPr>
              <w:t>Change from baseline week 56</w:t>
            </w:r>
          </w:p>
        </w:tc>
        <w:tc>
          <w:tcPr>
            <w:tcW w:w="2480" w:type="dxa"/>
            <w:tcBorders>
              <w:top w:val="single" w:sz="4" w:space="0" w:color="auto"/>
              <w:left w:val="single" w:sz="4" w:space="0" w:color="auto"/>
              <w:bottom w:val="single" w:sz="4" w:space="0" w:color="auto"/>
              <w:right w:val="single" w:sz="4" w:space="0" w:color="auto"/>
            </w:tcBorders>
            <w:hideMark/>
          </w:tcPr>
          <w:p w14:paraId="2CBA3E14" w14:textId="77777777" w:rsidR="006C13DB" w:rsidRPr="00E208C5" w:rsidRDefault="006C13DB" w:rsidP="000B3BBA">
            <w:pPr>
              <w:pStyle w:val="TableText"/>
              <w:rPr>
                <w:lang w:val="en-AU"/>
              </w:rPr>
            </w:pPr>
            <w:r w:rsidRPr="00E208C5">
              <w:rPr>
                <w:lang w:val="en-AU"/>
              </w:rPr>
              <w:t>-1.5</w:t>
            </w:r>
          </w:p>
        </w:tc>
        <w:tc>
          <w:tcPr>
            <w:tcW w:w="2481" w:type="dxa"/>
            <w:tcBorders>
              <w:top w:val="single" w:sz="4" w:space="0" w:color="auto"/>
              <w:left w:val="single" w:sz="4" w:space="0" w:color="auto"/>
              <w:bottom w:val="single" w:sz="4" w:space="0" w:color="auto"/>
              <w:right w:val="single" w:sz="4" w:space="0" w:color="auto"/>
            </w:tcBorders>
            <w:hideMark/>
          </w:tcPr>
          <w:p w14:paraId="7FEC56B6" w14:textId="77777777" w:rsidR="006C13DB" w:rsidRPr="00E208C5" w:rsidRDefault="006C13DB" w:rsidP="000B3BBA">
            <w:pPr>
              <w:pStyle w:val="TableText"/>
              <w:rPr>
                <w:lang w:val="en-AU"/>
              </w:rPr>
            </w:pPr>
            <w:r w:rsidRPr="00E208C5">
              <w:rPr>
                <w:lang w:val="en-AU"/>
              </w:rPr>
              <w:t>-0.9</w:t>
            </w:r>
          </w:p>
        </w:tc>
      </w:tr>
      <w:tr w:rsidR="006C13DB" w:rsidRPr="00E208C5" w14:paraId="641E2E0B" w14:textId="77777777" w:rsidTr="006C13DB">
        <w:trPr>
          <w:trHeight w:val="602"/>
        </w:trPr>
        <w:tc>
          <w:tcPr>
            <w:tcW w:w="4219" w:type="dxa"/>
            <w:tcBorders>
              <w:top w:val="single" w:sz="4" w:space="0" w:color="auto"/>
              <w:left w:val="single" w:sz="4" w:space="0" w:color="auto"/>
              <w:bottom w:val="single" w:sz="4" w:space="0" w:color="auto"/>
              <w:right w:val="single" w:sz="4" w:space="0" w:color="auto"/>
            </w:tcBorders>
            <w:hideMark/>
          </w:tcPr>
          <w:p w14:paraId="05F8D479" w14:textId="77777777" w:rsidR="006C13DB" w:rsidRPr="00E208C5" w:rsidRDefault="006C13DB" w:rsidP="000B3BBA">
            <w:pPr>
              <w:pStyle w:val="TableText"/>
              <w:rPr>
                <w:lang w:val="en-AU"/>
              </w:rPr>
            </w:pPr>
            <w:r w:rsidRPr="00E208C5">
              <w:rPr>
                <w:lang w:val="en-AU"/>
              </w:rPr>
              <w:t>Difference from exenatide ER</w:t>
            </w:r>
          </w:p>
          <w:p w14:paraId="35FBD829" w14:textId="77777777" w:rsidR="006C13DB" w:rsidRPr="00E208C5" w:rsidRDefault="006C13DB" w:rsidP="000B3BBA">
            <w:pPr>
              <w:pStyle w:val="TableText"/>
              <w:rPr>
                <w:lang w:val="en-AU"/>
              </w:rPr>
            </w:pPr>
            <w:r w:rsidRPr="00E208C5">
              <w:rPr>
                <w:lang w:val="en-AU"/>
              </w:rPr>
              <w:t xml:space="preserve"> [95% CI]</w:t>
            </w:r>
          </w:p>
        </w:tc>
        <w:tc>
          <w:tcPr>
            <w:tcW w:w="2480" w:type="dxa"/>
            <w:tcBorders>
              <w:top w:val="single" w:sz="4" w:space="0" w:color="auto"/>
              <w:left w:val="single" w:sz="4" w:space="0" w:color="auto"/>
              <w:bottom w:val="single" w:sz="4" w:space="0" w:color="auto"/>
              <w:right w:val="single" w:sz="4" w:space="0" w:color="auto"/>
            </w:tcBorders>
            <w:hideMark/>
          </w:tcPr>
          <w:p w14:paraId="19A06B32" w14:textId="77777777" w:rsidR="006C13DB" w:rsidRPr="00E208C5" w:rsidRDefault="006C13DB" w:rsidP="000B3BBA">
            <w:pPr>
              <w:pStyle w:val="TableText"/>
              <w:rPr>
                <w:lang w:val="en-AU"/>
              </w:rPr>
            </w:pPr>
            <w:r w:rsidRPr="00E208C5">
              <w:rPr>
                <w:lang w:val="en-AU"/>
              </w:rPr>
              <w:t>-0.6</w:t>
            </w:r>
          </w:p>
          <w:p w14:paraId="3A3D2FE3" w14:textId="77777777" w:rsidR="006C13DB" w:rsidRPr="00E208C5" w:rsidRDefault="006C13DB" w:rsidP="000B3BBA">
            <w:pPr>
              <w:pStyle w:val="TableText"/>
              <w:rPr>
                <w:vertAlign w:val="superscript"/>
                <w:lang w:val="en-AU"/>
              </w:rPr>
            </w:pPr>
            <w:r w:rsidRPr="00E208C5">
              <w:rPr>
                <w:lang w:val="en-AU"/>
              </w:rPr>
              <w:t>[-0.8; -0.4]</w:t>
            </w:r>
            <w:r w:rsidRPr="00E208C5">
              <w:rPr>
                <w:vertAlign w:val="superscript"/>
                <w:lang w:val="en-AU"/>
              </w:rPr>
              <w:t>a</w:t>
            </w:r>
          </w:p>
        </w:tc>
        <w:tc>
          <w:tcPr>
            <w:tcW w:w="2481" w:type="dxa"/>
            <w:tcBorders>
              <w:top w:val="single" w:sz="4" w:space="0" w:color="auto"/>
              <w:left w:val="single" w:sz="4" w:space="0" w:color="auto"/>
              <w:bottom w:val="single" w:sz="4" w:space="0" w:color="auto"/>
              <w:right w:val="single" w:sz="4" w:space="0" w:color="auto"/>
            </w:tcBorders>
            <w:hideMark/>
          </w:tcPr>
          <w:p w14:paraId="5862DF52" w14:textId="77777777" w:rsidR="006C13DB" w:rsidRPr="00E208C5" w:rsidRDefault="006C13DB" w:rsidP="000B3BBA">
            <w:pPr>
              <w:pStyle w:val="TableText"/>
              <w:rPr>
                <w:lang w:val="en-AU"/>
              </w:rPr>
            </w:pPr>
            <w:r w:rsidRPr="00E208C5">
              <w:rPr>
                <w:lang w:val="en-AU"/>
              </w:rPr>
              <w:t>-</w:t>
            </w:r>
          </w:p>
        </w:tc>
      </w:tr>
      <w:tr w:rsidR="006C13DB" w:rsidRPr="00E208C5" w14:paraId="4B4FE8AB" w14:textId="77777777" w:rsidTr="006C13DB">
        <w:trPr>
          <w:trHeight w:val="108"/>
        </w:trPr>
        <w:tc>
          <w:tcPr>
            <w:tcW w:w="4219" w:type="dxa"/>
            <w:tcBorders>
              <w:top w:val="single" w:sz="4" w:space="0" w:color="auto"/>
              <w:left w:val="single" w:sz="4" w:space="0" w:color="auto"/>
              <w:bottom w:val="single" w:sz="4" w:space="0" w:color="auto"/>
              <w:right w:val="single" w:sz="4" w:space="0" w:color="auto"/>
            </w:tcBorders>
            <w:hideMark/>
          </w:tcPr>
          <w:p w14:paraId="74D9535B" w14:textId="77777777" w:rsidR="006C13DB" w:rsidRPr="00E208C5" w:rsidRDefault="006C13DB" w:rsidP="006C13DB">
            <w:pPr>
              <w:pStyle w:val="TableText"/>
              <w:rPr>
                <w:lang w:val="en-AU"/>
              </w:rPr>
            </w:pPr>
            <w:r w:rsidRPr="00E208C5">
              <w:rPr>
                <w:lang w:val="en-AU"/>
              </w:rPr>
              <w:t>Patients (%) achieving HbA</w:t>
            </w:r>
            <w:r w:rsidRPr="00E208C5">
              <w:rPr>
                <w:vertAlign w:val="subscript"/>
                <w:lang w:val="en-AU"/>
              </w:rPr>
              <w:t>1c</w:t>
            </w:r>
            <w:r w:rsidRPr="00E208C5">
              <w:rPr>
                <w:lang w:val="en-AU"/>
              </w:rPr>
              <w:t xml:space="preserve"> &lt;7%</w:t>
            </w:r>
          </w:p>
        </w:tc>
        <w:tc>
          <w:tcPr>
            <w:tcW w:w="2480" w:type="dxa"/>
            <w:tcBorders>
              <w:top w:val="single" w:sz="4" w:space="0" w:color="auto"/>
              <w:left w:val="single" w:sz="4" w:space="0" w:color="auto"/>
              <w:bottom w:val="single" w:sz="4" w:space="0" w:color="auto"/>
              <w:right w:val="single" w:sz="4" w:space="0" w:color="auto"/>
            </w:tcBorders>
            <w:hideMark/>
          </w:tcPr>
          <w:p w14:paraId="505FB175" w14:textId="77777777" w:rsidR="006C13DB" w:rsidRPr="00E208C5" w:rsidRDefault="006C13DB" w:rsidP="000B3BBA">
            <w:pPr>
              <w:pStyle w:val="TableText"/>
              <w:rPr>
                <w:lang w:val="en-AU"/>
              </w:rPr>
            </w:pPr>
            <w:r w:rsidRPr="00E208C5">
              <w:rPr>
                <w:lang w:val="en-AU"/>
              </w:rPr>
              <w:t>67</w:t>
            </w:r>
            <w:r w:rsidRPr="00E208C5">
              <w:rPr>
                <w:vertAlign w:val="superscript"/>
                <w:lang w:val="en-AU"/>
              </w:rPr>
              <w:t>b</w:t>
            </w:r>
          </w:p>
        </w:tc>
        <w:tc>
          <w:tcPr>
            <w:tcW w:w="2481" w:type="dxa"/>
            <w:tcBorders>
              <w:top w:val="single" w:sz="4" w:space="0" w:color="auto"/>
              <w:left w:val="single" w:sz="4" w:space="0" w:color="auto"/>
              <w:bottom w:val="single" w:sz="4" w:space="0" w:color="auto"/>
              <w:right w:val="single" w:sz="4" w:space="0" w:color="auto"/>
            </w:tcBorders>
            <w:hideMark/>
          </w:tcPr>
          <w:p w14:paraId="0227C8D3" w14:textId="77777777" w:rsidR="006C13DB" w:rsidRPr="00E208C5" w:rsidRDefault="006C13DB" w:rsidP="000B3BBA">
            <w:pPr>
              <w:pStyle w:val="TableText"/>
              <w:rPr>
                <w:lang w:val="en-AU"/>
              </w:rPr>
            </w:pPr>
            <w:r w:rsidRPr="00E208C5">
              <w:rPr>
                <w:lang w:val="en-AU"/>
              </w:rPr>
              <w:t>40</w:t>
            </w:r>
          </w:p>
        </w:tc>
      </w:tr>
      <w:tr w:rsidR="006C13DB" w:rsidRPr="00E208C5" w14:paraId="6CEFC218" w14:textId="5F8997B1" w:rsidTr="006C13DB">
        <w:tc>
          <w:tcPr>
            <w:tcW w:w="4219" w:type="dxa"/>
            <w:tcBorders>
              <w:top w:val="single" w:sz="4" w:space="0" w:color="auto"/>
              <w:left w:val="single" w:sz="4" w:space="0" w:color="auto"/>
              <w:bottom w:val="single" w:sz="4" w:space="0" w:color="auto"/>
              <w:right w:val="single" w:sz="4" w:space="0" w:color="auto"/>
            </w:tcBorders>
            <w:hideMark/>
          </w:tcPr>
          <w:p w14:paraId="539DD3CB" w14:textId="4BAFFCD3" w:rsidR="006C13DB" w:rsidRPr="00E208C5" w:rsidRDefault="006C13DB" w:rsidP="006C13DB">
            <w:pPr>
              <w:pStyle w:val="TableText"/>
              <w:rPr>
                <w:lang w:val="en-AU"/>
              </w:rPr>
            </w:pPr>
            <w:r w:rsidRPr="00E208C5">
              <w:rPr>
                <w:lang w:val="en-AU"/>
              </w:rPr>
              <w:t>Patients (%) achieving HbA</w:t>
            </w:r>
            <w:r w:rsidRPr="00E208C5">
              <w:rPr>
                <w:vertAlign w:val="subscript"/>
                <w:lang w:val="en-AU"/>
              </w:rPr>
              <w:t>1c</w:t>
            </w:r>
            <w:r w:rsidRPr="00E208C5">
              <w:rPr>
                <w:lang w:val="en-AU"/>
              </w:rPr>
              <w:t xml:space="preserve"> ≤6.5%</w:t>
            </w:r>
          </w:p>
        </w:tc>
        <w:tc>
          <w:tcPr>
            <w:tcW w:w="2480" w:type="dxa"/>
            <w:tcBorders>
              <w:top w:val="single" w:sz="4" w:space="0" w:color="auto"/>
              <w:left w:val="single" w:sz="4" w:space="0" w:color="auto"/>
              <w:bottom w:val="single" w:sz="4" w:space="0" w:color="auto"/>
              <w:right w:val="single" w:sz="4" w:space="0" w:color="auto"/>
            </w:tcBorders>
            <w:hideMark/>
          </w:tcPr>
          <w:p w14:paraId="68D30443" w14:textId="7427656A" w:rsidR="006C13DB" w:rsidRPr="00E208C5" w:rsidRDefault="006C13DB" w:rsidP="000B3BBA">
            <w:pPr>
              <w:pStyle w:val="TableText"/>
              <w:rPr>
                <w:lang w:val="en-AU"/>
              </w:rPr>
            </w:pPr>
            <w:r w:rsidRPr="00E208C5">
              <w:rPr>
                <w:lang w:val="en-AU"/>
              </w:rPr>
              <w:t>47</w:t>
            </w:r>
            <w:r w:rsidRPr="00E208C5">
              <w:rPr>
                <w:vertAlign w:val="superscript"/>
                <w:lang w:val="en-AU"/>
              </w:rPr>
              <w:t>b</w:t>
            </w:r>
          </w:p>
        </w:tc>
        <w:tc>
          <w:tcPr>
            <w:tcW w:w="2481" w:type="dxa"/>
            <w:tcBorders>
              <w:top w:val="single" w:sz="4" w:space="0" w:color="auto"/>
              <w:left w:val="single" w:sz="4" w:space="0" w:color="auto"/>
              <w:bottom w:val="single" w:sz="4" w:space="0" w:color="auto"/>
              <w:right w:val="single" w:sz="4" w:space="0" w:color="auto"/>
            </w:tcBorders>
            <w:hideMark/>
          </w:tcPr>
          <w:p w14:paraId="02575F4D" w14:textId="266A8553" w:rsidR="006C13DB" w:rsidRPr="00E208C5" w:rsidRDefault="006C13DB" w:rsidP="000B3BBA">
            <w:pPr>
              <w:pStyle w:val="TableText"/>
              <w:rPr>
                <w:lang w:val="en-AU"/>
              </w:rPr>
            </w:pPr>
            <w:r w:rsidRPr="00E208C5">
              <w:rPr>
                <w:lang w:val="en-AU"/>
              </w:rPr>
              <w:t>22</w:t>
            </w:r>
          </w:p>
        </w:tc>
      </w:tr>
      <w:tr w:rsidR="006C13DB" w:rsidRPr="00E208C5" w14:paraId="2E01BED7" w14:textId="77777777" w:rsidTr="006C13DB">
        <w:tc>
          <w:tcPr>
            <w:tcW w:w="9180" w:type="dxa"/>
            <w:gridSpan w:val="3"/>
            <w:tcBorders>
              <w:top w:val="single" w:sz="4" w:space="0" w:color="auto"/>
              <w:left w:val="single" w:sz="4" w:space="0" w:color="auto"/>
              <w:bottom w:val="single" w:sz="4" w:space="0" w:color="auto"/>
              <w:right w:val="single" w:sz="4" w:space="0" w:color="auto"/>
            </w:tcBorders>
          </w:tcPr>
          <w:p w14:paraId="44F60A9B" w14:textId="77777777" w:rsidR="006C13DB" w:rsidRPr="00E208C5" w:rsidRDefault="006C13DB" w:rsidP="000B3BBA">
            <w:pPr>
              <w:pStyle w:val="TableText"/>
              <w:rPr>
                <w:lang w:val="en-AU"/>
              </w:rPr>
            </w:pPr>
            <w:r w:rsidRPr="00E208C5">
              <w:rPr>
                <w:lang w:val="en-AU"/>
              </w:rPr>
              <w:t>FPG (mmol/l)</w:t>
            </w:r>
          </w:p>
        </w:tc>
      </w:tr>
      <w:tr w:rsidR="006C13DB" w:rsidRPr="00E208C5" w14:paraId="48A4E486" w14:textId="77777777" w:rsidTr="006C13DB">
        <w:tc>
          <w:tcPr>
            <w:tcW w:w="4219" w:type="dxa"/>
            <w:tcBorders>
              <w:top w:val="single" w:sz="4" w:space="0" w:color="auto"/>
              <w:left w:val="single" w:sz="4" w:space="0" w:color="auto"/>
              <w:bottom w:val="single" w:sz="4" w:space="0" w:color="auto"/>
              <w:right w:val="single" w:sz="4" w:space="0" w:color="auto"/>
            </w:tcBorders>
          </w:tcPr>
          <w:p w14:paraId="1403127A" w14:textId="77777777" w:rsidR="006C13DB" w:rsidRPr="00E208C5" w:rsidRDefault="006C13DB" w:rsidP="000B3BBA">
            <w:pPr>
              <w:pStyle w:val="TableText"/>
              <w:rPr>
                <w:b/>
                <w:lang w:val="en-AU"/>
              </w:rPr>
            </w:pPr>
            <w:r w:rsidRPr="00E208C5">
              <w:rPr>
                <w:lang w:val="en-AU"/>
              </w:rPr>
              <w:t xml:space="preserve">  Baseline (mean)</w:t>
            </w:r>
          </w:p>
        </w:tc>
        <w:tc>
          <w:tcPr>
            <w:tcW w:w="2480" w:type="dxa"/>
            <w:tcBorders>
              <w:top w:val="single" w:sz="4" w:space="0" w:color="auto"/>
              <w:left w:val="single" w:sz="4" w:space="0" w:color="auto"/>
              <w:bottom w:val="single" w:sz="4" w:space="0" w:color="auto"/>
              <w:right w:val="single" w:sz="4" w:space="0" w:color="auto"/>
            </w:tcBorders>
          </w:tcPr>
          <w:p w14:paraId="54E89A07" w14:textId="77777777" w:rsidR="006C13DB" w:rsidRPr="00E208C5" w:rsidRDefault="006C13DB" w:rsidP="000B3BBA">
            <w:pPr>
              <w:pStyle w:val="TableText"/>
              <w:rPr>
                <w:lang w:val="en-AU"/>
              </w:rPr>
            </w:pPr>
            <w:r w:rsidRPr="00E208C5">
              <w:rPr>
                <w:lang w:val="en-AU"/>
              </w:rPr>
              <w:t>10.6</w:t>
            </w:r>
          </w:p>
        </w:tc>
        <w:tc>
          <w:tcPr>
            <w:tcW w:w="2481" w:type="dxa"/>
            <w:tcBorders>
              <w:top w:val="single" w:sz="4" w:space="0" w:color="auto"/>
              <w:left w:val="single" w:sz="4" w:space="0" w:color="auto"/>
              <w:bottom w:val="single" w:sz="4" w:space="0" w:color="auto"/>
              <w:right w:val="single" w:sz="4" w:space="0" w:color="auto"/>
            </w:tcBorders>
          </w:tcPr>
          <w:p w14:paraId="7A69D1DC" w14:textId="77777777" w:rsidR="006C13DB" w:rsidRPr="00E208C5" w:rsidRDefault="006C13DB" w:rsidP="000B3BBA">
            <w:pPr>
              <w:pStyle w:val="TableText"/>
              <w:rPr>
                <w:lang w:val="en-AU"/>
              </w:rPr>
            </w:pPr>
            <w:r w:rsidRPr="00E208C5">
              <w:rPr>
                <w:lang w:val="en-AU"/>
              </w:rPr>
              <w:t>10.4</w:t>
            </w:r>
          </w:p>
        </w:tc>
      </w:tr>
      <w:tr w:rsidR="006C13DB" w:rsidRPr="00E208C5" w14:paraId="496E92D1" w14:textId="77777777" w:rsidTr="006C13DB">
        <w:tc>
          <w:tcPr>
            <w:tcW w:w="4219" w:type="dxa"/>
            <w:tcBorders>
              <w:top w:val="single" w:sz="4" w:space="0" w:color="auto"/>
              <w:left w:val="single" w:sz="4" w:space="0" w:color="auto"/>
              <w:bottom w:val="single" w:sz="4" w:space="0" w:color="auto"/>
              <w:right w:val="single" w:sz="4" w:space="0" w:color="auto"/>
            </w:tcBorders>
          </w:tcPr>
          <w:p w14:paraId="78DFCF67" w14:textId="77777777" w:rsidR="006C13DB" w:rsidRPr="00E208C5" w:rsidRDefault="006C13DB" w:rsidP="000B3BBA">
            <w:pPr>
              <w:pStyle w:val="TableText"/>
              <w:rPr>
                <w:b/>
                <w:lang w:val="en-AU"/>
              </w:rPr>
            </w:pPr>
            <w:r w:rsidRPr="00E208C5">
              <w:rPr>
                <w:lang w:val="en-AU"/>
              </w:rPr>
              <w:t xml:space="preserve">  Change from baseline at week 56</w:t>
            </w:r>
          </w:p>
        </w:tc>
        <w:tc>
          <w:tcPr>
            <w:tcW w:w="2480" w:type="dxa"/>
            <w:tcBorders>
              <w:top w:val="single" w:sz="4" w:space="0" w:color="auto"/>
              <w:left w:val="single" w:sz="4" w:space="0" w:color="auto"/>
              <w:bottom w:val="single" w:sz="4" w:space="0" w:color="auto"/>
              <w:right w:val="single" w:sz="4" w:space="0" w:color="auto"/>
            </w:tcBorders>
          </w:tcPr>
          <w:p w14:paraId="3D24A3BF" w14:textId="77777777" w:rsidR="006C13DB" w:rsidRPr="00E208C5" w:rsidRDefault="006C13DB" w:rsidP="000B3BBA">
            <w:pPr>
              <w:pStyle w:val="TableText"/>
              <w:rPr>
                <w:lang w:val="en-AU"/>
              </w:rPr>
            </w:pPr>
            <w:r w:rsidRPr="00E208C5">
              <w:rPr>
                <w:lang w:val="en-AU"/>
              </w:rPr>
              <w:t>-2.8</w:t>
            </w:r>
          </w:p>
        </w:tc>
        <w:tc>
          <w:tcPr>
            <w:tcW w:w="2481" w:type="dxa"/>
            <w:tcBorders>
              <w:top w:val="single" w:sz="4" w:space="0" w:color="auto"/>
              <w:left w:val="single" w:sz="4" w:space="0" w:color="auto"/>
              <w:bottom w:val="single" w:sz="4" w:space="0" w:color="auto"/>
              <w:right w:val="single" w:sz="4" w:space="0" w:color="auto"/>
            </w:tcBorders>
          </w:tcPr>
          <w:p w14:paraId="41AA9DA5" w14:textId="77777777" w:rsidR="006C13DB" w:rsidRPr="00E208C5" w:rsidRDefault="006C13DB" w:rsidP="000B3BBA">
            <w:pPr>
              <w:pStyle w:val="TableText"/>
              <w:rPr>
                <w:lang w:val="en-AU"/>
              </w:rPr>
            </w:pPr>
            <w:r w:rsidRPr="00E208C5">
              <w:rPr>
                <w:lang w:val="en-AU"/>
              </w:rPr>
              <w:t>-2.0</w:t>
            </w:r>
          </w:p>
        </w:tc>
      </w:tr>
      <w:tr w:rsidR="006C13DB" w:rsidRPr="00E208C5" w14:paraId="1923033D" w14:textId="77777777" w:rsidTr="006C13DB">
        <w:tc>
          <w:tcPr>
            <w:tcW w:w="4219" w:type="dxa"/>
            <w:tcBorders>
              <w:top w:val="single" w:sz="4" w:space="0" w:color="auto"/>
              <w:left w:val="single" w:sz="4" w:space="0" w:color="auto"/>
              <w:bottom w:val="single" w:sz="4" w:space="0" w:color="auto"/>
              <w:right w:val="single" w:sz="4" w:space="0" w:color="auto"/>
            </w:tcBorders>
          </w:tcPr>
          <w:p w14:paraId="32032788" w14:textId="77777777" w:rsidR="006C13DB" w:rsidRPr="00E208C5" w:rsidRDefault="006C13DB" w:rsidP="000B3BBA">
            <w:pPr>
              <w:pStyle w:val="TableText"/>
              <w:rPr>
                <w:lang w:val="en-AU"/>
              </w:rPr>
            </w:pPr>
            <w:r w:rsidRPr="00E208C5">
              <w:rPr>
                <w:lang w:val="en-AU"/>
              </w:rPr>
              <w:t xml:space="preserve">  Difference from exenatide ER</w:t>
            </w:r>
          </w:p>
          <w:p w14:paraId="3E104A73" w14:textId="77777777" w:rsidR="006C13DB" w:rsidRPr="00E208C5" w:rsidRDefault="006C13DB" w:rsidP="000B3BBA">
            <w:pPr>
              <w:pStyle w:val="TableText"/>
              <w:rPr>
                <w:b/>
                <w:bCs/>
                <w:iCs/>
                <w:lang w:val="en-AU"/>
              </w:rPr>
            </w:pPr>
            <w:r w:rsidRPr="00E208C5">
              <w:rPr>
                <w:lang w:val="en-AU"/>
              </w:rPr>
              <w:t xml:space="preserve">  [95% CI]</w:t>
            </w:r>
          </w:p>
        </w:tc>
        <w:tc>
          <w:tcPr>
            <w:tcW w:w="2480" w:type="dxa"/>
            <w:tcBorders>
              <w:top w:val="single" w:sz="4" w:space="0" w:color="auto"/>
              <w:left w:val="single" w:sz="4" w:space="0" w:color="auto"/>
              <w:bottom w:val="single" w:sz="4" w:space="0" w:color="auto"/>
              <w:right w:val="single" w:sz="4" w:space="0" w:color="auto"/>
            </w:tcBorders>
          </w:tcPr>
          <w:p w14:paraId="1204E08B" w14:textId="77777777" w:rsidR="006C13DB" w:rsidRPr="00E208C5" w:rsidRDefault="006C13DB" w:rsidP="000B3BBA">
            <w:pPr>
              <w:pStyle w:val="TableText"/>
              <w:rPr>
                <w:lang w:val="en-AU"/>
              </w:rPr>
            </w:pPr>
            <w:r w:rsidRPr="00E208C5">
              <w:rPr>
                <w:lang w:val="en-AU"/>
              </w:rPr>
              <w:t>-0.8</w:t>
            </w:r>
          </w:p>
          <w:p w14:paraId="6026E1E7" w14:textId="77777777" w:rsidR="006C13DB" w:rsidRPr="00E208C5" w:rsidRDefault="006C13DB" w:rsidP="000B3BBA">
            <w:pPr>
              <w:pStyle w:val="TableText"/>
              <w:rPr>
                <w:vertAlign w:val="superscript"/>
                <w:lang w:val="en-AU"/>
              </w:rPr>
            </w:pPr>
            <w:r w:rsidRPr="00E208C5">
              <w:rPr>
                <w:lang w:val="en-AU"/>
              </w:rPr>
              <w:t>[-1.2; -0.5]</w:t>
            </w:r>
            <w:r w:rsidRPr="00E208C5">
              <w:rPr>
                <w:vertAlign w:val="superscript"/>
                <w:lang w:val="en-AU"/>
              </w:rPr>
              <w:t>b</w:t>
            </w:r>
          </w:p>
        </w:tc>
        <w:tc>
          <w:tcPr>
            <w:tcW w:w="2481" w:type="dxa"/>
            <w:tcBorders>
              <w:top w:val="single" w:sz="4" w:space="0" w:color="auto"/>
              <w:left w:val="single" w:sz="4" w:space="0" w:color="auto"/>
              <w:bottom w:val="single" w:sz="4" w:space="0" w:color="auto"/>
              <w:right w:val="single" w:sz="4" w:space="0" w:color="auto"/>
            </w:tcBorders>
          </w:tcPr>
          <w:p w14:paraId="4EB5379B" w14:textId="77777777" w:rsidR="006C13DB" w:rsidRPr="00E208C5" w:rsidRDefault="006C13DB" w:rsidP="000B3BBA">
            <w:pPr>
              <w:pStyle w:val="TableText"/>
              <w:rPr>
                <w:lang w:val="en-AU"/>
              </w:rPr>
            </w:pPr>
            <w:r w:rsidRPr="00E208C5">
              <w:rPr>
                <w:lang w:val="en-AU"/>
              </w:rPr>
              <w:t>-</w:t>
            </w:r>
          </w:p>
        </w:tc>
      </w:tr>
      <w:tr w:rsidR="006C13DB" w:rsidRPr="00E208C5" w14:paraId="2AEBF2CC" w14:textId="77777777" w:rsidTr="006C13DB">
        <w:trPr>
          <w:trHeight w:val="193"/>
        </w:trPr>
        <w:tc>
          <w:tcPr>
            <w:tcW w:w="4219" w:type="dxa"/>
            <w:tcBorders>
              <w:top w:val="single" w:sz="4" w:space="0" w:color="auto"/>
              <w:left w:val="single" w:sz="4" w:space="0" w:color="auto"/>
              <w:bottom w:val="single" w:sz="4" w:space="0" w:color="auto"/>
              <w:right w:val="nil"/>
            </w:tcBorders>
            <w:hideMark/>
          </w:tcPr>
          <w:p w14:paraId="6F3FEB09" w14:textId="77777777" w:rsidR="006C13DB" w:rsidRPr="00E208C5" w:rsidRDefault="006C13DB" w:rsidP="000B3BBA">
            <w:pPr>
              <w:pStyle w:val="TableText"/>
              <w:rPr>
                <w:i/>
                <w:lang w:val="en-AU"/>
              </w:rPr>
            </w:pPr>
            <w:r w:rsidRPr="00E208C5">
              <w:rPr>
                <w:lang w:val="en-AU"/>
              </w:rPr>
              <w:t>Body weight (kg)</w:t>
            </w:r>
          </w:p>
        </w:tc>
        <w:tc>
          <w:tcPr>
            <w:tcW w:w="2480" w:type="dxa"/>
            <w:tcBorders>
              <w:top w:val="single" w:sz="4" w:space="0" w:color="auto"/>
              <w:left w:val="nil"/>
              <w:bottom w:val="single" w:sz="4" w:space="0" w:color="auto"/>
              <w:right w:val="nil"/>
            </w:tcBorders>
          </w:tcPr>
          <w:p w14:paraId="0228BB19" w14:textId="77777777" w:rsidR="006C13DB" w:rsidRPr="00E208C5" w:rsidRDefault="006C13DB" w:rsidP="000B3BBA">
            <w:pPr>
              <w:pStyle w:val="TableText"/>
              <w:rPr>
                <w:lang w:val="en-AU"/>
              </w:rPr>
            </w:pPr>
          </w:p>
        </w:tc>
        <w:tc>
          <w:tcPr>
            <w:tcW w:w="2481" w:type="dxa"/>
            <w:tcBorders>
              <w:top w:val="single" w:sz="4" w:space="0" w:color="auto"/>
              <w:left w:val="nil"/>
              <w:bottom w:val="single" w:sz="4" w:space="0" w:color="auto"/>
              <w:right w:val="single" w:sz="4" w:space="0" w:color="auto"/>
            </w:tcBorders>
          </w:tcPr>
          <w:p w14:paraId="6F9E6740" w14:textId="77777777" w:rsidR="006C13DB" w:rsidRPr="00E208C5" w:rsidRDefault="006C13DB" w:rsidP="000B3BBA">
            <w:pPr>
              <w:pStyle w:val="TableText"/>
              <w:rPr>
                <w:lang w:val="en-AU"/>
              </w:rPr>
            </w:pPr>
          </w:p>
        </w:tc>
      </w:tr>
      <w:tr w:rsidR="006C13DB" w:rsidRPr="00E208C5" w14:paraId="16FFA5BC" w14:textId="77777777" w:rsidTr="006C13DB">
        <w:trPr>
          <w:trHeight w:val="182"/>
        </w:trPr>
        <w:tc>
          <w:tcPr>
            <w:tcW w:w="4219" w:type="dxa"/>
            <w:tcBorders>
              <w:top w:val="single" w:sz="4" w:space="0" w:color="auto"/>
              <w:left w:val="single" w:sz="4" w:space="0" w:color="auto"/>
              <w:bottom w:val="single" w:sz="4" w:space="0" w:color="auto"/>
              <w:right w:val="single" w:sz="4" w:space="0" w:color="auto"/>
            </w:tcBorders>
            <w:hideMark/>
          </w:tcPr>
          <w:p w14:paraId="38CE3FEC" w14:textId="77777777" w:rsidR="006C13DB" w:rsidRPr="00E208C5" w:rsidRDefault="006C13DB" w:rsidP="000B3BBA">
            <w:pPr>
              <w:pStyle w:val="TableText"/>
              <w:rPr>
                <w:b/>
                <w:lang w:val="en-AU"/>
              </w:rPr>
            </w:pPr>
            <w:r w:rsidRPr="00E208C5">
              <w:rPr>
                <w:lang w:val="en-AU"/>
              </w:rPr>
              <w:t>Baseline (mean)</w:t>
            </w:r>
          </w:p>
        </w:tc>
        <w:tc>
          <w:tcPr>
            <w:tcW w:w="2480" w:type="dxa"/>
            <w:tcBorders>
              <w:top w:val="single" w:sz="4" w:space="0" w:color="auto"/>
              <w:left w:val="single" w:sz="4" w:space="0" w:color="auto"/>
              <w:bottom w:val="single" w:sz="4" w:space="0" w:color="auto"/>
              <w:right w:val="single" w:sz="4" w:space="0" w:color="auto"/>
            </w:tcBorders>
            <w:hideMark/>
          </w:tcPr>
          <w:p w14:paraId="5B7702F8" w14:textId="77777777" w:rsidR="006C13DB" w:rsidRPr="00E208C5" w:rsidRDefault="006C13DB" w:rsidP="000B3BBA">
            <w:pPr>
              <w:pStyle w:val="TableText"/>
              <w:rPr>
                <w:lang w:val="en-AU"/>
              </w:rPr>
            </w:pPr>
            <w:r w:rsidRPr="00E208C5">
              <w:rPr>
                <w:lang w:val="en-AU"/>
              </w:rPr>
              <w:t>96.2</w:t>
            </w:r>
          </w:p>
        </w:tc>
        <w:tc>
          <w:tcPr>
            <w:tcW w:w="2481" w:type="dxa"/>
            <w:tcBorders>
              <w:top w:val="single" w:sz="4" w:space="0" w:color="auto"/>
              <w:left w:val="single" w:sz="4" w:space="0" w:color="auto"/>
              <w:bottom w:val="single" w:sz="4" w:space="0" w:color="auto"/>
              <w:right w:val="single" w:sz="4" w:space="0" w:color="auto"/>
            </w:tcBorders>
            <w:hideMark/>
          </w:tcPr>
          <w:p w14:paraId="7FB9D3CF" w14:textId="77777777" w:rsidR="006C13DB" w:rsidRPr="00E208C5" w:rsidRDefault="006C13DB" w:rsidP="000B3BBA">
            <w:pPr>
              <w:pStyle w:val="TableText"/>
              <w:rPr>
                <w:lang w:val="en-AU"/>
              </w:rPr>
            </w:pPr>
            <w:r w:rsidRPr="00E208C5">
              <w:rPr>
                <w:lang w:val="en-AU"/>
              </w:rPr>
              <w:t>95.4</w:t>
            </w:r>
          </w:p>
        </w:tc>
      </w:tr>
      <w:tr w:rsidR="006C13DB" w:rsidRPr="00E208C5" w14:paraId="667B406D" w14:textId="77777777" w:rsidTr="006C13DB">
        <w:trPr>
          <w:trHeight w:val="216"/>
        </w:trPr>
        <w:tc>
          <w:tcPr>
            <w:tcW w:w="4219" w:type="dxa"/>
            <w:tcBorders>
              <w:top w:val="single" w:sz="4" w:space="0" w:color="auto"/>
              <w:left w:val="single" w:sz="4" w:space="0" w:color="auto"/>
              <w:bottom w:val="single" w:sz="4" w:space="0" w:color="auto"/>
              <w:right w:val="single" w:sz="4" w:space="0" w:color="auto"/>
            </w:tcBorders>
            <w:hideMark/>
          </w:tcPr>
          <w:p w14:paraId="6885E8BF" w14:textId="77777777" w:rsidR="006C13DB" w:rsidRPr="00E208C5" w:rsidRDefault="006C13DB" w:rsidP="000B3BBA">
            <w:pPr>
              <w:pStyle w:val="TableText"/>
              <w:rPr>
                <w:lang w:val="en-AU"/>
              </w:rPr>
            </w:pPr>
            <w:r w:rsidRPr="00E208C5">
              <w:rPr>
                <w:lang w:val="en-AU"/>
              </w:rPr>
              <w:t>Change from baseline week 56</w:t>
            </w:r>
          </w:p>
        </w:tc>
        <w:tc>
          <w:tcPr>
            <w:tcW w:w="2480" w:type="dxa"/>
            <w:tcBorders>
              <w:top w:val="single" w:sz="4" w:space="0" w:color="auto"/>
              <w:left w:val="single" w:sz="4" w:space="0" w:color="auto"/>
              <w:bottom w:val="single" w:sz="4" w:space="0" w:color="auto"/>
              <w:right w:val="single" w:sz="4" w:space="0" w:color="auto"/>
            </w:tcBorders>
            <w:hideMark/>
          </w:tcPr>
          <w:p w14:paraId="743EE437" w14:textId="77777777" w:rsidR="006C13DB" w:rsidRPr="00E208C5" w:rsidRDefault="006C13DB" w:rsidP="000B3BBA">
            <w:pPr>
              <w:pStyle w:val="TableText"/>
              <w:rPr>
                <w:lang w:val="en-AU"/>
              </w:rPr>
            </w:pPr>
            <w:r w:rsidRPr="00E208C5">
              <w:rPr>
                <w:lang w:val="en-AU"/>
              </w:rPr>
              <w:t>-5.6</w:t>
            </w:r>
          </w:p>
        </w:tc>
        <w:tc>
          <w:tcPr>
            <w:tcW w:w="2481" w:type="dxa"/>
            <w:tcBorders>
              <w:top w:val="single" w:sz="4" w:space="0" w:color="auto"/>
              <w:left w:val="single" w:sz="4" w:space="0" w:color="auto"/>
              <w:bottom w:val="single" w:sz="4" w:space="0" w:color="auto"/>
              <w:right w:val="single" w:sz="4" w:space="0" w:color="auto"/>
            </w:tcBorders>
            <w:hideMark/>
          </w:tcPr>
          <w:p w14:paraId="2BC60359" w14:textId="77777777" w:rsidR="006C13DB" w:rsidRPr="00E208C5" w:rsidRDefault="006C13DB" w:rsidP="000B3BBA">
            <w:pPr>
              <w:pStyle w:val="TableText"/>
              <w:rPr>
                <w:lang w:val="en-AU"/>
              </w:rPr>
            </w:pPr>
            <w:r w:rsidRPr="00E208C5">
              <w:rPr>
                <w:lang w:val="en-AU"/>
              </w:rPr>
              <w:t>-1.9</w:t>
            </w:r>
          </w:p>
        </w:tc>
      </w:tr>
      <w:tr w:rsidR="006C13DB" w:rsidRPr="00E208C5" w14:paraId="1DF8F9DB" w14:textId="77777777" w:rsidTr="006C13DB">
        <w:trPr>
          <w:trHeight w:val="493"/>
        </w:trPr>
        <w:tc>
          <w:tcPr>
            <w:tcW w:w="4219" w:type="dxa"/>
            <w:tcBorders>
              <w:top w:val="single" w:sz="4" w:space="0" w:color="auto"/>
              <w:left w:val="single" w:sz="4" w:space="0" w:color="auto"/>
              <w:bottom w:val="single" w:sz="4" w:space="0" w:color="auto"/>
              <w:right w:val="single" w:sz="4" w:space="0" w:color="auto"/>
            </w:tcBorders>
            <w:hideMark/>
          </w:tcPr>
          <w:p w14:paraId="2163804C" w14:textId="77777777" w:rsidR="006C13DB" w:rsidRPr="00E208C5" w:rsidRDefault="006C13DB" w:rsidP="000B3BBA">
            <w:pPr>
              <w:pStyle w:val="TableText"/>
              <w:rPr>
                <w:lang w:val="en-AU"/>
              </w:rPr>
            </w:pPr>
            <w:r w:rsidRPr="00E208C5">
              <w:rPr>
                <w:lang w:val="en-AU"/>
              </w:rPr>
              <w:t>Difference from exenatide ER</w:t>
            </w:r>
          </w:p>
          <w:p w14:paraId="013DB044" w14:textId="77777777" w:rsidR="006C13DB" w:rsidRPr="00E208C5" w:rsidRDefault="006C13DB" w:rsidP="000B3BBA">
            <w:pPr>
              <w:pStyle w:val="TableText"/>
              <w:rPr>
                <w:bCs/>
                <w:lang w:val="en-AU"/>
              </w:rPr>
            </w:pPr>
            <w:r w:rsidRPr="00E208C5">
              <w:rPr>
                <w:lang w:val="en-AU"/>
              </w:rPr>
              <w:t xml:space="preserve"> [95% CI]</w:t>
            </w:r>
          </w:p>
        </w:tc>
        <w:tc>
          <w:tcPr>
            <w:tcW w:w="2480" w:type="dxa"/>
            <w:tcBorders>
              <w:top w:val="single" w:sz="4" w:space="0" w:color="auto"/>
              <w:left w:val="single" w:sz="4" w:space="0" w:color="auto"/>
              <w:bottom w:val="single" w:sz="4" w:space="0" w:color="auto"/>
              <w:right w:val="single" w:sz="4" w:space="0" w:color="auto"/>
            </w:tcBorders>
            <w:hideMark/>
          </w:tcPr>
          <w:p w14:paraId="369FCD36" w14:textId="77777777" w:rsidR="006C13DB" w:rsidRPr="00E208C5" w:rsidRDefault="006C13DB" w:rsidP="000B3BBA">
            <w:pPr>
              <w:pStyle w:val="TableText"/>
              <w:rPr>
                <w:lang w:val="en-AU"/>
              </w:rPr>
            </w:pPr>
            <w:r w:rsidRPr="00E208C5">
              <w:rPr>
                <w:lang w:val="en-AU"/>
              </w:rPr>
              <w:t>-3.8</w:t>
            </w:r>
          </w:p>
          <w:p w14:paraId="2B90666A" w14:textId="77777777" w:rsidR="006C13DB" w:rsidRPr="00E208C5" w:rsidRDefault="006C13DB" w:rsidP="000B3BBA">
            <w:pPr>
              <w:pStyle w:val="TableText"/>
              <w:rPr>
                <w:vertAlign w:val="superscript"/>
                <w:lang w:val="en-AU"/>
              </w:rPr>
            </w:pPr>
            <w:r w:rsidRPr="00E208C5">
              <w:rPr>
                <w:lang w:val="en-AU"/>
              </w:rPr>
              <w:t>[-4.6; -3.0]</w:t>
            </w:r>
            <w:r w:rsidRPr="00E208C5">
              <w:rPr>
                <w:vertAlign w:val="superscript"/>
                <w:lang w:val="en-AU"/>
              </w:rPr>
              <w:t>a</w:t>
            </w:r>
          </w:p>
        </w:tc>
        <w:tc>
          <w:tcPr>
            <w:tcW w:w="2481" w:type="dxa"/>
            <w:tcBorders>
              <w:top w:val="single" w:sz="4" w:space="0" w:color="auto"/>
              <w:left w:val="single" w:sz="4" w:space="0" w:color="auto"/>
              <w:bottom w:val="single" w:sz="4" w:space="0" w:color="auto"/>
              <w:right w:val="single" w:sz="4" w:space="0" w:color="auto"/>
            </w:tcBorders>
            <w:hideMark/>
          </w:tcPr>
          <w:p w14:paraId="5DB5AE9F" w14:textId="77777777" w:rsidR="006C13DB" w:rsidRPr="00E208C5" w:rsidRDefault="006C13DB" w:rsidP="000B3BBA">
            <w:pPr>
              <w:pStyle w:val="TableText"/>
              <w:rPr>
                <w:lang w:val="en-AU"/>
              </w:rPr>
            </w:pPr>
            <w:r w:rsidRPr="00E208C5">
              <w:rPr>
                <w:lang w:val="en-AU"/>
              </w:rPr>
              <w:t>-</w:t>
            </w:r>
          </w:p>
        </w:tc>
      </w:tr>
      <w:tr w:rsidR="006C13DB" w:rsidRPr="00E208C5" w14:paraId="1CF8B1C3" w14:textId="0E652BD3" w:rsidTr="006C13DB">
        <w:tc>
          <w:tcPr>
            <w:tcW w:w="4219" w:type="dxa"/>
            <w:tcBorders>
              <w:top w:val="single" w:sz="4" w:space="0" w:color="auto"/>
              <w:left w:val="single" w:sz="4" w:space="0" w:color="auto"/>
              <w:bottom w:val="single" w:sz="4" w:space="0" w:color="auto"/>
              <w:right w:val="single" w:sz="4" w:space="0" w:color="auto"/>
            </w:tcBorders>
            <w:hideMark/>
          </w:tcPr>
          <w:p w14:paraId="73961634" w14:textId="424273AF" w:rsidR="006C13DB" w:rsidRPr="00E208C5" w:rsidRDefault="006C13DB" w:rsidP="000B3BBA">
            <w:pPr>
              <w:pStyle w:val="TableText"/>
              <w:rPr>
                <w:lang w:val="en-AU"/>
              </w:rPr>
            </w:pPr>
            <w:r w:rsidRPr="00E208C5">
              <w:rPr>
                <w:lang w:val="en-AU"/>
              </w:rPr>
              <w:t>Patients (%) achieving weight loss ≥5%</w:t>
            </w:r>
          </w:p>
        </w:tc>
        <w:tc>
          <w:tcPr>
            <w:tcW w:w="2480" w:type="dxa"/>
            <w:tcBorders>
              <w:top w:val="single" w:sz="4" w:space="0" w:color="auto"/>
              <w:left w:val="single" w:sz="4" w:space="0" w:color="auto"/>
              <w:bottom w:val="single" w:sz="4" w:space="0" w:color="auto"/>
              <w:right w:val="single" w:sz="4" w:space="0" w:color="auto"/>
            </w:tcBorders>
            <w:hideMark/>
          </w:tcPr>
          <w:p w14:paraId="5FDECC50" w14:textId="547518F7" w:rsidR="006C13DB" w:rsidRPr="00E208C5" w:rsidRDefault="006C13DB" w:rsidP="000B3BBA">
            <w:pPr>
              <w:pStyle w:val="TableText"/>
              <w:rPr>
                <w:lang w:val="en-AU"/>
              </w:rPr>
            </w:pPr>
            <w:r w:rsidRPr="00E208C5">
              <w:rPr>
                <w:lang w:val="en-AU"/>
              </w:rPr>
              <w:t>52</w:t>
            </w:r>
            <w:r w:rsidRPr="00E208C5">
              <w:rPr>
                <w:vertAlign w:val="superscript"/>
                <w:lang w:val="en-AU"/>
              </w:rPr>
              <w:t>b</w:t>
            </w:r>
          </w:p>
        </w:tc>
        <w:tc>
          <w:tcPr>
            <w:tcW w:w="2481" w:type="dxa"/>
            <w:tcBorders>
              <w:top w:val="single" w:sz="4" w:space="0" w:color="auto"/>
              <w:left w:val="single" w:sz="4" w:space="0" w:color="auto"/>
              <w:bottom w:val="single" w:sz="4" w:space="0" w:color="auto"/>
              <w:right w:val="single" w:sz="4" w:space="0" w:color="auto"/>
            </w:tcBorders>
            <w:hideMark/>
          </w:tcPr>
          <w:p w14:paraId="015109FC" w14:textId="2B4B9A24" w:rsidR="006C13DB" w:rsidRPr="00E208C5" w:rsidRDefault="006C13DB" w:rsidP="000B3BBA">
            <w:pPr>
              <w:pStyle w:val="TableText"/>
              <w:rPr>
                <w:lang w:val="en-AU"/>
              </w:rPr>
            </w:pPr>
            <w:r w:rsidRPr="00E208C5">
              <w:rPr>
                <w:lang w:val="en-AU"/>
              </w:rPr>
              <w:t>17</w:t>
            </w:r>
          </w:p>
        </w:tc>
      </w:tr>
      <w:tr w:rsidR="006C13DB" w:rsidRPr="00E208C5" w14:paraId="01F17644" w14:textId="4807B4D7" w:rsidTr="006C13DB">
        <w:tc>
          <w:tcPr>
            <w:tcW w:w="4219" w:type="dxa"/>
            <w:tcBorders>
              <w:top w:val="single" w:sz="4" w:space="0" w:color="auto"/>
              <w:left w:val="single" w:sz="4" w:space="0" w:color="auto"/>
              <w:bottom w:val="single" w:sz="4" w:space="0" w:color="auto"/>
              <w:right w:val="single" w:sz="4" w:space="0" w:color="auto"/>
            </w:tcBorders>
            <w:hideMark/>
          </w:tcPr>
          <w:p w14:paraId="0BC83593" w14:textId="5A4F01D6" w:rsidR="006C13DB" w:rsidRPr="00E208C5" w:rsidRDefault="006C13DB" w:rsidP="000B3BBA">
            <w:pPr>
              <w:pStyle w:val="TableText"/>
              <w:rPr>
                <w:lang w:val="en-AU"/>
              </w:rPr>
            </w:pPr>
            <w:r w:rsidRPr="00E208C5">
              <w:rPr>
                <w:lang w:val="en-AU"/>
              </w:rPr>
              <w:t>Patients (%) achieving weight loss ≥10%</w:t>
            </w:r>
          </w:p>
        </w:tc>
        <w:tc>
          <w:tcPr>
            <w:tcW w:w="2480" w:type="dxa"/>
            <w:tcBorders>
              <w:top w:val="single" w:sz="4" w:space="0" w:color="auto"/>
              <w:left w:val="single" w:sz="4" w:space="0" w:color="auto"/>
              <w:bottom w:val="single" w:sz="4" w:space="0" w:color="auto"/>
              <w:right w:val="single" w:sz="4" w:space="0" w:color="auto"/>
            </w:tcBorders>
            <w:hideMark/>
          </w:tcPr>
          <w:p w14:paraId="1ABBFC11" w14:textId="6FC69676" w:rsidR="006C13DB" w:rsidRPr="00E208C5" w:rsidRDefault="006C13DB" w:rsidP="000B3BBA">
            <w:pPr>
              <w:pStyle w:val="TableText"/>
              <w:rPr>
                <w:lang w:val="en-AU"/>
              </w:rPr>
            </w:pPr>
            <w:r w:rsidRPr="00E208C5">
              <w:rPr>
                <w:lang w:val="en-AU"/>
              </w:rPr>
              <w:t>21</w:t>
            </w:r>
            <w:r w:rsidRPr="00E208C5">
              <w:rPr>
                <w:vertAlign w:val="superscript"/>
                <w:lang w:val="en-AU"/>
              </w:rPr>
              <w:t>b</w:t>
            </w:r>
          </w:p>
        </w:tc>
        <w:tc>
          <w:tcPr>
            <w:tcW w:w="2481" w:type="dxa"/>
            <w:tcBorders>
              <w:top w:val="single" w:sz="4" w:space="0" w:color="auto"/>
              <w:left w:val="single" w:sz="4" w:space="0" w:color="auto"/>
              <w:bottom w:val="single" w:sz="4" w:space="0" w:color="auto"/>
              <w:right w:val="single" w:sz="4" w:space="0" w:color="auto"/>
            </w:tcBorders>
            <w:hideMark/>
          </w:tcPr>
          <w:p w14:paraId="38C1E816" w14:textId="30870CED" w:rsidR="006C13DB" w:rsidRPr="00E208C5" w:rsidRDefault="006C13DB" w:rsidP="000B3BBA">
            <w:pPr>
              <w:pStyle w:val="TableText"/>
              <w:rPr>
                <w:lang w:val="en-AU"/>
              </w:rPr>
            </w:pPr>
            <w:r w:rsidRPr="00E208C5">
              <w:rPr>
                <w:lang w:val="en-AU"/>
              </w:rPr>
              <w:t>4</w:t>
            </w:r>
          </w:p>
        </w:tc>
      </w:tr>
    </w:tbl>
    <w:p w14:paraId="2752B777" w14:textId="77777777" w:rsidR="006C13DB" w:rsidRPr="00E208C5" w:rsidRDefault="006C13DB" w:rsidP="006C13DB">
      <w:pPr>
        <w:spacing w:after="0" w:line="240" w:lineRule="auto"/>
        <w:rPr>
          <w:sz w:val="20"/>
          <w:szCs w:val="20"/>
        </w:rPr>
      </w:pPr>
      <w:r w:rsidRPr="00E208C5">
        <w:rPr>
          <w:sz w:val="20"/>
          <w:szCs w:val="20"/>
          <w:vertAlign w:val="superscript"/>
        </w:rPr>
        <w:t>a</w:t>
      </w:r>
      <w:r w:rsidRPr="00E208C5">
        <w:rPr>
          <w:sz w:val="20"/>
          <w:szCs w:val="20"/>
        </w:rPr>
        <w:t>p &lt;0.0001 ( 2-sided) for superiority, adjusted for multiplicity based on hierarchical testing of HbA</w:t>
      </w:r>
      <w:r w:rsidRPr="00E208C5">
        <w:rPr>
          <w:sz w:val="20"/>
          <w:szCs w:val="20"/>
          <w:vertAlign w:val="subscript"/>
        </w:rPr>
        <w:t>1c</w:t>
      </w:r>
      <w:r w:rsidRPr="00E208C5">
        <w:rPr>
          <w:sz w:val="20"/>
          <w:szCs w:val="20"/>
        </w:rPr>
        <w:t xml:space="preserve"> and body weight</w:t>
      </w:r>
    </w:p>
    <w:p w14:paraId="2B5522E1" w14:textId="77777777" w:rsidR="004923B6" w:rsidRPr="00E208C5" w:rsidRDefault="006C13DB" w:rsidP="006C13DB">
      <w:r w:rsidRPr="00E208C5">
        <w:rPr>
          <w:sz w:val="20"/>
          <w:szCs w:val="20"/>
          <w:vertAlign w:val="superscript"/>
        </w:rPr>
        <w:t>b</w:t>
      </w:r>
      <w:r w:rsidRPr="00E208C5">
        <w:rPr>
          <w:sz w:val="20"/>
          <w:szCs w:val="20"/>
        </w:rPr>
        <w:t>p &lt;0.0001 for treatment difference, unadjusted for multiplicity</w:t>
      </w:r>
      <w:r w:rsidRPr="00E208C5">
        <w:t xml:space="preserve"> </w:t>
      </w:r>
    </w:p>
    <w:p w14:paraId="7C27E9A0" w14:textId="77777777" w:rsidR="006C13DB" w:rsidRPr="005A5D07" w:rsidRDefault="006C13DB" w:rsidP="005A5D07">
      <w:pPr>
        <w:spacing w:after="0" w:line="240" w:lineRule="auto"/>
        <w:rPr>
          <w:i/>
          <w:iCs/>
        </w:rPr>
      </w:pPr>
      <w:r w:rsidRPr="005A5D07">
        <w:rPr>
          <w:i/>
          <w:iCs/>
        </w:rPr>
        <w:t xml:space="preserve">SUSTAIN 4 </w:t>
      </w:r>
      <w:r w:rsidRPr="005A5D07">
        <w:rPr>
          <w:bCs/>
          <w:i/>
          <w:iCs/>
        </w:rPr>
        <w:t xml:space="preserve">– </w:t>
      </w:r>
      <w:proofErr w:type="spellStart"/>
      <w:r w:rsidRPr="005A5D07">
        <w:rPr>
          <w:bCs/>
          <w:i/>
          <w:iCs/>
        </w:rPr>
        <w:t>Ozempic</w:t>
      </w:r>
      <w:proofErr w:type="spellEnd"/>
      <w:r w:rsidRPr="005A5D07">
        <w:rPr>
          <w:bCs/>
          <w:i/>
          <w:iCs/>
        </w:rPr>
        <w:t xml:space="preserve"> vs. insulin glargine both in </w:t>
      </w:r>
      <w:r w:rsidRPr="005A5D07">
        <w:rPr>
          <w:i/>
          <w:iCs/>
        </w:rPr>
        <w:t>combination with 1–2 oral antidiabetic drugs (metformin monotherapy or metformin and sulfonylurea)</w:t>
      </w:r>
    </w:p>
    <w:p w14:paraId="223AA1CD" w14:textId="55226DAA" w:rsidR="006C13DB" w:rsidRPr="00FC4CA6" w:rsidRDefault="006C13DB" w:rsidP="006C13DB">
      <w:r w:rsidRPr="00E208C5">
        <w:t xml:space="preserve">In a 30-week open-label trial, 1,089 patients were randomised to </w:t>
      </w:r>
      <w:proofErr w:type="spellStart"/>
      <w:r w:rsidRPr="00E208C5">
        <w:t>Ozempic</w:t>
      </w:r>
      <w:proofErr w:type="spellEnd"/>
      <w:r w:rsidRPr="00E208C5">
        <w:t xml:space="preserve"> 0.5 mg once weekly, </w:t>
      </w:r>
      <w:proofErr w:type="spellStart"/>
      <w:r w:rsidRPr="00E208C5">
        <w:t>Ozempic</w:t>
      </w:r>
      <w:proofErr w:type="spellEnd"/>
      <w:r w:rsidRPr="00E208C5">
        <w:t xml:space="preserve"> 1 mg once weekly, or insulin glargine once daily on a background of metformin (48%) or metformin and sulfonylurea (51%)</w:t>
      </w:r>
      <w:r w:rsidRPr="00FC4CA6">
        <w:t>.</w:t>
      </w:r>
    </w:p>
    <w:p w14:paraId="3E5E06EC" w14:textId="24D5F0B8" w:rsidR="006C13DB" w:rsidRPr="00FC4CA6" w:rsidRDefault="006C13DB" w:rsidP="006C13DB">
      <w:r w:rsidRPr="00E208C5">
        <w:t>Patients on insulin glargine started on 10 U injected once daily. The mean daily insulin dose at the end of the trial was 29 U per day</w:t>
      </w:r>
      <w:r w:rsidRPr="00FC4CA6">
        <w:t>.</w:t>
      </w:r>
    </w:p>
    <w:p w14:paraId="383C5038" w14:textId="3E809424" w:rsidR="006C13DB" w:rsidRPr="00FC4CA6" w:rsidRDefault="006C13DB" w:rsidP="006C13DB">
      <w:r w:rsidRPr="00E208C5">
        <w:t>Patients had a mean age of 57 years and a mean duration of type 2 diabetes of 8.6 years. 77% were White, 9% were Black or African-Americans and 11% were Asian. For ethnicity, 20% of patients (n=213) were Hispanic or Latino. Mean BMI was 33 kg/m</w:t>
      </w:r>
      <w:r w:rsidRPr="00E208C5">
        <w:rPr>
          <w:vertAlign w:val="superscript"/>
        </w:rPr>
        <w:t>2</w:t>
      </w:r>
      <w:r w:rsidRPr="00E208C5">
        <w:t>.</w:t>
      </w:r>
    </w:p>
    <w:p w14:paraId="7CDE4EEE" w14:textId="65C005FD" w:rsidR="006C13DB" w:rsidRPr="00FC4CA6" w:rsidRDefault="006C13DB" w:rsidP="006C13DB">
      <w:r w:rsidRPr="00E208C5">
        <w:t xml:space="preserve">The proportion of patients reporting severe or blood glucose confirmed (&lt;3.1 mmol/l) hypoglycaemic episodes were lower with </w:t>
      </w:r>
      <w:proofErr w:type="spellStart"/>
      <w:r w:rsidRPr="00E208C5">
        <w:t>Ozempic</w:t>
      </w:r>
      <w:proofErr w:type="spellEnd"/>
      <w:r w:rsidRPr="00E208C5">
        <w:rPr>
          <w:i/>
        </w:rPr>
        <w:t xml:space="preserve"> </w:t>
      </w:r>
      <w:r w:rsidRPr="00E208C5">
        <w:t xml:space="preserve">0.5 mg (4.4%), and </w:t>
      </w:r>
      <w:proofErr w:type="spellStart"/>
      <w:r w:rsidRPr="00E208C5">
        <w:t>Ozempic</w:t>
      </w:r>
      <w:proofErr w:type="spellEnd"/>
      <w:r w:rsidRPr="00E208C5">
        <w:rPr>
          <w:i/>
        </w:rPr>
        <w:t xml:space="preserve"> </w:t>
      </w:r>
      <w:r w:rsidRPr="00E208C5">
        <w:t>1 mg (5.6%) compared to insulin glargine (10.6%)</w:t>
      </w:r>
      <w:r w:rsidRPr="00FC4CA6">
        <w:t xml:space="preserve">. </w:t>
      </w:r>
    </w:p>
    <w:p w14:paraId="7786F173" w14:textId="12B29DBE" w:rsidR="006C13DB" w:rsidRPr="00FC4CA6" w:rsidRDefault="006C13DB" w:rsidP="006C13DB">
      <w:r w:rsidRPr="00E208C5">
        <w:lastRenderedPageBreak/>
        <w:t xml:space="preserve">More patients on </w:t>
      </w:r>
      <w:proofErr w:type="spellStart"/>
      <w:r w:rsidRPr="00E208C5">
        <w:t>Ozempic</w:t>
      </w:r>
      <w:proofErr w:type="spellEnd"/>
      <w:r w:rsidRPr="00E208C5">
        <w:t xml:space="preserve"> 0.5 mg (47%) and </w:t>
      </w:r>
      <w:proofErr w:type="spellStart"/>
      <w:r w:rsidRPr="00E208C5">
        <w:t>Ozempic</w:t>
      </w:r>
      <w:proofErr w:type="spellEnd"/>
      <w:r w:rsidRPr="00E208C5">
        <w:t xml:space="preserve"> 1 mg (64%) achieved HbA</w:t>
      </w:r>
      <w:r w:rsidRPr="00E208C5">
        <w:rPr>
          <w:vertAlign w:val="subscript"/>
        </w:rPr>
        <w:t>1c</w:t>
      </w:r>
      <w:r w:rsidRPr="00E208C5">
        <w:t>&lt;7% without severe or blood glucose confirmed symptomatic hypoglycaemia and without weight gain compared to insulin glargine (16%)</w:t>
      </w:r>
      <w:r w:rsidRPr="00FC4CA6">
        <w:t>.</w:t>
      </w:r>
    </w:p>
    <w:p w14:paraId="0EE9C5B0" w14:textId="695A4BE7" w:rsidR="006C13DB" w:rsidRPr="00FC4CA6" w:rsidRDefault="006C13DB" w:rsidP="006C13DB">
      <w:pPr>
        <w:rPr>
          <w:b/>
          <w:bCs/>
        </w:rPr>
      </w:pPr>
      <w:bookmarkStart w:id="75" w:name="_Ref509297379"/>
      <w:bookmarkStart w:id="76" w:name="_Toc506554425"/>
      <w:bookmarkStart w:id="77" w:name="_Toc514933349"/>
      <w:bookmarkStart w:id="78" w:name="_Toc514933432"/>
      <w:r w:rsidRPr="00FC4CA6">
        <w:rPr>
          <w:b/>
          <w:bCs/>
        </w:rPr>
        <w:t>Table</w:t>
      </w:r>
      <w:r w:rsidRPr="00E208C5">
        <w:rPr>
          <w:b/>
          <w:bCs/>
        </w:rPr>
        <w:t xml:space="preserve"> </w:t>
      </w:r>
      <w:r w:rsidRPr="00FC4CA6">
        <w:rPr>
          <w:b/>
          <w:bCs/>
        </w:rPr>
        <w:fldChar w:fldCharType="begin"/>
      </w:r>
      <w:r w:rsidRPr="00E208C5">
        <w:rPr>
          <w:b/>
          <w:bCs/>
        </w:rPr>
        <w:instrText xml:space="preserve"> SEQ Table \* ARABIC \s 1 </w:instrText>
      </w:r>
      <w:r w:rsidRPr="00FC4CA6">
        <w:rPr>
          <w:b/>
          <w:bCs/>
        </w:rPr>
        <w:fldChar w:fldCharType="separate"/>
      </w:r>
      <w:r w:rsidR="003F4E02" w:rsidRPr="00FC4CA6">
        <w:rPr>
          <w:b/>
          <w:bCs/>
          <w:noProof/>
        </w:rPr>
        <w:t>7</w:t>
      </w:r>
      <w:r w:rsidRPr="00FC4CA6">
        <w:fldChar w:fldCharType="end"/>
      </w:r>
      <w:bookmarkEnd w:id="75"/>
      <w:r w:rsidRPr="00FC4CA6">
        <w:t xml:space="preserve">: </w:t>
      </w:r>
      <w:r w:rsidRPr="00FC4CA6">
        <w:rPr>
          <w:b/>
          <w:bCs/>
        </w:rPr>
        <w:t xml:space="preserve">Results of a 30-weeks trial of </w:t>
      </w:r>
      <w:proofErr w:type="spellStart"/>
      <w:r w:rsidRPr="00FC4CA6">
        <w:rPr>
          <w:b/>
          <w:bCs/>
        </w:rPr>
        <w:t>Ozempic</w:t>
      </w:r>
      <w:proofErr w:type="spellEnd"/>
      <w:r w:rsidRPr="00E208C5">
        <w:rPr>
          <w:b/>
          <w:bCs/>
          <w:vertAlign w:val="superscript"/>
        </w:rPr>
        <w:t>®</w:t>
      </w:r>
      <w:r w:rsidRPr="00E208C5">
        <w:rPr>
          <w:b/>
          <w:bCs/>
        </w:rPr>
        <w:t xml:space="preserve"> compared to insulin glargine (SUSTAIN 4)</w:t>
      </w:r>
      <w:bookmarkEnd w:id="76"/>
      <w:bookmarkEnd w:id="77"/>
      <w:bookmarkEnd w:id="78"/>
    </w:p>
    <w:tbl>
      <w:tblPr>
        <w:tblW w:w="9180"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794"/>
        <w:gridCol w:w="1795"/>
        <w:gridCol w:w="1795"/>
        <w:gridCol w:w="1796"/>
      </w:tblGrid>
      <w:tr w:rsidR="008E3101" w:rsidRPr="00E208C5" w14:paraId="460AB0DC" w14:textId="77777777" w:rsidTr="003930BC">
        <w:trPr>
          <w:trHeight w:val="460"/>
        </w:trPr>
        <w:tc>
          <w:tcPr>
            <w:tcW w:w="3794" w:type="dxa"/>
            <w:tcBorders>
              <w:top w:val="single" w:sz="4" w:space="0" w:color="auto"/>
              <w:left w:val="single" w:sz="4" w:space="0" w:color="auto"/>
              <w:bottom w:val="single" w:sz="4" w:space="0" w:color="auto"/>
              <w:right w:val="single" w:sz="4" w:space="0" w:color="auto"/>
            </w:tcBorders>
          </w:tcPr>
          <w:p w14:paraId="39519C9F" w14:textId="77777777" w:rsidR="008E3101" w:rsidRPr="00E208C5" w:rsidRDefault="008E3101" w:rsidP="003930BC">
            <w:pPr>
              <w:pStyle w:val="TableText"/>
              <w:spacing w:after="0" w:line="240" w:lineRule="auto"/>
              <w:rPr>
                <w:lang w:val="en-AU"/>
              </w:rPr>
            </w:pPr>
          </w:p>
        </w:tc>
        <w:tc>
          <w:tcPr>
            <w:tcW w:w="17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F255A2" w14:textId="77777777" w:rsidR="008E3101" w:rsidRPr="00E208C5" w:rsidRDefault="008E3101" w:rsidP="003930BC">
            <w:pPr>
              <w:pStyle w:val="TableText"/>
              <w:spacing w:after="0" w:line="240" w:lineRule="auto"/>
              <w:rPr>
                <w:b/>
                <w:lang w:val="en-AU"/>
              </w:rPr>
            </w:pPr>
            <w:proofErr w:type="spellStart"/>
            <w:r w:rsidRPr="00E208C5">
              <w:rPr>
                <w:b/>
                <w:lang w:val="en-AU"/>
              </w:rPr>
              <w:t>Ozempic</w:t>
            </w:r>
            <w:proofErr w:type="spellEnd"/>
            <w:r w:rsidR="003930BC" w:rsidRPr="00E208C5">
              <w:rPr>
                <w:b/>
                <w:lang w:val="en-AU"/>
              </w:rPr>
              <w:t xml:space="preserve"> </w:t>
            </w:r>
            <w:r w:rsidRPr="00E208C5">
              <w:rPr>
                <w:b/>
                <w:lang w:val="en-AU"/>
              </w:rPr>
              <w:t>0.5 mg</w:t>
            </w:r>
          </w:p>
        </w:tc>
        <w:tc>
          <w:tcPr>
            <w:tcW w:w="17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CBE17A" w14:textId="77777777" w:rsidR="008E3101" w:rsidRPr="00E208C5" w:rsidRDefault="008E3101" w:rsidP="003930BC">
            <w:pPr>
              <w:pStyle w:val="TableText"/>
              <w:spacing w:after="0" w:line="240" w:lineRule="auto"/>
              <w:rPr>
                <w:b/>
                <w:lang w:val="en-AU"/>
              </w:rPr>
            </w:pPr>
            <w:proofErr w:type="spellStart"/>
            <w:r w:rsidRPr="00E208C5">
              <w:rPr>
                <w:b/>
                <w:lang w:val="en-AU"/>
              </w:rPr>
              <w:t>Ozempic</w:t>
            </w:r>
            <w:proofErr w:type="spellEnd"/>
            <w:r w:rsidR="003930BC" w:rsidRPr="00E208C5">
              <w:rPr>
                <w:b/>
                <w:lang w:val="en-AU"/>
              </w:rPr>
              <w:t xml:space="preserve"> </w:t>
            </w:r>
            <w:r w:rsidRPr="00E208C5">
              <w:rPr>
                <w:b/>
                <w:lang w:val="en-AU"/>
              </w:rPr>
              <w:t>1 mg</w:t>
            </w:r>
          </w:p>
        </w:tc>
        <w:tc>
          <w:tcPr>
            <w:tcW w:w="1796" w:type="dxa"/>
            <w:tcBorders>
              <w:top w:val="single" w:sz="4" w:space="0" w:color="auto"/>
              <w:left w:val="single" w:sz="4" w:space="0" w:color="auto"/>
              <w:bottom w:val="single" w:sz="4" w:space="0" w:color="auto"/>
              <w:right w:val="single" w:sz="4" w:space="0" w:color="auto"/>
            </w:tcBorders>
            <w:hideMark/>
          </w:tcPr>
          <w:p w14:paraId="6195AC95" w14:textId="77777777" w:rsidR="008E3101" w:rsidRPr="00E208C5" w:rsidRDefault="008E3101" w:rsidP="003930BC">
            <w:pPr>
              <w:pStyle w:val="TableText"/>
              <w:spacing w:after="0" w:line="240" w:lineRule="auto"/>
              <w:rPr>
                <w:b/>
                <w:lang w:val="en-AU"/>
              </w:rPr>
            </w:pPr>
            <w:r w:rsidRPr="00E208C5">
              <w:rPr>
                <w:b/>
                <w:lang w:val="en-AU"/>
              </w:rPr>
              <w:t>Insulin glargine</w:t>
            </w:r>
          </w:p>
        </w:tc>
      </w:tr>
      <w:tr w:rsidR="008E3101" w:rsidRPr="00E208C5" w14:paraId="0D5D7B12" w14:textId="77777777" w:rsidTr="003930BC">
        <w:trPr>
          <w:trHeight w:val="350"/>
        </w:trPr>
        <w:tc>
          <w:tcPr>
            <w:tcW w:w="3794" w:type="dxa"/>
            <w:tcBorders>
              <w:top w:val="single" w:sz="4" w:space="0" w:color="auto"/>
              <w:left w:val="single" w:sz="4" w:space="0" w:color="auto"/>
              <w:bottom w:val="single" w:sz="4" w:space="0" w:color="auto"/>
              <w:right w:val="single" w:sz="4" w:space="0" w:color="auto"/>
            </w:tcBorders>
          </w:tcPr>
          <w:p w14:paraId="232FD4DF" w14:textId="77777777" w:rsidR="008E3101" w:rsidRPr="00E208C5" w:rsidRDefault="008E3101" w:rsidP="003930BC">
            <w:pPr>
              <w:pStyle w:val="TableText"/>
              <w:spacing w:after="0" w:line="240" w:lineRule="auto"/>
              <w:rPr>
                <w:lang w:val="en-AU"/>
              </w:rPr>
            </w:pPr>
            <w:r w:rsidRPr="00E208C5">
              <w:rPr>
                <w:lang w:val="en-AU"/>
              </w:rPr>
              <w:t>Intent-to-Treat (ITT) Population (N)</w:t>
            </w:r>
          </w:p>
        </w:tc>
        <w:tc>
          <w:tcPr>
            <w:tcW w:w="17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062688" w14:textId="77777777" w:rsidR="008E3101" w:rsidRPr="00E208C5" w:rsidRDefault="008E3101" w:rsidP="003930BC">
            <w:pPr>
              <w:pStyle w:val="TableText"/>
              <w:spacing w:after="0" w:line="240" w:lineRule="auto"/>
              <w:rPr>
                <w:lang w:val="en-AU"/>
              </w:rPr>
            </w:pPr>
            <w:r w:rsidRPr="00E208C5">
              <w:rPr>
                <w:lang w:val="en-AU"/>
              </w:rPr>
              <w:t>362</w:t>
            </w:r>
          </w:p>
        </w:tc>
        <w:tc>
          <w:tcPr>
            <w:tcW w:w="17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012019" w14:textId="77777777" w:rsidR="008E3101" w:rsidRPr="00E208C5" w:rsidRDefault="008E3101" w:rsidP="003930BC">
            <w:pPr>
              <w:pStyle w:val="TableText"/>
              <w:spacing w:after="0" w:line="240" w:lineRule="auto"/>
              <w:rPr>
                <w:lang w:val="en-AU"/>
              </w:rPr>
            </w:pPr>
            <w:r w:rsidRPr="00E208C5">
              <w:rPr>
                <w:lang w:val="en-AU"/>
              </w:rPr>
              <w:t>360</w:t>
            </w:r>
          </w:p>
        </w:tc>
        <w:tc>
          <w:tcPr>
            <w:tcW w:w="1796" w:type="dxa"/>
            <w:tcBorders>
              <w:top w:val="single" w:sz="4" w:space="0" w:color="auto"/>
              <w:left w:val="single" w:sz="4" w:space="0" w:color="auto"/>
              <w:bottom w:val="single" w:sz="4" w:space="0" w:color="auto"/>
              <w:right w:val="single" w:sz="4" w:space="0" w:color="auto"/>
            </w:tcBorders>
          </w:tcPr>
          <w:p w14:paraId="7639401C" w14:textId="77777777" w:rsidR="008E3101" w:rsidRPr="00E208C5" w:rsidRDefault="008E3101" w:rsidP="003930BC">
            <w:pPr>
              <w:pStyle w:val="TableText"/>
              <w:spacing w:after="0" w:line="240" w:lineRule="auto"/>
              <w:rPr>
                <w:lang w:val="en-AU"/>
              </w:rPr>
            </w:pPr>
            <w:r w:rsidRPr="00E208C5">
              <w:rPr>
                <w:lang w:val="en-AU"/>
              </w:rPr>
              <w:t>360</w:t>
            </w:r>
          </w:p>
        </w:tc>
      </w:tr>
      <w:tr w:rsidR="006C13DB" w:rsidRPr="00E208C5" w14:paraId="4F176044" w14:textId="77777777" w:rsidTr="003930BC">
        <w:trPr>
          <w:trHeight w:val="225"/>
        </w:trPr>
        <w:tc>
          <w:tcPr>
            <w:tcW w:w="3794" w:type="dxa"/>
            <w:tcBorders>
              <w:top w:val="single" w:sz="4" w:space="0" w:color="auto"/>
              <w:left w:val="single" w:sz="4" w:space="0" w:color="auto"/>
              <w:bottom w:val="single" w:sz="4" w:space="0" w:color="auto"/>
              <w:right w:val="nil"/>
            </w:tcBorders>
            <w:hideMark/>
          </w:tcPr>
          <w:p w14:paraId="56470F9E" w14:textId="77777777" w:rsidR="006C13DB" w:rsidRPr="00E208C5" w:rsidRDefault="006C13DB" w:rsidP="003930BC">
            <w:pPr>
              <w:pStyle w:val="TableText"/>
              <w:spacing w:after="0" w:line="240" w:lineRule="auto"/>
              <w:rPr>
                <w:i/>
                <w:lang w:val="en-AU"/>
              </w:rPr>
            </w:pPr>
            <w:r w:rsidRPr="00E208C5">
              <w:rPr>
                <w:lang w:val="en-AU"/>
              </w:rPr>
              <w:t>HbA</w:t>
            </w:r>
            <w:r w:rsidRPr="00E208C5">
              <w:rPr>
                <w:vertAlign w:val="subscript"/>
                <w:lang w:val="en-AU"/>
              </w:rPr>
              <w:t xml:space="preserve">1c </w:t>
            </w:r>
            <w:r w:rsidRPr="00E208C5">
              <w:rPr>
                <w:lang w:val="en-AU"/>
              </w:rPr>
              <w:t>(%)</w:t>
            </w:r>
          </w:p>
        </w:tc>
        <w:tc>
          <w:tcPr>
            <w:tcW w:w="1795" w:type="dxa"/>
            <w:tcBorders>
              <w:top w:val="single" w:sz="4" w:space="0" w:color="auto"/>
              <w:left w:val="nil"/>
              <w:bottom w:val="single" w:sz="4" w:space="0" w:color="auto"/>
              <w:right w:val="nil"/>
            </w:tcBorders>
          </w:tcPr>
          <w:p w14:paraId="7F2F156F" w14:textId="77777777" w:rsidR="006C13DB" w:rsidRPr="00E208C5" w:rsidRDefault="006C13DB" w:rsidP="003930BC">
            <w:pPr>
              <w:pStyle w:val="TableText"/>
              <w:spacing w:after="0" w:line="240" w:lineRule="auto"/>
              <w:rPr>
                <w:lang w:val="en-AU"/>
              </w:rPr>
            </w:pPr>
          </w:p>
        </w:tc>
        <w:tc>
          <w:tcPr>
            <w:tcW w:w="1795" w:type="dxa"/>
            <w:tcBorders>
              <w:top w:val="single" w:sz="4" w:space="0" w:color="auto"/>
              <w:left w:val="nil"/>
              <w:bottom w:val="single" w:sz="4" w:space="0" w:color="auto"/>
              <w:right w:val="nil"/>
            </w:tcBorders>
          </w:tcPr>
          <w:p w14:paraId="4C5638E3" w14:textId="77777777" w:rsidR="006C13DB" w:rsidRPr="00E208C5" w:rsidRDefault="006C13DB" w:rsidP="003930BC">
            <w:pPr>
              <w:pStyle w:val="TableText"/>
              <w:spacing w:after="0" w:line="240" w:lineRule="auto"/>
              <w:rPr>
                <w:lang w:val="en-AU"/>
              </w:rPr>
            </w:pPr>
          </w:p>
        </w:tc>
        <w:tc>
          <w:tcPr>
            <w:tcW w:w="1796" w:type="dxa"/>
            <w:tcBorders>
              <w:top w:val="single" w:sz="4" w:space="0" w:color="auto"/>
              <w:left w:val="nil"/>
              <w:bottom w:val="single" w:sz="4" w:space="0" w:color="auto"/>
              <w:right w:val="single" w:sz="4" w:space="0" w:color="auto"/>
            </w:tcBorders>
          </w:tcPr>
          <w:p w14:paraId="22D13628" w14:textId="77777777" w:rsidR="006C13DB" w:rsidRPr="00E208C5" w:rsidRDefault="006C13DB" w:rsidP="003930BC">
            <w:pPr>
              <w:pStyle w:val="TableText"/>
              <w:spacing w:after="0" w:line="240" w:lineRule="auto"/>
              <w:rPr>
                <w:lang w:val="en-AU"/>
              </w:rPr>
            </w:pPr>
          </w:p>
        </w:tc>
      </w:tr>
      <w:tr w:rsidR="008E3101" w:rsidRPr="00E208C5" w14:paraId="76BD358D" w14:textId="77777777" w:rsidTr="003930BC">
        <w:trPr>
          <w:trHeight w:val="204"/>
        </w:trPr>
        <w:tc>
          <w:tcPr>
            <w:tcW w:w="3794" w:type="dxa"/>
            <w:tcBorders>
              <w:top w:val="single" w:sz="4" w:space="0" w:color="auto"/>
              <w:left w:val="single" w:sz="4" w:space="0" w:color="auto"/>
              <w:bottom w:val="single" w:sz="4" w:space="0" w:color="auto"/>
              <w:right w:val="single" w:sz="4" w:space="0" w:color="auto"/>
            </w:tcBorders>
            <w:hideMark/>
          </w:tcPr>
          <w:p w14:paraId="4ED4F256" w14:textId="77777777" w:rsidR="008E3101" w:rsidRPr="00E208C5" w:rsidRDefault="008E3101" w:rsidP="003930BC">
            <w:pPr>
              <w:pStyle w:val="TableText"/>
              <w:spacing w:after="0" w:line="240" w:lineRule="auto"/>
              <w:rPr>
                <w:b/>
                <w:bCs/>
                <w:lang w:val="en-AU"/>
              </w:rPr>
            </w:pPr>
            <w:r w:rsidRPr="00E208C5">
              <w:rPr>
                <w:lang w:val="en-AU"/>
              </w:rPr>
              <w:t>Baseline (mean)</w:t>
            </w:r>
          </w:p>
        </w:tc>
        <w:tc>
          <w:tcPr>
            <w:tcW w:w="1795" w:type="dxa"/>
            <w:tcBorders>
              <w:top w:val="single" w:sz="4" w:space="0" w:color="auto"/>
              <w:left w:val="single" w:sz="4" w:space="0" w:color="auto"/>
              <w:bottom w:val="single" w:sz="4" w:space="0" w:color="auto"/>
              <w:right w:val="single" w:sz="4" w:space="0" w:color="auto"/>
            </w:tcBorders>
            <w:hideMark/>
          </w:tcPr>
          <w:p w14:paraId="5A619AB7" w14:textId="77777777" w:rsidR="008E3101" w:rsidRPr="00E208C5" w:rsidRDefault="008E3101" w:rsidP="003930BC">
            <w:pPr>
              <w:pStyle w:val="TableText"/>
              <w:spacing w:after="0" w:line="240" w:lineRule="auto"/>
              <w:rPr>
                <w:lang w:val="en-AU"/>
              </w:rPr>
            </w:pPr>
            <w:r w:rsidRPr="00E208C5">
              <w:rPr>
                <w:lang w:val="en-AU"/>
              </w:rPr>
              <w:t>8.1</w:t>
            </w:r>
          </w:p>
        </w:tc>
        <w:tc>
          <w:tcPr>
            <w:tcW w:w="1795" w:type="dxa"/>
            <w:tcBorders>
              <w:top w:val="single" w:sz="4" w:space="0" w:color="auto"/>
              <w:left w:val="single" w:sz="4" w:space="0" w:color="auto"/>
              <w:bottom w:val="single" w:sz="4" w:space="0" w:color="auto"/>
              <w:right w:val="single" w:sz="4" w:space="0" w:color="auto"/>
            </w:tcBorders>
            <w:hideMark/>
          </w:tcPr>
          <w:p w14:paraId="6D7957A3" w14:textId="77777777" w:rsidR="008E3101" w:rsidRPr="00E208C5" w:rsidRDefault="008E3101" w:rsidP="003930BC">
            <w:pPr>
              <w:pStyle w:val="TableText"/>
              <w:spacing w:after="0" w:line="240" w:lineRule="auto"/>
              <w:rPr>
                <w:lang w:val="en-AU"/>
              </w:rPr>
            </w:pPr>
            <w:r w:rsidRPr="00E208C5">
              <w:rPr>
                <w:lang w:val="en-AU"/>
              </w:rPr>
              <w:t>8.2</w:t>
            </w:r>
          </w:p>
        </w:tc>
        <w:tc>
          <w:tcPr>
            <w:tcW w:w="1796" w:type="dxa"/>
            <w:tcBorders>
              <w:top w:val="single" w:sz="4" w:space="0" w:color="auto"/>
              <w:left w:val="single" w:sz="4" w:space="0" w:color="auto"/>
              <w:bottom w:val="single" w:sz="4" w:space="0" w:color="auto"/>
              <w:right w:val="single" w:sz="4" w:space="0" w:color="auto"/>
            </w:tcBorders>
            <w:hideMark/>
          </w:tcPr>
          <w:p w14:paraId="6323FD67" w14:textId="77777777" w:rsidR="008E3101" w:rsidRPr="00E208C5" w:rsidRDefault="008E3101" w:rsidP="003930BC">
            <w:pPr>
              <w:pStyle w:val="TableText"/>
              <w:spacing w:after="0" w:line="240" w:lineRule="auto"/>
              <w:rPr>
                <w:lang w:val="en-AU"/>
              </w:rPr>
            </w:pPr>
            <w:r w:rsidRPr="00E208C5">
              <w:rPr>
                <w:lang w:val="en-AU"/>
              </w:rPr>
              <w:t>8.1</w:t>
            </w:r>
          </w:p>
        </w:tc>
      </w:tr>
      <w:tr w:rsidR="008E3101" w:rsidRPr="00E208C5" w14:paraId="1E79D424" w14:textId="77777777" w:rsidTr="003930BC">
        <w:trPr>
          <w:trHeight w:val="204"/>
        </w:trPr>
        <w:tc>
          <w:tcPr>
            <w:tcW w:w="3794" w:type="dxa"/>
            <w:tcBorders>
              <w:top w:val="single" w:sz="4" w:space="0" w:color="auto"/>
              <w:left w:val="single" w:sz="4" w:space="0" w:color="auto"/>
              <w:bottom w:val="single" w:sz="4" w:space="0" w:color="auto"/>
              <w:right w:val="single" w:sz="4" w:space="0" w:color="auto"/>
            </w:tcBorders>
            <w:hideMark/>
          </w:tcPr>
          <w:p w14:paraId="53BC59F5" w14:textId="77777777" w:rsidR="008E3101" w:rsidRPr="00E208C5" w:rsidRDefault="008E3101" w:rsidP="003930BC">
            <w:pPr>
              <w:pStyle w:val="TableText"/>
              <w:spacing w:after="0" w:line="240" w:lineRule="auto"/>
              <w:rPr>
                <w:lang w:val="en-AU"/>
              </w:rPr>
            </w:pPr>
            <w:r w:rsidRPr="00E208C5">
              <w:rPr>
                <w:lang w:val="en-AU"/>
              </w:rPr>
              <w:t>Change from baseline at week 30</w:t>
            </w:r>
          </w:p>
        </w:tc>
        <w:tc>
          <w:tcPr>
            <w:tcW w:w="1795" w:type="dxa"/>
            <w:tcBorders>
              <w:top w:val="single" w:sz="4" w:space="0" w:color="auto"/>
              <w:left w:val="single" w:sz="4" w:space="0" w:color="auto"/>
              <w:bottom w:val="single" w:sz="4" w:space="0" w:color="auto"/>
              <w:right w:val="single" w:sz="4" w:space="0" w:color="auto"/>
            </w:tcBorders>
            <w:hideMark/>
          </w:tcPr>
          <w:p w14:paraId="7BD3F008" w14:textId="77777777" w:rsidR="008E3101" w:rsidRPr="00E208C5" w:rsidRDefault="008E3101" w:rsidP="003930BC">
            <w:pPr>
              <w:pStyle w:val="TableText"/>
              <w:spacing w:after="0" w:line="240" w:lineRule="auto"/>
              <w:rPr>
                <w:lang w:val="en-AU"/>
              </w:rPr>
            </w:pPr>
            <w:r w:rsidRPr="00E208C5">
              <w:rPr>
                <w:lang w:val="en-AU"/>
              </w:rPr>
              <w:t>-1.2</w:t>
            </w:r>
          </w:p>
        </w:tc>
        <w:tc>
          <w:tcPr>
            <w:tcW w:w="1795" w:type="dxa"/>
            <w:tcBorders>
              <w:top w:val="single" w:sz="4" w:space="0" w:color="auto"/>
              <w:left w:val="single" w:sz="4" w:space="0" w:color="auto"/>
              <w:bottom w:val="single" w:sz="4" w:space="0" w:color="auto"/>
              <w:right w:val="single" w:sz="4" w:space="0" w:color="auto"/>
            </w:tcBorders>
            <w:hideMark/>
          </w:tcPr>
          <w:p w14:paraId="0CAC4F8E" w14:textId="77777777" w:rsidR="008E3101" w:rsidRPr="00E208C5" w:rsidRDefault="008E3101" w:rsidP="003930BC">
            <w:pPr>
              <w:pStyle w:val="TableText"/>
              <w:spacing w:after="0" w:line="240" w:lineRule="auto"/>
              <w:rPr>
                <w:lang w:val="en-AU"/>
              </w:rPr>
            </w:pPr>
            <w:r w:rsidRPr="00E208C5">
              <w:rPr>
                <w:lang w:val="en-AU"/>
              </w:rPr>
              <w:t>-1.6</w:t>
            </w:r>
          </w:p>
        </w:tc>
        <w:tc>
          <w:tcPr>
            <w:tcW w:w="1796" w:type="dxa"/>
            <w:tcBorders>
              <w:top w:val="single" w:sz="4" w:space="0" w:color="auto"/>
              <w:left w:val="single" w:sz="4" w:space="0" w:color="auto"/>
              <w:bottom w:val="single" w:sz="4" w:space="0" w:color="auto"/>
              <w:right w:val="single" w:sz="4" w:space="0" w:color="auto"/>
            </w:tcBorders>
            <w:hideMark/>
          </w:tcPr>
          <w:p w14:paraId="4974BCBF" w14:textId="77777777" w:rsidR="008E3101" w:rsidRPr="00E208C5" w:rsidRDefault="008E3101" w:rsidP="003930BC">
            <w:pPr>
              <w:pStyle w:val="TableText"/>
              <w:spacing w:after="0" w:line="240" w:lineRule="auto"/>
              <w:rPr>
                <w:lang w:val="en-AU"/>
              </w:rPr>
            </w:pPr>
            <w:r w:rsidRPr="00E208C5">
              <w:rPr>
                <w:lang w:val="en-AU"/>
              </w:rPr>
              <w:t>-0.8</w:t>
            </w:r>
          </w:p>
        </w:tc>
      </w:tr>
      <w:tr w:rsidR="008E3101" w:rsidRPr="00E208C5" w14:paraId="5E695FBE" w14:textId="77777777" w:rsidTr="003930BC">
        <w:trPr>
          <w:trHeight w:val="576"/>
        </w:trPr>
        <w:tc>
          <w:tcPr>
            <w:tcW w:w="3794" w:type="dxa"/>
            <w:tcBorders>
              <w:top w:val="single" w:sz="4" w:space="0" w:color="auto"/>
              <w:left w:val="single" w:sz="4" w:space="0" w:color="auto"/>
              <w:bottom w:val="single" w:sz="4" w:space="0" w:color="auto"/>
              <w:right w:val="single" w:sz="4" w:space="0" w:color="auto"/>
            </w:tcBorders>
            <w:hideMark/>
          </w:tcPr>
          <w:p w14:paraId="42CC1A02" w14:textId="77777777" w:rsidR="008E3101" w:rsidRPr="00E208C5" w:rsidRDefault="008E3101" w:rsidP="003930BC">
            <w:pPr>
              <w:pStyle w:val="TableText"/>
              <w:spacing w:after="0" w:line="240" w:lineRule="auto"/>
              <w:rPr>
                <w:lang w:val="en-AU"/>
              </w:rPr>
            </w:pPr>
            <w:r w:rsidRPr="00E208C5">
              <w:rPr>
                <w:lang w:val="en-AU"/>
              </w:rPr>
              <w:t xml:space="preserve">Difference from insulin glargine </w:t>
            </w:r>
          </w:p>
          <w:p w14:paraId="2B0E89A8" w14:textId="77777777" w:rsidR="008E3101" w:rsidRPr="00E208C5" w:rsidRDefault="008E3101" w:rsidP="003930BC">
            <w:pPr>
              <w:pStyle w:val="TableText"/>
              <w:spacing w:after="0" w:line="240" w:lineRule="auto"/>
              <w:rPr>
                <w:lang w:val="en-AU"/>
              </w:rPr>
            </w:pPr>
            <w:r w:rsidRPr="00E208C5">
              <w:rPr>
                <w:lang w:val="en-AU"/>
              </w:rPr>
              <w:t xml:space="preserve"> [95% CI]</w:t>
            </w:r>
          </w:p>
        </w:tc>
        <w:tc>
          <w:tcPr>
            <w:tcW w:w="1795" w:type="dxa"/>
            <w:tcBorders>
              <w:top w:val="single" w:sz="4" w:space="0" w:color="auto"/>
              <w:left w:val="single" w:sz="4" w:space="0" w:color="auto"/>
              <w:bottom w:val="single" w:sz="4" w:space="0" w:color="auto"/>
              <w:right w:val="single" w:sz="4" w:space="0" w:color="auto"/>
            </w:tcBorders>
            <w:hideMark/>
          </w:tcPr>
          <w:p w14:paraId="67C3BE15" w14:textId="77777777" w:rsidR="008E3101" w:rsidRPr="00E208C5" w:rsidRDefault="008E3101" w:rsidP="003930BC">
            <w:pPr>
              <w:pStyle w:val="TableText"/>
              <w:spacing w:after="0" w:line="240" w:lineRule="auto"/>
              <w:rPr>
                <w:lang w:val="en-AU"/>
              </w:rPr>
            </w:pPr>
            <w:r w:rsidRPr="00E208C5">
              <w:rPr>
                <w:lang w:val="en-AU"/>
              </w:rPr>
              <w:t>-0.4</w:t>
            </w:r>
          </w:p>
          <w:p w14:paraId="5B60137A" w14:textId="77777777" w:rsidR="008E3101" w:rsidRPr="00E208C5" w:rsidRDefault="008E3101" w:rsidP="003930BC">
            <w:pPr>
              <w:pStyle w:val="TableText"/>
              <w:spacing w:after="0" w:line="240" w:lineRule="auto"/>
              <w:rPr>
                <w:vertAlign w:val="superscript"/>
                <w:lang w:val="en-AU"/>
              </w:rPr>
            </w:pPr>
            <w:r w:rsidRPr="00E208C5">
              <w:rPr>
                <w:lang w:val="en-AU"/>
              </w:rPr>
              <w:t>[-0.5; -0.2]</w:t>
            </w:r>
            <w:r w:rsidRPr="00E208C5">
              <w:rPr>
                <w:vertAlign w:val="superscript"/>
                <w:lang w:val="en-AU"/>
              </w:rPr>
              <w:t>a</w:t>
            </w:r>
          </w:p>
        </w:tc>
        <w:tc>
          <w:tcPr>
            <w:tcW w:w="1795" w:type="dxa"/>
            <w:tcBorders>
              <w:top w:val="single" w:sz="4" w:space="0" w:color="auto"/>
              <w:left w:val="single" w:sz="4" w:space="0" w:color="auto"/>
              <w:bottom w:val="single" w:sz="4" w:space="0" w:color="auto"/>
              <w:right w:val="single" w:sz="4" w:space="0" w:color="auto"/>
            </w:tcBorders>
            <w:hideMark/>
          </w:tcPr>
          <w:p w14:paraId="0FD82616" w14:textId="77777777" w:rsidR="008E3101" w:rsidRPr="00E208C5" w:rsidRDefault="008E3101" w:rsidP="003930BC">
            <w:pPr>
              <w:pStyle w:val="TableText"/>
              <w:spacing w:after="0" w:line="240" w:lineRule="auto"/>
              <w:rPr>
                <w:lang w:val="en-AU"/>
              </w:rPr>
            </w:pPr>
            <w:r w:rsidRPr="00E208C5">
              <w:rPr>
                <w:lang w:val="en-AU"/>
              </w:rPr>
              <w:t>-0.8</w:t>
            </w:r>
          </w:p>
          <w:p w14:paraId="7239C9A5" w14:textId="77777777" w:rsidR="008E3101" w:rsidRPr="00E208C5" w:rsidRDefault="008E3101" w:rsidP="003930BC">
            <w:pPr>
              <w:pStyle w:val="TableText"/>
              <w:spacing w:after="0" w:line="240" w:lineRule="auto"/>
              <w:rPr>
                <w:vertAlign w:val="superscript"/>
                <w:lang w:val="en-AU"/>
              </w:rPr>
            </w:pPr>
            <w:r w:rsidRPr="00E208C5">
              <w:rPr>
                <w:lang w:val="en-AU"/>
              </w:rPr>
              <w:t>[-1.0; -0.7]</w:t>
            </w:r>
            <w:r w:rsidRPr="00E208C5">
              <w:rPr>
                <w:vertAlign w:val="superscript"/>
                <w:lang w:val="en-AU"/>
              </w:rPr>
              <w:t>a</w:t>
            </w:r>
          </w:p>
        </w:tc>
        <w:tc>
          <w:tcPr>
            <w:tcW w:w="1796" w:type="dxa"/>
            <w:tcBorders>
              <w:top w:val="single" w:sz="4" w:space="0" w:color="auto"/>
              <w:left w:val="single" w:sz="4" w:space="0" w:color="auto"/>
              <w:bottom w:val="single" w:sz="4" w:space="0" w:color="auto"/>
              <w:right w:val="single" w:sz="4" w:space="0" w:color="auto"/>
            </w:tcBorders>
            <w:hideMark/>
          </w:tcPr>
          <w:p w14:paraId="2DF9ACDD" w14:textId="77777777" w:rsidR="008E3101" w:rsidRPr="00E208C5" w:rsidRDefault="008E3101" w:rsidP="003930BC">
            <w:pPr>
              <w:pStyle w:val="TableText"/>
              <w:spacing w:after="0" w:line="240" w:lineRule="auto"/>
              <w:rPr>
                <w:lang w:val="en-AU"/>
              </w:rPr>
            </w:pPr>
            <w:r w:rsidRPr="00E208C5">
              <w:rPr>
                <w:lang w:val="en-AU"/>
              </w:rPr>
              <w:t>-</w:t>
            </w:r>
          </w:p>
        </w:tc>
      </w:tr>
      <w:tr w:rsidR="008E3101" w:rsidRPr="00E208C5" w14:paraId="575CE014" w14:textId="77777777" w:rsidTr="003930BC">
        <w:trPr>
          <w:trHeight w:val="108"/>
        </w:trPr>
        <w:tc>
          <w:tcPr>
            <w:tcW w:w="3794" w:type="dxa"/>
            <w:tcBorders>
              <w:top w:val="single" w:sz="4" w:space="0" w:color="auto"/>
              <w:left w:val="single" w:sz="4" w:space="0" w:color="auto"/>
              <w:bottom w:val="single" w:sz="4" w:space="0" w:color="auto"/>
              <w:right w:val="single" w:sz="4" w:space="0" w:color="auto"/>
            </w:tcBorders>
            <w:hideMark/>
          </w:tcPr>
          <w:p w14:paraId="0B8AE47A" w14:textId="77777777" w:rsidR="008E3101" w:rsidRPr="00E208C5" w:rsidRDefault="008E3101" w:rsidP="003930BC">
            <w:pPr>
              <w:pStyle w:val="TableText"/>
              <w:spacing w:after="0" w:line="240" w:lineRule="auto"/>
              <w:rPr>
                <w:lang w:val="en-AU"/>
              </w:rPr>
            </w:pPr>
            <w:r w:rsidRPr="00E208C5">
              <w:rPr>
                <w:lang w:val="en-AU"/>
              </w:rPr>
              <w:t>Patients (%) achieving HbA</w:t>
            </w:r>
            <w:r w:rsidRPr="00E208C5">
              <w:rPr>
                <w:vertAlign w:val="subscript"/>
                <w:lang w:val="en-AU"/>
              </w:rPr>
              <w:t>1c</w:t>
            </w:r>
            <w:r w:rsidRPr="00E208C5">
              <w:rPr>
                <w:lang w:val="en-AU"/>
              </w:rPr>
              <w:t xml:space="preserve"> &lt;7%</w:t>
            </w:r>
          </w:p>
        </w:tc>
        <w:tc>
          <w:tcPr>
            <w:tcW w:w="1795" w:type="dxa"/>
            <w:tcBorders>
              <w:top w:val="single" w:sz="4" w:space="0" w:color="auto"/>
              <w:left w:val="single" w:sz="4" w:space="0" w:color="auto"/>
              <w:bottom w:val="single" w:sz="4" w:space="0" w:color="auto"/>
              <w:right w:val="single" w:sz="4" w:space="0" w:color="auto"/>
            </w:tcBorders>
            <w:hideMark/>
          </w:tcPr>
          <w:p w14:paraId="6A6BD7BC" w14:textId="77777777" w:rsidR="008E3101" w:rsidRPr="00E208C5" w:rsidRDefault="008E3101" w:rsidP="003930BC">
            <w:pPr>
              <w:pStyle w:val="TableText"/>
              <w:spacing w:after="0" w:line="240" w:lineRule="auto"/>
              <w:rPr>
                <w:lang w:val="en-AU"/>
              </w:rPr>
            </w:pPr>
            <w:r w:rsidRPr="00E208C5">
              <w:rPr>
                <w:lang w:val="en-AU"/>
              </w:rPr>
              <w:t>57</w:t>
            </w:r>
            <w:r w:rsidRPr="00E208C5">
              <w:rPr>
                <w:vertAlign w:val="superscript"/>
                <w:lang w:val="en-AU"/>
              </w:rPr>
              <w:t>b</w:t>
            </w:r>
          </w:p>
        </w:tc>
        <w:tc>
          <w:tcPr>
            <w:tcW w:w="1795" w:type="dxa"/>
            <w:tcBorders>
              <w:top w:val="single" w:sz="4" w:space="0" w:color="auto"/>
              <w:left w:val="single" w:sz="4" w:space="0" w:color="auto"/>
              <w:bottom w:val="single" w:sz="4" w:space="0" w:color="auto"/>
              <w:right w:val="single" w:sz="4" w:space="0" w:color="auto"/>
            </w:tcBorders>
            <w:hideMark/>
          </w:tcPr>
          <w:p w14:paraId="46404913" w14:textId="77777777" w:rsidR="008E3101" w:rsidRPr="00E208C5" w:rsidRDefault="008E3101" w:rsidP="003930BC">
            <w:pPr>
              <w:pStyle w:val="TableText"/>
              <w:spacing w:after="0" w:line="240" w:lineRule="auto"/>
              <w:rPr>
                <w:lang w:val="en-AU"/>
              </w:rPr>
            </w:pPr>
            <w:r w:rsidRPr="00E208C5">
              <w:rPr>
                <w:lang w:val="en-AU"/>
              </w:rPr>
              <w:t>73</w:t>
            </w:r>
            <w:r w:rsidRPr="00E208C5">
              <w:rPr>
                <w:vertAlign w:val="superscript"/>
                <w:lang w:val="en-AU"/>
              </w:rPr>
              <w:t>b</w:t>
            </w:r>
          </w:p>
        </w:tc>
        <w:tc>
          <w:tcPr>
            <w:tcW w:w="1796" w:type="dxa"/>
            <w:tcBorders>
              <w:top w:val="single" w:sz="4" w:space="0" w:color="auto"/>
              <w:left w:val="single" w:sz="4" w:space="0" w:color="auto"/>
              <w:bottom w:val="single" w:sz="4" w:space="0" w:color="auto"/>
              <w:right w:val="single" w:sz="4" w:space="0" w:color="auto"/>
            </w:tcBorders>
            <w:hideMark/>
          </w:tcPr>
          <w:p w14:paraId="2B402875" w14:textId="77777777" w:rsidR="008E3101" w:rsidRPr="00E208C5" w:rsidRDefault="008E3101" w:rsidP="003930BC">
            <w:pPr>
              <w:pStyle w:val="TableText"/>
              <w:spacing w:after="0" w:line="240" w:lineRule="auto"/>
              <w:rPr>
                <w:lang w:val="en-AU"/>
              </w:rPr>
            </w:pPr>
            <w:r w:rsidRPr="00E208C5">
              <w:rPr>
                <w:lang w:val="en-AU"/>
              </w:rPr>
              <w:t>38</w:t>
            </w:r>
          </w:p>
        </w:tc>
      </w:tr>
      <w:tr w:rsidR="008E3101" w:rsidRPr="00E208C5" w14:paraId="5B8FBA4A" w14:textId="26021765" w:rsidTr="003930BC">
        <w:tc>
          <w:tcPr>
            <w:tcW w:w="3794" w:type="dxa"/>
            <w:tcBorders>
              <w:top w:val="single" w:sz="4" w:space="0" w:color="auto"/>
              <w:left w:val="single" w:sz="4" w:space="0" w:color="auto"/>
              <w:bottom w:val="single" w:sz="4" w:space="0" w:color="auto"/>
              <w:right w:val="single" w:sz="4" w:space="0" w:color="auto"/>
            </w:tcBorders>
            <w:hideMark/>
          </w:tcPr>
          <w:p w14:paraId="210D355C" w14:textId="0A326D1B" w:rsidR="008E3101" w:rsidRPr="00E208C5" w:rsidRDefault="008E3101" w:rsidP="003930BC">
            <w:pPr>
              <w:pStyle w:val="TableText"/>
              <w:spacing w:after="0" w:line="240" w:lineRule="auto"/>
              <w:rPr>
                <w:lang w:val="en-AU"/>
              </w:rPr>
            </w:pPr>
            <w:r w:rsidRPr="00E208C5">
              <w:rPr>
                <w:lang w:val="en-AU"/>
              </w:rPr>
              <w:t>Patients (%) achieving HbA</w:t>
            </w:r>
            <w:r w:rsidRPr="00E208C5">
              <w:rPr>
                <w:vertAlign w:val="subscript"/>
                <w:lang w:val="en-AU"/>
              </w:rPr>
              <w:t>1c</w:t>
            </w:r>
            <w:r w:rsidRPr="00E208C5">
              <w:rPr>
                <w:lang w:val="en-AU"/>
              </w:rPr>
              <w:t xml:space="preserve"> ≤6.5%</w:t>
            </w:r>
          </w:p>
        </w:tc>
        <w:tc>
          <w:tcPr>
            <w:tcW w:w="1795" w:type="dxa"/>
            <w:tcBorders>
              <w:top w:val="single" w:sz="4" w:space="0" w:color="auto"/>
              <w:left w:val="single" w:sz="4" w:space="0" w:color="auto"/>
              <w:bottom w:val="single" w:sz="4" w:space="0" w:color="auto"/>
              <w:right w:val="single" w:sz="4" w:space="0" w:color="auto"/>
            </w:tcBorders>
            <w:hideMark/>
          </w:tcPr>
          <w:p w14:paraId="12C4D8F3" w14:textId="49A91949" w:rsidR="008E3101" w:rsidRPr="00E208C5" w:rsidRDefault="008E3101" w:rsidP="003930BC">
            <w:pPr>
              <w:pStyle w:val="TableText"/>
              <w:spacing w:after="0" w:line="240" w:lineRule="auto"/>
              <w:rPr>
                <w:lang w:val="en-AU"/>
              </w:rPr>
            </w:pPr>
            <w:r w:rsidRPr="00E208C5">
              <w:rPr>
                <w:lang w:val="en-AU"/>
              </w:rPr>
              <w:t>37</w:t>
            </w:r>
            <w:r w:rsidRPr="00E208C5">
              <w:rPr>
                <w:vertAlign w:val="superscript"/>
                <w:lang w:val="en-AU"/>
              </w:rPr>
              <w:t>b</w:t>
            </w:r>
          </w:p>
        </w:tc>
        <w:tc>
          <w:tcPr>
            <w:tcW w:w="1795" w:type="dxa"/>
            <w:tcBorders>
              <w:top w:val="single" w:sz="4" w:space="0" w:color="auto"/>
              <w:left w:val="single" w:sz="4" w:space="0" w:color="auto"/>
              <w:bottom w:val="single" w:sz="4" w:space="0" w:color="auto"/>
              <w:right w:val="single" w:sz="4" w:space="0" w:color="auto"/>
            </w:tcBorders>
            <w:hideMark/>
          </w:tcPr>
          <w:p w14:paraId="24C3A38B" w14:textId="1149D394" w:rsidR="008E3101" w:rsidRPr="00E208C5" w:rsidRDefault="008E3101" w:rsidP="003930BC">
            <w:pPr>
              <w:pStyle w:val="TableText"/>
              <w:spacing w:after="0" w:line="240" w:lineRule="auto"/>
              <w:rPr>
                <w:lang w:val="en-AU"/>
              </w:rPr>
            </w:pPr>
            <w:r w:rsidRPr="00E208C5">
              <w:rPr>
                <w:lang w:val="en-AU"/>
              </w:rPr>
              <w:t>54</w:t>
            </w:r>
            <w:r w:rsidRPr="00E208C5">
              <w:rPr>
                <w:vertAlign w:val="superscript"/>
                <w:lang w:val="en-AU"/>
              </w:rPr>
              <w:t>b</w:t>
            </w:r>
          </w:p>
        </w:tc>
        <w:tc>
          <w:tcPr>
            <w:tcW w:w="1796" w:type="dxa"/>
            <w:tcBorders>
              <w:top w:val="single" w:sz="4" w:space="0" w:color="auto"/>
              <w:left w:val="single" w:sz="4" w:space="0" w:color="auto"/>
              <w:bottom w:val="single" w:sz="4" w:space="0" w:color="auto"/>
              <w:right w:val="single" w:sz="4" w:space="0" w:color="auto"/>
            </w:tcBorders>
            <w:hideMark/>
          </w:tcPr>
          <w:p w14:paraId="0065C6FE" w14:textId="58468FA8" w:rsidR="008E3101" w:rsidRPr="00E208C5" w:rsidRDefault="008E3101" w:rsidP="003930BC">
            <w:pPr>
              <w:pStyle w:val="TableText"/>
              <w:spacing w:after="0" w:line="240" w:lineRule="auto"/>
              <w:rPr>
                <w:lang w:val="en-AU"/>
              </w:rPr>
            </w:pPr>
            <w:r w:rsidRPr="00E208C5">
              <w:rPr>
                <w:lang w:val="en-AU"/>
              </w:rPr>
              <w:t>18</w:t>
            </w:r>
          </w:p>
        </w:tc>
      </w:tr>
      <w:tr w:rsidR="006C13DB" w:rsidRPr="00E208C5" w14:paraId="6F327604" w14:textId="77777777" w:rsidTr="003930BC">
        <w:trPr>
          <w:trHeight w:val="193"/>
        </w:trPr>
        <w:tc>
          <w:tcPr>
            <w:tcW w:w="3794" w:type="dxa"/>
            <w:tcBorders>
              <w:top w:val="single" w:sz="4" w:space="0" w:color="auto"/>
              <w:left w:val="single" w:sz="4" w:space="0" w:color="auto"/>
              <w:bottom w:val="single" w:sz="4" w:space="0" w:color="auto"/>
              <w:right w:val="nil"/>
            </w:tcBorders>
            <w:hideMark/>
          </w:tcPr>
          <w:p w14:paraId="33EA95AE" w14:textId="77777777" w:rsidR="006C13DB" w:rsidRPr="00E208C5" w:rsidRDefault="006C13DB" w:rsidP="003930BC">
            <w:pPr>
              <w:pStyle w:val="TableText"/>
              <w:spacing w:after="0" w:line="240" w:lineRule="auto"/>
              <w:rPr>
                <w:i/>
                <w:lang w:val="en-AU"/>
              </w:rPr>
            </w:pPr>
            <w:r w:rsidRPr="00E208C5">
              <w:rPr>
                <w:lang w:val="en-AU"/>
              </w:rPr>
              <w:t>FPG (mmol/l)</w:t>
            </w:r>
          </w:p>
        </w:tc>
        <w:tc>
          <w:tcPr>
            <w:tcW w:w="1795" w:type="dxa"/>
            <w:tcBorders>
              <w:top w:val="single" w:sz="4" w:space="0" w:color="auto"/>
              <w:left w:val="nil"/>
              <w:bottom w:val="single" w:sz="4" w:space="0" w:color="auto"/>
              <w:right w:val="nil"/>
            </w:tcBorders>
          </w:tcPr>
          <w:p w14:paraId="497D128C" w14:textId="77777777" w:rsidR="006C13DB" w:rsidRPr="00E208C5" w:rsidRDefault="006C13DB" w:rsidP="003930BC">
            <w:pPr>
              <w:pStyle w:val="TableText"/>
              <w:spacing w:after="0" w:line="240" w:lineRule="auto"/>
              <w:rPr>
                <w:lang w:val="en-AU"/>
              </w:rPr>
            </w:pPr>
          </w:p>
        </w:tc>
        <w:tc>
          <w:tcPr>
            <w:tcW w:w="1795" w:type="dxa"/>
            <w:tcBorders>
              <w:top w:val="single" w:sz="4" w:space="0" w:color="auto"/>
              <w:left w:val="nil"/>
              <w:bottom w:val="single" w:sz="4" w:space="0" w:color="auto"/>
              <w:right w:val="nil"/>
            </w:tcBorders>
          </w:tcPr>
          <w:p w14:paraId="5E3D52A2" w14:textId="77777777" w:rsidR="006C13DB" w:rsidRPr="00E208C5" w:rsidRDefault="006C13DB" w:rsidP="003930BC">
            <w:pPr>
              <w:pStyle w:val="TableText"/>
              <w:spacing w:after="0" w:line="240" w:lineRule="auto"/>
              <w:rPr>
                <w:lang w:val="en-AU"/>
              </w:rPr>
            </w:pPr>
          </w:p>
        </w:tc>
        <w:tc>
          <w:tcPr>
            <w:tcW w:w="1796" w:type="dxa"/>
            <w:tcBorders>
              <w:top w:val="single" w:sz="4" w:space="0" w:color="auto"/>
              <w:left w:val="nil"/>
              <w:bottom w:val="single" w:sz="4" w:space="0" w:color="auto"/>
              <w:right w:val="single" w:sz="4" w:space="0" w:color="auto"/>
            </w:tcBorders>
          </w:tcPr>
          <w:p w14:paraId="7197FF85" w14:textId="77777777" w:rsidR="006C13DB" w:rsidRPr="00E208C5" w:rsidRDefault="006C13DB" w:rsidP="003930BC">
            <w:pPr>
              <w:pStyle w:val="TableText"/>
              <w:spacing w:after="0" w:line="240" w:lineRule="auto"/>
              <w:rPr>
                <w:lang w:val="en-AU"/>
              </w:rPr>
            </w:pPr>
          </w:p>
        </w:tc>
      </w:tr>
      <w:tr w:rsidR="008E3101" w:rsidRPr="00E208C5" w14:paraId="466928B7" w14:textId="77777777" w:rsidTr="003930BC">
        <w:trPr>
          <w:trHeight w:val="182"/>
        </w:trPr>
        <w:tc>
          <w:tcPr>
            <w:tcW w:w="3794" w:type="dxa"/>
            <w:tcBorders>
              <w:top w:val="single" w:sz="4" w:space="0" w:color="auto"/>
              <w:left w:val="single" w:sz="4" w:space="0" w:color="auto"/>
              <w:bottom w:val="single" w:sz="4" w:space="0" w:color="auto"/>
              <w:right w:val="single" w:sz="4" w:space="0" w:color="auto"/>
            </w:tcBorders>
            <w:hideMark/>
          </w:tcPr>
          <w:p w14:paraId="7DE67C73" w14:textId="77777777" w:rsidR="008E3101" w:rsidRPr="00E208C5" w:rsidRDefault="008E3101" w:rsidP="003930BC">
            <w:pPr>
              <w:pStyle w:val="TableText"/>
              <w:spacing w:after="0" w:line="240" w:lineRule="auto"/>
              <w:rPr>
                <w:b/>
                <w:lang w:val="en-AU"/>
              </w:rPr>
            </w:pPr>
            <w:r w:rsidRPr="00E208C5">
              <w:rPr>
                <w:lang w:val="en-AU"/>
              </w:rPr>
              <w:t>Baseline (mean)</w:t>
            </w:r>
          </w:p>
        </w:tc>
        <w:tc>
          <w:tcPr>
            <w:tcW w:w="1795" w:type="dxa"/>
            <w:tcBorders>
              <w:top w:val="single" w:sz="4" w:space="0" w:color="auto"/>
              <w:left w:val="single" w:sz="4" w:space="0" w:color="auto"/>
              <w:bottom w:val="single" w:sz="4" w:space="0" w:color="auto"/>
              <w:right w:val="single" w:sz="4" w:space="0" w:color="auto"/>
            </w:tcBorders>
            <w:hideMark/>
          </w:tcPr>
          <w:p w14:paraId="0E413181" w14:textId="77777777" w:rsidR="008E3101" w:rsidRPr="00E208C5" w:rsidRDefault="008E3101" w:rsidP="003930BC">
            <w:pPr>
              <w:pStyle w:val="TableText"/>
              <w:spacing w:after="0" w:line="240" w:lineRule="auto"/>
              <w:rPr>
                <w:lang w:val="en-AU"/>
              </w:rPr>
            </w:pPr>
            <w:r w:rsidRPr="00E208C5">
              <w:rPr>
                <w:lang w:val="en-AU"/>
              </w:rPr>
              <w:t>9.6</w:t>
            </w:r>
          </w:p>
        </w:tc>
        <w:tc>
          <w:tcPr>
            <w:tcW w:w="1795" w:type="dxa"/>
            <w:tcBorders>
              <w:top w:val="single" w:sz="4" w:space="0" w:color="auto"/>
              <w:left w:val="single" w:sz="4" w:space="0" w:color="auto"/>
              <w:bottom w:val="single" w:sz="4" w:space="0" w:color="auto"/>
              <w:right w:val="single" w:sz="4" w:space="0" w:color="auto"/>
            </w:tcBorders>
            <w:hideMark/>
          </w:tcPr>
          <w:p w14:paraId="7614E0BA" w14:textId="77777777" w:rsidR="008E3101" w:rsidRPr="00E208C5" w:rsidRDefault="008E3101" w:rsidP="003930BC">
            <w:pPr>
              <w:pStyle w:val="TableText"/>
              <w:spacing w:after="0" w:line="240" w:lineRule="auto"/>
              <w:rPr>
                <w:lang w:val="en-AU"/>
              </w:rPr>
            </w:pPr>
            <w:r w:rsidRPr="00E208C5">
              <w:rPr>
                <w:lang w:val="en-AU"/>
              </w:rPr>
              <w:t>9.9</w:t>
            </w:r>
          </w:p>
        </w:tc>
        <w:tc>
          <w:tcPr>
            <w:tcW w:w="1796" w:type="dxa"/>
            <w:tcBorders>
              <w:top w:val="single" w:sz="4" w:space="0" w:color="auto"/>
              <w:left w:val="single" w:sz="4" w:space="0" w:color="auto"/>
              <w:bottom w:val="single" w:sz="4" w:space="0" w:color="auto"/>
              <w:right w:val="single" w:sz="4" w:space="0" w:color="auto"/>
            </w:tcBorders>
            <w:hideMark/>
          </w:tcPr>
          <w:p w14:paraId="19FE289F" w14:textId="77777777" w:rsidR="008E3101" w:rsidRPr="00E208C5" w:rsidRDefault="008E3101" w:rsidP="003930BC">
            <w:pPr>
              <w:pStyle w:val="TableText"/>
              <w:spacing w:after="0" w:line="240" w:lineRule="auto"/>
              <w:rPr>
                <w:lang w:val="en-AU"/>
              </w:rPr>
            </w:pPr>
            <w:r w:rsidRPr="00E208C5">
              <w:rPr>
                <w:lang w:val="en-AU"/>
              </w:rPr>
              <w:t>9.7</w:t>
            </w:r>
          </w:p>
        </w:tc>
      </w:tr>
      <w:tr w:rsidR="008E3101" w:rsidRPr="00E208C5" w14:paraId="3416B8AB" w14:textId="77777777" w:rsidTr="003930BC">
        <w:trPr>
          <w:trHeight w:val="216"/>
        </w:trPr>
        <w:tc>
          <w:tcPr>
            <w:tcW w:w="3794" w:type="dxa"/>
            <w:tcBorders>
              <w:top w:val="single" w:sz="4" w:space="0" w:color="auto"/>
              <w:left w:val="single" w:sz="4" w:space="0" w:color="auto"/>
              <w:bottom w:val="single" w:sz="4" w:space="0" w:color="auto"/>
              <w:right w:val="single" w:sz="4" w:space="0" w:color="auto"/>
            </w:tcBorders>
            <w:hideMark/>
          </w:tcPr>
          <w:p w14:paraId="4B4BBCDC" w14:textId="77777777" w:rsidR="008E3101" w:rsidRPr="00E208C5" w:rsidRDefault="008E3101" w:rsidP="003930BC">
            <w:pPr>
              <w:pStyle w:val="TableText"/>
              <w:spacing w:after="0" w:line="240" w:lineRule="auto"/>
              <w:rPr>
                <w:lang w:val="en-AU"/>
              </w:rPr>
            </w:pPr>
            <w:r w:rsidRPr="00E208C5">
              <w:rPr>
                <w:lang w:val="en-AU"/>
              </w:rPr>
              <w:t>Change from baseline at week 30</w:t>
            </w:r>
          </w:p>
        </w:tc>
        <w:tc>
          <w:tcPr>
            <w:tcW w:w="1795" w:type="dxa"/>
            <w:tcBorders>
              <w:top w:val="single" w:sz="4" w:space="0" w:color="auto"/>
              <w:left w:val="single" w:sz="4" w:space="0" w:color="auto"/>
              <w:bottom w:val="single" w:sz="4" w:space="0" w:color="auto"/>
              <w:right w:val="single" w:sz="4" w:space="0" w:color="auto"/>
            </w:tcBorders>
            <w:hideMark/>
          </w:tcPr>
          <w:p w14:paraId="33992F98" w14:textId="77777777" w:rsidR="008E3101" w:rsidRPr="00E208C5" w:rsidRDefault="008E3101" w:rsidP="003930BC">
            <w:pPr>
              <w:pStyle w:val="TableText"/>
              <w:spacing w:after="0" w:line="240" w:lineRule="auto"/>
              <w:rPr>
                <w:lang w:val="en-AU"/>
              </w:rPr>
            </w:pPr>
            <w:r w:rsidRPr="00E208C5">
              <w:rPr>
                <w:lang w:val="en-AU"/>
              </w:rPr>
              <w:t>-2.0</w:t>
            </w:r>
          </w:p>
        </w:tc>
        <w:tc>
          <w:tcPr>
            <w:tcW w:w="1795" w:type="dxa"/>
            <w:tcBorders>
              <w:top w:val="single" w:sz="4" w:space="0" w:color="auto"/>
              <w:left w:val="single" w:sz="4" w:space="0" w:color="auto"/>
              <w:bottom w:val="single" w:sz="4" w:space="0" w:color="auto"/>
              <w:right w:val="single" w:sz="4" w:space="0" w:color="auto"/>
            </w:tcBorders>
            <w:hideMark/>
          </w:tcPr>
          <w:p w14:paraId="16C3B4BC" w14:textId="77777777" w:rsidR="008E3101" w:rsidRPr="00E208C5" w:rsidRDefault="008E3101" w:rsidP="003930BC">
            <w:pPr>
              <w:pStyle w:val="TableText"/>
              <w:spacing w:after="0" w:line="240" w:lineRule="auto"/>
              <w:rPr>
                <w:lang w:val="en-AU"/>
              </w:rPr>
            </w:pPr>
            <w:r w:rsidRPr="00E208C5">
              <w:rPr>
                <w:lang w:val="en-AU"/>
              </w:rPr>
              <w:t>-2.7</w:t>
            </w:r>
          </w:p>
        </w:tc>
        <w:tc>
          <w:tcPr>
            <w:tcW w:w="1796" w:type="dxa"/>
            <w:tcBorders>
              <w:top w:val="single" w:sz="4" w:space="0" w:color="auto"/>
              <w:left w:val="single" w:sz="4" w:space="0" w:color="auto"/>
              <w:bottom w:val="single" w:sz="4" w:space="0" w:color="auto"/>
              <w:right w:val="single" w:sz="4" w:space="0" w:color="auto"/>
            </w:tcBorders>
            <w:hideMark/>
          </w:tcPr>
          <w:p w14:paraId="6CF953F4" w14:textId="77777777" w:rsidR="008E3101" w:rsidRPr="00E208C5" w:rsidRDefault="008E3101" w:rsidP="003930BC">
            <w:pPr>
              <w:pStyle w:val="TableText"/>
              <w:spacing w:after="0" w:line="240" w:lineRule="auto"/>
              <w:rPr>
                <w:lang w:val="en-AU"/>
              </w:rPr>
            </w:pPr>
            <w:r w:rsidRPr="00E208C5">
              <w:rPr>
                <w:lang w:val="en-AU"/>
              </w:rPr>
              <w:t>-2.1</w:t>
            </w:r>
          </w:p>
        </w:tc>
      </w:tr>
      <w:tr w:rsidR="008E3101" w:rsidRPr="00E208C5" w14:paraId="565ED896" w14:textId="77777777" w:rsidTr="003930BC">
        <w:trPr>
          <w:trHeight w:val="493"/>
        </w:trPr>
        <w:tc>
          <w:tcPr>
            <w:tcW w:w="3794" w:type="dxa"/>
            <w:tcBorders>
              <w:top w:val="single" w:sz="4" w:space="0" w:color="auto"/>
              <w:left w:val="single" w:sz="4" w:space="0" w:color="auto"/>
              <w:bottom w:val="single" w:sz="4" w:space="0" w:color="auto"/>
              <w:right w:val="single" w:sz="4" w:space="0" w:color="auto"/>
            </w:tcBorders>
            <w:hideMark/>
          </w:tcPr>
          <w:p w14:paraId="66B749DE" w14:textId="77777777" w:rsidR="008E3101" w:rsidRPr="00E208C5" w:rsidRDefault="008E3101" w:rsidP="003930BC">
            <w:pPr>
              <w:pStyle w:val="TableText"/>
              <w:spacing w:after="0" w:line="240" w:lineRule="auto"/>
              <w:rPr>
                <w:lang w:val="en-AU"/>
              </w:rPr>
            </w:pPr>
            <w:r w:rsidRPr="00E208C5">
              <w:rPr>
                <w:lang w:val="en-AU"/>
              </w:rPr>
              <w:t>Difference from insulin glargine  [95% CI]</w:t>
            </w:r>
          </w:p>
        </w:tc>
        <w:tc>
          <w:tcPr>
            <w:tcW w:w="1795" w:type="dxa"/>
            <w:tcBorders>
              <w:top w:val="single" w:sz="4" w:space="0" w:color="auto"/>
              <w:left w:val="single" w:sz="4" w:space="0" w:color="auto"/>
              <w:bottom w:val="single" w:sz="4" w:space="0" w:color="auto"/>
              <w:right w:val="single" w:sz="4" w:space="0" w:color="auto"/>
            </w:tcBorders>
            <w:hideMark/>
          </w:tcPr>
          <w:p w14:paraId="2099AA02" w14:textId="77777777" w:rsidR="008E3101" w:rsidRPr="00E208C5" w:rsidRDefault="008E3101" w:rsidP="003930BC">
            <w:pPr>
              <w:pStyle w:val="TableText"/>
              <w:spacing w:after="0" w:line="240" w:lineRule="auto"/>
              <w:rPr>
                <w:lang w:val="en-AU"/>
              </w:rPr>
            </w:pPr>
            <w:r w:rsidRPr="00E208C5">
              <w:rPr>
                <w:lang w:val="en-AU"/>
              </w:rPr>
              <w:t>0.1</w:t>
            </w:r>
          </w:p>
          <w:p w14:paraId="421BD8D5" w14:textId="77777777" w:rsidR="008E3101" w:rsidRPr="00E208C5" w:rsidRDefault="008E3101" w:rsidP="003930BC">
            <w:pPr>
              <w:pStyle w:val="TableText"/>
              <w:spacing w:after="0" w:line="240" w:lineRule="auto"/>
              <w:rPr>
                <w:lang w:val="en-AU"/>
              </w:rPr>
            </w:pPr>
            <w:r w:rsidRPr="00E208C5">
              <w:rPr>
                <w:lang w:val="en-AU"/>
              </w:rPr>
              <w:t>[-0.2; 0.4]</w:t>
            </w:r>
          </w:p>
        </w:tc>
        <w:tc>
          <w:tcPr>
            <w:tcW w:w="1795" w:type="dxa"/>
            <w:tcBorders>
              <w:top w:val="single" w:sz="4" w:space="0" w:color="auto"/>
              <w:left w:val="single" w:sz="4" w:space="0" w:color="auto"/>
              <w:bottom w:val="single" w:sz="4" w:space="0" w:color="auto"/>
              <w:right w:val="single" w:sz="4" w:space="0" w:color="auto"/>
            </w:tcBorders>
            <w:hideMark/>
          </w:tcPr>
          <w:p w14:paraId="415A2F82" w14:textId="77777777" w:rsidR="008E3101" w:rsidRPr="00E208C5" w:rsidRDefault="008E3101" w:rsidP="003930BC">
            <w:pPr>
              <w:pStyle w:val="TableText"/>
              <w:spacing w:after="0" w:line="240" w:lineRule="auto"/>
              <w:rPr>
                <w:lang w:val="en-AU"/>
              </w:rPr>
            </w:pPr>
            <w:r w:rsidRPr="00E208C5">
              <w:rPr>
                <w:lang w:val="en-AU"/>
              </w:rPr>
              <w:t>-0.6</w:t>
            </w:r>
          </w:p>
          <w:p w14:paraId="3BDD56AF" w14:textId="77777777" w:rsidR="008E3101" w:rsidRPr="00E208C5" w:rsidRDefault="008E3101" w:rsidP="003930BC">
            <w:pPr>
              <w:pStyle w:val="TableText"/>
              <w:spacing w:after="0" w:line="240" w:lineRule="auto"/>
              <w:rPr>
                <w:vertAlign w:val="superscript"/>
                <w:lang w:val="en-AU"/>
              </w:rPr>
            </w:pPr>
            <w:r w:rsidRPr="00E208C5">
              <w:rPr>
                <w:lang w:val="en-AU"/>
              </w:rPr>
              <w:t>[-0.9; -0.3]</w:t>
            </w:r>
            <w:r w:rsidRPr="00E208C5">
              <w:rPr>
                <w:vertAlign w:val="superscript"/>
                <w:lang w:val="en-AU"/>
              </w:rPr>
              <w:t>b</w:t>
            </w:r>
          </w:p>
        </w:tc>
        <w:tc>
          <w:tcPr>
            <w:tcW w:w="1796" w:type="dxa"/>
            <w:tcBorders>
              <w:top w:val="single" w:sz="4" w:space="0" w:color="auto"/>
              <w:left w:val="single" w:sz="4" w:space="0" w:color="auto"/>
              <w:bottom w:val="single" w:sz="4" w:space="0" w:color="auto"/>
              <w:right w:val="single" w:sz="4" w:space="0" w:color="auto"/>
            </w:tcBorders>
            <w:hideMark/>
          </w:tcPr>
          <w:p w14:paraId="355343DA" w14:textId="77777777" w:rsidR="008E3101" w:rsidRPr="00E208C5" w:rsidRDefault="008E3101" w:rsidP="003930BC">
            <w:pPr>
              <w:pStyle w:val="TableText"/>
              <w:spacing w:after="0" w:line="240" w:lineRule="auto"/>
              <w:rPr>
                <w:lang w:val="en-AU"/>
              </w:rPr>
            </w:pPr>
            <w:r w:rsidRPr="00E208C5">
              <w:rPr>
                <w:lang w:val="en-AU"/>
              </w:rPr>
              <w:t>-</w:t>
            </w:r>
          </w:p>
        </w:tc>
      </w:tr>
      <w:tr w:rsidR="006C13DB" w:rsidRPr="00E208C5" w14:paraId="51823FA4" w14:textId="77777777" w:rsidTr="003930BC">
        <w:trPr>
          <w:trHeight w:val="193"/>
        </w:trPr>
        <w:tc>
          <w:tcPr>
            <w:tcW w:w="3794" w:type="dxa"/>
            <w:tcBorders>
              <w:top w:val="single" w:sz="4" w:space="0" w:color="auto"/>
              <w:left w:val="single" w:sz="4" w:space="0" w:color="auto"/>
              <w:bottom w:val="single" w:sz="4" w:space="0" w:color="auto"/>
              <w:right w:val="nil"/>
            </w:tcBorders>
            <w:hideMark/>
          </w:tcPr>
          <w:p w14:paraId="0FA7DCE5" w14:textId="77777777" w:rsidR="006C13DB" w:rsidRPr="00E208C5" w:rsidRDefault="006C13DB" w:rsidP="003930BC">
            <w:pPr>
              <w:pStyle w:val="TableText"/>
              <w:spacing w:after="0" w:line="240" w:lineRule="auto"/>
              <w:rPr>
                <w:lang w:val="en-AU"/>
              </w:rPr>
            </w:pPr>
            <w:r w:rsidRPr="00E208C5">
              <w:rPr>
                <w:lang w:val="en-AU"/>
              </w:rPr>
              <w:t>Body weight (kg)</w:t>
            </w:r>
          </w:p>
        </w:tc>
        <w:tc>
          <w:tcPr>
            <w:tcW w:w="1795" w:type="dxa"/>
            <w:tcBorders>
              <w:top w:val="single" w:sz="4" w:space="0" w:color="auto"/>
              <w:left w:val="nil"/>
              <w:bottom w:val="single" w:sz="4" w:space="0" w:color="auto"/>
              <w:right w:val="nil"/>
            </w:tcBorders>
          </w:tcPr>
          <w:p w14:paraId="35D1EDF8" w14:textId="77777777" w:rsidR="006C13DB" w:rsidRPr="00E208C5" w:rsidRDefault="006C13DB" w:rsidP="003930BC">
            <w:pPr>
              <w:pStyle w:val="TableText"/>
              <w:spacing w:after="0" w:line="240" w:lineRule="auto"/>
              <w:rPr>
                <w:lang w:val="en-AU"/>
              </w:rPr>
            </w:pPr>
          </w:p>
        </w:tc>
        <w:tc>
          <w:tcPr>
            <w:tcW w:w="1795" w:type="dxa"/>
            <w:tcBorders>
              <w:top w:val="single" w:sz="4" w:space="0" w:color="auto"/>
              <w:left w:val="nil"/>
              <w:bottom w:val="single" w:sz="4" w:space="0" w:color="auto"/>
              <w:right w:val="nil"/>
            </w:tcBorders>
          </w:tcPr>
          <w:p w14:paraId="51A32673" w14:textId="77777777" w:rsidR="006C13DB" w:rsidRPr="00E208C5" w:rsidRDefault="006C13DB" w:rsidP="003930BC">
            <w:pPr>
              <w:pStyle w:val="TableText"/>
              <w:spacing w:after="0" w:line="240" w:lineRule="auto"/>
              <w:rPr>
                <w:lang w:val="en-AU"/>
              </w:rPr>
            </w:pPr>
          </w:p>
        </w:tc>
        <w:tc>
          <w:tcPr>
            <w:tcW w:w="1796" w:type="dxa"/>
            <w:tcBorders>
              <w:top w:val="single" w:sz="4" w:space="0" w:color="auto"/>
              <w:left w:val="nil"/>
              <w:bottom w:val="single" w:sz="4" w:space="0" w:color="auto"/>
              <w:right w:val="single" w:sz="4" w:space="0" w:color="auto"/>
            </w:tcBorders>
          </w:tcPr>
          <w:p w14:paraId="7B06DE12" w14:textId="77777777" w:rsidR="006C13DB" w:rsidRPr="00E208C5" w:rsidRDefault="006C13DB" w:rsidP="003930BC">
            <w:pPr>
              <w:pStyle w:val="TableText"/>
              <w:spacing w:after="0" w:line="240" w:lineRule="auto"/>
              <w:rPr>
                <w:lang w:val="en-AU"/>
              </w:rPr>
            </w:pPr>
          </w:p>
        </w:tc>
      </w:tr>
      <w:tr w:rsidR="008E3101" w:rsidRPr="00E208C5" w14:paraId="5D86173E" w14:textId="77777777" w:rsidTr="003930BC">
        <w:trPr>
          <w:trHeight w:val="182"/>
        </w:trPr>
        <w:tc>
          <w:tcPr>
            <w:tcW w:w="3794" w:type="dxa"/>
            <w:tcBorders>
              <w:top w:val="single" w:sz="4" w:space="0" w:color="auto"/>
              <w:left w:val="single" w:sz="4" w:space="0" w:color="auto"/>
              <w:bottom w:val="single" w:sz="4" w:space="0" w:color="auto"/>
              <w:right w:val="single" w:sz="4" w:space="0" w:color="auto"/>
            </w:tcBorders>
            <w:hideMark/>
          </w:tcPr>
          <w:p w14:paraId="0CD04E06" w14:textId="77777777" w:rsidR="008E3101" w:rsidRPr="00E208C5" w:rsidRDefault="008E3101" w:rsidP="003930BC">
            <w:pPr>
              <w:pStyle w:val="TableText"/>
              <w:spacing w:after="0" w:line="240" w:lineRule="auto"/>
              <w:rPr>
                <w:b/>
                <w:lang w:val="en-AU"/>
              </w:rPr>
            </w:pPr>
            <w:r w:rsidRPr="00E208C5">
              <w:rPr>
                <w:lang w:val="en-AU"/>
              </w:rPr>
              <w:t>Baseline (mean)</w:t>
            </w:r>
          </w:p>
        </w:tc>
        <w:tc>
          <w:tcPr>
            <w:tcW w:w="1795" w:type="dxa"/>
            <w:tcBorders>
              <w:top w:val="single" w:sz="4" w:space="0" w:color="auto"/>
              <w:left w:val="single" w:sz="4" w:space="0" w:color="auto"/>
              <w:bottom w:val="single" w:sz="4" w:space="0" w:color="auto"/>
              <w:right w:val="single" w:sz="4" w:space="0" w:color="auto"/>
            </w:tcBorders>
            <w:hideMark/>
          </w:tcPr>
          <w:p w14:paraId="2E4DEEAF" w14:textId="77777777" w:rsidR="008E3101" w:rsidRPr="00E208C5" w:rsidRDefault="008E3101" w:rsidP="003930BC">
            <w:pPr>
              <w:pStyle w:val="TableText"/>
              <w:spacing w:after="0" w:line="240" w:lineRule="auto"/>
              <w:rPr>
                <w:lang w:val="en-AU"/>
              </w:rPr>
            </w:pPr>
            <w:r w:rsidRPr="00E208C5">
              <w:rPr>
                <w:lang w:val="en-AU"/>
              </w:rPr>
              <w:t>93.7</w:t>
            </w:r>
          </w:p>
        </w:tc>
        <w:tc>
          <w:tcPr>
            <w:tcW w:w="1795" w:type="dxa"/>
            <w:tcBorders>
              <w:top w:val="single" w:sz="4" w:space="0" w:color="auto"/>
              <w:left w:val="single" w:sz="4" w:space="0" w:color="auto"/>
              <w:bottom w:val="single" w:sz="4" w:space="0" w:color="auto"/>
              <w:right w:val="single" w:sz="4" w:space="0" w:color="auto"/>
            </w:tcBorders>
            <w:hideMark/>
          </w:tcPr>
          <w:p w14:paraId="7ECA7361" w14:textId="77777777" w:rsidR="008E3101" w:rsidRPr="00E208C5" w:rsidRDefault="008E3101" w:rsidP="003930BC">
            <w:pPr>
              <w:pStyle w:val="TableText"/>
              <w:spacing w:after="0" w:line="240" w:lineRule="auto"/>
              <w:rPr>
                <w:lang w:val="en-AU"/>
              </w:rPr>
            </w:pPr>
            <w:r w:rsidRPr="00E208C5">
              <w:rPr>
                <w:lang w:val="en-AU"/>
              </w:rPr>
              <w:t>94.0</w:t>
            </w:r>
          </w:p>
        </w:tc>
        <w:tc>
          <w:tcPr>
            <w:tcW w:w="1796" w:type="dxa"/>
            <w:tcBorders>
              <w:top w:val="single" w:sz="4" w:space="0" w:color="auto"/>
              <w:left w:val="single" w:sz="4" w:space="0" w:color="auto"/>
              <w:bottom w:val="single" w:sz="4" w:space="0" w:color="auto"/>
              <w:right w:val="single" w:sz="4" w:space="0" w:color="auto"/>
            </w:tcBorders>
            <w:hideMark/>
          </w:tcPr>
          <w:p w14:paraId="37B95F34" w14:textId="77777777" w:rsidR="008E3101" w:rsidRPr="00E208C5" w:rsidRDefault="008E3101" w:rsidP="003930BC">
            <w:pPr>
              <w:pStyle w:val="TableText"/>
              <w:spacing w:after="0" w:line="240" w:lineRule="auto"/>
              <w:rPr>
                <w:lang w:val="en-AU"/>
              </w:rPr>
            </w:pPr>
            <w:r w:rsidRPr="00E208C5">
              <w:rPr>
                <w:lang w:val="en-AU"/>
              </w:rPr>
              <w:t>92.6</w:t>
            </w:r>
          </w:p>
        </w:tc>
      </w:tr>
      <w:tr w:rsidR="008E3101" w:rsidRPr="00E208C5" w14:paraId="2A3AFB9A" w14:textId="77777777" w:rsidTr="003930BC">
        <w:trPr>
          <w:trHeight w:val="216"/>
        </w:trPr>
        <w:tc>
          <w:tcPr>
            <w:tcW w:w="3794" w:type="dxa"/>
            <w:tcBorders>
              <w:top w:val="single" w:sz="4" w:space="0" w:color="auto"/>
              <w:left w:val="single" w:sz="4" w:space="0" w:color="auto"/>
              <w:bottom w:val="single" w:sz="4" w:space="0" w:color="auto"/>
              <w:right w:val="single" w:sz="4" w:space="0" w:color="auto"/>
            </w:tcBorders>
            <w:hideMark/>
          </w:tcPr>
          <w:p w14:paraId="7C369F0E" w14:textId="77777777" w:rsidR="008E3101" w:rsidRPr="00E208C5" w:rsidRDefault="008E3101" w:rsidP="003930BC">
            <w:pPr>
              <w:pStyle w:val="TableText"/>
              <w:spacing w:after="0" w:line="240" w:lineRule="auto"/>
              <w:rPr>
                <w:lang w:val="en-AU"/>
              </w:rPr>
            </w:pPr>
            <w:r w:rsidRPr="00E208C5">
              <w:rPr>
                <w:lang w:val="en-AU"/>
              </w:rPr>
              <w:t>Change from baseline at week 30</w:t>
            </w:r>
          </w:p>
        </w:tc>
        <w:tc>
          <w:tcPr>
            <w:tcW w:w="1795" w:type="dxa"/>
            <w:tcBorders>
              <w:top w:val="single" w:sz="4" w:space="0" w:color="auto"/>
              <w:left w:val="single" w:sz="4" w:space="0" w:color="auto"/>
              <w:bottom w:val="single" w:sz="4" w:space="0" w:color="auto"/>
              <w:right w:val="single" w:sz="4" w:space="0" w:color="auto"/>
            </w:tcBorders>
            <w:hideMark/>
          </w:tcPr>
          <w:p w14:paraId="5680CDC0" w14:textId="77777777" w:rsidR="008E3101" w:rsidRPr="00E208C5" w:rsidRDefault="008E3101" w:rsidP="003930BC">
            <w:pPr>
              <w:pStyle w:val="TableText"/>
              <w:spacing w:after="0" w:line="240" w:lineRule="auto"/>
              <w:rPr>
                <w:lang w:val="en-AU"/>
              </w:rPr>
            </w:pPr>
            <w:r w:rsidRPr="00E208C5">
              <w:rPr>
                <w:lang w:val="en-AU"/>
              </w:rPr>
              <w:t>-3.5</w:t>
            </w:r>
          </w:p>
        </w:tc>
        <w:tc>
          <w:tcPr>
            <w:tcW w:w="1795" w:type="dxa"/>
            <w:tcBorders>
              <w:top w:val="single" w:sz="4" w:space="0" w:color="auto"/>
              <w:left w:val="single" w:sz="4" w:space="0" w:color="auto"/>
              <w:bottom w:val="single" w:sz="4" w:space="0" w:color="auto"/>
              <w:right w:val="single" w:sz="4" w:space="0" w:color="auto"/>
            </w:tcBorders>
            <w:hideMark/>
          </w:tcPr>
          <w:p w14:paraId="26622DB8" w14:textId="77777777" w:rsidR="008E3101" w:rsidRPr="00E208C5" w:rsidRDefault="008E3101" w:rsidP="003930BC">
            <w:pPr>
              <w:pStyle w:val="TableText"/>
              <w:spacing w:after="0" w:line="240" w:lineRule="auto"/>
              <w:rPr>
                <w:lang w:val="en-AU"/>
              </w:rPr>
            </w:pPr>
            <w:r w:rsidRPr="00E208C5">
              <w:rPr>
                <w:lang w:val="en-AU"/>
              </w:rPr>
              <w:t>-5.2</w:t>
            </w:r>
          </w:p>
        </w:tc>
        <w:tc>
          <w:tcPr>
            <w:tcW w:w="1796" w:type="dxa"/>
            <w:tcBorders>
              <w:top w:val="single" w:sz="4" w:space="0" w:color="auto"/>
              <w:left w:val="single" w:sz="4" w:space="0" w:color="auto"/>
              <w:bottom w:val="single" w:sz="4" w:space="0" w:color="auto"/>
              <w:right w:val="single" w:sz="4" w:space="0" w:color="auto"/>
            </w:tcBorders>
            <w:hideMark/>
          </w:tcPr>
          <w:p w14:paraId="1F80C60F" w14:textId="77777777" w:rsidR="008E3101" w:rsidRPr="00E208C5" w:rsidRDefault="008E3101" w:rsidP="003930BC">
            <w:pPr>
              <w:pStyle w:val="TableText"/>
              <w:spacing w:after="0" w:line="240" w:lineRule="auto"/>
              <w:rPr>
                <w:lang w:val="en-AU"/>
              </w:rPr>
            </w:pPr>
            <w:r w:rsidRPr="00E208C5">
              <w:rPr>
                <w:lang w:val="en-AU"/>
              </w:rPr>
              <w:t>+1.2</w:t>
            </w:r>
          </w:p>
        </w:tc>
      </w:tr>
      <w:tr w:rsidR="008E3101" w:rsidRPr="00E208C5" w14:paraId="497A3C8C" w14:textId="77777777" w:rsidTr="003930BC">
        <w:trPr>
          <w:trHeight w:val="562"/>
        </w:trPr>
        <w:tc>
          <w:tcPr>
            <w:tcW w:w="3794" w:type="dxa"/>
            <w:tcBorders>
              <w:top w:val="single" w:sz="4" w:space="0" w:color="auto"/>
              <w:left w:val="single" w:sz="4" w:space="0" w:color="auto"/>
              <w:bottom w:val="single" w:sz="4" w:space="0" w:color="auto"/>
              <w:right w:val="single" w:sz="4" w:space="0" w:color="auto"/>
            </w:tcBorders>
            <w:hideMark/>
          </w:tcPr>
          <w:p w14:paraId="33D307BB" w14:textId="77777777" w:rsidR="008E3101" w:rsidRPr="00E208C5" w:rsidRDefault="008E3101" w:rsidP="003930BC">
            <w:pPr>
              <w:pStyle w:val="TableText"/>
              <w:spacing w:after="0" w:line="240" w:lineRule="auto"/>
              <w:rPr>
                <w:lang w:val="en-AU"/>
              </w:rPr>
            </w:pPr>
            <w:r w:rsidRPr="00E208C5">
              <w:rPr>
                <w:lang w:val="en-AU"/>
              </w:rPr>
              <w:t>Difference from insulin glargine  [95% CI]</w:t>
            </w:r>
          </w:p>
        </w:tc>
        <w:tc>
          <w:tcPr>
            <w:tcW w:w="1795" w:type="dxa"/>
            <w:tcBorders>
              <w:top w:val="single" w:sz="4" w:space="0" w:color="auto"/>
              <w:left w:val="single" w:sz="4" w:space="0" w:color="auto"/>
              <w:bottom w:val="single" w:sz="4" w:space="0" w:color="auto"/>
              <w:right w:val="single" w:sz="4" w:space="0" w:color="auto"/>
            </w:tcBorders>
            <w:hideMark/>
          </w:tcPr>
          <w:p w14:paraId="41DC6108" w14:textId="77777777" w:rsidR="008E3101" w:rsidRPr="00E208C5" w:rsidRDefault="008E3101" w:rsidP="003930BC">
            <w:pPr>
              <w:pStyle w:val="TableText"/>
              <w:spacing w:after="0" w:line="240" w:lineRule="auto"/>
              <w:rPr>
                <w:lang w:val="en-AU"/>
              </w:rPr>
            </w:pPr>
            <w:r w:rsidRPr="00E208C5">
              <w:rPr>
                <w:lang w:val="en-AU"/>
              </w:rPr>
              <w:t>-4.6</w:t>
            </w:r>
          </w:p>
          <w:p w14:paraId="3E83506A" w14:textId="77777777" w:rsidR="008E3101" w:rsidRPr="00E208C5" w:rsidRDefault="008E3101" w:rsidP="003930BC">
            <w:pPr>
              <w:pStyle w:val="TableText"/>
              <w:spacing w:after="0" w:line="240" w:lineRule="auto"/>
              <w:rPr>
                <w:vertAlign w:val="superscript"/>
                <w:lang w:val="en-AU"/>
              </w:rPr>
            </w:pPr>
            <w:r w:rsidRPr="00E208C5">
              <w:rPr>
                <w:lang w:val="en-AU"/>
              </w:rPr>
              <w:t>[-5.3; -4.0]</w:t>
            </w:r>
            <w:r w:rsidRPr="00E208C5">
              <w:rPr>
                <w:vertAlign w:val="superscript"/>
                <w:lang w:val="en-AU"/>
              </w:rPr>
              <w:t>a</w:t>
            </w:r>
          </w:p>
        </w:tc>
        <w:tc>
          <w:tcPr>
            <w:tcW w:w="1795" w:type="dxa"/>
            <w:tcBorders>
              <w:top w:val="single" w:sz="4" w:space="0" w:color="auto"/>
              <w:left w:val="single" w:sz="4" w:space="0" w:color="auto"/>
              <w:bottom w:val="single" w:sz="4" w:space="0" w:color="auto"/>
              <w:right w:val="single" w:sz="4" w:space="0" w:color="auto"/>
            </w:tcBorders>
            <w:hideMark/>
          </w:tcPr>
          <w:p w14:paraId="4EB0CA8C" w14:textId="77777777" w:rsidR="008E3101" w:rsidRPr="00E208C5" w:rsidRDefault="008E3101" w:rsidP="003930BC">
            <w:pPr>
              <w:pStyle w:val="TableText"/>
              <w:spacing w:after="0" w:line="240" w:lineRule="auto"/>
              <w:rPr>
                <w:lang w:val="en-AU"/>
              </w:rPr>
            </w:pPr>
            <w:r w:rsidRPr="00E208C5">
              <w:rPr>
                <w:lang w:val="en-AU"/>
              </w:rPr>
              <w:t>-6.3</w:t>
            </w:r>
          </w:p>
          <w:p w14:paraId="6F57471B" w14:textId="77777777" w:rsidR="008E3101" w:rsidRPr="00E208C5" w:rsidRDefault="008E3101" w:rsidP="003930BC">
            <w:pPr>
              <w:pStyle w:val="TableText"/>
              <w:spacing w:after="0" w:line="240" w:lineRule="auto"/>
              <w:rPr>
                <w:vertAlign w:val="superscript"/>
                <w:lang w:val="en-AU"/>
              </w:rPr>
            </w:pPr>
            <w:r w:rsidRPr="00E208C5">
              <w:rPr>
                <w:lang w:val="en-AU"/>
              </w:rPr>
              <w:t>[-7.0; -5.7]</w:t>
            </w:r>
            <w:r w:rsidRPr="00E208C5">
              <w:rPr>
                <w:vertAlign w:val="superscript"/>
                <w:lang w:val="en-AU"/>
              </w:rPr>
              <w:t>a</w:t>
            </w:r>
          </w:p>
        </w:tc>
        <w:tc>
          <w:tcPr>
            <w:tcW w:w="1796" w:type="dxa"/>
            <w:tcBorders>
              <w:top w:val="single" w:sz="4" w:space="0" w:color="auto"/>
              <w:left w:val="single" w:sz="4" w:space="0" w:color="auto"/>
              <w:bottom w:val="single" w:sz="4" w:space="0" w:color="auto"/>
              <w:right w:val="single" w:sz="4" w:space="0" w:color="auto"/>
            </w:tcBorders>
            <w:hideMark/>
          </w:tcPr>
          <w:p w14:paraId="024FC662" w14:textId="77777777" w:rsidR="008E3101" w:rsidRPr="00E208C5" w:rsidRDefault="008E3101" w:rsidP="003930BC">
            <w:pPr>
              <w:pStyle w:val="TableText"/>
              <w:spacing w:after="0" w:line="240" w:lineRule="auto"/>
              <w:rPr>
                <w:lang w:val="en-AU"/>
              </w:rPr>
            </w:pPr>
            <w:r w:rsidRPr="00E208C5">
              <w:rPr>
                <w:lang w:val="en-AU"/>
              </w:rPr>
              <w:t>-</w:t>
            </w:r>
          </w:p>
        </w:tc>
      </w:tr>
      <w:tr w:rsidR="008E3101" w:rsidRPr="00E208C5" w14:paraId="3A591A30" w14:textId="12A91110" w:rsidTr="003930BC">
        <w:trPr>
          <w:trHeight w:val="271"/>
        </w:trPr>
        <w:tc>
          <w:tcPr>
            <w:tcW w:w="3794" w:type="dxa"/>
            <w:tcBorders>
              <w:top w:val="single" w:sz="4" w:space="0" w:color="auto"/>
              <w:left w:val="single" w:sz="4" w:space="0" w:color="auto"/>
              <w:bottom w:val="single" w:sz="4" w:space="0" w:color="auto"/>
              <w:right w:val="single" w:sz="4" w:space="0" w:color="auto"/>
            </w:tcBorders>
          </w:tcPr>
          <w:p w14:paraId="7171A15F" w14:textId="57D362FD" w:rsidR="008E3101" w:rsidRPr="00E208C5" w:rsidRDefault="008E3101" w:rsidP="003930BC">
            <w:pPr>
              <w:pStyle w:val="TableText"/>
              <w:spacing w:after="0" w:line="240" w:lineRule="auto"/>
              <w:rPr>
                <w:lang w:val="en-AU"/>
              </w:rPr>
            </w:pPr>
            <w:r w:rsidRPr="00E208C5">
              <w:rPr>
                <w:lang w:val="en-AU"/>
              </w:rPr>
              <w:t>Patients (%) achieving weight loss ≥5%</w:t>
            </w:r>
          </w:p>
        </w:tc>
        <w:tc>
          <w:tcPr>
            <w:tcW w:w="1795" w:type="dxa"/>
            <w:tcBorders>
              <w:top w:val="single" w:sz="4" w:space="0" w:color="auto"/>
              <w:left w:val="single" w:sz="4" w:space="0" w:color="auto"/>
              <w:bottom w:val="single" w:sz="4" w:space="0" w:color="auto"/>
              <w:right w:val="single" w:sz="4" w:space="0" w:color="auto"/>
            </w:tcBorders>
          </w:tcPr>
          <w:p w14:paraId="2F48BA8A" w14:textId="2E11B554" w:rsidR="008E3101" w:rsidRPr="00E208C5" w:rsidRDefault="008E3101" w:rsidP="003930BC">
            <w:pPr>
              <w:pStyle w:val="TableText"/>
              <w:spacing w:after="0" w:line="240" w:lineRule="auto"/>
              <w:rPr>
                <w:lang w:val="en-AU"/>
              </w:rPr>
            </w:pPr>
            <w:r w:rsidRPr="00E208C5">
              <w:rPr>
                <w:lang w:val="en-AU"/>
              </w:rPr>
              <w:t>37</w:t>
            </w:r>
            <w:r w:rsidRPr="00E208C5">
              <w:rPr>
                <w:vertAlign w:val="superscript"/>
                <w:lang w:val="en-AU"/>
              </w:rPr>
              <w:t>b</w:t>
            </w:r>
          </w:p>
        </w:tc>
        <w:tc>
          <w:tcPr>
            <w:tcW w:w="1795" w:type="dxa"/>
            <w:tcBorders>
              <w:top w:val="single" w:sz="4" w:space="0" w:color="auto"/>
              <w:left w:val="single" w:sz="4" w:space="0" w:color="auto"/>
              <w:bottom w:val="single" w:sz="4" w:space="0" w:color="auto"/>
              <w:right w:val="single" w:sz="4" w:space="0" w:color="auto"/>
            </w:tcBorders>
          </w:tcPr>
          <w:p w14:paraId="142911E2" w14:textId="5B103EC7" w:rsidR="008E3101" w:rsidRPr="00E208C5" w:rsidRDefault="008E3101" w:rsidP="003930BC">
            <w:pPr>
              <w:pStyle w:val="TableText"/>
              <w:spacing w:after="0" w:line="240" w:lineRule="auto"/>
              <w:rPr>
                <w:lang w:val="en-AU"/>
              </w:rPr>
            </w:pPr>
            <w:r w:rsidRPr="00E208C5">
              <w:rPr>
                <w:lang w:val="en-AU"/>
              </w:rPr>
              <w:t>51</w:t>
            </w:r>
            <w:r w:rsidRPr="00E208C5">
              <w:rPr>
                <w:vertAlign w:val="superscript"/>
                <w:lang w:val="en-AU"/>
              </w:rPr>
              <w:t>b</w:t>
            </w:r>
          </w:p>
        </w:tc>
        <w:tc>
          <w:tcPr>
            <w:tcW w:w="1796" w:type="dxa"/>
            <w:tcBorders>
              <w:top w:val="single" w:sz="4" w:space="0" w:color="auto"/>
              <w:left w:val="single" w:sz="4" w:space="0" w:color="auto"/>
              <w:bottom w:val="single" w:sz="4" w:space="0" w:color="auto"/>
              <w:right w:val="single" w:sz="4" w:space="0" w:color="auto"/>
            </w:tcBorders>
          </w:tcPr>
          <w:p w14:paraId="069FC51A" w14:textId="19454D09" w:rsidR="008E3101" w:rsidRPr="00E208C5" w:rsidRDefault="008E3101" w:rsidP="003930BC">
            <w:pPr>
              <w:pStyle w:val="TableText"/>
              <w:spacing w:after="0" w:line="240" w:lineRule="auto"/>
              <w:rPr>
                <w:lang w:val="en-AU"/>
              </w:rPr>
            </w:pPr>
            <w:r w:rsidRPr="00E208C5">
              <w:rPr>
                <w:lang w:val="en-AU"/>
              </w:rPr>
              <w:t>4</w:t>
            </w:r>
          </w:p>
        </w:tc>
      </w:tr>
      <w:tr w:rsidR="008E3101" w:rsidRPr="00E208C5" w14:paraId="63363222" w14:textId="622A26B9" w:rsidTr="003930BC">
        <w:trPr>
          <w:trHeight w:val="275"/>
        </w:trPr>
        <w:tc>
          <w:tcPr>
            <w:tcW w:w="3794" w:type="dxa"/>
            <w:tcBorders>
              <w:top w:val="single" w:sz="4" w:space="0" w:color="auto"/>
              <w:left w:val="single" w:sz="4" w:space="0" w:color="auto"/>
              <w:bottom w:val="single" w:sz="4" w:space="0" w:color="auto"/>
              <w:right w:val="single" w:sz="4" w:space="0" w:color="auto"/>
            </w:tcBorders>
          </w:tcPr>
          <w:p w14:paraId="074E6F92" w14:textId="7B004E87" w:rsidR="008E3101" w:rsidRPr="00E208C5" w:rsidRDefault="008E3101" w:rsidP="003930BC">
            <w:pPr>
              <w:pStyle w:val="TableText"/>
              <w:spacing w:after="0" w:line="240" w:lineRule="auto"/>
              <w:rPr>
                <w:lang w:val="en-AU"/>
              </w:rPr>
            </w:pPr>
            <w:r w:rsidRPr="00E208C5">
              <w:rPr>
                <w:lang w:val="en-AU"/>
              </w:rPr>
              <w:t>Patients (%) achieving weight loss ≥10%</w:t>
            </w:r>
          </w:p>
        </w:tc>
        <w:tc>
          <w:tcPr>
            <w:tcW w:w="1795" w:type="dxa"/>
            <w:tcBorders>
              <w:top w:val="single" w:sz="4" w:space="0" w:color="auto"/>
              <w:left w:val="single" w:sz="4" w:space="0" w:color="auto"/>
              <w:bottom w:val="single" w:sz="4" w:space="0" w:color="auto"/>
              <w:right w:val="single" w:sz="4" w:space="0" w:color="auto"/>
            </w:tcBorders>
          </w:tcPr>
          <w:p w14:paraId="671AD621" w14:textId="45E0E15A" w:rsidR="008E3101" w:rsidRPr="00E208C5" w:rsidRDefault="008E3101" w:rsidP="003930BC">
            <w:pPr>
              <w:pStyle w:val="TableText"/>
              <w:spacing w:after="0" w:line="240" w:lineRule="auto"/>
              <w:rPr>
                <w:lang w:val="en-AU"/>
              </w:rPr>
            </w:pPr>
            <w:r w:rsidRPr="00E208C5">
              <w:rPr>
                <w:lang w:val="en-AU"/>
              </w:rPr>
              <w:t>7</w:t>
            </w:r>
            <w:r w:rsidRPr="00E208C5">
              <w:rPr>
                <w:vertAlign w:val="superscript"/>
                <w:lang w:val="en-AU"/>
              </w:rPr>
              <w:t>b</w:t>
            </w:r>
          </w:p>
        </w:tc>
        <w:tc>
          <w:tcPr>
            <w:tcW w:w="1795" w:type="dxa"/>
            <w:tcBorders>
              <w:top w:val="single" w:sz="4" w:space="0" w:color="auto"/>
              <w:left w:val="single" w:sz="4" w:space="0" w:color="auto"/>
              <w:bottom w:val="single" w:sz="4" w:space="0" w:color="auto"/>
              <w:right w:val="single" w:sz="4" w:space="0" w:color="auto"/>
            </w:tcBorders>
          </w:tcPr>
          <w:p w14:paraId="0B95A2A2" w14:textId="47529676" w:rsidR="008E3101" w:rsidRPr="00E208C5" w:rsidRDefault="008E3101" w:rsidP="003930BC">
            <w:pPr>
              <w:pStyle w:val="TableText"/>
              <w:spacing w:after="0" w:line="240" w:lineRule="auto"/>
              <w:rPr>
                <w:lang w:val="en-AU"/>
              </w:rPr>
            </w:pPr>
            <w:r w:rsidRPr="00E208C5">
              <w:rPr>
                <w:lang w:val="en-AU"/>
              </w:rPr>
              <w:t>16</w:t>
            </w:r>
            <w:r w:rsidRPr="00E208C5">
              <w:rPr>
                <w:vertAlign w:val="superscript"/>
                <w:lang w:val="en-AU"/>
              </w:rPr>
              <w:t>b</w:t>
            </w:r>
          </w:p>
        </w:tc>
        <w:tc>
          <w:tcPr>
            <w:tcW w:w="1796" w:type="dxa"/>
            <w:tcBorders>
              <w:top w:val="single" w:sz="4" w:space="0" w:color="auto"/>
              <w:left w:val="single" w:sz="4" w:space="0" w:color="auto"/>
              <w:bottom w:val="single" w:sz="4" w:space="0" w:color="auto"/>
              <w:right w:val="single" w:sz="4" w:space="0" w:color="auto"/>
            </w:tcBorders>
          </w:tcPr>
          <w:p w14:paraId="068CD0E2" w14:textId="46631504" w:rsidR="008E3101" w:rsidRPr="00E208C5" w:rsidRDefault="008E3101" w:rsidP="003930BC">
            <w:pPr>
              <w:pStyle w:val="TableText"/>
              <w:spacing w:after="0" w:line="240" w:lineRule="auto"/>
              <w:rPr>
                <w:lang w:val="en-AU"/>
              </w:rPr>
            </w:pPr>
            <w:r w:rsidRPr="00E208C5">
              <w:rPr>
                <w:lang w:val="en-AU"/>
              </w:rPr>
              <w:t>1</w:t>
            </w:r>
          </w:p>
        </w:tc>
      </w:tr>
    </w:tbl>
    <w:p w14:paraId="312E3FDC" w14:textId="77777777" w:rsidR="003930BC" w:rsidRPr="00E208C5" w:rsidRDefault="003930BC" w:rsidP="003930BC">
      <w:pPr>
        <w:spacing w:after="0" w:line="240" w:lineRule="auto"/>
        <w:rPr>
          <w:sz w:val="20"/>
          <w:szCs w:val="20"/>
        </w:rPr>
      </w:pPr>
      <w:r w:rsidRPr="00E208C5">
        <w:rPr>
          <w:sz w:val="20"/>
          <w:szCs w:val="20"/>
          <w:vertAlign w:val="superscript"/>
        </w:rPr>
        <w:t>a</w:t>
      </w:r>
      <w:r w:rsidRPr="00E208C5">
        <w:rPr>
          <w:sz w:val="20"/>
          <w:szCs w:val="20"/>
        </w:rPr>
        <w:t>p &lt;0.0001 ( 2-sided) for superiority, adjusted for multiplicity based on hierarchical testing of HbA</w:t>
      </w:r>
      <w:r w:rsidRPr="00E208C5">
        <w:rPr>
          <w:sz w:val="20"/>
          <w:szCs w:val="20"/>
          <w:vertAlign w:val="subscript"/>
        </w:rPr>
        <w:t>1c</w:t>
      </w:r>
      <w:r w:rsidRPr="00E208C5">
        <w:rPr>
          <w:sz w:val="20"/>
          <w:szCs w:val="20"/>
        </w:rPr>
        <w:t xml:space="preserve"> and body weight</w:t>
      </w:r>
    </w:p>
    <w:p w14:paraId="565497EA" w14:textId="77777777" w:rsidR="006C13DB" w:rsidRPr="00E208C5" w:rsidRDefault="003930BC" w:rsidP="003930BC">
      <w:pPr>
        <w:rPr>
          <w:sz w:val="20"/>
          <w:szCs w:val="20"/>
        </w:rPr>
      </w:pPr>
      <w:r w:rsidRPr="00E208C5">
        <w:rPr>
          <w:sz w:val="20"/>
          <w:szCs w:val="20"/>
          <w:vertAlign w:val="superscript"/>
        </w:rPr>
        <w:t>b</w:t>
      </w:r>
      <w:r w:rsidRPr="00E208C5">
        <w:rPr>
          <w:sz w:val="20"/>
          <w:szCs w:val="20"/>
        </w:rPr>
        <w:t xml:space="preserve">p &lt;0.001 for treatment difference, unadjusted for multiplicity </w:t>
      </w:r>
    </w:p>
    <w:p w14:paraId="0654C04E" w14:textId="77777777" w:rsidR="00F1446F" w:rsidRPr="005A5D07" w:rsidRDefault="00F1446F" w:rsidP="005A5D07">
      <w:pPr>
        <w:spacing w:after="0" w:line="240" w:lineRule="auto"/>
        <w:rPr>
          <w:i/>
          <w:iCs/>
        </w:rPr>
      </w:pPr>
      <w:r w:rsidRPr="005A5D07">
        <w:rPr>
          <w:i/>
          <w:iCs/>
        </w:rPr>
        <w:t xml:space="preserve">SUSTAIN 5 – </w:t>
      </w:r>
      <w:proofErr w:type="spellStart"/>
      <w:r w:rsidRPr="005A5D07">
        <w:rPr>
          <w:i/>
          <w:iCs/>
        </w:rPr>
        <w:t>Ozempic</w:t>
      </w:r>
      <w:proofErr w:type="spellEnd"/>
      <w:r w:rsidRPr="005A5D07">
        <w:rPr>
          <w:i/>
          <w:iCs/>
        </w:rPr>
        <w:t xml:space="preserve"> vs. placebo in combination with basal insulin</w:t>
      </w:r>
    </w:p>
    <w:p w14:paraId="7C623112" w14:textId="481EBA81" w:rsidR="00F1446F" w:rsidRPr="00FC4CA6" w:rsidRDefault="00F1446F" w:rsidP="00F1446F">
      <w:r w:rsidRPr="00E208C5">
        <w:t xml:space="preserve">In a 30-week double-blind trial, 397 patients inadequately controlled with basal insulin with or without metformin were randomised to </w:t>
      </w:r>
      <w:proofErr w:type="spellStart"/>
      <w:r w:rsidRPr="00E208C5">
        <w:t>Ozempic</w:t>
      </w:r>
      <w:proofErr w:type="spellEnd"/>
      <w:r w:rsidRPr="00E208C5">
        <w:rPr>
          <w:i/>
        </w:rPr>
        <w:t xml:space="preserve"> </w:t>
      </w:r>
      <w:r w:rsidRPr="00E208C5">
        <w:t xml:space="preserve">0.5 mg once weekly, </w:t>
      </w:r>
      <w:proofErr w:type="spellStart"/>
      <w:r w:rsidRPr="00E208C5">
        <w:t>Ozempic</w:t>
      </w:r>
      <w:proofErr w:type="spellEnd"/>
      <w:r w:rsidRPr="00E208C5">
        <w:rPr>
          <w:i/>
        </w:rPr>
        <w:t xml:space="preserve"> </w:t>
      </w:r>
      <w:r w:rsidRPr="00E208C5">
        <w:t>1 mg once weekly or placebo. Patients with HbA</w:t>
      </w:r>
      <w:r w:rsidRPr="00E208C5">
        <w:rPr>
          <w:vertAlign w:val="subscript"/>
        </w:rPr>
        <w:t>1c</w:t>
      </w:r>
      <w:r w:rsidRPr="00E208C5">
        <w:t xml:space="preserve"> ≤8.0% at screening reduced the insulin dose by 20% at the beginning of trial to reduce the risk of hypoglycaemia</w:t>
      </w:r>
      <w:r w:rsidRPr="00FC4CA6">
        <w:t xml:space="preserve">. </w:t>
      </w:r>
    </w:p>
    <w:p w14:paraId="5E017D58" w14:textId="5DE5BBAE" w:rsidR="00F1446F" w:rsidRPr="00FC4CA6" w:rsidRDefault="00F1446F" w:rsidP="00F1446F">
      <w:r w:rsidRPr="00E208C5">
        <w:t>Patients had a mean age of 59 years and a mean duration of type 2 diabetes of 13 years, 78% were White, 5% were Black or African-American and 17% were Asian. For ethnicity, 12% of patients (n=46) were Hispanic or Latino. Mean BMI was 32 kg/m</w:t>
      </w:r>
      <w:r w:rsidRPr="00E208C5">
        <w:rPr>
          <w:vertAlign w:val="superscript"/>
        </w:rPr>
        <w:t>2</w:t>
      </w:r>
      <w:r w:rsidRPr="00E208C5">
        <w:t>.</w:t>
      </w:r>
    </w:p>
    <w:p w14:paraId="7A3271E8" w14:textId="1199A189" w:rsidR="00F1446F" w:rsidRDefault="00F1446F" w:rsidP="00F1446F">
      <w:r w:rsidRPr="00FC4CA6">
        <w:t xml:space="preserve">Severe or blood glucose (BG)-confirmed symptomatic episodes of hypoglycaemia were not significantly different between </w:t>
      </w:r>
      <w:proofErr w:type="spellStart"/>
      <w:r w:rsidRPr="00FC4CA6">
        <w:t>Ozempic</w:t>
      </w:r>
      <w:proofErr w:type="spellEnd"/>
      <w:r w:rsidRPr="00FC4CA6">
        <w:t xml:space="preserve"> and placebo. The proportion of patients reporting severe or confirmed (&lt;3.1 mmol) hypoglycaemic symptomatic episodes was high</w:t>
      </w:r>
      <w:r w:rsidRPr="00E208C5">
        <w:t xml:space="preserve">er with </w:t>
      </w:r>
      <w:proofErr w:type="spellStart"/>
      <w:r w:rsidRPr="00E208C5">
        <w:t>Ozempic</w:t>
      </w:r>
      <w:proofErr w:type="spellEnd"/>
      <w:r w:rsidRPr="00E208C5">
        <w:t xml:space="preserve"> compared to placebo with screening HbA</w:t>
      </w:r>
      <w:r w:rsidRPr="00E208C5">
        <w:rPr>
          <w:vertAlign w:val="subscript"/>
        </w:rPr>
        <w:t>1c</w:t>
      </w:r>
      <w:r w:rsidRPr="00E208C5">
        <w:t xml:space="preserve"> ≤8%, and comparable for patients with screening HbA</w:t>
      </w:r>
      <w:r w:rsidRPr="00E208C5">
        <w:rPr>
          <w:vertAlign w:val="subscript"/>
        </w:rPr>
        <w:t>1c</w:t>
      </w:r>
      <w:r w:rsidRPr="00E208C5">
        <w:t xml:space="preserve"> &gt;8%</w:t>
      </w:r>
      <w:r w:rsidRPr="00FC4CA6">
        <w:t>.</w:t>
      </w:r>
    </w:p>
    <w:p w14:paraId="4DD6AFED" w14:textId="402808EA" w:rsidR="00CC3889" w:rsidRDefault="00CC3889" w:rsidP="00F1446F"/>
    <w:p w14:paraId="5AEACF79" w14:textId="71EDC8B6" w:rsidR="00CC3889" w:rsidRDefault="00CC3889" w:rsidP="00F1446F"/>
    <w:p w14:paraId="4A39E541" w14:textId="77777777" w:rsidR="00CC3889" w:rsidRPr="00FC4CA6" w:rsidRDefault="00CC3889" w:rsidP="00F1446F"/>
    <w:p w14:paraId="7C48C26B" w14:textId="1C5C0788" w:rsidR="00F1446F" w:rsidRPr="00FC4CA6" w:rsidRDefault="00F1446F" w:rsidP="00F1446F">
      <w:pPr>
        <w:rPr>
          <w:b/>
        </w:rPr>
      </w:pPr>
      <w:bookmarkStart w:id="79" w:name="_Ref509297381"/>
      <w:bookmarkStart w:id="80" w:name="_Toc506554426"/>
      <w:bookmarkStart w:id="81" w:name="_Toc514933350"/>
      <w:bookmarkStart w:id="82" w:name="_Toc514933433"/>
      <w:r w:rsidRPr="00E208C5">
        <w:rPr>
          <w:b/>
        </w:rPr>
        <w:t xml:space="preserve">Table </w:t>
      </w:r>
      <w:r w:rsidRPr="00FC4CA6">
        <w:rPr>
          <w:b/>
        </w:rPr>
        <w:fldChar w:fldCharType="begin"/>
      </w:r>
      <w:r w:rsidRPr="00E208C5">
        <w:rPr>
          <w:b/>
        </w:rPr>
        <w:instrText xml:space="preserve"> SEQ Table \* ARABIC \s 1 </w:instrText>
      </w:r>
      <w:r w:rsidRPr="00FC4CA6">
        <w:rPr>
          <w:b/>
        </w:rPr>
        <w:fldChar w:fldCharType="separate"/>
      </w:r>
      <w:r w:rsidR="003F4E02" w:rsidRPr="00FC4CA6">
        <w:rPr>
          <w:b/>
          <w:noProof/>
        </w:rPr>
        <w:t>8</w:t>
      </w:r>
      <w:r w:rsidRPr="00FC4CA6">
        <w:rPr>
          <w:b/>
        </w:rPr>
        <w:fldChar w:fldCharType="end"/>
      </w:r>
      <w:bookmarkEnd w:id="79"/>
      <w:r w:rsidRPr="00FC4CA6">
        <w:rPr>
          <w:b/>
        </w:rPr>
        <w:t xml:space="preserve">: Results at 30 weeks of </w:t>
      </w:r>
      <w:proofErr w:type="spellStart"/>
      <w:r w:rsidRPr="00FC4CA6">
        <w:rPr>
          <w:b/>
        </w:rPr>
        <w:t>Ozempic</w:t>
      </w:r>
      <w:proofErr w:type="spellEnd"/>
      <w:r w:rsidRPr="00FC4CA6">
        <w:rPr>
          <w:b/>
        </w:rPr>
        <w:t xml:space="preserve"> in combination with basal insulin with or without metformin (SUSTAIN 5)</w:t>
      </w:r>
      <w:bookmarkEnd w:id="80"/>
      <w:bookmarkEnd w:id="81"/>
      <w:bookmarkEnd w:id="82"/>
    </w:p>
    <w:tbl>
      <w:tblPr>
        <w:tblW w:w="9180"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936"/>
        <w:gridCol w:w="654"/>
        <w:gridCol w:w="1094"/>
        <w:gridCol w:w="1748"/>
        <w:gridCol w:w="1748"/>
      </w:tblGrid>
      <w:tr w:rsidR="00F1446F" w:rsidRPr="00E208C5" w14:paraId="7D286B8B" w14:textId="77777777" w:rsidTr="001E67AB">
        <w:trPr>
          <w:trHeight w:val="410"/>
        </w:trPr>
        <w:tc>
          <w:tcPr>
            <w:tcW w:w="3936" w:type="dxa"/>
            <w:tcBorders>
              <w:top w:val="single" w:sz="4" w:space="0" w:color="auto"/>
              <w:left w:val="single" w:sz="4" w:space="0" w:color="auto"/>
              <w:bottom w:val="single" w:sz="4" w:space="0" w:color="auto"/>
              <w:right w:val="single" w:sz="4" w:space="0" w:color="auto"/>
            </w:tcBorders>
          </w:tcPr>
          <w:p w14:paraId="0E578DDE" w14:textId="77777777" w:rsidR="00F1446F" w:rsidRPr="00E208C5" w:rsidRDefault="00F1446F" w:rsidP="001E67AB">
            <w:pPr>
              <w:pStyle w:val="TableText"/>
              <w:spacing w:after="0" w:line="240" w:lineRule="auto"/>
              <w:rPr>
                <w:lang w:val="en-AU"/>
              </w:rPr>
            </w:pPr>
          </w:p>
        </w:tc>
        <w:tc>
          <w:tcPr>
            <w:tcW w:w="1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EA2F07" w14:textId="77777777" w:rsidR="00F1446F" w:rsidRPr="00E208C5" w:rsidRDefault="00F1446F" w:rsidP="001E67AB">
            <w:pPr>
              <w:pStyle w:val="TableText"/>
              <w:spacing w:after="0" w:line="240" w:lineRule="auto"/>
              <w:rPr>
                <w:b/>
                <w:lang w:val="en-AU"/>
              </w:rPr>
            </w:pPr>
            <w:proofErr w:type="spellStart"/>
            <w:r w:rsidRPr="00E208C5">
              <w:rPr>
                <w:b/>
                <w:lang w:val="en-AU"/>
              </w:rPr>
              <w:t>Ozempic</w:t>
            </w:r>
            <w:proofErr w:type="spellEnd"/>
            <w:r w:rsidRPr="00E208C5">
              <w:rPr>
                <w:b/>
                <w:lang w:val="en-AU"/>
              </w:rPr>
              <w:t xml:space="preserve"> 0.5 mg</w:t>
            </w:r>
          </w:p>
        </w:tc>
        <w:tc>
          <w:tcPr>
            <w:tcW w:w="17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1AEDEA" w14:textId="77777777" w:rsidR="00F1446F" w:rsidRPr="00E208C5" w:rsidRDefault="00F1446F" w:rsidP="001E67AB">
            <w:pPr>
              <w:pStyle w:val="TableText"/>
              <w:spacing w:after="0" w:line="240" w:lineRule="auto"/>
              <w:rPr>
                <w:b/>
                <w:lang w:val="en-AU"/>
              </w:rPr>
            </w:pPr>
            <w:proofErr w:type="spellStart"/>
            <w:r w:rsidRPr="00E208C5">
              <w:rPr>
                <w:b/>
                <w:lang w:val="en-AU"/>
              </w:rPr>
              <w:t>Ozempic</w:t>
            </w:r>
            <w:proofErr w:type="spellEnd"/>
            <w:r w:rsidRPr="00E208C5">
              <w:rPr>
                <w:b/>
                <w:lang w:val="en-AU"/>
              </w:rPr>
              <w:t xml:space="preserve"> 1 mg</w:t>
            </w:r>
          </w:p>
        </w:tc>
        <w:tc>
          <w:tcPr>
            <w:tcW w:w="1748" w:type="dxa"/>
            <w:tcBorders>
              <w:top w:val="single" w:sz="4" w:space="0" w:color="auto"/>
              <w:left w:val="single" w:sz="4" w:space="0" w:color="auto"/>
              <w:bottom w:val="single" w:sz="4" w:space="0" w:color="auto"/>
              <w:right w:val="single" w:sz="4" w:space="0" w:color="auto"/>
            </w:tcBorders>
          </w:tcPr>
          <w:p w14:paraId="32262A10" w14:textId="77777777" w:rsidR="00F1446F" w:rsidRPr="00E208C5" w:rsidRDefault="001E67AB" w:rsidP="001E67AB">
            <w:pPr>
              <w:pStyle w:val="TableText"/>
              <w:spacing w:after="0" w:line="240" w:lineRule="auto"/>
              <w:rPr>
                <w:b/>
                <w:lang w:val="en-AU"/>
              </w:rPr>
            </w:pPr>
            <w:r w:rsidRPr="00E208C5">
              <w:rPr>
                <w:b/>
                <w:lang w:val="en-AU"/>
              </w:rPr>
              <w:t>Placebo</w:t>
            </w:r>
          </w:p>
        </w:tc>
      </w:tr>
      <w:tr w:rsidR="00F1446F" w:rsidRPr="00E208C5" w14:paraId="170F9728" w14:textId="77777777" w:rsidTr="001E67AB">
        <w:trPr>
          <w:trHeight w:val="400"/>
        </w:trPr>
        <w:tc>
          <w:tcPr>
            <w:tcW w:w="3936" w:type="dxa"/>
            <w:tcBorders>
              <w:top w:val="single" w:sz="4" w:space="0" w:color="auto"/>
              <w:left w:val="single" w:sz="4" w:space="0" w:color="auto"/>
              <w:bottom w:val="single" w:sz="4" w:space="0" w:color="auto"/>
              <w:right w:val="single" w:sz="4" w:space="0" w:color="auto"/>
            </w:tcBorders>
          </w:tcPr>
          <w:p w14:paraId="12B2BB7E" w14:textId="77777777" w:rsidR="00F1446F" w:rsidRPr="00E208C5" w:rsidRDefault="00F1446F" w:rsidP="001E67AB">
            <w:pPr>
              <w:pStyle w:val="TableText"/>
              <w:spacing w:after="0" w:line="240" w:lineRule="auto"/>
              <w:rPr>
                <w:lang w:val="en-AU"/>
              </w:rPr>
            </w:pPr>
            <w:r w:rsidRPr="00E208C5">
              <w:rPr>
                <w:lang w:val="en-AU"/>
              </w:rPr>
              <w:t>Intent-to-Treat (ITT) Population (N)</w:t>
            </w:r>
          </w:p>
        </w:tc>
        <w:tc>
          <w:tcPr>
            <w:tcW w:w="174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DCF9E52" w14:textId="77777777" w:rsidR="00F1446F" w:rsidRPr="00E208C5" w:rsidRDefault="00F1446F" w:rsidP="001E67AB">
            <w:pPr>
              <w:pStyle w:val="TableText"/>
              <w:spacing w:after="0" w:line="240" w:lineRule="auto"/>
              <w:rPr>
                <w:lang w:val="en-AU"/>
              </w:rPr>
            </w:pPr>
            <w:r w:rsidRPr="00E208C5">
              <w:rPr>
                <w:lang w:val="en-AU"/>
              </w:rPr>
              <w:t>132</w:t>
            </w:r>
          </w:p>
        </w:tc>
        <w:tc>
          <w:tcPr>
            <w:tcW w:w="17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0F9AFEA" w14:textId="77777777" w:rsidR="00F1446F" w:rsidRPr="00E208C5" w:rsidRDefault="00F1446F" w:rsidP="001E67AB">
            <w:pPr>
              <w:pStyle w:val="TableText"/>
              <w:spacing w:after="0" w:line="240" w:lineRule="auto"/>
              <w:rPr>
                <w:lang w:val="en-AU"/>
              </w:rPr>
            </w:pPr>
            <w:r w:rsidRPr="00E208C5">
              <w:rPr>
                <w:lang w:val="en-AU"/>
              </w:rPr>
              <w:t>131</w:t>
            </w:r>
          </w:p>
        </w:tc>
        <w:tc>
          <w:tcPr>
            <w:tcW w:w="1748" w:type="dxa"/>
            <w:tcBorders>
              <w:top w:val="single" w:sz="4" w:space="0" w:color="auto"/>
              <w:left w:val="single" w:sz="4" w:space="0" w:color="auto"/>
              <w:bottom w:val="single" w:sz="4" w:space="0" w:color="auto"/>
              <w:right w:val="single" w:sz="4" w:space="0" w:color="auto"/>
            </w:tcBorders>
          </w:tcPr>
          <w:p w14:paraId="15DE953A" w14:textId="77777777" w:rsidR="00F1446F" w:rsidRPr="00E208C5" w:rsidRDefault="00F1446F" w:rsidP="001E67AB">
            <w:pPr>
              <w:pStyle w:val="TableText"/>
              <w:spacing w:after="0" w:line="240" w:lineRule="auto"/>
              <w:rPr>
                <w:lang w:val="en-AU"/>
              </w:rPr>
            </w:pPr>
            <w:r w:rsidRPr="00E208C5">
              <w:rPr>
                <w:lang w:val="en-AU"/>
              </w:rPr>
              <w:t>133</w:t>
            </w:r>
          </w:p>
        </w:tc>
      </w:tr>
      <w:tr w:rsidR="00F1446F" w:rsidRPr="00E208C5" w14:paraId="63D4DE21" w14:textId="77777777" w:rsidTr="001E67AB">
        <w:trPr>
          <w:trHeight w:val="225"/>
        </w:trPr>
        <w:tc>
          <w:tcPr>
            <w:tcW w:w="3936" w:type="dxa"/>
            <w:tcBorders>
              <w:top w:val="single" w:sz="4" w:space="0" w:color="auto"/>
              <w:left w:val="single" w:sz="4" w:space="0" w:color="auto"/>
              <w:bottom w:val="single" w:sz="4" w:space="0" w:color="auto"/>
              <w:right w:val="nil"/>
            </w:tcBorders>
            <w:hideMark/>
          </w:tcPr>
          <w:p w14:paraId="4C269F24" w14:textId="77777777" w:rsidR="00F1446F" w:rsidRPr="00E208C5" w:rsidRDefault="00F1446F" w:rsidP="001E67AB">
            <w:pPr>
              <w:pStyle w:val="TableText"/>
              <w:spacing w:after="0" w:line="240" w:lineRule="auto"/>
              <w:rPr>
                <w:i/>
                <w:lang w:val="en-AU"/>
              </w:rPr>
            </w:pPr>
            <w:r w:rsidRPr="00E208C5">
              <w:rPr>
                <w:lang w:val="en-AU"/>
              </w:rPr>
              <w:t>HbA</w:t>
            </w:r>
            <w:r w:rsidRPr="00E208C5">
              <w:rPr>
                <w:vertAlign w:val="subscript"/>
                <w:lang w:val="en-AU"/>
              </w:rPr>
              <w:t xml:space="preserve">1c </w:t>
            </w:r>
            <w:r w:rsidRPr="00E208C5">
              <w:rPr>
                <w:lang w:val="en-AU"/>
              </w:rPr>
              <w:t>(%)</w:t>
            </w:r>
          </w:p>
        </w:tc>
        <w:tc>
          <w:tcPr>
            <w:tcW w:w="1748" w:type="dxa"/>
            <w:gridSpan w:val="2"/>
            <w:tcBorders>
              <w:top w:val="single" w:sz="4" w:space="0" w:color="auto"/>
              <w:left w:val="nil"/>
              <w:bottom w:val="single" w:sz="4" w:space="0" w:color="auto"/>
              <w:right w:val="nil"/>
            </w:tcBorders>
          </w:tcPr>
          <w:p w14:paraId="00B3F81B" w14:textId="77777777" w:rsidR="00F1446F" w:rsidRPr="00E208C5" w:rsidRDefault="00F1446F" w:rsidP="001E67AB">
            <w:pPr>
              <w:pStyle w:val="TableText"/>
              <w:spacing w:after="0" w:line="240" w:lineRule="auto"/>
              <w:rPr>
                <w:lang w:val="en-AU"/>
              </w:rPr>
            </w:pPr>
          </w:p>
        </w:tc>
        <w:tc>
          <w:tcPr>
            <w:tcW w:w="1748" w:type="dxa"/>
            <w:tcBorders>
              <w:top w:val="single" w:sz="4" w:space="0" w:color="auto"/>
              <w:left w:val="nil"/>
              <w:bottom w:val="single" w:sz="4" w:space="0" w:color="auto"/>
              <w:right w:val="nil"/>
            </w:tcBorders>
          </w:tcPr>
          <w:p w14:paraId="1341D6FD" w14:textId="77777777" w:rsidR="00F1446F" w:rsidRPr="00E208C5" w:rsidRDefault="00F1446F" w:rsidP="001E67AB">
            <w:pPr>
              <w:pStyle w:val="TableText"/>
              <w:spacing w:after="0" w:line="240" w:lineRule="auto"/>
              <w:rPr>
                <w:lang w:val="en-AU"/>
              </w:rPr>
            </w:pPr>
          </w:p>
        </w:tc>
        <w:tc>
          <w:tcPr>
            <w:tcW w:w="1748" w:type="dxa"/>
            <w:tcBorders>
              <w:top w:val="single" w:sz="4" w:space="0" w:color="auto"/>
              <w:left w:val="nil"/>
              <w:bottom w:val="single" w:sz="4" w:space="0" w:color="auto"/>
              <w:right w:val="single" w:sz="4" w:space="0" w:color="auto"/>
            </w:tcBorders>
          </w:tcPr>
          <w:p w14:paraId="5FE15DB5" w14:textId="77777777" w:rsidR="00F1446F" w:rsidRPr="00E208C5" w:rsidRDefault="00F1446F" w:rsidP="001E67AB">
            <w:pPr>
              <w:pStyle w:val="TableText"/>
              <w:spacing w:after="0" w:line="240" w:lineRule="auto"/>
              <w:rPr>
                <w:lang w:val="en-AU"/>
              </w:rPr>
            </w:pPr>
          </w:p>
        </w:tc>
      </w:tr>
      <w:tr w:rsidR="00F1446F" w:rsidRPr="00E208C5" w14:paraId="43EF9D6A" w14:textId="77777777" w:rsidTr="001E67AB">
        <w:trPr>
          <w:trHeight w:val="204"/>
        </w:trPr>
        <w:tc>
          <w:tcPr>
            <w:tcW w:w="3936" w:type="dxa"/>
            <w:tcBorders>
              <w:top w:val="single" w:sz="4" w:space="0" w:color="auto"/>
              <w:left w:val="single" w:sz="4" w:space="0" w:color="auto"/>
              <w:bottom w:val="single" w:sz="4" w:space="0" w:color="auto"/>
              <w:right w:val="single" w:sz="4" w:space="0" w:color="auto"/>
            </w:tcBorders>
            <w:hideMark/>
          </w:tcPr>
          <w:p w14:paraId="785A7366" w14:textId="77777777" w:rsidR="00F1446F" w:rsidRPr="00E208C5" w:rsidRDefault="00F1446F" w:rsidP="001E67AB">
            <w:pPr>
              <w:pStyle w:val="TableText"/>
              <w:spacing w:after="0" w:line="240" w:lineRule="auto"/>
              <w:rPr>
                <w:b/>
                <w:bCs/>
                <w:lang w:val="en-AU"/>
              </w:rPr>
            </w:pPr>
            <w:r w:rsidRPr="00E208C5">
              <w:rPr>
                <w:lang w:val="en-AU"/>
              </w:rPr>
              <w:t>Baseline (mean)</w:t>
            </w:r>
          </w:p>
        </w:tc>
        <w:tc>
          <w:tcPr>
            <w:tcW w:w="1748" w:type="dxa"/>
            <w:gridSpan w:val="2"/>
            <w:tcBorders>
              <w:top w:val="single" w:sz="4" w:space="0" w:color="auto"/>
              <w:left w:val="single" w:sz="4" w:space="0" w:color="auto"/>
              <w:bottom w:val="single" w:sz="4" w:space="0" w:color="auto"/>
              <w:right w:val="single" w:sz="4" w:space="0" w:color="auto"/>
            </w:tcBorders>
            <w:hideMark/>
          </w:tcPr>
          <w:p w14:paraId="410A00F9" w14:textId="77777777" w:rsidR="00F1446F" w:rsidRPr="00E208C5" w:rsidRDefault="00F1446F" w:rsidP="001E67AB">
            <w:pPr>
              <w:pStyle w:val="TableText"/>
              <w:spacing w:after="0" w:line="240" w:lineRule="auto"/>
              <w:rPr>
                <w:lang w:val="en-AU"/>
              </w:rPr>
            </w:pPr>
            <w:r w:rsidRPr="00E208C5">
              <w:rPr>
                <w:lang w:val="en-AU"/>
              </w:rPr>
              <w:t>8.4</w:t>
            </w:r>
          </w:p>
        </w:tc>
        <w:tc>
          <w:tcPr>
            <w:tcW w:w="1748" w:type="dxa"/>
            <w:tcBorders>
              <w:top w:val="single" w:sz="4" w:space="0" w:color="auto"/>
              <w:left w:val="single" w:sz="4" w:space="0" w:color="auto"/>
              <w:bottom w:val="single" w:sz="4" w:space="0" w:color="auto"/>
              <w:right w:val="single" w:sz="4" w:space="0" w:color="auto"/>
            </w:tcBorders>
            <w:hideMark/>
          </w:tcPr>
          <w:p w14:paraId="37D4201B" w14:textId="77777777" w:rsidR="00F1446F" w:rsidRPr="00E208C5" w:rsidRDefault="00F1446F" w:rsidP="001E67AB">
            <w:pPr>
              <w:pStyle w:val="TableText"/>
              <w:spacing w:after="0" w:line="240" w:lineRule="auto"/>
              <w:rPr>
                <w:lang w:val="en-AU"/>
              </w:rPr>
            </w:pPr>
            <w:r w:rsidRPr="00E208C5">
              <w:rPr>
                <w:lang w:val="en-AU"/>
              </w:rPr>
              <w:t>8.3</w:t>
            </w:r>
          </w:p>
        </w:tc>
        <w:tc>
          <w:tcPr>
            <w:tcW w:w="1748" w:type="dxa"/>
            <w:tcBorders>
              <w:top w:val="single" w:sz="4" w:space="0" w:color="auto"/>
              <w:left w:val="single" w:sz="4" w:space="0" w:color="auto"/>
              <w:bottom w:val="single" w:sz="4" w:space="0" w:color="auto"/>
              <w:right w:val="single" w:sz="4" w:space="0" w:color="auto"/>
            </w:tcBorders>
            <w:hideMark/>
          </w:tcPr>
          <w:p w14:paraId="5FE088DE" w14:textId="77777777" w:rsidR="00F1446F" w:rsidRPr="00E208C5" w:rsidRDefault="00F1446F" w:rsidP="001E67AB">
            <w:pPr>
              <w:pStyle w:val="TableText"/>
              <w:spacing w:after="0" w:line="240" w:lineRule="auto"/>
              <w:rPr>
                <w:lang w:val="en-AU"/>
              </w:rPr>
            </w:pPr>
            <w:r w:rsidRPr="00E208C5">
              <w:rPr>
                <w:lang w:val="en-AU"/>
              </w:rPr>
              <w:t>8.4</w:t>
            </w:r>
          </w:p>
        </w:tc>
      </w:tr>
      <w:tr w:rsidR="00F1446F" w:rsidRPr="00E208C5" w14:paraId="59113C2C" w14:textId="77777777" w:rsidTr="001E67AB">
        <w:trPr>
          <w:trHeight w:val="204"/>
        </w:trPr>
        <w:tc>
          <w:tcPr>
            <w:tcW w:w="3936" w:type="dxa"/>
            <w:tcBorders>
              <w:top w:val="single" w:sz="4" w:space="0" w:color="auto"/>
              <w:left w:val="single" w:sz="4" w:space="0" w:color="auto"/>
              <w:bottom w:val="single" w:sz="4" w:space="0" w:color="auto"/>
              <w:right w:val="single" w:sz="4" w:space="0" w:color="auto"/>
            </w:tcBorders>
            <w:hideMark/>
          </w:tcPr>
          <w:p w14:paraId="5A76D382" w14:textId="77777777" w:rsidR="00F1446F" w:rsidRPr="00E208C5" w:rsidRDefault="00F1446F" w:rsidP="001E67AB">
            <w:pPr>
              <w:pStyle w:val="TableText"/>
              <w:spacing w:after="0" w:line="240" w:lineRule="auto"/>
              <w:rPr>
                <w:lang w:val="en-AU"/>
              </w:rPr>
            </w:pPr>
            <w:r w:rsidRPr="00E208C5">
              <w:rPr>
                <w:lang w:val="en-AU"/>
              </w:rPr>
              <w:t>Change from baseline at week 30</w:t>
            </w:r>
          </w:p>
        </w:tc>
        <w:tc>
          <w:tcPr>
            <w:tcW w:w="1748" w:type="dxa"/>
            <w:gridSpan w:val="2"/>
            <w:tcBorders>
              <w:top w:val="single" w:sz="4" w:space="0" w:color="auto"/>
              <w:left w:val="single" w:sz="4" w:space="0" w:color="auto"/>
              <w:bottom w:val="single" w:sz="4" w:space="0" w:color="auto"/>
              <w:right w:val="single" w:sz="4" w:space="0" w:color="auto"/>
            </w:tcBorders>
            <w:hideMark/>
          </w:tcPr>
          <w:p w14:paraId="1B9D0090" w14:textId="77777777" w:rsidR="00F1446F" w:rsidRPr="00E208C5" w:rsidRDefault="00F1446F" w:rsidP="001E67AB">
            <w:pPr>
              <w:pStyle w:val="TableText"/>
              <w:spacing w:after="0" w:line="240" w:lineRule="auto"/>
              <w:rPr>
                <w:lang w:val="en-AU"/>
              </w:rPr>
            </w:pPr>
            <w:r w:rsidRPr="00E208C5">
              <w:rPr>
                <w:lang w:val="en-AU"/>
              </w:rPr>
              <w:t>-1.4</w:t>
            </w:r>
          </w:p>
        </w:tc>
        <w:tc>
          <w:tcPr>
            <w:tcW w:w="1748" w:type="dxa"/>
            <w:tcBorders>
              <w:top w:val="single" w:sz="4" w:space="0" w:color="auto"/>
              <w:left w:val="single" w:sz="4" w:space="0" w:color="auto"/>
              <w:bottom w:val="single" w:sz="4" w:space="0" w:color="auto"/>
              <w:right w:val="single" w:sz="4" w:space="0" w:color="auto"/>
            </w:tcBorders>
            <w:hideMark/>
          </w:tcPr>
          <w:p w14:paraId="712B6216" w14:textId="77777777" w:rsidR="00F1446F" w:rsidRPr="00E208C5" w:rsidRDefault="00F1446F" w:rsidP="001E67AB">
            <w:pPr>
              <w:pStyle w:val="TableText"/>
              <w:spacing w:after="0" w:line="240" w:lineRule="auto"/>
              <w:rPr>
                <w:lang w:val="en-AU"/>
              </w:rPr>
            </w:pPr>
            <w:r w:rsidRPr="00E208C5">
              <w:rPr>
                <w:lang w:val="en-AU"/>
              </w:rPr>
              <w:t>-1.8</w:t>
            </w:r>
          </w:p>
        </w:tc>
        <w:tc>
          <w:tcPr>
            <w:tcW w:w="1748" w:type="dxa"/>
            <w:tcBorders>
              <w:top w:val="single" w:sz="4" w:space="0" w:color="auto"/>
              <w:left w:val="single" w:sz="4" w:space="0" w:color="auto"/>
              <w:bottom w:val="single" w:sz="4" w:space="0" w:color="auto"/>
              <w:right w:val="single" w:sz="4" w:space="0" w:color="auto"/>
            </w:tcBorders>
            <w:hideMark/>
          </w:tcPr>
          <w:p w14:paraId="285ED4AA" w14:textId="77777777" w:rsidR="00F1446F" w:rsidRPr="00E208C5" w:rsidRDefault="00F1446F" w:rsidP="001E67AB">
            <w:pPr>
              <w:pStyle w:val="TableText"/>
              <w:spacing w:after="0" w:line="240" w:lineRule="auto"/>
              <w:rPr>
                <w:lang w:val="en-AU"/>
              </w:rPr>
            </w:pPr>
            <w:r w:rsidRPr="00E208C5">
              <w:rPr>
                <w:lang w:val="en-AU"/>
              </w:rPr>
              <w:t>-0.1</w:t>
            </w:r>
          </w:p>
        </w:tc>
      </w:tr>
      <w:tr w:rsidR="00F1446F" w:rsidRPr="00E208C5" w14:paraId="22EACD4F" w14:textId="77777777" w:rsidTr="001E67AB">
        <w:trPr>
          <w:trHeight w:val="602"/>
        </w:trPr>
        <w:tc>
          <w:tcPr>
            <w:tcW w:w="3936" w:type="dxa"/>
            <w:tcBorders>
              <w:top w:val="single" w:sz="4" w:space="0" w:color="auto"/>
              <w:left w:val="single" w:sz="4" w:space="0" w:color="auto"/>
              <w:bottom w:val="single" w:sz="4" w:space="0" w:color="auto"/>
              <w:right w:val="single" w:sz="4" w:space="0" w:color="auto"/>
            </w:tcBorders>
            <w:hideMark/>
          </w:tcPr>
          <w:p w14:paraId="053E4997" w14:textId="77777777" w:rsidR="00F1446F" w:rsidRPr="00E208C5" w:rsidRDefault="00F1446F" w:rsidP="001E67AB">
            <w:pPr>
              <w:pStyle w:val="TableText"/>
              <w:spacing w:after="0" w:line="240" w:lineRule="auto"/>
              <w:rPr>
                <w:lang w:val="en-AU"/>
              </w:rPr>
            </w:pPr>
            <w:r w:rsidRPr="00E208C5">
              <w:rPr>
                <w:lang w:val="en-AU"/>
              </w:rPr>
              <w:t xml:space="preserve">Difference from placebo </w:t>
            </w:r>
          </w:p>
          <w:p w14:paraId="4199E505" w14:textId="77777777" w:rsidR="00F1446F" w:rsidRPr="00E208C5" w:rsidRDefault="00F1446F" w:rsidP="001E67AB">
            <w:pPr>
              <w:pStyle w:val="TableText"/>
              <w:spacing w:after="0" w:line="240" w:lineRule="auto"/>
              <w:rPr>
                <w:lang w:val="en-AU"/>
              </w:rPr>
            </w:pPr>
            <w:r w:rsidRPr="00E208C5">
              <w:rPr>
                <w:lang w:val="en-AU"/>
              </w:rPr>
              <w:t xml:space="preserve"> [95% CI]</w:t>
            </w:r>
          </w:p>
        </w:tc>
        <w:tc>
          <w:tcPr>
            <w:tcW w:w="1748" w:type="dxa"/>
            <w:gridSpan w:val="2"/>
            <w:tcBorders>
              <w:top w:val="single" w:sz="4" w:space="0" w:color="auto"/>
              <w:left w:val="single" w:sz="4" w:space="0" w:color="auto"/>
              <w:bottom w:val="single" w:sz="4" w:space="0" w:color="auto"/>
              <w:right w:val="single" w:sz="4" w:space="0" w:color="auto"/>
            </w:tcBorders>
            <w:hideMark/>
          </w:tcPr>
          <w:p w14:paraId="47F3CF60" w14:textId="77777777" w:rsidR="00F1446F" w:rsidRPr="00E208C5" w:rsidRDefault="00F1446F" w:rsidP="001E67AB">
            <w:pPr>
              <w:pStyle w:val="TableText"/>
              <w:spacing w:after="0" w:line="240" w:lineRule="auto"/>
              <w:rPr>
                <w:vertAlign w:val="superscript"/>
                <w:lang w:val="en-AU"/>
              </w:rPr>
            </w:pPr>
            <w:r w:rsidRPr="00E208C5">
              <w:rPr>
                <w:lang w:val="en-AU"/>
              </w:rPr>
              <w:t>-1.4</w:t>
            </w:r>
          </w:p>
          <w:p w14:paraId="6F67788E" w14:textId="77777777" w:rsidR="00F1446F" w:rsidRPr="00E208C5" w:rsidRDefault="00F1446F" w:rsidP="001E67AB">
            <w:pPr>
              <w:pStyle w:val="TableText"/>
              <w:spacing w:after="0" w:line="240" w:lineRule="auto"/>
              <w:rPr>
                <w:vertAlign w:val="superscript"/>
                <w:lang w:val="en-AU"/>
              </w:rPr>
            </w:pPr>
            <w:r w:rsidRPr="00E208C5">
              <w:rPr>
                <w:lang w:val="en-AU"/>
              </w:rPr>
              <w:t>[-1.6; -1.1]</w:t>
            </w:r>
            <w:r w:rsidRPr="00E208C5">
              <w:rPr>
                <w:vertAlign w:val="superscript"/>
                <w:lang w:val="en-AU"/>
              </w:rPr>
              <w:t>a</w:t>
            </w:r>
          </w:p>
        </w:tc>
        <w:tc>
          <w:tcPr>
            <w:tcW w:w="1748" w:type="dxa"/>
            <w:tcBorders>
              <w:top w:val="single" w:sz="4" w:space="0" w:color="auto"/>
              <w:left w:val="single" w:sz="4" w:space="0" w:color="auto"/>
              <w:bottom w:val="single" w:sz="4" w:space="0" w:color="auto"/>
              <w:right w:val="single" w:sz="4" w:space="0" w:color="auto"/>
            </w:tcBorders>
            <w:hideMark/>
          </w:tcPr>
          <w:p w14:paraId="6F88C1E4" w14:textId="77777777" w:rsidR="00F1446F" w:rsidRPr="00E208C5" w:rsidRDefault="00F1446F" w:rsidP="001E67AB">
            <w:pPr>
              <w:pStyle w:val="TableText"/>
              <w:spacing w:after="0" w:line="240" w:lineRule="auto"/>
              <w:rPr>
                <w:vertAlign w:val="superscript"/>
                <w:lang w:val="en-AU"/>
              </w:rPr>
            </w:pPr>
            <w:r w:rsidRPr="00E208C5">
              <w:rPr>
                <w:lang w:val="en-AU"/>
              </w:rPr>
              <w:t>-1.8</w:t>
            </w:r>
          </w:p>
          <w:p w14:paraId="6C832DA7" w14:textId="77777777" w:rsidR="00F1446F" w:rsidRPr="00E208C5" w:rsidRDefault="00F1446F" w:rsidP="001E67AB">
            <w:pPr>
              <w:pStyle w:val="TableText"/>
              <w:spacing w:after="0" w:line="240" w:lineRule="auto"/>
              <w:rPr>
                <w:vertAlign w:val="superscript"/>
                <w:lang w:val="en-AU"/>
              </w:rPr>
            </w:pPr>
            <w:r w:rsidRPr="00E208C5">
              <w:rPr>
                <w:lang w:val="en-AU"/>
              </w:rPr>
              <w:t>[-2.0; -1.5]</w:t>
            </w:r>
            <w:r w:rsidRPr="00E208C5">
              <w:rPr>
                <w:vertAlign w:val="superscript"/>
                <w:lang w:val="en-AU"/>
              </w:rPr>
              <w:t>a</w:t>
            </w:r>
          </w:p>
          <w:p w14:paraId="7F7B5A2C" w14:textId="77777777" w:rsidR="00F1446F" w:rsidRPr="00E208C5" w:rsidRDefault="00F1446F" w:rsidP="001E67AB">
            <w:pPr>
              <w:pStyle w:val="TableText"/>
              <w:spacing w:after="0" w:line="240" w:lineRule="auto"/>
              <w:rPr>
                <w:lang w:val="en-AU"/>
              </w:rPr>
            </w:pPr>
          </w:p>
          <w:p w14:paraId="3A3F4997" w14:textId="77777777" w:rsidR="00F1446F" w:rsidRPr="00E208C5" w:rsidRDefault="00F1446F" w:rsidP="001E67AB">
            <w:pPr>
              <w:pStyle w:val="TableText"/>
              <w:spacing w:after="0" w:line="240" w:lineRule="auto"/>
              <w:rPr>
                <w:lang w:val="en-AU"/>
              </w:rPr>
            </w:pPr>
          </w:p>
        </w:tc>
        <w:tc>
          <w:tcPr>
            <w:tcW w:w="1748" w:type="dxa"/>
            <w:tcBorders>
              <w:top w:val="single" w:sz="4" w:space="0" w:color="auto"/>
              <w:left w:val="single" w:sz="4" w:space="0" w:color="auto"/>
              <w:bottom w:val="single" w:sz="4" w:space="0" w:color="auto"/>
              <w:right w:val="single" w:sz="4" w:space="0" w:color="auto"/>
            </w:tcBorders>
            <w:hideMark/>
          </w:tcPr>
          <w:p w14:paraId="28F6E638" w14:textId="77777777" w:rsidR="00F1446F" w:rsidRPr="00E208C5" w:rsidRDefault="00F1446F" w:rsidP="001E67AB">
            <w:pPr>
              <w:pStyle w:val="TableText"/>
              <w:spacing w:after="0" w:line="240" w:lineRule="auto"/>
              <w:rPr>
                <w:lang w:val="en-AU"/>
              </w:rPr>
            </w:pPr>
            <w:r w:rsidRPr="00E208C5">
              <w:rPr>
                <w:lang w:val="en-AU"/>
              </w:rPr>
              <w:t>-</w:t>
            </w:r>
          </w:p>
        </w:tc>
      </w:tr>
      <w:tr w:rsidR="00F1446F" w:rsidRPr="00E208C5" w14:paraId="139D6C1E" w14:textId="77777777" w:rsidTr="001E67AB">
        <w:trPr>
          <w:trHeight w:val="108"/>
        </w:trPr>
        <w:tc>
          <w:tcPr>
            <w:tcW w:w="3936" w:type="dxa"/>
            <w:tcBorders>
              <w:top w:val="single" w:sz="4" w:space="0" w:color="auto"/>
              <w:left w:val="single" w:sz="4" w:space="0" w:color="auto"/>
              <w:bottom w:val="single" w:sz="4" w:space="0" w:color="auto"/>
              <w:right w:val="single" w:sz="4" w:space="0" w:color="auto"/>
            </w:tcBorders>
            <w:hideMark/>
          </w:tcPr>
          <w:p w14:paraId="24D316CF" w14:textId="77777777" w:rsidR="00F1446F" w:rsidRPr="00E208C5" w:rsidRDefault="00F1446F" w:rsidP="001E67AB">
            <w:pPr>
              <w:pStyle w:val="TableText"/>
              <w:spacing w:after="0" w:line="240" w:lineRule="auto"/>
              <w:rPr>
                <w:lang w:val="en-AU"/>
              </w:rPr>
            </w:pPr>
            <w:r w:rsidRPr="00E208C5">
              <w:rPr>
                <w:lang w:val="en-AU"/>
              </w:rPr>
              <w:t>Patients (%) achieving HbA</w:t>
            </w:r>
            <w:r w:rsidRPr="00E208C5">
              <w:rPr>
                <w:vertAlign w:val="subscript"/>
                <w:lang w:val="en-AU"/>
              </w:rPr>
              <w:t>1c</w:t>
            </w:r>
            <w:r w:rsidRPr="00E208C5">
              <w:rPr>
                <w:lang w:val="en-AU"/>
              </w:rPr>
              <w:t xml:space="preserve"> &lt;7%</w:t>
            </w:r>
          </w:p>
        </w:tc>
        <w:tc>
          <w:tcPr>
            <w:tcW w:w="1748" w:type="dxa"/>
            <w:gridSpan w:val="2"/>
            <w:tcBorders>
              <w:top w:val="single" w:sz="4" w:space="0" w:color="auto"/>
              <w:left w:val="single" w:sz="4" w:space="0" w:color="auto"/>
              <w:bottom w:val="single" w:sz="4" w:space="0" w:color="auto"/>
              <w:right w:val="single" w:sz="4" w:space="0" w:color="auto"/>
            </w:tcBorders>
            <w:hideMark/>
          </w:tcPr>
          <w:p w14:paraId="511EC523" w14:textId="77777777" w:rsidR="00F1446F" w:rsidRPr="00E208C5" w:rsidRDefault="00F1446F" w:rsidP="001E67AB">
            <w:pPr>
              <w:pStyle w:val="TableText"/>
              <w:spacing w:after="0" w:line="240" w:lineRule="auto"/>
              <w:rPr>
                <w:vertAlign w:val="superscript"/>
                <w:lang w:val="en-AU"/>
              </w:rPr>
            </w:pPr>
            <w:r w:rsidRPr="00E208C5">
              <w:rPr>
                <w:lang w:val="en-AU"/>
              </w:rPr>
              <w:t>61</w:t>
            </w:r>
            <w:r w:rsidRPr="00E208C5">
              <w:rPr>
                <w:vertAlign w:val="superscript"/>
                <w:lang w:val="en-AU"/>
              </w:rPr>
              <w:t>b</w:t>
            </w:r>
          </w:p>
        </w:tc>
        <w:tc>
          <w:tcPr>
            <w:tcW w:w="1748" w:type="dxa"/>
            <w:tcBorders>
              <w:top w:val="single" w:sz="4" w:space="0" w:color="auto"/>
              <w:left w:val="single" w:sz="4" w:space="0" w:color="auto"/>
              <w:bottom w:val="single" w:sz="4" w:space="0" w:color="auto"/>
              <w:right w:val="single" w:sz="4" w:space="0" w:color="auto"/>
            </w:tcBorders>
            <w:hideMark/>
          </w:tcPr>
          <w:p w14:paraId="247DA390" w14:textId="77777777" w:rsidR="00F1446F" w:rsidRPr="00E208C5" w:rsidRDefault="00F1446F" w:rsidP="001E67AB">
            <w:pPr>
              <w:pStyle w:val="TableText"/>
              <w:spacing w:after="0" w:line="240" w:lineRule="auto"/>
              <w:rPr>
                <w:lang w:val="en-AU"/>
              </w:rPr>
            </w:pPr>
            <w:r w:rsidRPr="00E208C5">
              <w:rPr>
                <w:lang w:val="en-AU"/>
              </w:rPr>
              <w:t>79</w:t>
            </w:r>
            <w:r w:rsidRPr="00E208C5">
              <w:rPr>
                <w:vertAlign w:val="superscript"/>
                <w:lang w:val="en-AU"/>
              </w:rPr>
              <w:t>b</w:t>
            </w:r>
          </w:p>
        </w:tc>
        <w:tc>
          <w:tcPr>
            <w:tcW w:w="1748" w:type="dxa"/>
            <w:tcBorders>
              <w:top w:val="single" w:sz="4" w:space="0" w:color="auto"/>
              <w:left w:val="single" w:sz="4" w:space="0" w:color="auto"/>
              <w:bottom w:val="single" w:sz="4" w:space="0" w:color="auto"/>
              <w:right w:val="single" w:sz="4" w:space="0" w:color="auto"/>
            </w:tcBorders>
            <w:hideMark/>
          </w:tcPr>
          <w:p w14:paraId="02F8889C" w14:textId="77777777" w:rsidR="00F1446F" w:rsidRPr="00E208C5" w:rsidRDefault="00F1446F" w:rsidP="001E67AB">
            <w:pPr>
              <w:pStyle w:val="TableText"/>
              <w:spacing w:after="0" w:line="240" w:lineRule="auto"/>
              <w:rPr>
                <w:lang w:val="en-AU"/>
              </w:rPr>
            </w:pPr>
            <w:r w:rsidRPr="00E208C5">
              <w:rPr>
                <w:lang w:val="en-AU"/>
              </w:rPr>
              <w:t>11</w:t>
            </w:r>
          </w:p>
        </w:tc>
      </w:tr>
      <w:tr w:rsidR="00F1446F" w:rsidRPr="00E208C5" w14:paraId="24463F02" w14:textId="77777777" w:rsidTr="001E67AB">
        <w:tc>
          <w:tcPr>
            <w:tcW w:w="4590" w:type="dxa"/>
            <w:gridSpan w:val="2"/>
            <w:tcBorders>
              <w:top w:val="single" w:sz="4" w:space="0" w:color="auto"/>
              <w:left w:val="single" w:sz="4" w:space="0" w:color="auto"/>
              <w:bottom w:val="single" w:sz="4" w:space="0" w:color="auto"/>
              <w:right w:val="nil"/>
            </w:tcBorders>
          </w:tcPr>
          <w:p w14:paraId="625AAD2F" w14:textId="77777777" w:rsidR="00F1446F" w:rsidRPr="00E208C5" w:rsidRDefault="00F1446F" w:rsidP="001E67AB">
            <w:pPr>
              <w:pStyle w:val="TableText"/>
              <w:spacing w:after="0" w:line="240" w:lineRule="auto"/>
              <w:rPr>
                <w:lang w:val="en-AU"/>
              </w:rPr>
            </w:pPr>
            <w:r w:rsidRPr="00E208C5">
              <w:rPr>
                <w:lang w:val="en-AU"/>
              </w:rPr>
              <w:t>FPG (mmol/l)</w:t>
            </w:r>
          </w:p>
        </w:tc>
        <w:tc>
          <w:tcPr>
            <w:tcW w:w="4590" w:type="dxa"/>
            <w:gridSpan w:val="3"/>
            <w:tcBorders>
              <w:top w:val="single" w:sz="4" w:space="0" w:color="auto"/>
              <w:left w:val="nil"/>
              <w:bottom w:val="single" w:sz="4" w:space="0" w:color="auto"/>
              <w:right w:val="single" w:sz="4" w:space="0" w:color="auto"/>
            </w:tcBorders>
          </w:tcPr>
          <w:p w14:paraId="4BB2C541" w14:textId="77777777" w:rsidR="00F1446F" w:rsidRPr="00E208C5" w:rsidRDefault="00F1446F" w:rsidP="001E67AB">
            <w:pPr>
              <w:pStyle w:val="TableText"/>
              <w:spacing w:after="0" w:line="240" w:lineRule="auto"/>
              <w:rPr>
                <w:lang w:val="en-AU"/>
              </w:rPr>
            </w:pPr>
          </w:p>
        </w:tc>
      </w:tr>
      <w:tr w:rsidR="00F1446F" w:rsidRPr="00E208C5" w14:paraId="0B19433D" w14:textId="77777777" w:rsidTr="001E67AB">
        <w:tc>
          <w:tcPr>
            <w:tcW w:w="3936" w:type="dxa"/>
            <w:tcBorders>
              <w:top w:val="single" w:sz="4" w:space="0" w:color="auto"/>
              <w:left w:val="single" w:sz="4" w:space="0" w:color="auto"/>
              <w:bottom w:val="single" w:sz="4" w:space="0" w:color="auto"/>
              <w:right w:val="single" w:sz="4" w:space="0" w:color="auto"/>
            </w:tcBorders>
          </w:tcPr>
          <w:p w14:paraId="35EBF4E3" w14:textId="77777777" w:rsidR="00F1446F" w:rsidRPr="00E208C5" w:rsidRDefault="00F1446F" w:rsidP="001E67AB">
            <w:pPr>
              <w:pStyle w:val="TableText"/>
              <w:spacing w:after="0" w:line="240" w:lineRule="auto"/>
              <w:rPr>
                <w:lang w:val="en-AU"/>
              </w:rPr>
            </w:pPr>
            <w:r w:rsidRPr="00E208C5">
              <w:rPr>
                <w:lang w:val="en-AU"/>
              </w:rPr>
              <w:t xml:space="preserve">   Baseline (mean)</w:t>
            </w:r>
          </w:p>
        </w:tc>
        <w:tc>
          <w:tcPr>
            <w:tcW w:w="1748" w:type="dxa"/>
            <w:gridSpan w:val="2"/>
            <w:tcBorders>
              <w:top w:val="single" w:sz="4" w:space="0" w:color="auto"/>
              <w:left w:val="single" w:sz="4" w:space="0" w:color="auto"/>
              <w:bottom w:val="single" w:sz="4" w:space="0" w:color="auto"/>
              <w:right w:val="single" w:sz="4" w:space="0" w:color="auto"/>
            </w:tcBorders>
          </w:tcPr>
          <w:p w14:paraId="381E750B" w14:textId="77777777" w:rsidR="00F1446F" w:rsidRPr="00E208C5" w:rsidRDefault="00F1446F" w:rsidP="001E67AB">
            <w:pPr>
              <w:pStyle w:val="TableText"/>
              <w:spacing w:after="0" w:line="240" w:lineRule="auto"/>
              <w:rPr>
                <w:lang w:val="en-AU"/>
              </w:rPr>
            </w:pPr>
            <w:r w:rsidRPr="00E208C5">
              <w:rPr>
                <w:lang w:val="en-AU"/>
              </w:rPr>
              <w:t>8.9</w:t>
            </w:r>
          </w:p>
        </w:tc>
        <w:tc>
          <w:tcPr>
            <w:tcW w:w="1748" w:type="dxa"/>
            <w:tcBorders>
              <w:top w:val="single" w:sz="4" w:space="0" w:color="auto"/>
              <w:left w:val="single" w:sz="4" w:space="0" w:color="auto"/>
              <w:bottom w:val="single" w:sz="4" w:space="0" w:color="auto"/>
              <w:right w:val="single" w:sz="4" w:space="0" w:color="auto"/>
            </w:tcBorders>
          </w:tcPr>
          <w:p w14:paraId="037CF2E7" w14:textId="77777777" w:rsidR="00F1446F" w:rsidRPr="00E208C5" w:rsidRDefault="00F1446F" w:rsidP="001E67AB">
            <w:pPr>
              <w:pStyle w:val="TableText"/>
              <w:spacing w:after="0" w:line="240" w:lineRule="auto"/>
              <w:rPr>
                <w:lang w:val="en-AU"/>
              </w:rPr>
            </w:pPr>
            <w:r w:rsidRPr="00E208C5">
              <w:rPr>
                <w:lang w:val="en-AU"/>
              </w:rPr>
              <w:t>8.5</w:t>
            </w:r>
          </w:p>
        </w:tc>
        <w:tc>
          <w:tcPr>
            <w:tcW w:w="1748" w:type="dxa"/>
            <w:tcBorders>
              <w:top w:val="single" w:sz="4" w:space="0" w:color="auto"/>
              <w:left w:val="single" w:sz="4" w:space="0" w:color="auto"/>
              <w:bottom w:val="single" w:sz="4" w:space="0" w:color="auto"/>
              <w:right w:val="single" w:sz="4" w:space="0" w:color="auto"/>
            </w:tcBorders>
          </w:tcPr>
          <w:p w14:paraId="6B7F3B77" w14:textId="77777777" w:rsidR="00F1446F" w:rsidRPr="00E208C5" w:rsidRDefault="00F1446F" w:rsidP="001E67AB">
            <w:pPr>
              <w:pStyle w:val="TableText"/>
              <w:spacing w:after="0" w:line="240" w:lineRule="auto"/>
              <w:rPr>
                <w:lang w:val="en-AU"/>
              </w:rPr>
            </w:pPr>
            <w:r w:rsidRPr="00E208C5">
              <w:rPr>
                <w:lang w:val="en-AU"/>
              </w:rPr>
              <w:t>8.6</w:t>
            </w:r>
          </w:p>
        </w:tc>
      </w:tr>
      <w:tr w:rsidR="00F1446F" w:rsidRPr="00E208C5" w14:paraId="64B07CA1" w14:textId="77777777" w:rsidTr="001E67AB">
        <w:tc>
          <w:tcPr>
            <w:tcW w:w="3936" w:type="dxa"/>
            <w:tcBorders>
              <w:top w:val="single" w:sz="4" w:space="0" w:color="auto"/>
              <w:left w:val="single" w:sz="4" w:space="0" w:color="auto"/>
              <w:bottom w:val="single" w:sz="4" w:space="0" w:color="auto"/>
              <w:right w:val="single" w:sz="4" w:space="0" w:color="auto"/>
            </w:tcBorders>
          </w:tcPr>
          <w:p w14:paraId="63352A23" w14:textId="77777777" w:rsidR="00F1446F" w:rsidRPr="00E208C5" w:rsidRDefault="00F1446F" w:rsidP="001E67AB">
            <w:pPr>
              <w:pStyle w:val="TableText"/>
              <w:spacing w:after="0" w:line="240" w:lineRule="auto"/>
              <w:rPr>
                <w:b/>
                <w:lang w:val="en-AU"/>
              </w:rPr>
            </w:pPr>
            <w:r w:rsidRPr="00E208C5">
              <w:rPr>
                <w:lang w:val="en-AU"/>
              </w:rPr>
              <w:t xml:space="preserve">   Change from baseline at week 30</w:t>
            </w:r>
          </w:p>
        </w:tc>
        <w:tc>
          <w:tcPr>
            <w:tcW w:w="1748" w:type="dxa"/>
            <w:gridSpan w:val="2"/>
            <w:tcBorders>
              <w:top w:val="single" w:sz="4" w:space="0" w:color="auto"/>
              <w:left w:val="single" w:sz="4" w:space="0" w:color="auto"/>
              <w:bottom w:val="single" w:sz="4" w:space="0" w:color="auto"/>
              <w:right w:val="single" w:sz="4" w:space="0" w:color="auto"/>
            </w:tcBorders>
          </w:tcPr>
          <w:p w14:paraId="099E7CA6" w14:textId="77777777" w:rsidR="00F1446F" w:rsidRPr="00E208C5" w:rsidRDefault="00F1446F" w:rsidP="001E67AB">
            <w:pPr>
              <w:pStyle w:val="TableText"/>
              <w:spacing w:after="0" w:line="240" w:lineRule="auto"/>
              <w:rPr>
                <w:lang w:val="en-AU"/>
              </w:rPr>
            </w:pPr>
            <w:r w:rsidRPr="00E208C5">
              <w:rPr>
                <w:lang w:val="en-AU"/>
              </w:rPr>
              <w:t>-1.6</w:t>
            </w:r>
          </w:p>
        </w:tc>
        <w:tc>
          <w:tcPr>
            <w:tcW w:w="1748" w:type="dxa"/>
            <w:tcBorders>
              <w:top w:val="single" w:sz="4" w:space="0" w:color="auto"/>
              <w:left w:val="single" w:sz="4" w:space="0" w:color="auto"/>
              <w:bottom w:val="single" w:sz="4" w:space="0" w:color="auto"/>
              <w:right w:val="single" w:sz="4" w:space="0" w:color="auto"/>
            </w:tcBorders>
          </w:tcPr>
          <w:p w14:paraId="2020B06B" w14:textId="77777777" w:rsidR="00F1446F" w:rsidRPr="00E208C5" w:rsidRDefault="00F1446F" w:rsidP="001E67AB">
            <w:pPr>
              <w:pStyle w:val="TableText"/>
              <w:spacing w:after="0" w:line="240" w:lineRule="auto"/>
              <w:rPr>
                <w:lang w:val="en-AU"/>
              </w:rPr>
            </w:pPr>
            <w:r w:rsidRPr="00E208C5">
              <w:rPr>
                <w:lang w:val="en-AU"/>
              </w:rPr>
              <w:t>-2.4</w:t>
            </w:r>
          </w:p>
        </w:tc>
        <w:tc>
          <w:tcPr>
            <w:tcW w:w="1748" w:type="dxa"/>
            <w:tcBorders>
              <w:top w:val="single" w:sz="4" w:space="0" w:color="auto"/>
              <w:left w:val="single" w:sz="4" w:space="0" w:color="auto"/>
              <w:bottom w:val="single" w:sz="4" w:space="0" w:color="auto"/>
              <w:right w:val="single" w:sz="4" w:space="0" w:color="auto"/>
            </w:tcBorders>
          </w:tcPr>
          <w:p w14:paraId="211CB09F" w14:textId="77777777" w:rsidR="00F1446F" w:rsidRPr="00E208C5" w:rsidRDefault="00F1446F" w:rsidP="001E67AB">
            <w:pPr>
              <w:pStyle w:val="TableText"/>
              <w:spacing w:after="0" w:line="240" w:lineRule="auto"/>
              <w:rPr>
                <w:lang w:val="en-AU"/>
              </w:rPr>
            </w:pPr>
            <w:r w:rsidRPr="00E208C5">
              <w:rPr>
                <w:lang w:val="en-AU"/>
              </w:rPr>
              <w:t>-0.5</w:t>
            </w:r>
          </w:p>
        </w:tc>
      </w:tr>
      <w:tr w:rsidR="001E67AB" w:rsidRPr="00E208C5" w14:paraId="3383AF03" w14:textId="77777777" w:rsidTr="001E67AB">
        <w:tc>
          <w:tcPr>
            <w:tcW w:w="3936" w:type="dxa"/>
            <w:tcBorders>
              <w:top w:val="single" w:sz="4" w:space="0" w:color="auto"/>
              <w:left w:val="single" w:sz="4" w:space="0" w:color="auto"/>
              <w:bottom w:val="single" w:sz="4" w:space="0" w:color="auto"/>
              <w:right w:val="single" w:sz="4" w:space="0" w:color="auto"/>
            </w:tcBorders>
          </w:tcPr>
          <w:p w14:paraId="61AA2785" w14:textId="77777777" w:rsidR="001E67AB" w:rsidRPr="00E208C5" w:rsidRDefault="001E67AB" w:rsidP="001E67AB">
            <w:pPr>
              <w:pStyle w:val="TableText"/>
              <w:spacing w:after="0" w:line="240" w:lineRule="auto"/>
              <w:rPr>
                <w:lang w:val="en-AU"/>
              </w:rPr>
            </w:pPr>
            <w:r w:rsidRPr="00E208C5">
              <w:rPr>
                <w:lang w:val="en-AU"/>
              </w:rPr>
              <w:t xml:space="preserve">   Difference from placebo</w:t>
            </w:r>
          </w:p>
          <w:p w14:paraId="57BAFCE5" w14:textId="77777777" w:rsidR="001E67AB" w:rsidRPr="00E208C5" w:rsidRDefault="001E67AB" w:rsidP="001E67AB">
            <w:pPr>
              <w:pStyle w:val="TableText"/>
              <w:spacing w:after="0" w:line="240" w:lineRule="auto"/>
              <w:rPr>
                <w:b/>
                <w:bCs/>
                <w:iCs/>
                <w:lang w:val="en-AU"/>
              </w:rPr>
            </w:pPr>
            <w:r w:rsidRPr="00E208C5">
              <w:rPr>
                <w:lang w:val="en-AU"/>
              </w:rPr>
              <w:t xml:space="preserve">   [95% CI]</w:t>
            </w:r>
          </w:p>
        </w:tc>
        <w:tc>
          <w:tcPr>
            <w:tcW w:w="1748" w:type="dxa"/>
            <w:gridSpan w:val="2"/>
            <w:tcBorders>
              <w:top w:val="single" w:sz="4" w:space="0" w:color="auto"/>
              <w:left w:val="single" w:sz="4" w:space="0" w:color="auto"/>
              <w:bottom w:val="single" w:sz="4" w:space="0" w:color="auto"/>
              <w:right w:val="single" w:sz="4" w:space="0" w:color="auto"/>
            </w:tcBorders>
          </w:tcPr>
          <w:p w14:paraId="3B84C664" w14:textId="77777777" w:rsidR="001E67AB" w:rsidRPr="00E208C5" w:rsidRDefault="001E67AB" w:rsidP="001E67AB">
            <w:pPr>
              <w:pStyle w:val="TableText"/>
              <w:spacing w:after="0" w:line="240" w:lineRule="auto"/>
              <w:rPr>
                <w:lang w:val="en-AU"/>
              </w:rPr>
            </w:pPr>
            <w:r w:rsidRPr="00E208C5">
              <w:rPr>
                <w:lang w:val="en-AU"/>
              </w:rPr>
              <w:t>-1.1</w:t>
            </w:r>
          </w:p>
          <w:p w14:paraId="6FBBC510" w14:textId="77777777" w:rsidR="001E67AB" w:rsidRPr="00E208C5" w:rsidRDefault="001E67AB" w:rsidP="001E67AB">
            <w:pPr>
              <w:pStyle w:val="TableText"/>
              <w:spacing w:after="0" w:line="240" w:lineRule="auto"/>
              <w:rPr>
                <w:vertAlign w:val="superscript"/>
                <w:lang w:val="en-AU"/>
              </w:rPr>
            </w:pPr>
            <w:r w:rsidRPr="00E208C5">
              <w:rPr>
                <w:lang w:val="en-AU"/>
              </w:rPr>
              <w:t>[-1.7; -0.5]</w:t>
            </w:r>
            <w:r w:rsidRPr="00E208C5">
              <w:rPr>
                <w:vertAlign w:val="superscript"/>
                <w:lang w:val="en-AU"/>
              </w:rPr>
              <w:t>c</w:t>
            </w:r>
          </w:p>
        </w:tc>
        <w:tc>
          <w:tcPr>
            <w:tcW w:w="1748" w:type="dxa"/>
            <w:tcBorders>
              <w:top w:val="single" w:sz="4" w:space="0" w:color="auto"/>
              <w:left w:val="single" w:sz="4" w:space="0" w:color="auto"/>
              <w:bottom w:val="single" w:sz="4" w:space="0" w:color="auto"/>
              <w:right w:val="single" w:sz="4" w:space="0" w:color="auto"/>
            </w:tcBorders>
          </w:tcPr>
          <w:p w14:paraId="1183F5BF" w14:textId="77777777" w:rsidR="001E67AB" w:rsidRPr="00E208C5" w:rsidRDefault="001E67AB" w:rsidP="001E67AB">
            <w:pPr>
              <w:pStyle w:val="TableText"/>
              <w:spacing w:after="0" w:line="240" w:lineRule="auto"/>
              <w:rPr>
                <w:lang w:val="en-AU"/>
              </w:rPr>
            </w:pPr>
            <w:r w:rsidRPr="00E208C5">
              <w:rPr>
                <w:lang w:val="en-AU"/>
              </w:rPr>
              <w:t>-1.9</w:t>
            </w:r>
          </w:p>
          <w:p w14:paraId="0E77487A" w14:textId="77777777" w:rsidR="001E67AB" w:rsidRPr="00E208C5" w:rsidRDefault="001E67AB" w:rsidP="001E67AB">
            <w:pPr>
              <w:pStyle w:val="TableText"/>
              <w:spacing w:after="0" w:line="240" w:lineRule="auto"/>
              <w:rPr>
                <w:lang w:val="en-AU"/>
              </w:rPr>
            </w:pPr>
            <w:r w:rsidRPr="00E208C5">
              <w:rPr>
                <w:lang w:val="en-AU"/>
              </w:rPr>
              <w:t>[-2.5; -1.3]</w:t>
            </w:r>
            <w:r w:rsidRPr="00E208C5">
              <w:rPr>
                <w:vertAlign w:val="superscript"/>
                <w:lang w:val="en-AU"/>
              </w:rPr>
              <w:t>b</w:t>
            </w:r>
          </w:p>
        </w:tc>
        <w:tc>
          <w:tcPr>
            <w:tcW w:w="1748" w:type="dxa"/>
            <w:tcBorders>
              <w:top w:val="single" w:sz="4" w:space="0" w:color="auto"/>
              <w:left w:val="single" w:sz="4" w:space="0" w:color="auto"/>
              <w:bottom w:val="single" w:sz="4" w:space="0" w:color="auto"/>
              <w:right w:val="single" w:sz="4" w:space="0" w:color="auto"/>
            </w:tcBorders>
          </w:tcPr>
          <w:p w14:paraId="11242A9E" w14:textId="77777777" w:rsidR="001E67AB" w:rsidRPr="00E208C5" w:rsidRDefault="001E67AB" w:rsidP="001E67AB">
            <w:pPr>
              <w:pStyle w:val="TableText"/>
              <w:spacing w:after="0" w:line="240" w:lineRule="auto"/>
              <w:rPr>
                <w:lang w:val="en-AU"/>
              </w:rPr>
            </w:pPr>
            <w:r w:rsidRPr="00E208C5">
              <w:rPr>
                <w:lang w:val="en-AU"/>
              </w:rPr>
              <w:t>-</w:t>
            </w:r>
          </w:p>
        </w:tc>
      </w:tr>
      <w:tr w:rsidR="00F1446F" w:rsidRPr="00E208C5" w14:paraId="1ECC953A" w14:textId="77777777" w:rsidTr="001E67AB">
        <w:trPr>
          <w:trHeight w:val="193"/>
        </w:trPr>
        <w:tc>
          <w:tcPr>
            <w:tcW w:w="3936" w:type="dxa"/>
            <w:tcBorders>
              <w:top w:val="single" w:sz="4" w:space="0" w:color="auto"/>
              <w:left w:val="single" w:sz="4" w:space="0" w:color="auto"/>
              <w:bottom w:val="single" w:sz="4" w:space="0" w:color="auto"/>
              <w:right w:val="nil"/>
            </w:tcBorders>
            <w:hideMark/>
          </w:tcPr>
          <w:p w14:paraId="5DDDE818" w14:textId="77777777" w:rsidR="00F1446F" w:rsidRPr="00E208C5" w:rsidRDefault="00F1446F" w:rsidP="001E67AB">
            <w:pPr>
              <w:pStyle w:val="TableText"/>
              <w:spacing w:after="0" w:line="240" w:lineRule="auto"/>
              <w:rPr>
                <w:i/>
                <w:lang w:val="en-AU"/>
              </w:rPr>
            </w:pPr>
            <w:r w:rsidRPr="00E208C5">
              <w:rPr>
                <w:lang w:val="en-AU"/>
              </w:rPr>
              <w:t>Body weight (kg)</w:t>
            </w:r>
          </w:p>
        </w:tc>
        <w:tc>
          <w:tcPr>
            <w:tcW w:w="1748" w:type="dxa"/>
            <w:gridSpan w:val="2"/>
            <w:tcBorders>
              <w:top w:val="single" w:sz="4" w:space="0" w:color="auto"/>
              <w:left w:val="nil"/>
              <w:bottom w:val="single" w:sz="4" w:space="0" w:color="auto"/>
              <w:right w:val="nil"/>
            </w:tcBorders>
          </w:tcPr>
          <w:p w14:paraId="251DD10A" w14:textId="77777777" w:rsidR="00F1446F" w:rsidRPr="00E208C5" w:rsidRDefault="00F1446F" w:rsidP="001E67AB">
            <w:pPr>
              <w:pStyle w:val="TableText"/>
              <w:spacing w:after="0" w:line="240" w:lineRule="auto"/>
              <w:rPr>
                <w:lang w:val="en-AU"/>
              </w:rPr>
            </w:pPr>
          </w:p>
        </w:tc>
        <w:tc>
          <w:tcPr>
            <w:tcW w:w="1748" w:type="dxa"/>
            <w:tcBorders>
              <w:top w:val="single" w:sz="4" w:space="0" w:color="auto"/>
              <w:left w:val="nil"/>
              <w:bottom w:val="single" w:sz="4" w:space="0" w:color="auto"/>
              <w:right w:val="nil"/>
            </w:tcBorders>
          </w:tcPr>
          <w:p w14:paraId="03E92AD4" w14:textId="77777777" w:rsidR="00F1446F" w:rsidRPr="00E208C5" w:rsidRDefault="00F1446F" w:rsidP="001E67AB">
            <w:pPr>
              <w:pStyle w:val="TableText"/>
              <w:spacing w:after="0" w:line="240" w:lineRule="auto"/>
              <w:rPr>
                <w:lang w:val="en-AU"/>
              </w:rPr>
            </w:pPr>
          </w:p>
        </w:tc>
        <w:tc>
          <w:tcPr>
            <w:tcW w:w="1748" w:type="dxa"/>
            <w:tcBorders>
              <w:top w:val="single" w:sz="4" w:space="0" w:color="auto"/>
              <w:left w:val="nil"/>
              <w:bottom w:val="single" w:sz="4" w:space="0" w:color="auto"/>
              <w:right w:val="single" w:sz="4" w:space="0" w:color="auto"/>
            </w:tcBorders>
          </w:tcPr>
          <w:p w14:paraId="231CB15A" w14:textId="77777777" w:rsidR="00F1446F" w:rsidRPr="00E208C5" w:rsidRDefault="00F1446F" w:rsidP="001E67AB">
            <w:pPr>
              <w:pStyle w:val="TableText"/>
              <w:spacing w:after="0" w:line="240" w:lineRule="auto"/>
              <w:rPr>
                <w:lang w:val="en-AU"/>
              </w:rPr>
            </w:pPr>
          </w:p>
        </w:tc>
      </w:tr>
      <w:tr w:rsidR="001E67AB" w:rsidRPr="00E208C5" w14:paraId="14BA22B6" w14:textId="77777777" w:rsidTr="001E67AB">
        <w:trPr>
          <w:trHeight w:val="182"/>
        </w:trPr>
        <w:tc>
          <w:tcPr>
            <w:tcW w:w="3936" w:type="dxa"/>
            <w:tcBorders>
              <w:top w:val="single" w:sz="4" w:space="0" w:color="auto"/>
              <w:left w:val="single" w:sz="4" w:space="0" w:color="auto"/>
              <w:bottom w:val="single" w:sz="4" w:space="0" w:color="auto"/>
              <w:right w:val="single" w:sz="4" w:space="0" w:color="auto"/>
            </w:tcBorders>
            <w:hideMark/>
          </w:tcPr>
          <w:p w14:paraId="29858925" w14:textId="77777777" w:rsidR="001E67AB" w:rsidRPr="00E208C5" w:rsidRDefault="001E67AB" w:rsidP="001E67AB">
            <w:pPr>
              <w:pStyle w:val="TableText"/>
              <w:spacing w:after="0" w:line="240" w:lineRule="auto"/>
              <w:rPr>
                <w:b/>
                <w:lang w:val="en-AU"/>
              </w:rPr>
            </w:pPr>
            <w:r w:rsidRPr="00E208C5">
              <w:rPr>
                <w:lang w:val="en-AU"/>
              </w:rPr>
              <w:t>Baseline (mean)</w:t>
            </w:r>
          </w:p>
        </w:tc>
        <w:tc>
          <w:tcPr>
            <w:tcW w:w="1748" w:type="dxa"/>
            <w:gridSpan w:val="2"/>
            <w:tcBorders>
              <w:top w:val="single" w:sz="4" w:space="0" w:color="auto"/>
              <w:left w:val="single" w:sz="4" w:space="0" w:color="auto"/>
              <w:bottom w:val="single" w:sz="4" w:space="0" w:color="auto"/>
              <w:right w:val="single" w:sz="4" w:space="0" w:color="auto"/>
            </w:tcBorders>
            <w:hideMark/>
          </w:tcPr>
          <w:p w14:paraId="02EB1754" w14:textId="77777777" w:rsidR="001E67AB" w:rsidRPr="00E208C5" w:rsidRDefault="001E67AB" w:rsidP="001E67AB">
            <w:pPr>
              <w:pStyle w:val="TableText"/>
              <w:spacing w:after="0" w:line="240" w:lineRule="auto"/>
              <w:rPr>
                <w:lang w:val="en-AU"/>
              </w:rPr>
            </w:pPr>
            <w:r w:rsidRPr="00E208C5">
              <w:rPr>
                <w:lang w:val="en-AU"/>
              </w:rPr>
              <w:t>92.7</w:t>
            </w:r>
          </w:p>
        </w:tc>
        <w:tc>
          <w:tcPr>
            <w:tcW w:w="1748" w:type="dxa"/>
            <w:tcBorders>
              <w:top w:val="single" w:sz="4" w:space="0" w:color="auto"/>
              <w:left w:val="single" w:sz="4" w:space="0" w:color="auto"/>
              <w:bottom w:val="single" w:sz="4" w:space="0" w:color="auto"/>
              <w:right w:val="single" w:sz="4" w:space="0" w:color="auto"/>
            </w:tcBorders>
            <w:hideMark/>
          </w:tcPr>
          <w:p w14:paraId="0FEA9E8D" w14:textId="77777777" w:rsidR="001E67AB" w:rsidRPr="00E208C5" w:rsidRDefault="001E67AB" w:rsidP="001E67AB">
            <w:pPr>
              <w:pStyle w:val="TableText"/>
              <w:spacing w:after="0" w:line="240" w:lineRule="auto"/>
              <w:rPr>
                <w:lang w:val="en-AU"/>
              </w:rPr>
            </w:pPr>
            <w:r w:rsidRPr="00E208C5">
              <w:rPr>
                <w:lang w:val="en-AU"/>
              </w:rPr>
              <w:t>92.5</w:t>
            </w:r>
          </w:p>
        </w:tc>
        <w:tc>
          <w:tcPr>
            <w:tcW w:w="1748" w:type="dxa"/>
            <w:tcBorders>
              <w:top w:val="single" w:sz="4" w:space="0" w:color="auto"/>
              <w:left w:val="single" w:sz="4" w:space="0" w:color="auto"/>
              <w:bottom w:val="single" w:sz="4" w:space="0" w:color="auto"/>
              <w:right w:val="single" w:sz="4" w:space="0" w:color="auto"/>
            </w:tcBorders>
            <w:hideMark/>
          </w:tcPr>
          <w:p w14:paraId="36D14112" w14:textId="77777777" w:rsidR="001E67AB" w:rsidRPr="00E208C5" w:rsidRDefault="001E67AB" w:rsidP="001E67AB">
            <w:pPr>
              <w:pStyle w:val="TableText"/>
              <w:spacing w:after="0" w:line="240" w:lineRule="auto"/>
              <w:rPr>
                <w:lang w:val="en-AU"/>
              </w:rPr>
            </w:pPr>
            <w:r w:rsidRPr="00E208C5">
              <w:rPr>
                <w:lang w:val="en-AU"/>
              </w:rPr>
              <w:t>89.9</w:t>
            </w:r>
          </w:p>
        </w:tc>
      </w:tr>
      <w:tr w:rsidR="001E67AB" w:rsidRPr="00E208C5" w14:paraId="597B1D00" w14:textId="77777777" w:rsidTr="001E67AB">
        <w:trPr>
          <w:trHeight w:val="216"/>
        </w:trPr>
        <w:tc>
          <w:tcPr>
            <w:tcW w:w="3936" w:type="dxa"/>
            <w:tcBorders>
              <w:top w:val="single" w:sz="4" w:space="0" w:color="auto"/>
              <w:left w:val="single" w:sz="4" w:space="0" w:color="auto"/>
              <w:bottom w:val="single" w:sz="4" w:space="0" w:color="auto"/>
              <w:right w:val="single" w:sz="4" w:space="0" w:color="auto"/>
            </w:tcBorders>
            <w:hideMark/>
          </w:tcPr>
          <w:p w14:paraId="43D26B6C" w14:textId="77777777" w:rsidR="001E67AB" w:rsidRPr="00E208C5" w:rsidRDefault="001E67AB" w:rsidP="001E67AB">
            <w:pPr>
              <w:pStyle w:val="TableText"/>
              <w:spacing w:after="0" w:line="240" w:lineRule="auto"/>
              <w:rPr>
                <w:lang w:val="en-AU"/>
              </w:rPr>
            </w:pPr>
            <w:r w:rsidRPr="00E208C5">
              <w:rPr>
                <w:lang w:val="en-AU"/>
              </w:rPr>
              <w:t>Change from baseline at week 30</w:t>
            </w:r>
          </w:p>
        </w:tc>
        <w:tc>
          <w:tcPr>
            <w:tcW w:w="1748" w:type="dxa"/>
            <w:gridSpan w:val="2"/>
            <w:tcBorders>
              <w:top w:val="single" w:sz="4" w:space="0" w:color="auto"/>
              <w:left w:val="single" w:sz="4" w:space="0" w:color="auto"/>
              <w:bottom w:val="single" w:sz="4" w:space="0" w:color="auto"/>
              <w:right w:val="single" w:sz="4" w:space="0" w:color="auto"/>
            </w:tcBorders>
            <w:hideMark/>
          </w:tcPr>
          <w:p w14:paraId="7A6FD6C3" w14:textId="77777777" w:rsidR="001E67AB" w:rsidRPr="00E208C5" w:rsidRDefault="001E67AB" w:rsidP="001E67AB">
            <w:pPr>
              <w:pStyle w:val="TableText"/>
              <w:spacing w:after="0" w:line="240" w:lineRule="auto"/>
              <w:rPr>
                <w:lang w:val="en-AU"/>
              </w:rPr>
            </w:pPr>
            <w:r w:rsidRPr="00E208C5">
              <w:rPr>
                <w:lang w:val="en-AU"/>
              </w:rPr>
              <w:t>-3.7</w:t>
            </w:r>
          </w:p>
        </w:tc>
        <w:tc>
          <w:tcPr>
            <w:tcW w:w="1748" w:type="dxa"/>
            <w:tcBorders>
              <w:top w:val="single" w:sz="4" w:space="0" w:color="auto"/>
              <w:left w:val="single" w:sz="4" w:space="0" w:color="auto"/>
              <w:bottom w:val="single" w:sz="4" w:space="0" w:color="auto"/>
              <w:right w:val="single" w:sz="4" w:space="0" w:color="auto"/>
            </w:tcBorders>
            <w:hideMark/>
          </w:tcPr>
          <w:p w14:paraId="2F8EF073" w14:textId="77777777" w:rsidR="001E67AB" w:rsidRPr="00E208C5" w:rsidRDefault="001E67AB" w:rsidP="001E67AB">
            <w:pPr>
              <w:pStyle w:val="TableText"/>
              <w:spacing w:after="0" w:line="240" w:lineRule="auto"/>
              <w:rPr>
                <w:lang w:val="en-AU"/>
              </w:rPr>
            </w:pPr>
            <w:r w:rsidRPr="00E208C5">
              <w:rPr>
                <w:lang w:val="en-AU"/>
              </w:rPr>
              <w:t>-6.4</w:t>
            </w:r>
          </w:p>
        </w:tc>
        <w:tc>
          <w:tcPr>
            <w:tcW w:w="1748" w:type="dxa"/>
            <w:tcBorders>
              <w:top w:val="single" w:sz="4" w:space="0" w:color="auto"/>
              <w:left w:val="single" w:sz="4" w:space="0" w:color="auto"/>
              <w:bottom w:val="single" w:sz="4" w:space="0" w:color="auto"/>
              <w:right w:val="single" w:sz="4" w:space="0" w:color="auto"/>
            </w:tcBorders>
            <w:hideMark/>
          </w:tcPr>
          <w:p w14:paraId="19AB3E20" w14:textId="77777777" w:rsidR="001E67AB" w:rsidRPr="00E208C5" w:rsidRDefault="001E67AB" w:rsidP="001E67AB">
            <w:pPr>
              <w:pStyle w:val="TableText"/>
              <w:spacing w:after="0" w:line="240" w:lineRule="auto"/>
              <w:rPr>
                <w:lang w:val="en-AU"/>
              </w:rPr>
            </w:pPr>
            <w:r w:rsidRPr="00E208C5">
              <w:rPr>
                <w:lang w:val="en-AU"/>
              </w:rPr>
              <w:t>-1.4</w:t>
            </w:r>
          </w:p>
        </w:tc>
      </w:tr>
      <w:tr w:rsidR="001E67AB" w:rsidRPr="00E208C5" w14:paraId="48834348" w14:textId="77777777" w:rsidTr="001E67AB">
        <w:trPr>
          <w:trHeight w:val="493"/>
        </w:trPr>
        <w:tc>
          <w:tcPr>
            <w:tcW w:w="3936" w:type="dxa"/>
            <w:tcBorders>
              <w:top w:val="single" w:sz="4" w:space="0" w:color="auto"/>
              <w:left w:val="single" w:sz="4" w:space="0" w:color="auto"/>
              <w:bottom w:val="single" w:sz="4" w:space="0" w:color="auto"/>
              <w:right w:val="single" w:sz="4" w:space="0" w:color="auto"/>
            </w:tcBorders>
            <w:hideMark/>
          </w:tcPr>
          <w:p w14:paraId="63147EDC" w14:textId="77777777" w:rsidR="001E67AB" w:rsidRPr="00E208C5" w:rsidRDefault="001E67AB" w:rsidP="001E67AB">
            <w:pPr>
              <w:pStyle w:val="TableText"/>
              <w:spacing w:after="0" w:line="240" w:lineRule="auto"/>
              <w:rPr>
                <w:lang w:val="en-AU"/>
              </w:rPr>
            </w:pPr>
            <w:r w:rsidRPr="00E208C5">
              <w:rPr>
                <w:lang w:val="en-AU"/>
              </w:rPr>
              <w:t xml:space="preserve">Difference from placebo </w:t>
            </w:r>
          </w:p>
          <w:p w14:paraId="2453B369" w14:textId="77777777" w:rsidR="001E67AB" w:rsidRPr="00E208C5" w:rsidRDefault="001E67AB" w:rsidP="001E67AB">
            <w:pPr>
              <w:pStyle w:val="TableText"/>
              <w:spacing w:after="0" w:line="240" w:lineRule="auto"/>
              <w:rPr>
                <w:bCs/>
                <w:lang w:val="en-AU"/>
              </w:rPr>
            </w:pPr>
            <w:r w:rsidRPr="00E208C5">
              <w:rPr>
                <w:lang w:val="en-AU"/>
              </w:rPr>
              <w:t xml:space="preserve"> [95% CI]</w:t>
            </w:r>
          </w:p>
        </w:tc>
        <w:tc>
          <w:tcPr>
            <w:tcW w:w="1748" w:type="dxa"/>
            <w:gridSpan w:val="2"/>
            <w:tcBorders>
              <w:top w:val="single" w:sz="4" w:space="0" w:color="auto"/>
              <w:left w:val="single" w:sz="4" w:space="0" w:color="auto"/>
              <w:bottom w:val="single" w:sz="4" w:space="0" w:color="auto"/>
              <w:right w:val="single" w:sz="4" w:space="0" w:color="auto"/>
            </w:tcBorders>
            <w:hideMark/>
          </w:tcPr>
          <w:p w14:paraId="3A1695CB" w14:textId="77777777" w:rsidR="001E67AB" w:rsidRPr="00E208C5" w:rsidRDefault="001E67AB" w:rsidP="001E67AB">
            <w:pPr>
              <w:pStyle w:val="TableText"/>
              <w:spacing w:after="0" w:line="240" w:lineRule="auto"/>
              <w:rPr>
                <w:vertAlign w:val="superscript"/>
                <w:lang w:val="en-AU"/>
              </w:rPr>
            </w:pPr>
            <w:r w:rsidRPr="00E208C5">
              <w:rPr>
                <w:lang w:val="en-AU"/>
              </w:rPr>
              <w:t>-2.3</w:t>
            </w:r>
          </w:p>
          <w:p w14:paraId="0F7D4DA3" w14:textId="77777777" w:rsidR="001E67AB" w:rsidRPr="00E208C5" w:rsidRDefault="001E67AB" w:rsidP="001E67AB">
            <w:pPr>
              <w:pStyle w:val="TableText"/>
              <w:spacing w:after="0" w:line="240" w:lineRule="auto"/>
              <w:rPr>
                <w:vertAlign w:val="superscript"/>
                <w:lang w:val="en-AU"/>
              </w:rPr>
            </w:pPr>
            <w:r w:rsidRPr="00E208C5">
              <w:rPr>
                <w:lang w:val="en-AU"/>
              </w:rPr>
              <w:t>[-3.3; -1.3]</w:t>
            </w:r>
            <w:r w:rsidRPr="00E208C5">
              <w:rPr>
                <w:vertAlign w:val="superscript"/>
                <w:lang w:val="en-AU"/>
              </w:rPr>
              <w:t>a</w:t>
            </w:r>
          </w:p>
        </w:tc>
        <w:tc>
          <w:tcPr>
            <w:tcW w:w="1748" w:type="dxa"/>
            <w:tcBorders>
              <w:top w:val="single" w:sz="4" w:space="0" w:color="auto"/>
              <w:left w:val="single" w:sz="4" w:space="0" w:color="auto"/>
              <w:bottom w:val="single" w:sz="4" w:space="0" w:color="auto"/>
              <w:right w:val="single" w:sz="4" w:space="0" w:color="auto"/>
            </w:tcBorders>
            <w:hideMark/>
          </w:tcPr>
          <w:p w14:paraId="5518253B" w14:textId="77777777" w:rsidR="001E67AB" w:rsidRPr="00E208C5" w:rsidRDefault="001E67AB" w:rsidP="001E67AB">
            <w:pPr>
              <w:pStyle w:val="TableText"/>
              <w:spacing w:after="0" w:line="240" w:lineRule="auto"/>
              <w:rPr>
                <w:vertAlign w:val="superscript"/>
                <w:lang w:val="en-AU"/>
              </w:rPr>
            </w:pPr>
            <w:r w:rsidRPr="00E208C5">
              <w:rPr>
                <w:lang w:val="en-AU"/>
              </w:rPr>
              <w:t>-5.1</w:t>
            </w:r>
          </w:p>
          <w:p w14:paraId="1A59190F" w14:textId="77777777" w:rsidR="001E67AB" w:rsidRPr="00E208C5" w:rsidRDefault="001E67AB" w:rsidP="001E67AB">
            <w:pPr>
              <w:pStyle w:val="TableText"/>
              <w:spacing w:after="0" w:line="240" w:lineRule="auto"/>
              <w:rPr>
                <w:vertAlign w:val="superscript"/>
                <w:lang w:val="en-AU"/>
              </w:rPr>
            </w:pPr>
            <w:r w:rsidRPr="00E208C5">
              <w:rPr>
                <w:lang w:val="en-AU"/>
              </w:rPr>
              <w:t>[-6.1; -4.0]</w:t>
            </w:r>
            <w:r w:rsidRPr="00E208C5">
              <w:rPr>
                <w:vertAlign w:val="superscript"/>
                <w:lang w:val="en-AU"/>
              </w:rPr>
              <w:t>a</w:t>
            </w:r>
          </w:p>
        </w:tc>
        <w:tc>
          <w:tcPr>
            <w:tcW w:w="1748" w:type="dxa"/>
            <w:tcBorders>
              <w:top w:val="single" w:sz="4" w:space="0" w:color="auto"/>
              <w:left w:val="single" w:sz="4" w:space="0" w:color="auto"/>
              <w:bottom w:val="single" w:sz="4" w:space="0" w:color="auto"/>
              <w:right w:val="single" w:sz="4" w:space="0" w:color="auto"/>
            </w:tcBorders>
            <w:hideMark/>
          </w:tcPr>
          <w:p w14:paraId="67231902" w14:textId="77777777" w:rsidR="001E67AB" w:rsidRPr="00E208C5" w:rsidRDefault="001E67AB" w:rsidP="001E67AB">
            <w:pPr>
              <w:pStyle w:val="TableText"/>
              <w:spacing w:after="0" w:line="240" w:lineRule="auto"/>
              <w:rPr>
                <w:lang w:val="en-AU"/>
              </w:rPr>
            </w:pPr>
            <w:r w:rsidRPr="00E208C5">
              <w:rPr>
                <w:lang w:val="en-AU"/>
              </w:rPr>
              <w:t>-</w:t>
            </w:r>
          </w:p>
        </w:tc>
      </w:tr>
    </w:tbl>
    <w:p w14:paraId="08461A4D" w14:textId="77777777" w:rsidR="001E67AB" w:rsidRPr="00E208C5" w:rsidRDefault="001E67AB" w:rsidP="001E67AB">
      <w:pPr>
        <w:spacing w:after="0" w:line="240" w:lineRule="auto"/>
        <w:rPr>
          <w:sz w:val="20"/>
          <w:szCs w:val="20"/>
        </w:rPr>
      </w:pPr>
      <w:r w:rsidRPr="00E208C5">
        <w:rPr>
          <w:sz w:val="20"/>
          <w:szCs w:val="20"/>
          <w:vertAlign w:val="superscript"/>
        </w:rPr>
        <w:t>a</w:t>
      </w:r>
      <w:r w:rsidRPr="00E208C5">
        <w:rPr>
          <w:sz w:val="20"/>
          <w:szCs w:val="20"/>
        </w:rPr>
        <w:t>p &lt;0.0001 ( 2-sided) for superiority, adjusted for multiplicity based on hierarchical testing of HbA</w:t>
      </w:r>
      <w:r w:rsidRPr="00E208C5">
        <w:rPr>
          <w:sz w:val="20"/>
          <w:szCs w:val="20"/>
          <w:vertAlign w:val="subscript"/>
        </w:rPr>
        <w:t>1c</w:t>
      </w:r>
      <w:r w:rsidRPr="00E208C5">
        <w:rPr>
          <w:sz w:val="20"/>
          <w:szCs w:val="20"/>
        </w:rPr>
        <w:t xml:space="preserve"> and body weight</w:t>
      </w:r>
    </w:p>
    <w:p w14:paraId="046BAB25" w14:textId="77777777" w:rsidR="001E67AB" w:rsidRPr="00E208C5" w:rsidRDefault="001E67AB" w:rsidP="001E67AB">
      <w:pPr>
        <w:spacing w:after="0" w:line="240" w:lineRule="auto"/>
        <w:rPr>
          <w:sz w:val="20"/>
          <w:szCs w:val="20"/>
        </w:rPr>
      </w:pPr>
      <w:r w:rsidRPr="00E208C5">
        <w:rPr>
          <w:sz w:val="20"/>
          <w:szCs w:val="20"/>
          <w:vertAlign w:val="superscript"/>
        </w:rPr>
        <w:t>b</w:t>
      </w:r>
      <w:r w:rsidRPr="00E208C5">
        <w:rPr>
          <w:sz w:val="20"/>
          <w:szCs w:val="20"/>
        </w:rPr>
        <w:t xml:space="preserve">p &lt;0.0001 for treatment difference, unadjusted for multiplicity </w:t>
      </w:r>
    </w:p>
    <w:p w14:paraId="319157E3" w14:textId="77777777" w:rsidR="003930BC" w:rsidRPr="00E208C5" w:rsidRDefault="001E67AB" w:rsidP="001E67AB">
      <w:pPr>
        <w:rPr>
          <w:sz w:val="20"/>
          <w:szCs w:val="20"/>
        </w:rPr>
      </w:pPr>
      <w:r w:rsidRPr="00E208C5">
        <w:rPr>
          <w:sz w:val="20"/>
          <w:szCs w:val="20"/>
          <w:vertAlign w:val="superscript"/>
        </w:rPr>
        <w:t>c</w:t>
      </w:r>
      <w:r w:rsidRPr="00E208C5">
        <w:rPr>
          <w:sz w:val="20"/>
          <w:szCs w:val="20"/>
        </w:rPr>
        <w:t xml:space="preserve">p &lt;0.05 for treatment difference, unadjusted for multiplicity </w:t>
      </w:r>
    </w:p>
    <w:p w14:paraId="2FE56C74" w14:textId="77777777" w:rsidR="001E67AB" w:rsidRPr="005A5D07" w:rsidRDefault="001E67AB" w:rsidP="005A5D07">
      <w:pPr>
        <w:spacing w:after="0" w:line="240" w:lineRule="auto"/>
        <w:rPr>
          <w:i/>
          <w:iCs/>
        </w:rPr>
      </w:pPr>
      <w:r w:rsidRPr="005A5D07">
        <w:rPr>
          <w:i/>
          <w:iCs/>
        </w:rPr>
        <w:t xml:space="preserve">Combination with sulfonylurea monotherapy </w:t>
      </w:r>
    </w:p>
    <w:p w14:paraId="0F7E7D31" w14:textId="3A8C51ED" w:rsidR="001E67AB" w:rsidRPr="00FC4CA6" w:rsidRDefault="001E67AB" w:rsidP="001E67AB">
      <w:pPr>
        <w:rPr>
          <w:iCs/>
        </w:rPr>
      </w:pPr>
      <w:r w:rsidRPr="00E208C5">
        <w:t xml:space="preserve">In SUSTAIN 6 (see section </w:t>
      </w:r>
      <w:r w:rsidR="00195411" w:rsidRPr="00E208C5">
        <w:t>5.1</w:t>
      </w:r>
      <w:r w:rsidRPr="00E208C5">
        <w:t xml:space="preserve"> </w:t>
      </w:r>
      <w:r w:rsidR="00D1006E">
        <w:t>–</w:t>
      </w:r>
      <w:r w:rsidR="00195411" w:rsidRPr="00E208C5">
        <w:t xml:space="preserve"> </w:t>
      </w:r>
      <w:r w:rsidR="00D1006E" w:rsidRPr="00713DFC">
        <w:t>Pharmacodynamic Properties – Clinical Trials</w:t>
      </w:r>
      <w:r w:rsidRPr="00713DFC">
        <w:t>),</w:t>
      </w:r>
      <w:r w:rsidRPr="00E208C5">
        <w:t xml:space="preserve"> a subgroup on sulfonylurea monotherapy was evaluated at week 30. There were 123 patients on sulfonylurea monotherapy at baseline. HbA</w:t>
      </w:r>
      <w:r w:rsidRPr="00E208C5">
        <w:rPr>
          <w:vertAlign w:val="subscript"/>
        </w:rPr>
        <w:t>1c</w:t>
      </w:r>
      <w:r w:rsidRPr="00E208C5">
        <w:t xml:space="preserve"> at baseline was 8.2%, 8.4% and 8.4% for </w:t>
      </w:r>
      <w:proofErr w:type="spellStart"/>
      <w:r w:rsidRPr="00E208C5">
        <w:rPr>
          <w:iCs/>
        </w:rPr>
        <w:t>Ozempic</w:t>
      </w:r>
      <w:proofErr w:type="spellEnd"/>
      <w:r w:rsidRPr="00E208C5">
        <w:rPr>
          <w:iCs/>
        </w:rPr>
        <w:t xml:space="preserve"> 0.5 mg, </w:t>
      </w:r>
      <w:proofErr w:type="spellStart"/>
      <w:r w:rsidRPr="00E208C5">
        <w:rPr>
          <w:iCs/>
        </w:rPr>
        <w:t>Ozempic</w:t>
      </w:r>
      <w:proofErr w:type="spellEnd"/>
      <w:r w:rsidRPr="00E208C5">
        <w:rPr>
          <w:iCs/>
        </w:rPr>
        <w:t xml:space="preserve"> 1 mg, and placebo, respectively. At week 30, the change in HbA</w:t>
      </w:r>
      <w:r w:rsidRPr="00E208C5">
        <w:rPr>
          <w:iCs/>
          <w:vertAlign w:val="subscript"/>
        </w:rPr>
        <w:t>1c</w:t>
      </w:r>
      <w:r w:rsidRPr="00E208C5">
        <w:rPr>
          <w:iCs/>
        </w:rPr>
        <w:t xml:space="preserve"> was -1.6%, -1.5% and 0.1% for </w:t>
      </w:r>
      <w:proofErr w:type="spellStart"/>
      <w:r w:rsidRPr="00E208C5">
        <w:rPr>
          <w:iCs/>
        </w:rPr>
        <w:t>Ozempic</w:t>
      </w:r>
      <w:proofErr w:type="spellEnd"/>
      <w:r w:rsidRPr="00E208C5">
        <w:rPr>
          <w:iCs/>
        </w:rPr>
        <w:t xml:space="preserve"> 0.5 mg, </w:t>
      </w:r>
      <w:proofErr w:type="spellStart"/>
      <w:r w:rsidRPr="00E208C5">
        <w:rPr>
          <w:iCs/>
        </w:rPr>
        <w:t>Ozempic</w:t>
      </w:r>
      <w:proofErr w:type="spellEnd"/>
      <w:r w:rsidRPr="00E208C5">
        <w:rPr>
          <w:iCs/>
        </w:rPr>
        <w:t xml:space="preserve"> 1 mg, and placebo, respectively</w:t>
      </w:r>
      <w:r w:rsidRPr="00FC4CA6">
        <w:rPr>
          <w:iCs/>
        </w:rPr>
        <w:t>.</w:t>
      </w:r>
    </w:p>
    <w:p w14:paraId="029570DF" w14:textId="77777777" w:rsidR="001E67AB" w:rsidRPr="005A5D07" w:rsidRDefault="001E67AB" w:rsidP="005A5D07">
      <w:pPr>
        <w:spacing w:after="0" w:line="240" w:lineRule="auto"/>
        <w:rPr>
          <w:i/>
          <w:iCs/>
        </w:rPr>
      </w:pPr>
      <w:r w:rsidRPr="005A5D07">
        <w:rPr>
          <w:i/>
          <w:iCs/>
        </w:rPr>
        <w:t xml:space="preserve">Combination with premix insulin ± 1–2 OADs </w:t>
      </w:r>
    </w:p>
    <w:p w14:paraId="3A17CF5A" w14:textId="03C884B2" w:rsidR="001E67AB" w:rsidRPr="00E208C5" w:rsidRDefault="001E67AB" w:rsidP="001E67AB">
      <w:r w:rsidRPr="00E208C5">
        <w:t xml:space="preserve">In SUSTAIN 6 (see section </w:t>
      </w:r>
      <w:r w:rsidR="00195411" w:rsidRPr="00E208C5">
        <w:t>5.1</w:t>
      </w:r>
      <w:r w:rsidRPr="00E208C5">
        <w:t xml:space="preserve"> </w:t>
      </w:r>
      <w:r w:rsidR="00D1006E" w:rsidRPr="00713DFC">
        <w:t>Pharmacodynamic Properties – Clinical Trials</w:t>
      </w:r>
      <w:r w:rsidRPr="00E208C5">
        <w:t>), a subgroup on premix insulin (with or without 2 OADs) was evaluated at week 30. There were 867 patients on premix insulin at baseline. HbA</w:t>
      </w:r>
      <w:r w:rsidRPr="00E208C5">
        <w:rPr>
          <w:vertAlign w:val="subscript"/>
        </w:rPr>
        <w:t>1c</w:t>
      </w:r>
      <w:r w:rsidRPr="00E208C5">
        <w:t xml:space="preserve"> at baseline was 8.8%, 8.9% and 8.9% for </w:t>
      </w:r>
      <w:proofErr w:type="spellStart"/>
      <w:r w:rsidRPr="00E208C5">
        <w:t>Ozempic</w:t>
      </w:r>
      <w:proofErr w:type="spellEnd"/>
      <w:r w:rsidRPr="00E208C5">
        <w:t xml:space="preserve"> 0.5 mg, </w:t>
      </w:r>
      <w:proofErr w:type="spellStart"/>
      <w:r w:rsidRPr="00E208C5">
        <w:t>Ozempic</w:t>
      </w:r>
      <w:proofErr w:type="spellEnd"/>
      <w:r w:rsidRPr="00E208C5">
        <w:t xml:space="preserve"> 1 mg, and placebo, respectively. At week 30, the change in HbA</w:t>
      </w:r>
      <w:r w:rsidRPr="00E208C5">
        <w:rPr>
          <w:vertAlign w:val="subscript"/>
        </w:rPr>
        <w:t>1c</w:t>
      </w:r>
      <w:r w:rsidRPr="00E208C5">
        <w:t xml:space="preserve"> was -1.3%, -1.8% and -0.4% for </w:t>
      </w:r>
      <w:proofErr w:type="spellStart"/>
      <w:r w:rsidRPr="00E208C5">
        <w:t>Ozempic</w:t>
      </w:r>
      <w:proofErr w:type="spellEnd"/>
      <w:r w:rsidRPr="00E208C5">
        <w:t xml:space="preserve"> 0.5 mg, </w:t>
      </w:r>
      <w:proofErr w:type="spellStart"/>
      <w:r w:rsidRPr="00E208C5">
        <w:t>Ozempic</w:t>
      </w:r>
      <w:proofErr w:type="spellEnd"/>
      <w:r w:rsidRPr="00E208C5">
        <w:t xml:space="preserve"> 1 mg, and placebo, respectively.</w:t>
      </w:r>
    </w:p>
    <w:p w14:paraId="3B7FA221" w14:textId="342FC757" w:rsidR="001E67AB" w:rsidRPr="00AA4520" w:rsidRDefault="001E67AB" w:rsidP="00BA57A4">
      <w:pPr>
        <w:spacing w:after="0" w:line="240" w:lineRule="auto"/>
      </w:pPr>
      <w:r w:rsidRPr="00BA57A4">
        <w:rPr>
          <w:i/>
          <w:iCs/>
        </w:rPr>
        <w:t>Body Weight</w:t>
      </w:r>
    </w:p>
    <w:p w14:paraId="2A7BB20B" w14:textId="0B1BDDCC" w:rsidR="001E67AB" w:rsidRPr="00E208C5" w:rsidRDefault="001E67AB" w:rsidP="001E67AB">
      <w:proofErr w:type="spellStart"/>
      <w:r w:rsidRPr="00E208C5">
        <w:lastRenderedPageBreak/>
        <w:t>Ozempic</w:t>
      </w:r>
      <w:proofErr w:type="spellEnd"/>
      <w:r w:rsidRPr="00E208C5">
        <w:t xml:space="preserve"> 1 mg used as monotherapy or in combination with 1-2 medicinal products resulted in statistically superior reductions in body weight up to 6.5 kg, compared to patients receiving placebo, sitagliptin, exenatide ER, insulin glargine or dulaglutide (Table </w:t>
      </w:r>
      <w:r w:rsidR="00DD418A" w:rsidRPr="00E208C5">
        <w:t>3</w:t>
      </w:r>
      <w:r w:rsidRPr="00E208C5">
        <w:t xml:space="preserve"> to </w:t>
      </w:r>
      <w:r w:rsidR="00DD418A" w:rsidRPr="00E208C5">
        <w:t>7</w:t>
      </w:r>
      <w:r w:rsidRPr="00E208C5">
        <w:t xml:space="preserve">). The reduction in body weight was sustained for up to 2 years (Figure </w:t>
      </w:r>
      <w:r w:rsidR="00195411" w:rsidRPr="00E208C5">
        <w:t>7</w:t>
      </w:r>
      <w:r w:rsidRPr="00E208C5">
        <w:t>).</w:t>
      </w:r>
    </w:p>
    <w:bookmarkStart w:id="83" w:name="_MON_1574509055"/>
    <w:bookmarkEnd w:id="83"/>
    <w:p w14:paraId="666A129B" w14:textId="022E5CF4" w:rsidR="001E67AB" w:rsidRPr="00FC4CA6" w:rsidRDefault="001E67AB" w:rsidP="001E67AB">
      <w:pPr>
        <w:rPr>
          <w:b/>
          <w:sz w:val="22"/>
          <w:szCs w:val="22"/>
        </w:rPr>
      </w:pPr>
      <w:r w:rsidRPr="00FC4CA6">
        <w:rPr>
          <w:b/>
          <w:sz w:val="22"/>
          <w:szCs w:val="22"/>
        </w:rPr>
        <w:object w:dxaOrig="5670" w:dyaOrig="4050" w14:anchorId="28A9CFAC">
          <v:shape id="_x0000_i1033" type="#_x0000_t75" style="width:284.85pt;height:203.5pt" o:ole="">
            <v:imagedata r:id="rId26" o:title=""/>
          </v:shape>
          <o:OLEObject Type="Embed" ProgID="Word.Document.12" ShapeID="_x0000_i1033" DrawAspect="Content" ObjectID="_1668440535" r:id="rId27">
            <o:FieldCodes>\s</o:FieldCodes>
          </o:OLEObject>
        </w:object>
      </w:r>
    </w:p>
    <w:p w14:paraId="1728A88F" w14:textId="77777777" w:rsidR="00713DFC" w:rsidRDefault="001E67AB" w:rsidP="007B1772">
      <w:pPr>
        <w:spacing w:after="0" w:line="240" w:lineRule="auto"/>
        <w:rPr>
          <w:b/>
        </w:rPr>
      </w:pPr>
      <w:bookmarkStart w:id="84" w:name="_Ref508880983"/>
      <w:bookmarkStart w:id="85" w:name="_Toc506554274"/>
      <w:bookmarkStart w:id="86" w:name="_Toc514933323"/>
      <w:bookmarkStart w:id="87" w:name="_Toc514933438"/>
      <w:r w:rsidRPr="00FC4CA6">
        <w:rPr>
          <w:b/>
        </w:rPr>
        <w:t>Fig</w:t>
      </w:r>
      <w:r w:rsidRPr="00E208C5">
        <w:rPr>
          <w:b/>
        </w:rPr>
        <w:t xml:space="preserve">ure </w:t>
      </w:r>
      <w:r w:rsidRPr="00FC4CA6">
        <w:rPr>
          <w:b/>
        </w:rPr>
        <w:fldChar w:fldCharType="begin"/>
      </w:r>
      <w:r w:rsidRPr="00E208C5">
        <w:rPr>
          <w:b/>
        </w:rPr>
        <w:instrText xml:space="preserve"> SEQ Figure \* ARABIC \s 1 </w:instrText>
      </w:r>
      <w:r w:rsidRPr="00FC4CA6">
        <w:rPr>
          <w:b/>
        </w:rPr>
        <w:fldChar w:fldCharType="separate"/>
      </w:r>
      <w:r w:rsidR="003F4E02" w:rsidRPr="00FC4CA6">
        <w:rPr>
          <w:b/>
          <w:noProof/>
        </w:rPr>
        <w:t>7</w:t>
      </w:r>
      <w:r w:rsidRPr="00FC4CA6">
        <w:rPr>
          <w:b/>
        </w:rPr>
        <w:fldChar w:fldCharType="end"/>
      </w:r>
      <w:bookmarkEnd w:id="84"/>
      <w:r w:rsidRPr="00FC4CA6">
        <w:rPr>
          <w:b/>
        </w:rPr>
        <w:t>: Mean change in body weight (kg) over time in SUSTAIN 6</w:t>
      </w:r>
      <w:bookmarkStart w:id="88" w:name="_Toc508876598"/>
      <w:bookmarkStart w:id="89" w:name="_Toc509910885"/>
      <w:bookmarkStart w:id="90" w:name="_Toc509910997"/>
      <w:bookmarkStart w:id="91" w:name="_Toc514845169"/>
      <w:bookmarkStart w:id="92" w:name="_Toc514933265"/>
      <w:bookmarkStart w:id="93" w:name="_Toc515008218"/>
      <w:bookmarkEnd w:id="85"/>
      <w:bookmarkEnd w:id="86"/>
      <w:bookmarkEnd w:id="87"/>
    </w:p>
    <w:p w14:paraId="342CD245" w14:textId="77777777" w:rsidR="00713DFC" w:rsidRDefault="00713DFC" w:rsidP="007B1772">
      <w:pPr>
        <w:spacing w:after="0" w:line="240" w:lineRule="auto"/>
        <w:rPr>
          <w:i/>
          <w:iCs/>
        </w:rPr>
      </w:pPr>
    </w:p>
    <w:p w14:paraId="3E0292DE" w14:textId="129689B0" w:rsidR="001E67AB" w:rsidRPr="007B1772" w:rsidRDefault="000B3BBA" w:rsidP="007B1772">
      <w:pPr>
        <w:spacing w:after="0" w:line="240" w:lineRule="auto"/>
        <w:rPr>
          <w:i/>
          <w:iCs/>
        </w:rPr>
      </w:pPr>
      <w:r w:rsidRPr="007B1772">
        <w:rPr>
          <w:i/>
          <w:iCs/>
        </w:rPr>
        <w:t>Fasting plasma glucose and Postprandial increments</w:t>
      </w:r>
      <w:bookmarkEnd w:id="88"/>
      <w:bookmarkEnd w:id="89"/>
      <w:bookmarkEnd w:id="90"/>
      <w:bookmarkEnd w:id="91"/>
      <w:bookmarkEnd w:id="92"/>
      <w:bookmarkEnd w:id="93"/>
    </w:p>
    <w:p w14:paraId="03C9220C" w14:textId="008DD51C" w:rsidR="000B3BBA" w:rsidRPr="00E208C5" w:rsidRDefault="000B3BBA" w:rsidP="000B3BBA">
      <w:proofErr w:type="spellStart"/>
      <w:r w:rsidRPr="00E208C5">
        <w:t>Ozempic</w:t>
      </w:r>
      <w:proofErr w:type="spellEnd"/>
      <w:r w:rsidRPr="00E208C5">
        <w:t xml:space="preserve"> 0.5 mg and 1 mg showed significant reductions in fasting plasma glucose levels of up to 2.8 mmol/l and reductions in postprandial increments across all three daily meals (difference between pre-meal and post-meal values from three meals) of up to 1.2 mmol/l (in addition see section </w:t>
      </w:r>
      <w:r w:rsidR="00195411" w:rsidRPr="00E208C5">
        <w:t>5.</w:t>
      </w:r>
      <w:r w:rsidR="00195411" w:rsidRPr="00713DFC">
        <w:t>1</w:t>
      </w:r>
      <w:r w:rsidR="00D1006E" w:rsidRPr="00713DFC">
        <w:t xml:space="preserve"> Pharmacodynamic Properties</w:t>
      </w:r>
      <w:r w:rsidRPr="00713DFC">
        <w:t>).</w:t>
      </w:r>
      <w:r w:rsidRPr="00E208C5">
        <w:t xml:space="preserve"> </w:t>
      </w:r>
    </w:p>
    <w:p w14:paraId="562BE034" w14:textId="368B76C9" w:rsidR="000B3BBA" w:rsidRPr="007B1772" w:rsidRDefault="000B3BBA" w:rsidP="007B1772">
      <w:pPr>
        <w:spacing w:after="0" w:line="240" w:lineRule="auto"/>
        <w:rPr>
          <w:i/>
          <w:iCs/>
        </w:rPr>
      </w:pPr>
      <w:bookmarkStart w:id="94" w:name="_Toc508876599"/>
      <w:bookmarkStart w:id="95" w:name="_Toc509910886"/>
      <w:bookmarkStart w:id="96" w:name="_Toc509910998"/>
      <w:bookmarkStart w:id="97" w:name="_Toc514845170"/>
      <w:bookmarkStart w:id="98" w:name="_Toc514933266"/>
      <w:bookmarkStart w:id="99" w:name="_Toc515008219"/>
      <w:r w:rsidRPr="007B1772">
        <w:rPr>
          <w:i/>
          <w:iCs/>
        </w:rPr>
        <w:t xml:space="preserve">Beta-cell function and insulin </w:t>
      </w:r>
      <w:bookmarkEnd w:id="94"/>
      <w:bookmarkEnd w:id="95"/>
      <w:bookmarkEnd w:id="96"/>
      <w:bookmarkEnd w:id="97"/>
      <w:bookmarkEnd w:id="98"/>
      <w:bookmarkEnd w:id="99"/>
      <w:r w:rsidRPr="007B1772">
        <w:rPr>
          <w:i/>
          <w:iCs/>
        </w:rPr>
        <w:t>resistance</w:t>
      </w:r>
    </w:p>
    <w:p w14:paraId="6C450D6B" w14:textId="25969BFC" w:rsidR="000B3BBA" w:rsidRPr="00713DFC" w:rsidRDefault="000B3BBA" w:rsidP="00D1006E">
      <w:r w:rsidRPr="00E208C5">
        <w:t xml:space="preserve">Beta-cell function measured by homeostasis model assessment for beta-cell function (HOMA-B) and insulin resistance measured by homeostasis model assessment for insulin resistance (HOMA-IR) overall improved with </w:t>
      </w:r>
      <w:proofErr w:type="spellStart"/>
      <w:r w:rsidRPr="00E208C5">
        <w:t>Ozempic</w:t>
      </w:r>
      <w:proofErr w:type="spellEnd"/>
      <w:r w:rsidRPr="00E208C5">
        <w:t xml:space="preserve"> 0.5 mg and 1 mg (in addition see section </w:t>
      </w:r>
      <w:r w:rsidR="00195411" w:rsidRPr="00E208C5">
        <w:t>5.1</w:t>
      </w:r>
      <w:r w:rsidR="00D1006E">
        <w:t xml:space="preserve"> </w:t>
      </w:r>
      <w:r w:rsidR="00D1006E" w:rsidRPr="00713DFC">
        <w:t>Pharmacodynamic Properties</w:t>
      </w:r>
      <w:r w:rsidRPr="00713DFC">
        <w:t>).</w:t>
      </w:r>
    </w:p>
    <w:p w14:paraId="3020BC9B" w14:textId="1F58CF11" w:rsidR="000B3BBA" w:rsidRPr="00713DFC" w:rsidRDefault="000B3BBA" w:rsidP="00BA57A4">
      <w:pPr>
        <w:spacing w:after="0" w:line="240" w:lineRule="auto"/>
      </w:pPr>
      <w:r w:rsidRPr="00713DFC">
        <w:rPr>
          <w:i/>
          <w:iCs/>
        </w:rPr>
        <w:t>Lipids</w:t>
      </w:r>
    </w:p>
    <w:p w14:paraId="72F04E29" w14:textId="7B61A62D" w:rsidR="000B3BBA" w:rsidRPr="00E208C5" w:rsidRDefault="000B3BBA" w:rsidP="000B3BBA">
      <w:r w:rsidRPr="00713DFC">
        <w:t xml:space="preserve">Overall, improvements in the fasting blood lipid profile were seen with </w:t>
      </w:r>
      <w:proofErr w:type="spellStart"/>
      <w:r w:rsidRPr="00713DFC">
        <w:t>Ozempic</w:t>
      </w:r>
      <w:proofErr w:type="spellEnd"/>
      <w:r w:rsidRPr="00713DFC">
        <w:t xml:space="preserve"> treatment across trials, mostly for the 1 mg group (in addition see section </w:t>
      </w:r>
      <w:r w:rsidR="00195411" w:rsidRPr="00713DFC">
        <w:t>5.1</w:t>
      </w:r>
      <w:r w:rsidR="00D1006E" w:rsidRPr="00713DFC">
        <w:t xml:space="preserve"> Pharmacodynamic Properties</w:t>
      </w:r>
      <w:r w:rsidRPr="00713DFC">
        <w:t>).</w:t>
      </w:r>
      <w:r w:rsidRPr="00E208C5">
        <w:t xml:space="preserve"> </w:t>
      </w:r>
    </w:p>
    <w:p w14:paraId="07F38285" w14:textId="77777777" w:rsidR="000B3BBA" w:rsidRPr="00AA4520" w:rsidRDefault="000B3BBA" w:rsidP="00BA57A4">
      <w:pPr>
        <w:spacing w:after="0" w:line="240" w:lineRule="auto"/>
      </w:pPr>
      <w:bookmarkStart w:id="100" w:name="_Toc508876601"/>
      <w:bookmarkStart w:id="101" w:name="_Toc509910888"/>
      <w:bookmarkStart w:id="102" w:name="_Toc509911000"/>
      <w:bookmarkStart w:id="103" w:name="_Toc514845172"/>
      <w:bookmarkStart w:id="104" w:name="_Toc514933268"/>
      <w:bookmarkStart w:id="105" w:name="_Toc515008221"/>
      <w:r w:rsidRPr="00BA57A4">
        <w:rPr>
          <w:i/>
          <w:iCs/>
        </w:rPr>
        <w:t>Prevention of cardiovascular disease</w:t>
      </w:r>
      <w:bookmarkEnd w:id="100"/>
      <w:bookmarkEnd w:id="101"/>
      <w:bookmarkEnd w:id="102"/>
      <w:bookmarkEnd w:id="103"/>
      <w:bookmarkEnd w:id="104"/>
      <w:bookmarkEnd w:id="105"/>
    </w:p>
    <w:p w14:paraId="23E2D31A" w14:textId="2D0C950C" w:rsidR="000B3BBA" w:rsidRPr="00FC4CA6" w:rsidRDefault="000B3BBA" w:rsidP="000B3BBA">
      <w:r w:rsidRPr="00E208C5">
        <w:t>In a 104-week double-blind trial</w:t>
      </w:r>
      <w:r w:rsidR="00DD418A" w:rsidRPr="00E208C5">
        <w:t xml:space="preserve"> </w:t>
      </w:r>
      <w:r w:rsidRPr="00E208C5">
        <w:t xml:space="preserve">(SUSTAIN 6), 3,297 patients with type 2 diabetes at high cardiovascular risk were randomised to </w:t>
      </w:r>
      <w:proofErr w:type="spellStart"/>
      <w:r w:rsidRPr="00E208C5">
        <w:rPr>
          <w:bCs/>
        </w:rPr>
        <w:t>Ozempic</w:t>
      </w:r>
      <w:proofErr w:type="spellEnd"/>
      <w:r w:rsidRPr="00E208C5">
        <w:rPr>
          <w:i/>
        </w:rPr>
        <w:t xml:space="preserve"> </w:t>
      </w:r>
      <w:r w:rsidRPr="00E208C5">
        <w:t>0.5 mg or 1 mg once weekly or placebo 0.5 mg or placebo 1 mg in addition to standard-of-care hereafter followed for 2 years. In total 98.0% of the patients completed the trial and the vital status was known at the end of the trial for 99.6% of the patients</w:t>
      </w:r>
      <w:r w:rsidRPr="00FC4CA6">
        <w:t>.</w:t>
      </w:r>
    </w:p>
    <w:p w14:paraId="4FC95B6B" w14:textId="56BEA6FA" w:rsidR="000B3BBA" w:rsidRPr="00FC4CA6" w:rsidRDefault="000B3BBA" w:rsidP="000B3BBA">
      <w:r w:rsidRPr="00E208C5">
        <w:lastRenderedPageBreak/>
        <w:t>The trial population was distributed by age as: 1,598 patients (48.5%) ≥65 years, 321 (9.7%) ≥75 years and 20 (0.6%) ≥85 years. There were 2,358 patients with normal or mild renal impairment, 832 with moderate and 107 with severe or end stage renal impairment. There were 61% males, the mean age was 65 years and mean BMI was 33 kg/m</w:t>
      </w:r>
      <w:r w:rsidRPr="00E208C5">
        <w:rPr>
          <w:vertAlign w:val="superscript"/>
        </w:rPr>
        <w:t>2</w:t>
      </w:r>
      <w:r w:rsidRPr="00E208C5">
        <w:t>. The mean duration of diabetes was 13.9 years</w:t>
      </w:r>
      <w:r w:rsidRPr="00FC4CA6">
        <w:t xml:space="preserve">. </w:t>
      </w:r>
    </w:p>
    <w:p w14:paraId="7AC502F1" w14:textId="6B18B8CF" w:rsidR="000B3BBA" w:rsidRPr="00FC4CA6" w:rsidRDefault="000B3BBA" w:rsidP="000B3BBA">
      <w:r w:rsidRPr="00E208C5">
        <w:t xml:space="preserve">The primary endpoint was the time from randomisation to first occurrence of a major adverse cardiovascular event (MACE): cardiovascular death, non-fatal myocardial infarction or non-fatal stroke. The secondary endpoint was time from randomisation to first occurrence of an expanded composite cardiovascular outcome, defined as MACE, revascularisation (coronary and peripheral), unstable angina requiring hospitalisation or hospitalisation for hearth failure. The total number of primary component MACE endpoints was 254, including 108 (6.6%) with </w:t>
      </w:r>
      <w:proofErr w:type="spellStart"/>
      <w:r w:rsidRPr="00E208C5">
        <w:t>Ozempic</w:t>
      </w:r>
      <w:proofErr w:type="spellEnd"/>
      <w:r w:rsidRPr="00E208C5">
        <w:t xml:space="preserve"> and 146 (8.9%) with placebo</w:t>
      </w:r>
      <w:r w:rsidRPr="00FC4CA6">
        <w:t>.</w:t>
      </w:r>
    </w:p>
    <w:p w14:paraId="730EC70B" w14:textId="2E76BDEF" w:rsidR="000B3BBA" w:rsidRPr="00FC4CA6" w:rsidRDefault="000B3BBA" w:rsidP="000B3BBA">
      <w:r w:rsidRPr="00E208C5">
        <w:t xml:space="preserve">Treatment with </w:t>
      </w:r>
      <w:proofErr w:type="spellStart"/>
      <w:r w:rsidRPr="00E208C5">
        <w:rPr>
          <w:bCs/>
        </w:rPr>
        <w:t>Ozempic</w:t>
      </w:r>
      <w:proofErr w:type="spellEnd"/>
      <w:r w:rsidRPr="00E208C5">
        <w:t xml:space="preserve"> resulted in a 26% risk reduction in the primary composite outcome of death from cardiovascular causes, non-fatal myocardial infarction or non-fatal stroke. This was mainly driven by 39% decrease in the rate of non-fatal stroke and a 26%</w:t>
      </w:r>
      <w:r w:rsidRPr="00FC4CA6">
        <w:t xml:space="preserve"> decrease in non-fatal myocardial infarction with no difference in cardiovascular death (see Figure </w:t>
      </w:r>
      <w:r w:rsidR="00195411" w:rsidRPr="00E208C5">
        <w:t>8</w:t>
      </w:r>
      <w:r w:rsidRPr="00E208C5">
        <w:t>)</w:t>
      </w:r>
      <w:r w:rsidRPr="00FC4CA6">
        <w:t>.</w:t>
      </w:r>
    </w:p>
    <w:bookmarkStart w:id="106" w:name="_MON_1587895957"/>
    <w:bookmarkEnd w:id="106"/>
    <w:p w14:paraId="18F6D5A1" w14:textId="4FA8966A" w:rsidR="000B3BBA" w:rsidRPr="00FC4CA6" w:rsidRDefault="00D9406B" w:rsidP="000B3BBA">
      <w:pPr>
        <w:rPr>
          <w:sz w:val="22"/>
          <w:szCs w:val="22"/>
        </w:rPr>
      </w:pPr>
      <w:r w:rsidRPr="00FC4CA6">
        <w:rPr>
          <w:sz w:val="22"/>
          <w:szCs w:val="22"/>
        </w:rPr>
        <w:object w:dxaOrig="5670" w:dyaOrig="4180" w14:anchorId="1590D2CD">
          <v:shape id="_x0000_i1034" type="#_x0000_t75" style="width:283.6pt;height:209.1pt" o:ole="">
            <v:imagedata r:id="rId28" o:title=""/>
          </v:shape>
          <o:OLEObject Type="Embed" ProgID="Word.Document.12" ShapeID="_x0000_i1034" DrawAspect="Content" ObjectID="_1668440536" r:id="rId29">
            <o:FieldCodes>\s</o:FieldCodes>
          </o:OLEObject>
        </w:object>
      </w:r>
    </w:p>
    <w:p w14:paraId="506E32DE" w14:textId="706FDB57" w:rsidR="000B3BBA" w:rsidRDefault="000B3BBA" w:rsidP="000B3BBA">
      <w:pPr>
        <w:rPr>
          <w:b/>
        </w:rPr>
      </w:pPr>
      <w:bookmarkStart w:id="107" w:name="_Ref509300040"/>
      <w:bookmarkStart w:id="108" w:name="_Toc514933324"/>
      <w:bookmarkStart w:id="109" w:name="_Toc514933439"/>
      <w:r w:rsidRPr="00FC4CA6">
        <w:rPr>
          <w:b/>
        </w:rPr>
        <w:t>Figure</w:t>
      </w:r>
      <w:r w:rsidRPr="00E208C5">
        <w:rPr>
          <w:b/>
        </w:rPr>
        <w:t xml:space="preserve"> </w:t>
      </w:r>
      <w:r w:rsidRPr="00FC4CA6">
        <w:rPr>
          <w:b/>
        </w:rPr>
        <w:fldChar w:fldCharType="begin"/>
      </w:r>
      <w:r w:rsidRPr="00E208C5">
        <w:rPr>
          <w:b/>
        </w:rPr>
        <w:instrText xml:space="preserve"> SEQ Figure \* ARABIC \s 1 </w:instrText>
      </w:r>
      <w:r w:rsidRPr="00FC4CA6">
        <w:rPr>
          <w:b/>
        </w:rPr>
        <w:fldChar w:fldCharType="separate"/>
      </w:r>
      <w:r w:rsidR="003F4E02" w:rsidRPr="00FC4CA6">
        <w:rPr>
          <w:b/>
          <w:noProof/>
        </w:rPr>
        <w:t>8</w:t>
      </w:r>
      <w:r w:rsidRPr="00FC4CA6">
        <w:rPr>
          <w:b/>
        </w:rPr>
        <w:fldChar w:fldCharType="end"/>
      </w:r>
      <w:bookmarkEnd w:id="107"/>
      <w:r w:rsidRPr="00FC4CA6">
        <w:rPr>
          <w:b/>
        </w:rPr>
        <w:t>: Kaplan-Meier plot of time to first occurrence of the composite outcome: cardiovascular death, non-fatal myocardial infarction or non-fatal stroke (SUSTAIN 6)</w:t>
      </w:r>
      <w:bookmarkEnd w:id="108"/>
      <w:bookmarkEnd w:id="109"/>
    </w:p>
    <w:p w14:paraId="0E3E7A04" w14:textId="77777777" w:rsidR="00713DFC" w:rsidRPr="00FC4CA6" w:rsidRDefault="00713DFC" w:rsidP="000B3BBA">
      <w:pPr>
        <w:rPr>
          <w:b/>
        </w:rPr>
      </w:pPr>
    </w:p>
    <w:bookmarkStart w:id="110" w:name="_MON_1539883164"/>
    <w:bookmarkEnd w:id="110"/>
    <w:p w14:paraId="210BE8DF" w14:textId="59F39389" w:rsidR="003B0FB0" w:rsidRPr="00FC4CA6" w:rsidRDefault="003B0FB0" w:rsidP="003B0FB0">
      <w:pPr>
        <w:spacing w:before="120"/>
        <w:rPr>
          <w:b/>
        </w:rPr>
      </w:pPr>
      <w:r w:rsidRPr="00FC4CA6">
        <w:rPr>
          <w:b/>
        </w:rPr>
        <w:object w:dxaOrig="9070" w:dyaOrig="3360" w14:anchorId="6FF3C9BA">
          <v:shape id="_x0000_i1035" type="#_x0000_t75" style="width:453.9pt;height:167.8pt" o:ole="">
            <v:imagedata r:id="rId30" o:title=""/>
          </v:shape>
          <o:OLEObject Type="Embed" ProgID="Word.Document.12" ShapeID="_x0000_i1035" DrawAspect="Content" ObjectID="_1668440537" r:id="rId31">
            <o:FieldCodes>\s</o:FieldCodes>
          </o:OLEObject>
        </w:object>
      </w:r>
      <w:bookmarkStart w:id="111" w:name="_Ref509300285"/>
      <w:bookmarkStart w:id="112" w:name="_Toc514933325"/>
      <w:bookmarkStart w:id="113" w:name="_Toc514933440"/>
      <w:r w:rsidRPr="00FC4CA6">
        <w:rPr>
          <w:b/>
          <w:bCs/>
        </w:rPr>
        <w:t xml:space="preserve">Figure </w:t>
      </w:r>
      <w:r w:rsidRPr="00FC4CA6">
        <w:rPr>
          <w:b/>
          <w:bCs/>
        </w:rPr>
        <w:fldChar w:fldCharType="begin"/>
      </w:r>
      <w:r w:rsidRPr="00E208C5">
        <w:rPr>
          <w:b/>
          <w:bCs/>
        </w:rPr>
        <w:instrText xml:space="preserve"> SEQ Figure \* ARABIC \s 1 </w:instrText>
      </w:r>
      <w:r w:rsidRPr="00FC4CA6">
        <w:rPr>
          <w:b/>
          <w:bCs/>
        </w:rPr>
        <w:fldChar w:fldCharType="separate"/>
      </w:r>
      <w:r w:rsidR="003F4E02" w:rsidRPr="00FC4CA6">
        <w:rPr>
          <w:b/>
          <w:bCs/>
          <w:noProof/>
        </w:rPr>
        <w:t>9</w:t>
      </w:r>
      <w:r w:rsidRPr="00FC4CA6">
        <w:fldChar w:fldCharType="end"/>
      </w:r>
      <w:bookmarkEnd w:id="111"/>
      <w:r w:rsidRPr="00FC4CA6">
        <w:t xml:space="preserve">: </w:t>
      </w:r>
      <w:r w:rsidRPr="00FC4CA6">
        <w:rPr>
          <w:b/>
          <w:bCs/>
        </w:rPr>
        <w:t>Forest plot: analyses of each individual cardiovascular event types (SUSTAIN 6)</w:t>
      </w:r>
      <w:bookmarkEnd w:id="112"/>
      <w:bookmarkEnd w:id="113"/>
    </w:p>
    <w:p w14:paraId="31521BEF" w14:textId="0DDBA407" w:rsidR="00AD0B60" w:rsidRPr="00FC4CA6" w:rsidRDefault="003B0FB0" w:rsidP="003B0FB0">
      <w:r w:rsidRPr="00E208C5">
        <w:t>Microvascular outcome comprised 158 new or worsening of nephropathy events. The hazard ratio for time to nephropathy (new onset of persistent macroalbuminuria, persistent doubling of serum creatinine, need for continuous renal replacement therapy and death due to renal disease) was 0.64 [0.46; 0.88] driven by new onset of persistent macroalbuminuria</w:t>
      </w:r>
      <w:r w:rsidRPr="00FC4CA6">
        <w:t>.</w:t>
      </w:r>
    </w:p>
    <w:p w14:paraId="2A655F05" w14:textId="3E305957" w:rsidR="003B0FB0" w:rsidRPr="00FC4CA6" w:rsidRDefault="003B0FB0" w:rsidP="003B0FB0">
      <w:r w:rsidRPr="00E208C5">
        <w:t>A significant and sustained reduction in HbA</w:t>
      </w:r>
      <w:r w:rsidRPr="00E208C5">
        <w:rPr>
          <w:vertAlign w:val="subscript"/>
        </w:rPr>
        <w:t>1c</w:t>
      </w:r>
      <w:r w:rsidRPr="00E208C5">
        <w:t xml:space="preserve"> from baseline to week 104 was observed with </w:t>
      </w:r>
      <w:proofErr w:type="spellStart"/>
      <w:r w:rsidRPr="00E208C5">
        <w:t>Ozempic</w:t>
      </w:r>
      <w:proofErr w:type="spellEnd"/>
      <w:r w:rsidRPr="00E208C5">
        <w:t xml:space="preserve"> 0.5 mg and 1 mg vs placebo 0.5 mg and 1 mg, in addition to standard-of-care (-1.1 and -1.4 vs -0.4 and -0.4, respectively)</w:t>
      </w:r>
      <w:r w:rsidRPr="00FC4CA6">
        <w:t xml:space="preserve">. </w:t>
      </w:r>
    </w:p>
    <w:p w14:paraId="0DFB104C" w14:textId="5FE02C4E" w:rsidR="003B0FB0" w:rsidRPr="007B1772" w:rsidRDefault="003B0FB0" w:rsidP="007B1772">
      <w:pPr>
        <w:spacing w:after="0" w:line="240" w:lineRule="auto"/>
        <w:rPr>
          <w:i/>
          <w:iCs/>
        </w:rPr>
      </w:pPr>
      <w:r w:rsidRPr="007B1772">
        <w:rPr>
          <w:i/>
          <w:iCs/>
        </w:rPr>
        <w:t>Blood Pressure</w:t>
      </w:r>
    </w:p>
    <w:p w14:paraId="73ACE00A" w14:textId="31AC220D" w:rsidR="003B0FB0" w:rsidRPr="00E208C5" w:rsidRDefault="003B0FB0" w:rsidP="003B0FB0">
      <w:r w:rsidRPr="00E208C5">
        <w:t xml:space="preserve">Significant reductions in mean systolic blood pressure were observed when </w:t>
      </w:r>
      <w:proofErr w:type="spellStart"/>
      <w:r w:rsidRPr="00E208C5">
        <w:rPr>
          <w:bCs/>
        </w:rPr>
        <w:t>Ozempic</w:t>
      </w:r>
      <w:proofErr w:type="spellEnd"/>
      <w:r w:rsidRPr="00E208C5">
        <w:t xml:space="preserve"> 0.5 mg (3.5–5.1 mmHg) and </w:t>
      </w:r>
      <w:proofErr w:type="spellStart"/>
      <w:r w:rsidRPr="00E208C5">
        <w:t>Ozempic</w:t>
      </w:r>
      <w:proofErr w:type="spellEnd"/>
      <w:r w:rsidRPr="00E208C5">
        <w:t xml:space="preserve"> 1 mg (5.4</w:t>
      </w:r>
      <w:r w:rsidRPr="00E208C5">
        <w:noBreakHyphen/>
        <w:t xml:space="preserve">7.3 mmHg) were used in combination with oral antidiabetic medicinal products or basal insulin. For diastolic blood pressure, there were no significant differences between </w:t>
      </w:r>
      <w:proofErr w:type="spellStart"/>
      <w:r w:rsidRPr="00E208C5">
        <w:rPr>
          <w:bCs/>
        </w:rPr>
        <w:t>Ozempic</w:t>
      </w:r>
      <w:proofErr w:type="spellEnd"/>
      <w:r w:rsidRPr="00E208C5">
        <w:t xml:space="preserve"> and comparators.</w:t>
      </w:r>
    </w:p>
    <w:p w14:paraId="76337BF8" w14:textId="3610940A" w:rsidR="003B0FB0" w:rsidRPr="007B1772" w:rsidRDefault="003B0FB0" w:rsidP="007B1772">
      <w:pPr>
        <w:spacing w:after="0" w:line="240" w:lineRule="auto"/>
        <w:rPr>
          <w:i/>
          <w:iCs/>
        </w:rPr>
      </w:pPr>
      <w:r w:rsidRPr="007B1772">
        <w:rPr>
          <w:i/>
          <w:iCs/>
        </w:rPr>
        <w:t>Patient Reported Outcomes</w:t>
      </w:r>
    </w:p>
    <w:p w14:paraId="3027BCF9" w14:textId="49E91ED1" w:rsidR="003B0FB0" w:rsidRPr="00E208C5" w:rsidRDefault="003B0FB0" w:rsidP="003B0FB0">
      <w:r w:rsidRPr="00E208C5">
        <w:t xml:space="preserve">Patient reported outcomes were assessed by the Diabetes Treatment Satisfaction Questionnaire status version (DTSQs): </w:t>
      </w:r>
      <w:proofErr w:type="spellStart"/>
      <w:r w:rsidRPr="00E208C5">
        <w:rPr>
          <w:bCs/>
        </w:rPr>
        <w:t>Ozempic</w:t>
      </w:r>
      <w:proofErr w:type="spellEnd"/>
      <w:r w:rsidRPr="00E208C5">
        <w:t xml:space="preserve"> significantly improved total treatment satisfaction and reduced perceived frequency of hyperglycaemia compared to exenatide once weekly, insulin glargine and placebo. </w:t>
      </w:r>
    </w:p>
    <w:p w14:paraId="7F897B3D" w14:textId="01B32B91" w:rsidR="003B0FB0" w:rsidRPr="00E208C5" w:rsidRDefault="003B0FB0" w:rsidP="003B0FB0">
      <w:r w:rsidRPr="00E208C5">
        <w:t xml:space="preserve">General health status was assessed by the Short Form health survey (SF-36 v2): </w:t>
      </w:r>
      <w:proofErr w:type="spellStart"/>
      <w:r w:rsidRPr="00E208C5">
        <w:rPr>
          <w:bCs/>
        </w:rPr>
        <w:t>Ozempic</w:t>
      </w:r>
      <w:proofErr w:type="spellEnd"/>
      <w:r w:rsidRPr="00E208C5">
        <w:t xml:space="preserve"> 1 mg once weekly demonstrated significantly greater improvement from baseline in a long-term cardiovascular safety study compared to placebo (SUSTAIN 6) in both mental component summary (MCS) and physical component summary (PCS) scores of the SF-36 v2. </w:t>
      </w:r>
    </w:p>
    <w:p w14:paraId="5849CABF" w14:textId="79BBCF1D" w:rsidR="003B0FB0" w:rsidRPr="007B1772" w:rsidRDefault="002F10E8" w:rsidP="007B1772">
      <w:pPr>
        <w:spacing w:after="0" w:line="240" w:lineRule="auto"/>
        <w:rPr>
          <w:i/>
          <w:iCs/>
        </w:rPr>
      </w:pPr>
      <w:r w:rsidRPr="007B1772">
        <w:rPr>
          <w:i/>
          <w:iCs/>
        </w:rPr>
        <w:t>Other Clinical</w:t>
      </w:r>
      <w:r w:rsidR="003B0FB0" w:rsidRPr="007B1772">
        <w:rPr>
          <w:i/>
          <w:iCs/>
        </w:rPr>
        <w:t xml:space="preserve"> Trials</w:t>
      </w:r>
    </w:p>
    <w:p w14:paraId="7FE68C70" w14:textId="59F88F85" w:rsidR="00044769" w:rsidRPr="00E208C5" w:rsidRDefault="003B0FB0" w:rsidP="003B0FB0">
      <w:r w:rsidRPr="00E208C5">
        <w:t xml:space="preserve">In an open label monotherapy trial comparing the </w:t>
      </w:r>
      <w:r w:rsidRPr="00713DFC">
        <w:t>safety</w:t>
      </w:r>
      <w:r w:rsidR="00273BA0" w:rsidRPr="00713DFC">
        <w:t xml:space="preserve"> (primary objective)</w:t>
      </w:r>
      <w:r w:rsidRPr="00713DFC">
        <w:t xml:space="preserve"> and efficacy</w:t>
      </w:r>
      <w:r w:rsidR="00D9406B" w:rsidRPr="00713DFC">
        <w:t xml:space="preserve"> (secondary objective)</w:t>
      </w:r>
      <w:r w:rsidRPr="00713DFC">
        <w:t xml:space="preserve"> of </w:t>
      </w:r>
      <w:proofErr w:type="spellStart"/>
      <w:r w:rsidRPr="00713DFC">
        <w:rPr>
          <w:bCs/>
        </w:rPr>
        <w:t>Ozempic</w:t>
      </w:r>
      <w:proofErr w:type="spellEnd"/>
      <w:r w:rsidRPr="00713DFC">
        <w:t xml:space="preserve"> 0.5 mg and 1 mg once weekly with sitagliptin 100 mg once daily in 308 Japanese patients, a significant greater reduction of HbA</w:t>
      </w:r>
      <w:r w:rsidRPr="00713DFC">
        <w:rPr>
          <w:vertAlign w:val="subscript"/>
        </w:rPr>
        <w:t xml:space="preserve">1c </w:t>
      </w:r>
      <w:r w:rsidRPr="00713DFC">
        <w:t xml:space="preserve">levels from baseline </w:t>
      </w:r>
      <w:r w:rsidRPr="00713DFC">
        <w:lastRenderedPageBreak/>
        <w:t>after 30 weeks of treatment</w:t>
      </w:r>
      <w:r w:rsidRPr="00E208C5">
        <w:t xml:space="preserve"> were achieved with </w:t>
      </w:r>
      <w:proofErr w:type="spellStart"/>
      <w:r w:rsidRPr="00E208C5">
        <w:rPr>
          <w:bCs/>
        </w:rPr>
        <w:t>Ozempic</w:t>
      </w:r>
      <w:proofErr w:type="spellEnd"/>
      <w:r w:rsidRPr="00E208C5">
        <w:t xml:space="preserve"> 0.5 mg and 1 mg compared to sitagliptin (-1.9 %, -2.2% vs </w:t>
      </w:r>
      <w:r w:rsidRPr="00E208C5">
        <w:noBreakHyphen/>
        <w:t xml:space="preserve">0.7%). </w:t>
      </w:r>
    </w:p>
    <w:p w14:paraId="21F3D755" w14:textId="7EAD925A" w:rsidR="003B0FB0" w:rsidRPr="00FC4CA6" w:rsidRDefault="002A6985" w:rsidP="003B0FB0">
      <w:r w:rsidRPr="00E208C5">
        <w:t>S</w:t>
      </w:r>
      <w:r w:rsidR="003B0FB0" w:rsidRPr="00E208C5">
        <w:t>ignificantly more patients achieved an HbA</w:t>
      </w:r>
      <w:r w:rsidR="003B0FB0" w:rsidRPr="00E208C5">
        <w:rPr>
          <w:vertAlign w:val="subscript"/>
        </w:rPr>
        <w:t xml:space="preserve">1c </w:t>
      </w:r>
      <w:r w:rsidR="003B0FB0" w:rsidRPr="00E208C5">
        <w:t xml:space="preserve">level of 7% with </w:t>
      </w:r>
      <w:proofErr w:type="spellStart"/>
      <w:r w:rsidR="003B0FB0" w:rsidRPr="00E208C5">
        <w:rPr>
          <w:bCs/>
        </w:rPr>
        <w:t>Ozempic</w:t>
      </w:r>
      <w:proofErr w:type="spellEnd"/>
      <w:r w:rsidR="003B0FB0" w:rsidRPr="00E208C5">
        <w:t xml:space="preserve"> 0.5 mg (84%) and 1 mg (95%) compared to sitagliptin (35%). Patients treated with </w:t>
      </w:r>
      <w:proofErr w:type="spellStart"/>
      <w:r w:rsidR="003B0FB0" w:rsidRPr="00E208C5">
        <w:rPr>
          <w:bCs/>
        </w:rPr>
        <w:t>Ozempic</w:t>
      </w:r>
      <w:proofErr w:type="spellEnd"/>
      <w:r w:rsidR="003B0FB0" w:rsidRPr="00E208C5">
        <w:t xml:space="preserve"> 0.5 mg and 1 mg had a significant decrease in body weight compared to that of patients treated with sitagliptin (-2.2 kg and -3.9 kg vs 0.0 kg). The most frequently reported adverse reactions (ARs) in this trial were gastrointestinal disorders. Greater proportions of patients treated with </w:t>
      </w:r>
      <w:proofErr w:type="spellStart"/>
      <w:r w:rsidR="003B0FB0" w:rsidRPr="00E208C5">
        <w:rPr>
          <w:bCs/>
        </w:rPr>
        <w:t>Ozempic</w:t>
      </w:r>
      <w:proofErr w:type="spellEnd"/>
      <w:r w:rsidR="003B0FB0" w:rsidRPr="00E208C5">
        <w:t xml:space="preserve"> 0.5 mg and 1 mg experienced gastrointestinal disorders vs patients treated with sitagliptin (38% and 41% for </w:t>
      </w:r>
      <w:proofErr w:type="spellStart"/>
      <w:r w:rsidR="003B0FB0" w:rsidRPr="00E208C5">
        <w:rPr>
          <w:bCs/>
        </w:rPr>
        <w:t>Ozempic</w:t>
      </w:r>
      <w:proofErr w:type="spellEnd"/>
      <w:r w:rsidR="003B0FB0" w:rsidRPr="00E208C5">
        <w:t xml:space="preserve"> 0.5 mg and 1 mg vs 17% with sitagliptin)</w:t>
      </w:r>
      <w:r w:rsidR="003B0FB0" w:rsidRPr="00FC4CA6">
        <w:t>.</w:t>
      </w:r>
    </w:p>
    <w:p w14:paraId="22989878" w14:textId="63D48F36" w:rsidR="003B0FB0" w:rsidRPr="00FC4CA6" w:rsidRDefault="003B0FB0" w:rsidP="003B0FB0">
      <w:r w:rsidRPr="00E208C5">
        <w:t xml:space="preserve">In an open label trial comparing the </w:t>
      </w:r>
      <w:r w:rsidRPr="00713DFC">
        <w:t>safety</w:t>
      </w:r>
      <w:r w:rsidR="00D9406B" w:rsidRPr="00713DFC">
        <w:t xml:space="preserve"> (primary objective)</w:t>
      </w:r>
      <w:r w:rsidRPr="00713DFC">
        <w:t xml:space="preserve"> and efficacy</w:t>
      </w:r>
      <w:r w:rsidR="00D9406B" w:rsidRPr="00713DFC">
        <w:t xml:space="preserve"> (secondary objective)</w:t>
      </w:r>
      <w:r w:rsidRPr="00713DFC">
        <w:t xml:space="preserve"> of </w:t>
      </w:r>
      <w:proofErr w:type="spellStart"/>
      <w:r w:rsidRPr="00713DFC">
        <w:rPr>
          <w:bCs/>
        </w:rPr>
        <w:t>Ozempic</w:t>
      </w:r>
      <w:proofErr w:type="spellEnd"/>
      <w:r w:rsidRPr="00E208C5">
        <w:t xml:space="preserve"> 0.5 mg and 1 mg once weekly with 1-2 OADs in 601 Japanese patients on monotherapy or 1 OAD, a higher reduction in HbA</w:t>
      </w:r>
      <w:r w:rsidRPr="00E208C5">
        <w:rPr>
          <w:vertAlign w:val="subscript"/>
        </w:rPr>
        <w:t>1c</w:t>
      </w:r>
      <w:r w:rsidRPr="00E208C5">
        <w:t xml:space="preserve"> was seen with </w:t>
      </w:r>
      <w:proofErr w:type="spellStart"/>
      <w:r w:rsidRPr="00E208C5">
        <w:rPr>
          <w:bCs/>
        </w:rPr>
        <w:t>Ozempic</w:t>
      </w:r>
      <w:proofErr w:type="spellEnd"/>
      <w:r w:rsidRPr="00E208C5">
        <w:t xml:space="preserve"> 0.5 mg (-1.7%) and 1 mg (-2.0%) compared to additional OAD (-0.7%). Patients treated with </w:t>
      </w:r>
      <w:proofErr w:type="spellStart"/>
      <w:r w:rsidRPr="00E208C5">
        <w:rPr>
          <w:bCs/>
        </w:rPr>
        <w:t>Ozempic</w:t>
      </w:r>
      <w:proofErr w:type="spellEnd"/>
      <w:r w:rsidRPr="00E208C5">
        <w:t xml:space="preserve"> 0.5 mg and 1 mg had a significant decrease in body weight compared to that of patients treated with additional OAD (-1.4 kg and -3.2 kg vs +0.4 kg). The most frequently reported ARs in this trial were gastrointestinal disorders. Greater proportion of patients treated with </w:t>
      </w:r>
      <w:proofErr w:type="spellStart"/>
      <w:r w:rsidRPr="00E208C5">
        <w:rPr>
          <w:bCs/>
        </w:rPr>
        <w:t>Ozempic</w:t>
      </w:r>
      <w:proofErr w:type="spellEnd"/>
      <w:r w:rsidRPr="00E208C5">
        <w:t xml:space="preserve"> 0.5 mg and 1 mg experienced gastrointestinal disorders vs patients treated with additional OAD (54% and 54% vs 20%)</w:t>
      </w:r>
      <w:r w:rsidRPr="00FC4CA6">
        <w:t>.</w:t>
      </w:r>
    </w:p>
    <w:p w14:paraId="531DFD19" w14:textId="77777777" w:rsidR="00C44B67" w:rsidRPr="00E208C5" w:rsidRDefault="00C44B67" w:rsidP="00C44B67">
      <w:pPr>
        <w:pStyle w:val="Heading3"/>
      </w:pPr>
      <w:r w:rsidRPr="00E208C5">
        <w:t>5.2</w:t>
      </w:r>
      <w:r w:rsidRPr="00E208C5">
        <w:tab/>
        <w:t>Pharmacokinetic Properties</w:t>
      </w:r>
    </w:p>
    <w:p w14:paraId="40838930" w14:textId="6C870905" w:rsidR="0077211B" w:rsidRPr="00FC4CA6" w:rsidRDefault="0077211B" w:rsidP="0077211B">
      <w:proofErr w:type="spellStart"/>
      <w:r w:rsidRPr="00E208C5">
        <w:t>Semaglutide</w:t>
      </w:r>
      <w:proofErr w:type="spellEnd"/>
      <w:r w:rsidRPr="00E208C5">
        <w:t xml:space="preserve"> has pharmacokinetic properties compatible with once weekly administration, with an elimination half-life of approximately 1 week</w:t>
      </w:r>
      <w:r w:rsidRPr="00FC4CA6">
        <w:t>.</w:t>
      </w:r>
    </w:p>
    <w:p w14:paraId="1132DFDD" w14:textId="77777777" w:rsidR="00C44B67" w:rsidRPr="00E208C5" w:rsidRDefault="00C44B67" w:rsidP="00C44B67">
      <w:pPr>
        <w:pStyle w:val="Heading4"/>
      </w:pPr>
      <w:r w:rsidRPr="00E208C5">
        <w:t>Absorption</w:t>
      </w:r>
    </w:p>
    <w:p w14:paraId="67C2EA90" w14:textId="1371EF11" w:rsidR="00C44B67" w:rsidRPr="00FC4CA6" w:rsidRDefault="0077211B" w:rsidP="00C44B67">
      <w:r w:rsidRPr="00E208C5">
        <w:t>Maximum concentration was reached 1 to 3 days post dose</w:t>
      </w:r>
      <w:r w:rsidRPr="00FC4CA6">
        <w:t>.</w:t>
      </w:r>
    </w:p>
    <w:p w14:paraId="3BAD88E1" w14:textId="14ED2889" w:rsidR="0077211B" w:rsidRPr="00FC4CA6" w:rsidRDefault="0077211B" w:rsidP="00C44B67">
      <w:r w:rsidRPr="00E208C5">
        <w:t xml:space="preserve">Steady-state exposure was achieved following 4-5 weeks of once weekly administration. In patients with type 2 diabetes, the mean steady state concentrations following </w:t>
      </w:r>
      <w:proofErr w:type="spellStart"/>
      <w:r w:rsidRPr="00E208C5">
        <w:t>s.c.</w:t>
      </w:r>
      <w:proofErr w:type="spellEnd"/>
      <w:r w:rsidRPr="00E208C5">
        <w:t xml:space="preserve"> administration of 0.5 mg and 1 mg </w:t>
      </w:r>
      <w:proofErr w:type="spellStart"/>
      <w:r w:rsidRPr="00E208C5">
        <w:t>semaglutide</w:t>
      </w:r>
      <w:proofErr w:type="spellEnd"/>
      <w:r w:rsidRPr="00E208C5">
        <w:t xml:space="preserve"> were approximately 16 </w:t>
      </w:r>
      <w:proofErr w:type="spellStart"/>
      <w:r w:rsidRPr="00E208C5">
        <w:t>nmol</w:t>
      </w:r>
      <w:proofErr w:type="spellEnd"/>
      <w:r w:rsidRPr="00E208C5">
        <w:t>/l and 30 nmol/l, respectively</w:t>
      </w:r>
      <w:r w:rsidRPr="00FC4CA6">
        <w:t xml:space="preserve">. </w:t>
      </w:r>
    </w:p>
    <w:p w14:paraId="0B68EF2A" w14:textId="6938BC93" w:rsidR="0077211B" w:rsidRPr="00FC4CA6" w:rsidRDefault="0077211B" w:rsidP="00C44B67">
      <w:proofErr w:type="spellStart"/>
      <w:r w:rsidRPr="00E208C5">
        <w:t>Semaglutide</w:t>
      </w:r>
      <w:proofErr w:type="spellEnd"/>
      <w:r w:rsidRPr="00E208C5">
        <w:t xml:space="preserve"> exposure increased in a dose proportional manner for doses of 0.5 mg and 1 mg</w:t>
      </w:r>
      <w:r w:rsidRPr="00FC4CA6">
        <w:t>.</w:t>
      </w:r>
    </w:p>
    <w:p w14:paraId="53ABE66A" w14:textId="40A74512" w:rsidR="0077211B" w:rsidRPr="00FC4CA6" w:rsidRDefault="0077211B" w:rsidP="0077211B">
      <w:r w:rsidRPr="00E208C5">
        <w:t xml:space="preserve">Similar exposure was achieved with </w:t>
      </w:r>
      <w:proofErr w:type="spellStart"/>
      <w:r w:rsidRPr="00E208C5">
        <w:t>s.c.</w:t>
      </w:r>
      <w:proofErr w:type="spellEnd"/>
      <w:r w:rsidRPr="00E208C5">
        <w:t xml:space="preserve"> administration of </w:t>
      </w:r>
      <w:proofErr w:type="spellStart"/>
      <w:r w:rsidRPr="00E208C5">
        <w:t>semaglutide</w:t>
      </w:r>
      <w:proofErr w:type="spellEnd"/>
      <w:r w:rsidRPr="00E208C5">
        <w:t xml:space="preserve"> in the abdomen, thigh, or upper arm</w:t>
      </w:r>
      <w:r w:rsidRPr="00FC4CA6">
        <w:t>.</w:t>
      </w:r>
    </w:p>
    <w:p w14:paraId="04B34747" w14:textId="6C118C11" w:rsidR="0077211B" w:rsidRPr="00FC4CA6" w:rsidRDefault="0077211B" w:rsidP="0077211B">
      <w:r w:rsidRPr="00E208C5">
        <w:t xml:space="preserve">Absolute bioavailability of </w:t>
      </w:r>
      <w:proofErr w:type="spellStart"/>
      <w:r w:rsidRPr="00E208C5">
        <w:t>s.c</w:t>
      </w:r>
      <w:proofErr w:type="spellEnd"/>
      <w:r w:rsidRPr="00E208C5">
        <w:t xml:space="preserve"> </w:t>
      </w:r>
      <w:proofErr w:type="spellStart"/>
      <w:r w:rsidRPr="00E208C5">
        <w:t>semaglutide</w:t>
      </w:r>
      <w:proofErr w:type="spellEnd"/>
      <w:r w:rsidRPr="00E208C5">
        <w:t xml:space="preserve"> was 89%</w:t>
      </w:r>
      <w:r w:rsidRPr="00FC4CA6">
        <w:t>.</w:t>
      </w:r>
    </w:p>
    <w:p w14:paraId="6CC22F4E" w14:textId="783761C8" w:rsidR="00C44B67" w:rsidRPr="00FC4CA6" w:rsidRDefault="00C44B67" w:rsidP="00C44B67">
      <w:pPr>
        <w:pStyle w:val="Heading4"/>
      </w:pPr>
      <w:r w:rsidRPr="00E208C5">
        <w:t>Distribution</w:t>
      </w:r>
    </w:p>
    <w:p w14:paraId="709DAC3C" w14:textId="77777777" w:rsidR="00C44B67" w:rsidRPr="00E208C5" w:rsidRDefault="0077211B" w:rsidP="00C44B67">
      <w:r w:rsidRPr="00E208C5">
        <w:t xml:space="preserve">The mean volume of distribution of </w:t>
      </w:r>
      <w:proofErr w:type="spellStart"/>
      <w:r w:rsidRPr="00E208C5">
        <w:t>semaglutide</w:t>
      </w:r>
      <w:proofErr w:type="spellEnd"/>
      <w:r w:rsidRPr="00E208C5">
        <w:t xml:space="preserve"> following </w:t>
      </w:r>
      <w:proofErr w:type="spellStart"/>
      <w:r w:rsidRPr="00E208C5">
        <w:t>s.c.</w:t>
      </w:r>
      <w:proofErr w:type="spellEnd"/>
      <w:r w:rsidRPr="00E208C5">
        <w:t xml:space="preserve"> administration in patients with type 2 diabetes was approximately 12.5 l. </w:t>
      </w:r>
      <w:proofErr w:type="spellStart"/>
      <w:r w:rsidRPr="00E208C5">
        <w:t>Semaglutide</w:t>
      </w:r>
      <w:proofErr w:type="spellEnd"/>
      <w:r w:rsidRPr="00E208C5">
        <w:t xml:space="preserve"> was extensively bound to plasma albumin (&gt;99%).</w:t>
      </w:r>
    </w:p>
    <w:p w14:paraId="6BE55F06" w14:textId="7FAF2E5D" w:rsidR="00C44B67" w:rsidRPr="00FC4CA6" w:rsidRDefault="00C44B67" w:rsidP="00C44B67">
      <w:pPr>
        <w:pStyle w:val="Heading4"/>
      </w:pPr>
      <w:r w:rsidRPr="00E208C5">
        <w:lastRenderedPageBreak/>
        <w:t>Metabolism</w:t>
      </w:r>
    </w:p>
    <w:p w14:paraId="597B524E" w14:textId="77777777" w:rsidR="00C44B67" w:rsidRPr="00E208C5" w:rsidRDefault="0077211B" w:rsidP="00C44B67">
      <w:proofErr w:type="spellStart"/>
      <w:r w:rsidRPr="00E208C5">
        <w:t>Semaglutide</w:t>
      </w:r>
      <w:proofErr w:type="spellEnd"/>
      <w:r w:rsidRPr="00E208C5">
        <w:t xml:space="preserve"> is metabolised through proteolytic cleavage of the peptide backbone and sequential beta-oxidation of the fatty acid sidechain.</w:t>
      </w:r>
    </w:p>
    <w:p w14:paraId="6B114E2E" w14:textId="77777777" w:rsidR="00C44B67" w:rsidRPr="00E208C5" w:rsidRDefault="00C44B67" w:rsidP="00C44B67">
      <w:pPr>
        <w:pStyle w:val="Heading4"/>
      </w:pPr>
      <w:r w:rsidRPr="00E208C5">
        <w:t>Excretion</w:t>
      </w:r>
    </w:p>
    <w:p w14:paraId="11F11E5E" w14:textId="7E929799" w:rsidR="00C44B67" w:rsidRPr="00FC4CA6" w:rsidRDefault="0077211B" w:rsidP="00C44B67">
      <w:r w:rsidRPr="00E208C5">
        <w:t xml:space="preserve">The primary excretion routes of </w:t>
      </w:r>
      <w:proofErr w:type="spellStart"/>
      <w:r w:rsidRPr="00E208C5">
        <w:t>semaglutide</w:t>
      </w:r>
      <w:proofErr w:type="spellEnd"/>
      <w:r w:rsidRPr="00E208C5">
        <w:t xml:space="preserve"> related material were via the urine and faeces. Approximately 3% of the dose was excreted as intact </w:t>
      </w:r>
      <w:proofErr w:type="spellStart"/>
      <w:r w:rsidRPr="00E208C5">
        <w:t>semaglutide</w:t>
      </w:r>
      <w:proofErr w:type="spellEnd"/>
      <w:r w:rsidRPr="00E208C5">
        <w:t xml:space="preserve"> via urine</w:t>
      </w:r>
      <w:r w:rsidRPr="00FC4CA6">
        <w:t>.</w:t>
      </w:r>
    </w:p>
    <w:p w14:paraId="6A26C61A" w14:textId="58CEC57C" w:rsidR="0077211B" w:rsidRPr="00FC4CA6" w:rsidRDefault="0077211B" w:rsidP="00C44B67">
      <w:r w:rsidRPr="00E208C5">
        <w:t xml:space="preserve">Clearance of </w:t>
      </w:r>
      <w:proofErr w:type="spellStart"/>
      <w:r w:rsidRPr="00E208C5">
        <w:t>semaglutide</w:t>
      </w:r>
      <w:proofErr w:type="spellEnd"/>
      <w:r w:rsidRPr="00E208C5">
        <w:t xml:space="preserve"> in patients with type 2 diabetes was approximately 0.05 l/h. With an elimination half-life of approximately 1 week, </w:t>
      </w:r>
      <w:proofErr w:type="spellStart"/>
      <w:r w:rsidRPr="00E208C5">
        <w:t>semaglutide</w:t>
      </w:r>
      <w:proofErr w:type="spellEnd"/>
      <w:r w:rsidRPr="00E208C5">
        <w:t xml:space="preserve"> will be present in the circulation for about 5 weeks after the last dose</w:t>
      </w:r>
      <w:r w:rsidRPr="00FC4CA6">
        <w:t>.</w:t>
      </w:r>
    </w:p>
    <w:p w14:paraId="6C8AB7FF" w14:textId="0F7B1E76" w:rsidR="006B7F99" w:rsidRPr="00FC4CA6" w:rsidRDefault="006B7F99" w:rsidP="006B7F99">
      <w:pPr>
        <w:pStyle w:val="Heading4"/>
      </w:pPr>
      <w:r w:rsidRPr="00E208C5">
        <w:t>Special Populations</w:t>
      </w:r>
    </w:p>
    <w:p w14:paraId="20C1A8B3" w14:textId="77777777" w:rsidR="006B7F99" w:rsidRPr="00E208C5" w:rsidRDefault="009820D9" w:rsidP="006B7F99">
      <w:r w:rsidRPr="00E208C5">
        <w:t xml:space="preserve">No dose adjustment of </w:t>
      </w:r>
      <w:proofErr w:type="spellStart"/>
      <w:r w:rsidRPr="00E208C5">
        <w:t>semaglutide</w:t>
      </w:r>
      <w:proofErr w:type="spellEnd"/>
      <w:r w:rsidRPr="00E208C5">
        <w:t xml:space="preserve"> is needed based on age, gender, race, ethnicity, body weight, or renal or hepatic impairment. The effects of intrinsic factors on the pharmacokinetics of </w:t>
      </w:r>
      <w:proofErr w:type="spellStart"/>
      <w:r w:rsidRPr="00E208C5">
        <w:t>semaglutide</w:t>
      </w:r>
      <w:proofErr w:type="spellEnd"/>
      <w:r w:rsidRPr="00E208C5">
        <w:t xml:space="preserve"> are shown in Figure </w:t>
      </w:r>
      <w:r w:rsidR="00195411" w:rsidRPr="00E208C5">
        <w:t>10</w:t>
      </w:r>
      <w:r w:rsidRPr="00E208C5">
        <w:t>.</w:t>
      </w:r>
    </w:p>
    <w:p w14:paraId="4071A6A1" w14:textId="24FE7FEA" w:rsidR="009820D9" w:rsidRPr="00FC4CA6" w:rsidRDefault="009820D9" w:rsidP="006B7F99">
      <w:pPr>
        <w:rPr>
          <w:b/>
        </w:rPr>
      </w:pPr>
    </w:p>
    <w:p w14:paraId="0991FA1A" w14:textId="35917F8E" w:rsidR="00044769" w:rsidRPr="00FC4CA6" w:rsidRDefault="00044769" w:rsidP="006B7F99">
      <w:pPr>
        <w:rPr>
          <w:b/>
        </w:rPr>
      </w:pPr>
      <w:r w:rsidRPr="00FC4CA6">
        <w:rPr>
          <w:b/>
          <w:sz w:val="22"/>
          <w:szCs w:val="22"/>
        </w:rPr>
        <w:object w:dxaOrig="9070" w:dyaOrig="5070" w14:anchorId="6CF2B187">
          <v:shape id="_x0000_i1036" type="#_x0000_t75" style="width:453.9pt;height:252.95pt" o:ole="">
            <v:imagedata r:id="rId32" o:title=""/>
          </v:shape>
          <o:OLEObject Type="Embed" ProgID="Word.Document.12" ShapeID="_x0000_i1036" DrawAspect="Content" ObjectID="_1668440538" r:id="rId33">
            <o:FieldCodes>\s</o:FieldCodes>
          </o:OLEObject>
        </w:object>
      </w:r>
    </w:p>
    <w:p w14:paraId="1C845D6D" w14:textId="014C4460" w:rsidR="00B5635B" w:rsidRPr="00FC4CA6" w:rsidRDefault="009820D9" w:rsidP="009820D9">
      <w:pPr>
        <w:rPr>
          <w:b/>
          <w:bCs/>
        </w:rPr>
      </w:pPr>
      <w:bookmarkStart w:id="114" w:name="_Ref508880988"/>
      <w:bookmarkStart w:id="115" w:name="_Toc506554279"/>
      <w:bookmarkStart w:id="116" w:name="_Toc514933328"/>
      <w:bookmarkStart w:id="117" w:name="_Toc514933443"/>
      <w:r w:rsidRPr="00E208C5">
        <w:rPr>
          <w:b/>
          <w:bCs/>
        </w:rPr>
        <w:t xml:space="preserve">Figure </w:t>
      </w:r>
      <w:r w:rsidRPr="00FC4CA6">
        <w:rPr>
          <w:b/>
          <w:bCs/>
        </w:rPr>
        <w:fldChar w:fldCharType="begin"/>
      </w:r>
      <w:r w:rsidRPr="00E208C5">
        <w:rPr>
          <w:b/>
          <w:bCs/>
        </w:rPr>
        <w:instrText xml:space="preserve"> SEQ Figure \* ARABIC \s 1 </w:instrText>
      </w:r>
      <w:r w:rsidRPr="00FC4CA6">
        <w:rPr>
          <w:b/>
          <w:bCs/>
        </w:rPr>
        <w:fldChar w:fldCharType="separate"/>
      </w:r>
      <w:r w:rsidR="003F4E02" w:rsidRPr="00FC4CA6">
        <w:rPr>
          <w:b/>
          <w:bCs/>
          <w:noProof/>
        </w:rPr>
        <w:t>10</w:t>
      </w:r>
      <w:r w:rsidRPr="00FC4CA6">
        <w:fldChar w:fldCharType="end"/>
      </w:r>
      <w:bookmarkEnd w:id="114"/>
      <w:r w:rsidRPr="00FC4CA6">
        <w:t xml:space="preserve">: </w:t>
      </w:r>
      <w:r w:rsidRPr="00FC4CA6">
        <w:rPr>
          <w:b/>
          <w:bCs/>
        </w:rPr>
        <w:t xml:space="preserve">Impact of intrinsic factors on </w:t>
      </w:r>
      <w:proofErr w:type="spellStart"/>
      <w:r w:rsidRPr="00FC4CA6">
        <w:rPr>
          <w:b/>
          <w:bCs/>
        </w:rPr>
        <w:t>semaglutide</w:t>
      </w:r>
      <w:proofErr w:type="spellEnd"/>
      <w:r w:rsidRPr="00FC4CA6">
        <w:rPr>
          <w:b/>
          <w:bCs/>
        </w:rPr>
        <w:t xml:space="preserve"> exposure</w:t>
      </w:r>
      <w:bookmarkEnd w:id="115"/>
      <w:bookmarkEnd w:id="116"/>
      <w:bookmarkEnd w:id="117"/>
    </w:p>
    <w:p w14:paraId="6C4E71D4" w14:textId="65E7D07E" w:rsidR="009820D9" w:rsidRPr="007B1772" w:rsidRDefault="009820D9" w:rsidP="007B1772">
      <w:pPr>
        <w:spacing w:after="0" w:line="240" w:lineRule="auto"/>
        <w:rPr>
          <w:i/>
          <w:iCs/>
        </w:rPr>
      </w:pPr>
      <w:r w:rsidRPr="007B1772">
        <w:rPr>
          <w:i/>
          <w:iCs/>
        </w:rPr>
        <w:t>Age</w:t>
      </w:r>
    </w:p>
    <w:p w14:paraId="1871C662" w14:textId="77777777" w:rsidR="009820D9" w:rsidRPr="00E208C5" w:rsidRDefault="009820D9" w:rsidP="009820D9">
      <w:pPr>
        <w:rPr>
          <w:iCs/>
        </w:rPr>
      </w:pPr>
      <w:r w:rsidRPr="00E208C5">
        <w:rPr>
          <w:iCs/>
        </w:rPr>
        <w:t xml:space="preserve">Age had no effect on the pharmacokinetics of </w:t>
      </w:r>
      <w:proofErr w:type="spellStart"/>
      <w:r w:rsidRPr="00E208C5">
        <w:rPr>
          <w:iCs/>
        </w:rPr>
        <w:t>semaglutide</w:t>
      </w:r>
      <w:proofErr w:type="spellEnd"/>
      <w:r w:rsidRPr="00E208C5">
        <w:rPr>
          <w:iCs/>
        </w:rPr>
        <w:t xml:space="preserve"> based on data from phase 3a studies including patients of 20-86 years of age. </w:t>
      </w:r>
    </w:p>
    <w:p w14:paraId="5FD45486" w14:textId="093665C4" w:rsidR="009820D9" w:rsidRPr="007B1772" w:rsidRDefault="009820D9" w:rsidP="007B1772">
      <w:pPr>
        <w:spacing w:after="0" w:line="240" w:lineRule="auto"/>
        <w:rPr>
          <w:i/>
          <w:iCs/>
        </w:rPr>
      </w:pPr>
      <w:r w:rsidRPr="007B1772">
        <w:rPr>
          <w:i/>
          <w:iCs/>
        </w:rPr>
        <w:t>Gender</w:t>
      </w:r>
    </w:p>
    <w:p w14:paraId="6FBB77FC" w14:textId="77777777" w:rsidR="009820D9" w:rsidRPr="00E208C5" w:rsidRDefault="009820D9" w:rsidP="009820D9">
      <w:r w:rsidRPr="00E208C5">
        <w:t xml:space="preserve">Gender had no effect on the pharmacokinetics of </w:t>
      </w:r>
      <w:proofErr w:type="spellStart"/>
      <w:r w:rsidRPr="00E208C5">
        <w:t>semaglutide</w:t>
      </w:r>
      <w:proofErr w:type="spellEnd"/>
      <w:r w:rsidRPr="00E208C5">
        <w:t>.</w:t>
      </w:r>
    </w:p>
    <w:p w14:paraId="05F7008D" w14:textId="06EAD60A" w:rsidR="009820D9" w:rsidRPr="007B1772" w:rsidRDefault="009820D9" w:rsidP="007B1772">
      <w:pPr>
        <w:spacing w:after="0" w:line="240" w:lineRule="auto"/>
        <w:rPr>
          <w:i/>
          <w:iCs/>
        </w:rPr>
      </w:pPr>
      <w:r w:rsidRPr="007B1772">
        <w:rPr>
          <w:i/>
          <w:iCs/>
        </w:rPr>
        <w:lastRenderedPageBreak/>
        <w:t>Race</w:t>
      </w:r>
    </w:p>
    <w:p w14:paraId="6FDCDA64" w14:textId="77777777" w:rsidR="009820D9" w:rsidRPr="00E208C5" w:rsidRDefault="009820D9" w:rsidP="009820D9">
      <w:r w:rsidRPr="00E208C5">
        <w:t>Race (</w:t>
      </w:r>
      <w:r w:rsidRPr="00E208C5">
        <w:rPr>
          <w:iCs/>
        </w:rPr>
        <w:t xml:space="preserve">White, Black or African-American, Asian) </w:t>
      </w:r>
      <w:r w:rsidRPr="00E208C5">
        <w:t xml:space="preserve">had no effect on the pharmacokinetics of </w:t>
      </w:r>
      <w:proofErr w:type="spellStart"/>
      <w:r w:rsidRPr="00E208C5">
        <w:t>semaglutide</w:t>
      </w:r>
      <w:proofErr w:type="spellEnd"/>
      <w:r w:rsidRPr="00E208C5">
        <w:t>.</w:t>
      </w:r>
    </w:p>
    <w:p w14:paraId="06B31EE0" w14:textId="7A21FC32" w:rsidR="009820D9" w:rsidRPr="007B1772" w:rsidRDefault="009820D9" w:rsidP="007B1772">
      <w:pPr>
        <w:spacing w:after="0" w:line="240" w:lineRule="auto"/>
        <w:rPr>
          <w:i/>
          <w:iCs/>
        </w:rPr>
      </w:pPr>
      <w:r w:rsidRPr="007B1772">
        <w:rPr>
          <w:i/>
          <w:iCs/>
        </w:rPr>
        <w:t>Ethnicity</w:t>
      </w:r>
    </w:p>
    <w:p w14:paraId="20B42442" w14:textId="77777777" w:rsidR="009820D9" w:rsidRPr="00E208C5" w:rsidRDefault="009820D9" w:rsidP="009820D9">
      <w:r w:rsidRPr="00E208C5">
        <w:t xml:space="preserve">Ethnicity (Hispanic or Latino) had no effect on the pharmacokinetics of </w:t>
      </w:r>
      <w:proofErr w:type="spellStart"/>
      <w:r w:rsidRPr="00E208C5">
        <w:t>semaglutide</w:t>
      </w:r>
      <w:proofErr w:type="spellEnd"/>
      <w:r w:rsidRPr="00E208C5">
        <w:t>.</w:t>
      </w:r>
    </w:p>
    <w:p w14:paraId="39DFCA40" w14:textId="04D4FDB5" w:rsidR="009820D9" w:rsidRPr="007B1772" w:rsidRDefault="009820D9" w:rsidP="007B1772">
      <w:pPr>
        <w:spacing w:after="0" w:line="240" w:lineRule="auto"/>
        <w:rPr>
          <w:i/>
          <w:iCs/>
        </w:rPr>
      </w:pPr>
      <w:r w:rsidRPr="007B1772">
        <w:rPr>
          <w:i/>
          <w:iCs/>
        </w:rPr>
        <w:t>Body Weight</w:t>
      </w:r>
    </w:p>
    <w:p w14:paraId="595EBDA9" w14:textId="77777777" w:rsidR="009820D9" w:rsidRPr="00E208C5" w:rsidRDefault="009820D9" w:rsidP="009820D9">
      <w:r w:rsidRPr="00E208C5">
        <w:t xml:space="preserve">Body weight had an effect on the exposure of </w:t>
      </w:r>
      <w:proofErr w:type="spellStart"/>
      <w:r w:rsidRPr="00E208C5">
        <w:t>semaglutide</w:t>
      </w:r>
      <w:proofErr w:type="spellEnd"/>
      <w:r w:rsidRPr="00E208C5">
        <w:t xml:space="preserve">. Higher body weight results in lower exposure. </w:t>
      </w:r>
      <w:proofErr w:type="spellStart"/>
      <w:r w:rsidRPr="00E208C5">
        <w:t>Semaglutide</w:t>
      </w:r>
      <w:proofErr w:type="spellEnd"/>
      <w:r w:rsidRPr="00E208C5">
        <w:t xml:space="preserve"> doses of 0.5 mg and 1 mg provide adequate systemic exposure over a body weight range of 40-198 kg.</w:t>
      </w:r>
    </w:p>
    <w:p w14:paraId="229ED004" w14:textId="7A15BFD3" w:rsidR="009820D9" w:rsidRPr="007B1772" w:rsidRDefault="009820D9" w:rsidP="007B1772">
      <w:pPr>
        <w:spacing w:after="0" w:line="240" w:lineRule="auto"/>
        <w:rPr>
          <w:i/>
          <w:iCs/>
        </w:rPr>
      </w:pPr>
      <w:r w:rsidRPr="007B1772">
        <w:rPr>
          <w:i/>
          <w:iCs/>
        </w:rPr>
        <w:t>Renal Impairment</w:t>
      </w:r>
    </w:p>
    <w:p w14:paraId="419EF834" w14:textId="16C6A9A9" w:rsidR="009820D9" w:rsidRPr="00E208C5" w:rsidRDefault="009820D9" w:rsidP="009820D9">
      <w:r w:rsidRPr="00E208C5">
        <w:t xml:space="preserve">Renal impairment did not impact the pharmacokinetics of </w:t>
      </w:r>
      <w:proofErr w:type="spellStart"/>
      <w:r w:rsidRPr="00E208C5">
        <w:t>semaglutide</w:t>
      </w:r>
      <w:proofErr w:type="spellEnd"/>
      <w:r w:rsidRPr="00E208C5">
        <w:t xml:space="preserve"> in a clinically relevant manner. This was shown with a single dose of 0.5 mg </w:t>
      </w:r>
      <w:proofErr w:type="spellStart"/>
      <w:r w:rsidRPr="00E208C5">
        <w:t>semaglutide</w:t>
      </w:r>
      <w:proofErr w:type="spellEnd"/>
      <w:r w:rsidRPr="00E208C5">
        <w:t xml:space="preserve"> for patients with different degrees of renal impairment (mild, moderate, severe or patients in dialysis) compared with subjects with normal renal function. This was also shown for subjects with type 2 diabetes and renal impairment based on data from phase 3a studies (Figure </w:t>
      </w:r>
      <w:r w:rsidR="008C58CF" w:rsidRPr="00E208C5">
        <w:t>10</w:t>
      </w:r>
      <w:r w:rsidRPr="00E208C5">
        <w:t>), although the experience in patients with end-stage renal disease was limited.</w:t>
      </w:r>
    </w:p>
    <w:p w14:paraId="0AA4B910" w14:textId="2F6CEEE6" w:rsidR="009820D9" w:rsidRPr="007B1772" w:rsidRDefault="009820D9" w:rsidP="007B1772">
      <w:pPr>
        <w:spacing w:after="0" w:line="240" w:lineRule="auto"/>
        <w:rPr>
          <w:i/>
          <w:iCs/>
        </w:rPr>
      </w:pPr>
      <w:r w:rsidRPr="007B1772">
        <w:rPr>
          <w:i/>
          <w:iCs/>
        </w:rPr>
        <w:t>Hepatic Impairment</w:t>
      </w:r>
    </w:p>
    <w:p w14:paraId="6C5C49F1" w14:textId="77777777" w:rsidR="009820D9" w:rsidRPr="00E208C5" w:rsidRDefault="009820D9" w:rsidP="009820D9">
      <w:r w:rsidRPr="00E208C5">
        <w:t xml:space="preserve">Hepatic impairment did not have any impact on the exposure of </w:t>
      </w:r>
      <w:proofErr w:type="spellStart"/>
      <w:r w:rsidRPr="00E208C5">
        <w:t>semaglutide</w:t>
      </w:r>
      <w:proofErr w:type="spellEnd"/>
      <w:r w:rsidRPr="00E208C5">
        <w:t xml:space="preserve">. The pharmacokinetics of </w:t>
      </w:r>
      <w:proofErr w:type="spellStart"/>
      <w:r w:rsidRPr="00E208C5">
        <w:t>semaglutide</w:t>
      </w:r>
      <w:proofErr w:type="spellEnd"/>
      <w:r w:rsidRPr="00E208C5">
        <w:t xml:space="preserve"> were evaluated in patients with different degrees of hepatic impairment (mild, moderate, severe) compared with subjects with normal hepatic function in a study with a single-dose of 0.5 mg </w:t>
      </w:r>
      <w:proofErr w:type="spellStart"/>
      <w:r w:rsidRPr="00E208C5">
        <w:t>semaglutide</w:t>
      </w:r>
      <w:proofErr w:type="spellEnd"/>
      <w:r w:rsidRPr="00E208C5">
        <w:t xml:space="preserve">. </w:t>
      </w:r>
    </w:p>
    <w:p w14:paraId="2B8D860F" w14:textId="77777777" w:rsidR="009820D9" w:rsidRPr="007B1772" w:rsidRDefault="009820D9" w:rsidP="007B1772">
      <w:pPr>
        <w:spacing w:after="0" w:line="240" w:lineRule="auto"/>
        <w:rPr>
          <w:i/>
          <w:iCs/>
        </w:rPr>
      </w:pPr>
      <w:r w:rsidRPr="007B1772">
        <w:rPr>
          <w:i/>
          <w:iCs/>
        </w:rPr>
        <w:t>Paediatrics</w:t>
      </w:r>
    </w:p>
    <w:p w14:paraId="6F5CA950" w14:textId="07DD496E" w:rsidR="009820D9" w:rsidRPr="00FC4CA6" w:rsidRDefault="009820D9" w:rsidP="009820D9">
      <w:proofErr w:type="spellStart"/>
      <w:r w:rsidRPr="00E208C5">
        <w:t>Semaglutide</w:t>
      </w:r>
      <w:proofErr w:type="spellEnd"/>
      <w:r w:rsidRPr="00E208C5">
        <w:t xml:space="preserve"> has not been studied in paediatric patients.</w:t>
      </w:r>
    </w:p>
    <w:p w14:paraId="50D86749" w14:textId="77777777" w:rsidR="00C44B67" w:rsidRPr="00E208C5" w:rsidRDefault="00F72421" w:rsidP="00F72421">
      <w:pPr>
        <w:pStyle w:val="Heading3"/>
      </w:pPr>
      <w:r w:rsidRPr="00E208C5">
        <w:t>5.3</w:t>
      </w:r>
      <w:r w:rsidRPr="00E208C5">
        <w:tab/>
        <w:t>Preclinical Safety Data</w:t>
      </w:r>
    </w:p>
    <w:p w14:paraId="11755EAF" w14:textId="368CB203" w:rsidR="00F72421" w:rsidRPr="00E208C5" w:rsidRDefault="00F72421" w:rsidP="00F72421">
      <w:pPr>
        <w:pStyle w:val="Heading4"/>
      </w:pPr>
      <w:r w:rsidRPr="00E208C5">
        <w:t>Genotoxicity</w:t>
      </w:r>
    </w:p>
    <w:p w14:paraId="4E95E1F3" w14:textId="53AA615F" w:rsidR="005D0D31" w:rsidRPr="00713DFC" w:rsidRDefault="005D0D31" w:rsidP="00E208C5">
      <w:proofErr w:type="spellStart"/>
      <w:r w:rsidRPr="00713DFC">
        <w:t>Semaglutide</w:t>
      </w:r>
      <w:proofErr w:type="spellEnd"/>
      <w:r w:rsidRPr="00713DFC">
        <w:t xml:space="preserve"> was not mutagenic in the bacterial reverse mutation assay, and was not clastogenic in vitro (cytogenetic assay in human lymphocytes), or in vivo (rat bone marrow micronucleus test).</w:t>
      </w:r>
    </w:p>
    <w:p w14:paraId="19F28F50" w14:textId="0115C11B" w:rsidR="00721292" w:rsidRPr="00FC4CA6" w:rsidRDefault="00721292" w:rsidP="00721292">
      <w:pPr>
        <w:pStyle w:val="Heading4"/>
      </w:pPr>
      <w:r w:rsidRPr="00FC4CA6">
        <w:t>Carcinogenicity</w:t>
      </w:r>
    </w:p>
    <w:p w14:paraId="2DE86AB4" w14:textId="1C450BDE" w:rsidR="00721292" w:rsidRPr="00E208C5" w:rsidRDefault="00721292" w:rsidP="00721292">
      <w:r w:rsidRPr="00E208C5">
        <w:t>Non-lethal thyroid C-cell tumours observed in rodents are a class effect for GLP-1 receptor agonists. In 2</w:t>
      </w:r>
      <w:r w:rsidRPr="00E208C5">
        <w:noBreakHyphen/>
        <w:t xml:space="preserve">year carcinogenicity studies in rats and mice, </w:t>
      </w:r>
      <w:proofErr w:type="spellStart"/>
      <w:r w:rsidRPr="00E208C5">
        <w:t>semaglutide</w:t>
      </w:r>
      <w:proofErr w:type="spellEnd"/>
      <w:r w:rsidRPr="00E208C5">
        <w:t xml:space="preserve"> caused thyroid C-cell tumours at clinically relevant </w:t>
      </w:r>
      <w:r w:rsidRPr="00713DFC">
        <w:t>exposures</w:t>
      </w:r>
      <w:r w:rsidR="001C765A" w:rsidRPr="00713DFC">
        <w:t xml:space="preserve"> (at ≥ 4x</w:t>
      </w:r>
      <w:r w:rsidR="00166C90" w:rsidRPr="00713DFC">
        <w:t xml:space="preserve"> the clinical AUC in mice [based on the plasma AUC at the maximum recommended human dose of 1 mg/week] and subclinical exposures in rats; a no effect level was not established in either species)</w:t>
      </w:r>
      <w:r w:rsidRPr="00713DFC">
        <w:t>.</w:t>
      </w:r>
      <w:r w:rsidRPr="00FC4CA6">
        <w:t xml:space="preserve"> No other treatment</w:t>
      </w:r>
      <w:r w:rsidRPr="00FC4CA6">
        <w:noBreakHyphen/>
        <w:t xml:space="preserve">related tumours were observed. The rodent C-cell tumours are caused by a non-genotoxic, specific GLP-1 receptor mediated mechanism to which rodents are particularly </w:t>
      </w:r>
      <w:r w:rsidRPr="00FC4CA6">
        <w:lastRenderedPageBreak/>
        <w:t>sensitive. The relevance for humans is considered to be low, but cannot be completely excluded.</w:t>
      </w:r>
    </w:p>
    <w:p w14:paraId="5E95C301" w14:textId="3266DC60" w:rsidR="00713DFC" w:rsidRDefault="00A267CB" w:rsidP="00713DFC">
      <w:pPr>
        <w:pStyle w:val="Heading4"/>
      </w:pPr>
      <w:r w:rsidRPr="00713DFC">
        <w:t>Juvenile toxicity</w:t>
      </w:r>
    </w:p>
    <w:p w14:paraId="454AFF54" w14:textId="2F210EA4" w:rsidR="00F72421" w:rsidRPr="00FC4CA6" w:rsidRDefault="00BA251E" w:rsidP="002F6854">
      <w:r w:rsidRPr="00713DFC">
        <w:t>In juvenile</w:t>
      </w:r>
      <w:r w:rsidRPr="00E208C5">
        <w:t xml:space="preserve"> rats, </w:t>
      </w:r>
      <w:proofErr w:type="spellStart"/>
      <w:r w:rsidRPr="00E208C5">
        <w:t>semaglutide</w:t>
      </w:r>
      <w:proofErr w:type="spellEnd"/>
      <w:r w:rsidRPr="00E208C5">
        <w:t xml:space="preserve"> caused delayed sexual maturation in both males and females. These delays had no impact upon fertility and reproductive capacity of either sex, or on the ability of the females to maintain pregnancy</w:t>
      </w:r>
      <w:r w:rsidRPr="00FC4CA6">
        <w:t>.</w:t>
      </w:r>
    </w:p>
    <w:p w14:paraId="69320916" w14:textId="77777777" w:rsidR="00F72421" w:rsidRPr="00E208C5" w:rsidRDefault="00F72421" w:rsidP="00F72421">
      <w:pPr>
        <w:pStyle w:val="Heading2"/>
      </w:pPr>
      <w:r w:rsidRPr="00E208C5">
        <w:t>6.</w:t>
      </w:r>
      <w:r w:rsidRPr="00E208C5">
        <w:tab/>
        <w:t>PHARMACEUTICAL PARTICULARS</w:t>
      </w:r>
    </w:p>
    <w:p w14:paraId="3F938D73" w14:textId="223B7329" w:rsidR="00F72421" w:rsidRPr="00FC4CA6" w:rsidRDefault="00F72421" w:rsidP="00F72421">
      <w:pPr>
        <w:pStyle w:val="Heading3"/>
      </w:pPr>
      <w:r w:rsidRPr="00E208C5">
        <w:t>6.1</w:t>
      </w:r>
      <w:r w:rsidRPr="00E208C5">
        <w:tab/>
        <w:t>List of Excipients</w:t>
      </w:r>
    </w:p>
    <w:p w14:paraId="1AA6434E" w14:textId="047E90E2" w:rsidR="00B21F96" w:rsidRPr="00E208C5" w:rsidRDefault="00DC2E51" w:rsidP="00B21F96">
      <w:pPr>
        <w:spacing w:after="0" w:line="240" w:lineRule="auto"/>
      </w:pPr>
      <w:r w:rsidRPr="00FC4CA6">
        <w:t xml:space="preserve">Dibasic sodium </w:t>
      </w:r>
      <w:r w:rsidR="00B21F96" w:rsidRPr="00FC4CA6">
        <w:t>phosphate dihydrate</w:t>
      </w:r>
    </w:p>
    <w:p w14:paraId="7770C898" w14:textId="77777777" w:rsidR="00B21F96" w:rsidRPr="00E208C5" w:rsidRDefault="00B21F96" w:rsidP="00B21F96">
      <w:pPr>
        <w:spacing w:after="0" w:line="240" w:lineRule="auto"/>
      </w:pPr>
      <w:r w:rsidRPr="00E208C5">
        <w:t>Propylene glycol</w:t>
      </w:r>
    </w:p>
    <w:p w14:paraId="3CCC7770" w14:textId="77777777" w:rsidR="00B21F96" w:rsidRPr="00E208C5" w:rsidRDefault="00B21F96" w:rsidP="00B21F96">
      <w:pPr>
        <w:spacing w:after="0" w:line="240" w:lineRule="auto"/>
      </w:pPr>
      <w:r w:rsidRPr="00E208C5">
        <w:t>Phenol</w:t>
      </w:r>
    </w:p>
    <w:p w14:paraId="0B0EE639" w14:textId="77777777" w:rsidR="00B21F96" w:rsidRPr="00E208C5" w:rsidRDefault="00B21F96" w:rsidP="00B21F96">
      <w:pPr>
        <w:spacing w:after="0" w:line="240" w:lineRule="auto"/>
      </w:pPr>
      <w:r w:rsidRPr="00E208C5">
        <w:t>Hydrochloric acid</w:t>
      </w:r>
    </w:p>
    <w:p w14:paraId="55A2C6B6" w14:textId="77777777" w:rsidR="00B21F96" w:rsidRPr="00E208C5" w:rsidRDefault="00B21F96" w:rsidP="00B21F96">
      <w:pPr>
        <w:spacing w:after="0" w:line="240" w:lineRule="auto"/>
      </w:pPr>
      <w:r w:rsidRPr="00E208C5">
        <w:t>Sodium hydroxide</w:t>
      </w:r>
    </w:p>
    <w:p w14:paraId="60AE222F" w14:textId="77777777" w:rsidR="00F72421" w:rsidRPr="00E208C5" w:rsidRDefault="00B21F96" w:rsidP="00B21F96">
      <w:r w:rsidRPr="00E208C5">
        <w:t xml:space="preserve">Water for injections </w:t>
      </w:r>
    </w:p>
    <w:p w14:paraId="13625EC3" w14:textId="77777777" w:rsidR="00F72421" w:rsidRPr="00E208C5" w:rsidRDefault="00F72421" w:rsidP="00F72421">
      <w:pPr>
        <w:pStyle w:val="Heading3"/>
      </w:pPr>
      <w:r w:rsidRPr="00E208C5">
        <w:t>6.2</w:t>
      </w:r>
      <w:r w:rsidRPr="00E208C5">
        <w:tab/>
        <w:t>Incompatibilities</w:t>
      </w:r>
    </w:p>
    <w:p w14:paraId="3FDA11B7" w14:textId="77777777" w:rsidR="00F72421" w:rsidRPr="00E208C5" w:rsidRDefault="00462245" w:rsidP="00F72421">
      <w:r w:rsidRPr="00E208C5">
        <w:t xml:space="preserve">Substances added to </w:t>
      </w:r>
      <w:r w:rsidRPr="00E208C5">
        <w:rPr>
          <w:bCs/>
        </w:rPr>
        <w:t>Ozempic</w:t>
      </w:r>
      <w:r w:rsidRPr="00E208C5">
        <w:rPr>
          <w:i/>
        </w:rPr>
        <w:t xml:space="preserve"> </w:t>
      </w:r>
      <w:r w:rsidRPr="00E208C5">
        <w:t xml:space="preserve">may cause degradation of semaglutide. </w:t>
      </w:r>
      <w:r w:rsidRPr="00E208C5">
        <w:rPr>
          <w:bCs/>
        </w:rPr>
        <w:t>Ozempic</w:t>
      </w:r>
      <w:r w:rsidRPr="00E208C5">
        <w:t xml:space="preserve"> must not be mixed with other medicinal products, e.g. infusion fluids. </w:t>
      </w:r>
    </w:p>
    <w:p w14:paraId="2BE68022" w14:textId="5DBDAD9B" w:rsidR="00F72421" w:rsidRPr="00FC4CA6" w:rsidRDefault="00F72421" w:rsidP="00F72421">
      <w:pPr>
        <w:pStyle w:val="Heading3"/>
      </w:pPr>
      <w:r w:rsidRPr="00E208C5">
        <w:t>6.3</w:t>
      </w:r>
      <w:r w:rsidRPr="00E208C5">
        <w:tab/>
        <w:t>Shelf Life</w:t>
      </w:r>
    </w:p>
    <w:p w14:paraId="44CE6C59" w14:textId="0688EA1F" w:rsidR="00F72421" w:rsidRPr="00713DFC" w:rsidRDefault="001F3E07" w:rsidP="00F72421">
      <w:r w:rsidRPr="00713DFC">
        <w:t>In Australia, information on the shelf life can be found on the public summary of the Australian Register of Therapeutic Goods (ARTG). The expiry date can be found on the packaging.</w:t>
      </w:r>
    </w:p>
    <w:p w14:paraId="3E1F5D8F" w14:textId="2786D92B" w:rsidR="00462245" w:rsidRPr="00E208C5" w:rsidRDefault="00462245" w:rsidP="00F72421">
      <w:r w:rsidRPr="00713DFC">
        <w:t>Shelf-life for pen in use</w:t>
      </w:r>
      <w:r w:rsidRPr="00713DFC">
        <w:rPr>
          <w:i/>
        </w:rPr>
        <w:t>:</w:t>
      </w:r>
      <w:r w:rsidRPr="00713DFC">
        <w:t xml:space="preserve"> </w:t>
      </w:r>
      <w:r w:rsidR="00AA4520" w:rsidRPr="00713DFC">
        <w:t>42 days (</w:t>
      </w:r>
      <w:r w:rsidRPr="00713DFC">
        <w:t>6 weeks</w:t>
      </w:r>
      <w:r w:rsidR="00AA4520" w:rsidRPr="00713DFC">
        <w:t>)</w:t>
      </w:r>
      <w:r w:rsidRPr="00713DFC">
        <w:t>.</w:t>
      </w:r>
      <w:r w:rsidRPr="00E208C5">
        <w:t xml:space="preserve"> </w:t>
      </w:r>
    </w:p>
    <w:p w14:paraId="54551EE0" w14:textId="50B9F89C" w:rsidR="00F72421" w:rsidRPr="00FC4CA6" w:rsidRDefault="00F72421" w:rsidP="00F72421">
      <w:pPr>
        <w:pStyle w:val="Heading3"/>
      </w:pPr>
      <w:r w:rsidRPr="00E208C5">
        <w:t>6.4</w:t>
      </w:r>
      <w:r w:rsidRPr="00E208C5">
        <w:tab/>
        <w:t>Special Precautions for Storage</w:t>
      </w:r>
    </w:p>
    <w:p w14:paraId="608E4EBD" w14:textId="77777777" w:rsidR="00462245" w:rsidRPr="00E208C5" w:rsidRDefault="00462245" w:rsidP="00462245">
      <w:r w:rsidRPr="00E208C5">
        <w:rPr>
          <w:i/>
        </w:rPr>
        <w:t>Before use:</w:t>
      </w:r>
      <w:r w:rsidRPr="00E208C5">
        <w:t xml:space="preserve"> Store in a refrigerator (2°C to 8°C). Keep away from the cooling element. Protect from light.</w:t>
      </w:r>
    </w:p>
    <w:p w14:paraId="4E6FA0EB" w14:textId="77777777" w:rsidR="00462245" w:rsidRPr="00E208C5" w:rsidRDefault="00462245" w:rsidP="00462245">
      <w:r w:rsidRPr="00E208C5">
        <w:t xml:space="preserve">Do not freeze </w:t>
      </w:r>
      <w:r w:rsidRPr="00E208C5">
        <w:rPr>
          <w:bCs/>
        </w:rPr>
        <w:t>Ozempic</w:t>
      </w:r>
      <w:r w:rsidRPr="00E208C5">
        <w:t xml:space="preserve"> and do not use </w:t>
      </w:r>
      <w:r w:rsidRPr="00E208C5">
        <w:rPr>
          <w:bCs/>
        </w:rPr>
        <w:t>Ozempic</w:t>
      </w:r>
      <w:r w:rsidRPr="00E208C5">
        <w:t xml:space="preserve"> if it has been frozen.</w:t>
      </w:r>
    </w:p>
    <w:p w14:paraId="2B7D45AB" w14:textId="77777777" w:rsidR="00462245" w:rsidRPr="00E208C5" w:rsidRDefault="00462245" w:rsidP="00462245">
      <w:r w:rsidRPr="00E208C5">
        <w:rPr>
          <w:i/>
        </w:rPr>
        <w:t>After first use:</w:t>
      </w:r>
      <w:r w:rsidRPr="00E208C5">
        <w:t xml:space="preserve"> Store below 30°C or in a refrigerator (2°C to 8°C). Do not freeze </w:t>
      </w:r>
      <w:r w:rsidRPr="00E208C5">
        <w:rPr>
          <w:bCs/>
        </w:rPr>
        <w:t>Ozempic</w:t>
      </w:r>
      <w:r w:rsidRPr="00E208C5">
        <w:t xml:space="preserve"> and do not use </w:t>
      </w:r>
      <w:r w:rsidRPr="00E208C5">
        <w:rPr>
          <w:bCs/>
        </w:rPr>
        <w:t>Ozempic</w:t>
      </w:r>
      <w:r w:rsidRPr="00E208C5">
        <w:t xml:space="preserve"> if it has been frozen. Keep the pen cap on when the </w:t>
      </w:r>
      <w:r w:rsidRPr="00E208C5">
        <w:rPr>
          <w:bCs/>
        </w:rPr>
        <w:t>Ozempic</w:t>
      </w:r>
      <w:r w:rsidRPr="00E208C5">
        <w:t xml:space="preserve"> pen is not in use in order to protect from light. </w:t>
      </w:r>
    </w:p>
    <w:p w14:paraId="7FE672FB" w14:textId="77777777" w:rsidR="00462245" w:rsidRPr="00E208C5" w:rsidRDefault="00462245" w:rsidP="00462245">
      <w:r w:rsidRPr="00E208C5">
        <w:rPr>
          <w:bCs/>
        </w:rPr>
        <w:t>Ozempic</w:t>
      </w:r>
      <w:r w:rsidRPr="00E208C5">
        <w:rPr>
          <w:i/>
        </w:rPr>
        <w:t xml:space="preserve"> </w:t>
      </w:r>
      <w:r w:rsidRPr="00E208C5">
        <w:t xml:space="preserve">should be protected from excessive heat and light. </w:t>
      </w:r>
    </w:p>
    <w:p w14:paraId="46D5FA6C" w14:textId="77777777" w:rsidR="00FC4439" w:rsidRPr="00E208C5" w:rsidRDefault="00FC4439" w:rsidP="00FC4439">
      <w:pPr>
        <w:rPr>
          <w:iCs/>
        </w:rPr>
      </w:pPr>
      <w:r w:rsidRPr="00E208C5">
        <w:rPr>
          <w:bCs/>
        </w:rPr>
        <w:t>The Ozempic</w:t>
      </w:r>
      <w:r w:rsidRPr="00E208C5">
        <w:rPr>
          <w:i/>
        </w:rPr>
        <w:t xml:space="preserve"> </w:t>
      </w:r>
      <w:r w:rsidRPr="00E208C5">
        <w:t>pen is for use by one person only.</w:t>
      </w:r>
    </w:p>
    <w:p w14:paraId="19F4E92A" w14:textId="77777777" w:rsidR="00FC4439" w:rsidRPr="00E208C5" w:rsidRDefault="00FC4439" w:rsidP="00FC4439">
      <w:pPr>
        <w:rPr>
          <w:iCs/>
        </w:rPr>
      </w:pPr>
      <w:r w:rsidRPr="00E208C5">
        <w:rPr>
          <w:bCs/>
        </w:rPr>
        <w:t>Ozempic</w:t>
      </w:r>
      <w:r w:rsidRPr="00E208C5">
        <w:t xml:space="preserve"> should not be used if it does not appear clear and colourless, or almost colourless.</w:t>
      </w:r>
    </w:p>
    <w:p w14:paraId="63A1A142" w14:textId="77777777" w:rsidR="00F72421" w:rsidRPr="00E208C5" w:rsidRDefault="00462245" w:rsidP="00462245">
      <w:r w:rsidRPr="00E208C5">
        <w:lastRenderedPageBreak/>
        <w:t xml:space="preserve">Always remove the injection needle immediately after each injection and store the </w:t>
      </w:r>
      <w:r w:rsidRPr="00E208C5">
        <w:rPr>
          <w:bCs/>
        </w:rPr>
        <w:t>Ozempic</w:t>
      </w:r>
      <w:r w:rsidRPr="00E208C5">
        <w:t xml:space="preserve"> pen without a needle attached. This may prevent blocked needles, contamination, infection, leakage of solution and inaccurate dosing. </w:t>
      </w:r>
    </w:p>
    <w:p w14:paraId="4AB4593C" w14:textId="77777777" w:rsidR="00F72421" w:rsidRPr="00E208C5" w:rsidRDefault="00F72421" w:rsidP="00F72421">
      <w:pPr>
        <w:pStyle w:val="Heading3"/>
      </w:pPr>
      <w:r w:rsidRPr="00E208C5">
        <w:t>6.5</w:t>
      </w:r>
      <w:r w:rsidRPr="00E208C5">
        <w:tab/>
        <w:t>Nature and Contents of Container</w:t>
      </w:r>
    </w:p>
    <w:p w14:paraId="03D04118" w14:textId="3C0CFA9B" w:rsidR="00462245" w:rsidRPr="00E208C5" w:rsidRDefault="00462245" w:rsidP="00462245">
      <w:r w:rsidRPr="00E208C5">
        <w:t xml:space="preserve">The primary </w:t>
      </w:r>
      <w:r w:rsidRPr="00713DFC">
        <w:t xml:space="preserve">packaging </w:t>
      </w:r>
      <w:r w:rsidR="001F3E07" w:rsidRPr="00713DFC">
        <w:t xml:space="preserve">is </w:t>
      </w:r>
      <w:r w:rsidRPr="00713DFC">
        <w:t>a 1.5 m</w:t>
      </w:r>
      <w:r w:rsidR="003C0FD1" w:rsidRPr="00713DFC">
        <w:t>L</w:t>
      </w:r>
      <w:r w:rsidRPr="00713DFC">
        <w:t xml:space="preserve"> or 3 m</w:t>
      </w:r>
      <w:r w:rsidR="003C0FD1" w:rsidRPr="00713DFC">
        <w:t>L</w:t>
      </w:r>
      <w:r w:rsidRPr="00713DFC">
        <w:t xml:space="preserve"> glass cartridge</w:t>
      </w:r>
      <w:r w:rsidRPr="00E208C5">
        <w:t xml:space="preserve"> (Type I glass) closed at one end with a rubber plunger (Type I/chlorobutyl) and at the other end with an aluminium cap with a rubber disc (Type I/bromobutyl/polyisoprene) inserted. The cartridge is assembled into a pre-filled multidose disposable pen made of polypropylene, polyoxymethylene polycarbonate and acrylonitrile butadiene styrene.</w:t>
      </w:r>
    </w:p>
    <w:p w14:paraId="675DF794" w14:textId="77777777" w:rsidR="00462245" w:rsidRPr="00E208C5" w:rsidRDefault="00462245" w:rsidP="00462245">
      <w:r w:rsidRPr="00E208C5">
        <w:t xml:space="preserve">There are two variants of the pre-filled pen for </w:t>
      </w:r>
      <w:r w:rsidRPr="00E208C5">
        <w:rPr>
          <w:bCs/>
        </w:rPr>
        <w:t>Ozempic</w:t>
      </w:r>
      <w:r w:rsidRPr="00E208C5">
        <w:t>:</w:t>
      </w:r>
    </w:p>
    <w:p w14:paraId="1AEFDC02" w14:textId="58F6EC97" w:rsidR="00462245" w:rsidRPr="00E208C5" w:rsidRDefault="00462245" w:rsidP="00462245">
      <w:r w:rsidRPr="00E208C5">
        <w:rPr>
          <w:bCs/>
        </w:rPr>
        <w:t>Ozempic</w:t>
      </w:r>
      <w:r w:rsidRPr="00E208C5">
        <w:t xml:space="preserve"> 0.25 mg, 0.5 mg/dose solution for injection in pre-filled pen is able to deliver doses of 0.25 mg or 0.5 mg. This pen is intended to be used for dose escalation and maintenance treatment at the 0.5 mg dose. The pen contains 1.5 m</w:t>
      </w:r>
      <w:r w:rsidR="001B49F0" w:rsidRPr="00713DFC">
        <w:t>L</w:t>
      </w:r>
      <w:r w:rsidRPr="00E208C5">
        <w:t xml:space="preserve"> solution.</w:t>
      </w:r>
    </w:p>
    <w:p w14:paraId="7ED7FA23" w14:textId="13DF465C" w:rsidR="00462245" w:rsidRPr="00E208C5" w:rsidRDefault="00462245" w:rsidP="00462245">
      <w:r w:rsidRPr="00E208C5">
        <w:rPr>
          <w:bCs/>
        </w:rPr>
        <w:t>Ozempic</w:t>
      </w:r>
      <w:r w:rsidRPr="00E208C5">
        <w:t xml:space="preserve"> 1 mg/dose for injection in pre-filled pen is only able to deliver doses of 1 mg. This pen is to be used for maintenance treatment at the 1 mg dose only. The pen contains 3 m</w:t>
      </w:r>
      <w:r w:rsidR="001B49F0" w:rsidRPr="00713DFC">
        <w:t>L</w:t>
      </w:r>
      <w:r w:rsidRPr="00E208C5">
        <w:t xml:space="preserve"> solution.</w:t>
      </w:r>
    </w:p>
    <w:p w14:paraId="3EA40082" w14:textId="77777777" w:rsidR="00FC4439" w:rsidRPr="00E208C5" w:rsidRDefault="00FC4439" w:rsidP="00462245">
      <w:r w:rsidRPr="00E208C5">
        <w:rPr>
          <w:bCs/>
        </w:rPr>
        <w:t>Ozempic</w:t>
      </w:r>
      <w:r w:rsidRPr="00E208C5">
        <w:t xml:space="preserve"> can be administered with needles up to a length of 8 mm. The pen is designed to be used with NovoFine</w:t>
      </w:r>
      <w:r w:rsidRPr="00E208C5">
        <w:rPr>
          <w:vertAlign w:val="superscript"/>
        </w:rPr>
        <w:t xml:space="preserve">® </w:t>
      </w:r>
      <w:r w:rsidRPr="00E208C5">
        <w:t xml:space="preserve">disposable needles. </w:t>
      </w:r>
      <w:r w:rsidR="00462245" w:rsidRPr="00E208C5">
        <w:t xml:space="preserve">NovoFine Plus needles are included in the </w:t>
      </w:r>
      <w:r w:rsidR="00462245" w:rsidRPr="00E208C5">
        <w:rPr>
          <w:bCs/>
        </w:rPr>
        <w:t>Ozempic</w:t>
      </w:r>
      <w:r w:rsidR="00462245" w:rsidRPr="00E208C5">
        <w:t xml:space="preserve"> package.</w:t>
      </w:r>
    </w:p>
    <w:p w14:paraId="34B4555E" w14:textId="77777777" w:rsidR="00462245" w:rsidRPr="00E208C5" w:rsidRDefault="00462245" w:rsidP="00462245">
      <w:r w:rsidRPr="00E208C5">
        <w:t>Pack sizes of:</w:t>
      </w:r>
    </w:p>
    <w:p w14:paraId="053BBE56" w14:textId="77777777" w:rsidR="00462245" w:rsidRPr="00E208C5" w:rsidRDefault="00462245" w:rsidP="00462245">
      <w:pPr>
        <w:spacing w:after="0" w:line="240" w:lineRule="auto"/>
      </w:pPr>
      <w:r w:rsidRPr="00E208C5">
        <w:rPr>
          <w:bCs/>
          <w:u w:val="single"/>
        </w:rPr>
        <w:t>Ozempic</w:t>
      </w:r>
      <w:r w:rsidRPr="00E208C5">
        <w:rPr>
          <w:u w:val="single"/>
          <w:vertAlign w:val="superscript"/>
        </w:rPr>
        <w:t>®</w:t>
      </w:r>
      <w:r w:rsidRPr="00E208C5">
        <w:rPr>
          <w:u w:val="single"/>
        </w:rPr>
        <w:t xml:space="preserve"> 0.25 mg, 0.5 mg/dose:</w:t>
      </w:r>
    </w:p>
    <w:p w14:paraId="60018BC8" w14:textId="77777777" w:rsidR="00462245" w:rsidRPr="00E208C5" w:rsidRDefault="00462245" w:rsidP="00462245">
      <w:r w:rsidRPr="00E208C5">
        <w:t>1 pre-filled pen including 6 disposable NovoFine Plus needles.</w:t>
      </w:r>
    </w:p>
    <w:p w14:paraId="365C6DBF" w14:textId="77777777" w:rsidR="00462245" w:rsidRPr="00E208C5" w:rsidRDefault="00462245" w:rsidP="00462245">
      <w:pPr>
        <w:spacing w:after="0" w:line="240" w:lineRule="auto"/>
        <w:rPr>
          <w:u w:val="single"/>
        </w:rPr>
      </w:pPr>
      <w:r w:rsidRPr="00E208C5">
        <w:rPr>
          <w:bCs/>
          <w:u w:val="single"/>
        </w:rPr>
        <w:t>Ozempic</w:t>
      </w:r>
      <w:r w:rsidRPr="00E208C5">
        <w:rPr>
          <w:u w:val="single"/>
          <w:vertAlign w:val="superscript"/>
        </w:rPr>
        <w:t>®</w:t>
      </w:r>
      <w:r w:rsidRPr="00E208C5">
        <w:rPr>
          <w:u w:val="single"/>
        </w:rPr>
        <w:t xml:space="preserve"> 1 mg/dose:</w:t>
      </w:r>
    </w:p>
    <w:p w14:paraId="12EAF60E" w14:textId="77777777" w:rsidR="00F72421" w:rsidRPr="00E208C5" w:rsidRDefault="00462245" w:rsidP="00462245">
      <w:r w:rsidRPr="00E208C5">
        <w:t>1 pre-filled pen including 4 disposable NovoFine Plus needles.</w:t>
      </w:r>
    </w:p>
    <w:p w14:paraId="5AEE3D5E" w14:textId="77777777" w:rsidR="00F72421" w:rsidRPr="00E208C5" w:rsidRDefault="00F72421" w:rsidP="00F72421">
      <w:pPr>
        <w:pStyle w:val="Heading3"/>
      </w:pPr>
      <w:r w:rsidRPr="00E208C5">
        <w:t>6.6</w:t>
      </w:r>
      <w:r w:rsidRPr="00E208C5">
        <w:tab/>
        <w:t>Special Precautions for Disposal</w:t>
      </w:r>
    </w:p>
    <w:p w14:paraId="00B52787" w14:textId="77777777" w:rsidR="00F72421" w:rsidRPr="00E208C5" w:rsidRDefault="00462245" w:rsidP="00F72421">
      <w:r w:rsidRPr="00E208C5">
        <w:t xml:space="preserve">The patient should be advised to discard the injection needle after each injection in accordance with local requirements. </w:t>
      </w:r>
    </w:p>
    <w:p w14:paraId="40BA1A7E" w14:textId="77777777" w:rsidR="00F72421" w:rsidRPr="00E208C5" w:rsidRDefault="00F72421" w:rsidP="00F72421">
      <w:pPr>
        <w:pStyle w:val="Heading3"/>
      </w:pPr>
      <w:r w:rsidRPr="00E208C5">
        <w:t>6.7</w:t>
      </w:r>
      <w:r w:rsidRPr="00E208C5">
        <w:tab/>
        <w:t>Physi</w:t>
      </w:r>
      <w:r w:rsidR="00E97D02" w:rsidRPr="00E208C5">
        <w:t>c</w:t>
      </w:r>
      <w:r w:rsidRPr="00E208C5">
        <w:t>ochemical Properties</w:t>
      </w:r>
    </w:p>
    <w:p w14:paraId="3E97334F" w14:textId="098368B1" w:rsidR="00E97D02" w:rsidRPr="00FC4CA6" w:rsidRDefault="00E97D02" w:rsidP="00E97D02">
      <w:pPr>
        <w:pStyle w:val="Heading4"/>
      </w:pPr>
      <w:r w:rsidRPr="00E208C5">
        <w:t>Chemical structure</w:t>
      </w:r>
    </w:p>
    <w:p w14:paraId="49983358" w14:textId="77777777" w:rsidR="00B21F96" w:rsidRPr="00713DFC" w:rsidRDefault="00B21F96" w:rsidP="00B21F96">
      <w:pPr>
        <w:rPr>
          <w:lang w:val="pt-BR"/>
        </w:rPr>
      </w:pPr>
      <w:r w:rsidRPr="00713DFC">
        <w:rPr>
          <w:lang w:val="pt-BR"/>
        </w:rPr>
        <w:t>Molecular formula: C</w:t>
      </w:r>
      <w:r w:rsidRPr="00713DFC">
        <w:rPr>
          <w:vertAlign w:val="subscript"/>
          <w:lang w:val="pt-BR"/>
        </w:rPr>
        <w:t>187</w:t>
      </w:r>
      <w:r w:rsidRPr="00713DFC">
        <w:rPr>
          <w:lang w:val="pt-BR"/>
        </w:rPr>
        <w:t xml:space="preserve"> H</w:t>
      </w:r>
      <w:r w:rsidRPr="00713DFC">
        <w:rPr>
          <w:vertAlign w:val="subscript"/>
          <w:lang w:val="pt-BR"/>
        </w:rPr>
        <w:t>291</w:t>
      </w:r>
      <w:r w:rsidRPr="00713DFC">
        <w:rPr>
          <w:lang w:val="pt-BR"/>
        </w:rPr>
        <w:t xml:space="preserve"> N</w:t>
      </w:r>
      <w:r w:rsidRPr="00713DFC">
        <w:rPr>
          <w:vertAlign w:val="subscript"/>
          <w:lang w:val="pt-BR"/>
        </w:rPr>
        <w:t>45</w:t>
      </w:r>
      <w:r w:rsidRPr="00713DFC">
        <w:rPr>
          <w:lang w:val="pt-BR"/>
        </w:rPr>
        <w:t xml:space="preserve"> O</w:t>
      </w:r>
      <w:r w:rsidRPr="00713DFC">
        <w:rPr>
          <w:vertAlign w:val="subscript"/>
          <w:lang w:val="pt-BR"/>
        </w:rPr>
        <w:t>59</w:t>
      </w:r>
    </w:p>
    <w:p w14:paraId="6EF6820B" w14:textId="77777777" w:rsidR="00B21F96" w:rsidRPr="00713DFC" w:rsidRDefault="00B21F96" w:rsidP="00B21F96">
      <w:pPr>
        <w:rPr>
          <w:lang w:val="pt-BR"/>
        </w:rPr>
      </w:pPr>
      <w:r w:rsidRPr="00713DFC">
        <w:rPr>
          <w:lang w:val="pt-BR"/>
        </w:rPr>
        <w:t>Molecular weight: 4113.6 dalton</w:t>
      </w:r>
      <w:r w:rsidR="00D436B9" w:rsidRPr="00713DFC">
        <w:rPr>
          <w:lang w:val="pt-BR"/>
        </w:rPr>
        <w:t>s</w:t>
      </w:r>
    </w:p>
    <w:bookmarkStart w:id="118" w:name="_MON_1570270877"/>
    <w:bookmarkEnd w:id="118"/>
    <w:p w14:paraId="01E7E05A" w14:textId="77777777" w:rsidR="00B21F96" w:rsidRPr="00FC4CA6" w:rsidRDefault="00B21F96" w:rsidP="00B21F96">
      <w:r w:rsidRPr="00FC4CA6">
        <w:rPr>
          <w:b/>
          <w:sz w:val="22"/>
          <w:szCs w:val="22"/>
        </w:rPr>
        <w:object w:dxaOrig="8617" w:dyaOrig="3270" w14:anchorId="616D02F3">
          <v:shape id="_x0000_i1037" type="#_x0000_t75" style="width:428.85pt;height:162.8pt" o:ole="">
            <v:imagedata r:id="rId34" o:title=""/>
          </v:shape>
          <o:OLEObject Type="Embed" ProgID="Word.Document.12" ShapeID="_x0000_i1037" DrawAspect="Content" ObjectID="_1668440539" r:id="rId35">
            <o:FieldCodes>\s</o:FieldCodes>
          </o:OLEObject>
        </w:object>
      </w:r>
    </w:p>
    <w:p w14:paraId="37969604" w14:textId="77777777" w:rsidR="00E97D02" w:rsidRPr="00705CF8" w:rsidRDefault="00E97D02" w:rsidP="00E97D02">
      <w:pPr>
        <w:pStyle w:val="Heading4"/>
      </w:pPr>
      <w:r w:rsidRPr="00705CF8">
        <w:t>CAS number</w:t>
      </w:r>
    </w:p>
    <w:p w14:paraId="2705EF93" w14:textId="0BC25BC9" w:rsidR="00E97D02" w:rsidRPr="00705CF8" w:rsidRDefault="00B21F96" w:rsidP="00E97D02">
      <w:r w:rsidRPr="00705CF8">
        <w:t>RN910463-68-2</w:t>
      </w:r>
    </w:p>
    <w:p w14:paraId="29C495E6" w14:textId="77777777" w:rsidR="00E97D02" w:rsidRPr="00FC4CA6" w:rsidRDefault="00E97D02" w:rsidP="00E97D02">
      <w:pPr>
        <w:pStyle w:val="Heading2"/>
      </w:pPr>
      <w:r w:rsidRPr="00FC4CA6">
        <w:t>7.</w:t>
      </w:r>
      <w:r w:rsidRPr="00FC4CA6">
        <w:tab/>
        <w:t>MEDICINE SCHEDULE (POISONS STANDARD)</w:t>
      </w:r>
    </w:p>
    <w:p w14:paraId="75B75492" w14:textId="77777777" w:rsidR="00E97D02" w:rsidRPr="00E208C5" w:rsidRDefault="00B21F96" w:rsidP="00E97D02">
      <w:r w:rsidRPr="00E208C5">
        <w:t>S4</w:t>
      </w:r>
    </w:p>
    <w:p w14:paraId="153451D6" w14:textId="77777777" w:rsidR="00E97D02" w:rsidRPr="00E208C5" w:rsidRDefault="00E97D02" w:rsidP="00E97D02">
      <w:pPr>
        <w:pStyle w:val="Heading2"/>
      </w:pPr>
      <w:r w:rsidRPr="00E208C5">
        <w:t xml:space="preserve">8. </w:t>
      </w:r>
      <w:r w:rsidRPr="00E208C5">
        <w:tab/>
        <w:t>SPONSOR</w:t>
      </w:r>
    </w:p>
    <w:p w14:paraId="13344EB2" w14:textId="77777777" w:rsidR="00907011" w:rsidRPr="00E208C5" w:rsidRDefault="00907011" w:rsidP="00907011">
      <w:pPr>
        <w:spacing w:after="0" w:line="240" w:lineRule="auto"/>
        <w:rPr>
          <w:b/>
          <w:bCs/>
        </w:rPr>
      </w:pPr>
      <w:r w:rsidRPr="00E208C5">
        <w:t>Novo Nordisk Pharmaceuticals Pty Limited</w:t>
      </w:r>
    </w:p>
    <w:p w14:paraId="58BBAEDF" w14:textId="77777777" w:rsidR="00907011" w:rsidRPr="00E208C5" w:rsidRDefault="00907011" w:rsidP="00907011">
      <w:pPr>
        <w:spacing w:after="0" w:line="240" w:lineRule="auto"/>
      </w:pPr>
      <w:r w:rsidRPr="00E208C5">
        <w:t>Level 3, 21 Solent Circuit,</w:t>
      </w:r>
    </w:p>
    <w:p w14:paraId="3330814C" w14:textId="77777777" w:rsidR="00907011" w:rsidRPr="00E208C5" w:rsidRDefault="00907011" w:rsidP="00907011">
      <w:pPr>
        <w:spacing w:after="0" w:line="240" w:lineRule="auto"/>
      </w:pPr>
      <w:r w:rsidRPr="00E208C5">
        <w:t>Baulkham Hills,</w:t>
      </w:r>
    </w:p>
    <w:p w14:paraId="66DD03BE" w14:textId="77777777" w:rsidR="00907011" w:rsidRPr="00E208C5" w:rsidRDefault="00907011" w:rsidP="00907011">
      <w:pPr>
        <w:spacing w:after="0" w:line="240" w:lineRule="auto"/>
      </w:pPr>
      <w:r w:rsidRPr="00E208C5">
        <w:t>NSW 2153,</w:t>
      </w:r>
    </w:p>
    <w:p w14:paraId="47E586A2" w14:textId="6AD1A9A0" w:rsidR="00907011" w:rsidRDefault="00907011" w:rsidP="00907011">
      <w:r w:rsidRPr="00E208C5">
        <w:t>Australia.</w:t>
      </w:r>
    </w:p>
    <w:p w14:paraId="0865609B" w14:textId="0AF7B438" w:rsidR="00F33760" w:rsidRPr="00E208C5" w:rsidRDefault="00F33760" w:rsidP="00907011">
      <w:r w:rsidRPr="00713DFC">
        <w:t>www.novonordisk.com.au</w:t>
      </w:r>
    </w:p>
    <w:p w14:paraId="4B6AE34C" w14:textId="77777777" w:rsidR="00E97D02" w:rsidRPr="00E208C5" w:rsidRDefault="00E97D02" w:rsidP="00E97D02">
      <w:pPr>
        <w:pStyle w:val="Heading2"/>
      </w:pPr>
      <w:r w:rsidRPr="00E208C5">
        <w:t>9.</w:t>
      </w:r>
      <w:r w:rsidRPr="00E208C5">
        <w:tab/>
        <w:t>DATE OF FIRST APPROVAL</w:t>
      </w:r>
    </w:p>
    <w:p w14:paraId="5E9EAA68" w14:textId="5900E2A2" w:rsidR="00E97D02" w:rsidRPr="00E208C5" w:rsidRDefault="00DF2140" w:rsidP="00E97D02">
      <w:r>
        <w:t>28</w:t>
      </w:r>
      <w:r w:rsidR="00971FE0">
        <w:t xml:space="preserve"> August 2019</w:t>
      </w:r>
    </w:p>
    <w:p w14:paraId="07FC42C8" w14:textId="77777777" w:rsidR="00E97D02" w:rsidRPr="00E208C5" w:rsidRDefault="00E97D02" w:rsidP="00E97D02">
      <w:pPr>
        <w:pStyle w:val="Heading2"/>
      </w:pPr>
      <w:r w:rsidRPr="00E208C5">
        <w:t>10.</w:t>
      </w:r>
      <w:r w:rsidRPr="00E208C5">
        <w:tab/>
        <w:t>DATE OF REVISION</w:t>
      </w:r>
    </w:p>
    <w:p w14:paraId="739AB4D1" w14:textId="7BEE6534" w:rsidR="00E97D02" w:rsidRPr="00E208C5" w:rsidRDefault="00971FE0" w:rsidP="00E97D02">
      <w:r>
        <w:t>N/A</w:t>
      </w:r>
    </w:p>
    <w:p w14:paraId="11179EAE" w14:textId="7209C720" w:rsidR="00E97D02" w:rsidRPr="00E208C5" w:rsidRDefault="00E97D02"/>
    <w:p w14:paraId="522F2A4A" w14:textId="77777777" w:rsidR="00E97D02" w:rsidRPr="00E208C5" w:rsidRDefault="00E97D02" w:rsidP="00E97D02">
      <w:pPr>
        <w:pStyle w:val="Heading3"/>
      </w:pPr>
      <w:r w:rsidRPr="00E208C5">
        <w:t>Summary table of changes</w:t>
      </w:r>
    </w:p>
    <w:tbl>
      <w:tblPr>
        <w:tblStyle w:val="TableGrid"/>
        <w:tblW w:w="0" w:type="auto"/>
        <w:tblLook w:val="04A0" w:firstRow="1" w:lastRow="0" w:firstColumn="1" w:lastColumn="0" w:noHBand="0" w:noVBand="1"/>
      </w:tblPr>
      <w:tblGrid>
        <w:gridCol w:w="2332"/>
        <w:gridCol w:w="6684"/>
      </w:tblGrid>
      <w:tr w:rsidR="00E97D02" w:rsidRPr="00E208C5" w14:paraId="7788949F" w14:textId="77777777" w:rsidTr="00E97D02">
        <w:tc>
          <w:tcPr>
            <w:tcW w:w="2376" w:type="dxa"/>
          </w:tcPr>
          <w:p w14:paraId="767631BF" w14:textId="77777777" w:rsidR="00E97D02" w:rsidRPr="00E208C5" w:rsidRDefault="00E97D02" w:rsidP="00E97D02">
            <w:pPr>
              <w:rPr>
                <w:b/>
              </w:rPr>
            </w:pPr>
            <w:r w:rsidRPr="00E208C5">
              <w:rPr>
                <w:b/>
              </w:rPr>
              <w:t>Section changed</w:t>
            </w:r>
          </w:p>
        </w:tc>
        <w:tc>
          <w:tcPr>
            <w:tcW w:w="6866" w:type="dxa"/>
          </w:tcPr>
          <w:p w14:paraId="2F5F5690" w14:textId="77777777" w:rsidR="00E97D02" w:rsidRPr="00E208C5" w:rsidRDefault="00E97D02" w:rsidP="00E97D02">
            <w:pPr>
              <w:rPr>
                <w:b/>
              </w:rPr>
            </w:pPr>
            <w:r w:rsidRPr="00E208C5">
              <w:rPr>
                <w:b/>
              </w:rPr>
              <w:t>Summary of new information</w:t>
            </w:r>
          </w:p>
        </w:tc>
      </w:tr>
      <w:tr w:rsidR="00E97D02" w:rsidRPr="00E208C5" w14:paraId="1EE1B0B2" w14:textId="77777777" w:rsidTr="00E97D02">
        <w:tc>
          <w:tcPr>
            <w:tcW w:w="2376" w:type="dxa"/>
          </w:tcPr>
          <w:p w14:paraId="4DBA8E73" w14:textId="77777777" w:rsidR="00E97D02" w:rsidRPr="00E208C5" w:rsidRDefault="00E97D02" w:rsidP="00E97D02"/>
        </w:tc>
        <w:tc>
          <w:tcPr>
            <w:tcW w:w="6866" w:type="dxa"/>
          </w:tcPr>
          <w:p w14:paraId="08F7A0D5" w14:textId="77777777" w:rsidR="00E97D02" w:rsidRPr="00E208C5" w:rsidRDefault="00E97D02" w:rsidP="00E97D02"/>
        </w:tc>
      </w:tr>
      <w:tr w:rsidR="00E97D02" w:rsidRPr="00E208C5" w14:paraId="70DAD78D" w14:textId="77777777" w:rsidTr="00E97D02">
        <w:tc>
          <w:tcPr>
            <w:tcW w:w="2376" w:type="dxa"/>
          </w:tcPr>
          <w:p w14:paraId="534461AC" w14:textId="77777777" w:rsidR="00E97D02" w:rsidRPr="00E208C5" w:rsidRDefault="00E97D02" w:rsidP="00E97D02"/>
        </w:tc>
        <w:tc>
          <w:tcPr>
            <w:tcW w:w="6866" w:type="dxa"/>
          </w:tcPr>
          <w:p w14:paraId="0163E87E" w14:textId="77777777" w:rsidR="00E97D02" w:rsidRPr="00E208C5" w:rsidRDefault="00E97D02" w:rsidP="00E97D02"/>
        </w:tc>
      </w:tr>
      <w:tr w:rsidR="00E97D02" w:rsidRPr="00E208C5" w14:paraId="6A206A85" w14:textId="77777777" w:rsidTr="00E97D02">
        <w:tc>
          <w:tcPr>
            <w:tcW w:w="2376" w:type="dxa"/>
          </w:tcPr>
          <w:p w14:paraId="168C3BC1" w14:textId="77777777" w:rsidR="00E97D02" w:rsidRPr="00E208C5" w:rsidRDefault="00E97D02" w:rsidP="00E97D02"/>
        </w:tc>
        <w:tc>
          <w:tcPr>
            <w:tcW w:w="6866" w:type="dxa"/>
          </w:tcPr>
          <w:p w14:paraId="1CDD1FFA" w14:textId="77777777" w:rsidR="00E97D02" w:rsidRPr="00E208C5" w:rsidRDefault="00E97D02" w:rsidP="00E97D02"/>
        </w:tc>
      </w:tr>
    </w:tbl>
    <w:p w14:paraId="78A37310" w14:textId="77777777" w:rsidR="00E97D02" w:rsidRPr="00E208C5" w:rsidRDefault="00E97D02" w:rsidP="00E97D02"/>
    <w:sectPr w:rsidR="00E97D02" w:rsidRPr="00E208C5">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6AFA8" w14:textId="77777777" w:rsidR="000B60E9" w:rsidRDefault="000B60E9" w:rsidP="00601F02">
      <w:pPr>
        <w:spacing w:after="0" w:line="240" w:lineRule="auto"/>
      </w:pPr>
      <w:r>
        <w:separator/>
      </w:r>
    </w:p>
  </w:endnote>
  <w:endnote w:type="continuationSeparator" w:id="0">
    <w:p w14:paraId="17B5E567" w14:textId="77777777" w:rsidR="000B60E9" w:rsidRDefault="000B60E9" w:rsidP="00601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6C05D" w14:textId="77777777" w:rsidR="00661965" w:rsidRDefault="006619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7544B" w14:textId="17441206" w:rsidR="000B60E9" w:rsidRDefault="000B60E9" w:rsidP="00E208C5">
    <w:pPr>
      <w:pStyle w:val="Header"/>
      <w:ind w:right="600"/>
    </w:pPr>
    <w:r w:rsidRPr="00601F02">
      <w:rPr>
        <w:lang w:val="en-GB"/>
      </w:rPr>
      <w:fldChar w:fldCharType="begin"/>
    </w:r>
    <w:r w:rsidRPr="00601F02">
      <w:rPr>
        <w:lang w:val="en-GB"/>
      </w:rPr>
      <w:instrText xml:space="preserve"> FILENAME </w:instrText>
    </w:r>
    <w:r w:rsidRPr="00601F02">
      <w:rPr>
        <w:lang w:val="en-GB"/>
      </w:rPr>
      <w:fldChar w:fldCharType="separate"/>
    </w:r>
    <w:r w:rsidR="00971FE0">
      <w:rPr>
        <w:noProof/>
        <w:lang w:val="en-GB"/>
      </w:rPr>
      <w:t>Ozempic-dpi-v1.0.docx</w:t>
    </w:r>
    <w:r w:rsidRPr="00601F02">
      <w:fldChar w:fldCharType="end"/>
    </w:r>
    <w:r>
      <w:tab/>
    </w:r>
    <w:sdt>
      <w:sdtPr>
        <w:id w:val="-1318336367"/>
        <w:docPartObj>
          <w:docPartGallery w:val="Page Numbers (Top of Page)"/>
          <w:docPartUnique/>
        </w:docPartObj>
      </w:sdtPr>
      <w:sdtEndPr/>
      <w:sdtContent>
        <w:r>
          <w:t xml:space="preserve">Page </w:t>
        </w:r>
        <w:r>
          <w:rPr>
            <w:b/>
            <w:bCs/>
          </w:rPr>
          <w:fldChar w:fldCharType="begin"/>
        </w:r>
        <w:r>
          <w:rPr>
            <w:b/>
            <w:bCs/>
          </w:rPr>
          <w:instrText xml:space="preserve"> PAGE </w:instrText>
        </w:r>
        <w:r>
          <w:rPr>
            <w:b/>
            <w:bCs/>
          </w:rPr>
          <w:fldChar w:fldCharType="separate"/>
        </w:r>
        <w:r w:rsidR="0015305F">
          <w:rPr>
            <w:b/>
            <w:bCs/>
            <w:noProof/>
          </w:rPr>
          <w:t>32</w:t>
        </w:r>
        <w:r>
          <w:rPr>
            <w:b/>
            <w:bCs/>
          </w:rPr>
          <w:fldChar w:fldCharType="end"/>
        </w:r>
        <w:r>
          <w:t xml:space="preserve"> of </w:t>
        </w:r>
        <w:r>
          <w:rPr>
            <w:b/>
            <w:bCs/>
          </w:rPr>
          <w:fldChar w:fldCharType="begin"/>
        </w:r>
        <w:r>
          <w:rPr>
            <w:b/>
            <w:bCs/>
          </w:rPr>
          <w:instrText xml:space="preserve"> NUMPAGES  </w:instrText>
        </w:r>
        <w:r>
          <w:rPr>
            <w:b/>
            <w:bCs/>
          </w:rPr>
          <w:fldChar w:fldCharType="separate"/>
        </w:r>
        <w:r w:rsidR="0015305F">
          <w:rPr>
            <w:b/>
            <w:bCs/>
            <w:noProof/>
          </w:rPr>
          <w:t>32</w:t>
        </w:r>
        <w:r>
          <w:rPr>
            <w:b/>
            <w:bCs/>
          </w:rPr>
          <w:fldChar w:fldCharType="end"/>
        </w:r>
      </w:sdtContent>
    </w:sdt>
  </w:p>
  <w:p w14:paraId="31D99DEF" w14:textId="77777777" w:rsidR="000B60E9" w:rsidRDefault="000B60E9" w:rsidP="00E234F5">
    <w:pPr>
      <w:pStyle w:val="Header"/>
      <w:jc w:val="right"/>
    </w:pPr>
    <w:r>
      <w:rPr>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9E2D2" w14:textId="77777777" w:rsidR="00661965" w:rsidRDefault="006619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EE44B" w14:textId="77777777" w:rsidR="000B60E9" w:rsidRDefault="000B60E9" w:rsidP="00601F02">
      <w:pPr>
        <w:spacing w:after="0" w:line="240" w:lineRule="auto"/>
      </w:pPr>
      <w:r>
        <w:separator/>
      </w:r>
    </w:p>
  </w:footnote>
  <w:footnote w:type="continuationSeparator" w:id="0">
    <w:p w14:paraId="0E9AF600" w14:textId="77777777" w:rsidR="000B60E9" w:rsidRDefault="000B60E9" w:rsidP="00601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C9EE6" w14:textId="77777777" w:rsidR="00661965" w:rsidRDefault="006619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36FBD" w14:textId="77777777" w:rsidR="000B60E9" w:rsidRDefault="000B60E9">
    <w:pPr>
      <w:pStyle w:val="Header"/>
      <w:jc w:val="right"/>
    </w:pPr>
  </w:p>
  <w:tbl>
    <w:tblPr>
      <w:tblStyle w:val="TableGrid"/>
      <w:tblW w:w="0" w:type="auto"/>
      <w:shd w:val="clear" w:color="auto" w:fill="E4F2E0"/>
      <w:tblLook w:val="04A0" w:firstRow="1" w:lastRow="0" w:firstColumn="1" w:lastColumn="0" w:noHBand="0" w:noVBand="1"/>
    </w:tblPr>
    <w:tblGrid>
      <w:gridCol w:w="8472"/>
    </w:tblGrid>
    <w:tr w:rsidR="00661965" w:rsidRPr="000B2145" w14:paraId="77903F52" w14:textId="77777777" w:rsidTr="00455E7B">
      <w:trPr>
        <w:trHeight w:val="590"/>
      </w:trPr>
      <w:tc>
        <w:tcPr>
          <w:tcW w:w="8472" w:type="dxa"/>
          <w:shd w:val="clear" w:color="auto" w:fill="E4F2E0"/>
        </w:tcPr>
        <w:p w14:paraId="1DB65965" w14:textId="77777777" w:rsidR="00661965" w:rsidRPr="000B2145" w:rsidRDefault="00661965" w:rsidP="00661965">
          <w:pPr>
            <w:pStyle w:val="Footer"/>
            <w:rPr>
              <w:b/>
              <w:sz w:val="18"/>
              <w:szCs w:val="18"/>
            </w:rPr>
          </w:pPr>
          <w:r w:rsidRPr="00EA0C3C">
            <w:rPr>
              <w:b/>
              <w:sz w:val="18"/>
              <w:szCs w:val="18"/>
            </w:rPr>
            <w:t>Attachment 1:</w:t>
          </w:r>
          <w:r>
            <w:t xml:space="preserve"> </w:t>
          </w:r>
          <w:r w:rsidRPr="005F5BCD">
            <w:rPr>
              <w:b/>
            </w:rPr>
            <w:t xml:space="preserve">AusPAR - </w:t>
          </w:r>
          <w:proofErr w:type="spellStart"/>
          <w:r w:rsidRPr="005F5BCD">
            <w:rPr>
              <w:b/>
            </w:rPr>
            <w:t>Ozempic</w:t>
          </w:r>
          <w:proofErr w:type="spellEnd"/>
          <w:r w:rsidRPr="005F5BCD">
            <w:rPr>
              <w:b/>
            </w:rPr>
            <w:t xml:space="preserve"> – </w:t>
          </w:r>
          <w:proofErr w:type="spellStart"/>
          <w:r w:rsidRPr="005F5BCD">
            <w:rPr>
              <w:b/>
            </w:rPr>
            <w:t>semaglutide</w:t>
          </w:r>
          <w:proofErr w:type="spellEnd"/>
          <w:r w:rsidRPr="005F5BCD">
            <w:rPr>
              <w:b/>
            </w:rPr>
            <w:t xml:space="preserve"> - Novo Nordisk Pharmaceuticals Pty Ltd - PM-2018-02748-1-5</w:t>
          </w:r>
          <w:r>
            <w:rPr>
              <w:b/>
            </w:rPr>
            <w:t xml:space="preserve"> </w:t>
          </w:r>
          <w:r w:rsidRPr="005F5BCD">
            <w:rPr>
              <w:b/>
            </w:rPr>
            <w:t>FINAL 30 October 2020</w:t>
          </w:r>
          <w:r w:rsidRPr="00114D9B">
            <w:rPr>
              <w:b/>
              <w:sz w:val="18"/>
              <w:szCs w:val="18"/>
            </w:rPr>
            <w:t>.</w:t>
          </w:r>
          <w:r>
            <w:rPr>
              <w:b/>
              <w:sz w:val="18"/>
              <w:szCs w:val="18"/>
            </w:rPr>
            <w:t xml:space="preserve"> </w:t>
          </w:r>
          <w:r w:rsidRPr="000B2145">
            <w:rPr>
              <w:b/>
              <w:sz w:val="18"/>
              <w:szCs w:val="18"/>
            </w:rPr>
            <w:t>This is the Product Information that was approved with the submission described in this AusPAR. It may have been superseded. For the most recent PI, please refer to the TGA website at &lt;</w:t>
          </w:r>
          <w:hyperlink r:id="rId1" w:history="1">
            <w:r w:rsidRPr="000B2145">
              <w:rPr>
                <w:rStyle w:val="Hyperlink"/>
                <w:b/>
                <w:sz w:val="18"/>
                <w:szCs w:val="18"/>
              </w:rPr>
              <w:t>https://www.tga.gov.au/product-information-pi</w:t>
            </w:r>
          </w:hyperlink>
          <w:r w:rsidRPr="000B2145">
            <w:rPr>
              <w:b/>
              <w:sz w:val="18"/>
              <w:szCs w:val="18"/>
              <w:u w:val="single"/>
            </w:rPr>
            <w:t>&gt;</w:t>
          </w:r>
        </w:p>
      </w:tc>
    </w:tr>
  </w:tbl>
  <w:p w14:paraId="2BE28BB7" w14:textId="77777777" w:rsidR="000B60E9" w:rsidRDefault="000B60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72C45" w14:textId="77777777" w:rsidR="00661965" w:rsidRDefault="006619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260EF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462A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2C58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E015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D632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9EBB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64CE7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F891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1063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76AF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95F26"/>
    <w:multiLevelType w:val="hybridMultilevel"/>
    <w:tmpl w:val="D8F2528A"/>
    <w:lvl w:ilvl="0" w:tplc="82EE8E04">
      <w:start w:val="7215"/>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DEF1E00"/>
    <w:multiLevelType w:val="hybridMultilevel"/>
    <w:tmpl w:val="EE6EB1AC"/>
    <w:lvl w:ilvl="0" w:tplc="B15803FA">
      <w:start w:val="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457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CC7"/>
    <w:rsid w:val="00023ED6"/>
    <w:rsid w:val="00027800"/>
    <w:rsid w:val="00044769"/>
    <w:rsid w:val="00051DAE"/>
    <w:rsid w:val="00061034"/>
    <w:rsid w:val="00085B6D"/>
    <w:rsid w:val="00093BAE"/>
    <w:rsid w:val="000A2943"/>
    <w:rsid w:val="000A2ED9"/>
    <w:rsid w:val="000A5D99"/>
    <w:rsid w:val="000B3BBA"/>
    <w:rsid w:val="000B60E9"/>
    <w:rsid w:val="000C0086"/>
    <w:rsid w:val="000D4888"/>
    <w:rsid w:val="000E1993"/>
    <w:rsid w:val="000E65D0"/>
    <w:rsid w:val="00121E71"/>
    <w:rsid w:val="00134C5B"/>
    <w:rsid w:val="00141051"/>
    <w:rsid w:val="0015305F"/>
    <w:rsid w:val="001545BC"/>
    <w:rsid w:val="00163AEC"/>
    <w:rsid w:val="00165C02"/>
    <w:rsid w:val="00166C90"/>
    <w:rsid w:val="00175F66"/>
    <w:rsid w:val="001774E8"/>
    <w:rsid w:val="00195411"/>
    <w:rsid w:val="0019666F"/>
    <w:rsid w:val="001A19F4"/>
    <w:rsid w:val="001B0402"/>
    <w:rsid w:val="001B47C1"/>
    <w:rsid w:val="001B49F0"/>
    <w:rsid w:val="001C0326"/>
    <w:rsid w:val="001C765A"/>
    <w:rsid w:val="001D177A"/>
    <w:rsid w:val="001E0356"/>
    <w:rsid w:val="001E137E"/>
    <w:rsid w:val="001E3564"/>
    <w:rsid w:val="001E67AB"/>
    <w:rsid w:val="001E7D57"/>
    <w:rsid w:val="001F16E0"/>
    <w:rsid w:val="001F1E3F"/>
    <w:rsid w:val="001F3E07"/>
    <w:rsid w:val="001F57C5"/>
    <w:rsid w:val="0020370F"/>
    <w:rsid w:val="00211EF3"/>
    <w:rsid w:val="002213EF"/>
    <w:rsid w:val="00223444"/>
    <w:rsid w:val="00224142"/>
    <w:rsid w:val="00225579"/>
    <w:rsid w:val="002402A3"/>
    <w:rsid w:val="00260BA0"/>
    <w:rsid w:val="00273BA0"/>
    <w:rsid w:val="00277DB2"/>
    <w:rsid w:val="0028075D"/>
    <w:rsid w:val="0029154D"/>
    <w:rsid w:val="00291B69"/>
    <w:rsid w:val="002A41D0"/>
    <w:rsid w:val="002A6985"/>
    <w:rsid w:val="002B48A0"/>
    <w:rsid w:val="002D01F1"/>
    <w:rsid w:val="002D4114"/>
    <w:rsid w:val="002D51AA"/>
    <w:rsid w:val="002E015B"/>
    <w:rsid w:val="002E0F39"/>
    <w:rsid w:val="002F10E8"/>
    <w:rsid w:val="002F6854"/>
    <w:rsid w:val="00302A46"/>
    <w:rsid w:val="003102AA"/>
    <w:rsid w:val="00314326"/>
    <w:rsid w:val="00314810"/>
    <w:rsid w:val="00345931"/>
    <w:rsid w:val="00356B98"/>
    <w:rsid w:val="003610C1"/>
    <w:rsid w:val="00372C56"/>
    <w:rsid w:val="003930BC"/>
    <w:rsid w:val="003B0FB0"/>
    <w:rsid w:val="003C0FD1"/>
    <w:rsid w:val="003D4B5A"/>
    <w:rsid w:val="003E0011"/>
    <w:rsid w:val="003E3C19"/>
    <w:rsid w:val="003F4E02"/>
    <w:rsid w:val="003F6359"/>
    <w:rsid w:val="0040360B"/>
    <w:rsid w:val="00407C4D"/>
    <w:rsid w:val="004132AD"/>
    <w:rsid w:val="00432BA5"/>
    <w:rsid w:val="00445B99"/>
    <w:rsid w:val="00450F57"/>
    <w:rsid w:val="00457EC1"/>
    <w:rsid w:val="00462245"/>
    <w:rsid w:val="0048227A"/>
    <w:rsid w:val="004923B6"/>
    <w:rsid w:val="0049320F"/>
    <w:rsid w:val="004974E0"/>
    <w:rsid w:val="004B20F6"/>
    <w:rsid w:val="004D3389"/>
    <w:rsid w:val="004D7DD9"/>
    <w:rsid w:val="004D7F11"/>
    <w:rsid w:val="004F5892"/>
    <w:rsid w:val="004F619A"/>
    <w:rsid w:val="00500DBC"/>
    <w:rsid w:val="005145DA"/>
    <w:rsid w:val="0052300A"/>
    <w:rsid w:val="00536039"/>
    <w:rsid w:val="00555FD1"/>
    <w:rsid w:val="00563B69"/>
    <w:rsid w:val="0057631D"/>
    <w:rsid w:val="00582DF8"/>
    <w:rsid w:val="005A0220"/>
    <w:rsid w:val="005A5D07"/>
    <w:rsid w:val="005B28F5"/>
    <w:rsid w:val="005B548A"/>
    <w:rsid w:val="005C1818"/>
    <w:rsid w:val="005C5E8B"/>
    <w:rsid w:val="005D0D31"/>
    <w:rsid w:val="005D5F23"/>
    <w:rsid w:val="005E23B9"/>
    <w:rsid w:val="005E58F2"/>
    <w:rsid w:val="005F4A93"/>
    <w:rsid w:val="00601F02"/>
    <w:rsid w:val="006029F2"/>
    <w:rsid w:val="00624D7A"/>
    <w:rsid w:val="00634EC8"/>
    <w:rsid w:val="00646041"/>
    <w:rsid w:val="00652A78"/>
    <w:rsid w:val="00656117"/>
    <w:rsid w:val="00661965"/>
    <w:rsid w:val="00677F90"/>
    <w:rsid w:val="00696BCE"/>
    <w:rsid w:val="006A2D12"/>
    <w:rsid w:val="006B06BE"/>
    <w:rsid w:val="006B21E5"/>
    <w:rsid w:val="006B7F99"/>
    <w:rsid w:val="006C0B9D"/>
    <w:rsid w:val="006C13DB"/>
    <w:rsid w:val="006C4DAF"/>
    <w:rsid w:val="006C5E18"/>
    <w:rsid w:val="006E013C"/>
    <w:rsid w:val="00705CF8"/>
    <w:rsid w:val="00713DFC"/>
    <w:rsid w:val="0071750C"/>
    <w:rsid w:val="00721292"/>
    <w:rsid w:val="0072557B"/>
    <w:rsid w:val="00736A7A"/>
    <w:rsid w:val="00745D0A"/>
    <w:rsid w:val="00752BE3"/>
    <w:rsid w:val="0075456C"/>
    <w:rsid w:val="0076520A"/>
    <w:rsid w:val="00771A20"/>
    <w:rsid w:val="00771A2B"/>
    <w:rsid w:val="0077211B"/>
    <w:rsid w:val="007772E3"/>
    <w:rsid w:val="007A1122"/>
    <w:rsid w:val="007A168D"/>
    <w:rsid w:val="007B1772"/>
    <w:rsid w:val="007B1916"/>
    <w:rsid w:val="007F1078"/>
    <w:rsid w:val="007F170C"/>
    <w:rsid w:val="007F1BE8"/>
    <w:rsid w:val="007F5D38"/>
    <w:rsid w:val="00801AE2"/>
    <w:rsid w:val="0080230D"/>
    <w:rsid w:val="00805B22"/>
    <w:rsid w:val="00813A67"/>
    <w:rsid w:val="008239E6"/>
    <w:rsid w:val="008320A4"/>
    <w:rsid w:val="008476E4"/>
    <w:rsid w:val="00854B57"/>
    <w:rsid w:val="00857A3B"/>
    <w:rsid w:val="008A0351"/>
    <w:rsid w:val="008A1CC7"/>
    <w:rsid w:val="008C0582"/>
    <w:rsid w:val="008C52E8"/>
    <w:rsid w:val="008C58CF"/>
    <w:rsid w:val="008C7DEA"/>
    <w:rsid w:val="008E1790"/>
    <w:rsid w:val="008E3101"/>
    <w:rsid w:val="008F0406"/>
    <w:rsid w:val="008F61B7"/>
    <w:rsid w:val="008F7E02"/>
    <w:rsid w:val="00907011"/>
    <w:rsid w:val="00911FAC"/>
    <w:rsid w:val="00931CF5"/>
    <w:rsid w:val="00935D70"/>
    <w:rsid w:val="009627BA"/>
    <w:rsid w:val="00971FE0"/>
    <w:rsid w:val="009722D6"/>
    <w:rsid w:val="00974CFB"/>
    <w:rsid w:val="009820D9"/>
    <w:rsid w:val="009B6327"/>
    <w:rsid w:val="009D451D"/>
    <w:rsid w:val="009E1119"/>
    <w:rsid w:val="009E2714"/>
    <w:rsid w:val="00A07548"/>
    <w:rsid w:val="00A2253D"/>
    <w:rsid w:val="00A23F9B"/>
    <w:rsid w:val="00A23FE4"/>
    <w:rsid w:val="00A2533A"/>
    <w:rsid w:val="00A267CB"/>
    <w:rsid w:val="00A307F2"/>
    <w:rsid w:val="00A35F6A"/>
    <w:rsid w:val="00A373B1"/>
    <w:rsid w:val="00A83AB7"/>
    <w:rsid w:val="00A86289"/>
    <w:rsid w:val="00A93105"/>
    <w:rsid w:val="00AA4520"/>
    <w:rsid w:val="00AB0CED"/>
    <w:rsid w:val="00AB3CBC"/>
    <w:rsid w:val="00AD0B60"/>
    <w:rsid w:val="00AE6302"/>
    <w:rsid w:val="00AE7A32"/>
    <w:rsid w:val="00AF0FAC"/>
    <w:rsid w:val="00AF3149"/>
    <w:rsid w:val="00AF3828"/>
    <w:rsid w:val="00AF7AB3"/>
    <w:rsid w:val="00B044E5"/>
    <w:rsid w:val="00B10369"/>
    <w:rsid w:val="00B21F96"/>
    <w:rsid w:val="00B2658F"/>
    <w:rsid w:val="00B27D76"/>
    <w:rsid w:val="00B5635B"/>
    <w:rsid w:val="00B66B70"/>
    <w:rsid w:val="00B70B8E"/>
    <w:rsid w:val="00B836C2"/>
    <w:rsid w:val="00B86054"/>
    <w:rsid w:val="00B92629"/>
    <w:rsid w:val="00BA251E"/>
    <w:rsid w:val="00BA57A4"/>
    <w:rsid w:val="00BA5B1B"/>
    <w:rsid w:val="00BB030F"/>
    <w:rsid w:val="00BC12FC"/>
    <w:rsid w:val="00BD36AF"/>
    <w:rsid w:val="00BF49B4"/>
    <w:rsid w:val="00C0455F"/>
    <w:rsid w:val="00C0592F"/>
    <w:rsid w:val="00C1027A"/>
    <w:rsid w:val="00C24DF2"/>
    <w:rsid w:val="00C40DC8"/>
    <w:rsid w:val="00C44B67"/>
    <w:rsid w:val="00C472BE"/>
    <w:rsid w:val="00C54515"/>
    <w:rsid w:val="00C62B70"/>
    <w:rsid w:val="00C73C89"/>
    <w:rsid w:val="00C74F8F"/>
    <w:rsid w:val="00C77047"/>
    <w:rsid w:val="00C82FE2"/>
    <w:rsid w:val="00C96FBD"/>
    <w:rsid w:val="00CA038A"/>
    <w:rsid w:val="00CB1D12"/>
    <w:rsid w:val="00CB67FC"/>
    <w:rsid w:val="00CC3889"/>
    <w:rsid w:val="00CD137F"/>
    <w:rsid w:val="00CD1FA0"/>
    <w:rsid w:val="00CD7182"/>
    <w:rsid w:val="00D036A0"/>
    <w:rsid w:val="00D1006E"/>
    <w:rsid w:val="00D13846"/>
    <w:rsid w:val="00D17B3D"/>
    <w:rsid w:val="00D17B78"/>
    <w:rsid w:val="00D436B9"/>
    <w:rsid w:val="00D56FBE"/>
    <w:rsid w:val="00D637D7"/>
    <w:rsid w:val="00D748CE"/>
    <w:rsid w:val="00D80904"/>
    <w:rsid w:val="00D9406B"/>
    <w:rsid w:val="00D97EBC"/>
    <w:rsid w:val="00DA4E2B"/>
    <w:rsid w:val="00DC2DF7"/>
    <w:rsid w:val="00DC2E51"/>
    <w:rsid w:val="00DC7AAE"/>
    <w:rsid w:val="00DD418A"/>
    <w:rsid w:val="00DE0896"/>
    <w:rsid w:val="00DF2140"/>
    <w:rsid w:val="00DF6514"/>
    <w:rsid w:val="00E208C5"/>
    <w:rsid w:val="00E234F5"/>
    <w:rsid w:val="00E47947"/>
    <w:rsid w:val="00E64B83"/>
    <w:rsid w:val="00E704C8"/>
    <w:rsid w:val="00E97D02"/>
    <w:rsid w:val="00EB572B"/>
    <w:rsid w:val="00EB5BE4"/>
    <w:rsid w:val="00EC6F18"/>
    <w:rsid w:val="00ED196E"/>
    <w:rsid w:val="00ED3106"/>
    <w:rsid w:val="00ED63B7"/>
    <w:rsid w:val="00ED7AA4"/>
    <w:rsid w:val="00EE4BAF"/>
    <w:rsid w:val="00EF2769"/>
    <w:rsid w:val="00EF3236"/>
    <w:rsid w:val="00F012F0"/>
    <w:rsid w:val="00F110FB"/>
    <w:rsid w:val="00F1446F"/>
    <w:rsid w:val="00F17541"/>
    <w:rsid w:val="00F23E03"/>
    <w:rsid w:val="00F33760"/>
    <w:rsid w:val="00F54B34"/>
    <w:rsid w:val="00F56BDD"/>
    <w:rsid w:val="00F57D58"/>
    <w:rsid w:val="00F57F0F"/>
    <w:rsid w:val="00F70D22"/>
    <w:rsid w:val="00F72421"/>
    <w:rsid w:val="00F75394"/>
    <w:rsid w:val="00F93C7F"/>
    <w:rsid w:val="00F94C4E"/>
    <w:rsid w:val="00FA2FCB"/>
    <w:rsid w:val="00FA752A"/>
    <w:rsid w:val="00FB6E83"/>
    <w:rsid w:val="00FC0CD3"/>
    <w:rsid w:val="00FC4439"/>
    <w:rsid w:val="00FC4CA6"/>
    <w:rsid w:val="00FD27D2"/>
    <w:rsid w:val="00FD49D5"/>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96DFD2D"/>
  <w15:docId w15:val="{9CEE6B63-0FD3-4FE3-A432-0B86BD807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B67"/>
    <w:rPr>
      <w:rFonts w:ascii="Times New Roman" w:hAnsi="Times New Roman" w:cs="Times New Roman"/>
      <w:sz w:val="24"/>
      <w:szCs w:val="24"/>
    </w:rPr>
  </w:style>
  <w:style w:type="paragraph" w:styleId="Heading1">
    <w:name w:val="heading 1"/>
    <w:basedOn w:val="Normal"/>
    <w:next w:val="Normal"/>
    <w:link w:val="Heading1Char"/>
    <w:uiPriority w:val="9"/>
    <w:qFormat/>
    <w:rsid w:val="003F6359"/>
    <w:pPr>
      <w:keepNext/>
      <w:keepLines/>
      <w:spacing w:before="480" w:after="0"/>
      <w:jc w:val="center"/>
      <w:outlineLvl w:val="0"/>
    </w:pPr>
    <w:rPr>
      <w:rFonts w:eastAsiaTheme="majorEastAsia"/>
      <w:b/>
      <w:bCs/>
    </w:rPr>
  </w:style>
  <w:style w:type="paragraph" w:styleId="Heading2">
    <w:name w:val="heading 2"/>
    <w:basedOn w:val="Normal"/>
    <w:next w:val="Normal"/>
    <w:link w:val="Heading2Char"/>
    <w:uiPriority w:val="9"/>
    <w:unhideWhenUsed/>
    <w:qFormat/>
    <w:rsid w:val="003F6359"/>
    <w:pPr>
      <w:keepNext/>
      <w:keepLines/>
      <w:spacing w:before="200" w:after="0"/>
      <w:outlineLvl w:val="1"/>
    </w:pPr>
    <w:rPr>
      <w:rFonts w:eastAsiaTheme="majorEastAsia"/>
      <w:b/>
      <w:bCs/>
    </w:rPr>
  </w:style>
  <w:style w:type="paragraph" w:styleId="Heading3">
    <w:name w:val="heading 3"/>
    <w:basedOn w:val="Normal"/>
    <w:next w:val="Normal"/>
    <w:link w:val="Heading3Char"/>
    <w:uiPriority w:val="9"/>
    <w:unhideWhenUsed/>
    <w:qFormat/>
    <w:rsid w:val="00D56FBE"/>
    <w:pPr>
      <w:keepNext/>
      <w:keepLines/>
      <w:spacing w:before="200" w:after="0"/>
      <w:outlineLvl w:val="2"/>
    </w:pPr>
    <w:rPr>
      <w:rFonts w:eastAsiaTheme="majorEastAsia"/>
      <w:b/>
      <w:bCs/>
    </w:rPr>
  </w:style>
  <w:style w:type="paragraph" w:styleId="Heading4">
    <w:name w:val="heading 4"/>
    <w:basedOn w:val="Normal"/>
    <w:next w:val="Normal"/>
    <w:link w:val="Heading4Char"/>
    <w:uiPriority w:val="9"/>
    <w:unhideWhenUsed/>
    <w:qFormat/>
    <w:rsid w:val="00D56FBE"/>
    <w:pPr>
      <w:keepNext/>
      <w:keepLines/>
      <w:spacing w:before="200" w:after="0"/>
      <w:outlineLvl w:val="3"/>
    </w:pPr>
    <w:rPr>
      <w:rFonts w:eastAsiaTheme="majorEastAsia"/>
      <w:bCs/>
      <w:iCs/>
      <w:u w:val="single"/>
    </w:rPr>
  </w:style>
  <w:style w:type="paragraph" w:styleId="Heading5">
    <w:name w:val="heading 5"/>
    <w:basedOn w:val="Normal"/>
    <w:next w:val="Normal"/>
    <w:link w:val="Heading5Char"/>
    <w:uiPriority w:val="9"/>
    <w:unhideWhenUsed/>
    <w:qFormat/>
    <w:rsid w:val="003F635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21F96"/>
    <w:pPr>
      <w:keepNext/>
      <w:keepLines/>
      <w:spacing w:before="200" w:after="0"/>
      <w:outlineLvl w:val="5"/>
    </w:pPr>
    <w:rPr>
      <w:rFonts w:eastAsiaTheme="majorEastAsia"/>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359"/>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
    <w:rsid w:val="003F6359"/>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D56FBE"/>
    <w:rPr>
      <w:rFonts w:ascii="Times New Roman" w:eastAsiaTheme="majorEastAsia" w:hAnsi="Times New Roman" w:cs="Times New Roman"/>
      <w:b/>
      <w:bCs/>
      <w:sz w:val="24"/>
      <w:szCs w:val="24"/>
    </w:rPr>
  </w:style>
  <w:style w:type="character" w:customStyle="1" w:styleId="Heading4Char">
    <w:name w:val="Heading 4 Char"/>
    <w:basedOn w:val="DefaultParagraphFont"/>
    <w:link w:val="Heading4"/>
    <w:uiPriority w:val="9"/>
    <w:rsid w:val="00D56FBE"/>
    <w:rPr>
      <w:rFonts w:ascii="Times New Roman" w:eastAsiaTheme="majorEastAsia" w:hAnsi="Times New Roman" w:cs="Times New Roman"/>
      <w:bCs/>
      <w:iCs/>
      <w:sz w:val="24"/>
      <w:szCs w:val="24"/>
      <w:u w:val="single"/>
    </w:rPr>
  </w:style>
  <w:style w:type="character" w:customStyle="1" w:styleId="Heading5Char">
    <w:name w:val="Heading 5 Char"/>
    <w:basedOn w:val="DefaultParagraphFont"/>
    <w:link w:val="Heading5"/>
    <w:uiPriority w:val="9"/>
    <w:rsid w:val="003F6359"/>
    <w:rPr>
      <w:rFonts w:asciiTheme="majorHAnsi" w:eastAsiaTheme="majorEastAsia" w:hAnsiTheme="majorHAnsi" w:cstheme="majorBidi"/>
      <w:color w:val="243F60" w:themeColor="accent1" w:themeShade="7F"/>
    </w:rPr>
  </w:style>
  <w:style w:type="paragraph" w:styleId="Subtitle">
    <w:name w:val="Subtitle"/>
    <w:basedOn w:val="Normal"/>
    <w:next w:val="Normal"/>
    <w:link w:val="SubtitleChar"/>
    <w:uiPriority w:val="11"/>
    <w:qFormat/>
    <w:rsid w:val="003F635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F6359"/>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C44B67"/>
    <w:rPr>
      <w:color w:val="0000FF" w:themeColor="hyperlink"/>
      <w:u w:val="single"/>
    </w:rPr>
  </w:style>
  <w:style w:type="table" w:styleId="TableGrid">
    <w:name w:val="Table Grid"/>
    <w:basedOn w:val="TableNormal"/>
    <w:uiPriority w:val="59"/>
    <w:rsid w:val="00E97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97D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uiPriority w:val="9"/>
    <w:rsid w:val="00B21F96"/>
    <w:rPr>
      <w:rFonts w:ascii="Times New Roman" w:eastAsiaTheme="majorEastAsia" w:hAnsi="Times New Roman" w:cs="Times New Roman"/>
      <w:i/>
      <w:iCs/>
      <w:sz w:val="24"/>
      <w:szCs w:val="24"/>
    </w:rPr>
  </w:style>
  <w:style w:type="paragraph" w:styleId="Caption">
    <w:name w:val="caption"/>
    <w:basedOn w:val="Normal"/>
    <w:next w:val="Normal"/>
    <w:uiPriority w:val="35"/>
    <w:semiHidden/>
    <w:unhideWhenUsed/>
    <w:qFormat/>
    <w:rsid w:val="001F1E3F"/>
    <w:pPr>
      <w:spacing w:line="240" w:lineRule="auto"/>
    </w:pPr>
    <w:rPr>
      <w:b/>
      <w:bCs/>
      <w:color w:val="4F81BD" w:themeColor="accent1"/>
      <w:sz w:val="18"/>
      <w:szCs w:val="18"/>
    </w:rPr>
  </w:style>
  <w:style w:type="paragraph" w:styleId="BodyText">
    <w:name w:val="Body Text"/>
    <w:basedOn w:val="Normal"/>
    <w:link w:val="BodyTextChar"/>
    <w:uiPriority w:val="99"/>
    <w:semiHidden/>
    <w:unhideWhenUsed/>
    <w:rsid w:val="001F1E3F"/>
    <w:pPr>
      <w:spacing w:after="120"/>
    </w:pPr>
  </w:style>
  <w:style w:type="character" w:customStyle="1" w:styleId="BodyTextChar">
    <w:name w:val="Body Text Char"/>
    <w:basedOn w:val="DefaultParagraphFont"/>
    <w:link w:val="BodyText"/>
    <w:uiPriority w:val="99"/>
    <w:semiHidden/>
    <w:rsid w:val="001F1E3F"/>
    <w:rPr>
      <w:rFonts w:ascii="Times New Roman" w:hAnsi="Times New Roman" w:cs="Times New Roman"/>
      <w:sz w:val="24"/>
      <w:szCs w:val="24"/>
    </w:rPr>
  </w:style>
  <w:style w:type="paragraph" w:customStyle="1" w:styleId="TableText">
    <w:name w:val="Table Text"/>
    <w:link w:val="TableTextChar"/>
    <w:qFormat/>
    <w:rsid w:val="001F1E3F"/>
    <w:pPr>
      <w:keepNext/>
      <w:keepLines/>
      <w:suppressAutoHyphens/>
      <w:spacing w:after="20" w:line="264" w:lineRule="auto"/>
    </w:pPr>
    <w:rPr>
      <w:rFonts w:ascii="Times New Roman" w:eastAsia="Times New Roman" w:hAnsi="Times New Roman" w:cs="Times New Roman"/>
      <w:sz w:val="20"/>
      <w:szCs w:val="24"/>
      <w:lang w:val="en-GB" w:eastAsia="en-GB"/>
    </w:rPr>
  </w:style>
  <w:style w:type="character" w:customStyle="1" w:styleId="TableTextChar">
    <w:name w:val="Table Text Char"/>
    <w:link w:val="TableText"/>
    <w:locked/>
    <w:rsid w:val="001F1E3F"/>
    <w:rPr>
      <w:rFonts w:ascii="Times New Roman" w:eastAsia="Times New Roman" w:hAnsi="Times New Roman" w:cs="Times New Roman"/>
      <w:sz w:val="20"/>
      <w:szCs w:val="24"/>
      <w:lang w:val="en-GB" w:eastAsia="en-GB"/>
    </w:rPr>
  </w:style>
  <w:style w:type="character" w:styleId="CommentReference">
    <w:name w:val="annotation reference"/>
    <w:basedOn w:val="DefaultParagraphFont"/>
    <w:uiPriority w:val="99"/>
    <w:semiHidden/>
    <w:unhideWhenUsed/>
    <w:rsid w:val="003B0FB0"/>
    <w:rPr>
      <w:sz w:val="16"/>
      <w:szCs w:val="16"/>
    </w:rPr>
  </w:style>
  <w:style w:type="paragraph" w:styleId="CommentText">
    <w:name w:val="annotation text"/>
    <w:basedOn w:val="Normal"/>
    <w:link w:val="CommentTextChar"/>
    <w:uiPriority w:val="99"/>
    <w:unhideWhenUsed/>
    <w:rsid w:val="003B0FB0"/>
    <w:pPr>
      <w:spacing w:line="240" w:lineRule="auto"/>
    </w:pPr>
    <w:rPr>
      <w:sz w:val="20"/>
      <w:szCs w:val="20"/>
    </w:rPr>
  </w:style>
  <w:style w:type="character" w:customStyle="1" w:styleId="CommentTextChar">
    <w:name w:val="Comment Text Char"/>
    <w:basedOn w:val="DefaultParagraphFont"/>
    <w:link w:val="CommentText"/>
    <w:uiPriority w:val="99"/>
    <w:rsid w:val="003B0FB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B0FB0"/>
    <w:rPr>
      <w:b/>
      <w:bCs/>
    </w:rPr>
  </w:style>
  <w:style w:type="character" w:customStyle="1" w:styleId="CommentSubjectChar">
    <w:name w:val="Comment Subject Char"/>
    <w:basedOn w:val="CommentTextChar"/>
    <w:link w:val="CommentSubject"/>
    <w:uiPriority w:val="99"/>
    <w:semiHidden/>
    <w:rsid w:val="003B0FB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3B0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FB0"/>
    <w:rPr>
      <w:rFonts w:ascii="Tahoma" w:hAnsi="Tahoma" w:cs="Tahoma"/>
      <w:sz w:val="16"/>
      <w:szCs w:val="16"/>
    </w:rPr>
  </w:style>
  <w:style w:type="paragraph" w:styleId="Header">
    <w:name w:val="header"/>
    <w:basedOn w:val="Normal"/>
    <w:link w:val="HeaderChar"/>
    <w:uiPriority w:val="99"/>
    <w:unhideWhenUsed/>
    <w:rsid w:val="00601F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F02"/>
    <w:rPr>
      <w:rFonts w:ascii="Times New Roman" w:hAnsi="Times New Roman" w:cs="Times New Roman"/>
      <w:sz w:val="24"/>
      <w:szCs w:val="24"/>
    </w:rPr>
  </w:style>
  <w:style w:type="paragraph" w:styleId="Footer">
    <w:name w:val="footer"/>
    <w:basedOn w:val="Normal"/>
    <w:link w:val="FooterChar"/>
    <w:unhideWhenUsed/>
    <w:rsid w:val="00601F02"/>
    <w:pPr>
      <w:tabs>
        <w:tab w:val="center" w:pos="4513"/>
        <w:tab w:val="right" w:pos="9026"/>
      </w:tabs>
      <w:spacing w:after="0" w:line="240" w:lineRule="auto"/>
    </w:pPr>
  </w:style>
  <w:style w:type="character" w:customStyle="1" w:styleId="FooterChar">
    <w:name w:val="Footer Char"/>
    <w:basedOn w:val="DefaultParagraphFont"/>
    <w:link w:val="Footer"/>
    <w:rsid w:val="00601F02"/>
    <w:rPr>
      <w:rFonts w:ascii="Times New Roman" w:hAnsi="Times New Roman" w:cs="Times New Roman"/>
      <w:sz w:val="24"/>
      <w:szCs w:val="24"/>
    </w:rPr>
  </w:style>
  <w:style w:type="paragraph" w:styleId="FootnoteText">
    <w:name w:val="footnote text"/>
    <w:basedOn w:val="Normal"/>
    <w:link w:val="FootnoteTextChar"/>
    <w:uiPriority w:val="99"/>
    <w:unhideWhenUsed/>
    <w:rsid w:val="003E0011"/>
    <w:pPr>
      <w:spacing w:after="0" w:line="240" w:lineRule="auto"/>
    </w:pPr>
    <w:rPr>
      <w:sz w:val="20"/>
      <w:szCs w:val="20"/>
    </w:rPr>
  </w:style>
  <w:style w:type="character" w:customStyle="1" w:styleId="FootnoteTextChar">
    <w:name w:val="Footnote Text Char"/>
    <w:basedOn w:val="DefaultParagraphFont"/>
    <w:link w:val="FootnoteText"/>
    <w:uiPriority w:val="99"/>
    <w:rsid w:val="003E0011"/>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3E0011"/>
    <w:rPr>
      <w:vertAlign w:val="superscript"/>
    </w:rPr>
  </w:style>
  <w:style w:type="paragraph" w:styleId="ListParagraph">
    <w:name w:val="List Paragraph"/>
    <w:basedOn w:val="Normal"/>
    <w:uiPriority w:val="34"/>
    <w:qFormat/>
    <w:rsid w:val="00C82FE2"/>
    <w:pPr>
      <w:ind w:left="720"/>
      <w:contextualSpacing/>
    </w:pPr>
  </w:style>
  <w:style w:type="paragraph" w:styleId="Revision">
    <w:name w:val="Revision"/>
    <w:hidden/>
    <w:uiPriority w:val="99"/>
    <w:semiHidden/>
    <w:rsid w:val="005E23B9"/>
    <w:pPr>
      <w:spacing w:after="0" w:line="240" w:lineRule="auto"/>
    </w:pPr>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0A5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orp.novocorp.net\aunr\039-2000\Reg\Labelling\PI\Draft\Ozempic\www.tga.gov.au\reporting-problems"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9.docx"/><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ga.gov.au/reporting-problems"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36" Type="http://schemas.openxmlformats.org/officeDocument/2006/relationships/header" Target="header1.xml"/><Relationship Id="rId10" Type="http://schemas.openxmlformats.org/officeDocument/2006/relationships/package" Target="embeddings/Microsoft_Word_Document.docx"/><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image" Target="media/image11.emf"/><Relationship Id="rId35" Type="http://schemas.openxmlformats.org/officeDocument/2006/relationships/package" Target="embeddings/Microsoft_Word_Document12.docx"/><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2C3A7-E016-4889-B7E9-1E58F5BA9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8585</Words>
  <Characters>48593</Characters>
  <Application>Microsoft Office Word</Application>
  <DocSecurity>0</DocSecurity>
  <Lines>1056</Lines>
  <Paragraphs>544</Paragraphs>
  <ScaleCrop>false</ScaleCrop>
  <HeadingPairs>
    <vt:vector size="2" baseType="variant">
      <vt:variant>
        <vt:lpstr>Title</vt:lpstr>
      </vt:variant>
      <vt:variant>
        <vt:i4>1</vt:i4>
      </vt:variant>
    </vt:vector>
  </HeadingPairs>
  <TitlesOfParts>
    <vt:vector size="1" baseType="lpstr">
      <vt:lpstr/>
    </vt:vector>
  </TitlesOfParts>
  <Company>Novo Nordisk A/S</Company>
  <LinksUpToDate>false</LinksUpToDate>
  <CharactersWithSpaces>56634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Semaglutide</dc:title>
  <dc:subject/>
  <dc:creator>KIFO </dc:creator>
  <cp:keywords/>
  <dc:description/>
  <cp:lastPrinted>2018-06-25T02:51:00Z</cp:lastPrinted>
  <dcterms:created xsi:type="dcterms:W3CDTF">2020-12-02T07:53:00Z</dcterms:created>
  <dcterms:modified xsi:type="dcterms:W3CDTF">2020-12-02T07:55:00Z</dcterms:modified>
</cp:coreProperties>
</file>