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88381" w14:textId="77777777" w:rsidR="001C35B2" w:rsidRDefault="001C35B2" w:rsidP="00365338">
      <w:pPr>
        <w:ind w:right="-61"/>
        <w:jc w:val="center"/>
        <w:rPr>
          <w:rFonts w:ascii="Arial" w:hAnsi="Arial" w:cs="Arial"/>
          <w:b/>
          <w:bCs/>
          <w:sz w:val="32"/>
        </w:rPr>
      </w:pPr>
      <w:bookmarkStart w:id="0" w:name="_GoBack"/>
      <w:bookmarkEnd w:id="0"/>
      <w:r>
        <w:rPr>
          <w:rFonts w:ascii="Arial" w:hAnsi="Arial" w:cs="Arial"/>
          <w:b/>
          <w:bCs/>
          <w:sz w:val="36"/>
        </w:rPr>
        <w:t>PRODUCT INFORMATION</w:t>
      </w:r>
    </w:p>
    <w:p w14:paraId="22688382" w14:textId="77777777" w:rsidR="001C35B2" w:rsidRDefault="001C35B2" w:rsidP="00365338">
      <w:pPr>
        <w:ind w:right="-61"/>
        <w:rPr>
          <w:rFonts w:ascii="Arial" w:hAnsi="Arial" w:cs="Arial"/>
          <w:b/>
          <w:bCs/>
          <w:sz w:val="32"/>
        </w:rPr>
      </w:pPr>
    </w:p>
    <w:p w14:paraId="22688383" w14:textId="77777777" w:rsidR="007841F0" w:rsidRDefault="009B32E6" w:rsidP="00365338">
      <w:pPr>
        <w:ind w:right="-61"/>
        <w:jc w:val="center"/>
        <w:rPr>
          <w:rFonts w:ascii="Arial" w:hAnsi="Arial" w:cs="Arial"/>
          <w:b/>
          <w:bCs/>
          <w:sz w:val="32"/>
        </w:rPr>
      </w:pPr>
      <w:r>
        <w:rPr>
          <w:rFonts w:ascii="Arial" w:hAnsi="Arial" w:cs="Arial"/>
          <w:b/>
          <w:bCs/>
          <w:sz w:val="32"/>
        </w:rPr>
        <w:t>UPTRAVI</w:t>
      </w:r>
      <w:r w:rsidR="00AE1D40" w:rsidRPr="00AE1D40">
        <w:rPr>
          <w:rFonts w:ascii="Arial" w:hAnsi="Arial" w:cs="Arial"/>
          <w:b/>
          <w:bCs/>
          <w:sz w:val="32"/>
          <w:vertAlign w:val="superscript"/>
        </w:rPr>
        <w:t>™</w:t>
      </w:r>
      <w:r w:rsidR="00527F9F">
        <w:rPr>
          <w:rFonts w:ascii="Arial" w:hAnsi="Arial" w:cs="Arial"/>
          <w:b/>
          <w:bCs/>
          <w:sz w:val="32"/>
          <w:vertAlign w:val="superscript"/>
        </w:rPr>
        <w:t xml:space="preserve"> </w:t>
      </w:r>
      <w:r w:rsidR="001C35B2">
        <w:rPr>
          <w:rFonts w:ascii="Arial" w:hAnsi="Arial" w:cs="Arial"/>
          <w:b/>
          <w:bCs/>
          <w:sz w:val="32"/>
        </w:rPr>
        <w:t>(</w:t>
      </w:r>
      <w:r w:rsidR="00E10EFB">
        <w:rPr>
          <w:rFonts w:ascii="Arial" w:hAnsi="Arial" w:cs="Arial"/>
          <w:b/>
          <w:bCs/>
          <w:sz w:val="32"/>
        </w:rPr>
        <w:t>selexipag</w:t>
      </w:r>
      <w:r w:rsidR="001C35B2">
        <w:rPr>
          <w:rFonts w:ascii="Arial" w:hAnsi="Arial" w:cs="Arial"/>
          <w:b/>
          <w:bCs/>
          <w:sz w:val="32"/>
        </w:rPr>
        <w:t xml:space="preserve">) </w:t>
      </w:r>
    </w:p>
    <w:p w14:paraId="22688384" w14:textId="77777777" w:rsidR="00024298" w:rsidRDefault="00024298" w:rsidP="00365338">
      <w:pPr>
        <w:ind w:right="-61"/>
        <w:jc w:val="center"/>
        <w:rPr>
          <w:rFonts w:ascii="Arial" w:hAnsi="Arial" w:cs="Arial"/>
          <w:b/>
          <w:bCs/>
          <w:sz w:val="32"/>
        </w:rPr>
      </w:pPr>
      <w:r w:rsidRPr="00024298">
        <w:rPr>
          <w:rFonts w:ascii="Arial" w:hAnsi="Arial" w:cs="Arial"/>
          <w:b/>
          <w:bCs/>
          <w:sz w:val="32"/>
        </w:rPr>
        <w:t xml:space="preserve">200, 400, 600, 800, 1000, 1200, 1400 and 1600 </w:t>
      </w:r>
    </w:p>
    <w:p w14:paraId="22688385" w14:textId="77777777" w:rsidR="001C35B2" w:rsidRDefault="00024298" w:rsidP="00365338">
      <w:pPr>
        <w:ind w:right="-61"/>
        <w:jc w:val="center"/>
        <w:rPr>
          <w:rFonts w:ascii="Arial" w:hAnsi="Arial" w:cs="Arial"/>
          <w:b/>
          <w:bCs/>
          <w:sz w:val="32"/>
        </w:rPr>
      </w:pPr>
      <w:r>
        <w:rPr>
          <w:rFonts w:ascii="Arial" w:hAnsi="Arial" w:cs="Arial"/>
          <w:b/>
          <w:bCs/>
          <w:sz w:val="32"/>
        </w:rPr>
        <w:t xml:space="preserve">microgram </w:t>
      </w:r>
      <w:r w:rsidR="00A7071A">
        <w:rPr>
          <w:rFonts w:ascii="Arial" w:hAnsi="Arial" w:cs="Arial"/>
          <w:b/>
          <w:bCs/>
          <w:sz w:val="32"/>
        </w:rPr>
        <w:t xml:space="preserve">film coated </w:t>
      </w:r>
      <w:r w:rsidR="00AE1D40">
        <w:rPr>
          <w:rFonts w:ascii="Arial" w:hAnsi="Arial" w:cs="Arial"/>
          <w:b/>
          <w:bCs/>
          <w:sz w:val="32"/>
        </w:rPr>
        <w:t>tablet</w:t>
      </w:r>
      <w:r>
        <w:rPr>
          <w:rFonts w:ascii="Arial" w:hAnsi="Arial" w:cs="Arial"/>
          <w:b/>
          <w:bCs/>
          <w:sz w:val="32"/>
        </w:rPr>
        <w:t>s</w:t>
      </w:r>
    </w:p>
    <w:p w14:paraId="22688386" w14:textId="77777777" w:rsidR="00E10EFB" w:rsidRDefault="00E10EFB" w:rsidP="00365338">
      <w:pPr>
        <w:pStyle w:val="Heading1"/>
        <w:ind w:right="-61"/>
        <w:rPr>
          <w:szCs w:val="24"/>
        </w:rPr>
      </w:pPr>
    </w:p>
    <w:p w14:paraId="22688387" w14:textId="77777777" w:rsidR="001C35B2" w:rsidRPr="00E75C04" w:rsidRDefault="00FF0EE8" w:rsidP="00365338">
      <w:pPr>
        <w:pStyle w:val="Heading1"/>
        <w:ind w:right="-61"/>
      </w:pPr>
      <w:r w:rsidRPr="00E75C04">
        <w:rPr>
          <w:szCs w:val="24"/>
        </w:rPr>
        <w:t>NAME OF THE MEDICINE</w:t>
      </w:r>
      <w:r w:rsidR="00DD39DB" w:rsidRPr="00E75C04">
        <w:rPr>
          <w:szCs w:val="24"/>
        </w:rPr>
        <w:tab/>
      </w:r>
      <w:r w:rsidR="00DD39DB" w:rsidRPr="00E75C04">
        <w:rPr>
          <w:szCs w:val="24"/>
        </w:rPr>
        <w:tab/>
      </w:r>
    </w:p>
    <w:p w14:paraId="22688388" w14:textId="77777777" w:rsidR="00CB0BA0" w:rsidRDefault="00CB0BA0" w:rsidP="00365338">
      <w:pPr>
        <w:ind w:right="-61"/>
        <w:rPr>
          <w:rFonts w:ascii="Times New Roman" w:hAnsi="Times New Roman"/>
        </w:rPr>
      </w:pPr>
    </w:p>
    <w:p w14:paraId="22688389" w14:textId="77777777" w:rsidR="001C35B2" w:rsidRPr="00D23F1A" w:rsidRDefault="001C35B2" w:rsidP="00365338">
      <w:pPr>
        <w:ind w:right="-61"/>
        <w:rPr>
          <w:rFonts w:ascii="Times New Roman" w:hAnsi="Times New Roman"/>
        </w:rPr>
      </w:pPr>
      <w:r w:rsidRPr="00D23F1A">
        <w:rPr>
          <w:rFonts w:ascii="Times New Roman" w:hAnsi="Times New Roman"/>
        </w:rPr>
        <w:t>Active:</w:t>
      </w:r>
      <w:r w:rsidR="007D7FD5" w:rsidRPr="00D23F1A">
        <w:rPr>
          <w:rFonts w:ascii="Times New Roman" w:hAnsi="Times New Roman"/>
        </w:rPr>
        <w:t xml:space="preserve"> </w:t>
      </w:r>
      <w:r w:rsidR="00E10EFB">
        <w:rPr>
          <w:rFonts w:ascii="Times New Roman" w:hAnsi="Times New Roman"/>
        </w:rPr>
        <w:t>selexipag</w:t>
      </w:r>
    </w:p>
    <w:p w14:paraId="2268838A" w14:textId="77777777" w:rsidR="002D4ED1" w:rsidRDefault="002D4ED1" w:rsidP="002D4ED1">
      <w:pPr>
        <w:autoSpaceDE w:val="0"/>
        <w:autoSpaceDN w:val="0"/>
        <w:adjustRightInd w:val="0"/>
        <w:spacing w:line="360" w:lineRule="auto"/>
        <w:jc w:val="both"/>
        <w:rPr>
          <w:szCs w:val="24"/>
          <w:lang w:eastAsia="en-AU"/>
        </w:rPr>
      </w:pPr>
    </w:p>
    <w:p w14:paraId="2268838B" w14:textId="77777777" w:rsidR="002D4ED1" w:rsidRPr="00B02F02" w:rsidRDefault="00DA1C27" w:rsidP="00D949B0">
      <w:pPr>
        <w:autoSpaceDE w:val="0"/>
        <w:autoSpaceDN w:val="0"/>
        <w:adjustRightInd w:val="0"/>
        <w:rPr>
          <w:szCs w:val="24"/>
          <w:lang w:eastAsia="en-AU"/>
        </w:rPr>
      </w:pPr>
      <w:r>
        <w:t>UPTRAVI</w:t>
      </w:r>
      <w:r w:rsidRPr="00657D32">
        <w:t xml:space="preserve"> </w:t>
      </w:r>
      <w:r>
        <w:t xml:space="preserve">(selexipag) </w:t>
      </w:r>
      <w:r w:rsidRPr="00657D32">
        <w:t xml:space="preserve">is a </w:t>
      </w:r>
      <w:r>
        <w:t xml:space="preserve">selective non-prostanoid </w:t>
      </w:r>
      <w:r w:rsidRPr="00657D32">
        <w:rPr>
          <w:rFonts w:eastAsia="MS PGothic"/>
        </w:rPr>
        <w:t>prostacyclin IP receptor agonist</w:t>
      </w:r>
      <w:r w:rsidRPr="000C24AB">
        <w:rPr>
          <w:szCs w:val="24"/>
        </w:rPr>
        <w:t xml:space="preserve">. The chemical name of </w:t>
      </w:r>
      <w:r>
        <w:rPr>
          <w:szCs w:val="24"/>
        </w:rPr>
        <w:t>selexipag</w:t>
      </w:r>
      <w:r w:rsidRPr="000C24AB">
        <w:rPr>
          <w:szCs w:val="24"/>
        </w:rPr>
        <w:t xml:space="preserve"> is </w:t>
      </w:r>
      <w:r w:rsidRPr="00986284">
        <w:rPr>
          <w:rFonts w:eastAsia="MS Gothic"/>
          <w:lang w:eastAsia="ja-JP"/>
        </w:rPr>
        <w:t>2-{4-[(5,6-diphenylpyrazin-2-yl)(isopropyl)amino]butoxy}-</w:t>
      </w:r>
      <w:r w:rsidRPr="00986284">
        <w:rPr>
          <w:rFonts w:eastAsia="MS Gothic"/>
          <w:i/>
          <w:iCs/>
          <w:lang w:eastAsia="ja-JP"/>
        </w:rPr>
        <w:t>N</w:t>
      </w:r>
      <w:r w:rsidRPr="00986284">
        <w:rPr>
          <w:rFonts w:eastAsia="MS Gothic"/>
          <w:lang w:eastAsia="ja-JP"/>
        </w:rPr>
        <w:t>-(methylsulfonyl) acetamide</w:t>
      </w:r>
      <w:r>
        <w:rPr>
          <w:szCs w:val="24"/>
        </w:rPr>
        <w:t xml:space="preserve">. </w:t>
      </w:r>
      <w:r w:rsidR="00E069F7">
        <w:rPr>
          <w:szCs w:val="24"/>
        </w:rPr>
        <w:t xml:space="preserve"> </w:t>
      </w:r>
    </w:p>
    <w:p w14:paraId="2268838C" w14:textId="77777777" w:rsidR="002D4ED1" w:rsidRPr="00B02F02" w:rsidRDefault="002D4ED1" w:rsidP="002D4ED1">
      <w:pPr>
        <w:autoSpaceDE w:val="0"/>
        <w:autoSpaceDN w:val="0"/>
        <w:adjustRightInd w:val="0"/>
        <w:spacing w:line="360" w:lineRule="auto"/>
        <w:jc w:val="both"/>
        <w:rPr>
          <w:i/>
          <w:iCs/>
          <w:szCs w:val="24"/>
          <w:lang w:eastAsia="en-AU"/>
        </w:rPr>
      </w:pPr>
    </w:p>
    <w:p w14:paraId="2268838D" w14:textId="77777777" w:rsidR="002D4ED1" w:rsidRPr="002D4ED1" w:rsidRDefault="002D4ED1" w:rsidP="002D4ED1">
      <w:pPr>
        <w:autoSpaceDE w:val="0"/>
        <w:autoSpaceDN w:val="0"/>
        <w:adjustRightInd w:val="0"/>
        <w:spacing w:line="360" w:lineRule="auto"/>
        <w:jc w:val="both"/>
        <w:rPr>
          <w:i/>
          <w:iCs/>
          <w:szCs w:val="24"/>
          <w:lang w:eastAsia="en-AU"/>
        </w:rPr>
      </w:pPr>
      <w:r w:rsidRPr="002D4ED1">
        <w:rPr>
          <w:i/>
          <w:iCs/>
          <w:szCs w:val="24"/>
          <w:lang w:eastAsia="en-AU"/>
        </w:rPr>
        <w:t>Structural formula:</w:t>
      </w:r>
    </w:p>
    <w:p w14:paraId="2268838E" w14:textId="77777777" w:rsidR="002D4ED1" w:rsidRPr="00CF0F13" w:rsidRDefault="00AC2CB3" w:rsidP="002D4ED1">
      <w:pPr>
        <w:autoSpaceDE w:val="0"/>
        <w:autoSpaceDN w:val="0"/>
        <w:adjustRightInd w:val="0"/>
        <w:spacing w:line="360" w:lineRule="auto"/>
        <w:jc w:val="both"/>
        <w:rPr>
          <w:i/>
          <w:iCs/>
          <w:szCs w:val="24"/>
          <w:lang w:eastAsia="en-AU"/>
        </w:rPr>
      </w:pPr>
      <w:r>
        <w:rPr>
          <w:noProof/>
          <w:szCs w:val="24"/>
          <w:lang w:eastAsia="en-AU"/>
        </w:rPr>
        <w:drawing>
          <wp:inline distT="0" distB="0" distL="0" distR="0" wp14:anchorId="226885CA" wp14:editId="226885CB">
            <wp:extent cx="2872740" cy="9829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2740" cy="982980"/>
                    </a:xfrm>
                    <a:prstGeom prst="rect">
                      <a:avLst/>
                    </a:prstGeom>
                    <a:noFill/>
                    <a:ln>
                      <a:noFill/>
                    </a:ln>
                  </pic:spPr>
                </pic:pic>
              </a:graphicData>
            </a:graphic>
          </wp:inline>
        </w:drawing>
      </w:r>
    </w:p>
    <w:p w14:paraId="2268838F" w14:textId="77777777" w:rsidR="002D4ED1" w:rsidRPr="00CF0F13" w:rsidRDefault="002D4ED1" w:rsidP="002D4ED1">
      <w:pPr>
        <w:autoSpaceDE w:val="0"/>
        <w:autoSpaceDN w:val="0"/>
        <w:adjustRightInd w:val="0"/>
        <w:jc w:val="both"/>
        <w:rPr>
          <w:szCs w:val="24"/>
          <w:lang w:eastAsia="en-AU"/>
        </w:rPr>
      </w:pPr>
      <w:r w:rsidRPr="00CF0F13">
        <w:rPr>
          <w:iCs/>
          <w:szCs w:val="24"/>
          <w:lang w:eastAsia="en-AU"/>
        </w:rPr>
        <w:t xml:space="preserve">The molecular formula: </w:t>
      </w:r>
      <w:r w:rsidRPr="00CF0F13">
        <w:rPr>
          <w:szCs w:val="24"/>
          <w:lang w:eastAsia="en-AU"/>
        </w:rPr>
        <w:t>C</w:t>
      </w:r>
      <w:r w:rsidRPr="00CF0F13">
        <w:rPr>
          <w:szCs w:val="24"/>
          <w:vertAlign w:val="subscript"/>
          <w:lang w:eastAsia="en-AU"/>
        </w:rPr>
        <w:t>26</w:t>
      </w:r>
      <w:r w:rsidRPr="00CF0F13">
        <w:rPr>
          <w:szCs w:val="24"/>
          <w:lang w:eastAsia="en-AU"/>
        </w:rPr>
        <w:t>H</w:t>
      </w:r>
      <w:r w:rsidRPr="00CF0F13">
        <w:rPr>
          <w:szCs w:val="24"/>
          <w:vertAlign w:val="subscript"/>
          <w:lang w:eastAsia="en-AU"/>
        </w:rPr>
        <w:t>32</w:t>
      </w:r>
      <w:r w:rsidRPr="00CF0F13">
        <w:rPr>
          <w:szCs w:val="24"/>
          <w:lang w:eastAsia="en-AU"/>
        </w:rPr>
        <w:t>N</w:t>
      </w:r>
      <w:r w:rsidRPr="00CF0F13">
        <w:rPr>
          <w:szCs w:val="24"/>
          <w:vertAlign w:val="subscript"/>
          <w:lang w:eastAsia="en-AU"/>
        </w:rPr>
        <w:t>4</w:t>
      </w:r>
      <w:r w:rsidRPr="00CF0F13">
        <w:rPr>
          <w:szCs w:val="24"/>
          <w:lang w:eastAsia="en-AU"/>
        </w:rPr>
        <w:t>O</w:t>
      </w:r>
      <w:r w:rsidRPr="00CF0F13">
        <w:rPr>
          <w:szCs w:val="24"/>
          <w:vertAlign w:val="subscript"/>
          <w:lang w:eastAsia="en-AU"/>
        </w:rPr>
        <w:t>4</w:t>
      </w:r>
      <w:r w:rsidRPr="00CF0F13">
        <w:rPr>
          <w:szCs w:val="24"/>
          <w:lang w:eastAsia="en-AU"/>
        </w:rPr>
        <w:t>S</w:t>
      </w:r>
    </w:p>
    <w:p w14:paraId="22688390" w14:textId="77777777" w:rsidR="002D4ED1" w:rsidRPr="00CF0F13" w:rsidRDefault="002D4ED1" w:rsidP="002D4ED1">
      <w:pPr>
        <w:autoSpaceDE w:val="0"/>
        <w:autoSpaceDN w:val="0"/>
        <w:adjustRightInd w:val="0"/>
        <w:jc w:val="both"/>
        <w:rPr>
          <w:szCs w:val="24"/>
          <w:lang w:eastAsia="en-AU"/>
        </w:rPr>
      </w:pPr>
      <w:r w:rsidRPr="00CF0F13">
        <w:rPr>
          <w:iCs/>
          <w:szCs w:val="24"/>
          <w:lang w:eastAsia="en-AU"/>
        </w:rPr>
        <w:t xml:space="preserve">The molecular </w:t>
      </w:r>
      <w:r w:rsidRPr="00DA1C27">
        <w:rPr>
          <w:iCs/>
          <w:szCs w:val="24"/>
          <w:lang w:eastAsia="en-AU"/>
        </w:rPr>
        <w:t>weight</w:t>
      </w:r>
      <w:r w:rsidRPr="00CF0F13">
        <w:rPr>
          <w:iCs/>
          <w:szCs w:val="24"/>
          <w:lang w:eastAsia="en-AU"/>
        </w:rPr>
        <w:t xml:space="preserve">: </w:t>
      </w:r>
      <w:r w:rsidRPr="00CF0F13">
        <w:rPr>
          <w:szCs w:val="24"/>
          <w:lang w:eastAsia="en-AU"/>
        </w:rPr>
        <w:t>496.62 mg/mol</w:t>
      </w:r>
    </w:p>
    <w:p w14:paraId="22688391" w14:textId="77777777" w:rsidR="00D23F1A" w:rsidRPr="00F22509" w:rsidRDefault="00480C14" w:rsidP="00D23F1A">
      <w:pPr>
        <w:autoSpaceDE w:val="0"/>
        <w:autoSpaceDN w:val="0"/>
        <w:adjustRightInd w:val="0"/>
        <w:rPr>
          <w:iCs/>
          <w:szCs w:val="24"/>
          <w:lang w:eastAsia="en-AU"/>
        </w:rPr>
      </w:pPr>
      <w:r w:rsidRPr="00F22509">
        <w:rPr>
          <w:iCs/>
          <w:szCs w:val="24"/>
          <w:lang w:eastAsia="en-AU"/>
        </w:rPr>
        <w:t xml:space="preserve">CAS: </w:t>
      </w:r>
      <w:r w:rsidR="00F22509" w:rsidRPr="00F22509">
        <w:rPr>
          <w:iCs/>
          <w:szCs w:val="24"/>
          <w:lang w:eastAsia="en-AU"/>
        </w:rPr>
        <w:t>475086-01-2</w:t>
      </w:r>
    </w:p>
    <w:p w14:paraId="22688392" w14:textId="77777777" w:rsidR="00F07349" w:rsidRPr="00F07349" w:rsidRDefault="00F07349" w:rsidP="00D23F1A">
      <w:pPr>
        <w:autoSpaceDE w:val="0"/>
        <w:autoSpaceDN w:val="0"/>
        <w:adjustRightInd w:val="0"/>
        <w:rPr>
          <w:rFonts w:ascii="Times New Roman" w:eastAsia="TimesNewRoman" w:hAnsi="Times New Roman"/>
          <w:iCs/>
          <w:szCs w:val="24"/>
        </w:rPr>
      </w:pPr>
      <w:r w:rsidRPr="00F07349">
        <w:rPr>
          <w:rFonts w:ascii="Times New Roman" w:eastAsia="TimesNewRoman" w:hAnsi="Times New Roman"/>
          <w:iCs/>
          <w:szCs w:val="24"/>
        </w:rPr>
        <w:t>Pharmacotherapeutic group</w:t>
      </w:r>
      <w:r>
        <w:rPr>
          <w:rFonts w:ascii="Times New Roman" w:eastAsia="TimesNewRoman" w:hAnsi="Times New Roman"/>
          <w:iCs/>
          <w:szCs w:val="24"/>
        </w:rPr>
        <w:t>:</w:t>
      </w:r>
      <w:r w:rsidR="00A31307" w:rsidRPr="00A31307">
        <w:rPr>
          <w:rFonts w:ascii="Times New Roman" w:hAnsi="Times New Roman"/>
          <w:szCs w:val="24"/>
          <w:lang w:eastAsia="en-AU"/>
        </w:rPr>
        <w:t xml:space="preserve"> </w:t>
      </w:r>
      <w:r w:rsidR="00A31307">
        <w:rPr>
          <w:rFonts w:ascii="Times New Roman" w:hAnsi="Times New Roman"/>
          <w:szCs w:val="24"/>
          <w:lang w:eastAsia="en-AU"/>
        </w:rPr>
        <w:t>Platelet aggregation inhibitors excl. heparin</w:t>
      </w:r>
    </w:p>
    <w:p w14:paraId="22688393" w14:textId="77777777" w:rsidR="00F07349" w:rsidRPr="00F07349" w:rsidRDefault="00F07349" w:rsidP="00D23F1A">
      <w:pPr>
        <w:autoSpaceDE w:val="0"/>
        <w:autoSpaceDN w:val="0"/>
        <w:adjustRightInd w:val="0"/>
        <w:rPr>
          <w:rFonts w:ascii="Times New Roman" w:eastAsia="TimesNewRoman" w:hAnsi="Times New Roman"/>
          <w:iCs/>
          <w:szCs w:val="24"/>
        </w:rPr>
      </w:pPr>
      <w:r w:rsidRPr="00F07349">
        <w:rPr>
          <w:rFonts w:ascii="Times New Roman" w:eastAsia="TimesNewRoman" w:hAnsi="Times New Roman"/>
          <w:iCs/>
          <w:szCs w:val="24"/>
        </w:rPr>
        <w:t xml:space="preserve">ACT code: </w:t>
      </w:r>
      <w:r w:rsidR="00A31307" w:rsidRPr="00A31307">
        <w:rPr>
          <w:rFonts w:ascii="Times New Roman" w:hAnsi="Times New Roman"/>
          <w:szCs w:val="24"/>
          <w:lang w:eastAsia="en-AU"/>
        </w:rPr>
        <w:t xml:space="preserve"> </w:t>
      </w:r>
      <w:r w:rsidR="00F22509">
        <w:rPr>
          <w:rFonts w:ascii="Times New Roman" w:hAnsi="Times New Roman"/>
          <w:szCs w:val="24"/>
          <w:lang w:eastAsia="en-AU"/>
        </w:rPr>
        <w:t>B01AC</w:t>
      </w:r>
      <w:r w:rsidR="00B534C4">
        <w:rPr>
          <w:rFonts w:ascii="Times New Roman" w:hAnsi="Times New Roman"/>
          <w:szCs w:val="24"/>
          <w:lang w:eastAsia="en-AU"/>
        </w:rPr>
        <w:t>27</w:t>
      </w:r>
      <w:r w:rsidR="00F22509">
        <w:rPr>
          <w:rFonts w:ascii="Times New Roman" w:hAnsi="Times New Roman"/>
          <w:szCs w:val="24"/>
          <w:lang w:eastAsia="en-AU"/>
        </w:rPr>
        <w:t>.</w:t>
      </w:r>
    </w:p>
    <w:p w14:paraId="22688394" w14:textId="77777777" w:rsidR="00A31307" w:rsidRDefault="00A31307" w:rsidP="00365338">
      <w:pPr>
        <w:pStyle w:val="Heading1"/>
        <w:ind w:right="-61"/>
      </w:pPr>
    </w:p>
    <w:p w14:paraId="22688395" w14:textId="77777777" w:rsidR="001C35B2" w:rsidRDefault="001C35B2" w:rsidP="00365338">
      <w:pPr>
        <w:pStyle w:val="Heading1"/>
        <w:ind w:right="-61"/>
      </w:pPr>
      <w:r>
        <w:t>DESCRIPTION</w:t>
      </w:r>
    </w:p>
    <w:p w14:paraId="22688396" w14:textId="77777777" w:rsidR="00DA1C27" w:rsidRPr="00DA1C27" w:rsidRDefault="00DA1C27" w:rsidP="00DA1C27">
      <w:pPr>
        <w:spacing w:before="120" w:after="120" w:line="280" w:lineRule="atLeast"/>
        <w:jc w:val="both"/>
        <w:rPr>
          <w:rFonts w:ascii="Times New Roman" w:hAnsi="Times New Roman"/>
          <w:szCs w:val="24"/>
          <w:lang w:val="en-US"/>
        </w:rPr>
      </w:pPr>
      <w:r w:rsidRPr="00DA1C27">
        <w:rPr>
          <w:rFonts w:ascii="Times New Roman" w:hAnsi="Times New Roman"/>
          <w:szCs w:val="24"/>
          <w:lang w:val="en-US"/>
        </w:rPr>
        <w:t>Selexipag is a pale yellow crystalline powder that is practically insoluble in water. In the solid state selexipag is very stable, is not hygroscopic, and is not light sensitive.</w:t>
      </w:r>
    </w:p>
    <w:p w14:paraId="22688397" w14:textId="16F73A0E" w:rsidR="00CB0BA0" w:rsidRPr="009D0B8A" w:rsidRDefault="00DA1C27" w:rsidP="00D8493D">
      <w:pPr>
        <w:pStyle w:val="TextTi12"/>
        <w:spacing w:after="0"/>
        <w:rPr>
          <w:rFonts w:eastAsia="TimesNewRoman"/>
          <w:szCs w:val="24"/>
          <w:lang w:val="en-AU"/>
        </w:rPr>
      </w:pPr>
      <w:r>
        <w:rPr>
          <w:szCs w:val="24"/>
        </w:rPr>
        <w:t xml:space="preserve">Each round film-coated tablet contains 200 micrograms </w:t>
      </w:r>
      <w:r w:rsidR="00F43B76">
        <w:rPr>
          <w:szCs w:val="24"/>
          <w:lang w:val="en-AU"/>
        </w:rPr>
        <w:t xml:space="preserve">or multiples thereof </w:t>
      </w:r>
      <w:r>
        <w:rPr>
          <w:szCs w:val="24"/>
        </w:rPr>
        <w:t xml:space="preserve">(respectively 400, 600, 800, 1000, 1200, 1400, or 1600 micrograms) selexipag. The tablets include the following inactive ingredients: mannitol, </w:t>
      </w:r>
      <w:r w:rsidR="00A032E5">
        <w:rPr>
          <w:szCs w:val="24"/>
          <w:lang w:val="en-AU"/>
        </w:rPr>
        <w:t>maize</w:t>
      </w:r>
      <w:r w:rsidR="00A032E5">
        <w:rPr>
          <w:szCs w:val="24"/>
        </w:rPr>
        <w:t xml:space="preserve"> </w:t>
      </w:r>
      <w:r>
        <w:rPr>
          <w:szCs w:val="24"/>
        </w:rPr>
        <w:t xml:space="preserve">starch, </w:t>
      </w:r>
      <w:r>
        <w:t>h</w:t>
      </w:r>
      <w:r w:rsidRPr="002E099F">
        <w:t>ydroxypropylcellulose</w:t>
      </w:r>
      <w:r>
        <w:t>, and m</w:t>
      </w:r>
      <w:r w:rsidRPr="002E099F">
        <w:t>agnesium stearate</w:t>
      </w:r>
      <w:r w:rsidRPr="000C24AB">
        <w:rPr>
          <w:szCs w:val="24"/>
        </w:rPr>
        <w:t xml:space="preserve">. </w:t>
      </w:r>
      <w:r>
        <w:rPr>
          <w:szCs w:val="24"/>
        </w:rPr>
        <w:t xml:space="preserve">The tablets are film coated with a coating material containing </w:t>
      </w:r>
      <w:r>
        <w:t>hypromellose, p</w:t>
      </w:r>
      <w:r w:rsidRPr="002E099F">
        <w:t>ropylen</w:t>
      </w:r>
      <w:r>
        <w:t xml:space="preserve">e </w:t>
      </w:r>
      <w:r w:rsidRPr="002E099F">
        <w:t>glycol</w:t>
      </w:r>
      <w:r>
        <w:t>,</w:t>
      </w:r>
      <w:r w:rsidRPr="000C24AB">
        <w:rPr>
          <w:szCs w:val="24"/>
        </w:rPr>
        <w:t xml:space="preserve"> </w:t>
      </w:r>
      <w:r>
        <w:t>t</w:t>
      </w:r>
      <w:r w:rsidRPr="002E099F">
        <w:t>itanium dioxide,</w:t>
      </w:r>
      <w:r>
        <w:t xml:space="preserve"> and c</w:t>
      </w:r>
      <w:r w:rsidRPr="002E099F">
        <w:t>arnauba wax</w:t>
      </w:r>
      <w:r>
        <w:t>.</w:t>
      </w:r>
      <w:r w:rsidRPr="000C24AB">
        <w:rPr>
          <w:szCs w:val="24"/>
        </w:rPr>
        <w:t xml:space="preserve"> </w:t>
      </w:r>
      <w:r>
        <w:rPr>
          <w:szCs w:val="24"/>
        </w:rPr>
        <w:t>In addition, tablets may contain iron oxide red, iron oxide yellow, or iron oxide black.  The film-coated tablets are not light sensitive.</w:t>
      </w:r>
      <w:r>
        <w:rPr>
          <w:szCs w:val="24"/>
          <w:lang w:val="en-AU"/>
        </w:rPr>
        <w:t xml:space="preserve"> </w:t>
      </w:r>
    </w:p>
    <w:p w14:paraId="22688398" w14:textId="52148FF6" w:rsidR="000174C0" w:rsidRDefault="000174C0" w:rsidP="001B1002">
      <w:pPr>
        <w:rPr>
          <w:rFonts w:ascii="Arial" w:hAnsi="Arial" w:cs="Arial"/>
          <w:szCs w:val="24"/>
        </w:rPr>
      </w:pPr>
    </w:p>
    <w:p w14:paraId="22688399" w14:textId="77777777" w:rsidR="001C35B2" w:rsidRDefault="001C35B2" w:rsidP="00365338">
      <w:pPr>
        <w:pStyle w:val="Heading1"/>
        <w:ind w:right="-61"/>
      </w:pPr>
      <w:r>
        <w:t>PHARMACOLOGY</w:t>
      </w:r>
    </w:p>
    <w:p w14:paraId="2268839A" w14:textId="77777777" w:rsidR="000851C5" w:rsidRPr="000851C5" w:rsidRDefault="000851C5" w:rsidP="000851C5"/>
    <w:p w14:paraId="2268839B" w14:textId="77777777" w:rsidR="00B1045B" w:rsidRPr="00B1045B" w:rsidRDefault="00B1045B" w:rsidP="00B1045B">
      <w:pPr>
        <w:pStyle w:val="Heading1"/>
        <w:ind w:right="-61"/>
      </w:pPr>
      <w:r w:rsidRPr="00B1045B">
        <w:t xml:space="preserve">Mechanism of Action </w:t>
      </w:r>
    </w:p>
    <w:p w14:paraId="2268839C" w14:textId="77777777" w:rsidR="000663C8" w:rsidRDefault="000663C8" w:rsidP="000663C8">
      <w:pPr>
        <w:pStyle w:val="TextTi12"/>
      </w:pPr>
      <w:r>
        <w:rPr>
          <w:lang w:val="en-US"/>
        </w:rPr>
        <w:t>The vasculo-protective effects of prostacyclin</w:t>
      </w:r>
      <w:r w:rsidRPr="009B7AE6" w:rsidDel="00100349">
        <w:t xml:space="preserve"> </w:t>
      </w:r>
      <w:r w:rsidR="008B3E31">
        <w:rPr>
          <w:lang w:val="en-AU"/>
        </w:rPr>
        <w:t>(PGI</w:t>
      </w:r>
      <w:r w:rsidR="008B3E31" w:rsidRPr="008B3E31">
        <w:rPr>
          <w:vertAlign w:val="subscript"/>
          <w:lang w:val="en-AU"/>
        </w:rPr>
        <w:t>2</w:t>
      </w:r>
      <w:r w:rsidR="008B3E31">
        <w:rPr>
          <w:lang w:val="en-AU"/>
        </w:rPr>
        <w:t xml:space="preserve">) </w:t>
      </w:r>
      <w:r w:rsidRPr="00A8032C">
        <w:rPr>
          <w:lang w:val="en-US"/>
        </w:rPr>
        <w:t xml:space="preserve">are mediated by </w:t>
      </w:r>
      <w:r>
        <w:rPr>
          <w:lang w:val="en-US"/>
        </w:rPr>
        <w:t xml:space="preserve">the </w:t>
      </w:r>
      <w:r w:rsidR="008B3E31">
        <w:rPr>
          <w:lang w:val="en-US"/>
        </w:rPr>
        <w:t>prostacyclin receptor (</w:t>
      </w:r>
      <w:r>
        <w:rPr>
          <w:lang w:val="en-US"/>
        </w:rPr>
        <w:t>IP receptor</w:t>
      </w:r>
      <w:r w:rsidR="008B3E31">
        <w:rPr>
          <w:lang w:val="en-US"/>
        </w:rPr>
        <w:t xml:space="preserve">). </w:t>
      </w:r>
      <w:r w:rsidRPr="009B7AE6">
        <w:rPr>
          <w:lang w:eastAsia="ja-JP"/>
        </w:rPr>
        <w:t xml:space="preserve">Decreased </w:t>
      </w:r>
      <w:r w:rsidRPr="00A8032C">
        <w:rPr>
          <w:lang w:val="en-US" w:eastAsia="ja-JP"/>
        </w:rPr>
        <w:t>expression</w:t>
      </w:r>
      <w:r w:rsidRPr="009B7AE6">
        <w:rPr>
          <w:lang w:eastAsia="ja-JP"/>
        </w:rPr>
        <w:t xml:space="preserve"> of </w:t>
      </w:r>
      <w:r>
        <w:rPr>
          <w:lang w:eastAsia="ja-JP"/>
        </w:rPr>
        <w:t>IP</w:t>
      </w:r>
      <w:r w:rsidR="002E69CF">
        <w:rPr>
          <w:lang w:val="en-AU" w:eastAsia="ja-JP"/>
        </w:rPr>
        <w:t xml:space="preserve"> </w:t>
      </w:r>
      <w:r>
        <w:rPr>
          <w:lang w:eastAsia="ja-JP"/>
        </w:rPr>
        <w:t>receptors</w:t>
      </w:r>
      <w:r w:rsidRPr="00A8032C">
        <w:rPr>
          <w:lang w:val="en-US" w:eastAsia="ja-JP"/>
        </w:rPr>
        <w:t xml:space="preserve"> and </w:t>
      </w:r>
      <w:r>
        <w:rPr>
          <w:lang w:val="en-US" w:eastAsia="ja-JP"/>
        </w:rPr>
        <w:t xml:space="preserve">decreased synthesis of </w:t>
      </w:r>
      <w:r w:rsidRPr="00A8032C">
        <w:rPr>
          <w:lang w:val="en-US" w:eastAsia="ja-JP"/>
        </w:rPr>
        <w:t>prostacyclin</w:t>
      </w:r>
      <w:r>
        <w:rPr>
          <w:lang w:eastAsia="ja-JP"/>
        </w:rPr>
        <w:t xml:space="preserve"> </w:t>
      </w:r>
      <w:r w:rsidRPr="009B7AE6">
        <w:rPr>
          <w:lang w:eastAsia="ja-JP"/>
        </w:rPr>
        <w:t xml:space="preserve">contribute to the pathophysiology of </w:t>
      </w:r>
      <w:r w:rsidR="00CF0F13">
        <w:rPr>
          <w:lang w:val="en-AU" w:eastAsia="ja-JP"/>
        </w:rPr>
        <w:t>pulmonary arterial hypertension (</w:t>
      </w:r>
      <w:r w:rsidRPr="009B7AE6">
        <w:rPr>
          <w:lang w:eastAsia="ja-JP"/>
        </w:rPr>
        <w:t>PAH</w:t>
      </w:r>
      <w:r w:rsidR="00CF0F13">
        <w:rPr>
          <w:lang w:val="en-AU" w:eastAsia="ja-JP"/>
        </w:rPr>
        <w:t>)</w:t>
      </w:r>
      <w:r w:rsidRPr="009B7AE6">
        <w:rPr>
          <w:lang w:eastAsia="ja-JP"/>
        </w:rPr>
        <w:t xml:space="preserve">. </w:t>
      </w:r>
    </w:p>
    <w:p w14:paraId="2268839D" w14:textId="77777777" w:rsidR="000663C8" w:rsidRPr="00100610" w:rsidRDefault="000663C8" w:rsidP="00F07349">
      <w:pPr>
        <w:pStyle w:val="TextTi12"/>
        <w:rPr>
          <w:lang w:val="en-AU"/>
        </w:rPr>
      </w:pPr>
      <w:r w:rsidRPr="009B7AE6">
        <w:lastRenderedPageBreak/>
        <w:t xml:space="preserve">Selexipag is </w:t>
      </w:r>
      <w:r w:rsidRPr="009B7AE6">
        <w:rPr>
          <w:lang w:eastAsia="ja-JP"/>
        </w:rPr>
        <w:t>a</w:t>
      </w:r>
      <w:r>
        <w:rPr>
          <w:lang w:eastAsia="ja-JP"/>
        </w:rPr>
        <w:t>n oral,</w:t>
      </w:r>
      <w:r w:rsidRPr="009B7AE6">
        <w:rPr>
          <w:lang w:eastAsia="ja-JP"/>
        </w:rPr>
        <w:t xml:space="preserve"> selective, IP </w:t>
      </w:r>
      <w:r>
        <w:rPr>
          <w:lang w:eastAsia="ja-JP"/>
        </w:rPr>
        <w:t>prostacyclin</w:t>
      </w:r>
      <w:r w:rsidRPr="009B7AE6">
        <w:rPr>
          <w:lang w:eastAsia="ja-JP"/>
        </w:rPr>
        <w:t xml:space="preserve"> receptor agonist</w:t>
      </w:r>
      <w:r w:rsidRPr="00A920A8">
        <w:rPr>
          <w:lang w:val="en-US" w:eastAsia="ja-JP"/>
        </w:rPr>
        <w:t>, and</w:t>
      </w:r>
      <w:r>
        <w:rPr>
          <w:lang w:val="en-US" w:eastAsia="ja-JP"/>
        </w:rPr>
        <w:t xml:space="preserve"> is</w:t>
      </w:r>
      <w:r w:rsidRPr="00A8032C">
        <w:rPr>
          <w:lang w:val="en-US" w:eastAsia="ja-JP"/>
        </w:rPr>
        <w:t xml:space="preserve"> </w:t>
      </w:r>
      <w:r>
        <w:rPr>
          <w:lang w:eastAsia="ja-JP"/>
        </w:rPr>
        <w:t xml:space="preserve">structurally and pharmacologically distinct from prostacyclin </w:t>
      </w:r>
      <w:r w:rsidRPr="00CE04EB">
        <w:rPr>
          <w:lang w:val="en-US" w:eastAsia="ja-JP"/>
        </w:rPr>
        <w:t xml:space="preserve">and </w:t>
      </w:r>
      <w:r>
        <w:rPr>
          <w:lang w:val="en-US" w:eastAsia="ja-JP"/>
        </w:rPr>
        <w:t>its</w:t>
      </w:r>
      <w:r w:rsidRPr="00CE04EB">
        <w:rPr>
          <w:lang w:val="en-US" w:eastAsia="ja-JP"/>
        </w:rPr>
        <w:t xml:space="preserve"> </w:t>
      </w:r>
      <w:r>
        <w:rPr>
          <w:lang w:eastAsia="ja-JP"/>
        </w:rPr>
        <w:t>an</w:t>
      </w:r>
      <w:r w:rsidRPr="00CB1C1A">
        <w:rPr>
          <w:lang w:val="en-US" w:eastAsia="ja-JP"/>
        </w:rPr>
        <w:t>a</w:t>
      </w:r>
      <w:r>
        <w:rPr>
          <w:lang w:eastAsia="ja-JP"/>
        </w:rPr>
        <w:t>log</w:t>
      </w:r>
      <w:r w:rsidR="00BB56B3">
        <w:rPr>
          <w:lang w:val="en-AU" w:eastAsia="ja-JP"/>
        </w:rPr>
        <w:t>ue</w:t>
      </w:r>
      <w:r>
        <w:rPr>
          <w:lang w:eastAsia="ja-JP"/>
        </w:rPr>
        <w:t>s</w:t>
      </w:r>
      <w:r w:rsidRPr="00A8032C">
        <w:rPr>
          <w:lang w:val="en-US" w:eastAsia="ja-JP"/>
        </w:rPr>
        <w:t>.</w:t>
      </w:r>
      <w:r>
        <w:rPr>
          <w:lang w:val="en-US" w:eastAsia="ja-JP"/>
        </w:rPr>
        <w:t xml:space="preserve"> </w:t>
      </w:r>
      <w:r w:rsidRPr="009B7AE6">
        <w:rPr>
          <w:lang w:eastAsia="ja-JP"/>
        </w:rPr>
        <w:t>Selexipag is</w:t>
      </w:r>
      <w:r w:rsidRPr="009B7AE6">
        <w:t xml:space="preserve"> hydroly</w:t>
      </w:r>
      <w:r w:rsidR="00D8493D">
        <w:rPr>
          <w:lang w:val="en-US"/>
        </w:rPr>
        <w:t>s</w:t>
      </w:r>
      <w:r w:rsidRPr="009B7AE6">
        <w:t xml:space="preserve">ed by </w:t>
      </w:r>
      <w:r w:rsidR="00DA1C27">
        <w:rPr>
          <w:lang w:val="en-AU"/>
        </w:rPr>
        <w:t>carboxylesterase 1 (</w:t>
      </w:r>
      <w:r>
        <w:t>CES1</w:t>
      </w:r>
      <w:r w:rsidR="00DA1C27">
        <w:rPr>
          <w:lang w:val="en-AU"/>
        </w:rPr>
        <w:t>)</w:t>
      </w:r>
      <w:r w:rsidRPr="009B7AE6">
        <w:t xml:space="preserve"> to yield </w:t>
      </w:r>
      <w:r w:rsidRPr="00A8032C">
        <w:rPr>
          <w:lang w:val="en-US"/>
        </w:rPr>
        <w:t>its</w:t>
      </w:r>
      <w:r w:rsidRPr="009B7AE6">
        <w:t xml:space="preserve"> active metabolite</w:t>
      </w:r>
      <w:r w:rsidRPr="00A8032C">
        <w:rPr>
          <w:lang w:val="en-US"/>
        </w:rPr>
        <w:t>,</w:t>
      </w:r>
      <w:r w:rsidRPr="009B7AE6">
        <w:t xml:space="preserve"> </w:t>
      </w:r>
      <w:r w:rsidRPr="00A8032C">
        <w:rPr>
          <w:lang w:val="en-US"/>
        </w:rPr>
        <w:t>which</w:t>
      </w:r>
      <w:r>
        <w:t xml:space="preserve"> is a</w:t>
      </w:r>
      <w:r w:rsidRPr="00A8032C">
        <w:rPr>
          <w:lang w:val="en-US"/>
        </w:rPr>
        <w:t>pproximately</w:t>
      </w:r>
      <w:r>
        <w:t xml:space="preserve"> </w:t>
      </w:r>
      <w:r>
        <w:rPr>
          <w:lang w:val="en-US"/>
        </w:rPr>
        <w:t>37</w:t>
      </w:r>
      <w:r w:rsidRPr="00A8032C">
        <w:rPr>
          <w:lang w:val="en-US"/>
        </w:rPr>
        <w:t>-</w:t>
      </w:r>
      <w:r>
        <w:t>fold more potent than selexipag</w:t>
      </w:r>
      <w:r w:rsidRPr="00CE04EB">
        <w:rPr>
          <w:lang w:val="en-US"/>
        </w:rPr>
        <w:t>.</w:t>
      </w:r>
      <w:r w:rsidRPr="00A8032C">
        <w:rPr>
          <w:lang w:val="en-US" w:eastAsia="ja-JP"/>
        </w:rPr>
        <w:t xml:space="preserve"> </w:t>
      </w:r>
      <w:r w:rsidRPr="00D11D52">
        <w:rPr>
          <w:lang w:val="en-US" w:eastAsia="ja-JP"/>
        </w:rPr>
        <w:t>Selexipag and the active metabolite are high affinity IP receptor agonists with a high selectiv</w:t>
      </w:r>
      <w:r>
        <w:rPr>
          <w:lang w:val="en-US" w:eastAsia="ja-JP"/>
        </w:rPr>
        <w:t>it</w:t>
      </w:r>
      <w:r w:rsidRPr="00D11D52">
        <w:rPr>
          <w:lang w:val="en-US" w:eastAsia="ja-JP"/>
        </w:rPr>
        <w:t xml:space="preserve">y for the IP receptor </w:t>
      </w:r>
      <w:r>
        <w:rPr>
          <w:lang w:val="en-US" w:eastAsia="ja-JP"/>
        </w:rPr>
        <w:t>versus</w:t>
      </w:r>
      <w:r w:rsidRPr="00D11D52">
        <w:rPr>
          <w:lang w:val="en-US" w:eastAsia="ja-JP"/>
        </w:rPr>
        <w:t xml:space="preserve"> other </w:t>
      </w:r>
      <w:r>
        <w:rPr>
          <w:lang w:val="en-US" w:eastAsia="ja-JP"/>
        </w:rPr>
        <w:t>p</w:t>
      </w:r>
      <w:r w:rsidRPr="00D11D52">
        <w:rPr>
          <w:lang w:val="en-US" w:eastAsia="ja-JP"/>
        </w:rPr>
        <w:t>rostanoid receptors</w:t>
      </w:r>
      <w:r w:rsidRPr="00207565">
        <w:rPr>
          <w:lang w:val="en-US" w:eastAsia="ja-JP"/>
        </w:rPr>
        <w:t xml:space="preserve"> </w:t>
      </w:r>
      <w:r>
        <w:rPr>
          <w:lang w:val="en-US" w:eastAsia="ja-JP"/>
        </w:rPr>
        <w:t>(</w:t>
      </w:r>
      <w:r w:rsidRPr="00D11D52">
        <w:rPr>
          <w:lang w:val="en-US" w:eastAsia="ja-JP"/>
        </w:rPr>
        <w:t>EP</w:t>
      </w:r>
      <w:r w:rsidRPr="00EA4884">
        <w:rPr>
          <w:vertAlign w:val="subscript"/>
          <w:lang w:val="en-US" w:eastAsia="ja-JP"/>
        </w:rPr>
        <w:t>1</w:t>
      </w:r>
      <w:r w:rsidRPr="00D11D52">
        <w:rPr>
          <w:lang w:val="en-US" w:eastAsia="ja-JP"/>
        </w:rPr>
        <w:t>-EP</w:t>
      </w:r>
      <w:r w:rsidRPr="00EA4884">
        <w:rPr>
          <w:vertAlign w:val="subscript"/>
          <w:lang w:val="en-US" w:eastAsia="ja-JP"/>
        </w:rPr>
        <w:t>4</w:t>
      </w:r>
      <w:r>
        <w:rPr>
          <w:lang w:val="en-US" w:eastAsia="ja-JP"/>
        </w:rPr>
        <w:t>, DP, FP and TP).</w:t>
      </w:r>
      <w:r w:rsidR="00100610">
        <w:rPr>
          <w:lang w:val="en-US" w:eastAsia="ja-JP"/>
        </w:rPr>
        <w:t xml:space="preserve"> </w:t>
      </w:r>
      <w:r w:rsidR="00100610" w:rsidRPr="001A7DB2">
        <w:rPr>
          <w:szCs w:val="22"/>
        </w:rPr>
        <w:t>Selectivity against EP</w:t>
      </w:r>
      <w:r w:rsidR="00100610" w:rsidRPr="00E640C3">
        <w:rPr>
          <w:szCs w:val="22"/>
          <w:vertAlign w:val="subscript"/>
        </w:rPr>
        <w:t>1</w:t>
      </w:r>
      <w:r w:rsidR="00100610" w:rsidRPr="001A7DB2">
        <w:rPr>
          <w:szCs w:val="22"/>
        </w:rPr>
        <w:t>, EP</w:t>
      </w:r>
      <w:r w:rsidR="00100610" w:rsidRPr="00E640C3">
        <w:rPr>
          <w:szCs w:val="22"/>
          <w:vertAlign w:val="subscript"/>
        </w:rPr>
        <w:t>3</w:t>
      </w:r>
      <w:r w:rsidR="00100610" w:rsidRPr="001A7DB2">
        <w:rPr>
          <w:szCs w:val="22"/>
        </w:rPr>
        <w:t>, FP and TP is important because these are well-described contractile receptors in gastro-intestinal tract and blood vessels. Selectivity against EP</w:t>
      </w:r>
      <w:r w:rsidR="00100610" w:rsidRPr="00E640C3">
        <w:rPr>
          <w:szCs w:val="22"/>
          <w:vertAlign w:val="subscript"/>
        </w:rPr>
        <w:t>2</w:t>
      </w:r>
      <w:r w:rsidR="00100610" w:rsidRPr="001A7DB2">
        <w:rPr>
          <w:szCs w:val="22"/>
        </w:rPr>
        <w:t>, EP</w:t>
      </w:r>
      <w:r w:rsidR="00100610" w:rsidRPr="00E640C3">
        <w:rPr>
          <w:szCs w:val="22"/>
          <w:vertAlign w:val="subscript"/>
        </w:rPr>
        <w:t>4</w:t>
      </w:r>
      <w:r w:rsidR="00100610" w:rsidRPr="001A7DB2">
        <w:rPr>
          <w:szCs w:val="22"/>
        </w:rPr>
        <w:t xml:space="preserve"> and DP</w:t>
      </w:r>
      <w:r w:rsidR="00100610" w:rsidRPr="00BB5D8C">
        <w:rPr>
          <w:szCs w:val="22"/>
          <w:vertAlign w:val="subscript"/>
        </w:rPr>
        <w:t>1</w:t>
      </w:r>
      <w:r w:rsidR="00100610" w:rsidRPr="001A7DB2">
        <w:rPr>
          <w:szCs w:val="22"/>
        </w:rPr>
        <w:t xml:space="preserve"> is important because these </w:t>
      </w:r>
      <w:r w:rsidR="00100610" w:rsidRPr="00370747">
        <w:rPr>
          <w:szCs w:val="22"/>
          <w:lang w:val="en-US"/>
        </w:rPr>
        <w:t xml:space="preserve">receptors </w:t>
      </w:r>
      <w:r w:rsidR="00100610" w:rsidRPr="001A7DB2">
        <w:rPr>
          <w:szCs w:val="22"/>
        </w:rPr>
        <w:t>mediate immune depressive effects</w:t>
      </w:r>
      <w:r w:rsidR="00100610">
        <w:rPr>
          <w:szCs w:val="22"/>
          <w:lang w:val="en-AU"/>
        </w:rPr>
        <w:t>.</w:t>
      </w:r>
    </w:p>
    <w:p w14:paraId="2268839E" w14:textId="77777777" w:rsidR="000663C8" w:rsidRDefault="000663C8" w:rsidP="00F07349">
      <w:pPr>
        <w:pStyle w:val="Heading1"/>
        <w:ind w:right="-61"/>
        <w:jc w:val="both"/>
        <w:rPr>
          <w:rFonts w:ascii="Times" w:hAnsi="Times" w:cs="Times New Roman"/>
          <w:b w:val="0"/>
          <w:bCs w:val="0"/>
          <w:color w:val="000000"/>
          <w:szCs w:val="24"/>
          <w:lang w:val="en-US"/>
        </w:rPr>
      </w:pPr>
      <w:r w:rsidRPr="000663C8">
        <w:rPr>
          <w:rFonts w:ascii="Times New Roman" w:hAnsi="Times New Roman" w:cs="Times New Roman"/>
          <w:b w:val="0"/>
          <w:bCs w:val="0"/>
          <w:lang w:val="x-none" w:eastAsia="x-none"/>
        </w:rPr>
        <w:t>Stimulation of the IP receptor by selexipag and the active metabolite leads to vasodilatory as well as anti-proliferative and anti-fibrotic effects. Selexipag improves h</w:t>
      </w:r>
      <w:r w:rsidR="00DA1C27">
        <w:rPr>
          <w:rFonts w:ascii="Times New Roman" w:hAnsi="Times New Roman" w:cs="Times New Roman"/>
          <w:b w:val="0"/>
          <w:bCs w:val="0"/>
          <w:lang w:eastAsia="x-none"/>
        </w:rPr>
        <w:t>a</w:t>
      </w:r>
      <w:r w:rsidRPr="000663C8">
        <w:rPr>
          <w:rFonts w:ascii="Times New Roman" w:hAnsi="Times New Roman" w:cs="Times New Roman"/>
          <w:b w:val="0"/>
          <w:bCs w:val="0"/>
          <w:lang w:val="x-none" w:eastAsia="x-none"/>
        </w:rPr>
        <w:t xml:space="preserve">emodynamic parameters and prevents cardiac and pulmonary remodeling in a rat model of PAH. In these PAH rats, pulmonary and peripheral vasodilation in response to selexipag correlate, indicating that peripheral vasodilation reflects pulmonary pharmacodynamic </w:t>
      </w:r>
      <w:r w:rsidRPr="00316EDF">
        <w:rPr>
          <w:rFonts w:ascii="Times" w:hAnsi="Times" w:cs="Times New Roman"/>
          <w:b w:val="0"/>
          <w:bCs w:val="0"/>
          <w:color w:val="000000"/>
          <w:szCs w:val="24"/>
          <w:lang w:val="en-US"/>
        </w:rPr>
        <w:t>efficacy.</w:t>
      </w:r>
      <w:r w:rsidR="00316EDF" w:rsidRPr="00316EDF">
        <w:rPr>
          <w:rFonts w:ascii="Times" w:hAnsi="Times" w:cs="Times New Roman"/>
          <w:b w:val="0"/>
          <w:bCs w:val="0"/>
          <w:color w:val="000000"/>
          <w:szCs w:val="24"/>
          <w:lang w:val="en-US"/>
        </w:rPr>
        <w:t xml:space="preserve">  </w:t>
      </w:r>
      <w:r w:rsidRPr="00316EDF">
        <w:rPr>
          <w:rFonts w:ascii="Times" w:hAnsi="Times" w:cs="Times New Roman"/>
          <w:b w:val="0"/>
          <w:bCs w:val="0"/>
          <w:color w:val="000000"/>
          <w:szCs w:val="24"/>
          <w:lang w:val="en-US"/>
        </w:rPr>
        <w:t>Selexipag does not cause IP receptor desensiti</w:t>
      </w:r>
      <w:r w:rsidR="00F07349">
        <w:rPr>
          <w:rFonts w:ascii="Times" w:hAnsi="Times" w:cs="Times New Roman"/>
          <w:b w:val="0"/>
          <w:bCs w:val="0"/>
          <w:color w:val="000000"/>
          <w:szCs w:val="24"/>
          <w:lang w:val="en-US"/>
        </w:rPr>
        <w:t>s</w:t>
      </w:r>
      <w:r w:rsidRPr="00316EDF">
        <w:rPr>
          <w:rFonts w:ascii="Times" w:hAnsi="Times" w:cs="Times New Roman"/>
          <w:b w:val="0"/>
          <w:bCs w:val="0"/>
          <w:color w:val="000000"/>
          <w:szCs w:val="24"/>
          <w:lang w:val="en-US"/>
        </w:rPr>
        <w:t xml:space="preserve">ation </w:t>
      </w:r>
      <w:r w:rsidRPr="007F78AC">
        <w:rPr>
          <w:rFonts w:ascii="Times" w:hAnsi="Times" w:cs="Times New Roman"/>
          <w:b w:val="0"/>
          <w:bCs w:val="0"/>
          <w:i/>
          <w:color w:val="000000"/>
          <w:szCs w:val="24"/>
          <w:lang w:val="en-US"/>
        </w:rPr>
        <w:t>in vitro</w:t>
      </w:r>
      <w:r w:rsidRPr="00316EDF">
        <w:rPr>
          <w:rFonts w:ascii="Times" w:hAnsi="Times" w:cs="Times New Roman"/>
          <w:b w:val="0"/>
          <w:bCs w:val="0"/>
          <w:color w:val="000000"/>
          <w:szCs w:val="24"/>
          <w:lang w:val="en-US"/>
        </w:rPr>
        <w:t xml:space="preserve"> </w:t>
      </w:r>
      <w:r w:rsidR="00100610">
        <w:rPr>
          <w:rFonts w:ascii="Times" w:hAnsi="Times" w:cs="Times New Roman"/>
          <w:b w:val="0"/>
          <w:bCs w:val="0"/>
          <w:color w:val="000000"/>
          <w:szCs w:val="24"/>
          <w:lang w:val="en-US"/>
        </w:rPr>
        <w:t>nor</w:t>
      </w:r>
      <w:r w:rsidRPr="00316EDF">
        <w:rPr>
          <w:rFonts w:ascii="Times" w:hAnsi="Times" w:cs="Times New Roman"/>
          <w:b w:val="0"/>
          <w:bCs w:val="0"/>
          <w:color w:val="000000"/>
          <w:szCs w:val="24"/>
          <w:lang w:val="en-US"/>
        </w:rPr>
        <w:t xml:space="preserve"> tachyphylaxis in a rat model.</w:t>
      </w:r>
    </w:p>
    <w:p w14:paraId="2268839F" w14:textId="77777777" w:rsidR="00316EDF" w:rsidRPr="00316EDF" w:rsidRDefault="00316EDF" w:rsidP="00F07349">
      <w:pPr>
        <w:jc w:val="both"/>
        <w:rPr>
          <w:lang w:val="en-US"/>
        </w:rPr>
      </w:pPr>
    </w:p>
    <w:p w14:paraId="226883A0" w14:textId="77777777" w:rsidR="000663C8" w:rsidRPr="000663C8" w:rsidRDefault="000663C8" w:rsidP="00F07349">
      <w:pPr>
        <w:jc w:val="both"/>
        <w:rPr>
          <w:rFonts w:ascii="Times New Roman" w:hAnsi="Times New Roman"/>
          <w:lang w:val="x-none" w:eastAsia="x-none"/>
        </w:rPr>
      </w:pPr>
      <w:r>
        <w:rPr>
          <w:color w:val="000000"/>
          <w:szCs w:val="24"/>
          <w:lang w:val="en-US"/>
        </w:rPr>
        <w:t>PAH patients have variable degrees of IP receptor expression. Differences in maintenance dose of selexipag between individuals may be related to differences in IP receptor expression levels</w:t>
      </w:r>
      <w:r w:rsidR="00F07349">
        <w:rPr>
          <w:color w:val="000000"/>
          <w:szCs w:val="24"/>
          <w:lang w:val="en-US"/>
        </w:rPr>
        <w:t>.</w:t>
      </w:r>
    </w:p>
    <w:p w14:paraId="226883A1" w14:textId="77777777" w:rsidR="000663C8" w:rsidRPr="000663C8" w:rsidRDefault="000663C8" w:rsidP="000663C8"/>
    <w:p w14:paraId="226883A2" w14:textId="77777777" w:rsidR="00763ED1" w:rsidRPr="00D12E59" w:rsidRDefault="00763ED1" w:rsidP="00D12E59">
      <w:pPr>
        <w:pStyle w:val="Heading1"/>
        <w:ind w:right="-61"/>
      </w:pPr>
      <w:r w:rsidRPr="00D12E59">
        <w:t>Pharmacodynamics</w:t>
      </w:r>
    </w:p>
    <w:p w14:paraId="5F2EE88D" w14:textId="4A0F1A9D" w:rsidR="00A014E9" w:rsidRPr="00BC2263" w:rsidRDefault="000663C8" w:rsidP="00BC2263">
      <w:pPr>
        <w:pStyle w:val="TextTi12"/>
      </w:pPr>
      <w:r w:rsidRPr="009B7AE6">
        <w:rPr>
          <w:i/>
          <w:iCs/>
          <w:szCs w:val="24"/>
        </w:rPr>
        <w:t xml:space="preserve">Cardiac </w:t>
      </w:r>
      <w:r>
        <w:rPr>
          <w:i/>
          <w:iCs/>
          <w:szCs w:val="24"/>
        </w:rPr>
        <w:t>e</w:t>
      </w:r>
      <w:r w:rsidRPr="009B7AE6">
        <w:rPr>
          <w:i/>
          <w:iCs/>
          <w:szCs w:val="24"/>
        </w:rPr>
        <w:t>lectrophysiology</w:t>
      </w:r>
      <w:r w:rsidRPr="00571003">
        <w:rPr>
          <w:i/>
          <w:szCs w:val="24"/>
        </w:rPr>
        <w:t>:</w:t>
      </w:r>
      <w:r w:rsidRPr="009B7AE6">
        <w:rPr>
          <w:szCs w:val="24"/>
        </w:rPr>
        <w:t xml:space="preserve"> </w:t>
      </w:r>
      <w:r>
        <w:rPr>
          <w:noProof/>
        </w:rPr>
        <w:t>In a thorough QT</w:t>
      </w:r>
      <w:r w:rsidRPr="009B7AE6">
        <w:rPr>
          <w:noProof/>
        </w:rPr>
        <w:t xml:space="preserve"> study in healthy subjects, repeated doses of 800 and 1600 microgram</w:t>
      </w:r>
      <w:r>
        <w:rPr>
          <w:noProof/>
        </w:rPr>
        <w:t>s</w:t>
      </w:r>
      <w:r w:rsidRPr="009B7AE6">
        <w:rPr>
          <w:noProof/>
        </w:rPr>
        <w:t xml:space="preserve"> </w:t>
      </w:r>
      <w:r w:rsidR="00A35830">
        <w:rPr>
          <w:noProof/>
          <w:lang w:val="en-AU"/>
        </w:rPr>
        <w:t xml:space="preserve">of </w:t>
      </w:r>
      <w:r>
        <w:rPr>
          <w:noProof/>
        </w:rPr>
        <w:t>s</w:t>
      </w:r>
      <w:r w:rsidRPr="009B7AE6">
        <w:rPr>
          <w:noProof/>
        </w:rPr>
        <w:t>elexipag</w:t>
      </w:r>
      <w:r>
        <w:rPr>
          <w:noProof/>
        </w:rPr>
        <w:t xml:space="preserve"> twice daily </w:t>
      </w:r>
      <w:r w:rsidRPr="009B7AE6">
        <w:t xml:space="preserve">did not show an effect on cardiac </w:t>
      </w:r>
      <w:r w:rsidR="00100610" w:rsidRPr="009B7AE6">
        <w:t>repolari</w:t>
      </w:r>
      <w:r w:rsidR="00100610">
        <w:rPr>
          <w:lang w:val="en-AU"/>
        </w:rPr>
        <w:t>s</w:t>
      </w:r>
      <w:r w:rsidR="00100610" w:rsidRPr="009B7AE6">
        <w:t xml:space="preserve">ation </w:t>
      </w:r>
      <w:r w:rsidRPr="009B7AE6">
        <w:t xml:space="preserve">(the </w:t>
      </w:r>
      <w:r w:rsidRPr="004C24FB">
        <w:t>QT</w:t>
      </w:r>
      <w:r w:rsidRPr="004C24FB">
        <w:rPr>
          <w:vertAlign w:val="subscript"/>
        </w:rPr>
        <w:t>c</w:t>
      </w:r>
      <w:r w:rsidRPr="009B7AE6">
        <w:t xml:space="preserve"> interval) or conduction (PR and QRS intervals) and had a mild accelerating </w:t>
      </w:r>
      <w:r w:rsidR="0007366A" w:rsidRPr="009B7AE6">
        <w:t xml:space="preserve">effect </w:t>
      </w:r>
      <w:r w:rsidR="0007366A">
        <w:rPr>
          <w:lang w:val="en-AU"/>
        </w:rPr>
        <w:t xml:space="preserve">on </w:t>
      </w:r>
      <w:r w:rsidRPr="009B7AE6">
        <w:t>heart rate</w:t>
      </w:r>
      <w:r w:rsidRPr="004E3D91">
        <w:rPr>
          <w:lang w:val="en-US"/>
        </w:rPr>
        <w:t>.</w:t>
      </w:r>
      <w:r w:rsidR="00A014E9" w:rsidRPr="004E3D91">
        <w:rPr>
          <w:lang w:val="en-US"/>
        </w:rPr>
        <w:t xml:space="preserve"> </w:t>
      </w:r>
      <w:r w:rsidR="00A014E9" w:rsidRPr="00BC2263">
        <w:rPr>
          <w:iCs/>
          <w:szCs w:val="24"/>
        </w:rPr>
        <w:t>The</w:t>
      </w:r>
      <w:r w:rsidR="00A014E9" w:rsidRPr="00BC2263">
        <w:t xml:space="preserve"> placebo</w:t>
      </w:r>
      <w:r w:rsidR="00C53405" w:rsidRPr="004D00A4">
        <w:rPr>
          <w:lang w:val="en-US"/>
        </w:rPr>
        <w:t>-</w:t>
      </w:r>
      <w:r w:rsidR="00A014E9" w:rsidRPr="00BC2263">
        <w:t>corrected increase from time-matched baseline heart rate 1.5 to 3 hours post-dose was 6</w:t>
      </w:r>
      <w:r w:rsidR="00C53405" w:rsidRPr="004D00A4">
        <w:rPr>
          <w:lang w:val="en-US"/>
        </w:rPr>
        <w:t>–</w:t>
      </w:r>
      <w:r w:rsidR="00A014E9" w:rsidRPr="00BC2263">
        <w:t>7 bpm at 800 µg twice daily and 9</w:t>
      </w:r>
      <w:r w:rsidR="00C53405" w:rsidRPr="004D00A4">
        <w:rPr>
          <w:lang w:val="en-US"/>
        </w:rPr>
        <w:t>–</w:t>
      </w:r>
      <w:r w:rsidR="00A014E9" w:rsidRPr="00BC2263">
        <w:t xml:space="preserve">10 bpm at 1600 µg twice </w:t>
      </w:r>
      <w:r w:rsidR="00A014E9" w:rsidRPr="00BC2263">
        <w:rPr>
          <w:iCs/>
          <w:szCs w:val="24"/>
        </w:rPr>
        <w:t>daily</w:t>
      </w:r>
      <w:r w:rsidR="00BC2263" w:rsidRPr="00BC2263">
        <w:rPr>
          <w:iCs/>
          <w:szCs w:val="24"/>
          <w:lang w:val="en-US"/>
        </w:rPr>
        <w:t>.</w:t>
      </w:r>
    </w:p>
    <w:p w14:paraId="226883A4" w14:textId="77777777" w:rsidR="00763ED1" w:rsidRPr="00763ED1" w:rsidRDefault="000663C8" w:rsidP="00F07349">
      <w:pPr>
        <w:jc w:val="both"/>
      </w:pPr>
      <w:r w:rsidRPr="00C5128E">
        <w:rPr>
          <w:i/>
          <w:iCs/>
          <w:szCs w:val="24"/>
        </w:rPr>
        <w:t>Pulmonary H</w:t>
      </w:r>
      <w:r w:rsidR="00370DC0">
        <w:rPr>
          <w:i/>
          <w:iCs/>
          <w:szCs w:val="24"/>
        </w:rPr>
        <w:t>a</w:t>
      </w:r>
      <w:r w:rsidRPr="00C5128E">
        <w:rPr>
          <w:i/>
          <w:iCs/>
          <w:szCs w:val="24"/>
        </w:rPr>
        <w:t>emodynamics</w:t>
      </w:r>
      <w:r w:rsidRPr="00C5128E">
        <w:rPr>
          <w:szCs w:val="24"/>
        </w:rPr>
        <w:t xml:space="preserve">: </w:t>
      </w:r>
      <w:r w:rsidRPr="00C5128E">
        <w:t xml:space="preserve">A Phase 2 double-blind, placebo-controlled clinical study assessed </w:t>
      </w:r>
      <w:r w:rsidRPr="00C53DAA">
        <w:rPr>
          <w:szCs w:val="24"/>
        </w:rPr>
        <w:t>h</w:t>
      </w:r>
      <w:r w:rsidR="00C17667">
        <w:rPr>
          <w:szCs w:val="24"/>
        </w:rPr>
        <w:t>a</w:t>
      </w:r>
      <w:r w:rsidRPr="00C53DAA">
        <w:rPr>
          <w:szCs w:val="24"/>
        </w:rPr>
        <w:t xml:space="preserve">emodynamic </w:t>
      </w:r>
      <w:r w:rsidRPr="00C53DAA">
        <w:t xml:space="preserve">parameters </w:t>
      </w:r>
      <w:r w:rsidRPr="003A4C45">
        <w:t>after 17 weeks of treatment</w:t>
      </w:r>
      <w:r w:rsidRPr="00C53DAA">
        <w:t xml:space="preserve"> in patients with PAH WHO functional classes II–III</w:t>
      </w:r>
      <w:r>
        <w:t xml:space="preserve"> and</w:t>
      </w:r>
      <w:r w:rsidRPr="00C53DAA">
        <w:t xml:space="preserve"> </w:t>
      </w:r>
      <w:r>
        <w:t>concomitantly</w:t>
      </w:r>
      <w:r w:rsidRPr="00C53DAA">
        <w:t xml:space="preserve"> receiving</w:t>
      </w:r>
      <w:r>
        <w:t xml:space="preserve"> ERAs and/or PDE-5 inhibitor</w:t>
      </w:r>
      <w:r w:rsidRPr="00C53DAA">
        <w:t xml:space="preserve">. Patients </w:t>
      </w:r>
      <w:r w:rsidRPr="00D468AC">
        <w:rPr>
          <w:lang w:val="en-US"/>
        </w:rPr>
        <w:t>titrating</w:t>
      </w:r>
      <w:r w:rsidRPr="00C53DAA">
        <w:t xml:space="preserve"> selexipag to an individually tolerated dose (200 </w:t>
      </w:r>
      <w:r w:rsidR="007F78AC">
        <w:t>micrograms</w:t>
      </w:r>
      <w:r w:rsidR="007F78AC" w:rsidRPr="00C53DAA">
        <w:t xml:space="preserve"> </w:t>
      </w:r>
      <w:r w:rsidRPr="00ED62C0">
        <w:rPr>
          <w:lang w:val="en-US"/>
        </w:rPr>
        <w:t>twice daily</w:t>
      </w:r>
      <w:r w:rsidRPr="00C53DAA">
        <w:t xml:space="preserve"> increments up to 800 </w:t>
      </w:r>
      <w:r w:rsidR="007F78AC">
        <w:t>micrograms</w:t>
      </w:r>
      <w:r w:rsidR="007F78AC" w:rsidRPr="00C53DAA">
        <w:t xml:space="preserve"> </w:t>
      </w:r>
      <w:r w:rsidRPr="00ED62C0">
        <w:rPr>
          <w:lang w:val="en-US"/>
        </w:rPr>
        <w:t>twice daily</w:t>
      </w:r>
      <w:r w:rsidR="00102373">
        <w:rPr>
          <w:lang w:val="en-US"/>
        </w:rPr>
        <w:t>; N=33</w:t>
      </w:r>
      <w:r w:rsidRPr="00C53DAA">
        <w:t>) achieved a statistically</w:t>
      </w:r>
      <w:r w:rsidR="007F78AC">
        <w:t xml:space="preserve"> </w:t>
      </w:r>
      <w:r w:rsidRPr="00C53DAA">
        <w:t xml:space="preserve">significant </w:t>
      </w:r>
      <w:r>
        <w:t xml:space="preserve">mean </w:t>
      </w:r>
      <w:r w:rsidRPr="00C53DAA">
        <w:t>reduction in pulmonary vascular resistance</w:t>
      </w:r>
      <w:r>
        <w:t xml:space="preserve"> of 30.3%</w:t>
      </w:r>
      <w:r w:rsidRPr="00C53DAA">
        <w:t xml:space="preserve"> (95% CL −44.7%, −12.2%; P = 0.0045) and </w:t>
      </w:r>
      <w:r>
        <w:t xml:space="preserve">an </w:t>
      </w:r>
      <w:r w:rsidRPr="00C53DAA">
        <w:t>increase in cardiac index (median treatment effect</w:t>
      </w:r>
      <w:r w:rsidR="00102373">
        <w:t>)</w:t>
      </w:r>
      <w:r w:rsidRPr="00C53DAA">
        <w:t xml:space="preserve"> 0.41</w:t>
      </w:r>
      <w:r w:rsidR="00C17667">
        <w:t xml:space="preserve"> </w:t>
      </w:r>
      <w:r w:rsidRPr="00C53DAA">
        <w:t>L/min/m</w:t>
      </w:r>
      <w:r w:rsidRPr="00C53DAA">
        <w:rPr>
          <w:vertAlign w:val="superscript"/>
        </w:rPr>
        <w:t>2</w:t>
      </w:r>
      <w:r w:rsidRPr="00C53DAA">
        <w:t>, 95% CL 0.10, 0.71 compared to placebo (N=</w:t>
      </w:r>
      <w:r w:rsidR="00102373">
        <w:t>10</w:t>
      </w:r>
      <w:r w:rsidRPr="00C53DAA">
        <w:t>).</w:t>
      </w:r>
    </w:p>
    <w:p w14:paraId="226883A5" w14:textId="77777777" w:rsidR="000663C8" w:rsidRDefault="000663C8" w:rsidP="00365338">
      <w:pPr>
        <w:pStyle w:val="Heading1"/>
        <w:ind w:right="-61"/>
      </w:pPr>
    </w:p>
    <w:p w14:paraId="226883A6" w14:textId="77777777" w:rsidR="001C35B2" w:rsidRDefault="001C35B2" w:rsidP="00365338">
      <w:pPr>
        <w:pStyle w:val="Heading1"/>
        <w:ind w:right="-61"/>
      </w:pPr>
      <w:r>
        <w:t>Pharmacokinetics</w:t>
      </w:r>
    </w:p>
    <w:p w14:paraId="226883A7" w14:textId="77777777" w:rsidR="000663C8" w:rsidRPr="00D468AC" w:rsidRDefault="000663C8" w:rsidP="000663C8">
      <w:pPr>
        <w:autoSpaceDE w:val="0"/>
        <w:autoSpaceDN w:val="0"/>
        <w:adjustRightInd w:val="0"/>
        <w:spacing w:after="125" w:line="280" w:lineRule="atLeast"/>
        <w:jc w:val="both"/>
        <w:rPr>
          <w:noProof/>
          <w:szCs w:val="24"/>
        </w:rPr>
      </w:pPr>
      <w:r w:rsidRPr="00E857A6">
        <w:rPr>
          <w:color w:val="000000"/>
          <w:szCs w:val="24"/>
        </w:rPr>
        <w:t xml:space="preserve">The pharmacokinetics of selexipag and its active metabolite have been studied primarily in healthy subjects. </w:t>
      </w:r>
      <w:r w:rsidRPr="007A610C">
        <w:rPr>
          <w:noProof/>
          <w:szCs w:val="24"/>
        </w:rPr>
        <w:t xml:space="preserve">The </w:t>
      </w:r>
      <w:r w:rsidRPr="007A610C">
        <w:rPr>
          <w:color w:val="000000"/>
          <w:szCs w:val="24"/>
        </w:rPr>
        <w:t>pharmacokinetics</w:t>
      </w:r>
      <w:r w:rsidRPr="00784BC0">
        <w:rPr>
          <w:noProof/>
          <w:szCs w:val="24"/>
        </w:rPr>
        <w:t xml:space="preserve"> of selexipag and the active metabolite, both after single</w:t>
      </w:r>
      <w:r w:rsidR="00A35830">
        <w:rPr>
          <w:noProof/>
          <w:szCs w:val="24"/>
        </w:rPr>
        <w:t>-</w:t>
      </w:r>
      <w:r w:rsidRPr="00784BC0">
        <w:rPr>
          <w:noProof/>
          <w:szCs w:val="24"/>
        </w:rPr>
        <w:t xml:space="preserve"> and multiple-dose administration, were dose-proportional up to a single dose of 800 microgram</w:t>
      </w:r>
      <w:r>
        <w:rPr>
          <w:noProof/>
          <w:szCs w:val="24"/>
        </w:rPr>
        <w:t>s</w:t>
      </w:r>
      <w:r w:rsidRPr="00784BC0">
        <w:rPr>
          <w:noProof/>
          <w:szCs w:val="24"/>
        </w:rPr>
        <w:t xml:space="preserve"> and multiple doses of up to 1800 microgram</w:t>
      </w:r>
      <w:r>
        <w:rPr>
          <w:noProof/>
          <w:szCs w:val="24"/>
        </w:rPr>
        <w:t>s</w:t>
      </w:r>
      <w:r w:rsidRPr="00784BC0">
        <w:rPr>
          <w:noProof/>
          <w:szCs w:val="24"/>
        </w:rPr>
        <w:t xml:space="preserve"> twice a day</w:t>
      </w:r>
      <w:r w:rsidRPr="00D468AC">
        <w:rPr>
          <w:noProof/>
          <w:szCs w:val="24"/>
        </w:rPr>
        <w:t>. After multiple-dose administration, steady-state conditions of selexipag and active metabolite were reached within 3 days. No accumulation in plasma, either of parent compound or active metabolite, occurred after multiple-dose administration.</w:t>
      </w:r>
    </w:p>
    <w:p w14:paraId="226883A8" w14:textId="77777777" w:rsidR="000663C8" w:rsidRPr="00784BC0" w:rsidRDefault="000663C8" w:rsidP="000663C8">
      <w:pPr>
        <w:autoSpaceDE w:val="0"/>
        <w:autoSpaceDN w:val="0"/>
        <w:adjustRightInd w:val="0"/>
        <w:spacing w:after="125" w:line="280" w:lineRule="atLeast"/>
        <w:jc w:val="both"/>
        <w:rPr>
          <w:noProof/>
          <w:szCs w:val="24"/>
        </w:rPr>
      </w:pPr>
      <w:r w:rsidRPr="00D468AC">
        <w:rPr>
          <w:noProof/>
          <w:szCs w:val="24"/>
        </w:rPr>
        <w:lastRenderedPageBreak/>
        <w:t>In healthy subjects</w:t>
      </w:r>
      <w:r w:rsidR="00102373">
        <w:rPr>
          <w:noProof/>
          <w:szCs w:val="24"/>
        </w:rPr>
        <w:t>,</w:t>
      </w:r>
      <w:r w:rsidRPr="00D468AC">
        <w:rPr>
          <w:noProof/>
          <w:szCs w:val="24"/>
        </w:rPr>
        <w:t xml:space="preserve"> inter-subject variability in exposure (area under the curve over a dosing interval) at steady-state was 43% and 39% for selexipag and the active metabolite, respectively. Intra-subject variability in exposure was 24% and 19% for selexipag and the active metabolite, respectively.    </w:t>
      </w:r>
    </w:p>
    <w:p w14:paraId="226883A9" w14:textId="7FC76E3D" w:rsidR="00F910D8" w:rsidRPr="00F910D8" w:rsidRDefault="000663C8" w:rsidP="00F910D8">
      <w:pPr>
        <w:pStyle w:val="TextTi12"/>
        <w:rPr>
          <w:lang w:val="en-AU"/>
        </w:rPr>
      </w:pPr>
      <w:r w:rsidRPr="00D468AC">
        <w:rPr>
          <w:noProof/>
          <w:szCs w:val="24"/>
          <w:lang w:val="en-US"/>
        </w:rPr>
        <w:t>E</w:t>
      </w:r>
      <w:r w:rsidRPr="00D468AC">
        <w:rPr>
          <w:noProof/>
          <w:szCs w:val="24"/>
        </w:rPr>
        <w:t xml:space="preserve">xposure to selexipag and the active metabolite at steady-state </w:t>
      </w:r>
      <w:r w:rsidR="00DF02C4">
        <w:rPr>
          <w:szCs w:val="24"/>
        </w:rPr>
        <w:t>was 30% and 20% higher, respectively,</w:t>
      </w:r>
      <w:r w:rsidR="00DF02C4" w:rsidRPr="00447DC6">
        <w:rPr>
          <w:szCs w:val="24"/>
        </w:rPr>
        <w:t xml:space="preserve"> </w:t>
      </w:r>
      <w:r w:rsidR="00DF02C4" w:rsidRPr="005C5C63">
        <w:rPr>
          <w:szCs w:val="24"/>
        </w:rPr>
        <w:t>in PAH patients</w:t>
      </w:r>
      <w:r w:rsidR="00DF02C4">
        <w:rPr>
          <w:szCs w:val="24"/>
        </w:rPr>
        <w:t xml:space="preserve"> compared to healthy subjects</w:t>
      </w:r>
      <w:r w:rsidR="00F910D8">
        <w:rPr>
          <w:szCs w:val="24"/>
          <w:lang w:val="en-AU"/>
        </w:rPr>
        <w:t>.</w:t>
      </w:r>
      <w:r w:rsidR="00F910D8" w:rsidDel="00BC2263">
        <w:rPr>
          <w:szCs w:val="24"/>
          <w:lang w:val="en-AU"/>
        </w:rPr>
        <w:t xml:space="preserve"> </w:t>
      </w:r>
      <w:r w:rsidR="00F910D8" w:rsidRPr="0006048C">
        <w:rPr>
          <w:lang w:val="en-AU"/>
        </w:rPr>
        <w:t>The pharmacokinetics of selexipag and the active metabolite in PAH patients were not influenced by the severity of the disease and did not change with time.</w:t>
      </w:r>
    </w:p>
    <w:p w14:paraId="226883AB" w14:textId="77777777" w:rsidR="000663C8" w:rsidRPr="000663C8" w:rsidRDefault="000663C8" w:rsidP="000663C8">
      <w:pPr>
        <w:pStyle w:val="Heading4"/>
        <w:rPr>
          <w:rFonts w:ascii="Times New Roman" w:hAnsi="Times New Roman"/>
          <w:bCs w:val="0"/>
          <w:sz w:val="24"/>
          <w:szCs w:val="24"/>
          <w:lang w:val="x-none" w:eastAsia="x-none"/>
        </w:rPr>
      </w:pPr>
      <w:bookmarkStart w:id="1" w:name="_Toc401668125"/>
      <w:r w:rsidRPr="000663C8">
        <w:rPr>
          <w:rFonts w:ascii="Times New Roman" w:hAnsi="Times New Roman"/>
          <w:bCs w:val="0"/>
          <w:sz w:val="24"/>
          <w:szCs w:val="24"/>
          <w:lang w:val="x-none" w:eastAsia="x-none"/>
        </w:rPr>
        <w:t>Absorption</w:t>
      </w:r>
      <w:bookmarkEnd w:id="1"/>
    </w:p>
    <w:p w14:paraId="226883AC" w14:textId="77777777" w:rsidR="000663C8" w:rsidRPr="00D468AC" w:rsidRDefault="000663C8" w:rsidP="000663C8">
      <w:pPr>
        <w:pStyle w:val="TextTi12"/>
      </w:pPr>
      <w:r w:rsidRPr="00D468AC">
        <w:rPr>
          <w:noProof/>
        </w:rPr>
        <w:t xml:space="preserve">Selexipag is rapidly absorbed and is </w:t>
      </w:r>
      <w:r w:rsidRPr="00D468AC">
        <w:t>hydroly</w:t>
      </w:r>
      <w:r w:rsidR="00370DC0">
        <w:rPr>
          <w:lang w:val="en-AU"/>
        </w:rPr>
        <w:t>s</w:t>
      </w:r>
      <w:r w:rsidRPr="00D468AC">
        <w:t xml:space="preserve">ed by CES1 </w:t>
      </w:r>
      <w:r w:rsidRPr="00D468AC">
        <w:rPr>
          <w:lang w:val="en-US"/>
        </w:rPr>
        <w:t xml:space="preserve">in the liver </w:t>
      </w:r>
      <w:r w:rsidRPr="00D468AC">
        <w:t xml:space="preserve">to its active metabolite. </w:t>
      </w:r>
    </w:p>
    <w:p w14:paraId="226883AD" w14:textId="77777777" w:rsidR="000663C8" w:rsidRPr="00D468AC" w:rsidRDefault="000663C8" w:rsidP="000663C8">
      <w:pPr>
        <w:pStyle w:val="TextTi12"/>
      </w:pPr>
      <w:r w:rsidRPr="00D468AC">
        <w:t>Maxim</w:t>
      </w:r>
      <w:r w:rsidRPr="00D468AC">
        <w:rPr>
          <w:lang w:val="en-US"/>
        </w:rPr>
        <w:t>um</w:t>
      </w:r>
      <w:r w:rsidRPr="00D468AC">
        <w:t xml:space="preserve"> observed plasma concentrations of selexipag and its active metabolite </w:t>
      </w:r>
      <w:r w:rsidRPr="00D468AC">
        <w:rPr>
          <w:noProof/>
        </w:rPr>
        <w:t>after oral administration</w:t>
      </w:r>
      <w:r w:rsidRPr="00D468AC">
        <w:t xml:space="preserve"> are reached within 1–</w:t>
      </w:r>
      <w:r w:rsidRPr="00D468AC">
        <w:rPr>
          <w:lang w:val="en-US"/>
        </w:rPr>
        <w:t>3</w:t>
      </w:r>
      <w:r w:rsidR="002E69CF">
        <w:rPr>
          <w:lang w:val="en-AU"/>
        </w:rPr>
        <w:t xml:space="preserve"> </w:t>
      </w:r>
      <w:r w:rsidRPr="00D468AC">
        <w:t>h and 3–4</w:t>
      </w:r>
      <w:r w:rsidR="002E69CF">
        <w:rPr>
          <w:lang w:val="en-AU"/>
        </w:rPr>
        <w:t xml:space="preserve"> </w:t>
      </w:r>
      <w:r w:rsidRPr="00D468AC">
        <w:t>h, respectively.</w:t>
      </w:r>
    </w:p>
    <w:p w14:paraId="226883AE" w14:textId="77777777" w:rsidR="000663C8" w:rsidRPr="003727E2" w:rsidRDefault="000663C8" w:rsidP="000663C8">
      <w:pPr>
        <w:pStyle w:val="TextTi12"/>
        <w:rPr>
          <w:noProof/>
          <w:highlight w:val="yellow"/>
        </w:rPr>
      </w:pPr>
      <w:r w:rsidRPr="00D468AC">
        <w:t>In the presence of food, the exposure to selexipag after a single dose of 400</w:t>
      </w:r>
      <w:r w:rsidR="002E69CF">
        <w:rPr>
          <w:lang w:val="en-AU"/>
        </w:rPr>
        <w:t xml:space="preserve"> </w:t>
      </w:r>
      <w:r w:rsidRPr="00D468AC">
        <w:t>micrograms was increased by 10% in Caucasian subjects and decreased by 1</w:t>
      </w:r>
      <w:r w:rsidRPr="00D468AC">
        <w:rPr>
          <w:lang w:val="en-US"/>
        </w:rPr>
        <w:t>5</w:t>
      </w:r>
      <w:r w:rsidRPr="00D468AC">
        <w:t>% in Japanese subjects, whereas</w:t>
      </w:r>
      <w:r w:rsidRPr="00D468AC">
        <w:rPr>
          <w:lang w:val="en-US"/>
        </w:rPr>
        <w:t xml:space="preserve"> exposure to the </w:t>
      </w:r>
      <w:r w:rsidRPr="00D468AC">
        <w:t xml:space="preserve">active metabolite was decreased by 27% </w:t>
      </w:r>
      <w:r w:rsidRPr="00D468AC">
        <w:rPr>
          <w:noProof/>
        </w:rPr>
        <w:t xml:space="preserve">(Caucasian subjects) and </w:t>
      </w:r>
      <w:r w:rsidRPr="00D468AC">
        <w:rPr>
          <w:noProof/>
          <w:lang w:val="en-US"/>
        </w:rPr>
        <w:t>12</w:t>
      </w:r>
      <w:r w:rsidRPr="00D468AC">
        <w:rPr>
          <w:noProof/>
        </w:rPr>
        <w:t>% (Japanese subjects)</w:t>
      </w:r>
      <w:r w:rsidRPr="00D468AC">
        <w:t xml:space="preserve">. </w:t>
      </w:r>
      <w:r w:rsidR="00102373">
        <w:rPr>
          <w:lang w:val="en-AU"/>
        </w:rPr>
        <w:t>More subjects</w:t>
      </w:r>
      <w:r w:rsidR="00102373" w:rsidRPr="00D468AC">
        <w:t xml:space="preserve"> </w:t>
      </w:r>
      <w:r w:rsidRPr="00D468AC">
        <w:t xml:space="preserve">reported adverse events after administration in the fasted than in the fed state. </w:t>
      </w:r>
    </w:p>
    <w:p w14:paraId="226883AF" w14:textId="77777777" w:rsidR="000663C8" w:rsidRPr="000663C8" w:rsidRDefault="000663C8" w:rsidP="000663C8">
      <w:pPr>
        <w:pStyle w:val="Heading4"/>
        <w:rPr>
          <w:rFonts w:ascii="Times New Roman" w:hAnsi="Times New Roman"/>
          <w:bCs w:val="0"/>
          <w:sz w:val="24"/>
          <w:szCs w:val="24"/>
          <w:lang w:val="x-none" w:eastAsia="x-none"/>
        </w:rPr>
      </w:pPr>
      <w:bookmarkStart w:id="2" w:name="_Toc401668126"/>
      <w:r w:rsidRPr="000663C8">
        <w:rPr>
          <w:rFonts w:ascii="Times New Roman" w:hAnsi="Times New Roman"/>
          <w:bCs w:val="0"/>
          <w:sz w:val="24"/>
          <w:szCs w:val="24"/>
          <w:lang w:val="x-none" w:eastAsia="x-none"/>
        </w:rPr>
        <w:t>Distribution</w:t>
      </w:r>
      <w:bookmarkEnd w:id="2"/>
    </w:p>
    <w:p w14:paraId="226883B0" w14:textId="77777777" w:rsidR="000663C8" w:rsidRPr="00B341FC" w:rsidRDefault="000663C8" w:rsidP="000663C8">
      <w:pPr>
        <w:pStyle w:val="TextTi12"/>
        <w:rPr>
          <w:noProof/>
        </w:rPr>
      </w:pPr>
      <w:r w:rsidRPr="007A610C">
        <w:rPr>
          <w:noProof/>
        </w:rPr>
        <w:t xml:space="preserve">Selexipag and its active metabolite are highly bound </w:t>
      </w:r>
      <w:r w:rsidRPr="00784BC0">
        <w:rPr>
          <w:noProof/>
        </w:rPr>
        <w:t xml:space="preserve">to plasma proteins (approximately </w:t>
      </w:r>
      <w:r w:rsidRPr="00B341FC">
        <w:rPr>
          <w:noProof/>
        </w:rPr>
        <w:t xml:space="preserve">99% </w:t>
      </w:r>
      <w:r w:rsidRPr="001F4F13">
        <w:rPr>
          <w:noProof/>
          <w:lang w:val="en-US"/>
        </w:rPr>
        <w:t xml:space="preserve">in total and </w:t>
      </w:r>
      <w:r w:rsidRPr="00B341FC">
        <w:rPr>
          <w:noProof/>
        </w:rPr>
        <w:t>to the same extent to albumin and alpha1-acid glycoprotein).</w:t>
      </w:r>
    </w:p>
    <w:p w14:paraId="226883B1" w14:textId="77777777" w:rsidR="000663C8" w:rsidRPr="000663C8" w:rsidRDefault="000663C8" w:rsidP="000663C8">
      <w:pPr>
        <w:pStyle w:val="Heading4"/>
        <w:rPr>
          <w:rFonts w:ascii="Times New Roman" w:hAnsi="Times New Roman"/>
          <w:bCs w:val="0"/>
          <w:sz w:val="24"/>
          <w:szCs w:val="24"/>
          <w:lang w:val="x-none" w:eastAsia="x-none"/>
        </w:rPr>
      </w:pPr>
      <w:bookmarkStart w:id="3" w:name="_Toc401668127"/>
      <w:r w:rsidRPr="000663C8">
        <w:rPr>
          <w:rFonts w:ascii="Times New Roman" w:hAnsi="Times New Roman"/>
          <w:bCs w:val="0"/>
          <w:sz w:val="24"/>
          <w:szCs w:val="24"/>
          <w:lang w:val="x-none" w:eastAsia="x-none"/>
        </w:rPr>
        <w:t>Biotransformation</w:t>
      </w:r>
      <w:bookmarkEnd w:id="3"/>
    </w:p>
    <w:p w14:paraId="226883B2" w14:textId="24B3F45B" w:rsidR="000663C8" w:rsidRPr="00FB6433" w:rsidRDefault="000663C8" w:rsidP="000663C8">
      <w:pPr>
        <w:pStyle w:val="TextTi12"/>
        <w:rPr>
          <w:szCs w:val="24"/>
        </w:rPr>
      </w:pPr>
      <w:r w:rsidRPr="00D468AC">
        <w:rPr>
          <w:rFonts w:eastAsia="MS PGothic"/>
          <w:szCs w:val="24"/>
        </w:rPr>
        <w:t>Selexipag undergoes enzymatic hydrolysis of the acylsulfonamide by CES1, to yield the active metabolite.</w:t>
      </w:r>
      <w:r w:rsidRPr="00D468AC">
        <w:t xml:space="preserve"> Oxidative metabolism cataly</w:t>
      </w:r>
      <w:r w:rsidR="002E69CF">
        <w:rPr>
          <w:lang w:val="en-AU"/>
        </w:rPr>
        <w:t>s</w:t>
      </w:r>
      <w:r w:rsidRPr="00D468AC">
        <w:t>ed by CYP3A4 and CYP2C8 leads to the formation of hydroxylated and dealkylated products</w:t>
      </w:r>
      <w:r w:rsidRPr="00D468AC">
        <w:rPr>
          <w:lang w:val="en-US"/>
        </w:rPr>
        <w:t>.</w:t>
      </w:r>
      <w:r w:rsidRPr="00D468AC">
        <w:t xml:space="preserve"> UGT1A3 and UGT2B7 are involved in the glucuronidation of the active metabolite.</w:t>
      </w:r>
      <w:r w:rsidRPr="00D468AC">
        <w:rPr>
          <w:rFonts w:eastAsia="MS PGothic"/>
          <w:szCs w:val="24"/>
        </w:rPr>
        <w:t xml:space="preserve"> Except for the active metabolite,</w:t>
      </w:r>
      <w:r w:rsidRPr="00D468AC">
        <w:rPr>
          <w:szCs w:val="24"/>
        </w:rPr>
        <w:t xml:space="preserve"> none of the circulating metabolites in human plasma exceeds 3% of the total drug-related material.</w:t>
      </w:r>
      <w:r w:rsidRPr="00D468AC">
        <w:rPr>
          <w:rFonts w:eastAsia="MS PGothic"/>
          <w:szCs w:val="24"/>
        </w:rPr>
        <w:t xml:space="preserve"> </w:t>
      </w:r>
      <w:r w:rsidRPr="00D468AC">
        <w:rPr>
          <w:color w:val="000000"/>
          <w:szCs w:val="24"/>
        </w:rPr>
        <w:t>Both in healthy subjects and PAH patients,</w:t>
      </w:r>
      <w:r w:rsidRPr="00D468AC">
        <w:rPr>
          <w:szCs w:val="24"/>
        </w:rPr>
        <w:t xml:space="preserve"> exposure </w:t>
      </w:r>
      <w:r w:rsidRPr="00D468AC">
        <w:rPr>
          <w:color w:val="000000"/>
          <w:szCs w:val="24"/>
        </w:rPr>
        <w:t xml:space="preserve">at steady-state </w:t>
      </w:r>
      <w:r w:rsidRPr="00D468AC">
        <w:rPr>
          <w:szCs w:val="24"/>
        </w:rPr>
        <w:t>to the active metabolite is approximately 3- to 4-fold higher than to the parent compound</w:t>
      </w:r>
      <w:r w:rsidRPr="00D468AC">
        <w:rPr>
          <w:szCs w:val="24"/>
          <w:lang w:val="en-US"/>
        </w:rPr>
        <w:t>.</w:t>
      </w:r>
      <w:r w:rsidRPr="00FB6433">
        <w:rPr>
          <w:szCs w:val="24"/>
        </w:rPr>
        <w:t xml:space="preserve"> </w:t>
      </w:r>
    </w:p>
    <w:p w14:paraId="226883B3" w14:textId="77777777" w:rsidR="000663C8" w:rsidRPr="000663C8" w:rsidRDefault="000663C8" w:rsidP="000663C8">
      <w:pPr>
        <w:pStyle w:val="Heading4"/>
        <w:rPr>
          <w:rFonts w:ascii="Times New Roman" w:hAnsi="Times New Roman"/>
          <w:bCs w:val="0"/>
          <w:sz w:val="24"/>
          <w:szCs w:val="24"/>
          <w:lang w:val="x-none" w:eastAsia="x-none"/>
        </w:rPr>
      </w:pPr>
      <w:bookmarkStart w:id="4" w:name="_Toc401668128"/>
      <w:r w:rsidRPr="000663C8">
        <w:rPr>
          <w:rFonts w:ascii="Times New Roman" w:hAnsi="Times New Roman"/>
          <w:bCs w:val="0"/>
          <w:sz w:val="24"/>
          <w:szCs w:val="24"/>
          <w:lang w:val="x-none" w:eastAsia="x-none"/>
        </w:rPr>
        <w:t>Elimination</w:t>
      </w:r>
      <w:bookmarkEnd w:id="4"/>
    </w:p>
    <w:p w14:paraId="226883B4" w14:textId="77777777" w:rsidR="00467D27" w:rsidRPr="00467D27" w:rsidRDefault="000663C8" w:rsidP="00356A1A">
      <w:pPr>
        <w:jc w:val="both"/>
        <w:rPr>
          <w:rFonts w:ascii="Times New Roman" w:hAnsi="Times New Roman"/>
          <w:i/>
          <w:szCs w:val="22"/>
          <w:u w:val="single"/>
        </w:rPr>
      </w:pPr>
      <w:r w:rsidRPr="009B7AE6">
        <w:rPr>
          <w:noProof/>
        </w:rPr>
        <w:t>Elimination of selexipag is predominantly via metabolism with a mean terminal half-life of 0.8</w:t>
      </w:r>
      <w:r w:rsidR="00356A1A">
        <w:rPr>
          <w:noProof/>
        </w:rPr>
        <w:t>-</w:t>
      </w:r>
      <w:r w:rsidRPr="009B7AE6">
        <w:rPr>
          <w:noProof/>
        </w:rPr>
        <w:t>2</w:t>
      </w:r>
      <w:r>
        <w:rPr>
          <w:noProof/>
        </w:rPr>
        <w:t>.5</w:t>
      </w:r>
      <w:r w:rsidRPr="009B7AE6">
        <w:rPr>
          <w:noProof/>
        </w:rPr>
        <w:t xml:space="preserve"> h. The active metabolite has a half-life of 6.2</w:t>
      </w:r>
      <w:r w:rsidR="00356A1A">
        <w:rPr>
          <w:noProof/>
        </w:rPr>
        <w:t>-</w:t>
      </w:r>
      <w:r w:rsidRPr="009B7AE6">
        <w:rPr>
          <w:noProof/>
        </w:rPr>
        <w:t xml:space="preserve">13.5h. </w:t>
      </w:r>
      <w:r w:rsidR="00356A1A">
        <w:rPr>
          <w:noProof/>
        </w:rPr>
        <w:t xml:space="preserve"> </w:t>
      </w:r>
      <w:r w:rsidRPr="001F4F13">
        <w:rPr>
          <w:noProof/>
          <w:lang w:val="en-US"/>
        </w:rPr>
        <w:t>The a</w:t>
      </w:r>
      <w:r w:rsidRPr="009B7AE6">
        <w:rPr>
          <w:noProof/>
        </w:rPr>
        <w:t xml:space="preserve">pparent oral clearance of selexipag is on average </w:t>
      </w:r>
      <w:r w:rsidRPr="009B7AE6">
        <w:rPr>
          <w:szCs w:val="24"/>
        </w:rPr>
        <w:t xml:space="preserve">35 </w:t>
      </w:r>
      <w:r w:rsidRPr="009B7AE6">
        <w:rPr>
          <w:noProof/>
          <w:szCs w:val="24"/>
        </w:rPr>
        <w:t>L/h</w:t>
      </w:r>
      <w:r w:rsidRPr="009B7AE6">
        <w:rPr>
          <w:noProof/>
        </w:rPr>
        <w:t xml:space="preserve">. </w:t>
      </w:r>
      <w:r w:rsidRPr="009B7AE6">
        <w:t xml:space="preserve">Excretion </w:t>
      </w:r>
      <w:r>
        <w:t xml:space="preserve">in healthy subjects </w:t>
      </w:r>
      <w:r w:rsidRPr="009B7AE6">
        <w:t>was complete 5</w:t>
      </w:r>
      <w:r w:rsidR="002E69CF">
        <w:t xml:space="preserve"> </w:t>
      </w:r>
      <w:r w:rsidRPr="009B7AE6">
        <w:t>days after administration and occurred primarily via f</w:t>
      </w:r>
      <w:r w:rsidR="002E69CF">
        <w:t>a</w:t>
      </w:r>
      <w:r w:rsidRPr="009B7AE6">
        <w:t>eces (</w:t>
      </w:r>
      <w:r w:rsidRPr="009B7AE6">
        <w:rPr>
          <w:noProof/>
        </w:rPr>
        <w:t>accounting for 93% of the administered dose) compared to 12% in urine</w:t>
      </w:r>
      <w:r w:rsidR="00475505">
        <w:rPr>
          <w:noProof/>
        </w:rPr>
        <w:t>.</w:t>
      </w:r>
    </w:p>
    <w:p w14:paraId="226883B5" w14:textId="77777777" w:rsidR="00467D27" w:rsidRPr="00467D27" w:rsidRDefault="00467D27" w:rsidP="00467D27">
      <w:pPr>
        <w:rPr>
          <w:rFonts w:ascii="Times New Roman" w:hAnsi="Times New Roman"/>
        </w:rPr>
      </w:pPr>
    </w:p>
    <w:p w14:paraId="226883B6" w14:textId="77777777" w:rsidR="00467D27" w:rsidRPr="00597E3C" w:rsidRDefault="00467D27" w:rsidP="00467D27">
      <w:pPr>
        <w:pStyle w:val="PlainText"/>
        <w:keepNext/>
        <w:jc w:val="both"/>
        <w:rPr>
          <w:rFonts w:ascii="Times New Roman" w:hAnsi="Times New Roman"/>
          <w:b/>
          <w:sz w:val="24"/>
        </w:rPr>
      </w:pPr>
      <w:r w:rsidRPr="00597E3C">
        <w:rPr>
          <w:rFonts w:ascii="Times New Roman" w:hAnsi="Times New Roman"/>
          <w:b/>
          <w:sz w:val="24"/>
        </w:rPr>
        <w:t>Special populations</w:t>
      </w:r>
    </w:p>
    <w:p w14:paraId="25A4160D" w14:textId="20DD187E" w:rsidR="00E43F3F" w:rsidRDefault="000663C8" w:rsidP="00E43F3F">
      <w:pPr>
        <w:pStyle w:val="TextTi12"/>
        <w:rPr>
          <w:color w:val="000000"/>
          <w:lang w:val="en-US"/>
        </w:rPr>
      </w:pPr>
      <w:r w:rsidRPr="00D468AC" w:rsidDel="001E4E55">
        <w:rPr>
          <w:szCs w:val="24"/>
        </w:rPr>
        <w:t>No clinically relevant effects of sex, race</w:t>
      </w:r>
      <w:r w:rsidRPr="00D468AC" w:rsidDel="001E4E55">
        <w:rPr>
          <w:szCs w:val="24"/>
          <w:lang w:val="en-US"/>
        </w:rPr>
        <w:t>, age</w:t>
      </w:r>
      <w:r w:rsidRPr="00D468AC" w:rsidDel="001E4E55">
        <w:rPr>
          <w:szCs w:val="24"/>
        </w:rPr>
        <w:t xml:space="preserve"> or body weight on the pharmacokinetics of selexipag and its active metabolite have been observed in healthy subjects or PAH patients</w:t>
      </w:r>
      <w:r w:rsidRPr="00D468AC" w:rsidDel="001E4E55">
        <w:rPr>
          <w:szCs w:val="24"/>
          <w:lang w:val="en-US"/>
        </w:rPr>
        <w:t>.</w:t>
      </w:r>
      <w:r w:rsidRPr="00256439" w:rsidDel="001E4E55">
        <w:rPr>
          <w:color w:val="000000"/>
          <w:szCs w:val="24"/>
        </w:rPr>
        <w:t xml:space="preserve"> </w:t>
      </w:r>
      <w:r w:rsidR="001E4E55" w:rsidRPr="00BC2263">
        <w:rPr>
          <w:color w:val="000000"/>
          <w:lang w:val="en-US"/>
        </w:rPr>
        <w:t xml:space="preserve">In PAH patients, the exposure to selexipag and ACT-333679 decreased 9% and 4%, respectively, with increasing age from 23 to 72 years. PAH patients with body weights of 51 (96) kg </w:t>
      </w:r>
      <w:r w:rsidR="001E4E55" w:rsidRPr="00BC2263">
        <w:rPr>
          <w:color w:val="000000"/>
          <w:szCs w:val="24"/>
          <w:lang w:val="en-US"/>
        </w:rPr>
        <w:t>show</w:t>
      </w:r>
      <w:r w:rsidR="00B90767">
        <w:rPr>
          <w:color w:val="000000"/>
          <w:szCs w:val="24"/>
          <w:lang w:val="en-US"/>
        </w:rPr>
        <w:t>ed</w:t>
      </w:r>
      <w:r w:rsidR="001E4E55" w:rsidRPr="00BC2263">
        <w:rPr>
          <w:color w:val="000000"/>
          <w:lang w:val="en-US"/>
        </w:rPr>
        <w:t xml:space="preserve"> 30% higher (20% lower) exposure to selexipag </w:t>
      </w:r>
      <w:r w:rsidR="001E4E55" w:rsidRPr="00BC2263">
        <w:rPr>
          <w:color w:val="000000"/>
          <w:lang w:val="en-US"/>
        </w:rPr>
        <w:lastRenderedPageBreak/>
        <w:t xml:space="preserve">and 20% higher (10% lower) exposure to ACT-333679 compared to patients of 70 kg body weight. PAH male patients showed 13% lower exposure to ACT-333679 than female patients. </w:t>
      </w:r>
      <w:r w:rsidR="0005793C" w:rsidRPr="0005793C">
        <w:rPr>
          <w:color w:val="000000"/>
          <w:szCs w:val="24"/>
          <w:lang w:val="en-US"/>
        </w:rPr>
        <w:t>These differences</w:t>
      </w:r>
      <w:r w:rsidR="001E4E55" w:rsidRPr="00BC2263">
        <w:rPr>
          <w:color w:val="000000"/>
          <w:lang w:val="en-US"/>
        </w:rPr>
        <w:t xml:space="preserve"> are </w:t>
      </w:r>
      <w:r w:rsidR="0005793C" w:rsidRPr="0005793C">
        <w:rPr>
          <w:color w:val="000000"/>
          <w:szCs w:val="24"/>
          <w:lang w:val="en-US"/>
        </w:rPr>
        <w:t>smaller</w:t>
      </w:r>
      <w:r w:rsidR="001E4E55" w:rsidRPr="00BC2263">
        <w:rPr>
          <w:color w:val="000000"/>
          <w:lang w:val="en-US"/>
        </w:rPr>
        <w:t xml:space="preserve"> than the intersubject variability</w:t>
      </w:r>
      <w:r w:rsidR="00D54115">
        <w:rPr>
          <w:color w:val="000000"/>
          <w:szCs w:val="24"/>
          <w:lang w:val="en-US"/>
        </w:rPr>
        <w:t>,</w:t>
      </w:r>
      <w:r w:rsidR="001E4E55" w:rsidRPr="00BC2263">
        <w:rPr>
          <w:color w:val="000000"/>
          <w:lang w:val="en-US"/>
        </w:rPr>
        <w:t xml:space="preserve"> which is larger than 30%</w:t>
      </w:r>
      <w:r w:rsidR="00416FDD">
        <w:rPr>
          <w:color w:val="000000"/>
          <w:lang w:val="en-US"/>
        </w:rPr>
        <w:t>.</w:t>
      </w:r>
    </w:p>
    <w:p w14:paraId="33953906" w14:textId="77777777" w:rsidR="006641A6" w:rsidRDefault="000663C8" w:rsidP="006641A6">
      <w:pPr>
        <w:pStyle w:val="TextTi12"/>
        <w:spacing w:after="0" w:line="240" w:lineRule="auto"/>
        <w:rPr>
          <w:i/>
          <w:noProof/>
          <w:szCs w:val="24"/>
          <w:lang w:val="en-AU"/>
        </w:rPr>
      </w:pPr>
      <w:r w:rsidRPr="00256439">
        <w:rPr>
          <w:i/>
          <w:noProof/>
          <w:szCs w:val="24"/>
        </w:rPr>
        <w:t xml:space="preserve">Renal impairment </w:t>
      </w:r>
    </w:p>
    <w:p w14:paraId="226883B9" w14:textId="7EB97670" w:rsidR="00DF02C4" w:rsidRPr="00DF02C4" w:rsidRDefault="00DF02C4" w:rsidP="006641A6">
      <w:pPr>
        <w:pStyle w:val="TextTi12"/>
        <w:spacing w:after="0" w:line="240" w:lineRule="auto"/>
        <w:rPr>
          <w:szCs w:val="24"/>
        </w:rPr>
      </w:pPr>
      <w:r w:rsidRPr="00DF02C4">
        <w:rPr>
          <w:szCs w:val="24"/>
        </w:rPr>
        <w:t>The AUC</w:t>
      </w:r>
      <w:r w:rsidRPr="00DF02C4">
        <w:rPr>
          <w:szCs w:val="24"/>
          <w:vertAlign w:val="subscript"/>
        </w:rPr>
        <w:t xml:space="preserve">0-∞ </w:t>
      </w:r>
      <w:r w:rsidRPr="00DF02C4">
        <w:rPr>
          <w:szCs w:val="24"/>
        </w:rPr>
        <w:t xml:space="preserve">values of selexipag and ACT-333679 were increased 1.73-fold and 1.61-fold, respectively, in subjects with </w:t>
      </w:r>
      <w:r w:rsidR="00B90767">
        <w:rPr>
          <w:szCs w:val="24"/>
        </w:rPr>
        <w:t>severe renal function impairment (</w:t>
      </w:r>
      <w:r w:rsidRPr="00DF02C4">
        <w:rPr>
          <w:szCs w:val="24"/>
        </w:rPr>
        <w:t>SRFI</w:t>
      </w:r>
      <w:r w:rsidR="00B90767">
        <w:rPr>
          <w:szCs w:val="24"/>
        </w:rPr>
        <w:t>)</w:t>
      </w:r>
      <w:r w:rsidRPr="00DF02C4">
        <w:rPr>
          <w:szCs w:val="24"/>
        </w:rPr>
        <w:t xml:space="preserve"> compared to healthy subjects</w:t>
      </w:r>
      <w:r w:rsidR="0011139D">
        <w:rPr>
          <w:szCs w:val="24"/>
        </w:rPr>
        <w:t>,</w:t>
      </w:r>
      <w:r w:rsidRPr="00DF02C4">
        <w:rPr>
          <w:szCs w:val="24"/>
        </w:rPr>
        <w:t xml:space="preserve"> and the t</w:t>
      </w:r>
      <w:r w:rsidRPr="00DF02C4">
        <w:rPr>
          <w:szCs w:val="24"/>
          <w:vertAlign w:val="subscript"/>
        </w:rPr>
        <w:t>1/2</w:t>
      </w:r>
      <w:r w:rsidRPr="00DF02C4">
        <w:rPr>
          <w:szCs w:val="24"/>
        </w:rPr>
        <w:t xml:space="preserve"> of ACT-333679 was prolonged 1.61-fold in patients with SRFI.</w:t>
      </w:r>
    </w:p>
    <w:p w14:paraId="1B794B4F" w14:textId="77777777" w:rsidR="00E43F3F" w:rsidRDefault="00E43F3F" w:rsidP="000663C8">
      <w:pPr>
        <w:pStyle w:val="TextTi12"/>
        <w:spacing w:after="0" w:line="240" w:lineRule="auto"/>
        <w:rPr>
          <w:i/>
          <w:szCs w:val="24"/>
          <w:lang w:val="en-AU"/>
        </w:rPr>
      </w:pPr>
    </w:p>
    <w:p w14:paraId="226883BC" w14:textId="77777777" w:rsidR="000663C8" w:rsidRPr="00256439" w:rsidRDefault="000663C8" w:rsidP="000663C8">
      <w:pPr>
        <w:pStyle w:val="TextTi12"/>
        <w:spacing w:after="0" w:line="240" w:lineRule="auto"/>
        <w:rPr>
          <w:i/>
          <w:szCs w:val="24"/>
        </w:rPr>
      </w:pPr>
      <w:r w:rsidRPr="00256439">
        <w:rPr>
          <w:i/>
          <w:szCs w:val="24"/>
        </w:rPr>
        <w:t>Hepatic impairment</w:t>
      </w:r>
    </w:p>
    <w:p w14:paraId="226883BD" w14:textId="77777777" w:rsidR="00841126" w:rsidRDefault="000663C8" w:rsidP="000663C8">
      <w:pPr>
        <w:pStyle w:val="PlainText"/>
        <w:keepNext/>
        <w:jc w:val="both"/>
        <w:rPr>
          <w:rFonts w:ascii="Times New Roman" w:hAnsi="Times New Roman"/>
          <w:sz w:val="24"/>
          <w:lang w:val="en-AU"/>
        </w:rPr>
      </w:pPr>
      <w:r w:rsidRPr="000663C8">
        <w:rPr>
          <w:rFonts w:ascii="Times New Roman" w:hAnsi="Times New Roman"/>
          <w:sz w:val="24"/>
        </w:rPr>
        <w:t>In subjects with mild (Child-Pugh A) or moderate (Child-Pugh B) hepatic impairment, exposure to selexipag was 2- and 4-fold higher, respectively, when compared to healthy subjects. Exposure to the active metabolite remained almost unchanged in subjects with mild hepatic impairment and was doubled in subjects with moderate hepatic impairment. Only two subjects with severe (Child-Pugh C) hepatic impairment were dosed with selexipag. Exposure to selexipag and its active metabolite in these two subjects was similar to that in subjects with moderate (Child-Pugh B) hepatic impairment.</w:t>
      </w:r>
    </w:p>
    <w:p w14:paraId="5DEEC1C8" w14:textId="77777777" w:rsidR="004457AD" w:rsidRPr="00C14442" w:rsidRDefault="004457AD" w:rsidP="000663C8">
      <w:pPr>
        <w:pStyle w:val="PlainText"/>
        <w:keepNext/>
        <w:jc w:val="both"/>
        <w:rPr>
          <w:rFonts w:ascii="Times New Roman" w:hAnsi="Times New Roman"/>
          <w:sz w:val="24"/>
          <w:lang w:val="en-AU"/>
        </w:rPr>
      </w:pPr>
    </w:p>
    <w:p w14:paraId="287B418C" w14:textId="7F190F90" w:rsidR="00933F1A" w:rsidRPr="00BC2263" w:rsidRDefault="00933F1A" w:rsidP="00933F1A">
      <w:pPr>
        <w:autoSpaceDE w:val="0"/>
        <w:autoSpaceDN w:val="0"/>
        <w:adjustRightInd w:val="0"/>
        <w:jc w:val="both"/>
        <w:rPr>
          <w:rFonts w:ascii="Cambria" w:hAnsi="Cambria"/>
          <w:color w:val="000000"/>
          <w:sz w:val="22"/>
          <w:lang w:val="en-US"/>
        </w:rPr>
      </w:pPr>
      <w:r w:rsidRPr="00BC2263">
        <w:rPr>
          <w:sz w:val="23"/>
        </w:rPr>
        <w:t xml:space="preserve">Based on pharmacokinetic </w:t>
      </w:r>
      <w:r w:rsidRPr="00BC2263">
        <w:rPr>
          <w:sz w:val="23"/>
          <w:szCs w:val="23"/>
        </w:rPr>
        <w:t>model</w:t>
      </w:r>
      <w:r w:rsidR="00D54115">
        <w:rPr>
          <w:sz w:val="23"/>
          <w:szCs w:val="23"/>
        </w:rPr>
        <w:t>l</w:t>
      </w:r>
      <w:r w:rsidRPr="00BC2263">
        <w:rPr>
          <w:sz w:val="23"/>
          <w:szCs w:val="23"/>
        </w:rPr>
        <w:t>ing</w:t>
      </w:r>
      <w:r w:rsidRPr="00BC2263">
        <w:rPr>
          <w:sz w:val="23"/>
        </w:rPr>
        <w:t xml:space="preserve"> of data from a study in subjects with hepatic impairment, the exposure to the active metabolite at steady state in subjects with moderate hepatic impairment (Child-Pugh class B) after a once</w:t>
      </w:r>
      <w:r w:rsidR="00D54115">
        <w:rPr>
          <w:sz w:val="23"/>
          <w:szCs w:val="23"/>
        </w:rPr>
        <w:t>-</w:t>
      </w:r>
      <w:r w:rsidRPr="00BC2263">
        <w:rPr>
          <w:sz w:val="23"/>
        </w:rPr>
        <w:t>daily regimen is expected to be similar to that in healthy subjects receiving a twice</w:t>
      </w:r>
      <w:r w:rsidR="00D54115">
        <w:rPr>
          <w:sz w:val="23"/>
          <w:szCs w:val="23"/>
        </w:rPr>
        <w:t>-</w:t>
      </w:r>
      <w:r w:rsidRPr="00BC2263">
        <w:rPr>
          <w:sz w:val="23"/>
        </w:rPr>
        <w:t>daily regimen. The exposure to selexipag at steady state in these patients during a once</w:t>
      </w:r>
      <w:r w:rsidR="00D54115">
        <w:rPr>
          <w:sz w:val="23"/>
          <w:szCs w:val="23"/>
        </w:rPr>
        <w:t>-</w:t>
      </w:r>
      <w:r w:rsidRPr="00BC2263">
        <w:rPr>
          <w:sz w:val="23"/>
        </w:rPr>
        <w:t>daily regimen is predicted to be approximately 2-fold that seen in healthy subjects receiving a twice-daily regimen.</w:t>
      </w:r>
    </w:p>
    <w:p w14:paraId="226883BE" w14:textId="77777777" w:rsidR="000663C8" w:rsidRDefault="000663C8" w:rsidP="00365338">
      <w:pPr>
        <w:pStyle w:val="Heading1"/>
        <w:ind w:right="-61"/>
      </w:pPr>
    </w:p>
    <w:p w14:paraId="226883BF" w14:textId="77777777" w:rsidR="001C35B2" w:rsidRPr="00C877C4" w:rsidRDefault="001C35B2" w:rsidP="00365338">
      <w:pPr>
        <w:pStyle w:val="Heading1"/>
        <w:ind w:right="-61"/>
      </w:pPr>
      <w:r w:rsidRPr="00AE1D40">
        <w:t>CLINICAL TRIALS</w:t>
      </w:r>
    </w:p>
    <w:p w14:paraId="226883C0" w14:textId="77777777" w:rsidR="00647F04" w:rsidRDefault="00647F04" w:rsidP="00647F04">
      <w:pPr>
        <w:rPr>
          <w:rFonts w:ascii="Times New Roman" w:hAnsi="Times New Roman"/>
          <w:i/>
          <w:szCs w:val="24"/>
        </w:rPr>
      </w:pPr>
    </w:p>
    <w:p w14:paraId="226883C1" w14:textId="77777777" w:rsidR="00647F04" w:rsidRPr="00BB2887" w:rsidRDefault="00647F04" w:rsidP="00647F04">
      <w:pPr>
        <w:rPr>
          <w:rFonts w:ascii="Times New Roman" w:hAnsi="Times New Roman"/>
          <w:b/>
          <w:i/>
          <w:szCs w:val="24"/>
        </w:rPr>
      </w:pPr>
      <w:r w:rsidRPr="00BB2887">
        <w:rPr>
          <w:rFonts w:ascii="Times New Roman" w:hAnsi="Times New Roman"/>
          <w:b/>
          <w:i/>
          <w:szCs w:val="24"/>
        </w:rPr>
        <w:t xml:space="preserve">Efficacy in </w:t>
      </w:r>
      <w:r w:rsidR="009228BB" w:rsidRPr="00BB2887">
        <w:rPr>
          <w:rFonts w:ascii="Times New Roman" w:hAnsi="Times New Roman"/>
          <w:b/>
          <w:i/>
          <w:szCs w:val="24"/>
        </w:rPr>
        <w:t>P</w:t>
      </w:r>
      <w:r w:rsidRPr="00BB2887">
        <w:rPr>
          <w:rFonts w:ascii="Times New Roman" w:hAnsi="Times New Roman"/>
          <w:b/>
          <w:i/>
          <w:szCs w:val="24"/>
        </w:rPr>
        <w:t xml:space="preserve">atients with </w:t>
      </w:r>
      <w:r w:rsidR="009228BB" w:rsidRPr="00BB2887">
        <w:rPr>
          <w:rFonts w:ascii="Times New Roman" w:hAnsi="Times New Roman"/>
          <w:b/>
          <w:i/>
          <w:szCs w:val="24"/>
        </w:rPr>
        <w:t>Pulmonary A</w:t>
      </w:r>
      <w:r w:rsidRPr="00BB2887">
        <w:rPr>
          <w:rFonts w:ascii="Times New Roman" w:hAnsi="Times New Roman"/>
          <w:b/>
          <w:i/>
          <w:szCs w:val="24"/>
        </w:rPr>
        <w:t xml:space="preserve">rterial </w:t>
      </w:r>
      <w:r w:rsidR="009228BB" w:rsidRPr="00BB2887">
        <w:rPr>
          <w:rFonts w:ascii="Times New Roman" w:hAnsi="Times New Roman"/>
          <w:b/>
          <w:i/>
          <w:szCs w:val="24"/>
        </w:rPr>
        <w:t>H</w:t>
      </w:r>
      <w:r w:rsidRPr="00BB2887">
        <w:rPr>
          <w:rFonts w:ascii="Times New Roman" w:hAnsi="Times New Roman"/>
          <w:b/>
          <w:i/>
          <w:szCs w:val="24"/>
        </w:rPr>
        <w:t>ypertension</w:t>
      </w:r>
    </w:p>
    <w:p w14:paraId="226883C2" w14:textId="4FAB381F" w:rsidR="00D53BA0" w:rsidRPr="00840686" w:rsidRDefault="00D53BA0" w:rsidP="00D53BA0">
      <w:pPr>
        <w:pStyle w:val="TextTi12"/>
      </w:pPr>
      <w:r w:rsidRPr="00951972">
        <w:t>The effect of selexipag on progression of PAH was demonstrated in a multi-cent</w:t>
      </w:r>
      <w:r w:rsidR="002E69CF">
        <w:rPr>
          <w:lang w:val="en-AU"/>
        </w:rPr>
        <w:t>re</w:t>
      </w:r>
      <w:r w:rsidRPr="00951972">
        <w:t>, long</w:t>
      </w:r>
      <w:r w:rsidR="00F82A4A">
        <w:rPr>
          <w:lang w:val="en-US"/>
        </w:rPr>
        <w:t>-</w:t>
      </w:r>
      <w:r w:rsidRPr="00951972">
        <w:t>term (</w:t>
      </w:r>
      <w:r w:rsidR="0070402E" w:rsidRPr="00BC2263">
        <w:rPr>
          <w:lang w:val="en-US"/>
        </w:rPr>
        <w:t xml:space="preserve">mean </w:t>
      </w:r>
      <w:r w:rsidRPr="00951972" w:rsidDel="00960950">
        <w:t xml:space="preserve">duration of exposure </w:t>
      </w:r>
      <w:r w:rsidR="0070402E" w:rsidRPr="00BC2263">
        <w:rPr>
          <w:lang w:val="en-US"/>
        </w:rPr>
        <w:t xml:space="preserve">was </w:t>
      </w:r>
      <w:r w:rsidRPr="00951972" w:rsidDel="00960950">
        <w:t xml:space="preserve">approximately </w:t>
      </w:r>
      <w:r w:rsidR="0070402E" w:rsidRPr="00BC2263">
        <w:rPr>
          <w:lang w:val="en-US"/>
        </w:rPr>
        <w:t>1.</w:t>
      </w:r>
      <w:r w:rsidR="0070402E">
        <w:rPr>
          <w:lang w:val="en-US"/>
        </w:rPr>
        <w:t>5</w:t>
      </w:r>
      <w:r w:rsidRPr="00951972" w:rsidDel="00960950">
        <w:t xml:space="preserve"> years</w:t>
      </w:r>
      <w:r w:rsidR="006014C1" w:rsidRPr="00C14442">
        <w:rPr>
          <w:lang w:val="en-US"/>
        </w:rPr>
        <w:t xml:space="preserve"> </w:t>
      </w:r>
      <w:r w:rsidR="006014C1">
        <w:rPr>
          <w:lang w:val="en-US"/>
        </w:rPr>
        <w:t>up to a maximum of 4.2 years</w:t>
      </w:r>
      <w:r w:rsidRPr="00951972" w:rsidDel="00960950">
        <w:t xml:space="preserve">), </w:t>
      </w:r>
      <w:r w:rsidRPr="00951972">
        <w:t xml:space="preserve">double-blind, placebo-controlled, parallel group, event-driven Phase 3 study </w:t>
      </w:r>
      <w:r w:rsidR="00692BAB">
        <w:rPr>
          <w:lang w:val="en-AU"/>
        </w:rPr>
        <w:t>(</w:t>
      </w:r>
      <w:r w:rsidR="009119FF">
        <w:rPr>
          <w:lang w:val="en-AU"/>
        </w:rPr>
        <w:t>GRIPHON</w:t>
      </w:r>
      <w:r w:rsidR="00692BAB">
        <w:rPr>
          <w:lang w:val="en-AU"/>
        </w:rPr>
        <w:t xml:space="preserve">) </w:t>
      </w:r>
      <w:r w:rsidRPr="00951972">
        <w:t xml:space="preserve">in 1156 patients with symptomatic [WHO </w:t>
      </w:r>
      <w:r w:rsidR="00675769">
        <w:rPr>
          <w:lang w:val="en-AU"/>
        </w:rPr>
        <w:t>Functional Class (</w:t>
      </w:r>
      <w:r w:rsidRPr="00951972">
        <w:t>FC</w:t>
      </w:r>
      <w:r w:rsidR="00675769">
        <w:rPr>
          <w:lang w:val="en-AU"/>
        </w:rPr>
        <w:t>)</w:t>
      </w:r>
      <w:r w:rsidRPr="00951972">
        <w:t xml:space="preserve"> I</w:t>
      </w:r>
      <w:r>
        <w:t>–</w:t>
      </w:r>
      <w:r w:rsidRPr="00951972">
        <w:t>IV] PAH. Patients were randomi</w:t>
      </w:r>
      <w:r w:rsidR="00F82A4A">
        <w:rPr>
          <w:lang w:val="en-AU"/>
        </w:rPr>
        <w:t>s</w:t>
      </w:r>
      <w:r w:rsidRPr="00951972">
        <w:t xml:space="preserve">ed to either placebo </w:t>
      </w:r>
      <w:r>
        <w:t>(</w:t>
      </w:r>
      <w:r w:rsidRPr="00951972">
        <w:t>N</w:t>
      </w:r>
      <w:r w:rsidR="002E69CF">
        <w:t>=</w:t>
      </w:r>
      <w:r w:rsidRPr="00951972">
        <w:t>582</w:t>
      </w:r>
      <w:r>
        <w:t>)</w:t>
      </w:r>
      <w:r w:rsidRPr="00951972">
        <w:t xml:space="preserve">, or selexipag </w:t>
      </w:r>
      <w:r>
        <w:t>(</w:t>
      </w:r>
      <w:r w:rsidRPr="00951972">
        <w:t>N</w:t>
      </w:r>
      <w:r w:rsidR="002E69CF">
        <w:t>=</w:t>
      </w:r>
      <w:r w:rsidRPr="00951972">
        <w:t>574) twice</w:t>
      </w:r>
      <w:r>
        <w:t xml:space="preserve"> a day</w:t>
      </w:r>
      <w:r w:rsidR="000E0FC2">
        <w:rPr>
          <w:lang w:val="en-AU"/>
        </w:rPr>
        <w:t xml:space="preserve"> </w:t>
      </w:r>
      <w:r w:rsidR="000E0FC2" w:rsidRPr="006641A6">
        <w:rPr>
          <w:lang w:val="en-AU"/>
        </w:rPr>
        <w:t>in multiples of 200</w:t>
      </w:r>
      <w:r w:rsidR="003A4777" w:rsidRPr="006641A6">
        <w:rPr>
          <w:lang w:val="en-AU"/>
        </w:rPr>
        <w:t xml:space="preserve"> </w:t>
      </w:r>
      <w:r w:rsidR="000E0FC2" w:rsidRPr="006641A6">
        <w:rPr>
          <w:lang w:val="en-AU"/>
        </w:rPr>
        <w:t>micrograms</w:t>
      </w:r>
      <w:r w:rsidRPr="006641A6">
        <w:t>.</w:t>
      </w:r>
      <w:r>
        <w:t xml:space="preserve"> </w:t>
      </w:r>
      <w:r w:rsidR="000A5754">
        <w:t>The dose was increased in</w:t>
      </w:r>
      <w:r w:rsidR="000A5754" w:rsidRPr="00951972">
        <w:t xml:space="preserve"> weekly</w:t>
      </w:r>
      <w:r w:rsidR="000A5754">
        <w:t xml:space="preserve"> intervals by </w:t>
      </w:r>
      <w:r w:rsidR="000A5754" w:rsidRPr="00951972">
        <w:t>increments of 200</w:t>
      </w:r>
      <w:r w:rsidR="006641A6">
        <w:rPr>
          <w:lang w:val="en-AU"/>
        </w:rPr>
        <w:t xml:space="preserve"> </w:t>
      </w:r>
      <w:r w:rsidR="000A5754" w:rsidRPr="00951972">
        <w:t>microgram</w:t>
      </w:r>
      <w:r w:rsidR="000A5754">
        <w:t>s</w:t>
      </w:r>
      <w:r w:rsidR="000A5754" w:rsidRPr="00951972">
        <w:t xml:space="preserve"> </w:t>
      </w:r>
      <w:r w:rsidR="000A5754">
        <w:rPr>
          <w:lang w:val="en-AU"/>
        </w:rPr>
        <w:t xml:space="preserve">given </w:t>
      </w:r>
      <w:r w:rsidR="000A5754" w:rsidRPr="00951972">
        <w:t xml:space="preserve">twice a </w:t>
      </w:r>
      <w:r w:rsidR="000A5754" w:rsidRPr="00840686">
        <w:t xml:space="preserve">day </w:t>
      </w:r>
      <w:r w:rsidR="000A5754">
        <w:t xml:space="preserve">to determine the </w:t>
      </w:r>
      <w:r w:rsidR="000A5754" w:rsidRPr="00840686">
        <w:t>individual</w:t>
      </w:r>
      <w:r w:rsidR="002A74C0">
        <w:rPr>
          <w:lang w:val="en-AU"/>
        </w:rPr>
        <w:t>ised</w:t>
      </w:r>
      <w:r w:rsidR="000A5754" w:rsidRPr="00840686">
        <w:t xml:space="preserve"> maintenance dose (200 - 1600 micrograms twice a day).</w:t>
      </w:r>
    </w:p>
    <w:p w14:paraId="226883C3" w14:textId="77777777" w:rsidR="00D53BA0" w:rsidRPr="00A512E0" w:rsidRDefault="00D53BA0" w:rsidP="00D53BA0">
      <w:pPr>
        <w:pStyle w:val="TextTi12"/>
      </w:pPr>
      <w:r w:rsidRPr="00A512E0">
        <w:t>The primary study endpoint was the time to first occurrence of a morbidity or mortality event up to end of treatment defined as</w:t>
      </w:r>
      <w:r>
        <w:t xml:space="preserve"> </w:t>
      </w:r>
      <w:r w:rsidRPr="002D594B">
        <w:t>a composite of death (all-causes); or hospitali</w:t>
      </w:r>
      <w:r w:rsidR="000A5754">
        <w:rPr>
          <w:lang w:val="en-AU"/>
        </w:rPr>
        <w:t>s</w:t>
      </w:r>
      <w:r w:rsidRPr="002D594B">
        <w:t xml:space="preserve">ation for PAH; </w:t>
      </w:r>
      <w:r w:rsidRPr="00154FDB">
        <w:rPr>
          <w:b/>
        </w:rPr>
        <w:t>or</w:t>
      </w:r>
      <w:r w:rsidRPr="002D594B">
        <w:t xml:space="preserve"> </w:t>
      </w:r>
      <w:r w:rsidR="003D46E3">
        <w:rPr>
          <w:lang w:val="en-AU"/>
        </w:rPr>
        <w:t>progression</w:t>
      </w:r>
      <w:r w:rsidR="003D46E3" w:rsidRPr="002D594B">
        <w:t xml:space="preserve"> </w:t>
      </w:r>
      <w:r w:rsidRPr="002D594B">
        <w:t xml:space="preserve">of PAH resulting in need for lung transplantation or balloon atrial septostomy; </w:t>
      </w:r>
      <w:r w:rsidRPr="00154FDB">
        <w:rPr>
          <w:b/>
        </w:rPr>
        <w:t>or</w:t>
      </w:r>
      <w:r w:rsidRPr="002D594B">
        <w:t xml:space="preserve"> initiation of parenteral prostanoid therapy or chronic oxygen therapy; </w:t>
      </w:r>
      <w:r w:rsidRPr="00154FDB">
        <w:rPr>
          <w:b/>
        </w:rPr>
        <w:t>or</w:t>
      </w:r>
      <w:r w:rsidRPr="002D594B">
        <w:t xml:space="preserve"> other </w:t>
      </w:r>
      <w:r w:rsidR="003D46E3">
        <w:rPr>
          <w:lang w:val="en-AU"/>
        </w:rPr>
        <w:t>disease progression</w:t>
      </w:r>
      <w:r w:rsidR="003D46E3" w:rsidRPr="002D594B">
        <w:t xml:space="preserve"> </w:t>
      </w:r>
      <w:r w:rsidRPr="002D594B">
        <w:t>events (patients in modified NYHA/WHO FC II or III at baseline) confirmed by decrease in 6MWD from baseline (≥</w:t>
      </w:r>
      <w:r w:rsidR="00370DC0" w:rsidRPr="002D594B">
        <w:rPr>
          <w:lang w:val="en-AU"/>
        </w:rPr>
        <w:t xml:space="preserve"> </w:t>
      </w:r>
      <w:r w:rsidRPr="002D594B">
        <w:t xml:space="preserve">15%) and worsening of NYHA/WHO FC </w:t>
      </w:r>
      <w:r w:rsidRPr="00154FDB">
        <w:rPr>
          <w:b/>
        </w:rPr>
        <w:t>or</w:t>
      </w:r>
      <w:r w:rsidRPr="002D594B">
        <w:t xml:space="preserve"> (patients in modified NYHA/WHO FC III or IV at baseline) confirmed by de</w:t>
      </w:r>
      <w:r w:rsidR="002E69CF" w:rsidRPr="002D594B">
        <w:t>crease in 6MWD from baseline (≥</w:t>
      </w:r>
      <w:r w:rsidR="00370DC0" w:rsidRPr="002D594B">
        <w:rPr>
          <w:lang w:val="en-AU"/>
        </w:rPr>
        <w:t xml:space="preserve"> </w:t>
      </w:r>
      <w:r w:rsidRPr="002D594B">
        <w:t>15%) and need for additional PAH specific</w:t>
      </w:r>
      <w:r w:rsidRPr="00A512E0">
        <w:t xml:space="preserve"> therapy. </w:t>
      </w:r>
    </w:p>
    <w:p w14:paraId="226883C4" w14:textId="77777777" w:rsidR="00D53BA0" w:rsidRPr="00A512E0" w:rsidRDefault="00D53BA0" w:rsidP="00D53BA0">
      <w:pPr>
        <w:pStyle w:val="TextTi12"/>
      </w:pPr>
      <w:r w:rsidRPr="00A512E0">
        <w:lastRenderedPageBreak/>
        <w:t xml:space="preserve">All events were confirmed by an independent adjudication committee, blinded to treatment allocation. </w:t>
      </w:r>
    </w:p>
    <w:p w14:paraId="226883C5" w14:textId="38E17CB5" w:rsidR="00D53BA0" w:rsidRPr="00A512E0" w:rsidRDefault="00D53BA0" w:rsidP="00D53BA0">
      <w:pPr>
        <w:pStyle w:val="TextTi12"/>
      </w:pPr>
      <w:r w:rsidRPr="00A512E0">
        <w:t>The mean age was 48.1 years (range 18–80 years of age) with the majority of subjects being Caucasian (65.0%) and female (79.8%). Approximately 1%, 46%, 53%, and 1% of patients were in WHO F</w:t>
      </w:r>
      <w:r w:rsidRPr="00431D91">
        <w:rPr>
          <w:lang w:val="en-US"/>
        </w:rPr>
        <w:t>C</w:t>
      </w:r>
      <w:r w:rsidRPr="00A512E0">
        <w:t xml:space="preserve"> I, II, III, and IV, respectively, at baseline</w:t>
      </w:r>
      <w:r w:rsidR="00675769">
        <w:rPr>
          <w:lang w:val="en-AU"/>
        </w:rPr>
        <w:t xml:space="preserve"> of whom three patients in WHO FC</w:t>
      </w:r>
      <w:r w:rsidR="003A6389">
        <w:rPr>
          <w:lang w:val="en-AU"/>
        </w:rPr>
        <w:t xml:space="preserve"> </w:t>
      </w:r>
      <w:r w:rsidR="00675769">
        <w:rPr>
          <w:lang w:val="en-AU"/>
        </w:rPr>
        <w:t>IV received selexipag</w:t>
      </w:r>
      <w:r w:rsidRPr="00A512E0">
        <w:t>.</w:t>
      </w:r>
    </w:p>
    <w:p w14:paraId="226883C6" w14:textId="1A562F82" w:rsidR="00D53BA0" w:rsidRPr="00986624" w:rsidRDefault="00D53BA0" w:rsidP="00D53BA0">
      <w:pPr>
        <w:pStyle w:val="TextTi12"/>
        <w:rPr>
          <w:lang w:val="en-US"/>
        </w:rPr>
      </w:pPr>
      <w:r w:rsidRPr="00A512E0">
        <w:t xml:space="preserve">Idiopathic or heritable PAH was the most common </w:t>
      </w:r>
      <w:r w:rsidR="00AE5383">
        <w:rPr>
          <w:lang w:val="en-AU"/>
        </w:rPr>
        <w:t>a</w:t>
      </w:r>
      <w:r w:rsidRPr="00A512E0">
        <w:t>etiology in the study population (58%</w:t>
      </w:r>
      <w:r>
        <w:t>)</w:t>
      </w:r>
      <w:r w:rsidRPr="00A512E0">
        <w:t xml:space="preserve"> followed by PAH due to connective tissue disorders (29%), PAH associated with congenital heart disease </w:t>
      </w:r>
      <w:r w:rsidR="000A5754">
        <w:rPr>
          <w:lang w:val="en-AU"/>
        </w:rPr>
        <w:t xml:space="preserve">with repaired shunts </w:t>
      </w:r>
      <w:r w:rsidRPr="00A512E0">
        <w:t xml:space="preserve">(10%), and PAH associated with other </w:t>
      </w:r>
      <w:r w:rsidR="00AE5383">
        <w:rPr>
          <w:lang w:val="en-AU"/>
        </w:rPr>
        <w:t>a</w:t>
      </w:r>
      <w:r w:rsidRPr="00A512E0">
        <w:t>etiologies (drugs and toxins [2%] and HIV [1%]).</w:t>
      </w:r>
      <w:r w:rsidR="00283D70" w:rsidRPr="00986624">
        <w:rPr>
          <w:lang w:val="en-US"/>
        </w:rPr>
        <w:t xml:space="preserve"> P</w:t>
      </w:r>
      <w:r w:rsidR="00283D70">
        <w:rPr>
          <w:lang w:val="en-US"/>
        </w:rPr>
        <w:t xml:space="preserve">atients with </w:t>
      </w:r>
      <w:r w:rsidR="00094CB5">
        <w:rPr>
          <w:lang w:val="en-US"/>
        </w:rPr>
        <w:t>left ventricular dysfunction, moderate or severe obstructive or restrictive lung disease, moderate or severe hepatic impairment, or severe renal insufficiency were excluded from the study.</w:t>
      </w:r>
    </w:p>
    <w:p w14:paraId="226883C7" w14:textId="77777777" w:rsidR="00D53BA0" w:rsidRPr="00986624" w:rsidRDefault="00D53BA0" w:rsidP="00D53BA0">
      <w:pPr>
        <w:pStyle w:val="TextTi12"/>
        <w:rPr>
          <w:lang w:val="en-US"/>
        </w:rPr>
      </w:pPr>
      <w:r w:rsidRPr="00165210">
        <w:t xml:space="preserve">At baseline, the majority of enrolled patients (80%) were being treated with a stable dose of specific therapy for PAH, either </w:t>
      </w:r>
      <w:r w:rsidR="003E6720">
        <w:rPr>
          <w:lang w:val="en-AU"/>
        </w:rPr>
        <w:t xml:space="preserve">with an </w:t>
      </w:r>
      <w:r w:rsidRPr="00165210">
        <w:t xml:space="preserve">ERA (15%) or </w:t>
      </w:r>
      <w:r w:rsidR="003E6720">
        <w:rPr>
          <w:lang w:val="en-AU"/>
        </w:rPr>
        <w:t xml:space="preserve">with a </w:t>
      </w:r>
      <w:r w:rsidRPr="00165210">
        <w:t xml:space="preserve">PDE-5 inhibitor (32%) or both </w:t>
      </w:r>
      <w:r w:rsidRPr="005E45F0">
        <w:t xml:space="preserve">an ERA and </w:t>
      </w:r>
      <w:r w:rsidRPr="006717D4">
        <w:t>a PDE-5 inhibitor (33%).</w:t>
      </w:r>
    </w:p>
    <w:p w14:paraId="20E3FF69" w14:textId="77777777" w:rsidR="006641A6" w:rsidRDefault="00A458E9" w:rsidP="00D53BA0">
      <w:pPr>
        <w:pStyle w:val="TextTi12"/>
        <w:rPr>
          <w:lang w:val="en-AU"/>
        </w:rPr>
      </w:pPr>
      <w:r>
        <w:t>Patients on selexipag achieved doses within the following groups: 200</w:t>
      </w:r>
      <w:r w:rsidR="00D54115" w:rsidRPr="000B10C4">
        <w:rPr>
          <w:lang w:val="en-US"/>
        </w:rPr>
        <w:t>–</w:t>
      </w:r>
      <w:r>
        <w:t>400 m</w:t>
      </w:r>
      <w:r w:rsidR="0001194B" w:rsidRPr="000B10C4">
        <w:rPr>
          <w:lang w:val="en-US"/>
        </w:rPr>
        <w:t>icrograms</w:t>
      </w:r>
      <w:r>
        <w:t xml:space="preserve"> (23%), 600</w:t>
      </w:r>
      <w:r w:rsidR="00D54115" w:rsidRPr="000B10C4">
        <w:rPr>
          <w:lang w:val="en-US"/>
        </w:rPr>
        <w:t>–</w:t>
      </w:r>
      <w:r>
        <w:t>1000 m</w:t>
      </w:r>
      <w:r w:rsidR="0001194B" w:rsidRPr="000B10C4">
        <w:rPr>
          <w:lang w:val="en-US"/>
        </w:rPr>
        <w:t>icrograms</w:t>
      </w:r>
      <w:r>
        <w:t xml:space="preserve"> (31%) and 1200</w:t>
      </w:r>
      <w:r w:rsidR="00D54115" w:rsidRPr="000B10C4">
        <w:rPr>
          <w:lang w:val="en-US"/>
        </w:rPr>
        <w:t>–</w:t>
      </w:r>
      <w:r>
        <w:t>1600 m</w:t>
      </w:r>
      <w:r w:rsidR="0001194B" w:rsidRPr="000B10C4">
        <w:rPr>
          <w:lang w:val="en-US"/>
        </w:rPr>
        <w:t>icrograms</w:t>
      </w:r>
      <w:r>
        <w:t xml:space="preserve"> (43%)</w:t>
      </w:r>
      <w:r w:rsidR="006641A6">
        <w:rPr>
          <w:lang w:val="en-AU"/>
        </w:rPr>
        <w:t xml:space="preserve">. </w:t>
      </w:r>
    </w:p>
    <w:p w14:paraId="226883C8" w14:textId="65CA26C6" w:rsidR="00D53BA0" w:rsidRPr="003727E2" w:rsidRDefault="00D53BA0" w:rsidP="00D53BA0">
      <w:pPr>
        <w:pStyle w:val="TextTi12"/>
        <w:rPr>
          <w:lang w:val="en-US"/>
        </w:rPr>
      </w:pPr>
      <w:r w:rsidRPr="00A512E0">
        <w:t xml:space="preserve">The overall median double-blind treatment duration was 63.7 weeks for placebo group and 70.7 weeks </w:t>
      </w:r>
      <w:r w:rsidR="00AE5383">
        <w:rPr>
          <w:lang w:val="en-AU"/>
        </w:rPr>
        <w:t xml:space="preserve">for the group on selexipag. </w:t>
      </w:r>
    </w:p>
    <w:p w14:paraId="2065AA1E" w14:textId="342FFF3A" w:rsidR="00A458E9" w:rsidRDefault="00D53BA0" w:rsidP="00986624">
      <w:pPr>
        <w:pStyle w:val="TextTi12"/>
      </w:pPr>
      <w:r w:rsidRPr="006014C1">
        <w:t xml:space="preserve">Treatment with </w:t>
      </w:r>
      <w:r w:rsidR="003D46E3" w:rsidRPr="006014C1">
        <w:t xml:space="preserve">selexipag </w:t>
      </w:r>
      <w:r w:rsidRPr="006014C1">
        <w:t>200–1600 micrograms twice a day resulted</w:t>
      </w:r>
      <w:r w:rsidRPr="008A25F8">
        <w:t xml:space="preserve"> in a </w:t>
      </w:r>
      <w:r>
        <w:t>40</w:t>
      </w:r>
      <w:r w:rsidRPr="008A25F8">
        <w:t xml:space="preserve">% reduction (99% </w:t>
      </w:r>
      <w:r>
        <w:t>confidence interval [</w:t>
      </w:r>
      <w:r w:rsidRPr="008A25F8">
        <w:t>CI</w:t>
      </w:r>
      <w:r>
        <w:t>]</w:t>
      </w:r>
      <w:r w:rsidR="006835E8" w:rsidRPr="006835E8">
        <w:rPr>
          <w:lang w:val="en-US"/>
        </w:rPr>
        <w:t>:</w:t>
      </w:r>
      <w:r w:rsidRPr="008A25F8">
        <w:t xml:space="preserve"> </w:t>
      </w:r>
      <w:r w:rsidR="006835E8" w:rsidRPr="00241770">
        <w:t xml:space="preserve">22 to 54%; two-sided </w:t>
      </w:r>
      <w:r w:rsidRPr="008A25F8">
        <w:t>-sided log rank p</w:t>
      </w:r>
      <w:r>
        <w:noBreakHyphen/>
        <w:t xml:space="preserve">value </w:t>
      </w:r>
      <w:r w:rsidR="002E69CF">
        <w:t>&lt;</w:t>
      </w:r>
      <w:r w:rsidRPr="008A25F8">
        <w:t xml:space="preserve">0.0001) </w:t>
      </w:r>
      <w:r>
        <w:t>of</w:t>
      </w:r>
      <w:r w:rsidRPr="008A25F8">
        <w:t xml:space="preserve"> the occurrence of morbidity or mortality events up to 7 days after last </w:t>
      </w:r>
      <w:r>
        <w:t>dose</w:t>
      </w:r>
      <w:r w:rsidRPr="008A25F8">
        <w:t xml:space="preserve"> compared to placebo </w:t>
      </w:r>
      <w:r w:rsidR="009119FF">
        <w:t>(</w:t>
      </w:r>
      <w:r w:rsidR="00F07349" w:rsidRPr="00F07349">
        <w:t>Fi</w:t>
      </w:r>
      <w:r w:rsidR="00F07349">
        <w:t>gure 1</w:t>
      </w:r>
      <w:r w:rsidR="009119FF">
        <w:t>)</w:t>
      </w:r>
      <w:r w:rsidRPr="008A25F8">
        <w:t xml:space="preserve">. The beneficial effect of </w:t>
      </w:r>
      <w:r w:rsidR="003D46E3">
        <w:t>selexipag</w:t>
      </w:r>
      <w:r w:rsidR="003D46E3" w:rsidRPr="008A25F8">
        <w:t xml:space="preserve"> </w:t>
      </w:r>
      <w:r w:rsidRPr="008A25F8">
        <w:t xml:space="preserve">was primarily attributable to </w:t>
      </w:r>
      <w:r>
        <w:t xml:space="preserve">a reduction in </w:t>
      </w:r>
      <w:r w:rsidRPr="008A25F8">
        <w:t>hospitali</w:t>
      </w:r>
      <w:r w:rsidR="003E6720">
        <w:t>s</w:t>
      </w:r>
      <w:r w:rsidRPr="008A25F8">
        <w:t xml:space="preserve">ation for PAH and </w:t>
      </w:r>
      <w:r w:rsidR="003E6720">
        <w:t xml:space="preserve">a reduction in other disease </w:t>
      </w:r>
      <w:r w:rsidR="003D46E3">
        <w:t>progression events</w:t>
      </w:r>
      <w:r w:rsidR="009119FF">
        <w:t xml:space="preserve"> (</w:t>
      </w:r>
      <w:r w:rsidR="003D46E3">
        <w:t xml:space="preserve">Table </w:t>
      </w:r>
      <w:r w:rsidR="00CD2855">
        <w:t>1</w:t>
      </w:r>
      <w:r w:rsidR="009119FF">
        <w:t>)</w:t>
      </w:r>
      <w:r>
        <w:t>.</w:t>
      </w:r>
      <w:r w:rsidR="00A458E9" w:rsidRPr="00986624">
        <w:rPr>
          <w:lang w:val="en-US"/>
        </w:rPr>
        <w:t xml:space="preserve"> </w:t>
      </w:r>
    </w:p>
    <w:p w14:paraId="226883CA" w14:textId="77777777" w:rsidR="00F82A4A" w:rsidRPr="00986624" w:rsidRDefault="00F82A4A" w:rsidP="00986624">
      <w:pPr>
        <w:pStyle w:val="TextTi12"/>
      </w:pPr>
    </w:p>
    <w:p w14:paraId="226883CB" w14:textId="58022752" w:rsidR="00D82FB2" w:rsidRPr="009C02AA" w:rsidRDefault="00D82FB2" w:rsidP="00D82FB2">
      <w:pPr>
        <w:pStyle w:val="HdFig1"/>
        <w:rPr>
          <w:u w:val="single"/>
        </w:rPr>
      </w:pPr>
      <w:bookmarkStart w:id="5" w:name="_Ref398561594"/>
      <w:bookmarkStart w:id="6" w:name="_Ref400025476"/>
      <w:bookmarkStart w:id="7" w:name="_Toc403476964"/>
      <w:r w:rsidRPr="009C02AA">
        <w:rPr>
          <w:u w:val="single"/>
        </w:rPr>
        <w:lastRenderedPageBreak/>
        <w:t>Figure</w:t>
      </w:r>
      <w:bookmarkEnd w:id="5"/>
      <w:bookmarkEnd w:id="6"/>
      <w:r w:rsidR="009C02AA">
        <w:rPr>
          <w:u w:val="single"/>
        </w:rPr>
        <w:t xml:space="preserve"> 1: </w:t>
      </w:r>
      <w:r w:rsidRPr="009C02AA">
        <w:rPr>
          <w:u w:val="single"/>
        </w:rPr>
        <w:t>Kaplan-Meier estimates of the first morbidity-mortality</w:t>
      </w:r>
      <w:r w:rsidRPr="009C02AA">
        <w:rPr>
          <w:b w:val="0"/>
          <w:u w:val="single"/>
        </w:rPr>
        <w:t xml:space="preserve"> </w:t>
      </w:r>
      <w:r w:rsidRPr="009C02AA">
        <w:rPr>
          <w:u w:val="single"/>
        </w:rPr>
        <w:t>event in GRIPHON</w:t>
      </w:r>
      <w:bookmarkEnd w:id="7"/>
    </w:p>
    <w:p w14:paraId="226883CC" w14:textId="1D346E96" w:rsidR="00F82A4A" w:rsidRPr="00876CA0" w:rsidRDefault="00A458E9" w:rsidP="00D82FB2">
      <w:pPr>
        <w:jc w:val="both"/>
        <w:rPr>
          <w:color w:val="4F81BD"/>
          <w:highlight w:val="yellow"/>
        </w:rPr>
      </w:pPr>
      <w:r>
        <w:rPr>
          <w:noProof/>
          <w:lang w:eastAsia="en-AU"/>
        </w:rPr>
        <w:drawing>
          <wp:inline distT="0" distB="0" distL="0" distR="0" wp14:anchorId="472EA281" wp14:editId="6892617B">
            <wp:extent cx="5636525" cy="5546708"/>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7474" cy="5547642"/>
                    </a:xfrm>
                    <a:prstGeom prst="rect">
                      <a:avLst/>
                    </a:prstGeom>
                    <a:noFill/>
                  </pic:spPr>
                </pic:pic>
              </a:graphicData>
            </a:graphic>
          </wp:inline>
        </w:drawing>
      </w:r>
    </w:p>
    <w:p w14:paraId="78ED62F0" w14:textId="77777777" w:rsidR="00A458E9" w:rsidRDefault="00A458E9" w:rsidP="00D53BA0">
      <w:pPr>
        <w:pStyle w:val="TextTi11"/>
        <w:rPr>
          <w:lang w:val="en-US" w:eastAsia="en-US"/>
        </w:rPr>
      </w:pPr>
    </w:p>
    <w:p w14:paraId="7E46F968" w14:textId="3A1175A3" w:rsidR="00F4131C" w:rsidRPr="009C02AA" w:rsidRDefault="00F4131C" w:rsidP="00F4131C">
      <w:pPr>
        <w:pStyle w:val="HdTab1"/>
        <w:jc w:val="both"/>
        <w:rPr>
          <w:u w:val="single"/>
        </w:rPr>
      </w:pPr>
      <w:bookmarkStart w:id="8" w:name="_Ref323748952"/>
      <w:r w:rsidRPr="009C02AA">
        <w:rPr>
          <w:u w:val="single"/>
        </w:rPr>
        <w:lastRenderedPageBreak/>
        <w:t xml:space="preserve">Table </w:t>
      </w:r>
      <w:r w:rsidR="00A74A5B" w:rsidRPr="009C02AA">
        <w:rPr>
          <w:u w:val="single"/>
          <w:lang w:val="en-AU"/>
        </w:rPr>
        <w:t>1</w:t>
      </w:r>
      <w:r w:rsidR="009C02AA">
        <w:rPr>
          <w:u w:val="single"/>
          <w:lang w:val="en-AU"/>
        </w:rPr>
        <w:t>:</w:t>
      </w:r>
      <w:r w:rsidRPr="009C02AA">
        <w:rPr>
          <w:u w:val="single"/>
        </w:rPr>
        <w:t xml:space="preserve"> Primary Endpoint and Related Components in GRIPHON</w:t>
      </w:r>
    </w:p>
    <w:tbl>
      <w:tblPr>
        <w:tblStyle w:val="TableGrid"/>
        <w:tblW w:w="9706" w:type="dxa"/>
        <w:tblLook w:val="04A0" w:firstRow="1" w:lastRow="0" w:firstColumn="1" w:lastColumn="0" w:noHBand="0" w:noVBand="1"/>
      </w:tblPr>
      <w:tblGrid>
        <w:gridCol w:w="3446"/>
        <w:gridCol w:w="782"/>
        <w:gridCol w:w="740"/>
        <w:gridCol w:w="821"/>
        <w:gridCol w:w="819"/>
        <w:gridCol w:w="1685"/>
        <w:gridCol w:w="95"/>
        <w:gridCol w:w="1318"/>
      </w:tblGrid>
      <w:tr w:rsidR="00F4131C" w:rsidRPr="00D61104" w14:paraId="187BB6F2" w14:textId="77777777" w:rsidTr="00151206">
        <w:trPr>
          <w:cantSplit/>
          <w:trHeight w:val="567"/>
        </w:trPr>
        <w:tc>
          <w:tcPr>
            <w:tcW w:w="3446" w:type="dxa"/>
            <w:tcBorders>
              <w:bottom w:val="nil"/>
            </w:tcBorders>
          </w:tcPr>
          <w:p w14:paraId="03DB0033" w14:textId="77777777" w:rsidR="00F4131C" w:rsidRPr="00533187" w:rsidRDefault="00F4131C" w:rsidP="00151206">
            <w:pPr>
              <w:keepNext/>
              <w:keepLines/>
              <w:autoSpaceDE w:val="0"/>
              <w:autoSpaceDN w:val="0"/>
              <w:adjustRightInd w:val="0"/>
              <w:jc w:val="center"/>
              <w:rPr>
                <w:rFonts w:eastAsiaTheme="minorEastAsia"/>
                <w:sz w:val="22"/>
              </w:rPr>
            </w:pPr>
          </w:p>
        </w:tc>
        <w:tc>
          <w:tcPr>
            <w:tcW w:w="1522" w:type="dxa"/>
            <w:gridSpan w:val="2"/>
            <w:tcBorders>
              <w:bottom w:val="nil"/>
            </w:tcBorders>
          </w:tcPr>
          <w:p w14:paraId="03A349EC" w14:textId="77777777" w:rsidR="00F4131C" w:rsidRPr="00D61104" w:rsidRDefault="00F4131C" w:rsidP="00151206">
            <w:pPr>
              <w:keepNext/>
              <w:keepLines/>
              <w:autoSpaceDE w:val="0"/>
              <w:autoSpaceDN w:val="0"/>
              <w:adjustRightInd w:val="0"/>
              <w:jc w:val="center"/>
              <w:rPr>
                <w:rFonts w:eastAsiaTheme="minorEastAsia"/>
                <w:bCs/>
                <w:sz w:val="22"/>
                <w:szCs w:val="22"/>
              </w:rPr>
            </w:pPr>
            <w:r w:rsidRPr="00533187">
              <w:rPr>
                <w:rFonts w:eastAsiaTheme="minorEastAsia"/>
                <w:sz w:val="22"/>
              </w:rPr>
              <w:t>UPTRAVI</w:t>
            </w:r>
          </w:p>
          <w:p w14:paraId="2A57885A" w14:textId="77777777" w:rsidR="00F4131C" w:rsidRPr="00533187" w:rsidRDefault="00F4131C" w:rsidP="00151206">
            <w:pPr>
              <w:keepNext/>
              <w:keepLines/>
              <w:autoSpaceDE w:val="0"/>
              <w:autoSpaceDN w:val="0"/>
              <w:adjustRightInd w:val="0"/>
              <w:jc w:val="center"/>
              <w:rPr>
                <w:rFonts w:eastAsiaTheme="minorEastAsia"/>
                <w:sz w:val="22"/>
              </w:rPr>
            </w:pPr>
            <w:r w:rsidRPr="00533187">
              <w:rPr>
                <w:rFonts w:eastAsiaTheme="minorEastAsia"/>
                <w:sz w:val="22"/>
              </w:rPr>
              <w:t>N</w:t>
            </w:r>
            <w:r w:rsidRPr="00D61104">
              <w:rPr>
                <w:rFonts w:eastAsiaTheme="minorEastAsia"/>
                <w:sz w:val="22"/>
                <w:szCs w:val="22"/>
              </w:rPr>
              <w:t>=</w:t>
            </w:r>
            <w:r w:rsidRPr="00533187">
              <w:rPr>
                <w:rFonts w:eastAsiaTheme="minorEastAsia"/>
                <w:sz w:val="22"/>
              </w:rPr>
              <w:t>574</w:t>
            </w:r>
          </w:p>
        </w:tc>
        <w:tc>
          <w:tcPr>
            <w:tcW w:w="1640" w:type="dxa"/>
            <w:gridSpan w:val="2"/>
            <w:tcBorders>
              <w:bottom w:val="nil"/>
            </w:tcBorders>
          </w:tcPr>
          <w:p w14:paraId="7B169F36" w14:textId="77777777" w:rsidR="00F4131C" w:rsidRPr="00D61104" w:rsidRDefault="00F4131C" w:rsidP="00151206">
            <w:pPr>
              <w:keepNext/>
              <w:keepLines/>
              <w:autoSpaceDE w:val="0"/>
              <w:autoSpaceDN w:val="0"/>
              <w:adjustRightInd w:val="0"/>
              <w:jc w:val="center"/>
              <w:rPr>
                <w:rFonts w:eastAsiaTheme="minorEastAsia"/>
                <w:bCs/>
                <w:sz w:val="22"/>
                <w:szCs w:val="22"/>
              </w:rPr>
            </w:pPr>
            <w:r w:rsidRPr="00533187">
              <w:rPr>
                <w:rFonts w:eastAsiaTheme="minorEastAsia"/>
                <w:sz w:val="22"/>
              </w:rPr>
              <w:t>Placebo</w:t>
            </w:r>
          </w:p>
          <w:p w14:paraId="2DE6D580" w14:textId="77777777" w:rsidR="00F4131C" w:rsidRPr="00533187" w:rsidRDefault="00F4131C" w:rsidP="00151206">
            <w:pPr>
              <w:keepNext/>
              <w:keepLines/>
              <w:autoSpaceDE w:val="0"/>
              <w:autoSpaceDN w:val="0"/>
              <w:adjustRightInd w:val="0"/>
              <w:jc w:val="center"/>
              <w:rPr>
                <w:rFonts w:eastAsiaTheme="minorEastAsia"/>
                <w:sz w:val="22"/>
              </w:rPr>
            </w:pPr>
            <w:r w:rsidRPr="00533187">
              <w:rPr>
                <w:rFonts w:eastAsiaTheme="minorEastAsia"/>
                <w:sz w:val="22"/>
              </w:rPr>
              <w:t>N</w:t>
            </w:r>
            <w:r w:rsidRPr="00D61104">
              <w:rPr>
                <w:rFonts w:eastAsiaTheme="minorEastAsia"/>
                <w:sz w:val="22"/>
                <w:szCs w:val="22"/>
              </w:rPr>
              <w:t>=</w:t>
            </w:r>
            <w:r w:rsidRPr="00533187">
              <w:rPr>
                <w:rFonts w:eastAsiaTheme="minorEastAsia"/>
                <w:sz w:val="22"/>
              </w:rPr>
              <w:t>582</w:t>
            </w:r>
          </w:p>
        </w:tc>
        <w:tc>
          <w:tcPr>
            <w:tcW w:w="1685" w:type="dxa"/>
            <w:tcBorders>
              <w:bottom w:val="nil"/>
            </w:tcBorders>
          </w:tcPr>
          <w:p w14:paraId="0B996526" w14:textId="77777777" w:rsidR="00F4131C" w:rsidRPr="00D61104" w:rsidRDefault="00F4131C" w:rsidP="00151206">
            <w:pPr>
              <w:keepNext/>
              <w:keepLines/>
              <w:autoSpaceDE w:val="0"/>
              <w:autoSpaceDN w:val="0"/>
              <w:adjustRightInd w:val="0"/>
              <w:jc w:val="center"/>
              <w:rPr>
                <w:rFonts w:eastAsiaTheme="minorEastAsia"/>
                <w:bCs/>
                <w:sz w:val="22"/>
                <w:szCs w:val="22"/>
              </w:rPr>
            </w:pPr>
            <w:r w:rsidRPr="00D61104">
              <w:rPr>
                <w:rFonts w:eastAsiaTheme="minorEastAsia"/>
                <w:sz w:val="22"/>
                <w:szCs w:val="22"/>
              </w:rPr>
              <w:t>Hazard Ratio</w:t>
            </w:r>
          </w:p>
          <w:p w14:paraId="16CA0786" w14:textId="77777777" w:rsidR="00F4131C" w:rsidRPr="00D61104" w:rsidRDefault="00F4131C" w:rsidP="00151206">
            <w:pPr>
              <w:keepNext/>
              <w:keepLines/>
              <w:autoSpaceDE w:val="0"/>
              <w:autoSpaceDN w:val="0"/>
              <w:adjustRightInd w:val="0"/>
              <w:jc w:val="center"/>
              <w:rPr>
                <w:rFonts w:eastAsiaTheme="minorEastAsia"/>
                <w:bCs/>
                <w:sz w:val="22"/>
                <w:szCs w:val="22"/>
              </w:rPr>
            </w:pPr>
            <w:r w:rsidRPr="00D61104">
              <w:rPr>
                <w:rFonts w:eastAsiaTheme="minorEastAsia"/>
                <w:sz w:val="22"/>
                <w:szCs w:val="22"/>
              </w:rPr>
              <w:t>(99% CI)</w:t>
            </w:r>
          </w:p>
        </w:tc>
        <w:tc>
          <w:tcPr>
            <w:tcW w:w="1413" w:type="dxa"/>
            <w:gridSpan w:val="2"/>
            <w:tcBorders>
              <w:bottom w:val="nil"/>
            </w:tcBorders>
          </w:tcPr>
          <w:p w14:paraId="5F8F534E" w14:textId="77777777" w:rsidR="00F4131C" w:rsidRPr="00D61104" w:rsidRDefault="00F4131C" w:rsidP="00151206">
            <w:pPr>
              <w:keepNext/>
              <w:keepLines/>
              <w:autoSpaceDE w:val="0"/>
              <w:autoSpaceDN w:val="0"/>
              <w:adjustRightInd w:val="0"/>
              <w:ind w:right="156"/>
              <w:jc w:val="center"/>
              <w:rPr>
                <w:rFonts w:eastAsiaTheme="minorEastAsia"/>
                <w:bCs/>
                <w:sz w:val="22"/>
                <w:szCs w:val="22"/>
              </w:rPr>
            </w:pPr>
            <w:r w:rsidRPr="00D61104">
              <w:rPr>
                <w:rFonts w:eastAsiaTheme="minorEastAsia"/>
                <w:sz w:val="22"/>
                <w:szCs w:val="22"/>
              </w:rPr>
              <w:t>p-value</w:t>
            </w:r>
          </w:p>
        </w:tc>
      </w:tr>
      <w:tr w:rsidR="00F4131C" w:rsidRPr="00D61104" w14:paraId="10E9483C" w14:textId="77777777" w:rsidTr="00151206">
        <w:trPr>
          <w:cantSplit/>
          <w:trHeight w:val="64"/>
        </w:trPr>
        <w:tc>
          <w:tcPr>
            <w:tcW w:w="3446" w:type="dxa"/>
            <w:tcBorders>
              <w:top w:val="nil"/>
            </w:tcBorders>
          </w:tcPr>
          <w:p w14:paraId="5D26330F" w14:textId="77777777" w:rsidR="00F4131C" w:rsidRPr="00D61104" w:rsidRDefault="00F4131C" w:rsidP="00151206">
            <w:pPr>
              <w:keepNext/>
              <w:keepLines/>
              <w:autoSpaceDE w:val="0"/>
              <w:autoSpaceDN w:val="0"/>
              <w:adjustRightInd w:val="0"/>
              <w:rPr>
                <w:rFonts w:eastAsiaTheme="minorEastAsia"/>
                <w:bCs/>
                <w:sz w:val="22"/>
                <w:szCs w:val="22"/>
              </w:rPr>
            </w:pPr>
          </w:p>
        </w:tc>
        <w:tc>
          <w:tcPr>
            <w:tcW w:w="782" w:type="dxa"/>
            <w:tcBorders>
              <w:top w:val="nil"/>
              <w:right w:val="nil"/>
            </w:tcBorders>
          </w:tcPr>
          <w:p w14:paraId="1D81BBCA" w14:textId="77777777" w:rsidR="00F4131C" w:rsidRPr="00D61104" w:rsidRDefault="00F4131C" w:rsidP="00151206">
            <w:pPr>
              <w:keepNext/>
              <w:keepLines/>
              <w:autoSpaceDE w:val="0"/>
              <w:autoSpaceDN w:val="0"/>
              <w:adjustRightInd w:val="0"/>
              <w:jc w:val="center"/>
              <w:rPr>
                <w:rFonts w:eastAsiaTheme="minorEastAsia"/>
                <w:b/>
                <w:bCs/>
                <w:caps/>
                <w:sz w:val="22"/>
                <w:szCs w:val="22"/>
              </w:rPr>
            </w:pPr>
            <w:r w:rsidRPr="00D61104">
              <w:rPr>
                <w:rFonts w:eastAsiaTheme="minorEastAsia"/>
                <w:sz w:val="22"/>
                <w:szCs w:val="22"/>
              </w:rPr>
              <w:t>n</w:t>
            </w:r>
          </w:p>
        </w:tc>
        <w:tc>
          <w:tcPr>
            <w:tcW w:w="740" w:type="dxa"/>
            <w:tcBorders>
              <w:top w:val="nil"/>
              <w:left w:val="nil"/>
            </w:tcBorders>
          </w:tcPr>
          <w:p w14:paraId="150DF918" w14:textId="77777777" w:rsidR="00F4131C" w:rsidRPr="00D61104" w:rsidRDefault="00F4131C" w:rsidP="00151206">
            <w:pPr>
              <w:keepNext/>
              <w:keepLines/>
              <w:autoSpaceDE w:val="0"/>
              <w:autoSpaceDN w:val="0"/>
              <w:adjustRightInd w:val="0"/>
              <w:jc w:val="center"/>
              <w:rPr>
                <w:rFonts w:eastAsiaTheme="minorEastAsia"/>
                <w:b/>
                <w:bCs/>
                <w:caps/>
                <w:sz w:val="22"/>
                <w:szCs w:val="22"/>
              </w:rPr>
            </w:pPr>
            <w:r w:rsidRPr="00D61104">
              <w:rPr>
                <w:rFonts w:eastAsiaTheme="minorEastAsia"/>
                <w:sz w:val="22"/>
                <w:szCs w:val="22"/>
              </w:rPr>
              <w:t>%</w:t>
            </w:r>
          </w:p>
        </w:tc>
        <w:tc>
          <w:tcPr>
            <w:tcW w:w="821" w:type="dxa"/>
            <w:tcBorders>
              <w:top w:val="nil"/>
              <w:right w:val="nil"/>
            </w:tcBorders>
          </w:tcPr>
          <w:p w14:paraId="5419D6D9" w14:textId="77777777" w:rsidR="00F4131C" w:rsidRPr="00D61104" w:rsidRDefault="00F4131C" w:rsidP="00151206">
            <w:pPr>
              <w:keepNext/>
              <w:keepLines/>
              <w:autoSpaceDE w:val="0"/>
              <w:autoSpaceDN w:val="0"/>
              <w:adjustRightInd w:val="0"/>
              <w:jc w:val="center"/>
              <w:rPr>
                <w:rFonts w:eastAsiaTheme="minorEastAsia"/>
                <w:b/>
                <w:bCs/>
                <w:caps/>
                <w:sz w:val="22"/>
                <w:szCs w:val="22"/>
              </w:rPr>
            </w:pPr>
            <w:r w:rsidRPr="00D61104">
              <w:rPr>
                <w:rFonts w:eastAsiaTheme="minorEastAsia"/>
                <w:sz w:val="22"/>
                <w:szCs w:val="22"/>
              </w:rPr>
              <w:t>n</w:t>
            </w:r>
          </w:p>
        </w:tc>
        <w:tc>
          <w:tcPr>
            <w:tcW w:w="819" w:type="dxa"/>
            <w:tcBorders>
              <w:top w:val="nil"/>
              <w:left w:val="nil"/>
            </w:tcBorders>
          </w:tcPr>
          <w:p w14:paraId="7E542775" w14:textId="77777777" w:rsidR="00F4131C" w:rsidRPr="00D61104" w:rsidRDefault="00F4131C" w:rsidP="00151206">
            <w:pPr>
              <w:keepNext/>
              <w:keepLines/>
              <w:autoSpaceDE w:val="0"/>
              <w:autoSpaceDN w:val="0"/>
              <w:adjustRightInd w:val="0"/>
              <w:jc w:val="center"/>
              <w:rPr>
                <w:rFonts w:eastAsiaTheme="minorEastAsia"/>
                <w:b/>
                <w:bCs/>
                <w:caps/>
                <w:sz w:val="22"/>
                <w:szCs w:val="22"/>
              </w:rPr>
            </w:pPr>
            <w:r w:rsidRPr="00D61104">
              <w:rPr>
                <w:rFonts w:eastAsiaTheme="minorEastAsia"/>
                <w:sz w:val="22"/>
                <w:szCs w:val="22"/>
              </w:rPr>
              <w:t>%</w:t>
            </w:r>
          </w:p>
        </w:tc>
        <w:tc>
          <w:tcPr>
            <w:tcW w:w="1685" w:type="dxa"/>
            <w:tcBorders>
              <w:top w:val="nil"/>
            </w:tcBorders>
          </w:tcPr>
          <w:p w14:paraId="7D7AB188" w14:textId="77777777" w:rsidR="00F4131C" w:rsidRPr="00D61104" w:rsidRDefault="00F4131C" w:rsidP="00151206">
            <w:pPr>
              <w:keepNext/>
              <w:keepLines/>
              <w:autoSpaceDE w:val="0"/>
              <w:autoSpaceDN w:val="0"/>
              <w:adjustRightInd w:val="0"/>
              <w:rPr>
                <w:rFonts w:eastAsiaTheme="minorEastAsia"/>
                <w:bCs/>
                <w:sz w:val="22"/>
                <w:szCs w:val="22"/>
              </w:rPr>
            </w:pPr>
          </w:p>
        </w:tc>
        <w:tc>
          <w:tcPr>
            <w:tcW w:w="1413" w:type="dxa"/>
            <w:gridSpan w:val="2"/>
            <w:tcBorders>
              <w:top w:val="nil"/>
            </w:tcBorders>
          </w:tcPr>
          <w:p w14:paraId="66F99C2D" w14:textId="77777777" w:rsidR="00F4131C" w:rsidRPr="00D61104" w:rsidRDefault="00F4131C" w:rsidP="00151206">
            <w:pPr>
              <w:keepNext/>
              <w:keepLines/>
              <w:autoSpaceDE w:val="0"/>
              <w:autoSpaceDN w:val="0"/>
              <w:adjustRightInd w:val="0"/>
              <w:rPr>
                <w:rFonts w:eastAsiaTheme="minorEastAsia"/>
                <w:bCs/>
                <w:sz w:val="22"/>
                <w:szCs w:val="22"/>
              </w:rPr>
            </w:pPr>
          </w:p>
        </w:tc>
      </w:tr>
      <w:tr w:rsidR="00F4131C" w:rsidRPr="00D61104" w14:paraId="66FCDCA8" w14:textId="77777777" w:rsidTr="00151206">
        <w:trPr>
          <w:cantSplit/>
          <w:trHeight w:val="260"/>
        </w:trPr>
        <w:tc>
          <w:tcPr>
            <w:tcW w:w="9706" w:type="dxa"/>
            <w:gridSpan w:val="8"/>
            <w:tcBorders>
              <w:top w:val="single" w:sz="4" w:space="0" w:color="auto"/>
              <w:bottom w:val="dashSmallGap" w:sz="4" w:space="0" w:color="auto"/>
            </w:tcBorders>
          </w:tcPr>
          <w:p w14:paraId="6084F020" w14:textId="77777777" w:rsidR="00F4131C" w:rsidRPr="00533187" w:rsidRDefault="00F4131C" w:rsidP="00151206">
            <w:pPr>
              <w:keepNext/>
              <w:keepLines/>
              <w:autoSpaceDE w:val="0"/>
              <w:autoSpaceDN w:val="0"/>
              <w:adjustRightInd w:val="0"/>
              <w:rPr>
                <w:sz w:val="20"/>
              </w:rPr>
            </w:pPr>
            <w:r w:rsidRPr="00533187">
              <w:rPr>
                <w:rFonts w:eastAsiaTheme="minorEastAsia"/>
                <w:b/>
                <w:sz w:val="22"/>
                <w:szCs w:val="22"/>
              </w:rPr>
              <w:t>Primary endpoint event</w:t>
            </w:r>
            <w:r>
              <w:rPr>
                <w:rFonts w:eastAsiaTheme="minorEastAsia"/>
                <w:b/>
                <w:sz w:val="22"/>
                <w:szCs w:val="22"/>
              </w:rPr>
              <w:t>s</w:t>
            </w:r>
            <w:r w:rsidRPr="00533187">
              <w:rPr>
                <w:rFonts w:eastAsiaTheme="minorEastAsia"/>
                <w:b/>
                <w:sz w:val="22"/>
                <w:szCs w:val="22"/>
              </w:rPr>
              <w:t xml:space="preserve"> up to the end of treatment</w:t>
            </w:r>
          </w:p>
        </w:tc>
      </w:tr>
      <w:tr w:rsidR="00F4131C" w:rsidRPr="00D61104" w14:paraId="1BE02E3D" w14:textId="77777777" w:rsidTr="00151206">
        <w:trPr>
          <w:cantSplit/>
          <w:trHeight w:val="219"/>
        </w:trPr>
        <w:tc>
          <w:tcPr>
            <w:tcW w:w="3446" w:type="dxa"/>
            <w:tcBorders>
              <w:top w:val="dashSmallGap" w:sz="4" w:space="0" w:color="auto"/>
              <w:bottom w:val="nil"/>
            </w:tcBorders>
            <w:shd w:val="clear" w:color="auto" w:fill="FFFFFF" w:themeFill="background1"/>
          </w:tcPr>
          <w:p w14:paraId="0DA9FB7E" w14:textId="77777777" w:rsidR="00F4131C" w:rsidRDefault="00F4131C" w:rsidP="00151206">
            <w:pPr>
              <w:pStyle w:val="ListParagraph"/>
              <w:keepNext/>
              <w:keepLines/>
              <w:autoSpaceDE w:val="0"/>
              <w:autoSpaceDN w:val="0"/>
              <w:adjustRightInd w:val="0"/>
              <w:ind w:left="0"/>
              <w:rPr>
                <w:sz w:val="22"/>
                <w:szCs w:val="22"/>
              </w:rPr>
            </w:pPr>
            <w:r>
              <w:rPr>
                <w:sz w:val="22"/>
                <w:szCs w:val="22"/>
              </w:rPr>
              <w:t>All primary endpoint events</w:t>
            </w:r>
          </w:p>
          <w:p w14:paraId="4D21B7D0" w14:textId="77777777" w:rsidR="00F4131C" w:rsidRDefault="00F4131C" w:rsidP="00151206">
            <w:pPr>
              <w:pStyle w:val="ListParagraph"/>
              <w:keepNext/>
              <w:keepLines/>
              <w:autoSpaceDE w:val="0"/>
              <w:autoSpaceDN w:val="0"/>
              <w:adjustRightInd w:val="0"/>
              <w:ind w:left="0"/>
              <w:rPr>
                <w:sz w:val="22"/>
                <w:szCs w:val="22"/>
              </w:rPr>
            </w:pPr>
          </w:p>
          <w:p w14:paraId="21957264" w14:textId="77777777" w:rsidR="00F4131C" w:rsidRPr="00041BDD" w:rsidRDefault="00F4131C" w:rsidP="00151206">
            <w:pPr>
              <w:pStyle w:val="ListParagraph"/>
              <w:keepNext/>
              <w:keepLines/>
              <w:autoSpaceDE w:val="0"/>
              <w:autoSpaceDN w:val="0"/>
              <w:adjustRightInd w:val="0"/>
              <w:ind w:left="0"/>
              <w:rPr>
                <w:sz w:val="22"/>
                <w:szCs w:val="22"/>
              </w:rPr>
            </w:pPr>
            <w:r>
              <w:rPr>
                <w:sz w:val="22"/>
                <w:szCs w:val="22"/>
              </w:rPr>
              <w:t>As first event:</w:t>
            </w:r>
          </w:p>
        </w:tc>
        <w:tc>
          <w:tcPr>
            <w:tcW w:w="782" w:type="dxa"/>
            <w:tcBorders>
              <w:top w:val="dashSmallGap" w:sz="4" w:space="0" w:color="auto"/>
              <w:bottom w:val="nil"/>
            </w:tcBorders>
            <w:shd w:val="clear" w:color="auto" w:fill="FFFFFF" w:themeFill="background1"/>
          </w:tcPr>
          <w:p w14:paraId="7D523945" w14:textId="77777777" w:rsidR="00F4131C" w:rsidRPr="00D61104" w:rsidRDefault="00F4131C" w:rsidP="00151206">
            <w:pPr>
              <w:keepNext/>
              <w:keepLines/>
              <w:autoSpaceDE w:val="0"/>
              <w:autoSpaceDN w:val="0"/>
              <w:adjustRightInd w:val="0"/>
              <w:jc w:val="center"/>
              <w:rPr>
                <w:b/>
                <w:caps/>
                <w:sz w:val="22"/>
                <w:szCs w:val="22"/>
              </w:rPr>
            </w:pPr>
            <w:r>
              <w:rPr>
                <w:rFonts w:eastAsiaTheme="minorEastAsia"/>
                <w:sz w:val="22"/>
                <w:szCs w:val="22"/>
              </w:rPr>
              <w:t>155</w:t>
            </w:r>
          </w:p>
        </w:tc>
        <w:tc>
          <w:tcPr>
            <w:tcW w:w="740" w:type="dxa"/>
            <w:tcBorders>
              <w:top w:val="dashSmallGap" w:sz="4" w:space="0" w:color="auto"/>
              <w:bottom w:val="nil"/>
            </w:tcBorders>
            <w:shd w:val="clear" w:color="auto" w:fill="FFFFFF" w:themeFill="background1"/>
          </w:tcPr>
          <w:p w14:paraId="566C0F31" w14:textId="77777777" w:rsidR="00F4131C" w:rsidRPr="00D61104" w:rsidRDefault="00F4131C" w:rsidP="00151206">
            <w:pPr>
              <w:keepNext/>
              <w:keepLines/>
              <w:autoSpaceDE w:val="0"/>
              <w:autoSpaceDN w:val="0"/>
              <w:adjustRightInd w:val="0"/>
              <w:jc w:val="center"/>
              <w:rPr>
                <w:b/>
                <w:caps/>
                <w:sz w:val="22"/>
                <w:szCs w:val="22"/>
              </w:rPr>
            </w:pPr>
            <w:r>
              <w:rPr>
                <w:rFonts w:eastAsiaTheme="minorEastAsia"/>
                <w:sz w:val="22"/>
                <w:szCs w:val="22"/>
              </w:rPr>
              <w:t>27.0</w:t>
            </w:r>
          </w:p>
        </w:tc>
        <w:tc>
          <w:tcPr>
            <w:tcW w:w="821" w:type="dxa"/>
            <w:tcBorders>
              <w:top w:val="dashSmallGap" w:sz="4" w:space="0" w:color="auto"/>
              <w:bottom w:val="nil"/>
            </w:tcBorders>
            <w:shd w:val="clear" w:color="auto" w:fill="FFFFFF" w:themeFill="background1"/>
          </w:tcPr>
          <w:p w14:paraId="0A8F9FB3" w14:textId="77777777" w:rsidR="00F4131C" w:rsidRPr="00D61104" w:rsidRDefault="00F4131C" w:rsidP="00151206">
            <w:pPr>
              <w:keepNext/>
              <w:keepLines/>
              <w:autoSpaceDE w:val="0"/>
              <w:autoSpaceDN w:val="0"/>
              <w:adjustRightInd w:val="0"/>
              <w:jc w:val="center"/>
              <w:rPr>
                <w:b/>
                <w:caps/>
                <w:sz w:val="22"/>
                <w:szCs w:val="22"/>
              </w:rPr>
            </w:pPr>
            <w:r>
              <w:rPr>
                <w:rFonts w:eastAsiaTheme="minorEastAsia"/>
                <w:sz w:val="22"/>
                <w:szCs w:val="22"/>
              </w:rPr>
              <w:t>242</w:t>
            </w:r>
          </w:p>
        </w:tc>
        <w:tc>
          <w:tcPr>
            <w:tcW w:w="819" w:type="dxa"/>
            <w:tcBorders>
              <w:top w:val="dashSmallGap" w:sz="4" w:space="0" w:color="auto"/>
              <w:bottom w:val="nil"/>
            </w:tcBorders>
            <w:shd w:val="clear" w:color="auto" w:fill="FFFFFF" w:themeFill="background1"/>
          </w:tcPr>
          <w:p w14:paraId="42EE41C9" w14:textId="77777777" w:rsidR="00F4131C" w:rsidRPr="00D61104" w:rsidRDefault="00F4131C" w:rsidP="00151206">
            <w:pPr>
              <w:keepNext/>
              <w:keepLines/>
              <w:autoSpaceDE w:val="0"/>
              <w:autoSpaceDN w:val="0"/>
              <w:adjustRightInd w:val="0"/>
              <w:jc w:val="center"/>
              <w:rPr>
                <w:b/>
                <w:caps/>
                <w:sz w:val="22"/>
                <w:szCs w:val="22"/>
              </w:rPr>
            </w:pPr>
            <w:r>
              <w:rPr>
                <w:rFonts w:eastAsiaTheme="minorEastAsia"/>
                <w:sz w:val="22"/>
                <w:szCs w:val="22"/>
              </w:rPr>
              <w:t>41.6</w:t>
            </w:r>
          </w:p>
        </w:tc>
        <w:tc>
          <w:tcPr>
            <w:tcW w:w="1780" w:type="dxa"/>
            <w:gridSpan w:val="2"/>
            <w:tcBorders>
              <w:top w:val="dashSmallGap" w:sz="4" w:space="0" w:color="auto"/>
              <w:bottom w:val="nil"/>
            </w:tcBorders>
            <w:shd w:val="clear" w:color="auto" w:fill="FFFFFF" w:themeFill="background1"/>
          </w:tcPr>
          <w:p w14:paraId="495E98DB" w14:textId="77777777" w:rsidR="00F4131C" w:rsidRPr="00D61104" w:rsidRDefault="00F4131C" w:rsidP="00151206">
            <w:pPr>
              <w:keepNext/>
              <w:keepLines/>
              <w:autoSpaceDE w:val="0"/>
              <w:autoSpaceDN w:val="0"/>
              <w:adjustRightInd w:val="0"/>
              <w:jc w:val="center"/>
              <w:rPr>
                <w:b/>
                <w:bCs/>
                <w:caps/>
                <w:sz w:val="22"/>
                <w:szCs w:val="22"/>
              </w:rPr>
            </w:pPr>
            <w:r>
              <w:rPr>
                <w:bCs/>
                <w:sz w:val="22"/>
                <w:szCs w:val="22"/>
              </w:rPr>
              <w:t>0.60 [0.46,0.78]</w:t>
            </w:r>
          </w:p>
        </w:tc>
        <w:tc>
          <w:tcPr>
            <w:tcW w:w="1318" w:type="dxa"/>
            <w:tcBorders>
              <w:top w:val="dashSmallGap" w:sz="4" w:space="0" w:color="auto"/>
              <w:bottom w:val="nil"/>
            </w:tcBorders>
            <w:shd w:val="clear" w:color="auto" w:fill="FFFFFF" w:themeFill="background1"/>
          </w:tcPr>
          <w:p w14:paraId="4D1AE56C" w14:textId="77777777" w:rsidR="00F4131C" w:rsidRPr="00D61104" w:rsidRDefault="00F4131C" w:rsidP="00151206">
            <w:pPr>
              <w:keepNext/>
              <w:keepLines/>
              <w:autoSpaceDE w:val="0"/>
              <w:autoSpaceDN w:val="0"/>
              <w:adjustRightInd w:val="0"/>
              <w:rPr>
                <w:b/>
                <w:bCs/>
                <w:caps/>
                <w:sz w:val="22"/>
                <w:szCs w:val="22"/>
              </w:rPr>
            </w:pPr>
            <w:r>
              <w:rPr>
                <w:bCs/>
                <w:sz w:val="22"/>
                <w:szCs w:val="22"/>
              </w:rPr>
              <w:t>&lt;0.0001</w:t>
            </w:r>
          </w:p>
        </w:tc>
      </w:tr>
      <w:tr w:rsidR="00F4131C" w:rsidRPr="00D61104" w14:paraId="16A99DE2" w14:textId="77777777" w:rsidTr="00151206">
        <w:trPr>
          <w:cantSplit/>
          <w:trHeight w:val="279"/>
        </w:trPr>
        <w:tc>
          <w:tcPr>
            <w:tcW w:w="3446" w:type="dxa"/>
            <w:tcBorders>
              <w:top w:val="nil"/>
              <w:bottom w:val="nil"/>
            </w:tcBorders>
            <w:shd w:val="clear" w:color="auto" w:fill="FFFFFF" w:themeFill="background1"/>
          </w:tcPr>
          <w:p w14:paraId="025A9103" w14:textId="1FE48F31" w:rsidR="00F4131C" w:rsidRPr="00533187" w:rsidRDefault="00F4131C" w:rsidP="00F4131C">
            <w:pPr>
              <w:pStyle w:val="ListParagraph"/>
              <w:keepNext/>
              <w:keepLines/>
              <w:numPr>
                <w:ilvl w:val="0"/>
                <w:numId w:val="23"/>
              </w:numPr>
              <w:autoSpaceDE w:val="0"/>
              <w:autoSpaceDN w:val="0"/>
              <w:adjustRightInd w:val="0"/>
              <w:rPr>
                <w:sz w:val="22"/>
                <w:szCs w:val="22"/>
              </w:rPr>
            </w:pPr>
            <w:r w:rsidRPr="00041BDD">
              <w:rPr>
                <w:rFonts w:eastAsiaTheme="minorEastAsia"/>
                <w:sz w:val="22"/>
                <w:szCs w:val="22"/>
              </w:rPr>
              <w:t>Hospitali</w:t>
            </w:r>
            <w:r w:rsidR="009C5EF4">
              <w:rPr>
                <w:rFonts w:eastAsiaTheme="minorEastAsia"/>
                <w:sz w:val="22"/>
                <w:szCs w:val="22"/>
              </w:rPr>
              <w:t>s</w:t>
            </w:r>
            <w:r w:rsidRPr="00041BDD">
              <w:rPr>
                <w:rFonts w:eastAsiaTheme="minorEastAsia"/>
                <w:sz w:val="22"/>
                <w:szCs w:val="22"/>
              </w:rPr>
              <w:t xml:space="preserve">ation </w:t>
            </w:r>
            <w:r w:rsidRPr="00A72F6F">
              <w:rPr>
                <w:rFonts w:eastAsiaTheme="minorEastAsia"/>
                <w:sz w:val="22"/>
                <w:szCs w:val="22"/>
              </w:rPr>
              <w:t>for PAH</w:t>
            </w:r>
          </w:p>
          <w:p w14:paraId="6779D211" w14:textId="77777777" w:rsidR="00F4131C" w:rsidRPr="00533187" w:rsidRDefault="00F4131C" w:rsidP="00F4131C">
            <w:pPr>
              <w:pStyle w:val="ListParagraph"/>
              <w:keepNext/>
              <w:keepLines/>
              <w:numPr>
                <w:ilvl w:val="0"/>
                <w:numId w:val="23"/>
              </w:numPr>
              <w:autoSpaceDE w:val="0"/>
              <w:autoSpaceDN w:val="0"/>
              <w:adjustRightInd w:val="0"/>
              <w:rPr>
                <w:sz w:val="22"/>
                <w:szCs w:val="22"/>
              </w:rPr>
            </w:pPr>
            <w:r>
              <w:rPr>
                <w:rFonts w:eastAsiaTheme="minorEastAsia"/>
                <w:sz w:val="22"/>
                <w:szCs w:val="22"/>
              </w:rPr>
              <w:t>Other disease Progression (</w:t>
            </w:r>
            <w:r w:rsidRPr="00041BDD">
              <w:rPr>
                <w:rFonts w:eastAsiaTheme="minorEastAsia"/>
                <w:sz w:val="22"/>
                <w:szCs w:val="22"/>
              </w:rPr>
              <w:t>Decrease in 6MWD plus worsening functional class or need for other therapy</w:t>
            </w:r>
            <w:r>
              <w:rPr>
                <w:rFonts w:eastAsiaTheme="minorEastAsia"/>
                <w:sz w:val="22"/>
                <w:szCs w:val="22"/>
              </w:rPr>
              <w:t>)</w:t>
            </w:r>
          </w:p>
          <w:p w14:paraId="477CB5F0" w14:textId="77777777" w:rsidR="00F4131C" w:rsidRPr="00041BDD" w:rsidRDefault="00F4131C" w:rsidP="00F4131C">
            <w:pPr>
              <w:pStyle w:val="ListParagraph"/>
              <w:keepNext/>
              <w:keepLines/>
              <w:numPr>
                <w:ilvl w:val="0"/>
                <w:numId w:val="23"/>
              </w:numPr>
              <w:autoSpaceDE w:val="0"/>
              <w:autoSpaceDN w:val="0"/>
              <w:adjustRightInd w:val="0"/>
              <w:rPr>
                <w:sz w:val="22"/>
                <w:szCs w:val="22"/>
              </w:rPr>
            </w:pPr>
            <w:r>
              <w:rPr>
                <w:rFonts w:eastAsiaTheme="minorEastAsia"/>
                <w:sz w:val="22"/>
                <w:szCs w:val="22"/>
              </w:rPr>
              <w:t>Death</w:t>
            </w:r>
          </w:p>
        </w:tc>
        <w:tc>
          <w:tcPr>
            <w:tcW w:w="782" w:type="dxa"/>
            <w:tcBorders>
              <w:top w:val="nil"/>
              <w:bottom w:val="nil"/>
            </w:tcBorders>
            <w:shd w:val="clear" w:color="auto" w:fill="FFFFFF" w:themeFill="background1"/>
          </w:tcPr>
          <w:p w14:paraId="165C87EA" w14:textId="77777777" w:rsidR="00F4131C" w:rsidRDefault="00F4131C" w:rsidP="00151206">
            <w:pPr>
              <w:keepNext/>
              <w:keepLines/>
              <w:autoSpaceDE w:val="0"/>
              <w:autoSpaceDN w:val="0"/>
              <w:adjustRightInd w:val="0"/>
              <w:jc w:val="center"/>
              <w:rPr>
                <w:rFonts w:eastAsiaTheme="minorEastAsia"/>
                <w:b/>
                <w:caps/>
                <w:sz w:val="22"/>
                <w:szCs w:val="22"/>
              </w:rPr>
            </w:pPr>
            <w:r w:rsidRPr="00D61104">
              <w:rPr>
                <w:rFonts w:eastAsiaTheme="minorEastAsia"/>
                <w:sz w:val="22"/>
                <w:szCs w:val="22"/>
              </w:rPr>
              <w:t>7</w:t>
            </w:r>
            <w:r>
              <w:rPr>
                <w:rFonts w:eastAsiaTheme="minorEastAsia"/>
                <w:sz w:val="22"/>
                <w:szCs w:val="22"/>
              </w:rPr>
              <w:t>8</w:t>
            </w:r>
          </w:p>
          <w:p w14:paraId="76D6D9AC"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38</w:t>
            </w:r>
          </w:p>
          <w:p w14:paraId="2B698822" w14:textId="77777777" w:rsidR="00F4131C" w:rsidRDefault="00F4131C" w:rsidP="00151206">
            <w:pPr>
              <w:keepNext/>
              <w:keepLines/>
              <w:autoSpaceDE w:val="0"/>
              <w:autoSpaceDN w:val="0"/>
              <w:adjustRightInd w:val="0"/>
              <w:jc w:val="center"/>
              <w:rPr>
                <w:rFonts w:eastAsiaTheme="minorEastAsia"/>
                <w:sz w:val="22"/>
                <w:szCs w:val="22"/>
              </w:rPr>
            </w:pPr>
          </w:p>
          <w:p w14:paraId="0A98425E" w14:textId="77777777" w:rsidR="00F4131C" w:rsidRDefault="00F4131C" w:rsidP="00151206">
            <w:pPr>
              <w:keepNext/>
              <w:keepLines/>
              <w:autoSpaceDE w:val="0"/>
              <w:autoSpaceDN w:val="0"/>
              <w:adjustRightInd w:val="0"/>
              <w:jc w:val="center"/>
              <w:rPr>
                <w:rFonts w:eastAsiaTheme="minorEastAsia"/>
                <w:sz w:val="22"/>
                <w:szCs w:val="22"/>
              </w:rPr>
            </w:pPr>
          </w:p>
          <w:p w14:paraId="0E36C49A" w14:textId="77777777" w:rsidR="00F4131C" w:rsidRDefault="00F4131C" w:rsidP="00151206">
            <w:pPr>
              <w:keepNext/>
              <w:keepLines/>
              <w:autoSpaceDE w:val="0"/>
              <w:autoSpaceDN w:val="0"/>
              <w:adjustRightInd w:val="0"/>
              <w:jc w:val="center"/>
              <w:rPr>
                <w:rFonts w:eastAsiaTheme="minorEastAsia"/>
                <w:sz w:val="22"/>
                <w:szCs w:val="22"/>
              </w:rPr>
            </w:pPr>
          </w:p>
          <w:p w14:paraId="6621011D" w14:textId="77777777" w:rsidR="00F4131C" w:rsidRPr="00D61104" w:rsidRDefault="00F4131C" w:rsidP="00151206">
            <w:pPr>
              <w:keepNext/>
              <w:keepLines/>
              <w:autoSpaceDE w:val="0"/>
              <w:autoSpaceDN w:val="0"/>
              <w:adjustRightInd w:val="0"/>
              <w:jc w:val="center"/>
              <w:rPr>
                <w:sz w:val="22"/>
                <w:szCs w:val="22"/>
              </w:rPr>
            </w:pPr>
            <w:r>
              <w:rPr>
                <w:rFonts w:eastAsiaTheme="minorEastAsia"/>
                <w:sz w:val="22"/>
                <w:szCs w:val="22"/>
              </w:rPr>
              <w:t>28</w:t>
            </w:r>
          </w:p>
        </w:tc>
        <w:tc>
          <w:tcPr>
            <w:tcW w:w="740" w:type="dxa"/>
            <w:tcBorders>
              <w:top w:val="nil"/>
              <w:bottom w:val="nil"/>
            </w:tcBorders>
            <w:shd w:val="clear" w:color="auto" w:fill="FFFFFF" w:themeFill="background1"/>
          </w:tcPr>
          <w:p w14:paraId="1B34A614"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13.6</w:t>
            </w:r>
          </w:p>
          <w:p w14:paraId="4DD4205C"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6.6</w:t>
            </w:r>
          </w:p>
          <w:p w14:paraId="5DEA541E" w14:textId="77777777" w:rsidR="00F4131C" w:rsidRDefault="00F4131C" w:rsidP="00151206">
            <w:pPr>
              <w:keepNext/>
              <w:keepLines/>
              <w:autoSpaceDE w:val="0"/>
              <w:autoSpaceDN w:val="0"/>
              <w:adjustRightInd w:val="0"/>
              <w:jc w:val="center"/>
              <w:rPr>
                <w:rFonts w:eastAsiaTheme="minorEastAsia"/>
                <w:sz w:val="22"/>
                <w:szCs w:val="22"/>
              </w:rPr>
            </w:pPr>
          </w:p>
          <w:p w14:paraId="01A9F5EB" w14:textId="77777777" w:rsidR="00F4131C" w:rsidRDefault="00F4131C" w:rsidP="00151206">
            <w:pPr>
              <w:keepNext/>
              <w:keepLines/>
              <w:autoSpaceDE w:val="0"/>
              <w:autoSpaceDN w:val="0"/>
              <w:adjustRightInd w:val="0"/>
              <w:jc w:val="center"/>
              <w:rPr>
                <w:rFonts w:eastAsiaTheme="minorEastAsia"/>
                <w:sz w:val="22"/>
                <w:szCs w:val="22"/>
              </w:rPr>
            </w:pPr>
          </w:p>
          <w:p w14:paraId="704BE4E0" w14:textId="77777777" w:rsidR="00F4131C" w:rsidRDefault="00F4131C" w:rsidP="00151206">
            <w:pPr>
              <w:keepNext/>
              <w:keepLines/>
              <w:autoSpaceDE w:val="0"/>
              <w:autoSpaceDN w:val="0"/>
              <w:adjustRightInd w:val="0"/>
              <w:jc w:val="center"/>
              <w:rPr>
                <w:rFonts w:eastAsiaTheme="minorEastAsia"/>
                <w:sz w:val="22"/>
                <w:szCs w:val="22"/>
              </w:rPr>
            </w:pPr>
          </w:p>
          <w:p w14:paraId="2A986189" w14:textId="77777777" w:rsidR="00F4131C" w:rsidRPr="00D61104" w:rsidRDefault="00F4131C" w:rsidP="00151206">
            <w:pPr>
              <w:keepNext/>
              <w:keepLines/>
              <w:autoSpaceDE w:val="0"/>
              <w:autoSpaceDN w:val="0"/>
              <w:adjustRightInd w:val="0"/>
              <w:jc w:val="center"/>
              <w:rPr>
                <w:sz w:val="22"/>
                <w:szCs w:val="22"/>
              </w:rPr>
            </w:pPr>
            <w:r>
              <w:rPr>
                <w:rFonts w:eastAsiaTheme="minorEastAsia"/>
                <w:sz w:val="22"/>
                <w:szCs w:val="22"/>
              </w:rPr>
              <w:t>4.9</w:t>
            </w:r>
          </w:p>
        </w:tc>
        <w:tc>
          <w:tcPr>
            <w:tcW w:w="821" w:type="dxa"/>
            <w:tcBorders>
              <w:top w:val="nil"/>
              <w:bottom w:val="nil"/>
            </w:tcBorders>
            <w:shd w:val="clear" w:color="auto" w:fill="FFFFFF" w:themeFill="background1"/>
          </w:tcPr>
          <w:p w14:paraId="32E282E3"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109</w:t>
            </w:r>
          </w:p>
          <w:p w14:paraId="36C40832"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100</w:t>
            </w:r>
          </w:p>
          <w:p w14:paraId="197B35D1" w14:textId="77777777" w:rsidR="00F4131C" w:rsidRDefault="00F4131C" w:rsidP="00151206">
            <w:pPr>
              <w:keepNext/>
              <w:keepLines/>
              <w:autoSpaceDE w:val="0"/>
              <w:autoSpaceDN w:val="0"/>
              <w:adjustRightInd w:val="0"/>
              <w:jc w:val="center"/>
              <w:rPr>
                <w:rFonts w:eastAsiaTheme="minorEastAsia"/>
                <w:sz w:val="22"/>
                <w:szCs w:val="22"/>
              </w:rPr>
            </w:pPr>
          </w:p>
          <w:p w14:paraId="26CC49A0" w14:textId="77777777" w:rsidR="00F4131C" w:rsidRDefault="00F4131C" w:rsidP="00151206">
            <w:pPr>
              <w:keepNext/>
              <w:keepLines/>
              <w:autoSpaceDE w:val="0"/>
              <w:autoSpaceDN w:val="0"/>
              <w:adjustRightInd w:val="0"/>
              <w:jc w:val="center"/>
              <w:rPr>
                <w:rFonts w:eastAsiaTheme="minorEastAsia"/>
                <w:sz w:val="22"/>
                <w:szCs w:val="22"/>
              </w:rPr>
            </w:pPr>
          </w:p>
          <w:p w14:paraId="06314988" w14:textId="77777777" w:rsidR="00F4131C" w:rsidRDefault="00F4131C" w:rsidP="00151206">
            <w:pPr>
              <w:keepNext/>
              <w:keepLines/>
              <w:autoSpaceDE w:val="0"/>
              <w:autoSpaceDN w:val="0"/>
              <w:adjustRightInd w:val="0"/>
              <w:jc w:val="center"/>
              <w:rPr>
                <w:rFonts w:eastAsiaTheme="minorEastAsia"/>
                <w:sz w:val="22"/>
                <w:szCs w:val="22"/>
              </w:rPr>
            </w:pPr>
          </w:p>
          <w:p w14:paraId="2BDEA80C" w14:textId="77777777" w:rsidR="00F4131C" w:rsidRPr="00D61104" w:rsidRDefault="00F4131C" w:rsidP="00151206">
            <w:pPr>
              <w:keepNext/>
              <w:keepLines/>
              <w:autoSpaceDE w:val="0"/>
              <w:autoSpaceDN w:val="0"/>
              <w:adjustRightInd w:val="0"/>
              <w:jc w:val="center"/>
              <w:rPr>
                <w:sz w:val="22"/>
                <w:szCs w:val="22"/>
              </w:rPr>
            </w:pPr>
            <w:r>
              <w:rPr>
                <w:rFonts w:eastAsiaTheme="minorEastAsia"/>
                <w:sz w:val="22"/>
                <w:szCs w:val="22"/>
              </w:rPr>
              <w:t>18</w:t>
            </w:r>
          </w:p>
        </w:tc>
        <w:tc>
          <w:tcPr>
            <w:tcW w:w="819" w:type="dxa"/>
            <w:tcBorders>
              <w:top w:val="nil"/>
              <w:bottom w:val="nil"/>
            </w:tcBorders>
            <w:shd w:val="clear" w:color="auto" w:fill="FFFFFF" w:themeFill="background1"/>
          </w:tcPr>
          <w:p w14:paraId="17E18C55"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18.7</w:t>
            </w:r>
          </w:p>
          <w:p w14:paraId="42D166A8"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17.2</w:t>
            </w:r>
          </w:p>
          <w:p w14:paraId="765C0356" w14:textId="77777777" w:rsidR="00F4131C" w:rsidRDefault="00F4131C" w:rsidP="00151206">
            <w:pPr>
              <w:keepNext/>
              <w:keepLines/>
              <w:autoSpaceDE w:val="0"/>
              <w:autoSpaceDN w:val="0"/>
              <w:adjustRightInd w:val="0"/>
              <w:jc w:val="center"/>
              <w:rPr>
                <w:rFonts w:eastAsiaTheme="minorEastAsia"/>
                <w:sz w:val="22"/>
                <w:szCs w:val="22"/>
              </w:rPr>
            </w:pPr>
          </w:p>
          <w:p w14:paraId="42F8DEF2" w14:textId="77777777" w:rsidR="00F4131C" w:rsidRDefault="00F4131C" w:rsidP="00151206">
            <w:pPr>
              <w:keepNext/>
              <w:keepLines/>
              <w:autoSpaceDE w:val="0"/>
              <w:autoSpaceDN w:val="0"/>
              <w:adjustRightInd w:val="0"/>
              <w:jc w:val="center"/>
              <w:rPr>
                <w:rFonts w:eastAsiaTheme="minorEastAsia"/>
                <w:sz w:val="22"/>
                <w:szCs w:val="22"/>
              </w:rPr>
            </w:pPr>
          </w:p>
          <w:p w14:paraId="608DC88C" w14:textId="77777777" w:rsidR="00F4131C" w:rsidRDefault="00F4131C" w:rsidP="00151206">
            <w:pPr>
              <w:keepNext/>
              <w:keepLines/>
              <w:autoSpaceDE w:val="0"/>
              <w:autoSpaceDN w:val="0"/>
              <w:adjustRightInd w:val="0"/>
              <w:jc w:val="center"/>
              <w:rPr>
                <w:rFonts w:eastAsiaTheme="minorEastAsia"/>
                <w:sz w:val="22"/>
                <w:szCs w:val="22"/>
              </w:rPr>
            </w:pPr>
          </w:p>
          <w:p w14:paraId="3A538C82" w14:textId="77777777" w:rsidR="00F4131C" w:rsidRPr="00D61104" w:rsidRDefault="00F4131C" w:rsidP="00151206">
            <w:pPr>
              <w:keepNext/>
              <w:keepLines/>
              <w:autoSpaceDE w:val="0"/>
              <w:autoSpaceDN w:val="0"/>
              <w:adjustRightInd w:val="0"/>
              <w:jc w:val="center"/>
              <w:rPr>
                <w:sz w:val="22"/>
                <w:szCs w:val="22"/>
              </w:rPr>
            </w:pPr>
            <w:r>
              <w:rPr>
                <w:rFonts w:eastAsiaTheme="minorEastAsia"/>
                <w:sz w:val="22"/>
                <w:szCs w:val="22"/>
              </w:rPr>
              <w:t>3.1</w:t>
            </w:r>
          </w:p>
        </w:tc>
        <w:tc>
          <w:tcPr>
            <w:tcW w:w="1780" w:type="dxa"/>
            <w:gridSpan w:val="2"/>
            <w:tcBorders>
              <w:top w:val="nil"/>
              <w:bottom w:val="nil"/>
            </w:tcBorders>
            <w:shd w:val="clear" w:color="auto" w:fill="FFFFFF" w:themeFill="background1"/>
          </w:tcPr>
          <w:p w14:paraId="3242356A" w14:textId="77777777" w:rsidR="00F4131C" w:rsidRPr="00D61104" w:rsidRDefault="00F4131C" w:rsidP="00151206">
            <w:pPr>
              <w:keepNext/>
              <w:keepLines/>
              <w:autoSpaceDE w:val="0"/>
              <w:autoSpaceDN w:val="0"/>
              <w:adjustRightInd w:val="0"/>
              <w:jc w:val="center"/>
              <w:rPr>
                <w:bCs/>
                <w:sz w:val="22"/>
                <w:szCs w:val="22"/>
              </w:rPr>
            </w:pPr>
          </w:p>
        </w:tc>
        <w:tc>
          <w:tcPr>
            <w:tcW w:w="1318" w:type="dxa"/>
            <w:tcBorders>
              <w:top w:val="nil"/>
              <w:bottom w:val="nil"/>
            </w:tcBorders>
            <w:shd w:val="clear" w:color="auto" w:fill="FFFFFF" w:themeFill="background1"/>
          </w:tcPr>
          <w:p w14:paraId="3107E359" w14:textId="77777777" w:rsidR="00F4131C" w:rsidRPr="00D61104" w:rsidRDefault="00F4131C" w:rsidP="00151206">
            <w:pPr>
              <w:keepNext/>
              <w:keepLines/>
              <w:autoSpaceDE w:val="0"/>
              <w:autoSpaceDN w:val="0"/>
              <w:adjustRightInd w:val="0"/>
              <w:rPr>
                <w:bCs/>
                <w:sz w:val="22"/>
                <w:szCs w:val="22"/>
              </w:rPr>
            </w:pPr>
          </w:p>
        </w:tc>
      </w:tr>
      <w:tr w:rsidR="00F4131C" w:rsidRPr="00D61104" w14:paraId="40145278" w14:textId="77777777" w:rsidTr="00151206">
        <w:trPr>
          <w:cantSplit/>
          <w:trHeight w:val="1215"/>
        </w:trPr>
        <w:tc>
          <w:tcPr>
            <w:tcW w:w="3446" w:type="dxa"/>
            <w:tcBorders>
              <w:top w:val="nil"/>
              <w:bottom w:val="single" w:sz="4" w:space="0" w:color="auto"/>
            </w:tcBorders>
          </w:tcPr>
          <w:p w14:paraId="041AA4B2" w14:textId="77777777" w:rsidR="00F4131C" w:rsidRPr="000E5027" w:rsidRDefault="00F4131C" w:rsidP="00F4131C">
            <w:pPr>
              <w:pStyle w:val="ListParagraph"/>
              <w:keepNext/>
              <w:keepLines/>
              <w:numPr>
                <w:ilvl w:val="0"/>
                <w:numId w:val="23"/>
              </w:numPr>
              <w:autoSpaceDE w:val="0"/>
              <w:autoSpaceDN w:val="0"/>
              <w:adjustRightInd w:val="0"/>
              <w:rPr>
                <w:sz w:val="22"/>
                <w:szCs w:val="22"/>
              </w:rPr>
            </w:pPr>
            <w:r w:rsidRPr="00041BDD">
              <w:rPr>
                <w:rFonts w:eastAsiaTheme="minorEastAsia"/>
                <w:sz w:val="22"/>
                <w:szCs w:val="22"/>
              </w:rPr>
              <w:t>Parenteral</w:t>
            </w:r>
            <w:r w:rsidRPr="00A72F6F">
              <w:rPr>
                <w:rFonts w:eastAsiaTheme="minorEastAsia"/>
                <w:sz w:val="22"/>
                <w:szCs w:val="22"/>
              </w:rPr>
              <w:t xml:space="preserve"> prostanoid or chronic oxygen therapy</w:t>
            </w:r>
          </w:p>
          <w:p w14:paraId="0D2CFFFB" w14:textId="77777777" w:rsidR="00F4131C" w:rsidRPr="00533187" w:rsidRDefault="00F4131C" w:rsidP="00F4131C">
            <w:pPr>
              <w:pStyle w:val="ListParagraph"/>
              <w:keepNext/>
              <w:keepLines/>
              <w:numPr>
                <w:ilvl w:val="0"/>
                <w:numId w:val="23"/>
              </w:numPr>
              <w:autoSpaceDE w:val="0"/>
              <w:autoSpaceDN w:val="0"/>
              <w:adjustRightInd w:val="0"/>
              <w:rPr>
                <w:sz w:val="22"/>
                <w:szCs w:val="22"/>
              </w:rPr>
            </w:pPr>
            <w:r w:rsidRPr="00533187">
              <w:rPr>
                <w:rFonts w:eastAsiaTheme="minorEastAsia" w:cs="Times New Roman"/>
                <w:sz w:val="22"/>
                <w:lang w:val="en-GB"/>
              </w:rPr>
              <w:t xml:space="preserve">PAH </w:t>
            </w:r>
            <w:r w:rsidRPr="00533187">
              <w:rPr>
                <w:rFonts w:eastAsiaTheme="minorEastAsia"/>
                <w:sz w:val="22"/>
                <w:szCs w:val="22"/>
              </w:rPr>
              <w:t>worsening resulting in need</w:t>
            </w:r>
            <w:r w:rsidRPr="00533187">
              <w:rPr>
                <w:rFonts w:eastAsiaTheme="minorEastAsia"/>
                <w:sz w:val="22"/>
              </w:rPr>
              <w:t xml:space="preserve"> for lung transplantation or </w:t>
            </w:r>
            <w:r w:rsidRPr="00533187">
              <w:rPr>
                <w:rFonts w:eastAsiaTheme="minorEastAsia"/>
                <w:sz w:val="22"/>
                <w:szCs w:val="22"/>
              </w:rPr>
              <w:t xml:space="preserve">balloon </w:t>
            </w:r>
            <w:r w:rsidRPr="00533187">
              <w:rPr>
                <w:rFonts w:eastAsiaTheme="minorEastAsia"/>
                <w:sz w:val="22"/>
              </w:rPr>
              <w:t>atrial septostomy</w:t>
            </w:r>
          </w:p>
          <w:p w14:paraId="12650652" w14:textId="77777777" w:rsidR="00F4131C" w:rsidRPr="000E5027" w:rsidRDefault="00F4131C" w:rsidP="00151206">
            <w:pPr>
              <w:pStyle w:val="ListParagraph"/>
              <w:keepNext/>
              <w:keepLines/>
              <w:autoSpaceDE w:val="0"/>
              <w:autoSpaceDN w:val="0"/>
              <w:adjustRightInd w:val="0"/>
              <w:ind w:left="540"/>
              <w:rPr>
                <w:sz w:val="22"/>
                <w:szCs w:val="22"/>
              </w:rPr>
            </w:pPr>
          </w:p>
        </w:tc>
        <w:tc>
          <w:tcPr>
            <w:tcW w:w="782" w:type="dxa"/>
            <w:tcBorders>
              <w:top w:val="nil"/>
              <w:bottom w:val="single" w:sz="4" w:space="0" w:color="auto"/>
            </w:tcBorders>
          </w:tcPr>
          <w:p w14:paraId="48B02BDD"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10</w:t>
            </w:r>
          </w:p>
          <w:p w14:paraId="298FA058" w14:textId="77777777" w:rsidR="00F4131C" w:rsidRDefault="00F4131C" w:rsidP="00151206">
            <w:pPr>
              <w:keepNext/>
              <w:keepLines/>
              <w:autoSpaceDE w:val="0"/>
              <w:autoSpaceDN w:val="0"/>
              <w:adjustRightInd w:val="0"/>
              <w:jc w:val="center"/>
              <w:rPr>
                <w:rFonts w:eastAsiaTheme="minorEastAsia"/>
                <w:sz w:val="22"/>
                <w:szCs w:val="22"/>
              </w:rPr>
            </w:pPr>
          </w:p>
          <w:p w14:paraId="06070865" w14:textId="77777777" w:rsidR="00F4131C" w:rsidRDefault="00F4131C" w:rsidP="00151206">
            <w:pPr>
              <w:keepNext/>
              <w:keepLines/>
              <w:autoSpaceDE w:val="0"/>
              <w:autoSpaceDN w:val="0"/>
              <w:adjustRightInd w:val="0"/>
              <w:jc w:val="center"/>
              <w:rPr>
                <w:sz w:val="22"/>
                <w:szCs w:val="22"/>
              </w:rPr>
            </w:pPr>
            <w:r>
              <w:rPr>
                <w:rFonts w:eastAsiaTheme="minorEastAsia"/>
                <w:sz w:val="22"/>
                <w:szCs w:val="22"/>
              </w:rPr>
              <w:t>1</w:t>
            </w:r>
          </w:p>
          <w:p w14:paraId="56D9B58D" w14:textId="77777777" w:rsidR="00F4131C" w:rsidRPr="00265FA5" w:rsidRDefault="00F4131C" w:rsidP="00151206">
            <w:pPr>
              <w:keepNext/>
              <w:keepLines/>
              <w:rPr>
                <w:sz w:val="22"/>
                <w:szCs w:val="22"/>
              </w:rPr>
            </w:pPr>
          </w:p>
        </w:tc>
        <w:tc>
          <w:tcPr>
            <w:tcW w:w="740" w:type="dxa"/>
            <w:tcBorders>
              <w:top w:val="nil"/>
              <w:bottom w:val="single" w:sz="4" w:space="0" w:color="auto"/>
            </w:tcBorders>
          </w:tcPr>
          <w:p w14:paraId="7916B82A"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1.7</w:t>
            </w:r>
          </w:p>
          <w:p w14:paraId="77A40A35" w14:textId="77777777" w:rsidR="00F4131C" w:rsidRDefault="00F4131C" w:rsidP="00151206">
            <w:pPr>
              <w:keepNext/>
              <w:keepLines/>
              <w:autoSpaceDE w:val="0"/>
              <w:autoSpaceDN w:val="0"/>
              <w:adjustRightInd w:val="0"/>
              <w:jc w:val="center"/>
              <w:rPr>
                <w:rFonts w:eastAsiaTheme="minorEastAsia"/>
                <w:sz w:val="22"/>
                <w:szCs w:val="22"/>
              </w:rPr>
            </w:pPr>
          </w:p>
          <w:p w14:paraId="6B28831F" w14:textId="77777777" w:rsidR="00F4131C" w:rsidRPr="00D61104" w:rsidRDefault="00F4131C" w:rsidP="00151206">
            <w:pPr>
              <w:keepNext/>
              <w:keepLines/>
              <w:autoSpaceDE w:val="0"/>
              <w:autoSpaceDN w:val="0"/>
              <w:adjustRightInd w:val="0"/>
              <w:jc w:val="center"/>
              <w:rPr>
                <w:sz w:val="22"/>
                <w:szCs w:val="22"/>
              </w:rPr>
            </w:pPr>
            <w:r>
              <w:rPr>
                <w:rFonts w:eastAsiaTheme="minorEastAsia"/>
                <w:sz w:val="22"/>
                <w:szCs w:val="22"/>
              </w:rPr>
              <w:t>0.2</w:t>
            </w:r>
          </w:p>
        </w:tc>
        <w:tc>
          <w:tcPr>
            <w:tcW w:w="821" w:type="dxa"/>
            <w:tcBorders>
              <w:top w:val="nil"/>
              <w:bottom w:val="single" w:sz="4" w:space="0" w:color="auto"/>
            </w:tcBorders>
          </w:tcPr>
          <w:p w14:paraId="0C3B1D72"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13</w:t>
            </w:r>
          </w:p>
          <w:p w14:paraId="52E56884" w14:textId="77777777" w:rsidR="00F4131C" w:rsidRDefault="00F4131C" w:rsidP="00151206">
            <w:pPr>
              <w:keepNext/>
              <w:keepLines/>
              <w:autoSpaceDE w:val="0"/>
              <w:autoSpaceDN w:val="0"/>
              <w:adjustRightInd w:val="0"/>
              <w:jc w:val="center"/>
              <w:rPr>
                <w:rFonts w:eastAsiaTheme="minorEastAsia"/>
                <w:sz w:val="22"/>
                <w:szCs w:val="22"/>
              </w:rPr>
            </w:pPr>
          </w:p>
          <w:p w14:paraId="45E78272" w14:textId="77777777" w:rsidR="00F4131C" w:rsidRPr="00265FA5" w:rsidRDefault="00F4131C" w:rsidP="00151206">
            <w:pPr>
              <w:keepNext/>
              <w:keepLines/>
              <w:autoSpaceDE w:val="0"/>
              <w:autoSpaceDN w:val="0"/>
              <w:adjustRightInd w:val="0"/>
              <w:jc w:val="center"/>
              <w:rPr>
                <w:sz w:val="22"/>
                <w:szCs w:val="22"/>
              </w:rPr>
            </w:pPr>
            <w:r>
              <w:rPr>
                <w:rFonts w:eastAsiaTheme="minorEastAsia"/>
                <w:sz w:val="22"/>
                <w:szCs w:val="22"/>
              </w:rPr>
              <w:t>2</w:t>
            </w:r>
          </w:p>
        </w:tc>
        <w:tc>
          <w:tcPr>
            <w:tcW w:w="819" w:type="dxa"/>
            <w:tcBorders>
              <w:top w:val="nil"/>
              <w:bottom w:val="single" w:sz="4" w:space="0" w:color="auto"/>
            </w:tcBorders>
          </w:tcPr>
          <w:p w14:paraId="5D8417DE" w14:textId="77777777" w:rsidR="00F4131C" w:rsidRDefault="00F4131C" w:rsidP="00151206">
            <w:pPr>
              <w:keepNext/>
              <w:keepLines/>
              <w:autoSpaceDE w:val="0"/>
              <w:autoSpaceDN w:val="0"/>
              <w:adjustRightInd w:val="0"/>
              <w:jc w:val="center"/>
              <w:rPr>
                <w:rFonts w:eastAsiaTheme="minorEastAsia"/>
                <w:b/>
                <w:caps/>
                <w:sz w:val="22"/>
                <w:szCs w:val="22"/>
              </w:rPr>
            </w:pPr>
            <w:r>
              <w:rPr>
                <w:rFonts w:eastAsiaTheme="minorEastAsia"/>
                <w:sz w:val="22"/>
                <w:szCs w:val="22"/>
              </w:rPr>
              <w:t>2.2</w:t>
            </w:r>
          </w:p>
          <w:p w14:paraId="2F94924A" w14:textId="77777777" w:rsidR="00F4131C" w:rsidRDefault="00F4131C" w:rsidP="00151206">
            <w:pPr>
              <w:keepNext/>
              <w:keepLines/>
              <w:autoSpaceDE w:val="0"/>
              <w:autoSpaceDN w:val="0"/>
              <w:adjustRightInd w:val="0"/>
              <w:jc w:val="center"/>
              <w:rPr>
                <w:rFonts w:eastAsiaTheme="minorEastAsia"/>
                <w:sz w:val="22"/>
                <w:szCs w:val="22"/>
              </w:rPr>
            </w:pPr>
          </w:p>
          <w:p w14:paraId="71BCF746" w14:textId="77777777" w:rsidR="00F4131C" w:rsidRPr="00D61104" w:rsidRDefault="00F4131C" w:rsidP="00151206">
            <w:pPr>
              <w:keepNext/>
              <w:keepLines/>
              <w:autoSpaceDE w:val="0"/>
              <w:autoSpaceDN w:val="0"/>
              <w:adjustRightInd w:val="0"/>
              <w:jc w:val="center"/>
              <w:rPr>
                <w:sz w:val="22"/>
                <w:szCs w:val="22"/>
              </w:rPr>
            </w:pPr>
            <w:r>
              <w:rPr>
                <w:rFonts w:eastAsiaTheme="minorEastAsia"/>
                <w:sz w:val="22"/>
                <w:szCs w:val="22"/>
              </w:rPr>
              <w:t>0.3</w:t>
            </w:r>
          </w:p>
        </w:tc>
        <w:tc>
          <w:tcPr>
            <w:tcW w:w="1780" w:type="dxa"/>
            <w:gridSpan w:val="2"/>
            <w:tcBorders>
              <w:top w:val="nil"/>
              <w:bottom w:val="single" w:sz="4" w:space="0" w:color="auto"/>
            </w:tcBorders>
            <w:shd w:val="clear" w:color="auto" w:fill="auto"/>
          </w:tcPr>
          <w:p w14:paraId="796722D3" w14:textId="77777777" w:rsidR="00F4131C" w:rsidRDefault="00F4131C" w:rsidP="00151206">
            <w:pPr>
              <w:keepNext/>
              <w:keepLines/>
              <w:autoSpaceDE w:val="0"/>
              <w:autoSpaceDN w:val="0"/>
              <w:adjustRightInd w:val="0"/>
              <w:jc w:val="center"/>
              <w:rPr>
                <w:bCs/>
                <w:sz w:val="22"/>
                <w:szCs w:val="22"/>
              </w:rPr>
            </w:pPr>
          </w:p>
          <w:p w14:paraId="04AFF629" w14:textId="77777777" w:rsidR="00F4131C" w:rsidRDefault="00F4131C" w:rsidP="00151206">
            <w:pPr>
              <w:keepNext/>
              <w:keepLines/>
              <w:autoSpaceDE w:val="0"/>
              <w:autoSpaceDN w:val="0"/>
              <w:adjustRightInd w:val="0"/>
              <w:jc w:val="center"/>
              <w:rPr>
                <w:bCs/>
                <w:sz w:val="22"/>
                <w:szCs w:val="22"/>
              </w:rPr>
            </w:pPr>
          </w:p>
          <w:p w14:paraId="6D833FF5" w14:textId="77777777" w:rsidR="00F4131C" w:rsidRPr="00D61104" w:rsidRDefault="00F4131C" w:rsidP="00151206">
            <w:pPr>
              <w:keepNext/>
              <w:keepLines/>
              <w:autoSpaceDE w:val="0"/>
              <w:autoSpaceDN w:val="0"/>
              <w:adjustRightInd w:val="0"/>
              <w:jc w:val="center"/>
              <w:rPr>
                <w:bCs/>
                <w:sz w:val="22"/>
                <w:szCs w:val="22"/>
              </w:rPr>
            </w:pPr>
          </w:p>
        </w:tc>
        <w:tc>
          <w:tcPr>
            <w:tcW w:w="1318" w:type="dxa"/>
            <w:tcBorders>
              <w:top w:val="nil"/>
              <w:bottom w:val="single" w:sz="4" w:space="0" w:color="auto"/>
            </w:tcBorders>
            <w:shd w:val="clear" w:color="auto" w:fill="auto"/>
          </w:tcPr>
          <w:p w14:paraId="5F399BA1" w14:textId="77777777" w:rsidR="00F4131C" w:rsidRPr="00D61104" w:rsidRDefault="00F4131C" w:rsidP="00151206">
            <w:pPr>
              <w:keepNext/>
              <w:keepLines/>
              <w:autoSpaceDE w:val="0"/>
              <w:autoSpaceDN w:val="0"/>
              <w:adjustRightInd w:val="0"/>
              <w:rPr>
                <w:bCs/>
                <w:sz w:val="22"/>
                <w:szCs w:val="22"/>
              </w:rPr>
            </w:pPr>
          </w:p>
        </w:tc>
      </w:tr>
    </w:tbl>
    <w:p w14:paraId="226883EB" w14:textId="77777777" w:rsidR="00CD2855" w:rsidRDefault="00CD2855" w:rsidP="00BB6161">
      <w:pPr>
        <w:numPr>
          <w:ilvl w:val="12"/>
          <w:numId w:val="0"/>
        </w:numPr>
        <w:rPr>
          <w:rFonts w:eastAsia="SimSun"/>
          <w:szCs w:val="22"/>
          <w:lang w:eastAsia="zh-CN"/>
        </w:rPr>
      </w:pPr>
    </w:p>
    <w:p w14:paraId="5847ABFB" w14:textId="29A8588B" w:rsidR="00C13824" w:rsidRDefault="00755E61" w:rsidP="00C13824">
      <w:pPr>
        <w:pStyle w:val="TextTi12"/>
        <w:rPr>
          <w:lang w:val="en-AU"/>
        </w:rPr>
      </w:pPr>
      <w:r w:rsidRPr="00DA1EFA">
        <w:t>The observed benefit of selexipag was similar regardless of the dose achieved when patients are titrated to their highest tolerated dose (see Dosage and Administration). This was</w:t>
      </w:r>
      <w:r w:rsidR="00D44FCC">
        <w:rPr>
          <w:lang w:val="en-AU"/>
        </w:rPr>
        <w:t xml:space="preserve"> </w:t>
      </w:r>
      <w:r w:rsidRPr="00DA1EFA">
        <w:t>shown by the hazard ratio for the 3 pre</w:t>
      </w:r>
      <w:r w:rsidRPr="00DA1EFA">
        <w:noBreakHyphen/>
        <w:t>defined categories (0.60 for 200–400 micrograms twice daily, 0.53 for 600–1000</w:t>
      </w:r>
      <w:r w:rsidR="00FF2CDC">
        <w:rPr>
          <w:lang w:val="en-AU"/>
        </w:rPr>
        <w:t xml:space="preserve"> </w:t>
      </w:r>
      <w:r w:rsidRPr="00DA1EFA">
        <w:t>micrograms twice daily, and 0.64 for 1200–1600 micrograms twice daily), which was consistent with the</w:t>
      </w:r>
      <w:r>
        <w:t xml:space="preserve"> overall treatment effect</w:t>
      </w:r>
      <w:r w:rsidR="0087639C">
        <w:rPr>
          <w:lang w:val="en-AU"/>
        </w:rPr>
        <w:t xml:space="preserve"> </w:t>
      </w:r>
      <w:r>
        <w:t>(0.</w:t>
      </w:r>
      <w:r w:rsidR="00CD67FA">
        <w:t>60</w:t>
      </w:r>
      <w:r w:rsidR="00CD67FA" w:rsidRPr="00EA4072">
        <w:rPr>
          <w:lang w:val="en-US"/>
        </w:rPr>
        <w:t>)</w:t>
      </w:r>
      <w:r w:rsidRPr="00CD67FA">
        <w:t>.</w:t>
      </w:r>
    </w:p>
    <w:bookmarkEnd w:id="8"/>
    <w:p w14:paraId="7C3124A5" w14:textId="334FCB9A" w:rsidR="00E22F19" w:rsidRDefault="003A4777" w:rsidP="00967012">
      <w:pPr>
        <w:pStyle w:val="C-BodyText"/>
        <w:jc w:val="both"/>
      </w:pPr>
      <w:r w:rsidRPr="003A4777">
        <w:rPr>
          <w:szCs w:val="24"/>
        </w:rPr>
        <w:t>It is not known if the excess number of deaths in the selexipag group is drug-related because there were so few deaths and the imbalance was not observed until 18 months into GRIPHON.</w:t>
      </w:r>
      <w:r w:rsidR="006641A6">
        <w:rPr>
          <w:szCs w:val="24"/>
        </w:rPr>
        <w:t xml:space="preserve"> </w:t>
      </w:r>
      <w:r w:rsidR="00E22F19">
        <w:t xml:space="preserve">Figures </w:t>
      </w:r>
      <w:r w:rsidR="00706083">
        <w:t>2</w:t>
      </w:r>
      <w:r w:rsidR="00E22F19">
        <w:t>A, B and C show time to first event analyses for primary endpoint components of hospitali</w:t>
      </w:r>
      <w:r w:rsidR="009C5EF4">
        <w:t>s</w:t>
      </w:r>
      <w:r w:rsidR="00E22F19">
        <w:t>ation for PAH (A), other disease progression (B), and death (C)—all censored 7 days after any primary end point event (because many patients on placebo transitioned to open-label UPTRAVI at this point).</w:t>
      </w:r>
    </w:p>
    <w:p w14:paraId="0457DAF6" w14:textId="0856D4E8" w:rsidR="00E22F19" w:rsidRPr="009C02AA" w:rsidRDefault="00E22F19" w:rsidP="00E22F19">
      <w:pPr>
        <w:pStyle w:val="HdFig1"/>
        <w:jc w:val="both"/>
        <w:rPr>
          <w:highlight w:val="yellow"/>
          <w:u w:val="single"/>
        </w:rPr>
      </w:pPr>
      <w:r w:rsidRPr="009C02AA">
        <w:rPr>
          <w:u w:val="single"/>
        </w:rPr>
        <w:lastRenderedPageBreak/>
        <w:t xml:space="preserve">Figure </w:t>
      </w:r>
      <w:r w:rsidR="00706083" w:rsidRPr="009C02AA">
        <w:rPr>
          <w:u w:val="single"/>
        </w:rPr>
        <w:t>2</w:t>
      </w:r>
      <w:r w:rsidRPr="009C02AA">
        <w:rPr>
          <w:u w:val="single"/>
        </w:rPr>
        <w:t>A</w:t>
      </w:r>
      <w:r w:rsidR="009C02AA">
        <w:rPr>
          <w:u w:val="single"/>
        </w:rPr>
        <w:t xml:space="preserve">: </w:t>
      </w:r>
      <w:r w:rsidRPr="009C02AA">
        <w:rPr>
          <w:u w:val="single"/>
        </w:rPr>
        <w:t>Hospitali</w:t>
      </w:r>
      <w:r w:rsidR="009C5EF4" w:rsidRPr="009C02AA">
        <w:rPr>
          <w:u w:val="single"/>
        </w:rPr>
        <w:t>s</w:t>
      </w:r>
      <w:r w:rsidRPr="009C02AA">
        <w:rPr>
          <w:u w:val="single"/>
        </w:rPr>
        <w:t xml:space="preserve">ation for PAH as the First Endpoint in GRIPHON </w:t>
      </w:r>
    </w:p>
    <w:p w14:paraId="3977BD00" w14:textId="4CE93071" w:rsidR="00E22F19" w:rsidRDefault="00260F41" w:rsidP="00E22F19">
      <w:pPr>
        <w:pStyle w:val="C-BodyText"/>
        <w:rPr>
          <w:lang w:val="en-GB"/>
        </w:rPr>
      </w:pPr>
      <w:r>
        <w:rPr>
          <w:noProof/>
          <w:lang w:val="en-AU" w:eastAsia="en-AU"/>
        </w:rPr>
        <w:drawing>
          <wp:inline distT="0" distB="0" distL="0" distR="0" wp14:anchorId="23438EF7" wp14:editId="34ECEDB7">
            <wp:extent cx="5905500" cy="7810500"/>
            <wp:effectExtent l="0" t="0" r="0" b="0"/>
            <wp:docPr id="8" name="Picture 8" descr="C:\Users\preisra1\Downloads\FTDSTI_UHOSP_L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isra1\Downloads\FTDSTI_UHOSP_L_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7810500"/>
                    </a:xfrm>
                    <a:prstGeom prst="rect">
                      <a:avLst/>
                    </a:prstGeom>
                    <a:noFill/>
                    <a:ln>
                      <a:noFill/>
                    </a:ln>
                  </pic:spPr>
                </pic:pic>
              </a:graphicData>
            </a:graphic>
          </wp:inline>
        </w:drawing>
      </w:r>
      <w:r w:rsidRPr="00260F41">
        <w:t xml:space="preserve"> </w:t>
      </w:r>
      <w:r w:rsidR="00E22F19">
        <w:br w:type="page"/>
      </w:r>
    </w:p>
    <w:p w14:paraId="419A743A" w14:textId="7E932884" w:rsidR="00E22F19" w:rsidRPr="009C02AA" w:rsidRDefault="00E22F19" w:rsidP="00E22F19">
      <w:pPr>
        <w:pStyle w:val="HdFig1"/>
        <w:jc w:val="both"/>
        <w:rPr>
          <w:highlight w:val="yellow"/>
          <w:u w:val="single"/>
        </w:rPr>
      </w:pPr>
      <w:r w:rsidRPr="009C02AA">
        <w:rPr>
          <w:u w:val="single"/>
        </w:rPr>
        <w:lastRenderedPageBreak/>
        <w:t xml:space="preserve">Figure </w:t>
      </w:r>
      <w:r w:rsidR="00706083" w:rsidRPr="009C02AA">
        <w:rPr>
          <w:u w:val="single"/>
        </w:rPr>
        <w:t>2</w:t>
      </w:r>
      <w:r w:rsidRPr="009C02AA">
        <w:rPr>
          <w:u w:val="single"/>
        </w:rPr>
        <w:t>B</w:t>
      </w:r>
      <w:r w:rsidR="009C02AA">
        <w:rPr>
          <w:u w:val="single"/>
        </w:rPr>
        <w:t xml:space="preserve">: </w:t>
      </w:r>
      <w:r w:rsidRPr="009C02AA">
        <w:rPr>
          <w:u w:val="single"/>
        </w:rPr>
        <w:t>Disease Progression as the First Endpo</w:t>
      </w:r>
      <w:r w:rsidRPr="009C02AA">
        <w:rPr>
          <w:szCs w:val="24"/>
          <w:u w:val="single"/>
        </w:rPr>
        <w:t xml:space="preserve">int </w:t>
      </w:r>
      <w:r w:rsidRPr="009C02AA">
        <w:rPr>
          <w:rStyle w:val="CommentReference"/>
          <w:sz w:val="24"/>
          <w:u w:val="single"/>
        </w:rPr>
        <w:t>in GRIPHON</w:t>
      </w:r>
    </w:p>
    <w:p w14:paraId="5D69BCFF" w14:textId="4B9C7960" w:rsidR="00E22F19" w:rsidRPr="009B71FF" w:rsidRDefault="00260F41" w:rsidP="00E22F19">
      <w:pPr>
        <w:pStyle w:val="C-BodyText"/>
      </w:pPr>
      <w:r w:rsidRPr="00260F41">
        <w:rPr>
          <w:snapToGrid w:val="0"/>
          <w:color w:val="000000"/>
          <w:w w:val="0"/>
          <w:sz w:val="0"/>
          <w:szCs w:val="0"/>
          <w:u w:color="000000"/>
          <w:bdr w:val="none" w:sz="0" w:space="0" w:color="000000"/>
          <w:shd w:val="clear" w:color="000000" w:fill="000000"/>
          <w:lang w:val="x-none" w:eastAsia="x-none" w:bidi="x-none"/>
        </w:rPr>
        <w:t xml:space="preserve"> </w:t>
      </w:r>
      <w:r>
        <w:rPr>
          <w:noProof/>
          <w:lang w:val="en-AU" w:eastAsia="en-AU"/>
        </w:rPr>
        <w:drawing>
          <wp:inline distT="0" distB="0" distL="0" distR="0" wp14:anchorId="2CF60087" wp14:editId="60D5A076">
            <wp:extent cx="5280025" cy="6983259"/>
            <wp:effectExtent l="0" t="0" r="0" b="8255"/>
            <wp:docPr id="12" name="Picture 12" descr="C:\Users\preisra1\Downloads\FTDSTI_UDPROG_L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isra1\Downloads\FTDSTI_UDPROG_L_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80025" cy="6983259"/>
                    </a:xfrm>
                    <a:prstGeom prst="rect">
                      <a:avLst/>
                    </a:prstGeom>
                    <a:noFill/>
                    <a:ln>
                      <a:noFill/>
                    </a:ln>
                  </pic:spPr>
                </pic:pic>
              </a:graphicData>
            </a:graphic>
          </wp:inline>
        </w:drawing>
      </w:r>
    </w:p>
    <w:p w14:paraId="70BA034A" w14:textId="14011C28" w:rsidR="00E22F19" w:rsidRPr="009C02AA" w:rsidRDefault="00E22F19" w:rsidP="00E22F19">
      <w:pPr>
        <w:pStyle w:val="HdFig1"/>
        <w:jc w:val="both"/>
        <w:rPr>
          <w:highlight w:val="yellow"/>
          <w:u w:val="single"/>
        </w:rPr>
      </w:pPr>
      <w:r w:rsidRPr="009C02AA">
        <w:rPr>
          <w:u w:val="single"/>
        </w:rPr>
        <w:lastRenderedPageBreak/>
        <w:t xml:space="preserve">Figure </w:t>
      </w:r>
      <w:r w:rsidR="00706083" w:rsidRPr="009C02AA">
        <w:rPr>
          <w:u w:val="single"/>
        </w:rPr>
        <w:t>2</w:t>
      </w:r>
      <w:r w:rsidRPr="009C02AA">
        <w:rPr>
          <w:u w:val="single"/>
        </w:rPr>
        <w:t>C</w:t>
      </w:r>
      <w:r w:rsidR="009C02AA">
        <w:rPr>
          <w:u w:val="single"/>
        </w:rPr>
        <w:t xml:space="preserve">: </w:t>
      </w:r>
      <w:r w:rsidRPr="009C02AA">
        <w:rPr>
          <w:u w:val="single"/>
        </w:rPr>
        <w:t xml:space="preserve">Death as the First Endpoint in GRIPHON </w:t>
      </w:r>
    </w:p>
    <w:p w14:paraId="242F0A3D" w14:textId="77777777" w:rsidR="00C13824" w:rsidRDefault="00260F41" w:rsidP="00C13824">
      <w:pPr>
        <w:pStyle w:val="C-BodyText"/>
        <w:rPr>
          <w:snapToGrid w:val="0"/>
          <w:color w:val="000000"/>
          <w:w w:val="0"/>
          <w:sz w:val="0"/>
          <w:szCs w:val="0"/>
          <w:u w:color="000000"/>
          <w:bdr w:val="none" w:sz="0" w:space="0" w:color="000000"/>
          <w:shd w:val="clear" w:color="000000" w:fill="000000"/>
          <w:lang w:val="en-AU" w:eastAsia="x-none" w:bidi="x-none"/>
        </w:rPr>
      </w:pPr>
      <w:r w:rsidRPr="00260F41">
        <w:rPr>
          <w:snapToGrid w:val="0"/>
          <w:color w:val="000000"/>
          <w:w w:val="0"/>
          <w:sz w:val="0"/>
          <w:szCs w:val="0"/>
          <w:u w:color="000000"/>
          <w:bdr w:val="none" w:sz="0" w:space="0" w:color="000000"/>
          <w:shd w:val="clear" w:color="000000" w:fill="000000"/>
          <w:lang w:val="x-none" w:eastAsia="x-none" w:bidi="x-none"/>
        </w:rPr>
        <w:t xml:space="preserve"> </w:t>
      </w:r>
      <w:r>
        <w:rPr>
          <w:noProof/>
          <w:lang w:val="en-AU" w:eastAsia="en-AU"/>
        </w:rPr>
        <w:drawing>
          <wp:inline distT="0" distB="0" distL="0" distR="0" wp14:anchorId="18069054" wp14:editId="325DFA8D">
            <wp:extent cx="5280025" cy="6983259"/>
            <wp:effectExtent l="0" t="0" r="0" b="8255"/>
            <wp:docPr id="13" name="Picture 13" descr="C:\Users\preisra1\Downloads\FTDSTI_UDEATH_L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isra1\Downloads\FTDSTI_UDEATH_L_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0025" cy="6983259"/>
                    </a:xfrm>
                    <a:prstGeom prst="rect">
                      <a:avLst/>
                    </a:prstGeom>
                    <a:noFill/>
                    <a:ln>
                      <a:noFill/>
                    </a:ln>
                  </pic:spPr>
                </pic:pic>
              </a:graphicData>
            </a:graphic>
          </wp:inline>
        </w:drawing>
      </w:r>
    </w:p>
    <w:p w14:paraId="68D6D0D0" w14:textId="77777777" w:rsidR="00C13824" w:rsidRDefault="00C13824" w:rsidP="00C13824">
      <w:pPr>
        <w:pStyle w:val="C-BodyText"/>
      </w:pPr>
    </w:p>
    <w:p w14:paraId="1415A584" w14:textId="77777777" w:rsidR="00C13824" w:rsidRDefault="00C13824" w:rsidP="00C13824">
      <w:pPr>
        <w:pStyle w:val="C-BodyText"/>
      </w:pPr>
    </w:p>
    <w:p w14:paraId="1D7B664A" w14:textId="77777777" w:rsidR="00C13824" w:rsidRDefault="00C13824" w:rsidP="00C13824">
      <w:pPr>
        <w:pStyle w:val="C-BodyText"/>
      </w:pPr>
    </w:p>
    <w:p w14:paraId="220FD43D" w14:textId="77777777" w:rsidR="00C13824" w:rsidRDefault="00C13824" w:rsidP="00C13824">
      <w:pPr>
        <w:pStyle w:val="C-BodyText"/>
      </w:pPr>
    </w:p>
    <w:p w14:paraId="544DFA35" w14:textId="77777777" w:rsidR="00C13824" w:rsidRDefault="00C13824" w:rsidP="00C13824">
      <w:pPr>
        <w:pStyle w:val="C-BodyText"/>
      </w:pPr>
    </w:p>
    <w:p w14:paraId="7E854541" w14:textId="35E1EC37" w:rsidR="00E53945" w:rsidRDefault="00CF61FC" w:rsidP="00C13824">
      <w:pPr>
        <w:pStyle w:val="C-BodyText"/>
      </w:pPr>
      <w:r w:rsidRPr="0088053C">
        <w:lastRenderedPageBreak/>
        <w:t xml:space="preserve">The </w:t>
      </w:r>
      <w:r>
        <w:t xml:space="preserve">total </w:t>
      </w:r>
      <w:r w:rsidRPr="0088053C">
        <w:t xml:space="preserve">number of deaths of all causes up to </w:t>
      </w:r>
      <w:r>
        <w:t>study closure</w:t>
      </w:r>
      <w:r w:rsidRPr="0088053C">
        <w:t xml:space="preserve"> was 100 (17.4%) for the </w:t>
      </w:r>
      <w:r w:rsidR="00CD2855">
        <w:t>UPTRAVI</w:t>
      </w:r>
      <w:r w:rsidRPr="0088053C">
        <w:t xml:space="preserve"> group and 105 (18.0%) for the placebo group (HR 0.9</w:t>
      </w:r>
      <w:r>
        <w:t>7</w:t>
      </w:r>
      <w:r w:rsidRPr="0088053C">
        <w:t>, 99% CI: 0.68</w:t>
      </w:r>
      <w:r>
        <w:t>–</w:t>
      </w:r>
      <w:r w:rsidRPr="0088053C">
        <w:t>1.</w:t>
      </w:r>
      <w:r>
        <w:t>39</w:t>
      </w:r>
      <w:r w:rsidRPr="0088053C">
        <w:t>)</w:t>
      </w:r>
      <w:r w:rsidR="009119FF" w:rsidRPr="00CD2855">
        <w:rPr>
          <w:szCs w:val="24"/>
        </w:rPr>
        <w:t>.</w:t>
      </w:r>
      <w:r w:rsidR="009119FF" w:rsidRPr="0088053C">
        <w:t xml:space="preserve"> </w:t>
      </w:r>
    </w:p>
    <w:p w14:paraId="22688403" w14:textId="2A029ACA" w:rsidR="004D1350" w:rsidRPr="00FF2CDC" w:rsidRDefault="004D1350" w:rsidP="004D1350">
      <w:pPr>
        <w:pStyle w:val="TextTi11"/>
        <w:rPr>
          <w:lang w:val="en-AU"/>
        </w:rPr>
      </w:pPr>
      <w:r w:rsidRPr="0088053C">
        <w:rPr>
          <w:lang w:val="en-US"/>
        </w:rPr>
        <w:t xml:space="preserve">The number of deaths due to PAH up to </w:t>
      </w:r>
      <w:r>
        <w:rPr>
          <w:lang w:val="en-US"/>
        </w:rPr>
        <w:t>study closure</w:t>
      </w:r>
      <w:r w:rsidRPr="0088053C">
        <w:rPr>
          <w:lang w:val="en-US"/>
        </w:rPr>
        <w:t xml:space="preserve"> was 70 (12.2%) for the </w:t>
      </w:r>
      <w:r w:rsidR="00CD2855" w:rsidRPr="0088053C">
        <w:rPr>
          <w:lang w:val="en-US"/>
        </w:rPr>
        <w:t>U</w:t>
      </w:r>
      <w:r w:rsidR="00CD2855">
        <w:rPr>
          <w:lang w:val="en-US"/>
        </w:rPr>
        <w:t>PTRAVI</w:t>
      </w:r>
      <w:r w:rsidR="00CD2855" w:rsidRPr="0088053C">
        <w:rPr>
          <w:lang w:val="en-US"/>
        </w:rPr>
        <w:t xml:space="preserve"> </w:t>
      </w:r>
      <w:r w:rsidRPr="0088053C">
        <w:rPr>
          <w:lang w:val="en-US"/>
        </w:rPr>
        <w:t>group and 83</w:t>
      </w:r>
      <w:r>
        <w:rPr>
          <w:lang w:val="en-US"/>
        </w:rPr>
        <w:t xml:space="preserve"> </w:t>
      </w:r>
      <w:r w:rsidRPr="0088053C">
        <w:rPr>
          <w:lang w:val="en-US"/>
        </w:rPr>
        <w:t>(14.</w:t>
      </w:r>
      <w:r>
        <w:rPr>
          <w:lang w:val="en-US"/>
        </w:rPr>
        <w:t>3</w:t>
      </w:r>
      <w:r w:rsidRPr="0088053C">
        <w:rPr>
          <w:lang w:val="en-US"/>
        </w:rPr>
        <w:t>%) for the placebo group</w:t>
      </w:r>
      <w:r w:rsidR="00260F41">
        <w:rPr>
          <w:lang w:val="en-US"/>
        </w:rPr>
        <w:t>.</w:t>
      </w:r>
    </w:p>
    <w:p w14:paraId="2325E6CC" w14:textId="29040037" w:rsidR="00EA4072" w:rsidRPr="0010239E" w:rsidRDefault="00EA4072" w:rsidP="00EA4072">
      <w:pPr>
        <w:numPr>
          <w:ilvl w:val="12"/>
          <w:numId w:val="0"/>
        </w:numPr>
        <w:ind w:right="-2"/>
        <w:jc w:val="both"/>
        <w:rPr>
          <w:lang w:val="en-US"/>
        </w:rPr>
      </w:pPr>
      <w:r>
        <w:t xml:space="preserve">Subgroup analyses </w:t>
      </w:r>
      <w:r w:rsidRPr="006641A6">
        <w:t xml:space="preserve">were performed </w:t>
      </w:r>
      <w:r w:rsidRPr="008A25F8">
        <w:t xml:space="preserve">across subgroups of age, sex, </w:t>
      </w:r>
      <w:r>
        <w:t xml:space="preserve">race, </w:t>
      </w:r>
      <w:r w:rsidRPr="008A25F8">
        <w:t xml:space="preserve">aetiology, </w:t>
      </w:r>
      <w:r>
        <w:t xml:space="preserve">geographical region, </w:t>
      </w:r>
      <w:r w:rsidRPr="008A25F8">
        <w:t>WHO Functional Class, and by monotherapy</w:t>
      </w:r>
      <w:r>
        <w:t xml:space="preserve"> </w:t>
      </w:r>
      <w:r w:rsidRPr="008A25F8">
        <w:t>or in combination with ERA, PDE-5 inhibitors</w:t>
      </w:r>
      <w:r>
        <w:t xml:space="preserve"> </w:t>
      </w:r>
      <w:r w:rsidRPr="008A25F8">
        <w:t xml:space="preserve">or </w:t>
      </w:r>
      <w:r>
        <w:t xml:space="preserve">triple combination with </w:t>
      </w:r>
      <w:r w:rsidRPr="008A25F8">
        <w:t>both an ERA and a PDE-5 inhibitor</w:t>
      </w:r>
      <w:r w:rsidR="00EB40A2">
        <w:t xml:space="preserve">. </w:t>
      </w:r>
      <w:r w:rsidR="00EB40A2" w:rsidRPr="00EB40A2">
        <w:t>The treatment effect of UPTRAVI on time to first primary event was consistent irrespective of background PAH therapy (i.e., in combination with ERA, PDE</w:t>
      </w:r>
      <w:r w:rsidR="00EB40A2">
        <w:t>-</w:t>
      </w:r>
      <w:r w:rsidR="00EB40A2" w:rsidRPr="00EB40A2">
        <w:t>5</w:t>
      </w:r>
      <w:r w:rsidR="00EB40A2">
        <w:t xml:space="preserve"> inhibitors</w:t>
      </w:r>
      <w:r w:rsidR="00EB40A2" w:rsidRPr="00EB40A2">
        <w:t>, or both, or without background therapy)</w:t>
      </w:r>
      <w:r>
        <w:t xml:space="preserve"> (Figure</w:t>
      </w:r>
      <w:r w:rsidR="007874E2">
        <w:t xml:space="preserve"> </w:t>
      </w:r>
      <w:r w:rsidR="00FF2CDC">
        <w:t>4</w:t>
      </w:r>
      <w:r>
        <w:rPr>
          <w:lang w:val="en-US"/>
        </w:rPr>
        <w:t>)</w:t>
      </w:r>
      <w:r w:rsidRPr="0010239E">
        <w:rPr>
          <w:lang w:val="en-US"/>
        </w:rPr>
        <w:t>.</w:t>
      </w:r>
      <w:r w:rsidR="00AF1C17">
        <w:rPr>
          <w:lang w:val="en-US"/>
        </w:rPr>
        <w:t xml:space="preserve"> </w:t>
      </w:r>
    </w:p>
    <w:p w14:paraId="0013DC6E" w14:textId="77777777" w:rsidR="00EA4072" w:rsidRPr="00A408D8" w:rsidRDefault="00EA4072" w:rsidP="00EA4072">
      <w:pPr>
        <w:numPr>
          <w:ilvl w:val="12"/>
          <w:numId w:val="0"/>
        </w:numPr>
        <w:ind w:right="-2"/>
        <w:jc w:val="both"/>
        <w:rPr>
          <w:lang w:val="en-US"/>
        </w:rPr>
      </w:pPr>
    </w:p>
    <w:p w14:paraId="14FC23E8" w14:textId="08354954" w:rsidR="00EA4072" w:rsidRPr="009C02AA" w:rsidRDefault="00EA4072" w:rsidP="00EA4072">
      <w:pPr>
        <w:numPr>
          <w:ilvl w:val="12"/>
          <w:numId w:val="0"/>
        </w:numPr>
        <w:ind w:right="-2"/>
        <w:jc w:val="both"/>
        <w:rPr>
          <w:rFonts w:ascii="Times New Roman" w:hAnsi="Times New Roman"/>
          <w:b/>
          <w:szCs w:val="24"/>
          <w:u w:val="single"/>
        </w:rPr>
      </w:pPr>
      <w:r w:rsidRPr="009C02AA">
        <w:rPr>
          <w:rFonts w:ascii="Times New Roman" w:hAnsi="Times New Roman"/>
          <w:b/>
          <w:szCs w:val="24"/>
          <w:u w:val="single"/>
        </w:rPr>
        <w:t xml:space="preserve">Figure </w:t>
      </w:r>
      <w:r w:rsidR="00FF2CDC" w:rsidRPr="009C02AA">
        <w:rPr>
          <w:rFonts w:ascii="Times New Roman" w:hAnsi="Times New Roman"/>
          <w:b/>
          <w:szCs w:val="24"/>
          <w:u w:val="single"/>
        </w:rPr>
        <w:t>4</w:t>
      </w:r>
      <w:r w:rsidR="009C02AA">
        <w:rPr>
          <w:rFonts w:ascii="Times New Roman" w:hAnsi="Times New Roman"/>
          <w:b/>
          <w:szCs w:val="24"/>
          <w:u w:val="single"/>
        </w:rPr>
        <w:t xml:space="preserve">: </w:t>
      </w:r>
      <w:r w:rsidRPr="009C02AA">
        <w:rPr>
          <w:rFonts w:ascii="Times New Roman" w:hAnsi="Times New Roman"/>
          <w:b/>
          <w:szCs w:val="24"/>
          <w:u w:val="single"/>
        </w:rPr>
        <w:t xml:space="preserve"> Sub-group analyses of the primary endpoint in the GRIPHON study</w:t>
      </w:r>
    </w:p>
    <w:p w14:paraId="17A936B3" w14:textId="1C718B88" w:rsidR="00AD67F4" w:rsidRDefault="00AD67F4" w:rsidP="00EA4072">
      <w:pPr>
        <w:numPr>
          <w:ilvl w:val="12"/>
          <w:numId w:val="0"/>
        </w:numPr>
        <w:ind w:right="-2"/>
        <w:jc w:val="both"/>
        <w:rPr>
          <w:rFonts w:ascii="Times New Roman" w:hAnsi="Times New Roman"/>
          <w:b/>
          <w:sz w:val="22"/>
          <w:szCs w:val="22"/>
          <w:u w:val="single"/>
        </w:rPr>
      </w:pPr>
      <w:r w:rsidRPr="006641A6">
        <w:rPr>
          <w:rFonts w:ascii="Times New Roman" w:hAnsi="Times New Roman"/>
          <w:b/>
          <w:noProof/>
          <w:sz w:val="22"/>
          <w:szCs w:val="22"/>
          <w:u w:val="single"/>
          <w:lang w:eastAsia="en-AU"/>
        </w:rPr>
        <w:drawing>
          <wp:inline distT="0" distB="0" distL="0" distR="0" wp14:anchorId="4B02A112" wp14:editId="12C30927">
            <wp:extent cx="5280025" cy="48380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MTGRPAUS_F.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0025" cy="4838065"/>
                    </a:xfrm>
                    <a:prstGeom prst="rect">
                      <a:avLst/>
                    </a:prstGeom>
                  </pic:spPr>
                </pic:pic>
              </a:graphicData>
            </a:graphic>
          </wp:inline>
        </w:drawing>
      </w:r>
    </w:p>
    <w:p w14:paraId="08948C27" w14:textId="77777777" w:rsidR="00EA4072" w:rsidRDefault="00EA4072" w:rsidP="00EA4072">
      <w:pPr>
        <w:numPr>
          <w:ilvl w:val="12"/>
          <w:numId w:val="0"/>
        </w:numPr>
        <w:ind w:right="-2"/>
        <w:jc w:val="both"/>
        <w:rPr>
          <w:szCs w:val="18"/>
        </w:rPr>
      </w:pPr>
    </w:p>
    <w:p w14:paraId="45D17069" w14:textId="6E4F232A" w:rsidR="00EA4072" w:rsidRPr="00983C26" w:rsidRDefault="00EA4072" w:rsidP="006641A6">
      <w:pPr>
        <w:numPr>
          <w:ilvl w:val="12"/>
          <w:numId w:val="0"/>
        </w:numPr>
        <w:ind w:right="-2"/>
        <w:jc w:val="both"/>
        <w:rPr>
          <w:sz w:val="20"/>
        </w:rPr>
      </w:pPr>
      <w:r w:rsidRPr="00983C26">
        <w:rPr>
          <w:sz w:val="20"/>
        </w:rPr>
        <w:t>CI = confidence interval; EP = number of placebo patients with events; EU = number of Uptravi patients with events; HR = hazard ratio; NP = number of patients randomi</w:t>
      </w:r>
      <w:r w:rsidR="009C5EF4">
        <w:rPr>
          <w:sz w:val="20"/>
        </w:rPr>
        <w:t>s</w:t>
      </w:r>
      <w:r w:rsidRPr="00983C26">
        <w:rPr>
          <w:sz w:val="20"/>
        </w:rPr>
        <w:t>ed to placebo; NU = number of patients randomi</w:t>
      </w:r>
      <w:r w:rsidR="009C5EF4">
        <w:rPr>
          <w:sz w:val="20"/>
        </w:rPr>
        <w:t>s</w:t>
      </w:r>
      <w:r w:rsidRPr="00983C26">
        <w:rPr>
          <w:sz w:val="20"/>
        </w:rPr>
        <w:t>ed to Uptravi; RRR = relative risk reduction.</w:t>
      </w:r>
    </w:p>
    <w:p w14:paraId="04F4FDA1" w14:textId="77777777" w:rsidR="00A24414" w:rsidRDefault="00EA4072" w:rsidP="006641A6">
      <w:pPr>
        <w:pStyle w:val="C-BodyText"/>
        <w:jc w:val="both"/>
        <w:rPr>
          <w:sz w:val="20"/>
        </w:rPr>
      </w:pPr>
      <w:r w:rsidRPr="00983C26">
        <w:rPr>
          <w:sz w:val="20"/>
        </w:rPr>
        <w:t>The size of the square represents the number of patients in the subgroup.</w:t>
      </w:r>
    </w:p>
    <w:p w14:paraId="33509E2F" w14:textId="45B2AD9B" w:rsidR="007874E2" w:rsidRPr="007874E2" w:rsidRDefault="007874E2" w:rsidP="006641A6">
      <w:pPr>
        <w:pStyle w:val="C-BodyText"/>
        <w:jc w:val="both"/>
        <w:rPr>
          <w:sz w:val="20"/>
        </w:rPr>
      </w:pPr>
      <w:r w:rsidRPr="007874E2">
        <w:rPr>
          <w:sz w:val="20"/>
        </w:rPr>
        <w:t xml:space="preserve">Note: The figure above presents effects in various subgroups all of which are baseline characteristics and all were pre-specified. The 99% confidence limits that are shown do not take into account how </w:t>
      </w:r>
      <w:r w:rsidRPr="007874E2">
        <w:rPr>
          <w:sz w:val="20"/>
        </w:rPr>
        <w:lastRenderedPageBreak/>
        <w:t xml:space="preserve">many comparisons were made, nor do they reflect the effect of a particular factor after adjustment for all other factors. Apparent homogeneity or heterogeneity among groups should not be over-interpreted. </w:t>
      </w:r>
    </w:p>
    <w:p w14:paraId="4AAB45BC" w14:textId="77777777" w:rsidR="00EA4072" w:rsidRPr="00983C26" w:rsidRDefault="00EA4072" w:rsidP="006641A6">
      <w:pPr>
        <w:jc w:val="both"/>
        <w:rPr>
          <w:sz w:val="20"/>
        </w:rPr>
      </w:pPr>
    </w:p>
    <w:p w14:paraId="22688407" w14:textId="77777777" w:rsidR="00D53BA0" w:rsidRPr="005E45F0" w:rsidRDefault="00D53BA0" w:rsidP="006641A6">
      <w:pPr>
        <w:pStyle w:val="PlainText"/>
        <w:keepNext/>
        <w:jc w:val="both"/>
        <w:rPr>
          <w:rFonts w:ascii="Times New Roman" w:hAnsi="Times New Roman"/>
          <w:sz w:val="24"/>
          <w:u w:val="single"/>
        </w:rPr>
      </w:pPr>
      <w:r w:rsidRPr="005E45F0">
        <w:rPr>
          <w:rFonts w:ascii="Times New Roman" w:hAnsi="Times New Roman"/>
          <w:sz w:val="24"/>
          <w:u w:val="single"/>
        </w:rPr>
        <w:t>Symptomatic endpoint</w:t>
      </w:r>
    </w:p>
    <w:p w14:paraId="22688408" w14:textId="730B95F5" w:rsidR="00D53BA0" w:rsidRPr="00D53BA0" w:rsidRDefault="00D53BA0" w:rsidP="006641A6">
      <w:pPr>
        <w:jc w:val="both"/>
      </w:pPr>
      <w:r w:rsidRPr="006717D4">
        <w:t xml:space="preserve">Exercise capacity was evaluated as a secondary endpoint. Treatment with </w:t>
      </w:r>
      <w:r w:rsidR="009B32E6">
        <w:t>UPTRAVI</w:t>
      </w:r>
      <w:r w:rsidRPr="006717D4">
        <w:t xml:space="preserve"> resulted in a placebo-corrected median increase in 6MWD </w:t>
      </w:r>
      <w:r>
        <w:t xml:space="preserve">measured </w:t>
      </w:r>
      <w:r w:rsidRPr="006717D4">
        <w:t>at trough (i.e.</w:t>
      </w:r>
      <w:r w:rsidRPr="004118B7">
        <w:rPr>
          <w:lang w:val="en-US"/>
        </w:rPr>
        <w:t>,</w:t>
      </w:r>
      <w:r w:rsidRPr="006717D4">
        <w:t xml:space="preserve"> approximately 12 hours post-dose) of 12 </w:t>
      </w:r>
      <w:r w:rsidR="009119FF" w:rsidRPr="006717D4">
        <w:t>met</w:t>
      </w:r>
      <w:r w:rsidR="009119FF">
        <w:t>re</w:t>
      </w:r>
      <w:r w:rsidR="009119FF" w:rsidRPr="006717D4">
        <w:t xml:space="preserve">s </w:t>
      </w:r>
      <w:r w:rsidRPr="006717D4">
        <w:t>at Week 26 (99% CI: 1</w:t>
      </w:r>
      <w:r w:rsidR="00AB3D7B">
        <w:t xml:space="preserve"> -</w:t>
      </w:r>
      <w:r w:rsidR="00AB3D7B" w:rsidRPr="006717D4">
        <w:t xml:space="preserve"> </w:t>
      </w:r>
      <w:r w:rsidRPr="006717D4">
        <w:t xml:space="preserve">24, </w:t>
      </w:r>
      <w:r w:rsidR="00BE38B5">
        <w:t>two</w:t>
      </w:r>
      <w:r w:rsidRPr="006717D4">
        <w:rPr>
          <w:lang w:val="en-GB"/>
        </w:rPr>
        <w:t>-sided p</w:t>
      </w:r>
      <w:r>
        <w:rPr>
          <w:lang w:val="en-GB"/>
        </w:rPr>
        <w:noBreakHyphen/>
      </w:r>
      <w:r w:rsidRPr="006717D4">
        <w:rPr>
          <w:lang w:val="en-GB"/>
        </w:rPr>
        <w:t>value</w:t>
      </w:r>
      <w:r w:rsidR="00BE38B5">
        <w:rPr>
          <w:lang w:val="en-GB"/>
        </w:rPr>
        <w:t>=0.005</w:t>
      </w:r>
      <w:r w:rsidRPr="006717D4">
        <w:rPr>
          <w:lang w:val="en-GB"/>
        </w:rPr>
        <w:t>). In patients without concurrent PAH-specific therapy</w:t>
      </w:r>
      <w:r>
        <w:rPr>
          <w:lang w:val="en-GB"/>
        </w:rPr>
        <w:t>,</w:t>
      </w:r>
      <w:r w:rsidRPr="006717D4">
        <w:rPr>
          <w:lang w:val="en-GB"/>
        </w:rPr>
        <w:t xml:space="preserve"> the treatment effect </w:t>
      </w:r>
      <w:r w:rsidR="00CD5584">
        <w:rPr>
          <w:lang w:val="en-GB"/>
        </w:rPr>
        <w:t>measured at trough</w:t>
      </w:r>
      <w:r w:rsidR="00CD5584" w:rsidRPr="006717D4">
        <w:rPr>
          <w:lang w:val="en-GB"/>
        </w:rPr>
        <w:t xml:space="preserve"> </w:t>
      </w:r>
      <w:r w:rsidRPr="006717D4">
        <w:rPr>
          <w:lang w:val="en-GB"/>
        </w:rPr>
        <w:t xml:space="preserve">was 34 </w:t>
      </w:r>
      <w:r w:rsidR="00975ED9" w:rsidRPr="006717D4">
        <w:rPr>
          <w:lang w:val="en-GB"/>
        </w:rPr>
        <w:t>met</w:t>
      </w:r>
      <w:r w:rsidR="00975ED9">
        <w:rPr>
          <w:lang w:val="en-GB"/>
        </w:rPr>
        <w:t>re</w:t>
      </w:r>
      <w:r w:rsidR="00975ED9" w:rsidRPr="006717D4">
        <w:rPr>
          <w:lang w:val="en-GB"/>
        </w:rPr>
        <w:t>s</w:t>
      </w:r>
      <w:r w:rsidR="00975ED9">
        <w:rPr>
          <w:lang w:val="en-GB"/>
        </w:rPr>
        <w:t xml:space="preserve"> </w:t>
      </w:r>
      <w:r w:rsidRPr="006717D4">
        <w:rPr>
          <w:lang w:val="en-GB"/>
        </w:rPr>
        <w:t>(99% CI: 10.0</w:t>
      </w:r>
      <w:r w:rsidR="00AB3D7B">
        <w:rPr>
          <w:lang w:val="en-GB"/>
        </w:rPr>
        <w:t xml:space="preserve"> - </w:t>
      </w:r>
      <w:r w:rsidRPr="006717D4">
        <w:rPr>
          <w:lang w:val="en-GB"/>
        </w:rPr>
        <w:t>,63.0</w:t>
      </w:r>
      <w:r w:rsidR="00B0048C">
        <w:rPr>
          <w:lang w:val="en-GB"/>
        </w:rPr>
        <w:t xml:space="preserve"> one-sided p-value:0.0002</w:t>
      </w:r>
      <w:r w:rsidRPr="006717D4">
        <w:rPr>
          <w:lang w:val="en-GB"/>
        </w:rPr>
        <w:t>).</w:t>
      </w:r>
    </w:p>
    <w:p w14:paraId="22688409" w14:textId="77777777" w:rsidR="000663C8" w:rsidRDefault="000663C8" w:rsidP="0077771A">
      <w:pPr>
        <w:pStyle w:val="Heading1"/>
        <w:ind w:right="-61"/>
        <w:jc w:val="both"/>
      </w:pPr>
    </w:p>
    <w:p w14:paraId="2268840A" w14:textId="77777777" w:rsidR="001C35B2" w:rsidRDefault="001C35B2" w:rsidP="0077771A">
      <w:pPr>
        <w:pStyle w:val="Heading1"/>
        <w:ind w:right="-61"/>
        <w:jc w:val="both"/>
      </w:pPr>
      <w:r>
        <w:t>INDICATION</w:t>
      </w:r>
      <w:r w:rsidR="00B31C79">
        <w:t>S</w:t>
      </w:r>
    </w:p>
    <w:p w14:paraId="2268840B" w14:textId="77777777" w:rsidR="00ED0B3C" w:rsidRPr="00ED0B3C" w:rsidRDefault="00ED0B3C" w:rsidP="0077771A">
      <w:pPr>
        <w:jc w:val="both"/>
      </w:pPr>
    </w:p>
    <w:p w14:paraId="2268840C" w14:textId="1E84C986" w:rsidR="005B53FA" w:rsidRPr="005B53FA" w:rsidRDefault="005B53FA" w:rsidP="005B53FA">
      <w:pPr>
        <w:spacing w:after="170" w:line="260" w:lineRule="atLeast"/>
        <w:jc w:val="both"/>
        <w:rPr>
          <w:rFonts w:ascii="Times New Roman" w:hAnsi="Times New Roman"/>
          <w:lang w:val="x-none" w:eastAsia="x-none"/>
        </w:rPr>
      </w:pPr>
      <w:r w:rsidRPr="005B53FA">
        <w:rPr>
          <w:rFonts w:ascii="Times New Roman" w:hAnsi="Times New Roman"/>
          <w:lang w:val="x-none" w:eastAsia="x-none"/>
        </w:rPr>
        <w:t>UPTRAVI is indicated for the treatment of:</w:t>
      </w:r>
    </w:p>
    <w:p w14:paraId="2268840D" w14:textId="77777777" w:rsidR="005B53FA" w:rsidRPr="005B53FA" w:rsidRDefault="005B53FA" w:rsidP="003C0895">
      <w:pPr>
        <w:spacing w:after="120" w:line="260" w:lineRule="atLeast"/>
        <w:ind w:left="851"/>
        <w:jc w:val="both"/>
        <w:rPr>
          <w:rFonts w:ascii="Times New Roman" w:hAnsi="Times New Roman"/>
          <w:lang w:val="x-none" w:eastAsia="x-none"/>
        </w:rPr>
      </w:pPr>
      <w:r w:rsidRPr="005B53FA">
        <w:rPr>
          <w:rFonts w:ascii="Times New Roman" w:hAnsi="Times New Roman"/>
          <w:lang w:val="x-none" w:eastAsia="x-none"/>
        </w:rPr>
        <w:t>• idiopathic pulmonary arterial hypertension</w:t>
      </w:r>
    </w:p>
    <w:p w14:paraId="2268840E" w14:textId="77777777" w:rsidR="005B53FA" w:rsidRPr="005B53FA" w:rsidRDefault="005B53FA" w:rsidP="003C0895">
      <w:pPr>
        <w:spacing w:after="120" w:line="260" w:lineRule="atLeast"/>
        <w:ind w:left="851"/>
        <w:jc w:val="both"/>
        <w:rPr>
          <w:rFonts w:ascii="Times New Roman" w:hAnsi="Times New Roman"/>
          <w:lang w:val="x-none" w:eastAsia="x-none"/>
        </w:rPr>
      </w:pPr>
      <w:r w:rsidRPr="005B53FA">
        <w:rPr>
          <w:rFonts w:ascii="Times New Roman" w:hAnsi="Times New Roman"/>
          <w:lang w:val="x-none" w:eastAsia="x-none"/>
        </w:rPr>
        <w:t>• heritable pulmonary arterial hypertension</w:t>
      </w:r>
    </w:p>
    <w:p w14:paraId="2268840F" w14:textId="77777777" w:rsidR="005B53FA" w:rsidRPr="005B53FA" w:rsidRDefault="005B53FA" w:rsidP="003C0895">
      <w:pPr>
        <w:spacing w:after="120" w:line="260" w:lineRule="atLeast"/>
        <w:ind w:left="851"/>
        <w:jc w:val="both"/>
        <w:rPr>
          <w:rFonts w:ascii="Times New Roman" w:hAnsi="Times New Roman"/>
          <w:lang w:val="x-none" w:eastAsia="x-none"/>
        </w:rPr>
      </w:pPr>
      <w:r w:rsidRPr="005B53FA">
        <w:rPr>
          <w:rFonts w:ascii="Times New Roman" w:hAnsi="Times New Roman"/>
          <w:lang w:val="x-none" w:eastAsia="x-none"/>
        </w:rPr>
        <w:t>• pulmonary arterial hypertension associated with connective tissue disease</w:t>
      </w:r>
    </w:p>
    <w:p w14:paraId="22688410" w14:textId="77777777" w:rsidR="005B53FA" w:rsidRPr="005B53FA" w:rsidRDefault="005B53FA" w:rsidP="003C0895">
      <w:pPr>
        <w:spacing w:after="120" w:line="260" w:lineRule="atLeast"/>
        <w:ind w:left="851"/>
        <w:jc w:val="both"/>
        <w:rPr>
          <w:rFonts w:ascii="Times New Roman" w:hAnsi="Times New Roman"/>
          <w:lang w:val="x-none" w:eastAsia="x-none"/>
        </w:rPr>
      </w:pPr>
      <w:r w:rsidRPr="005B53FA">
        <w:rPr>
          <w:rFonts w:ascii="Times New Roman" w:hAnsi="Times New Roman"/>
          <w:lang w:val="x-none" w:eastAsia="x-none"/>
        </w:rPr>
        <w:t>• pulmonary arterial hypertension associated with congenital heart disease with repaired shunts</w:t>
      </w:r>
    </w:p>
    <w:p w14:paraId="22688411" w14:textId="77777777" w:rsidR="005B53FA" w:rsidRPr="005B53FA" w:rsidRDefault="005B53FA" w:rsidP="003C0895">
      <w:pPr>
        <w:spacing w:after="170" w:line="260" w:lineRule="atLeast"/>
        <w:ind w:left="851"/>
        <w:jc w:val="both"/>
        <w:rPr>
          <w:rFonts w:ascii="Times New Roman" w:hAnsi="Times New Roman"/>
          <w:lang w:val="x-none" w:eastAsia="x-none"/>
        </w:rPr>
      </w:pPr>
      <w:r w:rsidRPr="005B53FA">
        <w:rPr>
          <w:rFonts w:ascii="Times New Roman" w:hAnsi="Times New Roman"/>
          <w:lang w:val="x-none" w:eastAsia="x-none"/>
        </w:rPr>
        <w:t>• pulmonary arterial hypertension associated with drugs and toxins</w:t>
      </w:r>
    </w:p>
    <w:p w14:paraId="22688412" w14:textId="77777777" w:rsidR="005B53FA" w:rsidRPr="005B53FA" w:rsidRDefault="005B53FA" w:rsidP="003C0895">
      <w:pPr>
        <w:spacing w:after="120" w:line="260" w:lineRule="atLeast"/>
        <w:jc w:val="both"/>
        <w:rPr>
          <w:rFonts w:ascii="Times New Roman" w:hAnsi="Times New Roman"/>
          <w:lang w:val="x-none" w:eastAsia="x-none"/>
        </w:rPr>
      </w:pPr>
      <w:r w:rsidRPr="005B53FA">
        <w:rPr>
          <w:rFonts w:ascii="Times New Roman" w:hAnsi="Times New Roman"/>
          <w:lang w:val="x-none" w:eastAsia="x-none"/>
        </w:rPr>
        <w:t xml:space="preserve">in patients with WHO </w:t>
      </w:r>
      <w:r w:rsidR="00D31738" w:rsidRPr="005B53FA">
        <w:rPr>
          <w:rFonts w:ascii="Times New Roman" w:hAnsi="Times New Roman"/>
          <w:lang w:val="x-none" w:eastAsia="x-none"/>
        </w:rPr>
        <w:t>functional</w:t>
      </w:r>
      <w:r w:rsidRPr="005B53FA">
        <w:rPr>
          <w:rFonts w:ascii="Times New Roman" w:hAnsi="Times New Roman"/>
          <w:lang w:val="x-none" w:eastAsia="x-none"/>
        </w:rPr>
        <w:t xml:space="preserve"> class II, III or IV symptoms.  </w:t>
      </w:r>
    </w:p>
    <w:p w14:paraId="22688414" w14:textId="77777777" w:rsidR="00E10EFB" w:rsidRDefault="00E10EFB" w:rsidP="0077771A">
      <w:pPr>
        <w:ind w:right="-61"/>
        <w:jc w:val="both"/>
        <w:rPr>
          <w:rFonts w:ascii="Arial" w:hAnsi="Arial" w:cs="Arial"/>
        </w:rPr>
      </w:pPr>
    </w:p>
    <w:p w14:paraId="22688415" w14:textId="77777777" w:rsidR="001C35B2" w:rsidRDefault="001C35B2" w:rsidP="0077771A">
      <w:pPr>
        <w:pStyle w:val="Heading1"/>
        <w:ind w:right="-61"/>
        <w:jc w:val="both"/>
      </w:pPr>
      <w:r>
        <w:t>CONTRAINDICATIONS</w:t>
      </w:r>
    </w:p>
    <w:p w14:paraId="22688416" w14:textId="77777777" w:rsidR="00597E3C" w:rsidRPr="00597E3C" w:rsidRDefault="00597E3C" w:rsidP="0077771A">
      <w:pPr>
        <w:jc w:val="both"/>
      </w:pPr>
    </w:p>
    <w:p w14:paraId="57BC51E1" w14:textId="727F81C1" w:rsidR="00DD714A" w:rsidRPr="007026E0" w:rsidRDefault="00121F89" w:rsidP="00907630">
      <w:pPr>
        <w:spacing w:after="170" w:line="260" w:lineRule="atLeast"/>
        <w:jc w:val="both"/>
        <w:rPr>
          <w:lang w:eastAsia="x-none"/>
        </w:rPr>
      </w:pPr>
      <w:r w:rsidRPr="00907630">
        <w:rPr>
          <w:rFonts w:ascii="Times New Roman" w:hAnsi="Times New Roman"/>
          <w:lang w:val="x-none" w:eastAsia="x-none"/>
        </w:rPr>
        <w:t>UPTRAVI is contraindicated in patients with</w:t>
      </w:r>
      <w:r w:rsidR="007026E0">
        <w:rPr>
          <w:rFonts w:ascii="Times New Roman" w:hAnsi="Times New Roman"/>
          <w:lang w:eastAsia="x-none"/>
        </w:rPr>
        <w:t>:</w:t>
      </w:r>
    </w:p>
    <w:p w14:paraId="22688417" w14:textId="2EF4985C" w:rsidR="00A77E27" w:rsidRPr="00907630" w:rsidRDefault="00121F89" w:rsidP="00907630">
      <w:pPr>
        <w:pStyle w:val="ListParagraph"/>
        <w:numPr>
          <w:ilvl w:val="0"/>
          <w:numId w:val="24"/>
        </w:numPr>
        <w:spacing w:after="170" w:line="260" w:lineRule="atLeast"/>
        <w:jc w:val="both"/>
        <w:rPr>
          <w:lang w:val="x-none" w:eastAsia="x-none"/>
        </w:rPr>
      </w:pPr>
      <w:r w:rsidRPr="00907630">
        <w:rPr>
          <w:lang w:val="x-none" w:eastAsia="x-none"/>
        </w:rPr>
        <w:t xml:space="preserve">known hypersensitivity to the active substance selexipag or to any of the excipients </w:t>
      </w:r>
      <w:r w:rsidR="00A77E27" w:rsidRPr="00907630">
        <w:rPr>
          <w:lang w:val="x-none" w:eastAsia="x-none"/>
        </w:rPr>
        <w:t xml:space="preserve">listed in DESCRIPTION. </w:t>
      </w:r>
    </w:p>
    <w:p w14:paraId="5E3EEC1A" w14:textId="330E9D43" w:rsidR="00DD714A" w:rsidRPr="00907630" w:rsidRDefault="00675021" w:rsidP="00907630">
      <w:pPr>
        <w:pStyle w:val="ListParagraph"/>
        <w:numPr>
          <w:ilvl w:val="0"/>
          <w:numId w:val="24"/>
        </w:numPr>
        <w:spacing w:after="170" w:line="260" w:lineRule="atLeast"/>
        <w:jc w:val="both"/>
        <w:rPr>
          <w:lang w:val="x-none" w:eastAsia="x-none"/>
        </w:rPr>
      </w:pPr>
      <w:r>
        <w:rPr>
          <w:lang w:val="en-AU" w:eastAsia="x-none"/>
        </w:rPr>
        <w:t>S</w:t>
      </w:r>
      <w:r w:rsidR="00DD714A" w:rsidRPr="00DD714A">
        <w:rPr>
          <w:lang w:val="x-none" w:eastAsia="x-none"/>
        </w:rPr>
        <w:t>evere hepatic impairment</w:t>
      </w:r>
      <w:r w:rsidR="002E344D" w:rsidRPr="00907630">
        <w:rPr>
          <w:lang w:eastAsia="x-none"/>
        </w:rPr>
        <w:t xml:space="preserve"> </w:t>
      </w:r>
      <w:r w:rsidR="002E344D" w:rsidRPr="00051D2E">
        <w:t>(Child-Pugh class C).</w:t>
      </w:r>
    </w:p>
    <w:p w14:paraId="32028194" w14:textId="7BA1C1FC" w:rsidR="00907630" w:rsidRPr="00907630" w:rsidRDefault="00907630" w:rsidP="00907630">
      <w:pPr>
        <w:pStyle w:val="ListParagraph"/>
        <w:numPr>
          <w:ilvl w:val="0"/>
          <w:numId w:val="24"/>
        </w:numPr>
        <w:spacing w:after="170" w:line="260" w:lineRule="atLeast"/>
        <w:jc w:val="both"/>
        <w:rPr>
          <w:lang w:val="x-none" w:eastAsia="x-none"/>
        </w:rPr>
      </w:pPr>
      <w:r w:rsidRPr="00907630">
        <w:rPr>
          <w:lang w:val="x-none" w:eastAsia="x-none"/>
        </w:rPr>
        <w:t>Severe coronary heart disease or unstable angina.</w:t>
      </w:r>
    </w:p>
    <w:p w14:paraId="2531E774" w14:textId="00550B29" w:rsidR="00907630" w:rsidRPr="00907630" w:rsidRDefault="00907630" w:rsidP="00907630">
      <w:pPr>
        <w:pStyle w:val="ListParagraph"/>
        <w:numPr>
          <w:ilvl w:val="0"/>
          <w:numId w:val="24"/>
        </w:numPr>
        <w:spacing w:after="170" w:line="260" w:lineRule="atLeast"/>
        <w:jc w:val="both"/>
        <w:rPr>
          <w:lang w:val="x-none" w:eastAsia="x-none"/>
        </w:rPr>
      </w:pPr>
      <w:r w:rsidRPr="00907630">
        <w:rPr>
          <w:lang w:val="x-none" w:eastAsia="x-none"/>
        </w:rPr>
        <w:t>Myocardial infarction within the last 6 months.</w:t>
      </w:r>
    </w:p>
    <w:p w14:paraId="06891B12" w14:textId="7B056A6B" w:rsidR="00907630" w:rsidRPr="00907630" w:rsidRDefault="00907630" w:rsidP="00907630">
      <w:pPr>
        <w:pStyle w:val="ListParagraph"/>
        <w:numPr>
          <w:ilvl w:val="0"/>
          <w:numId w:val="24"/>
        </w:numPr>
        <w:spacing w:after="170" w:line="260" w:lineRule="atLeast"/>
        <w:jc w:val="both"/>
        <w:rPr>
          <w:lang w:val="x-none" w:eastAsia="x-none"/>
        </w:rPr>
      </w:pPr>
      <w:r w:rsidRPr="00907630">
        <w:rPr>
          <w:lang w:val="x-none" w:eastAsia="x-none"/>
        </w:rPr>
        <w:t>Decompensated cardiac failure if not under close medical supervision.</w:t>
      </w:r>
    </w:p>
    <w:p w14:paraId="54E0316B" w14:textId="70490B83" w:rsidR="00907630" w:rsidRPr="00907630" w:rsidRDefault="00907630" w:rsidP="00907630">
      <w:pPr>
        <w:pStyle w:val="ListParagraph"/>
        <w:numPr>
          <w:ilvl w:val="0"/>
          <w:numId w:val="24"/>
        </w:numPr>
        <w:spacing w:after="170" w:line="260" w:lineRule="atLeast"/>
        <w:jc w:val="both"/>
        <w:rPr>
          <w:lang w:val="x-none" w:eastAsia="x-none"/>
        </w:rPr>
      </w:pPr>
      <w:r w:rsidRPr="00907630">
        <w:rPr>
          <w:lang w:val="x-none" w:eastAsia="x-none"/>
        </w:rPr>
        <w:t>Severe arrhythmias.</w:t>
      </w:r>
    </w:p>
    <w:p w14:paraId="37D4B255" w14:textId="171717EF" w:rsidR="00907630" w:rsidRPr="00907630" w:rsidRDefault="00907630" w:rsidP="00907630">
      <w:pPr>
        <w:pStyle w:val="ListParagraph"/>
        <w:numPr>
          <w:ilvl w:val="0"/>
          <w:numId w:val="24"/>
        </w:numPr>
        <w:spacing w:after="170" w:line="260" w:lineRule="atLeast"/>
        <w:jc w:val="both"/>
        <w:rPr>
          <w:lang w:val="x-none" w:eastAsia="x-none"/>
        </w:rPr>
      </w:pPr>
      <w:r w:rsidRPr="00907630">
        <w:rPr>
          <w:lang w:val="x-none" w:eastAsia="x-none"/>
        </w:rPr>
        <w:t>Cerebrovascular events (e.g., transient ischaemic attack, stroke) within the last 3 months.</w:t>
      </w:r>
    </w:p>
    <w:p w14:paraId="274C64DB" w14:textId="057ABE00" w:rsidR="00907630" w:rsidRPr="00907630" w:rsidRDefault="00907630" w:rsidP="00907630">
      <w:pPr>
        <w:pStyle w:val="ListParagraph"/>
        <w:numPr>
          <w:ilvl w:val="0"/>
          <w:numId w:val="24"/>
        </w:numPr>
        <w:spacing w:after="170" w:line="260" w:lineRule="atLeast"/>
        <w:jc w:val="both"/>
        <w:rPr>
          <w:lang w:val="x-none" w:eastAsia="x-none"/>
        </w:rPr>
      </w:pPr>
      <w:r w:rsidRPr="00907630">
        <w:rPr>
          <w:lang w:val="x-none" w:eastAsia="x-none"/>
        </w:rPr>
        <w:t>Congenital or acquired valvular defects with clinically relevant myocardial function disorders not related to pulmonary hypertension.</w:t>
      </w:r>
    </w:p>
    <w:p w14:paraId="53762A87" w14:textId="3AA16220" w:rsidR="00DD714A" w:rsidRPr="00907630" w:rsidRDefault="00DD714A" w:rsidP="00907630">
      <w:pPr>
        <w:spacing w:after="170" w:line="260" w:lineRule="atLeast"/>
        <w:jc w:val="both"/>
        <w:rPr>
          <w:rFonts w:ascii="Times New Roman" w:hAnsi="Times New Roman"/>
          <w:lang w:val="x-none" w:eastAsia="x-none"/>
        </w:rPr>
      </w:pPr>
    </w:p>
    <w:p w14:paraId="22688419" w14:textId="77777777" w:rsidR="001C35B2" w:rsidRDefault="001C35B2" w:rsidP="0077771A">
      <w:pPr>
        <w:pStyle w:val="Heading1"/>
        <w:ind w:right="-61"/>
        <w:jc w:val="both"/>
      </w:pPr>
      <w:r>
        <w:t>PRECAUTIONS</w:t>
      </w:r>
    </w:p>
    <w:p w14:paraId="20A1C8A5" w14:textId="77777777" w:rsidR="007026E0" w:rsidRPr="007026E0" w:rsidRDefault="007026E0" w:rsidP="007026E0"/>
    <w:p w14:paraId="0DF3CBDD" w14:textId="7792143C" w:rsidR="00BC36D7" w:rsidRPr="00907630" w:rsidRDefault="00BC36D7" w:rsidP="00E47CFE">
      <w:pPr>
        <w:pStyle w:val="TextTi12"/>
        <w:rPr>
          <w:b/>
          <w:lang w:val="en-AU"/>
        </w:rPr>
      </w:pPr>
      <w:r w:rsidRPr="00907630">
        <w:rPr>
          <w:b/>
        </w:rPr>
        <w:t xml:space="preserve">Additional Information on Special </w:t>
      </w:r>
      <w:r w:rsidR="00477B32">
        <w:rPr>
          <w:b/>
          <w:lang w:val="en-AU"/>
        </w:rPr>
        <w:t>P</w:t>
      </w:r>
      <w:r w:rsidRPr="00907630">
        <w:rPr>
          <w:b/>
        </w:rPr>
        <w:t>opulations</w:t>
      </w:r>
    </w:p>
    <w:p w14:paraId="1492805D" w14:textId="780C141B" w:rsidR="00477B32" w:rsidRDefault="00BC36D7" w:rsidP="00E47CFE">
      <w:pPr>
        <w:autoSpaceDE w:val="0"/>
        <w:autoSpaceDN w:val="0"/>
        <w:adjustRightInd w:val="0"/>
        <w:jc w:val="both"/>
      </w:pPr>
      <w:r>
        <w:t>Studies with selexipag have been mainly performed in PAH patients classified as WHO functional Class II and III. Selexipag has only been stu</w:t>
      </w:r>
      <w:r w:rsidR="00477B32">
        <w:t xml:space="preserve">died in a limited number </w:t>
      </w:r>
      <w:r w:rsidR="00477B32">
        <w:lastRenderedPageBreak/>
        <w:t>of pat</w:t>
      </w:r>
      <w:r>
        <w:t>i</w:t>
      </w:r>
      <w:r w:rsidR="00477B32">
        <w:t>e</w:t>
      </w:r>
      <w:r>
        <w:t>nts with WHO functional Class IV</w:t>
      </w:r>
      <w:r w:rsidR="008012DF" w:rsidRPr="008012DF">
        <w:rPr>
          <w:rFonts w:ascii="Arial" w:hAnsi="Arial" w:cs="Arial"/>
          <w:i/>
          <w:iCs/>
          <w:sz w:val="21"/>
          <w:szCs w:val="21"/>
          <w:lang w:bidi="he-IL"/>
        </w:rPr>
        <w:t xml:space="preserve"> </w:t>
      </w:r>
      <w:r w:rsidR="008012DF" w:rsidRPr="008012DF">
        <w:t>(</w:t>
      </w:r>
      <w:r w:rsidR="00EB40A2">
        <w:t xml:space="preserve">see </w:t>
      </w:r>
      <w:r w:rsidR="00EB40A2" w:rsidRPr="00AE1D40">
        <w:t>CLINICAL TRIALS</w:t>
      </w:r>
      <w:r w:rsidR="008012DF" w:rsidRPr="008012DF">
        <w:t>)</w:t>
      </w:r>
      <w:r>
        <w:t>.</w:t>
      </w:r>
      <w:r w:rsidR="000020A5">
        <w:t xml:space="preserve"> </w:t>
      </w:r>
      <w:r w:rsidR="00477B32">
        <w:t>Selexipag has only been studied in a limited number of patients with PAH due to drugs or toxins.</w:t>
      </w:r>
    </w:p>
    <w:p w14:paraId="2E2D7904" w14:textId="77777777" w:rsidR="005947E5" w:rsidRDefault="005947E5" w:rsidP="00E47CFE">
      <w:pPr>
        <w:jc w:val="both"/>
      </w:pPr>
    </w:p>
    <w:p w14:paraId="02A751C8" w14:textId="77777777" w:rsidR="005947E5" w:rsidRPr="00907630" w:rsidRDefault="005947E5" w:rsidP="00E47CFE">
      <w:pPr>
        <w:autoSpaceDE w:val="0"/>
        <w:autoSpaceDN w:val="0"/>
        <w:adjustRightInd w:val="0"/>
        <w:jc w:val="both"/>
        <w:rPr>
          <w:rFonts w:ascii="Times New Roman" w:hAnsi="Times New Roman"/>
          <w:b/>
          <w:lang w:val="en-US"/>
        </w:rPr>
      </w:pPr>
      <w:r w:rsidRPr="00907630">
        <w:rPr>
          <w:rFonts w:ascii="Times New Roman" w:hAnsi="Times New Roman"/>
          <w:b/>
          <w:lang w:val="en-US"/>
        </w:rPr>
        <w:t>Hypotension</w:t>
      </w:r>
    </w:p>
    <w:p w14:paraId="0C7ECEB1" w14:textId="15F5BCD2" w:rsidR="00BC36D7" w:rsidRDefault="0014000B" w:rsidP="00E47CFE">
      <w:pPr>
        <w:autoSpaceDE w:val="0"/>
        <w:autoSpaceDN w:val="0"/>
        <w:adjustRightInd w:val="0"/>
        <w:jc w:val="both"/>
      </w:pPr>
      <w:r>
        <w:t>UPTRAVI</w:t>
      </w:r>
      <w:r w:rsidR="005947E5" w:rsidRPr="00907630">
        <w:t xml:space="preserve"> has vasodilatory properties that may result in lowering of blood pressure. Before prescribing</w:t>
      </w:r>
      <w:r w:rsidR="005947E5">
        <w:t xml:space="preserve"> </w:t>
      </w:r>
      <w:r>
        <w:t>UPTRAVI</w:t>
      </w:r>
      <w:r w:rsidR="005947E5" w:rsidRPr="00907630">
        <w:t>, physicians should carefully consider whether patients with certain underlying conditions</w:t>
      </w:r>
      <w:r w:rsidR="005947E5">
        <w:t xml:space="preserve"> </w:t>
      </w:r>
      <w:r w:rsidR="005947E5" w:rsidRPr="00907630">
        <w:t>could be adversely affected by vasodilatory effects (e.g., patients on antihypertensive therapy</w:t>
      </w:r>
      <w:r w:rsidR="00846434">
        <w:t>, other PAH therapy</w:t>
      </w:r>
      <w:r w:rsidR="005947E5" w:rsidRPr="00907630">
        <w:t xml:space="preserve"> or with</w:t>
      </w:r>
      <w:r w:rsidR="005947E5">
        <w:t xml:space="preserve"> </w:t>
      </w:r>
      <w:r w:rsidR="005947E5" w:rsidRPr="00907630">
        <w:t>resting hypotension, hypovolaemia, severe left ventricular outflow obstruction or autonomic</w:t>
      </w:r>
      <w:r w:rsidR="005947E5">
        <w:t xml:space="preserve"> </w:t>
      </w:r>
      <w:r w:rsidR="005947E5" w:rsidRPr="00907630">
        <w:t>dysfunction).</w:t>
      </w:r>
      <w:r w:rsidR="00846434">
        <w:t>Monitoring of blood pressure is recommended in such patients</w:t>
      </w:r>
      <w:r w:rsidR="00FD4F56">
        <w:t xml:space="preserve"> as clinically indicated</w:t>
      </w:r>
      <w:r w:rsidR="00846434">
        <w:t>.</w:t>
      </w:r>
    </w:p>
    <w:p w14:paraId="39361AC5" w14:textId="77777777" w:rsidR="005947E5" w:rsidRDefault="005947E5" w:rsidP="00EF4613">
      <w:pPr>
        <w:autoSpaceDE w:val="0"/>
        <w:autoSpaceDN w:val="0"/>
        <w:adjustRightInd w:val="0"/>
        <w:rPr>
          <w:rFonts w:ascii="Times New Roman" w:hAnsi="Times New Roman"/>
          <w:b/>
        </w:rPr>
      </w:pPr>
    </w:p>
    <w:p w14:paraId="2268841B" w14:textId="77777777" w:rsidR="00EF4613" w:rsidRPr="0006048C" w:rsidRDefault="00EF4613" w:rsidP="00EF4613">
      <w:pPr>
        <w:autoSpaceDE w:val="0"/>
        <w:autoSpaceDN w:val="0"/>
        <w:adjustRightInd w:val="0"/>
        <w:rPr>
          <w:rFonts w:ascii="Times New Roman" w:hAnsi="Times New Roman"/>
          <w:b/>
          <w:iCs/>
          <w:szCs w:val="24"/>
          <w:lang w:val="en-US"/>
        </w:rPr>
      </w:pPr>
      <w:r w:rsidRPr="0006048C">
        <w:rPr>
          <w:rFonts w:ascii="Times New Roman" w:hAnsi="Times New Roman"/>
          <w:b/>
          <w:iCs/>
          <w:szCs w:val="24"/>
          <w:lang w:val="en-US"/>
        </w:rPr>
        <w:t>Increase in heart rate:</w:t>
      </w:r>
    </w:p>
    <w:p w14:paraId="2268841C" w14:textId="5FF1BA1F" w:rsidR="00EF4613" w:rsidRPr="0006048C" w:rsidRDefault="0014000B" w:rsidP="00EF4613">
      <w:pPr>
        <w:autoSpaceDE w:val="0"/>
        <w:autoSpaceDN w:val="0"/>
        <w:adjustRightInd w:val="0"/>
        <w:rPr>
          <w:rFonts w:ascii="Times New Roman" w:hAnsi="Times New Roman"/>
          <w:iCs/>
          <w:szCs w:val="24"/>
          <w:lang w:val="en-US"/>
        </w:rPr>
      </w:pPr>
      <w:r>
        <w:rPr>
          <w:rFonts w:ascii="Times New Roman" w:hAnsi="Times New Roman"/>
          <w:iCs/>
          <w:szCs w:val="24"/>
          <w:lang w:val="en-US"/>
        </w:rPr>
        <w:t>UPTRAVI</w:t>
      </w:r>
      <w:r w:rsidR="00EF4613" w:rsidRPr="0006048C">
        <w:rPr>
          <w:rFonts w:ascii="Times New Roman" w:hAnsi="Times New Roman"/>
          <w:iCs/>
          <w:szCs w:val="24"/>
          <w:lang w:val="en-US"/>
        </w:rPr>
        <w:t xml:space="preserve"> may cause a moderate increase in heart rate after each dose.</w:t>
      </w:r>
    </w:p>
    <w:p w14:paraId="2268841D" w14:textId="77777777" w:rsidR="00A72468" w:rsidRDefault="00A72468" w:rsidP="00A72468">
      <w:pPr>
        <w:jc w:val="both"/>
        <w:rPr>
          <w:b/>
          <w:szCs w:val="22"/>
        </w:rPr>
      </w:pPr>
    </w:p>
    <w:p w14:paraId="2268841E" w14:textId="77777777" w:rsidR="00274E2E" w:rsidRDefault="00274E2E" w:rsidP="00274E2E">
      <w:pPr>
        <w:jc w:val="both"/>
        <w:rPr>
          <w:b/>
          <w:szCs w:val="22"/>
        </w:rPr>
      </w:pPr>
      <w:r>
        <w:rPr>
          <w:b/>
          <w:szCs w:val="22"/>
        </w:rPr>
        <w:t>Hyperthyroidism</w:t>
      </w:r>
    </w:p>
    <w:p w14:paraId="2268841F" w14:textId="6AF83347" w:rsidR="00274E2E" w:rsidRDefault="00274E2E" w:rsidP="00274E2E">
      <w:pPr>
        <w:jc w:val="both"/>
        <w:rPr>
          <w:b/>
          <w:szCs w:val="22"/>
        </w:rPr>
      </w:pPr>
      <w:r w:rsidRPr="00C32458">
        <w:t xml:space="preserve">Hyperthyroidism has been </w:t>
      </w:r>
      <w:r w:rsidR="00D15BA4">
        <w:t xml:space="preserve">observed </w:t>
      </w:r>
      <w:r w:rsidRPr="00C32458">
        <w:t xml:space="preserve">with </w:t>
      </w:r>
      <w:r w:rsidR="00D15BA4">
        <w:t>UPTRAVI</w:t>
      </w:r>
      <w:r w:rsidR="00430A95">
        <w:t xml:space="preserve"> (2% patients </w:t>
      </w:r>
      <w:r w:rsidR="00A408D8">
        <w:t>on</w:t>
      </w:r>
      <w:r w:rsidR="00430A95">
        <w:t xml:space="preserve"> selexipag and 0% </w:t>
      </w:r>
      <w:r w:rsidR="00430A95" w:rsidRPr="005728B5">
        <w:rPr>
          <w:shd w:val="clear" w:color="auto" w:fill="FFFFFF"/>
        </w:rPr>
        <w:t>of placebo-treated patients</w:t>
      </w:r>
      <w:r w:rsidR="00430A95">
        <w:rPr>
          <w:shd w:val="clear" w:color="auto" w:fill="FFFFFF"/>
        </w:rPr>
        <w:t>)</w:t>
      </w:r>
      <w:r w:rsidR="00D15BA4">
        <w:t xml:space="preserve"> and other</w:t>
      </w:r>
      <w:r w:rsidR="00D15BA4" w:rsidRPr="00C32458">
        <w:t xml:space="preserve"> </w:t>
      </w:r>
      <w:r w:rsidRPr="00C32458">
        <w:t xml:space="preserve">prostacyclin </w:t>
      </w:r>
      <w:r>
        <w:t xml:space="preserve">receptor </w:t>
      </w:r>
      <w:r w:rsidRPr="00C32458">
        <w:t xml:space="preserve">agonists. </w:t>
      </w:r>
      <w:r>
        <w:t>T</w:t>
      </w:r>
      <w:r w:rsidRPr="00C32458">
        <w:t xml:space="preserve">hyroid function tests </w:t>
      </w:r>
      <w:r>
        <w:t>are</w:t>
      </w:r>
      <w:r w:rsidRPr="00C32458">
        <w:t xml:space="preserve"> recommended as clinically indicated</w:t>
      </w:r>
      <w:r w:rsidR="00501D36">
        <w:t>.</w:t>
      </w:r>
    </w:p>
    <w:p w14:paraId="22688420" w14:textId="77777777" w:rsidR="00274E2E" w:rsidRPr="00274E2E" w:rsidRDefault="00274E2E" w:rsidP="00274E2E">
      <w:pPr>
        <w:jc w:val="both"/>
        <w:rPr>
          <w:b/>
          <w:szCs w:val="22"/>
        </w:rPr>
      </w:pPr>
    </w:p>
    <w:p w14:paraId="22688421" w14:textId="77777777" w:rsidR="00274E2E" w:rsidRPr="00274E2E" w:rsidRDefault="00274E2E" w:rsidP="00274E2E">
      <w:pPr>
        <w:jc w:val="both"/>
        <w:rPr>
          <w:b/>
          <w:szCs w:val="22"/>
        </w:rPr>
      </w:pPr>
      <w:r w:rsidRPr="00274E2E">
        <w:rPr>
          <w:b/>
          <w:szCs w:val="22"/>
        </w:rPr>
        <w:t>Pulmonary veno-occlusive disease</w:t>
      </w:r>
    </w:p>
    <w:p w14:paraId="22688422" w14:textId="77777777" w:rsidR="00274E2E" w:rsidRDefault="00274E2E" w:rsidP="00E47CFE">
      <w:pPr>
        <w:autoSpaceDE w:val="0"/>
        <w:autoSpaceDN w:val="0"/>
        <w:adjustRightInd w:val="0"/>
        <w:jc w:val="both"/>
        <w:rPr>
          <w:lang w:val="en-US"/>
        </w:rPr>
      </w:pPr>
      <w:r w:rsidRPr="00A814D8">
        <w:t>Should signs of pulmonary oedema occur, consider the p</w:t>
      </w:r>
      <w:r>
        <w:t xml:space="preserve">ossibility of associated </w:t>
      </w:r>
      <w:r w:rsidRPr="00A62E3A">
        <w:rPr>
          <w:lang w:val="en-US"/>
        </w:rPr>
        <w:t>p</w:t>
      </w:r>
      <w:r w:rsidRPr="009B7AE6">
        <w:t>ulmonary veno-occlusive disease</w:t>
      </w:r>
      <w:r>
        <w:t xml:space="preserve">. </w:t>
      </w:r>
      <w:r w:rsidRPr="00A814D8">
        <w:t xml:space="preserve">If confirmed, discontinue </w:t>
      </w:r>
      <w:r>
        <w:t>UPTRAVI</w:t>
      </w:r>
      <w:r w:rsidRPr="00A62E3A">
        <w:rPr>
          <w:lang w:val="en-US"/>
        </w:rPr>
        <w:t>.</w:t>
      </w:r>
    </w:p>
    <w:p w14:paraId="22688423" w14:textId="77777777" w:rsidR="00274E2E" w:rsidRPr="00274E2E" w:rsidRDefault="00274E2E" w:rsidP="00E47CFE">
      <w:pPr>
        <w:autoSpaceDE w:val="0"/>
        <w:autoSpaceDN w:val="0"/>
        <w:adjustRightInd w:val="0"/>
        <w:jc w:val="both"/>
        <w:rPr>
          <w:rFonts w:ascii="TimesNewRomanPSMT" w:hAnsi="TimesNewRomanPSMT" w:cs="TimesNewRomanPSMT"/>
          <w:szCs w:val="24"/>
          <w:lang w:val="en-US"/>
        </w:rPr>
      </w:pPr>
    </w:p>
    <w:p w14:paraId="22688424" w14:textId="77777777" w:rsidR="00FB27D1" w:rsidRDefault="00FB27D1" w:rsidP="00E47CFE">
      <w:pPr>
        <w:jc w:val="both"/>
        <w:rPr>
          <w:b/>
          <w:noProof/>
          <w:szCs w:val="22"/>
        </w:rPr>
      </w:pPr>
      <w:r>
        <w:rPr>
          <w:b/>
          <w:noProof/>
          <w:szCs w:val="22"/>
        </w:rPr>
        <w:t xml:space="preserve">Effects on Fertility </w:t>
      </w:r>
    </w:p>
    <w:p w14:paraId="22688425" w14:textId="77777777" w:rsidR="00FB27D1" w:rsidRPr="009B7AE6" w:rsidRDefault="00FB27D1" w:rsidP="00E47CFE">
      <w:pPr>
        <w:pStyle w:val="TextTi12"/>
      </w:pPr>
      <w:r w:rsidRPr="009B7AE6">
        <w:t xml:space="preserve">Selexipag had no effect on fertility of male and female rats. In the rat pre- and post-natal development study, selexipag induced no effects on maternal and pup reproductive function. </w:t>
      </w:r>
    </w:p>
    <w:p w14:paraId="22688426" w14:textId="77777777" w:rsidR="00FB27D1" w:rsidRPr="00527F9F" w:rsidRDefault="00FB27D1" w:rsidP="00E47CFE">
      <w:pPr>
        <w:pStyle w:val="Heading3"/>
        <w:jc w:val="both"/>
        <w:rPr>
          <w:rFonts w:ascii="Times New Roman" w:hAnsi="Times New Roman" w:cs="Times New Roman"/>
          <w:b/>
          <w:szCs w:val="24"/>
          <w:u w:val="none"/>
          <w:lang w:val="en"/>
        </w:rPr>
      </w:pPr>
      <w:r w:rsidRPr="00527F9F">
        <w:rPr>
          <w:rFonts w:ascii="Times New Roman" w:hAnsi="Times New Roman" w:cs="Times New Roman"/>
          <w:b/>
          <w:szCs w:val="24"/>
          <w:u w:val="none"/>
        </w:rPr>
        <w:t>Use in pregnancy</w:t>
      </w:r>
      <w:r w:rsidRPr="00527F9F">
        <w:rPr>
          <w:rFonts w:ascii="Times New Roman" w:hAnsi="Times New Roman" w:cs="Times New Roman"/>
          <w:b/>
          <w:szCs w:val="24"/>
          <w:u w:val="none"/>
          <w:lang w:val="en"/>
        </w:rPr>
        <w:t xml:space="preserve"> (Category</w:t>
      </w:r>
      <w:r w:rsidR="00E87443">
        <w:rPr>
          <w:rFonts w:ascii="Times New Roman" w:hAnsi="Times New Roman" w:cs="Times New Roman"/>
          <w:b/>
          <w:szCs w:val="24"/>
          <w:u w:val="none"/>
          <w:lang w:val="en"/>
        </w:rPr>
        <w:t xml:space="preserve"> B</w:t>
      </w:r>
      <w:r w:rsidR="00BB56B3">
        <w:rPr>
          <w:rFonts w:ascii="Times New Roman" w:hAnsi="Times New Roman" w:cs="Times New Roman"/>
          <w:b/>
          <w:szCs w:val="24"/>
          <w:u w:val="none"/>
          <w:lang w:val="en"/>
        </w:rPr>
        <w:t>1</w:t>
      </w:r>
      <w:r w:rsidRPr="00527F9F">
        <w:rPr>
          <w:rFonts w:ascii="Times New Roman" w:hAnsi="Times New Roman" w:cs="Times New Roman"/>
          <w:b/>
          <w:szCs w:val="24"/>
          <w:u w:val="none"/>
          <w:lang w:val="en"/>
        </w:rPr>
        <w:t>)</w:t>
      </w:r>
    </w:p>
    <w:p w14:paraId="22688427" w14:textId="15235188" w:rsidR="00FB27D1" w:rsidRDefault="006C706E" w:rsidP="00E47CFE">
      <w:pPr>
        <w:autoSpaceDE w:val="0"/>
        <w:autoSpaceDN w:val="0"/>
        <w:adjustRightInd w:val="0"/>
        <w:jc w:val="both"/>
        <w:rPr>
          <w:szCs w:val="22"/>
        </w:rPr>
      </w:pPr>
      <w:r>
        <w:t xml:space="preserve">Use in Pregnancy should be avoided.  </w:t>
      </w:r>
      <w:r w:rsidRPr="006C706E">
        <w:t xml:space="preserve">Pregnant women were excluded from the trial and there is no data </w:t>
      </w:r>
      <w:r>
        <w:t>in human pregnancy.</w:t>
      </w:r>
      <w:r w:rsidRPr="009B7AE6" w:rsidDel="006C706E">
        <w:t xml:space="preserve"> </w:t>
      </w:r>
      <w:r w:rsidR="00B0048C">
        <w:rPr>
          <w:noProof/>
          <w:szCs w:val="22"/>
        </w:rPr>
        <w:t xml:space="preserve">Selexipag was not teratogenic in rats and rabbits. </w:t>
      </w:r>
    </w:p>
    <w:p w14:paraId="28613EE0" w14:textId="77777777" w:rsidR="006C706E" w:rsidRPr="00121F89" w:rsidRDefault="006C706E" w:rsidP="00E47CFE">
      <w:pPr>
        <w:autoSpaceDE w:val="0"/>
        <w:autoSpaceDN w:val="0"/>
        <w:adjustRightInd w:val="0"/>
        <w:jc w:val="both"/>
        <w:rPr>
          <w:noProof/>
          <w:szCs w:val="22"/>
        </w:rPr>
      </w:pPr>
    </w:p>
    <w:p w14:paraId="22688428" w14:textId="77777777" w:rsidR="00FB27D1" w:rsidRPr="00527F9F" w:rsidRDefault="00FB27D1" w:rsidP="00E47CFE">
      <w:pPr>
        <w:jc w:val="both"/>
        <w:rPr>
          <w:b/>
          <w:noProof/>
          <w:szCs w:val="22"/>
        </w:rPr>
      </w:pPr>
      <w:r>
        <w:rPr>
          <w:b/>
          <w:noProof/>
          <w:szCs w:val="22"/>
        </w:rPr>
        <w:t xml:space="preserve">Use in Lactation </w:t>
      </w:r>
    </w:p>
    <w:p w14:paraId="22688429" w14:textId="77777777" w:rsidR="00FB27D1" w:rsidRPr="009B7AE6" w:rsidRDefault="00FB27D1" w:rsidP="00E47CFE">
      <w:pPr>
        <w:pStyle w:val="TextTi12"/>
        <w:spacing w:after="0" w:line="240" w:lineRule="auto"/>
        <w:rPr>
          <w:rFonts w:eastAsia="SimSun"/>
          <w:szCs w:val="22"/>
          <w:lang w:eastAsia="zh-CN"/>
        </w:rPr>
      </w:pPr>
      <w:r w:rsidRPr="009B7AE6">
        <w:rPr>
          <w:rFonts w:eastAsia="SimSun"/>
          <w:szCs w:val="22"/>
          <w:lang w:eastAsia="zh-CN"/>
        </w:rPr>
        <w:t>It is unknown whether selexipag or its metabolites are excreted in human milk.</w:t>
      </w:r>
    </w:p>
    <w:p w14:paraId="2268842A" w14:textId="77777777" w:rsidR="00FB27D1" w:rsidRPr="00370DC0" w:rsidRDefault="00FB27D1" w:rsidP="00E47CFE">
      <w:pPr>
        <w:pStyle w:val="TextTi12"/>
        <w:spacing w:after="0" w:line="240" w:lineRule="auto"/>
        <w:rPr>
          <w:noProof/>
          <w:szCs w:val="22"/>
          <w:u w:val="single"/>
          <w:lang w:val="en-AU"/>
        </w:rPr>
      </w:pPr>
      <w:r>
        <w:rPr>
          <w:rFonts w:eastAsia="SimSun"/>
          <w:szCs w:val="22"/>
          <w:lang w:eastAsia="zh-CN"/>
        </w:rPr>
        <w:t>In</w:t>
      </w:r>
      <w:r w:rsidRPr="009B7AE6">
        <w:rPr>
          <w:rFonts w:eastAsia="SimSun"/>
          <w:szCs w:val="22"/>
          <w:lang w:eastAsia="zh-CN"/>
        </w:rPr>
        <w:t xml:space="preserve"> </w:t>
      </w:r>
      <w:r>
        <w:rPr>
          <w:rFonts w:eastAsia="SimSun"/>
          <w:szCs w:val="22"/>
          <w:lang w:eastAsia="zh-CN"/>
        </w:rPr>
        <w:t>rats,</w:t>
      </w:r>
      <w:r w:rsidRPr="009B7AE6">
        <w:rPr>
          <w:rFonts w:eastAsia="SimSun"/>
          <w:szCs w:val="22"/>
          <w:lang w:eastAsia="zh-CN"/>
        </w:rPr>
        <w:t xml:space="preserve"> selexipag</w:t>
      </w:r>
      <w:r>
        <w:rPr>
          <w:rFonts w:eastAsia="SimSun"/>
          <w:szCs w:val="22"/>
          <w:lang w:eastAsia="zh-CN"/>
        </w:rPr>
        <w:t xml:space="preserve"> </w:t>
      </w:r>
      <w:r w:rsidR="00BB56B3">
        <w:rPr>
          <w:rFonts w:eastAsia="SimSun"/>
          <w:szCs w:val="22"/>
          <w:lang w:val="en-AU" w:eastAsia="zh-CN"/>
        </w:rPr>
        <w:t>and/</w:t>
      </w:r>
      <w:r>
        <w:rPr>
          <w:rFonts w:eastAsia="SimSun"/>
          <w:szCs w:val="22"/>
          <w:lang w:eastAsia="zh-CN"/>
        </w:rPr>
        <w:t xml:space="preserve">or its metabolites are excreted in the </w:t>
      </w:r>
      <w:r w:rsidRPr="009B7AE6">
        <w:rPr>
          <w:rFonts w:eastAsia="SimSun"/>
          <w:szCs w:val="22"/>
          <w:lang w:eastAsia="zh-CN"/>
        </w:rPr>
        <w:t xml:space="preserve">milk. </w:t>
      </w:r>
      <w:r>
        <w:rPr>
          <w:rFonts w:eastAsia="SimSun"/>
          <w:szCs w:val="22"/>
          <w:lang w:val="en-AU" w:eastAsia="zh-CN"/>
        </w:rPr>
        <w:t xml:space="preserve"> </w:t>
      </w:r>
      <w:r w:rsidRPr="009B7AE6">
        <w:rPr>
          <w:rFonts w:eastAsia="SimSun"/>
          <w:szCs w:val="22"/>
          <w:lang w:eastAsia="zh-CN"/>
        </w:rPr>
        <w:t>Breastfeeding</w:t>
      </w:r>
      <w:r>
        <w:rPr>
          <w:rFonts w:eastAsia="SimSun"/>
          <w:szCs w:val="22"/>
          <w:lang w:eastAsia="zh-CN"/>
        </w:rPr>
        <w:t xml:space="preserve"> is not recommended </w:t>
      </w:r>
      <w:r w:rsidRPr="009B7AE6">
        <w:rPr>
          <w:rFonts w:eastAsia="SimSun"/>
          <w:szCs w:val="22"/>
          <w:lang w:eastAsia="zh-CN"/>
        </w:rPr>
        <w:t xml:space="preserve">during treatment with </w:t>
      </w:r>
      <w:r>
        <w:rPr>
          <w:rFonts w:eastAsia="SimSun"/>
          <w:szCs w:val="22"/>
          <w:lang w:eastAsia="zh-CN"/>
        </w:rPr>
        <w:t>UPTRAVI</w:t>
      </w:r>
      <w:r>
        <w:rPr>
          <w:rFonts w:eastAsia="SimSun"/>
          <w:szCs w:val="22"/>
          <w:lang w:val="en-AU" w:eastAsia="zh-CN"/>
        </w:rPr>
        <w:t>.</w:t>
      </w:r>
    </w:p>
    <w:p w14:paraId="2268842B" w14:textId="77777777" w:rsidR="00FB27D1" w:rsidRDefault="00FB27D1" w:rsidP="00E47CFE">
      <w:pPr>
        <w:autoSpaceDE w:val="0"/>
        <w:autoSpaceDN w:val="0"/>
        <w:adjustRightInd w:val="0"/>
        <w:jc w:val="both"/>
        <w:rPr>
          <w:b/>
        </w:rPr>
      </w:pPr>
    </w:p>
    <w:p w14:paraId="2268842C" w14:textId="77777777" w:rsidR="00FB27D1" w:rsidRDefault="00FB27D1" w:rsidP="00E47CFE">
      <w:pPr>
        <w:jc w:val="both"/>
        <w:rPr>
          <w:b/>
          <w:szCs w:val="22"/>
        </w:rPr>
      </w:pPr>
      <w:r>
        <w:rPr>
          <w:b/>
          <w:szCs w:val="22"/>
        </w:rPr>
        <w:t>Elderly</w:t>
      </w:r>
    </w:p>
    <w:p w14:paraId="2268842D" w14:textId="77777777" w:rsidR="00FB27D1" w:rsidRPr="002D594B" w:rsidRDefault="00FB27D1" w:rsidP="00E47CFE">
      <w:pPr>
        <w:jc w:val="both"/>
        <w:rPr>
          <w:b/>
          <w:szCs w:val="22"/>
        </w:rPr>
      </w:pPr>
      <w:r w:rsidRPr="002D594B">
        <w:rPr>
          <w:szCs w:val="22"/>
        </w:rPr>
        <w:t xml:space="preserve">There is limited clinical experience with selexipag in patients over </w:t>
      </w:r>
      <w:r w:rsidR="00E87443">
        <w:rPr>
          <w:szCs w:val="22"/>
        </w:rPr>
        <w:t xml:space="preserve">the age of </w:t>
      </w:r>
      <w:r w:rsidRPr="002D594B">
        <w:rPr>
          <w:szCs w:val="22"/>
        </w:rPr>
        <w:t>75 years</w:t>
      </w:r>
      <w:r w:rsidR="00E87443">
        <w:rPr>
          <w:szCs w:val="22"/>
        </w:rPr>
        <w:t>,</w:t>
      </w:r>
      <w:r w:rsidRPr="002D594B">
        <w:rPr>
          <w:szCs w:val="22"/>
        </w:rPr>
        <w:t xml:space="preserve"> therefore UPTRAVI sh</w:t>
      </w:r>
      <w:r>
        <w:rPr>
          <w:szCs w:val="22"/>
        </w:rPr>
        <w:t>oul</w:t>
      </w:r>
      <w:r w:rsidRPr="002D594B">
        <w:rPr>
          <w:szCs w:val="22"/>
        </w:rPr>
        <w:t>d be used with caution in this population.</w:t>
      </w:r>
      <w:r>
        <w:rPr>
          <w:b/>
          <w:szCs w:val="22"/>
        </w:rPr>
        <w:t xml:space="preserve"> </w:t>
      </w:r>
      <w:r w:rsidRPr="002D594B">
        <w:rPr>
          <w:b/>
          <w:szCs w:val="22"/>
        </w:rPr>
        <w:t xml:space="preserve"> </w:t>
      </w:r>
    </w:p>
    <w:p w14:paraId="2268842E" w14:textId="77777777" w:rsidR="00B0048C" w:rsidRDefault="00B0048C" w:rsidP="00E47CFE">
      <w:pPr>
        <w:jc w:val="both"/>
        <w:rPr>
          <w:rFonts w:ascii="Times New Roman" w:hAnsi="Times New Roman"/>
          <w:b/>
          <w:szCs w:val="24"/>
          <w:lang w:val="en-US"/>
        </w:rPr>
      </w:pPr>
    </w:p>
    <w:p w14:paraId="2268842F" w14:textId="77777777" w:rsidR="00B0048C" w:rsidRDefault="00B0048C" w:rsidP="00E47CFE">
      <w:pPr>
        <w:jc w:val="both"/>
        <w:rPr>
          <w:rFonts w:ascii="Times New Roman" w:hAnsi="Times New Roman"/>
          <w:b/>
          <w:szCs w:val="24"/>
          <w:lang w:val="en-US"/>
        </w:rPr>
      </w:pPr>
      <w:r>
        <w:rPr>
          <w:rFonts w:ascii="Times New Roman" w:hAnsi="Times New Roman"/>
          <w:b/>
          <w:szCs w:val="24"/>
          <w:lang w:val="en-US"/>
        </w:rPr>
        <w:t>Paediatric</w:t>
      </w:r>
    </w:p>
    <w:p w14:paraId="22688430" w14:textId="6D5B54F4" w:rsidR="00B0048C" w:rsidRPr="00A32C4E" w:rsidRDefault="00B0048C" w:rsidP="00E47CFE">
      <w:pPr>
        <w:jc w:val="both"/>
        <w:rPr>
          <w:rFonts w:ascii="Times New Roman" w:hAnsi="Times New Roman"/>
          <w:szCs w:val="24"/>
          <w:lang w:val="en-US"/>
        </w:rPr>
      </w:pPr>
      <w:r w:rsidRPr="00A32C4E">
        <w:rPr>
          <w:rFonts w:ascii="Times New Roman" w:hAnsi="Times New Roman"/>
          <w:szCs w:val="24"/>
          <w:lang w:val="en-US"/>
        </w:rPr>
        <w:t>The safety and efficacy of UPTRAVI in children</w:t>
      </w:r>
      <w:r w:rsidR="001C6297">
        <w:rPr>
          <w:rFonts w:ascii="Times New Roman" w:hAnsi="Times New Roman"/>
          <w:szCs w:val="24"/>
          <w:lang w:val="en-US"/>
        </w:rPr>
        <w:t xml:space="preserve"> </w:t>
      </w:r>
      <w:r w:rsidRPr="00A32C4E">
        <w:rPr>
          <w:rFonts w:ascii="Times New Roman" w:hAnsi="Times New Roman"/>
          <w:szCs w:val="24"/>
          <w:lang w:val="en-US"/>
        </w:rPr>
        <w:t xml:space="preserve">(&lt;18 years) has not been established. </w:t>
      </w:r>
    </w:p>
    <w:p w14:paraId="22688431" w14:textId="77777777" w:rsidR="00FB27D1" w:rsidRDefault="00FB27D1" w:rsidP="00FB27D1">
      <w:pPr>
        <w:rPr>
          <w:noProof/>
          <w:szCs w:val="22"/>
          <w:u w:val="single"/>
        </w:rPr>
      </w:pPr>
    </w:p>
    <w:p w14:paraId="22688432" w14:textId="77777777" w:rsidR="00FB27D1" w:rsidRPr="006058E8" w:rsidRDefault="00FB27D1" w:rsidP="00FB27D1">
      <w:pPr>
        <w:jc w:val="both"/>
        <w:rPr>
          <w:rFonts w:ascii="Times New Roman" w:hAnsi="Times New Roman"/>
          <w:b/>
          <w:szCs w:val="24"/>
          <w:lang w:val="en-US"/>
        </w:rPr>
      </w:pPr>
      <w:r w:rsidRPr="006058E8">
        <w:rPr>
          <w:rFonts w:ascii="Times New Roman" w:hAnsi="Times New Roman"/>
          <w:b/>
          <w:szCs w:val="24"/>
          <w:lang w:val="en-US"/>
        </w:rPr>
        <w:t>Genotoxicity</w:t>
      </w:r>
    </w:p>
    <w:p w14:paraId="22688433" w14:textId="7AD4DFB5" w:rsidR="00FB27D1" w:rsidRPr="009B7AE6" w:rsidRDefault="00FB27D1" w:rsidP="00E47CFE">
      <w:pPr>
        <w:pStyle w:val="TextTi12"/>
      </w:pPr>
      <w:r w:rsidRPr="009B7AE6">
        <w:t xml:space="preserve">Selexipag and </w:t>
      </w:r>
      <w:r w:rsidR="00BB56B3">
        <w:rPr>
          <w:lang w:val="en-AU"/>
        </w:rPr>
        <w:t xml:space="preserve">its </w:t>
      </w:r>
      <w:r>
        <w:t>active metabolite</w:t>
      </w:r>
      <w:r w:rsidRPr="009B7AE6">
        <w:t xml:space="preserve"> are not genotoxic </w:t>
      </w:r>
      <w:r w:rsidR="00BB56B3" w:rsidRPr="00BB56B3">
        <w:rPr>
          <w:iCs/>
          <w:lang w:val="en-AU"/>
        </w:rPr>
        <w:t xml:space="preserve">under </w:t>
      </w:r>
      <w:r w:rsidR="00BB56B3" w:rsidRPr="00BB56B3">
        <w:rPr>
          <w:i/>
          <w:iCs/>
          <w:lang w:val="en-AU"/>
        </w:rPr>
        <w:t>in vivo</w:t>
      </w:r>
      <w:r w:rsidR="00BB56B3" w:rsidRPr="00BB56B3">
        <w:rPr>
          <w:iCs/>
          <w:lang w:val="en-AU"/>
        </w:rPr>
        <w:t xml:space="preserve"> conditions. The weight of evidence from a battery of genotoxicity studies indicates no cause for clinical concern</w:t>
      </w:r>
      <w:r w:rsidR="00BB56B3">
        <w:rPr>
          <w:iCs/>
          <w:lang w:val="en-AU"/>
        </w:rPr>
        <w:t>.</w:t>
      </w:r>
      <w:r w:rsidR="00BB56B3" w:rsidRPr="00BB56B3">
        <w:rPr>
          <w:iCs/>
          <w:lang w:val="en-AU"/>
        </w:rPr>
        <w:t xml:space="preserve"> </w:t>
      </w:r>
    </w:p>
    <w:p w14:paraId="22688434" w14:textId="77777777" w:rsidR="00FB27D1" w:rsidRPr="006058E8" w:rsidRDefault="00FB27D1" w:rsidP="00E47CFE">
      <w:pPr>
        <w:keepNext/>
        <w:jc w:val="both"/>
        <w:outlineLvl w:val="0"/>
        <w:rPr>
          <w:rFonts w:ascii="Times New Roman" w:hAnsi="Times New Roman"/>
          <w:u w:val="single"/>
        </w:rPr>
      </w:pPr>
    </w:p>
    <w:p w14:paraId="22688435" w14:textId="77777777" w:rsidR="00FB27D1" w:rsidRPr="006058E8" w:rsidRDefault="00FB27D1" w:rsidP="00E47CFE">
      <w:pPr>
        <w:jc w:val="both"/>
        <w:rPr>
          <w:rFonts w:ascii="Times New Roman" w:hAnsi="Times New Roman"/>
          <w:b/>
          <w:szCs w:val="24"/>
          <w:lang w:val="en-US"/>
        </w:rPr>
      </w:pPr>
      <w:r w:rsidRPr="006058E8">
        <w:rPr>
          <w:rFonts w:ascii="Times New Roman" w:hAnsi="Times New Roman"/>
          <w:b/>
          <w:szCs w:val="24"/>
          <w:lang w:val="en-US"/>
        </w:rPr>
        <w:t xml:space="preserve">Carcinogenicity </w:t>
      </w:r>
    </w:p>
    <w:p w14:paraId="22688436" w14:textId="558426FD" w:rsidR="003C0117" w:rsidRDefault="003C0117" w:rsidP="00E47CFE">
      <w:pPr>
        <w:pStyle w:val="TextTi12"/>
        <w:rPr>
          <w:color w:val="000000"/>
          <w:lang w:val="en-AU" w:eastAsia="de-CH"/>
        </w:rPr>
      </w:pPr>
      <w:r w:rsidRPr="000A4801">
        <w:rPr>
          <w:lang w:val="en-US"/>
        </w:rPr>
        <w:t xml:space="preserve">In 2-year carcinogenicity studies, selexipag </w:t>
      </w:r>
      <w:r w:rsidR="00BB56B3">
        <w:rPr>
          <w:lang w:val="en-US"/>
        </w:rPr>
        <w:t xml:space="preserve">produced possible </w:t>
      </w:r>
      <w:r w:rsidRPr="000A4801">
        <w:rPr>
          <w:lang w:val="en-US"/>
        </w:rPr>
        <w:t>increase</w:t>
      </w:r>
      <w:r w:rsidR="00BB56B3">
        <w:rPr>
          <w:lang w:val="en-US"/>
        </w:rPr>
        <w:t>s in the</w:t>
      </w:r>
      <w:r w:rsidRPr="000A4801">
        <w:rPr>
          <w:lang w:val="en-US"/>
        </w:rPr>
        <w:t xml:space="preserve"> incidence</w:t>
      </w:r>
      <w:r w:rsidR="00BB56B3">
        <w:rPr>
          <w:lang w:val="en-US"/>
        </w:rPr>
        <w:t>s</w:t>
      </w:r>
      <w:r w:rsidRPr="000A4801">
        <w:rPr>
          <w:lang w:val="en-US"/>
        </w:rPr>
        <w:t xml:space="preserve"> of thyroid adenomas in mice and Leydig cell adenomas in rats. The </w:t>
      </w:r>
      <w:r w:rsidR="00BB56B3" w:rsidRPr="00BB56B3">
        <w:rPr>
          <w:iCs/>
          <w:lang w:val="en-AU"/>
        </w:rPr>
        <w:t>induction of such tumours is thought to reflect unique aspects of rodent biology that are not relevant to humans.</w:t>
      </w:r>
      <w:r w:rsidR="00BB56B3" w:rsidRPr="00BB56B3">
        <w:rPr>
          <w:i/>
          <w:iCs/>
          <w:lang w:val="en-AU"/>
        </w:rPr>
        <w:t xml:space="preserve"> </w:t>
      </w:r>
    </w:p>
    <w:p w14:paraId="22688437" w14:textId="77777777" w:rsidR="00FB27D1" w:rsidRDefault="00FB27D1" w:rsidP="00E47CFE">
      <w:pPr>
        <w:autoSpaceDE w:val="0"/>
        <w:autoSpaceDN w:val="0"/>
        <w:adjustRightInd w:val="0"/>
        <w:jc w:val="both"/>
        <w:rPr>
          <w:b/>
        </w:rPr>
      </w:pPr>
    </w:p>
    <w:p w14:paraId="22688438" w14:textId="77777777" w:rsidR="002A2732" w:rsidRPr="00527F9F" w:rsidRDefault="002A2732" w:rsidP="00E47CFE">
      <w:pPr>
        <w:jc w:val="both"/>
        <w:rPr>
          <w:b/>
          <w:szCs w:val="22"/>
        </w:rPr>
      </w:pPr>
      <w:r w:rsidRPr="00527F9F">
        <w:rPr>
          <w:b/>
          <w:szCs w:val="22"/>
        </w:rPr>
        <w:t xml:space="preserve">Patients with </w:t>
      </w:r>
      <w:r>
        <w:rPr>
          <w:b/>
          <w:szCs w:val="22"/>
        </w:rPr>
        <w:t>hepatic</w:t>
      </w:r>
      <w:r w:rsidRPr="00527F9F">
        <w:rPr>
          <w:b/>
          <w:szCs w:val="22"/>
        </w:rPr>
        <w:t xml:space="preserve"> impairment</w:t>
      </w:r>
    </w:p>
    <w:p w14:paraId="2268843A" w14:textId="49C4ACBC" w:rsidR="002A2732" w:rsidRDefault="00051D2E" w:rsidP="00E47CFE">
      <w:pPr>
        <w:jc w:val="both"/>
      </w:pPr>
      <w:r w:rsidRPr="00051D2E">
        <w:t>No adjustment to the dosing regimen is needed in patients with mild hepatic impairment (Child-Pugh class A). A once-daily regimen is recommended in patients with moderate hepatic impairment (Child-Pugh class B) due to the increased exposure to selexipag and its active metabolite. There is no experience with UPTRAVI in patients with severe hepatic impairment (Child-Pugh class C). Avoid use of UPTRAVI in patients with severe hepatic impairment</w:t>
      </w:r>
      <w:r w:rsidR="00E621C4">
        <w:t>.</w:t>
      </w:r>
      <w:r w:rsidR="006C706E">
        <w:t xml:space="preserve"> (see CONTRAINDICATIONS)</w:t>
      </w:r>
      <w:r w:rsidR="00CD38C2">
        <w:t>.</w:t>
      </w:r>
      <w:r w:rsidR="006C706E">
        <w:t xml:space="preserve"> </w:t>
      </w:r>
    </w:p>
    <w:p w14:paraId="16C8EA05" w14:textId="77777777" w:rsidR="00E47CFE" w:rsidRDefault="00E47CFE" w:rsidP="00E47CFE">
      <w:pPr>
        <w:jc w:val="both"/>
        <w:rPr>
          <w:b/>
          <w:szCs w:val="22"/>
        </w:rPr>
      </w:pPr>
    </w:p>
    <w:p w14:paraId="2268843B" w14:textId="77777777" w:rsidR="0046339F" w:rsidRPr="00527F9F" w:rsidRDefault="0046339F" w:rsidP="00E47CFE">
      <w:pPr>
        <w:jc w:val="both"/>
        <w:rPr>
          <w:b/>
          <w:szCs w:val="22"/>
        </w:rPr>
      </w:pPr>
      <w:r w:rsidRPr="00527F9F">
        <w:rPr>
          <w:b/>
          <w:szCs w:val="22"/>
        </w:rPr>
        <w:t>Patients with renal impairment</w:t>
      </w:r>
    </w:p>
    <w:p w14:paraId="2268843C" w14:textId="294C8841" w:rsidR="0046339F" w:rsidRDefault="002A2732" w:rsidP="00E47CFE">
      <w:pPr>
        <w:autoSpaceDE w:val="0"/>
        <w:autoSpaceDN w:val="0"/>
        <w:adjustRightInd w:val="0"/>
        <w:jc w:val="both"/>
      </w:pPr>
      <w:r w:rsidRPr="009B7AE6">
        <w:t>In patients with severe renal impairment (</w:t>
      </w:r>
      <w:r>
        <w:t>estimated glomerular filtration rate &lt;30</w:t>
      </w:r>
      <w:r w:rsidR="002E69CF">
        <w:t xml:space="preserve"> </w:t>
      </w:r>
      <w:r>
        <w:t>mL/min/1.73 m</w:t>
      </w:r>
      <w:r w:rsidRPr="00530369">
        <w:rPr>
          <w:vertAlign w:val="superscript"/>
        </w:rPr>
        <w:t>2</w:t>
      </w:r>
      <w:r w:rsidRPr="009B7AE6">
        <w:t xml:space="preserve">) </w:t>
      </w:r>
      <w:r w:rsidR="00D15BA4">
        <w:t xml:space="preserve">caution should be exercised during dose titration. </w:t>
      </w:r>
      <w:r>
        <w:t xml:space="preserve">There is no </w:t>
      </w:r>
      <w:r w:rsidR="00846434">
        <w:t xml:space="preserve">clinical </w:t>
      </w:r>
      <w:r>
        <w:t xml:space="preserve">experience </w:t>
      </w:r>
      <w:r w:rsidRPr="00E8104D">
        <w:t>with</w:t>
      </w:r>
      <w:r w:rsidRPr="009B7AE6">
        <w:t xml:space="preserve"> </w:t>
      </w:r>
      <w:r w:rsidR="009B32E6">
        <w:rPr>
          <w:lang w:val="en-US"/>
        </w:rPr>
        <w:t>UPTRAVI</w:t>
      </w:r>
      <w:r w:rsidRPr="009B7AE6">
        <w:t xml:space="preserve"> </w:t>
      </w:r>
      <w:r>
        <w:t>in patients undergoing dialysis</w:t>
      </w:r>
      <w:r w:rsidR="00B27CA6">
        <w:t xml:space="preserve"> </w:t>
      </w:r>
      <w:r w:rsidR="00B27CA6" w:rsidRPr="00B27CA6">
        <w:t xml:space="preserve">or in patients with </w:t>
      </w:r>
      <w:r w:rsidR="002B2E67">
        <w:t>estimated</w:t>
      </w:r>
      <w:r w:rsidR="002B2E67" w:rsidRPr="00B27CA6">
        <w:t xml:space="preserve"> </w:t>
      </w:r>
      <w:r w:rsidR="00B27CA6" w:rsidRPr="00B27CA6">
        <w:t>glomerular filtration rates &lt;15 mL/min/1.73 m</w:t>
      </w:r>
      <w:r w:rsidR="00B27CA6" w:rsidRPr="00B27CA6">
        <w:rPr>
          <w:vertAlign w:val="superscript"/>
        </w:rPr>
        <w:t>2</w:t>
      </w:r>
      <w:r w:rsidR="00121F89">
        <w:t>.</w:t>
      </w:r>
    </w:p>
    <w:p w14:paraId="2268843E" w14:textId="77777777" w:rsidR="00D53BA0" w:rsidRPr="00D53BA0" w:rsidRDefault="00D53BA0" w:rsidP="00E47CFE">
      <w:pPr>
        <w:pStyle w:val="Hd3"/>
        <w:jc w:val="both"/>
        <w:rPr>
          <w:rFonts w:ascii="Times" w:hAnsi="Times"/>
          <w:noProof/>
          <w:szCs w:val="22"/>
          <w:lang w:val="en-AU"/>
        </w:rPr>
      </w:pPr>
      <w:r w:rsidRPr="00D53BA0">
        <w:rPr>
          <w:rFonts w:ascii="Times" w:hAnsi="Times"/>
          <w:noProof/>
          <w:szCs w:val="22"/>
          <w:lang w:val="en-AU"/>
        </w:rPr>
        <w:t>Effects on ability to drive vehicles and operate machinery</w:t>
      </w:r>
    </w:p>
    <w:p w14:paraId="2268843F" w14:textId="77777777" w:rsidR="00D53BA0" w:rsidRDefault="00D53BA0" w:rsidP="00E47CFE">
      <w:pPr>
        <w:pStyle w:val="TextTi12"/>
        <w:rPr>
          <w:noProof/>
          <w:szCs w:val="22"/>
          <w:lang w:val="en-AU"/>
        </w:rPr>
      </w:pPr>
      <w:r w:rsidRPr="009B7AE6">
        <w:t xml:space="preserve">No studies on the effect of </w:t>
      </w:r>
      <w:r w:rsidR="009B32E6">
        <w:rPr>
          <w:noProof/>
        </w:rPr>
        <w:t>UPTRAVI</w:t>
      </w:r>
      <w:r w:rsidRPr="009B7AE6">
        <w:rPr>
          <w:noProof/>
        </w:rPr>
        <w:t xml:space="preserve"> </w:t>
      </w:r>
      <w:r w:rsidRPr="009B7AE6">
        <w:t>on the ability to drive and use machines have been performed.</w:t>
      </w:r>
      <w:r w:rsidRPr="009B7AE6">
        <w:rPr>
          <w:shd w:val="clear" w:color="auto" w:fill="FFFFFF"/>
        </w:rPr>
        <w:t xml:space="preserve"> </w:t>
      </w:r>
      <w:r w:rsidR="00935294">
        <w:rPr>
          <w:noProof/>
          <w:szCs w:val="22"/>
        </w:rPr>
        <w:t>U</w:t>
      </w:r>
      <w:r w:rsidR="00935294">
        <w:rPr>
          <w:noProof/>
          <w:szCs w:val="22"/>
          <w:lang w:val="en-AU"/>
        </w:rPr>
        <w:t>PTRAVI</w:t>
      </w:r>
      <w:r w:rsidR="00935294" w:rsidRPr="0054199F">
        <w:rPr>
          <w:noProof/>
          <w:szCs w:val="22"/>
        </w:rPr>
        <w:t xml:space="preserve"> </w:t>
      </w:r>
      <w:r w:rsidR="00935294">
        <w:rPr>
          <w:noProof/>
          <w:szCs w:val="22"/>
        </w:rPr>
        <w:t>has</w:t>
      </w:r>
      <w:r w:rsidR="00935294" w:rsidRPr="0054199F">
        <w:rPr>
          <w:noProof/>
          <w:szCs w:val="22"/>
        </w:rPr>
        <w:t xml:space="preserve"> a minor influence on the ability to drive and use machines. The clinical status of the patient and the adverse reaction profile of selexipag (such as headache</w:t>
      </w:r>
      <w:r w:rsidR="00935294">
        <w:rPr>
          <w:noProof/>
          <w:szCs w:val="22"/>
        </w:rPr>
        <w:t xml:space="preserve"> or</w:t>
      </w:r>
      <w:r w:rsidR="00935294" w:rsidRPr="0054199F">
        <w:rPr>
          <w:noProof/>
          <w:szCs w:val="22"/>
        </w:rPr>
        <w:t xml:space="preserve"> hypotension) should be kept in mind when considering the patient’s ability to drive and use machines</w:t>
      </w:r>
      <w:r w:rsidR="00121F89">
        <w:rPr>
          <w:noProof/>
          <w:szCs w:val="22"/>
          <w:lang w:val="en-AU"/>
        </w:rPr>
        <w:t>.</w:t>
      </w:r>
    </w:p>
    <w:p w14:paraId="34C67944" w14:textId="77777777" w:rsidR="00E47CFE" w:rsidRDefault="00E47CFE" w:rsidP="00365338">
      <w:pPr>
        <w:ind w:right="-61"/>
        <w:rPr>
          <w:rFonts w:ascii="Arial" w:hAnsi="Arial" w:cs="Arial"/>
          <w:b/>
          <w:bCs/>
        </w:rPr>
      </w:pPr>
    </w:p>
    <w:p w14:paraId="22688441" w14:textId="77777777" w:rsidR="001C35B2" w:rsidRDefault="00B31C79" w:rsidP="00365338">
      <w:pPr>
        <w:ind w:right="-61"/>
        <w:rPr>
          <w:rFonts w:ascii="Arial" w:hAnsi="Arial" w:cs="Arial"/>
          <w:b/>
          <w:bCs/>
        </w:rPr>
      </w:pPr>
      <w:r>
        <w:rPr>
          <w:rFonts w:ascii="Arial" w:hAnsi="Arial" w:cs="Arial"/>
          <w:b/>
          <w:bCs/>
        </w:rPr>
        <w:t>INTERACT</w:t>
      </w:r>
      <w:r w:rsidR="0041229C">
        <w:rPr>
          <w:rFonts w:ascii="Arial" w:hAnsi="Arial" w:cs="Arial"/>
          <w:b/>
          <w:bCs/>
        </w:rPr>
        <w:t>IO</w:t>
      </w:r>
      <w:r>
        <w:rPr>
          <w:rFonts w:ascii="Arial" w:hAnsi="Arial" w:cs="Arial"/>
          <w:b/>
          <w:bCs/>
        </w:rPr>
        <w:t>NS WITH OTHER MEDICINES</w:t>
      </w:r>
    </w:p>
    <w:p w14:paraId="22688442" w14:textId="77777777" w:rsidR="00D35480" w:rsidRDefault="00D35480" w:rsidP="00365338">
      <w:pPr>
        <w:ind w:right="-61"/>
        <w:rPr>
          <w:rFonts w:ascii="Arial" w:hAnsi="Arial" w:cs="Arial"/>
          <w:b/>
          <w:bCs/>
        </w:rPr>
      </w:pPr>
    </w:p>
    <w:p w14:paraId="22688443" w14:textId="77777777" w:rsidR="00733AF2" w:rsidRPr="00527F9F" w:rsidRDefault="00733AF2" w:rsidP="00733AF2">
      <w:pPr>
        <w:rPr>
          <w:b/>
        </w:rPr>
      </w:pPr>
      <w:r w:rsidRPr="00527F9F">
        <w:rPr>
          <w:b/>
          <w:i/>
        </w:rPr>
        <w:t>In vitro</w:t>
      </w:r>
      <w:r w:rsidRPr="00527F9F">
        <w:rPr>
          <w:b/>
        </w:rPr>
        <w:t xml:space="preserve"> studies</w:t>
      </w:r>
    </w:p>
    <w:p w14:paraId="22688444" w14:textId="77777777" w:rsidR="0018432E" w:rsidRPr="007A2F4C" w:rsidRDefault="0018432E" w:rsidP="0018432E">
      <w:pPr>
        <w:pStyle w:val="TextTi12"/>
        <w:rPr>
          <w:rFonts w:eastAsia="MS Mincho"/>
          <w:lang w:val="en-US"/>
        </w:rPr>
      </w:pPr>
      <w:r w:rsidRPr="008D06A4">
        <w:rPr>
          <w:rFonts w:eastAsia="MS Mincho"/>
          <w:lang w:val="en-US"/>
        </w:rPr>
        <w:t>Selexipag is hydroly</w:t>
      </w:r>
      <w:r w:rsidR="008439E8">
        <w:rPr>
          <w:rFonts w:eastAsia="MS Mincho"/>
          <w:lang w:val="en-US"/>
        </w:rPr>
        <w:t>s</w:t>
      </w:r>
      <w:r w:rsidRPr="008D06A4">
        <w:rPr>
          <w:rFonts w:eastAsia="MS Mincho"/>
          <w:lang w:val="en-US"/>
        </w:rPr>
        <w:t xml:space="preserve">ed to its active metabolite by hepatic </w:t>
      </w:r>
      <w:r w:rsidRPr="008D06A4">
        <w:t>carboxylesterase 1 (CES1)</w:t>
      </w:r>
      <w:r w:rsidRPr="008D06A4">
        <w:rPr>
          <w:lang w:val="en-US"/>
        </w:rPr>
        <w:t xml:space="preserve"> </w:t>
      </w:r>
      <w:r w:rsidRPr="00370DC0">
        <w:rPr>
          <w:lang w:val="en-US"/>
        </w:rPr>
        <w:t>[see</w:t>
      </w:r>
      <w:r w:rsidR="00370DC0">
        <w:rPr>
          <w:lang w:val="en-US"/>
        </w:rPr>
        <w:t xml:space="preserve"> PHARMACOKINETICS</w:t>
      </w:r>
      <w:r w:rsidRPr="008D06A4">
        <w:rPr>
          <w:lang w:val="en-US"/>
        </w:rPr>
        <w:t>]</w:t>
      </w:r>
      <w:r w:rsidRPr="008D06A4">
        <w:rPr>
          <w:rFonts w:eastAsia="MS Mincho"/>
          <w:lang w:val="en-US"/>
        </w:rPr>
        <w:t xml:space="preserve">. Selexipag and its active metabolite both undergo </w:t>
      </w:r>
      <w:r w:rsidRPr="008D06A4">
        <w:rPr>
          <w:lang w:val="en-US"/>
        </w:rPr>
        <w:t>o</w:t>
      </w:r>
      <w:r w:rsidRPr="008D06A4">
        <w:t>xidative</w:t>
      </w:r>
      <w:r w:rsidRPr="007A2F4C">
        <w:t xml:space="preserve"> metabolism by CYP2C8</w:t>
      </w:r>
      <w:r w:rsidRPr="000A3C13">
        <w:rPr>
          <w:lang w:val="en-US"/>
        </w:rPr>
        <w:t xml:space="preserve"> and </w:t>
      </w:r>
      <w:r w:rsidRPr="007A2F4C">
        <w:t>CYP3A4</w:t>
      </w:r>
      <w:r w:rsidRPr="007A2F4C">
        <w:rPr>
          <w:lang w:val="en-US"/>
        </w:rPr>
        <w:t>.</w:t>
      </w:r>
      <w:r w:rsidRPr="007A2F4C">
        <w:t xml:space="preserve"> </w:t>
      </w:r>
      <w:r w:rsidRPr="007A2F4C">
        <w:rPr>
          <w:lang w:val="en-US"/>
        </w:rPr>
        <w:t xml:space="preserve">The </w:t>
      </w:r>
      <w:r w:rsidRPr="007A2F4C">
        <w:t>glucuronidation of the active metabolite</w:t>
      </w:r>
      <w:r w:rsidRPr="007A2F4C">
        <w:rPr>
          <w:lang w:val="en-US"/>
        </w:rPr>
        <w:t xml:space="preserve"> is cataly</w:t>
      </w:r>
      <w:r w:rsidR="008439E8">
        <w:rPr>
          <w:lang w:val="en-US"/>
        </w:rPr>
        <w:t>s</w:t>
      </w:r>
      <w:r w:rsidRPr="007A2F4C">
        <w:rPr>
          <w:lang w:val="en-US"/>
        </w:rPr>
        <w:t xml:space="preserve">ed by </w:t>
      </w:r>
      <w:r w:rsidRPr="007A2F4C">
        <w:t>UGT1A3 and UGT2B7</w:t>
      </w:r>
      <w:r w:rsidRPr="007A2F4C">
        <w:rPr>
          <w:lang w:val="en-US"/>
        </w:rPr>
        <w:t>.</w:t>
      </w:r>
      <w:r w:rsidRPr="007A2F4C">
        <w:t xml:space="preserve"> Selexipag and its active metabolite are substrates of OATP1B1 and OATP1B3. Selexipag is a substrate of P-gp</w:t>
      </w:r>
      <w:r w:rsidRPr="00524A6C">
        <w:rPr>
          <w:lang w:val="en-US"/>
        </w:rPr>
        <w:t>,</w:t>
      </w:r>
      <w:r w:rsidRPr="007A2F4C">
        <w:rPr>
          <w:lang w:val="en-US"/>
        </w:rPr>
        <w:t xml:space="preserve"> and the </w:t>
      </w:r>
      <w:r w:rsidRPr="007A2F4C">
        <w:t xml:space="preserve">active metabolite is a substrate of </w:t>
      </w:r>
      <w:r w:rsidR="004C2992">
        <w:rPr>
          <w:lang w:val="en-AU"/>
        </w:rPr>
        <w:t>the transporter breast cancer resistance protein (</w:t>
      </w:r>
      <w:r w:rsidRPr="007A2F4C">
        <w:rPr>
          <w:szCs w:val="22"/>
        </w:rPr>
        <w:t>BCRP</w:t>
      </w:r>
      <w:r w:rsidR="004C2992">
        <w:rPr>
          <w:szCs w:val="22"/>
          <w:lang w:val="en-AU"/>
        </w:rPr>
        <w:t>)</w:t>
      </w:r>
      <w:r w:rsidRPr="007A2F4C">
        <w:rPr>
          <w:szCs w:val="22"/>
          <w:lang w:val="en-US"/>
        </w:rPr>
        <w:t>.</w:t>
      </w:r>
    </w:p>
    <w:p w14:paraId="22688445" w14:textId="77777777" w:rsidR="0018432E" w:rsidRDefault="0018432E" w:rsidP="0018432E">
      <w:pPr>
        <w:pStyle w:val="TextTi12"/>
        <w:rPr>
          <w:rFonts w:eastAsia="MS Mincho"/>
          <w:lang w:val="en-US"/>
        </w:rPr>
      </w:pPr>
      <w:r w:rsidRPr="007A2F4C">
        <w:rPr>
          <w:rFonts w:eastAsia="MS Mincho"/>
        </w:rPr>
        <w:t xml:space="preserve">Selexipag and its active metabolite do not inhibit or induce </w:t>
      </w:r>
      <w:r w:rsidRPr="000A3C13">
        <w:rPr>
          <w:rFonts w:eastAsia="MS Mincho"/>
          <w:lang w:val="en-US"/>
        </w:rPr>
        <w:t xml:space="preserve">hepatic </w:t>
      </w:r>
      <w:r w:rsidRPr="007A2F4C">
        <w:rPr>
          <w:rFonts w:eastAsia="MS Mincho"/>
        </w:rPr>
        <w:t>cytochrome P450 enzymes</w:t>
      </w:r>
      <w:r w:rsidRPr="007A2F4C">
        <w:rPr>
          <w:rFonts w:eastAsia="MS Mincho"/>
          <w:lang w:val="en-US"/>
        </w:rPr>
        <w:t xml:space="preserve"> </w:t>
      </w:r>
      <w:r w:rsidRPr="007A2F4C">
        <w:rPr>
          <w:rFonts w:eastAsia="MS Mincho"/>
        </w:rPr>
        <w:t xml:space="preserve">at clinically relevant concentrations. </w:t>
      </w:r>
      <w:r w:rsidRPr="008D06A4">
        <w:rPr>
          <w:rFonts w:eastAsia="MS Mincho"/>
          <w:lang w:val="en-US"/>
        </w:rPr>
        <w:t>S</w:t>
      </w:r>
      <w:r w:rsidRPr="007A2F4C">
        <w:rPr>
          <w:rFonts w:eastAsia="MS Mincho"/>
        </w:rPr>
        <w:t xml:space="preserve">elexipag </w:t>
      </w:r>
      <w:r w:rsidRPr="007A2F4C">
        <w:rPr>
          <w:rFonts w:eastAsia="MS Mincho"/>
          <w:lang w:val="en-US"/>
        </w:rPr>
        <w:t xml:space="preserve">and </w:t>
      </w:r>
      <w:r w:rsidRPr="007A2F4C">
        <w:rPr>
          <w:rFonts w:eastAsia="MS Mincho"/>
        </w:rPr>
        <w:t>its active metabolite do not inhibit hepatic or renal transport</w:t>
      </w:r>
      <w:r w:rsidRPr="007A2F4C">
        <w:rPr>
          <w:rFonts w:eastAsia="MS Mincho"/>
          <w:lang w:val="en-US"/>
        </w:rPr>
        <w:t xml:space="preserve"> proteins.</w:t>
      </w:r>
    </w:p>
    <w:p w14:paraId="22688446" w14:textId="77777777" w:rsidR="00733AF2" w:rsidRPr="00527F9F" w:rsidRDefault="00733AF2" w:rsidP="00E25094">
      <w:pPr>
        <w:keepNext/>
        <w:rPr>
          <w:rFonts w:ascii="Times New Roman" w:hAnsi="Times New Roman"/>
          <w:b/>
          <w:szCs w:val="24"/>
        </w:rPr>
      </w:pPr>
      <w:r w:rsidRPr="00527F9F">
        <w:rPr>
          <w:rFonts w:ascii="Times New Roman" w:hAnsi="Times New Roman"/>
          <w:b/>
          <w:i/>
          <w:szCs w:val="24"/>
        </w:rPr>
        <w:t>In vivo</w:t>
      </w:r>
      <w:r w:rsidRPr="00527F9F">
        <w:rPr>
          <w:rFonts w:ascii="Times New Roman" w:hAnsi="Times New Roman"/>
          <w:b/>
          <w:szCs w:val="24"/>
        </w:rPr>
        <w:t xml:space="preserve"> studies</w:t>
      </w:r>
    </w:p>
    <w:p w14:paraId="22688447" w14:textId="01F11185" w:rsidR="008B3E31" w:rsidRPr="008B3E31" w:rsidRDefault="008B3E31" w:rsidP="008B3E31">
      <w:pPr>
        <w:spacing w:after="170" w:line="260" w:lineRule="atLeast"/>
        <w:jc w:val="both"/>
        <w:rPr>
          <w:i/>
          <w:szCs w:val="24"/>
          <w:u w:val="single"/>
          <w:lang w:val="en-US"/>
        </w:rPr>
      </w:pPr>
      <w:r w:rsidRPr="008B3E31">
        <w:rPr>
          <w:rFonts w:ascii="Times New Roman" w:hAnsi="Times New Roman"/>
          <w:i/>
          <w:szCs w:val="24"/>
          <w:u w:val="single"/>
          <w:lang w:val="en-US" w:eastAsia="x-none"/>
        </w:rPr>
        <w:t>PAH-specific therapies</w:t>
      </w:r>
      <w:r w:rsidRPr="008B3E31">
        <w:rPr>
          <w:rFonts w:ascii="Times New Roman" w:hAnsi="Times New Roman"/>
          <w:i/>
          <w:szCs w:val="24"/>
          <w:lang w:val="en-US" w:eastAsia="x-none"/>
        </w:rPr>
        <w:t>:</w:t>
      </w:r>
      <w:r w:rsidRPr="008B3E31">
        <w:rPr>
          <w:rFonts w:ascii="Times New Roman" w:hAnsi="Times New Roman"/>
          <w:szCs w:val="24"/>
          <w:lang w:val="en-US" w:eastAsia="x-none"/>
        </w:rPr>
        <w:t xml:space="preserve"> </w:t>
      </w:r>
      <w:r w:rsidRPr="008B3E31">
        <w:rPr>
          <w:rFonts w:ascii="Times New Roman" w:hAnsi="Times New Roman"/>
          <w:noProof/>
          <w:szCs w:val="24"/>
          <w:lang w:val="en-US" w:eastAsia="x-none"/>
        </w:rPr>
        <w:t xml:space="preserve">In the Phase 3 </w:t>
      </w:r>
      <w:r w:rsidRPr="008B3E31">
        <w:rPr>
          <w:rFonts w:ascii="Times New Roman" w:hAnsi="Times New Roman"/>
          <w:szCs w:val="24"/>
          <w:lang w:val="en-US" w:eastAsia="x-none"/>
        </w:rPr>
        <w:t xml:space="preserve">placebo-controlled study in patients with PAH, </w:t>
      </w:r>
      <w:r w:rsidRPr="008B3E31">
        <w:rPr>
          <w:rFonts w:ascii="Times New Roman" w:hAnsi="Times New Roman"/>
          <w:noProof/>
          <w:szCs w:val="24"/>
          <w:lang w:val="en-US" w:eastAsia="x-none"/>
        </w:rPr>
        <w:t>no relevant changes in the exposure (</w:t>
      </w:r>
      <w:r w:rsidRPr="008B3E31">
        <w:rPr>
          <w:rFonts w:ascii="Times New Roman" w:hAnsi="Times New Roman"/>
          <w:lang w:val="en-US" w:eastAsia="x-none"/>
        </w:rPr>
        <w:t>area under the plasma concentration-time curve</w:t>
      </w:r>
      <w:r w:rsidRPr="008B3E31">
        <w:rPr>
          <w:rFonts w:ascii="Times New Roman" w:hAnsi="Times New Roman"/>
          <w:bCs/>
          <w:lang w:val="en-US" w:eastAsia="x-none"/>
        </w:rPr>
        <w:t xml:space="preserve"> during a dose interval</w:t>
      </w:r>
      <w:r w:rsidRPr="008B3E31">
        <w:rPr>
          <w:rFonts w:ascii="Times New Roman" w:hAnsi="Times New Roman"/>
          <w:noProof/>
          <w:szCs w:val="24"/>
          <w:lang w:val="en-US" w:eastAsia="x-none"/>
        </w:rPr>
        <w:t xml:space="preserve">) to selexipag and its active metabolite were observed when administered </w:t>
      </w:r>
      <w:r w:rsidRPr="008B3E31">
        <w:rPr>
          <w:rFonts w:ascii="Times New Roman" w:hAnsi="Times New Roman"/>
          <w:szCs w:val="24"/>
          <w:lang w:val="en-US" w:eastAsia="x-none"/>
        </w:rPr>
        <w:t>in combination</w:t>
      </w:r>
      <w:r w:rsidRPr="008B3E31">
        <w:rPr>
          <w:rFonts w:ascii="Times New Roman" w:hAnsi="Times New Roman"/>
          <w:noProof/>
          <w:szCs w:val="24"/>
          <w:lang w:val="en-US" w:eastAsia="x-none"/>
        </w:rPr>
        <w:t xml:space="preserve"> with an ERA</w:t>
      </w:r>
      <w:r w:rsidRPr="008B3E31">
        <w:rPr>
          <w:rFonts w:ascii="Times New Roman" w:hAnsi="Times New Roman"/>
          <w:szCs w:val="24"/>
          <w:lang w:val="en-US" w:eastAsia="x-none"/>
        </w:rPr>
        <w:t xml:space="preserve"> and/or PDE-5 inhibitor. </w:t>
      </w:r>
      <w:r w:rsidR="00DF06F8" w:rsidRPr="00DF06F8">
        <w:t xml:space="preserve"> </w:t>
      </w:r>
      <w:r w:rsidR="00DF06F8">
        <w:t xml:space="preserve">Patients on </w:t>
      </w:r>
      <w:r w:rsidR="00DF06F8">
        <w:lastRenderedPageBreak/>
        <w:t>combination PAH therapy experienced a greater number of adverse events</w:t>
      </w:r>
      <w:r w:rsidR="00675769">
        <w:t xml:space="preserve"> including anaemia in some patients</w:t>
      </w:r>
      <w:r w:rsidR="00DF06F8">
        <w:t>.</w:t>
      </w:r>
    </w:p>
    <w:p w14:paraId="22688448" w14:textId="77777777" w:rsidR="0018432E" w:rsidRPr="0030274B" w:rsidRDefault="0018432E" w:rsidP="0018432E">
      <w:pPr>
        <w:pStyle w:val="TextTi12"/>
        <w:rPr>
          <w:szCs w:val="24"/>
          <w:lang w:val="en-US"/>
        </w:rPr>
      </w:pPr>
      <w:r w:rsidRPr="009B32E6">
        <w:rPr>
          <w:i/>
          <w:szCs w:val="24"/>
          <w:u w:val="single"/>
        </w:rPr>
        <w:t>Anticoagulants or inhibitors of platelet aggregation</w:t>
      </w:r>
      <w:r w:rsidRPr="0030274B">
        <w:rPr>
          <w:i/>
          <w:szCs w:val="24"/>
        </w:rPr>
        <w:t>:</w:t>
      </w:r>
      <w:r w:rsidRPr="0030274B">
        <w:rPr>
          <w:szCs w:val="24"/>
        </w:rPr>
        <w:t xml:space="preserve"> </w:t>
      </w:r>
      <w:r w:rsidR="008439E8">
        <w:rPr>
          <w:szCs w:val="24"/>
          <w:lang w:val="en-AU"/>
        </w:rPr>
        <w:t>S</w:t>
      </w:r>
      <w:r w:rsidRPr="0030274B">
        <w:rPr>
          <w:szCs w:val="24"/>
        </w:rPr>
        <w:t>elexipag is a</w:t>
      </w:r>
      <w:r w:rsidRPr="0030274B">
        <w:rPr>
          <w:szCs w:val="24"/>
          <w:lang w:val="en-US"/>
        </w:rPr>
        <w:t>n</w:t>
      </w:r>
      <w:r w:rsidRPr="0030274B">
        <w:rPr>
          <w:szCs w:val="24"/>
        </w:rPr>
        <w:t xml:space="preserve"> inhibitor of platelet aggregation </w:t>
      </w:r>
      <w:r w:rsidRPr="0030274B">
        <w:rPr>
          <w:i/>
          <w:szCs w:val="24"/>
        </w:rPr>
        <w:t>in vitro</w:t>
      </w:r>
      <w:r w:rsidRPr="0030274B">
        <w:rPr>
          <w:szCs w:val="24"/>
        </w:rPr>
        <w:t xml:space="preserve">. In the Phase 3 placebo-controlled study in patients with PAH, no increased risk of bleeding </w:t>
      </w:r>
      <w:r w:rsidRPr="0030274B">
        <w:rPr>
          <w:szCs w:val="24"/>
          <w:lang w:val="en-US"/>
        </w:rPr>
        <w:t xml:space="preserve">was detected </w:t>
      </w:r>
      <w:r w:rsidRPr="0030274B">
        <w:rPr>
          <w:szCs w:val="24"/>
        </w:rPr>
        <w:t>with selexipag compared to placebo</w:t>
      </w:r>
      <w:r w:rsidR="00064980">
        <w:rPr>
          <w:szCs w:val="24"/>
          <w:lang w:val="en-AU"/>
        </w:rPr>
        <w:t>, including</w:t>
      </w:r>
      <w:r w:rsidRPr="0030274B">
        <w:rPr>
          <w:szCs w:val="24"/>
        </w:rPr>
        <w:t xml:space="preserve"> when selexipag was administered with anticoagulants (such as heparin, coumarin-type anticoagulants) or inhibitors of platelet aggregation. In a study in healthy </w:t>
      </w:r>
      <w:r w:rsidRPr="0030274B">
        <w:rPr>
          <w:szCs w:val="24"/>
          <w:lang w:val="en-US"/>
        </w:rPr>
        <w:t>subjects</w:t>
      </w:r>
      <w:r w:rsidRPr="0030274B">
        <w:rPr>
          <w:szCs w:val="24"/>
        </w:rPr>
        <w:t>, selexipag</w:t>
      </w:r>
      <w:r w:rsidRPr="0030274B">
        <w:rPr>
          <w:szCs w:val="24"/>
          <w:lang w:val="en-US"/>
        </w:rPr>
        <w:t xml:space="preserve"> (</w:t>
      </w:r>
      <w:r w:rsidRPr="0030274B">
        <w:rPr>
          <w:noProof/>
          <w:szCs w:val="24"/>
        </w:rPr>
        <w:t>400 microgram</w:t>
      </w:r>
      <w:r w:rsidRPr="0030274B">
        <w:rPr>
          <w:noProof/>
          <w:szCs w:val="24"/>
          <w:lang w:val="en-US"/>
        </w:rPr>
        <w:t>s</w:t>
      </w:r>
      <w:r w:rsidRPr="0030274B">
        <w:rPr>
          <w:noProof/>
          <w:szCs w:val="24"/>
        </w:rPr>
        <w:t xml:space="preserve"> </w:t>
      </w:r>
      <w:r w:rsidRPr="0030274B">
        <w:rPr>
          <w:szCs w:val="24"/>
        </w:rPr>
        <w:t>twice a day</w:t>
      </w:r>
      <w:r w:rsidRPr="0030274B">
        <w:rPr>
          <w:noProof/>
          <w:szCs w:val="24"/>
        </w:rPr>
        <w:t xml:space="preserve">) did not alter </w:t>
      </w:r>
      <w:r w:rsidRPr="0030274B">
        <w:rPr>
          <w:noProof/>
          <w:szCs w:val="24"/>
          <w:lang w:val="en-US"/>
        </w:rPr>
        <w:t xml:space="preserve">the </w:t>
      </w:r>
      <w:r w:rsidRPr="0030274B">
        <w:rPr>
          <w:szCs w:val="24"/>
        </w:rPr>
        <w:t>exposure to S-warfarin (CYP2C9 substrate) or R-warfarin (CYP3A4 subst</w:t>
      </w:r>
      <w:r w:rsidR="00456024">
        <w:rPr>
          <w:szCs w:val="24"/>
        </w:rPr>
        <w:t>rate) after a single dose of 20</w:t>
      </w:r>
      <w:r w:rsidR="00456024">
        <w:rPr>
          <w:szCs w:val="24"/>
          <w:lang w:val="en-AU"/>
        </w:rPr>
        <w:t xml:space="preserve"> </w:t>
      </w:r>
      <w:r w:rsidRPr="0030274B">
        <w:rPr>
          <w:szCs w:val="24"/>
        </w:rPr>
        <w:t xml:space="preserve">mg warfarin. </w:t>
      </w:r>
      <w:r w:rsidRPr="0030274B">
        <w:rPr>
          <w:szCs w:val="24"/>
          <w:lang w:val="en-US"/>
        </w:rPr>
        <w:t>Selexipag did not influence t</w:t>
      </w:r>
      <w:r w:rsidRPr="0030274B">
        <w:rPr>
          <w:szCs w:val="24"/>
        </w:rPr>
        <w:t>he pharmacodynamic effect of warfarin on</w:t>
      </w:r>
      <w:r w:rsidR="0004711B">
        <w:rPr>
          <w:szCs w:val="24"/>
          <w:lang w:val="en-AU"/>
        </w:rPr>
        <w:t xml:space="preserve"> the</w:t>
      </w:r>
      <w:r w:rsidRPr="0030274B">
        <w:rPr>
          <w:szCs w:val="24"/>
        </w:rPr>
        <w:t xml:space="preserve"> </w:t>
      </w:r>
      <w:r w:rsidRPr="0030274B">
        <w:rPr>
          <w:szCs w:val="24"/>
          <w:lang w:val="en-US"/>
        </w:rPr>
        <w:t>i</w:t>
      </w:r>
      <w:r w:rsidRPr="0030274B">
        <w:rPr>
          <w:szCs w:val="24"/>
        </w:rPr>
        <w:t xml:space="preserve">nternational </w:t>
      </w:r>
      <w:r w:rsidR="00AB3D7B" w:rsidRPr="0030274B">
        <w:rPr>
          <w:szCs w:val="24"/>
          <w:lang w:val="en-US"/>
        </w:rPr>
        <w:t>n</w:t>
      </w:r>
      <w:r w:rsidR="00AB3D7B" w:rsidRPr="0030274B">
        <w:rPr>
          <w:szCs w:val="24"/>
        </w:rPr>
        <w:t>ormali</w:t>
      </w:r>
      <w:r w:rsidR="00AB3D7B">
        <w:rPr>
          <w:szCs w:val="24"/>
          <w:lang w:val="en-AU"/>
        </w:rPr>
        <w:t>s</w:t>
      </w:r>
      <w:r w:rsidR="00AB3D7B" w:rsidRPr="0030274B">
        <w:rPr>
          <w:szCs w:val="24"/>
        </w:rPr>
        <w:t xml:space="preserve">ed </w:t>
      </w:r>
      <w:r w:rsidRPr="0030274B">
        <w:rPr>
          <w:szCs w:val="24"/>
          <w:lang w:val="en-US"/>
        </w:rPr>
        <w:t>r</w:t>
      </w:r>
      <w:r w:rsidRPr="0030274B">
        <w:rPr>
          <w:szCs w:val="24"/>
        </w:rPr>
        <w:t>atio. The pharmacokinetics of selexipag and its active metabolite were not affected by warfarin</w:t>
      </w:r>
      <w:r w:rsidRPr="0030274B">
        <w:rPr>
          <w:szCs w:val="24"/>
          <w:lang w:val="en-US"/>
        </w:rPr>
        <w:t>.</w:t>
      </w:r>
    </w:p>
    <w:p w14:paraId="22688449" w14:textId="77777777" w:rsidR="0018432E" w:rsidRPr="0030274B" w:rsidRDefault="0018432E" w:rsidP="0018432E">
      <w:pPr>
        <w:pStyle w:val="TextTi12"/>
        <w:rPr>
          <w:i/>
          <w:szCs w:val="24"/>
        </w:rPr>
      </w:pPr>
      <w:r w:rsidRPr="009B32E6">
        <w:rPr>
          <w:i/>
          <w:noProof/>
          <w:szCs w:val="24"/>
          <w:u w:val="single"/>
        </w:rPr>
        <w:t>Lopinavir/ritonavir</w:t>
      </w:r>
      <w:r w:rsidRPr="0030274B">
        <w:rPr>
          <w:i/>
          <w:szCs w:val="24"/>
        </w:rPr>
        <w:t xml:space="preserve">: </w:t>
      </w:r>
      <w:r w:rsidRPr="0030274B">
        <w:rPr>
          <w:noProof/>
          <w:szCs w:val="24"/>
        </w:rPr>
        <w:t>In the presence of 400/100 mg lopinavir/ritonavir, twice a day, a strong CYP3A4</w:t>
      </w:r>
      <w:r w:rsidRPr="0030274B">
        <w:rPr>
          <w:noProof/>
          <w:szCs w:val="24"/>
          <w:lang w:val="en-US"/>
        </w:rPr>
        <w:t>,</w:t>
      </w:r>
      <w:r w:rsidRPr="0030274B">
        <w:rPr>
          <w:noProof/>
          <w:szCs w:val="24"/>
        </w:rPr>
        <w:t xml:space="preserve"> OATP (OATP1B1 and OATP1B3), a</w:t>
      </w:r>
      <w:r w:rsidRPr="0030274B">
        <w:rPr>
          <w:noProof/>
          <w:szCs w:val="24"/>
          <w:lang w:val="en-US"/>
        </w:rPr>
        <w:t>nd</w:t>
      </w:r>
      <w:r w:rsidRPr="0030274B">
        <w:rPr>
          <w:noProof/>
          <w:szCs w:val="24"/>
        </w:rPr>
        <w:t xml:space="preserve"> P-gp inhibitor, exposure to selexipag increased approximately 2-fold, whereas the exposure to the </w:t>
      </w:r>
      <w:r w:rsidRPr="0030274B">
        <w:rPr>
          <w:szCs w:val="24"/>
        </w:rPr>
        <w:t>active metabolite</w:t>
      </w:r>
      <w:r w:rsidRPr="0030274B">
        <w:rPr>
          <w:noProof/>
          <w:szCs w:val="24"/>
        </w:rPr>
        <w:t xml:space="preserve"> of selexipag </w:t>
      </w:r>
      <w:r w:rsidRPr="0030274B">
        <w:rPr>
          <w:noProof/>
          <w:szCs w:val="24"/>
          <w:lang w:val="en-US"/>
        </w:rPr>
        <w:t>did not change</w:t>
      </w:r>
      <w:r w:rsidRPr="0030274B">
        <w:rPr>
          <w:noProof/>
          <w:szCs w:val="24"/>
        </w:rPr>
        <w:t xml:space="preserve">. </w:t>
      </w:r>
    </w:p>
    <w:p w14:paraId="2268844A" w14:textId="385F797B" w:rsidR="0018432E" w:rsidRPr="00E47CFE" w:rsidRDefault="0018432E" w:rsidP="00456024">
      <w:pPr>
        <w:pStyle w:val="TextTi12"/>
      </w:pPr>
      <w:r w:rsidRPr="0000063A">
        <w:rPr>
          <w:i/>
          <w:u w:val="single"/>
        </w:rPr>
        <w:t xml:space="preserve">Inhibitors </w:t>
      </w:r>
      <w:r w:rsidRPr="0000063A">
        <w:rPr>
          <w:i/>
          <w:noProof/>
          <w:szCs w:val="24"/>
          <w:u w:val="single"/>
        </w:rPr>
        <w:t>of UGT1A3, and UGT2B</w:t>
      </w:r>
      <w:r w:rsidRPr="0000063A">
        <w:rPr>
          <w:i/>
          <w:u w:val="single"/>
        </w:rPr>
        <w:t>7</w:t>
      </w:r>
      <w:r w:rsidRPr="009436DF">
        <w:rPr>
          <w:i/>
        </w:rPr>
        <w:t xml:space="preserve">: </w:t>
      </w:r>
      <w:r w:rsidRPr="00E47CFE">
        <w:t xml:space="preserve">The effect of stronginhibitors of UGT1A3 and UGT2B7 (such as valproic acid), on the exposure to selexipag or its active metabolite </w:t>
      </w:r>
      <w:r w:rsidR="00064980" w:rsidRPr="00E47CFE">
        <w:t>has not been studied</w:t>
      </w:r>
      <w:r w:rsidRPr="00E47CFE">
        <w:t>. Caution is recommended when administering these drugs concomitantly with selexipag.</w:t>
      </w:r>
    </w:p>
    <w:p w14:paraId="58BBD08F" w14:textId="136F3BFF" w:rsidR="00DA31FA" w:rsidRPr="00E47CFE" w:rsidRDefault="00DA31FA" w:rsidP="00456024">
      <w:pPr>
        <w:pStyle w:val="TextTi12"/>
        <w:rPr>
          <w:lang w:val="en-US"/>
        </w:rPr>
      </w:pPr>
      <w:r w:rsidRPr="00A408D8">
        <w:rPr>
          <w:i/>
          <w:u w:val="single"/>
        </w:rPr>
        <w:t>Inhibitors of CYP2C8:</w:t>
      </w:r>
      <w:r w:rsidRPr="00D03117">
        <w:t xml:space="preserve"> </w:t>
      </w:r>
      <w:r w:rsidRPr="00E47CFE">
        <w:t>Concomitant administration with strong inhibitors of CYP2C8 may result in a significant increase in exposure to selexipag and its active metabolite. Avoid concomitant administration of UPTRAVI with strong inhibitors of CYP2C8 (e.g., gemfibrozil)</w:t>
      </w:r>
      <w:r w:rsidR="00C21804" w:rsidRPr="00E47CFE">
        <w:rPr>
          <w:szCs w:val="24"/>
          <w:lang w:val="en-US"/>
        </w:rPr>
        <w:t>.</w:t>
      </w:r>
    </w:p>
    <w:p w14:paraId="2268844B" w14:textId="3C27DB99" w:rsidR="00E10EFB" w:rsidRDefault="0018432E" w:rsidP="00456024">
      <w:pPr>
        <w:pStyle w:val="Heading1"/>
        <w:ind w:right="-61"/>
        <w:jc w:val="both"/>
        <w:rPr>
          <w:rFonts w:ascii="Times New Roman" w:hAnsi="Times New Roman" w:cs="Times New Roman"/>
          <w:b w:val="0"/>
          <w:bCs w:val="0"/>
          <w:i/>
          <w:szCs w:val="24"/>
          <w:lang w:val="en-US" w:eastAsia="x-none"/>
        </w:rPr>
      </w:pPr>
      <w:r w:rsidRPr="009B32E6">
        <w:rPr>
          <w:rFonts w:ascii="Times New Roman" w:hAnsi="Times New Roman" w:cs="Times New Roman"/>
          <w:b w:val="0"/>
          <w:bCs w:val="0"/>
          <w:i/>
          <w:szCs w:val="24"/>
          <w:u w:val="single"/>
          <w:lang w:val="en-US" w:eastAsia="x-none"/>
        </w:rPr>
        <w:t>Hormonal contraceptives</w:t>
      </w:r>
      <w:r w:rsidRPr="0018432E">
        <w:rPr>
          <w:rFonts w:ascii="Times New Roman" w:hAnsi="Times New Roman" w:cs="Times New Roman"/>
          <w:b w:val="0"/>
          <w:bCs w:val="0"/>
          <w:i/>
          <w:szCs w:val="24"/>
          <w:lang w:val="en-US" w:eastAsia="x-none"/>
        </w:rPr>
        <w:t xml:space="preserve">: </w:t>
      </w:r>
      <w:r w:rsidR="00064980">
        <w:rPr>
          <w:rFonts w:ascii="Times New Roman" w:hAnsi="Times New Roman" w:cs="Times New Roman"/>
          <w:b w:val="0"/>
          <w:bCs w:val="0"/>
          <w:szCs w:val="24"/>
          <w:lang w:val="en-US" w:eastAsia="x-none"/>
        </w:rPr>
        <w:t>S</w:t>
      </w:r>
      <w:r w:rsidRPr="0018432E">
        <w:rPr>
          <w:rFonts w:ascii="Times New Roman" w:hAnsi="Times New Roman" w:cs="Times New Roman"/>
          <w:b w:val="0"/>
          <w:bCs w:val="0"/>
          <w:szCs w:val="24"/>
          <w:lang w:val="en-US" w:eastAsia="x-none"/>
        </w:rPr>
        <w:t>pecific drug-drug interaction studies with hormonal contraceptives have not been conducted</w:t>
      </w:r>
      <w:r w:rsidR="00064980">
        <w:rPr>
          <w:rFonts w:ascii="Times New Roman" w:hAnsi="Times New Roman" w:cs="Times New Roman"/>
          <w:b w:val="0"/>
          <w:bCs w:val="0"/>
          <w:szCs w:val="24"/>
          <w:lang w:val="en-US" w:eastAsia="x-none"/>
        </w:rPr>
        <w:t>.</w:t>
      </w:r>
      <w:r w:rsidRPr="0018432E">
        <w:rPr>
          <w:rFonts w:ascii="Times New Roman" w:hAnsi="Times New Roman" w:cs="Times New Roman"/>
          <w:b w:val="0"/>
          <w:bCs w:val="0"/>
          <w:szCs w:val="24"/>
          <w:lang w:val="en-US" w:eastAsia="x-none"/>
        </w:rPr>
        <w:t xml:space="preserve"> </w:t>
      </w:r>
      <w:r w:rsidR="00325E69">
        <w:rPr>
          <w:rFonts w:ascii="Times New Roman" w:hAnsi="Times New Roman" w:cs="Times New Roman"/>
          <w:b w:val="0"/>
          <w:bCs w:val="0"/>
          <w:szCs w:val="24"/>
          <w:lang w:val="en-US" w:eastAsia="x-none"/>
        </w:rPr>
        <w:t xml:space="preserve">Although </w:t>
      </w:r>
      <w:r w:rsidR="00107370">
        <w:rPr>
          <w:rFonts w:ascii="Times New Roman" w:hAnsi="Times New Roman" w:cs="Times New Roman"/>
          <w:b w:val="0"/>
          <w:bCs w:val="0"/>
          <w:szCs w:val="24"/>
          <w:lang w:val="en-US" w:eastAsia="x-none"/>
        </w:rPr>
        <w:t xml:space="preserve">multiple-dose </w:t>
      </w:r>
      <w:r w:rsidR="001814C7">
        <w:rPr>
          <w:rFonts w:ascii="Times New Roman" w:hAnsi="Times New Roman" w:cs="Times New Roman"/>
          <w:b w:val="0"/>
          <w:bCs w:val="0"/>
          <w:szCs w:val="24"/>
          <w:lang w:val="en-US" w:eastAsia="x-none"/>
        </w:rPr>
        <w:t xml:space="preserve">treatment </w:t>
      </w:r>
      <w:r w:rsidR="00FD4F56">
        <w:rPr>
          <w:rFonts w:ascii="Times New Roman" w:hAnsi="Times New Roman" w:cs="Times New Roman"/>
          <w:b w:val="0"/>
          <w:bCs w:val="0"/>
          <w:szCs w:val="24"/>
          <w:lang w:val="en-US" w:eastAsia="x-none"/>
        </w:rPr>
        <w:t xml:space="preserve"> with</w:t>
      </w:r>
      <w:r w:rsidR="00107370">
        <w:rPr>
          <w:rFonts w:ascii="Times New Roman" w:hAnsi="Times New Roman" w:cs="Times New Roman"/>
          <w:b w:val="0"/>
          <w:bCs w:val="0"/>
          <w:szCs w:val="24"/>
          <w:lang w:val="en-US" w:eastAsia="x-none"/>
        </w:rPr>
        <w:t xml:space="preserve"> </w:t>
      </w:r>
      <w:r w:rsidRPr="0018432E">
        <w:rPr>
          <w:rFonts w:ascii="Times New Roman" w:hAnsi="Times New Roman" w:cs="Times New Roman"/>
          <w:b w:val="0"/>
          <w:bCs w:val="0"/>
          <w:szCs w:val="24"/>
          <w:lang w:val="en-US" w:eastAsia="x-none"/>
        </w:rPr>
        <w:t>selexipag did not affect the exposure to the CYP3A4 substrate R-warfarin</w:t>
      </w:r>
      <w:r w:rsidR="00325E69">
        <w:rPr>
          <w:rFonts w:ascii="Times New Roman" w:hAnsi="Times New Roman" w:cs="Times New Roman"/>
          <w:b w:val="0"/>
          <w:bCs w:val="0"/>
          <w:szCs w:val="24"/>
          <w:lang w:val="en-US" w:eastAsia="x-none"/>
        </w:rPr>
        <w:t xml:space="preserve"> </w:t>
      </w:r>
      <w:r w:rsidR="00107370">
        <w:rPr>
          <w:rFonts w:ascii="Times New Roman" w:hAnsi="Times New Roman" w:cs="Times New Roman"/>
          <w:b w:val="0"/>
          <w:bCs w:val="0"/>
          <w:szCs w:val="24"/>
          <w:lang w:val="en-US" w:eastAsia="x-none"/>
        </w:rPr>
        <w:t>and CYP2C9 substrate S</w:t>
      </w:r>
      <w:r w:rsidR="00107370" w:rsidRPr="0018432E">
        <w:rPr>
          <w:rFonts w:ascii="Times New Roman" w:hAnsi="Times New Roman" w:cs="Times New Roman"/>
          <w:b w:val="0"/>
          <w:bCs w:val="0"/>
          <w:szCs w:val="24"/>
          <w:lang w:val="en-US" w:eastAsia="x-none"/>
        </w:rPr>
        <w:t>-warfarin</w:t>
      </w:r>
      <w:r w:rsidR="00107370">
        <w:rPr>
          <w:rFonts w:ascii="Times New Roman" w:hAnsi="Times New Roman" w:cs="Times New Roman"/>
          <w:b w:val="0"/>
          <w:bCs w:val="0"/>
          <w:szCs w:val="24"/>
          <w:lang w:val="en-US" w:eastAsia="x-none"/>
        </w:rPr>
        <w:t xml:space="preserve"> </w:t>
      </w:r>
      <w:r w:rsidR="00325E69">
        <w:rPr>
          <w:rFonts w:ascii="Times New Roman" w:hAnsi="Times New Roman" w:cs="Times New Roman"/>
          <w:b w:val="0"/>
          <w:bCs w:val="0"/>
          <w:szCs w:val="24"/>
          <w:lang w:val="en-US" w:eastAsia="x-none"/>
        </w:rPr>
        <w:t>and</w:t>
      </w:r>
      <w:r w:rsidRPr="0018432E">
        <w:rPr>
          <w:rFonts w:ascii="Times New Roman" w:hAnsi="Times New Roman" w:cs="Times New Roman"/>
          <w:b w:val="0"/>
          <w:bCs w:val="0"/>
          <w:szCs w:val="24"/>
          <w:lang w:val="en-US" w:eastAsia="x-none"/>
        </w:rPr>
        <w:t xml:space="preserve"> no reduced efficacy of hormonal contraceptives is expected</w:t>
      </w:r>
      <w:r w:rsidR="00325E69">
        <w:rPr>
          <w:rFonts w:ascii="Times New Roman" w:hAnsi="Times New Roman" w:cs="Times New Roman"/>
          <w:b w:val="0"/>
          <w:bCs w:val="0"/>
          <w:szCs w:val="24"/>
          <w:lang w:val="en-US" w:eastAsia="x-none"/>
        </w:rPr>
        <w:t>,</w:t>
      </w:r>
      <w:r w:rsidR="00DF06F8">
        <w:rPr>
          <w:rFonts w:ascii="Times New Roman" w:hAnsi="Times New Roman" w:cs="Times New Roman"/>
          <w:b w:val="0"/>
          <w:bCs w:val="0"/>
          <w:szCs w:val="24"/>
          <w:lang w:val="en-US" w:eastAsia="x-none"/>
        </w:rPr>
        <w:t xml:space="preserve"> caution should be exercised </w:t>
      </w:r>
      <w:r w:rsidR="00325E69">
        <w:rPr>
          <w:rFonts w:ascii="Times New Roman" w:hAnsi="Times New Roman" w:cs="Times New Roman"/>
          <w:b w:val="0"/>
          <w:bCs w:val="0"/>
          <w:szCs w:val="24"/>
          <w:lang w:val="en-US" w:eastAsia="x-none"/>
        </w:rPr>
        <w:t>(See P</w:t>
      </w:r>
      <w:r w:rsidR="002E49C4">
        <w:rPr>
          <w:rFonts w:ascii="Times New Roman" w:hAnsi="Times New Roman" w:cs="Times New Roman"/>
          <w:b w:val="0"/>
          <w:bCs w:val="0"/>
          <w:szCs w:val="24"/>
          <w:lang w:val="en-US" w:eastAsia="x-none"/>
        </w:rPr>
        <w:t>RECAUTIONS</w:t>
      </w:r>
      <w:r w:rsidR="009436DF">
        <w:rPr>
          <w:rFonts w:ascii="Times New Roman" w:hAnsi="Times New Roman" w:cs="Times New Roman"/>
          <w:b w:val="0"/>
          <w:bCs w:val="0"/>
          <w:szCs w:val="24"/>
          <w:lang w:val="en-US" w:eastAsia="x-none"/>
        </w:rPr>
        <w:t>- Use in Pregnancy</w:t>
      </w:r>
      <w:r w:rsidR="00325E69">
        <w:rPr>
          <w:rFonts w:ascii="Times New Roman" w:hAnsi="Times New Roman" w:cs="Times New Roman"/>
          <w:b w:val="0"/>
          <w:bCs w:val="0"/>
          <w:szCs w:val="24"/>
          <w:lang w:val="en-US" w:eastAsia="x-none"/>
        </w:rPr>
        <w:t>)</w:t>
      </w:r>
      <w:r w:rsidRPr="0018432E">
        <w:rPr>
          <w:rFonts w:ascii="Times New Roman" w:hAnsi="Times New Roman" w:cs="Times New Roman"/>
          <w:b w:val="0"/>
          <w:bCs w:val="0"/>
          <w:i/>
          <w:szCs w:val="24"/>
          <w:lang w:val="en-US" w:eastAsia="x-none"/>
        </w:rPr>
        <w:t>.</w:t>
      </w:r>
    </w:p>
    <w:p w14:paraId="2268844C" w14:textId="77777777" w:rsidR="0004711B" w:rsidRDefault="0004711B" w:rsidP="0004711B">
      <w:pPr>
        <w:rPr>
          <w:lang w:val="en-US" w:eastAsia="x-none"/>
        </w:rPr>
      </w:pPr>
    </w:p>
    <w:p w14:paraId="2268844E" w14:textId="53ABBE63" w:rsidR="0018432E" w:rsidRDefault="0004711B" w:rsidP="00E47CFE">
      <w:r w:rsidRPr="0004711B">
        <w:rPr>
          <w:i/>
          <w:u w:val="single"/>
          <w:lang w:val="en-US" w:eastAsia="x-none"/>
        </w:rPr>
        <w:t>Pharmacodynamic interactions</w:t>
      </w:r>
      <w:r w:rsidR="00E47CFE">
        <w:rPr>
          <w:i/>
          <w:u w:val="single"/>
          <w:lang w:val="en-US" w:eastAsia="x-none"/>
        </w:rPr>
        <w:t xml:space="preserve">: </w:t>
      </w:r>
      <w:r w:rsidRPr="00CF5EBD">
        <w:rPr>
          <w:sz w:val="23"/>
          <w:szCs w:val="23"/>
          <w:lang w:val="en-US"/>
        </w:rPr>
        <w:t>R</w:t>
      </w:r>
      <w:r w:rsidRPr="00CF5EBD">
        <w:rPr>
          <w:sz w:val="23"/>
          <w:szCs w:val="23"/>
        </w:rPr>
        <w:t>eductions in blood pressure may occur when UPTRAVI is administered with diuretics, antihypertensive agents, or other vasodilators.</w:t>
      </w:r>
    </w:p>
    <w:p w14:paraId="2268844F" w14:textId="77777777" w:rsidR="00935294" w:rsidRPr="0018432E" w:rsidRDefault="00935294" w:rsidP="00456024">
      <w:pPr>
        <w:jc w:val="both"/>
      </w:pPr>
    </w:p>
    <w:p w14:paraId="22688450" w14:textId="77777777" w:rsidR="001C35B2" w:rsidRPr="004E01DD" w:rsidRDefault="001C35B2" w:rsidP="00456024">
      <w:pPr>
        <w:pStyle w:val="Heading1"/>
        <w:ind w:right="-61"/>
        <w:jc w:val="both"/>
      </w:pPr>
      <w:r>
        <w:t xml:space="preserve">ADVERSE </w:t>
      </w:r>
      <w:r w:rsidR="00FB6DFD" w:rsidRPr="004E01DD">
        <w:rPr>
          <w:szCs w:val="24"/>
        </w:rPr>
        <w:t>EFFECTS</w:t>
      </w:r>
    </w:p>
    <w:p w14:paraId="22688451" w14:textId="77777777" w:rsidR="00733AF2" w:rsidRDefault="00733AF2" w:rsidP="00456024">
      <w:pPr>
        <w:pStyle w:val="PlainText"/>
        <w:keepNext/>
        <w:jc w:val="both"/>
        <w:rPr>
          <w:rFonts w:ascii="Times New Roman" w:hAnsi="Times New Roman"/>
          <w:sz w:val="22"/>
          <w:u w:val="single"/>
          <w:lang w:val="en-GB"/>
        </w:rPr>
      </w:pPr>
    </w:p>
    <w:p w14:paraId="22688452" w14:textId="7EB3CB3B" w:rsidR="00121F89" w:rsidRPr="00D461C1" w:rsidRDefault="00121F89" w:rsidP="00456024">
      <w:pPr>
        <w:jc w:val="both"/>
        <w:rPr>
          <w:noProof/>
          <w:szCs w:val="22"/>
          <w:lang w:val="en-US"/>
        </w:rPr>
      </w:pPr>
      <w:r w:rsidRPr="00EE4587">
        <w:t xml:space="preserve">The most commonly reported adverse drug reactions related to the pharmacological effects of </w:t>
      </w:r>
      <w:r>
        <w:t>UPTRAVI</w:t>
      </w:r>
      <w:r w:rsidRPr="00EE4587">
        <w:t xml:space="preserve"> are headache, diarrhoea, nausea and vomiting, jaw pain, myalgia, pain in extremity, flushing, and arthralgia</w:t>
      </w:r>
      <w:r>
        <w:t xml:space="preserve">.  </w:t>
      </w:r>
      <w:r w:rsidRPr="00EE4587">
        <w:t xml:space="preserve">These reactions are more frequent during the dose titration phase. </w:t>
      </w:r>
      <w:r>
        <w:t xml:space="preserve"> </w:t>
      </w:r>
      <w:r w:rsidRPr="00EE4587">
        <w:t>The majority of these reactions are of mild to moderate intensity.</w:t>
      </w:r>
    </w:p>
    <w:p w14:paraId="22688453" w14:textId="77777777" w:rsidR="00121F89" w:rsidRPr="00D461C1" w:rsidRDefault="00121F89" w:rsidP="00456024">
      <w:pPr>
        <w:jc w:val="both"/>
        <w:rPr>
          <w:noProof/>
          <w:szCs w:val="22"/>
          <w:lang w:val="en-US"/>
        </w:rPr>
      </w:pPr>
    </w:p>
    <w:p w14:paraId="22688454" w14:textId="77777777" w:rsidR="00121F89" w:rsidRDefault="00121F89" w:rsidP="00456024">
      <w:pPr>
        <w:jc w:val="both"/>
        <w:rPr>
          <w:noProof/>
          <w:szCs w:val="22"/>
          <w:lang w:val="en-US"/>
        </w:rPr>
      </w:pPr>
      <w:r w:rsidRPr="00EE4587">
        <w:rPr>
          <w:noProof/>
          <w:szCs w:val="22"/>
          <w:lang w:val="en-US"/>
        </w:rPr>
        <w:t>The safety of selexipag has been evaluated in a long-term, Phase 3 placebo-controlled study enrolling 1156 patients with symptomatic PAH. The mean treatment duration was 76.4 weeks (median 70.7</w:t>
      </w:r>
      <w:r w:rsidR="008B3E31">
        <w:rPr>
          <w:noProof/>
          <w:szCs w:val="22"/>
          <w:lang w:val="en-US"/>
        </w:rPr>
        <w:t xml:space="preserve"> weeks</w:t>
      </w:r>
      <w:r w:rsidRPr="00EE4587">
        <w:rPr>
          <w:noProof/>
          <w:szCs w:val="22"/>
          <w:lang w:val="en-US"/>
        </w:rPr>
        <w:t>) for patients receiving selexipag versus 71.2 weeks (median 63.7</w:t>
      </w:r>
      <w:r w:rsidR="008B3E31">
        <w:rPr>
          <w:noProof/>
          <w:szCs w:val="22"/>
          <w:lang w:val="en-US"/>
        </w:rPr>
        <w:t xml:space="preserve"> weeks</w:t>
      </w:r>
      <w:r w:rsidRPr="00EE4587">
        <w:rPr>
          <w:noProof/>
          <w:szCs w:val="22"/>
          <w:lang w:val="en-US"/>
        </w:rPr>
        <w:t xml:space="preserve">) for patients on placebo. The exposure to selexipag was up to 4.2 years. </w:t>
      </w:r>
    </w:p>
    <w:p w14:paraId="22688455" w14:textId="77777777" w:rsidR="00F82A4A" w:rsidRDefault="00F82A4A" w:rsidP="00121F89">
      <w:pPr>
        <w:autoSpaceDE w:val="0"/>
        <w:autoSpaceDN w:val="0"/>
        <w:adjustRightInd w:val="0"/>
        <w:rPr>
          <w:noProof/>
          <w:szCs w:val="22"/>
          <w:lang w:val="en-US"/>
        </w:rPr>
      </w:pPr>
    </w:p>
    <w:p w14:paraId="64B866A1" w14:textId="77777777" w:rsidR="007F7719" w:rsidRDefault="007F7719" w:rsidP="007F7719">
      <w:pPr>
        <w:spacing w:after="170" w:line="260" w:lineRule="atLeast"/>
        <w:jc w:val="both"/>
        <w:rPr>
          <w:rFonts w:ascii="Times New Roman" w:hAnsi="Times New Roman"/>
          <w:lang w:eastAsia="x-none"/>
        </w:rPr>
      </w:pPr>
      <w:bookmarkStart w:id="9" w:name="_Toc401668134"/>
      <w:r w:rsidRPr="008C367E">
        <w:rPr>
          <w:rFonts w:ascii="Times New Roman" w:hAnsi="Times New Roman"/>
          <w:lang w:val="en-US" w:eastAsia="x-none"/>
        </w:rPr>
        <w:lastRenderedPageBreak/>
        <w:t>Table 2 presents a</w:t>
      </w:r>
      <w:r w:rsidRPr="000B45CF">
        <w:rPr>
          <w:rFonts w:ascii="Times New Roman" w:hAnsi="Times New Roman"/>
          <w:lang w:val="x-none" w:eastAsia="x-none"/>
        </w:rPr>
        <w:t xml:space="preserve">dverse </w:t>
      </w:r>
      <w:r w:rsidRPr="008C367E">
        <w:rPr>
          <w:rFonts w:ascii="Times New Roman" w:hAnsi="Times New Roman"/>
          <w:lang w:val="en-US" w:eastAsia="x-none"/>
        </w:rPr>
        <w:t>events</w:t>
      </w:r>
      <w:r w:rsidRPr="000B45CF">
        <w:rPr>
          <w:rFonts w:ascii="Times New Roman" w:hAnsi="Times New Roman"/>
          <w:bCs/>
          <w:lang w:val="x-none" w:eastAsia="x-none"/>
        </w:rPr>
        <w:t xml:space="preserve"> over the entire treatment period in th</w:t>
      </w:r>
      <w:r w:rsidRPr="008C367E">
        <w:rPr>
          <w:rFonts w:ascii="Times New Roman" w:hAnsi="Times New Roman"/>
          <w:bCs/>
          <w:lang w:val="en-US" w:eastAsia="x-none"/>
        </w:rPr>
        <w:t>e Phase 3</w:t>
      </w:r>
      <w:r w:rsidRPr="000B45CF">
        <w:rPr>
          <w:rFonts w:ascii="Times New Roman" w:hAnsi="Times New Roman"/>
          <w:bCs/>
          <w:lang w:val="x-none" w:eastAsia="x-none"/>
        </w:rPr>
        <w:t xml:space="preserve"> study</w:t>
      </w:r>
      <w:r w:rsidRPr="001A030B">
        <w:rPr>
          <w:rFonts w:ascii="Times New Roman" w:hAnsi="Times New Roman"/>
          <w:lang w:val="x-none" w:eastAsia="x-none"/>
        </w:rPr>
        <w:t xml:space="preserve">. </w:t>
      </w:r>
    </w:p>
    <w:p w14:paraId="11462507" w14:textId="05318948" w:rsidR="007F7719" w:rsidRDefault="007F7719" w:rsidP="00E47CFE">
      <w:pPr>
        <w:spacing w:before="120" w:after="120" w:line="260" w:lineRule="atLeast"/>
        <w:ind w:left="993" w:hanging="993"/>
        <w:jc w:val="both"/>
        <w:rPr>
          <w:rFonts w:ascii="Times New Roman" w:hAnsi="Times New Roman"/>
          <w:b/>
          <w:u w:val="single"/>
          <w:lang w:eastAsia="x-none"/>
        </w:rPr>
      </w:pPr>
      <w:r w:rsidRPr="00E47CFE">
        <w:rPr>
          <w:rFonts w:ascii="Times New Roman" w:eastAsia="Calibri" w:hAnsi="Times New Roman"/>
          <w:b/>
          <w:szCs w:val="24"/>
          <w:u w:val="single"/>
          <w:lang w:val="en-GB"/>
        </w:rPr>
        <w:t>Table 2</w:t>
      </w:r>
      <w:r w:rsidR="00E47CFE" w:rsidRPr="00E47CFE">
        <w:rPr>
          <w:rFonts w:ascii="Times New Roman" w:eastAsia="Calibri" w:hAnsi="Times New Roman"/>
          <w:b/>
          <w:szCs w:val="24"/>
          <w:u w:val="single"/>
          <w:lang w:val="en-GB"/>
        </w:rPr>
        <w:t xml:space="preserve">: </w:t>
      </w:r>
      <w:r w:rsidRPr="00E47CFE">
        <w:rPr>
          <w:rFonts w:ascii="Times New Roman" w:hAnsi="Times New Roman"/>
          <w:b/>
          <w:u w:val="single"/>
          <w:lang w:val="x-none" w:eastAsia="x-none"/>
        </w:rPr>
        <w:t>A</w:t>
      </w:r>
      <w:r w:rsidRPr="00EA070F">
        <w:rPr>
          <w:rFonts w:ascii="Times New Roman" w:hAnsi="Times New Roman"/>
          <w:b/>
          <w:u w:val="single"/>
          <w:lang w:val="x-none" w:eastAsia="x-none"/>
        </w:rPr>
        <w:t>dverse events occurring in ≥ 3% of selexipag treated subjects and with a placebo-corrected difference ≥ 1 % (during treatment and up 7 days after treatment discontinuation)</w:t>
      </w:r>
    </w:p>
    <w:p w14:paraId="16A458FF" w14:textId="77777777" w:rsidR="009E1639" w:rsidRPr="009E1639" w:rsidRDefault="009E1639" w:rsidP="00E47CFE">
      <w:pPr>
        <w:spacing w:before="120" w:after="120" w:line="260" w:lineRule="atLeast"/>
        <w:ind w:left="993" w:hanging="993"/>
        <w:jc w:val="both"/>
        <w:rPr>
          <w:rFonts w:ascii="Times New Roman" w:hAnsi="Times New Roman"/>
          <w:b/>
        </w:rPr>
      </w:pPr>
    </w:p>
    <w:tbl>
      <w:tblPr>
        <w:tblpPr w:leftFromText="180" w:rightFromText="180" w:vertAnchor="text" w:tblpY="1"/>
        <w:tblOverlap w:val="never"/>
        <w:tblW w:w="4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2014"/>
        <w:gridCol w:w="2129"/>
      </w:tblGrid>
      <w:tr w:rsidR="007F7719" w:rsidRPr="00B148C1" w14:paraId="66FD1DAD" w14:textId="77777777" w:rsidTr="007F7719">
        <w:trPr>
          <w:cantSplit/>
          <w:tblHeader/>
        </w:trPr>
        <w:tc>
          <w:tcPr>
            <w:tcW w:w="2190" w:type="pct"/>
          </w:tcPr>
          <w:p w14:paraId="4B073EA8" w14:textId="77777777" w:rsidR="007F7719" w:rsidRPr="001A030B" w:rsidRDefault="007F7719" w:rsidP="007F7719">
            <w:pPr>
              <w:keepNext/>
              <w:jc w:val="both"/>
              <w:rPr>
                <w:b/>
                <w:sz w:val="20"/>
                <w:lang w:val="en-GB"/>
              </w:rPr>
            </w:pPr>
          </w:p>
        </w:tc>
        <w:tc>
          <w:tcPr>
            <w:tcW w:w="2810" w:type="pct"/>
            <w:gridSpan w:val="2"/>
            <w:vAlign w:val="center"/>
          </w:tcPr>
          <w:p w14:paraId="1F7502E7" w14:textId="12E68C2A" w:rsidR="007F7719" w:rsidRPr="00B148C1" w:rsidRDefault="007F7719" w:rsidP="00044A7B">
            <w:pPr>
              <w:keepNext/>
              <w:spacing w:line="260" w:lineRule="atLeast"/>
              <w:jc w:val="both"/>
              <w:rPr>
                <w:b/>
                <w:sz w:val="20"/>
                <w:lang w:val="en-US"/>
              </w:rPr>
            </w:pPr>
            <w:r w:rsidRPr="00B148C1">
              <w:rPr>
                <w:b/>
                <w:sz w:val="20"/>
                <w:lang w:val="en-US"/>
              </w:rPr>
              <w:t>Double blind PAH</w:t>
            </w:r>
            <w:r w:rsidR="00044A7B">
              <w:rPr>
                <w:b/>
                <w:sz w:val="20"/>
                <w:lang w:val="en-US"/>
              </w:rPr>
              <w:t xml:space="preserve"> </w:t>
            </w:r>
            <w:r w:rsidRPr="00B148C1">
              <w:rPr>
                <w:b/>
                <w:sz w:val="20"/>
                <w:lang w:val="en-US"/>
              </w:rPr>
              <w:t>GRIPHON</w:t>
            </w:r>
          </w:p>
        </w:tc>
      </w:tr>
      <w:tr w:rsidR="007F7719" w:rsidRPr="00B148C1" w14:paraId="0B0B5ACD" w14:textId="77777777" w:rsidTr="007F7719">
        <w:trPr>
          <w:cantSplit/>
          <w:tblHeader/>
        </w:trPr>
        <w:tc>
          <w:tcPr>
            <w:tcW w:w="2190" w:type="pct"/>
          </w:tcPr>
          <w:p w14:paraId="176853CF" w14:textId="77777777" w:rsidR="007F7719" w:rsidRPr="00B148C1" w:rsidRDefault="007F7719" w:rsidP="007F7719">
            <w:pPr>
              <w:keepNext/>
              <w:jc w:val="both"/>
              <w:rPr>
                <w:b/>
                <w:sz w:val="20"/>
                <w:lang w:val="en-US"/>
              </w:rPr>
            </w:pPr>
            <w:r w:rsidRPr="00B148C1">
              <w:rPr>
                <w:b/>
                <w:sz w:val="20"/>
                <w:lang w:val="en-GB"/>
              </w:rPr>
              <w:t>System organ class</w:t>
            </w:r>
          </w:p>
        </w:tc>
        <w:tc>
          <w:tcPr>
            <w:tcW w:w="1366" w:type="pct"/>
          </w:tcPr>
          <w:p w14:paraId="1863FD80" w14:textId="77777777" w:rsidR="007F7719" w:rsidRPr="00B148C1" w:rsidRDefault="007F7719" w:rsidP="007F7719">
            <w:pPr>
              <w:keepNext/>
              <w:spacing w:line="260" w:lineRule="atLeast"/>
              <w:jc w:val="both"/>
              <w:rPr>
                <w:b/>
                <w:sz w:val="20"/>
                <w:lang w:val="en-US"/>
              </w:rPr>
            </w:pPr>
            <w:r w:rsidRPr="00B148C1">
              <w:rPr>
                <w:b/>
                <w:sz w:val="20"/>
                <w:lang w:val="en-US"/>
              </w:rPr>
              <w:t>Selexipag</w:t>
            </w:r>
          </w:p>
          <w:p w14:paraId="4F00CE0C" w14:textId="77777777" w:rsidR="007F7719" w:rsidRPr="00B148C1" w:rsidRDefault="007F7719" w:rsidP="007F7719">
            <w:pPr>
              <w:keepNext/>
              <w:spacing w:line="260" w:lineRule="atLeast"/>
              <w:jc w:val="both"/>
              <w:rPr>
                <w:b/>
                <w:sz w:val="20"/>
                <w:lang w:val="en-US"/>
              </w:rPr>
            </w:pPr>
            <w:r w:rsidRPr="00B148C1">
              <w:rPr>
                <w:b/>
                <w:sz w:val="20"/>
                <w:lang w:val="en-US"/>
              </w:rPr>
              <w:t>N = 575</w:t>
            </w:r>
          </w:p>
        </w:tc>
        <w:tc>
          <w:tcPr>
            <w:tcW w:w="1444" w:type="pct"/>
          </w:tcPr>
          <w:p w14:paraId="6CED8530" w14:textId="77777777" w:rsidR="007F7719" w:rsidRPr="00B148C1" w:rsidRDefault="007F7719" w:rsidP="007F7719">
            <w:pPr>
              <w:keepNext/>
              <w:spacing w:line="260" w:lineRule="atLeast"/>
              <w:contextualSpacing/>
              <w:jc w:val="both"/>
              <w:rPr>
                <w:b/>
                <w:sz w:val="20"/>
                <w:lang w:val="en-US"/>
              </w:rPr>
            </w:pPr>
            <w:r w:rsidRPr="00B148C1">
              <w:rPr>
                <w:b/>
                <w:sz w:val="20"/>
                <w:lang w:val="en-US"/>
              </w:rPr>
              <w:t>Placebo</w:t>
            </w:r>
          </w:p>
          <w:p w14:paraId="6F1B72AD" w14:textId="77777777" w:rsidR="007F7719" w:rsidRPr="00B148C1" w:rsidRDefault="007F7719" w:rsidP="007F7719">
            <w:pPr>
              <w:keepNext/>
              <w:spacing w:line="260" w:lineRule="atLeast"/>
              <w:contextualSpacing/>
              <w:jc w:val="both"/>
              <w:rPr>
                <w:b/>
                <w:sz w:val="20"/>
                <w:lang w:val="en-US"/>
              </w:rPr>
            </w:pPr>
            <w:r w:rsidRPr="00B148C1">
              <w:rPr>
                <w:b/>
                <w:sz w:val="20"/>
                <w:lang w:val="en-US"/>
              </w:rPr>
              <w:t>N = 577</w:t>
            </w:r>
          </w:p>
        </w:tc>
      </w:tr>
      <w:tr w:rsidR="007F7719" w:rsidRPr="00B148C1" w14:paraId="2372FBF7" w14:textId="77777777" w:rsidTr="007F7719">
        <w:trPr>
          <w:cantSplit/>
        </w:trPr>
        <w:tc>
          <w:tcPr>
            <w:tcW w:w="2190" w:type="pct"/>
          </w:tcPr>
          <w:p w14:paraId="4DA71901" w14:textId="77777777" w:rsidR="007F7719" w:rsidRPr="00B148C1" w:rsidRDefault="007F7719" w:rsidP="00044A7B">
            <w:pPr>
              <w:keepNext/>
              <w:spacing w:line="260" w:lineRule="atLeast"/>
              <w:rPr>
                <w:b/>
                <w:sz w:val="20"/>
                <w:lang w:val="en-US"/>
              </w:rPr>
            </w:pPr>
            <w:r w:rsidRPr="00B148C1">
              <w:rPr>
                <w:b/>
                <w:sz w:val="20"/>
                <w:lang w:val="en-GB"/>
              </w:rPr>
              <w:t>Blood and lymphatic system disorders</w:t>
            </w:r>
          </w:p>
        </w:tc>
        <w:tc>
          <w:tcPr>
            <w:tcW w:w="1366" w:type="pct"/>
          </w:tcPr>
          <w:p w14:paraId="1E770D7D" w14:textId="77777777" w:rsidR="007F7719" w:rsidRPr="00B148C1" w:rsidDel="007913BA" w:rsidRDefault="007F7719" w:rsidP="007F7719">
            <w:pPr>
              <w:keepNext/>
              <w:spacing w:line="260" w:lineRule="atLeast"/>
              <w:jc w:val="both"/>
              <w:rPr>
                <w:sz w:val="20"/>
                <w:lang w:val="en-GB"/>
              </w:rPr>
            </w:pPr>
          </w:p>
        </w:tc>
        <w:tc>
          <w:tcPr>
            <w:tcW w:w="1444" w:type="pct"/>
          </w:tcPr>
          <w:p w14:paraId="584D2AE2" w14:textId="77777777" w:rsidR="007F7719" w:rsidRPr="00B148C1" w:rsidDel="007913BA" w:rsidRDefault="007F7719" w:rsidP="007F7719">
            <w:pPr>
              <w:keepNext/>
              <w:spacing w:line="260" w:lineRule="atLeast"/>
              <w:jc w:val="both"/>
              <w:rPr>
                <w:sz w:val="20"/>
                <w:lang w:val="en-GB"/>
              </w:rPr>
            </w:pPr>
          </w:p>
        </w:tc>
      </w:tr>
      <w:tr w:rsidR="007F7719" w:rsidRPr="00B148C1" w14:paraId="55590A6A" w14:textId="77777777" w:rsidTr="007F7719">
        <w:trPr>
          <w:cantSplit/>
        </w:trPr>
        <w:tc>
          <w:tcPr>
            <w:tcW w:w="2190" w:type="pct"/>
          </w:tcPr>
          <w:p w14:paraId="0D3900BC" w14:textId="77777777" w:rsidR="007F7719" w:rsidRPr="00B148C1" w:rsidRDefault="007F7719" w:rsidP="00044A7B">
            <w:pPr>
              <w:spacing w:line="260" w:lineRule="atLeast"/>
              <w:rPr>
                <w:sz w:val="20"/>
                <w:lang w:val="en-GB"/>
              </w:rPr>
            </w:pPr>
            <w:r w:rsidRPr="00B148C1">
              <w:rPr>
                <w:sz w:val="20"/>
                <w:lang w:val="en-GB"/>
              </w:rPr>
              <w:t>Anaemia</w:t>
            </w:r>
          </w:p>
        </w:tc>
        <w:tc>
          <w:tcPr>
            <w:tcW w:w="1366" w:type="pct"/>
          </w:tcPr>
          <w:p w14:paraId="5EDDE325" w14:textId="77777777" w:rsidR="007F7719" w:rsidRPr="00B148C1" w:rsidRDefault="007F7719" w:rsidP="007F7719">
            <w:pPr>
              <w:spacing w:line="260" w:lineRule="atLeast"/>
              <w:jc w:val="both"/>
              <w:rPr>
                <w:sz w:val="20"/>
                <w:lang w:val="en-GB"/>
              </w:rPr>
            </w:pPr>
            <w:r w:rsidRPr="00B148C1">
              <w:rPr>
                <w:sz w:val="20"/>
                <w:lang w:val="en-GB"/>
              </w:rPr>
              <w:t>8% (48)</w:t>
            </w:r>
          </w:p>
        </w:tc>
        <w:tc>
          <w:tcPr>
            <w:tcW w:w="1444" w:type="pct"/>
          </w:tcPr>
          <w:p w14:paraId="015FDAC9" w14:textId="77777777" w:rsidR="007F7719" w:rsidRPr="00B148C1" w:rsidRDefault="007F7719" w:rsidP="007F7719">
            <w:pPr>
              <w:spacing w:line="260" w:lineRule="atLeast"/>
              <w:jc w:val="both"/>
              <w:rPr>
                <w:sz w:val="20"/>
                <w:lang w:val="en-GB"/>
              </w:rPr>
            </w:pPr>
            <w:r w:rsidRPr="00B148C1">
              <w:rPr>
                <w:sz w:val="20"/>
                <w:lang w:val="en-GB"/>
              </w:rPr>
              <w:t>5% (31)</w:t>
            </w:r>
          </w:p>
        </w:tc>
      </w:tr>
      <w:tr w:rsidR="007F7719" w:rsidRPr="00B148C1" w14:paraId="49E7D2CE" w14:textId="77777777" w:rsidTr="007F7719">
        <w:trPr>
          <w:cantSplit/>
        </w:trPr>
        <w:tc>
          <w:tcPr>
            <w:tcW w:w="2190" w:type="pct"/>
          </w:tcPr>
          <w:p w14:paraId="53F16398" w14:textId="77777777" w:rsidR="007F7719" w:rsidRPr="00B148C1" w:rsidRDefault="007F7719" w:rsidP="00044A7B">
            <w:pPr>
              <w:keepNext/>
              <w:spacing w:line="260" w:lineRule="atLeast"/>
              <w:rPr>
                <w:b/>
                <w:sz w:val="20"/>
                <w:lang w:val="en-GB"/>
              </w:rPr>
            </w:pPr>
          </w:p>
        </w:tc>
        <w:tc>
          <w:tcPr>
            <w:tcW w:w="1366" w:type="pct"/>
          </w:tcPr>
          <w:p w14:paraId="6E86906A" w14:textId="77777777" w:rsidR="007F7719" w:rsidRPr="00B148C1" w:rsidDel="007913BA" w:rsidRDefault="007F7719" w:rsidP="007F7719">
            <w:pPr>
              <w:keepNext/>
              <w:spacing w:line="260" w:lineRule="atLeast"/>
              <w:jc w:val="both"/>
              <w:rPr>
                <w:sz w:val="20"/>
                <w:lang w:val="en-GB"/>
              </w:rPr>
            </w:pPr>
          </w:p>
        </w:tc>
        <w:tc>
          <w:tcPr>
            <w:tcW w:w="1444" w:type="pct"/>
          </w:tcPr>
          <w:p w14:paraId="3B5F1650" w14:textId="77777777" w:rsidR="007F7719" w:rsidRPr="00B148C1" w:rsidDel="007913BA" w:rsidRDefault="007F7719" w:rsidP="007F7719">
            <w:pPr>
              <w:keepNext/>
              <w:spacing w:line="260" w:lineRule="atLeast"/>
              <w:jc w:val="both"/>
              <w:rPr>
                <w:sz w:val="20"/>
                <w:lang w:val="en-GB"/>
              </w:rPr>
            </w:pPr>
          </w:p>
        </w:tc>
      </w:tr>
      <w:tr w:rsidR="007F7719" w:rsidRPr="00B148C1" w14:paraId="3C0A81F5" w14:textId="77777777" w:rsidTr="007F7719">
        <w:trPr>
          <w:cantSplit/>
        </w:trPr>
        <w:tc>
          <w:tcPr>
            <w:tcW w:w="2190" w:type="pct"/>
          </w:tcPr>
          <w:p w14:paraId="5D8EF736" w14:textId="77777777" w:rsidR="007F7719" w:rsidRPr="00B148C1" w:rsidRDefault="007F7719" w:rsidP="00044A7B">
            <w:pPr>
              <w:spacing w:line="260" w:lineRule="atLeast"/>
              <w:rPr>
                <w:b/>
                <w:sz w:val="20"/>
                <w:lang w:val="en-US"/>
              </w:rPr>
            </w:pPr>
            <w:r w:rsidRPr="00B148C1">
              <w:rPr>
                <w:b/>
                <w:sz w:val="20"/>
                <w:lang w:val="en-GB"/>
              </w:rPr>
              <w:t>Gastrointestinal disorders</w:t>
            </w:r>
          </w:p>
        </w:tc>
        <w:tc>
          <w:tcPr>
            <w:tcW w:w="1366" w:type="pct"/>
          </w:tcPr>
          <w:p w14:paraId="50AEAC4E" w14:textId="77777777" w:rsidR="007F7719" w:rsidRPr="00B148C1" w:rsidDel="007913BA" w:rsidRDefault="007F7719" w:rsidP="007F7719">
            <w:pPr>
              <w:tabs>
                <w:tab w:val="left" w:pos="563"/>
              </w:tabs>
              <w:spacing w:line="260" w:lineRule="atLeast"/>
              <w:ind w:left="175"/>
              <w:jc w:val="both"/>
              <w:rPr>
                <w:sz w:val="20"/>
                <w:lang w:val="en-GB"/>
              </w:rPr>
            </w:pPr>
          </w:p>
        </w:tc>
        <w:tc>
          <w:tcPr>
            <w:tcW w:w="1444" w:type="pct"/>
          </w:tcPr>
          <w:p w14:paraId="5815166F" w14:textId="77777777" w:rsidR="007F7719" w:rsidRPr="00B148C1" w:rsidDel="007913BA" w:rsidRDefault="007F7719" w:rsidP="007F7719">
            <w:pPr>
              <w:spacing w:line="260" w:lineRule="atLeast"/>
              <w:jc w:val="both"/>
              <w:rPr>
                <w:sz w:val="20"/>
                <w:lang w:val="en-GB"/>
              </w:rPr>
            </w:pPr>
          </w:p>
        </w:tc>
      </w:tr>
      <w:tr w:rsidR="007F7719" w:rsidRPr="00B148C1" w14:paraId="57A34F4F" w14:textId="77777777" w:rsidTr="007F7719">
        <w:trPr>
          <w:cantSplit/>
        </w:trPr>
        <w:tc>
          <w:tcPr>
            <w:tcW w:w="2190" w:type="pct"/>
          </w:tcPr>
          <w:p w14:paraId="7A28617A" w14:textId="77777777" w:rsidR="007F7719" w:rsidRPr="00B148C1" w:rsidRDefault="007F7719" w:rsidP="00044A7B">
            <w:pPr>
              <w:spacing w:line="260" w:lineRule="atLeast"/>
              <w:rPr>
                <w:sz w:val="20"/>
                <w:lang w:val="en-GB"/>
              </w:rPr>
            </w:pPr>
            <w:r w:rsidRPr="00B148C1">
              <w:rPr>
                <w:sz w:val="20"/>
                <w:lang w:val="en-GB"/>
              </w:rPr>
              <w:t>Diarrhoea</w:t>
            </w:r>
          </w:p>
        </w:tc>
        <w:tc>
          <w:tcPr>
            <w:tcW w:w="1366" w:type="pct"/>
          </w:tcPr>
          <w:p w14:paraId="7A307E7A" w14:textId="77777777" w:rsidR="007F7719" w:rsidRPr="00B148C1" w:rsidRDefault="007F7719" w:rsidP="007F7719">
            <w:pPr>
              <w:spacing w:line="260" w:lineRule="atLeast"/>
              <w:jc w:val="both"/>
              <w:rPr>
                <w:sz w:val="20"/>
                <w:lang w:val="en-GB"/>
              </w:rPr>
            </w:pPr>
            <w:r w:rsidRPr="00B148C1">
              <w:rPr>
                <w:sz w:val="20"/>
                <w:lang w:val="en-GB"/>
              </w:rPr>
              <w:t>42% (244)</w:t>
            </w:r>
          </w:p>
        </w:tc>
        <w:tc>
          <w:tcPr>
            <w:tcW w:w="1444" w:type="pct"/>
          </w:tcPr>
          <w:p w14:paraId="31710396" w14:textId="77777777" w:rsidR="007F7719" w:rsidRPr="00B148C1" w:rsidRDefault="007F7719" w:rsidP="007F7719">
            <w:pPr>
              <w:spacing w:line="260" w:lineRule="atLeast"/>
              <w:jc w:val="both"/>
              <w:rPr>
                <w:sz w:val="20"/>
                <w:lang w:val="en-GB"/>
              </w:rPr>
            </w:pPr>
            <w:r w:rsidRPr="00B148C1">
              <w:rPr>
                <w:sz w:val="20"/>
                <w:lang w:val="en-GB"/>
              </w:rPr>
              <w:t>18% (106)</w:t>
            </w:r>
          </w:p>
        </w:tc>
      </w:tr>
      <w:tr w:rsidR="007F7719" w:rsidRPr="00B148C1" w14:paraId="4B137E16" w14:textId="77777777" w:rsidTr="007F7719">
        <w:trPr>
          <w:cantSplit/>
        </w:trPr>
        <w:tc>
          <w:tcPr>
            <w:tcW w:w="2190" w:type="pct"/>
          </w:tcPr>
          <w:p w14:paraId="2F265DEC" w14:textId="77777777" w:rsidR="007F7719" w:rsidRPr="00B148C1" w:rsidRDefault="007F7719" w:rsidP="00044A7B">
            <w:pPr>
              <w:spacing w:line="260" w:lineRule="atLeast"/>
              <w:rPr>
                <w:rFonts w:cs="Arial"/>
                <w:sz w:val="20"/>
                <w:lang w:val="en-US"/>
              </w:rPr>
            </w:pPr>
            <w:r w:rsidRPr="00B148C1">
              <w:rPr>
                <w:rFonts w:cs="Arial"/>
                <w:sz w:val="20"/>
                <w:lang w:val="en-US"/>
              </w:rPr>
              <w:t>Nausea</w:t>
            </w:r>
          </w:p>
        </w:tc>
        <w:tc>
          <w:tcPr>
            <w:tcW w:w="1366" w:type="pct"/>
          </w:tcPr>
          <w:p w14:paraId="6DEDE080" w14:textId="77777777" w:rsidR="007F7719" w:rsidRPr="00B148C1" w:rsidDel="007913BA" w:rsidRDefault="007F7719" w:rsidP="007F7719">
            <w:pPr>
              <w:spacing w:line="260" w:lineRule="atLeast"/>
              <w:jc w:val="both"/>
              <w:rPr>
                <w:sz w:val="20"/>
                <w:lang w:val="en-GB"/>
              </w:rPr>
            </w:pPr>
            <w:r w:rsidRPr="00B148C1">
              <w:rPr>
                <w:sz w:val="20"/>
                <w:lang w:val="en-GB"/>
              </w:rPr>
              <w:t>34% (192)</w:t>
            </w:r>
          </w:p>
        </w:tc>
        <w:tc>
          <w:tcPr>
            <w:tcW w:w="1444" w:type="pct"/>
          </w:tcPr>
          <w:p w14:paraId="59CA906D" w14:textId="77777777" w:rsidR="007F7719" w:rsidRPr="00B148C1" w:rsidDel="007913BA" w:rsidRDefault="007F7719" w:rsidP="007F7719">
            <w:pPr>
              <w:spacing w:line="260" w:lineRule="atLeast"/>
              <w:jc w:val="both"/>
              <w:rPr>
                <w:sz w:val="20"/>
                <w:lang w:val="en-GB"/>
              </w:rPr>
            </w:pPr>
            <w:r w:rsidRPr="00B148C1">
              <w:rPr>
                <w:sz w:val="20"/>
                <w:lang w:val="en-GB"/>
              </w:rPr>
              <w:t>18% (105)</w:t>
            </w:r>
          </w:p>
        </w:tc>
      </w:tr>
      <w:tr w:rsidR="007F7719" w:rsidRPr="00B148C1" w14:paraId="7236447E" w14:textId="77777777" w:rsidTr="007F7719">
        <w:trPr>
          <w:cantSplit/>
        </w:trPr>
        <w:tc>
          <w:tcPr>
            <w:tcW w:w="2190" w:type="pct"/>
          </w:tcPr>
          <w:p w14:paraId="45D8FFB0" w14:textId="77777777" w:rsidR="007F7719" w:rsidRPr="00B148C1" w:rsidRDefault="007F7719" w:rsidP="00044A7B">
            <w:pPr>
              <w:rPr>
                <w:sz w:val="20"/>
                <w:lang w:val="en-GB"/>
              </w:rPr>
            </w:pPr>
            <w:r w:rsidRPr="00B148C1">
              <w:rPr>
                <w:sz w:val="20"/>
                <w:lang w:val="en-GB"/>
              </w:rPr>
              <w:t>Vomiting</w:t>
            </w:r>
          </w:p>
        </w:tc>
        <w:tc>
          <w:tcPr>
            <w:tcW w:w="1366" w:type="pct"/>
          </w:tcPr>
          <w:p w14:paraId="30D5D9C8" w14:textId="77777777" w:rsidR="007F7719" w:rsidRPr="00B148C1" w:rsidDel="007913BA" w:rsidRDefault="007F7719" w:rsidP="007F7719">
            <w:pPr>
              <w:tabs>
                <w:tab w:val="left" w:pos="522"/>
              </w:tabs>
              <w:jc w:val="both"/>
              <w:rPr>
                <w:sz w:val="20"/>
                <w:lang w:val="en-GB"/>
              </w:rPr>
            </w:pPr>
            <w:r w:rsidRPr="00B148C1">
              <w:rPr>
                <w:sz w:val="20"/>
                <w:lang w:val="en-GB"/>
              </w:rPr>
              <w:t>18% (104)</w:t>
            </w:r>
          </w:p>
        </w:tc>
        <w:tc>
          <w:tcPr>
            <w:tcW w:w="1444" w:type="pct"/>
          </w:tcPr>
          <w:p w14:paraId="17109524" w14:textId="77777777" w:rsidR="007F7719" w:rsidRPr="00B148C1" w:rsidDel="007913BA" w:rsidRDefault="007F7719" w:rsidP="007F7719">
            <w:pPr>
              <w:tabs>
                <w:tab w:val="left" w:pos="522"/>
              </w:tabs>
              <w:jc w:val="both"/>
              <w:rPr>
                <w:sz w:val="20"/>
                <w:lang w:val="en-GB"/>
              </w:rPr>
            </w:pPr>
            <w:r w:rsidRPr="00B148C1">
              <w:rPr>
                <w:sz w:val="20"/>
                <w:lang w:val="en-GB"/>
              </w:rPr>
              <w:t>9% (49)</w:t>
            </w:r>
          </w:p>
        </w:tc>
      </w:tr>
      <w:tr w:rsidR="007F7719" w:rsidRPr="00B148C1" w14:paraId="403C4180" w14:textId="77777777" w:rsidTr="007F7719">
        <w:trPr>
          <w:cantSplit/>
        </w:trPr>
        <w:tc>
          <w:tcPr>
            <w:tcW w:w="2190" w:type="pct"/>
          </w:tcPr>
          <w:p w14:paraId="26EE7B61" w14:textId="77777777" w:rsidR="007F7719" w:rsidRPr="00B148C1" w:rsidRDefault="007F7719" w:rsidP="00044A7B">
            <w:pPr>
              <w:rPr>
                <w:sz w:val="20"/>
                <w:lang w:val="en-GB"/>
              </w:rPr>
            </w:pPr>
            <w:r w:rsidRPr="00B148C1">
              <w:rPr>
                <w:sz w:val="20"/>
                <w:lang w:val="en-GB"/>
              </w:rPr>
              <w:t>Abdominal pain</w:t>
            </w:r>
          </w:p>
        </w:tc>
        <w:tc>
          <w:tcPr>
            <w:tcW w:w="1366" w:type="pct"/>
          </w:tcPr>
          <w:p w14:paraId="25FFF768" w14:textId="77777777" w:rsidR="007F7719" w:rsidRPr="00B148C1" w:rsidDel="007913BA" w:rsidRDefault="007F7719" w:rsidP="007F7719">
            <w:pPr>
              <w:tabs>
                <w:tab w:val="left" w:pos="522"/>
              </w:tabs>
              <w:jc w:val="both"/>
              <w:rPr>
                <w:sz w:val="20"/>
                <w:lang w:val="en-GB"/>
              </w:rPr>
            </w:pPr>
            <w:r w:rsidRPr="00B148C1">
              <w:rPr>
                <w:sz w:val="20"/>
                <w:lang w:val="en-GB"/>
              </w:rPr>
              <w:t>8% (48)</w:t>
            </w:r>
          </w:p>
        </w:tc>
        <w:tc>
          <w:tcPr>
            <w:tcW w:w="1444" w:type="pct"/>
          </w:tcPr>
          <w:p w14:paraId="67C308FA" w14:textId="77777777" w:rsidR="007F7719" w:rsidRPr="00B148C1" w:rsidDel="007913BA" w:rsidRDefault="007F7719" w:rsidP="007F7719">
            <w:pPr>
              <w:tabs>
                <w:tab w:val="left" w:pos="522"/>
              </w:tabs>
              <w:jc w:val="both"/>
              <w:rPr>
                <w:sz w:val="20"/>
                <w:lang w:val="en-GB"/>
              </w:rPr>
            </w:pPr>
            <w:r w:rsidRPr="00B148C1">
              <w:rPr>
                <w:sz w:val="20"/>
                <w:lang w:val="en-GB"/>
              </w:rPr>
              <w:t xml:space="preserve">6% (33) </w:t>
            </w:r>
          </w:p>
        </w:tc>
      </w:tr>
      <w:tr w:rsidR="007F7719" w:rsidRPr="00B148C1" w14:paraId="1C0DD537" w14:textId="77777777" w:rsidTr="007F7719">
        <w:trPr>
          <w:cantSplit/>
        </w:trPr>
        <w:tc>
          <w:tcPr>
            <w:tcW w:w="2190" w:type="pct"/>
          </w:tcPr>
          <w:p w14:paraId="62A9ADCE" w14:textId="77777777" w:rsidR="007F7719" w:rsidRPr="00B148C1" w:rsidRDefault="007F7719" w:rsidP="00044A7B">
            <w:pPr>
              <w:rPr>
                <w:sz w:val="20"/>
                <w:lang w:val="en-GB"/>
              </w:rPr>
            </w:pPr>
            <w:r w:rsidRPr="00B148C1">
              <w:rPr>
                <w:sz w:val="20"/>
                <w:lang w:val="en-GB"/>
              </w:rPr>
              <w:t>Dyspepsia</w:t>
            </w:r>
          </w:p>
        </w:tc>
        <w:tc>
          <w:tcPr>
            <w:tcW w:w="1366" w:type="pct"/>
          </w:tcPr>
          <w:p w14:paraId="227D9DAA" w14:textId="77777777" w:rsidR="007F7719" w:rsidRPr="00B148C1" w:rsidRDefault="007F7719" w:rsidP="007F7719">
            <w:pPr>
              <w:tabs>
                <w:tab w:val="left" w:pos="522"/>
              </w:tabs>
              <w:jc w:val="both"/>
              <w:rPr>
                <w:sz w:val="20"/>
                <w:lang w:val="en-GB"/>
              </w:rPr>
            </w:pPr>
            <w:r w:rsidRPr="00B148C1">
              <w:rPr>
                <w:sz w:val="20"/>
                <w:lang w:val="en-GB"/>
              </w:rPr>
              <w:t>4% (25)</w:t>
            </w:r>
          </w:p>
        </w:tc>
        <w:tc>
          <w:tcPr>
            <w:tcW w:w="1444" w:type="pct"/>
          </w:tcPr>
          <w:p w14:paraId="481656D4" w14:textId="77777777" w:rsidR="007F7719" w:rsidRPr="00B148C1" w:rsidRDefault="007F7719" w:rsidP="007F7719">
            <w:pPr>
              <w:tabs>
                <w:tab w:val="left" w:pos="522"/>
              </w:tabs>
              <w:jc w:val="both"/>
              <w:rPr>
                <w:sz w:val="20"/>
                <w:lang w:val="en-GB"/>
              </w:rPr>
            </w:pPr>
            <w:r w:rsidRPr="00B148C1">
              <w:rPr>
                <w:sz w:val="20"/>
                <w:lang w:val="en-GB"/>
              </w:rPr>
              <w:t>2% (14)</w:t>
            </w:r>
          </w:p>
        </w:tc>
      </w:tr>
      <w:tr w:rsidR="007F7719" w:rsidRPr="00B148C1" w14:paraId="084BEADB" w14:textId="77777777" w:rsidTr="007F7719">
        <w:trPr>
          <w:cantSplit/>
        </w:trPr>
        <w:tc>
          <w:tcPr>
            <w:tcW w:w="2190" w:type="pct"/>
          </w:tcPr>
          <w:p w14:paraId="59B95C6C" w14:textId="77777777" w:rsidR="007F7719" w:rsidRPr="00B148C1" w:rsidRDefault="007F7719" w:rsidP="00044A7B">
            <w:pPr>
              <w:rPr>
                <w:sz w:val="20"/>
                <w:lang w:val="en-GB"/>
              </w:rPr>
            </w:pPr>
            <w:r w:rsidRPr="00B148C1">
              <w:rPr>
                <w:sz w:val="20"/>
                <w:lang w:val="en-GB"/>
              </w:rPr>
              <w:t>Abdominal discomfort</w:t>
            </w:r>
          </w:p>
        </w:tc>
        <w:tc>
          <w:tcPr>
            <w:tcW w:w="1366" w:type="pct"/>
          </w:tcPr>
          <w:p w14:paraId="371B72FA" w14:textId="77777777" w:rsidR="007F7719" w:rsidRPr="00B148C1" w:rsidRDefault="007F7719" w:rsidP="007F7719">
            <w:pPr>
              <w:tabs>
                <w:tab w:val="left" w:pos="522"/>
              </w:tabs>
              <w:jc w:val="both"/>
              <w:rPr>
                <w:sz w:val="20"/>
                <w:lang w:val="en-GB"/>
              </w:rPr>
            </w:pPr>
            <w:r w:rsidRPr="00B148C1">
              <w:rPr>
                <w:sz w:val="20"/>
                <w:lang w:val="en-GB"/>
              </w:rPr>
              <w:t>4% (21)</w:t>
            </w:r>
          </w:p>
        </w:tc>
        <w:tc>
          <w:tcPr>
            <w:tcW w:w="1444" w:type="pct"/>
          </w:tcPr>
          <w:p w14:paraId="3316AF32" w14:textId="77777777" w:rsidR="007F7719" w:rsidRPr="00B148C1" w:rsidRDefault="007F7719" w:rsidP="007F7719">
            <w:pPr>
              <w:tabs>
                <w:tab w:val="left" w:pos="522"/>
              </w:tabs>
              <w:jc w:val="both"/>
              <w:rPr>
                <w:sz w:val="20"/>
                <w:lang w:val="en-GB"/>
              </w:rPr>
            </w:pPr>
            <w:r w:rsidRPr="00B148C1">
              <w:rPr>
                <w:sz w:val="20"/>
                <w:lang w:val="en-GB"/>
              </w:rPr>
              <w:t>2% (14)</w:t>
            </w:r>
          </w:p>
        </w:tc>
      </w:tr>
      <w:tr w:rsidR="007F7719" w:rsidRPr="00B148C1" w14:paraId="5D3AE2C6" w14:textId="77777777" w:rsidTr="007F7719">
        <w:trPr>
          <w:cantSplit/>
        </w:trPr>
        <w:tc>
          <w:tcPr>
            <w:tcW w:w="2190" w:type="pct"/>
          </w:tcPr>
          <w:p w14:paraId="637D974B" w14:textId="77777777" w:rsidR="007F7719" w:rsidRPr="00B148C1" w:rsidRDefault="007F7719" w:rsidP="00044A7B">
            <w:pPr>
              <w:keepNext/>
              <w:spacing w:line="260" w:lineRule="atLeast"/>
              <w:rPr>
                <w:b/>
                <w:sz w:val="20"/>
                <w:lang w:val="en-GB"/>
              </w:rPr>
            </w:pPr>
          </w:p>
        </w:tc>
        <w:tc>
          <w:tcPr>
            <w:tcW w:w="1366" w:type="pct"/>
          </w:tcPr>
          <w:p w14:paraId="6421F9E0" w14:textId="77777777" w:rsidR="007F7719" w:rsidRPr="00B148C1" w:rsidDel="007913BA" w:rsidRDefault="007F7719" w:rsidP="007F7719">
            <w:pPr>
              <w:keepNext/>
              <w:spacing w:line="260" w:lineRule="atLeast"/>
              <w:jc w:val="both"/>
              <w:rPr>
                <w:sz w:val="20"/>
                <w:lang w:val="en-GB"/>
              </w:rPr>
            </w:pPr>
          </w:p>
        </w:tc>
        <w:tc>
          <w:tcPr>
            <w:tcW w:w="1444" w:type="pct"/>
          </w:tcPr>
          <w:p w14:paraId="067BFA38" w14:textId="77777777" w:rsidR="007F7719" w:rsidRPr="00B148C1" w:rsidRDefault="007F7719" w:rsidP="007F7719">
            <w:pPr>
              <w:keepNext/>
              <w:spacing w:line="260" w:lineRule="atLeast"/>
              <w:jc w:val="both"/>
              <w:rPr>
                <w:sz w:val="20"/>
                <w:lang w:val="en-GB"/>
              </w:rPr>
            </w:pPr>
          </w:p>
        </w:tc>
      </w:tr>
      <w:tr w:rsidR="007F7719" w:rsidRPr="00B148C1" w14:paraId="55B19C75" w14:textId="77777777" w:rsidTr="007F7719">
        <w:trPr>
          <w:cantSplit/>
        </w:trPr>
        <w:tc>
          <w:tcPr>
            <w:tcW w:w="2190" w:type="pct"/>
          </w:tcPr>
          <w:p w14:paraId="371ABB1E" w14:textId="77777777" w:rsidR="007F7719" w:rsidRPr="00B148C1" w:rsidRDefault="007F7719" w:rsidP="00044A7B">
            <w:pPr>
              <w:rPr>
                <w:sz w:val="20"/>
                <w:lang w:val="en-GB"/>
              </w:rPr>
            </w:pPr>
            <w:r w:rsidRPr="00B148C1">
              <w:rPr>
                <w:b/>
                <w:sz w:val="20"/>
                <w:lang w:val="en-GB"/>
              </w:rPr>
              <w:t>General disorders and administration site conditions</w:t>
            </w:r>
          </w:p>
        </w:tc>
        <w:tc>
          <w:tcPr>
            <w:tcW w:w="1366" w:type="pct"/>
          </w:tcPr>
          <w:p w14:paraId="17894B09" w14:textId="77777777" w:rsidR="007F7719" w:rsidRPr="00B148C1" w:rsidRDefault="007F7719" w:rsidP="007F7719">
            <w:pPr>
              <w:tabs>
                <w:tab w:val="left" w:pos="522"/>
              </w:tabs>
              <w:jc w:val="both"/>
              <w:rPr>
                <w:sz w:val="20"/>
                <w:lang w:val="en-GB"/>
              </w:rPr>
            </w:pPr>
          </w:p>
        </w:tc>
        <w:tc>
          <w:tcPr>
            <w:tcW w:w="1444" w:type="pct"/>
          </w:tcPr>
          <w:p w14:paraId="091069A5" w14:textId="77777777" w:rsidR="007F7719" w:rsidRPr="00B148C1" w:rsidRDefault="007F7719" w:rsidP="007F7719">
            <w:pPr>
              <w:tabs>
                <w:tab w:val="left" w:pos="522"/>
              </w:tabs>
              <w:jc w:val="both"/>
              <w:rPr>
                <w:sz w:val="20"/>
                <w:lang w:val="en-GB"/>
              </w:rPr>
            </w:pPr>
          </w:p>
        </w:tc>
      </w:tr>
      <w:tr w:rsidR="007F7719" w:rsidRPr="00B148C1" w14:paraId="0B46A081" w14:textId="77777777" w:rsidTr="007F7719">
        <w:trPr>
          <w:cantSplit/>
        </w:trPr>
        <w:tc>
          <w:tcPr>
            <w:tcW w:w="2190" w:type="pct"/>
          </w:tcPr>
          <w:p w14:paraId="19CC1337" w14:textId="77777777" w:rsidR="007F7719" w:rsidRPr="00B148C1" w:rsidRDefault="007F7719" w:rsidP="00044A7B">
            <w:pPr>
              <w:rPr>
                <w:sz w:val="20"/>
                <w:lang w:val="en-GB"/>
              </w:rPr>
            </w:pPr>
            <w:r w:rsidRPr="00B148C1">
              <w:rPr>
                <w:sz w:val="20"/>
                <w:lang w:val="en-GB"/>
              </w:rPr>
              <w:t>Asthenia</w:t>
            </w:r>
          </w:p>
        </w:tc>
        <w:tc>
          <w:tcPr>
            <w:tcW w:w="1366" w:type="pct"/>
          </w:tcPr>
          <w:p w14:paraId="4509EF3C" w14:textId="77777777" w:rsidR="007F7719" w:rsidRPr="00B148C1" w:rsidRDefault="007F7719" w:rsidP="007F7719">
            <w:pPr>
              <w:tabs>
                <w:tab w:val="left" w:pos="522"/>
              </w:tabs>
              <w:jc w:val="both"/>
              <w:rPr>
                <w:sz w:val="20"/>
                <w:lang w:val="en-GB"/>
              </w:rPr>
            </w:pPr>
            <w:r w:rsidRPr="00B148C1">
              <w:rPr>
                <w:sz w:val="20"/>
                <w:lang w:val="en-GB"/>
              </w:rPr>
              <w:t>5% (31)</w:t>
            </w:r>
          </w:p>
        </w:tc>
        <w:tc>
          <w:tcPr>
            <w:tcW w:w="1444" w:type="pct"/>
          </w:tcPr>
          <w:p w14:paraId="292BAADD" w14:textId="77777777" w:rsidR="007F7719" w:rsidRPr="00B148C1" w:rsidRDefault="007F7719" w:rsidP="007F7719">
            <w:pPr>
              <w:tabs>
                <w:tab w:val="left" w:pos="522"/>
              </w:tabs>
              <w:jc w:val="both"/>
              <w:rPr>
                <w:sz w:val="20"/>
                <w:lang w:val="en-GB"/>
              </w:rPr>
            </w:pPr>
            <w:r w:rsidRPr="00B148C1">
              <w:rPr>
                <w:sz w:val="20"/>
                <w:lang w:val="en-GB"/>
              </w:rPr>
              <w:t>4% (24)</w:t>
            </w:r>
          </w:p>
        </w:tc>
      </w:tr>
      <w:tr w:rsidR="007F7719" w:rsidRPr="00B148C1" w14:paraId="43156AA0" w14:textId="77777777" w:rsidTr="007F7719">
        <w:trPr>
          <w:cantSplit/>
        </w:trPr>
        <w:tc>
          <w:tcPr>
            <w:tcW w:w="2190" w:type="pct"/>
          </w:tcPr>
          <w:p w14:paraId="2F881B87" w14:textId="77777777" w:rsidR="007F7719" w:rsidRPr="00B148C1" w:rsidRDefault="007F7719" w:rsidP="00044A7B">
            <w:pPr>
              <w:rPr>
                <w:sz w:val="20"/>
                <w:lang w:val="en-GB"/>
              </w:rPr>
            </w:pPr>
            <w:r w:rsidRPr="00B148C1">
              <w:rPr>
                <w:sz w:val="20"/>
                <w:lang w:val="en-GB"/>
              </w:rPr>
              <w:t>Pyrexia</w:t>
            </w:r>
          </w:p>
        </w:tc>
        <w:tc>
          <w:tcPr>
            <w:tcW w:w="1366" w:type="pct"/>
          </w:tcPr>
          <w:p w14:paraId="1394D965" w14:textId="77777777" w:rsidR="007F7719" w:rsidRPr="00B148C1" w:rsidRDefault="007F7719" w:rsidP="007F7719">
            <w:pPr>
              <w:tabs>
                <w:tab w:val="left" w:pos="522"/>
              </w:tabs>
              <w:jc w:val="both"/>
              <w:rPr>
                <w:sz w:val="20"/>
                <w:lang w:val="en-GB"/>
              </w:rPr>
            </w:pPr>
            <w:r w:rsidRPr="00B148C1">
              <w:rPr>
                <w:sz w:val="20"/>
                <w:lang w:val="en-GB"/>
              </w:rPr>
              <w:t>4% (23)</w:t>
            </w:r>
          </w:p>
        </w:tc>
        <w:tc>
          <w:tcPr>
            <w:tcW w:w="1444" w:type="pct"/>
          </w:tcPr>
          <w:p w14:paraId="5064B8E1" w14:textId="77777777" w:rsidR="007F7719" w:rsidRPr="00B148C1" w:rsidRDefault="007F7719" w:rsidP="007F7719">
            <w:pPr>
              <w:tabs>
                <w:tab w:val="left" w:pos="522"/>
              </w:tabs>
              <w:jc w:val="both"/>
              <w:rPr>
                <w:sz w:val="20"/>
                <w:lang w:val="en-GB"/>
              </w:rPr>
            </w:pPr>
            <w:r w:rsidRPr="00B148C1">
              <w:rPr>
                <w:sz w:val="20"/>
                <w:lang w:val="en-GB"/>
              </w:rPr>
              <w:t>3% (17)</w:t>
            </w:r>
          </w:p>
        </w:tc>
      </w:tr>
      <w:tr w:rsidR="007F7719" w:rsidRPr="00B148C1" w14:paraId="3B95D3B2" w14:textId="77777777" w:rsidTr="007F7719">
        <w:trPr>
          <w:cantSplit/>
        </w:trPr>
        <w:tc>
          <w:tcPr>
            <w:tcW w:w="2190" w:type="pct"/>
          </w:tcPr>
          <w:p w14:paraId="27A862A1" w14:textId="77777777" w:rsidR="007F7719" w:rsidRPr="00B148C1" w:rsidRDefault="007F7719" w:rsidP="00044A7B">
            <w:pPr>
              <w:rPr>
                <w:sz w:val="20"/>
                <w:lang w:val="en-GB"/>
              </w:rPr>
            </w:pPr>
            <w:r w:rsidRPr="00B148C1">
              <w:rPr>
                <w:sz w:val="20"/>
                <w:lang w:val="en-GB"/>
              </w:rPr>
              <w:t>Pain</w:t>
            </w:r>
          </w:p>
        </w:tc>
        <w:tc>
          <w:tcPr>
            <w:tcW w:w="1366" w:type="pct"/>
          </w:tcPr>
          <w:p w14:paraId="01DC808D" w14:textId="77777777" w:rsidR="007F7719" w:rsidRPr="00B148C1" w:rsidRDefault="007F7719" w:rsidP="007F7719">
            <w:pPr>
              <w:tabs>
                <w:tab w:val="left" w:pos="522"/>
              </w:tabs>
              <w:jc w:val="both"/>
              <w:rPr>
                <w:sz w:val="20"/>
                <w:lang w:val="en-GB"/>
              </w:rPr>
            </w:pPr>
            <w:r w:rsidRPr="00B148C1">
              <w:rPr>
                <w:sz w:val="20"/>
                <w:lang w:val="en-GB"/>
              </w:rPr>
              <w:t>3% (18)</w:t>
            </w:r>
          </w:p>
        </w:tc>
        <w:tc>
          <w:tcPr>
            <w:tcW w:w="1444" w:type="pct"/>
          </w:tcPr>
          <w:p w14:paraId="033C4E55" w14:textId="77777777" w:rsidR="007F7719" w:rsidRPr="00B148C1" w:rsidRDefault="007F7719" w:rsidP="007F7719">
            <w:pPr>
              <w:tabs>
                <w:tab w:val="left" w:pos="522"/>
              </w:tabs>
              <w:jc w:val="both"/>
              <w:rPr>
                <w:sz w:val="20"/>
                <w:lang w:val="en-GB"/>
              </w:rPr>
            </w:pPr>
            <w:r w:rsidRPr="00B148C1">
              <w:rPr>
                <w:sz w:val="20"/>
                <w:lang w:val="en-GB"/>
              </w:rPr>
              <w:t>1% (3)</w:t>
            </w:r>
          </w:p>
        </w:tc>
      </w:tr>
      <w:tr w:rsidR="007F7719" w:rsidRPr="00B148C1" w14:paraId="1CC1D10E" w14:textId="77777777" w:rsidTr="007F7719">
        <w:trPr>
          <w:cantSplit/>
        </w:trPr>
        <w:tc>
          <w:tcPr>
            <w:tcW w:w="2190" w:type="pct"/>
          </w:tcPr>
          <w:p w14:paraId="7DE722B5" w14:textId="77777777" w:rsidR="007F7719" w:rsidRPr="00B148C1" w:rsidRDefault="007F7719" w:rsidP="00044A7B">
            <w:pPr>
              <w:keepNext/>
              <w:spacing w:line="260" w:lineRule="atLeast"/>
              <w:rPr>
                <w:b/>
                <w:sz w:val="20"/>
                <w:lang w:val="en-GB"/>
              </w:rPr>
            </w:pPr>
          </w:p>
        </w:tc>
        <w:tc>
          <w:tcPr>
            <w:tcW w:w="1366" w:type="pct"/>
          </w:tcPr>
          <w:p w14:paraId="272B6427" w14:textId="77777777" w:rsidR="007F7719" w:rsidRPr="00B148C1" w:rsidDel="007913BA" w:rsidRDefault="007F7719" w:rsidP="007F7719">
            <w:pPr>
              <w:keepNext/>
              <w:spacing w:line="260" w:lineRule="atLeast"/>
              <w:jc w:val="both"/>
              <w:rPr>
                <w:sz w:val="20"/>
                <w:lang w:val="en-GB"/>
              </w:rPr>
            </w:pPr>
          </w:p>
        </w:tc>
        <w:tc>
          <w:tcPr>
            <w:tcW w:w="1444" w:type="pct"/>
          </w:tcPr>
          <w:p w14:paraId="46AE034F" w14:textId="77777777" w:rsidR="007F7719" w:rsidRPr="00B148C1" w:rsidRDefault="007F7719" w:rsidP="007F7719">
            <w:pPr>
              <w:keepNext/>
              <w:spacing w:line="260" w:lineRule="atLeast"/>
              <w:jc w:val="both"/>
              <w:rPr>
                <w:sz w:val="20"/>
                <w:lang w:val="en-GB"/>
              </w:rPr>
            </w:pPr>
          </w:p>
        </w:tc>
      </w:tr>
      <w:tr w:rsidR="007F7719" w:rsidRPr="00B148C1" w14:paraId="01DB943A" w14:textId="77777777" w:rsidTr="007F7719">
        <w:trPr>
          <w:cantSplit/>
        </w:trPr>
        <w:tc>
          <w:tcPr>
            <w:tcW w:w="2190" w:type="pct"/>
          </w:tcPr>
          <w:p w14:paraId="527DDA61" w14:textId="77777777" w:rsidR="007F7719" w:rsidRPr="00B148C1" w:rsidRDefault="007F7719" w:rsidP="00044A7B">
            <w:pPr>
              <w:keepNext/>
              <w:spacing w:line="260" w:lineRule="atLeast"/>
              <w:rPr>
                <w:b/>
                <w:sz w:val="20"/>
                <w:lang w:val="en-GB"/>
              </w:rPr>
            </w:pPr>
            <w:r w:rsidRPr="00B148C1">
              <w:rPr>
                <w:b/>
                <w:sz w:val="20"/>
                <w:lang w:val="en-GB"/>
              </w:rPr>
              <w:t>Infections and Infestations</w:t>
            </w:r>
          </w:p>
        </w:tc>
        <w:tc>
          <w:tcPr>
            <w:tcW w:w="1366" w:type="pct"/>
          </w:tcPr>
          <w:p w14:paraId="412FA257" w14:textId="77777777" w:rsidR="007F7719" w:rsidRPr="00B148C1" w:rsidDel="007913BA" w:rsidRDefault="007F7719" w:rsidP="007F7719">
            <w:pPr>
              <w:keepNext/>
              <w:spacing w:line="260" w:lineRule="atLeast"/>
              <w:jc w:val="both"/>
              <w:rPr>
                <w:sz w:val="20"/>
                <w:lang w:val="en-GB"/>
              </w:rPr>
            </w:pPr>
          </w:p>
        </w:tc>
        <w:tc>
          <w:tcPr>
            <w:tcW w:w="1444" w:type="pct"/>
          </w:tcPr>
          <w:p w14:paraId="5B73BB0C" w14:textId="77777777" w:rsidR="007F7719" w:rsidRPr="00B148C1" w:rsidDel="007913BA" w:rsidRDefault="007F7719" w:rsidP="007F7719">
            <w:pPr>
              <w:keepNext/>
              <w:spacing w:line="260" w:lineRule="atLeast"/>
              <w:jc w:val="both"/>
              <w:rPr>
                <w:sz w:val="20"/>
                <w:lang w:val="en-GB"/>
              </w:rPr>
            </w:pPr>
          </w:p>
        </w:tc>
      </w:tr>
      <w:tr w:rsidR="007F7719" w:rsidRPr="00B148C1" w14:paraId="32C82AD6" w14:textId="77777777" w:rsidTr="007F7719">
        <w:trPr>
          <w:cantSplit/>
        </w:trPr>
        <w:tc>
          <w:tcPr>
            <w:tcW w:w="2190" w:type="pct"/>
          </w:tcPr>
          <w:p w14:paraId="5FD238E1" w14:textId="77777777" w:rsidR="007F7719" w:rsidRPr="00B148C1" w:rsidRDefault="007F7719" w:rsidP="00044A7B">
            <w:pPr>
              <w:keepNext/>
              <w:spacing w:line="260" w:lineRule="atLeast"/>
              <w:rPr>
                <w:sz w:val="20"/>
                <w:lang w:val="en-GB"/>
              </w:rPr>
            </w:pPr>
            <w:r w:rsidRPr="00B148C1">
              <w:rPr>
                <w:sz w:val="20"/>
                <w:lang w:val="en-GB"/>
              </w:rPr>
              <w:t>Nasopharyngitis</w:t>
            </w:r>
          </w:p>
        </w:tc>
        <w:tc>
          <w:tcPr>
            <w:tcW w:w="1366" w:type="pct"/>
          </w:tcPr>
          <w:p w14:paraId="1EDCF858" w14:textId="77777777" w:rsidR="007F7719" w:rsidRPr="00B148C1" w:rsidDel="007913BA" w:rsidRDefault="007F7719" w:rsidP="007F7719">
            <w:pPr>
              <w:keepNext/>
              <w:spacing w:line="260" w:lineRule="atLeast"/>
              <w:jc w:val="both"/>
              <w:rPr>
                <w:sz w:val="20"/>
                <w:lang w:val="en-GB"/>
              </w:rPr>
            </w:pPr>
            <w:r w:rsidRPr="00B148C1">
              <w:rPr>
                <w:sz w:val="20"/>
                <w:lang w:val="en-GB"/>
              </w:rPr>
              <w:t>13% (75)</w:t>
            </w:r>
          </w:p>
        </w:tc>
        <w:tc>
          <w:tcPr>
            <w:tcW w:w="1444" w:type="pct"/>
          </w:tcPr>
          <w:p w14:paraId="1E3001F7" w14:textId="77777777" w:rsidR="007F7719" w:rsidRPr="00B148C1" w:rsidDel="007913BA" w:rsidRDefault="007F7719" w:rsidP="007F7719">
            <w:pPr>
              <w:keepNext/>
              <w:spacing w:line="260" w:lineRule="atLeast"/>
              <w:jc w:val="both"/>
              <w:rPr>
                <w:sz w:val="20"/>
                <w:lang w:val="en-GB"/>
              </w:rPr>
            </w:pPr>
            <w:r w:rsidRPr="00B148C1">
              <w:rPr>
                <w:sz w:val="20"/>
                <w:lang w:val="en-GB"/>
              </w:rPr>
              <w:t>11% (63)</w:t>
            </w:r>
          </w:p>
        </w:tc>
      </w:tr>
      <w:tr w:rsidR="007F7719" w:rsidRPr="00B148C1" w14:paraId="00AC3269" w14:textId="77777777" w:rsidTr="007F7719">
        <w:trPr>
          <w:cantSplit/>
        </w:trPr>
        <w:tc>
          <w:tcPr>
            <w:tcW w:w="2190" w:type="pct"/>
          </w:tcPr>
          <w:p w14:paraId="44201FDF" w14:textId="77777777" w:rsidR="007F7719" w:rsidRPr="00B148C1" w:rsidRDefault="007F7719" w:rsidP="00044A7B">
            <w:pPr>
              <w:keepNext/>
              <w:spacing w:line="260" w:lineRule="atLeast"/>
              <w:rPr>
                <w:sz w:val="20"/>
                <w:lang w:val="en-GB"/>
              </w:rPr>
            </w:pPr>
            <w:r w:rsidRPr="00B148C1">
              <w:rPr>
                <w:sz w:val="20"/>
                <w:lang w:val="en-GB"/>
              </w:rPr>
              <w:t>Influenza</w:t>
            </w:r>
          </w:p>
        </w:tc>
        <w:tc>
          <w:tcPr>
            <w:tcW w:w="1366" w:type="pct"/>
          </w:tcPr>
          <w:p w14:paraId="1F737678" w14:textId="77777777" w:rsidR="007F7719" w:rsidRPr="00B148C1" w:rsidDel="007913BA" w:rsidRDefault="007F7719" w:rsidP="007F7719">
            <w:pPr>
              <w:keepNext/>
              <w:spacing w:line="260" w:lineRule="atLeast"/>
              <w:jc w:val="both"/>
              <w:rPr>
                <w:sz w:val="20"/>
                <w:lang w:val="en-GB"/>
              </w:rPr>
            </w:pPr>
            <w:r w:rsidRPr="00B148C1">
              <w:rPr>
                <w:sz w:val="20"/>
                <w:lang w:val="en-GB"/>
              </w:rPr>
              <w:t>4% (20)</w:t>
            </w:r>
          </w:p>
        </w:tc>
        <w:tc>
          <w:tcPr>
            <w:tcW w:w="1444" w:type="pct"/>
          </w:tcPr>
          <w:p w14:paraId="2B94A5DF" w14:textId="77777777" w:rsidR="007F7719" w:rsidRPr="00B148C1" w:rsidDel="007913BA" w:rsidRDefault="007F7719" w:rsidP="007F7719">
            <w:pPr>
              <w:keepNext/>
              <w:spacing w:line="260" w:lineRule="atLeast"/>
              <w:jc w:val="both"/>
              <w:rPr>
                <w:sz w:val="20"/>
                <w:lang w:val="en-GB"/>
              </w:rPr>
            </w:pPr>
            <w:r w:rsidRPr="00B148C1">
              <w:rPr>
                <w:sz w:val="20"/>
                <w:lang w:val="en-GB"/>
              </w:rPr>
              <w:t>2% (14)</w:t>
            </w:r>
          </w:p>
        </w:tc>
      </w:tr>
      <w:tr w:rsidR="007F7719" w:rsidRPr="00B148C1" w14:paraId="5FA814EA" w14:textId="77777777" w:rsidTr="007F7719">
        <w:trPr>
          <w:cantSplit/>
          <w:trHeight w:hRule="exact" w:val="170"/>
        </w:trPr>
        <w:tc>
          <w:tcPr>
            <w:tcW w:w="2190" w:type="pct"/>
          </w:tcPr>
          <w:p w14:paraId="691683D0" w14:textId="77777777" w:rsidR="007F7719" w:rsidRPr="00B148C1" w:rsidRDefault="007F7719" w:rsidP="00044A7B">
            <w:pPr>
              <w:spacing w:line="260" w:lineRule="atLeast"/>
              <w:rPr>
                <w:rFonts w:cs="Arial"/>
                <w:sz w:val="20"/>
                <w:lang w:val="en-US"/>
              </w:rPr>
            </w:pPr>
          </w:p>
        </w:tc>
        <w:tc>
          <w:tcPr>
            <w:tcW w:w="1366" w:type="pct"/>
          </w:tcPr>
          <w:p w14:paraId="1FCBC012" w14:textId="77777777" w:rsidR="007F7719" w:rsidRPr="00B148C1" w:rsidDel="007913BA" w:rsidRDefault="007F7719" w:rsidP="007F7719">
            <w:pPr>
              <w:spacing w:line="260" w:lineRule="atLeast"/>
              <w:jc w:val="both"/>
              <w:rPr>
                <w:sz w:val="20"/>
                <w:lang w:val="en-GB"/>
              </w:rPr>
            </w:pPr>
          </w:p>
        </w:tc>
        <w:tc>
          <w:tcPr>
            <w:tcW w:w="1444" w:type="pct"/>
          </w:tcPr>
          <w:p w14:paraId="66943AFE" w14:textId="77777777" w:rsidR="007F7719" w:rsidRPr="00B148C1" w:rsidDel="007913BA" w:rsidRDefault="007F7719" w:rsidP="007F7719">
            <w:pPr>
              <w:spacing w:line="260" w:lineRule="atLeast"/>
              <w:jc w:val="both"/>
              <w:rPr>
                <w:sz w:val="20"/>
                <w:lang w:val="en-GB"/>
              </w:rPr>
            </w:pPr>
          </w:p>
        </w:tc>
      </w:tr>
      <w:tr w:rsidR="007F7719" w:rsidRPr="00B148C1" w14:paraId="2AFF4483" w14:textId="77777777" w:rsidTr="007F7719">
        <w:trPr>
          <w:cantSplit/>
        </w:trPr>
        <w:tc>
          <w:tcPr>
            <w:tcW w:w="2190" w:type="pct"/>
          </w:tcPr>
          <w:p w14:paraId="4E372B66" w14:textId="77777777" w:rsidR="007F7719" w:rsidRPr="00B148C1" w:rsidRDefault="007F7719" w:rsidP="00044A7B">
            <w:pPr>
              <w:rPr>
                <w:sz w:val="20"/>
                <w:lang w:val="en-GB"/>
              </w:rPr>
            </w:pPr>
            <w:r w:rsidRPr="00B148C1">
              <w:rPr>
                <w:b/>
                <w:sz w:val="20"/>
                <w:lang w:val="en-GB"/>
              </w:rPr>
              <w:t>Investigations</w:t>
            </w:r>
          </w:p>
        </w:tc>
        <w:tc>
          <w:tcPr>
            <w:tcW w:w="1366" w:type="pct"/>
          </w:tcPr>
          <w:p w14:paraId="3588D274" w14:textId="77777777" w:rsidR="007F7719" w:rsidRPr="00B148C1" w:rsidRDefault="007F7719" w:rsidP="007F7719">
            <w:pPr>
              <w:tabs>
                <w:tab w:val="left" w:pos="522"/>
              </w:tabs>
              <w:jc w:val="both"/>
              <w:rPr>
                <w:sz w:val="20"/>
                <w:lang w:val="en-GB"/>
              </w:rPr>
            </w:pPr>
          </w:p>
        </w:tc>
        <w:tc>
          <w:tcPr>
            <w:tcW w:w="1444" w:type="pct"/>
          </w:tcPr>
          <w:p w14:paraId="5CFE8348" w14:textId="77777777" w:rsidR="007F7719" w:rsidRPr="00B148C1" w:rsidRDefault="007F7719" w:rsidP="007F7719">
            <w:pPr>
              <w:tabs>
                <w:tab w:val="left" w:pos="522"/>
              </w:tabs>
              <w:jc w:val="both"/>
              <w:rPr>
                <w:sz w:val="20"/>
                <w:lang w:val="en-GB"/>
              </w:rPr>
            </w:pPr>
          </w:p>
        </w:tc>
      </w:tr>
      <w:tr w:rsidR="007F7719" w:rsidRPr="00B148C1" w14:paraId="7C9AE9BE" w14:textId="77777777" w:rsidTr="007F7719">
        <w:trPr>
          <w:cantSplit/>
        </w:trPr>
        <w:tc>
          <w:tcPr>
            <w:tcW w:w="2190" w:type="pct"/>
          </w:tcPr>
          <w:p w14:paraId="1DF429E3" w14:textId="77777777" w:rsidR="007F7719" w:rsidRPr="00B148C1" w:rsidRDefault="007F7719" w:rsidP="00044A7B">
            <w:pPr>
              <w:rPr>
                <w:sz w:val="20"/>
                <w:lang w:val="en-GB"/>
              </w:rPr>
            </w:pPr>
            <w:r w:rsidRPr="00B148C1">
              <w:rPr>
                <w:sz w:val="20"/>
                <w:lang w:val="en-GB"/>
              </w:rPr>
              <w:t>Weight decrease</w:t>
            </w:r>
          </w:p>
        </w:tc>
        <w:tc>
          <w:tcPr>
            <w:tcW w:w="1366" w:type="pct"/>
          </w:tcPr>
          <w:p w14:paraId="3AF7AA34" w14:textId="77777777" w:rsidR="007F7719" w:rsidRPr="00B148C1" w:rsidRDefault="007F7719" w:rsidP="007F7719">
            <w:pPr>
              <w:tabs>
                <w:tab w:val="left" w:pos="522"/>
              </w:tabs>
              <w:jc w:val="both"/>
              <w:rPr>
                <w:sz w:val="20"/>
                <w:lang w:val="en-GB"/>
              </w:rPr>
            </w:pPr>
            <w:r w:rsidRPr="00B148C1">
              <w:rPr>
                <w:sz w:val="20"/>
                <w:lang w:val="en-GB"/>
              </w:rPr>
              <w:t>3% (17)</w:t>
            </w:r>
          </w:p>
        </w:tc>
        <w:tc>
          <w:tcPr>
            <w:tcW w:w="1444" w:type="pct"/>
          </w:tcPr>
          <w:p w14:paraId="4A496455" w14:textId="77777777" w:rsidR="007F7719" w:rsidRPr="00B148C1" w:rsidRDefault="007F7719" w:rsidP="007F7719">
            <w:pPr>
              <w:tabs>
                <w:tab w:val="left" w:pos="522"/>
              </w:tabs>
              <w:jc w:val="both"/>
              <w:rPr>
                <w:sz w:val="20"/>
                <w:lang w:val="en-GB"/>
              </w:rPr>
            </w:pPr>
            <w:r w:rsidRPr="00B148C1">
              <w:rPr>
                <w:sz w:val="20"/>
                <w:lang w:val="en-GB"/>
              </w:rPr>
              <w:t>1% (8)</w:t>
            </w:r>
          </w:p>
        </w:tc>
      </w:tr>
      <w:tr w:rsidR="007F7719" w:rsidRPr="00B148C1" w14:paraId="3A597103" w14:textId="77777777" w:rsidTr="007F7719">
        <w:trPr>
          <w:cantSplit/>
          <w:trHeight w:hRule="exact" w:val="170"/>
        </w:trPr>
        <w:tc>
          <w:tcPr>
            <w:tcW w:w="2190" w:type="pct"/>
          </w:tcPr>
          <w:p w14:paraId="5E060832" w14:textId="77777777" w:rsidR="007F7719" w:rsidRPr="00B148C1" w:rsidRDefault="007F7719" w:rsidP="00044A7B">
            <w:pPr>
              <w:rPr>
                <w:sz w:val="20"/>
                <w:lang w:val="en-GB"/>
              </w:rPr>
            </w:pPr>
          </w:p>
        </w:tc>
        <w:tc>
          <w:tcPr>
            <w:tcW w:w="1366" w:type="pct"/>
          </w:tcPr>
          <w:p w14:paraId="28754ED7" w14:textId="77777777" w:rsidR="007F7719" w:rsidRPr="00B148C1" w:rsidRDefault="007F7719" w:rsidP="007F7719">
            <w:pPr>
              <w:tabs>
                <w:tab w:val="left" w:pos="522"/>
              </w:tabs>
              <w:jc w:val="both"/>
              <w:rPr>
                <w:sz w:val="20"/>
                <w:lang w:val="en-GB"/>
              </w:rPr>
            </w:pPr>
          </w:p>
        </w:tc>
        <w:tc>
          <w:tcPr>
            <w:tcW w:w="1444" w:type="pct"/>
          </w:tcPr>
          <w:p w14:paraId="375E5E6E" w14:textId="77777777" w:rsidR="007F7719" w:rsidRPr="00B148C1" w:rsidRDefault="007F7719" w:rsidP="007F7719">
            <w:pPr>
              <w:tabs>
                <w:tab w:val="left" w:pos="522"/>
              </w:tabs>
              <w:jc w:val="both"/>
              <w:rPr>
                <w:sz w:val="20"/>
                <w:lang w:val="en-GB"/>
              </w:rPr>
            </w:pPr>
          </w:p>
        </w:tc>
      </w:tr>
      <w:tr w:rsidR="007F7719" w:rsidRPr="00B148C1" w14:paraId="21D8B6EE" w14:textId="77777777" w:rsidTr="007F7719">
        <w:trPr>
          <w:cantSplit/>
        </w:trPr>
        <w:tc>
          <w:tcPr>
            <w:tcW w:w="2190" w:type="pct"/>
          </w:tcPr>
          <w:p w14:paraId="14514BC5" w14:textId="77777777" w:rsidR="007F7719" w:rsidRPr="00B148C1" w:rsidRDefault="007F7719" w:rsidP="00044A7B">
            <w:pPr>
              <w:rPr>
                <w:b/>
                <w:sz w:val="20"/>
                <w:lang w:val="en-GB"/>
              </w:rPr>
            </w:pPr>
            <w:r w:rsidRPr="00B148C1">
              <w:rPr>
                <w:b/>
                <w:sz w:val="20"/>
                <w:lang w:val="en-GB"/>
              </w:rPr>
              <w:t>Metabolism and nutrition disorders</w:t>
            </w:r>
          </w:p>
        </w:tc>
        <w:tc>
          <w:tcPr>
            <w:tcW w:w="1366" w:type="pct"/>
          </w:tcPr>
          <w:p w14:paraId="0DD48994" w14:textId="77777777" w:rsidR="007F7719" w:rsidRPr="00B148C1" w:rsidRDefault="007F7719" w:rsidP="007F7719">
            <w:pPr>
              <w:tabs>
                <w:tab w:val="left" w:pos="522"/>
              </w:tabs>
              <w:jc w:val="both"/>
              <w:rPr>
                <w:sz w:val="20"/>
                <w:lang w:val="en-GB"/>
              </w:rPr>
            </w:pPr>
          </w:p>
        </w:tc>
        <w:tc>
          <w:tcPr>
            <w:tcW w:w="1444" w:type="pct"/>
          </w:tcPr>
          <w:p w14:paraId="2DAEB168" w14:textId="77777777" w:rsidR="007F7719" w:rsidRPr="00B148C1" w:rsidRDefault="007F7719" w:rsidP="007F7719">
            <w:pPr>
              <w:tabs>
                <w:tab w:val="left" w:pos="522"/>
              </w:tabs>
              <w:jc w:val="both"/>
              <w:rPr>
                <w:sz w:val="20"/>
                <w:lang w:val="en-GB"/>
              </w:rPr>
            </w:pPr>
          </w:p>
        </w:tc>
      </w:tr>
      <w:tr w:rsidR="007F7719" w:rsidRPr="00B148C1" w14:paraId="49CA5576" w14:textId="77777777" w:rsidTr="007F7719">
        <w:trPr>
          <w:cantSplit/>
        </w:trPr>
        <w:tc>
          <w:tcPr>
            <w:tcW w:w="2190" w:type="pct"/>
          </w:tcPr>
          <w:p w14:paraId="11EE7B44" w14:textId="77777777" w:rsidR="007F7719" w:rsidRPr="00B148C1" w:rsidRDefault="007F7719" w:rsidP="00044A7B">
            <w:pPr>
              <w:spacing w:line="260" w:lineRule="atLeast"/>
              <w:rPr>
                <w:rFonts w:cs="Arial"/>
                <w:sz w:val="20"/>
                <w:lang w:val="en-US"/>
              </w:rPr>
            </w:pPr>
            <w:r w:rsidRPr="00B148C1">
              <w:rPr>
                <w:rFonts w:cs="Arial"/>
                <w:sz w:val="20"/>
                <w:lang w:val="en-US"/>
              </w:rPr>
              <w:t xml:space="preserve">Decreased appetite </w:t>
            </w:r>
          </w:p>
        </w:tc>
        <w:tc>
          <w:tcPr>
            <w:tcW w:w="1366" w:type="pct"/>
          </w:tcPr>
          <w:p w14:paraId="04FB9907" w14:textId="77777777" w:rsidR="007F7719" w:rsidRPr="00B148C1" w:rsidRDefault="007F7719" w:rsidP="007F7719">
            <w:pPr>
              <w:tabs>
                <w:tab w:val="left" w:pos="522"/>
              </w:tabs>
              <w:spacing w:line="260" w:lineRule="atLeast"/>
              <w:jc w:val="both"/>
              <w:rPr>
                <w:rFonts w:cs="Arial"/>
                <w:sz w:val="20"/>
                <w:lang w:val="en-US"/>
              </w:rPr>
            </w:pPr>
            <w:r w:rsidRPr="00B148C1">
              <w:rPr>
                <w:rFonts w:cs="Arial"/>
                <w:sz w:val="20"/>
                <w:lang w:val="en-US"/>
              </w:rPr>
              <w:t xml:space="preserve">6% (34) </w:t>
            </w:r>
          </w:p>
        </w:tc>
        <w:tc>
          <w:tcPr>
            <w:tcW w:w="1444" w:type="pct"/>
          </w:tcPr>
          <w:p w14:paraId="432A534C" w14:textId="77777777" w:rsidR="007F7719" w:rsidRPr="00B148C1" w:rsidRDefault="007F7719" w:rsidP="007F7719">
            <w:pPr>
              <w:tabs>
                <w:tab w:val="left" w:pos="522"/>
              </w:tabs>
              <w:spacing w:line="260" w:lineRule="atLeast"/>
              <w:jc w:val="both"/>
              <w:rPr>
                <w:rFonts w:cs="Arial"/>
                <w:sz w:val="20"/>
                <w:lang w:val="en-US"/>
              </w:rPr>
            </w:pPr>
            <w:r w:rsidRPr="00B148C1">
              <w:rPr>
                <w:rFonts w:cs="Arial"/>
                <w:sz w:val="20"/>
                <w:lang w:val="en-US"/>
              </w:rPr>
              <w:t xml:space="preserve">3% (19) </w:t>
            </w:r>
          </w:p>
        </w:tc>
      </w:tr>
      <w:tr w:rsidR="007F7719" w:rsidRPr="00B148C1" w14:paraId="2F3533A8" w14:textId="77777777" w:rsidTr="007F7719">
        <w:trPr>
          <w:cantSplit/>
          <w:trHeight w:hRule="exact" w:val="276"/>
        </w:trPr>
        <w:tc>
          <w:tcPr>
            <w:tcW w:w="2190" w:type="pct"/>
          </w:tcPr>
          <w:p w14:paraId="723D7B50" w14:textId="77777777" w:rsidR="007F7719" w:rsidRPr="00B148C1" w:rsidRDefault="007F7719" w:rsidP="00044A7B">
            <w:pPr>
              <w:spacing w:line="260" w:lineRule="atLeast"/>
              <w:rPr>
                <w:rFonts w:cs="Arial"/>
                <w:sz w:val="20"/>
                <w:lang w:val="en-US"/>
              </w:rPr>
            </w:pPr>
          </w:p>
        </w:tc>
        <w:tc>
          <w:tcPr>
            <w:tcW w:w="1366" w:type="pct"/>
          </w:tcPr>
          <w:p w14:paraId="3BB09809" w14:textId="77777777" w:rsidR="007F7719" w:rsidRPr="00B148C1" w:rsidRDefault="007F7719" w:rsidP="007F7719">
            <w:pPr>
              <w:tabs>
                <w:tab w:val="left" w:pos="522"/>
              </w:tabs>
              <w:spacing w:line="260" w:lineRule="atLeast"/>
              <w:jc w:val="both"/>
              <w:rPr>
                <w:rFonts w:cs="Arial"/>
                <w:sz w:val="20"/>
                <w:lang w:val="en-US"/>
              </w:rPr>
            </w:pPr>
          </w:p>
        </w:tc>
        <w:tc>
          <w:tcPr>
            <w:tcW w:w="1444" w:type="pct"/>
          </w:tcPr>
          <w:p w14:paraId="00C5615F" w14:textId="77777777" w:rsidR="007F7719" w:rsidRPr="00B148C1" w:rsidRDefault="007F7719" w:rsidP="007F7719">
            <w:pPr>
              <w:tabs>
                <w:tab w:val="left" w:pos="522"/>
              </w:tabs>
              <w:spacing w:line="260" w:lineRule="atLeast"/>
              <w:jc w:val="both"/>
              <w:rPr>
                <w:rFonts w:cs="Arial"/>
                <w:sz w:val="20"/>
                <w:lang w:val="en-US"/>
              </w:rPr>
            </w:pPr>
          </w:p>
        </w:tc>
      </w:tr>
      <w:tr w:rsidR="007F7719" w:rsidRPr="00B148C1" w14:paraId="531B324E" w14:textId="77777777" w:rsidTr="007F7719">
        <w:trPr>
          <w:cantSplit/>
        </w:trPr>
        <w:tc>
          <w:tcPr>
            <w:tcW w:w="2190" w:type="pct"/>
          </w:tcPr>
          <w:p w14:paraId="270B8C13" w14:textId="77777777" w:rsidR="007F7719" w:rsidRPr="00B148C1" w:rsidRDefault="007F7719" w:rsidP="00044A7B">
            <w:pPr>
              <w:rPr>
                <w:b/>
                <w:sz w:val="20"/>
                <w:lang w:val="en-GB"/>
              </w:rPr>
            </w:pPr>
            <w:r w:rsidRPr="00B148C1">
              <w:rPr>
                <w:b/>
                <w:sz w:val="20"/>
                <w:lang w:val="en-GB"/>
              </w:rPr>
              <w:t>Musculoskeletal and connective tissue disorders</w:t>
            </w:r>
          </w:p>
        </w:tc>
        <w:tc>
          <w:tcPr>
            <w:tcW w:w="1366" w:type="pct"/>
          </w:tcPr>
          <w:p w14:paraId="0109844B" w14:textId="77777777" w:rsidR="007F7719" w:rsidRPr="00B148C1" w:rsidDel="007913BA" w:rsidRDefault="007F7719" w:rsidP="007F7719">
            <w:pPr>
              <w:tabs>
                <w:tab w:val="left" w:pos="522"/>
              </w:tabs>
              <w:jc w:val="both"/>
              <w:rPr>
                <w:sz w:val="20"/>
                <w:lang w:val="en-GB"/>
              </w:rPr>
            </w:pPr>
          </w:p>
        </w:tc>
        <w:tc>
          <w:tcPr>
            <w:tcW w:w="1444" w:type="pct"/>
          </w:tcPr>
          <w:p w14:paraId="6524E2BC" w14:textId="77777777" w:rsidR="007F7719" w:rsidRPr="00B148C1" w:rsidDel="007913BA" w:rsidRDefault="007F7719" w:rsidP="007F7719">
            <w:pPr>
              <w:tabs>
                <w:tab w:val="left" w:pos="522"/>
              </w:tabs>
              <w:jc w:val="both"/>
              <w:rPr>
                <w:sz w:val="20"/>
                <w:lang w:val="en-GB"/>
              </w:rPr>
            </w:pPr>
          </w:p>
        </w:tc>
      </w:tr>
      <w:tr w:rsidR="007F7719" w:rsidRPr="00B148C1" w14:paraId="42E5BA61" w14:textId="77777777" w:rsidTr="007F7719">
        <w:trPr>
          <w:cantSplit/>
        </w:trPr>
        <w:tc>
          <w:tcPr>
            <w:tcW w:w="2190" w:type="pct"/>
          </w:tcPr>
          <w:p w14:paraId="5565CC87" w14:textId="77777777" w:rsidR="007F7719" w:rsidRPr="00B148C1" w:rsidRDefault="007F7719" w:rsidP="00044A7B">
            <w:pPr>
              <w:rPr>
                <w:sz w:val="20"/>
                <w:lang w:val="en-GB"/>
              </w:rPr>
            </w:pPr>
            <w:r w:rsidRPr="00B148C1">
              <w:rPr>
                <w:sz w:val="20"/>
                <w:lang w:val="en-GB"/>
              </w:rPr>
              <w:t>Jaw pain</w:t>
            </w:r>
          </w:p>
        </w:tc>
        <w:tc>
          <w:tcPr>
            <w:tcW w:w="1366" w:type="pct"/>
          </w:tcPr>
          <w:p w14:paraId="3D6429FD" w14:textId="77777777" w:rsidR="007F7719" w:rsidRPr="00B148C1" w:rsidDel="007913BA" w:rsidRDefault="007F7719" w:rsidP="007F7719">
            <w:pPr>
              <w:tabs>
                <w:tab w:val="left" w:pos="522"/>
              </w:tabs>
              <w:jc w:val="both"/>
              <w:rPr>
                <w:sz w:val="20"/>
                <w:lang w:val="en-GB"/>
              </w:rPr>
            </w:pPr>
            <w:r w:rsidRPr="00B148C1">
              <w:rPr>
                <w:sz w:val="20"/>
                <w:lang w:val="en-GB"/>
              </w:rPr>
              <w:t>26% (148)</w:t>
            </w:r>
          </w:p>
        </w:tc>
        <w:tc>
          <w:tcPr>
            <w:tcW w:w="1444" w:type="pct"/>
          </w:tcPr>
          <w:p w14:paraId="46ABABAC" w14:textId="77777777" w:rsidR="007F7719" w:rsidRPr="00B148C1" w:rsidDel="007913BA" w:rsidRDefault="007F7719" w:rsidP="007F7719">
            <w:pPr>
              <w:tabs>
                <w:tab w:val="left" w:pos="522"/>
              </w:tabs>
              <w:jc w:val="both"/>
              <w:rPr>
                <w:sz w:val="20"/>
                <w:lang w:val="en-GB"/>
              </w:rPr>
            </w:pPr>
            <w:r w:rsidRPr="00B148C1">
              <w:rPr>
                <w:sz w:val="20"/>
                <w:lang w:val="en-GB"/>
              </w:rPr>
              <w:t>6% (36)</w:t>
            </w:r>
          </w:p>
        </w:tc>
      </w:tr>
      <w:tr w:rsidR="007F7719" w:rsidRPr="00B148C1" w14:paraId="5448771C" w14:textId="77777777" w:rsidTr="007F7719">
        <w:trPr>
          <w:cantSplit/>
        </w:trPr>
        <w:tc>
          <w:tcPr>
            <w:tcW w:w="2190" w:type="pct"/>
          </w:tcPr>
          <w:p w14:paraId="022BED5D" w14:textId="77777777" w:rsidR="007F7719" w:rsidRPr="00B148C1" w:rsidRDefault="007F7719" w:rsidP="00044A7B">
            <w:pPr>
              <w:rPr>
                <w:sz w:val="20"/>
                <w:lang w:val="en-GB"/>
              </w:rPr>
            </w:pPr>
            <w:r w:rsidRPr="00B148C1">
              <w:rPr>
                <w:sz w:val="20"/>
                <w:lang w:val="en-GB"/>
              </w:rPr>
              <w:t>Pain in extremity</w:t>
            </w:r>
          </w:p>
        </w:tc>
        <w:tc>
          <w:tcPr>
            <w:tcW w:w="1366" w:type="pct"/>
          </w:tcPr>
          <w:p w14:paraId="6A3DBF41" w14:textId="77777777" w:rsidR="007F7719" w:rsidRPr="00B148C1" w:rsidDel="007913BA" w:rsidRDefault="007F7719" w:rsidP="007F7719">
            <w:pPr>
              <w:tabs>
                <w:tab w:val="left" w:pos="522"/>
              </w:tabs>
              <w:jc w:val="both"/>
              <w:rPr>
                <w:sz w:val="20"/>
                <w:lang w:val="en-GB"/>
              </w:rPr>
            </w:pPr>
            <w:r w:rsidRPr="00B148C1">
              <w:rPr>
                <w:sz w:val="20"/>
                <w:lang w:val="en-GB"/>
              </w:rPr>
              <w:t>17% (97)</w:t>
            </w:r>
          </w:p>
        </w:tc>
        <w:tc>
          <w:tcPr>
            <w:tcW w:w="1444" w:type="pct"/>
          </w:tcPr>
          <w:p w14:paraId="5DDF22D7" w14:textId="77777777" w:rsidR="007F7719" w:rsidRPr="00B148C1" w:rsidDel="007913BA" w:rsidRDefault="007F7719" w:rsidP="007F7719">
            <w:pPr>
              <w:tabs>
                <w:tab w:val="left" w:pos="522"/>
              </w:tabs>
              <w:jc w:val="both"/>
              <w:rPr>
                <w:sz w:val="20"/>
                <w:lang w:val="en-GB"/>
              </w:rPr>
            </w:pPr>
            <w:r w:rsidRPr="00B148C1">
              <w:rPr>
                <w:sz w:val="20"/>
                <w:lang w:val="en-GB"/>
              </w:rPr>
              <w:t>8% (44)</w:t>
            </w:r>
          </w:p>
        </w:tc>
      </w:tr>
      <w:tr w:rsidR="007F7719" w:rsidRPr="00B148C1" w14:paraId="15C02754" w14:textId="77777777" w:rsidTr="007F7719">
        <w:trPr>
          <w:cantSplit/>
        </w:trPr>
        <w:tc>
          <w:tcPr>
            <w:tcW w:w="2190" w:type="pct"/>
          </w:tcPr>
          <w:p w14:paraId="7B0E4150" w14:textId="77777777" w:rsidR="007F7719" w:rsidRPr="00B148C1" w:rsidRDefault="007F7719" w:rsidP="00044A7B">
            <w:pPr>
              <w:rPr>
                <w:sz w:val="20"/>
                <w:lang w:val="en-GB"/>
              </w:rPr>
            </w:pPr>
            <w:r w:rsidRPr="00B148C1">
              <w:rPr>
                <w:sz w:val="20"/>
                <w:lang w:val="en-GB"/>
              </w:rPr>
              <w:t>Myalgia</w:t>
            </w:r>
          </w:p>
        </w:tc>
        <w:tc>
          <w:tcPr>
            <w:tcW w:w="1366" w:type="pct"/>
          </w:tcPr>
          <w:p w14:paraId="6CEC9997" w14:textId="77777777" w:rsidR="007F7719" w:rsidRPr="00B148C1" w:rsidDel="007913BA" w:rsidRDefault="007F7719" w:rsidP="007F7719">
            <w:pPr>
              <w:tabs>
                <w:tab w:val="left" w:pos="522"/>
              </w:tabs>
              <w:jc w:val="both"/>
              <w:rPr>
                <w:sz w:val="20"/>
                <w:lang w:val="en-GB"/>
              </w:rPr>
            </w:pPr>
            <w:r w:rsidRPr="00B148C1">
              <w:rPr>
                <w:sz w:val="20"/>
                <w:lang w:val="en-GB"/>
              </w:rPr>
              <w:t>16% (92)</w:t>
            </w:r>
          </w:p>
        </w:tc>
        <w:tc>
          <w:tcPr>
            <w:tcW w:w="1444" w:type="pct"/>
          </w:tcPr>
          <w:p w14:paraId="4BCD158A" w14:textId="77777777" w:rsidR="007F7719" w:rsidRPr="00B148C1" w:rsidDel="007913BA" w:rsidRDefault="007F7719" w:rsidP="007F7719">
            <w:pPr>
              <w:tabs>
                <w:tab w:val="left" w:pos="522"/>
              </w:tabs>
              <w:jc w:val="both"/>
              <w:rPr>
                <w:sz w:val="20"/>
                <w:lang w:val="en-GB"/>
              </w:rPr>
            </w:pPr>
            <w:r w:rsidRPr="00B148C1">
              <w:rPr>
                <w:sz w:val="20"/>
                <w:lang w:val="en-GB"/>
              </w:rPr>
              <w:t>6% (34)</w:t>
            </w:r>
          </w:p>
        </w:tc>
      </w:tr>
      <w:tr w:rsidR="007F7719" w:rsidRPr="00B148C1" w14:paraId="147F6EDE" w14:textId="77777777" w:rsidTr="007F7719">
        <w:trPr>
          <w:cantSplit/>
        </w:trPr>
        <w:tc>
          <w:tcPr>
            <w:tcW w:w="2190" w:type="pct"/>
          </w:tcPr>
          <w:p w14:paraId="07B16CFA" w14:textId="77777777" w:rsidR="007F7719" w:rsidRPr="00B148C1" w:rsidRDefault="007F7719" w:rsidP="00044A7B">
            <w:pPr>
              <w:spacing w:line="260" w:lineRule="atLeast"/>
              <w:rPr>
                <w:rFonts w:cs="Arial"/>
                <w:sz w:val="20"/>
                <w:lang w:val="en-US"/>
              </w:rPr>
            </w:pPr>
            <w:r w:rsidRPr="00B148C1">
              <w:rPr>
                <w:rFonts w:cs="Arial"/>
                <w:sz w:val="20"/>
                <w:lang w:val="en-US"/>
              </w:rPr>
              <w:t>Arthralgia</w:t>
            </w:r>
          </w:p>
        </w:tc>
        <w:tc>
          <w:tcPr>
            <w:tcW w:w="1366" w:type="pct"/>
          </w:tcPr>
          <w:p w14:paraId="3CAE73C9" w14:textId="77777777" w:rsidR="007F7719" w:rsidRPr="00B148C1" w:rsidRDefault="007F7719" w:rsidP="007F7719">
            <w:pPr>
              <w:tabs>
                <w:tab w:val="left" w:pos="522"/>
              </w:tabs>
              <w:spacing w:line="260" w:lineRule="atLeast"/>
              <w:jc w:val="both"/>
              <w:rPr>
                <w:rFonts w:cs="Arial"/>
                <w:sz w:val="20"/>
                <w:lang w:val="en-US"/>
              </w:rPr>
            </w:pPr>
            <w:r w:rsidRPr="00B148C1">
              <w:rPr>
                <w:rFonts w:cs="Arial"/>
                <w:sz w:val="20"/>
                <w:lang w:val="en-US"/>
              </w:rPr>
              <w:t>11% (62)</w:t>
            </w:r>
          </w:p>
        </w:tc>
        <w:tc>
          <w:tcPr>
            <w:tcW w:w="1444" w:type="pct"/>
          </w:tcPr>
          <w:p w14:paraId="0B9CAC02" w14:textId="77777777" w:rsidR="007F7719" w:rsidRPr="00B148C1" w:rsidRDefault="007F7719" w:rsidP="007F7719">
            <w:pPr>
              <w:tabs>
                <w:tab w:val="left" w:pos="522"/>
              </w:tabs>
              <w:jc w:val="both"/>
              <w:rPr>
                <w:sz w:val="20"/>
                <w:lang w:val="en-GB"/>
              </w:rPr>
            </w:pPr>
            <w:r w:rsidRPr="00B148C1">
              <w:rPr>
                <w:sz w:val="20"/>
                <w:lang w:val="en-GB"/>
              </w:rPr>
              <w:t>8% (44)</w:t>
            </w:r>
          </w:p>
        </w:tc>
      </w:tr>
      <w:tr w:rsidR="007F7719" w:rsidRPr="00B148C1" w14:paraId="0C0EC158" w14:textId="77777777" w:rsidTr="007F7719">
        <w:trPr>
          <w:cantSplit/>
        </w:trPr>
        <w:tc>
          <w:tcPr>
            <w:tcW w:w="2190" w:type="pct"/>
          </w:tcPr>
          <w:p w14:paraId="77CCFF94" w14:textId="77777777" w:rsidR="007F7719" w:rsidRPr="00D73F82" w:rsidRDefault="007F7719" w:rsidP="00044A7B">
            <w:pPr>
              <w:spacing w:line="260" w:lineRule="atLeast"/>
              <w:rPr>
                <w:rFonts w:cs="Arial"/>
                <w:sz w:val="20"/>
                <w:lang w:val="en-US"/>
              </w:rPr>
            </w:pPr>
            <w:r w:rsidRPr="00D73F82">
              <w:rPr>
                <w:rFonts w:cs="Arial"/>
                <w:sz w:val="20"/>
                <w:lang w:val="en-US"/>
              </w:rPr>
              <w:t>Musculoskeletal pain</w:t>
            </w:r>
          </w:p>
        </w:tc>
        <w:tc>
          <w:tcPr>
            <w:tcW w:w="1366" w:type="pct"/>
          </w:tcPr>
          <w:p w14:paraId="0E75D52B" w14:textId="77777777" w:rsidR="007F7719" w:rsidRPr="00B148C1" w:rsidRDefault="007F7719" w:rsidP="007F7719">
            <w:pPr>
              <w:tabs>
                <w:tab w:val="left" w:pos="522"/>
              </w:tabs>
              <w:spacing w:line="260" w:lineRule="atLeast"/>
              <w:jc w:val="both"/>
              <w:rPr>
                <w:rFonts w:cs="Arial"/>
                <w:sz w:val="20"/>
                <w:lang w:val="en-US"/>
              </w:rPr>
            </w:pPr>
            <w:r w:rsidRPr="00B148C1">
              <w:rPr>
                <w:rFonts w:cs="Arial"/>
                <w:sz w:val="20"/>
                <w:lang w:val="en-US"/>
              </w:rPr>
              <w:t>3% (18)</w:t>
            </w:r>
          </w:p>
        </w:tc>
        <w:tc>
          <w:tcPr>
            <w:tcW w:w="1444" w:type="pct"/>
          </w:tcPr>
          <w:p w14:paraId="597F8499" w14:textId="77777777" w:rsidR="007F7719" w:rsidRPr="00B148C1" w:rsidRDefault="007F7719" w:rsidP="007F7719">
            <w:pPr>
              <w:tabs>
                <w:tab w:val="left" w:pos="522"/>
              </w:tabs>
              <w:jc w:val="both"/>
              <w:rPr>
                <w:sz w:val="20"/>
                <w:lang w:val="en-GB"/>
              </w:rPr>
            </w:pPr>
            <w:r w:rsidRPr="00B148C1">
              <w:rPr>
                <w:sz w:val="20"/>
                <w:lang w:val="en-GB"/>
              </w:rPr>
              <w:t>2% (12)</w:t>
            </w:r>
          </w:p>
        </w:tc>
      </w:tr>
      <w:tr w:rsidR="007F7719" w:rsidRPr="00B148C1" w14:paraId="34E63C05" w14:textId="77777777" w:rsidTr="007F7719">
        <w:trPr>
          <w:cantSplit/>
        </w:trPr>
        <w:tc>
          <w:tcPr>
            <w:tcW w:w="2190" w:type="pct"/>
          </w:tcPr>
          <w:p w14:paraId="2D1C05B1" w14:textId="77777777" w:rsidR="007F7719" w:rsidRPr="00D73F82" w:rsidRDefault="007F7719" w:rsidP="00044A7B">
            <w:pPr>
              <w:spacing w:line="260" w:lineRule="atLeast"/>
              <w:rPr>
                <w:rFonts w:cs="Arial"/>
                <w:sz w:val="20"/>
                <w:lang w:val="en-US"/>
              </w:rPr>
            </w:pPr>
            <w:r w:rsidRPr="00D73F82">
              <w:rPr>
                <w:rFonts w:cs="Arial"/>
                <w:sz w:val="20"/>
                <w:lang w:val="en-US"/>
              </w:rPr>
              <w:t>Neck pain</w:t>
            </w:r>
          </w:p>
        </w:tc>
        <w:tc>
          <w:tcPr>
            <w:tcW w:w="1366" w:type="pct"/>
          </w:tcPr>
          <w:p w14:paraId="27131E09" w14:textId="77777777" w:rsidR="007F7719" w:rsidRPr="00B148C1" w:rsidRDefault="007F7719" w:rsidP="007F7719">
            <w:pPr>
              <w:tabs>
                <w:tab w:val="left" w:pos="522"/>
              </w:tabs>
              <w:spacing w:line="260" w:lineRule="atLeast"/>
              <w:jc w:val="both"/>
              <w:rPr>
                <w:rFonts w:cs="Arial"/>
                <w:sz w:val="20"/>
                <w:lang w:val="en-US"/>
              </w:rPr>
            </w:pPr>
            <w:r>
              <w:rPr>
                <w:rFonts w:cs="Arial"/>
                <w:sz w:val="20"/>
                <w:lang w:val="en-US"/>
              </w:rPr>
              <w:t>3% (15)</w:t>
            </w:r>
          </w:p>
        </w:tc>
        <w:tc>
          <w:tcPr>
            <w:tcW w:w="1444" w:type="pct"/>
          </w:tcPr>
          <w:p w14:paraId="237404BB" w14:textId="77777777" w:rsidR="007F7719" w:rsidRPr="00B148C1" w:rsidRDefault="007F7719" w:rsidP="007F7719">
            <w:pPr>
              <w:tabs>
                <w:tab w:val="left" w:pos="522"/>
              </w:tabs>
              <w:jc w:val="both"/>
              <w:rPr>
                <w:sz w:val="20"/>
                <w:lang w:val="en-GB"/>
              </w:rPr>
            </w:pPr>
            <w:r>
              <w:rPr>
                <w:sz w:val="20"/>
                <w:lang w:val="en-GB"/>
              </w:rPr>
              <w:t>1% (6)</w:t>
            </w:r>
          </w:p>
        </w:tc>
      </w:tr>
      <w:tr w:rsidR="007F7719" w:rsidRPr="00B148C1" w14:paraId="32A8AD60" w14:textId="77777777" w:rsidTr="007F7719">
        <w:trPr>
          <w:cantSplit/>
          <w:trHeight w:hRule="exact" w:val="357"/>
        </w:trPr>
        <w:tc>
          <w:tcPr>
            <w:tcW w:w="2190" w:type="pct"/>
          </w:tcPr>
          <w:p w14:paraId="7F996D98" w14:textId="77777777" w:rsidR="007F7719" w:rsidRPr="00B148C1" w:rsidRDefault="007F7719" w:rsidP="00044A7B">
            <w:pPr>
              <w:spacing w:line="260" w:lineRule="atLeast"/>
              <w:rPr>
                <w:rFonts w:cs="Arial"/>
                <w:sz w:val="20"/>
                <w:lang w:val="en-US"/>
              </w:rPr>
            </w:pPr>
          </w:p>
        </w:tc>
        <w:tc>
          <w:tcPr>
            <w:tcW w:w="1366" w:type="pct"/>
          </w:tcPr>
          <w:p w14:paraId="3C0E61FF" w14:textId="77777777" w:rsidR="007F7719" w:rsidRPr="00B148C1" w:rsidDel="007913BA" w:rsidRDefault="007F7719" w:rsidP="007F7719">
            <w:pPr>
              <w:spacing w:line="260" w:lineRule="atLeast"/>
              <w:jc w:val="both"/>
              <w:rPr>
                <w:rFonts w:cs="Arial"/>
                <w:sz w:val="20"/>
                <w:lang w:val="en-US"/>
              </w:rPr>
            </w:pPr>
          </w:p>
        </w:tc>
        <w:tc>
          <w:tcPr>
            <w:tcW w:w="1444" w:type="pct"/>
          </w:tcPr>
          <w:p w14:paraId="0ED23E32" w14:textId="77777777" w:rsidR="007F7719" w:rsidRPr="00B148C1" w:rsidRDefault="007F7719" w:rsidP="007F7719">
            <w:pPr>
              <w:spacing w:line="260" w:lineRule="atLeast"/>
              <w:jc w:val="both"/>
              <w:rPr>
                <w:rFonts w:cs="Arial"/>
                <w:sz w:val="20"/>
                <w:lang w:val="en-US"/>
              </w:rPr>
            </w:pPr>
          </w:p>
        </w:tc>
      </w:tr>
      <w:tr w:rsidR="007F7719" w:rsidRPr="00B148C1" w14:paraId="7861F608" w14:textId="77777777" w:rsidTr="007F7719">
        <w:trPr>
          <w:cantSplit/>
        </w:trPr>
        <w:tc>
          <w:tcPr>
            <w:tcW w:w="2190" w:type="pct"/>
          </w:tcPr>
          <w:p w14:paraId="0C1011F9" w14:textId="77777777" w:rsidR="007F7719" w:rsidRPr="00B148C1" w:rsidRDefault="007F7719" w:rsidP="00044A7B">
            <w:pPr>
              <w:rPr>
                <w:b/>
                <w:sz w:val="20"/>
                <w:lang w:val="en-GB"/>
              </w:rPr>
            </w:pPr>
            <w:r w:rsidRPr="00B148C1">
              <w:rPr>
                <w:b/>
                <w:sz w:val="20"/>
                <w:lang w:val="en-GB"/>
              </w:rPr>
              <w:t>Nervous system disorders</w:t>
            </w:r>
          </w:p>
        </w:tc>
        <w:tc>
          <w:tcPr>
            <w:tcW w:w="1366" w:type="pct"/>
          </w:tcPr>
          <w:p w14:paraId="5F8E259E" w14:textId="77777777" w:rsidR="007F7719" w:rsidRPr="00B148C1" w:rsidRDefault="007F7719" w:rsidP="007F7719">
            <w:pPr>
              <w:jc w:val="both"/>
              <w:rPr>
                <w:b/>
                <w:sz w:val="20"/>
                <w:lang w:val="en-GB"/>
              </w:rPr>
            </w:pPr>
          </w:p>
        </w:tc>
        <w:tc>
          <w:tcPr>
            <w:tcW w:w="1444" w:type="pct"/>
          </w:tcPr>
          <w:p w14:paraId="6B460606" w14:textId="77777777" w:rsidR="007F7719" w:rsidRPr="00B148C1" w:rsidRDefault="007F7719" w:rsidP="007F7719">
            <w:pPr>
              <w:jc w:val="both"/>
              <w:rPr>
                <w:b/>
                <w:sz w:val="20"/>
                <w:lang w:val="en-GB"/>
              </w:rPr>
            </w:pPr>
          </w:p>
        </w:tc>
      </w:tr>
      <w:tr w:rsidR="007F7719" w:rsidRPr="00B148C1" w14:paraId="3DAC1227" w14:textId="77777777" w:rsidTr="007F7719">
        <w:trPr>
          <w:cantSplit/>
        </w:trPr>
        <w:tc>
          <w:tcPr>
            <w:tcW w:w="2190" w:type="pct"/>
          </w:tcPr>
          <w:p w14:paraId="612899A6" w14:textId="77777777" w:rsidR="007F7719" w:rsidRPr="00B148C1" w:rsidRDefault="007F7719" w:rsidP="00044A7B">
            <w:pPr>
              <w:rPr>
                <w:sz w:val="20"/>
                <w:lang w:val="en-GB"/>
              </w:rPr>
            </w:pPr>
            <w:r w:rsidRPr="00B148C1">
              <w:rPr>
                <w:sz w:val="20"/>
                <w:lang w:val="en-GB"/>
              </w:rPr>
              <w:t>Headache</w:t>
            </w:r>
          </w:p>
        </w:tc>
        <w:tc>
          <w:tcPr>
            <w:tcW w:w="1366" w:type="pct"/>
          </w:tcPr>
          <w:p w14:paraId="6D9B622C" w14:textId="77777777" w:rsidR="007F7719" w:rsidRPr="00B148C1" w:rsidRDefault="007F7719" w:rsidP="007F7719">
            <w:pPr>
              <w:jc w:val="both"/>
              <w:rPr>
                <w:sz w:val="20"/>
                <w:lang w:val="en-GB"/>
              </w:rPr>
            </w:pPr>
            <w:r w:rsidRPr="00B148C1">
              <w:rPr>
                <w:sz w:val="20"/>
                <w:lang w:val="en-GB"/>
              </w:rPr>
              <w:t>65% (375)</w:t>
            </w:r>
          </w:p>
        </w:tc>
        <w:tc>
          <w:tcPr>
            <w:tcW w:w="1444" w:type="pct"/>
          </w:tcPr>
          <w:p w14:paraId="7D122F43" w14:textId="77777777" w:rsidR="007F7719" w:rsidRPr="00B148C1" w:rsidRDefault="007F7719" w:rsidP="007F7719">
            <w:pPr>
              <w:jc w:val="both"/>
              <w:rPr>
                <w:sz w:val="20"/>
                <w:lang w:val="en-GB"/>
              </w:rPr>
            </w:pPr>
            <w:r w:rsidRPr="00B148C1">
              <w:rPr>
                <w:sz w:val="20"/>
                <w:lang w:val="en-GB"/>
              </w:rPr>
              <w:t>32% (182)</w:t>
            </w:r>
          </w:p>
        </w:tc>
      </w:tr>
      <w:tr w:rsidR="007F7719" w:rsidRPr="00B148C1" w14:paraId="4C67CA4B" w14:textId="77777777" w:rsidTr="007F7719">
        <w:trPr>
          <w:cantSplit/>
          <w:trHeight w:hRule="exact" w:val="170"/>
        </w:trPr>
        <w:tc>
          <w:tcPr>
            <w:tcW w:w="2190" w:type="pct"/>
          </w:tcPr>
          <w:p w14:paraId="0D4142E7" w14:textId="77777777" w:rsidR="007F7719" w:rsidRPr="00B148C1" w:rsidRDefault="007F7719" w:rsidP="007F7719">
            <w:pPr>
              <w:spacing w:line="260" w:lineRule="atLeast"/>
              <w:jc w:val="both"/>
              <w:rPr>
                <w:rFonts w:cs="Arial"/>
                <w:sz w:val="20"/>
                <w:lang w:val="en-US"/>
              </w:rPr>
            </w:pPr>
          </w:p>
        </w:tc>
        <w:tc>
          <w:tcPr>
            <w:tcW w:w="1366" w:type="pct"/>
          </w:tcPr>
          <w:p w14:paraId="1BB05E81" w14:textId="77777777" w:rsidR="007F7719" w:rsidRPr="00B148C1" w:rsidRDefault="007F7719" w:rsidP="007F7719">
            <w:pPr>
              <w:spacing w:line="260" w:lineRule="atLeast"/>
              <w:jc w:val="both"/>
              <w:rPr>
                <w:rFonts w:cs="Arial"/>
                <w:sz w:val="20"/>
                <w:lang w:val="en-US"/>
              </w:rPr>
            </w:pPr>
          </w:p>
        </w:tc>
        <w:tc>
          <w:tcPr>
            <w:tcW w:w="1444" w:type="pct"/>
          </w:tcPr>
          <w:p w14:paraId="58263262" w14:textId="77777777" w:rsidR="007F7719" w:rsidRPr="00B148C1" w:rsidRDefault="007F7719" w:rsidP="007F7719">
            <w:pPr>
              <w:spacing w:line="260" w:lineRule="atLeast"/>
              <w:jc w:val="both"/>
              <w:rPr>
                <w:rFonts w:cs="Arial"/>
                <w:sz w:val="20"/>
                <w:lang w:val="en-US"/>
              </w:rPr>
            </w:pPr>
          </w:p>
        </w:tc>
      </w:tr>
      <w:tr w:rsidR="007F7719" w:rsidRPr="00B148C1" w14:paraId="5E70DC7E" w14:textId="77777777" w:rsidTr="007F7719">
        <w:trPr>
          <w:cantSplit/>
          <w:trHeight w:hRule="exact" w:val="469"/>
        </w:trPr>
        <w:tc>
          <w:tcPr>
            <w:tcW w:w="2190" w:type="pct"/>
          </w:tcPr>
          <w:p w14:paraId="44C88047" w14:textId="77777777" w:rsidR="007F7719" w:rsidRPr="00B148C1" w:rsidRDefault="007F7719" w:rsidP="00044A7B">
            <w:pPr>
              <w:rPr>
                <w:b/>
                <w:sz w:val="20"/>
                <w:lang w:val="en-GB"/>
              </w:rPr>
            </w:pPr>
            <w:r w:rsidRPr="00B148C1">
              <w:rPr>
                <w:b/>
                <w:sz w:val="20"/>
                <w:lang w:val="en-GB"/>
              </w:rPr>
              <w:t>Respiratory, thoracic and mediastinal disorders</w:t>
            </w:r>
          </w:p>
        </w:tc>
        <w:tc>
          <w:tcPr>
            <w:tcW w:w="1366" w:type="pct"/>
          </w:tcPr>
          <w:p w14:paraId="5AEE063F" w14:textId="77777777" w:rsidR="007F7719" w:rsidRPr="00B148C1" w:rsidRDefault="007F7719" w:rsidP="007F7719">
            <w:pPr>
              <w:jc w:val="both"/>
              <w:rPr>
                <w:b/>
                <w:sz w:val="20"/>
                <w:lang w:val="en-GB"/>
              </w:rPr>
            </w:pPr>
          </w:p>
        </w:tc>
        <w:tc>
          <w:tcPr>
            <w:tcW w:w="1444" w:type="pct"/>
          </w:tcPr>
          <w:p w14:paraId="787292A6" w14:textId="77777777" w:rsidR="007F7719" w:rsidRPr="00B148C1" w:rsidRDefault="007F7719" w:rsidP="007F7719">
            <w:pPr>
              <w:jc w:val="both"/>
              <w:rPr>
                <w:b/>
                <w:sz w:val="20"/>
                <w:lang w:val="en-GB"/>
              </w:rPr>
            </w:pPr>
          </w:p>
        </w:tc>
      </w:tr>
      <w:tr w:rsidR="007F7719" w:rsidRPr="00B148C1" w14:paraId="12A0BED5" w14:textId="77777777" w:rsidTr="007F7719">
        <w:trPr>
          <w:cantSplit/>
          <w:trHeight w:hRule="exact" w:val="277"/>
        </w:trPr>
        <w:tc>
          <w:tcPr>
            <w:tcW w:w="2190" w:type="pct"/>
          </w:tcPr>
          <w:p w14:paraId="2AC7C715" w14:textId="77777777" w:rsidR="007F7719" w:rsidRPr="00B148C1" w:rsidRDefault="007F7719" w:rsidP="00044A7B">
            <w:pPr>
              <w:spacing w:line="260" w:lineRule="atLeast"/>
              <w:rPr>
                <w:rFonts w:cs="Arial"/>
                <w:sz w:val="20"/>
                <w:lang w:val="en-US"/>
              </w:rPr>
            </w:pPr>
            <w:r w:rsidRPr="00B148C1">
              <w:rPr>
                <w:rFonts w:cs="Arial"/>
                <w:sz w:val="20"/>
                <w:lang w:val="en-US"/>
              </w:rPr>
              <w:t>Nasal congestion</w:t>
            </w:r>
          </w:p>
        </w:tc>
        <w:tc>
          <w:tcPr>
            <w:tcW w:w="1366" w:type="pct"/>
          </w:tcPr>
          <w:p w14:paraId="4D2D4D64" w14:textId="77777777" w:rsidR="007F7719" w:rsidRPr="00B148C1" w:rsidRDefault="007F7719" w:rsidP="007F7719">
            <w:pPr>
              <w:spacing w:line="260" w:lineRule="atLeast"/>
              <w:jc w:val="both"/>
              <w:rPr>
                <w:rFonts w:cs="Arial"/>
                <w:sz w:val="20"/>
                <w:lang w:val="en-US"/>
              </w:rPr>
            </w:pPr>
            <w:r w:rsidRPr="00B148C1">
              <w:rPr>
                <w:rFonts w:cs="Arial"/>
                <w:sz w:val="20"/>
                <w:lang w:val="en-US"/>
              </w:rPr>
              <w:t>3% (17)</w:t>
            </w:r>
          </w:p>
        </w:tc>
        <w:tc>
          <w:tcPr>
            <w:tcW w:w="1444" w:type="pct"/>
          </w:tcPr>
          <w:p w14:paraId="5DFECA38" w14:textId="77777777" w:rsidR="007F7719" w:rsidRPr="00B148C1" w:rsidRDefault="007F7719" w:rsidP="007F7719">
            <w:pPr>
              <w:spacing w:line="260" w:lineRule="atLeast"/>
              <w:jc w:val="both"/>
              <w:rPr>
                <w:rFonts w:cs="Arial"/>
                <w:sz w:val="20"/>
                <w:lang w:val="en-US"/>
              </w:rPr>
            </w:pPr>
            <w:r w:rsidRPr="00B148C1">
              <w:rPr>
                <w:rFonts w:cs="Arial"/>
                <w:sz w:val="20"/>
                <w:lang w:val="en-US"/>
              </w:rPr>
              <w:t>2% (11)</w:t>
            </w:r>
          </w:p>
        </w:tc>
      </w:tr>
      <w:tr w:rsidR="007F7719" w:rsidRPr="00B148C1" w14:paraId="124213FE" w14:textId="77777777" w:rsidTr="007F7719">
        <w:trPr>
          <w:cantSplit/>
          <w:trHeight w:hRule="exact" w:val="153"/>
        </w:trPr>
        <w:tc>
          <w:tcPr>
            <w:tcW w:w="2190" w:type="pct"/>
          </w:tcPr>
          <w:p w14:paraId="3BC5A7DA" w14:textId="77777777" w:rsidR="007F7719" w:rsidRPr="00B148C1" w:rsidRDefault="007F7719" w:rsidP="00044A7B">
            <w:pPr>
              <w:spacing w:line="260" w:lineRule="atLeast"/>
              <w:rPr>
                <w:rFonts w:cs="Arial"/>
                <w:sz w:val="20"/>
                <w:lang w:val="en-US"/>
              </w:rPr>
            </w:pPr>
          </w:p>
        </w:tc>
        <w:tc>
          <w:tcPr>
            <w:tcW w:w="1366" w:type="pct"/>
          </w:tcPr>
          <w:p w14:paraId="28C5320F" w14:textId="77777777" w:rsidR="007F7719" w:rsidRPr="00B148C1" w:rsidRDefault="007F7719" w:rsidP="007F7719">
            <w:pPr>
              <w:spacing w:line="260" w:lineRule="atLeast"/>
              <w:jc w:val="both"/>
              <w:rPr>
                <w:rFonts w:cs="Arial"/>
                <w:sz w:val="20"/>
                <w:lang w:val="en-US"/>
              </w:rPr>
            </w:pPr>
          </w:p>
        </w:tc>
        <w:tc>
          <w:tcPr>
            <w:tcW w:w="1444" w:type="pct"/>
          </w:tcPr>
          <w:p w14:paraId="301E3773" w14:textId="77777777" w:rsidR="007F7719" w:rsidRPr="00B148C1" w:rsidRDefault="007F7719" w:rsidP="007F7719">
            <w:pPr>
              <w:spacing w:line="260" w:lineRule="atLeast"/>
              <w:jc w:val="both"/>
              <w:rPr>
                <w:rFonts w:cs="Arial"/>
                <w:sz w:val="20"/>
                <w:lang w:val="en-US"/>
              </w:rPr>
            </w:pPr>
          </w:p>
        </w:tc>
      </w:tr>
      <w:tr w:rsidR="007F7719" w:rsidRPr="00B148C1" w14:paraId="79F94D4B" w14:textId="77777777" w:rsidTr="007F7719">
        <w:trPr>
          <w:cantSplit/>
        </w:trPr>
        <w:tc>
          <w:tcPr>
            <w:tcW w:w="2190" w:type="pct"/>
          </w:tcPr>
          <w:p w14:paraId="0C05A941" w14:textId="77777777" w:rsidR="007F7719" w:rsidRPr="00B148C1" w:rsidRDefault="007F7719" w:rsidP="00044A7B">
            <w:pPr>
              <w:rPr>
                <w:sz w:val="20"/>
                <w:lang w:val="en-GB"/>
              </w:rPr>
            </w:pPr>
            <w:r w:rsidRPr="00B148C1">
              <w:rPr>
                <w:b/>
                <w:sz w:val="20"/>
                <w:lang w:val="en-GB"/>
              </w:rPr>
              <w:lastRenderedPageBreak/>
              <w:t>Skin and subcutaneous tissue disorders</w:t>
            </w:r>
          </w:p>
        </w:tc>
        <w:tc>
          <w:tcPr>
            <w:tcW w:w="1366" w:type="pct"/>
          </w:tcPr>
          <w:p w14:paraId="503ADC02" w14:textId="77777777" w:rsidR="007F7719" w:rsidRPr="00B148C1" w:rsidRDefault="007F7719" w:rsidP="007F7719">
            <w:pPr>
              <w:tabs>
                <w:tab w:val="left" w:pos="522"/>
              </w:tabs>
              <w:jc w:val="both"/>
              <w:rPr>
                <w:sz w:val="20"/>
                <w:lang w:val="en-GB"/>
              </w:rPr>
            </w:pPr>
          </w:p>
        </w:tc>
        <w:tc>
          <w:tcPr>
            <w:tcW w:w="1444" w:type="pct"/>
          </w:tcPr>
          <w:p w14:paraId="7D1717CF" w14:textId="77777777" w:rsidR="007F7719" w:rsidRPr="00B148C1" w:rsidRDefault="007F7719" w:rsidP="007F7719">
            <w:pPr>
              <w:tabs>
                <w:tab w:val="left" w:pos="522"/>
              </w:tabs>
              <w:jc w:val="both"/>
              <w:rPr>
                <w:sz w:val="20"/>
                <w:lang w:val="en-GB"/>
              </w:rPr>
            </w:pPr>
          </w:p>
        </w:tc>
      </w:tr>
      <w:tr w:rsidR="007F7719" w:rsidRPr="00B148C1" w14:paraId="47283674" w14:textId="77777777" w:rsidTr="007F7719">
        <w:trPr>
          <w:cantSplit/>
        </w:trPr>
        <w:tc>
          <w:tcPr>
            <w:tcW w:w="2190" w:type="pct"/>
          </w:tcPr>
          <w:p w14:paraId="6C172211" w14:textId="77777777" w:rsidR="007F7719" w:rsidRPr="00B148C1" w:rsidRDefault="007F7719" w:rsidP="00044A7B">
            <w:pPr>
              <w:rPr>
                <w:sz w:val="20"/>
                <w:lang w:val="en-GB"/>
              </w:rPr>
            </w:pPr>
            <w:r w:rsidRPr="00B148C1">
              <w:rPr>
                <w:sz w:val="20"/>
                <w:lang w:val="en-GB"/>
              </w:rPr>
              <w:t>Rash</w:t>
            </w:r>
          </w:p>
        </w:tc>
        <w:tc>
          <w:tcPr>
            <w:tcW w:w="1366" w:type="pct"/>
          </w:tcPr>
          <w:p w14:paraId="4E82CEB3" w14:textId="77777777" w:rsidR="007F7719" w:rsidRPr="00B148C1" w:rsidRDefault="007F7719" w:rsidP="007F7719">
            <w:pPr>
              <w:tabs>
                <w:tab w:val="left" w:pos="522"/>
              </w:tabs>
              <w:jc w:val="both"/>
              <w:rPr>
                <w:sz w:val="20"/>
                <w:lang w:val="en-GB"/>
              </w:rPr>
            </w:pPr>
            <w:r w:rsidRPr="00B148C1">
              <w:rPr>
                <w:sz w:val="20"/>
                <w:lang w:val="en-GB"/>
              </w:rPr>
              <w:t>11% (64)</w:t>
            </w:r>
          </w:p>
        </w:tc>
        <w:tc>
          <w:tcPr>
            <w:tcW w:w="1444" w:type="pct"/>
          </w:tcPr>
          <w:p w14:paraId="0B4091DB" w14:textId="77777777" w:rsidR="007F7719" w:rsidRPr="00B148C1" w:rsidRDefault="007F7719" w:rsidP="007F7719">
            <w:pPr>
              <w:tabs>
                <w:tab w:val="left" w:pos="522"/>
              </w:tabs>
              <w:jc w:val="both"/>
              <w:rPr>
                <w:sz w:val="20"/>
                <w:lang w:val="en-GB"/>
              </w:rPr>
            </w:pPr>
            <w:r w:rsidRPr="00B148C1">
              <w:rPr>
                <w:sz w:val="20"/>
                <w:lang w:val="en-GB"/>
              </w:rPr>
              <w:t>8% (48)</w:t>
            </w:r>
          </w:p>
        </w:tc>
      </w:tr>
      <w:tr w:rsidR="007F7719" w:rsidRPr="00B148C1" w14:paraId="08F869D2" w14:textId="77777777" w:rsidTr="007F7719">
        <w:trPr>
          <w:cantSplit/>
          <w:trHeight w:hRule="exact" w:val="170"/>
        </w:trPr>
        <w:tc>
          <w:tcPr>
            <w:tcW w:w="2190" w:type="pct"/>
          </w:tcPr>
          <w:p w14:paraId="6CBDED4F" w14:textId="77777777" w:rsidR="007F7719" w:rsidRPr="00B148C1" w:rsidRDefault="007F7719" w:rsidP="00044A7B">
            <w:pPr>
              <w:rPr>
                <w:sz w:val="20"/>
                <w:lang w:val="en-GB"/>
              </w:rPr>
            </w:pPr>
          </w:p>
        </w:tc>
        <w:tc>
          <w:tcPr>
            <w:tcW w:w="1366" w:type="pct"/>
          </w:tcPr>
          <w:p w14:paraId="4D45E27D" w14:textId="77777777" w:rsidR="007F7719" w:rsidRPr="00B148C1" w:rsidRDefault="007F7719" w:rsidP="007F7719">
            <w:pPr>
              <w:tabs>
                <w:tab w:val="left" w:pos="522"/>
              </w:tabs>
              <w:jc w:val="both"/>
              <w:rPr>
                <w:sz w:val="20"/>
                <w:lang w:val="en-GB"/>
              </w:rPr>
            </w:pPr>
          </w:p>
        </w:tc>
        <w:tc>
          <w:tcPr>
            <w:tcW w:w="1444" w:type="pct"/>
          </w:tcPr>
          <w:p w14:paraId="0D0EB9BE" w14:textId="77777777" w:rsidR="007F7719" w:rsidRPr="00B148C1" w:rsidRDefault="007F7719" w:rsidP="007F7719">
            <w:pPr>
              <w:tabs>
                <w:tab w:val="left" w:pos="522"/>
              </w:tabs>
              <w:jc w:val="both"/>
              <w:rPr>
                <w:sz w:val="20"/>
                <w:lang w:val="en-GB"/>
              </w:rPr>
            </w:pPr>
          </w:p>
        </w:tc>
      </w:tr>
      <w:tr w:rsidR="007F7719" w:rsidRPr="00B148C1" w14:paraId="3213CA28" w14:textId="77777777" w:rsidTr="007F7719">
        <w:trPr>
          <w:cantSplit/>
        </w:trPr>
        <w:tc>
          <w:tcPr>
            <w:tcW w:w="2190" w:type="pct"/>
          </w:tcPr>
          <w:p w14:paraId="3D004ED1" w14:textId="77777777" w:rsidR="007F7719" w:rsidRPr="00B148C1" w:rsidRDefault="007F7719" w:rsidP="00044A7B">
            <w:pPr>
              <w:rPr>
                <w:b/>
                <w:sz w:val="20"/>
                <w:lang w:val="en-GB"/>
              </w:rPr>
            </w:pPr>
            <w:r w:rsidRPr="00B148C1">
              <w:rPr>
                <w:b/>
                <w:sz w:val="20"/>
                <w:lang w:val="en-GB"/>
              </w:rPr>
              <w:t>Vascular disorders</w:t>
            </w:r>
          </w:p>
        </w:tc>
        <w:tc>
          <w:tcPr>
            <w:tcW w:w="1366" w:type="pct"/>
          </w:tcPr>
          <w:p w14:paraId="4FDC843D" w14:textId="77777777" w:rsidR="007F7719" w:rsidRPr="00B148C1" w:rsidRDefault="007F7719" w:rsidP="007F7719">
            <w:pPr>
              <w:tabs>
                <w:tab w:val="left" w:pos="522"/>
              </w:tabs>
              <w:jc w:val="both"/>
              <w:rPr>
                <w:sz w:val="20"/>
                <w:lang w:val="en-GB"/>
              </w:rPr>
            </w:pPr>
          </w:p>
        </w:tc>
        <w:tc>
          <w:tcPr>
            <w:tcW w:w="1444" w:type="pct"/>
          </w:tcPr>
          <w:p w14:paraId="59C9E99B" w14:textId="77777777" w:rsidR="007F7719" w:rsidRPr="00B148C1" w:rsidRDefault="007F7719" w:rsidP="007F7719">
            <w:pPr>
              <w:tabs>
                <w:tab w:val="left" w:pos="522"/>
              </w:tabs>
              <w:jc w:val="both"/>
              <w:rPr>
                <w:sz w:val="20"/>
                <w:lang w:val="en-GB"/>
              </w:rPr>
            </w:pPr>
          </w:p>
        </w:tc>
      </w:tr>
      <w:tr w:rsidR="007F7719" w:rsidRPr="00B148C1" w14:paraId="1A4BB97C" w14:textId="77777777" w:rsidTr="007F7719">
        <w:trPr>
          <w:cantSplit/>
        </w:trPr>
        <w:tc>
          <w:tcPr>
            <w:tcW w:w="2190" w:type="pct"/>
          </w:tcPr>
          <w:p w14:paraId="3C3F3B1F" w14:textId="77777777" w:rsidR="007F7719" w:rsidRPr="00B148C1" w:rsidRDefault="007F7719" w:rsidP="00044A7B">
            <w:pPr>
              <w:rPr>
                <w:sz w:val="20"/>
                <w:lang w:val="en-GB"/>
              </w:rPr>
            </w:pPr>
            <w:r w:rsidRPr="00B148C1">
              <w:rPr>
                <w:sz w:val="20"/>
                <w:lang w:val="en-GB"/>
              </w:rPr>
              <w:t>Flushing</w:t>
            </w:r>
          </w:p>
        </w:tc>
        <w:tc>
          <w:tcPr>
            <w:tcW w:w="1366" w:type="pct"/>
          </w:tcPr>
          <w:p w14:paraId="60CBDEE3" w14:textId="77777777" w:rsidR="007F7719" w:rsidRPr="00B148C1" w:rsidRDefault="007F7719" w:rsidP="007F7719">
            <w:pPr>
              <w:tabs>
                <w:tab w:val="left" w:pos="522"/>
              </w:tabs>
              <w:jc w:val="both"/>
              <w:rPr>
                <w:sz w:val="20"/>
                <w:lang w:val="en-GB"/>
              </w:rPr>
            </w:pPr>
            <w:r w:rsidRPr="00B148C1">
              <w:rPr>
                <w:sz w:val="20"/>
                <w:lang w:val="en-GB"/>
              </w:rPr>
              <w:t>12% (70)</w:t>
            </w:r>
          </w:p>
        </w:tc>
        <w:tc>
          <w:tcPr>
            <w:tcW w:w="1444" w:type="pct"/>
          </w:tcPr>
          <w:p w14:paraId="0832A760" w14:textId="77777777" w:rsidR="007F7719" w:rsidRPr="00B148C1" w:rsidRDefault="007F7719" w:rsidP="007F7719">
            <w:pPr>
              <w:tabs>
                <w:tab w:val="left" w:pos="522"/>
              </w:tabs>
              <w:jc w:val="both"/>
              <w:rPr>
                <w:sz w:val="20"/>
                <w:lang w:val="en-GB"/>
              </w:rPr>
            </w:pPr>
            <w:r w:rsidRPr="00B148C1">
              <w:rPr>
                <w:sz w:val="20"/>
                <w:lang w:val="en-GB"/>
              </w:rPr>
              <w:t>5% (28)</w:t>
            </w:r>
          </w:p>
        </w:tc>
      </w:tr>
      <w:tr w:rsidR="007F7719" w:rsidRPr="00B148C1" w14:paraId="2340096F" w14:textId="77777777" w:rsidTr="007F7719">
        <w:trPr>
          <w:cantSplit/>
        </w:trPr>
        <w:tc>
          <w:tcPr>
            <w:tcW w:w="2190" w:type="pct"/>
          </w:tcPr>
          <w:p w14:paraId="661798F2" w14:textId="77777777" w:rsidR="007F7719" w:rsidRPr="00B148C1" w:rsidRDefault="007F7719" w:rsidP="00044A7B">
            <w:pPr>
              <w:rPr>
                <w:sz w:val="20"/>
                <w:lang w:val="en-GB"/>
              </w:rPr>
            </w:pPr>
            <w:r w:rsidRPr="00B148C1">
              <w:rPr>
                <w:sz w:val="20"/>
                <w:lang w:val="en-GB"/>
              </w:rPr>
              <w:t>Hypotension</w:t>
            </w:r>
          </w:p>
        </w:tc>
        <w:tc>
          <w:tcPr>
            <w:tcW w:w="1366" w:type="pct"/>
          </w:tcPr>
          <w:p w14:paraId="32536005" w14:textId="77777777" w:rsidR="007F7719" w:rsidRPr="00B148C1" w:rsidRDefault="007F7719" w:rsidP="007F7719">
            <w:pPr>
              <w:tabs>
                <w:tab w:val="left" w:pos="522"/>
              </w:tabs>
              <w:jc w:val="both"/>
              <w:rPr>
                <w:sz w:val="20"/>
                <w:lang w:val="en-GB"/>
              </w:rPr>
            </w:pPr>
            <w:r w:rsidRPr="00B148C1">
              <w:rPr>
                <w:sz w:val="20"/>
                <w:lang w:val="en-GB"/>
              </w:rPr>
              <w:t>5% (29)</w:t>
            </w:r>
          </w:p>
        </w:tc>
        <w:tc>
          <w:tcPr>
            <w:tcW w:w="1444" w:type="pct"/>
          </w:tcPr>
          <w:p w14:paraId="43976D11" w14:textId="77777777" w:rsidR="007F7719" w:rsidRPr="00B148C1" w:rsidRDefault="007F7719" w:rsidP="007F7719">
            <w:pPr>
              <w:tabs>
                <w:tab w:val="left" w:pos="522"/>
              </w:tabs>
              <w:jc w:val="both"/>
              <w:rPr>
                <w:sz w:val="20"/>
                <w:lang w:val="en-GB"/>
              </w:rPr>
            </w:pPr>
            <w:r w:rsidRPr="00B148C1">
              <w:rPr>
                <w:sz w:val="20"/>
                <w:lang w:val="en-GB"/>
              </w:rPr>
              <w:t>3% (18)</w:t>
            </w:r>
          </w:p>
        </w:tc>
      </w:tr>
      <w:tr w:rsidR="007F7719" w:rsidRPr="001A030B" w14:paraId="03030D55" w14:textId="77777777" w:rsidTr="007F7719">
        <w:trPr>
          <w:cantSplit/>
          <w:trHeight w:hRule="exact" w:val="170"/>
        </w:trPr>
        <w:tc>
          <w:tcPr>
            <w:tcW w:w="2190" w:type="pct"/>
          </w:tcPr>
          <w:p w14:paraId="6AB69C25" w14:textId="77777777" w:rsidR="007F7719" w:rsidRPr="001A030B" w:rsidRDefault="007F7719" w:rsidP="007F7719">
            <w:pPr>
              <w:jc w:val="both"/>
              <w:rPr>
                <w:b/>
                <w:sz w:val="20"/>
                <w:lang w:val="en-GB"/>
              </w:rPr>
            </w:pPr>
          </w:p>
        </w:tc>
        <w:tc>
          <w:tcPr>
            <w:tcW w:w="1366" w:type="pct"/>
          </w:tcPr>
          <w:p w14:paraId="7A9139D0" w14:textId="77777777" w:rsidR="007F7719" w:rsidRPr="001A030B" w:rsidRDefault="007F7719" w:rsidP="007F7719">
            <w:pPr>
              <w:tabs>
                <w:tab w:val="left" w:pos="522"/>
              </w:tabs>
              <w:jc w:val="both"/>
              <w:rPr>
                <w:sz w:val="20"/>
                <w:lang w:val="en-GB"/>
              </w:rPr>
            </w:pPr>
          </w:p>
        </w:tc>
        <w:tc>
          <w:tcPr>
            <w:tcW w:w="1444" w:type="pct"/>
          </w:tcPr>
          <w:p w14:paraId="3063E2DD" w14:textId="77777777" w:rsidR="007F7719" w:rsidRPr="001A030B" w:rsidRDefault="007F7719" w:rsidP="007F7719">
            <w:pPr>
              <w:tabs>
                <w:tab w:val="left" w:pos="522"/>
              </w:tabs>
              <w:jc w:val="both"/>
              <w:rPr>
                <w:sz w:val="20"/>
                <w:lang w:val="en-GB"/>
              </w:rPr>
            </w:pPr>
          </w:p>
        </w:tc>
      </w:tr>
      <w:bookmarkEnd w:id="9"/>
    </w:tbl>
    <w:p w14:paraId="3D5C6B7C" w14:textId="77777777" w:rsidR="009E1639" w:rsidRDefault="009E1639" w:rsidP="007F7719">
      <w:pPr>
        <w:jc w:val="both"/>
      </w:pPr>
    </w:p>
    <w:p w14:paraId="341A042D" w14:textId="77777777" w:rsidR="009E1639" w:rsidRDefault="009E1639" w:rsidP="007F7719">
      <w:pPr>
        <w:jc w:val="both"/>
      </w:pPr>
    </w:p>
    <w:p w14:paraId="651EFE40" w14:textId="77777777" w:rsidR="009E1639" w:rsidRDefault="009E1639" w:rsidP="007F7719">
      <w:pPr>
        <w:jc w:val="both"/>
      </w:pPr>
    </w:p>
    <w:p w14:paraId="710CB729" w14:textId="77777777" w:rsidR="009E1639" w:rsidRDefault="009E1639" w:rsidP="007F7719">
      <w:pPr>
        <w:jc w:val="both"/>
      </w:pPr>
    </w:p>
    <w:p w14:paraId="0FDB9EE7" w14:textId="77777777" w:rsidR="009E1639" w:rsidRDefault="009E1639" w:rsidP="007F7719">
      <w:pPr>
        <w:jc w:val="both"/>
      </w:pPr>
    </w:p>
    <w:p w14:paraId="776BB2E5" w14:textId="77777777" w:rsidR="009E1639" w:rsidRDefault="009E1639" w:rsidP="007F7719">
      <w:pPr>
        <w:jc w:val="both"/>
      </w:pPr>
    </w:p>
    <w:p w14:paraId="79BAF71F" w14:textId="77777777" w:rsidR="009E1639" w:rsidRDefault="009E1639" w:rsidP="007F7719">
      <w:pPr>
        <w:jc w:val="both"/>
      </w:pPr>
    </w:p>
    <w:p w14:paraId="14A74ABD" w14:textId="77777777" w:rsidR="009E1639" w:rsidRDefault="009E1639" w:rsidP="007F7719">
      <w:pPr>
        <w:jc w:val="both"/>
      </w:pPr>
    </w:p>
    <w:p w14:paraId="70EAEC7B" w14:textId="77777777" w:rsidR="009E1639" w:rsidRDefault="009E1639" w:rsidP="007F7719">
      <w:pPr>
        <w:jc w:val="both"/>
      </w:pPr>
    </w:p>
    <w:p w14:paraId="7F7F10E2" w14:textId="77777777" w:rsidR="009E1639" w:rsidRDefault="009E1639" w:rsidP="007F7719">
      <w:pPr>
        <w:jc w:val="both"/>
      </w:pPr>
    </w:p>
    <w:p w14:paraId="5B1E4A6C" w14:textId="64419DB1" w:rsidR="009E1639" w:rsidRDefault="009E1639">
      <w:r>
        <w:br w:type="page"/>
      </w:r>
    </w:p>
    <w:p w14:paraId="444B695D" w14:textId="77777777" w:rsidR="009E1639" w:rsidRDefault="009E1639"/>
    <w:p w14:paraId="102DA740" w14:textId="1D943E14" w:rsidR="007F7719" w:rsidRPr="001679C7" w:rsidRDefault="009E1639" w:rsidP="007F7719">
      <w:pPr>
        <w:jc w:val="both"/>
      </w:pPr>
      <w:r>
        <w:t>T</w:t>
      </w:r>
      <w:r w:rsidR="007F7719">
        <w:t>able 3</w:t>
      </w:r>
      <w:r w:rsidR="007F7719" w:rsidRPr="005F2D5A">
        <w:t xml:space="preserve"> present</w:t>
      </w:r>
      <w:r w:rsidR="007F7719">
        <w:t>s</w:t>
      </w:r>
      <w:r w:rsidR="007F7719" w:rsidRPr="005F2D5A">
        <w:t xml:space="preserve"> adverse </w:t>
      </w:r>
      <w:r w:rsidR="007F7719">
        <w:t>drug reactions</w:t>
      </w:r>
      <w:r w:rsidR="007F7719" w:rsidRPr="005F2D5A">
        <w:t xml:space="preserve"> occurring in </w:t>
      </w:r>
      <w:r w:rsidR="007F7719">
        <w:t>selexipag</w:t>
      </w:r>
      <w:r w:rsidR="007F7719" w:rsidRPr="005F2D5A">
        <w:t>-treated subjects at an incidence</w:t>
      </w:r>
      <w:r w:rsidR="007F7719">
        <w:t xml:space="preserve"> </w:t>
      </w:r>
      <w:r w:rsidR="007F7719" w:rsidRPr="005F2D5A">
        <w:t>&lt; 3 %</w:t>
      </w:r>
      <w:r w:rsidR="007F7719">
        <w:t xml:space="preserve">  </w:t>
      </w:r>
      <w:r w:rsidR="007F7719" w:rsidRPr="005F2D5A">
        <w:t xml:space="preserve">and with a placebo-corrected difference ≥ 1 % (during treatment and up to </w:t>
      </w:r>
      <w:r w:rsidR="007F7719">
        <w:t>7</w:t>
      </w:r>
      <w:r w:rsidR="007F7719" w:rsidRPr="005F2D5A">
        <w:t xml:space="preserve"> days after treatment discontinuation)</w:t>
      </w:r>
      <w:r w:rsidR="007F7719">
        <w:t xml:space="preserve">. Adverse reactions are </w:t>
      </w:r>
      <w:r w:rsidR="007F7719" w:rsidRPr="005F2D5A">
        <w:t>listed by system organ class and frequency category, using the convention: common (≥ 1/100 and &lt; 1/10).</w:t>
      </w:r>
      <w:r w:rsidR="007F7719" w:rsidRPr="00A828BA">
        <w:t xml:space="preserve"> </w:t>
      </w:r>
      <w:r w:rsidR="007F7719" w:rsidRPr="001679C7">
        <w:t xml:space="preserve">Frequency determination does not account for other factors including varying study duration, pre-existing conditions, and baseline patient characteristics. </w:t>
      </w:r>
    </w:p>
    <w:p w14:paraId="42AE4EC0" w14:textId="77777777" w:rsidR="007F7719" w:rsidRDefault="007F7719" w:rsidP="007F7719">
      <w:pPr>
        <w:jc w:val="both"/>
        <w:rPr>
          <w:b/>
          <w:sz w:val="22"/>
          <w:u w:val="single"/>
          <w:vertAlign w:val="superscript"/>
        </w:rPr>
      </w:pPr>
    </w:p>
    <w:p w14:paraId="340FF8F6" w14:textId="7036E2CF" w:rsidR="007F7719" w:rsidRPr="00EA070F" w:rsidRDefault="007F7719" w:rsidP="00E47CFE">
      <w:pPr>
        <w:spacing w:before="120" w:after="120" w:line="260" w:lineRule="atLeast"/>
        <w:ind w:left="1134" w:hanging="1134"/>
        <w:jc w:val="both"/>
        <w:rPr>
          <w:rFonts w:ascii="Times New Roman" w:eastAsia="Calibri" w:hAnsi="Times New Roman"/>
          <w:b/>
          <w:szCs w:val="24"/>
          <w:u w:val="single"/>
          <w:lang w:val="en-GB"/>
        </w:rPr>
      </w:pPr>
      <w:r w:rsidRPr="00E47CFE">
        <w:rPr>
          <w:rFonts w:ascii="Times New Roman" w:eastAsia="Calibri" w:hAnsi="Times New Roman"/>
          <w:b/>
          <w:szCs w:val="24"/>
          <w:u w:val="single"/>
          <w:lang w:val="en-GB"/>
        </w:rPr>
        <w:t>Table 3</w:t>
      </w:r>
      <w:r w:rsidR="00E47CFE">
        <w:rPr>
          <w:rFonts w:ascii="Times New Roman" w:eastAsia="Calibri" w:hAnsi="Times New Roman"/>
          <w:b/>
          <w:szCs w:val="24"/>
          <w:u w:val="single"/>
          <w:lang w:val="en-GB"/>
        </w:rPr>
        <w:t>:</w:t>
      </w:r>
      <w:r w:rsidRPr="00E47CFE">
        <w:rPr>
          <w:rFonts w:ascii="Times New Roman" w:eastAsia="Calibri" w:hAnsi="Times New Roman"/>
          <w:b/>
          <w:szCs w:val="24"/>
          <w:u w:val="single"/>
          <w:lang w:val="en-GB"/>
        </w:rPr>
        <w:t xml:space="preserve"> Advers</w:t>
      </w:r>
      <w:r w:rsidRPr="00EA070F">
        <w:rPr>
          <w:rFonts w:ascii="Times New Roman" w:eastAsia="Calibri" w:hAnsi="Times New Roman"/>
          <w:b/>
          <w:szCs w:val="24"/>
          <w:u w:val="single"/>
          <w:lang w:val="en-GB"/>
        </w:rPr>
        <w:t>e drug reactions occurring in selexipag-treated subjects at an incidence &lt; 3 % and with a placebo-corrected difference ≥ 1% (during treatment and up 7 days after treatment discontinuation)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44"/>
      </w:tblGrid>
      <w:tr w:rsidR="007F7719" w:rsidRPr="00052CDF" w14:paraId="663A18AC" w14:textId="77777777" w:rsidTr="007F7719">
        <w:tc>
          <w:tcPr>
            <w:tcW w:w="3544" w:type="dxa"/>
            <w:shd w:val="clear" w:color="auto" w:fill="auto"/>
          </w:tcPr>
          <w:p w14:paraId="63CECDB5" w14:textId="77777777" w:rsidR="007F7719" w:rsidRPr="00052CDF" w:rsidRDefault="007F7719" w:rsidP="007F7719">
            <w:pPr>
              <w:pStyle w:val="TextTi12"/>
              <w:rPr>
                <w:b/>
                <w:szCs w:val="24"/>
                <w:lang w:val="en-GB"/>
              </w:rPr>
            </w:pPr>
            <w:r w:rsidRPr="00052CDF">
              <w:rPr>
                <w:b/>
                <w:szCs w:val="24"/>
                <w:lang w:val="en-GB"/>
              </w:rPr>
              <w:t>System Organ Class</w:t>
            </w:r>
          </w:p>
        </w:tc>
        <w:tc>
          <w:tcPr>
            <w:tcW w:w="3544" w:type="dxa"/>
            <w:shd w:val="clear" w:color="auto" w:fill="auto"/>
          </w:tcPr>
          <w:p w14:paraId="0FB67884" w14:textId="77777777" w:rsidR="007F7719" w:rsidRPr="00052CDF" w:rsidRDefault="007F7719" w:rsidP="007F7719">
            <w:pPr>
              <w:pStyle w:val="TextTi12"/>
              <w:rPr>
                <w:b/>
                <w:szCs w:val="24"/>
                <w:lang w:val="en-GB"/>
              </w:rPr>
            </w:pPr>
            <w:r w:rsidRPr="00052CDF">
              <w:rPr>
                <w:b/>
                <w:szCs w:val="24"/>
                <w:lang w:val="en-GB"/>
              </w:rPr>
              <w:t>Common ≥ 1/100 and ˂ 1/10</w:t>
            </w:r>
          </w:p>
        </w:tc>
      </w:tr>
      <w:tr w:rsidR="007F7719" w:rsidRPr="00052CDF" w14:paraId="47057AF1" w14:textId="77777777" w:rsidTr="007F7719">
        <w:tc>
          <w:tcPr>
            <w:tcW w:w="3544" w:type="dxa"/>
            <w:shd w:val="clear" w:color="auto" w:fill="auto"/>
          </w:tcPr>
          <w:p w14:paraId="5DD16B94" w14:textId="77777777" w:rsidR="007F7719" w:rsidRPr="0065296E" w:rsidRDefault="007F7719" w:rsidP="007F7719">
            <w:pPr>
              <w:pStyle w:val="TextTi12"/>
              <w:rPr>
                <w:sz w:val="20"/>
                <w:lang w:val="en-GB"/>
              </w:rPr>
            </w:pPr>
            <w:r w:rsidRPr="0065296E">
              <w:rPr>
                <w:sz w:val="20"/>
                <w:lang w:val="en-GB"/>
              </w:rPr>
              <w:t xml:space="preserve">Blood and lymphatic system disorders </w:t>
            </w:r>
          </w:p>
        </w:tc>
        <w:tc>
          <w:tcPr>
            <w:tcW w:w="3544" w:type="dxa"/>
            <w:shd w:val="clear" w:color="auto" w:fill="auto"/>
          </w:tcPr>
          <w:p w14:paraId="4618F896" w14:textId="77777777" w:rsidR="007F7719" w:rsidRPr="0065296E" w:rsidRDefault="007F7719" w:rsidP="007F7719">
            <w:pPr>
              <w:pStyle w:val="TextTi12"/>
              <w:rPr>
                <w:sz w:val="20"/>
                <w:lang w:val="en-GB"/>
              </w:rPr>
            </w:pPr>
            <w:r w:rsidRPr="0065296E">
              <w:rPr>
                <w:sz w:val="20"/>
                <w:lang w:val="en-GB"/>
              </w:rPr>
              <w:t>Hemoglobin decrease*</w:t>
            </w:r>
          </w:p>
        </w:tc>
      </w:tr>
      <w:tr w:rsidR="007F7719" w:rsidRPr="00732819" w14:paraId="3F1AD8CD" w14:textId="77777777" w:rsidTr="007F7719">
        <w:tc>
          <w:tcPr>
            <w:tcW w:w="3544" w:type="dxa"/>
            <w:shd w:val="clear" w:color="auto" w:fill="auto"/>
          </w:tcPr>
          <w:p w14:paraId="384A5155" w14:textId="77777777" w:rsidR="007F7719" w:rsidRPr="00D73F82" w:rsidRDefault="007F7719" w:rsidP="007F7719">
            <w:pPr>
              <w:pStyle w:val="TextTi12"/>
              <w:rPr>
                <w:sz w:val="20"/>
                <w:lang w:val="en-GB"/>
              </w:rPr>
            </w:pPr>
            <w:r w:rsidRPr="00EA070F">
              <w:rPr>
                <w:sz w:val="20"/>
                <w:lang w:val="en-GB"/>
              </w:rPr>
              <w:t>Cardiac disorder</w:t>
            </w:r>
          </w:p>
        </w:tc>
        <w:tc>
          <w:tcPr>
            <w:tcW w:w="3544" w:type="dxa"/>
            <w:shd w:val="clear" w:color="auto" w:fill="auto"/>
          </w:tcPr>
          <w:p w14:paraId="161F054B" w14:textId="77777777" w:rsidR="007F7719" w:rsidRPr="00D73F82" w:rsidRDefault="007F7719" w:rsidP="007F7719">
            <w:pPr>
              <w:pStyle w:val="TextTi12"/>
              <w:rPr>
                <w:sz w:val="20"/>
                <w:lang w:val="en-GB"/>
              </w:rPr>
            </w:pPr>
            <w:r w:rsidRPr="00D73F82">
              <w:rPr>
                <w:sz w:val="20"/>
                <w:lang w:val="en-GB"/>
              </w:rPr>
              <w:t>Sinus tachycardia</w:t>
            </w:r>
            <w:r w:rsidRPr="00D73F82">
              <w:rPr>
                <w:spacing w:val="-10"/>
                <w:sz w:val="20"/>
                <w:lang w:val="en-US"/>
              </w:rPr>
              <w:t>*</w:t>
            </w:r>
          </w:p>
        </w:tc>
      </w:tr>
      <w:tr w:rsidR="007F7719" w:rsidRPr="00732819" w14:paraId="48570AAA" w14:textId="77777777" w:rsidTr="007F7719">
        <w:tc>
          <w:tcPr>
            <w:tcW w:w="3544" w:type="dxa"/>
            <w:shd w:val="clear" w:color="auto" w:fill="auto"/>
          </w:tcPr>
          <w:p w14:paraId="03FC000D" w14:textId="77777777" w:rsidR="007F7719" w:rsidRPr="00EA070F" w:rsidRDefault="007F7719" w:rsidP="007F7719">
            <w:pPr>
              <w:pStyle w:val="TextTi12"/>
              <w:rPr>
                <w:sz w:val="20"/>
                <w:lang w:val="en-GB"/>
              </w:rPr>
            </w:pPr>
            <w:r w:rsidRPr="00D73F82">
              <w:rPr>
                <w:sz w:val="20"/>
                <w:lang w:val="en-GB"/>
              </w:rPr>
              <w:t>Eye disorders</w:t>
            </w:r>
          </w:p>
        </w:tc>
        <w:tc>
          <w:tcPr>
            <w:tcW w:w="3544" w:type="dxa"/>
            <w:shd w:val="clear" w:color="auto" w:fill="auto"/>
          </w:tcPr>
          <w:p w14:paraId="759AA273" w14:textId="79082E10" w:rsidR="007F7719" w:rsidRPr="00D73F82" w:rsidRDefault="007F7719" w:rsidP="007F7719">
            <w:pPr>
              <w:pStyle w:val="TextTi12"/>
              <w:rPr>
                <w:sz w:val="20"/>
                <w:lang w:val="en-GB"/>
              </w:rPr>
            </w:pPr>
            <w:r w:rsidRPr="00EA070F">
              <w:rPr>
                <w:sz w:val="20"/>
                <w:lang w:val="en-GB"/>
              </w:rPr>
              <w:t>Eye pain</w:t>
            </w:r>
          </w:p>
        </w:tc>
      </w:tr>
      <w:tr w:rsidR="007F7719" w:rsidRPr="00732819" w14:paraId="154634E6" w14:textId="77777777" w:rsidTr="007F7719">
        <w:tc>
          <w:tcPr>
            <w:tcW w:w="3544" w:type="dxa"/>
            <w:shd w:val="clear" w:color="auto" w:fill="auto"/>
          </w:tcPr>
          <w:p w14:paraId="4E410362" w14:textId="77777777" w:rsidR="007F7719" w:rsidRPr="00EA070F" w:rsidRDefault="007F7719" w:rsidP="007F7719">
            <w:pPr>
              <w:pStyle w:val="TextTi12"/>
              <w:rPr>
                <w:sz w:val="20"/>
                <w:lang w:val="en-GB"/>
              </w:rPr>
            </w:pPr>
            <w:r w:rsidRPr="00D73F82">
              <w:rPr>
                <w:sz w:val="20"/>
                <w:lang w:val="en-GB"/>
              </w:rPr>
              <w:t>Endocrine disorders</w:t>
            </w:r>
          </w:p>
        </w:tc>
        <w:tc>
          <w:tcPr>
            <w:tcW w:w="3544" w:type="dxa"/>
            <w:shd w:val="clear" w:color="auto" w:fill="auto"/>
          </w:tcPr>
          <w:p w14:paraId="2F2BA876" w14:textId="77777777" w:rsidR="007F7719" w:rsidRPr="00D73F82" w:rsidRDefault="007F7719" w:rsidP="007F7719">
            <w:pPr>
              <w:pStyle w:val="TextTi12"/>
              <w:rPr>
                <w:strike/>
                <w:sz w:val="20"/>
                <w:lang w:val="en-GB"/>
              </w:rPr>
            </w:pPr>
            <w:r w:rsidRPr="00EA070F">
              <w:rPr>
                <w:sz w:val="20"/>
                <w:lang w:val="en-GB"/>
              </w:rPr>
              <w:t>Hyperthyroidism</w:t>
            </w:r>
            <w:r w:rsidRPr="00D73F82">
              <w:rPr>
                <w:strike/>
                <w:spacing w:val="-10"/>
                <w:sz w:val="20"/>
                <w:lang w:val="en-US"/>
              </w:rPr>
              <w:t>*</w:t>
            </w:r>
          </w:p>
          <w:p w14:paraId="38EA72E3" w14:textId="77777777" w:rsidR="007F7719" w:rsidRPr="00EA070F" w:rsidRDefault="007F7719" w:rsidP="007F7719">
            <w:pPr>
              <w:pStyle w:val="TextTi12"/>
              <w:rPr>
                <w:sz w:val="20"/>
                <w:lang w:val="en-GB"/>
              </w:rPr>
            </w:pPr>
            <w:r w:rsidRPr="00D73F82">
              <w:rPr>
                <w:sz w:val="20"/>
                <w:lang w:val="en-GB"/>
              </w:rPr>
              <w:t>Thyroid-stimulating Hormone decreased</w:t>
            </w:r>
            <w:r w:rsidRPr="00D73F82">
              <w:rPr>
                <w:spacing w:val="-10"/>
                <w:sz w:val="20"/>
                <w:lang w:val="en-US"/>
              </w:rPr>
              <w:t>*</w:t>
            </w:r>
          </w:p>
        </w:tc>
      </w:tr>
      <w:tr w:rsidR="007F7719" w:rsidRPr="00732819" w14:paraId="131E709C" w14:textId="77777777" w:rsidTr="007F7719">
        <w:tc>
          <w:tcPr>
            <w:tcW w:w="3544" w:type="dxa"/>
            <w:shd w:val="clear" w:color="auto" w:fill="auto"/>
          </w:tcPr>
          <w:p w14:paraId="41682B81" w14:textId="77777777" w:rsidR="007F7719" w:rsidRPr="00D73F82" w:rsidRDefault="007F7719" w:rsidP="007F7719">
            <w:pPr>
              <w:pStyle w:val="TextTi12"/>
              <w:rPr>
                <w:sz w:val="20"/>
                <w:lang w:val="en-GB"/>
              </w:rPr>
            </w:pPr>
            <w:r w:rsidRPr="00EA070F">
              <w:rPr>
                <w:sz w:val="20"/>
                <w:lang w:val="en-GB"/>
              </w:rPr>
              <w:t>Gastrointestinal disorders</w:t>
            </w:r>
            <w:r w:rsidRPr="00D73F82">
              <w:rPr>
                <w:sz w:val="20"/>
                <w:lang w:val="en-GB"/>
              </w:rPr>
              <w:t xml:space="preserve"> </w:t>
            </w:r>
          </w:p>
        </w:tc>
        <w:tc>
          <w:tcPr>
            <w:tcW w:w="3544" w:type="dxa"/>
            <w:shd w:val="clear" w:color="auto" w:fill="auto"/>
          </w:tcPr>
          <w:p w14:paraId="5459C66F" w14:textId="77777777" w:rsidR="007F7719" w:rsidRPr="00D73F82" w:rsidRDefault="007F7719" w:rsidP="007F7719">
            <w:pPr>
              <w:pStyle w:val="TextTi12"/>
              <w:rPr>
                <w:sz w:val="20"/>
                <w:lang w:val="en-GB"/>
              </w:rPr>
            </w:pPr>
            <w:r w:rsidRPr="00EA070F">
              <w:rPr>
                <w:sz w:val="20"/>
                <w:lang w:val="en-GB"/>
              </w:rPr>
              <w:t xml:space="preserve">Ascites </w:t>
            </w:r>
          </w:p>
        </w:tc>
      </w:tr>
      <w:tr w:rsidR="007F7719" w:rsidRPr="00732819" w14:paraId="0CF70FDD" w14:textId="77777777" w:rsidTr="007F7719">
        <w:tc>
          <w:tcPr>
            <w:tcW w:w="3544" w:type="dxa"/>
            <w:shd w:val="clear" w:color="auto" w:fill="auto"/>
          </w:tcPr>
          <w:p w14:paraId="11D2D3D0" w14:textId="77777777" w:rsidR="007F7719" w:rsidRPr="00D73F82" w:rsidRDefault="007F7719" w:rsidP="007F7719">
            <w:pPr>
              <w:pStyle w:val="TextTi12"/>
              <w:rPr>
                <w:sz w:val="20"/>
                <w:lang w:val="en-GB"/>
              </w:rPr>
            </w:pPr>
            <w:r w:rsidRPr="00D73F82">
              <w:rPr>
                <w:sz w:val="20"/>
                <w:lang w:val="en-GB"/>
              </w:rPr>
              <w:t>Musculoskeletal and connective tissue disorders</w:t>
            </w:r>
          </w:p>
        </w:tc>
        <w:tc>
          <w:tcPr>
            <w:tcW w:w="3544" w:type="dxa"/>
            <w:shd w:val="clear" w:color="auto" w:fill="auto"/>
          </w:tcPr>
          <w:p w14:paraId="60147C72" w14:textId="77777777" w:rsidR="007F7719" w:rsidRPr="00EA070F" w:rsidRDefault="007F7719" w:rsidP="007F7719">
            <w:pPr>
              <w:pStyle w:val="TextTi12"/>
              <w:rPr>
                <w:sz w:val="20"/>
                <w:lang w:val="en-GB"/>
              </w:rPr>
            </w:pPr>
            <w:r w:rsidRPr="00EA070F">
              <w:rPr>
                <w:sz w:val="20"/>
                <w:lang w:val="en-GB"/>
              </w:rPr>
              <w:t>Bone pain</w:t>
            </w:r>
          </w:p>
        </w:tc>
      </w:tr>
      <w:tr w:rsidR="007F7719" w:rsidRPr="00732819" w14:paraId="38D813A2" w14:textId="77777777" w:rsidTr="007F7719">
        <w:tc>
          <w:tcPr>
            <w:tcW w:w="3544" w:type="dxa"/>
            <w:shd w:val="clear" w:color="auto" w:fill="auto"/>
          </w:tcPr>
          <w:p w14:paraId="7D283AB8" w14:textId="77777777" w:rsidR="007F7719" w:rsidRPr="00D73F82" w:rsidRDefault="007F7719" w:rsidP="007F7719">
            <w:pPr>
              <w:pStyle w:val="TextTi12"/>
              <w:rPr>
                <w:sz w:val="20"/>
                <w:lang w:val="en-GB"/>
              </w:rPr>
            </w:pPr>
            <w:r w:rsidRPr="00D73F82">
              <w:rPr>
                <w:sz w:val="20"/>
                <w:lang w:val="en-GB"/>
              </w:rPr>
              <w:t>Nervous System Disorders</w:t>
            </w:r>
          </w:p>
        </w:tc>
        <w:tc>
          <w:tcPr>
            <w:tcW w:w="3544" w:type="dxa"/>
            <w:shd w:val="clear" w:color="auto" w:fill="auto"/>
          </w:tcPr>
          <w:p w14:paraId="0B618FD8" w14:textId="77777777" w:rsidR="007F7719" w:rsidRPr="00D73F82" w:rsidRDefault="007F7719" w:rsidP="007F7719">
            <w:pPr>
              <w:pStyle w:val="TextTi12"/>
              <w:rPr>
                <w:sz w:val="20"/>
                <w:lang w:val="en-GB"/>
              </w:rPr>
            </w:pPr>
            <w:r w:rsidRPr="00EA070F">
              <w:rPr>
                <w:sz w:val="20"/>
                <w:lang w:val="en-GB"/>
              </w:rPr>
              <w:t>Burning sensation</w:t>
            </w:r>
          </w:p>
        </w:tc>
      </w:tr>
      <w:tr w:rsidR="007F7719" w:rsidRPr="00732819" w14:paraId="2825CC12" w14:textId="77777777" w:rsidTr="007F7719">
        <w:tc>
          <w:tcPr>
            <w:tcW w:w="3544" w:type="dxa"/>
            <w:shd w:val="clear" w:color="auto" w:fill="auto"/>
          </w:tcPr>
          <w:p w14:paraId="5475F03D" w14:textId="77777777" w:rsidR="007F7719" w:rsidRPr="00D73F82" w:rsidRDefault="007F7719" w:rsidP="007F7719">
            <w:pPr>
              <w:pStyle w:val="TextTi12"/>
              <w:rPr>
                <w:sz w:val="20"/>
                <w:lang w:val="en-GB"/>
              </w:rPr>
            </w:pPr>
            <w:r w:rsidRPr="00D73F82">
              <w:rPr>
                <w:sz w:val="20"/>
                <w:lang w:val="en-GB"/>
              </w:rPr>
              <w:t>Renal disorders</w:t>
            </w:r>
          </w:p>
        </w:tc>
        <w:tc>
          <w:tcPr>
            <w:tcW w:w="3544" w:type="dxa"/>
            <w:shd w:val="clear" w:color="auto" w:fill="auto"/>
          </w:tcPr>
          <w:p w14:paraId="4B8E2B74" w14:textId="49DC0BFB" w:rsidR="007F7719" w:rsidRPr="00D73F82" w:rsidRDefault="007F7719" w:rsidP="007F7719">
            <w:pPr>
              <w:pStyle w:val="TextTi12"/>
              <w:rPr>
                <w:strike/>
                <w:sz w:val="20"/>
                <w:lang w:val="en-GB"/>
              </w:rPr>
            </w:pPr>
            <w:r w:rsidRPr="00EA070F">
              <w:rPr>
                <w:rFonts w:cs="Arial"/>
                <w:sz w:val="20"/>
                <w:lang w:val="en-US"/>
              </w:rPr>
              <w:t>Renal failure acute</w:t>
            </w:r>
          </w:p>
        </w:tc>
      </w:tr>
      <w:tr w:rsidR="007F7719" w:rsidRPr="00732819" w14:paraId="628D4226" w14:textId="77777777" w:rsidTr="007F7719">
        <w:tc>
          <w:tcPr>
            <w:tcW w:w="3544" w:type="dxa"/>
            <w:shd w:val="clear" w:color="auto" w:fill="auto"/>
          </w:tcPr>
          <w:p w14:paraId="4D129A97" w14:textId="77777777" w:rsidR="007F7719" w:rsidRPr="00D73F82" w:rsidRDefault="007F7719" w:rsidP="007F7719">
            <w:pPr>
              <w:pStyle w:val="TextTi12"/>
              <w:rPr>
                <w:sz w:val="20"/>
                <w:lang w:val="en-GB"/>
              </w:rPr>
            </w:pPr>
            <w:r w:rsidRPr="00D73F82">
              <w:rPr>
                <w:sz w:val="20"/>
                <w:lang w:val="en-GB"/>
              </w:rPr>
              <w:t>Vascular disorders</w:t>
            </w:r>
          </w:p>
        </w:tc>
        <w:tc>
          <w:tcPr>
            <w:tcW w:w="3544" w:type="dxa"/>
            <w:shd w:val="clear" w:color="auto" w:fill="auto"/>
          </w:tcPr>
          <w:p w14:paraId="5DC17AB4" w14:textId="77777777" w:rsidR="007F7719" w:rsidRPr="00D73F82" w:rsidRDefault="007F7719" w:rsidP="007F7719">
            <w:pPr>
              <w:pStyle w:val="TextTi12"/>
              <w:rPr>
                <w:sz w:val="20"/>
                <w:lang w:val="en-GB"/>
              </w:rPr>
            </w:pPr>
            <w:r w:rsidRPr="00EA070F">
              <w:rPr>
                <w:sz w:val="20"/>
                <w:lang w:val="en-GB"/>
              </w:rPr>
              <w:t>Hot flush</w:t>
            </w:r>
          </w:p>
        </w:tc>
      </w:tr>
    </w:tbl>
    <w:p w14:paraId="602FA82F" w14:textId="77777777" w:rsidR="007F7719" w:rsidRDefault="007F7719" w:rsidP="007F7719">
      <w:pPr>
        <w:jc w:val="both"/>
        <w:rPr>
          <w:rFonts w:ascii="Times New Roman" w:hAnsi="Times New Roman"/>
          <w:sz w:val="16"/>
          <w:szCs w:val="16"/>
          <w:u w:val="single"/>
          <w:lang w:val="en-US"/>
        </w:rPr>
      </w:pPr>
      <w:r w:rsidRPr="00145441">
        <w:rPr>
          <w:rFonts w:ascii="Times New Roman" w:hAnsi="Times New Roman"/>
          <w:sz w:val="16"/>
          <w:szCs w:val="16"/>
          <w:lang w:val="en-US"/>
        </w:rPr>
        <w:t xml:space="preserve">* see section </w:t>
      </w:r>
      <w:r w:rsidRPr="004B5445">
        <w:rPr>
          <w:rFonts w:ascii="Times New Roman" w:hAnsi="Times New Roman"/>
          <w:sz w:val="16"/>
          <w:szCs w:val="16"/>
          <w:u w:val="single"/>
          <w:lang w:val="en-US"/>
        </w:rPr>
        <w:t>Description of selected adverse reactions.</w:t>
      </w:r>
    </w:p>
    <w:p w14:paraId="1F5400FF" w14:textId="77777777" w:rsidR="007F7719" w:rsidRPr="00EA070F" w:rsidRDefault="007F7719" w:rsidP="007F7719">
      <w:pPr>
        <w:jc w:val="both"/>
        <w:rPr>
          <w:b/>
          <w:sz w:val="22"/>
          <w:u w:val="single"/>
          <w:vertAlign w:val="superscript"/>
          <w:lang w:val="en-US"/>
        </w:rPr>
      </w:pPr>
    </w:p>
    <w:p w14:paraId="22688543" w14:textId="77777777" w:rsidR="00F82A4A" w:rsidRDefault="00F82A4A" w:rsidP="00F82A4A">
      <w:pPr>
        <w:rPr>
          <w:noProof/>
          <w:szCs w:val="22"/>
          <w:u w:val="single"/>
        </w:rPr>
      </w:pPr>
      <w:r w:rsidRPr="005728B5">
        <w:rPr>
          <w:noProof/>
          <w:szCs w:val="22"/>
          <w:u w:val="single"/>
        </w:rPr>
        <w:t>Description of selected adverse reactions</w:t>
      </w:r>
    </w:p>
    <w:p w14:paraId="22688544" w14:textId="77777777" w:rsidR="00F82A4A" w:rsidRPr="005728B5" w:rsidRDefault="00F82A4A" w:rsidP="00F82A4A">
      <w:pPr>
        <w:rPr>
          <w:noProof/>
          <w:szCs w:val="22"/>
          <w:u w:val="single"/>
        </w:rPr>
      </w:pPr>
    </w:p>
    <w:p w14:paraId="22688545" w14:textId="77777777" w:rsidR="00F82A4A" w:rsidRPr="003E0ABC" w:rsidRDefault="00F82A4A" w:rsidP="00F82A4A">
      <w:pPr>
        <w:rPr>
          <w:i/>
          <w:noProof/>
          <w:szCs w:val="22"/>
          <w:u w:val="single"/>
        </w:rPr>
      </w:pPr>
      <w:r w:rsidRPr="003E0ABC">
        <w:rPr>
          <w:i/>
          <w:noProof/>
          <w:szCs w:val="22"/>
          <w:u w:val="single"/>
        </w:rPr>
        <w:t>Pharmacological effects associated with titration and maintenance treatment</w:t>
      </w:r>
    </w:p>
    <w:p w14:paraId="22688547" w14:textId="76AD37A8" w:rsidR="00F82A4A" w:rsidRDefault="00F82A4A" w:rsidP="00E47CFE">
      <w:pPr>
        <w:jc w:val="both"/>
        <w:rPr>
          <w:noProof/>
          <w:szCs w:val="22"/>
        </w:rPr>
      </w:pPr>
      <w:r w:rsidRPr="003E0ABC">
        <w:rPr>
          <w:noProof/>
          <w:szCs w:val="22"/>
        </w:rPr>
        <w:t xml:space="preserve">Adverse reactions associated with the pharmacological action of selexipag have been observed frequently, in particular during </w:t>
      </w:r>
      <w:r>
        <w:rPr>
          <w:noProof/>
          <w:szCs w:val="22"/>
        </w:rPr>
        <w:t xml:space="preserve">the phase of </w:t>
      </w:r>
      <w:r w:rsidRPr="003E0ABC">
        <w:rPr>
          <w:noProof/>
          <w:szCs w:val="22"/>
        </w:rPr>
        <w:t>individuali</w:t>
      </w:r>
      <w:r w:rsidR="001A030B">
        <w:rPr>
          <w:noProof/>
          <w:szCs w:val="22"/>
        </w:rPr>
        <w:t>s</w:t>
      </w:r>
      <w:r w:rsidRPr="003E0ABC">
        <w:rPr>
          <w:noProof/>
          <w:szCs w:val="22"/>
        </w:rPr>
        <w:t>ed dose titration</w:t>
      </w:r>
      <w:r w:rsidR="0071174A">
        <w:rPr>
          <w:noProof/>
          <w:szCs w:val="22"/>
        </w:rPr>
        <w:t xml:space="preserve"> (Table </w:t>
      </w:r>
      <w:r w:rsidR="0060495D">
        <w:rPr>
          <w:noProof/>
          <w:szCs w:val="22"/>
        </w:rPr>
        <w:t>4</w:t>
      </w:r>
      <w:r w:rsidR="0071174A">
        <w:rPr>
          <w:noProof/>
          <w:szCs w:val="22"/>
        </w:rPr>
        <w:t>)</w:t>
      </w:r>
      <w:r w:rsidRPr="003E0ABC">
        <w:rPr>
          <w:noProof/>
          <w:szCs w:val="22"/>
        </w:rPr>
        <w:t xml:space="preserve">. These effects are </w:t>
      </w:r>
      <w:r w:rsidR="007F7719">
        <w:rPr>
          <w:noProof/>
          <w:szCs w:val="22"/>
        </w:rPr>
        <w:t xml:space="preserve">usually </w:t>
      </w:r>
      <w:r w:rsidRPr="003E0ABC">
        <w:rPr>
          <w:noProof/>
          <w:szCs w:val="22"/>
        </w:rPr>
        <w:t>transient or manageable with symptomatic treatment.</w:t>
      </w:r>
    </w:p>
    <w:p w14:paraId="22688548" w14:textId="77777777" w:rsidR="001A030B" w:rsidRPr="003E0ABC" w:rsidRDefault="001A030B" w:rsidP="00F82A4A">
      <w:pPr>
        <w:rPr>
          <w:noProof/>
          <w:szCs w:val="22"/>
        </w:rPr>
      </w:pPr>
    </w:p>
    <w:p w14:paraId="22688549" w14:textId="31121D40" w:rsidR="001A030B" w:rsidRPr="00BE519C" w:rsidRDefault="001A030B" w:rsidP="00E47CFE">
      <w:pPr>
        <w:keepNext/>
        <w:spacing w:before="120" w:after="60"/>
        <w:ind w:left="993" w:hanging="993"/>
        <w:rPr>
          <w:rFonts w:ascii="Times New Roman" w:hAnsi="Times New Roman"/>
          <w:b/>
          <w:u w:val="single"/>
          <w:lang w:val="x-none" w:eastAsia="x-none"/>
        </w:rPr>
      </w:pPr>
      <w:bookmarkStart w:id="10" w:name="_Toc401668135"/>
      <w:r w:rsidRPr="00BE519C">
        <w:rPr>
          <w:rFonts w:ascii="Times New Roman" w:hAnsi="Times New Roman"/>
          <w:b/>
          <w:u w:val="single"/>
          <w:lang w:val="x-none" w:eastAsia="x-none"/>
        </w:rPr>
        <w:t xml:space="preserve">Table </w:t>
      </w:r>
      <w:r w:rsidR="0060495D">
        <w:rPr>
          <w:rFonts w:ascii="Times New Roman" w:hAnsi="Times New Roman"/>
          <w:b/>
          <w:u w:val="single"/>
          <w:lang w:eastAsia="x-none"/>
        </w:rPr>
        <w:t>4</w:t>
      </w:r>
      <w:r w:rsidR="00E47CFE">
        <w:rPr>
          <w:rFonts w:ascii="Times New Roman" w:hAnsi="Times New Roman"/>
          <w:b/>
          <w:u w:val="single"/>
          <w:lang w:eastAsia="x-none"/>
        </w:rPr>
        <w:t xml:space="preserve">: </w:t>
      </w:r>
      <w:r w:rsidRPr="00BE519C">
        <w:rPr>
          <w:rFonts w:ascii="Times New Roman" w:hAnsi="Times New Roman"/>
          <w:b/>
          <w:color w:val="000000"/>
          <w:szCs w:val="24"/>
          <w:u w:val="single"/>
          <w:lang w:val="en-US" w:eastAsia="x-none"/>
        </w:rPr>
        <w:t>Adverse reactions associated with pharmacological action of selexipag during titration and maintenance phase (&gt; 3% placebo-corrected incidence in decreasing order)</w:t>
      </w:r>
      <w:bookmarkEnd w:id="10"/>
    </w:p>
    <w:tbl>
      <w:tblPr>
        <w:tblW w:w="3880" w:type="pct"/>
        <w:tblLook w:val="0000" w:firstRow="0" w:lastRow="0" w:firstColumn="0" w:lastColumn="0" w:noHBand="0" w:noVBand="0"/>
      </w:tblPr>
      <w:tblGrid>
        <w:gridCol w:w="2917"/>
        <w:gridCol w:w="1730"/>
        <w:gridCol w:w="1973"/>
      </w:tblGrid>
      <w:tr w:rsidR="001A030B" w:rsidRPr="001A030B" w14:paraId="2268854C" w14:textId="77777777" w:rsidTr="00E9652C">
        <w:trPr>
          <w:cantSplit/>
          <w:tblHeader/>
        </w:trPr>
        <w:tc>
          <w:tcPr>
            <w:tcW w:w="2203" w:type="pct"/>
            <w:tcBorders>
              <w:top w:val="single" w:sz="4" w:space="0" w:color="auto"/>
              <w:left w:val="single" w:sz="4" w:space="0" w:color="auto"/>
              <w:bottom w:val="single" w:sz="4" w:space="0" w:color="auto"/>
            </w:tcBorders>
          </w:tcPr>
          <w:p w14:paraId="2268854A" w14:textId="77777777" w:rsidR="001A030B" w:rsidRPr="001A030B" w:rsidRDefault="001A030B" w:rsidP="001A030B">
            <w:pPr>
              <w:rPr>
                <w:rFonts w:ascii="Times New Roman" w:hAnsi="Times New Roman"/>
                <w:b/>
                <w:sz w:val="20"/>
                <w:lang w:val="en-GB"/>
              </w:rPr>
            </w:pPr>
          </w:p>
        </w:tc>
        <w:tc>
          <w:tcPr>
            <w:tcW w:w="2797" w:type="pct"/>
            <w:gridSpan w:val="2"/>
            <w:tcBorders>
              <w:top w:val="single" w:sz="4" w:space="0" w:color="auto"/>
              <w:bottom w:val="single" w:sz="4" w:space="0" w:color="auto"/>
              <w:right w:val="single" w:sz="4" w:space="0" w:color="auto"/>
            </w:tcBorders>
            <w:vAlign w:val="center"/>
          </w:tcPr>
          <w:p w14:paraId="2268854B" w14:textId="77777777" w:rsidR="001A030B" w:rsidRPr="001A030B" w:rsidRDefault="001A030B" w:rsidP="001A030B">
            <w:pPr>
              <w:spacing w:line="260" w:lineRule="atLeast"/>
              <w:contextualSpacing/>
              <w:jc w:val="center"/>
              <w:rPr>
                <w:rFonts w:ascii="Times New Roman" w:hAnsi="Times New Roman"/>
                <w:b/>
                <w:sz w:val="20"/>
                <w:lang w:val="en-US"/>
              </w:rPr>
            </w:pPr>
            <w:r w:rsidRPr="001A030B">
              <w:rPr>
                <w:rFonts w:ascii="Times New Roman" w:hAnsi="Times New Roman"/>
                <w:b/>
                <w:sz w:val="20"/>
                <w:lang w:val="en-US"/>
              </w:rPr>
              <w:t>Selexipag</w:t>
            </w:r>
          </w:p>
        </w:tc>
      </w:tr>
      <w:tr w:rsidR="001A030B" w:rsidRPr="001A030B" w14:paraId="22688553" w14:textId="77777777" w:rsidTr="00E9652C">
        <w:trPr>
          <w:cantSplit/>
          <w:tblHeader/>
        </w:trPr>
        <w:tc>
          <w:tcPr>
            <w:tcW w:w="2203" w:type="pct"/>
            <w:tcBorders>
              <w:top w:val="single" w:sz="4" w:space="0" w:color="auto"/>
              <w:left w:val="single" w:sz="4" w:space="0" w:color="auto"/>
              <w:bottom w:val="single" w:sz="4" w:space="0" w:color="auto"/>
            </w:tcBorders>
          </w:tcPr>
          <w:p w14:paraId="2268854D" w14:textId="77777777" w:rsidR="001A030B" w:rsidRPr="001A030B" w:rsidRDefault="001A030B" w:rsidP="001A030B">
            <w:pPr>
              <w:rPr>
                <w:rFonts w:ascii="Times New Roman" w:hAnsi="Times New Roman"/>
                <w:b/>
                <w:sz w:val="20"/>
                <w:lang w:val="en-US"/>
              </w:rPr>
            </w:pPr>
            <w:r w:rsidRPr="001A030B">
              <w:rPr>
                <w:rFonts w:ascii="Times New Roman" w:hAnsi="Times New Roman"/>
                <w:b/>
                <w:sz w:val="20"/>
                <w:lang w:val="en-GB"/>
              </w:rPr>
              <w:t>Adverse reaction</w:t>
            </w:r>
          </w:p>
        </w:tc>
        <w:tc>
          <w:tcPr>
            <w:tcW w:w="1307" w:type="pct"/>
            <w:tcBorders>
              <w:top w:val="single" w:sz="4" w:space="0" w:color="auto"/>
              <w:bottom w:val="single" w:sz="4" w:space="0" w:color="auto"/>
            </w:tcBorders>
          </w:tcPr>
          <w:p w14:paraId="2268854E" w14:textId="77777777" w:rsidR="001A030B" w:rsidRPr="001A030B" w:rsidRDefault="001A030B" w:rsidP="001A030B">
            <w:pPr>
              <w:spacing w:line="260" w:lineRule="atLeast"/>
              <w:rPr>
                <w:rFonts w:ascii="Times New Roman" w:hAnsi="Times New Roman"/>
                <w:b/>
                <w:sz w:val="20"/>
                <w:lang w:val="en-US"/>
              </w:rPr>
            </w:pPr>
            <w:r w:rsidRPr="001A030B">
              <w:rPr>
                <w:rFonts w:ascii="Times New Roman" w:hAnsi="Times New Roman"/>
                <w:b/>
                <w:sz w:val="20"/>
                <w:lang w:val="en-US"/>
              </w:rPr>
              <w:t>Titration phase (</w:t>
            </w:r>
            <w:r w:rsidR="008B3E31">
              <w:rPr>
                <w:rFonts w:ascii="Times New Roman" w:hAnsi="Times New Roman"/>
                <w:b/>
                <w:sz w:val="20"/>
                <w:lang w:val="en-US"/>
              </w:rPr>
              <w:t xml:space="preserve">≤ </w:t>
            </w:r>
            <w:r w:rsidRPr="001A030B">
              <w:rPr>
                <w:rFonts w:ascii="Times New Roman" w:hAnsi="Times New Roman"/>
                <w:b/>
                <w:sz w:val="20"/>
                <w:lang w:val="en-US"/>
              </w:rPr>
              <w:t>12 weeks)</w:t>
            </w:r>
          </w:p>
          <w:p w14:paraId="2268854F" w14:textId="77777777" w:rsidR="001A030B" w:rsidRPr="001A030B" w:rsidRDefault="001A030B" w:rsidP="001A030B">
            <w:pPr>
              <w:spacing w:line="260" w:lineRule="atLeast"/>
              <w:rPr>
                <w:rFonts w:ascii="Times New Roman" w:hAnsi="Times New Roman"/>
                <w:b/>
                <w:sz w:val="20"/>
                <w:lang w:val="en-US"/>
              </w:rPr>
            </w:pPr>
            <w:r w:rsidRPr="001A030B">
              <w:rPr>
                <w:rFonts w:ascii="Times New Roman" w:hAnsi="Times New Roman"/>
                <w:b/>
                <w:sz w:val="20"/>
                <w:lang w:val="en-US"/>
              </w:rPr>
              <w:t>N = 509</w:t>
            </w:r>
          </w:p>
        </w:tc>
        <w:tc>
          <w:tcPr>
            <w:tcW w:w="1490" w:type="pct"/>
            <w:tcBorders>
              <w:top w:val="single" w:sz="4" w:space="0" w:color="auto"/>
              <w:bottom w:val="single" w:sz="4" w:space="0" w:color="auto"/>
              <w:right w:val="single" w:sz="4" w:space="0" w:color="auto"/>
            </w:tcBorders>
          </w:tcPr>
          <w:p w14:paraId="22688550" w14:textId="77777777" w:rsidR="001A030B" w:rsidRPr="001A030B" w:rsidRDefault="001A030B" w:rsidP="001A030B">
            <w:pPr>
              <w:spacing w:line="260" w:lineRule="atLeast"/>
              <w:contextualSpacing/>
              <w:jc w:val="both"/>
              <w:rPr>
                <w:rFonts w:ascii="Times New Roman" w:hAnsi="Times New Roman"/>
                <w:b/>
                <w:sz w:val="20"/>
                <w:lang w:val="en-US"/>
              </w:rPr>
            </w:pPr>
            <w:r w:rsidRPr="001A030B">
              <w:rPr>
                <w:rFonts w:ascii="Times New Roman" w:hAnsi="Times New Roman"/>
                <w:b/>
                <w:sz w:val="20"/>
                <w:lang w:val="en-US"/>
              </w:rPr>
              <w:t xml:space="preserve">Maintenance phase </w:t>
            </w:r>
          </w:p>
          <w:p w14:paraId="22688551" w14:textId="77777777" w:rsidR="001A030B" w:rsidRPr="001A030B" w:rsidRDefault="001A030B" w:rsidP="001A030B">
            <w:pPr>
              <w:spacing w:line="260" w:lineRule="atLeast"/>
              <w:contextualSpacing/>
              <w:jc w:val="both"/>
              <w:rPr>
                <w:rFonts w:ascii="Times New Roman" w:hAnsi="Times New Roman"/>
                <w:b/>
                <w:sz w:val="20"/>
                <w:lang w:val="en-US"/>
              </w:rPr>
            </w:pPr>
            <w:r w:rsidRPr="001A030B">
              <w:rPr>
                <w:rFonts w:ascii="Times New Roman" w:hAnsi="Times New Roman"/>
                <w:b/>
                <w:sz w:val="20"/>
                <w:lang w:val="en-US"/>
              </w:rPr>
              <w:t>(&gt; 12 weeks)</w:t>
            </w:r>
          </w:p>
          <w:p w14:paraId="22688552" w14:textId="77777777" w:rsidR="001A030B" w:rsidRPr="001A030B" w:rsidRDefault="001A030B" w:rsidP="001A030B">
            <w:pPr>
              <w:spacing w:line="260" w:lineRule="atLeast"/>
              <w:contextualSpacing/>
              <w:jc w:val="both"/>
              <w:rPr>
                <w:rFonts w:ascii="Times New Roman" w:hAnsi="Times New Roman"/>
                <w:b/>
                <w:sz w:val="20"/>
                <w:lang w:val="en-US"/>
              </w:rPr>
            </w:pPr>
            <w:r w:rsidRPr="001A030B">
              <w:rPr>
                <w:rFonts w:ascii="Times New Roman" w:hAnsi="Times New Roman"/>
                <w:b/>
                <w:sz w:val="20"/>
                <w:lang w:val="en-US"/>
              </w:rPr>
              <w:t>N = 509</w:t>
            </w:r>
          </w:p>
        </w:tc>
      </w:tr>
      <w:tr w:rsidR="001A030B" w:rsidRPr="001A030B" w14:paraId="22688557" w14:textId="77777777" w:rsidTr="00E9652C">
        <w:trPr>
          <w:cantSplit/>
        </w:trPr>
        <w:tc>
          <w:tcPr>
            <w:tcW w:w="2203" w:type="pct"/>
            <w:tcBorders>
              <w:left w:val="single" w:sz="4" w:space="0" w:color="auto"/>
            </w:tcBorders>
          </w:tcPr>
          <w:p w14:paraId="22688554" w14:textId="77777777" w:rsidR="001A030B" w:rsidRPr="001A030B" w:rsidRDefault="001A030B" w:rsidP="001A030B">
            <w:pPr>
              <w:spacing w:line="260" w:lineRule="atLeast"/>
              <w:rPr>
                <w:rFonts w:ascii="Times New Roman" w:hAnsi="Times New Roman"/>
                <w:b/>
                <w:sz w:val="20"/>
                <w:lang w:val="en-US"/>
              </w:rPr>
            </w:pPr>
          </w:p>
        </w:tc>
        <w:tc>
          <w:tcPr>
            <w:tcW w:w="1307" w:type="pct"/>
          </w:tcPr>
          <w:p w14:paraId="22688555" w14:textId="77777777" w:rsidR="001A030B" w:rsidRPr="001A030B" w:rsidDel="007913BA" w:rsidRDefault="001A030B" w:rsidP="001A030B">
            <w:pPr>
              <w:spacing w:line="260" w:lineRule="atLeast"/>
              <w:rPr>
                <w:rFonts w:ascii="Times New Roman" w:hAnsi="Times New Roman"/>
                <w:sz w:val="20"/>
                <w:lang w:val="en-GB"/>
              </w:rPr>
            </w:pPr>
          </w:p>
        </w:tc>
        <w:tc>
          <w:tcPr>
            <w:tcW w:w="1490" w:type="pct"/>
            <w:tcBorders>
              <w:right w:val="single" w:sz="4" w:space="0" w:color="auto"/>
            </w:tcBorders>
          </w:tcPr>
          <w:p w14:paraId="22688556" w14:textId="77777777" w:rsidR="001A030B" w:rsidRPr="001A030B" w:rsidDel="007913BA" w:rsidRDefault="001A030B" w:rsidP="001A030B">
            <w:pPr>
              <w:spacing w:line="260" w:lineRule="atLeast"/>
              <w:rPr>
                <w:rFonts w:ascii="Times New Roman" w:hAnsi="Times New Roman"/>
                <w:sz w:val="20"/>
                <w:lang w:val="en-GB"/>
              </w:rPr>
            </w:pPr>
          </w:p>
        </w:tc>
      </w:tr>
      <w:tr w:rsidR="001A030B" w:rsidRPr="001A030B" w14:paraId="2268855B" w14:textId="77777777" w:rsidTr="00E9652C">
        <w:trPr>
          <w:cantSplit/>
        </w:trPr>
        <w:tc>
          <w:tcPr>
            <w:tcW w:w="2203" w:type="pct"/>
            <w:tcBorders>
              <w:left w:val="single" w:sz="4" w:space="0" w:color="auto"/>
            </w:tcBorders>
          </w:tcPr>
          <w:p w14:paraId="22688558"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Headache</w:t>
            </w:r>
          </w:p>
        </w:tc>
        <w:tc>
          <w:tcPr>
            <w:tcW w:w="1307" w:type="pct"/>
          </w:tcPr>
          <w:p w14:paraId="22688559"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36%</w:t>
            </w:r>
          </w:p>
        </w:tc>
        <w:tc>
          <w:tcPr>
            <w:tcW w:w="1490" w:type="pct"/>
            <w:tcBorders>
              <w:right w:val="single" w:sz="4" w:space="0" w:color="auto"/>
            </w:tcBorders>
          </w:tcPr>
          <w:p w14:paraId="2268855A"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20%</w:t>
            </w:r>
          </w:p>
        </w:tc>
      </w:tr>
      <w:tr w:rsidR="001A030B" w:rsidRPr="001A030B" w14:paraId="2268855F" w14:textId="77777777" w:rsidTr="00E9652C">
        <w:trPr>
          <w:cantSplit/>
        </w:trPr>
        <w:tc>
          <w:tcPr>
            <w:tcW w:w="2203" w:type="pct"/>
            <w:tcBorders>
              <w:left w:val="single" w:sz="4" w:space="0" w:color="auto"/>
            </w:tcBorders>
          </w:tcPr>
          <w:p w14:paraId="2268855C"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lastRenderedPageBreak/>
              <w:t>Diarrh</w:t>
            </w:r>
            <w:r>
              <w:rPr>
                <w:rFonts w:ascii="Times New Roman" w:hAnsi="Times New Roman" w:cs="Arial"/>
                <w:sz w:val="20"/>
                <w:lang w:val="en-US"/>
              </w:rPr>
              <w:t>o</w:t>
            </w:r>
            <w:r w:rsidRPr="001A030B">
              <w:rPr>
                <w:rFonts w:ascii="Times New Roman" w:hAnsi="Times New Roman" w:cs="Arial"/>
                <w:sz w:val="20"/>
                <w:lang w:val="en-US"/>
              </w:rPr>
              <w:t>ea</w:t>
            </w:r>
          </w:p>
        </w:tc>
        <w:tc>
          <w:tcPr>
            <w:tcW w:w="1307" w:type="pct"/>
          </w:tcPr>
          <w:p w14:paraId="2268855D" w14:textId="77777777" w:rsidR="001A030B" w:rsidRPr="001A030B" w:rsidDel="007913BA"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24%</w:t>
            </w:r>
          </w:p>
        </w:tc>
        <w:tc>
          <w:tcPr>
            <w:tcW w:w="1490" w:type="pct"/>
            <w:tcBorders>
              <w:right w:val="single" w:sz="4" w:space="0" w:color="auto"/>
            </w:tcBorders>
          </w:tcPr>
          <w:p w14:paraId="2268855E" w14:textId="77777777" w:rsidR="001A030B" w:rsidRPr="001A030B" w:rsidDel="007913BA" w:rsidRDefault="002844A8" w:rsidP="002844A8">
            <w:pPr>
              <w:spacing w:line="260" w:lineRule="atLeast"/>
              <w:rPr>
                <w:rFonts w:ascii="Times New Roman" w:hAnsi="Times New Roman" w:cs="Arial"/>
                <w:sz w:val="20"/>
                <w:lang w:val="en-US"/>
              </w:rPr>
            </w:pPr>
            <w:r w:rsidRPr="001A030B">
              <w:rPr>
                <w:rFonts w:ascii="Times New Roman" w:hAnsi="Times New Roman" w:cs="Arial"/>
                <w:sz w:val="20"/>
                <w:lang w:val="en-US"/>
              </w:rPr>
              <w:t>1</w:t>
            </w:r>
            <w:r>
              <w:rPr>
                <w:rFonts w:ascii="Times New Roman" w:hAnsi="Times New Roman" w:cs="Arial"/>
                <w:sz w:val="20"/>
                <w:lang w:val="en-US"/>
              </w:rPr>
              <w:t>6</w:t>
            </w:r>
            <w:r w:rsidR="001A030B" w:rsidRPr="001A030B">
              <w:rPr>
                <w:rFonts w:ascii="Times New Roman" w:hAnsi="Times New Roman" w:cs="Arial"/>
                <w:sz w:val="20"/>
                <w:lang w:val="en-US"/>
              </w:rPr>
              <w:t>%</w:t>
            </w:r>
          </w:p>
        </w:tc>
      </w:tr>
      <w:tr w:rsidR="001A030B" w:rsidRPr="001A030B" w14:paraId="22688563" w14:textId="77777777" w:rsidTr="00E9652C">
        <w:trPr>
          <w:cantSplit/>
        </w:trPr>
        <w:tc>
          <w:tcPr>
            <w:tcW w:w="2203" w:type="pct"/>
            <w:tcBorders>
              <w:left w:val="single" w:sz="4" w:space="0" w:color="auto"/>
            </w:tcBorders>
          </w:tcPr>
          <w:p w14:paraId="22688560" w14:textId="77777777" w:rsidR="001A030B" w:rsidRPr="001A030B" w:rsidRDefault="001A030B" w:rsidP="001A030B">
            <w:pPr>
              <w:rPr>
                <w:rFonts w:ascii="Times New Roman" w:hAnsi="Times New Roman" w:cs="Arial"/>
                <w:sz w:val="20"/>
                <w:lang w:val="en-US"/>
              </w:rPr>
            </w:pPr>
            <w:r w:rsidRPr="001A030B">
              <w:rPr>
                <w:rFonts w:ascii="Times New Roman" w:hAnsi="Times New Roman" w:cs="Arial"/>
                <w:sz w:val="20"/>
                <w:lang w:val="en-US"/>
              </w:rPr>
              <w:t>Jaw pain</w:t>
            </w:r>
          </w:p>
        </w:tc>
        <w:tc>
          <w:tcPr>
            <w:tcW w:w="1307" w:type="pct"/>
          </w:tcPr>
          <w:p w14:paraId="22688561" w14:textId="77777777" w:rsidR="001A030B" w:rsidRPr="001A030B" w:rsidRDefault="001A030B" w:rsidP="001A030B">
            <w:pPr>
              <w:tabs>
                <w:tab w:val="left" w:pos="522"/>
              </w:tabs>
              <w:rPr>
                <w:rFonts w:ascii="Times New Roman" w:hAnsi="Times New Roman" w:cs="Arial"/>
                <w:sz w:val="20"/>
                <w:lang w:val="en-US"/>
              </w:rPr>
            </w:pPr>
            <w:r w:rsidRPr="001A030B">
              <w:rPr>
                <w:rFonts w:ascii="Times New Roman" w:hAnsi="Times New Roman" w:cs="Arial"/>
                <w:sz w:val="20"/>
                <w:lang w:val="en-US"/>
              </w:rPr>
              <w:t>22%</w:t>
            </w:r>
          </w:p>
        </w:tc>
        <w:tc>
          <w:tcPr>
            <w:tcW w:w="1490" w:type="pct"/>
            <w:tcBorders>
              <w:right w:val="single" w:sz="4" w:space="0" w:color="auto"/>
            </w:tcBorders>
          </w:tcPr>
          <w:p w14:paraId="22688562" w14:textId="77777777" w:rsidR="001A030B" w:rsidRPr="001A030B" w:rsidRDefault="001A030B" w:rsidP="001A030B">
            <w:pPr>
              <w:tabs>
                <w:tab w:val="left" w:pos="522"/>
              </w:tabs>
              <w:rPr>
                <w:rFonts w:ascii="Times New Roman" w:hAnsi="Times New Roman" w:cs="Arial"/>
                <w:sz w:val="20"/>
                <w:lang w:val="en-US"/>
              </w:rPr>
            </w:pPr>
            <w:r w:rsidRPr="001A030B">
              <w:rPr>
                <w:rFonts w:ascii="Times New Roman" w:hAnsi="Times New Roman" w:cs="Arial"/>
                <w:sz w:val="20"/>
                <w:lang w:val="en-US"/>
              </w:rPr>
              <w:t>17%</w:t>
            </w:r>
          </w:p>
        </w:tc>
      </w:tr>
      <w:tr w:rsidR="001A030B" w:rsidRPr="001A030B" w14:paraId="22688567" w14:textId="77777777" w:rsidTr="00E9652C">
        <w:trPr>
          <w:cantSplit/>
        </w:trPr>
        <w:tc>
          <w:tcPr>
            <w:tcW w:w="2203" w:type="pct"/>
            <w:tcBorders>
              <w:left w:val="single" w:sz="4" w:space="0" w:color="auto"/>
            </w:tcBorders>
          </w:tcPr>
          <w:p w14:paraId="22688564"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Nausea</w:t>
            </w:r>
          </w:p>
        </w:tc>
        <w:tc>
          <w:tcPr>
            <w:tcW w:w="1307" w:type="pct"/>
          </w:tcPr>
          <w:p w14:paraId="22688565"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16%</w:t>
            </w:r>
          </w:p>
        </w:tc>
        <w:tc>
          <w:tcPr>
            <w:tcW w:w="1490" w:type="pct"/>
            <w:tcBorders>
              <w:right w:val="single" w:sz="4" w:space="0" w:color="auto"/>
            </w:tcBorders>
          </w:tcPr>
          <w:p w14:paraId="22688566"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 xml:space="preserve">  10%</w:t>
            </w:r>
          </w:p>
        </w:tc>
      </w:tr>
      <w:tr w:rsidR="001A030B" w:rsidRPr="001A030B" w14:paraId="2268856B" w14:textId="77777777" w:rsidTr="00E9652C">
        <w:trPr>
          <w:cantSplit/>
        </w:trPr>
        <w:tc>
          <w:tcPr>
            <w:tcW w:w="2203" w:type="pct"/>
            <w:tcBorders>
              <w:left w:val="single" w:sz="4" w:space="0" w:color="auto"/>
            </w:tcBorders>
          </w:tcPr>
          <w:p w14:paraId="22688568" w14:textId="77777777" w:rsidR="001A030B" w:rsidRPr="001A030B" w:rsidRDefault="001A030B" w:rsidP="001A030B">
            <w:pPr>
              <w:rPr>
                <w:rFonts w:ascii="Times New Roman" w:hAnsi="Times New Roman" w:cs="Arial"/>
                <w:sz w:val="20"/>
                <w:lang w:val="en-US"/>
              </w:rPr>
            </w:pPr>
            <w:r w:rsidRPr="001A030B">
              <w:rPr>
                <w:rFonts w:ascii="Times New Roman" w:hAnsi="Times New Roman" w:cs="Arial"/>
                <w:sz w:val="20"/>
                <w:lang w:val="en-US"/>
              </w:rPr>
              <w:t>Myalgia</w:t>
            </w:r>
          </w:p>
        </w:tc>
        <w:tc>
          <w:tcPr>
            <w:tcW w:w="1307" w:type="pct"/>
          </w:tcPr>
          <w:p w14:paraId="22688569" w14:textId="77777777" w:rsidR="001A030B" w:rsidRPr="001A030B" w:rsidRDefault="001A030B" w:rsidP="001A030B">
            <w:pPr>
              <w:rPr>
                <w:rFonts w:ascii="Times New Roman" w:hAnsi="Times New Roman" w:cs="Arial"/>
                <w:sz w:val="20"/>
                <w:lang w:val="en-US"/>
              </w:rPr>
            </w:pPr>
            <w:r w:rsidRPr="001A030B">
              <w:rPr>
                <w:rFonts w:ascii="Times New Roman" w:hAnsi="Times New Roman" w:cs="Arial"/>
                <w:sz w:val="20"/>
                <w:lang w:val="en-US"/>
              </w:rPr>
              <w:t>10%</w:t>
            </w:r>
          </w:p>
        </w:tc>
        <w:tc>
          <w:tcPr>
            <w:tcW w:w="1490" w:type="pct"/>
            <w:tcBorders>
              <w:right w:val="single" w:sz="4" w:space="0" w:color="auto"/>
            </w:tcBorders>
          </w:tcPr>
          <w:p w14:paraId="2268856A" w14:textId="77777777" w:rsidR="001A030B" w:rsidRPr="001A030B" w:rsidRDefault="001A030B" w:rsidP="001A030B">
            <w:pPr>
              <w:rPr>
                <w:rFonts w:ascii="Times New Roman" w:hAnsi="Times New Roman" w:cs="Arial"/>
                <w:sz w:val="20"/>
                <w:lang w:val="en-US"/>
              </w:rPr>
            </w:pPr>
            <w:r w:rsidRPr="001A030B">
              <w:rPr>
                <w:rFonts w:ascii="Times New Roman" w:hAnsi="Times New Roman" w:cs="Arial"/>
                <w:sz w:val="20"/>
                <w:lang w:val="en-US"/>
              </w:rPr>
              <w:t xml:space="preserve">  6%</w:t>
            </w:r>
          </w:p>
        </w:tc>
      </w:tr>
      <w:tr w:rsidR="001A030B" w:rsidRPr="001A030B" w14:paraId="2268856F" w14:textId="77777777" w:rsidTr="00E9652C">
        <w:trPr>
          <w:cantSplit/>
        </w:trPr>
        <w:tc>
          <w:tcPr>
            <w:tcW w:w="2203" w:type="pct"/>
            <w:tcBorders>
              <w:left w:val="single" w:sz="4" w:space="0" w:color="auto"/>
            </w:tcBorders>
          </w:tcPr>
          <w:p w14:paraId="2268856C"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Vomiting</w:t>
            </w:r>
          </w:p>
        </w:tc>
        <w:tc>
          <w:tcPr>
            <w:tcW w:w="1307" w:type="pct"/>
          </w:tcPr>
          <w:p w14:paraId="2268856D"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10%</w:t>
            </w:r>
          </w:p>
        </w:tc>
        <w:tc>
          <w:tcPr>
            <w:tcW w:w="1490" w:type="pct"/>
            <w:tcBorders>
              <w:right w:val="single" w:sz="4" w:space="0" w:color="auto"/>
            </w:tcBorders>
          </w:tcPr>
          <w:p w14:paraId="2268856E"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 xml:space="preserve">  2%</w:t>
            </w:r>
          </w:p>
        </w:tc>
      </w:tr>
      <w:tr w:rsidR="001A030B" w:rsidRPr="001A030B" w14:paraId="22688573" w14:textId="77777777" w:rsidTr="00E9652C">
        <w:trPr>
          <w:cantSplit/>
        </w:trPr>
        <w:tc>
          <w:tcPr>
            <w:tcW w:w="2203" w:type="pct"/>
            <w:tcBorders>
              <w:left w:val="single" w:sz="4" w:space="0" w:color="auto"/>
            </w:tcBorders>
          </w:tcPr>
          <w:p w14:paraId="22688570"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Pain in extremity</w:t>
            </w:r>
          </w:p>
        </w:tc>
        <w:tc>
          <w:tcPr>
            <w:tcW w:w="1307" w:type="pct"/>
          </w:tcPr>
          <w:p w14:paraId="22688571"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 xml:space="preserve">  9%</w:t>
            </w:r>
          </w:p>
        </w:tc>
        <w:tc>
          <w:tcPr>
            <w:tcW w:w="1490" w:type="pct"/>
            <w:tcBorders>
              <w:right w:val="single" w:sz="4" w:space="0" w:color="auto"/>
            </w:tcBorders>
          </w:tcPr>
          <w:p w14:paraId="22688572"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 xml:space="preserve">  7%</w:t>
            </w:r>
          </w:p>
        </w:tc>
      </w:tr>
      <w:tr w:rsidR="001A030B" w:rsidRPr="001A030B" w14:paraId="22688577" w14:textId="77777777" w:rsidTr="00E9652C">
        <w:trPr>
          <w:cantSplit/>
        </w:trPr>
        <w:tc>
          <w:tcPr>
            <w:tcW w:w="2203" w:type="pct"/>
            <w:tcBorders>
              <w:left w:val="single" w:sz="4" w:space="0" w:color="auto"/>
            </w:tcBorders>
          </w:tcPr>
          <w:p w14:paraId="22688574" w14:textId="77777777" w:rsidR="001A030B" w:rsidRPr="001A030B"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Flushing</w:t>
            </w:r>
          </w:p>
        </w:tc>
        <w:tc>
          <w:tcPr>
            <w:tcW w:w="1307" w:type="pct"/>
          </w:tcPr>
          <w:p w14:paraId="22688575" w14:textId="77777777" w:rsidR="001A030B" w:rsidRPr="001A030B" w:rsidDel="007913BA" w:rsidRDefault="001A030B" w:rsidP="002844A8">
            <w:pPr>
              <w:spacing w:line="260" w:lineRule="atLeast"/>
              <w:rPr>
                <w:rFonts w:ascii="Times New Roman" w:hAnsi="Times New Roman" w:cs="Arial"/>
                <w:sz w:val="20"/>
                <w:lang w:val="en-US"/>
              </w:rPr>
            </w:pPr>
            <w:r w:rsidRPr="001A030B">
              <w:rPr>
                <w:rFonts w:ascii="Times New Roman" w:hAnsi="Times New Roman" w:cs="Arial"/>
                <w:sz w:val="20"/>
                <w:lang w:val="en-US"/>
              </w:rPr>
              <w:t xml:space="preserve">  </w:t>
            </w:r>
            <w:r w:rsidR="002844A8">
              <w:rPr>
                <w:rFonts w:ascii="Times New Roman" w:hAnsi="Times New Roman" w:cs="Arial"/>
                <w:sz w:val="20"/>
                <w:lang w:val="en-US"/>
              </w:rPr>
              <w:t>7</w:t>
            </w:r>
            <w:r w:rsidRPr="001A030B">
              <w:rPr>
                <w:rFonts w:ascii="Times New Roman" w:hAnsi="Times New Roman" w:cs="Arial"/>
                <w:sz w:val="20"/>
                <w:lang w:val="en-US"/>
              </w:rPr>
              <w:t>%</w:t>
            </w:r>
          </w:p>
        </w:tc>
        <w:tc>
          <w:tcPr>
            <w:tcW w:w="1490" w:type="pct"/>
            <w:tcBorders>
              <w:right w:val="single" w:sz="4" w:space="0" w:color="auto"/>
            </w:tcBorders>
          </w:tcPr>
          <w:p w14:paraId="22688576" w14:textId="77777777" w:rsidR="001A030B" w:rsidRPr="001A030B" w:rsidDel="007913BA" w:rsidRDefault="001A030B" w:rsidP="001A030B">
            <w:pPr>
              <w:spacing w:line="260" w:lineRule="atLeast"/>
              <w:rPr>
                <w:rFonts w:ascii="Times New Roman" w:hAnsi="Times New Roman" w:cs="Arial"/>
                <w:sz w:val="20"/>
                <w:lang w:val="en-US"/>
              </w:rPr>
            </w:pPr>
            <w:r w:rsidRPr="001A030B">
              <w:rPr>
                <w:rFonts w:ascii="Times New Roman" w:hAnsi="Times New Roman" w:cs="Arial"/>
                <w:sz w:val="20"/>
                <w:lang w:val="en-US"/>
              </w:rPr>
              <w:t xml:space="preserve">  7%</w:t>
            </w:r>
          </w:p>
        </w:tc>
      </w:tr>
      <w:tr w:rsidR="001A030B" w:rsidRPr="001A030B" w14:paraId="2268857B" w14:textId="77777777" w:rsidTr="00E9652C">
        <w:trPr>
          <w:cantSplit/>
        </w:trPr>
        <w:tc>
          <w:tcPr>
            <w:tcW w:w="2203" w:type="pct"/>
            <w:tcBorders>
              <w:left w:val="single" w:sz="4" w:space="0" w:color="auto"/>
              <w:bottom w:val="single" w:sz="4" w:space="0" w:color="auto"/>
            </w:tcBorders>
          </w:tcPr>
          <w:p w14:paraId="22688578" w14:textId="77777777" w:rsidR="001A030B" w:rsidRPr="001A030B" w:rsidRDefault="001A030B" w:rsidP="001A030B">
            <w:pPr>
              <w:rPr>
                <w:rFonts w:ascii="Times New Roman" w:hAnsi="Times New Roman" w:cs="Arial"/>
                <w:sz w:val="20"/>
                <w:lang w:val="en-US"/>
              </w:rPr>
            </w:pPr>
            <w:r w:rsidRPr="001A030B">
              <w:rPr>
                <w:rFonts w:ascii="Times New Roman" w:hAnsi="Times New Roman" w:cs="Arial"/>
                <w:sz w:val="20"/>
                <w:lang w:val="en-US"/>
              </w:rPr>
              <w:t>Arthralgia</w:t>
            </w:r>
          </w:p>
        </w:tc>
        <w:tc>
          <w:tcPr>
            <w:tcW w:w="1307" w:type="pct"/>
            <w:tcBorders>
              <w:bottom w:val="single" w:sz="4" w:space="0" w:color="auto"/>
            </w:tcBorders>
          </w:tcPr>
          <w:p w14:paraId="22688579" w14:textId="77777777" w:rsidR="001A030B" w:rsidRPr="001A030B" w:rsidDel="007913BA" w:rsidRDefault="001A030B" w:rsidP="001A030B">
            <w:pPr>
              <w:tabs>
                <w:tab w:val="left" w:pos="522"/>
              </w:tabs>
              <w:rPr>
                <w:rFonts w:ascii="Times New Roman" w:hAnsi="Times New Roman" w:cs="Arial"/>
                <w:sz w:val="20"/>
                <w:lang w:val="en-US"/>
              </w:rPr>
            </w:pPr>
            <w:r w:rsidRPr="001A030B">
              <w:rPr>
                <w:rFonts w:ascii="Times New Roman" w:hAnsi="Times New Roman" w:cs="Arial"/>
                <w:sz w:val="20"/>
                <w:lang w:val="en-US"/>
              </w:rPr>
              <w:t xml:space="preserve">  2%</w:t>
            </w:r>
          </w:p>
        </w:tc>
        <w:tc>
          <w:tcPr>
            <w:tcW w:w="1490" w:type="pct"/>
            <w:tcBorders>
              <w:bottom w:val="single" w:sz="4" w:space="0" w:color="auto"/>
              <w:right w:val="single" w:sz="4" w:space="0" w:color="auto"/>
            </w:tcBorders>
          </w:tcPr>
          <w:p w14:paraId="2268857A" w14:textId="77777777" w:rsidR="001A030B" w:rsidRPr="001A030B" w:rsidDel="007913BA" w:rsidRDefault="001A030B" w:rsidP="001A030B">
            <w:pPr>
              <w:tabs>
                <w:tab w:val="left" w:pos="522"/>
              </w:tabs>
              <w:rPr>
                <w:rFonts w:ascii="Times New Roman" w:hAnsi="Times New Roman" w:cs="Arial"/>
                <w:sz w:val="20"/>
                <w:lang w:val="en-US"/>
              </w:rPr>
            </w:pPr>
            <w:r w:rsidRPr="001A030B">
              <w:rPr>
                <w:rFonts w:ascii="Times New Roman" w:hAnsi="Times New Roman" w:cs="Arial"/>
                <w:sz w:val="20"/>
                <w:lang w:val="en-US"/>
              </w:rPr>
              <w:t xml:space="preserve">  4%</w:t>
            </w:r>
          </w:p>
        </w:tc>
      </w:tr>
    </w:tbl>
    <w:p w14:paraId="2268857C" w14:textId="77777777" w:rsidR="00F82A4A" w:rsidRDefault="00F82A4A" w:rsidP="00F82A4A">
      <w:pPr>
        <w:rPr>
          <w:noProof/>
          <w:szCs w:val="22"/>
          <w:u w:val="single"/>
        </w:rPr>
      </w:pPr>
    </w:p>
    <w:p w14:paraId="2268857D" w14:textId="77777777" w:rsidR="00F34477" w:rsidRDefault="00F34477" w:rsidP="00F34477">
      <w:pPr>
        <w:autoSpaceDE w:val="0"/>
        <w:autoSpaceDN w:val="0"/>
        <w:adjustRightInd w:val="0"/>
        <w:rPr>
          <w:rFonts w:ascii="Times New Roman" w:hAnsi="Times New Roman"/>
          <w:b/>
          <w:iCs/>
          <w:szCs w:val="24"/>
          <w:lang w:val="en-US"/>
        </w:rPr>
      </w:pPr>
      <w:r w:rsidRPr="008A2E38">
        <w:rPr>
          <w:rFonts w:ascii="Times New Roman" w:hAnsi="Times New Roman"/>
          <w:b/>
          <w:iCs/>
          <w:szCs w:val="24"/>
          <w:lang w:val="en-US"/>
        </w:rPr>
        <w:t>Increase in heart rate</w:t>
      </w:r>
      <w:r w:rsidR="00310274">
        <w:rPr>
          <w:rFonts w:ascii="Times New Roman" w:hAnsi="Times New Roman"/>
          <w:b/>
          <w:iCs/>
          <w:szCs w:val="24"/>
          <w:lang w:val="en-US"/>
        </w:rPr>
        <w:t>:</w:t>
      </w:r>
    </w:p>
    <w:p w14:paraId="2268857F" w14:textId="77777777" w:rsidR="00F34477" w:rsidRPr="008A2E38" w:rsidRDefault="004E4FA0" w:rsidP="008C367E">
      <w:pPr>
        <w:autoSpaceDE w:val="0"/>
        <w:autoSpaceDN w:val="0"/>
        <w:adjustRightInd w:val="0"/>
        <w:spacing w:after="240"/>
        <w:jc w:val="both"/>
        <w:rPr>
          <w:rFonts w:ascii="Times New Roman" w:hAnsi="Times New Roman"/>
          <w:iCs/>
          <w:szCs w:val="24"/>
          <w:lang w:val="en-US"/>
        </w:rPr>
      </w:pPr>
      <w:r w:rsidRPr="004E4FA0">
        <w:rPr>
          <w:noProof/>
          <w:szCs w:val="22"/>
        </w:rPr>
        <w:t>In the Phase 3 placebo-controlled study in patients with PAH a transient increase in mean heart rate of 3</w:t>
      </w:r>
      <w:r w:rsidRPr="004E4FA0">
        <w:t>–</w:t>
      </w:r>
      <w:r>
        <w:rPr>
          <w:noProof/>
          <w:szCs w:val="22"/>
        </w:rPr>
        <w:t xml:space="preserve">4 </w:t>
      </w:r>
      <w:r w:rsidRPr="004E4FA0">
        <w:rPr>
          <w:noProof/>
          <w:szCs w:val="22"/>
        </w:rPr>
        <w:t>bpm at 2-4 hours post-dose was observed. ECG investigations showed sinus tachycardia in 11.3% of patients in the selexipag group compared to 8.8% in the placebo group</w:t>
      </w:r>
      <w:r>
        <w:rPr>
          <w:noProof/>
          <w:szCs w:val="22"/>
        </w:rPr>
        <w:t xml:space="preserve">. </w:t>
      </w:r>
    </w:p>
    <w:p w14:paraId="3B3E21BB" w14:textId="309BC5A1" w:rsidR="00ED7657" w:rsidRPr="007C760F" w:rsidRDefault="00ED7657" w:rsidP="00F82A4A">
      <w:pPr>
        <w:rPr>
          <w:shd w:val="clear" w:color="auto" w:fill="FFFFFF"/>
        </w:rPr>
      </w:pPr>
      <w:r w:rsidRPr="00577319">
        <w:rPr>
          <w:b/>
          <w:noProof/>
          <w:szCs w:val="22"/>
        </w:rPr>
        <w:t>E</w:t>
      </w:r>
      <w:r w:rsidRPr="00577319">
        <w:rPr>
          <w:b/>
          <w:shd w:val="clear" w:color="auto" w:fill="FFFFFF"/>
        </w:rPr>
        <w:t>ye disorders</w:t>
      </w:r>
      <w:r w:rsidR="00B2122B">
        <w:rPr>
          <w:shd w:val="clear" w:color="auto" w:fill="FFFFFF"/>
        </w:rPr>
        <w:t>:</w:t>
      </w:r>
      <w:r w:rsidRPr="007C760F">
        <w:rPr>
          <w:shd w:val="clear" w:color="auto" w:fill="FFFFFF"/>
        </w:rPr>
        <w:t xml:space="preserve"> </w:t>
      </w:r>
    </w:p>
    <w:p w14:paraId="51E9178E" w14:textId="278E0860" w:rsidR="00ED7657" w:rsidRPr="007C760F" w:rsidRDefault="00ED7657" w:rsidP="00E47CFE">
      <w:pPr>
        <w:autoSpaceDE w:val="0"/>
        <w:autoSpaceDN w:val="0"/>
        <w:adjustRightInd w:val="0"/>
        <w:jc w:val="both"/>
        <w:rPr>
          <w:shd w:val="clear" w:color="auto" w:fill="FFFFFF"/>
        </w:rPr>
      </w:pPr>
      <w:r w:rsidRPr="007C760F">
        <w:rPr>
          <w:shd w:val="clear" w:color="auto" w:fill="FFFFFF"/>
        </w:rPr>
        <w:t>Eye disorders in the selexipag and placebo groups occurred in 11.0% and 7.8%, respectively (mostly eye pain at 1.6% vs. 0.3%) and retinal disorders in 3.5% vs. 1.9%.</w:t>
      </w:r>
      <w:r w:rsidR="00003FCA">
        <w:rPr>
          <w:shd w:val="clear" w:color="auto" w:fill="FFFFFF"/>
        </w:rPr>
        <w:t xml:space="preserve"> Tortuosity and dilation of retinal arterioles were seen in rats</w:t>
      </w:r>
      <w:r w:rsidR="00011A5E">
        <w:rPr>
          <w:shd w:val="clear" w:color="auto" w:fill="FFFFFF"/>
        </w:rPr>
        <w:t xml:space="preserve"> </w:t>
      </w:r>
      <w:r w:rsidR="00011A5E" w:rsidRPr="00011A5E">
        <w:rPr>
          <w:shd w:val="clear" w:color="auto" w:fill="FFFFFF"/>
        </w:rPr>
        <w:t>after 2 years of treatment with very high doses (more than 25-fold above human exposure)</w:t>
      </w:r>
      <w:r w:rsidR="00003FCA">
        <w:rPr>
          <w:shd w:val="clear" w:color="auto" w:fill="FFFFFF"/>
        </w:rPr>
        <w:t xml:space="preserve">. </w:t>
      </w:r>
      <w:r w:rsidR="00A96ACE" w:rsidRPr="00A96ACE">
        <w:rPr>
          <w:shd w:val="clear" w:color="auto" w:fill="FFFFFF"/>
        </w:rPr>
        <w:t xml:space="preserve"> </w:t>
      </w:r>
    </w:p>
    <w:p w14:paraId="3EF43D2D" w14:textId="77777777" w:rsidR="00ED7657" w:rsidRPr="007C760F" w:rsidRDefault="00ED7657" w:rsidP="00E47CFE">
      <w:pPr>
        <w:autoSpaceDE w:val="0"/>
        <w:autoSpaceDN w:val="0"/>
        <w:adjustRightInd w:val="0"/>
        <w:jc w:val="both"/>
        <w:rPr>
          <w:shd w:val="clear" w:color="auto" w:fill="FFFFFF"/>
        </w:rPr>
      </w:pPr>
    </w:p>
    <w:p w14:paraId="5B8434AF" w14:textId="33E3EB7B" w:rsidR="00ED7657" w:rsidRPr="00577319" w:rsidRDefault="00ED7657" w:rsidP="00E47CFE">
      <w:pPr>
        <w:autoSpaceDE w:val="0"/>
        <w:autoSpaceDN w:val="0"/>
        <w:adjustRightInd w:val="0"/>
        <w:jc w:val="both"/>
        <w:rPr>
          <w:b/>
          <w:shd w:val="clear" w:color="auto" w:fill="FFFFFF"/>
        </w:rPr>
      </w:pPr>
      <w:r w:rsidRPr="00577319">
        <w:rPr>
          <w:b/>
          <w:shd w:val="clear" w:color="auto" w:fill="FFFFFF"/>
        </w:rPr>
        <w:t>Malignancies</w:t>
      </w:r>
      <w:r w:rsidR="00B2122B" w:rsidRPr="00577319">
        <w:rPr>
          <w:b/>
          <w:shd w:val="clear" w:color="auto" w:fill="FFFFFF"/>
        </w:rPr>
        <w:t>:</w:t>
      </w:r>
    </w:p>
    <w:p w14:paraId="32ADF7C0" w14:textId="631C6FD6" w:rsidR="007C760F" w:rsidRPr="007C760F" w:rsidRDefault="007C760F" w:rsidP="00E47CFE">
      <w:pPr>
        <w:jc w:val="both"/>
        <w:rPr>
          <w:shd w:val="clear" w:color="auto" w:fill="FFFFFF"/>
        </w:rPr>
      </w:pPr>
      <w:r w:rsidRPr="007C760F">
        <w:rPr>
          <w:shd w:val="clear" w:color="auto" w:fill="FFFFFF"/>
        </w:rPr>
        <w:t xml:space="preserve">Malignancies </w:t>
      </w:r>
      <w:r w:rsidR="00ED7657" w:rsidRPr="007C760F">
        <w:rPr>
          <w:shd w:val="clear" w:color="auto" w:fill="FFFFFF"/>
        </w:rPr>
        <w:t>occurred in 1.9% (n=11) in the selexipag group and 0.7%</w:t>
      </w:r>
      <w:r w:rsidRPr="007C760F">
        <w:rPr>
          <w:shd w:val="clear" w:color="auto" w:fill="FFFFFF"/>
        </w:rPr>
        <w:t xml:space="preserve"> </w:t>
      </w:r>
      <w:r w:rsidR="00ED7657" w:rsidRPr="007C760F">
        <w:rPr>
          <w:shd w:val="clear" w:color="auto" w:fill="FFFFFF"/>
        </w:rPr>
        <w:t>(n=4) in the placebo group, mainly due to cutaneous malignancies and blood and</w:t>
      </w:r>
      <w:r w:rsidRPr="007C760F">
        <w:rPr>
          <w:shd w:val="clear" w:color="auto" w:fill="FFFFFF"/>
        </w:rPr>
        <w:t xml:space="preserve"> lymphatic system malignancies (see PRECAUTIONS - Genotoxicity and Carcinogenicity).</w:t>
      </w:r>
    </w:p>
    <w:p w14:paraId="0A0135E0" w14:textId="77777777" w:rsidR="007C760F" w:rsidRPr="007C760F" w:rsidRDefault="007C760F" w:rsidP="00E47CFE">
      <w:pPr>
        <w:jc w:val="both"/>
        <w:rPr>
          <w:shd w:val="clear" w:color="auto" w:fill="FFFFFF"/>
        </w:rPr>
      </w:pPr>
    </w:p>
    <w:p w14:paraId="22688580" w14:textId="57064A8E" w:rsidR="00F82A4A" w:rsidRPr="001B0D9D" w:rsidRDefault="00F82A4A" w:rsidP="00E47CFE">
      <w:pPr>
        <w:jc w:val="both"/>
        <w:rPr>
          <w:noProof/>
          <w:szCs w:val="22"/>
          <w:u w:val="single"/>
        </w:rPr>
      </w:pPr>
      <w:r w:rsidRPr="001B0D9D">
        <w:rPr>
          <w:noProof/>
          <w:szCs w:val="22"/>
          <w:u w:val="single"/>
        </w:rPr>
        <w:t>Laboratory abnormalities</w:t>
      </w:r>
    </w:p>
    <w:p w14:paraId="22688581" w14:textId="77777777" w:rsidR="00F82A4A" w:rsidRDefault="00F82A4A" w:rsidP="00E47CFE">
      <w:pPr>
        <w:jc w:val="both"/>
        <w:rPr>
          <w:i/>
          <w:noProof/>
          <w:szCs w:val="22"/>
        </w:rPr>
      </w:pPr>
    </w:p>
    <w:p w14:paraId="22688582" w14:textId="4ECD12B3" w:rsidR="00F82A4A" w:rsidRPr="001B0D9D" w:rsidRDefault="00F82A4A" w:rsidP="00E47CFE">
      <w:pPr>
        <w:jc w:val="both"/>
        <w:rPr>
          <w:i/>
          <w:noProof/>
          <w:szCs w:val="22"/>
        </w:rPr>
      </w:pPr>
      <w:r w:rsidRPr="001B0D9D">
        <w:rPr>
          <w:i/>
          <w:noProof/>
          <w:szCs w:val="22"/>
        </w:rPr>
        <w:t>Haemoglobin</w:t>
      </w:r>
      <w:r w:rsidR="00A96ACE">
        <w:rPr>
          <w:i/>
          <w:noProof/>
          <w:szCs w:val="22"/>
        </w:rPr>
        <w:t>/Anaemia</w:t>
      </w:r>
    </w:p>
    <w:p w14:paraId="2C5346C1" w14:textId="77777777" w:rsidR="00A96ACE" w:rsidRDefault="00F82A4A" w:rsidP="00E47CFE">
      <w:pPr>
        <w:autoSpaceDE w:val="0"/>
        <w:autoSpaceDN w:val="0"/>
        <w:adjustRightInd w:val="0"/>
        <w:jc w:val="both"/>
        <w:rPr>
          <w:shd w:val="clear" w:color="auto" w:fill="FFFFFF"/>
        </w:rPr>
      </w:pPr>
      <w:r w:rsidRPr="005728B5">
        <w:rPr>
          <w:shd w:val="clear" w:color="auto" w:fill="FFFFFF"/>
        </w:rPr>
        <w:t>In a Phase 3 placebo-controlled study in patients with PAH, mean absolute changes in h</w:t>
      </w:r>
      <w:r w:rsidR="00E74083">
        <w:rPr>
          <w:shd w:val="clear" w:color="auto" w:fill="FFFFFF"/>
        </w:rPr>
        <w:t>a</w:t>
      </w:r>
      <w:r w:rsidRPr="005728B5">
        <w:rPr>
          <w:shd w:val="clear" w:color="auto" w:fill="FFFFFF"/>
        </w:rPr>
        <w:t>emoglobin at regular visits compared to baseline ranged from −3</w:t>
      </w:r>
      <w:r w:rsidR="008B3E31">
        <w:rPr>
          <w:shd w:val="clear" w:color="auto" w:fill="FFFFFF"/>
        </w:rPr>
        <w:t>.</w:t>
      </w:r>
      <w:r w:rsidRPr="005728B5">
        <w:rPr>
          <w:shd w:val="clear" w:color="auto" w:fill="FFFFFF"/>
        </w:rPr>
        <w:t>4 to −0.</w:t>
      </w:r>
      <w:r w:rsidR="008B3E31">
        <w:rPr>
          <w:shd w:val="clear" w:color="auto" w:fill="FFFFFF"/>
        </w:rPr>
        <w:t>2</w:t>
      </w:r>
      <w:r w:rsidR="008B3E31" w:rsidRPr="005728B5">
        <w:rPr>
          <w:shd w:val="clear" w:color="auto" w:fill="FFFFFF"/>
        </w:rPr>
        <w:t xml:space="preserve"> </w:t>
      </w:r>
      <w:r w:rsidRPr="005728B5">
        <w:rPr>
          <w:shd w:val="clear" w:color="auto" w:fill="FFFFFF"/>
        </w:rPr>
        <w:t>g/L in the selexipag group compared to −0.</w:t>
      </w:r>
      <w:r w:rsidR="008B3E31">
        <w:rPr>
          <w:shd w:val="clear" w:color="auto" w:fill="FFFFFF"/>
        </w:rPr>
        <w:t>5</w:t>
      </w:r>
      <w:r w:rsidRPr="005728B5">
        <w:rPr>
          <w:shd w:val="clear" w:color="auto" w:fill="FFFFFF"/>
        </w:rPr>
        <w:t xml:space="preserve"> to </w:t>
      </w:r>
      <w:r w:rsidR="008B3E31">
        <w:rPr>
          <w:shd w:val="clear" w:color="auto" w:fill="FFFFFF"/>
        </w:rPr>
        <w:t>2.5</w:t>
      </w:r>
      <w:r w:rsidRPr="005728B5">
        <w:rPr>
          <w:shd w:val="clear" w:color="auto" w:fill="FFFFFF"/>
        </w:rPr>
        <w:t xml:space="preserve"> g/L in the placebo group. A decrease from baseline in h</w:t>
      </w:r>
      <w:r w:rsidR="00E74083">
        <w:rPr>
          <w:shd w:val="clear" w:color="auto" w:fill="FFFFFF"/>
        </w:rPr>
        <w:t>a</w:t>
      </w:r>
      <w:r w:rsidRPr="005728B5">
        <w:rPr>
          <w:shd w:val="clear" w:color="auto" w:fill="FFFFFF"/>
        </w:rPr>
        <w:t>emoglobin concentration to below 10</w:t>
      </w:r>
      <w:r w:rsidR="008B3E31">
        <w:rPr>
          <w:shd w:val="clear" w:color="auto" w:fill="FFFFFF"/>
        </w:rPr>
        <w:t>0</w:t>
      </w:r>
      <w:r w:rsidRPr="005728B5">
        <w:rPr>
          <w:shd w:val="clear" w:color="auto" w:fill="FFFFFF"/>
        </w:rPr>
        <w:t xml:space="preserve"> g/L was reported in 8.</w:t>
      </w:r>
      <w:r w:rsidR="008B3E31">
        <w:rPr>
          <w:shd w:val="clear" w:color="auto" w:fill="FFFFFF"/>
        </w:rPr>
        <w:t>6</w:t>
      </w:r>
      <w:r w:rsidRPr="005728B5">
        <w:rPr>
          <w:shd w:val="clear" w:color="auto" w:fill="FFFFFF"/>
        </w:rPr>
        <w:t>% of patients treated with selexipag and 5.0% of placebo-treated patients.</w:t>
      </w:r>
      <w:r w:rsidR="003505AB">
        <w:rPr>
          <w:shd w:val="clear" w:color="auto" w:fill="FFFFFF"/>
        </w:rPr>
        <w:t xml:space="preserve"> </w:t>
      </w:r>
      <w:r w:rsidR="007C760F">
        <w:rPr>
          <w:shd w:val="clear" w:color="auto" w:fill="FFFFFF"/>
        </w:rPr>
        <w:t>Median haemoglobin concentrations decreased over the first 3 months of treatment and stabilise</w:t>
      </w:r>
      <w:r w:rsidR="00FD4F56">
        <w:rPr>
          <w:shd w:val="clear" w:color="auto" w:fill="FFFFFF"/>
        </w:rPr>
        <w:t>d</w:t>
      </w:r>
      <w:r w:rsidR="007C760F">
        <w:rPr>
          <w:shd w:val="clear" w:color="auto" w:fill="FFFFFF"/>
        </w:rPr>
        <w:t xml:space="preserve"> thereafter.</w:t>
      </w:r>
      <w:r w:rsidR="00CF0619">
        <w:rPr>
          <w:shd w:val="clear" w:color="auto" w:fill="FFFFFF"/>
        </w:rPr>
        <w:t xml:space="preserve"> </w:t>
      </w:r>
    </w:p>
    <w:p w14:paraId="204430B2" w14:textId="77777777" w:rsidR="00A96ACE" w:rsidRDefault="00A96ACE" w:rsidP="00CF0619">
      <w:pPr>
        <w:autoSpaceDE w:val="0"/>
        <w:autoSpaceDN w:val="0"/>
        <w:adjustRightInd w:val="0"/>
        <w:rPr>
          <w:shd w:val="clear" w:color="auto" w:fill="FFFFFF"/>
        </w:rPr>
      </w:pPr>
    </w:p>
    <w:p w14:paraId="22688584" w14:textId="073BE78B" w:rsidR="00F82A4A" w:rsidRDefault="00A96ACE" w:rsidP="00E47CFE">
      <w:pPr>
        <w:autoSpaceDE w:val="0"/>
        <w:autoSpaceDN w:val="0"/>
        <w:adjustRightInd w:val="0"/>
        <w:jc w:val="both"/>
        <w:rPr>
          <w:shd w:val="clear" w:color="auto" w:fill="FFFFFF"/>
        </w:rPr>
      </w:pPr>
      <w:r>
        <w:rPr>
          <w:shd w:val="clear" w:color="auto" w:fill="FFFFFF"/>
        </w:rPr>
        <w:t>Adverse events of a</w:t>
      </w:r>
      <w:r w:rsidR="00CF0619" w:rsidRPr="00CF0619">
        <w:rPr>
          <w:shd w:val="clear" w:color="auto" w:fill="FFFFFF"/>
        </w:rPr>
        <w:t xml:space="preserve">naemia </w:t>
      </w:r>
      <w:r>
        <w:rPr>
          <w:shd w:val="clear" w:color="auto" w:fill="FFFFFF"/>
        </w:rPr>
        <w:t>were</w:t>
      </w:r>
      <w:r w:rsidR="00CF0619" w:rsidRPr="00CF0619">
        <w:rPr>
          <w:shd w:val="clear" w:color="auto" w:fill="FFFFFF"/>
        </w:rPr>
        <w:t xml:space="preserve"> more frequent in selexipag patients who</w:t>
      </w:r>
      <w:r>
        <w:rPr>
          <w:shd w:val="clear" w:color="auto" w:fill="FFFFFF"/>
        </w:rPr>
        <w:t xml:space="preserve"> </w:t>
      </w:r>
      <w:r w:rsidR="00CF0619" w:rsidRPr="00CF0619">
        <w:rPr>
          <w:shd w:val="clear" w:color="auto" w:fill="FFFFFF"/>
        </w:rPr>
        <w:t xml:space="preserve">were taking concomitant treatment for PAH: </w:t>
      </w:r>
      <w:r>
        <w:rPr>
          <w:shd w:val="clear" w:color="auto" w:fill="FFFFFF"/>
        </w:rPr>
        <w:t xml:space="preserve">ERA monotherapy: 14.9% and </w:t>
      </w:r>
      <w:r w:rsidR="00CF0619" w:rsidRPr="00CF0619">
        <w:rPr>
          <w:shd w:val="clear" w:color="auto" w:fill="FFFFFF"/>
        </w:rPr>
        <w:t>9.2% with</w:t>
      </w:r>
      <w:r>
        <w:rPr>
          <w:shd w:val="clear" w:color="auto" w:fill="FFFFFF"/>
        </w:rPr>
        <w:t xml:space="preserve"> Selexipag and</w:t>
      </w:r>
      <w:r w:rsidR="00CF0619" w:rsidRPr="00CF0619">
        <w:rPr>
          <w:shd w:val="clear" w:color="auto" w:fill="FFFFFF"/>
        </w:rPr>
        <w:t xml:space="preserve"> placebo</w:t>
      </w:r>
      <w:r>
        <w:rPr>
          <w:shd w:val="clear" w:color="auto" w:fill="FFFFFF"/>
        </w:rPr>
        <w:t xml:space="preserve"> respectively</w:t>
      </w:r>
      <w:r w:rsidR="00CF0619" w:rsidRPr="00CF0619">
        <w:rPr>
          <w:shd w:val="clear" w:color="auto" w:fill="FFFFFF"/>
        </w:rPr>
        <w:t>; PDE5i monotherapy: 11.1%</w:t>
      </w:r>
      <w:r>
        <w:rPr>
          <w:shd w:val="clear" w:color="auto" w:fill="FFFFFF"/>
        </w:rPr>
        <w:t xml:space="preserve"> and </w:t>
      </w:r>
      <w:r w:rsidR="00CF0619" w:rsidRPr="00CF0619">
        <w:rPr>
          <w:shd w:val="clear" w:color="auto" w:fill="FFFFFF"/>
        </w:rPr>
        <w:t xml:space="preserve">5.4%; ERA and PDE5i: 11.2% </w:t>
      </w:r>
      <w:r>
        <w:rPr>
          <w:shd w:val="clear" w:color="auto" w:fill="FFFFFF"/>
        </w:rPr>
        <w:t>and</w:t>
      </w:r>
      <w:r w:rsidR="00CF0619" w:rsidRPr="00CF0619">
        <w:rPr>
          <w:shd w:val="clear" w:color="auto" w:fill="FFFFFF"/>
        </w:rPr>
        <w:t xml:space="preserve"> 10.7%.</w:t>
      </w:r>
      <w:r w:rsidR="00314845">
        <w:rPr>
          <w:shd w:val="clear" w:color="auto" w:fill="FFFFFF"/>
        </w:rPr>
        <w:t xml:space="preserve">  The incidence of anaemia AEs in patients who received no concomitant PAH specific therapies were 4.5% in the selexipag group and 6.7% in the placebo group.</w:t>
      </w:r>
    </w:p>
    <w:p w14:paraId="3D881930" w14:textId="77777777" w:rsidR="00BF3204" w:rsidRPr="001B0D9D" w:rsidRDefault="00BF3204" w:rsidP="00E47CFE">
      <w:pPr>
        <w:jc w:val="both"/>
        <w:rPr>
          <w:noProof/>
          <w:szCs w:val="22"/>
        </w:rPr>
      </w:pPr>
    </w:p>
    <w:p w14:paraId="22688585" w14:textId="77777777" w:rsidR="00F82A4A" w:rsidRPr="001B0D9D" w:rsidRDefault="00F82A4A" w:rsidP="00E47CFE">
      <w:pPr>
        <w:jc w:val="both"/>
        <w:rPr>
          <w:i/>
          <w:noProof/>
          <w:szCs w:val="22"/>
        </w:rPr>
      </w:pPr>
      <w:r w:rsidRPr="001B0D9D">
        <w:rPr>
          <w:i/>
          <w:noProof/>
          <w:szCs w:val="22"/>
        </w:rPr>
        <w:t>Thyroid function tests</w:t>
      </w:r>
    </w:p>
    <w:p w14:paraId="22688586" w14:textId="358EC677" w:rsidR="00F82A4A" w:rsidRPr="001B0D9D" w:rsidRDefault="00F82A4A" w:rsidP="00E47CFE">
      <w:pPr>
        <w:jc w:val="both"/>
        <w:rPr>
          <w:noProof/>
          <w:szCs w:val="22"/>
        </w:rPr>
      </w:pPr>
      <w:r w:rsidRPr="005728B5">
        <w:rPr>
          <w:noProof/>
          <w:szCs w:val="22"/>
        </w:rPr>
        <w:t xml:space="preserve">In a Phase 3 placebo-controlled study in patients with PAH, a reduction  in median thyroid-stimulating hormone </w:t>
      </w:r>
      <w:r w:rsidR="00A96ACE" w:rsidRPr="005728B5">
        <w:rPr>
          <w:noProof/>
          <w:szCs w:val="22"/>
        </w:rPr>
        <w:t xml:space="preserve">(TSH) (up to −0.3 MU/L from a baseline median of 2.5 </w:t>
      </w:r>
      <w:r w:rsidR="00A96ACE" w:rsidRPr="005728B5">
        <w:rPr>
          <w:noProof/>
          <w:szCs w:val="22"/>
        </w:rPr>
        <w:lastRenderedPageBreak/>
        <w:t>MU/L)</w:t>
      </w:r>
      <w:r w:rsidR="00A96ACE" w:rsidRPr="005728B5" w:rsidDel="00A96ACE">
        <w:rPr>
          <w:noProof/>
          <w:szCs w:val="22"/>
        </w:rPr>
        <w:t xml:space="preserve"> </w:t>
      </w:r>
      <w:r w:rsidRPr="005728B5">
        <w:rPr>
          <w:noProof/>
          <w:szCs w:val="22"/>
        </w:rPr>
        <w:t xml:space="preserve"> was observed at most visits in the selexipag group. In the placebo group, little change in median values was apparent. There were no mean changes in triiodothyronine or thyroxine in either group.</w:t>
      </w:r>
      <w:r w:rsidR="00430A95">
        <w:rPr>
          <w:noProof/>
          <w:szCs w:val="22"/>
        </w:rPr>
        <w:t xml:space="preserve"> </w:t>
      </w:r>
    </w:p>
    <w:p w14:paraId="22688587" w14:textId="77777777" w:rsidR="00121F89" w:rsidRPr="00121F89" w:rsidRDefault="00121F89" w:rsidP="0018432E">
      <w:pPr>
        <w:pStyle w:val="TextTi12"/>
        <w:rPr>
          <w:lang w:val="en-AU"/>
        </w:rPr>
      </w:pPr>
    </w:p>
    <w:p w14:paraId="22688588" w14:textId="77777777" w:rsidR="001C35B2" w:rsidRDefault="001C35B2" w:rsidP="001C6580">
      <w:pPr>
        <w:pStyle w:val="Heading1"/>
        <w:ind w:right="-61"/>
        <w:jc w:val="both"/>
      </w:pPr>
      <w:r>
        <w:t>DOSAGE AND ADMINISTRATION</w:t>
      </w:r>
    </w:p>
    <w:p w14:paraId="22688589" w14:textId="77777777" w:rsidR="000270B4" w:rsidRPr="000270B4" w:rsidRDefault="00831FB3" w:rsidP="001C6580">
      <w:pPr>
        <w:spacing w:after="170" w:line="260" w:lineRule="atLeast"/>
        <w:jc w:val="both"/>
      </w:pPr>
      <w:r w:rsidRPr="00B81E1E">
        <w:rPr>
          <w:szCs w:val="22"/>
          <w:lang w:val="en-US"/>
        </w:rPr>
        <w:t>Treatment should only be initiated and monitored by a physician experienced in the treatment of PAH.</w:t>
      </w:r>
    </w:p>
    <w:p w14:paraId="2268858A" w14:textId="2EE23931" w:rsidR="00831FB3" w:rsidRPr="000A0069" w:rsidRDefault="000A0069" w:rsidP="001C6580">
      <w:pPr>
        <w:autoSpaceDE w:val="0"/>
        <w:autoSpaceDN w:val="0"/>
        <w:adjustRightInd w:val="0"/>
        <w:jc w:val="both"/>
        <w:rPr>
          <w:szCs w:val="22"/>
          <w:lang w:val="en-US"/>
        </w:rPr>
      </w:pPr>
      <w:r w:rsidRPr="000A0069">
        <w:rPr>
          <w:szCs w:val="22"/>
          <w:lang w:val="en-US"/>
        </w:rPr>
        <w:t>Selexipag can be used in combination therapy in patients insufficiently controlled with an endothelin receptor antagonist (ERA) and/or a phosphodiesterase type 5 (PDE 5) inhibitor, or as monotherapy in patients who are not candidates for these therapies.</w:t>
      </w:r>
    </w:p>
    <w:p w14:paraId="37B8DF13" w14:textId="77777777" w:rsidR="00E47CFE" w:rsidRDefault="00E47CFE" w:rsidP="001C6580">
      <w:pPr>
        <w:spacing w:after="170" w:line="260" w:lineRule="atLeast"/>
        <w:jc w:val="both"/>
        <w:rPr>
          <w:rFonts w:ascii="Times New Roman" w:hAnsi="Times New Roman"/>
          <w:u w:val="single"/>
          <w:lang w:val="en-US" w:eastAsia="x-none"/>
        </w:rPr>
      </w:pPr>
    </w:p>
    <w:p w14:paraId="2268858B" w14:textId="77777777" w:rsidR="002A2732" w:rsidRPr="002A2732" w:rsidRDefault="002A2732" w:rsidP="001C6580">
      <w:pPr>
        <w:spacing w:after="170" w:line="260" w:lineRule="atLeast"/>
        <w:jc w:val="both"/>
        <w:rPr>
          <w:rFonts w:ascii="Times New Roman" w:hAnsi="Times New Roman"/>
          <w:u w:val="single"/>
          <w:lang w:val="x-none" w:eastAsia="x-none"/>
        </w:rPr>
      </w:pPr>
      <w:r w:rsidRPr="002A2732">
        <w:rPr>
          <w:rFonts w:ascii="Times New Roman" w:hAnsi="Times New Roman"/>
          <w:u w:val="single"/>
          <w:lang w:val="x-none" w:eastAsia="x-none"/>
        </w:rPr>
        <w:t xml:space="preserve">Method of administration </w:t>
      </w:r>
    </w:p>
    <w:p w14:paraId="2268858C" w14:textId="4E8AF539" w:rsidR="00425150" w:rsidRDefault="002A2732" w:rsidP="001C6580">
      <w:pPr>
        <w:spacing w:after="170" w:line="260" w:lineRule="atLeast"/>
        <w:jc w:val="both"/>
        <w:rPr>
          <w:rFonts w:ascii="Times New Roman" w:hAnsi="Times New Roman"/>
          <w:lang w:eastAsia="x-none"/>
        </w:rPr>
      </w:pPr>
      <w:r w:rsidRPr="002A2732">
        <w:rPr>
          <w:rFonts w:ascii="Times New Roman" w:hAnsi="Times New Roman"/>
          <w:lang w:val="x-none" w:eastAsia="x-none"/>
        </w:rPr>
        <w:t>The film-coated tablets are to be taken orally</w:t>
      </w:r>
      <w:r w:rsidR="00425150">
        <w:rPr>
          <w:rFonts w:ascii="Times New Roman" w:hAnsi="Times New Roman"/>
          <w:lang w:eastAsia="x-none"/>
        </w:rPr>
        <w:t xml:space="preserve"> in the</w:t>
      </w:r>
      <w:r w:rsidRPr="002A2732">
        <w:rPr>
          <w:rFonts w:ascii="Times New Roman" w:hAnsi="Times New Roman"/>
          <w:lang w:val="x-none" w:eastAsia="x-none"/>
        </w:rPr>
        <w:t xml:space="preserve"> morning and </w:t>
      </w:r>
      <w:r w:rsidR="00425150">
        <w:rPr>
          <w:rFonts w:ascii="Times New Roman" w:hAnsi="Times New Roman"/>
          <w:lang w:eastAsia="x-none"/>
        </w:rPr>
        <w:t xml:space="preserve">in the </w:t>
      </w:r>
      <w:r w:rsidRPr="002A2732">
        <w:rPr>
          <w:rFonts w:ascii="Times New Roman" w:hAnsi="Times New Roman"/>
          <w:lang w:val="x-none" w:eastAsia="x-none"/>
        </w:rPr>
        <w:t>evening</w:t>
      </w:r>
      <w:r w:rsidR="00425150">
        <w:rPr>
          <w:rFonts w:ascii="Times New Roman" w:hAnsi="Times New Roman"/>
          <w:lang w:eastAsia="x-none"/>
        </w:rPr>
        <w:t xml:space="preserve">. UPTRAVI </w:t>
      </w:r>
      <w:r w:rsidR="00477B32">
        <w:rPr>
          <w:rFonts w:ascii="Times New Roman" w:hAnsi="Times New Roman"/>
          <w:lang w:eastAsia="x-none"/>
        </w:rPr>
        <w:t xml:space="preserve">should </w:t>
      </w:r>
      <w:r w:rsidR="00425150">
        <w:rPr>
          <w:rFonts w:ascii="Times New Roman" w:hAnsi="Times New Roman"/>
          <w:lang w:eastAsia="x-none"/>
        </w:rPr>
        <w:t xml:space="preserve">be taken </w:t>
      </w:r>
      <w:r w:rsidR="00477B32">
        <w:rPr>
          <w:rFonts w:ascii="Times New Roman" w:hAnsi="Times New Roman"/>
          <w:lang w:eastAsia="x-none"/>
        </w:rPr>
        <w:t xml:space="preserve">consistently </w:t>
      </w:r>
      <w:r w:rsidR="00425150">
        <w:rPr>
          <w:rFonts w:ascii="Times New Roman" w:hAnsi="Times New Roman"/>
          <w:lang w:eastAsia="x-none"/>
        </w:rPr>
        <w:t xml:space="preserve">with or without food. Tolerability may be improved when taken with food. </w:t>
      </w:r>
    </w:p>
    <w:p w14:paraId="2268858D" w14:textId="77777777" w:rsidR="002A2732" w:rsidRPr="002A2732" w:rsidRDefault="002A2732" w:rsidP="001C6580">
      <w:pPr>
        <w:spacing w:after="170" w:line="260" w:lineRule="atLeast"/>
        <w:jc w:val="both"/>
        <w:rPr>
          <w:rFonts w:ascii="Times New Roman" w:hAnsi="Times New Roman"/>
          <w:lang w:val="x-none" w:eastAsia="x-none"/>
        </w:rPr>
      </w:pPr>
      <w:r w:rsidRPr="002A2732">
        <w:rPr>
          <w:rFonts w:ascii="Times New Roman" w:hAnsi="Times New Roman"/>
          <w:lang w:val="x-none" w:eastAsia="x-none"/>
        </w:rPr>
        <w:t>The tablets should not be split, cr</w:t>
      </w:r>
      <w:r w:rsidRPr="002A2732">
        <w:rPr>
          <w:rFonts w:ascii="Times New Roman" w:hAnsi="Times New Roman"/>
          <w:lang w:val="en-US" w:eastAsia="x-none"/>
        </w:rPr>
        <w:t>u</w:t>
      </w:r>
      <w:r w:rsidRPr="002A2732">
        <w:rPr>
          <w:rFonts w:ascii="Times New Roman" w:hAnsi="Times New Roman"/>
          <w:lang w:val="x-none" w:eastAsia="x-none"/>
        </w:rPr>
        <w:t>shed or chewed, and are to be swallowed with some water.</w:t>
      </w:r>
    </w:p>
    <w:p w14:paraId="2268858E" w14:textId="77777777" w:rsidR="00B31C79" w:rsidRPr="00527F9F" w:rsidRDefault="00733AF2" w:rsidP="001C6580">
      <w:pPr>
        <w:jc w:val="both"/>
        <w:rPr>
          <w:b/>
          <w:szCs w:val="22"/>
        </w:rPr>
      </w:pPr>
      <w:r w:rsidRPr="00527F9F">
        <w:rPr>
          <w:b/>
          <w:szCs w:val="22"/>
        </w:rPr>
        <w:t xml:space="preserve">Dosage </w:t>
      </w:r>
    </w:p>
    <w:p w14:paraId="2268858F" w14:textId="77777777" w:rsidR="002A2732" w:rsidRDefault="002A2732" w:rsidP="001C6580">
      <w:pPr>
        <w:pStyle w:val="TextTi12"/>
        <w:rPr>
          <w:i/>
        </w:rPr>
      </w:pPr>
      <w:r>
        <w:rPr>
          <w:i/>
        </w:rPr>
        <w:t>Individuali</w:t>
      </w:r>
      <w:r w:rsidR="008439E8">
        <w:rPr>
          <w:i/>
          <w:lang w:val="en-AU"/>
        </w:rPr>
        <w:t>s</w:t>
      </w:r>
      <w:r>
        <w:rPr>
          <w:i/>
        </w:rPr>
        <w:t xml:space="preserve">ed </w:t>
      </w:r>
      <w:r w:rsidRPr="002A2732">
        <w:rPr>
          <w:i/>
          <w:lang w:val="en-AU"/>
        </w:rPr>
        <w:t>d</w:t>
      </w:r>
      <w:r>
        <w:rPr>
          <w:i/>
        </w:rPr>
        <w:t>ose titration</w:t>
      </w:r>
      <w:r w:rsidRPr="009B7AE6">
        <w:rPr>
          <w:i/>
        </w:rPr>
        <w:t xml:space="preserve"> </w:t>
      </w:r>
    </w:p>
    <w:p w14:paraId="22688590" w14:textId="77777777" w:rsidR="002A2732" w:rsidRDefault="002A2732" w:rsidP="001C6580">
      <w:pPr>
        <w:pStyle w:val="TextTi12"/>
      </w:pPr>
      <w:r>
        <w:t>The goal is to reach the individually appropriate dose for each patient (the individuali</w:t>
      </w:r>
      <w:r w:rsidR="008439E8">
        <w:rPr>
          <w:lang w:val="en-AU"/>
        </w:rPr>
        <w:t>s</w:t>
      </w:r>
      <w:r>
        <w:t>ed maintenance dose).</w:t>
      </w:r>
    </w:p>
    <w:p w14:paraId="22688591" w14:textId="77777777" w:rsidR="002A2732" w:rsidRDefault="002A2732" w:rsidP="001C6580">
      <w:pPr>
        <w:pStyle w:val="TextTi12"/>
      </w:pPr>
      <w:r w:rsidRPr="009B7AE6">
        <w:t xml:space="preserve">The recommended </w:t>
      </w:r>
      <w:r>
        <w:t xml:space="preserve">starting dose of </w:t>
      </w:r>
      <w:r w:rsidR="009B32E6">
        <w:t>UPTRAVI</w:t>
      </w:r>
      <w:r>
        <w:t xml:space="preserve"> is 200</w:t>
      </w:r>
      <w:r w:rsidR="009B32E6">
        <w:rPr>
          <w:lang w:val="en-AU"/>
        </w:rPr>
        <w:t xml:space="preserve"> </w:t>
      </w:r>
      <w:r w:rsidRPr="009B7AE6">
        <w:t>micrograms given twice daily</w:t>
      </w:r>
      <w:r>
        <w:t>, approximately 12 hours apart.</w:t>
      </w:r>
      <w:r w:rsidRPr="009B7AE6">
        <w:t xml:space="preserve"> The dose is increased in increments of 200 micrograms </w:t>
      </w:r>
      <w:r w:rsidR="00D15BA4">
        <w:rPr>
          <w:lang w:val="en-AU"/>
        </w:rPr>
        <w:t xml:space="preserve">given </w:t>
      </w:r>
      <w:r w:rsidRPr="009B7AE6">
        <w:t>twice daily</w:t>
      </w:r>
      <w:r>
        <w:t xml:space="preserve">, </w:t>
      </w:r>
      <w:r w:rsidRPr="009B7AE6">
        <w:t>usually at weekly intervals</w:t>
      </w:r>
      <w:r w:rsidR="00D15BA4">
        <w:rPr>
          <w:lang w:val="en-AU"/>
        </w:rPr>
        <w:t>,</w:t>
      </w:r>
      <w:r w:rsidRPr="009B7AE6">
        <w:t xml:space="preserve"> until </w:t>
      </w:r>
      <w:r w:rsidR="00D15BA4">
        <w:rPr>
          <w:lang w:val="en-AU"/>
        </w:rPr>
        <w:t>adverse</w:t>
      </w:r>
      <w:r w:rsidR="00D15BA4">
        <w:t xml:space="preserve"> </w:t>
      </w:r>
      <w:r>
        <w:t xml:space="preserve">pharmacological effects </w:t>
      </w:r>
      <w:r w:rsidR="00D15BA4">
        <w:rPr>
          <w:lang w:val="en-US"/>
        </w:rPr>
        <w:t>that cannot be tolerated or medically managed</w:t>
      </w:r>
      <w:r w:rsidR="00D15BA4">
        <w:t xml:space="preserve"> </w:t>
      </w:r>
      <w:r>
        <w:t>are experienced</w:t>
      </w:r>
      <w:r w:rsidR="007F78AC">
        <w:rPr>
          <w:lang w:val="en-AU"/>
        </w:rPr>
        <w:t>,</w:t>
      </w:r>
      <w:r>
        <w:t xml:space="preserve"> or until </w:t>
      </w:r>
      <w:r w:rsidRPr="009B7AE6">
        <w:t xml:space="preserve">a maximum dose of 1600 micrograms twice daily is reached. </w:t>
      </w:r>
      <w:r>
        <w:t xml:space="preserve">During </w:t>
      </w:r>
      <w:r w:rsidRPr="003F41E7">
        <w:rPr>
          <w:lang w:val="en-US"/>
        </w:rPr>
        <w:t xml:space="preserve">dose </w:t>
      </w:r>
      <w:r>
        <w:t xml:space="preserve">titration, it is recommended not to discontinue treatment in </w:t>
      </w:r>
      <w:r w:rsidR="00AB3D7B">
        <w:rPr>
          <w:lang w:val="en-AU"/>
        </w:rPr>
        <w:t>the event</w:t>
      </w:r>
      <w:r w:rsidR="00AB3D7B">
        <w:t xml:space="preserve"> </w:t>
      </w:r>
      <w:r>
        <w:t xml:space="preserve">of expected pharmacological side effects </w:t>
      </w:r>
      <w:r w:rsidR="00A130F9">
        <w:rPr>
          <w:lang w:val="en-AU"/>
        </w:rPr>
        <w:t>since they are</w:t>
      </w:r>
      <w:r>
        <w:t xml:space="preserve"> usually transient or manageable with symptomatic treatmen</w:t>
      </w:r>
      <w:r w:rsidR="008439E8">
        <w:rPr>
          <w:lang w:val="en-AU"/>
        </w:rPr>
        <w:t xml:space="preserve">t (see ADVERSE EFFECTS). </w:t>
      </w:r>
      <w:r w:rsidRPr="002518D4">
        <w:rPr>
          <w:lang w:val="en-US"/>
        </w:rPr>
        <w:t xml:space="preserve"> </w:t>
      </w:r>
      <w:r w:rsidRPr="009B7AE6">
        <w:t xml:space="preserve">If </w:t>
      </w:r>
      <w:r>
        <w:t xml:space="preserve">a patient reaches a dose that cannot be tolerated the </w:t>
      </w:r>
      <w:r w:rsidRPr="009B7AE6">
        <w:t>dose should be reduced to the previous dose level.</w:t>
      </w:r>
      <w:r>
        <w:t xml:space="preserve"> </w:t>
      </w:r>
    </w:p>
    <w:p w14:paraId="22688592" w14:textId="77777777" w:rsidR="002A2732" w:rsidRPr="00FB6433" w:rsidRDefault="002A2732" w:rsidP="002A2732">
      <w:pPr>
        <w:pStyle w:val="TextTi12"/>
        <w:keepNext/>
        <w:rPr>
          <w:szCs w:val="24"/>
        </w:rPr>
      </w:pPr>
      <w:r>
        <w:rPr>
          <w:i/>
          <w:szCs w:val="24"/>
        </w:rPr>
        <w:t>Individuali</w:t>
      </w:r>
      <w:r w:rsidR="008439E8">
        <w:rPr>
          <w:i/>
          <w:szCs w:val="24"/>
          <w:lang w:val="en-AU"/>
        </w:rPr>
        <w:t>s</w:t>
      </w:r>
      <w:r>
        <w:rPr>
          <w:i/>
          <w:szCs w:val="24"/>
        </w:rPr>
        <w:t xml:space="preserve">ed </w:t>
      </w:r>
      <w:r w:rsidRPr="00FB6433">
        <w:rPr>
          <w:i/>
          <w:szCs w:val="24"/>
        </w:rPr>
        <w:t>maintenance dose</w:t>
      </w:r>
    </w:p>
    <w:p w14:paraId="22688593" w14:textId="77777777" w:rsidR="00692BAB" w:rsidRPr="000663C8" w:rsidRDefault="002A2732" w:rsidP="00692BAB">
      <w:pPr>
        <w:jc w:val="both"/>
        <w:rPr>
          <w:rFonts w:ascii="Times New Roman" w:hAnsi="Times New Roman"/>
          <w:lang w:val="x-none" w:eastAsia="x-none"/>
        </w:rPr>
      </w:pPr>
      <w:r w:rsidRPr="009B7AE6">
        <w:rPr>
          <w:szCs w:val="24"/>
        </w:rPr>
        <w:t>T</w:t>
      </w:r>
      <w:r>
        <w:rPr>
          <w:szCs w:val="24"/>
        </w:rPr>
        <w:t xml:space="preserve">he </w:t>
      </w:r>
      <w:r w:rsidR="00A130F9">
        <w:rPr>
          <w:szCs w:val="24"/>
        </w:rPr>
        <w:t xml:space="preserve">highest tolerated </w:t>
      </w:r>
      <w:r w:rsidRPr="009B7AE6">
        <w:rPr>
          <w:szCs w:val="24"/>
        </w:rPr>
        <w:t xml:space="preserve">dose </w:t>
      </w:r>
      <w:r>
        <w:rPr>
          <w:szCs w:val="24"/>
        </w:rPr>
        <w:t xml:space="preserve">reached during dose titration </w:t>
      </w:r>
      <w:r w:rsidRPr="009B7AE6">
        <w:rPr>
          <w:szCs w:val="24"/>
        </w:rPr>
        <w:t>should be maintained.</w:t>
      </w:r>
      <w:r>
        <w:rPr>
          <w:szCs w:val="24"/>
        </w:rPr>
        <w:t xml:space="preserve"> </w:t>
      </w:r>
      <w:r w:rsidRPr="0021380B">
        <w:rPr>
          <w:szCs w:val="24"/>
        </w:rPr>
        <w:t xml:space="preserve">If </w:t>
      </w:r>
      <w:r>
        <w:rPr>
          <w:szCs w:val="24"/>
        </w:rPr>
        <w:t xml:space="preserve">the </w:t>
      </w:r>
      <w:r w:rsidRPr="0021380B">
        <w:rPr>
          <w:szCs w:val="24"/>
        </w:rPr>
        <w:t xml:space="preserve">therapy is </w:t>
      </w:r>
      <w:r w:rsidR="00D15BA4">
        <w:rPr>
          <w:szCs w:val="24"/>
        </w:rPr>
        <w:t>less</w:t>
      </w:r>
      <w:r w:rsidRPr="0021380B">
        <w:rPr>
          <w:szCs w:val="24"/>
        </w:rPr>
        <w:t xml:space="preserve"> tolerated at </w:t>
      </w:r>
      <w:r>
        <w:rPr>
          <w:szCs w:val="24"/>
        </w:rPr>
        <w:t>a</w:t>
      </w:r>
      <w:r w:rsidRPr="0021380B">
        <w:rPr>
          <w:szCs w:val="24"/>
        </w:rPr>
        <w:t xml:space="preserve"> given dose</w:t>
      </w:r>
      <w:r w:rsidR="00975ED9">
        <w:rPr>
          <w:szCs w:val="24"/>
        </w:rPr>
        <w:t xml:space="preserve"> over time</w:t>
      </w:r>
      <w:r w:rsidRPr="003F41E7">
        <w:rPr>
          <w:szCs w:val="24"/>
          <w:lang w:val="en-US"/>
        </w:rPr>
        <w:t>,</w:t>
      </w:r>
      <w:r w:rsidRPr="0021380B">
        <w:rPr>
          <w:szCs w:val="24"/>
        </w:rPr>
        <w:t xml:space="preserve"> </w:t>
      </w:r>
      <w:r>
        <w:rPr>
          <w:szCs w:val="24"/>
        </w:rPr>
        <w:t xml:space="preserve">symptomatic treatment </w:t>
      </w:r>
      <w:r w:rsidRPr="003F41E7">
        <w:rPr>
          <w:szCs w:val="24"/>
          <w:lang w:val="en-US"/>
        </w:rPr>
        <w:t xml:space="preserve">or </w:t>
      </w:r>
      <w:r w:rsidRPr="0021380B">
        <w:rPr>
          <w:szCs w:val="24"/>
        </w:rPr>
        <w:t>a</w:t>
      </w:r>
      <w:r>
        <w:rPr>
          <w:szCs w:val="24"/>
        </w:rPr>
        <w:t xml:space="preserve"> dose reduction to the next lower dose should be considered.</w:t>
      </w:r>
      <w:r w:rsidR="00692BAB" w:rsidRPr="00692BAB">
        <w:rPr>
          <w:color w:val="000000"/>
          <w:szCs w:val="24"/>
          <w:lang w:val="en-US"/>
        </w:rPr>
        <w:t xml:space="preserve"> </w:t>
      </w:r>
      <w:r w:rsidR="00692BAB">
        <w:rPr>
          <w:color w:val="000000"/>
          <w:szCs w:val="24"/>
          <w:lang w:val="en-US"/>
        </w:rPr>
        <w:t>PAH patients have variable degrees of IP receptor expression. Differences in maintenance dose of selexipag between individuals may be related to differences in IP receptor expression levels.</w:t>
      </w:r>
    </w:p>
    <w:p w14:paraId="22688594" w14:textId="77777777" w:rsidR="002A2732" w:rsidRPr="0040622A" w:rsidRDefault="002A2732" w:rsidP="002A2732">
      <w:pPr>
        <w:pStyle w:val="TextTi12"/>
        <w:rPr>
          <w:szCs w:val="24"/>
        </w:rPr>
      </w:pPr>
    </w:p>
    <w:p w14:paraId="22688595" w14:textId="77777777" w:rsidR="002A2732" w:rsidRPr="009B7AE6" w:rsidRDefault="002A2732" w:rsidP="002A2732">
      <w:pPr>
        <w:pStyle w:val="TextTi12"/>
        <w:keepNext/>
        <w:rPr>
          <w:i/>
        </w:rPr>
      </w:pPr>
      <w:r w:rsidRPr="009B7AE6">
        <w:rPr>
          <w:i/>
        </w:rPr>
        <w:t xml:space="preserve">Interruptions and </w:t>
      </w:r>
      <w:r>
        <w:rPr>
          <w:i/>
        </w:rPr>
        <w:t>d</w:t>
      </w:r>
      <w:r w:rsidRPr="009B7AE6">
        <w:rPr>
          <w:i/>
        </w:rPr>
        <w:t>iscontinuations</w:t>
      </w:r>
    </w:p>
    <w:p w14:paraId="22688596" w14:textId="77777777" w:rsidR="002A2732" w:rsidRPr="00E56D8F" w:rsidRDefault="002A2732" w:rsidP="001C6580">
      <w:pPr>
        <w:pStyle w:val="TextTi12"/>
        <w:rPr>
          <w:lang w:val="en-US"/>
        </w:rPr>
      </w:pPr>
      <w:r w:rsidRPr="00110D42">
        <w:t xml:space="preserve">If a dose of medication is missed, it </w:t>
      </w:r>
      <w:r w:rsidR="00A130F9">
        <w:rPr>
          <w:lang w:val="en-AU"/>
        </w:rPr>
        <w:t xml:space="preserve">should be taken </w:t>
      </w:r>
      <w:r w:rsidRPr="00110D42">
        <w:t xml:space="preserve">as soon as possible. </w:t>
      </w:r>
      <w:r w:rsidR="00A130F9">
        <w:rPr>
          <w:lang w:val="en-AU"/>
        </w:rPr>
        <w:t>T</w:t>
      </w:r>
      <w:r w:rsidRPr="00110D42">
        <w:t xml:space="preserve">he missed dose </w:t>
      </w:r>
      <w:r w:rsidR="00A130F9">
        <w:rPr>
          <w:lang w:val="en-AU"/>
        </w:rPr>
        <w:t xml:space="preserve">should </w:t>
      </w:r>
      <w:r w:rsidR="00D15BA4">
        <w:rPr>
          <w:lang w:val="en-AU"/>
        </w:rPr>
        <w:t>not be taken</w:t>
      </w:r>
      <w:r w:rsidR="00A130F9">
        <w:rPr>
          <w:lang w:val="en-AU"/>
        </w:rPr>
        <w:t xml:space="preserve"> </w:t>
      </w:r>
      <w:r w:rsidRPr="00110D42">
        <w:t>if it is almost time for the next scheduled dose (within approximately 6 hours)</w:t>
      </w:r>
      <w:r w:rsidRPr="00E56D8F">
        <w:rPr>
          <w:lang w:val="en-US"/>
        </w:rPr>
        <w:t>.</w:t>
      </w:r>
    </w:p>
    <w:p w14:paraId="22688597" w14:textId="77777777" w:rsidR="002A2732" w:rsidRPr="009B7AE6" w:rsidRDefault="002A2732" w:rsidP="001C6580">
      <w:pPr>
        <w:pStyle w:val="TextTi12"/>
      </w:pPr>
      <w:r w:rsidRPr="009B7AE6">
        <w:lastRenderedPageBreak/>
        <w:t>If treatment is missed for 3 days or more</w:t>
      </w:r>
      <w:r w:rsidRPr="003F41E7">
        <w:rPr>
          <w:lang w:val="en-US"/>
        </w:rPr>
        <w:t>,</w:t>
      </w:r>
      <w:r w:rsidRPr="009B7AE6">
        <w:t xml:space="preserve"> </w:t>
      </w:r>
      <w:r w:rsidR="009B32E6">
        <w:t>UPTRAVI</w:t>
      </w:r>
      <w:r w:rsidRPr="009B7AE6">
        <w:t xml:space="preserve"> should be </w:t>
      </w:r>
      <w:r w:rsidRPr="00C32458">
        <w:t>re-started</w:t>
      </w:r>
      <w:r w:rsidRPr="009B7AE6">
        <w:t xml:space="preserve"> at a lower dose and then titrated. </w:t>
      </w:r>
    </w:p>
    <w:p w14:paraId="22688598" w14:textId="77777777" w:rsidR="00733AF2" w:rsidRPr="00527F9F" w:rsidRDefault="00733AF2" w:rsidP="001C6580">
      <w:pPr>
        <w:jc w:val="both"/>
        <w:rPr>
          <w:rFonts w:eastAsia="SimSun"/>
          <w:b/>
          <w:szCs w:val="22"/>
        </w:rPr>
      </w:pPr>
      <w:r w:rsidRPr="00527F9F">
        <w:rPr>
          <w:rFonts w:eastAsia="SimSun"/>
          <w:b/>
          <w:szCs w:val="22"/>
        </w:rPr>
        <w:t xml:space="preserve">Dosage adjustment in </w:t>
      </w:r>
      <w:r w:rsidR="00791B80" w:rsidRPr="00527F9F">
        <w:rPr>
          <w:rFonts w:eastAsia="SimSun"/>
          <w:b/>
          <w:szCs w:val="22"/>
        </w:rPr>
        <w:t>e</w:t>
      </w:r>
      <w:r w:rsidRPr="00527F9F">
        <w:rPr>
          <w:rFonts w:eastAsia="SimSun"/>
          <w:b/>
          <w:szCs w:val="22"/>
        </w:rPr>
        <w:t>lderly patients</w:t>
      </w:r>
    </w:p>
    <w:p w14:paraId="22688599" w14:textId="77777777" w:rsidR="0018432E" w:rsidRPr="0018432E" w:rsidRDefault="0018432E" w:rsidP="001C6580">
      <w:pPr>
        <w:keepNext/>
        <w:spacing w:before="120" w:after="60"/>
        <w:ind w:left="1138" w:hanging="1138"/>
        <w:jc w:val="both"/>
        <w:rPr>
          <w:rFonts w:ascii="Times New Roman" w:hAnsi="Times New Roman"/>
          <w:i/>
          <w:lang w:val="en-US"/>
        </w:rPr>
      </w:pPr>
      <w:r w:rsidRPr="0018432E">
        <w:rPr>
          <w:rFonts w:ascii="Times New Roman" w:hAnsi="Times New Roman"/>
          <w:i/>
          <w:lang w:val="en-US"/>
        </w:rPr>
        <w:t>Elderly (≥ 65 years)</w:t>
      </w:r>
    </w:p>
    <w:p w14:paraId="2268859A" w14:textId="77777777" w:rsidR="00E10EFB" w:rsidRPr="00831FB3" w:rsidRDefault="0018432E" w:rsidP="001C6580">
      <w:pPr>
        <w:jc w:val="both"/>
        <w:rPr>
          <w:rFonts w:eastAsia="SimSun"/>
        </w:rPr>
      </w:pPr>
      <w:r w:rsidRPr="0018432E">
        <w:rPr>
          <w:rFonts w:ascii="Times New Roman" w:hAnsi="Times New Roman"/>
          <w:lang w:val="x-none" w:eastAsia="x-none"/>
        </w:rPr>
        <w:t xml:space="preserve">No adjustment </w:t>
      </w:r>
      <w:r w:rsidRPr="0018432E">
        <w:rPr>
          <w:rFonts w:ascii="Times New Roman" w:hAnsi="Times New Roman"/>
          <w:lang w:val="en-US" w:eastAsia="x-none"/>
        </w:rPr>
        <w:t xml:space="preserve">to the dosing regimen </w:t>
      </w:r>
      <w:r w:rsidRPr="0018432E">
        <w:rPr>
          <w:rFonts w:ascii="Times New Roman" w:hAnsi="Times New Roman"/>
          <w:lang w:val="x-none" w:eastAsia="x-none"/>
        </w:rPr>
        <w:t>is needed in elderly patients</w:t>
      </w:r>
      <w:r w:rsidRPr="00831FB3">
        <w:rPr>
          <w:rFonts w:ascii="Times New Roman" w:hAnsi="Times New Roman"/>
          <w:lang w:val="x-none" w:eastAsia="x-none"/>
        </w:rPr>
        <w:t>.</w:t>
      </w:r>
      <w:r w:rsidR="00831FB3" w:rsidRPr="00831FB3">
        <w:rPr>
          <w:rFonts w:ascii="Times New Roman" w:hAnsi="Times New Roman"/>
          <w:lang w:eastAsia="x-none"/>
        </w:rPr>
        <w:t xml:space="preserve"> </w:t>
      </w:r>
    </w:p>
    <w:p w14:paraId="2268859B" w14:textId="77777777" w:rsidR="0018432E" w:rsidRDefault="0018432E" w:rsidP="001C6580">
      <w:pPr>
        <w:jc w:val="both"/>
        <w:rPr>
          <w:rFonts w:eastAsia="SimSun"/>
          <w:b/>
          <w:szCs w:val="22"/>
        </w:rPr>
      </w:pPr>
    </w:p>
    <w:p w14:paraId="2268859C" w14:textId="77777777" w:rsidR="00733AF2" w:rsidRPr="00527F9F" w:rsidRDefault="00733AF2" w:rsidP="001C6580">
      <w:pPr>
        <w:jc w:val="both"/>
        <w:rPr>
          <w:b/>
          <w:szCs w:val="22"/>
        </w:rPr>
      </w:pPr>
      <w:r w:rsidRPr="00527F9F">
        <w:rPr>
          <w:rFonts w:eastAsia="SimSun"/>
          <w:b/>
          <w:szCs w:val="22"/>
        </w:rPr>
        <w:t xml:space="preserve">Dosage adjustment in </w:t>
      </w:r>
      <w:r w:rsidR="00791B80" w:rsidRPr="00527F9F">
        <w:rPr>
          <w:b/>
          <w:szCs w:val="22"/>
        </w:rPr>
        <w:t>p</w:t>
      </w:r>
      <w:r w:rsidRPr="00527F9F">
        <w:rPr>
          <w:b/>
          <w:szCs w:val="22"/>
        </w:rPr>
        <w:t>atients with hepatic impairment</w:t>
      </w:r>
    </w:p>
    <w:p w14:paraId="2268859D" w14:textId="2EEF8B37" w:rsidR="0018432E" w:rsidRPr="000A0069" w:rsidRDefault="0018432E" w:rsidP="001C6580">
      <w:pPr>
        <w:autoSpaceDE w:val="0"/>
        <w:autoSpaceDN w:val="0"/>
        <w:adjustRightInd w:val="0"/>
        <w:jc w:val="both"/>
        <w:rPr>
          <w:rFonts w:ascii="Times New Roman" w:hAnsi="Times New Roman"/>
          <w:lang w:val="en-US" w:eastAsia="x-none"/>
        </w:rPr>
      </w:pPr>
      <w:r w:rsidRPr="0018432E">
        <w:rPr>
          <w:rFonts w:ascii="Times New Roman" w:hAnsi="Times New Roman"/>
          <w:lang w:val="x-none" w:eastAsia="x-none"/>
        </w:rPr>
        <w:t>No adjustment</w:t>
      </w:r>
      <w:r w:rsidRPr="0018432E">
        <w:rPr>
          <w:rFonts w:ascii="Times New Roman" w:hAnsi="Times New Roman"/>
          <w:lang w:val="en-US" w:eastAsia="x-none"/>
        </w:rPr>
        <w:t xml:space="preserve"> to the dosing regimen</w:t>
      </w:r>
      <w:r w:rsidRPr="0018432E">
        <w:rPr>
          <w:rFonts w:ascii="Times New Roman" w:hAnsi="Times New Roman"/>
          <w:lang w:val="x-none" w:eastAsia="x-none"/>
        </w:rPr>
        <w:t xml:space="preserve"> is ne</w:t>
      </w:r>
      <w:r w:rsidRPr="0018432E">
        <w:rPr>
          <w:rFonts w:ascii="Times New Roman" w:hAnsi="Times New Roman"/>
          <w:lang w:val="en-US" w:eastAsia="x-none"/>
        </w:rPr>
        <w:t>eded</w:t>
      </w:r>
      <w:r w:rsidRPr="0018432E">
        <w:rPr>
          <w:rFonts w:ascii="Times New Roman" w:hAnsi="Times New Roman"/>
          <w:lang w:val="x-none" w:eastAsia="x-none"/>
        </w:rPr>
        <w:t xml:space="preserve"> in patients with mild hepatic impairment (i.e., Child-Pugh class A).</w:t>
      </w:r>
      <w:r w:rsidR="00780A95" w:rsidRPr="00780A95">
        <w:t xml:space="preserve"> </w:t>
      </w:r>
      <w:r w:rsidR="00780A95" w:rsidRPr="00051D2E">
        <w:t xml:space="preserve">A once-daily regimen is recommended in patients with moderate hepatic impairment (Child- Pugh class B) due to the increased exposure to selexipag and its active metabolite. </w:t>
      </w:r>
      <w:r w:rsidR="000A0069" w:rsidRPr="000A0069">
        <w:rPr>
          <w:rFonts w:ascii="Times New Roman" w:hAnsi="Times New Roman"/>
          <w:lang w:val="en-US" w:eastAsia="x-none"/>
        </w:rPr>
        <w:t>Avoid use of UPTRAVI in patients with severe hepatic impairment (Child</w:t>
      </w:r>
      <w:r w:rsidR="000A0069">
        <w:rPr>
          <w:rFonts w:ascii="Times New Roman" w:hAnsi="Times New Roman"/>
          <w:lang w:val="en-US" w:eastAsia="x-none"/>
        </w:rPr>
        <w:t xml:space="preserve"> </w:t>
      </w:r>
      <w:r w:rsidR="000A0069" w:rsidRPr="000A0069">
        <w:rPr>
          <w:rFonts w:ascii="Times New Roman" w:hAnsi="Times New Roman"/>
          <w:lang w:val="en-US" w:eastAsia="x-none"/>
        </w:rPr>
        <w:t>Pugh class C, see CONTRAINDICATIONS)</w:t>
      </w:r>
      <w:r w:rsidR="003B53C2">
        <w:rPr>
          <w:rFonts w:ascii="Times New Roman" w:hAnsi="Times New Roman"/>
          <w:lang w:val="en-US" w:eastAsia="x-none"/>
        </w:rPr>
        <w:t>.</w:t>
      </w:r>
    </w:p>
    <w:p w14:paraId="2268859F" w14:textId="77777777" w:rsidR="00733AF2" w:rsidRPr="0018432E" w:rsidRDefault="00733AF2" w:rsidP="007707E6">
      <w:pPr>
        <w:jc w:val="both"/>
        <w:rPr>
          <w:szCs w:val="22"/>
          <w:u w:val="single"/>
          <w:lang w:val="x-none"/>
        </w:rPr>
      </w:pPr>
    </w:p>
    <w:p w14:paraId="226885A0" w14:textId="77777777" w:rsidR="00733AF2" w:rsidRPr="00527F9F" w:rsidRDefault="00733AF2" w:rsidP="007707E6">
      <w:pPr>
        <w:jc w:val="both"/>
        <w:rPr>
          <w:b/>
          <w:szCs w:val="22"/>
        </w:rPr>
      </w:pPr>
      <w:r w:rsidRPr="00527F9F">
        <w:rPr>
          <w:rFonts w:eastAsia="SimSun"/>
          <w:b/>
          <w:szCs w:val="22"/>
        </w:rPr>
        <w:t xml:space="preserve">Dosage adjustment in </w:t>
      </w:r>
      <w:r w:rsidR="00791B80" w:rsidRPr="00527F9F">
        <w:rPr>
          <w:b/>
          <w:szCs w:val="22"/>
        </w:rPr>
        <w:t>p</w:t>
      </w:r>
      <w:r w:rsidR="00B31C79" w:rsidRPr="00527F9F">
        <w:rPr>
          <w:b/>
          <w:szCs w:val="22"/>
        </w:rPr>
        <w:t xml:space="preserve">atients with </w:t>
      </w:r>
      <w:r w:rsidR="00791B80" w:rsidRPr="00527F9F">
        <w:rPr>
          <w:b/>
          <w:szCs w:val="22"/>
        </w:rPr>
        <w:t>r</w:t>
      </w:r>
      <w:r w:rsidRPr="00527F9F">
        <w:rPr>
          <w:b/>
          <w:szCs w:val="22"/>
        </w:rPr>
        <w:t xml:space="preserve">enal </w:t>
      </w:r>
      <w:r w:rsidR="00791B80" w:rsidRPr="00527F9F">
        <w:rPr>
          <w:b/>
          <w:szCs w:val="22"/>
        </w:rPr>
        <w:t>i</w:t>
      </w:r>
      <w:r w:rsidRPr="00527F9F">
        <w:rPr>
          <w:b/>
          <w:szCs w:val="22"/>
        </w:rPr>
        <w:t>mpairment</w:t>
      </w:r>
    </w:p>
    <w:p w14:paraId="226885A1" w14:textId="77777777" w:rsidR="0018432E" w:rsidRPr="0018432E" w:rsidRDefault="0018432E" w:rsidP="0018432E">
      <w:pPr>
        <w:spacing w:after="170" w:line="260" w:lineRule="atLeast"/>
        <w:jc w:val="both"/>
        <w:rPr>
          <w:rFonts w:ascii="Times New Roman" w:hAnsi="Times New Roman"/>
          <w:lang w:val="x-none" w:eastAsia="x-none"/>
        </w:rPr>
      </w:pPr>
      <w:r w:rsidRPr="0018432E">
        <w:rPr>
          <w:rFonts w:ascii="Times New Roman" w:hAnsi="Times New Roman"/>
          <w:lang w:val="x-none" w:eastAsia="x-none"/>
        </w:rPr>
        <w:t xml:space="preserve">No adjustment </w:t>
      </w:r>
      <w:r w:rsidRPr="0018432E">
        <w:rPr>
          <w:rFonts w:ascii="Times New Roman" w:hAnsi="Times New Roman"/>
          <w:lang w:val="en-US" w:eastAsia="x-none"/>
        </w:rPr>
        <w:t xml:space="preserve">to the dosing regimen </w:t>
      </w:r>
      <w:r w:rsidRPr="0018432E">
        <w:rPr>
          <w:rFonts w:ascii="Times New Roman" w:hAnsi="Times New Roman"/>
          <w:lang w:val="x-none" w:eastAsia="x-none"/>
        </w:rPr>
        <w:t>is ne</w:t>
      </w:r>
      <w:r w:rsidRPr="0018432E">
        <w:rPr>
          <w:rFonts w:ascii="Times New Roman" w:hAnsi="Times New Roman"/>
          <w:lang w:val="en-US" w:eastAsia="x-none"/>
        </w:rPr>
        <w:t xml:space="preserve">eded </w:t>
      </w:r>
      <w:r w:rsidRPr="0018432E">
        <w:rPr>
          <w:rFonts w:ascii="Times New Roman" w:hAnsi="Times New Roman"/>
          <w:lang w:val="x-none" w:eastAsia="x-none"/>
        </w:rPr>
        <w:t xml:space="preserve">in patients with mild or moderate renal impairment. </w:t>
      </w:r>
    </w:p>
    <w:p w14:paraId="226885A2" w14:textId="77777777" w:rsidR="00E10EFB" w:rsidRDefault="0018432E" w:rsidP="0018432E">
      <w:pPr>
        <w:rPr>
          <w:rFonts w:eastAsia="SimSun"/>
          <w:b/>
          <w:szCs w:val="22"/>
        </w:rPr>
      </w:pPr>
      <w:r w:rsidRPr="0018432E">
        <w:rPr>
          <w:rFonts w:ascii="Times New Roman" w:hAnsi="Times New Roman"/>
          <w:lang w:val="x-none" w:eastAsia="x-none"/>
        </w:rPr>
        <w:t xml:space="preserve">No change in starting dose is required in patients with severe renal impairment. </w:t>
      </w:r>
      <w:r w:rsidRPr="0018432E">
        <w:rPr>
          <w:rFonts w:ascii="Times New Roman" w:hAnsi="Times New Roman"/>
          <w:lang w:val="en-US" w:eastAsia="x-none"/>
        </w:rPr>
        <w:t xml:space="preserve">Dose </w:t>
      </w:r>
      <w:r w:rsidRPr="0018432E">
        <w:rPr>
          <w:rFonts w:ascii="Times New Roman" w:hAnsi="Times New Roman"/>
          <w:lang w:val="x-none" w:eastAsia="x-none"/>
        </w:rPr>
        <w:t>titration in these patients should be done with caution.</w:t>
      </w:r>
    </w:p>
    <w:p w14:paraId="226885A3" w14:textId="77777777" w:rsidR="0018432E" w:rsidRDefault="0018432E" w:rsidP="00733AF2">
      <w:pPr>
        <w:rPr>
          <w:rFonts w:eastAsia="SimSun"/>
          <w:b/>
          <w:szCs w:val="22"/>
        </w:rPr>
      </w:pPr>
    </w:p>
    <w:p w14:paraId="226885A4" w14:textId="77777777" w:rsidR="001C35B2" w:rsidRDefault="001C35B2" w:rsidP="00365338">
      <w:pPr>
        <w:pStyle w:val="Heading1"/>
        <w:ind w:right="-61"/>
      </w:pPr>
      <w:r>
        <w:t>OVERDOSAGE</w:t>
      </w:r>
    </w:p>
    <w:p w14:paraId="226885A5" w14:textId="77777777" w:rsidR="000270B4" w:rsidRPr="000270B4" w:rsidRDefault="000270B4" w:rsidP="000270B4"/>
    <w:p w14:paraId="226885A6" w14:textId="77777777" w:rsidR="005B2390" w:rsidRDefault="008B3E31" w:rsidP="002924FD">
      <w:pPr>
        <w:autoSpaceDE w:val="0"/>
        <w:autoSpaceDN w:val="0"/>
        <w:adjustRightInd w:val="0"/>
        <w:jc w:val="both"/>
      </w:pPr>
      <w:r w:rsidRPr="00024045">
        <w:rPr>
          <w:lang w:val="en-US"/>
        </w:rPr>
        <w:t>Isolated cases of</w:t>
      </w:r>
      <w:r>
        <w:t xml:space="preserve"> </w:t>
      </w:r>
      <w:r w:rsidRPr="00024045">
        <w:rPr>
          <w:lang w:val="en-US"/>
        </w:rPr>
        <w:t xml:space="preserve">overdose up to 3200 </w:t>
      </w:r>
      <w:r>
        <w:rPr>
          <w:lang w:val="en-US"/>
        </w:rPr>
        <w:t>µg were reported</w:t>
      </w:r>
      <w:r>
        <w:t xml:space="preserve">. </w:t>
      </w:r>
      <w:r w:rsidRPr="00024045">
        <w:rPr>
          <w:lang w:val="en-US"/>
        </w:rPr>
        <w:t>Mild, transient nausea was the only reported consequence</w:t>
      </w:r>
      <w:r>
        <w:rPr>
          <w:lang w:val="en-US"/>
        </w:rPr>
        <w:t>.</w:t>
      </w:r>
      <w:r w:rsidRPr="0088053C" w:rsidDel="00652521">
        <w:rPr>
          <w:lang w:val="en-US"/>
        </w:rPr>
        <w:t xml:space="preserve"> </w:t>
      </w:r>
      <w:r w:rsidR="0018432E" w:rsidRPr="009B7AE6">
        <w:t>In the event of overdose</w:t>
      </w:r>
      <w:r w:rsidR="0018432E" w:rsidRPr="003727E2">
        <w:rPr>
          <w:lang w:val="en-US"/>
        </w:rPr>
        <w:t>,</w:t>
      </w:r>
      <w:r w:rsidR="0018432E" w:rsidRPr="009B7AE6">
        <w:t xml:space="preserve"> supportive measures must be taken as required. </w:t>
      </w:r>
      <w:r w:rsidR="0018432E">
        <w:t xml:space="preserve">Dialysis is unlikely to be effective because selexipag </w:t>
      </w:r>
      <w:r w:rsidR="0018432E" w:rsidRPr="003727E2">
        <w:rPr>
          <w:lang w:val="en-US"/>
        </w:rPr>
        <w:t xml:space="preserve">and </w:t>
      </w:r>
      <w:r w:rsidR="0018432E">
        <w:rPr>
          <w:lang w:val="en-US"/>
        </w:rPr>
        <w:t>its</w:t>
      </w:r>
      <w:r w:rsidR="0018432E" w:rsidRPr="003727E2">
        <w:rPr>
          <w:lang w:val="en-US"/>
        </w:rPr>
        <w:t xml:space="preserve"> active metabolite are</w:t>
      </w:r>
      <w:r w:rsidR="0018432E">
        <w:t xml:space="preserve"> highly </w:t>
      </w:r>
      <w:r w:rsidR="0018432E" w:rsidRPr="00571003">
        <w:rPr>
          <w:lang w:val="en-US"/>
        </w:rPr>
        <w:t>protein</w:t>
      </w:r>
      <w:r w:rsidR="00F82A4A">
        <w:rPr>
          <w:lang w:val="en-US"/>
        </w:rPr>
        <w:t xml:space="preserve"> </w:t>
      </w:r>
      <w:r w:rsidR="0018432E">
        <w:t>bound.</w:t>
      </w:r>
    </w:p>
    <w:p w14:paraId="226885A7" w14:textId="77777777" w:rsidR="0018432E" w:rsidRDefault="0018432E" w:rsidP="002924FD">
      <w:pPr>
        <w:autoSpaceDE w:val="0"/>
        <w:autoSpaceDN w:val="0"/>
        <w:adjustRightInd w:val="0"/>
        <w:jc w:val="both"/>
        <w:rPr>
          <w:rFonts w:ascii="Arial" w:hAnsi="Arial" w:cs="Arial"/>
          <w:bCs/>
          <w:szCs w:val="24"/>
          <w:lang w:val="en-US"/>
        </w:rPr>
      </w:pPr>
    </w:p>
    <w:p w14:paraId="226885A8" w14:textId="77777777" w:rsidR="00201F2E" w:rsidRPr="005B2390" w:rsidRDefault="00201F2E" w:rsidP="009C02AA">
      <w:pPr>
        <w:autoSpaceDE w:val="0"/>
        <w:autoSpaceDN w:val="0"/>
        <w:adjustRightInd w:val="0"/>
        <w:jc w:val="both"/>
      </w:pPr>
      <w:r w:rsidRPr="005B2390">
        <w:t xml:space="preserve">Contact the Poisons Information Centre on 13 11 26 for advice on management of overdose. </w:t>
      </w:r>
    </w:p>
    <w:p w14:paraId="226885A9" w14:textId="77777777" w:rsidR="00733AF2" w:rsidRPr="00717EE5" w:rsidRDefault="00733AF2" w:rsidP="009C02AA">
      <w:pPr>
        <w:jc w:val="both"/>
      </w:pPr>
    </w:p>
    <w:p w14:paraId="226885AA" w14:textId="77777777" w:rsidR="001C35B2" w:rsidRDefault="001C35B2" w:rsidP="009C02AA">
      <w:pPr>
        <w:pStyle w:val="Heading1"/>
        <w:ind w:right="-61"/>
        <w:jc w:val="both"/>
        <w:rPr>
          <w:szCs w:val="24"/>
        </w:rPr>
      </w:pPr>
      <w:r>
        <w:t>PRESENTATION</w:t>
      </w:r>
      <w:r w:rsidR="00A413AD" w:rsidRPr="004E01DD">
        <w:t xml:space="preserve"> </w:t>
      </w:r>
      <w:r w:rsidR="00A413AD" w:rsidRPr="004E01DD">
        <w:rPr>
          <w:szCs w:val="24"/>
        </w:rPr>
        <w:t>AND STORAGE CONDITIONS</w:t>
      </w:r>
    </w:p>
    <w:p w14:paraId="226885AB" w14:textId="77777777" w:rsidR="00733AF2" w:rsidRPr="00733AF2" w:rsidRDefault="00733AF2" w:rsidP="009C02AA">
      <w:pPr>
        <w:pStyle w:val="BodyText"/>
        <w:jc w:val="both"/>
        <w:rPr>
          <w:rFonts w:ascii="Times New Roman" w:hAnsi="Times New Roman"/>
          <w:i/>
          <w:snapToGrid w:val="0"/>
          <w:szCs w:val="24"/>
          <w:lang w:eastAsia="sv-SE"/>
        </w:rPr>
      </w:pPr>
    </w:p>
    <w:p w14:paraId="226885AC" w14:textId="77777777" w:rsidR="00D53BA0" w:rsidRPr="009B7AE6" w:rsidRDefault="008439E8" w:rsidP="009C02AA">
      <w:pPr>
        <w:pStyle w:val="TextTi12"/>
      </w:pPr>
      <w:r>
        <w:t>UPTRAVI</w:t>
      </w:r>
      <w:r w:rsidR="00D53BA0" w:rsidRPr="009B7AE6">
        <w:t xml:space="preserve"> 200 microgram</w:t>
      </w:r>
      <w:r w:rsidR="00491F9E">
        <w:rPr>
          <w:lang w:val="en-AU"/>
        </w:rPr>
        <w:t>,</w:t>
      </w:r>
      <w:r w:rsidR="00D53BA0" w:rsidRPr="009B7AE6">
        <w:t xml:space="preserve"> </w:t>
      </w:r>
      <w:r w:rsidR="00491F9E">
        <w:rPr>
          <w:szCs w:val="24"/>
          <w:lang w:val="en-AU" w:eastAsia="en-AU"/>
        </w:rPr>
        <w:t>light yellow,</w:t>
      </w:r>
      <w:r w:rsidR="00491F9E" w:rsidRPr="00B02F02">
        <w:rPr>
          <w:szCs w:val="24"/>
          <w:lang w:eastAsia="en-AU"/>
        </w:rPr>
        <w:t xml:space="preserve"> </w:t>
      </w:r>
      <w:r w:rsidR="00491F9E">
        <w:rPr>
          <w:szCs w:val="24"/>
          <w:lang w:val="en-AU" w:eastAsia="en-AU"/>
        </w:rPr>
        <w:t xml:space="preserve">debossed with '2', round, </w:t>
      </w:r>
      <w:r w:rsidR="00D53BA0" w:rsidRPr="009B7AE6">
        <w:t>film-coated tablet.</w:t>
      </w:r>
    </w:p>
    <w:p w14:paraId="226885AD" w14:textId="4800FA00" w:rsidR="00D53BA0" w:rsidRPr="009C02AA" w:rsidRDefault="008439E8" w:rsidP="009C02AA">
      <w:pPr>
        <w:pStyle w:val="TextTi12"/>
        <w:rPr>
          <w:lang w:val="en-AU"/>
        </w:rPr>
      </w:pPr>
      <w:r>
        <w:t>UPTRAVI</w:t>
      </w:r>
      <w:r w:rsidR="00D53BA0" w:rsidRPr="009B7AE6">
        <w:t xml:space="preserve"> 400 microgram</w:t>
      </w:r>
      <w:r w:rsidR="00491F9E">
        <w:rPr>
          <w:lang w:val="en-AU"/>
        </w:rPr>
        <w:t>,</w:t>
      </w:r>
      <w:r w:rsidR="00D53BA0" w:rsidRPr="009B7AE6">
        <w:t xml:space="preserve"> </w:t>
      </w:r>
      <w:r w:rsidR="00491F9E">
        <w:rPr>
          <w:szCs w:val="24"/>
          <w:lang w:val="en-AU" w:eastAsia="en-AU"/>
        </w:rPr>
        <w:t>red, debossed with '4', round,</w:t>
      </w:r>
      <w:r w:rsidR="00491F9E" w:rsidRPr="009B7AE6">
        <w:t xml:space="preserve"> </w:t>
      </w:r>
      <w:r w:rsidR="00D53BA0" w:rsidRPr="009B7AE6">
        <w:t>film-coated tablet.</w:t>
      </w:r>
      <w:r w:rsidR="009C02AA">
        <w:rPr>
          <w:lang w:val="en-AU"/>
        </w:rPr>
        <w:t xml:space="preserve"> </w:t>
      </w:r>
    </w:p>
    <w:p w14:paraId="226885AE" w14:textId="6883A000" w:rsidR="00D53BA0" w:rsidRPr="009C02AA" w:rsidRDefault="009B32E6" w:rsidP="009C02AA">
      <w:pPr>
        <w:pStyle w:val="TextTi12"/>
        <w:rPr>
          <w:lang w:val="en-AU"/>
        </w:rPr>
      </w:pPr>
      <w:r>
        <w:t>UPTRAVI</w:t>
      </w:r>
      <w:r w:rsidR="00D53BA0" w:rsidRPr="009B7AE6">
        <w:t xml:space="preserve"> 600 microgram</w:t>
      </w:r>
      <w:r w:rsidR="00491F9E">
        <w:rPr>
          <w:lang w:val="en-AU"/>
        </w:rPr>
        <w:t>,</w:t>
      </w:r>
      <w:r w:rsidR="00D53BA0" w:rsidRPr="009B7AE6">
        <w:t xml:space="preserve"> </w:t>
      </w:r>
      <w:r w:rsidR="00491F9E">
        <w:rPr>
          <w:szCs w:val="24"/>
          <w:lang w:val="en-AU" w:eastAsia="en-AU"/>
        </w:rPr>
        <w:t>violet,</w:t>
      </w:r>
      <w:r w:rsidR="00491F9E" w:rsidRPr="00491F9E">
        <w:rPr>
          <w:szCs w:val="24"/>
          <w:lang w:val="en-AU" w:eastAsia="en-AU"/>
        </w:rPr>
        <w:t xml:space="preserve"> </w:t>
      </w:r>
      <w:r w:rsidR="00491F9E">
        <w:rPr>
          <w:szCs w:val="24"/>
          <w:lang w:val="en-AU" w:eastAsia="en-AU"/>
        </w:rPr>
        <w:t>debossed with '6',</w:t>
      </w:r>
      <w:r w:rsidR="00491F9E">
        <w:rPr>
          <w:lang w:val="en-AU"/>
        </w:rPr>
        <w:t xml:space="preserve"> round, </w:t>
      </w:r>
      <w:r w:rsidR="00D53BA0" w:rsidRPr="009B7AE6">
        <w:t>film-coated tablet.</w:t>
      </w:r>
      <w:r w:rsidR="009C02AA">
        <w:rPr>
          <w:lang w:val="en-AU"/>
        </w:rPr>
        <w:t xml:space="preserve"> </w:t>
      </w:r>
    </w:p>
    <w:p w14:paraId="226885AF" w14:textId="1C9DFD37" w:rsidR="00D53BA0" w:rsidRPr="009C02AA" w:rsidRDefault="008439E8" w:rsidP="009C02AA">
      <w:pPr>
        <w:pStyle w:val="TextTi12"/>
        <w:rPr>
          <w:lang w:val="en-AU"/>
        </w:rPr>
      </w:pPr>
      <w:r>
        <w:t>UPTRAVI</w:t>
      </w:r>
      <w:r w:rsidR="00D53BA0" w:rsidRPr="009B7AE6">
        <w:t xml:space="preserve"> 800 microgram</w:t>
      </w:r>
      <w:r w:rsidR="00491F9E">
        <w:rPr>
          <w:lang w:val="en-AU"/>
        </w:rPr>
        <w:t>,</w:t>
      </w:r>
      <w:r w:rsidR="00D53BA0" w:rsidRPr="009B7AE6">
        <w:t xml:space="preserve"> </w:t>
      </w:r>
      <w:r w:rsidR="00491F9E">
        <w:rPr>
          <w:szCs w:val="24"/>
          <w:lang w:val="en-AU" w:eastAsia="en-AU"/>
        </w:rPr>
        <w:t>green,</w:t>
      </w:r>
      <w:r w:rsidR="00491F9E" w:rsidRPr="00491F9E">
        <w:rPr>
          <w:szCs w:val="24"/>
          <w:lang w:val="en-AU" w:eastAsia="en-AU"/>
        </w:rPr>
        <w:t xml:space="preserve"> </w:t>
      </w:r>
      <w:r w:rsidR="00491F9E">
        <w:rPr>
          <w:szCs w:val="24"/>
          <w:lang w:val="en-AU" w:eastAsia="en-AU"/>
        </w:rPr>
        <w:t>debossed with '8'</w:t>
      </w:r>
      <w:r w:rsidR="006D5EB1">
        <w:rPr>
          <w:szCs w:val="24"/>
          <w:lang w:val="en-AU" w:eastAsia="en-AU"/>
        </w:rPr>
        <w:t>,</w:t>
      </w:r>
      <w:r w:rsidR="00491F9E" w:rsidRPr="009B7AE6">
        <w:t xml:space="preserve"> </w:t>
      </w:r>
      <w:r w:rsidR="006D5EB1">
        <w:rPr>
          <w:lang w:val="en-AU"/>
        </w:rPr>
        <w:t xml:space="preserve">round, </w:t>
      </w:r>
      <w:r w:rsidR="00D53BA0" w:rsidRPr="009B7AE6">
        <w:t>film-coated tablet.</w:t>
      </w:r>
      <w:r w:rsidR="009C02AA">
        <w:rPr>
          <w:lang w:val="en-AU"/>
        </w:rPr>
        <w:t xml:space="preserve"> </w:t>
      </w:r>
    </w:p>
    <w:p w14:paraId="226885B0" w14:textId="77777777" w:rsidR="00D53BA0" w:rsidRPr="009B7AE6" w:rsidRDefault="009B32E6" w:rsidP="009C02AA">
      <w:pPr>
        <w:pStyle w:val="TextTi12"/>
      </w:pPr>
      <w:r>
        <w:t>UPTRAVI</w:t>
      </w:r>
      <w:r w:rsidR="00D53BA0" w:rsidRPr="009B7AE6">
        <w:t xml:space="preserve"> 1000 microgram</w:t>
      </w:r>
      <w:r w:rsidR="00491F9E">
        <w:rPr>
          <w:lang w:val="en-AU"/>
        </w:rPr>
        <w:t>,</w:t>
      </w:r>
      <w:r w:rsidR="00D53BA0" w:rsidRPr="009B7AE6">
        <w:t xml:space="preserve"> </w:t>
      </w:r>
      <w:r w:rsidR="00491F9E">
        <w:rPr>
          <w:szCs w:val="24"/>
          <w:lang w:val="en-AU" w:eastAsia="en-AU"/>
        </w:rPr>
        <w:t>orange, debossed with '10'</w:t>
      </w:r>
      <w:r w:rsidR="006D5EB1">
        <w:rPr>
          <w:szCs w:val="24"/>
          <w:lang w:val="en-AU" w:eastAsia="en-AU"/>
        </w:rPr>
        <w:t xml:space="preserve">, </w:t>
      </w:r>
      <w:r w:rsidR="00491F9E">
        <w:rPr>
          <w:szCs w:val="24"/>
          <w:lang w:val="en-AU" w:eastAsia="en-AU"/>
        </w:rPr>
        <w:t>round</w:t>
      </w:r>
      <w:r w:rsidR="006D5EB1">
        <w:rPr>
          <w:szCs w:val="24"/>
          <w:lang w:val="en-AU" w:eastAsia="en-AU"/>
        </w:rPr>
        <w:t>,</w:t>
      </w:r>
      <w:r w:rsidR="00491F9E" w:rsidRPr="009B7AE6">
        <w:t xml:space="preserve"> </w:t>
      </w:r>
      <w:r w:rsidR="00D53BA0" w:rsidRPr="009B7AE6">
        <w:t>film-coated tablet.</w:t>
      </w:r>
    </w:p>
    <w:p w14:paraId="226885B1" w14:textId="77777777" w:rsidR="00D53BA0" w:rsidRDefault="009B32E6" w:rsidP="009C02AA">
      <w:pPr>
        <w:pStyle w:val="TextTi12"/>
        <w:rPr>
          <w:lang w:val="en-AU"/>
        </w:rPr>
      </w:pPr>
      <w:r>
        <w:t>UPTRAVI</w:t>
      </w:r>
      <w:r w:rsidR="00491F9E">
        <w:t xml:space="preserve"> 1200 microgra</w:t>
      </w:r>
      <w:r w:rsidR="00491F9E">
        <w:rPr>
          <w:lang w:val="en-AU"/>
        </w:rPr>
        <w:t xml:space="preserve">m, </w:t>
      </w:r>
      <w:r w:rsidR="00491F9E">
        <w:rPr>
          <w:szCs w:val="24"/>
          <w:lang w:val="en-AU" w:eastAsia="en-AU"/>
        </w:rPr>
        <w:t>dark violet,</w:t>
      </w:r>
      <w:r w:rsidR="00491F9E" w:rsidRPr="00491F9E">
        <w:rPr>
          <w:szCs w:val="24"/>
          <w:lang w:val="en-AU" w:eastAsia="en-AU"/>
        </w:rPr>
        <w:t xml:space="preserve"> </w:t>
      </w:r>
      <w:r w:rsidR="00491F9E">
        <w:rPr>
          <w:szCs w:val="24"/>
          <w:lang w:val="en-AU" w:eastAsia="en-AU"/>
        </w:rPr>
        <w:t>debossed with '12'</w:t>
      </w:r>
      <w:r w:rsidR="006D5EB1">
        <w:rPr>
          <w:szCs w:val="24"/>
          <w:lang w:val="en-AU" w:eastAsia="en-AU"/>
        </w:rPr>
        <w:t>,</w:t>
      </w:r>
      <w:r w:rsidR="00491F9E">
        <w:rPr>
          <w:szCs w:val="24"/>
          <w:lang w:val="en-AU" w:eastAsia="en-AU"/>
        </w:rPr>
        <w:t xml:space="preserve"> round</w:t>
      </w:r>
      <w:r w:rsidR="006D5EB1">
        <w:rPr>
          <w:szCs w:val="24"/>
          <w:lang w:val="en-AU" w:eastAsia="en-AU"/>
        </w:rPr>
        <w:t>,</w:t>
      </w:r>
      <w:r w:rsidR="00491F9E">
        <w:rPr>
          <w:szCs w:val="24"/>
          <w:lang w:val="en-AU" w:eastAsia="en-AU"/>
        </w:rPr>
        <w:t xml:space="preserve"> </w:t>
      </w:r>
      <w:r w:rsidR="00D53BA0" w:rsidRPr="009B7AE6">
        <w:t>film-coated tablet.</w:t>
      </w:r>
    </w:p>
    <w:p w14:paraId="226885B2" w14:textId="77777777" w:rsidR="00491F9E" w:rsidRDefault="00491F9E" w:rsidP="009C02AA">
      <w:pPr>
        <w:pStyle w:val="TextTi12"/>
        <w:rPr>
          <w:lang w:val="en-AU"/>
        </w:rPr>
      </w:pPr>
      <w:r>
        <w:t>UPTRAVI 1</w:t>
      </w:r>
      <w:r>
        <w:rPr>
          <w:lang w:val="en-AU"/>
        </w:rPr>
        <w:t>4</w:t>
      </w:r>
      <w:r>
        <w:t>00 microgra</w:t>
      </w:r>
      <w:r>
        <w:rPr>
          <w:lang w:val="en-AU"/>
        </w:rPr>
        <w:t xml:space="preserve">m, </w:t>
      </w:r>
      <w:r>
        <w:rPr>
          <w:szCs w:val="24"/>
          <w:lang w:val="en-AU" w:eastAsia="en-AU"/>
        </w:rPr>
        <w:t>dark yellow,</w:t>
      </w:r>
      <w:r w:rsidRPr="00491F9E">
        <w:rPr>
          <w:szCs w:val="24"/>
          <w:lang w:val="en-AU" w:eastAsia="en-AU"/>
        </w:rPr>
        <w:t xml:space="preserve"> </w:t>
      </w:r>
      <w:r>
        <w:rPr>
          <w:szCs w:val="24"/>
          <w:lang w:val="en-AU" w:eastAsia="en-AU"/>
        </w:rPr>
        <w:t>debossed with '14'</w:t>
      </w:r>
      <w:r w:rsidR="006D5EB1">
        <w:rPr>
          <w:szCs w:val="24"/>
          <w:lang w:val="en-AU" w:eastAsia="en-AU"/>
        </w:rPr>
        <w:t>,</w:t>
      </w:r>
      <w:r>
        <w:rPr>
          <w:szCs w:val="24"/>
          <w:lang w:val="en-AU" w:eastAsia="en-AU"/>
        </w:rPr>
        <w:t xml:space="preserve"> round</w:t>
      </w:r>
      <w:r w:rsidR="006D5EB1">
        <w:rPr>
          <w:szCs w:val="24"/>
          <w:lang w:val="en-AU" w:eastAsia="en-AU"/>
        </w:rPr>
        <w:t>,</w:t>
      </w:r>
      <w:r>
        <w:rPr>
          <w:szCs w:val="24"/>
          <w:lang w:val="en-AU" w:eastAsia="en-AU"/>
        </w:rPr>
        <w:t xml:space="preserve"> </w:t>
      </w:r>
      <w:r w:rsidRPr="009B7AE6">
        <w:t>film-coated tablet</w:t>
      </w:r>
    </w:p>
    <w:p w14:paraId="226885B3" w14:textId="77777777" w:rsidR="00491F9E" w:rsidRPr="00491F9E" w:rsidRDefault="00491F9E" w:rsidP="009C02AA">
      <w:pPr>
        <w:pStyle w:val="TextTi12"/>
        <w:rPr>
          <w:lang w:val="en-AU"/>
        </w:rPr>
      </w:pPr>
      <w:r>
        <w:t>UPTRAVI 1</w:t>
      </w:r>
      <w:r>
        <w:rPr>
          <w:lang w:val="en-AU"/>
        </w:rPr>
        <w:t>6</w:t>
      </w:r>
      <w:r>
        <w:t>00 microgra</w:t>
      </w:r>
      <w:r>
        <w:rPr>
          <w:lang w:val="en-AU"/>
        </w:rPr>
        <w:t xml:space="preserve">m, </w:t>
      </w:r>
      <w:r>
        <w:rPr>
          <w:szCs w:val="24"/>
          <w:lang w:val="en-AU" w:eastAsia="en-AU"/>
        </w:rPr>
        <w:t>brown,</w:t>
      </w:r>
      <w:r w:rsidRPr="00491F9E">
        <w:rPr>
          <w:szCs w:val="24"/>
          <w:lang w:val="en-AU" w:eastAsia="en-AU"/>
        </w:rPr>
        <w:t xml:space="preserve"> </w:t>
      </w:r>
      <w:r>
        <w:rPr>
          <w:szCs w:val="24"/>
          <w:lang w:val="en-AU" w:eastAsia="en-AU"/>
        </w:rPr>
        <w:t>debossed with '16', round</w:t>
      </w:r>
      <w:r w:rsidR="006D5EB1">
        <w:rPr>
          <w:szCs w:val="24"/>
          <w:lang w:val="en-AU" w:eastAsia="en-AU"/>
        </w:rPr>
        <w:t>,</w:t>
      </w:r>
      <w:r>
        <w:rPr>
          <w:szCs w:val="24"/>
          <w:lang w:val="en-AU" w:eastAsia="en-AU"/>
        </w:rPr>
        <w:t xml:space="preserve"> </w:t>
      </w:r>
      <w:r w:rsidRPr="009B7AE6">
        <w:t>film-coated tablet</w:t>
      </w:r>
    </w:p>
    <w:p w14:paraId="226885B4" w14:textId="77777777" w:rsidR="00831FB3" w:rsidRDefault="00831FB3" w:rsidP="009C02AA">
      <w:pPr>
        <w:jc w:val="both"/>
        <w:rPr>
          <w:noProof/>
          <w:szCs w:val="22"/>
          <w:u w:val="single"/>
        </w:rPr>
      </w:pPr>
    </w:p>
    <w:p w14:paraId="226885B5" w14:textId="77777777" w:rsidR="00F131E0" w:rsidRPr="00F131E0" w:rsidRDefault="00F131E0" w:rsidP="009C02AA">
      <w:pPr>
        <w:jc w:val="both"/>
        <w:rPr>
          <w:noProof/>
          <w:szCs w:val="22"/>
          <w:u w:val="single"/>
          <w:lang w:val="en-GB"/>
        </w:rPr>
      </w:pPr>
      <w:r>
        <w:rPr>
          <w:noProof/>
          <w:szCs w:val="22"/>
          <w:u w:val="single"/>
          <w:lang w:val="en-GB"/>
        </w:rPr>
        <w:t>UPTRAVI</w:t>
      </w:r>
      <w:r w:rsidRPr="00F131E0">
        <w:rPr>
          <w:noProof/>
          <w:szCs w:val="22"/>
          <w:u w:val="single"/>
          <w:lang w:val="en-GB"/>
        </w:rPr>
        <w:t xml:space="preserve"> 200 microgram film-coated tablets</w:t>
      </w:r>
    </w:p>
    <w:p w14:paraId="226885B6" w14:textId="77777777" w:rsidR="00F131E0" w:rsidRPr="00F131E0" w:rsidRDefault="00F131E0" w:rsidP="009C02AA">
      <w:pPr>
        <w:jc w:val="both"/>
        <w:rPr>
          <w:noProof/>
          <w:szCs w:val="22"/>
          <w:lang w:val="en-GB"/>
        </w:rPr>
      </w:pPr>
      <w:r w:rsidRPr="00F131E0">
        <w:rPr>
          <w:noProof/>
          <w:szCs w:val="22"/>
          <w:lang w:val="en-GB"/>
        </w:rPr>
        <w:lastRenderedPageBreak/>
        <w:t xml:space="preserve">Polyamide / aluminium / high density polyethylene / polyethylene with an embedded desiccant agent / high-density polyethylene blister sealed with an aluminium foil (Alu/Alu blister with desiccant) in cartons of either </w:t>
      </w:r>
      <w:r w:rsidR="00B0048C">
        <w:rPr>
          <w:noProof/>
          <w:szCs w:val="22"/>
          <w:lang w:val="en-GB"/>
        </w:rPr>
        <w:t xml:space="preserve">10, </w:t>
      </w:r>
      <w:r w:rsidRPr="00F131E0">
        <w:rPr>
          <w:noProof/>
          <w:szCs w:val="22"/>
          <w:lang w:val="en-GB"/>
        </w:rPr>
        <w:t>60 or 140 film-coated tablets.</w:t>
      </w:r>
    </w:p>
    <w:p w14:paraId="226885B7" w14:textId="77777777" w:rsidR="00F131E0" w:rsidRPr="00F131E0" w:rsidRDefault="00F131E0" w:rsidP="009C02AA">
      <w:pPr>
        <w:jc w:val="both"/>
        <w:rPr>
          <w:noProof/>
          <w:szCs w:val="22"/>
          <w:lang w:val="en-GB"/>
        </w:rPr>
      </w:pPr>
    </w:p>
    <w:p w14:paraId="226885B8" w14:textId="77777777" w:rsidR="00F131E0" w:rsidRPr="00F131E0" w:rsidRDefault="00AD12F3" w:rsidP="009C02AA">
      <w:pPr>
        <w:jc w:val="both"/>
        <w:rPr>
          <w:noProof/>
          <w:szCs w:val="22"/>
          <w:u w:val="single"/>
          <w:lang w:val="en-GB"/>
        </w:rPr>
      </w:pPr>
      <w:r>
        <w:rPr>
          <w:noProof/>
          <w:szCs w:val="22"/>
          <w:u w:val="single"/>
          <w:lang w:val="en-GB"/>
        </w:rPr>
        <w:t>UPTRAVI</w:t>
      </w:r>
      <w:r w:rsidRPr="00F131E0">
        <w:rPr>
          <w:noProof/>
          <w:szCs w:val="22"/>
          <w:u w:val="single"/>
          <w:lang w:val="en-GB"/>
        </w:rPr>
        <w:t xml:space="preserve"> </w:t>
      </w:r>
      <w:r w:rsidR="00F131E0" w:rsidRPr="00F131E0">
        <w:rPr>
          <w:noProof/>
          <w:szCs w:val="22"/>
          <w:u w:val="single"/>
          <w:lang w:val="en-GB"/>
        </w:rPr>
        <w:t>400, 600, 800, 1000, 1200, 1400 and 1600 microgram film-coated tablets</w:t>
      </w:r>
    </w:p>
    <w:p w14:paraId="226885B9" w14:textId="77777777" w:rsidR="00F131E0" w:rsidRPr="00F131E0" w:rsidRDefault="00F131E0" w:rsidP="009C02AA">
      <w:pPr>
        <w:jc w:val="both"/>
        <w:rPr>
          <w:noProof/>
          <w:szCs w:val="22"/>
          <w:lang w:val="en-GB"/>
        </w:rPr>
      </w:pPr>
      <w:r w:rsidRPr="00F131E0">
        <w:rPr>
          <w:noProof/>
          <w:szCs w:val="22"/>
          <w:lang w:val="en-GB"/>
        </w:rPr>
        <w:t>Polyamide / aluminium / high density polyethylene / polyethylene with an embedded desiccant agent / high-density polyethylene blister sealed with an aluminium foil (Alu/Alu blister with desiccant) in cartons of 60 film-coated tablets.</w:t>
      </w:r>
    </w:p>
    <w:p w14:paraId="226885BA" w14:textId="77777777" w:rsidR="00F131E0" w:rsidRPr="00F131E0" w:rsidRDefault="00F131E0" w:rsidP="009C02AA">
      <w:pPr>
        <w:jc w:val="both"/>
        <w:rPr>
          <w:noProof/>
          <w:szCs w:val="22"/>
          <w:lang w:val="en-GB"/>
        </w:rPr>
      </w:pPr>
    </w:p>
    <w:p w14:paraId="226885BB" w14:textId="77777777" w:rsidR="00F131E0" w:rsidRPr="00F131E0" w:rsidRDefault="00F131E0" w:rsidP="009C02AA">
      <w:pPr>
        <w:jc w:val="both"/>
        <w:rPr>
          <w:noProof/>
          <w:szCs w:val="22"/>
          <w:lang w:val="en-GB"/>
        </w:rPr>
      </w:pPr>
      <w:r w:rsidRPr="00F131E0">
        <w:rPr>
          <w:noProof/>
          <w:szCs w:val="22"/>
          <w:lang w:val="en-GB"/>
        </w:rPr>
        <w:t>Not all pack sizes may be marketed.</w:t>
      </w:r>
    </w:p>
    <w:p w14:paraId="226885BC" w14:textId="77777777" w:rsidR="00831FB3" w:rsidRPr="00491F9E" w:rsidRDefault="00831FB3" w:rsidP="009C02AA">
      <w:pPr>
        <w:ind w:right="-61"/>
        <w:jc w:val="both"/>
        <w:rPr>
          <w:rFonts w:ascii="Times New Roman" w:hAnsi="Times New Roman"/>
          <w:szCs w:val="24"/>
        </w:rPr>
      </w:pPr>
    </w:p>
    <w:p w14:paraId="226885BD" w14:textId="77777777" w:rsidR="00D53BA0" w:rsidRDefault="00BC3521" w:rsidP="00E74083">
      <w:pPr>
        <w:ind w:right="-61"/>
        <w:jc w:val="both"/>
      </w:pPr>
      <w:r w:rsidRPr="00BC3521">
        <w:rPr>
          <w:rFonts w:ascii="Times New Roman" w:hAnsi="Times New Roman"/>
          <w:szCs w:val="24"/>
        </w:rPr>
        <w:t xml:space="preserve">Store </w:t>
      </w:r>
      <w:r w:rsidR="009B32E6">
        <w:rPr>
          <w:rFonts w:ascii="Times New Roman" w:hAnsi="Times New Roman"/>
          <w:szCs w:val="24"/>
        </w:rPr>
        <w:t>UPTRAVI</w:t>
      </w:r>
      <w:r w:rsidR="00E10EFB">
        <w:rPr>
          <w:rFonts w:ascii="Times New Roman" w:hAnsi="Times New Roman"/>
          <w:szCs w:val="24"/>
        </w:rPr>
        <w:t xml:space="preserve"> </w:t>
      </w:r>
      <w:r w:rsidRPr="00BC3521">
        <w:rPr>
          <w:rFonts w:ascii="Times New Roman" w:hAnsi="Times New Roman"/>
          <w:szCs w:val="24"/>
        </w:rPr>
        <w:t>below 30˚C, protect from moisture.</w:t>
      </w:r>
      <w:r w:rsidR="00D53BA0" w:rsidRPr="00D53BA0">
        <w:t xml:space="preserve"> </w:t>
      </w:r>
    </w:p>
    <w:p w14:paraId="226885BE" w14:textId="77777777" w:rsidR="00BC3521" w:rsidRDefault="00BC3521" w:rsidP="00733AF2">
      <w:pPr>
        <w:pStyle w:val="BodyText"/>
        <w:jc w:val="left"/>
        <w:rPr>
          <w:rFonts w:ascii="Times New Roman" w:hAnsi="Times New Roman"/>
          <w:szCs w:val="24"/>
        </w:rPr>
      </w:pPr>
    </w:p>
    <w:p w14:paraId="226885BF" w14:textId="77777777" w:rsidR="00D2789C" w:rsidRDefault="00D2789C" w:rsidP="00D2789C">
      <w:pPr>
        <w:pStyle w:val="Heading1"/>
        <w:ind w:right="-61"/>
      </w:pPr>
      <w:r>
        <w:t xml:space="preserve">NAME AND ADDRESS OF </w:t>
      </w:r>
      <w:r w:rsidRPr="004E01DD">
        <w:rPr>
          <w:szCs w:val="24"/>
        </w:rPr>
        <w:t>THE</w:t>
      </w:r>
      <w:r w:rsidRPr="004E01DD">
        <w:t xml:space="preserve"> </w:t>
      </w:r>
      <w:r>
        <w:t>SPONSOR</w:t>
      </w:r>
    </w:p>
    <w:p w14:paraId="226885C0" w14:textId="77777777" w:rsidR="000270B4" w:rsidRPr="000270B4" w:rsidRDefault="000270B4" w:rsidP="000270B4"/>
    <w:p w14:paraId="226885C1" w14:textId="77777777" w:rsidR="00D2789C" w:rsidRPr="00AD0132" w:rsidRDefault="00D2789C" w:rsidP="00AD0132">
      <w:pPr>
        <w:pStyle w:val="BodyText"/>
        <w:jc w:val="left"/>
        <w:rPr>
          <w:rFonts w:ascii="Times New Roman" w:hAnsi="Times New Roman"/>
          <w:snapToGrid w:val="0"/>
          <w:szCs w:val="24"/>
          <w:lang w:eastAsia="sv-SE"/>
        </w:rPr>
      </w:pPr>
      <w:r w:rsidRPr="00AD0132">
        <w:rPr>
          <w:rFonts w:ascii="Times New Roman" w:hAnsi="Times New Roman"/>
          <w:snapToGrid w:val="0"/>
          <w:szCs w:val="24"/>
          <w:lang w:eastAsia="sv-SE"/>
        </w:rPr>
        <w:t>Actelion Pharmaceuticals Australia Pty Limited</w:t>
      </w:r>
    </w:p>
    <w:p w14:paraId="226885C2" w14:textId="77777777" w:rsidR="00D2789C" w:rsidRPr="00AD0132" w:rsidRDefault="00D2789C" w:rsidP="00AD0132">
      <w:pPr>
        <w:pStyle w:val="BodyText"/>
        <w:jc w:val="left"/>
        <w:rPr>
          <w:rFonts w:ascii="Times New Roman" w:hAnsi="Times New Roman"/>
          <w:snapToGrid w:val="0"/>
          <w:szCs w:val="24"/>
          <w:lang w:eastAsia="sv-SE"/>
        </w:rPr>
      </w:pPr>
      <w:smartTag w:uri="urn:schemas-microsoft-com:office:smarttags" w:element="stockticker">
        <w:smartTag w:uri="urn:schemas-microsoft-com:office:smarttags" w:element="country-region">
          <w:r w:rsidRPr="00AD0132">
            <w:rPr>
              <w:rFonts w:ascii="Times New Roman" w:hAnsi="Times New Roman"/>
              <w:snapToGrid w:val="0"/>
              <w:szCs w:val="24"/>
              <w:lang w:eastAsia="sv-SE"/>
            </w:rPr>
            <w:t>Suite 6,13B Narabang Way</w:t>
          </w:r>
        </w:smartTag>
      </w:smartTag>
    </w:p>
    <w:p w14:paraId="226885C3" w14:textId="77777777" w:rsidR="00D2789C" w:rsidRPr="00AD0132" w:rsidRDefault="00D2789C" w:rsidP="00AD0132">
      <w:pPr>
        <w:pStyle w:val="BodyText"/>
        <w:jc w:val="left"/>
        <w:rPr>
          <w:rFonts w:ascii="Times New Roman" w:hAnsi="Times New Roman"/>
          <w:snapToGrid w:val="0"/>
          <w:szCs w:val="24"/>
          <w:lang w:eastAsia="sv-SE"/>
        </w:rPr>
      </w:pPr>
      <w:r w:rsidRPr="00AD0132">
        <w:rPr>
          <w:rFonts w:ascii="Times New Roman" w:hAnsi="Times New Roman"/>
          <w:snapToGrid w:val="0"/>
          <w:szCs w:val="24"/>
          <w:lang w:eastAsia="sv-SE"/>
        </w:rPr>
        <w:t>Belrose NSW 2085</w:t>
      </w:r>
    </w:p>
    <w:p w14:paraId="226885C4" w14:textId="77777777" w:rsidR="00AE1D40" w:rsidRPr="00AD0132" w:rsidRDefault="00AE1D40" w:rsidP="00AD0132">
      <w:pPr>
        <w:pStyle w:val="BodyText"/>
        <w:jc w:val="left"/>
        <w:rPr>
          <w:rFonts w:ascii="Times New Roman" w:hAnsi="Times New Roman"/>
          <w:snapToGrid w:val="0"/>
          <w:szCs w:val="24"/>
          <w:lang w:eastAsia="sv-SE"/>
        </w:rPr>
      </w:pPr>
    </w:p>
    <w:p w14:paraId="226885C5" w14:textId="77777777" w:rsidR="00A413AD" w:rsidRDefault="00A413AD" w:rsidP="00365338">
      <w:pPr>
        <w:ind w:right="-61"/>
        <w:rPr>
          <w:rFonts w:ascii="Arial" w:hAnsi="Arial" w:cs="Arial"/>
          <w:b/>
          <w:szCs w:val="24"/>
        </w:rPr>
      </w:pPr>
      <w:r w:rsidRPr="004E01DD">
        <w:rPr>
          <w:rFonts w:ascii="Arial" w:hAnsi="Arial" w:cs="Arial"/>
          <w:b/>
          <w:szCs w:val="24"/>
        </w:rPr>
        <w:t>POISON SCHEDULE OF THE MEDICINE</w:t>
      </w:r>
    </w:p>
    <w:p w14:paraId="226885C6" w14:textId="77777777" w:rsidR="000270B4" w:rsidRPr="004E01DD" w:rsidRDefault="000270B4" w:rsidP="00365338">
      <w:pPr>
        <w:ind w:right="-61"/>
        <w:rPr>
          <w:rFonts w:ascii="Arial" w:hAnsi="Arial" w:cs="Arial"/>
          <w:b/>
          <w:szCs w:val="24"/>
        </w:rPr>
      </w:pPr>
    </w:p>
    <w:p w14:paraId="226885C7" w14:textId="77777777" w:rsidR="001C35B2" w:rsidRPr="00AD0132" w:rsidRDefault="001C35B2" w:rsidP="00AD0132">
      <w:pPr>
        <w:pStyle w:val="BodyText"/>
        <w:jc w:val="left"/>
        <w:rPr>
          <w:rFonts w:ascii="Times New Roman" w:hAnsi="Times New Roman"/>
          <w:snapToGrid w:val="0"/>
          <w:szCs w:val="24"/>
          <w:lang w:eastAsia="sv-SE"/>
        </w:rPr>
      </w:pPr>
      <w:r w:rsidRPr="00AD0132">
        <w:rPr>
          <w:rFonts w:ascii="Times New Roman" w:hAnsi="Times New Roman"/>
          <w:snapToGrid w:val="0"/>
          <w:szCs w:val="24"/>
          <w:lang w:eastAsia="sv-SE"/>
        </w:rPr>
        <w:t xml:space="preserve">Prescription </w:t>
      </w:r>
      <w:r w:rsidR="00856BF9">
        <w:rPr>
          <w:rFonts w:ascii="Times New Roman" w:hAnsi="Times New Roman"/>
          <w:snapToGrid w:val="0"/>
          <w:szCs w:val="24"/>
          <w:lang w:eastAsia="sv-SE"/>
        </w:rPr>
        <w:t xml:space="preserve">Only </w:t>
      </w:r>
      <w:r w:rsidRPr="00AD0132">
        <w:rPr>
          <w:rFonts w:ascii="Times New Roman" w:hAnsi="Times New Roman"/>
          <w:snapToGrid w:val="0"/>
          <w:szCs w:val="24"/>
          <w:lang w:eastAsia="sv-SE"/>
        </w:rPr>
        <w:t xml:space="preserve">Medicine </w:t>
      </w:r>
      <w:r w:rsidR="00A413AD" w:rsidRPr="00AD0132">
        <w:rPr>
          <w:rFonts w:ascii="Times New Roman" w:hAnsi="Times New Roman"/>
          <w:snapToGrid w:val="0"/>
          <w:szCs w:val="24"/>
          <w:lang w:eastAsia="sv-SE"/>
        </w:rPr>
        <w:t>(S4)</w:t>
      </w:r>
    </w:p>
    <w:p w14:paraId="226885C8" w14:textId="77777777" w:rsidR="001C35B2" w:rsidRDefault="001C35B2" w:rsidP="00365338">
      <w:pPr>
        <w:ind w:right="-61"/>
        <w:rPr>
          <w:rFonts w:ascii="Arial" w:hAnsi="Arial" w:cs="Arial"/>
        </w:rPr>
      </w:pPr>
    </w:p>
    <w:p w14:paraId="226885C9" w14:textId="066D9E4D" w:rsidR="001C35B2" w:rsidRPr="007915D3" w:rsidRDefault="00D2789C" w:rsidP="007915D3">
      <w:pPr>
        <w:pStyle w:val="Heading3"/>
        <w:rPr>
          <w:b/>
          <w:u w:val="none"/>
        </w:rPr>
      </w:pPr>
      <w:r w:rsidRPr="007915D3">
        <w:rPr>
          <w:b/>
          <w:u w:val="none"/>
        </w:rPr>
        <w:t>DATE OF FIRST INCLUSION IN THE AUSTRALIAN REGISTER OF THERAPEUTIC GOODS</w:t>
      </w:r>
      <w:r w:rsidR="00F11037" w:rsidRPr="007915D3">
        <w:rPr>
          <w:b/>
          <w:u w:val="none"/>
        </w:rPr>
        <w:t xml:space="preserve">: </w:t>
      </w:r>
      <w:r w:rsidR="00877F56">
        <w:rPr>
          <w:b/>
          <w:u w:val="none"/>
        </w:rPr>
        <w:t>24</w:t>
      </w:r>
      <w:r w:rsidR="00DF7F4A">
        <w:rPr>
          <w:b/>
          <w:u w:val="none"/>
        </w:rPr>
        <w:t xml:space="preserve"> MARCH 2016</w:t>
      </w:r>
    </w:p>
    <w:sectPr w:rsidR="001C35B2" w:rsidRPr="007915D3" w:rsidSect="00C602FD">
      <w:headerReference w:type="default" r:id="rId18"/>
      <w:footerReference w:type="even" r:id="rId19"/>
      <w:footerReference w:type="default" r:id="rId20"/>
      <w:pgSz w:w="11909" w:h="16834" w:code="9"/>
      <w:pgMar w:top="1440" w:right="1797" w:bottom="1151"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73991" w14:textId="77777777" w:rsidR="001C6297" w:rsidRDefault="001C6297">
      <w:r>
        <w:separator/>
      </w:r>
    </w:p>
  </w:endnote>
  <w:endnote w:type="continuationSeparator" w:id="0">
    <w:p w14:paraId="03F18414" w14:textId="77777777" w:rsidR="001C6297" w:rsidRDefault="001C6297">
      <w:r>
        <w:continuationSeparator/>
      </w:r>
    </w:p>
  </w:endnote>
  <w:endnote w:type="continuationNotice" w:id="1">
    <w:p w14:paraId="257D8E4B" w14:textId="77777777" w:rsidR="001C6297" w:rsidRDefault="001C6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Arial"/>
    <w:panose1 w:val="00000000000000000000"/>
    <w:charset w:val="00"/>
    <w:family w:val="swiss"/>
    <w:notTrueType/>
    <w:pitch w:val="default"/>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67 CondensedBold">
    <w:altName w:val="Courier New"/>
    <w:charset w:val="00"/>
    <w:family w:val="auto"/>
    <w:pitch w:val="variable"/>
    <w:sig w:usb0="03000000" w:usb1="00000000" w:usb2="00000000" w:usb3="00000000" w:csb0="00000001" w:csb1="00000000"/>
  </w:font>
  <w:font w:name="Univers 57 Condensed">
    <w:altName w:val="Courier New"/>
    <w:charset w:val="00"/>
    <w:family w:val="auto"/>
    <w:pitch w:val="variable"/>
    <w:sig w:usb0="03000000" w:usb1="00000000" w:usb2="00000000" w:usb3="00000000" w:csb0="00000001" w:csb1="00000000"/>
  </w:font>
  <w:font w:name="Univers 47 CondensedLight">
    <w:altName w:val="Courier New"/>
    <w:charset w:val="00"/>
    <w:family w:val="auto"/>
    <w:pitch w:val="variable"/>
    <w:sig w:usb0="03000000"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imesNewRoman">
    <w:altName w:val="Times New Roman"/>
    <w:panose1 w:val="00000000000000000000"/>
    <w:charset w:val="00"/>
    <w:family w:val="roman"/>
    <w:notTrueType/>
    <w:pitch w:val="default"/>
    <w:sig w:usb0="00000083" w:usb1="090F0000" w:usb2="00000010" w:usb3="00000000" w:csb0="001A0009"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8868A" w14:textId="77777777" w:rsidR="001C6297" w:rsidRPr="00563118" w:rsidRDefault="001C6297">
    <w:pPr>
      <w:pStyle w:val="Footer"/>
      <w:rPr>
        <w:rFonts w:ascii="Arial" w:hAnsi="Arial" w:cs="Arial"/>
        <w:sz w:val="16"/>
        <w:szCs w:val="16"/>
      </w:rPr>
    </w:pPr>
    <w:r>
      <w:rPr>
        <w:rFonts w:ascii="Arial" w:hAnsi="Arial" w:cs="Arial"/>
        <w:sz w:val="16"/>
        <w:szCs w:val="16"/>
      </w:rPr>
      <w:t>Amended p</w:t>
    </w:r>
    <w:r w:rsidRPr="00563118">
      <w:rPr>
        <w:rFonts w:ascii="Arial" w:hAnsi="Arial" w:cs="Arial"/>
        <w:sz w:val="16"/>
        <w:szCs w:val="16"/>
      </w:rPr>
      <w:t xml:space="preserve">roposed PI submitted </w:t>
    </w:r>
    <w:r>
      <w:rPr>
        <w:rFonts w:ascii="Arial" w:hAnsi="Arial" w:cs="Arial"/>
        <w:sz w:val="16"/>
        <w:szCs w:val="16"/>
      </w:rPr>
      <w:t>October 2005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8868B" w14:textId="3787132C" w:rsidR="001C6297" w:rsidRPr="00000B72" w:rsidRDefault="001C6297" w:rsidP="00841360">
    <w:pPr>
      <w:pStyle w:val="Footer"/>
      <w:rPr>
        <w:rFonts w:ascii="Arial" w:hAnsi="Arial" w:cs="Arial"/>
        <w:vanish/>
        <w:color w:val="008000"/>
        <w:sz w:val="16"/>
        <w:szCs w:val="16"/>
      </w:rPr>
    </w:pPr>
    <w:r>
      <w:rPr>
        <w:rFonts w:ascii="Arial" w:hAnsi="Arial" w:cs="Arial"/>
        <w:vanish/>
        <w:color w:val="008000"/>
        <w:sz w:val="16"/>
        <w:szCs w:val="16"/>
      </w:rPr>
      <w:t xml:space="preserve">AU FINAL APPROVED 24 Mar 2016, </w:t>
    </w:r>
  </w:p>
  <w:p w14:paraId="2268868C" w14:textId="77777777" w:rsidR="001C6297" w:rsidRPr="008F7AF5" w:rsidRDefault="001C6297" w:rsidP="00841360">
    <w:pPr>
      <w:pStyle w:val="Footer"/>
      <w:rPr>
        <w:rFonts w:ascii="Arial" w:hAnsi="Arial" w:cs="Arial"/>
        <w:sz w:val="20"/>
      </w:rPr>
    </w:pPr>
    <w:r w:rsidRPr="008F7AF5">
      <w:rPr>
        <w:rFonts w:ascii="Arial" w:hAnsi="Arial" w:cs="Arial"/>
        <w:sz w:val="20"/>
      </w:rPr>
      <w:tab/>
      <w:t xml:space="preserve">                                     </w:t>
    </w:r>
    <w:r w:rsidRPr="008F7AF5">
      <w:rPr>
        <w:rStyle w:val="PageNumber"/>
        <w:rFonts w:ascii="Arial" w:hAnsi="Arial" w:cs="Arial"/>
        <w:sz w:val="20"/>
      </w:rPr>
      <w:fldChar w:fldCharType="begin"/>
    </w:r>
    <w:r w:rsidRPr="008F7AF5">
      <w:rPr>
        <w:rStyle w:val="PageNumber"/>
        <w:rFonts w:ascii="Arial" w:hAnsi="Arial" w:cs="Arial"/>
        <w:sz w:val="20"/>
      </w:rPr>
      <w:instrText xml:space="preserve"> PAGE </w:instrText>
    </w:r>
    <w:r w:rsidRPr="008F7AF5">
      <w:rPr>
        <w:rStyle w:val="PageNumber"/>
        <w:rFonts w:ascii="Arial" w:hAnsi="Arial" w:cs="Arial"/>
        <w:sz w:val="20"/>
      </w:rPr>
      <w:fldChar w:fldCharType="separate"/>
    </w:r>
    <w:r w:rsidR="00E71CDC">
      <w:rPr>
        <w:rStyle w:val="PageNumber"/>
        <w:rFonts w:ascii="Arial" w:hAnsi="Arial" w:cs="Arial"/>
        <w:noProof/>
        <w:sz w:val="20"/>
      </w:rPr>
      <w:t>3</w:t>
    </w:r>
    <w:r w:rsidRPr="008F7AF5">
      <w:rPr>
        <w:rStyle w:val="PageNumber"/>
        <w:rFonts w:ascii="Arial" w:hAnsi="Arial" w:cs="Arial"/>
        <w:sz w:val="20"/>
      </w:rPr>
      <w:fldChar w:fldCharType="end"/>
    </w:r>
    <w:r w:rsidRPr="008F7AF5">
      <w:rPr>
        <w:rStyle w:val="PageNumber"/>
        <w:rFonts w:ascii="Arial" w:hAnsi="Arial" w:cs="Arial"/>
        <w:sz w:val="20"/>
      </w:rPr>
      <w:t>/</w:t>
    </w:r>
    <w:r w:rsidRPr="008F7AF5">
      <w:rPr>
        <w:rStyle w:val="PageNumber"/>
        <w:rFonts w:ascii="Arial" w:hAnsi="Arial" w:cs="Arial"/>
        <w:sz w:val="20"/>
      </w:rPr>
      <w:fldChar w:fldCharType="begin"/>
    </w:r>
    <w:r w:rsidRPr="008F7AF5">
      <w:rPr>
        <w:rStyle w:val="PageNumber"/>
        <w:rFonts w:ascii="Arial" w:hAnsi="Arial" w:cs="Arial"/>
        <w:sz w:val="20"/>
      </w:rPr>
      <w:instrText xml:space="preserve"> NUMPAGES </w:instrText>
    </w:r>
    <w:r w:rsidRPr="008F7AF5">
      <w:rPr>
        <w:rStyle w:val="PageNumber"/>
        <w:rFonts w:ascii="Arial" w:hAnsi="Arial" w:cs="Arial"/>
        <w:sz w:val="20"/>
      </w:rPr>
      <w:fldChar w:fldCharType="separate"/>
    </w:r>
    <w:r w:rsidR="00E71CDC">
      <w:rPr>
        <w:rStyle w:val="PageNumber"/>
        <w:rFonts w:ascii="Arial" w:hAnsi="Arial" w:cs="Arial"/>
        <w:noProof/>
        <w:sz w:val="20"/>
      </w:rPr>
      <w:t>22</w:t>
    </w:r>
    <w:r w:rsidRPr="008F7AF5">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A3A91" w14:textId="77777777" w:rsidR="001C6297" w:rsidRDefault="001C6297">
      <w:r>
        <w:separator/>
      </w:r>
    </w:p>
  </w:footnote>
  <w:footnote w:type="continuationSeparator" w:id="0">
    <w:p w14:paraId="1986EAAD" w14:textId="77777777" w:rsidR="001C6297" w:rsidRDefault="001C6297">
      <w:r>
        <w:continuationSeparator/>
      </w:r>
    </w:p>
  </w:footnote>
  <w:footnote w:type="continuationNotice" w:id="1">
    <w:p w14:paraId="7023B53A" w14:textId="77777777" w:rsidR="001C6297" w:rsidRDefault="001C62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531"/>
    </w:tblGrid>
    <w:tr w:rsidR="00B80AA5" w14:paraId="7B69EA4D" w14:textId="77777777" w:rsidTr="0091337B">
      <w:tc>
        <w:tcPr>
          <w:tcW w:w="8720" w:type="dxa"/>
          <w:shd w:val="clear" w:color="auto" w:fill="E4F2E0"/>
        </w:tcPr>
        <w:p w14:paraId="2D24E4CA" w14:textId="260DE161" w:rsidR="00B80AA5" w:rsidRPr="00D361CA" w:rsidRDefault="00B80AA5" w:rsidP="00B80AA5">
          <w:pPr>
            <w:spacing w:before="40" w:after="40"/>
            <w:rPr>
              <w:b/>
              <w:sz w:val="20"/>
            </w:rPr>
          </w:pPr>
          <w:r w:rsidRPr="00D361CA">
            <w:rPr>
              <w:b/>
              <w:sz w:val="20"/>
            </w:rPr>
            <w:t xml:space="preserve">Attachment 1: Product information for </w:t>
          </w:r>
          <w:r w:rsidRPr="00B80AA5">
            <w:rPr>
              <w:b/>
              <w:sz w:val="20"/>
            </w:rPr>
            <w:t>AusPAR Uptravi Selexipag Actelion Pharmaceuticals Ltd PM-2014-04586-1-3</w:t>
          </w:r>
          <w:r>
            <w:rPr>
              <w:b/>
              <w:sz w:val="20"/>
            </w:rPr>
            <w:t xml:space="preserve"> </w:t>
          </w:r>
          <w:r w:rsidRPr="00B80AA5">
            <w:rPr>
              <w:b/>
              <w:sz w:val="20"/>
            </w:rPr>
            <w:t>Final 8 November 2016</w:t>
          </w:r>
          <w:r w:rsidRPr="00D361CA">
            <w:rPr>
              <w:b/>
              <w:sz w:val="20"/>
            </w:rPr>
            <w:t>. This Product Information was approved at the time this AusPAR was published.</w:t>
          </w:r>
        </w:p>
      </w:tc>
    </w:tr>
  </w:tbl>
  <w:p w14:paraId="6DEB56DC" w14:textId="77777777" w:rsidR="00B80AA5" w:rsidRDefault="00B80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6E0FCE"/>
    <w:lvl w:ilvl="0">
      <w:numFmt w:val="bullet"/>
      <w:lvlText w:val="*"/>
      <w:lvlJc w:val="left"/>
    </w:lvl>
  </w:abstractNum>
  <w:abstractNum w:abstractNumId="1">
    <w:nsid w:val="04810477"/>
    <w:multiLevelType w:val="hybridMultilevel"/>
    <w:tmpl w:val="FD58DB9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A11641B"/>
    <w:multiLevelType w:val="multilevel"/>
    <w:tmpl w:val="323A4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57A34"/>
    <w:multiLevelType w:val="hybridMultilevel"/>
    <w:tmpl w:val="836AE4D6"/>
    <w:lvl w:ilvl="0" w:tplc="58A88DE8">
      <w:start w:val="8"/>
      <w:numFmt w:val="bullet"/>
      <w:lvlText w:val=""/>
      <w:lvlJc w:val="left"/>
      <w:pPr>
        <w:ind w:left="720" w:hanging="360"/>
      </w:pPr>
      <w:rPr>
        <w:rFonts w:ascii="Symbol" w:eastAsia="MS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E0CDC"/>
    <w:multiLevelType w:val="hybridMultilevel"/>
    <w:tmpl w:val="249C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31F4E"/>
    <w:multiLevelType w:val="hybridMultilevel"/>
    <w:tmpl w:val="BCB4CD62"/>
    <w:lvl w:ilvl="0" w:tplc="B6F8EA28">
      <w:start w:val="45"/>
      <w:numFmt w:val="bullet"/>
      <w:lvlText w:val=""/>
      <w:lvlJc w:val="left"/>
      <w:pPr>
        <w:ind w:left="720" w:hanging="360"/>
      </w:pPr>
      <w:rPr>
        <w:rFonts w:ascii="Symbol" w:eastAsia="Times New Roman"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16400"/>
    <w:multiLevelType w:val="hybridMultilevel"/>
    <w:tmpl w:val="5492B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03403"/>
    <w:multiLevelType w:val="hybridMultilevel"/>
    <w:tmpl w:val="681EA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165E74"/>
    <w:multiLevelType w:val="hybridMultilevel"/>
    <w:tmpl w:val="A358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C3D15"/>
    <w:multiLevelType w:val="hybridMultilevel"/>
    <w:tmpl w:val="95FE96EA"/>
    <w:lvl w:ilvl="0" w:tplc="2EB2D602">
      <w:start w:val="8"/>
      <w:numFmt w:val="bullet"/>
      <w:lvlText w:val=""/>
      <w:lvlJc w:val="left"/>
      <w:pPr>
        <w:ind w:left="720" w:hanging="360"/>
      </w:pPr>
      <w:rPr>
        <w:rFonts w:ascii="Symbol" w:eastAsia="MS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1913D7"/>
    <w:multiLevelType w:val="hybridMultilevel"/>
    <w:tmpl w:val="C7907FBE"/>
    <w:lvl w:ilvl="0" w:tplc="311A0B8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9C112A"/>
    <w:multiLevelType w:val="hybridMultilevel"/>
    <w:tmpl w:val="6B1E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D7976"/>
    <w:multiLevelType w:val="hybridMultilevel"/>
    <w:tmpl w:val="0BA4D66E"/>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FFB432C"/>
    <w:multiLevelType w:val="hybridMultilevel"/>
    <w:tmpl w:val="45AA0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9114E0"/>
    <w:multiLevelType w:val="hybridMultilevel"/>
    <w:tmpl w:val="0FD4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144873"/>
    <w:multiLevelType w:val="hybridMultilevel"/>
    <w:tmpl w:val="4954AF94"/>
    <w:lvl w:ilvl="0" w:tplc="A42A5C88">
      <w:start w:val="2"/>
      <w:numFmt w:val="bullet"/>
      <w:lvlText w:val=""/>
      <w:lvlJc w:val="left"/>
      <w:pPr>
        <w:ind w:left="720" w:hanging="360"/>
      </w:pPr>
      <w:rPr>
        <w:rFonts w:ascii="Symbol" w:eastAsia="MS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1E384D"/>
    <w:multiLevelType w:val="hybridMultilevel"/>
    <w:tmpl w:val="6A1067EA"/>
    <w:lvl w:ilvl="0" w:tplc="EE108636">
      <w:start w:val="8"/>
      <w:numFmt w:val="bullet"/>
      <w:lvlText w:val=""/>
      <w:lvlJc w:val="left"/>
      <w:pPr>
        <w:ind w:left="720" w:hanging="360"/>
      </w:pPr>
      <w:rPr>
        <w:rFonts w:ascii="Symbol" w:eastAsia="MS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A56744"/>
    <w:multiLevelType w:val="hybridMultilevel"/>
    <w:tmpl w:val="CEE0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ED798E"/>
    <w:multiLevelType w:val="hybridMultilevel"/>
    <w:tmpl w:val="9F040948"/>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9B6E00"/>
    <w:multiLevelType w:val="hybridMultilevel"/>
    <w:tmpl w:val="6D04A2E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nsid w:val="59DB782F"/>
    <w:multiLevelType w:val="hybridMultilevel"/>
    <w:tmpl w:val="2E4C81C0"/>
    <w:lvl w:ilvl="0" w:tplc="B32AC9B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415501"/>
    <w:multiLevelType w:val="hybridMultilevel"/>
    <w:tmpl w:val="4328A80E"/>
    <w:lvl w:ilvl="0" w:tplc="0409000B">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64520"/>
    <w:multiLevelType w:val="hybridMultilevel"/>
    <w:tmpl w:val="3D42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554DCE"/>
    <w:multiLevelType w:val="hybridMultilevel"/>
    <w:tmpl w:val="2F120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10"/>
  </w:num>
  <w:num w:numId="4">
    <w:abstractNumId w:val="20"/>
  </w:num>
  <w:num w:numId="5">
    <w:abstractNumId w:val="0"/>
    <w:lvlOverride w:ilvl="0">
      <w:lvl w:ilvl="0">
        <w:numFmt w:val="bullet"/>
        <w:lvlText w:val="•"/>
        <w:legacy w:legacy="1" w:legacySpace="0" w:legacyIndent="0"/>
        <w:lvlJc w:val="left"/>
        <w:rPr>
          <w:rFonts w:ascii="Helv" w:hAnsi="Helv" w:hint="default"/>
        </w:rPr>
      </w:lvl>
    </w:lvlOverride>
  </w:num>
  <w:num w:numId="6">
    <w:abstractNumId w:val="15"/>
  </w:num>
  <w:num w:numId="7">
    <w:abstractNumId w:val="4"/>
  </w:num>
  <w:num w:numId="8">
    <w:abstractNumId w:val="18"/>
  </w:num>
  <w:num w:numId="9">
    <w:abstractNumId w:val="6"/>
  </w:num>
  <w:num w:numId="10">
    <w:abstractNumId w:val="12"/>
  </w:num>
  <w:num w:numId="11">
    <w:abstractNumId w:val="14"/>
  </w:num>
  <w:num w:numId="12">
    <w:abstractNumId w:val="19"/>
  </w:num>
  <w:num w:numId="13">
    <w:abstractNumId w:val="23"/>
  </w:num>
  <w:num w:numId="14">
    <w:abstractNumId w:val="13"/>
  </w:num>
  <w:num w:numId="15">
    <w:abstractNumId w:val="22"/>
  </w:num>
  <w:num w:numId="16">
    <w:abstractNumId w:val="8"/>
  </w:num>
  <w:num w:numId="17">
    <w:abstractNumId w:val="11"/>
  </w:num>
  <w:num w:numId="18">
    <w:abstractNumId w:val="5"/>
  </w:num>
  <w:num w:numId="19">
    <w:abstractNumId w:val="16"/>
  </w:num>
  <w:num w:numId="20">
    <w:abstractNumId w:val="9"/>
  </w:num>
  <w:num w:numId="21">
    <w:abstractNumId w:val="3"/>
  </w:num>
  <w:num w:numId="22">
    <w:abstractNumId w:val="17"/>
  </w:num>
  <w:num w:numId="23">
    <w:abstractNumId w:val="1"/>
  </w:num>
  <w:num w:numId="24">
    <w:abstractNumId w:val="2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D5"/>
    <w:rsid w:val="0000063A"/>
    <w:rsid w:val="00000B72"/>
    <w:rsid w:val="0000164C"/>
    <w:rsid w:val="000020A5"/>
    <w:rsid w:val="00003FCA"/>
    <w:rsid w:val="00004B2B"/>
    <w:rsid w:val="00005971"/>
    <w:rsid w:val="00005AA6"/>
    <w:rsid w:val="00005EE6"/>
    <w:rsid w:val="00006B38"/>
    <w:rsid w:val="00006E89"/>
    <w:rsid w:val="00007571"/>
    <w:rsid w:val="000075AC"/>
    <w:rsid w:val="00010ADF"/>
    <w:rsid w:val="0001194B"/>
    <w:rsid w:val="00011A5E"/>
    <w:rsid w:val="00011A62"/>
    <w:rsid w:val="000122CF"/>
    <w:rsid w:val="00016348"/>
    <w:rsid w:val="000172B5"/>
    <w:rsid w:val="000174C0"/>
    <w:rsid w:val="000201ED"/>
    <w:rsid w:val="00020B06"/>
    <w:rsid w:val="00020F03"/>
    <w:rsid w:val="00021004"/>
    <w:rsid w:val="000212AB"/>
    <w:rsid w:val="00024298"/>
    <w:rsid w:val="00024F28"/>
    <w:rsid w:val="000270B4"/>
    <w:rsid w:val="0002762C"/>
    <w:rsid w:val="00027E11"/>
    <w:rsid w:val="00031128"/>
    <w:rsid w:val="00034C95"/>
    <w:rsid w:val="00034F31"/>
    <w:rsid w:val="00041FD5"/>
    <w:rsid w:val="00042131"/>
    <w:rsid w:val="000436BC"/>
    <w:rsid w:val="00044A7B"/>
    <w:rsid w:val="00044CF7"/>
    <w:rsid w:val="000455BA"/>
    <w:rsid w:val="0004711B"/>
    <w:rsid w:val="000502A7"/>
    <w:rsid w:val="0005082A"/>
    <w:rsid w:val="00051D2E"/>
    <w:rsid w:val="0005235D"/>
    <w:rsid w:val="00054E0F"/>
    <w:rsid w:val="00055811"/>
    <w:rsid w:val="0005793C"/>
    <w:rsid w:val="0006048C"/>
    <w:rsid w:val="000604E7"/>
    <w:rsid w:val="0006088E"/>
    <w:rsid w:val="00063981"/>
    <w:rsid w:val="00064980"/>
    <w:rsid w:val="00064B9C"/>
    <w:rsid w:val="000663C8"/>
    <w:rsid w:val="000663F0"/>
    <w:rsid w:val="00070463"/>
    <w:rsid w:val="0007088E"/>
    <w:rsid w:val="0007105D"/>
    <w:rsid w:val="000721B8"/>
    <w:rsid w:val="0007334A"/>
    <w:rsid w:val="0007366A"/>
    <w:rsid w:val="00076719"/>
    <w:rsid w:val="00076DC9"/>
    <w:rsid w:val="00077B76"/>
    <w:rsid w:val="00081244"/>
    <w:rsid w:val="00082C4E"/>
    <w:rsid w:val="00082CE6"/>
    <w:rsid w:val="00082E6C"/>
    <w:rsid w:val="000832A5"/>
    <w:rsid w:val="000832D8"/>
    <w:rsid w:val="00083FBC"/>
    <w:rsid w:val="000851C5"/>
    <w:rsid w:val="00086F8A"/>
    <w:rsid w:val="00087CCC"/>
    <w:rsid w:val="00093AF7"/>
    <w:rsid w:val="00094105"/>
    <w:rsid w:val="00094752"/>
    <w:rsid w:val="00094CB5"/>
    <w:rsid w:val="00095074"/>
    <w:rsid w:val="00095F84"/>
    <w:rsid w:val="0009705F"/>
    <w:rsid w:val="0009748D"/>
    <w:rsid w:val="000A0069"/>
    <w:rsid w:val="000A0213"/>
    <w:rsid w:val="000A2349"/>
    <w:rsid w:val="000A40D9"/>
    <w:rsid w:val="000A562A"/>
    <w:rsid w:val="000A5754"/>
    <w:rsid w:val="000B10C4"/>
    <w:rsid w:val="000B1BB3"/>
    <w:rsid w:val="000B2945"/>
    <w:rsid w:val="000B2C28"/>
    <w:rsid w:val="000B314F"/>
    <w:rsid w:val="000B3B97"/>
    <w:rsid w:val="000B45CF"/>
    <w:rsid w:val="000B6328"/>
    <w:rsid w:val="000B649E"/>
    <w:rsid w:val="000B6657"/>
    <w:rsid w:val="000B770A"/>
    <w:rsid w:val="000B7833"/>
    <w:rsid w:val="000C29E5"/>
    <w:rsid w:val="000C303C"/>
    <w:rsid w:val="000C4281"/>
    <w:rsid w:val="000C458B"/>
    <w:rsid w:val="000C4E94"/>
    <w:rsid w:val="000C5C18"/>
    <w:rsid w:val="000D028F"/>
    <w:rsid w:val="000D0B45"/>
    <w:rsid w:val="000D424F"/>
    <w:rsid w:val="000D51EE"/>
    <w:rsid w:val="000D6EBD"/>
    <w:rsid w:val="000E0FC2"/>
    <w:rsid w:val="000E11F7"/>
    <w:rsid w:val="000E2326"/>
    <w:rsid w:val="000E3A2A"/>
    <w:rsid w:val="000E427B"/>
    <w:rsid w:val="000E51B6"/>
    <w:rsid w:val="000E595E"/>
    <w:rsid w:val="000E6C74"/>
    <w:rsid w:val="000E7DBA"/>
    <w:rsid w:val="000E7DE3"/>
    <w:rsid w:val="000F18CF"/>
    <w:rsid w:val="000F26A5"/>
    <w:rsid w:val="000F35C4"/>
    <w:rsid w:val="000F58A3"/>
    <w:rsid w:val="00100364"/>
    <w:rsid w:val="00100610"/>
    <w:rsid w:val="00100BE9"/>
    <w:rsid w:val="00102300"/>
    <w:rsid w:val="00102373"/>
    <w:rsid w:val="0010255E"/>
    <w:rsid w:val="00102E2F"/>
    <w:rsid w:val="0010382F"/>
    <w:rsid w:val="001043F8"/>
    <w:rsid w:val="00105389"/>
    <w:rsid w:val="001056CF"/>
    <w:rsid w:val="00105A6E"/>
    <w:rsid w:val="00107370"/>
    <w:rsid w:val="00107621"/>
    <w:rsid w:val="0011139D"/>
    <w:rsid w:val="00117096"/>
    <w:rsid w:val="00117E3A"/>
    <w:rsid w:val="00120E78"/>
    <w:rsid w:val="00121F89"/>
    <w:rsid w:val="0012307F"/>
    <w:rsid w:val="001236FC"/>
    <w:rsid w:val="001237FB"/>
    <w:rsid w:val="00123CCC"/>
    <w:rsid w:val="001242AD"/>
    <w:rsid w:val="0012464C"/>
    <w:rsid w:val="00124B86"/>
    <w:rsid w:val="00124E2D"/>
    <w:rsid w:val="00125EBC"/>
    <w:rsid w:val="00125F05"/>
    <w:rsid w:val="00126372"/>
    <w:rsid w:val="001268FD"/>
    <w:rsid w:val="00127565"/>
    <w:rsid w:val="0013088B"/>
    <w:rsid w:val="001311B3"/>
    <w:rsid w:val="00131498"/>
    <w:rsid w:val="001329C0"/>
    <w:rsid w:val="00135697"/>
    <w:rsid w:val="00135B02"/>
    <w:rsid w:val="001368E5"/>
    <w:rsid w:val="00136E3F"/>
    <w:rsid w:val="00137401"/>
    <w:rsid w:val="00137523"/>
    <w:rsid w:val="0014000B"/>
    <w:rsid w:val="00140128"/>
    <w:rsid w:val="0014093D"/>
    <w:rsid w:val="00142FAD"/>
    <w:rsid w:val="00144301"/>
    <w:rsid w:val="00144629"/>
    <w:rsid w:val="00144CE8"/>
    <w:rsid w:val="00145441"/>
    <w:rsid w:val="001469C0"/>
    <w:rsid w:val="00150411"/>
    <w:rsid w:val="00151206"/>
    <w:rsid w:val="00151DE9"/>
    <w:rsid w:val="00152F05"/>
    <w:rsid w:val="001541FB"/>
    <w:rsid w:val="00154FDB"/>
    <w:rsid w:val="00155035"/>
    <w:rsid w:val="0015576A"/>
    <w:rsid w:val="00156084"/>
    <w:rsid w:val="001561F6"/>
    <w:rsid w:val="001573D0"/>
    <w:rsid w:val="0015756A"/>
    <w:rsid w:val="0015793B"/>
    <w:rsid w:val="00161F6A"/>
    <w:rsid w:val="00163207"/>
    <w:rsid w:val="001634BD"/>
    <w:rsid w:val="00165752"/>
    <w:rsid w:val="00165C66"/>
    <w:rsid w:val="00165CBF"/>
    <w:rsid w:val="00166972"/>
    <w:rsid w:val="001671A3"/>
    <w:rsid w:val="001679C7"/>
    <w:rsid w:val="00170E52"/>
    <w:rsid w:val="001730AA"/>
    <w:rsid w:val="001731C8"/>
    <w:rsid w:val="00173826"/>
    <w:rsid w:val="001752AB"/>
    <w:rsid w:val="00175F72"/>
    <w:rsid w:val="001804FC"/>
    <w:rsid w:val="001814C7"/>
    <w:rsid w:val="001821FE"/>
    <w:rsid w:val="0018432E"/>
    <w:rsid w:val="001845FA"/>
    <w:rsid w:val="00187251"/>
    <w:rsid w:val="00187388"/>
    <w:rsid w:val="00190F6A"/>
    <w:rsid w:val="00192324"/>
    <w:rsid w:val="00192CC7"/>
    <w:rsid w:val="00192DAC"/>
    <w:rsid w:val="00193219"/>
    <w:rsid w:val="00193723"/>
    <w:rsid w:val="0019406A"/>
    <w:rsid w:val="0019431B"/>
    <w:rsid w:val="00195A53"/>
    <w:rsid w:val="001A030B"/>
    <w:rsid w:val="001A0F14"/>
    <w:rsid w:val="001A2326"/>
    <w:rsid w:val="001A26E3"/>
    <w:rsid w:val="001A3AFD"/>
    <w:rsid w:val="001A4785"/>
    <w:rsid w:val="001A4EE9"/>
    <w:rsid w:val="001A4F17"/>
    <w:rsid w:val="001A5913"/>
    <w:rsid w:val="001A63C1"/>
    <w:rsid w:val="001A7C5A"/>
    <w:rsid w:val="001B1002"/>
    <w:rsid w:val="001B1689"/>
    <w:rsid w:val="001B2049"/>
    <w:rsid w:val="001B28E1"/>
    <w:rsid w:val="001B383C"/>
    <w:rsid w:val="001C071A"/>
    <w:rsid w:val="001C0F4A"/>
    <w:rsid w:val="001C1529"/>
    <w:rsid w:val="001C35B2"/>
    <w:rsid w:val="001C4B4D"/>
    <w:rsid w:val="001C576A"/>
    <w:rsid w:val="001C6297"/>
    <w:rsid w:val="001C6580"/>
    <w:rsid w:val="001C6AF8"/>
    <w:rsid w:val="001C7F59"/>
    <w:rsid w:val="001D06D3"/>
    <w:rsid w:val="001D0900"/>
    <w:rsid w:val="001D0BFB"/>
    <w:rsid w:val="001D171A"/>
    <w:rsid w:val="001D269E"/>
    <w:rsid w:val="001D33A0"/>
    <w:rsid w:val="001D36DE"/>
    <w:rsid w:val="001D401D"/>
    <w:rsid w:val="001D43A6"/>
    <w:rsid w:val="001D7317"/>
    <w:rsid w:val="001D7509"/>
    <w:rsid w:val="001E078F"/>
    <w:rsid w:val="001E0B64"/>
    <w:rsid w:val="001E1D36"/>
    <w:rsid w:val="001E25C3"/>
    <w:rsid w:val="001E3CBA"/>
    <w:rsid w:val="001E4E55"/>
    <w:rsid w:val="001E5B4A"/>
    <w:rsid w:val="001F00A5"/>
    <w:rsid w:val="001F1321"/>
    <w:rsid w:val="001F16B6"/>
    <w:rsid w:val="001F1714"/>
    <w:rsid w:val="001F1CF5"/>
    <w:rsid w:val="001F2709"/>
    <w:rsid w:val="001F3086"/>
    <w:rsid w:val="001F32CC"/>
    <w:rsid w:val="001F66A8"/>
    <w:rsid w:val="001F6E71"/>
    <w:rsid w:val="002001E8"/>
    <w:rsid w:val="00200E0A"/>
    <w:rsid w:val="00201F2E"/>
    <w:rsid w:val="00203722"/>
    <w:rsid w:val="00204154"/>
    <w:rsid w:val="00206B5D"/>
    <w:rsid w:val="00210E3D"/>
    <w:rsid w:val="00211C6C"/>
    <w:rsid w:val="002128D5"/>
    <w:rsid w:val="002137B5"/>
    <w:rsid w:val="002147F8"/>
    <w:rsid w:val="00215C11"/>
    <w:rsid w:val="00216215"/>
    <w:rsid w:val="0021635B"/>
    <w:rsid w:val="00220881"/>
    <w:rsid w:val="00221A52"/>
    <w:rsid w:val="00225C10"/>
    <w:rsid w:val="00225EA6"/>
    <w:rsid w:val="002267BB"/>
    <w:rsid w:val="00226CF4"/>
    <w:rsid w:val="00232469"/>
    <w:rsid w:val="00233391"/>
    <w:rsid w:val="00233A94"/>
    <w:rsid w:val="0023706A"/>
    <w:rsid w:val="002376B8"/>
    <w:rsid w:val="0024060F"/>
    <w:rsid w:val="002437CB"/>
    <w:rsid w:val="0024446A"/>
    <w:rsid w:val="00246E5E"/>
    <w:rsid w:val="00246F78"/>
    <w:rsid w:val="002473AF"/>
    <w:rsid w:val="0024758C"/>
    <w:rsid w:val="00251296"/>
    <w:rsid w:val="00251CBE"/>
    <w:rsid w:val="00252198"/>
    <w:rsid w:val="00252AFE"/>
    <w:rsid w:val="00253492"/>
    <w:rsid w:val="00253539"/>
    <w:rsid w:val="00253675"/>
    <w:rsid w:val="00253D89"/>
    <w:rsid w:val="00255926"/>
    <w:rsid w:val="00255AFE"/>
    <w:rsid w:val="002568AE"/>
    <w:rsid w:val="00256EE5"/>
    <w:rsid w:val="00257106"/>
    <w:rsid w:val="00260F41"/>
    <w:rsid w:val="002626CD"/>
    <w:rsid w:val="00262ACA"/>
    <w:rsid w:val="00262C71"/>
    <w:rsid w:val="002638A7"/>
    <w:rsid w:val="00265907"/>
    <w:rsid w:val="002662A1"/>
    <w:rsid w:val="0026632C"/>
    <w:rsid w:val="00266BB6"/>
    <w:rsid w:val="00270228"/>
    <w:rsid w:val="00270A57"/>
    <w:rsid w:val="00270EC0"/>
    <w:rsid w:val="002721A5"/>
    <w:rsid w:val="00274E2E"/>
    <w:rsid w:val="00280666"/>
    <w:rsid w:val="002811A9"/>
    <w:rsid w:val="00281CA1"/>
    <w:rsid w:val="002826DC"/>
    <w:rsid w:val="002828A1"/>
    <w:rsid w:val="00283D70"/>
    <w:rsid w:val="002844A8"/>
    <w:rsid w:val="00287291"/>
    <w:rsid w:val="0028733A"/>
    <w:rsid w:val="0028753B"/>
    <w:rsid w:val="00291854"/>
    <w:rsid w:val="002924FD"/>
    <w:rsid w:val="00292B7A"/>
    <w:rsid w:val="002941FB"/>
    <w:rsid w:val="0029466F"/>
    <w:rsid w:val="002947E9"/>
    <w:rsid w:val="00296650"/>
    <w:rsid w:val="00296F9F"/>
    <w:rsid w:val="002A2732"/>
    <w:rsid w:val="002A3140"/>
    <w:rsid w:val="002A32A9"/>
    <w:rsid w:val="002A35E4"/>
    <w:rsid w:val="002A37C3"/>
    <w:rsid w:val="002A74C0"/>
    <w:rsid w:val="002B2540"/>
    <w:rsid w:val="002B2E67"/>
    <w:rsid w:val="002B3693"/>
    <w:rsid w:val="002B688C"/>
    <w:rsid w:val="002B757C"/>
    <w:rsid w:val="002B77DB"/>
    <w:rsid w:val="002C0FE5"/>
    <w:rsid w:val="002C2997"/>
    <w:rsid w:val="002C79E5"/>
    <w:rsid w:val="002C7A7D"/>
    <w:rsid w:val="002D37AA"/>
    <w:rsid w:val="002D4D7F"/>
    <w:rsid w:val="002D4ED1"/>
    <w:rsid w:val="002D5327"/>
    <w:rsid w:val="002D594B"/>
    <w:rsid w:val="002D5BE0"/>
    <w:rsid w:val="002D5BF3"/>
    <w:rsid w:val="002D692F"/>
    <w:rsid w:val="002D6CEA"/>
    <w:rsid w:val="002E04AC"/>
    <w:rsid w:val="002E1348"/>
    <w:rsid w:val="002E13AF"/>
    <w:rsid w:val="002E2249"/>
    <w:rsid w:val="002E344D"/>
    <w:rsid w:val="002E49C4"/>
    <w:rsid w:val="002E5161"/>
    <w:rsid w:val="002E670F"/>
    <w:rsid w:val="002E69CF"/>
    <w:rsid w:val="002E702A"/>
    <w:rsid w:val="002E7B97"/>
    <w:rsid w:val="002F0835"/>
    <w:rsid w:val="002F1DCC"/>
    <w:rsid w:val="002F23E3"/>
    <w:rsid w:val="002F2970"/>
    <w:rsid w:val="002F31A0"/>
    <w:rsid w:val="002F3AA2"/>
    <w:rsid w:val="002F743B"/>
    <w:rsid w:val="002F74E2"/>
    <w:rsid w:val="0030029B"/>
    <w:rsid w:val="00300F51"/>
    <w:rsid w:val="003018D4"/>
    <w:rsid w:val="003042E7"/>
    <w:rsid w:val="003079EF"/>
    <w:rsid w:val="00310274"/>
    <w:rsid w:val="0031046F"/>
    <w:rsid w:val="00311FF8"/>
    <w:rsid w:val="00314619"/>
    <w:rsid w:val="00314845"/>
    <w:rsid w:val="0031537E"/>
    <w:rsid w:val="00315EFA"/>
    <w:rsid w:val="00316C2D"/>
    <w:rsid w:val="00316EDF"/>
    <w:rsid w:val="00317430"/>
    <w:rsid w:val="003213E2"/>
    <w:rsid w:val="00323FF3"/>
    <w:rsid w:val="00325E69"/>
    <w:rsid w:val="003271BA"/>
    <w:rsid w:val="00327632"/>
    <w:rsid w:val="00330DE9"/>
    <w:rsid w:val="00331E92"/>
    <w:rsid w:val="00332E06"/>
    <w:rsid w:val="00334881"/>
    <w:rsid w:val="00334D4B"/>
    <w:rsid w:val="00337891"/>
    <w:rsid w:val="00337C65"/>
    <w:rsid w:val="00337CC6"/>
    <w:rsid w:val="00340B58"/>
    <w:rsid w:val="00341D9B"/>
    <w:rsid w:val="00342C74"/>
    <w:rsid w:val="00346197"/>
    <w:rsid w:val="003505AB"/>
    <w:rsid w:val="003513F3"/>
    <w:rsid w:val="0035281E"/>
    <w:rsid w:val="0035296D"/>
    <w:rsid w:val="00352F64"/>
    <w:rsid w:val="003542D5"/>
    <w:rsid w:val="003548C8"/>
    <w:rsid w:val="00355360"/>
    <w:rsid w:val="003561BA"/>
    <w:rsid w:val="00356A1A"/>
    <w:rsid w:val="00356C91"/>
    <w:rsid w:val="0036041B"/>
    <w:rsid w:val="00360B04"/>
    <w:rsid w:val="00364772"/>
    <w:rsid w:val="00365338"/>
    <w:rsid w:val="00365F37"/>
    <w:rsid w:val="00366D80"/>
    <w:rsid w:val="00367009"/>
    <w:rsid w:val="00370AC6"/>
    <w:rsid w:val="00370BB6"/>
    <w:rsid w:val="00370DC0"/>
    <w:rsid w:val="00372614"/>
    <w:rsid w:val="003733E1"/>
    <w:rsid w:val="00374FA3"/>
    <w:rsid w:val="0037550B"/>
    <w:rsid w:val="00377173"/>
    <w:rsid w:val="00377533"/>
    <w:rsid w:val="0038248B"/>
    <w:rsid w:val="003828B4"/>
    <w:rsid w:val="003833FC"/>
    <w:rsid w:val="00383B30"/>
    <w:rsid w:val="00385E39"/>
    <w:rsid w:val="00386364"/>
    <w:rsid w:val="00390A19"/>
    <w:rsid w:val="00392EB8"/>
    <w:rsid w:val="00395DCC"/>
    <w:rsid w:val="00396FA7"/>
    <w:rsid w:val="0039775F"/>
    <w:rsid w:val="00397BF2"/>
    <w:rsid w:val="00397C66"/>
    <w:rsid w:val="00397F37"/>
    <w:rsid w:val="003A0CC8"/>
    <w:rsid w:val="003A3711"/>
    <w:rsid w:val="003A4777"/>
    <w:rsid w:val="003A4EA9"/>
    <w:rsid w:val="003A528B"/>
    <w:rsid w:val="003A5AFF"/>
    <w:rsid w:val="003A5BA2"/>
    <w:rsid w:val="003A6389"/>
    <w:rsid w:val="003A70E0"/>
    <w:rsid w:val="003B1207"/>
    <w:rsid w:val="003B293D"/>
    <w:rsid w:val="003B2C26"/>
    <w:rsid w:val="003B3998"/>
    <w:rsid w:val="003B53C2"/>
    <w:rsid w:val="003B6FEF"/>
    <w:rsid w:val="003B7A13"/>
    <w:rsid w:val="003C0117"/>
    <w:rsid w:val="003C025C"/>
    <w:rsid w:val="003C0895"/>
    <w:rsid w:val="003C20E3"/>
    <w:rsid w:val="003C2A0A"/>
    <w:rsid w:val="003C2C5E"/>
    <w:rsid w:val="003C2F5A"/>
    <w:rsid w:val="003C356E"/>
    <w:rsid w:val="003D1979"/>
    <w:rsid w:val="003D340C"/>
    <w:rsid w:val="003D46E3"/>
    <w:rsid w:val="003D6A09"/>
    <w:rsid w:val="003E00DB"/>
    <w:rsid w:val="003E0572"/>
    <w:rsid w:val="003E4507"/>
    <w:rsid w:val="003E470F"/>
    <w:rsid w:val="003E50AA"/>
    <w:rsid w:val="003E50F3"/>
    <w:rsid w:val="003E5EB6"/>
    <w:rsid w:val="003E6068"/>
    <w:rsid w:val="003E666F"/>
    <w:rsid w:val="003E6720"/>
    <w:rsid w:val="003F0756"/>
    <w:rsid w:val="003F4CAF"/>
    <w:rsid w:val="00401792"/>
    <w:rsid w:val="00402551"/>
    <w:rsid w:val="0040390C"/>
    <w:rsid w:val="00403976"/>
    <w:rsid w:val="0040497F"/>
    <w:rsid w:val="004057D4"/>
    <w:rsid w:val="0040653E"/>
    <w:rsid w:val="00406EE9"/>
    <w:rsid w:val="00411036"/>
    <w:rsid w:val="004114EF"/>
    <w:rsid w:val="00411A5D"/>
    <w:rsid w:val="0041229C"/>
    <w:rsid w:val="004126FF"/>
    <w:rsid w:val="00414BC2"/>
    <w:rsid w:val="0041542A"/>
    <w:rsid w:val="0041653D"/>
    <w:rsid w:val="00416E07"/>
    <w:rsid w:val="00416FDD"/>
    <w:rsid w:val="004229D9"/>
    <w:rsid w:val="004230C1"/>
    <w:rsid w:val="00423EB5"/>
    <w:rsid w:val="00424FEB"/>
    <w:rsid w:val="0042512C"/>
    <w:rsid w:val="00425150"/>
    <w:rsid w:val="00425F77"/>
    <w:rsid w:val="004274A5"/>
    <w:rsid w:val="00430A95"/>
    <w:rsid w:val="00432673"/>
    <w:rsid w:val="00434B20"/>
    <w:rsid w:val="00435E33"/>
    <w:rsid w:val="00437FA0"/>
    <w:rsid w:val="00440125"/>
    <w:rsid w:val="00440253"/>
    <w:rsid w:val="00443D4E"/>
    <w:rsid w:val="004457AD"/>
    <w:rsid w:val="00445EEF"/>
    <w:rsid w:val="00452962"/>
    <w:rsid w:val="00452B4C"/>
    <w:rsid w:val="004541CE"/>
    <w:rsid w:val="004542C8"/>
    <w:rsid w:val="004546C1"/>
    <w:rsid w:val="004547C2"/>
    <w:rsid w:val="0045495D"/>
    <w:rsid w:val="00456024"/>
    <w:rsid w:val="0045604C"/>
    <w:rsid w:val="00461EE3"/>
    <w:rsid w:val="00462858"/>
    <w:rsid w:val="0046339F"/>
    <w:rsid w:val="00467C0E"/>
    <w:rsid w:val="00467D27"/>
    <w:rsid w:val="004729D8"/>
    <w:rsid w:val="00473225"/>
    <w:rsid w:val="00473452"/>
    <w:rsid w:val="00474284"/>
    <w:rsid w:val="00475505"/>
    <w:rsid w:val="00477954"/>
    <w:rsid w:val="00477B32"/>
    <w:rsid w:val="00480791"/>
    <w:rsid w:val="00480C14"/>
    <w:rsid w:val="0048260A"/>
    <w:rsid w:val="00482DD0"/>
    <w:rsid w:val="004854A5"/>
    <w:rsid w:val="00485790"/>
    <w:rsid w:val="00485AA4"/>
    <w:rsid w:val="0048693A"/>
    <w:rsid w:val="00491ECA"/>
    <w:rsid w:val="00491F9E"/>
    <w:rsid w:val="0049271C"/>
    <w:rsid w:val="00497725"/>
    <w:rsid w:val="004A0572"/>
    <w:rsid w:val="004A1266"/>
    <w:rsid w:val="004A168B"/>
    <w:rsid w:val="004A1E78"/>
    <w:rsid w:val="004A3AAC"/>
    <w:rsid w:val="004A64C1"/>
    <w:rsid w:val="004A72BC"/>
    <w:rsid w:val="004B0603"/>
    <w:rsid w:val="004B2623"/>
    <w:rsid w:val="004B3977"/>
    <w:rsid w:val="004B436B"/>
    <w:rsid w:val="004B5445"/>
    <w:rsid w:val="004C029E"/>
    <w:rsid w:val="004C0A72"/>
    <w:rsid w:val="004C1A32"/>
    <w:rsid w:val="004C1F2F"/>
    <w:rsid w:val="004C2992"/>
    <w:rsid w:val="004C3B26"/>
    <w:rsid w:val="004C4F1B"/>
    <w:rsid w:val="004D00A4"/>
    <w:rsid w:val="004D1350"/>
    <w:rsid w:val="004D4672"/>
    <w:rsid w:val="004D4F6E"/>
    <w:rsid w:val="004E01DD"/>
    <w:rsid w:val="004E23AE"/>
    <w:rsid w:val="004E3072"/>
    <w:rsid w:val="004E3D91"/>
    <w:rsid w:val="004E4FA0"/>
    <w:rsid w:val="004E569F"/>
    <w:rsid w:val="004F14EE"/>
    <w:rsid w:val="004F190B"/>
    <w:rsid w:val="004F1F9B"/>
    <w:rsid w:val="004F25D8"/>
    <w:rsid w:val="004F57F1"/>
    <w:rsid w:val="004F69A2"/>
    <w:rsid w:val="005019AF"/>
    <w:rsid w:val="00501D36"/>
    <w:rsid w:val="00503F52"/>
    <w:rsid w:val="005042D8"/>
    <w:rsid w:val="0050467E"/>
    <w:rsid w:val="00504C31"/>
    <w:rsid w:val="00505DB0"/>
    <w:rsid w:val="00507D13"/>
    <w:rsid w:val="00510182"/>
    <w:rsid w:val="00510D93"/>
    <w:rsid w:val="00513A93"/>
    <w:rsid w:val="00514D02"/>
    <w:rsid w:val="005166E2"/>
    <w:rsid w:val="00516E7F"/>
    <w:rsid w:val="0052059C"/>
    <w:rsid w:val="0052490F"/>
    <w:rsid w:val="00526F0F"/>
    <w:rsid w:val="005272F0"/>
    <w:rsid w:val="00527F9F"/>
    <w:rsid w:val="005327E6"/>
    <w:rsid w:val="00533A9C"/>
    <w:rsid w:val="00533DB2"/>
    <w:rsid w:val="00533EE1"/>
    <w:rsid w:val="00534E5B"/>
    <w:rsid w:val="00535C0F"/>
    <w:rsid w:val="00537258"/>
    <w:rsid w:val="00537BAF"/>
    <w:rsid w:val="00540CA4"/>
    <w:rsid w:val="00542F23"/>
    <w:rsid w:val="00544448"/>
    <w:rsid w:val="00547F51"/>
    <w:rsid w:val="0055041C"/>
    <w:rsid w:val="00550523"/>
    <w:rsid w:val="00550DEB"/>
    <w:rsid w:val="005511A7"/>
    <w:rsid w:val="00553EB8"/>
    <w:rsid w:val="00555A6C"/>
    <w:rsid w:val="00555F15"/>
    <w:rsid w:val="00561D33"/>
    <w:rsid w:val="00562982"/>
    <w:rsid w:val="00562B9E"/>
    <w:rsid w:val="00563118"/>
    <w:rsid w:val="005631B8"/>
    <w:rsid w:val="0056400B"/>
    <w:rsid w:val="005672E0"/>
    <w:rsid w:val="0057034B"/>
    <w:rsid w:val="00571D70"/>
    <w:rsid w:val="00572706"/>
    <w:rsid w:val="00572C28"/>
    <w:rsid w:val="00573D44"/>
    <w:rsid w:val="00574712"/>
    <w:rsid w:val="0057558B"/>
    <w:rsid w:val="00575810"/>
    <w:rsid w:val="00577319"/>
    <w:rsid w:val="005808BB"/>
    <w:rsid w:val="00583523"/>
    <w:rsid w:val="00584191"/>
    <w:rsid w:val="0058608C"/>
    <w:rsid w:val="00587C1D"/>
    <w:rsid w:val="005900D7"/>
    <w:rsid w:val="005920B6"/>
    <w:rsid w:val="005929EA"/>
    <w:rsid w:val="00593948"/>
    <w:rsid w:val="00593A98"/>
    <w:rsid w:val="005947E5"/>
    <w:rsid w:val="0059596D"/>
    <w:rsid w:val="00597D57"/>
    <w:rsid w:val="00597E3C"/>
    <w:rsid w:val="00597FCC"/>
    <w:rsid w:val="005A07D0"/>
    <w:rsid w:val="005A3F44"/>
    <w:rsid w:val="005A432D"/>
    <w:rsid w:val="005A5639"/>
    <w:rsid w:val="005B0BF9"/>
    <w:rsid w:val="005B1D2E"/>
    <w:rsid w:val="005B2390"/>
    <w:rsid w:val="005B3486"/>
    <w:rsid w:val="005B4F73"/>
    <w:rsid w:val="005B53FA"/>
    <w:rsid w:val="005B5999"/>
    <w:rsid w:val="005B7959"/>
    <w:rsid w:val="005C0348"/>
    <w:rsid w:val="005C1D22"/>
    <w:rsid w:val="005C5477"/>
    <w:rsid w:val="005C68E4"/>
    <w:rsid w:val="005C71F3"/>
    <w:rsid w:val="005D0A6A"/>
    <w:rsid w:val="005D2BBD"/>
    <w:rsid w:val="005D2F42"/>
    <w:rsid w:val="005D420C"/>
    <w:rsid w:val="005D4D92"/>
    <w:rsid w:val="005D4FBC"/>
    <w:rsid w:val="005E48C8"/>
    <w:rsid w:val="005E762E"/>
    <w:rsid w:val="005E7AAD"/>
    <w:rsid w:val="005F1302"/>
    <w:rsid w:val="005F2D5A"/>
    <w:rsid w:val="005F3C91"/>
    <w:rsid w:val="005F7EFE"/>
    <w:rsid w:val="00600719"/>
    <w:rsid w:val="00600D09"/>
    <w:rsid w:val="006014C1"/>
    <w:rsid w:val="00601699"/>
    <w:rsid w:val="00602A9C"/>
    <w:rsid w:val="0060495D"/>
    <w:rsid w:val="006058E8"/>
    <w:rsid w:val="00605AFC"/>
    <w:rsid w:val="00605B71"/>
    <w:rsid w:val="00607C5C"/>
    <w:rsid w:val="00611D9C"/>
    <w:rsid w:val="00616569"/>
    <w:rsid w:val="00617DEC"/>
    <w:rsid w:val="0062099A"/>
    <w:rsid w:val="00620A83"/>
    <w:rsid w:val="00620C31"/>
    <w:rsid w:val="006210D9"/>
    <w:rsid w:val="006216B4"/>
    <w:rsid w:val="00621DDF"/>
    <w:rsid w:val="00623043"/>
    <w:rsid w:val="00624BA5"/>
    <w:rsid w:val="00627A62"/>
    <w:rsid w:val="00627C5F"/>
    <w:rsid w:val="00630215"/>
    <w:rsid w:val="00630300"/>
    <w:rsid w:val="0063057D"/>
    <w:rsid w:val="00630929"/>
    <w:rsid w:val="006315E7"/>
    <w:rsid w:val="00633679"/>
    <w:rsid w:val="00633992"/>
    <w:rsid w:val="006339D0"/>
    <w:rsid w:val="0064272C"/>
    <w:rsid w:val="006427D8"/>
    <w:rsid w:val="00643565"/>
    <w:rsid w:val="00643BD1"/>
    <w:rsid w:val="0064556B"/>
    <w:rsid w:val="0064592A"/>
    <w:rsid w:val="00647F04"/>
    <w:rsid w:val="00650DFD"/>
    <w:rsid w:val="006527F9"/>
    <w:rsid w:val="00653505"/>
    <w:rsid w:val="00654CEA"/>
    <w:rsid w:val="00661AC6"/>
    <w:rsid w:val="006641A6"/>
    <w:rsid w:val="00664382"/>
    <w:rsid w:val="00665673"/>
    <w:rsid w:val="0066621A"/>
    <w:rsid w:val="00666222"/>
    <w:rsid w:val="006666B9"/>
    <w:rsid w:val="00667AD8"/>
    <w:rsid w:val="0067160F"/>
    <w:rsid w:val="00673CB5"/>
    <w:rsid w:val="00675021"/>
    <w:rsid w:val="00675769"/>
    <w:rsid w:val="0067617E"/>
    <w:rsid w:val="006769E5"/>
    <w:rsid w:val="0068127F"/>
    <w:rsid w:val="006835E8"/>
    <w:rsid w:val="00685A6A"/>
    <w:rsid w:val="006876E4"/>
    <w:rsid w:val="006914A8"/>
    <w:rsid w:val="00692715"/>
    <w:rsid w:val="00692BAB"/>
    <w:rsid w:val="00693D4D"/>
    <w:rsid w:val="006942BE"/>
    <w:rsid w:val="00696B19"/>
    <w:rsid w:val="00697F42"/>
    <w:rsid w:val="006A14DB"/>
    <w:rsid w:val="006A16C4"/>
    <w:rsid w:val="006A2E12"/>
    <w:rsid w:val="006A476E"/>
    <w:rsid w:val="006A4FBC"/>
    <w:rsid w:val="006A5A2B"/>
    <w:rsid w:val="006A63EA"/>
    <w:rsid w:val="006A7040"/>
    <w:rsid w:val="006A734B"/>
    <w:rsid w:val="006B026A"/>
    <w:rsid w:val="006B04D7"/>
    <w:rsid w:val="006B0873"/>
    <w:rsid w:val="006B45D1"/>
    <w:rsid w:val="006B51B7"/>
    <w:rsid w:val="006B6F35"/>
    <w:rsid w:val="006C0375"/>
    <w:rsid w:val="006C03C8"/>
    <w:rsid w:val="006C066E"/>
    <w:rsid w:val="006C15BD"/>
    <w:rsid w:val="006C1A0A"/>
    <w:rsid w:val="006C1AED"/>
    <w:rsid w:val="006C29B0"/>
    <w:rsid w:val="006C2E8A"/>
    <w:rsid w:val="006C334B"/>
    <w:rsid w:val="006C3394"/>
    <w:rsid w:val="006C4360"/>
    <w:rsid w:val="006C706E"/>
    <w:rsid w:val="006D0A5D"/>
    <w:rsid w:val="006D0C30"/>
    <w:rsid w:val="006D287D"/>
    <w:rsid w:val="006D4A13"/>
    <w:rsid w:val="006D5EB1"/>
    <w:rsid w:val="006D64E3"/>
    <w:rsid w:val="006D73DD"/>
    <w:rsid w:val="006D7FD0"/>
    <w:rsid w:val="006E090D"/>
    <w:rsid w:val="006E0A7C"/>
    <w:rsid w:val="006E1C08"/>
    <w:rsid w:val="006E5A86"/>
    <w:rsid w:val="006F003F"/>
    <w:rsid w:val="006F0FBF"/>
    <w:rsid w:val="006F125B"/>
    <w:rsid w:val="006F1E57"/>
    <w:rsid w:val="006F326E"/>
    <w:rsid w:val="006F4ACA"/>
    <w:rsid w:val="006F595F"/>
    <w:rsid w:val="006F715A"/>
    <w:rsid w:val="00700F24"/>
    <w:rsid w:val="007026E0"/>
    <w:rsid w:val="0070402E"/>
    <w:rsid w:val="00706083"/>
    <w:rsid w:val="0070612F"/>
    <w:rsid w:val="00706A94"/>
    <w:rsid w:val="00706AD1"/>
    <w:rsid w:val="0071003B"/>
    <w:rsid w:val="00710332"/>
    <w:rsid w:val="00711392"/>
    <w:rsid w:val="0071174A"/>
    <w:rsid w:val="00711CA0"/>
    <w:rsid w:val="00712278"/>
    <w:rsid w:val="0071285C"/>
    <w:rsid w:val="00713983"/>
    <w:rsid w:val="00713AB6"/>
    <w:rsid w:val="00714A5B"/>
    <w:rsid w:val="00714AE7"/>
    <w:rsid w:val="00714C69"/>
    <w:rsid w:val="00715A01"/>
    <w:rsid w:val="00724459"/>
    <w:rsid w:val="00725D5B"/>
    <w:rsid w:val="0072722C"/>
    <w:rsid w:val="00732AD4"/>
    <w:rsid w:val="00733AF2"/>
    <w:rsid w:val="00735D13"/>
    <w:rsid w:val="00736194"/>
    <w:rsid w:val="00737BA0"/>
    <w:rsid w:val="0074005C"/>
    <w:rsid w:val="0074071E"/>
    <w:rsid w:val="0074314B"/>
    <w:rsid w:val="00743238"/>
    <w:rsid w:val="007433A8"/>
    <w:rsid w:val="00744581"/>
    <w:rsid w:val="007453AE"/>
    <w:rsid w:val="0074745C"/>
    <w:rsid w:val="0075312F"/>
    <w:rsid w:val="007534E8"/>
    <w:rsid w:val="0075546C"/>
    <w:rsid w:val="00755830"/>
    <w:rsid w:val="00755E61"/>
    <w:rsid w:val="00756835"/>
    <w:rsid w:val="007625D1"/>
    <w:rsid w:val="00762B34"/>
    <w:rsid w:val="00763ED1"/>
    <w:rsid w:val="007707E6"/>
    <w:rsid w:val="00772209"/>
    <w:rsid w:val="00772B2C"/>
    <w:rsid w:val="00773A66"/>
    <w:rsid w:val="00774D1E"/>
    <w:rsid w:val="0077570B"/>
    <w:rsid w:val="00775B20"/>
    <w:rsid w:val="00775EE5"/>
    <w:rsid w:val="0077771A"/>
    <w:rsid w:val="0078082F"/>
    <w:rsid w:val="00780A95"/>
    <w:rsid w:val="00782503"/>
    <w:rsid w:val="007841F0"/>
    <w:rsid w:val="00785387"/>
    <w:rsid w:val="0078596E"/>
    <w:rsid w:val="0078747A"/>
    <w:rsid w:val="007874E2"/>
    <w:rsid w:val="007900BD"/>
    <w:rsid w:val="00790CD0"/>
    <w:rsid w:val="007913F7"/>
    <w:rsid w:val="007915D3"/>
    <w:rsid w:val="00791B80"/>
    <w:rsid w:val="00792199"/>
    <w:rsid w:val="00792BF5"/>
    <w:rsid w:val="00794FBC"/>
    <w:rsid w:val="007951B8"/>
    <w:rsid w:val="007A16F4"/>
    <w:rsid w:val="007A1A86"/>
    <w:rsid w:val="007A1F1B"/>
    <w:rsid w:val="007A2DCA"/>
    <w:rsid w:val="007A3203"/>
    <w:rsid w:val="007A37C9"/>
    <w:rsid w:val="007A3C26"/>
    <w:rsid w:val="007A555D"/>
    <w:rsid w:val="007A61B9"/>
    <w:rsid w:val="007A773A"/>
    <w:rsid w:val="007B0BF3"/>
    <w:rsid w:val="007B131E"/>
    <w:rsid w:val="007B134D"/>
    <w:rsid w:val="007B16FC"/>
    <w:rsid w:val="007B221D"/>
    <w:rsid w:val="007B34AC"/>
    <w:rsid w:val="007B4887"/>
    <w:rsid w:val="007B5719"/>
    <w:rsid w:val="007B5AAA"/>
    <w:rsid w:val="007C0402"/>
    <w:rsid w:val="007C3844"/>
    <w:rsid w:val="007C4149"/>
    <w:rsid w:val="007C6C0F"/>
    <w:rsid w:val="007C760F"/>
    <w:rsid w:val="007D09B0"/>
    <w:rsid w:val="007D15E8"/>
    <w:rsid w:val="007D1B2C"/>
    <w:rsid w:val="007D3115"/>
    <w:rsid w:val="007D368E"/>
    <w:rsid w:val="007D4242"/>
    <w:rsid w:val="007D4F08"/>
    <w:rsid w:val="007D65F0"/>
    <w:rsid w:val="007D7FD5"/>
    <w:rsid w:val="007E0348"/>
    <w:rsid w:val="007E0532"/>
    <w:rsid w:val="007E055A"/>
    <w:rsid w:val="007E09AE"/>
    <w:rsid w:val="007E1647"/>
    <w:rsid w:val="007E375C"/>
    <w:rsid w:val="007E4803"/>
    <w:rsid w:val="007E7F0E"/>
    <w:rsid w:val="007F0660"/>
    <w:rsid w:val="007F087D"/>
    <w:rsid w:val="007F21CA"/>
    <w:rsid w:val="007F277A"/>
    <w:rsid w:val="007F2AE9"/>
    <w:rsid w:val="007F3A87"/>
    <w:rsid w:val="007F49C2"/>
    <w:rsid w:val="007F7719"/>
    <w:rsid w:val="007F78AC"/>
    <w:rsid w:val="007F7DA2"/>
    <w:rsid w:val="008001C4"/>
    <w:rsid w:val="0080089A"/>
    <w:rsid w:val="008012DF"/>
    <w:rsid w:val="00802ACB"/>
    <w:rsid w:val="00803878"/>
    <w:rsid w:val="008043B9"/>
    <w:rsid w:val="00805E6C"/>
    <w:rsid w:val="00806AF1"/>
    <w:rsid w:val="00807CB4"/>
    <w:rsid w:val="00811358"/>
    <w:rsid w:val="00812A5C"/>
    <w:rsid w:val="00813246"/>
    <w:rsid w:val="00813361"/>
    <w:rsid w:val="0081359F"/>
    <w:rsid w:val="008135F5"/>
    <w:rsid w:val="00813F86"/>
    <w:rsid w:val="00814429"/>
    <w:rsid w:val="008171E5"/>
    <w:rsid w:val="0082416D"/>
    <w:rsid w:val="00824749"/>
    <w:rsid w:val="00825324"/>
    <w:rsid w:val="008267EA"/>
    <w:rsid w:val="00827D7E"/>
    <w:rsid w:val="008302FF"/>
    <w:rsid w:val="00831FB3"/>
    <w:rsid w:val="00833579"/>
    <w:rsid w:val="00833703"/>
    <w:rsid w:val="00834FFE"/>
    <w:rsid w:val="00835772"/>
    <w:rsid w:val="00836865"/>
    <w:rsid w:val="008369A9"/>
    <w:rsid w:val="00836D08"/>
    <w:rsid w:val="0083793C"/>
    <w:rsid w:val="00837DF1"/>
    <w:rsid w:val="00841126"/>
    <w:rsid w:val="00841141"/>
    <w:rsid w:val="00841360"/>
    <w:rsid w:val="00841D81"/>
    <w:rsid w:val="00843635"/>
    <w:rsid w:val="008439E8"/>
    <w:rsid w:val="00845FAC"/>
    <w:rsid w:val="00846434"/>
    <w:rsid w:val="00846734"/>
    <w:rsid w:val="00850E8C"/>
    <w:rsid w:val="008515DB"/>
    <w:rsid w:val="00851F71"/>
    <w:rsid w:val="0085206B"/>
    <w:rsid w:val="00852A8F"/>
    <w:rsid w:val="00852AF3"/>
    <w:rsid w:val="0085413C"/>
    <w:rsid w:val="00856BF9"/>
    <w:rsid w:val="00860172"/>
    <w:rsid w:val="00862280"/>
    <w:rsid w:val="0086258B"/>
    <w:rsid w:val="00863F57"/>
    <w:rsid w:val="008645BB"/>
    <w:rsid w:val="00864921"/>
    <w:rsid w:val="00864EA7"/>
    <w:rsid w:val="00865954"/>
    <w:rsid w:val="0086694C"/>
    <w:rsid w:val="00866E34"/>
    <w:rsid w:val="008704BD"/>
    <w:rsid w:val="00871004"/>
    <w:rsid w:val="00871033"/>
    <w:rsid w:val="00872AC4"/>
    <w:rsid w:val="00873BE1"/>
    <w:rsid w:val="00875EE2"/>
    <w:rsid w:val="00876094"/>
    <w:rsid w:val="0087639C"/>
    <w:rsid w:val="00876734"/>
    <w:rsid w:val="00877F56"/>
    <w:rsid w:val="0088142E"/>
    <w:rsid w:val="00883576"/>
    <w:rsid w:val="00883D54"/>
    <w:rsid w:val="00886F68"/>
    <w:rsid w:val="0088729B"/>
    <w:rsid w:val="00887968"/>
    <w:rsid w:val="00890258"/>
    <w:rsid w:val="00890460"/>
    <w:rsid w:val="00892311"/>
    <w:rsid w:val="00892532"/>
    <w:rsid w:val="008927A7"/>
    <w:rsid w:val="00895FAB"/>
    <w:rsid w:val="00896304"/>
    <w:rsid w:val="00896A06"/>
    <w:rsid w:val="008A146A"/>
    <w:rsid w:val="008A2440"/>
    <w:rsid w:val="008A2A46"/>
    <w:rsid w:val="008A2A9A"/>
    <w:rsid w:val="008A2E38"/>
    <w:rsid w:val="008A3DCC"/>
    <w:rsid w:val="008A5035"/>
    <w:rsid w:val="008A5760"/>
    <w:rsid w:val="008A5FF8"/>
    <w:rsid w:val="008B205E"/>
    <w:rsid w:val="008B34C4"/>
    <w:rsid w:val="008B38BD"/>
    <w:rsid w:val="008B3E31"/>
    <w:rsid w:val="008B4A2E"/>
    <w:rsid w:val="008B53A8"/>
    <w:rsid w:val="008B5927"/>
    <w:rsid w:val="008B5EBA"/>
    <w:rsid w:val="008B631F"/>
    <w:rsid w:val="008B6FDD"/>
    <w:rsid w:val="008C367E"/>
    <w:rsid w:val="008C49F4"/>
    <w:rsid w:val="008C7B4D"/>
    <w:rsid w:val="008D01E9"/>
    <w:rsid w:val="008D090C"/>
    <w:rsid w:val="008D144E"/>
    <w:rsid w:val="008D16C1"/>
    <w:rsid w:val="008D3361"/>
    <w:rsid w:val="008D5B07"/>
    <w:rsid w:val="008D6706"/>
    <w:rsid w:val="008D67CA"/>
    <w:rsid w:val="008D7ECA"/>
    <w:rsid w:val="008E052C"/>
    <w:rsid w:val="008E0FBE"/>
    <w:rsid w:val="008E3D3B"/>
    <w:rsid w:val="008E45AE"/>
    <w:rsid w:val="008E62B2"/>
    <w:rsid w:val="008F0703"/>
    <w:rsid w:val="008F0BF6"/>
    <w:rsid w:val="008F1CB1"/>
    <w:rsid w:val="008F22C3"/>
    <w:rsid w:val="008F2318"/>
    <w:rsid w:val="008F5E2D"/>
    <w:rsid w:val="008F6147"/>
    <w:rsid w:val="008F6470"/>
    <w:rsid w:val="008F77CA"/>
    <w:rsid w:val="008F7AF5"/>
    <w:rsid w:val="0090083B"/>
    <w:rsid w:val="009011B4"/>
    <w:rsid w:val="0090120D"/>
    <w:rsid w:val="0090134E"/>
    <w:rsid w:val="0090239F"/>
    <w:rsid w:val="00904639"/>
    <w:rsid w:val="009050FB"/>
    <w:rsid w:val="0090645B"/>
    <w:rsid w:val="009075FB"/>
    <w:rsid w:val="00907630"/>
    <w:rsid w:val="0091044D"/>
    <w:rsid w:val="00910525"/>
    <w:rsid w:val="0091183F"/>
    <w:rsid w:val="009119FF"/>
    <w:rsid w:val="00911BEB"/>
    <w:rsid w:val="00911CBA"/>
    <w:rsid w:val="00911CDD"/>
    <w:rsid w:val="00912994"/>
    <w:rsid w:val="009135FD"/>
    <w:rsid w:val="009147BC"/>
    <w:rsid w:val="00914D52"/>
    <w:rsid w:val="00914F26"/>
    <w:rsid w:val="00916B85"/>
    <w:rsid w:val="00917544"/>
    <w:rsid w:val="009210C8"/>
    <w:rsid w:val="00921522"/>
    <w:rsid w:val="009228BB"/>
    <w:rsid w:val="009247D0"/>
    <w:rsid w:val="009253AE"/>
    <w:rsid w:val="0092542E"/>
    <w:rsid w:val="00925648"/>
    <w:rsid w:val="009256E6"/>
    <w:rsid w:val="00925CAC"/>
    <w:rsid w:val="0093200A"/>
    <w:rsid w:val="0093330F"/>
    <w:rsid w:val="00933AFE"/>
    <w:rsid w:val="00933F1A"/>
    <w:rsid w:val="00933F75"/>
    <w:rsid w:val="009350E0"/>
    <w:rsid w:val="00935294"/>
    <w:rsid w:val="00935907"/>
    <w:rsid w:val="00935DC9"/>
    <w:rsid w:val="00940B7B"/>
    <w:rsid w:val="00940F39"/>
    <w:rsid w:val="00942EA2"/>
    <w:rsid w:val="009436DF"/>
    <w:rsid w:val="00944AD1"/>
    <w:rsid w:val="00944C45"/>
    <w:rsid w:val="009455C5"/>
    <w:rsid w:val="0095350F"/>
    <w:rsid w:val="009542E4"/>
    <w:rsid w:val="00956907"/>
    <w:rsid w:val="00957701"/>
    <w:rsid w:val="00960628"/>
    <w:rsid w:val="00960950"/>
    <w:rsid w:val="00960B00"/>
    <w:rsid w:val="00961FD2"/>
    <w:rsid w:val="00962EC4"/>
    <w:rsid w:val="0096696B"/>
    <w:rsid w:val="00966BC7"/>
    <w:rsid w:val="00967012"/>
    <w:rsid w:val="0097335C"/>
    <w:rsid w:val="00973779"/>
    <w:rsid w:val="00973DC0"/>
    <w:rsid w:val="00974584"/>
    <w:rsid w:val="00975C9B"/>
    <w:rsid w:val="00975ED9"/>
    <w:rsid w:val="00976C6C"/>
    <w:rsid w:val="009807BF"/>
    <w:rsid w:val="00981ECA"/>
    <w:rsid w:val="00983293"/>
    <w:rsid w:val="00983C26"/>
    <w:rsid w:val="00984D9B"/>
    <w:rsid w:val="009861C8"/>
    <w:rsid w:val="00986624"/>
    <w:rsid w:val="00986E5D"/>
    <w:rsid w:val="00986EC6"/>
    <w:rsid w:val="009870A2"/>
    <w:rsid w:val="00987B00"/>
    <w:rsid w:val="00991E4C"/>
    <w:rsid w:val="0099350E"/>
    <w:rsid w:val="00993CDA"/>
    <w:rsid w:val="00994275"/>
    <w:rsid w:val="00995129"/>
    <w:rsid w:val="00997715"/>
    <w:rsid w:val="00997763"/>
    <w:rsid w:val="009A2DE7"/>
    <w:rsid w:val="009A32F8"/>
    <w:rsid w:val="009A337E"/>
    <w:rsid w:val="009A3CBD"/>
    <w:rsid w:val="009A4E69"/>
    <w:rsid w:val="009A64D2"/>
    <w:rsid w:val="009A7EEB"/>
    <w:rsid w:val="009B131B"/>
    <w:rsid w:val="009B32E6"/>
    <w:rsid w:val="009B6144"/>
    <w:rsid w:val="009B6BE0"/>
    <w:rsid w:val="009B7814"/>
    <w:rsid w:val="009C02AA"/>
    <w:rsid w:val="009C0A39"/>
    <w:rsid w:val="009C177C"/>
    <w:rsid w:val="009C2195"/>
    <w:rsid w:val="009C5532"/>
    <w:rsid w:val="009C5EF4"/>
    <w:rsid w:val="009D0B8A"/>
    <w:rsid w:val="009D290A"/>
    <w:rsid w:val="009D2F83"/>
    <w:rsid w:val="009D3A7D"/>
    <w:rsid w:val="009D486A"/>
    <w:rsid w:val="009D5DE3"/>
    <w:rsid w:val="009D7FEA"/>
    <w:rsid w:val="009E10FE"/>
    <w:rsid w:val="009E1122"/>
    <w:rsid w:val="009E1639"/>
    <w:rsid w:val="009E2640"/>
    <w:rsid w:val="009E593C"/>
    <w:rsid w:val="009E67F3"/>
    <w:rsid w:val="009E7BB7"/>
    <w:rsid w:val="009F13F3"/>
    <w:rsid w:val="009F1F8F"/>
    <w:rsid w:val="009F4DB9"/>
    <w:rsid w:val="009F7D17"/>
    <w:rsid w:val="009F7E82"/>
    <w:rsid w:val="00A00322"/>
    <w:rsid w:val="00A00437"/>
    <w:rsid w:val="00A014E9"/>
    <w:rsid w:val="00A031FF"/>
    <w:rsid w:val="00A032E5"/>
    <w:rsid w:val="00A067B8"/>
    <w:rsid w:val="00A06EBF"/>
    <w:rsid w:val="00A0786A"/>
    <w:rsid w:val="00A10D1D"/>
    <w:rsid w:val="00A11A1F"/>
    <w:rsid w:val="00A11AA5"/>
    <w:rsid w:val="00A125B5"/>
    <w:rsid w:val="00A12E9C"/>
    <w:rsid w:val="00A130F9"/>
    <w:rsid w:val="00A13AB7"/>
    <w:rsid w:val="00A13C7F"/>
    <w:rsid w:val="00A14962"/>
    <w:rsid w:val="00A156C0"/>
    <w:rsid w:val="00A15E2D"/>
    <w:rsid w:val="00A16687"/>
    <w:rsid w:val="00A1684E"/>
    <w:rsid w:val="00A16B21"/>
    <w:rsid w:val="00A1737C"/>
    <w:rsid w:val="00A2072F"/>
    <w:rsid w:val="00A2330D"/>
    <w:rsid w:val="00A24414"/>
    <w:rsid w:val="00A268FE"/>
    <w:rsid w:val="00A26BBE"/>
    <w:rsid w:val="00A30266"/>
    <w:rsid w:val="00A31307"/>
    <w:rsid w:val="00A31821"/>
    <w:rsid w:val="00A3284B"/>
    <w:rsid w:val="00A32EE8"/>
    <w:rsid w:val="00A35068"/>
    <w:rsid w:val="00A355F6"/>
    <w:rsid w:val="00A35830"/>
    <w:rsid w:val="00A408D8"/>
    <w:rsid w:val="00A40B51"/>
    <w:rsid w:val="00A413AD"/>
    <w:rsid w:val="00A42A60"/>
    <w:rsid w:val="00A458E9"/>
    <w:rsid w:val="00A46343"/>
    <w:rsid w:val="00A46FBE"/>
    <w:rsid w:val="00A47305"/>
    <w:rsid w:val="00A478C2"/>
    <w:rsid w:val="00A47EAD"/>
    <w:rsid w:val="00A47EE4"/>
    <w:rsid w:val="00A50998"/>
    <w:rsid w:val="00A51C0F"/>
    <w:rsid w:val="00A5388F"/>
    <w:rsid w:val="00A5540C"/>
    <w:rsid w:val="00A56241"/>
    <w:rsid w:val="00A61D27"/>
    <w:rsid w:val="00A634C3"/>
    <w:rsid w:val="00A66635"/>
    <w:rsid w:val="00A6667C"/>
    <w:rsid w:val="00A670B1"/>
    <w:rsid w:val="00A70023"/>
    <w:rsid w:val="00A7071A"/>
    <w:rsid w:val="00A70E45"/>
    <w:rsid w:val="00A71BCD"/>
    <w:rsid w:val="00A72468"/>
    <w:rsid w:val="00A734FB"/>
    <w:rsid w:val="00A739CE"/>
    <w:rsid w:val="00A7495E"/>
    <w:rsid w:val="00A74A5B"/>
    <w:rsid w:val="00A750A7"/>
    <w:rsid w:val="00A768BE"/>
    <w:rsid w:val="00A76EA4"/>
    <w:rsid w:val="00A77E27"/>
    <w:rsid w:val="00A80A26"/>
    <w:rsid w:val="00A81F76"/>
    <w:rsid w:val="00A8200F"/>
    <w:rsid w:val="00A820A3"/>
    <w:rsid w:val="00A828BA"/>
    <w:rsid w:val="00A82D6B"/>
    <w:rsid w:val="00A834B8"/>
    <w:rsid w:val="00A91705"/>
    <w:rsid w:val="00A9175C"/>
    <w:rsid w:val="00A933DC"/>
    <w:rsid w:val="00A941E1"/>
    <w:rsid w:val="00A94856"/>
    <w:rsid w:val="00A95628"/>
    <w:rsid w:val="00A96ACE"/>
    <w:rsid w:val="00A977FE"/>
    <w:rsid w:val="00AA0591"/>
    <w:rsid w:val="00AA214F"/>
    <w:rsid w:val="00AA2B5A"/>
    <w:rsid w:val="00AA425A"/>
    <w:rsid w:val="00AA4E24"/>
    <w:rsid w:val="00AA5088"/>
    <w:rsid w:val="00AA5476"/>
    <w:rsid w:val="00AA78AB"/>
    <w:rsid w:val="00AA7C40"/>
    <w:rsid w:val="00AB1572"/>
    <w:rsid w:val="00AB1836"/>
    <w:rsid w:val="00AB2EE2"/>
    <w:rsid w:val="00AB33C8"/>
    <w:rsid w:val="00AB376A"/>
    <w:rsid w:val="00AB3873"/>
    <w:rsid w:val="00AB3C26"/>
    <w:rsid w:val="00AB3D7B"/>
    <w:rsid w:val="00AB789C"/>
    <w:rsid w:val="00AB7ACD"/>
    <w:rsid w:val="00AC0011"/>
    <w:rsid w:val="00AC00E7"/>
    <w:rsid w:val="00AC199E"/>
    <w:rsid w:val="00AC1A15"/>
    <w:rsid w:val="00AC2AB9"/>
    <w:rsid w:val="00AC2CB3"/>
    <w:rsid w:val="00AC4C8E"/>
    <w:rsid w:val="00AC6929"/>
    <w:rsid w:val="00AC7B6D"/>
    <w:rsid w:val="00AD0132"/>
    <w:rsid w:val="00AD0A11"/>
    <w:rsid w:val="00AD12F3"/>
    <w:rsid w:val="00AD1C29"/>
    <w:rsid w:val="00AD2973"/>
    <w:rsid w:val="00AD2B3C"/>
    <w:rsid w:val="00AD37F3"/>
    <w:rsid w:val="00AD3886"/>
    <w:rsid w:val="00AD3CB8"/>
    <w:rsid w:val="00AD5779"/>
    <w:rsid w:val="00AD589F"/>
    <w:rsid w:val="00AD67F4"/>
    <w:rsid w:val="00AD77F4"/>
    <w:rsid w:val="00AE039F"/>
    <w:rsid w:val="00AE1D40"/>
    <w:rsid w:val="00AE2D50"/>
    <w:rsid w:val="00AE5383"/>
    <w:rsid w:val="00AE59F7"/>
    <w:rsid w:val="00AF1C17"/>
    <w:rsid w:val="00AF3085"/>
    <w:rsid w:val="00AF36E1"/>
    <w:rsid w:val="00AF6E3D"/>
    <w:rsid w:val="00B0021F"/>
    <w:rsid w:val="00B0048C"/>
    <w:rsid w:val="00B007CD"/>
    <w:rsid w:val="00B009BA"/>
    <w:rsid w:val="00B012E6"/>
    <w:rsid w:val="00B015BE"/>
    <w:rsid w:val="00B0411A"/>
    <w:rsid w:val="00B04B22"/>
    <w:rsid w:val="00B05204"/>
    <w:rsid w:val="00B05AD5"/>
    <w:rsid w:val="00B05C24"/>
    <w:rsid w:val="00B05EC0"/>
    <w:rsid w:val="00B10313"/>
    <w:rsid w:val="00B1045B"/>
    <w:rsid w:val="00B15463"/>
    <w:rsid w:val="00B160A5"/>
    <w:rsid w:val="00B16D5E"/>
    <w:rsid w:val="00B179C1"/>
    <w:rsid w:val="00B17E16"/>
    <w:rsid w:val="00B201DC"/>
    <w:rsid w:val="00B20534"/>
    <w:rsid w:val="00B2122B"/>
    <w:rsid w:val="00B2139F"/>
    <w:rsid w:val="00B21B78"/>
    <w:rsid w:val="00B22AD6"/>
    <w:rsid w:val="00B24185"/>
    <w:rsid w:val="00B24671"/>
    <w:rsid w:val="00B253B9"/>
    <w:rsid w:val="00B26ACF"/>
    <w:rsid w:val="00B276A7"/>
    <w:rsid w:val="00B27CA6"/>
    <w:rsid w:val="00B31C79"/>
    <w:rsid w:val="00B31D2C"/>
    <w:rsid w:val="00B32E39"/>
    <w:rsid w:val="00B332C0"/>
    <w:rsid w:val="00B3634A"/>
    <w:rsid w:val="00B40167"/>
    <w:rsid w:val="00B428A7"/>
    <w:rsid w:val="00B4528E"/>
    <w:rsid w:val="00B45A69"/>
    <w:rsid w:val="00B4612C"/>
    <w:rsid w:val="00B46EEE"/>
    <w:rsid w:val="00B50EC2"/>
    <w:rsid w:val="00B51ECE"/>
    <w:rsid w:val="00B534C4"/>
    <w:rsid w:val="00B53CFA"/>
    <w:rsid w:val="00B559E7"/>
    <w:rsid w:val="00B568A8"/>
    <w:rsid w:val="00B56D07"/>
    <w:rsid w:val="00B56E3E"/>
    <w:rsid w:val="00B57D8F"/>
    <w:rsid w:val="00B60D33"/>
    <w:rsid w:val="00B62856"/>
    <w:rsid w:val="00B63031"/>
    <w:rsid w:val="00B635A2"/>
    <w:rsid w:val="00B64CAA"/>
    <w:rsid w:val="00B64F72"/>
    <w:rsid w:val="00B6629C"/>
    <w:rsid w:val="00B715DD"/>
    <w:rsid w:val="00B716FE"/>
    <w:rsid w:val="00B7221F"/>
    <w:rsid w:val="00B737C2"/>
    <w:rsid w:val="00B73E78"/>
    <w:rsid w:val="00B778BE"/>
    <w:rsid w:val="00B80AA5"/>
    <w:rsid w:val="00B80EEC"/>
    <w:rsid w:val="00B8152D"/>
    <w:rsid w:val="00B82A40"/>
    <w:rsid w:val="00B8367B"/>
    <w:rsid w:val="00B839EA"/>
    <w:rsid w:val="00B84F90"/>
    <w:rsid w:val="00B85B18"/>
    <w:rsid w:val="00B90767"/>
    <w:rsid w:val="00B91DFD"/>
    <w:rsid w:val="00B92633"/>
    <w:rsid w:val="00B928FC"/>
    <w:rsid w:val="00B94D18"/>
    <w:rsid w:val="00B94D26"/>
    <w:rsid w:val="00B9506E"/>
    <w:rsid w:val="00B953CD"/>
    <w:rsid w:val="00B97B58"/>
    <w:rsid w:val="00BA16D3"/>
    <w:rsid w:val="00BA5746"/>
    <w:rsid w:val="00BA5E6B"/>
    <w:rsid w:val="00BA7212"/>
    <w:rsid w:val="00BA7FCA"/>
    <w:rsid w:val="00BB25B7"/>
    <w:rsid w:val="00BB2887"/>
    <w:rsid w:val="00BB521E"/>
    <w:rsid w:val="00BB55B8"/>
    <w:rsid w:val="00BB56B3"/>
    <w:rsid w:val="00BB6161"/>
    <w:rsid w:val="00BB712F"/>
    <w:rsid w:val="00BB774A"/>
    <w:rsid w:val="00BC03C2"/>
    <w:rsid w:val="00BC1C56"/>
    <w:rsid w:val="00BC2263"/>
    <w:rsid w:val="00BC2F45"/>
    <w:rsid w:val="00BC3521"/>
    <w:rsid w:val="00BC36D7"/>
    <w:rsid w:val="00BC3E5E"/>
    <w:rsid w:val="00BC4CEC"/>
    <w:rsid w:val="00BC628B"/>
    <w:rsid w:val="00BC7B10"/>
    <w:rsid w:val="00BC7FBA"/>
    <w:rsid w:val="00BD17DE"/>
    <w:rsid w:val="00BD26C3"/>
    <w:rsid w:val="00BD5564"/>
    <w:rsid w:val="00BD5F28"/>
    <w:rsid w:val="00BD5F43"/>
    <w:rsid w:val="00BE2159"/>
    <w:rsid w:val="00BE2B1D"/>
    <w:rsid w:val="00BE30C3"/>
    <w:rsid w:val="00BE36CA"/>
    <w:rsid w:val="00BE38B5"/>
    <w:rsid w:val="00BE41EA"/>
    <w:rsid w:val="00BE4549"/>
    <w:rsid w:val="00BE519C"/>
    <w:rsid w:val="00BF13DF"/>
    <w:rsid w:val="00BF1DCE"/>
    <w:rsid w:val="00BF3204"/>
    <w:rsid w:val="00BF5122"/>
    <w:rsid w:val="00BF525C"/>
    <w:rsid w:val="00BF56ED"/>
    <w:rsid w:val="00BF6943"/>
    <w:rsid w:val="00BF7A83"/>
    <w:rsid w:val="00BF7EB7"/>
    <w:rsid w:val="00C009DD"/>
    <w:rsid w:val="00C02A2C"/>
    <w:rsid w:val="00C03F66"/>
    <w:rsid w:val="00C052A5"/>
    <w:rsid w:val="00C06149"/>
    <w:rsid w:val="00C065DD"/>
    <w:rsid w:val="00C07F05"/>
    <w:rsid w:val="00C10478"/>
    <w:rsid w:val="00C111D4"/>
    <w:rsid w:val="00C1187A"/>
    <w:rsid w:val="00C1272A"/>
    <w:rsid w:val="00C12D7C"/>
    <w:rsid w:val="00C13824"/>
    <w:rsid w:val="00C13E96"/>
    <w:rsid w:val="00C14442"/>
    <w:rsid w:val="00C157DC"/>
    <w:rsid w:val="00C1623A"/>
    <w:rsid w:val="00C16342"/>
    <w:rsid w:val="00C16716"/>
    <w:rsid w:val="00C1725A"/>
    <w:rsid w:val="00C17370"/>
    <w:rsid w:val="00C17667"/>
    <w:rsid w:val="00C20169"/>
    <w:rsid w:val="00C21804"/>
    <w:rsid w:val="00C24538"/>
    <w:rsid w:val="00C2534E"/>
    <w:rsid w:val="00C27478"/>
    <w:rsid w:val="00C305E3"/>
    <w:rsid w:val="00C31DE3"/>
    <w:rsid w:val="00C3249A"/>
    <w:rsid w:val="00C32BB6"/>
    <w:rsid w:val="00C349EB"/>
    <w:rsid w:val="00C34D20"/>
    <w:rsid w:val="00C366BB"/>
    <w:rsid w:val="00C409F1"/>
    <w:rsid w:val="00C42767"/>
    <w:rsid w:val="00C43B62"/>
    <w:rsid w:val="00C44E57"/>
    <w:rsid w:val="00C45D09"/>
    <w:rsid w:val="00C464DA"/>
    <w:rsid w:val="00C46665"/>
    <w:rsid w:val="00C4694C"/>
    <w:rsid w:val="00C50969"/>
    <w:rsid w:val="00C514AF"/>
    <w:rsid w:val="00C52935"/>
    <w:rsid w:val="00C53405"/>
    <w:rsid w:val="00C54454"/>
    <w:rsid w:val="00C54C62"/>
    <w:rsid w:val="00C55D2D"/>
    <w:rsid w:val="00C55F2C"/>
    <w:rsid w:val="00C576C3"/>
    <w:rsid w:val="00C602FD"/>
    <w:rsid w:val="00C66122"/>
    <w:rsid w:val="00C7015D"/>
    <w:rsid w:val="00C7029C"/>
    <w:rsid w:val="00C70D39"/>
    <w:rsid w:val="00C7116D"/>
    <w:rsid w:val="00C74BDF"/>
    <w:rsid w:val="00C75EA0"/>
    <w:rsid w:val="00C76132"/>
    <w:rsid w:val="00C76B4B"/>
    <w:rsid w:val="00C771D7"/>
    <w:rsid w:val="00C8001E"/>
    <w:rsid w:val="00C81A8A"/>
    <w:rsid w:val="00C877C4"/>
    <w:rsid w:val="00C87EB7"/>
    <w:rsid w:val="00C916AB"/>
    <w:rsid w:val="00C91BF6"/>
    <w:rsid w:val="00C91CDE"/>
    <w:rsid w:val="00C955AE"/>
    <w:rsid w:val="00C96DA3"/>
    <w:rsid w:val="00C972CD"/>
    <w:rsid w:val="00CA1275"/>
    <w:rsid w:val="00CA372C"/>
    <w:rsid w:val="00CA3DDF"/>
    <w:rsid w:val="00CA48C3"/>
    <w:rsid w:val="00CA4F43"/>
    <w:rsid w:val="00CA61A3"/>
    <w:rsid w:val="00CA7327"/>
    <w:rsid w:val="00CA7456"/>
    <w:rsid w:val="00CA7AD4"/>
    <w:rsid w:val="00CA7DDC"/>
    <w:rsid w:val="00CB0959"/>
    <w:rsid w:val="00CB0BA0"/>
    <w:rsid w:val="00CB1544"/>
    <w:rsid w:val="00CB43DA"/>
    <w:rsid w:val="00CB4435"/>
    <w:rsid w:val="00CB466F"/>
    <w:rsid w:val="00CB4AE8"/>
    <w:rsid w:val="00CC0DBC"/>
    <w:rsid w:val="00CC13E8"/>
    <w:rsid w:val="00CC19B2"/>
    <w:rsid w:val="00CC2FE5"/>
    <w:rsid w:val="00CC3780"/>
    <w:rsid w:val="00CC5E04"/>
    <w:rsid w:val="00CC6F9E"/>
    <w:rsid w:val="00CC7896"/>
    <w:rsid w:val="00CC7F9B"/>
    <w:rsid w:val="00CD0E43"/>
    <w:rsid w:val="00CD2855"/>
    <w:rsid w:val="00CD38C2"/>
    <w:rsid w:val="00CD3EED"/>
    <w:rsid w:val="00CD4965"/>
    <w:rsid w:val="00CD4F6A"/>
    <w:rsid w:val="00CD5584"/>
    <w:rsid w:val="00CD67FA"/>
    <w:rsid w:val="00CD73D0"/>
    <w:rsid w:val="00CE107B"/>
    <w:rsid w:val="00CE1D12"/>
    <w:rsid w:val="00CE2A09"/>
    <w:rsid w:val="00CE3E3B"/>
    <w:rsid w:val="00CE4353"/>
    <w:rsid w:val="00CE4431"/>
    <w:rsid w:val="00CE6D90"/>
    <w:rsid w:val="00CE6FD3"/>
    <w:rsid w:val="00CF0619"/>
    <w:rsid w:val="00CF0D6F"/>
    <w:rsid w:val="00CF0F13"/>
    <w:rsid w:val="00CF16C5"/>
    <w:rsid w:val="00CF3B74"/>
    <w:rsid w:val="00CF3D0C"/>
    <w:rsid w:val="00CF4664"/>
    <w:rsid w:val="00CF52F4"/>
    <w:rsid w:val="00CF5E88"/>
    <w:rsid w:val="00CF61FC"/>
    <w:rsid w:val="00CF6318"/>
    <w:rsid w:val="00CF772E"/>
    <w:rsid w:val="00CF781D"/>
    <w:rsid w:val="00CF7B0D"/>
    <w:rsid w:val="00D002A5"/>
    <w:rsid w:val="00D00B9F"/>
    <w:rsid w:val="00D03117"/>
    <w:rsid w:val="00D03704"/>
    <w:rsid w:val="00D05BF9"/>
    <w:rsid w:val="00D11AB6"/>
    <w:rsid w:val="00D11D8C"/>
    <w:rsid w:val="00D12E59"/>
    <w:rsid w:val="00D134C9"/>
    <w:rsid w:val="00D153B7"/>
    <w:rsid w:val="00D15BA4"/>
    <w:rsid w:val="00D15D29"/>
    <w:rsid w:val="00D218A3"/>
    <w:rsid w:val="00D23F1A"/>
    <w:rsid w:val="00D24C77"/>
    <w:rsid w:val="00D27538"/>
    <w:rsid w:val="00D2789C"/>
    <w:rsid w:val="00D27C3D"/>
    <w:rsid w:val="00D306B1"/>
    <w:rsid w:val="00D30F4C"/>
    <w:rsid w:val="00D313D8"/>
    <w:rsid w:val="00D31738"/>
    <w:rsid w:val="00D31F55"/>
    <w:rsid w:val="00D35480"/>
    <w:rsid w:val="00D364BE"/>
    <w:rsid w:val="00D36D8D"/>
    <w:rsid w:val="00D4034D"/>
    <w:rsid w:val="00D43BDF"/>
    <w:rsid w:val="00D44DAD"/>
    <w:rsid w:val="00D44FCC"/>
    <w:rsid w:val="00D455CF"/>
    <w:rsid w:val="00D463A5"/>
    <w:rsid w:val="00D468A9"/>
    <w:rsid w:val="00D476AA"/>
    <w:rsid w:val="00D47D67"/>
    <w:rsid w:val="00D47FB8"/>
    <w:rsid w:val="00D511EA"/>
    <w:rsid w:val="00D51E8B"/>
    <w:rsid w:val="00D535DC"/>
    <w:rsid w:val="00D53623"/>
    <w:rsid w:val="00D53BA0"/>
    <w:rsid w:val="00D54115"/>
    <w:rsid w:val="00D56140"/>
    <w:rsid w:val="00D56585"/>
    <w:rsid w:val="00D56D94"/>
    <w:rsid w:val="00D623B3"/>
    <w:rsid w:val="00D63EB9"/>
    <w:rsid w:val="00D6460A"/>
    <w:rsid w:val="00D658B4"/>
    <w:rsid w:val="00D66A83"/>
    <w:rsid w:val="00D673E4"/>
    <w:rsid w:val="00D67797"/>
    <w:rsid w:val="00D712DF"/>
    <w:rsid w:val="00D7280D"/>
    <w:rsid w:val="00D73FC6"/>
    <w:rsid w:val="00D74120"/>
    <w:rsid w:val="00D75DC3"/>
    <w:rsid w:val="00D76505"/>
    <w:rsid w:val="00D776EA"/>
    <w:rsid w:val="00D8223F"/>
    <w:rsid w:val="00D827DF"/>
    <w:rsid w:val="00D82FB2"/>
    <w:rsid w:val="00D83C60"/>
    <w:rsid w:val="00D83CA1"/>
    <w:rsid w:val="00D841D2"/>
    <w:rsid w:val="00D8493D"/>
    <w:rsid w:val="00D9145E"/>
    <w:rsid w:val="00D94312"/>
    <w:rsid w:val="00D949B0"/>
    <w:rsid w:val="00DA1123"/>
    <w:rsid w:val="00DA1C27"/>
    <w:rsid w:val="00DA1EFA"/>
    <w:rsid w:val="00DA31FA"/>
    <w:rsid w:val="00DA565A"/>
    <w:rsid w:val="00DA5B0B"/>
    <w:rsid w:val="00DA5E6F"/>
    <w:rsid w:val="00DB011B"/>
    <w:rsid w:val="00DB7970"/>
    <w:rsid w:val="00DB7BC3"/>
    <w:rsid w:val="00DB7E23"/>
    <w:rsid w:val="00DC03F8"/>
    <w:rsid w:val="00DC2276"/>
    <w:rsid w:val="00DC22C9"/>
    <w:rsid w:val="00DC3A5C"/>
    <w:rsid w:val="00DC4489"/>
    <w:rsid w:val="00DC53AA"/>
    <w:rsid w:val="00DC5440"/>
    <w:rsid w:val="00DD1ACC"/>
    <w:rsid w:val="00DD2B27"/>
    <w:rsid w:val="00DD39DB"/>
    <w:rsid w:val="00DD3B9B"/>
    <w:rsid w:val="00DD4F55"/>
    <w:rsid w:val="00DD51C4"/>
    <w:rsid w:val="00DD714A"/>
    <w:rsid w:val="00DE29D9"/>
    <w:rsid w:val="00DE2D9E"/>
    <w:rsid w:val="00DE328B"/>
    <w:rsid w:val="00DE660D"/>
    <w:rsid w:val="00DF02C4"/>
    <w:rsid w:val="00DF06F8"/>
    <w:rsid w:val="00DF07A0"/>
    <w:rsid w:val="00DF0B25"/>
    <w:rsid w:val="00DF269B"/>
    <w:rsid w:val="00DF2790"/>
    <w:rsid w:val="00DF4613"/>
    <w:rsid w:val="00DF5355"/>
    <w:rsid w:val="00DF66E0"/>
    <w:rsid w:val="00DF6FA8"/>
    <w:rsid w:val="00DF78BA"/>
    <w:rsid w:val="00DF7F4A"/>
    <w:rsid w:val="00E002FC"/>
    <w:rsid w:val="00E025C7"/>
    <w:rsid w:val="00E04827"/>
    <w:rsid w:val="00E059A7"/>
    <w:rsid w:val="00E069F7"/>
    <w:rsid w:val="00E07D95"/>
    <w:rsid w:val="00E10200"/>
    <w:rsid w:val="00E10ED8"/>
    <w:rsid w:val="00E10EFB"/>
    <w:rsid w:val="00E11D46"/>
    <w:rsid w:val="00E1331D"/>
    <w:rsid w:val="00E14DB4"/>
    <w:rsid w:val="00E15975"/>
    <w:rsid w:val="00E16A96"/>
    <w:rsid w:val="00E20278"/>
    <w:rsid w:val="00E205F9"/>
    <w:rsid w:val="00E20A6C"/>
    <w:rsid w:val="00E221C0"/>
    <w:rsid w:val="00E22F19"/>
    <w:rsid w:val="00E2311C"/>
    <w:rsid w:val="00E24754"/>
    <w:rsid w:val="00E25094"/>
    <w:rsid w:val="00E25629"/>
    <w:rsid w:val="00E266E3"/>
    <w:rsid w:val="00E27C20"/>
    <w:rsid w:val="00E30FE9"/>
    <w:rsid w:val="00E314F6"/>
    <w:rsid w:val="00E32630"/>
    <w:rsid w:val="00E34426"/>
    <w:rsid w:val="00E35772"/>
    <w:rsid w:val="00E43543"/>
    <w:rsid w:val="00E43F3F"/>
    <w:rsid w:val="00E46D6B"/>
    <w:rsid w:val="00E47CFE"/>
    <w:rsid w:val="00E5148C"/>
    <w:rsid w:val="00E528CB"/>
    <w:rsid w:val="00E53297"/>
    <w:rsid w:val="00E537CD"/>
    <w:rsid w:val="00E53945"/>
    <w:rsid w:val="00E545D1"/>
    <w:rsid w:val="00E56273"/>
    <w:rsid w:val="00E60381"/>
    <w:rsid w:val="00E6111A"/>
    <w:rsid w:val="00E621C4"/>
    <w:rsid w:val="00E64809"/>
    <w:rsid w:val="00E6544E"/>
    <w:rsid w:val="00E703B8"/>
    <w:rsid w:val="00E70706"/>
    <w:rsid w:val="00E707D2"/>
    <w:rsid w:val="00E713AF"/>
    <w:rsid w:val="00E71470"/>
    <w:rsid w:val="00E71CDC"/>
    <w:rsid w:val="00E72720"/>
    <w:rsid w:val="00E72EA1"/>
    <w:rsid w:val="00E73151"/>
    <w:rsid w:val="00E7330E"/>
    <w:rsid w:val="00E74083"/>
    <w:rsid w:val="00E75C04"/>
    <w:rsid w:val="00E75D9A"/>
    <w:rsid w:val="00E75E5B"/>
    <w:rsid w:val="00E768EF"/>
    <w:rsid w:val="00E77826"/>
    <w:rsid w:val="00E80F36"/>
    <w:rsid w:val="00E821F5"/>
    <w:rsid w:val="00E831B4"/>
    <w:rsid w:val="00E857C6"/>
    <w:rsid w:val="00E86156"/>
    <w:rsid w:val="00E87443"/>
    <w:rsid w:val="00E90421"/>
    <w:rsid w:val="00E905B1"/>
    <w:rsid w:val="00E934A1"/>
    <w:rsid w:val="00E94507"/>
    <w:rsid w:val="00E95B21"/>
    <w:rsid w:val="00E9652C"/>
    <w:rsid w:val="00E96C90"/>
    <w:rsid w:val="00E97CFE"/>
    <w:rsid w:val="00E97EAB"/>
    <w:rsid w:val="00EA01BC"/>
    <w:rsid w:val="00EA034E"/>
    <w:rsid w:val="00EA0D99"/>
    <w:rsid w:val="00EA154D"/>
    <w:rsid w:val="00EA4072"/>
    <w:rsid w:val="00EA4B29"/>
    <w:rsid w:val="00EA50A5"/>
    <w:rsid w:val="00EA55AF"/>
    <w:rsid w:val="00EA55C7"/>
    <w:rsid w:val="00EA5BC1"/>
    <w:rsid w:val="00EA6ACA"/>
    <w:rsid w:val="00EA7BDF"/>
    <w:rsid w:val="00EA7E23"/>
    <w:rsid w:val="00EB0F15"/>
    <w:rsid w:val="00EB1747"/>
    <w:rsid w:val="00EB1D49"/>
    <w:rsid w:val="00EB2453"/>
    <w:rsid w:val="00EB3D92"/>
    <w:rsid w:val="00EB40A2"/>
    <w:rsid w:val="00EB54C6"/>
    <w:rsid w:val="00EB78C0"/>
    <w:rsid w:val="00EB7F0B"/>
    <w:rsid w:val="00EC0E15"/>
    <w:rsid w:val="00EC37A4"/>
    <w:rsid w:val="00EC447C"/>
    <w:rsid w:val="00EC5AD6"/>
    <w:rsid w:val="00EC5C46"/>
    <w:rsid w:val="00EC7326"/>
    <w:rsid w:val="00ED088A"/>
    <w:rsid w:val="00ED0B3C"/>
    <w:rsid w:val="00ED3BF5"/>
    <w:rsid w:val="00ED4B2E"/>
    <w:rsid w:val="00ED6778"/>
    <w:rsid w:val="00ED755D"/>
    <w:rsid w:val="00ED7657"/>
    <w:rsid w:val="00EE0311"/>
    <w:rsid w:val="00EE0CC1"/>
    <w:rsid w:val="00EE339A"/>
    <w:rsid w:val="00EE5222"/>
    <w:rsid w:val="00EE73CD"/>
    <w:rsid w:val="00EF07E4"/>
    <w:rsid w:val="00EF08AC"/>
    <w:rsid w:val="00EF0A97"/>
    <w:rsid w:val="00EF1D63"/>
    <w:rsid w:val="00EF290A"/>
    <w:rsid w:val="00EF4613"/>
    <w:rsid w:val="00EF6E83"/>
    <w:rsid w:val="00F00421"/>
    <w:rsid w:val="00F0078A"/>
    <w:rsid w:val="00F02CEF"/>
    <w:rsid w:val="00F0395E"/>
    <w:rsid w:val="00F05442"/>
    <w:rsid w:val="00F07349"/>
    <w:rsid w:val="00F07C6B"/>
    <w:rsid w:val="00F10536"/>
    <w:rsid w:val="00F10DAB"/>
    <w:rsid w:val="00F11037"/>
    <w:rsid w:val="00F131E0"/>
    <w:rsid w:val="00F14B1A"/>
    <w:rsid w:val="00F1707E"/>
    <w:rsid w:val="00F219F2"/>
    <w:rsid w:val="00F22509"/>
    <w:rsid w:val="00F23023"/>
    <w:rsid w:val="00F30C3B"/>
    <w:rsid w:val="00F30D0A"/>
    <w:rsid w:val="00F31561"/>
    <w:rsid w:val="00F32CB7"/>
    <w:rsid w:val="00F33710"/>
    <w:rsid w:val="00F34477"/>
    <w:rsid w:val="00F36357"/>
    <w:rsid w:val="00F37176"/>
    <w:rsid w:val="00F41218"/>
    <w:rsid w:val="00F4131C"/>
    <w:rsid w:val="00F41497"/>
    <w:rsid w:val="00F4304A"/>
    <w:rsid w:val="00F43B76"/>
    <w:rsid w:val="00F441BD"/>
    <w:rsid w:val="00F44DC3"/>
    <w:rsid w:val="00F50581"/>
    <w:rsid w:val="00F50804"/>
    <w:rsid w:val="00F53845"/>
    <w:rsid w:val="00F56156"/>
    <w:rsid w:val="00F5652F"/>
    <w:rsid w:val="00F613A6"/>
    <w:rsid w:val="00F614E4"/>
    <w:rsid w:val="00F6632E"/>
    <w:rsid w:val="00F67075"/>
    <w:rsid w:val="00F67B9A"/>
    <w:rsid w:val="00F71129"/>
    <w:rsid w:val="00F7264C"/>
    <w:rsid w:val="00F72D05"/>
    <w:rsid w:val="00F73890"/>
    <w:rsid w:val="00F73E08"/>
    <w:rsid w:val="00F75538"/>
    <w:rsid w:val="00F75B57"/>
    <w:rsid w:val="00F76032"/>
    <w:rsid w:val="00F7792C"/>
    <w:rsid w:val="00F77C43"/>
    <w:rsid w:val="00F8009B"/>
    <w:rsid w:val="00F800F1"/>
    <w:rsid w:val="00F80304"/>
    <w:rsid w:val="00F810DE"/>
    <w:rsid w:val="00F81AB7"/>
    <w:rsid w:val="00F82A4A"/>
    <w:rsid w:val="00F842A3"/>
    <w:rsid w:val="00F845AC"/>
    <w:rsid w:val="00F86557"/>
    <w:rsid w:val="00F90B1D"/>
    <w:rsid w:val="00F910D8"/>
    <w:rsid w:val="00F91A32"/>
    <w:rsid w:val="00F94D0D"/>
    <w:rsid w:val="00FA2167"/>
    <w:rsid w:val="00FA280D"/>
    <w:rsid w:val="00FA2F29"/>
    <w:rsid w:val="00FA4C80"/>
    <w:rsid w:val="00FA4D08"/>
    <w:rsid w:val="00FA4DA2"/>
    <w:rsid w:val="00FA63C9"/>
    <w:rsid w:val="00FA651D"/>
    <w:rsid w:val="00FA6C1F"/>
    <w:rsid w:val="00FA7261"/>
    <w:rsid w:val="00FB09DB"/>
    <w:rsid w:val="00FB1DD5"/>
    <w:rsid w:val="00FB27D1"/>
    <w:rsid w:val="00FB305F"/>
    <w:rsid w:val="00FB3F3C"/>
    <w:rsid w:val="00FB496F"/>
    <w:rsid w:val="00FB52A6"/>
    <w:rsid w:val="00FB5A25"/>
    <w:rsid w:val="00FB66CD"/>
    <w:rsid w:val="00FB6DFD"/>
    <w:rsid w:val="00FC1F27"/>
    <w:rsid w:val="00FC26BF"/>
    <w:rsid w:val="00FC2C5A"/>
    <w:rsid w:val="00FC54E0"/>
    <w:rsid w:val="00FD0C34"/>
    <w:rsid w:val="00FD1BDD"/>
    <w:rsid w:val="00FD341F"/>
    <w:rsid w:val="00FD3899"/>
    <w:rsid w:val="00FD4F56"/>
    <w:rsid w:val="00FD7B90"/>
    <w:rsid w:val="00FE1D9C"/>
    <w:rsid w:val="00FE1EDC"/>
    <w:rsid w:val="00FE238C"/>
    <w:rsid w:val="00FE3E23"/>
    <w:rsid w:val="00FE53A7"/>
    <w:rsid w:val="00FF0EE8"/>
    <w:rsid w:val="00FF2CDC"/>
    <w:rsid w:val="00FF57CF"/>
    <w:rsid w:val="00FF69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hapeDefaults>
    <o:shapedefaults v:ext="edit" spidmax="18433"/>
    <o:shapelayout v:ext="edit">
      <o:idmap v:ext="edit" data="1"/>
    </o:shapelayout>
  </w:shapeDefaults>
  <w:decimalSymbol w:val="."/>
  <w:listSeparator w:val=","/>
  <w14:docId w14:val="2268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AU"/>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u w:val="single"/>
    </w:rPr>
  </w:style>
  <w:style w:type="paragraph" w:styleId="Heading4">
    <w:name w:val="heading 4"/>
    <w:basedOn w:val="Normal"/>
    <w:next w:val="Normal"/>
    <w:link w:val="Heading4Char"/>
    <w:semiHidden/>
    <w:unhideWhenUsed/>
    <w:qFormat/>
    <w:rsid w:val="000663C8"/>
    <w:pPr>
      <w:keepNext/>
      <w:spacing w:before="240" w:after="60"/>
      <w:outlineLvl w:val="3"/>
    </w:pPr>
    <w:rPr>
      <w:rFonts w:ascii="Calibri" w:hAnsi="Calibri"/>
      <w:b/>
      <w:bCs/>
      <w:sz w:val="28"/>
      <w:szCs w:val="28"/>
    </w:rPr>
  </w:style>
  <w:style w:type="paragraph" w:styleId="Heading5">
    <w:name w:val="heading 5"/>
    <w:basedOn w:val="Normal"/>
    <w:next w:val="Normal"/>
    <w:qFormat/>
    <w:pPr>
      <w:keepNext/>
      <w:outlineLvl w:val="4"/>
    </w:pPr>
    <w:rPr>
      <w:rFonts w:ascii="Tahoma" w:hAnsi="Tahoma"/>
      <w:b/>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1440" w:hanging="1440"/>
      <w:jc w:val="center"/>
    </w:pPr>
    <w:rPr>
      <w:rFonts w:ascii="Arial" w:hAnsi="Arial"/>
      <w:b/>
      <w:sz w:val="22"/>
    </w:rPr>
  </w:style>
  <w:style w:type="paragraph" w:styleId="Header">
    <w:name w:val="header"/>
    <w:basedOn w:val="Normal"/>
    <w:pPr>
      <w:tabs>
        <w:tab w:val="center" w:pos="4153"/>
        <w:tab w:val="right" w:pos="8306"/>
      </w:tabs>
    </w:pPr>
    <w:rPr>
      <w:rFonts w:ascii="Times New Roman" w:hAnsi="Times New Roman"/>
    </w:rPr>
  </w:style>
  <w:style w:type="paragraph" w:customStyle="1" w:styleId="boldsubhd">
    <w:name w:val="bold subhd"/>
    <w:basedOn w:val="Normal"/>
    <w:rPr>
      <w:rFonts w:ascii="Univers 67 CondensedBold" w:hAnsi="Univers 67 CondensedBold"/>
    </w:rPr>
  </w:style>
  <w:style w:type="paragraph" w:customStyle="1" w:styleId="consubhd">
    <w:name w:val="con subhd"/>
    <w:basedOn w:val="Normal"/>
    <w:rPr>
      <w:rFonts w:ascii="Univers 57 Condensed" w:hAnsi="Univers 57 Condensed"/>
    </w:rPr>
  </w:style>
  <w:style w:type="paragraph" w:customStyle="1" w:styleId="subscript">
    <w:name w:val="subscript"/>
    <w:basedOn w:val="Normal"/>
    <w:rPr>
      <w:rFonts w:ascii="Univers 47 CondensedLight" w:hAnsi="Univers 47 CondensedLight"/>
      <w:position w:val="-4"/>
      <w:sz w:val="16"/>
    </w:rPr>
  </w:style>
  <w:style w:type="paragraph" w:styleId="BodyText">
    <w:name w:val="Body Text"/>
    <w:basedOn w:val="Normal"/>
    <w:pPr>
      <w:jc w:val="center"/>
    </w:pPr>
    <w:rPr>
      <w:rFonts w:ascii="Univers 47 CondensedLight" w:hAnsi="Univers 47 CondensedLight"/>
      <w:lang w:val="en-US"/>
    </w:rPr>
  </w:style>
  <w:style w:type="paragraph" w:styleId="BodyText2">
    <w:name w:val="Body Text 2"/>
    <w:basedOn w:val="Normal"/>
    <w:rPr>
      <w:rFonts w:ascii="Arial" w:hAnsi="Arial" w:cs="Arial"/>
      <w:b/>
      <w:bCs/>
    </w:rPr>
  </w:style>
  <w:style w:type="paragraph" w:customStyle="1" w:styleId="superscript">
    <w:name w:val="superscript"/>
    <w:basedOn w:val="Normal"/>
    <w:rPr>
      <w:rFonts w:ascii="Univers 47 CondensedLight" w:hAnsi="Univers 47 CondensedLight"/>
      <w:position w:val="4"/>
      <w:sz w:val="18"/>
    </w:rPr>
  </w:style>
  <w:style w:type="paragraph" w:styleId="BalloonText">
    <w:name w:val="Balloon Text"/>
    <w:basedOn w:val="Normal"/>
    <w:semiHidden/>
    <w:rsid w:val="00041FD5"/>
    <w:rPr>
      <w:rFonts w:ascii="Tahoma" w:hAnsi="Tahoma" w:cs="Tahoma"/>
      <w:sz w:val="16"/>
      <w:szCs w:val="16"/>
    </w:rPr>
  </w:style>
  <w:style w:type="paragraph" w:styleId="Footer">
    <w:name w:val="footer"/>
    <w:basedOn w:val="Normal"/>
    <w:rsid w:val="00563118"/>
    <w:pPr>
      <w:tabs>
        <w:tab w:val="center" w:pos="4153"/>
        <w:tab w:val="right" w:pos="8306"/>
      </w:tabs>
    </w:pPr>
  </w:style>
  <w:style w:type="character" w:styleId="PageNumber">
    <w:name w:val="page number"/>
    <w:basedOn w:val="DefaultParagraphFont"/>
    <w:rsid w:val="002811A9"/>
  </w:style>
  <w:style w:type="paragraph" w:customStyle="1" w:styleId="Default">
    <w:name w:val="Default"/>
    <w:rsid w:val="00024F28"/>
    <w:pPr>
      <w:autoSpaceDE w:val="0"/>
      <w:autoSpaceDN w:val="0"/>
      <w:adjustRightInd w:val="0"/>
    </w:pPr>
    <w:rPr>
      <w:rFonts w:ascii="Times New Roman" w:hAnsi="Times New Roman"/>
      <w:color w:val="000000"/>
      <w:sz w:val="24"/>
      <w:szCs w:val="24"/>
    </w:rPr>
  </w:style>
  <w:style w:type="character" w:styleId="CommentReference">
    <w:name w:val="annotation reference"/>
    <w:rsid w:val="00863F57"/>
    <w:rPr>
      <w:sz w:val="16"/>
      <w:szCs w:val="16"/>
    </w:rPr>
  </w:style>
  <w:style w:type="paragraph" w:styleId="CommentText">
    <w:name w:val="annotation text"/>
    <w:basedOn w:val="Normal"/>
    <w:link w:val="CommentTextChar"/>
    <w:rsid w:val="00863F57"/>
    <w:rPr>
      <w:sz w:val="20"/>
    </w:rPr>
  </w:style>
  <w:style w:type="paragraph" w:styleId="CommentSubject">
    <w:name w:val="annotation subject"/>
    <w:basedOn w:val="CommentText"/>
    <w:next w:val="CommentText"/>
    <w:semiHidden/>
    <w:rsid w:val="00863F57"/>
    <w:rPr>
      <w:b/>
      <w:bCs/>
    </w:rPr>
  </w:style>
  <w:style w:type="table" w:styleId="TableGrid">
    <w:name w:val="Table Grid"/>
    <w:basedOn w:val="TableNormal"/>
    <w:uiPriority w:val="59"/>
    <w:rsid w:val="004D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9">
    <w:name w:val="Text:Ti9"/>
    <w:basedOn w:val="Normal"/>
    <w:link w:val="TextTi9Char"/>
    <w:rsid w:val="00F56156"/>
    <w:rPr>
      <w:rFonts w:ascii="Times New Roman" w:hAnsi="Times New Roman"/>
      <w:sz w:val="18"/>
      <w:lang w:val="en-US"/>
    </w:rPr>
  </w:style>
  <w:style w:type="paragraph" w:customStyle="1" w:styleId="footnote">
    <w:name w:val="footnote"/>
    <w:basedOn w:val="Normal"/>
    <w:rsid w:val="00F56156"/>
    <w:rPr>
      <w:rFonts w:ascii="Times New Roman" w:hAnsi="Times New Roman"/>
      <w:sz w:val="20"/>
      <w:lang w:val="en-US"/>
    </w:rPr>
  </w:style>
  <w:style w:type="paragraph" w:customStyle="1" w:styleId="footnote1">
    <w:name w:val="footnote 1"/>
    <w:basedOn w:val="footnote"/>
    <w:next w:val="footnote"/>
    <w:rsid w:val="00F56156"/>
    <w:pPr>
      <w:spacing w:before="60"/>
      <w:jc w:val="both"/>
    </w:pPr>
  </w:style>
  <w:style w:type="paragraph" w:customStyle="1" w:styleId="HdTab1">
    <w:name w:val="Hd:Tab:1"/>
    <w:basedOn w:val="Normal"/>
    <w:next w:val="Normal"/>
    <w:link w:val="HdTab1Char3"/>
    <w:qFormat/>
    <w:rsid w:val="00F56156"/>
    <w:pPr>
      <w:keepNext/>
      <w:spacing w:before="120" w:after="120"/>
      <w:ind w:left="1531" w:hanging="1531"/>
    </w:pPr>
    <w:rPr>
      <w:rFonts w:ascii="Times New Roman" w:hAnsi="Times New Roman"/>
      <w:b/>
      <w:lang w:val="x-none" w:eastAsia="x-none"/>
    </w:rPr>
  </w:style>
  <w:style w:type="paragraph" w:customStyle="1" w:styleId="Table">
    <w:name w:val="Table"/>
    <w:basedOn w:val="Normal"/>
    <w:rsid w:val="00F56156"/>
    <w:pPr>
      <w:tabs>
        <w:tab w:val="left" w:pos="360"/>
      </w:tabs>
      <w:spacing w:before="40" w:after="20" w:line="260" w:lineRule="atLeast"/>
      <w:jc w:val="center"/>
    </w:pPr>
    <w:rPr>
      <w:rFonts w:ascii="Times New Roman" w:hAnsi="Times New Roman"/>
      <w:sz w:val="20"/>
      <w:lang w:val="en-US"/>
    </w:rPr>
  </w:style>
  <w:style w:type="paragraph" w:customStyle="1" w:styleId="EntryTextTi9">
    <w:name w:val="EntryText:Ti9"/>
    <w:basedOn w:val="Normal"/>
    <w:rsid w:val="00F56156"/>
    <w:pPr>
      <w:tabs>
        <w:tab w:val="left" w:pos="284"/>
      </w:tabs>
      <w:spacing w:before="40" w:after="40"/>
    </w:pPr>
    <w:rPr>
      <w:rFonts w:ascii="Times New Roman" w:hAnsi="Times New Roman"/>
      <w:lang w:val="en-US"/>
    </w:rPr>
  </w:style>
  <w:style w:type="paragraph" w:customStyle="1" w:styleId="TextTi11CharChar">
    <w:name w:val="Text:Ti11 Char Char"/>
    <w:basedOn w:val="Normal"/>
    <w:rsid w:val="00F56156"/>
    <w:pPr>
      <w:spacing w:after="170" w:line="260" w:lineRule="atLeast"/>
      <w:jc w:val="both"/>
    </w:pPr>
    <w:rPr>
      <w:rFonts w:ascii="Times New Roman" w:hAnsi="Times New Roman"/>
      <w:lang w:val="en-US"/>
    </w:rPr>
  </w:style>
  <w:style w:type="character" w:customStyle="1" w:styleId="footnote1Char1">
    <w:name w:val="footnote 1 Char1"/>
    <w:rsid w:val="00F56156"/>
    <w:rPr>
      <w:lang w:val="en-US" w:eastAsia="en-US" w:bidi="ar-SA"/>
    </w:rPr>
  </w:style>
  <w:style w:type="paragraph" w:customStyle="1" w:styleId="HdFig1">
    <w:name w:val="Hd:Fig:1"/>
    <w:basedOn w:val="Normal"/>
    <w:next w:val="Normal"/>
    <w:rsid w:val="00416E07"/>
    <w:pPr>
      <w:keepNext/>
      <w:spacing w:before="120" w:after="120"/>
      <w:ind w:left="1531" w:hanging="1531"/>
    </w:pPr>
    <w:rPr>
      <w:rFonts w:ascii="Times New Roman" w:hAnsi="Times New Roman"/>
      <w:b/>
      <w:lang w:val="en-US"/>
    </w:rPr>
  </w:style>
  <w:style w:type="character" w:styleId="FollowedHyperlink">
    <w:name w:val="FollowedHyperlink"/>
    <w:rsid w:val="00732AD4"/>
    <w:rPr>
      <w:color w:val="800080"/>
      <w:u w:val="single"/>
    </w:rPr>
  </w:style>
  <w:style w:type="character" w:styleId="EndnoteReference">
    <w:name w:val="endnote reference"/>
    <w:rsid w:val="005A07D0"/>
    <w:rPr>
      <w:rFonts w:ascii="Times New Roman" w:hAnsi="Times New Roman" w:cs="Arial"/>
      <w:vertAlign w:val="superscript"/>
    </w:rPr>
  </w:style>
  <w:style w:type="paragraph" w:styleId="EndnoteText">
    <w:name w:val="endnote text"/>
    <w:link w:val="EndnoteTextChar"/>
    <w:rsid w:val="00A2072F"/>
    <w:pPr>
      <w:spacing w:after="240"/>
      <w:ind w:left="461" w:right="1440" w:hanging="461"/>
    </w:pPr>
    <w:rPr>
      <w:rFonts w:ascii="Times New Roman" w:hAnsi="Times New Roman"/>
      <w:sz w:val="24"/>
    </w:rPr>
  </w:style>
  <w:style w:type="character" w:customStyle="1" w:styleId="EndnoteTextChar">
    <w:name w:val="Endnote Text Char"/>
    <w:link w:val="EndnoteText"/>
    <w:rsid w:val="00A2072F"/>
    <w:rPr>
      <w:rFonts w:ascii="Times New Roman" w:hAnsi="Times New Roman"/>
      <w:sz w:val="24"/>
      <w:lang w:val="en-US" w:eastAsia="en-US" w:bidi="ar-SA"/>
    </w:rPr>
  </w:style>
  <w:style w:type="character" w:customStyle="1" w:styleId="TableText9">
    <w:name w:val="TableText 9"/>
    <w:rsid w:val="00A2072F"/>
    <w:rPr>
      <w:rFonts w:ascii="Times New Roman" w:hAnsi="Times New Roman"/>
      <w:sz w:val="18"/>
    </w:rPr>
  </w:style>
  <w:style w:type="paragraph" w:customStyle="1" w:styleId="C-BodyText">
    <w:name w:val="C-Body Text"/>
    <w:link w:val="C-BodyTextChar1"/>
    <w:rsid w:val="00A2072F"/>
    <w:pPr>
      <w:spacing w:before="120" w:after="120" w:line="280" w:lineRule="atLeast"/>
    </w:pPr>
    <w:rPr>
      <w:rFonts w:ascii="Times New Roman" w:hAnsi="Times New Roman"/>
      <w:sz w:val="24"/>
    </w:rPr>
  </w:style>
  <w:style w:type="character" w:customStyle="1" w:styleId="C-BodyTextChar1">
    <w:name w:val="C-Body Text Char1"/>
    <w:link w:val="C-BodyText"/>
    <w:rsid w:val="00A2072F"/>
    <w:rPr>
      <w:rFonts w:ascii="Times New Roman" w:hAnsi="Times New Roman"/>
      <w:sz w:val="24"/>
      <w:lang w:val="en-US" w:eastAsia="en-US" w:bidi="ar-SA"/>
    </w:rPr>
  </w:style>
  <w:style w:type="paragraph" w:styleId="PlainText">
    <w:name w:val="Plain Text"/>
    <w:basedOn w:val="Normal"/>
    <w:link w:val="PlainTextChar"/>
    <w:uiPriority w:val="99"/>
    <w:rsid w:val="00467D27"/>
    <w:rPr>
      <w:rFonts w:ascii="Courier New" w:hAnsi="Courier New"/>
      <w:sz w:val="20"/>
      <w:szCs w:val="24"/>
      <w:lang w:val="x-none" w:eastAsia="x-none"/>
    </w:rPr>
  </w:style>
  <w:style w:type="character" w:customStyle="1" w:styleId="PlainTextChar">
    <w:name w:val="Plain Text Char"/>
    <w:link w:val="PlainText"/>
    <w:uiPriority w:val="99"/>
    <w:rsid w:val="00467D27"/>
    <w:rPr>
      <w:rFonts w:ascii="Courier New" w:hAnsi="Courier New"/>
      <w:szCs w:val="24"/>
    </w:rPr>
  </w:style>
  <w:style w:type="paragraph" w:customStyle="1" w:styleId="TableHeader">
    <w:name w:val="TableHeader"/>
    <w:basedOn w:val="Normal"/>
    <w:rsid w:val="00733AF2"/>
    <w:pPr>
      <w:suppressAutoHyphens/>
      <w:spacing w:before="60" w:after="60"/>
    </w:pPr>
    <w:rPr>
      <w:rFonts w:ascii="Times New Roman" w:hAnsi="Times New Roman"/>
      <w:b/>
      <w:sz w:val="22"/>
      <w:szCs w:val="22"/>
      <w:lang w:val="en-GB"/>
    </w:rPr>
  </w:style>
  <w:style w:type="paragraph" w:customStyle="1" w:styleId="TextTi11">
    <w:name w:val="Text:Ti11"/>
    <w:basedOn w:val="Normal"/>
    <w:link w:val="TextTi11Char"/>
    <w:rsid w:val="00733AF2"/>
    <w:pPr>
      <w:spacing w:after="170" w:line="260" w:lineRule="atLeast"/>
      <w:jc w:val="both"/>
    </w:pPr>
    <w:rPr>
      <w:rFonts w:ascii="Times New Roman" w:hAnsi="Times New Roman"/>
      <w:lang w:val="x-none" w:eastAsia="x-none"/>
    </w:rPr>
  </w:style>
  <w:style w:type="character" w:customStyle="1" w:styleId="TextTi11Char">
    <w:name w:val="Text:Ti11 Char"/>
    <w:link w:val="TextTi11"/>
    <w:rsid w:val="00733AF2"/>
    <w:rPr>
      <w:rFonts w:ascii="Times New Roman" w:hAnsi="Times New Roman"/>
      <w:sz w:val="24"/>
    </w:rPr>
  </w:style>
  <w:style w:type="character" w:customStyle="1" w:styleId="HdTab1Char3">
    <w:name w:val="Hd:Tab:1 Char3"/>
    <w:link w:val="HdTab1"/>
    <w:rsid w:val="00841126"/>
    <w:rPr>
      <w:rFonts w:ascii="Times New Roman" w:hAnsi="Times New Roman"/>
      <w:b/>
      <w:sz w:val="24"/>
    </w:rPr>
  </w:style>
  <w:style w:type="paragraph" w:styleId="NormalWeb">
    <w:name w:val="Normal (Web)"/>
    <w:basedOn w:val="Normal"/>
    <w:uiPriority w:val="99"/>
    <w:unhideWhenUsed/>
    <w:rsid w:val="00633679"/>
    <w:pPr>
      <w:spacing w:before="100" w:beforeAutospacing="1" w:after="100" w:afterAutospacing="1"/>
    </w:pPr>
    <w:rPr>
      <w:rFonts w:ascii="Times New Roman" w:hAnsi="Times New Roman"/>
      <w:szCs w:val="24"/>
      <w:lang w:val="en-US"/>
    </w:rPr>
  </w:style>
  <w:style w:type="character" w:customStyle="1" w:styleId="C-BodyTextChar">
    <w:name w:val="C-Body Text Char"/>
    <w:rsid w:val="006A7040"/>
    <w:rPr>
      <w:sz w:val="24"/>
      <w:lang w:val="en-US" w:eastAsia="en-US" w:bidi="ar-SA"/>
    </w:rPr>
  </w:style>
  <w:style w:type="table" w:customStyle="1" w:styleId="TableGrid1">
    <w:name w:val="Table Grid1"/>
    <w:basedOn w:val="TableNormal"/>
    <w:next w:val="TableGrid"/>
    <w:uiPriority w:val="59"/>
    <w:rsid w:val="009350E0"/>
    <w:pPr>
      <w:jc w:val="both"/>
    </w:pPr>
    <w:rPr>
      <w:rFonts w:ascii="Times New Roman" w:eastAsia="Calibr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1D36"/>
    <w:pPr>
      <w:jc w:val="both"/>
    </w:pPr>
    <w:rPr>
      <w:rFonts w:ascii="Times New Roman" w:eastAsia="Calibr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F2C"/>
    <w:rPr>
      <w:color w:val="0000FF"/>
      <w:u w:val="single"/>
    </w:rPr>
  </w:style>
  <w:style w:type="paragraph" w:styleId="Revision">
    <w:name w:val="Revision"/>
    <w:hidden/>
    <w:uiPriority w:val="99"/>
    <w:semiHidden/>
    <w:rsid w:val="00CE6FD3"/>
    <w:rPr>
      <w:sz w:val="24"/>
      <w:lang w:val="en-AU"/>
    </w:rPr>
  </w:style>
  <w:style w:type="paragraph" w:customStyle="1" w:styleId="TextTi12">
    <w:name w:val="Text:Ti12"/>
    <w:basedOn w:val="Normal"/>
    <w:link w:val="TextTi12Char4"/>
    <w:qFormat/>
    <w:rsid w:val="002A2732"/>
    <w:pPr>
      <w:spacing w:after="170" w:line="260" w:lineRule="atLeast"/>
      <w:jc w:val="both"/>
    </w:pPr>
    <w:rPr>
      <w:rFonts w:ascii="Times New Roman" w:hAnsi="Times New Roman"/>
      <w:lang w:val="x-none" w:eastAsia="x-none"/>
    </w:rPr>
  </w:style>
  <w:style w:type="character" w:customStyle="1" w:styleId="TextTi12Char4">
    <w:name w:val="Text:Ti12 Char4"/>
    <w:link w:val="TextTi12"/>
    <w:rsid w:val="002A2732"/>
    <w:rPr>
      <w:rFonts w:ascii="Times New Roman" w:hAnsi="Times New Roman"/>
      <w:sz w:val="24"/>
      <w:lang w:val="x-none" w:eastAsia="x-none"/>
    </w:rPr>
  </w:style>
  <w:style w:type="character" w:customStyle="1" w:styleId="CommentTextChar">
    <w:name w:val="Comment Text Char"/>
    <w:link w:val="CommentText"/>
    <w:rsid w:val="0018432E"/>
    <w:rPr>
      <w:lang w:eastAsia="en-US"/>
    </w:rPr>
  </w:style>
  <w:style w:type="paragraph" w:customStyle="1" w:styleId="SAS7">
    <w:name w:val="SAS:7"/>
    <w:basedOn w:val="Normal"/>
    <w:rsid w:val="0018432E"/>
    <w:pPr>
      <w:spacing w:line="130" w:lineRule="exact"/>
    </w:pPr>
    <w:rPr>
      <w:rFonts w:ascii="Courier New" w:hAnsi="Courier New"/>
      <w:spacing w:val="-10"/>
      <w:sz w:val="14"/>
      <w:lang w:val="en-US"/>
    </w:rPr>
  </w:style>
  <w:style w:type="character" w:customStyle="1" w:styleId="Heading4Char">
    <w:name w:val="Heading 4 Char"/>
    <w:link w:val="Heading4"/>
    <w:semiHidden/>
    <w:rsid w:val="000663C8"/>
    <w:rPr>
      <w:rFonts w:ascii="Calibri" w:eastAsia="Times New Roman" w:hAnsi="Calibri" w:cs="Times New Roman"/>
      <w:b/>
      <w:bCs/>
      <w:sz w:val="28"/>
      <w:szCs w:val="28"/>
      <w:lang w:eastAsia="en-US"/>
    </w:rPr>
  </w:style>
  <w:style w:type="paragraph" w:customStyle="1" w:styleId="Hd2">
    <w:name w:val="Hd:2"/>
    <w:basedOn w:val="Normal"/>
    <w:next w:val="TextTi11"/>
    <w:rsid w:val="000663C8"/>
    <w:pPr>
      <w:keepNext/>
      <w:spacing w:before="120" w:after="60"/>
      <w:ind w:left="1138" w:hanging="1138"/>
    </w:pPr>
    <w:rPr>
      <w:rFonts w:ascii="Times New Roman" w:hAnsi="Times New Roman"/>
      <w:b/>
      <w:sz w:val="26"/>
      <w:lang w:val="en-US"/>
    </w:rPr>
  </w:style>
  <w:style w:type="paragraph" w:customStyle="1" w:styleId="Hd3">
    <w:name w:val="Hd:3"/>
    <w:basedOn w:val="Normal"/>
    <w:next w:val="TextTi11"/>
    <w:rsid w:val="00D53BA0"/>
    <w:pPr>
      <w:keepNext/>
      <w:spacing w:before="120" w:after="60"/>
      <w:ind w:left="1138" w:hanging="1138"/>
    </w:pPr>
    <w:rPr>
      <w:rFonts w:ascii="Times New Roman" w:hAnsi="Times New Roman"/>
      <w:b/>
      <w:lang w:val="en-US"/>
    </w:rPr>
  </w:style>
  <w:style w:type="paragraph" w:styleId="Caption">
    <w:name w:val="caption"/>
    <w:basedOn w:val="Normal"/>
    <w:next w:val="Normal"/>
    <w:unhideWhenUsed/>
    <w:qFormat/>
    <w:rsid w:val="00121F89"/>
    <w:pPr>
      <w:tabs>
        <w:tab w:val="left" w:pos="567"/>
      </w:tabs>
      <w:spacing w:line="260" w:lineRule="exact"/>
    </w:pPr>
    <w:rPr>
      <w:rFonts w:ascii="Times New Roman" w:hAnsi="Times New Roman"/>
      <w:b/>
      <w:bCs/>
      <w:sz w:val="20"/>
      <w:lang w:val="en-GB"/>
    </w:rPr>
  </w:style>
  <w:style w:type="character" w:customStyle="1" w:styleId="TextTi9Char">
    <w:name w:val="Text:Ti9 Char"/>
    <w:link w:val="TextTi9"/>
    <w:rsid w:val="004B5445"/>
    <w:rPr>
      <w:rFonts w:ascii="Times New Roman" w:hAnsi="Times New Roman"/>
      <w:sz w:val="18"/>
      <w:lang w:val="en-US" w:eastAsia="en-US"/>
    </w:rPr>
  </w:style>
  <w:style w:type="paragraph" w:styleId="TOC7">
    <w:name w:val="toc 7"/>
    <w:basedOn w:val="TOC4"/>
    <w:next w:val="TextTi11"/>
    <w:rsid w:val="00BB6161"/>
    <w:pPr>
      <w:tabs>
        <w:tab w:val="left" w:pos="2552"/>
        <w:tab w:val="right" w:leader="dot" w:pos="8641"/>
      </w:tabs>
      <w:ind w:left="2608" w:right="567" w:hanging="2211"/>
    </w:pPr>
    <w:rPr>
      <w:rFonts w:ascii="Times New Roman" w:hAnsi="Times New Roman"/>
      <w:noProof/>
      <w:lang w:val="en-US"/>
    </w:rPr>
  </w:style>
  <w:style w:type="paragraph" w:styleId="TOC4">
    <w:name w:val="toc 4"/>
    <w:basedOn w:val="Normal"/>
    <w:next w:val="Normal"/>
    <w:autoRedefine/>
    <w:rsid w:val="00BB6161"/>
    <w:pPr>
      <w:ind w:left="720"/>
    </w:pPr>
  </w:style>
  <w:style w:type="paragraph" w:styleId="ListParagraph">
    <w:name w:val="List Paragraph"/>
    <w:basedOn w:val="Normal"/>
    <w:uiPriority w:val="34"/>
    <w:qFormat/>
    <w:rsid w:val="00F4131C"/>
    <w:pPr>
      <w:ind w:left="720"/>
      <w:contextualSpacing/>
    </w:pPr>
    <w:rPr>
      <w:rFonts w:ascii="Times New Roman" w:hAnsi="Times New Roman"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AU"/>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u w:val="single"/>
    </w:rPr>
  </w:style>
  <w:style w:type="paragraph" w:styleId="Heading4">
    <w:name w:val="heading 4"/>
    <w:basedOn w:val="Normal"/>
    <w:next w:val="Normal"/>
    <w:link w:val="Heading4Char"/>
    <w:semiHidden/>
    <w:unhideWhenUsed/>
    <w:qFormat/>
    <w:rsid w:val="000663C8"/>
    <w:pPr>
      <w:keepNext/>
      <w:spacing w:before="240" w:after="60"/>
      <w:outlineLvl w:val="3"/>
    </w:pPr>
    <w:rPr>
      <w:rFonts w:ascii="Calibri" w:hAnsi="Calibri"/>
      <w:b/>
      <w:bCs/>
      <w:sz w:val="28"/>
      <w:szCs w:val="28"/>
    </w:rPr>
  </w:style>
  <w:style w:type="paragraph" w:styleId="Heading5">
    <w:name w:val="heading 5"/>
    <w:basedOn w:val="Normal"/>
    <w:next w:val="Normal"/>
    <w:qFormat/>
    <w:pPr>
      <w:keepNext/>
      <w:outlineLvl w:val="4"/>
    </w:pPr>
    <w:rPr>
      <w:rFonts w:ascii="Tahoma" w:hAnsi="Tahoma"/>
      <w:b/>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1440" w:hanging="1440"/>
      <w:jc w:val="center"/>
    </w:pPr>
    <w:rPr>
      <w:rFonts w:ascii="Arial" w:hAnsi="Arial"/>
      <w:b/>
      <w:sz w:val="22"/>
    </w:rPr>
  </w:style>
  <w:style w:type="paragraph" w:styleId="Header">
    <w:name w:val="header"/>
    <w:basedOn w:val="Normal"/>
    <w:pPr>
      <w:tabs>
        <w:tab w:val="center" w:pos="4153"/>
        <w:tab w:val="right" w:pos="8306"/>
      </w:tabs>
    </w:pPr>
    <w:rPr>
      <w:rFonts w:ascii="Times New Roman" w:hAnsi="Times New Roman"/>
    </w:rPr>
  </w:style>
  <w:style w:type="paragraph" w:customStyle="1" w:styleId="boldsubhd">
    <w:name w:val="bold subhd"/>
    <w:basedOn w:val="Normal"/>
    <w:rPr>
      <w:rFonts w:ascii="Univers 67 CondensedBold" w:hAnsi="Univers 67 CondensedBold"/>
    </w:rPr>
  </w:style>
  <w:style w:type="paragraph" w:customStyle="1" w:styleId="consubhd">
    <w:name w:val="con subhd"/>
    <w:basedOn w:val="Normal"/>
    <w:rPr>
      <w:rFonts w:ascii="Univers 57 Condensed" w:hAnsi="Univers 57 Condensed"/>
    </w:rPr>
  </w:style>
  <w:style w:type="paragraph" w:customStyle="1" w:styleId="subscript">
    <w:name w:val="subscript"/>
    <w:basedOn w:val="Normal"/>
    <w:rPr>
      <w:rFonts w:ascii="Univers 47 CondensedLight" w:hAnsi="Univers 47 CondensedLight"/>
      <w:position w:val="-4"/>
      <w:sz w:val="16"/>
    </w:rPr>
  </w:style>
  <w:style w:type="paragraph" w:styleId="BodyText">
    <w:name w:val="Body Text"/>
    <w:basedOn w:val="Normal"/>
    <w:pPr>
      <w:jc w:val="center"/>
    </w:pPr>
    <w:rPr>
      <w:rFonts w:ascii="Univers 47 CondensedLight" w:hAnsi="Univers 47 CondensedLight"/>
      <w:lang w:val="en-US"/>
    </w:rPr>
  </w:style>
  <w:style w:type="paragraph" w:styleId="BodyText2">
    <w:name w:val="Body Text 2"/>
    <w:basedOn w:val="Normal"/>
    <w:rPr>
      <w:rFonts w:ascii="Arial" w:hAnsi="Arial" w:cs="Arial"/>
      <w:b/>
      <w:bCs/>
    </w:rPr>
  </w:style>
  <w:style w:type="paragraph" w:customStyle="1" w:styleId="superscript">
    <w:name w:val="superscript"/>
    <w:basedOn w:val="Normal"/>
    <w:rPr>
      <w:rFonts w:ascii="Univers 47 CondensedLight" w:hAnsi="Univers 47 CondensedLight"/>
      <w:position w:val="4"/>
      <w:sz w:val="18"/>
    </w:rPr>
  </w:style>
  <w:style w:type="paragraph" w:styleId="BalloonText">
    <w:name w:val="Balloon Text"/>
    <w:basedOn w:val="Normal"/>
    <w:semiHidden/>
    <w:rsid w:val="00041FD5"/>
    <w:rPr>
      <w:rFonts w:ascii="Tahoma" w:hAnsi="Tahoma" w:cs="Tahoma"/>
      <w:sz w:val="16"/>
      <w:szCs w:val="16"/>
    </w:rPr>
  </w:style>
  <w:style w:type="paragraph" w:styleId="Footer">
    <w:name w:val="footer"/>
    <w:basedOn w:val="Normal"/>
    <w:rsid w:val="00563118"/>
    <w:pPr>
      <w:tabs>
        <w:tab w:val="center" w:pos="4153"/>
        <w:tab w:val="right" w:pos="8306"/>
      </w:tabs>
    </w:pPr>
  </w:style>
  <w:style w:type="character" w:styleId="PageNumber">
    <w:name w:val="page number"/>
    <w:basedOn w:val="DefaultParagraphFont"/>
    <w:rsid w:val="002811A9"/>
  </w:style>
  <w:style w:type="paragraph" w:customStyle="1" w:styleId="Default">
    <w:name w:val="Default"/>
    <w:rsid w:val="00024F28"/>
    <w:pPr>
      <w:autoSpaceDE w:val="0"/>
      <w:autoSpaceDN w:val="0"/>
      <w:adjustRightInd w:val="0"/>
    </w:pPr>
    <w:rPr>
      <w:rFonts w:ascii="Times New Roman" w:hAnsi="Times New Roman"/>
      <w:color w:val="000000"/>
      <w:sz w:val="24"/>
      <w:szCs w:val="24"/>
    </w:rPr>
  </w:style>
  <w:style w:type="character" w:styleId="CommentReference">
    <w:name w:val="annotation reference"/>
    <w:rsid w:val="00863F57"/>
    <w:rPr>
      <w:sz w:val="16"/>
      <w:szCs w:val="16"/>
    </w:rPr>
  </w:style>
  <w:style w:type="paragraph" w:styleId="CommentText">
    <w:name w:val="annotation text"/>
    <w:basedOn w:val="Normal"/>
    <w:link w:val="CommentTextChar"/>
    <w:rsid w:val="00863F57"/>
    <w:rPr>
      <w:sz w:val="20"/>
    </w:rPr>
  </w:style>
  <w:style w:type="paragraph" w:styleId="CommentSubject">
    <w:name w:val="annotation subject"/>
    <w:basedOn w:val="CommentText"/>
    <w:next w:val="CommentText"/>
    <w:semiHidden/>
    <w:rsid w:val="00863F57"/>
    <w:rPr>
      <w:b/>
      <w:bCs/>
    </w:rPr>
  </w:style>
  <w:style w:type="table" w:styleId="TableGrid">
    <w:name w:val="Table Grid"/>
    <w:basedOn w:val="TableNormal"/>
    <w:uiPriority w:val="59"/>
    <w:rsid w:val="004D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9">
    <w:name w:val="Text:Ti9"/>
    <w:basedOn w:val="Normal"/>
    <w:link w:val="TextTi9Char"/>
    <w:rsid w:val="00F56156"/>
    <w:rPr>
      <w:rFonts w:ascii="Times New Roman" w:hAnsi="Times New Roman"/>
      <w:sz w:val="18"/>
      <w:lang w:val="en-US"/>
    </w:rPr>
  </w:style>
  <w:style w:type="paragraph" w:customStyle="1" w:styleId="footnote">
    <w:name w:val="footnote"/>
    <w:basedOn w:val="Normal"/>
    <w:rsid w:val="00F56156"/>
    <w:rPr>
      <w:rFonts w:ascii="Times New Roman" w:hAnsi="Times New Roman"/>
      <w:sz w:val="20"/>
      <w:lang w:val="en-US"/>
    </w:rPr>
  </w:style>
  <w:style w:type="paragraph" w:customStyle="1" w:styleId="footnote1">
    <w:name w:val="footnote 1"/>
    <w:basedOn w:val="footnote"/>
    <w:next w:val="footnote"/>
    <w:rsid w:val="00F56156"/>
    <w:pPr>
      <w:spacing w:before="60"/>
      <w:jc w:val="both"/>
    </w:pPr>
  </w:style>
  <w:style w:type="paragraph" w:customStyle="1" w:styleId="HdTab1">
    <w:name w:val="Hd:Tab:1"/>
    <w:basedOn w:val="Normal"/>
    <w:next w:val="Normal"/>
    <w:link w:val="HdTab1Char3"/>
    <w:qFormat/>
    <w:rsid w:val="00F56156"/>
    <w:pPr>
      <w:keepNext/>
      <w:spacing w:before="120" w:after="120"/>
      <w:ind w:left="1531" w:hanging="1531"/>
    </w:pPr>
    <w:rPr>
      <w:rFonts w:ascii="Times New Roman" w:hAnsi="Times New Roman"/>
      <w:b/>
      <w:lang w:val="x-none" w:eastAsia="x-none"/>
    </w:rPr>
  </w:style>
  <w:style w:type="paragraph" w:customStyle="1" w:styleId="Table">
    <w:name w:val="Table"/>
    <w:basedOn w:val="Normal"/>
    <w:rsid w:val="00F56156"/>
    <w:pPr>
      <w:tabs>
        <w:tab w:val="left" w:pos="360"/>
      </w:tabs>
      <w:spacing w:before="40" w:after="20" w:line="260" w:lineRule="atLeast"/>
      <w:jc w:val="center"/>
    </w:pPr>
    <w:rPr>
      <w:rFonts w:ascii="Times New Roman" w:hAnsi="Times New Roman"/>
      <w:sz w:val="20"/>
      <w:lang w:val="en-US"/>
    </w:rPr>
  </w:style>
  <w:style w:type="paragraph" w:customStyle="1" w:styleId="EntryTextTi9">
    <w:name w:val="EntryText:Ti9"/>
    <w:basedOn w:val="Normal"/>
    <w:rsid w:val="00F56156"/>
    <w:pPr>
      <w:tabs>
        <w:tab w:val="left" w:pos="284"/>
      </w:tabs>
      <w:spacing w:before="40" w:after="40"/>
    </w:pPr>
    <w:rPr>
      <w:rFonts w:ascii="Times New Roman" w:hAnsi="Times New Roman"/>
      <w:lang w:val="en-US"/>
    </w:rPr>
  </w:style>
  <w:style w:type="paragraph" w:customStyle="1" w:styleId="TextTi11CharChar">
    <w:name w:val="Text:Ti11 Char Char"/>
    <w:basedOn w:val="Normal"/>
    <w:rsid w:val="00F56156"/>
    <w:pPr>
      <w:spacing w:after="170" w:line="260" w:lineRule="atLeast"/>
      <w:jc w:val="both"/>
    </w:pPr>
    <w:rPr>
      <w:rFonts w:ascii="Times New Roman" w:hAnsi="Times New Roman"/>
      <w:lang w:val="en-US"/>
    </w:rPr>
  </w:style>
  <w:style w:type="character" w:customStyle="1" w:styleId="footnote1Char1">
    <w:name w:val="footnote 1 Char1"/>
    <w:rsid w:val="00F56156"/>
    <w:rPr>
      <w:lang w:val="en-US" w:eastAsia="en-US" w:bidi="ar-SA"/>
    </w:rPr>
  </w:style>
  <w:style w:type="paragraph" w:customStyle="1" w:styleId="HdFig1">
    <w:name w:val="Hd:Fig:1"/>
    <w:basedOn w:val="Normal"/>
    <w:next w:val="Normal"/>
    <w:rsid w:val="00416E07"/>
    <w:pPr>
      <w:keepNext/>
      <w:spacing w:before="120" w:after="120"/>
      <w:ind w:left="1531" w:hanging="1531"/>
    </w:pPr>
    <w:rPr>
      <w:rFonts w:ascii="Times New Roman" w:hAnsi="Times New Roman"/>
      <w:b/>
      <w:lang w:val="en-US"/>
    </w:rPr>
  </w:style>
  <w:style w:type="character" w:styleId="FollowedHyperlink">
    <w:name w:val="FollowedHyperlink"/>
    <w:rsid w:val="00732AD4"/>
    <w:rPr>
      <w:color w:val="800080"/>
      <w:u w:val="single"/>
    </w:rPr>
  </w:style>
  <w:style w:type="character" w:styleId="EndnoteReference">
    <w:name w:val="endnote reference"/>
    <w:rsid w:val="005A07D0"/>
    <w:rPr>
      <w:rFonts w:ascii="Times New Roman" w:hAnsi="Times New Roman" w:cs="Arial"/>
      <w:vertAlign w:val="superscript"/>
    </w:rPr>
  </w:style>
  <w:style w:type="paragraph" w:styleId="EndnoteText">
    <w:name w:val="endnote text"/>
    <w:link w:val="EndnoteTextChar"/>
    <w:rsid w:val="00A2072F"/>
    <w:pPr>
      <w:spacing w:after="240"/>
      <w:ind w:left="461" w:right="1440" w:hanging="461"/>
    </w:pPr>
    <w:rPr>
      <w:rFonts w:ascii="Times New Roman" w:hAnsi="Times New Roman"/>
      <w:sz w:val="24"/>
    </w:rPr>
  </w:style>
  <w:style w:type="character" w:customStyle="1" w:styleId="EndnoteTextChar">
    <w:name w:val="Endnote Text Char"/>
    <w:link w:val="EndnoteText"/>
    <w:rsid w:val="00A2072F"/>
    <w:rPr>
      <w:rFonts w:ascii="Times New Roman" w:hAnsi="Times New Roman"/>
      <w:sz w:val="24"/>
      <w:lang w:val="en-US" w:eastAsia="en-US" w:bidi="ar-SA"/>
    </w:rPr>
  </w:style>
  <w:style w:type="character" w:customStyle="1" w:styleId="TableText9">
    <w:name w:val="TableText 9"/>
    <w:rsid w:val="00A2072F"/>
    <w:rPr>
      <w:rFonts w:ascii="Times New Roman" w:hAnsi="Times New Roman"/>
      <w:sz w:val="18"/>
    </w:rPr>
  </w:style>
  <w:style w:type="paragraph" w:customStyle="1" w:styleId="C-BodyText">
    <w:name w:val="C-Body Text"/>
    <w:link w:val="C-BodyTextChar1"/>
    <w:rsid w:val="00A2072F"/>
    <w:pPr>
      <w:spacing w:before="120" w:after="120" w:line="280" w:lineRule="atLeast"/>
    </w:pPr>
    <w:rPr>
      <w:rFonts w:ascii="Times New Roman" w:hAnsi="Times New Roman"/>
      <w:sz w:val="24"/>
    </w:rPr>
  </w:style>
  <w:style w:type="character" w:customStyle="1" w:styleId="C-BodyTextChar1">
    <w:name w:val="C-Body Text Char1"/>
    <w:link w:val="C-BodyText"/>
    <w:rsid w:val="00A2072F"/>
    <w:rPr>
      <w:rFonts w:ascii="Times New Roman" w:hAnsi="Times New Roman"/>
      <w:sz w:val="24"/>
      <w:lang w:val="en-US" w:eastAsia="en-US" w:bidi="ar-SA"/>
    </w:rPr>
  </w:style>
  <w:style w:type="paragraph" w:styleId="PlainText">
    <w:name w:val="Plain Text"/>
    <w:basedOn w:val="Normal"/>
    <w:link w:val="PlainTextChar"/>
    <w:uiPriority w:val="99"/>
    <w:rsid w:val="00467D27"/>
    <w:rPr>
      <w:rFonts w:ascii="Courier New" w:hAnsi="Courier New"/>
      <w:sz w:val="20"/>
      <w:szCs w:val="24"/>
      <w:lang w:val="x-none" w:eastAsia="x-none"/>
    </w:rPr>
  </w:style>
  <w:style w:type="character" w:customStyle="1" w:styleId="PlainTextChar">
    <w:name w:val="Plain Text Char"/>
    <w:link w:val="PlainText"/>
    <w:uiPriority w:val="99"/>
    <w:rsid w:val="00467D27"/>
    <w:rPr>
      <w:rFonts w:ascii="Courier New" w:hAnsi="Courier New"/>
      <w:szCs w:val="24"/>
    </w:rPr>
  </w:style>
  <w:style w:type="paragraph" w:customStyle="1" w:styleId="TableHeader">
    <w:name w:val="TableHeader"/>
    <w:basedOn w:val="Normal"/>
    <w:rsid w:val="00733AF2"/>
    <w:pPr>
      <w:suppressAutoHyphens/>
      <w:spacing w:before="60" w:after="60"/>
    </w:pPr>
    <w:rPr>
      <w:rFonts w:ascii="Times New Roman" w:hAnsi="Times New Roman"/>
      <w:b/>
      <w:sz w:val="22"/>
      <w:szCs w:val="22"/>
      <w:lang w:val="en-GB"/>
    </w:rPr>
  </w:style>
  <w:style w:type="paragraph" w:customStyle="1" w:styleId="TextTi11">
    <w:name w:val="Text:Ti11"/>
    <w:basedOn w:val="Normal"/>
    <w:link w:val="TextTi11Char"/>
    <w:rsid w:val="00733AF2"/>
    <w:pPr>
      <w:spacing w:after="170" w:line="260" w:lineRule="atLeast"/>
      <w:jc w:val="both"/>
    </w:pPr>
    <w:rPr>
      <w:rFonts w:ascii="Times New Roman" w:hAnsi="Times New Roman"/>
      <w:lang w:val="x-none" w:eastAsia="x-none"/>
    </w:rPr>
  </w:style>
  <w:style w:type="character" w:customStyle="1" w:styleId="TextTi11Char">
    <w:name w:val="Text:Ti11 Char"/>
    <w:link w:val="TextTi11"/>
    <w:rsid w:val="00733AF2"/>
    <w:rPr>
      <w:rFonts w:ascii="Times New Roman" w:hAnsi="Times New Roman"/>
      <w:sz w:val="24"/>
    </w:rPr>
  </w:style>
  <w:style w:type="character" w:customStyle="1" w:styleId="HdTab1Char3">
    <w:name w:val="Hd:Tab:1 Char3"/>
    <w:link w:val="HdTab1"/>
    <w:rsid w:val="00841126"/>
    <w:rPr>
      <w:rFonts w:ascii="Times New Roman" w:hAnsi="Times New Roman"/>
      <w:b/>
      <w:sz w:val="24"/>
    </w:rPr>
  </w:style>
  <w:style w:type="paragraph" w:styleId="NormalWeb">
    <w:name w:val="Normal (Web)"/>
    <w:basedOn w:val="Normal"/>
    <w:uiPriority w:val="99"/>
    <w:unhideWhenUsed/>
    <w:rsid w:val="00633679"/>
    <w:pPr>
      <w:spacing w:before="100" w:beforeAutospacing="1" w:after="100" w:afterAutospacing="1"/>
    </w:pPr>
    <w:rPr>
      <w:rFonts w:ascii="Times New Roman" w:hAnsi="Times New Roman"/>
      <w:szCs w:val="24"/>
      <w:lang w:val="en-US"/>
    </w:rPr>
  </w:style>
  <w:style w:type="character" w:customStyle="1" w:styleId="C-BodyTextChar">
    <w:name w:val="C-Body Text Char"/>
    <w:rsid w:val="006A7040"/>
    <w:rPr>
      <w:sz w:val="24"/>
      <w:lang w:val="en-US" w:eastAsia="en-US" w:bidi="ar-SA"/>
    </w:rPr>
  </w:style>
  <w:style w:type="table" w:customStyle="1" w:styleId="TableGrid1">
    <w:name w:val="Table Grid1"/>
    <w:basedOn w:val="TableNormal"/>
    <w:next w:val="TableGrid"/>
    <w:uiPriority w:val="59"/>
    <w:rsid w:val="009350E0"/>
    <w:pPr>
      <w:jc w:val="both"/>
    </w:pPr>
    <w:rPr>
      <w:rFonts w:ascii="Times New Roman" w:eastAsia="Calibr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1D36"/>
    <w:pPr>
      <w:jc w:val="both"/>
    </w:pPr>
    <w:rPr>
      <w:rFonts w:ascii="Times New Roman" w:eastAsia="Calibr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F2C"/>
    <w:rPr>
      <w:color w:val="0000FF"/>
      <w:u w:val="single"/>
    </w:rPr>
  </w:style>
  <w:style w:type="paragraph" w:styleId="Revision">
    <w:name w:val="Revision"/>
    <w:hidden/>
    <w:uiPriority w:val="99"/>
    <w:semiHidden/>
    <w:rsid w:val="00CE6FD3"/>
    <w:rPr>
      <w:sz w:val="24"/>
      <w:lang w:val="en-AU"/>
    </w:rPr>
  </w:style>
  <w:style w:type="paragraph" w:customStyle="1" w:styleId="TextTi12">
    <w:name w:val="Text:Ti12"/>
    <w:basedOn w:val="Normal"/>
    <w:link w:val="TextTi12Char4"/>
    <w:qFormat/>
    <w:rsid w:val="002A2732"/>
    <w:pPr>
      <w:spacing w:after="170" w:line="260" w:lineRule="atLeast"/>
      <w:jc w:val="both"/>
    </w:pPr>
    <w:rPr>
      <w:rFonts w:ascii="Times New Roman" w:hAnsi="Times New Roman"/>
      <w:lang w:val="x-none" w:eastAsia="x-none"/>
    </w:rPr>
  </w:style>
  <w:style w:type="character" w:customStyle="1" w:styleId="TextTi12Char4">
    <w:name w:val="Text:Ti12 Char4"/>
    <w:link w:val="TextTi12"/>
    <w:rsid w:val="002A2732"/>
    <w:rPr>
      <w:rFonts w:ascii="Times New Roman" w:hAnsi="Times New Roman"/>
      <w:sz w:val="24"/>
      <w:lang w:val="x-none" w:eastAsia="x-none"/>
    </w:rPr>
  </w:style>
  <w:style w:type="character" w:customStyle="1" w:styleId="CommentTextChar">
    <w:name w:val="Comment Text Char"/>
    <w:link w:val="CommentText"/>
    <w:rsid w:val="0018432E"/>
    <w:rPr>
      <w:lang w:eastAsia="en-US"/>
    </w:rPr>
  </w:style>
  <w:style w:type="paragraph" w:customStyle="1" w:styleId="SAS7">
    <w:name w:val="SAS:7"/>
    <w:basedOn w:val="Normal"/>
    <w:rsid w:val="0018432E"/>
    <w:pPr>
      <w:spacing w:line="130" w:lineRule="exact"/>
    </w:pPr>
    <w:rPr>
      <w:rFonts w:ascii="Courier New" w:hAnsi="Courier New"/>
      <w:spacing w:val="-10"/>
      <w:sz w:val="14"/>
      <w:lang w:val="en-US"/>
    </w:rPr>
  </w:style>
  <w:style w:type="character" w:customStyle="1" w:styleId="Heading4Char">
    <w:name w:val="Heading 4 Char"/>
    <w:link w:val="Heading4"/>
    <w:semiHidden/>
    <w:rsid w:val="000663C8"/>
    <w:rPr>
      <w:rFonts w:ascii="Calibri" w:eastAsia="Times New Roman" w:hAnsi="Calibri" w:cs="Times New Roman"/>
      <w:b/>
      <w:bCs/>
      <w:sz w:val="28"/>
      <w:szCs w:val="28"/>
      <w:lang w:eastAsia="en-US"/>
    </w:rPr>
  </w:style>
  <w:style w:type="paragraph" w:customStyle="1" w:styleId="Hd2">
    <w:name w:val="Hd:2"/>
    <w:basedOn w:val="Normal"/>
    <w:next w:val="TextTi11"/>
    <w:rsid w:val="000663C8"/>
    <w:pPr>
      <w:keepNext/>
      <w:spacing w:before="120" w:after="60"/>
      <w:ind w:left="1138" w:hanging="1138"/>
    </w:pPr>
    <w:rPr>
      <w:rFonts w:ascii="Times New Roman" w:hAnsi="Times New Roman"/>
      <w:b/>
      <w:sz w:val="26"/>
      <w:lang w:val="en-US"/>
    </w:rPr>
  </w:style>
  <w:style w:type="paragraph" w:customStyle="1" w:styleId="Hd3">
    <w:name w:val="Hd:3"/>
    <w:basedOn w:val="Normal"/>
    <w:next w:val="TextTi11"/>
    <w:rsid w:val="00D53BA0"/>
    <w:pPr>
      <w:keepNext/>
      <w:spacing w:before="120" w:after="60"/>
      <w:ind w:left="1138" w:hanging="1138"/>
    </w:pPr>
    <w:rPr>
      <w:rFonts w:ascii="Times New Roman" w:hAnsi="Times New Roman"/>
      <w:b/>
      <w:lang w:val="en-US"/>
    </w:rPr>
  </w:style>
  <w:style w:type="paragraph" w:styleId="Caption">
    <w:name w:val="caption"/>
    <w:basedOn w:val="Normal"/>
    <w:next w:val="Normal"/>
    <w:unhideWhenUsed/>
    <w:qFormat/>
    <w:rsid w:val="00121F89"/>
    <w:pPr>
      <w:tabs>
        <w:tab w:val="left" w:pos="567"/>
      </w:tabs>
      <w:spacing w:line="260" w:lineRule="exact"/>
    </w:pPr>
    <w:rPr>
      <w:rFonts w:ascii="Times New Roman" w:hAnsi="Times New Roman"/>
      <w:b/>
      <w:bCs/>
      <w:sz w:val="20"/>
      <w:lang w:val="en-GB"/>
    </w:rPr>
  </w:style>
  <w:style w:type="character" w:customStyle="1" w:styleId="TextTi9Char">
    <w:name w:val="Text:Ti9 Char"/>
    <w:link w:val="TextTi9"/>
    <w:rsid w:val="004B5445"/>
    <w:rPr>
      <w:rFonts w:ascii="Times New Roman" w:hAnsi="Times New Roman"/>
      <w:sz w:val="18"/>
      <w:lang w:val="en-US" w:eastAsia="en-US"/>
    </w:rPr>
  </w:style>
  <w:style w:type="paragraph" w:styleId="TOC7">
    <w:name w:val="toc 7"/>
    <w:basedOn w:val="TOC4"/>
    <w:next w:val="TextTi11"/>
    <w:rsid w:val="00BB6161"/>
    <w:pPr>
      <w:tabs>
        <w:tab w:val="left" w:pos="2552"/>
        <w:tab w:val="right" w:leader="dot" w:pos="8641"/>
      </w:tabs>
      <w:ind w:left="2608" w:right="567" w:hanging="2211"/>
    </w:pPr>
    <w:rPr>
      <w:rFonts w:ascii="Times New Roman" w:hAnsi="Times New Roman"/>
      <w:noProof/>
      <w:lang w:val="en-US"/>
    </w:rPr>
  </w:style>
  <w:style w:type="paragraph" w:styleId="TOC4">
    <w:name w:val="toc 4"/>
    <w:basedOn w:val="Normal"/>
    <w:next w:val="Normal"/>
    <w:autoRedefine/>
    <w:rsid w:val="00BB6161"/>
    <w:pPr>
      <w:ind w:left="720"/>
    </w:pPr>
  </w:style>
  <w:style w:type="paragraph" w:styleId="ListParagraph">
    <w:name w:val="List Paragraph"/>
    <w:basedOn w:val="Normal"/>
    <w:uiPriority w:val="34"/>
    <w:qFormat/>
    <w:rsid w:val="00F4131C"/>
    <w:pPr>
      <w:ind w:left="720"/>
      <w:contextualSpacing/>
    </w:pPr>
    <w:rPr>
      <w:rFonts w:ascii="Times New Roman" w:hAnsi="Times New Roman"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17841">
      <w:bodyDiv w:val="1"/>
      <w:marLeft w:val="0"/>
      <w:marRight w:val="0"/>
      <w:marTop w:val="0"/>
      <w:marBottom w:val="0"/>
      <w:divBdr>
        <w:top w:val="none" w:sz="0" w:space="0" w:color="auto"/>
        <w:left w:val="none" w:sz="0" w:space="0" w:color="auto"/>
        <w:bottom w:val="none" w:sz="0" w:space="0" w:color="auto"/>
        <w:right w:val="none" w:sz="0" w:space="0" w:color="auto"/>
      </w:divBdr>
      <w:divsChild>
        <w:div w:id="5897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235858">
              <w:marLeft w:val="0"/>
              <w:marRight w:val="0"/>
              <w:marTop w:val="0"/>
              <w:marBottom w:val="0"/>
              <w:divBdr>
                <w:top w:val="none" w:sz="0" w:space="0" w:color="auto"/>
                <w:left w:val="none" w:sz="0" w:space="0" w:color="auto"/>
                <w:bottom w:val="none" w:sz="0" w:space="0" w:color="auto"/>
                <w:right w:val="none" w:sz="0" w:space="0" w:color="auto"/>
              </w:divBdr>
              <w:divsChild>
                <w:div w:id="111244216">
                  <w:marLeft w:val="0"/>
                  <w:marRight w:val="0"/>
                  <w:marTop w:val="0"/>
                  <w:marBottom w:val="0"/>
                  <w:divBdr>
                    <w:top w:val="none" w:sz="0" w:space="0" w:color="auto"/>
                    <w:left w:val="none" w:sz="0" w:space="0" w:color="auto"/>
                    <w:bottom w:val="none" w:sz="0" w:space="0" w:color="auto"/>
                    <w:right w:val="none" w:sz="0" w:space="0" w:color="auto"/>
                  </w:divBdr>
                  <w:divsChild>
                    <w:div w:id="1147356375">
                      <w:marLeft w:val="0"/>
                      <w:marRight w:val="0"/>
                      <w:marTop w:val="0"/>
                      <w:marBottom w:val="0"/>
                      <w:divBdr>
                        <w:top w:val="none" w:sz="0" w:space="0" w:color="auto"/>
                        <w:left w:val="none" w:sz="0" w:space="0" w:color="auto"/>
                        <w:bottom w:val="none" w:sz="0" w:space="0" w:color="auto"/>
                        <w:right w:val="none" w:sz="0" w:space="0" w:color="auto"/>
                      </w:divBdr>
                      <w:divsChild>
                        <w:div w:id="1920780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029599987">
                              <w:marLeft w:val="0"/>
                              <w:marRight w:val="0"/>
                              <w:marTop w:val="0"/>
                              <w:marBottom w:val="0"/>
                              <w:divBdr>
                                <w:top w:val="none" w:sz="0" w:space="0" w:color="auto"/>
                                <w:left w:val="none" w:sz="0" w:space="0" w:color="auto"/>
                                <w:bottom w:val="none" w:sz="0" w:space="0" w:color="auto"/>
                                <w:right w:val="none" w:sz="0" w:space="0" w:color="auto"/>
                              </w:divBdr>
                              <w:divsChild>
                                <w:div w:id="383910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71138">
                                      <w:marLeft w:val="0"/>
                                      <w:marRight w:val="0"/>
                                      <w:marTop w:val="0"/>
                                      <w:marBottom w:val="0"/>
                                      <w:divBdr>
                                        <w:top w:val="none" w:sz="0" w:space="0" w:color="auto"/>
                                        <w:left w:val="none" w:sz="0" w:space="0" w:color="auto"/>
                                        <w:bottom w:val="none" w:sz="0" w:space="0" w:color="auto"/>
                                        <w:right w:val="none" w:sz="0" w:space="0" w:color="auto"/>
                                      </w:divBdr>
                                      <w:divsChild>
                                        <w:div w:id="690645655">
                                          <w:marLeft w:val="0"/>
                                          <w:marRight w:val="0"/>
                                          <w:marTop w:val="0"/>
                                          <w:marBottom w:val="0"/>
                                          <w:divBdr>
                                            <w:top w:val="none" w:sz="0" w:space="0" w:color="auto"/>
                                            <w:left w:val="none" w:sz="0" w:space="0" w:color="auto"/>
                                            <w:bottom w:val="none" w:sz="0" w:space="0" w:color="auto"/>
                                            <w:right w:val="none" w:sz="0" w:space="0" w:color="auto"/>
                                          </w:divBdr>
                                          <w:divsChild>
                                            <w:div w:id="73163690">
                                              <w:marLeft w:val="0"/>
                                              <w:marRight w:val="0"/>
                                              <w:marTop w:val="0"/>
                                              <w:marBottom w:val="0"/>
                                              <w:divBdr>
                                                <w:top w:val="none" w:sz="0" w:space="0" w:color="auto"/>
                                                <w:left w:val="none" w:sz="0" w:space="0" w:color="auto"/>
                                                <w:bottom w:val="none" w:sz="0" w:space="0" w:color="auto"/>
                                                <w:right w:val="none" w:sz="0" w:space="0" w:color="auto"/>
                                              </w:divBdr>
                                              <w:divsChild>
                                                <w:div w:id="623778731">
                                                  <w:marLeft w:val="0"/>
                                                  <w:marRight w:val="0"/>
                                                  <w:marTop w:val="0"/>
                                                  <w:marBottom w:val="0"/>
                                                  <w:divBdr>
                                                    <w:top w:val="none" w:sz="0" w:space="0" w:color="auto"/>
                                                    <w:left w:val="none" w:sz="0" w:space="0" w:color="auto"/>
                                                    <w:bottom w:val="none" w:sz="0" w:space="0" w:color="auto"/>
                                                    <w:right w:val="none" w:sz="0" w:space="0" w:color="auto"/>
                                                  </w:divBdr>
                                                  <w:divsChild>
                                                    <w:div w:id="478615051">
                                                      <w:marLeft w:val="0"/>
                                                      <w:marRight w:val="0"/>
                                                      <w:marTop w:val="0"/>
                                                      <w:marBottom w:val="0"/>
                                                      <w:divBdr>
                                                        <w:top w:val="none" w:sz="0" w:space="0" w:color="auto"/>
                                                        <w:left w:val="none" w:sz="0" w:space="0" w:color="auto"/>
                                                        <w:bottom w:val="none" w:sz="0" w:space="0" w:color="auto"/>
                                                        <w:right w:val="none" w:sz="0" w:space="0" w:color="auto"/>
                                                      </w:divBdr>
                                                      <w:divsChild>
                                                        <w:div w:id="10005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057592">
      <w:bodyDiv w:val="1"/>
      <w:marLeft w:val="0"/>
      <w:marRight w:val="0"/>
      <w:marTop w:val="0"/>
      <w:marBottom w:val="0"/>
      <w:divBdr>
        <w:top w:val="none" w:sz="0" w:space="0" w:color="auto"/>
        <w:left w:val="none" w:sz="0" w:space="0" w:color="auto"/>
        <w:bottom w:val="none" w:sz="0" w:space="0" w:color="auto"/>
        <w:right w:val="none" w:sz="0" w:space="0" w:color="auto"/>
      </w:divBdr>
      <w:divsChild>
        <w:div w:id="568150956">
          <w:marLeft w:val="0"/>
          <w:marRight w:val="0"/>
          <w:marTop w:val="0"/>
          <w:marBottom w:val="0"/>
          <w:divBdr>
            <w:top w:val="none" w:sz="0" w:space="0" w:color="auto"/>
            <w:left w:val="none" w:sz="0" w:space="0" w:color="auto"/>
            <w:bottom w:val="none" w:sz="0" w:space="0" w:color="auto"/>
            <w:right w:val="none" w:sz="0" w:space="0" w:color="auto"/>
          </w:divBdr>
        </w:div>
        <w:div w:id="852257660">
          <w:marLeft w:val="0"/>
          <w:marRight w:val="0"/>
          <w:marTop w:val="0"/>
          <w:marBottom w:val="0"/>
          <w:divBdr>
            <w:top w:val="none" w:sz="0" w:space="0" w:color="auto"/>
            <w:left w:val="none" w:sz="0" w:space="0" w:color="auto"/>
            <w:bottom w:val="none" w:sz="0" w:space="0" w:color="auto"/>
            <w:right w:val="none" w:sz="0" w:space="0" w:color="auto"/>
          </w:divBdr>
        </w:div>
        <w:div w:id="1848325214">
          <w:marLeft w:val="0"/>
          <w:marRight w:val="0"/>
          <w:marTop w:val="0"/>
          <w:marBottom w:val="0"/>
          <w:divBdr>
            <w:top w:val="none" w:sz="0" w:space="0" w:color="auto"/>
            <w:left w:val="none" w:sz="0" w:space="0" w:color="auto"/>
            <w:bottom w:val="none" w:sz="0" w:space="0" w:color="auto"/>
            <w:right w:val="none" w:sz="0" w:space="0" w:color="auto"/>
          </w:divBdr>
        </w:div>
      </w:divsChild>
    </w:div>
    <w:div w:id="215699352">
      <w:bodyDiv w:val="1"/>
      <w:marLeft w:val="0"/>
      <w:marRight w:val="0"/>
      <w:marTop w:val="0"/>
      <w:marBottom w:val="0"/>
      <w:divBdr>
        <w:top w:val="none" w:sz="0" w:space="0" w:color="auto"/>
        <w:left w:val="none" w:sz="0" w:space="0" w:color="auto"/>
        <w:bottom w:val="none" w:sz="0" w:space="0" w:color="auto"/>
        <w:right w:val="none" w:sz="0" w:space="0" w:color="auto"/>
      </w:divBdr>
      <w:divsChild>
        <w:div w:id="1233395991">
          <w:marLeft w:val="0"/>
          <w:marRight w:val="0"/>
          <w:marTop w:val="0"/>
          <w:marBottom w:val="0"/>
          <w:divBdr>
            <w:top w:val="none" w:sz="0" w:space="0" w:color="auto"/>
            <w:left w:val="none" w:sz="0" w:space="0" w:color="auto"/>
            <w:bottom w:val="none" w:sz="0" w:space="0" w:color="auto"/>
            <w:right w:val="none" w:sz="0" w:space="0" w:color="auto"/>
          </w:divBdr>
          <w:divsChild>
            <w:div w:id="6076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2056">
      <w:bodyDiv w:val="1"/>
      <w:marLeft w:val="0"/>
      <w:marRight w:val="0"/>
      <w:marTop w:val="0"/>
      <w:marBottom w:val="0"/>
      <w:divBdr>
        <w:top w:val="none" w:sz="0" w:space="0" w:color="auto"/>
        <w:left w:val="none" w:sz="0" w:space="0" w:color="auto"/>
        <w:bottom w:val="none" w:sz="0" w:space="0" w:color="auto"/>
        <w:right w:val="none" w:sz="0" w:space="0" w:color="auto"/>
      </w:divBdr>
      <w:divsChild>
        <w:div w:id="240528504">
          <w:marLeft w:val="0"/>
          <w:marRight w:val="0"/>
          <w:marTop w:val="0"/>
          <w:marBottom w:val="0"/>
          <w:divBdr>
            <w:top w:val="none" w:sz="0" w:space="0" w:color="auto"/>
            <w:left w:val="none" w:sz="0" w:space="0" w:color="auto"/>
            <w:bottom w:val="none" w:sz="0" w:space="0" w:color="auto"/>
            <w:right w:val="none" w:sz="0" w:space="0" w:color="auto"/>
          </w:divBdr>
        </w:div>
        <w:div w:id="1466241379">
          <w:marLeft w:val="0"/>
          <w:marRight w:val="0"/>
          <w:marTop w:val="0"/>
          <w:marBottom w:val="0"/>
          <w:divBdr>
            <w:top w:val="none" w:sz="0" w:space="0" w:color="auto"/>
            <w:left w:val="none" w:sz="0" w:space="0" w:color="auto"/>
            <w:bottom w:val="none" w:sz="0" w:space="0" w:color="auto"/>
            <w:right w:val="none" w:sz="0" w:space="0" w:color="auto"/>
          </w:divBdr>
          <w:divsChild>
            <w:div w:id="796919610">
              <w:marLeft w:val="0"/>
              <w:marRight w:val="0"/>
              <w:marTop w:val="0"/>
              <w:marBottom w:val="0"/>
              <w:divBdr>
                <w:top w:val="none" w:sz="0" w:space="0" w:color="auto"/>
                <w:left w:val="none" w:sz="0" w:space="0" w:color="auto"/>
                <w:bottom w:val="none" w:sz="0" w:space="0" w:color="auto"/>
                <w:right w:val="none" w:sz="0" w:space="0" w:color="auto"/>
              </w:divBdr>
              <w:divsChild>
                <w:div w:id="2056196378">
                  <w:marLeft w:val="0"/>
                  <w:marRight w:val="0"/>
                  <w:marTop w:val="0"/>
                  <w:marBottom w:val="0"/>
                  <w:divBdr>
                    <w:top w:val="none" w:sz="0" w:space="0" w:color="auto"/>
                    <w:left w:val="none" w:sz="0" w:space="0" w:color="auto"/>
                    <w:bottom w:val="none" w:sz="0" w:space="0" w:color="auto"/>
                    <w:right w:val="none" w:sz="0" w:space="0" w:color="auto"/>
                  </w:divBdr>
                  <w:divsChild>
                    <w:div w:id="259724029">
                      <w:marLeft w:val="0"/>
                      <w:marRight w:val="0"/>
                      <w:marTop w:val="0"/>
                      <w:marBottom w:val="0"/>
                      <w:divBdr>
                        <w:top w:val="none" w:sz="0" w:space="0" w:color="auto"/>
                        <w:left w:val="none" w:sz="0" w:space="0" w:color="auto"/>
                        <w:bottom w:val="none" w:sz="0" w:space="0" w:color="auto"/>
                        <w:right w:val="none" w:sz="0" w:space="0" w:color="auto"/>
                      </w:divBdr>
                    </w:div>
                    <w:div w:id="1195117022">
                      <w:marLeft w:val="0"/>
                      <w:marRight w:val="0"/>
                      <w:marTop w:val="0"/>
                      <w:marBottom w:val="0"/>
                      <w:divBdr>
                        <w:top w:val="none" w:sz="0" w:space="0" w:color="auto"/>
                        <w:left w:val="none" w:sz="0" w:space="0" w:color="auto"/>
                        <w:bottom w:val="none" w:sz="0" w:space="0" w:color="auto"/>
                        <w:right w:val="none" w:sz="0" w:space="0" w:color="auto"/>
                      </w:divBdr>
                      <w:divsChild>
                        <w:div w:id="287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70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rstDoc Document" ma:contentTypeID="0x0101003B8959BA02897144988499FB23A57430008AD601214920F64DA113D41492A117D4" ma:contentTypeVersion="5" ma:contentTypeDescription="Contains metadata for documents stored in a FirstDoc Documentum repository" ma:contentTypeScope="" ma:versionID="dfe3a22a2079e2b2f54a07c1e426531c">
  <xsd:schema xmlns:xsd="http://www.w3.org/2001/XMLSchema" xmlns:xs="http://www.w3.org/2001/XMLSchema" xmlns:p="http://schemas.microsoft.com/office/2006/metadata/properties" xmlns:ns2="08d903e0-8d52-4a03-8c91-0bd0646d704b" targetNamespace="http://schemas.microsoft.com/office/2006/metadata/properties" ma:root="true" ma:fieldsID="6ffb1fb81ed417b4a630777707cffabc" ns2:_="">
    <xsd:import namespace="08d903e0-8d52-4a03-8c91-0bd0646d704b"/>
    <xsd:element name="properties">
      <xsd:complexType>
        <xsd:sequence>
          <xsd:element name="documentManagement">
            <xsd:complexType>
              <xsd:all>
                <xsd:element ref="ns2:fdk_dctm_i_chronicle_id" minOccurs="0"/>
                <xsd:element ref="ns2:fdk_dctm_r_object_id" minOccurs="0"/>
                <xsd:element ref="ns2:fdk_dctm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903e0-8d52-4a03-8c91-0bd0646d704b" elementFormDefault="qualified">
    <xsd:import namespace="http://schemas.microsoft.com/office/2006/documentManagement/types"/>
    <xsd:import namespace="http://schemas.microsoft.com/office/infopath/2007/PartnerControls"/>
    <xsd:element name="fdk_dctm_i_chronicle_id" ma:index="8" nillable="true" ma:displayName="Documentum Chronicle ID" ma:description="Documentum i_chronicle_id" ma:internalName="fdk_dctm_i_chronicle_id" ma:readOnly="false">
      <xsd:simpleType>
        <xsd:restriction base="dms:Text">
          <xsd:maxLength value="16"/>
        </xsd:restriction>
      </xsd:simpleType>
    </xsd:element>
    <xsd:element name="fdk_dctm_r_object_id" ma:index="9" nillable="true" ma:displayName="Documentum Object ID" ma:description="Documentum r_object_id" ma:internalName="fdk_dctm_r_object_id" ma:readOnly="false">
      <xsd:simpleType>
        <xsd:restriction base="dms:Text">
          <xsd:maxLength value="16"/>
        </xsd:restriction>
      </xsd:simpleType>
    </xsd:element>
    <xsd:element name="fdk_dctm_path" ma:index="10" nillable="true" ma:displayName="Documentum Folder Path" ma:description="Documentum Folder Path" ma:internalName="fdk_dctm_path" ma:readOnly="false">
      <xsd:simpleType>
        <xsd:restriction base="dms:Text">
          <xsd:maxLength value="74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dk_dctm_i_chronicle_id xmlns="08d903e0-8d52-4a03-8c91-0bd0646d704b">092318608062c223</fdk_dctm_i_chronicle_id>
    <fdk_dctm_path xmlns="08d903e0-8d52-4a03-8c91-0bd0646d704b">/Selexipag/Regulatory/Australia/ACT-293987_PAH_Org&amp;PostMA/Agency Q-A/2016/To Regulatory Authority</fdk_dctm_path>
    <fdk_dctm_r_object_id xmlns="08d903e0-8d52-4a03-8c91-0bd0646d704b">092318608063216d</fdk_dctm_r_object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8A547-C052-45C0-B19D-BE4C16383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903e0-8d52-4a03-8c91-0bd0646d7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35E4E-BE1C-428B-B863-A4A3918D004C}">
  <ds:schemaRefs>
    <ds:schemaRef ds:uri="http://schemas.microsoft.com/sharepoint/v3/contenttype/forms"/>
  </ds:schemaRefs>
</ds:datastoreItem>
</file>

<file path=customXml/itemProps3.xml><?xml version="1.0" encoding="utf-8"?>
<ds:datastoreItem xmlns:ds="http://schemas.openxmlformats.org/officeDocument/2006/customXml" ds:itemID="{B125A3E9-9F26-4D39-AFBB-A78C46AC855A}">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infopath/2007/PartnerControls"/>
    <ds:schemaRef ds:uri="08d903e0-8d52-4a03-8c91-0bd0646d704b"/>
    <ds:schemaRef ds:uri="http://schemas.microsoft.com/office/2006/metadata/properties"/>
  </ds:schemaRefs>
</ds:datastoreItem>
</file>

<file path=customXml/itemProps4.xml><?xml version="1.0" encoding="utf-8"?>
<ds:datastoreItem xmlns:ds="http://schemas.openxmlformats.org/officeDocument/2006/customXml" ds:itemID="{C0F39211-C932-4FE6-8303-B1C7FA62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5507</Words>
  <Characters>31395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AusPAR Attachment 1: Product Information for Uptravi</vt:lpstr>
    </vt:vector>
  </TitlesOfParts>
  <Company>Gallaher + Associates</Company>
  <LinksUpToDate>false</LinksUpToDate>
  <CharactersWithSpaces>36829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Uptravi</dc:title>
  <dc:subject>prescription medicines</dc:subject>
  <dc:creator>Actelion Pharmaceuticals Pty Ltd</dc:creator>
  <cp:keywords>AusPARs</cp:keywords>
  <cp:lastModifiedBy>STARKEY, Paige</cp:lastModifiedBy>
  <cp:revision>2</cp:revision>
  <cp:lastPrinted>2016-03-11T02:57:00Z</cp:lastPrinted>
  <dcterms:created xsi:type="dcterms:W3CDTF">2016-11-17T00:35:00Z</dcterms:created>
  <dcterms:modified xsi:type="dcterms:W3CDTF">2016-11-17T00:35:00Z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0x0101003B8959BA02897144988499FB23A57430008AD601214920F64DA113D41492A117D4</vt:lpwstr>
  </property>
  <property fmtid="{D5CDD505-2E9C-101B-9397-08002B2CF9AE}" pid="3" name="_CopySource">
    <vt:lpwstr>http://localhost/site/document</vt:lpwstr>
  </property>
  <property fmtid="{D5CDD505-2E9C-101B-9397-08002B2CF9AE}" pid="4" name="Order">
    <vt:r8>200</vt:r8>
  </property>
</Properties>
</file>