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DA33E1A" w14:textId="77777777" w:rsidTr="00BF1190">
        <w:trPr>
          <w:trHeight w:val="1863"/>
        </w:trPr>
        <w:tc>
          <w:tcPr>
            <w:tcW w:w="3652" w:type="dxa"/>
            <w:tcBorders>
              <w:top w:val="nil"/>
              <w:left w:val="nil"/>
              <w:bottom w:val="nil"/>
              <w:right w:val="nil"/>
            </w:tcBorders>
          </w:tcPr>
          <w:p w14:paraId="1CB1D774" w14:textId="7DEF19EA" w:rsidR="008E7846" w:rsidRPr="00096AA7" w:rsidRDefault="00BE1358" w:rsidP="00096AA7">
            <w:pPr>
              <w:rPr>
                <w:rFonts w:ascii="Arial" w:hAnsi="Arial" w:cs="Arial"/>
                <w:b/>
                <w:color w:val="002C47"/>
                <w:sz w:val="36"/>
                <w:szCs w:val="36"/>
              </w:rPr>
            </w:pPr>
            <w:r>
              <w:rPr>
                <w:rFonts w:ascii="Arial" w:hAnsi="Arial" w:cs="Arial"/>
                <w:b/>
                <w:color w:val="002C47"/>
                <w:sz w:val="36"/>
                <w:szCs w:val="36"/>
              </w:rPr>
              <w:t>June</w:t>
            </w:r>
            <w:r w:rsidR="00773509">
              <w:rPr>
                <w:rFonts w:ascii="Arial" w:hAnsi="Arial" w:cs="Arial"/>
                <w:b/>
                <w:color w:val="002C47"/>
                <w:sz w:val="36"/>
                <w:szCs w:val="36"/>
              </w:rPr>
              <w:t xml:space="preserve"> 2018</w:t>
            </w:r>
          </w:p>
        </w:tc>
      </w:tr>
    </w:tbl>
    <w:tbl>
      <w:tblPr>
        <w:tblpPr w:leftFromText="180" w:rightFromText="180" w:vertAnchor="page" w:tblpY="3316"/>
        <w:tblW w:w="9466" w:type="dxa"/>
        <w:tblLayout w:type="fixed"/>
        <w:tblLook w:val="04A0" w:firstRow="1" w:lastRow="0" w:firstColumn="1" w:lastColumn="0" w:noHBand="0" w:noVBand="1"/>
      </w:tblPr>
      <w:tblGrid>
        <w:gridCol w:w="9466"/>
      </w:tblGrid>
      <w:tr w:rsidR="0032583B" w:rsidRPr="00A964D1" w14:paraId="4B3ED366" w14:textId="77777777" w:rsidTr="005B0314">
        <w:trPr>
          <w:trHeight w:val="879"/>
        </w:trPr>
        <w:tc>
          <w:tcPr>
            <w:tcW w:w="9466" w:type="dxa"/>
          </w:tcPr>
          <w:p w14:paraId="2A9257CB" w14:textId="77777777" w:rsidR="0032583B" w:rsidRPr="00A964D1" w:rsidRDefault="0032583B" w:rsidP="00773509">
            <w:pPr>
              <w:pStyle w:val="Title"/>
              <w:rPr>
                <w:color w:val="FFFFFF" w:themeColor="background1"/>
              </w:rPr>
            </w:pPr>
            <w:r w:rsidRPr="00A964D1">
              <w:rPr>
                <w:color w:val="FFFFFF" w:themeColor="background1"/>
              </w:rPr>
              <w:t xml:space="preserve">Australian Public Assessment Report for </w:t>
            </w:r>
            <w:r w:rsidR="00773509">
              <w:rPr>
                <w:color w:val="FFFFFF" w:themeColor="background1"/>
              </w:rPr>
              <w:t>Sebelipase alfa</w:t>
            </w:r>
          </w:p>
        </w:tc>
      </w:tr>
      <w:tr w:rsidR="0032583B" w:rsidRPr="00B64760" w14:paraId="0382D3E5" w14:textId="77777777" w:rsidTr="005B0314">
        <w:trPr>
          <w:trHeight w:val="954"/>
        </w:trPr>
        <w:tc>
          <w:tcPr>
            <w:tcW w:w="9466" w:type="dxa"/>
          </w:tcPr>
          <w:p w14:paraId="4440C2ED" w14:textId="77777777" w:rsidR="0032583B" w:rsidRPr="008E7846" w:rsidRDefault="0032583B" w:rsidP="005B0314">
            <w:pPr>
              <w:pStyle w:val="Subtitle"/>
              <w:ind w:left="0"/>
              <w:rPr>
                <w:color w:val="FFFFFF" w:themeColor="background1"/>
              </w:rPr>
            </w:pPr>
            <w:r w:rsidRPr="008E7846">
              <w:rPr>
                <w:color w:val="FFFFFF" w:themeColor="background1"/>
              </w:rPr>
              <w:t>Proprietary Product Name:</w:t>
            </w:r>
            <w:r w:rsidR="00773509" w:rsidRPr="00773509">
              <w:rPr>
                <w:color w:val="FFFFFF" w:themeColor="background1"/>
              </w:rPr>
              <w:t xml:space="preserve"> </w:t>
            </w:r>
            <w:r w:rsidR="00773509">
              <w:rPr>
                <w:color w:val="FFFFFF" w:themeColor="background1"/>
              </w:rPr>
              <w:t>Kanuma</w:t>
            </w:r>
          </w:p>
        </w:tc>
      </w:tr>
      <w:tr w:rsidR="0032583B" w:rsidRPr="00B64760" w14:paraId="3A31F237" w14:textId="77777777" w:rsidTr="005B0314">
        <w:trPr>
          <w:trHeight w:val="492"/>
        </w:trPr>
        <w:tc>
          <w:tcPr>
            <w:tcW w:w="9466" w:type="dxa"/>
          </w:tcPr>
          <w:p w14:paraId="4D07AAD8" w14:textId="77777777" w:rsidR="0032583B" w:rsidRPr="008E7846" w:rsidRDefault="0032583B" w:rsidP="005B0314">
            <w:pPr>
              <w:pStyle w:val="Subtitle"/>
              <w:ind w:left="0"/>
              <w:rPr>
                <w:color w:val="FFFFFF" w:themeColor="background1"/>
              </w:rPr>
            </w:pPr>
            <w:r w:rsidRPr="008E7846">
              <w:rPr>
                <w:color w:val="FFFFFF" w:themeColor="background1"/>
              </w:rPr>
              <w:t>Sponsor:</w:t>
            </w:r>
            <w:r w:rsidR="00B935CA">
              <w:rPr>
                <w:color w:val="FFFFFF" w:themeColor="background1"/>
              </w:rPr>
              <w:t xml:space="preserve"> </w:t>
            </w:r>
            <w:r w:rsidR="00773509" w:rsidRPr="00773509">
              <w:rPr>
                <w:color w:val="FFFFFF" w:themeColor="background1"/>
              </w:rPr>
              <w:t>Alexion Ph</w:t>
            </w:r>
            <w:r w:rsidR="00773509">
              <w:rPr>
                <w:color w:val="FFFFFF" w:themeColor="background1"/>
              </w:rPr>
              <w:t>armaceuticals Australia Pty Ltd</w:t>
            </w:r>
          </w:p>
        </w:tc>
      </w:tr>
    </w:tbl>
    <w:p w14:paraId="29260857" w14:textId="77777777" w:rsidR="008E7846" w:rsidRPr="0085156D" w:rsidRDefault="008E7846" w:rsidP="0085156D">
      <w:r w:rsidRPr="0085156D">
        <w:br w:type="page"/>
      </w:r>
    </w:p>
    <w:p w14:paraId="331ABBB6" w14:textId="77777777" w:rsidR="008E7846" w:rsidRPr="001F6CBA" w:rsidRDefault="008E7846" w:rsidP="008E7846">
      <w:pPr>
        <w:pStyle w:val="NonTOCHeading2"/>
      </w:pPr>
      <w:r w:rsidRPr="001F6CBA">
        <w:lastRenderedPageBreak/>
        <w:t>About the Therapeutic Goods Administration (TGA)</w:t>
      </w:r>
    </w:p>
    <w:p w14:paraId="23A0013F"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C5C965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7007A4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85E9948"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302B2331" w14:textId="58C218B9"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663236">
        <w:t>&gt;</w:t>
      </w:r>
      <w:r w:rsidR="00441C3F">
        <w:t>.</w:t>
      </w:r>
    </w:p>
    <w:p w14:paraId="01F1E5F2" w14:textId="77777777" w:rsidR="008E7846" w:rsidRDefault="008E7846" w:rsidP="00875A6B">
      <w:pPr>
        <w:pStyle w:val="NonTOCHeading2"/>
      </w:pPr>
      <w:r>
        <w:t xml:space="preserve">About </w:t>
      </w:r>
      <w:proofErr w:type="spellStart"/>
      <w:r>
        <w:t>AusPARs</w:t>
      </w:r>
      <w:proofErr w:type="spellEnd"/>
    </w:p>
    <w:p w14:paraId="380F31E8"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39FA6594"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617B681"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66C16799"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24B058A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1C4528F4" w14:textId="77777777" w:rsidR="00924482" w:rsidRPr="00DF1D7F" w:rsidRDefault="00924482" w:rsidP="00F54B65">
      <w:pPr>
        <w:pStyle w:val="LegalSubheading"/>
        <w:spacing w:before="3120"/>
      </w:pPr>
      <w:r w:rsidRPr="00DF1D7F">
        <w:t>Copyright</w:t>
      </w:r>
    </w:p>
    <w:p w14:paraId="2440D3E9" w14:textId="77777777" w:rsidR="00924482" w:rsidRDefault="00924482" w:rsidP="00924482">
      <w:pPr>
        <w:pStyle w:val="LegalCopy"/>
      </w:pPr>
      <w:r w:rsidRPr="00191B3B">
        <w:rPr>
          <w:rFonts w:cs="Arial"/>
          <w:lang w:val="en-GB"/>
        </w:rPr>
        <w:t>© Comm</w:t>
      </w:r>
      <w:r>
        <w:rPr>
          <w:rFonts w:cs="Arial"/>
          <w:lang w:val="en-GB"/>
        </w:rPr>
        <w:t>onwealth of Australia 201</w:t>
      </w:r>
      <w:r w:rsidR="00773509">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proofErr w:type="gramStart"/>
      <w:r w:rsidR="00663236">
        <w:rPr>
          <w:rFonts w:cs="Arial"/>
        </w:rPr>
        <w:t xml:space="preserve">&gt; </w:t>
      </w:r>
      <w:r w:rsidRPr="00191B3B">
        <w:rPr>
          <w:rFonts w:cs="Arial"/>
        </w:rPr>
        <w:t>.</w:t>
      </w:r>
      <w:proofErr w:type="gramEnd"/>
    </w:p>
    <w:p w14:paraId="660E5F1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063FB0F" w14:textId="77777777" w:rsidR="0089635C" w:rsidRPr="0089635C" w:rsidRDefault="0089635C" w:rsidP="0010788A">
          <w:pPr>
            <w:pStyle w:val="Contents"/>
          </w:pPr>
          <w:r w:rsidRPr="0010788A">
            <w:t>Conte</w:t>
          </w:r>
          <w:bookmarkStart w:id="2" w:name="_GoBack"/>
          <w:bookmarkEnd w:id="2"/>
          <w:r w:rsidRPr="0010788A">
            <w:t>nts</w:t>
          </w:r>
        </w:p>
        <w:p w14:paraId="7E8F6DE6" w14:textId="77777777" w:rsidR="0056344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601777" w:history="1">
            <w:r w:rsidR="00563448" w:rsidRPr="006C6CB5">
              <w:rPr>
                <w:rStyle w:val="Hyperlink"/>
                <w:noProof/>
              </w:rPr>
              <w:t>Common abbreviations</w:t>
            </w:r>
            <w:r w:rsidR="00563448">
              <w:rPr>
                <w:noProof/>
                <w:webHidden/>
              </w:rPr>
              <w:tab/>
            </w:r>
            <w:r w:rsidR="00563448">
              <w:rPr>
                <w:noProof/>
                <w:webHidden/>
              </w:rPr>
              <w:fldChar w:fldCharType="begin"/>
            </w:r>
            <w:r w:rsidR="00563448">
              <w:rPr>
                <w:noProof/>
                <w:webHidden/>
              </w:rPr>
              <w:instrText xml:space="preserve"> PAGEREF _Toc519601777 \h </w:instrText>
            </w:r>
            <w:r w:rsidR="00563448">
              <w:rPr>
                <w:noProof/>
                <w:webHidden/>
              </w:rPr>
            </w:r>
            <w:r w:rsidR="00563448">
              <w:rPr>
                <w:noProof/>
                <w:webHidden/>
              </w:rPr>
              <w:fldChar w:fldCharType="separate"/>
            </w:r>
            <w:r w:rsidR="00563448">
              <w:rPr>
                <w:noProof/>
                <w:webHidden/>
              </w:rPr>
              <w:t>5</w:t>
            </w:r>
            <w:r w:rsidR="00563448">
              <w:rPr>
                <w:noProof/>
                <w:webHidden/>
              </w:rPr>
              <w:fldChar w:fldCharType="end"/>
            </w:r>
          </w:hyperlink>
        </w:p>
        <w:p w14:paraId="5F77FD33" w14:textId="77777777" w:rsidR="00563448" w:rsidRDefault="00563448">
          <w:pPr>
            <w:pStyle w:val="TOC2"/>
            <w:rPr>
              <w:rFonts w:asciiTheme="minorHAnsi" w:eastAsiaTheme="minorEastAsia" w:hAnsiTheme="minorHAnsi" w:cstheme="minorBidi"/>
              <w:b w:val="0"/>
              <w:noProof/>
              <w:sz w:val="22"/>
              <w:lang w:eastAsia="en-AU"/>
            </w:rPr>
          </w:pPr>
          <w:hyperlink w:anchor="_Toc519601778" w:history="1">
            <w:r w:rsidRPr="006C6CB5">
              <w:rPr>
                <w:rStyle w:val="Hyperlink"/>
                <w:noProof/>
              </w:rPr>
              <w:t>I. Introduction to product submission</w:t>
            </w:r>
            <w:r>
              <w:rPr>
                <w:noProof/>
                <w:webHidden/>
              </w:rPr>
              <w:tab/>
            </w:r>
            <w:r>
              <w:rPr>
                <w:noProof/>
                <w:webHidden/>
              </w:rPr>
              <w:fldChar w:fldCharType="begin"/>
            </w:r>
            <w:r>
              <w:rPr>
                <w:noProof/>
                <w:webHidden/>
              </w:rPr>
              <w:instrText xml:space="preserve"> PAGEREF _Toc519601778 \h </w:instrText>
            </w:r>
            <w:r>
              <w:rPr>
                <w:noProof/>
                <w:webHidden/>
              </w:rPr>
            </w:r>
            <w:r>
              <w:rPr>
                <w:noProof/>
                <w:webHidden/>
              </w:rPr>
              <w:fldChar w:fldCharType="separate"/>
            </w:r>
            <w:r>
              <w:rPr>
                <w:noProof/>
                <w:webHidden/>
              </w:rPr>
              <w:t>8</w:t>
            </w:r>
            <w:r>
              <w:rPr>
                <w:noProof/>
                <w:webHidden/>
              </w:rPr>
              <w:fldChar w:fldCharType="end"/>
            </w:r>
          </w:hyperlink>
        </w:p>
        <w:p w14:paraId="193975E8" w14:textId="77777777" w:rsidR="00563448" w:rsidRDefault="00563448">
          <w:pPr>
            <w:pStyle w:val="TOC3"/>
            <w:rPr>
              <w:rFonts w:asciiTheme="minorHAnsi" w:eastAsiaTheme="minorEastAsia" w:hAnsiTheme="minorHAnsi" w:cstheme="minorBidi"/>
              <w:noProof/>
              <w:lang w:eastAsia="en-AU"/>
            </w:rPr>
          </w:pPr>
          <w:hyperlink w:anchor="_Toc519601779" w:history="1">
            <w:r w:rsidRPr="006C6CB5">
              <w:rPr>
                <w:rStyle w:val="Hyperlink"/>
                <w:noProof/>
                <w:lang w:eastAsia="en-AU"/>
              </w:rPr>
              <w:t>Submission details</w:t>
            </w:r>
            <w:r>
              <w:rPr>
                <w:noProof/>
                <w:webHidden/>
              </w:rPr>
              <w:tab/>
            </w:r>
            <w:r>
              <w:rPr>
                <w:noProof/>
                <w:webHidden/>
              </w:rPr>
              <w:fldChar w:fldCharType="begin"/>
            </w:r>
            <w:r>
              <w:rPr>
                <w:noProof/>
                <w:webHidden/>
              </w:rPr>
              <w:instrText xml:space="preserve"> PAGEREF _Toc519601779 \h </w:instrText>
            </w:r>
            <w:r>
              <w:rPr>
                <w:noProof/>
                <w:webHidden/>
              </w:rPr>
            </w:r>
            <w:r>
              <w:rPr>
                <w:noProof/>
                <w:webHidden/>
              </w:rPr>
              <w:fldChar w:fldCharType="separate"/>
            </w:r>
            <w:r>
              <w:rPr>
                <w:noProof/>
                <w:webHidden/>
              </w:rPr>
              <w:t>8</w:t>
            </w:r>
            <w:r>
              <w:rPr>
                <w:noProof/>
                <w:webHidden/>
              </w:rPr>
              <w:fldChar w:fldCharType="end"/>
            </w:r>
          </w:hyperlink>
        </w:p>
        <w:p w14:paraId="4C6CF9BB" w14:textId="77777777" w:rsidR="00563448" w:rsidRDefault="00563448">
          <w:pPr>
            <w:pStyle w:val="TOC3"/>
            <w:rPr>
              <w:rFonts w:asciiTheme="minorHAnsi" w:eastAsiaTheme="minorEastAsia" w:hAnsiTheme="minorHAnsi" w:cstheme="minorBidi"/>
              <w:noProof/>
              <w:lang w:eastAsia="en-AU"/>
            </w:rPr>
          </w:pPr>
          <w:hyperlink w:anchor="_Toc519601780" w:history="1">
            <w:r w:rsidRPr="006C6CB5">
              <w:rPr>
                <w:rStyle w:val="Hyperlink"/>
                <w:noProof/>
              </w:rPr>
              <w:t>Product background</w:t>
            </w:r>
            <w:r>
              <w:rPr>
                <w:noProof/>
                <w:webHidden/>
              </w:rPr>
              <w:tab/>
            </w:r>
            <w:r>
              <w:rPr>
                <w:noProof/>
                <w:webHidden/>
              </w:rPr>
              <w:fldChar w:fldCharType="begin"/>
            </w:r>
            <w:r>
              <w:rPr>
                <w:noProof/>
                <w:webHidden/>
              </w:rPr>
              <w:instrText xml:space="preserve"> PAGEREF _Toc519601780 \h </w:instrText>
            </w:r>
            <w:r>
              <w:rPr>
                <w:noProof/>
                <w:webHidden/>
              </w:rPr>
            </w:r>
            <w:r>
              <w:rPr>
                <w:noProof/>
                <w:webHidden/>
              </w:rPr>
              <w:fldChar w:fldCharType="separate"/>
            </w:r>
            <w:r>
              <w:rPr>
                <w:noProof/>
                <w:webHidden/>
              </w:rPr>
              <w:t>9</w:t>
            </w:r>
            <w:r>
              <w:rPr>
                <w:noProof/>
                <w:webHidden/>
              </w:rPr>
              <w:fldChar w:fldCharType="end"/>
            </w:r>
          </w:hyperlink>
        </w:p>
        <w:p w14:paraId="0BB55A78" w14:textId="77777777" w:rsidR="00563448" w:rsidRDefault="00563448">
          <w:pPr>
            <w:pStyle w:val="TOC3"/>
            <w:rPr>
              <w:rFonts w:asciiTheme="minorHAnsi" w:eastAsiaTheme="minorEastAsia" w:hAnsiTheme="minorHAnsi" w:cstheme="minorBidi"/>
              <w:noProof/>
              <w:lang w:eastAsia="en-AU"/>
            </w:rPr>
          </w:pPr>
          <w:hyperlink w:anchor="_Toc519601781" w:history="1">
            <w:r w:rsidRPr="006C6CB5">
              <w:rPr>
                <w:rStyle w:val="Hyperlink"/>
                <w:noProof/>
              </w:rPr>
              <w:t>Regulatory status</w:t>
            </w:r>
            <w:r>
              <w:rPr>
                <w:noProof/>
                <w:webHidden/>
              </w:rPr>
              <w:tab/>
            </w:r>
            <w:r>
              <w:rPr>
                <w:noProof/>
                <w:webHidden/>
              </w:rPr>
              <w:fldChar w:fldCharType="begin"/>
            </w:r>
            <w:r>
              <w:rPr>
                <w:noProof/>
                <w:webHidden/>
              </w:rPr>
              <w:instrText xml:space="preserve"> PAGEREF _Toc519601781 \h </w:instrText>
            </w:r>
            <w:r>
              <w:rPr>
                <w:noProof/>
                <w:webHidden/>
              </w:rPr>
            </w:r>
            <w:r>
              <w:rPr>
                <w:noProof/>
                <w:webHidden/>
              </w:rPr>
              <w:fldChar w:fldCharType="separate"/>
            </w:r>
            <w:r>
              <w:rPr>
                <w:noProof/>
                <w:webHidden/>
              </w:rPr>
              <w:t>10</w:t>
            </w:r>
            <w:r>
              <w:rPr>
                <w:noProof/>
                <w:webHidden/>
              </w:rPr>
              <w:fldChar w:fldCharType="end"/>
            </w:r>
          </w:hyperlink>
        </w:p>
        <w:p w14:paraId="475C77C6" w14:textId="77777777" w:rsidR="00563448" w:rsidRDefault="00563448">
          <w:pPr>
            <w:pStyle w:val="TOC3"/>
            <w:rPr>
              <w:rFonts w:asciiTheme="minorHAnsi" w:eastAsiaTheme="minorEastAsia" w:hAnsiTheme="minorHAnsi" w:cstheme="minorBidi"/>
              <w:noProof/>
              <w:lang w:eastAsia="en-AU"/>
            </w:rPr>
          </w:pPr>
          <w:hyperlink w:anchor="_Toc519601782" w:history="1">
            <w:r w:rsidRPr="006C6CB5">
              <w:rPr>
                <w:rStyle w:val="Hyperlink"/>
                <w:noProof/>
              </w:rPr>
              <w:t>Product Information</w:t>
            </w:r>
            <w:r>
              <w:rPr>
                <w:noProof/>
                <w:webHidden/>
              </w:rPr>
              <w:tab/>
            </w:r>
            <w:r>
              <w:rPr>
                <w:noProof/>
                <w:webHidden/>
              </w:rPr>
              <w:fldChar w:fldCharType="begin"/>
            </w:r>
            <w:r>
              <w:rPr>
                <w:noProof/>
                <w:webHidden/>
              </w:rPr>
              <w:instrText xml:space="preserve"> PAGEREF _Toc519601782 \h </w:instrText>
            </w:r>
            <w:r>
              <w:rPr>
                <w:noProof/>
                <w:webHidden/>
              </w:rPr>
            </w:r>
            <w:r>
              <w:rPr>
                <w:noProof/>
                <w:webHidden/>
              </w:rPr>
              <w:fldChar w:fldCharType="separate"/>
            </w:r>
            <w:r>
              <w:rPr>
                <w:noProof/>
                <w:webHidden/>
              </w:rPr>
              <w:t>10</w:t>
            </w:r>
            <w:r>
              <w:rPr>
                <w:noProof/>
                <w:webHidden/>
              </w:rPr>
              <w:fldChar w:fldCharType="end"/>
            </w:r>
          </w:hyperlink>
        </w:p>
        <w:p w14:paraId="416BBA07" w14:textId="77777777" w:rsidR="00563448" w:rsidRDefault="00563448">
          <w:pPr>
            <w:pStyle w:val="TOC2"/>
            <w:rPr>
              <w:rFonts w:asciiTheme="minorHAnsi" w:eastAsiaTheme="minorEastAsia" w:hAnsiTheme="minorHAnsi" w:cstheme="minorBidi"/>
              <w:b w:val="0"/>
              <w:noProof/>
              <w:sz w:val="22"/>
              <w:lang w:eastAsia="en-AU"/>
            </w:rPr>
          </w:pPr>
          <w:hyperlink w:anchor="_Toc519601783" w:history="1">
            <w:r w:rsidRPr="006C6CB5">
              <w:rPr>
                <w:rStyle w:val="Hyperlink"/>
                <w:noProof/>
              </w:rPr>
              <w:t>II. Registration timeline</w:t>
            </w:r>
            <w:r>
              <w:rPr>
                <w:noProof/>
                <w:webHidden/>
              </w:rPr>
              <w:tab/>
            </w:r>
            <w:r>
              <w:rPr>
                <w:noProof/>
                <w:webHidden/>
              </w:rPr>
              <w:fldChar w:fldCharType="begin"/>
            </w:r>
            <w:r>
              <w:rPr>
                <w:noProof/>
                <w:webHidden/>
              </w:rPr>
              <w:instrText xml:space="preserve"> PAGEREF _Toc519601783 \h </w:instrText>
            </w:r>
            <w:r>
              <w:rPr>
                <w:noProof/>
                <w:webHidden/>
              </w:rPr>
            </w:r>
            <w:r>
              <w:rPr>
                <w:noProof/>
                <w:webHidden/>
              </w:rPr>
              <w:fldChar w:fldCharType="separate"/>
            </w:r>
            <w:r>
              <w:rPr>
                <w:noProof/>
                <w:webHidden/>
              </w:rPr>
              <w:t>10</w:t>
            </w:r>
            <w:r>
              <w:rPr>
                <w:noProof/>
                <w:webHidden/>
              </w:rPr>
              <w:fldChar w:fldCharType="end"/>
            </w:r>
          </w:hyperlink>
        </w:p>
        <w:p w14:paraId="5CCC62E0" w14:textId="77777777" w:rsidR="00563448" w:rsidRDefault="00563448">
          <w:pPr>
            <w:pStyle w:val="TOC2"/>
            <w:rPr>
              <w:rFonts w:asciiTheme="minorHAnsi" w:eastAsiaTheme="minorEastAsia" w:hAnsiTheme="minorHAnsi" w:cstheme="minorBidi"/>
              <w:b w:val="0"/>
              <w:noProof/>
              <w:sz w:val="22"/>
              <w:lang w:eastAsia="en-AU"/>
            </w:rPr>
          </w:pPr>
          <w:hyperlink w:anchor="_Toc519601784" w:history="1">
            <w:r w:rsidRPr="006C6CB5">
              <w:rPr>
                <w:rStyle w:val="Hyperlink"/>
                <w:noProof/>
              </w:rPr>
              <w:t>III. Quality findings</w:t>
            </w:r>
            <w:r>
              <w:rPr>
                <w:noProof/>
                <w:webHidden/>
              </w:rPr>
              <w:tab/>
            </w:r>
            <w:r>
              <w:rPr>
                <w:noProof/>
                <w:webHidden/>
              </w:rPr>
              <w:fldChar w:fldCharType="begin"/>
            </w:r>
            <w:r>
              <w:rPr>
                <w:noProof/>
                <w:webHidden/>
              </w:rPr>
              <w:instrText xml:space="preserve"> PAGEREF _Toc519601784 \h </w:instrText>
            </w:r>
            <w:r>
              <w:rPr>
                <w:noProof/>
                <w:webHidden/>
              </w:rPr>
            </w:r>
            <w:r>
              <w:rPr>
                <w:noProof/>
                <w:webHidden/>
              </w:rPr>
              <w:fldChar w:fldCharType="separate"/>
            </w:r>
            <w:r>
              <w:rPr>
                <w:noProof/>
                <w:webHidden/>
              </w:rPr>
              <w:t>11</w:t>
            </w:r>
            <w:r>
              <w:rPr>
                <w:noProof/>
                <w:webHidden/>
              </w:rPr>
              <w:fldChar w:fldCharType="end"/>
            </w:r>
          </w:hyperlink>
        </w:p>
        <w:p w14:paraId="27FA1E64" w14:textId="77777777" w:rsidR="00563448" w:rsidRDefault="00563448">
          <w:pPr>
            <w:pStyle w:val="TOC3"/>
            <w:rPr>
              <w:rFonts w:asciiTheme="minorHAnsi" w:eastAsiaTheme="minorEastAsia" w:hAnsiTheme="minorHAnsi" w:cstheme="minorBidi"/>
              <w:noProof/>
              <w:lang w:eastAsia="en-AU"/>
            </w:rPr>
          </w:pPr>
          <w:hyperlink w:anchor="_Toc519601785" w:history="1">
            <w:r w:rsidRPr="006C6CB5">
              <w:rPr>
                <w:rStyle w:val="Hyperlink"/>
                <w:noProof/>
              </w:rPr>
              <w:t>Introduction</w:t>
            </w:r>
            <w:r>
              <w:rPr>
                <w:noProof/>
                <w:webHidden/>
              </w:rPr>
              <w:tab/>
            </w:r>
            <w:r>
              <w:rPr>
                <w:noProof/>
                <w:webHidden/>
              </w:rPr>
              <w:fldChar w:fldCharType="begin"/>
            </w:r>
            <w:r>
              <w:rPr>
                <w:noProof/>
                <w:webHidden/>
              </w:rPr>
              <w:instrText xml:space="preserve"> PAGEREF _Toc519601785 \h </w:instrText>
            </w:r>
            <w:r>
              <w:rPr>
                <w:noProof/>
                <w:webHidden/>
              </w:rPr>
            </w:r>
            <w:r>
              <w:rPr>
                <w:noProof/>
                <w:webHidden/>
              </w:rPr>
              <w:fldChar w:fldCharType="separate"/>
            </w:r>
            <w:r>
              <w:rPr>
                <w:noProof/>
                <w:webHidden/>
              </w:rPr>
              <w:t>11</w:t>
            </w:r>
            <w:r>
              <w:rPr>
                <w:noProof/>
                <w:webHidden/>
              </w:rPr>
              <w:fldChar w:fldCharType="end"/>
            </w:r>
          </w:hyperlink>
        </w:p>
        <w:p w14:paraId="416CB533" w14:textId="77777777" w:rsidR="00563448" w:rsidRDefault="00563448">
          <w:pPr>
            <w:pStyle w:val="TOC3"/>
            <w:rPr>
              <w:rFonts w:asciiTheme="minorHAnsi" w:eastAsiaTheme="minorEastAsia" w:hAnsiTheme="minorHAnsi" w:cstheme="minorBidi"/>
              <w:noProof/>
              <w:lang w:eastAsia="en-AU"/>
            </w:rPr>
          </w:pPr>
          <w:hyperlink w:anchor="_Toc519601786" w:history="1">
            <w:r w:rsidRPr="006C6CB5">
              <w:rPr>
                <w:rStyle w:val="Hyperlink"/>
                <w:noProof/>
              </w:rPr>
              <w:t>Drug substance (active ingredient)</w:t>
            </w:r>
            <w:r>
              <w:rPr>
                <w:noProof/>
                <w:webHidden/>
              </w:rPr>
              <w:tab/>
            </w:r>
            <w:r>
              <w:rPr>
                <w:noProof/>
                <w:webHidden/>
              </w:rPr>
              <w:fldChar w:fldCharType="begin"/>
            </w:r>
            <w:r>
              <w:rPr>
                <w:noProof/>
                <w:webHidden/>
              </w:rPr>
              <w:instrText xml:space="preserve"> PAGEREF _Toc519601786 \h </w:instrText>
            </w:r>
            <w:r>
              <w:rPr>
                <w:noProof/>
                <w:webHidden/>
              </w:rPr>
            </w:r>
            <w:r>
              <w:rPr>
                <w:noProof/>
                <w:webHidden/>
              </w:rPr>
              <w:fldChar w:fldCharType="separate"/>
            </w:r>
            <w:r>
              <w:rPr>
                <w:noProof/>
                <w:webHidden/>
              </w:rPr>
              <w:t>12</w:t>
            </w:r>
            <w:r>
              <w:rPr>
                <w:noProof/>
                <w:webHidden/>
              </w:rPr>
              <w:fldChar w:fldCharType="end"/>
            </w:r>
          </w:hyperlink>
        </w:p>
        <w:p w14:paraId="02703B53" w14:textId="77777777" w:rsidR="00563448" w:rsidRDefault="00563448">
          <w:pPr>
            <w:pStyle w:val="TOC3"/>
            <w:rPr>
              <w:rFonts w:asciiTheme="minorHAnsi" w:eastAsiaTheme="minorEastAsia" w:hAnsiTheme="minorHAnsi" w:cstheme="minorBidi"/>
              <w:noProof/>
              <w:lang w:eastAsia="en-AU"/>
            </w:rPr>
          </w:pPr>
          <w:hyperlink w:anchor="_Toc519601787" w:history="1">
            <w:r w:rsidRPr="006C6CB5">
              <w:rPr>
                <w:rStyle w:val="Hyperlink"/>
                <w:noProof/>
              </w:rPr>
              <w:t>Drug product</w:t>
            </w:r>
            <w:r>
              <w:rPr>
                <w:noProof/>
                <w:webHidden/>
              </w:rPr>
              <w:tab/>
            </w:r>
            <w:r>
              <w:rPr>
                <w:noProof/>
                <w:webHidden/>
              </w:rPr>
              <w:fldChar w:fldCharType="begin"/>
            </w:r>
            <w:r>
              <w:rPr>
                <w:noProof/>
                <w:webHidden/>
              </w:rPr>
              <w:instrText xml:space="preserve"> PAGEREF _Toc519601787 \h </w:instrText>
            </w:r>
            <w:r>
              <w:rPr>
                <w:noProof/>
                <w:webHidden/>
              </w:rPr>
            </w:r>
            <w:r>
              <w:rPr>
                <w:noProof/>
                <w:webHidden/>
              </w:rPr>
              <w:fldChar w:fldCharType="separate"/>
            </w:r>
            <w:r>
              <w:rPr>
                <w:noProof/>
                <w:webHidden/>
              </w:rPr>
              <w:t>12</w:t>
            </w:r>
            <w:r>
              <w:rPr>
                <w:noProof/>
                <w:webHidden/>
              </w:rPr>
              <w:fldChar w:fldCharType="end"/>
            </w:r>
          </w:hyperlink>
        </w:p>
        <w:p w14:paraId="26A091CE" w14:textId="77777777" w:rsidR="00563448" w:rsidRDefault="00563448">
          <w:pPr>
            <w:pStyle w:val="TOC3"/>
            <w:rPr>
              <w:rFonts w:asciiTheme="minorHAnsi" w:eastAsiaTheme="minorEastAsia" w:hAnsiTheme="minorHAnsi" w:cstheme="minorBidi"/>
              <w:noProof/>
              <w:lang w:eastAsia="en-AU"/>
            </w:rPr>
          </w:pPr>
          <w:hyperlink w:anchor="_Toc519601788" w:history="1">
            <w:r w:rsidRPr="006C6CB5">
              <w:rPr>
                <w:rStyle w:val="Hyperlink"/>
                <w:noProof/>
              </w:rPr>
              <w:t>Quality summary and conclusions</w:t>
            </w:r>
            <w:r>
              <w:rPr>
                <w:noProof/>
                <w:webHidden/>
              </w:rPr>
              <w:tab/>
            </w:r>
            <w:r>
              <w:rPr>
                <w:noProof/>
                <w:webHidden/>
              </w:rPr>
              <w:fldChar w:fldCharType="begin"/>
            </w:r>
            <w:r>
              <w:rPr>
                <w:noProof/>
                <w:webHidden/>
              </w:rPr>
              <w:instrText xml:space="preserve"> PAGEREF _Toc519601788 \h </w:instrText>
            </w:r>
            <w:r>
              <w:rPr>
                <w:noProof/>
                <w:webHidden/>
              </w:rPr>
            </w:r>
            <w:r>
              <w:rPr>
                <w:noProof/>
                <w:webHidden/>
              </w:rPr>
              <w:fldChar w:fldCharType="separate"/>
            </w:r>
            <w:r>
              <w:rPr>
                <w:noProof/>
                <w:webHidden/>
              </w:rPr>
              <w:t>13</w:t>
            </w:r>
            <w:r>
              <w:rPr>
                <w:noProof/>
                <w:webHidden/>
              </w:rPr>
              <w:fldChar w:fldCharType="end"/>
            </w:r>
          </w:hyperlink>
        </w:p>
        <w:p w14:paraId="79065D95" w14:textId="77777777" w:rsidR="00563448" w:rsidRDefault="00563448">
          <w:pPr>
            <w:pStyle w:val="TOC2"/>
            <w:rPr>
              <w:rFonts w:asciiTheme="minorHAnsi" w:eastAsiaTheme="minorEastAsia" w:hAnsiTheme="minorHAnsi" w:cstheme="minorBidi"/>
              <w:b w:val="0"/>
              <w:noProof/>
              <w:sz w:val="22"/>
              <w:lang w:eastAsia="en-AU"/>
            </w:rPr>
          </w:pPr>
          <w:hyperlink w:anchor="_Toc519601789" w:history="1">
            <w:r w:rsidRPr="006C6CB5">
              <w:rPr>
                <w:rStyle w:val="Hyperlink"/>
                <w:noProof/>
              </w:rPr>
              <w:t>IV. Nonclinical findings</w:t>
            </w:r>
            <w:r>
              <w:rPr>
                <w:noProof/>
                <w:webHidden/>
              </w:rPr>
              <w:tab/>
            </w:r>
            <w:r>
              <w:rPr>
                <w:noProof/>
                <w:webHidden/>
              </w:rPr>
              <w:fldChar w:fldCharType="begin"/>
            </w:r>
            <w:r>
              <w:rPr>
                <w:noProof/>
                <w:webHidden/>
              </w:rPr>
              <w:instrText xml:space="preserve"> PAGEREF _Toc519601789 \h </w:instrText>
            </w:r>
            <w:r>
              <w:rPr>
                <w:noProof/>
                <w:webHidden/>
              </w:rPr>
            </w:r>
            <w:r>
              <w:rPr>
                <w:noProof/>
                <w:webHidden/>
              </w:rPr>
              <w:fldChar w:fldCharType="separate"/>
            </w:r>
            <w:r>
              <w:rPr>
                <w:noProof/>
                <w:webHidden/>
              </w:rPr>
              <w:t>14</w:t>
            </w:r>
            <w:r>
              <w:rPr>
                <w:noProof/>
                <w:webHidden/>
              </w:rPr>
              <w:fldChar w:fldCharType="end"/>
            </w:r>
          </w:hyperlink>
        </w:p>
        <w:p w14:paraId="0441147E" w14:textId="77777777" w:rsidR="00563448" w:rsidRDefault="00563448">
          <w:pPr>
            <w:pStyle w:val="TOC3"/>
            <w:rPr>
              <w:rFonts w:asciiTheme="minorHAnsi" w:eastAsiaTheme="minorEastAsia" w:hAnsiTheme="minorHAnsi" w:cstheme="minorBidi"/>
              <w:noProof/>
              <w:lang w:eastAsia="en-AU"/>
            </w:rPr>
          </w:pPr>
          <w:hyperlink w:anchor="_Toc519601790" w:history="1">
            <w:r w:rsidRPr="006C6CB5">
              <w:rPr>
                <w:rStyle w:val="Hyperlink"/>
                <w:noProof/>
              </w:rPr>
              <w:t>Introduction</w:t>
            </w:r>
            <w:r>
              <w:rPr>
                <w:noProof/>
                <w:webHidden/>
              </w:rPr>
              <w:tab/>
            </w:r>
            <w:r>
              <w:rPr>
                <w:noProof/>
                <w:webHidden/>
              </w:rPr>
              <w:fldChar w:fldCharType="begin"/>
            </w:r>
            <w:r>
              <w:rPr>
                <w:noProof/>
                <w:webHidden/>
              </w:rPr>
              <w:instrText xml:space="preserve"> PAGEREF _Toc519601790 \h </w:instrText>
            </w:r>
            <w:r>
              <w:rPr>
                <w:noProof/>
                <w:webHidden/>
              </w:rPr>
            </w:r>
            <w:r>
              <w:rPr>
                <w:noProof/>
                <w:webHidden/>
              </w:rPr>
              <w:fldChar w:fldCharType="separate"/>
            </w:r>
            <w:r>
              <w:rPr>
                <w:noProof/>
                <w:webHidden/>
              </w:rPr>
              <w:t>14</w:t>
            </w:r>
            <w:r>
              <w:rPr>
                <w:noProof/>
                <w:webHidden/>
              </w:rPr>
              <w:fldChar w:fldCharType="end"/>
            </w:r>
          </w:hyperlink>
        </w:p>
        <w:p w14:paraId="4FBBE6E3" w14:textId="77777777" w:rsidR="00563448" w:rsidRDefault="00563448">
          <w:pPr>
            <w:pStyle w:val="TOC3"/>
            <w:rPr>
              <w:rFonts w:asciiTheme="minorHAnsi" w:eastAsiaTheme="minorEastAsia" w:hAnsiTheme="minorHAnsi" w:cstheme="minorBidi"/>
              <w:noProof/>
              <w:lang w:eastAsia="en-AU"/>
            </w:rPr>
          </w:pPr>
          <w:hyperlink w:anchor="_Toc519601791" w:history="1">
            <w:r w:rsidRPr="006C6CB5">
              <w:rPr>
                <w:rStyle w:val="Hyperlink"/>
                <w:noProof/>
              </w:rPr>
              <w:t>Pharmacology</w:t>
            </w:r>
            <w:r>
              <w:rPr>
                <w:noProof/>
                <w:webHidden/>
              </w:rPr>
              <w:tab/>
            </w:r>
            <w:r>
              <w:rPr>
                <w:noProof/>
                <w:webHidden/>
              </w:rPr>
              <w:fldChar w:fldCharType="begin"/>
            </w:r>
            <w:r>
              <w:rPr>
                <w:noProof/>
                <w:webHidden/>
              </w:rPr>
              <w:instrText xml:space="preserve"> PAGEREF _Toc519601791 \h </w:instrText>
            </w:r>
            <w:r>
              <w:rPr>
                <w:noProof/>
                <w:webHidden/>
              </w:rPr>
            </w:r>
            <w:r>
              <w:rPr>
                <w:noProof/>
                <w:webHidden/>
              </w:rPr>
              <w:fldChar w:fldCharType="separate"/>
            </w:r>
            <w:r>
              <w:rPr>
                <w:noProof/>
                <w:webHidden/>
              </w:rPr>
              <w:t>14</w:t>
            </w:r>
            <w:r>
              <w:rPr>
                <w:noProof/>
                <w:webHidden/>
              </w:rPr>
              <w:fldChar w:fldCharType="end"/>
            </w:r>
          </w:hyperlink>
        </w:p>
        <w:p w14:paraId="76956662" w14:textId="77777777" w:rsidR="00563448" w:rsidRDefault="00563448">
          <w:pPr>
            <w:pStyle w:val="TOC3"/>
            <w:rPr>
              <w:rFonts w:asciiTheme="minorHAnsi" w:eastAsiaTheme="minorEastAsia" w:hAnsiTheme="minorHAnsi" w:cstheme="minorBidi"/>
              <w:noProof/>
              <w:lang w:eastAsia="en-AU"/>
            </w:rPr>
          </w:pPr>
          <w:hyperlink w:anchor="_Toc519601792" w:history="1">
            <w:r w:rsidRPr="006C6CB5">
              <w:rPr>
                <w:rStyle w:val="Hyperlink"/>
                <w:noProof/>
              </w:rPr>
              <w:t>Pharmacokinetics</w:t>
            </w:r>
            <w:r>
              <w:rPr>
                <w:noProof/>
                <w:webHidden/>
              </w:rPr>
              <w:tab/>
            </w:r>
            <w:r>
              <w:rPr>
                <w:noProof/>
                <w:webHidden/>
              </w:rPr>
              <w:fldChar w:fldCharType="begin"/>
            </w:r>
            <w:r>
              <w:rPr>
                <w:noProof/>
                <w:webHidden/>
              </w:rPr>
              <w:instrText xml:space="preserve"> PAGEREF _Toc519601792 \h </w:instrText>
            </w:r>
            <w:r>
              <w:rPr>
                <w:noProof/>
                <w:webHidden/>
              </w:rPr>
            </w:r>
            <w:r>
              <w:rPr>
                <w:noProof/>
                <w:webHidden/>
              </w:rPr>
              <w:fldChar w:fldCharType="separate"/>
            </w:r>
            <w:r>
              <w:rPr>
                <w:noProof/>
                <w:webHidden/>
              </w:rPr>
              <w:t>15</w:t>
            </w:r>
            <w:r>
              <w:rPr>
                <w:noProof/>
                <w:webHidden/>
              </w:rPr>
              <w:fldChar w:fldCharType="end"/>
            </w:r>
          </w:hyperlink>
        </w:p>
        <w:p w14:paraId="5C85A839" w14:textId="77777777" w:rsidR="00563448" w:rsidRDefault="00563448">
          <w:pPr>
            <w:pStyle w:val="TOC3"/>
            <w:rPr>
              <w:rFonts w:asciiTheme="minorHAnsi" w:eastAsiaTheme="minorEastAsia" w:hAnsiTheme="minorHAnsi" w:cstheme="minorBidi"/>
              <w:noProof/>
              <w:lang w:eastAsia="en-AU"/>
            </w:rPr>
          </w:pPr>
          <w:hyperlink w:anchor="_Toc519601793" w:history="1">
            <w:r w:rsidRPr="006C6CB5">
              <w:rPr>
                <w:rStyle w:val="Hyperlink"/>
                <w:noProof/>
              </w:rPr>
              <w:t>Toxicology</w:t>
            </w:r>
            <w:r>
              <w:rPr>
                <w:noProof/>
                <w:webHidden/>
              </w:rPr>
              <w:tab/>
            </w:r>
            <w:r>
              <w:rPr>
                <w:noProof/>
                <w:webHidden/>
              </w:rPr>
              <w:fldChar w:fldCharType="begin"/>
            </w:r>
            <w:r>
              <w:rPr>
                <w:noProof/>
                <w:webHidden/>
              </w:rPr>
              <w:instrText xml:space="preserve"> PAGEREF _Toc519601793 \h </w:instrText>
            </w:r>
            <w:r>
              <w:rPr>
                <w:noProof/>
                <w:webHidden/>
              </w:rPr>
            </w:r>
            <w:r>
              <w:rPr>
                <w:noProof/>
                <w:webHidden/>
              </w:rPr>
              <w:fldChar w:fldCharType="separate"/>
            </w:r>
            <w:r>
              <w:rPr>
                <w:noProof/>
                <w:webHidden/>
              </w:rPr>
              <w:t>16</w:t>
            </w:r>
            <w:r>
              <w:rPr>
                <w:noProof/>
                <w:webHidden/>
              </w:rPr>
              <w:fldChar w:fldCharType="end"/>
            </w:r>
          </w:hyperlink>
        </w:p>
        <w:p w14:paraId="0E937ED5" w14:textId="77777777" w:rsidR="00563448" w:rsidRDefault="00563448">
          <w:pPr>
            <w:pStyle w:val="TOC3"/>
            <w:rPr>
              <w:rFonts w:asciiTheme="minorHAnsi" w:eastAsiaTheme="minorEastAsia" w:hAnsiTheme="minorHAnsi" w:cstheme="minorBidi"/>
              <w:noProof/>
              <w:lang w:eastAsia="en-AU"/>
            </w:rPr>
          </w:pPr>
          <w:hyperlink w:anchor="_Toc519601794" w:history="1">
            <w:r w:rsidRPr="006C6CB5">
              <w:rPr>
                <w:rStyle w:val="Hyperlink"/>
                <w:noProof/>
              </w:rPr>
              <w:t>Nonclinical summary and conclusions</w:t>
            </w:r>
            <w:r>
              <w:rPr>
                <w:noProof/>
                <w:webHidden/>
              </w:rPr>
              <w:tab/>
            </w:r>
            <w:r>
              <w:rPr>
                <w:noProof/>
                <w:webHidden/>
              </w:rPr>
              <w:fldChar w:fldCharType="begin"/>
            </w:r>
            <w:r>
              <w:rPr>
                <w:noProof/>
                <w:webHidden/>
              </w:rPr>
              <w:instrText xml:space="preserve"> PAGEREF _Toc519601794 \h </w:instrText>
            </w:r>
            <w:r>
              <w:rPr>
                <w:noProof/>
                <w:webHidden/>
              </w:rPr>
            </w:r>
            <w:r>
              <w:rPr>
                <w:noProof/>
                <w:webHidden/>
              </w:rPr>
              <w:fldChar w:fldCharType="separate"/>
            </w:r>
            <w:r>
              <w:rPr>
                <w:noProof/>
                <w:webHidden/>
              </w:rPr>
              <w:t>22</w:t>
            </w:r>
            <w:r>
              <w:rPr>
                <w:noProof/>
                <w:webHidden/>
              </w:rPr>
              <w:fldChar w:fldCharType="end"/>
            </w:r>
          </w:hyperlink>
        </w:p>
        <w:p w14:paraId="4B7568FA" w14:textId="77777777" w:rsidR="00563448" w:rsidRDefault="00563448">
          <w:pPr>
            <w:pStyle w:val="TOC2"/>
            <w:rPr>
              <w:rFonts w:asciiTheme="minorHAnsi" w:eastAsiaTheme="minorEastAsia" w:hAnsiTheme="minorHAnsi" w:cstheme="minorBidi"/>
              <w:b w:val="0"/>
              <w:noProof/>
              <w:sz w:val="22"/>
              <w:lang w:eastAsia="en-AU"/>
            </w:rPr>
          </w:pPr>
          <w:hyperlink w:anchor="_Toc519601795" w:history="1">
            <w:r w:rsidRPr="006C6CB5">
              <w:rPr>
                <w:rStyle w:val="Hyperlink"/>
                <w:noProof/>
              </w:rPr>
              <w:t>V. Clinical findings</w:t>
            </w:r>
            <w:r>
              <w:rPr>
                <w:noProof/>
                <w:webHidden/>
              </w:rPr>
              <w:tab/>
            </w:r>
            <w:r>
              <w:rPr>
                <w:noProof/>
                <w:webHidden/>
              </w:rPr>
              <w:fldChar w:fldCharType="begin"/>
            </w:r>
            <w:r>
              <w:rPr>
                <w:noProof/>
                <w:webHidden/>
              </w:rPr>
              <w:instrText xml:space="preserve"> PAGEREF _Toc519601795 \h </w:instrText>
            </w:r>
            <w:r>
              <w:rPr>
                <w:noProof/>
                <w:webHidden/>
              </w:rPr>
            </w:r>
            <w:r>
              <w:rPr>
                <w:noProof/>
                <w:webHidden/>
              </w:rPr>
              <w:fldChar w:fldCharType="separate"/>
            </w:r>
            <w:r>
              <w:rPr>
                <w:noProof/>
                <w:webHidden/>
              </w:rPr>
              <w:t>23</w:t>
            </w:r>
            <w:r>
              <w:rPr>
                <w:noProof/>
                <w:webHidden/>
              </w:rPr>
              <w:fldChar w:fldCharType="end"/>
            </w:r>
          </w:hyperlink>
        </w:p>
        <w:p w14:paraId="7249101D" w14:textId="77777777" w:rsidR="00563448" w:rsidRDefault="00563448">
          <w:pPr>
            <w:pStyle w:val="TOC3"/>
            <w:rPr>
              <w:rFonts w:asciiTheme="minorHAnsi" w:eastAsiaTheme="minorEastAsia" w:hAnsiTheme="minorHAnsi" w:cstheme="minorBidi"/>
              <w:noProof/>
              <w:lang w:eastAsia="en-AU"/>
            </w:rPr>
          </w:pPr>
          <w:hyperlink w:anchor="_Toc519601796" w:history="1">
            <w:r w:rsidRPr="006C6CB5">
              <w:rPr>
                <w:rStyle w:val="Hyperlink"/>
                <w:noProof/>
              </w:rPr>
              <w:t>Introduction</w:t>
            </w:r>
            <w:r>
              <w:rPr>
                <w:noProof/>
                <w:webHidden/>
              </w:rPr>
              <w:tab/>
            </w:r>
            <w:r>
              <w:rPr>
                <w:noProof/>
                <w:webHidden/>
              </w:rPr>
              <w:fldChar w:fldCharType="begin"/>
            </w:r>
            <w:r>
              <w:rPr>
                <w:noProof/>
                <w:webHidden/>
              </w:rPr>
              <w:instrText xml:space="preserve"> PAGEREF _Toc519601796 \h </w:instrText>
            </w:r>
            <w:r>
              <w:rPr>
                <w:noProof/>
                <w:webHidden/>
              </w:rPr>
            </w:r>
            <w:r>
              <w:rPr>
                <w:noProof/>
                <w:webHidden/>
              </w:rPr>
              <w:fldChar w:fldCharType="separate"/>
            </w:r>
            <w:r>
              <w:rPr>
                <w:noProof/>
                <w:webHidden/>
              </w:rPr>
              <w:t>23</w:t>
            </w:r>
            <w:r>
              <w:rPr>
                <w:noProof/>
                <w:webHidden/>
              </w:rPr>
              <w:fldChar w:fldCharType="end"/>
            </w:r>
          </w:hyperlink>
        </w:p>
        <w:p w14:paraId="77FC2BCE" w14:textId="77777777" w:rsidR="00563448" w:rsidRDefault="00563448">
          <w:pPr>
            <w:pStyle w:val="TOC3"/>
            <w:rPr>
              <w:rFonts w:asciiTheme="minorHAnsi" w:eastAsiaTheme="minorEastAsia" w:hAnsiTheme="minorHAnsi" w:cstheme="minorBidi"/>
              <w:noProof/>
              <w:lang w:eastAsia="en-AU"/>
            </w:rPr>
          </w:pPr>
          <w:hyperlink w:anchor="_Toc519601797" w:history="1">
            <w:r w:rsidRPr="006C6CB5">
              <w:rPr>
                <w:rStyle w:val="Hyperlink"/>
                <w:noProof/>
              </w:rPr>
              <w:t>Pharmacokinetics</w:t>
            </w:r>
            <w:r>
              <w:rPr>
                <w:noProof/>
                <w:webHidden/>
              </w:rPr>
              <w:tab/>
            </w:r>
            <w:r>
              <w:rPr>
                <w:noProof/>
                <w:webHidden/>
              </w:rPr>
              <w:fldChar w:fldCharType="begin"/>
            </w:r>
            <w:r>
              <w:rPr>
                <w:noProof/>
                <w:webHidden/>
              </w:rPr>
              <w:instrText xml:space="preserve"> PAGEREF _Toc519601797 \h </w:instrText>
            </w:r>
            <w:r>
              <w:rPr>
                <w:noProof/>
                <w:webHidden/>
              </w:rPr>
            </w:r>
            <w:r>
              <w:rPr>
                <w:noProof/>
                <w:webHidden/>
              </w:rPr>
              <w:fldChar w:fldCharType="separate"/>
            </w:r>
            <w:r>
              <w:rPr>
                <w:noProof/>
                <w:webHidden/>
              </w:rPr>
              <w:t>26</w:t>
            </w:r>
            <w:r>
              <w:rPr>
                <w:noProof/>
                <w:webHidden/>
              </w:rPr>
              <w:fldChar w:fldCharType="end"/>
            </w:r>
          </w:hyperlink>
        </w:p>
        <w:p w14:paraId="20298708" w14:textId="77777777" w:rsidR="00563448" w:rsidRDefault="00563448">
          <w:pPr>
            <w:pStyle w:val="TOC3"/>
            <w:rPr>
              <w:rFonts w:asciiTheme="minorHAnsi" w:eastAsiaTheme="minorEastAsia" w:hAnsiTheme="minorHAnsi" w:cstheme="minorBidi"/>
              <w:noProof/>
              <w:lang w:eastAsia="en-AU"/>
            </w:rPr>
          </w:pPr>
          <w:hyperlink w:anchor="_Toc519601798" w:history="1">
            <w:r w:rsidRPr="006C6CB5">
              <w:rPr>
                <w:rStyle w:val="Hyperlink"/>
                <w:noProof/>
              </w:rPr>
              <w:t>Pharmacodynamics</w:t>
            </w:r>
            <w:r>
              <w:rPr>
                <w:noProof/>
                <w:webHidden/>
              </w:rPr>
              <w:tab/>
            </w:r>
            <w:r>
              <w:rPr>
                <w:noProof/>
                <w:webHidden/>
              </w:rPr>
              <w:fldChar w:fldCharType="begin"/>
            </w:r>
            <w:r>
              <w:rPr>
                <w:noProof/>
                <w:webHidden/>
              </w:rPr>
              <w:instrText xml:space="preserve"> PAGEREF _Toc519601798 \h </w:instrText>
            </w:r>
            <w:r>
              <w:rPr>
                <w:noProof/>
                <w:webHidden/>
              </w:rPr>
            </w:r>
            <w:r>
              <w:rPr>
                <w:noProof/>
                <w:webHidden/>
              </w:rPr>
              <w:fldChar w:fldCharType="separate"/>
            </w:r>
            <w:r>
              <w:rPr>
                <w:noProof/>
                <w:webHidden/>
              </w:rPr>
              <w:t>28</w:t>
            </w:r>
            <w:r>
              <w:rPr>
                <w:noProof/>
                <w:webHidden/>
              </w:rPr>
              <w:fldChar w:fldCharType="end"/>
            </w:r>
          </w:hyperlink>
        </w:p>
        <w:p w14:paraId="742E07DC" w14:textId="77777777" w:rsidR="00563448" w:rsidRDefault="00563448">
          <w:pPr>
            <w:pStyle w:val="TOC3"/>
            <w:rPr>
              <w:rFonts w:asciiTheme="minorHAnsi" w:eastAsiaTheme="minorEastAsia" w:hAnsiTheme="minorHAnsi" w:cstheme="minorBidi"/>
              <w:noProof/>
              <w:lang w:eastAsia="en-AU"/>
            </w:rPr>
          </w:pPr>
          <w:hyperlink w:anchor="_Toc519601799" w:history="1">
            <w:r w:rsidRPr="006C6CB5">
              <w:rPr>
                <w:rStyle w:val="Hyperlink"/>
                <w:noProof/>
              </w:rPr>
              <w:t>Dosage selection for the pivotal studies</w:t>
            </w:r>
            <w:r>
              <w:rPr>
                <w:noProof/>
                <w:webHidden/>
              </w:rPr>
              <w:tab/>
            </w:r>
            <w:r>
              <w:rPr>
                <w:noProof/>
                <w:webHidden/>
              </w:rPr>
              <w:fldChar w:fldCharType="begin"/>
            </w:r>
            <w:r>
              <w:rPr>
                <w:noProof/>
                <w:webHidden/>
              </w:rPr>
              <w:instrText xml:space="preserve"> PAGEREF _Toc519601799 \h </w:instrText>
            </w:r>
            <w:r>
              <w:rPr>
                <w:noProof/>
                <w:webHidden/>
              </w:rPr>
            </w:r>
            <w:r>
              <w:rPr>
                <w:noProof/>
                <w:webHidden/>
              </w:rPr>
              <w:fldChar w:fldCharType="separate"/>
            </w:r>
            <w:r>
              <w:rPr>
                <w:noProof/>
                <w:webHidden/>
              </w:rPr>
              <w:t>30</w:t>
            </w:r>
            <w:r>
              <w:rPr>
                <w:noProof/>
                <w:webHidden/>
              </w:rPr>
              <w:fldChar w:fldCharType="end"/>
            </w:r>
          </w:hyperlink>
        </w:p>
        <w:p w14:paraId="24F0677A" w14:textId="77777777" w:rsidR="00563448" w:rsidRDefault="00563448">
          <w:pPr>
            <w:pStyle w:val="TOC3"/>
            <w:rPr>
              <w:rFonts w:asciiTheme="minorHAnsi" w:eastAsiaTheme="minorEastAsia" w:hAnsiTheme="minorHAnsi" w:cstheme="minorBidi"/>
              <w:noProof/>
              <w:lang w:eastAsia="en-AU"/>
            </w:rPr>
          </w:pPr>
          <w:hyperlink w:anchor="_Toc519601800" w:history="1">
            <w:r w:rsidRPr="006C6CB5">
              <w:rPr>
                <w:rStyle w:val="Hyperlink"/>
                <w:noProof/>
              </w:rPr>
              <w:t>Efficacy</w:t>
            </w:r>
            <w:r>
              <w:rPr>
                <w:noProof/>
                <w:webHidden/>
              </w:rPr>
              <w:tab/>
            </w:r>
            <w:r>
              <w:rPr>
                <w:noProof/>
                <w:webHidden/>
              </w:rPr>
              <w:fldChar w:fldCharType="begin"/>
            </w:r>
            <w:r>
              <w:rPr>
                <w:noProof/>
                <w:webHidden/>
              </w:rPr>
              <w:instrText xml:space="preserve"> PAGEREF _Toc519601800 \h </w:instrText>
            </w:r>
            <w:r>
              <w:rPr>
                <w:noProof/>
                <w:webHidden/>
              </w:rPr>
            </w:r>
            <w:r>
              <w:rPr>
                <w:noProof/>
                <w:webHidden/>
              </w:rPr>
              <w:fldChar w:fldCharType="separate"/>
            </w:r>
            <w:r>
              <w:rPr>
                <w:noProof/>
                <w:webHidden/>
              </w:rPr>
              <w:t>30</w:t>
            </w:r>
            <w:r>
              <w:rPr>
                <w:noProof/>
                <w:webHidden/>
              </w:rPr>
              <w:fldChar w:fldCharType="end"/>
            </w:r>
          </w:hyperlink>
        </w:p>
        <w:p w14:paraId="35BE8405" w14:textId="77777777" w:rsidR="00563448" w:rsidRDefault="00563448">
          <w:pPr>
            <w:pStyle w:val="TOC3"/>
            <w:rPr>
              <w:rFonts w:asciiTheme="minorHAnsi" w:eastAsiaTheme="minorEastAsia" w:hAnsiTheme="minorHAnsi" w:cstheme="minorBidi"/>
              <w:noProof/>
              <w:lang w:eastAsia="en-AU"/>
            </w:rPr>
          </w:pPr>
          <w:hyperlink w:anchor="_Toc519601801" w:history="1">
            <w:r w:rsidRPr="006C6CB5">
              <w:rPr>
                <w:rStyle w:val="Hyperlink"/>
                <w:noProof/>
              </w:rPr>
              <w:t>Safety</w:t>
            </w:r>
            <w:r>
              <w:rPr>
                <w:noProof/>
                <w:webHidden/>
              </w:rPr>
              <w:tab/>
            </w:r>
            <w:r>
              <w:rPr>
                <w:noProof/>
                <w:webHidden/>
              </w:rPr>
              <w:fldChar w:fldCharType="begin"/>
            </w:r>
            <w:r>
              <w:rPr>
                <w:noProof/>
                <w:webHidden/>
              </w:rPr>
              <w:instrText xml:space="preserve"> PAGEREF _Toc519601801 \h </w:instrText>
            </w:r>
            <w:r>
              <w:rPr>
                <w:noProof/>
                <w:webHidden/>
              </w:rPr>
            </w:r>
            <w:r>
              <w:rPr>
                <w:noProof/>
                <w:webHidden/>
              </w:rPr>
              <w:fldChar w:fldCharType="separate"/>
            </w:r>
            <w:r>
              <w:rPr>
                <w:noProof/>
                <w:webHidden/>
              </w:rPr>
              <w:t>31</w:t>
            </w:r>
            <w:r>
              <w:rPr>
                <w:noProof/>
                <w:webHidden/>
              </w:rPr>
              <w:fldChar w:fldCharType="end"/>
            </w:r>
          </w:hyperlink>
        </w:p>
        <w:p w14:paraId="68DB7F58" w14:textId="77777777" w:rsidR="00563448" w:rsidRDefault="00563448">
          <w:pPr>
            <w:pStyle w:val="TOC3"/>
            <w:rPr>
              <w:rFonts w:asciiTheme="minorHAnsi" w:eastAsiaTheme="minorEastAsia" w:hAnsiTheme="minorHAnsi" w:cstheme="minorBidi"/>
              <w:noProof/>
              <w:lang w:eastAsia="en-AU"/>
            </w:rPr>
          </w:pPr>
          <w:hyperlink w:anchor="_Toc519601802" w:history="1">
            <w:r w:rsidRPr="006C6CB5">
              <w:rPr>
                <w:rStyle w:val="Hyperlink"/>
                <w:noProof/>
              </w:rPr>
              <w:t>First round benefit-risk assessment</w:t>
            </w:r>
            <w:r>
              <w:rPr>
                <w:noProof/>
                <w:webHidden/>
              </w:rPr>
              <w:tab/>
            </w:r>
            <w:r>
              <w:rPr>
                <w:noProof/>
                <w:webHidden/>
              </w:rPr>
              <w:fldChar w:fldCharType="begin"/>
            </w:r>
            <w:r>
              <w:rPr>
                <w:noProof/>
                <w:webHidden/>
              </w:rPr>
              <w:instrText xml:space="preserve"> PAGEREF _Toc519601802 \h </w:instrText>
            </w:r>
            <w:r>
              <w:rPr>
                <w:noProof/>
                <w:webHidden/>
              </w:rPr>
            </w:r>
            <w:r>
              <w:rPr>
                <w:noProof/>
                <w:webHidden/>
              </w:rPr>
              <w:fldChar w:fldCharType="separate"/>
            </w:r>
            <w:r>
              <w:rPr>
                <w:noProof/>
                <w:webHidden/>
              </w:rPr>
              <w:t>39</w:t>
            </w:r>
            <w:r>
              <w:rPr>
                <w:noProof/>
                <w:webHidden/>
              </w:rPr>
              <w:fldChar w:fldCharType="end"/>
            </w:r>
          </w:hyperlink>
        </w:p>
        <w:p w14:paraId="47B13067" w14:textId="77777777" w:rsidR="00563448" w:rsidRDefault="00563448">
          <w:pPr>
            <w:pStyle w:val="TOC3"/>
            <w:rPr>
              <w:rFonts w:asciiTheme="minorHAnsi" w:eastAsiaTheme="minorEastAsia" w:hAnsiTheme="minorHAnsi" w:cstheme="minorBidi"/>
              <w:noProof/>
              <w:lang w:eastAsia="en-AU"/>
            </w:rPr>
          </w:pPr>
          <w:hyperlink w:anchor="_Toc519601803" w:history="1">
            <w:r w:rsidRPr="006C6CB5">
              <w:rPr>
                <w:rStyle w:val="Hyperlink"/>
                <w:noProof/>
              </w:rPr>
              <w:t>First round recommendation regarding authorisation</w:t>
            </w:r>
            <w:r>
              <w:rPr>
                <w:noProof/>
                <w:webHidden/>
              </w:rPr>
              <w:tab/>
            </w:r>
            <w:r>
              <w:rPr>
                <w:noProof/>
                <w:webHidden/>
              </w:rPr>
              <w:fldChar w:fldCharType="begin"/>
            </w:r>
            <w:r>
              <w:rPr>
                <w:noProof/>
                <w:webHidden/>
              </w:rPr>
              <w:instrText xml:space="preserve"> PAGEREF _Toc519601803 \h </w:instrText>
            </w:r>
            <w:r>
              <w:rPr>
                <w:noProof/>
                <w:webHidden/>
              </w:rPr>
            </w:r>
            <w:r>
              <w:rPr>
                <w:noProof/>
                <w:webHidden/>
              </w:rPr>
              <w:fldChar w:fldCharType="separate"/>
            </w:r>
            <w:r>
              <w:rPr>
                <w:noProof/>
                <w:webHidden/>
              </w:rPr>
              <w:t>43</w:t>
            </w:r>
            <w:r>
              <w:rPr>
                <w:noProof/>
                <w:webHidden/>
              </w:rPr>
              <w:fldChar w:fldCharType="end"/>
            </w:r>
          </w:hyperlink>
        </w:p>
        <w:p w14:paraId="739ACCA9" w14:textId="77777777" w:rsidR="00563448" w:rsidRDefault="00563448">
          <w:pPr>
            <w:pStyle w:val="TOC2"/>
            <w:rPr>
              <w:rFonts w:asciiTheme="minorHAnsi" w:eastAsiaTheme="minorEastAsia" w:hAnsiTheme="minorHAnsi" w:cstheme="minorBidi"/>
              <w:b w:val="0"/>
              <w:noProof/>
              <w:sz w:val="22"/>
              <w:lang w:eastAsia="en-AU"/>
            </w:rPr>
          </w:pPr>
          <w:hyperlink w:anchor="_Toc519601804" w:history="1">
            <w:r w:rsidRPr="006C6CB5">
              <w:rPr>
                <w:rStyle w:val="Hyperlink"/>
                <w:noProof/>
              </w:rPr>
              <w:t>VI. Pharmacovigilance findings</w:t>
            </w:r>
            <w:r>
              <w:rPr>
                <w:noProof/>
                <w:webHidden/>
              </w:rPr>
              <w:tab/>
            </w:r>
            <w:r>
              <w:rPr>
                <w:noProof/>
                <w:webHidden/>
              </w:rPr>
              <w:fldChar w:fldCharType="begin"/>
            </w:r>
            <w:r>
              <w:rPr>
                <w:noProof/>
                <w:webHidden/>
              </w:rPr>
              <w:instrText xml:space="preserve"> PAGEREF _Toc519601804 \h </w:instrText>
            </w:r>
            <w:r>
              <w:rPr>
                <w:noProof/>
                <w:webHidden/>
              </w:rPr>
            </w:r>
            <w:r>
              <w:rPr>
                <w:noProof/>
                <w:webHidden/>
              </w:rPr>
              <w:fldChar w:fldCharType="separate"/>
            </w:r>
            <w:r>
              <w:rPr>
                <w:noProof/>
                <w:webHidden/>
              </w:rPr>
              <w:t>43</w:t>
            </w:r>
            <w:r>
              <w:rPr>
                <w:noProof/>
                <w:webHidden/>
              </w:rPr>
              <w:fldChar w:fldCharType="end"/>
            </w:r>
          </w:hyperlink>
        </w:p>
        <w:p w14:paraId="14AA6928" w14:textId="77777777" w:rsidR="00563448" w:rsidRDefault="00563448">
          <w:pPr>
            <w:pStyle w:val="TOC3"/>
            <w:rPr>
              <w:rFonts w:asciiTheme="minorHAnsi" w:eastAsiaTheme="minorEastAsia" w:hAnsiTheme="minorHAnsi" w:cstheme="minorBidi"/>
              <w:noProof/>
              <w:lang w:eastAsia="en-AU"/>
            </w:rPr>
          </w:pPr>
          <w:hyperlink w:anchor="_Toc519601805" w:history="1">
            <w:r w:rsidRPr="006C6CB5">
              <w:rPr>
                <w:rStyle w:val="Hyperlink"/>
                <w:noProof/>
                <w:lang w:eastAsia="en-AU"/>
              </w:rPr>
              <w:t>Risk management plan</w:t>
            </w:r>
            <w:r>
              <w:rPr>
                <w:noProof/>
                <w:webHidden/>
              </w:rPr>
              <w:tab/>
            </w:r>
            <w:r>
              <w:rPr>
                <w:noProof/>
                <w:webHidden/>
              </w:rPr>
              <w:fldChar w:fldCharType="begin"/>
            </w:r>
            <w:r>
              <w:rPr>
                <w:noProof/>
                <w:webHidden/>
              </w:rPr>
              <w:instrText xml:space="preserve"> PAGEREF _Toc519601805 \h </w:instrText>
            </w:r>
            <w:r>
              <w:rPr>
                <w:noProof/>
                <w:webHidden/>
              </w:rPr>
            </w:r>
            <w:r>
              <w:rPr>
                <w:noProof/>
                <w:webHidden/>
              </w:rPr>
              <w:fldChar w:fldCharType="separate"/>
            </w:r>
            <w:r>
              <w:rPr>
                <w:noProof/>
                <w:webHidden/>
              </w:rPr>
              <w:t>43</w:t>
            </w:r>
            <w:r>
              <w:rPr>
                <w:noProof/>
                <w:webHidden/>
              </w:rPr>
              <w:fldChar w:fldCharType="end"/>
            </w:r>
          </w:hyperlink>
        </w:p>
        <w:p w14:paraId="6890DD73" w14:textId="77777777" w:rsidR="00563448" w:rsidRDefault="00563448">
          <w:pPr>
            <w:pStyle w:val="TOC2"/>
            <w:rPr>
              <w:rFonts w:asciiTheme="minorHAnsi" w:eastAsiaTheme="minorEastAsia" w:hAnsiTheme="minorHAnsi" w:cstheme="minorBidi"/>
              <w:b w:val="0"/>
              <w:noProof/>
              <w:sz w:val="22"/>
              <w:lang w:eastAsia="en-AU"/>
            </w:rPr>
          </w:pPr>
          <w:hyperlink w:anchor="_Toc519601806" w:history="1">
            <w:r w:rsidRPr="006C6CB5">
              <w:rPr>
                <w:rStyle w:val="Hyperlink"/>
                <w:noProof/>
              </w:rPr>
              <w:t>VII. Overall conclusion and risk/benefit assessment</w:t>
            </w:r>
            <w:r>
              <w:rPr>
                <w:noProof/>
                <w:webHidden/>
              </w:rPr>
              <w:tab/>
            </w:r>
            <w:r>
              <w:rPr>
                <w:noProof/>
                <w:webHidden/>
              </w:rPr>
              <w:fldChar w:fldCharType="begin"/>
            </w:r>
            <w:r>
              <w:rPr>
                <w:noProof/>
                <w:webHidden/>
              </w:rPr>
              <w:instrText xml:space="preserve"> PAGEREF _Toc519601806 \h </w:instrText>
            </w:r>
            <w:r>
              <w:rPr>
                <w:noProof/>
                <w:webHidden/>
              </w:rPr>
            </w:r>
            <w:r>
              <w:rPr>
                <w:noProof/>
                <w:webHidden/>
              </w:rPr>
              <w:fldChar w:fldCharType="separate"/>
            </w:r>
            <w:r>
              <w:rPr>
                <w:noProof/>
                <w:webHidden/>
              </w:rPr>
              <w:t>45</w:t>
            </w:r>
            <w:r>
              <w:rPr>
                <w:noProof/>
                <w:webHidden/>
              </w:rPr>
              <w:fldChar w:fldCharType="end"/>
            </w:r>
          </w:hyperlink>
        </w:p>
        <w:p w14:paraId="188C6E47" w14:textId="77777777" w:rsidR="00563448" w:rsidRDefault="00563448">
          <w:pPr>
            <w:pStyle w:val="TOC3"/>
            <w:rPr>
              <w:rFonts w:asciiTheme="minorHAnsi" w:eastAsiaTheme="minorEastAsia" w:hAnsiTheme="minorHAnsi" w:cstheme="minorBidi"/>
              <w:noProof/>
              <w:lang w:eastAsia="en-AU"/>
            </w:rPr>
          </w:pPr>
          <w:hyperlink w:anchor="_Toc519601807" w:history="1">
            <w:r w:rsidRPr="006C6CB5">
              <w:rPr>
                <w:rStyle w:val="Hyperlink"/>
                <w:noProof/>
              </w:rPr>
              <w:t>Introduction</w:t>
            </w:r>
            <w:r>
              <w:rPr>
                <w:noProof/>
                <w:webHidden/>
              </w:rPr>
              <w:tab/>
            </w:r>
            <w:r>
              <w:rPr>
                <w:noProof/>
                <w:webHidden/>
              </w:rPr>
              <w:fldChar w:fldCharType="begin"/>
            </w:r>
            <w:r>
              <w:rPr>
                <w:noProof/>
                <w:webHidden/>
              </w:rPr>
              <w:instrText xml:space="preserve"> PAGEREF _Toc519601807 \h </w:instrText>
            </w:r>
            <w:r>
              <w:rPr>
                <w:noProof/>
                <w:webHidden/>
              </w:rPr>
            </w:r>
            <w:r>
              <w:rPr>
                <w:noProof/>
                <w:webHidden/>
              </w:rPr>
              <w:fldChar w:fldCharType="separate"/>
            </w:r>
            <w:r>
              <w:rPr>
                <w:noProof/>
                <w:webHidden/>
              </w:rPr>
              <w:t>45</w:t>
            </w:r>
            <w:r>
              <w:rPr>
                <w:noProof/>
                <w:webHidden/>
              </w:rPr>
              <w:fldChar w:fldCharType="end"/>
            </w:r>
          </w:hyperlink>
        </w:p>
        <w:p w14:paraId="5E6F6A0A" w14:textId="77777777" w:rsidR="00563448" w:rsidRDefault="00563448">
          <w:pPr>
            <w:pStyle w:val="TOC3"/>
            <w:rPr>
              <w:rFonts w:asciiTheme="minorHAnsi" w:eastAsiaTheme="minorEastAsia" w:hAnsiTheme="minorHAnsi" w:cstheme="minorBidi"/>
              <w:noProof/>
              <w:lang w:eastAsia="en-AU"/>
            </w:rPr>
          </w:pPr>
          <w:hyperlink w:anchor="_Toc519601808" w:history="1">
            <w:r w:rsidRPr="006C6CB5">
              <w:rPr>
                <w:rStyle w:val="Hyperlink"/>
                <w:noProof/>
              </w:rPr>
              <w:t>Quality</w:t>
            </w:r>
            <w:r>
              <w:rPr>
                <w:noProof/>
                <w:webHidden/>
              </w:rPr>
              <w:tab/>
            </w:r>
            <w:r>
              <w:rPr>
                <w:noProof/>
                <w:webHidden/>
              </w:rPr>
              <w:fldChar w:fldCharType="begin"/>
            </w:r>
            <w:r>
              <w:rPr>
                <w:noProof/>
                <w:webHidden/>
              </w:rPr>
              <w:instrText xml:space="preserve"> PAGEREF _Toc519601808 \h </w:instrText>
            </w:r>
            <w:r>
              <w:rPr>
                <w:noProof/>
                <w:webHidden/>
              </w:rPr>
            </w:r>
            <w:r>
              <w:rPr>
                <w:noProof/>
                <w:webHidden/>
              </w:rPr>
              <w:fldChar w:fldCharType="separate"/>
            </w:r>
            <w:r>
              <w:rPr>
                <w:noProof/>
                <w:webHidden/>
              </w:rPr>
              <w:t>46</w:t>
            </w:r>
            <w:r>
              <w:rPr>
                <w:noProof/>
                <w:webHidden/>
              </w:rPr>
              <w:fldChar w:fldCharType="end"/>
            </w:r>
          </w:hyperlink>
        </w:p>
        <w:p w14:paraId="7343F013" w14:textId="77777777" w:rsidR="00563448" w:rsidRDefault="00563448">
          <w:pPr>
            <w:pStyle w:val="TOC3"/>
            <w:rPr>
              <w:rFonts w:asciiTheme="minorHAnsi" w:eastAsiaTheme="minorEastAsia" w:hAnsiTheme="minorHAnsi" w:cstheme="minorBidi"/>
              <w:noProof/>
              <w:lang w:eastAsia="en-AU"/>
            </w:rPr>
          </w:pPr>
          <w:hyperlink w:anchor="_Toc519601809" w:history="1">
            <w:r w:rsidRPr="006C6CB5">
              <w:rPr>
                <w:rStyle w:val="Hyperlink"/>
                <w:noProof/>
              </w:rPr>
              <w:t>Nonclinical</w:t>
            </w:r>
            <w:r>
              <w:rPr>
                <w:noProof/>
                <w:webHidden/>
              </w:rPr>
              <w:tab/>
            </w:r>
            <w:r>
              <w:rPr>
                <w:noProof/>
                <w:webHidden/>
              </w:rPr>
              <w:fldChar w:fldCharType="begin"/>
            </w:r>
            <w:r>
              <w:rPr>
                <w:noProof/>
                <w:webHidden/>
              </w:rPr>
              <w:instrText xml:space="preserve"> PAGEREF _Toc519601809 \h </w:instrText>
            </w:r>
            <w:r>
              <w:rPr>
                <w:noProof/>
                <w:webHidden/>
              </w:rPr>
            </w:r>
            <w:r>
              <w:rPr>
                <w:noProof/>
                <w:webHidden/>
              </w:rPr>
              <w:fldChar w:fldCharType="separate"/>
            </w:r>
            <w:r>
              <w:rPr>
                <w:noProof/>
                <w:webHidden/>
              </w:rPr>
              <w:t>46</w:t>
            </w:r>
            <w:r>
              <w:rPr>
                <w:noProof/>
                <w:webHidden/>
              </w:rPr>
              <w:fldChar w:fldCharType="end"/>
            </w:r>
          </w:hyperlink>
        </w:p>
        <w:p w14:paraId="105DFF11" w14:textId="77777777" w:rsidR="00563448" w:rsidRDefault="00563448">
          <w:pPr>
            <w:pStyle w:val="TOC3"/>
            <w:rPr>
              <w:rFonts w:asciiTheme="minorHAnsi" w:eastAsiaTheme="minorEastAsia" w:hAnsiTheme="minorHAnsi" w:cstheme="minorBidi"/>
              <w:noProof/>
              <w:lang w:eastAsia="en-AU"/>
            </w:rPr>
          </w:pPr>
          <w:hyperlink w:anchor="_Toc519601810" w:history="1">
            <w:r w:rsidRPr="006C6CB5">
              <w:rPr>
                <w:rStyle w:val="Hyperlink"/>
                <w:noProof/>
              </w:rPr>
              <w:t>Clinical</w:t>
            </w:r>
            <w:r>
              <w:rPr>
                <w:noProof/>
                <w:webHidden/>
              </w:rPr>
              <w:tab/>
            </w:r>
            <w:r>
              <w:rPr>
                <w:noProof/>
                <w:webHidden/>
              </w:rPr>
              <w:fldChar w:fldCharType="begin"/>
            </w:r>
            <w:r>
              <w:rPr>
                <w:noProof/>
                <w:webHidden/>
              </w:rPr>
              <w:instrText xml:space="preserve"> PAGEREF _Toc519601810 \h </w:instrText>
            </w:r>
            <w:r>
              <w:rPr>
                <w:noProof/>
                <w:webHidden/>
              </w:rPr>
            </w:r>
            <w:r>
              <w:rPr>
                <w:noProof/>
                <w:webHidden/>
              </w:rPr>
              <w:fldChar w:fldCharType="separate"/>
            </w:r>
            <w:r>
              <w:rPr>
                <w:noProof/>
                <w:webHidden/>
              </w:rPr>
              <w:t>47</w:t>
            </w:r>
            <w:r>
              <w:rPr>
                <w:noProof/>
                <w:webHidden/>
              </w:rPr>
              <w:fldChar w:fldCharType="end"/>
            </w:r>
          </w:hyperlink>
        </w:p>
        <w:p w14:paraId="010EF3E4" w14:textId="77777777" w:rsidR="00563448" w:rsidRDefault="00563448">
          <w:pPr>
            <w:pStyle w:val="TOC3"/>
            <w:rPr>
              <w:rFonts w:asciiTheme="minorHAnsi" w:eastAsiaTheme="minorEastAsia" w:hAnsiTheme="minorHAnsi" w:cstheme="minorBidi"/>
              <w:noProof/>
              <w:lang w:eastAsia="en-AU"/>
            </w:rPr>
          </w:pPr>
          <w:hyperlink w:anchor="_Toc519601811" w:history="1">
            <w:r w:rsidRPr="006C6CB5">
              <w:rPr>
                <w:rStyle w:val="Hyperlink"/>
                <w:noProof/>
                <w:lang w:eastAsia="en-AU"/>
              </w:rPr>
              <w:t>Risk management plan</w:t>
            </w:r>
            <w:r>
              <w:rPr>
                <w:noProof/>
                <w:webHidden/>
              </w:rPr>
              <w:tab/>
            </w:r>
            <w:r>
              <w:rPr>
                <w:noProof/>
                <w:webHidden/>
              </w:rPr>
              <w:fldChar w:fldCharType="begin"/>
            </w:r>
            <w:r>
              <w:rPr>
                <w:noProof/>
                <w:webHidden/>
              </w:rPr>
              <w:instrText xml:space="preserve"> PAGEREF _Toc519601811 \h </w:instrText>
            </w:r>
            <w:r>
              <w:rPr>
                <w:noProof/>
                <w:webHidden/>
              </w:rPr>
            </w:r>
            <w:r>
              <w:rPr>
                <w:noProof/>
                <w:webHidden/>
              </w:rPr>
              <w:fldChar w:fldCharType="separate"/>
            </w:r>
            <w:r>
              <w:rPr>
                <w:noProof/>
                <w:webHidden/>
              </w:rPr>
              <w:t>49</w:t>
            </w:r>
            <w:r>
              <w:rPr>
                <w:noProof/>
                <w:webHidden/>
              </w:rPr>
              <w:fldChar w:fldCharType="end"/>
            </w:r>
          </w:hyperlink>
        </w:p>
        <w:p w14:paraId="35AF1499" w14:textId="77777777" w:rsidR="00563448" w:rsidRDefault="00563448">
          <w:pPr>
            <w:pStyle w:val="TOC3"/>
            <w:rPr>
              <w:rFonts w:asciiTheme="minorHAnsi" w:eastAsiaTheme="minorEastAsia" w:hAnsiTheme="minorHAnsi" w:cstheme="minorBidi"/>
              <w:noProof/>
              <w:lang w:eastAsia="en-AU"/>
            </w:rPr>
          </w:pPr>
          <w:hyperlink w:anchor="_Toc519601812" w:history="1">
            <w:r w:rsidRPr="006C6CB5">
              <w:rPr>
                <w:rStyle w:val="Hyperlink"/>
                <w:noProof/>
              </w:rPr>
              <w:t>Risk-benefit analysis</w:t>
            </w:r>
            <w:r>
              <w:rPr>
                <w:noProof/>
                <w:webHidden/>
              </w:rPr>
              <w:tab/>
            </w:r>
            <w:r>
              <w:rPr>
                <w:noProof/>
                <w:webHidden/>
              </w:rPr>
              <w:fldChar w:fldCharType="begin"/>
            </w:r>
            <w:r>
              <w:rPr>
                <w:noProof/>
                <w:webHidden/>
              </w:rPr>
              <w:instrText xml:space="preserve"> PAGEREF _Toc519601812 \h </w:instrText>
            </w:r>
            <w:r>
              <w:rPr>
                <w:noProof/>
                <w:webHidden/>
              </w:rPr>
            </w:r>
            <w:r>
              <w:rPr>
                <w:noProof/>
                <w:webHidden/>
              </w:rPr>
              <w:fldChar w:fldCharType="separate"/>
            </w:r>
            <w:r>
              <w:rPr>
                <w:noProof/>
                <w:webHidden/>
              </w:rPr>
              <w:t>49</w:t>
            </w:r>
            <w:r>
              <w:rPr>
                <w:noProof/>
                <w:webHidden/>
              </w:rPr>
              <w:fldChar w:fldCharType="end"/>
            </w:r>
          </w:hyperlink>
        </w:p>
        <w:p w14:paraId="18B5EFDA" w14:textId="77777777" w:rsidR="00563448" w:rsidRDefault="00563448">
          <w:pPr>
            <w:pStyle w:val="TOC3"/>
            <w:rPr>
              <w:rFonts w:asciiTheme="minorHAnsi" w:eastAsiaTheme="minorEastAsia" w:hAnsiTheme="minorHAnsi" w:cstheme="minorBidi"/>
              <w:noProof/>
              <w:lang w:eastAsia="en-AU"/>
            </w:rPr>
          </w:pPr>
          <w:hyperlink w:anchor="_Toc519601813" w:history="1">
            <w:r w:rsidRPr="006C6CB5">
              <w:rPr>
                <w:rStyle w:val="Hyperlink"/>
                <w:noProof/>
              </w:rPr>
              <w:t>Outcome</w:t>
            </w:r>
            <w:r>
              <w:rPr>
                <w:noProof/>
                <w:webHidden/>
              </w:rPr>
              <w:tab/>
            </w:r>
            <w:r>
              <w:rPr>
                <w:noProof/>
                <w:webHidden/>
              </w:rPr>
              <w:fldChar w:fldCharType="begin"/>
            </w:r>
            <w:r>
              <w:rPr>
                <w:noProof/>
                <w:webHidden/>
              </w:rPr>
              <w:instrText xml:space="preserve"> PAGEREF _Toc519601813 \h </w:instrText>
            </w:r>
            <w:r>
              <w:rPr>
                <w:noProof/>
                <w:webHidden/>
              </w:rPr>
            </w:r>
            <w:r>
              <w:rPr>
                <w:noProof/>
                <w:webHidden/>
              </w:rPr>
              <w:fldChar w:fldCharType="separate"/>
            </w:r>
            <w:r>
              <w:rPr>
                <w:noProof/>
                <w:webHidden/>
              </w:rPr>
              <w:t>50</w:t>
            </w:r>
            <w:r>
              <w:rPr>
                <w:noProof/>
                <w:webHidden/>
              </w:rPr>
              <w:fldChar w:fldCharType="end"/>
            </w:r>
          </w:hyperlink>
        </w:p>
        <w:p w14:paraId="16BF3AF7" w14:textId="77777777" w:rsidR="00563448" w:rsidRDefault="00563448">
          <w:pPr>
            <w:pStyle w:val="TOC2"/>
            <w:rPr>
              <w:rFonts w:asciiTheme="minorHAnsi" w:eastAsiaTheme="minorEastAsia" w:hAnsiTheme="minorHAnsi" w:cstheme="minorBidi"/>
              <w:b w:val="0"/>
              <w:noProof/>
              <w:sz w:val="22"/>
              <w:lang w:eastAsia="en-AU"/>
            </w:rPr>
          </w:pPr>
          <w:hyperlink w:anchor="_Toc519601814" w:history="1">
            <w:r w:rsidRPr="006C6CB5">
              <w:rPr>
                <w:rStyle w:val="Hyperlink"/>
                <w:noProof/>
              </w:rPr>
              <w:t>Attachment 1. Product Information</w:t>
            </w:r>
            <w:r>
              <w:rPr>
                <w:noProof/>
                <w:webHidden/>
              </w:rPr>
              <w:tab/>
            </w:r>
            <w:r>
              <w:rPr>
                <w:noProof/>
                <w:webHidden/>
              </w:rPr>
              <w:fldChar w:fldCharType="begin"/>
            </w:r>
            <w:r>
              <w:rPr>
                <w:noProof/>
                <w:webHidden/>
              </w:rPr>
              <w:instrText xml:space="preserve"> PAGEREF _Toc519601814 \h </w:instrText>
            </w:r>
            <w:r>
              <w:rPr>
                <w:noProof/>
                <w:webHidden/>
              </w:rPr>
            </w:r>
            <w:r>
              <w:rPr>
                <w:noProof/>
                <w:webHidden/>
              </w:rPr>
              <w:fldChar w:fldCharType="separate"/>
            </w:r>
            <w:r>
              <w:rPr>
                <w:noProof/>
                <w:webHidden/>
              </w:rPr>
              <w:t>51</w:t>
            </w:r>
            <w:r>
              <w:rPr>
                <w:noProof/>
                <w:webHidden/>
              </w:rPr>
              <w:fldChar w:fldCharType="end"/>
            </w:r>
          </w:hyperlink>
        </w:p>
        <w:p w14:paraId="4145D51F" w14:textId="77777777" w:rsidR="00563448" w:rsidRDefault="00563448">
          <w:pPr>
            <w:pStyle w:val="TOC2"/>
            <w:rPr>
              <w:rFonts w:asciiTheme="minorHAnsi" w:eastAsiaTheme="minorEastAsia" w:hAnsiTheme="minorHAnsi" w:cstheme="minorBidi"/>
              <w:b w:val="0"/>
              <w:noProof/>
              <w:sz w:val="22"/>
              <w:lang w:eastAsia="en-AU"/>
            </w:rPr>
          </w:pPr>
          <w:hyperlink w:anchor="_Toc519601815" w:history="1">
            <w:r w:rsidRPr="006C6CB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_Toc519601815 \h </w:instrText>
            </w:r>
            <w:r>
              <w:rPr>
                <w:noProof/>
                <w:webHidden/>
              </w:rPr>
            </w:r>
            <w:r>
              <w:rPr>
                <w:noProof/>
                <w:webHidden/>
              </w:rPr>
              <w:fldChar w:fldCharType="separate"/>
            </w:r>
            <w:r>
              <w:rPr>
                <w:noProof/>
                <w:webHidden/>
              </w:rPr>
              <w:t>51</w:t>
            </w:r>
            <w:r>
              <w:rPr>
                <w:noProof/>
                <w:webHidden/>
              </w:rPr>
              <w:fldChar w:fldCharType="end"/>
            </w:r>
          </w:hyperlink>
        </w:p>
        <w:p w14:paraId="465599EC" w14:textId="77777777" w:rsidR="003A7F6C" w:rsidRPr="00B811C6" w:rsidRDefault="00DB6124" w:rsidP="00B811C6">
          <w:pPr>
            <w:pStyle w:val="TOC2"/>
          </w:pPr>
          <w:r>
            <w:fldChar w:fldCharType="end"/>
          </w:r>
        </w:p>
      </w:sdtContent>
    </w:sdt>
    <w:bookmarkStart w:id="3" w:name="_Toc314842482" w:displacedByCustomXml="prev"/>
    <w:p w14:paraId="5CFED08B" w14:textId="77777777" w:rsidR="00FD119B" w:rsidRDefault="00FD119B">
      <w:pPr>
        <w:spacing w:before="0" w:after="200" w:line="0" w:lineRule="auto"/>
      </w:pPr>
      <w:r>
        <w:br w:type="page"/>
      </w:r>
    </w:p>
    <w:p w14:paraId="36934E39"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19601777"/>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3D50E45"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C2C9F7F"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66EFAD37" w14:textId="77777777" w:rsidR="00FD119B" w:rsidRPr="00FD119B" w:rsidRDefault="00FD119B" w:rsidP="00FD119B">
            <w:pPr>
              <w:keepNext w:val="0"/>
              <w:ind w:left="0" w:right="0"/>
              <w:rPr>
                <w:szCs w:val="22"/>
                <w:lang w:eastAsia="en-US"/>
              </w:rPr>
            </w:pPr>
            <w:r w:rsidRPr="00FD119B">
              <w:rPr>
                <w:szCs w:val="22"/>
                <w:lang w:eastAsia="en-US"/>
              </w:rPr>
              <w:t>Meaning</w:t>
            </w:r>
          </w:p>
        </w:tc>
      </w:tr>
      <w:tr w:rsidR="008A51EB" w:rsidRPr="00FD119B" w14:paraId="7AB71F89" w14:textId="77777777" w:rsidTr="00FD119B">
        <w:tc>
          <w:tcPr>
            <w:tcW w:w="1809" w:type="dxa"/>
          </w:tcPr>
          <w:p w14:paraId="6F912722" w14:textId="77777777" w:rsidR="008A51EB" w:rsidRPr="00B7505B" w:rsidRDefault="008A51EB" w:rsidP="00433E27">
            <w:r w:rsidRPr="008A51EB">
              <w:rPr>
                <w:rFonts w:cs="TimesNewRomanPSMT"/>
              </w:rPr>
              <w:t>ASCVD</w:t>
            </w:r>
          </w:p>
        </w:tc>
        <w:tc>
          <w:tcPr>
            <w:tcW w:w="6911" w:type="dxa"/>
          </w:tcPr>
          <w:p w14:paraId="2E973ACA" w14:textId="293B5A09" w:rsidR="008A51EB" w:rsidRPr="008A51EB" w:rsidRDefault="00BE1358" w:rsidP="008A51EB">
            <w:r>
              <w:t>A</w:t>
            </w:r>
            <w:r w:rsidRPr="008A51EB">
              <w:t xml:space="preserve">therosclerotic </w:t>
            </w:r>
            <w:r w:rsidR="008A51EB" w:rsidRPr="008A51EB">
              <w:t>cardiovascular disease</w:t>
            </w:r>
          </w:p>
        </w:tc>
      </w:tr>
      <w:tr w:rsidR="00AA456F" w:rsidRPr="00FD119B" w14:paraId="0DDC899B" w14:textId="77777777" w:rsidTr="00FD119B">
        <w:tc>
          <w:tcPr>
            <w:tcW w:w="1809" w:type="dxa"/>
          </w:tcPr>
          <w:p w14:paraId="5E41C7E6" w14:textId="77777777" w:rsidR="00AA456F" w:rsidRDefault="00AA456F" w:rsidP="00433E27">
            <w:r w:rsidRPr="00B7505B">
              <w:t>ADA</w:t>
            </w:r>
          </w:p>
        </w:tc>
        <w:tc>
          <w:tcPr>
            <w:tcW w:w="6911" w:type="dxa"/>
          </w:tcPr>
          <w:p w14:paraId="1C9EA995" w14:textId="77777777" w:rsidR="00AA456F" w:rsidRPr="00846D13" w:rsidRDefault="00AA456F" w:rsidP="00433E27">
            <w:r>
              <w:t>Anti-drug antibodies</w:t>
            </w:r>
          </w:p>
        </w:tc>
      </w:tr>
      <w:tr w:rsidR="00433E27" w:rsidRPr="00FD119B" w14:paraId="1472B11A" w14:textId="77777777" w:rsidTr="00FD119B">
        <w:tc>
          <w:tcPr>
            <w:tcW w:w="1809" w:type="dxa"/>
          </w:tcPr>
          <w:p w14:paraId="6097B5EE" w14:textId="77777777" w:rsidR="00433E27" w:rsidRPr="00846D13" w:rsidRDefault="00433E27" w:rsidP="00433E27">
            <w:r>
              <w:t>AE</w:t>
            </w:r>
          </w:p>
        </w:tc>
        <w:tc>
          <w:tcPr>
            <w:tcW w:w="6911" w:type="dxa"/>
          </w:tcPr>
          <w:p w14:paraId="372B5543" w14:textId="64F9C32A" w:rsidR="00433E27" w:rsidRPr="00846D13" w:rsidRDefault="00155AC1" w:rsidP="00433E27">
            <w:r>
              <w:t>A</w:t>
            </w:r>
            <w:r w:rsidRPr="00846D13">
              <w:t xml:space="preserve">dverse </w:t>
            </w:r>
            <w:r w:rsidR="00433E27" w:rsidRPr="00846D13">
              <w:t>event</w:t>
            </w:r>
          </w:p>
        </w:tc>
      </w:tr>
      <w:tr w:rsidR="00945715" w:rsidRPr="00FD119B" w14:paraId="1F7D0F29" w14:textId="77777777" w:rsidTr="00FD119B">
        <w:tc>
          <w:tcPr>
            <w:tcW w:w="1809" w:type="dxa"/>
          </w:tcPr>
          <w:p w14:paraId="0F00EA0C" w14:textId="77777777" w:rsidR="00945715" w:rsidRDefault="00945715" w:rsidP="00433E27">
            <w:r>
              <w:t>ALP</w:t>
            </w:r>
          </w:p>
        </w:tc>
        <w:tc>
          <w:tcPr>
            <w:tcW w:w="6911" w:type="dxa"/>
          </w:tcPr>
          <w:p w14:paraId="311F794B" w14:textId="77777777" w:rsidR="00945715" w:rsidRPr="00846D13" w:rsidRDefault="00634E1D" w:rsidP="00433E27">
            <w:r>
              <w:t>Alkaline phosphatase</w:t>
            </w:r>
          </w:p>
        </w:tc>
      </w:tr>
      <w:tr w:rsidR="00433E27" w:rsidRPr="00FD119B" w14:paraId="2A6A8058" w14:textId="77777777" w:rsidTr="00FD119B">
        <w:tc>
          <w:tcPr>
            <w:tcW w:w="1809" w:type="dxa"/>
          </w:tcPr>
          <w:p w14:paraId="1BBB545D" w14:textId="77777777" w:rsidR="00433E27" w:rsidRPr="00846D13" w:rsidRDefault="00945715" w:rsidP="00433E27">
            <w:r>
              <w:t>ALT</w:t>
            </w:r>
          </w:p>
        </w:tc>
        <w:tc>
          <w:tcPr>
            <w:tcW w:w="6911" w:type="dxa"/>
          </w:tcPr>
          <w:p w14:paraId="7CA03DA9" w14:textId="5CC10F6D" w:rsidR="00433E27" w:rsidRPr="00846D13" w:rsidRDefault="00155AC1" w:rsidP="00433E27">
            <w:r>
              <w:t>A</w:t>
            </w:r>
            <w:r w:rsidRPr="00846D13">
              <w:t xml:space="preserve">lanine </w:t>
            </w:r>
            <w:r w:rsidR="00433E27" w:rsidRPr="00846D13">
              <w:t>aminotransferase</w:t>
            </w:r>
          </w:p>
        </w:tc>
      </w:tr>
      <w:tr w:rsidR="007F5DA3" w:rsidRPr="00FD119B" w14:paraId="4CE2469E" w14:textId="77777777" w:rsidTr="00FD119B">
        <w:tc>
          <w:tcPr>
            <w:tcW w:w="1809" w:type="dxa"/>
          </w:tcPr>
          <w:p w14:paraId="52CA84DD" w14:textId="77777777" w:rsidR="007F5DA3" w:rsidRDefault="007F5DA3" w:rsidP="00433E27">
            <w:proofErr w:type="spellStart"/>
            <w:r w:rsidRPr="007F5DA3">
              <w:rPr>
                <w:rFonts w:asciiTheme="minorHAnsi" w:eastAsiaTheme="minorHAnsi" w:hAnsiTheme="minorHAnsi"/>
                <w:color w:val="000000"/>
              </w:rPr>
              <w:t>aPTT</w:t>
            </w:r>
            <w:proofErr w:type="spellEnd"/>
          </w:p>
        </w:tc>
        <w:tc>
          <w:tcPr>
            <w:tcW w:w="6911" w:type="dxa"/>
          </w:tcPr>
          <w:p w14:paraId="3E57E468" w14:textId="77777777" w:rsidR="007F5DA3" w:rsidRPr="00846D13" w:rsidRDefault="007F5DA3" w:rsidP="00433E27">
            <w:r>
              <w:t>Activated partial thromboplastin time</w:t>
            </w:r>
          </w:p>
        </w:tc>
      </w:tr>
      <w:tr w:rsidR="00945715" w:rsidRPr="00FD119B" w14:paraId="4F664DD1" w14:textId="77777777" w:rsidTr="00FD119B">
        <w:tc>
          <w:tcPr>
            <w:tcW w:w="1809" w:type="dxa"/>
          </w:tcPr>
          <w:p w14:paraId="1FBBF743" w14:textId="77777777" w:rsidR="00945715" w:rsidRDefault="00945715" w:rsidP="00433E27">
            <w:r>
              <w:t>AST</w:t>
            </w:r>
          </w:p>
        </w:tc>
        <w:tc>
          <w:tcPr>
            <w:tcW w:w="6911" w:type="dxa"/>
          </w:tcPr>
          <w:p w14:paraId="09099358" w14:textId="7579BB63" w:rsidR="00945715" w:rsidRPr="00846D13" w:rsidRDefault="00155AC1" w:rsidP="00433E27">
            <w:r>
              <w:t>A</w:t>
            </w:r>
            <w:r w:rsidRPr="00846D13">
              <w:t xml:space="preserve">spartate </w:t>
            </w:r>
            <w:r w:rsidR="00634E1D" w:rsidRPr="00846D13">
              <w:t>aminotransferase</w:t>
            </w:r>
          </w:p>
        </w:tc>
      </w:tr>
      <w:tr w:rsidR="00433E27" w:rsidRPr="00FD119B" w14:paraId="15B5D8F4" w14:textId="77777777" w:rsidTr="00FD119B">
        <w:tc>
          <w:tcPr>
            <w:tcW w:w="1809" w:type="dxa"/>
          </w:tcPr>
          <w:p w14:paraId="22C42345" w14:textId="77777777" w:rsidR="00433E27" w:rsidRPr="00846D13" w:rsidRDefault="00433E27" w:rsidP="00433E27">
            <w:r>
              <w:t>AUC</w:t>
            </w:r>
          </w:p>
        </w:tc>
        <w:tc>
          <w:tcPr>
            <w:tcW w:w="6911" w:type="dxa"/>
          </w:tcPr>
          <w:p w14:paraId="5989C776" w14:textId="5A16A94B" w:rsidR="00433E27" w:rsidRPr="00846D13" w:rsidRDefault="00155AC1" w:rsidP="00433E27">
            <w:r>
              <w:t xml:space="preserve">Area </w:t>
            </w:r>
            <w:r w:rsidR="00634E1D">
              <w:t xml:space="preserve">under the concentration </w:t>
            </w:r>
            <w:r w:rsidR="00433E27" w:rsidRPr="00846D13">
              <w:t>time curve</w:t>
            </w:r>
          </w:p>
        </w:tc>
      </w:tr>
      <w:tr w:rsidR="00433E27" w:rsidRPr="00FD119B" w14:paraId="312CB468" w14:textId="77777777" w:rsidTr="00FD119B">
        <w:tc>
          <w:tcPr>
            <w:tcW w:w="1809" w:type="dxa"/>
          </w:tcPr>
          <w:p w14:paraId="7C50CF5F" w14:textId="77777777" w:rsidR="00433E27" w:rsidRPr="00846D13" w:rsidRDefault="008C79BF" w:rsidP="00433E27">
            <w:r>
              <w:t>AUC</w:t>
            </w:r>
            <w:r w:rsidRPr="00D72494">
              <w:rPr>
                <w:vertAlign w:val="subscript"/>
              </w:rPr>
              <w:t>0-last</w:t>
            </w:r>
          </w:p>
        </w:tc>
        <w:tc>
          <w:tcPr>
            <w:tcW w:w="6911" w:type="dxa"/>
          </w:tcPr>
          <w:p w14:paraId="43305B55" w14:textId="3269847A" w:rsidR="00433E27" w:rsidRPr="00846D13" w:rsidRDefault="00155AC1" w:rsidP="00433E27">
            <w:r>
              <w:t>A</w:t>
            </w:r>
            <w:r w:rsidRPr="00846D13">
              <w:t xml:space="preserve">rea </w:t>
            </w:r>
            <w:r w:rsidR="00433E27" w:rsidRPr="00846D13">
              <w:t xml:space="preserve">under the </w:t>
            </w:r>
            <w:r w:rsidR="00634E1D">
              <w:t xml:space="preserve">concentration </w:t>
            </w:r>
            <w:r w:rsidR="00433E27" w:rsidRPr="00846D13">
              <w:t>time curve from the start of the infusion to the time of the last quantifiable concentration</w:t>
            </w:r>
          </w:p>
        </w:tc>
      </w:tr>
      <w:tr w:rsidR="00663236" w:rsidRPr="00FD119B" w14:paraId="6A999FEF" w14:textId="77777777" w:rsidTr="00FD119B">
        <w:tc>
          <w:tcPr>
            <w:tcW w:w="1809" w:type="dxa"/>
          </w:tcPr>
          <w:p w14:paraId="1B11BC2C" w14:textId="77777777" w:rsidR="00663236" w:rsidRDefault="00663236" w:rsidP="00433E27">
            <w:proofErr w:type="spellStart"/>
            <w:r>
              <w:t>AUC</w:t>
            </w:r>
            <w:r w:rsidRPr="00663236">
              <w:rPr>
                <w:vertAlign w:val="subscript"/>
              </w:rPr>
              <w:t>ss</w:t>
            </w:r>
            <w:proofErr w:type="spellEnd"/>
          </w:p>
        </w:tc>
        <w:tc>
          <w:tcPr>
            <w:tcW w:w="6911" w:type="dxa"/>
          </w:tcPr>
          <w:p w14:paraId="126C94EA" w14:textId="150C1B2F" w:rsidR="00663236" w:rsidRPr="00846D13" w:rsidRDefault="006D3755" w:rsidP="00433E27">
            <w:r>
              <w:t xml:space="preserve">Area </w:t>
            </w:r>
            <w:r w:rsidR="00634E1D">
              <w:t xml:space="preserve">under the concentration </w:t>
            </w:r>
            <w:r w:rsidR="00634E1D" w:rsidRPr="00846D13">
              <w:t>time curve</w:t>
            </w:r>
            <w:r w:rsidR="00634E1D">
              <w:t xml:space="preserve"> at the steady state</w:t>
            </w:r>
          </w:p>
        </w:tc>
      </w:tr>
      <w:tr w:rsidR="00945715" w:rsidRPr="00FD119B" w14:paraId="344FD57D" w14:textId="77777777" w:rsidTr="00FD119B">
        <w:tc>
          <w:tcPr>
            <w:tcW w:w="1809" w:type="dxa"/>
          </w:tcPr>
          <w:p w14:paraId="2299863E" w14:textId="77777777" w:rsidR="00945715" w:rsidRDefault="00945715" w:rsidP="00433E27">
            <w:r w:rsidRPr="00B55A5F">
              <w:t>BSA</w:t>
            </w:r>
          </w:p>
        </w:tc>
        <w:tc>
          <w:tcPr>
            <w:tcW w:w="6911" w:type="dxa"/>
          </w:tcPr>
          <w:p w14:paraId="76BFBA02" w14:textId="77777777" w:rsidR="00945715" w:rsidRPr="00846D13" w:rsidRDefault="00945715" w:rsidP="00433E27">
            <w:r>
              <w:t>Body surface area</w:t>
            </w:r>
          </w:p>
        </w:tc>
      </w:tr>
      <w:tr w:rsidR="00433E27" w:rsidRPr="00FD119B" w14:paraId="76C77696" w14:textId="77777777" w:rsidTr="00FD119B">
        <w:tc>
          <w:tcPr>
            <w:tcW w:w="1809" w:type="dxa"/>
          </w:tcPr>
          <w:p w14:paraId="75BDF280" w14:textId="77777777" w:rsidR="00433E27" w:rsidRPr="00846D13" w:rsidRDefault="00433E27" w:rsidP="00433E27">
            <w:r>
              <w:t>CL</w:t>
            </w:r>
          </w:p>
        </w:tc>
        <w:tc>
          <w:tcPr>
            <w:tcW w:w="6911" w:type="dxa"/>
          </w:tcPr>
          <w:p w14:paraId="130D0D64" w14:textId="0C7B8BE8" w:rsidR="00433E27" w:rsidRPr="00846D13" w:rsidRDefault="006D3755" w:rsidP="00433E27">
            <w:r>
              <w:t>T</w:t>
            </w:r>
            <w:r w:rsidRPr="00846D13">
              <w:t xml:space="preserve">otal </w:t>
            </w:r>
            <w:r w:rsidR="00433E27" w:rsidRPr="00846D13">
              <w:t>body clearance</w:t>
            </w:r>
          </w:p>
        </w:tc>
      </w:tr>
      <w:tr w:rsidR="00433E27" w:rsidRPr="00FD119B" w14:paraId="5A9C9CAC" w14:textId="77777777" w:rsidTr="00FD119B">
        <w:tc>
          <w:tcPr>
            <w:tcW w:w="1809" w:type="dxa"/>
          </w:tcPr>
          <w:p w14:paraId="5D1D60B6" w14:textId="77777777" w:rsidR="00433E27" w:rsidRPr="00846D13" w:rsidRDefault="00953E28" w:rsidP="00433E27">
            <w:proofErr w:type="spellStart"/>
            <w:r>
              <w:t>C</w:t>
            </w:r>
            <w:r w:rsidRPr="00953E28">
              <w:rPr>
                <w:vertAlign w:val="subscript"/>
              </w:rPr>
              <w:t>max</w:t>
            </w:r>
            <w:proofErr w:type="spellEnd"/>
          </w:p>
        </w:tc>
        <w:tc>
          <w:tcPr>
            <w:tcW w:w="6911" w:type="dxa"/>
          </w:tcPr>
          <w:p w14:paraId="4B1408A6" w14:textId="7AB2EEBD" w:rsidR="00433E27" w:rsidRPr="00846D13" w:rsidRDefault="006D3755" w:rsidP="00433E27">
            <w:r>
              <w:t>M</w:t>
            </w:r>
            <w:r w:rsidRPr="00846D13">
              <w:t xml:space="preserve">aximum </w:t>
            </w:r>
            <w:r w:rsidR="00433E27" w:rsidRPr="00846D13">
              <w:t>observed serum concentration</w:t>
            </w:r>
          </w:p>
        </w:tc>
      </w:tr>
      <w:tr w:rsidR="008A34D4" w:rsidRPr="00FD119B" w14:paraId="69A56F85" w14:textId="77777777" w:rsidTr="00FD119B">
        <w:tc>
          <w:tcPr>
            <w:tcW w:w="1809" w:type="dxa"/>
          </w:tcPr>
          <w:p w14:paraId="4533608E" w14:textId="77777777" w:rsidR="008A34D4" w:rsidRDefault="008A34D4" w:rsidP="00433E27">
            <w:r>
              <w:t>CNS</w:t>
            </w:r>
          </w:p>
        </w:tc>
        <w:tc>
          <w:tcPr>
            <w:tcW w:w="6911" w:type="dxa"/>
          </w:tcPr>
          <w:p w14:paraId="5F0BFAE8" w14:textId="77777777" w:rsidR="008A34D4" w:rsidRPr="00846D13" w:rsidRDefault="008A4AC2" w:rsidP="00433E27">
            <w:r>
              <w:t>Central nervous system</w:t>
            </w:r>
          </w:p>
        </w:tc>
      </w:tr>
      <w:tr w:rsidR="00C93FCF" w:rsidRPr="00FD119B" w14:paraId="692B2295" w14:textId="77777777" w:rsidTr="00FD119B">
        <w:tc>
          <w:tcPr>
            <w:tcW w:w="1809" w:type="dxa"/>
          </w:tcPr>
          <w:p w14:paraId="0AB427F9" w14:textId="77777777" w:rsidR="00C93FCF" w:rsidRDefault="00C93FCF" w:rsidP="00433E27">
            <w:r w:rsidRPr="00B14769">
              <w:t>CPD</w:t>
            </w:r>
          </w:p>
        </w:tc>
        <w:tc>
          <w:tcPr>
            <w:tcW w:w="6911" w:type="dxa"/>
          </w:tcPr>
          <w:p w14:paraId="3C6E2917" w14:textId="77777777" w:rsidR="00C93FCF" w:rsidRPr="00846D13" w:rsidRDefault="00C93FCF" w:rsidP="00C93FCF">
            <w:r w:rsidRPr="00B14769">
              <w:t>Certified Product De</w:t>
            </w:r>
            <w:r>
              <w:t>tails</w:t>
            </w:r>
          </w:p>
        </w:tc>
      </w:tr>
      <w:tr w:rsidR="00433E27" w:rsidRPr="00FD119B" w14:paraId="03892A0B" w14:textId="77777777" w:rsidTr="00FD119B">
        <w:tc>
          <w:tcPr>
            <w:tcW w:w="1809" w:type="dxa"/>
          </w:tcPr>
          <w:p w14:paraId="36DA960E" w14:textId="77777777" w:rsidR="00433E27" w:rsidRPr="00846D13" w:rsidRDefault="00433E27" w:rsidP="00433E27">
            <w:r>
              <w:t>DNA</w:t>
            </w:r>
          </w:p>
        </w:tc>
        <w:tc>
          <w:tcPr>
            <w:tcW w:w="6911" w:type="dxa"/>
          </w:tcPr>
          <w:p w14:paraId="7ABB6E73" w14:textId="3D7DAFFD" w:rsidR="00433E27" w:rsidRPr="00846D13" w:rsidRDefault="006D3755" w:rsidP="00433E27">
            <w:r>
              <w:t>D</w:t>
            </w:r>
            <w:r w:rsidRPr="00846D13">
              <w:t xml:space="preserve">eoxyribonucleic </w:t>
            </w:r>
            <w:r w:rsidR="00433E27" w:rsidRPr="00846D13">
              <w:t>acid</w:t>
            </w:r>
          </w:p>
        </w:tc>
      </w:tr>
      <w:tr w:rsidR="00433E27" w:rsidRPr="00FD119B" w14:paraId="1D7581E7" w14:textId="77777777" w:rsidTr="00FD119B">
        <w:tc>
          <w:tcPr>
            <w:tcW w:w="1809" w:type="dxa"/>
          </w:tcPr>
          <w:p w14:paraId="401E89A4" w14:textId="77777777" w:rsidR="00433E27" w:rsidRPr="00846D13" w:rsidRDefault="00433E27" w:rsidP="00433E27">
            <w:r>
              <w:t>ECG</w:t>
            </w:r>
          </w:p>
        </w:tc>
        <w:tc>
          <w:tcPr>
            <w:tcW w:w="6911" w:type="dxa"/>
          </w:tcPr>
          <w:p w14:paraId="6E932168" w14:textId="19D542F9" w:rsidR="00433E27" w:rsidRPr="00846D13" w:rsidRDefault="006D3755" w:rsidP="00433E27">
            <w:r>
              <w:t>E</w:t>
            </w:r>
            <w:r w:rsidRPr="00846D13">
              <w:t>lectrocardiogram</w:t>
            </w:r>
          </w:p>
        </w:tc>
      </w:tr>
      <w:tr w:rsidR="00433E27" w:rsidRPr="00FD119B" w14:paraId="3850F62F" w14:textId="77777777" w:rsidTr="00FD119B">
        <w:tc>
          <w:tcPr>
            <w:tcW w:w="1809" w:type="dxa"/>
          </w:tcPr>
          <w:p w14:paraId="40053CC8" w14:textId="77777777" w:rsidR="00433E27" w:rsidRPr="00846D13" w:rsidRDefault="00433E27" w:rsidP="00433E27">
            <w:r>
              <w:t>ERT</w:t>
            </w:r>
          </w:p>
        </w:tc>
        <w:tc>
          <w:tcPr>
            <w:tcW w:w="6911" w:type="dxa"/>
          </w:tcPr>
          <w:p w14:paraId="23F99189" w14:textId="2576F791" w:rsidR="00433E27" w:rsidRPr="00846D13" w:rsidRDefault="006D3755" w:rsidP="00433E27">
            <w:r>
              <w:t>E</w:t>
            </w:r>
            <w:r w:rsidRPr="00846D13">
              <w:t xml:space="preserve">nzyme </w:t>
            </w:r>
            <w:r w:rsidR="00433E27" w:rsidRPr="00846D13">
              <w:t>replacement therapy</w:t>
            </w:r>
          </w:p>
        </w:tc>
      </w:tr>
      <w:tr w:rsidR="00433E27" w:rsidRPr="00FD119B" w14:paraId="6A92428B" w14:textId="77777777" w:rsidTr="00FD119B">
        <w:tc>
          <w:tcPr>
            <w:tcW w:w="1809" w:type="dxa"/>
          </w:tcPr>
          <w:p w14:paraId="15013282" w14:textId="77777777" w:rsidR="00433E27" w:rsidRPr="00846D13" w:rsidRDefault="00433E27" w:rsidP="00433E27">
            <w:r>
              <w:t>GGT</w:t>
            </w:r>
          </w:p>
        </w:tc>
        <w:tc>
          <w:tcPr>
            <w:tcW w:w="6911" w:type="dxa"/>
          </w:tcPr>
          <w:p w14:paraId="69FB5900" w14:textId="6004367D" w:rsidR="00433E27" w:rsidRPr="00846D13" w:rsidRDefault="006D3755" w:rsidP="00433E27">
            <w:r>
              <w:t>G</w:t>
            </w:r>
            <w:r w:rsidRPr="00846D13">
              <w:t>amma</w:t>
            </w:r>
            <w:r>
              <w:t>-</w:t>
            </w:r>
            <w:proofErr w:type="spellStart"/>
            <w:r w:rsidR="00433E27" w:rsidRPr="00846D13">
              <w:t>glutamyl</w:t>
            </w:r>
            <w:proofErr w:type="spellEnd"/>
            <w:r w:rsidR="00433E27" w:rsidRPr="00846D13">
              <w:t xml:space="preserve"> transferase</w:t>
            </w:r>
          </w:p>
        </w:tc>
      </w:tr>
      <w:tr w:rsidR="00663236" w:rsidRPr="00FD119B" w14:paraId="323B8321" w14:textId="77777777" w:rsidTr="00FD119B">
        <w:tc>
          <w:tcPr>
            <w:tcW w:w="1809" w:type="dxa"/>
          </w:tcPr>
          <w:p w14:paraId="080FBDC5" w14:textId="77777777" w:rsidR="00663236" w:rsidRDefault="00663236" w:rsidP="00433E27">
            <w:r>
              <w:t>GLP</w:t>
            </w:r>
          </w:p>
        </w:tc>
        <w:tc>
          <w:tcPr>
            <w:tcW w:w="6911" w:type="dxa"/>
          </w:tcPr>
          <w:p w14:paraId="5EEFD7ED" w14:textId="6F894808" w:rsidR="00663236" w:rsidRPr="00846D13" w:rsidRDefault="00663236" w:rsidP="00433E27">
            <w:r>
              <w:t xml:space="preserve">Good </w:t>
            </w:r>
            <w:r w:rsidR="006D3755">
              <w:t>L</w:t>
            </w:r>
            <w:r>
              <w:t xml:space="preserve">aboratory </w:t>
            </w:r>
            <w:r w:rsidR="006D3755">
              <w:t>P</w:t>
            </w:r>
            <w:r>
              <w:t>ractice</w:t>
            </w:r>
          </w:p>
        </w:tc>
      </w:tr>
      <w:tr w:rsidR="002B27E3" w:rsidRPr="00FD119B" w14:paraId="762CB3DC" w14:textId="77777777" w:rsidTr="00FD119B">
        <w:tc>
          <w:tcPr>
            <w:tcW w:w="1809" w:type="dxa"/>
          </w:tcPr>
          <w:p w14:paraId="30224F46" w14:textId="77777777" w:rsidR="002B27E3" w:rsidRDefault="002B27E3" w:rsidP="00433E27">
            <w:r w:rsidRPr="00984096">
              <w:t>HDL-c</w:t>
            </w:r>
          </w:p>
        </w:tc>
        <w:tc>
          <w:tcPr>
            <w:tcW w:w="6911" w:type="dxa"/>
          </w:tcPr>
          <w:p w14:paraId="2F47F271" w14:textId="009D4575" w:rsidR="002B27E3" w:rsidRPr="00846D13" w:rsidRDefault="007C7A0E" w:rsidP="00433E27">
            <w:r>
              <w:t xml:space="preserve">High </w:t>
            </w:r>
            <w:r w:rsidR="007F5DA3">
              <w:t>density</w:t>
            </w:r>
            <w:r w:rsidR="007F5DA3" w:rsidRPr="00984096">
              <w:t xml:space="preserve"> lipoprotein cholesterol</w:t>
            </w:r>
          </w:p>
        </w:tc>
      </w:tr>
      <w:tr w:rsidR="00C93FCF" w:rsidRPr="00FD119B" w14:paraId="5D9DCC8F" w14:textId="77777777" w:rsidTr="00FD119B">
        <w:tc>
          <w:tcPr>
            <w:tcW w:w="1809" w:type="dxa"/>
          </w:tcPr>
          <w:p w14:paraId="2BFD04D2" w14:textId="77777777" w:rsidR="00C93FCF" w:rsidRDefault="00C93FCF" w:rsidP="00433E27">
            <w:r>
              <w:t>HSA</w:t>
            </w:r>
          </w:p>
        </w:tc>
        <w:tc>
          <w:tcPr>
            <w:tcW w:w="6911" w:type="dxa"/>
          </w:tcPr>
          <w:p w14:paraId="24AEB68C" w14:textId="2C7E5838" w:rsidR="00C93FCF" w:rsidRPr="00846D13" w:rsidRDefault="007C7A0E" w:rsidP="00433E27">
            <w:r>
              <w:rPr>
                <w:color w:val="000000"/>
              </w:rPr>
              <w:t xml:space="preserve">Human </w:t>
            </w:r>
            <w:r w:rsidR="00C93FCF">
              <w:rPr>
                <w:color w:val="000000"/>
              </w:rPr>
              <w:t>serum albumin</w:t>
            </w:r>
          </w:p>
        </w:tc>
      </w:tr>
      <w:tr w:rsidR="00945715" w:rsidRPr="00FD119B" w14:paraId="6EAC59E3" w14:textId="77777777" w:rsidTr="00FD119B">
        <w:tc>
          <w:tcPr>
            <w:tcW w:w="1809" w:type="dxa"/>
          </w:tcPr>
          <w:p w14:paraId="09BD7088" w14:textId="77777777" w:rsidR="00945715" w:rsidRDefault="00945715" w:rsidP="00433E27">
            <w:r w:rsidRPr="007F5DA3">
              <w:t>HSCT</w:t>
            </w:r>
          </w:p>
        </w:tc>
        <w:tc>
          <w:tcPr>
            <w:tcW w:w="6911" w:type="dxa"/>
          </w:tcPr>
          <w:p w14:paraId="4392B812" w14:textId="77777777" w:rsidR="00945715" w:rsidRPr="00846D13" w:rsidRDefault="007F5DA3" w:rsidP="00433E27">
            <w:r>
              <w:t>Haematopoietic stem cell transplant</w:t>
            </w:r>
          </w:p>
        </w:tc>
      </w:tr>
      <w:tr w:rsidR="00433E27" w:rsidRPr="00FD119B" w14:paraId="2833DCDA" w14:textId="77777777" w:rsidTr="00FD119B">
        <w:tc>
          <w:tcPr>
            <w:tcW w:w="1809" w:type="dxa"/>
          </w:tcPr>
          <w:p w14:paraId="65014104" w14:textId="77777777" w:rsidR="00433E27" w:rsidRPr="00846D13" w:rsidRDefault="00433E27" w:rsidP="00433E27">
            <w:r>
              <w:t>INR</w:t>
            </w:r>
          </w:p>
        </w:tc>
        <w:tc>
          <w:tcPr>
            <w:tcW w:w="6911" w:type="dxa"/>
          </w:tcPr>
          <w:p w14:paraId="7C28117D" w14:textId="775B640C" w:rsidR="00433E27" w:rsidRPr="00846D13" w:rsidRDefault="007C7A0E" w:rsidP="00433E27">
            <w:r>
              <w:t>I</w:t>
            </w:r>
            <w:r w:rsidRPr="00846D13">
              <w:t xml:space="preserve">nternational </w:t>
            </w:r>
            <w:r w:rsidR="00433E27" w:rsidRPr="00654E93">
              <w:t>normali</w:t>
            </w:r>
            <w:r w:rsidR="00654E93" w:rsidRPr="005B0314">
              <w:t>s</w:t>
            </w:r>
            <w:r w:rsidR="00433E27" w:rsidRPr="00654E93">
              <w:t>ed</w:t>
            </w:r>
            <w:r w:rsidR="00433E27" w:rsidRPr="00846D13">
              <w:t xml:space="preserve"> ratio</w:t>
            </w:r>
          </w:p>
        </w:tc>
      </w:tr>
      <w:tr w:rsidR="00433E27" w:rsidRPr="00FD119B" w14:paraId="1912129E" w14:textId="77777777" w:rsidTr="00FD119B">
        <w:tc>
          <w:tcPr>
            <w:tcW w:w="1809" w:type="dxa"/>
          </w:tcPr>
          <w:p w14:paraId="68AC5529" w14:textId="77777777" w:rsidR="00433E27" w:rsidRPr="00846D13" w:rsidRDefault="00433E27" w:rsidP="00433E27">
            <w:r>
              <w:lastRenderedPageBreak/>
              <w:t>IV</w:t>
            </w:r>
          </w:p>
        </w:tc>
        <w:tc>
          <w:tcPr>
            <w:tcW w:w="6911" w:type="dxa"/>
          </w:tcPr>
          <w:p w14:paraId="364BE80D" w14:textId="081A0F12" w:rsidR="00433E27" w:rsidRPr="00846D13" w:rsidRDefault="007C7A0E" w:rsidP="00433E27">
            <w:r>
              <w:t>I</w:t>
            </w:r>
            <w:r w:rsidR="00433E27" w:rsidRPr="00846D13">
              <w:t>ntravenous</w:t>
            </w:r>
          </w:p>
        </w:tc>
      </w:tr>
      <w:tr w:rsidR="00433E27" w:rsidRPr="00FD119B" w14:paraId="5087FD24" w14:textId="77777777" w:rsidTr="00FD119B">
        <w:tc>
          <w:tcPr>
            <w:tcW w:w="1809" w:type="dxa"/>
          </w:tcPr>
          <w:p w14:paraId="6560ED58" w14:textId="77777777" w:rsidR="00433E27" w:rsidRPr="00846D13" w:rsidRDefault="00433E27" w:rsidP="00433E27">
            <w:proofErr w:type="spellStart"/>
            <w:r w:rsidRPr="00846D13">
              <w:t>λ</w:t>
            </w:r>
            <w:r>
              <w:t>z</w:t>
            </w:r>
            <w:proofErr w:type="spellEnd"/>
          </w:p>
        </w:tc>
        <w:tc>
          <w:tcPr>
            <w:tcW w:w="6911" w:type="dxa"/>
          </w:tcPr>
          <w:p w14:paraId="527E40C7" w14:textId="6AC0D438" w:rsidR="00433E27" w:rsidRPr="00846D13" w:rsidRDefault="007C7A0E" w:rsidP="00433E27">
            <w:r>
              <w:t>A</w:t>
            </w:r>
            <w:r w:rsidRPr="00846D13">
              <w:t xml:space="preserve">pparent </w:t>
            </w:r>
            <w:r w:rsidR="00433E27" w:rsidRPr="00846D13">
              <w:t>terminal rate constant</w:t>
            </w:r>
          </w:p>
        </w:tc>
      </w:tr>
      <w:tr w:rsidR="00433E27" w:rsidRPr="00FD119B" w14:paraId="3E00864B" w14:textId="77777777" w:rsidTr="00FD119B">
        <w:tc>
          <w:tcPr>
            <w:tcW w:w="1809" w:type="dxa"/>
          </w:tcPr>
          <w:p w14:paraId="0C0728AC" w14:textId="77777777" w:rsidR="00433E27" w:rsidRPr="00846D13" w:rsidRDefault="00433E27" w:rsidP="00433E27">
            <w:r>
              <w:t>LAL</w:t>
            </w:r>
          </w:p>
        </w:tc>
        <w:tc>
          <w:tcPr>
            <w:tcW w:w="6911" w:type="dxa"/>
          </w:tcPr>
          <w:p w14:paraId="09AFF2C1" w14:textId="029A4868" w:rsidR="00433E27" w:rsidRPr="00846D13" w:rsidRDefault="007C7A0E" w:rsidP="00433E27">
            <w:r>
              <w:t>L</w:t>
            </w:r>
            <w:r w:rsidRPr="00846D13">
              <w:t xml:space="preserve">ysosomal </w:t>
            </w:r>
            <w:r w:rsidR="00433E27" w:rsidRPr="00846D13">
              <w:t>acid lipase</w:t>
            </w:r>
          </w:p>
        </w:tc>
      </w:tr>
      <w:tr w:rsidR="008E5468" w:rsidRPr="00FD119B" w14:paraId="62051AA0" w14:textId="77777777" w:rsidTr="00FD119B">
        <w:tc>
          <w:tcPr>
            <w:tcW w:w="1809" w:type="dxa"/>
          </w:tcPr>
          <w:p w14:paraId="352CBD38" w14:textId="77777777" w:rsidR="008E5468" w:rsidRDefault="008E5468" w:rsidP="00433E27">
            <w:r>
              <w:t>LAL-D</w:t>
            </w:r>
          </w:p>
        </w:tc>
        <w:tc>
          <w:tcPr>
            <w:tcW w:w="6911" w:type="dxa"/>
          </w:tcPr>
          <w:p w14:paraId="1063DC3F" w14:textId="77777777" w:rsidR="008E5468" w:rsidRPr="00846D13" w:rsidRDefault="008E5468" w:rsidP="00433E27">
            <w:r w:rsidRPr="00A75135">
              <w:rPr>
                <w:rFonts w:asciiTheme="minorHAnsi" w:hAnsiTheme="minorHAnsi"/>
                <w:bCs/>
                <w:iCs/>
              </w:rPr>
              <w:t>L</w:t>
            </w:r>
            <w:r>
              <w:rPr>
                <w:rFonts w:asciiTheme="minorHAnsi" w:hAnsiTheme="minorHAnsi"/>
                <w:bCs/>
                <w:iCs/>
              </w:rPr>
              <w:t>iposomal acid lipase d</w:t>
            </w:r>
            <w:r w:rsidRPr="00A75135">
              <w:rPr>
                <w:rFonts w:asciiTheme="minorHAnsi" w:hAnsiTheme="minorHAnsi"/>
                <w:bCs/>
                <w:iCs/>
              </w:rPr>
              <w:t>eficiency</w:t>
            </w:r>
          </w:p>
        </w:tc>
      </w:tr>
      <w:tr w:rsidR="00433E27" w:rsidRPr="00FD119B" w14:paraId="518D2158" w14:textId="77777777" w:rsidTr="00FD119B">
        <w:tc>
          <w:tcPr>
            <w:tcW w:w="1809" w:type="dxa"/>
          </w:tcPr>
          <w:p w14:paraId="78DB5FBC" w14:textId="77777777" w:rsidR="00433E27" w:rsidRPr="00846D13" w:rsidRDefault="00433E27" w:rsidP="00433E27">
            <w:r>
              <w:t>LDL</w:t>
            </w:r>
          </w:p>
        </w:tc>
        <w:tc>
          <w:tcPr>
            <w:tcW w:w="6911" w:type="dxa"/>
          </w:tcPr>
          <w:p w14:paraId="12F4B9EB" w14:textId="73D86C02" w:rsidR="00433E27" w:rsidRPr="00846D13" w:rsidRDefault="007C7A0E" w:rsidP="00433E27">
            <w:r>
              <w:t>L</w:t>
            </w:r>
            <w:r w:rsidR="00433E27" w:rsidRPr="00846D13">
              <w:t>ow density lipoprotein</w:t>
            </w:r>
          </w:p>
        </w:tc>
      </w:tr>
      <w:tr w:rsidR="002B27E3" w:rsidRPr="00FD119B" w14:paraId="5CA1A6E4" w14:textId="77777777" w:rsidTr="00FD119B">
        <w:tc>
          <w:tcPr>
            <w:tcW w:w="1809" w:type="dxa"/>
          </w:tcPr>
          <w:p w14:paraId="2E4516EB" w14:textId="77777777" w:rsidR="002B27E3" w:rsidRDefault="002B27E3">
            <w:r w:rsidRPr="009620B5">
              <w:t>LDL-c</w:t>
            </w:r>
          </w:p>
        </w:tc>
        <w:tc>
          <w:tcPr>
            <w:tcW w:w="6911" w:type="dxa"/>
          </w:tcPr>
          <w:p w14:paraId="2B8D0911" w14:textId="50B48BB4" w:rsidR="002B27E3" w:rsidRDefault="007C7A0E">
            <w:r>
              <w:t>L</w:t>
            </w:r>
            <w:r w:rsidR="007F5DA3">
              <w:t>ow density</w:t>
            </w:r>
            <w:r w:rsidR="007F5DA3" w:rsidRPr="00984096">
              <w:t xml:space="preserve"> lipoprotein cholesterol</w:t>
            </w:r>
          </w:p>
        </w:tc>
      </w:tr>
      <w:tr w:rsidR="00AA456F" w:rsidRPr="00FD119B" w14:paraId="61D77786" w14:textId="77777777" w:rsidTr="00FD119B">
        <w:tc>
          <w:tcPr>
            <w:tcW w:w="1809" w:type="dxa"/>
          </w:tcPr>
          <w:p w14:paraId="408C713D" w14:textId="77777777" w:rsidR="00AA456F" w:rsidRPr="009620B5" w:rsidRDefault="00AA456F">
            <w:r w:rsidRPr="00046D04">
              <w:t>LLMs</w:t>
            </w:r>
          </w:p>
        </w:tc>
        <w:tc>
          <w:tcPr>
            <w:tcW w:w="6911" w:type="dxa"/>
          </w:tcPr>
          <w:p w14:paraId="66E10707" w14:textId="39605647" w:rsidR="00AA456F" w:rsidRDefault="007C7A0E" w:rsidP="00AA456F">
            <w:r>
              <w:t>L</w:t>
            </w:r>
            <w:r w:rsidR="00AA456F">
              <w:t>ipid lowering medications</w:t>
            </w:r>
          </w:p>
        </w:tc>
      </w:tr>
      <w:tr w:rsidR="00433E27" w:rsidRPr="00FD119B" w14:paraId="2A2EB325" w14:textId="77777777" w:rsidTr="00FD119B">
        <w:tc>
          <w:tcPr>
            <w:tcW w:w="1809" w:type="dxa"/>
          </w:tcPr>
          <w:p w14:paraId="221143AC" w14:textId="77777777" w:rsidR="00433E27" w:rsidRPr="00846D13" w:rsidRDefault="00433E27" w:rsidP="00433E27">
            <w:r>
              <w:t>LLN</w:t>
            </w:r>
          </w:p>
        </w:tc>
        <w:tc>
          <w:tcPr>
            <w:tcW w:w="6911" w:type="dxa"/>
          </w:tcPr>
          <w:p w14:paraId="0B5DD7DB" w14:textId="3FDAAC1F" w:rsidR="00433E27" w:rsidRPr="00846D13" w:rsidRDefault="007C7A0E" w:rsidP="00433E27">
            <w:r>
              <w:t>L</w:t>
            </w:r>
            <w:r w:rsidRPr="00846D13">
              <w:t xml:space="preserve">ower </w:t>
            </w:r>
            <w:r w:rsidR="00433E27" w:rsidRPr="00846D13">
              <w:t>limit of normal</w:t>
            </w:r>
          </w:p>
        </w:tc>
      </w:tr>
      <w:tr w:rsidR="00433E27" w:rsidRPr="00FD119B" w14:paraId="328C477C" w14:textId="77777777" w:rsidTr="00FD119B">
        <w:tc>
          <w:tcPr>
            <w:tcW w:w="1809" w:type="dxa"/>
          </w:tcPr>
          <w:p w14:paraId="5C9B49F6" w14:textId="77777777" w:rsidR="00433E27" w:rsidRPr="00846D13" w:rsidRDefault="00433E27" w:rsidP="00433E27">
            <w:r>
              <w:t>LSD</w:t>
            </w:r>
          </w:p>
        </w:tc>
        <w:tc>
          <w:tcPr>
            <w:tcW w:w="6911" w:type="dxa"/>
          </w:tcPr>
          <w:p w14:paraId="4C71530F" w14:textId="430A024B" w:rsidR="00433E27" w:rsidRPr="00846D13" w:rsidRDefault="007C7A0E" w:rsidP="00433E27">
            <w:r>
              <w:t>L</w:t>
            </w:r>
            <w:r w:rsidR="00433E27" w:rsidRPr="00846D13">
              <w:t>ysosomal storage disorder</w:t>
            </w:r>
          </w:p>
        </w:tc>
      </w:tr>
      <w:tr w:rsidR="00433E27" w:rsidRPr="00FD119B" w14:paraId="16C06084" w14:textId="77777777" w:rsidTr="00FD119B">
        <w:tc>
          <w:tcPr>
            <w:tcW w:w="1809" w:type="dxa"/>
          </w:tcPr>
          <w:p w14:paraId="4A9F1C24" w14:textId="77777777" w:rsidR="00433E27" w:rsidRPr="00846D13" w:rsidRDefault="00433E27" w:rsidP="00433E27">
            <w:proofErr w:type="spellStart"/>
            <w:r>
              <w:t>MedDRA</w:t>
            </w:r>
            <w:proofErr w:type="spellEnd"/>
          </w:p>
        </w:tc>
        <w:tc>
          <w:tcPr>
            <w:tcW w:w="6911" w:type="dxa"/>
          </w:tcPr>
          <w:p w14:paraId="55075E7A" w14:textId="77777777" w:rsidR="00433E27" w:rsidRPr="00846D13" w:rsidRDefault="00433E27" w:rsidP="00433E27">
            <w:r w:rsidRPr="00846D13">
              <w:t>Medical Dictionary for Regulatory Activities</w:t>
            </w:r>
          </w:p>
        </w:tc>
      </w:tr>
      <w:tr w:rsidR="008A51EB" w:rsidRPr="00FD119B" w14:paraId="15FB7E74" w14:textId="77777777" w:rsidTr="00FD119B">
        <w:tc>
          <w:tcPr>
            <w:tcW w:w="1809" w:type="dxa"/>
          </w:tcPr>
          <w:p w14:paraId="6D435488" w14:textId="77777777" w:rsidR="008A51EB" w:rsidRDefault="008A51EB" w:rsidP="00433E27">
            <w:r w:rsidRPr="008A51EB">
              <w:rPr>
                <w:rFonts w:cs="TimesNewRomanPSMT"/>
              </w:rPr>
              <w:t>MRI</w:t>
            </w:r>
          </w:p>
        </w:tc>
        <w:tc>
          <w:tcPr>
            <w:tcW w:w="6911" w:type="dxa"/>
          </w:tcPr>
          <w:p w14:paraId="4B0EE888" w14:textId="7206D9B3" w:rsidR="008A51EB" w:rsidRPr="00846D13" w:rsidRDefault="007C7A0E" w:rsidP="00433E27">
            <w:r>
              <w:rPr>
                <w:rFonts w:cs="TimesNewRomanPSMT"/>
              </w:rPr>
              <w:t xml:space="preserve">Magnetic </w:t>
            </w:r>
            <w:r w:rsidR="008A51EB">
              <w:rPr>
                <w:rFonts w:cs="TimesNewRomanPSMT"/>
              </w:rPr>
              <w:t>resonance imaging</w:t>
            </w:r>
          </w:p>
        </w:tc>
      </w:tr>
      <w:tr w:rsidR="008A34D4" w:rsidRPr="00FD119B" w14:paraId="1078F6EF" w14:textId="77777777" w:rsidTr="00FD119B">
        <w:tc>
          <w:tcPr>
            <w:tcW w:w="1809" w:type="dxa"/>
          </w:tcPr>
          <w:p w14:paraId="6C2EE1D5" w14:textId="77777777" w:rsidR="008A34D4" w:rsidRDefault="008A34D4" w:rsidP="00433E27">
            <w:r>
              <w:t>NOAEL</w:t>
            </w:r>
          </w:p>
        </w:tc>
        <w:tc>
          <w:tcPr>
            <w:tcW w:w="6911" w:type="dxa"/>
          </w:tcPr>
          <w:p w14:paraId="5D9AA356" w14:textId="77777777" w:rsidR="008A34D4" w:rsidRPr="00846D13" w:rsidRDefault="00773EA6" w:rsidP="00433E27">
            <w:r>
              <w:t>No observed adverse effect level</w:t>
            </w:r>
          </w:p>
        </w:tc>
      </w:tr>
      <w:tr w:rsidR="00433E27" w:rsidRPr="00FD119B" w14:paraId="4DDD4FB7" w14:textId="77777777" w:rsidTr="00FD119B">
        <w:tc>
          <w:tcPr>
            <w:tcW w:w="1809" w:type="dxa"/>
          </w:tcPr>
          <w:p w14:paraId="0BA5D664" w14:textId="77777777" w:rsidR="00433E27" w:rsidRPr="00846D13" w:rsidRDefault="00433E27" w:rsidP="00433E27">
            <w:r>
              <w:t>PD</w:t>
            </w:r>
          </w:p>
        </w:tc>
        <w:tc>
          <w:tcPr>
            <w:tcW w:w="6911" w:type="dxa"/>
          </w:tcPr>
          <w:p w14:paraId="741E6A34" w14:textId="0BDA9BCC" w:rsidR="00433E27" w:rsidRPr="00846D13" w:rsidRDefault="007C7A0E" w:rsidP="00433E27">
            <w:r>
              <w:t>P</w:t>
            </w:r>
            <w:r w:rsidRPr="00846D13">
              <w:t>harmacodynamic</w:t>
            </w:r>
            <w:r>
              <w:t>(</w:t>
            </w:r>
            <w:r w:rsidRPr="00846D13">
              <w:t>s</w:t>
            </w:r>
            <w:r>
              <w:t>)</w:t>
            </w:r>
          </w:p>
        </w:tc>
      </w:tr>
      <w:tr w:rsidR="00433E27" w:rsidRPr="00FD119B" w14:paraId="3A7E47F3" w14:textId="77777777" w:rsidTr="00FD119B">
        <w:tc>
          <w:tcPr>
            <w:tcW w:w="1809" w:type="dxa"/>
          </w:tcPr>
          <w:p w14:paraId="3E47FF04" w14:textId="77777777" w:rsidR="00433E27" w:rsidRPr="00846D13" w:rsidRDefault="00433E27" w:rsidP="00433E27">
            <w:r>
              <w:t>PK</w:t>
            </w:r>
          </w:p>
        </w:tc>
        <w:tc>
          <w:tcPr>
            <w:tcW w:w="6911" w:type="dxa"/>
          </w:tcPr>
          <w:p w14:paraId="6B0F06A1" w14:textId="5C9786A6" w:rsidR="00433E27" w:rsidRPr="00846D13" w:rsidRDefault="007C7A0E" w:rsidP="00433E27">
            <w:r>
              <w:t>P</w:t>
            </w:r>
            <w:r w:rsidRPr="00846D13">
              <w:t>harmacokinetic</w:t>
            </w:r>
            <w:r>
              <w:t>(</w:t>
            </w:r>
            <w:r w:rsidRPr="00846D13">
              <w:t>s</w:t>
            </w:r>
            <w:r>
              <w:t>)</w:t>
            </w:r>
          </w:p>
        </w:tc>
      </w:tr>
      <w:tr w:rsidR="004A1DEE" w:rsidRPr="00FD119B" w14:paraId="157444B4" w14:textId="77777777" w:rsidTr="00FD119B">
        <w:tc>
          <w:tcPr>
            <w:tcW w:w="1809" w:type="dxa"/>
          </w:tcPr>
          <w:p w14:paraId="199AF9B1" w14:textId="3C156838" w:rsidR="004A1DEE" w:rsidRDefault="004A1DEE" w:rsidP="00433E27">
            <w:r w:rsidRPr="004A1DEE">
              <w:t>PSUR</w:t>
            </w:r>
          </w:p>
        </w:tc>
        <w:tc>
          <w:tcPr>
            <w:tcW w:w="6911" w:type="dxa"/>
          </w:tcPr>
          <w:p w14:paraId="6969A88E" w14:textId="60760F46" w:rsidR="004A1DEE" w:rsidRPr="00846D13" w:rsidRDefault="004A1DEE" w:rsidP="00433E27">
            <w:r>
              <w:t xml:space="preserve">Periodic </w:t>
            </w:r>
            <w:r w:rsidR="007C7A0E">
              <w:t>S</w:t>
            </w:r>
            <w:r>
              <w:t xml:space="preserve">afety </w:t>
            </w:r>
            <w:r w:rsidR="007C7A0E">
              <w:t>U</w:t>
            </w:r>
            <w:r>
              <w:t xml:space="preserve">pdate </w:t>
            </w:r>
            <w:r w:rsidR="007C7A0E">
              <w:t>R</w:t>
            </w:r>
            <w:r>
              <w:t>eport</w:t>
            </w:r>
          </w:p>
        </w:tc>
      </w:tr>
      <w:tr w:rsidR="00433E27" w:rsidRPr="00FD119B" w14:paraId="73283C89" w14:textId="77777777" w:rsidTr="00FD119B">
        <w:tc>
          <w:tcPr>
            <w:tcW w:w="1809" w:type="dxa"/>
          </w:tcPr>
          <w:p w14:paraId="287C5D32" w14:textId="77777777" w:rsidR="00433E27" w:rsidRPr="00846D13" w:rsidRDefault="00433E27" w:rsidP="00433E27">
            <w:proofErr w:type="spellStart"/>
            <w:r>
              <w:t>qw</w:t>
            </w:r>
            <w:proofErr w:type="spellEnd"/>
          </w:p>
        </w:tc>
        <w:tc>
          <w:tcPr>
            <w:tcW w:w="6911" w:type="dxa"/>
          </w:tcPr>
          <w:p w14:paraId="46101CA8" w14:textId="77777777" w:rsidR="00433E27" w:rsidRPr="00846D13" w:rsidRDefault="000B4393" w:rsidP="00433E27">
            <w:r>
              <w:t xml:space="preserve">Once </w:t>
            </w:r>
            <w:r w:rsidR="00433E27" w:rsidRPr="00846D13">
              <w:t>weekly</w:t>
            </w:r>
          </w:p>
        </w:tc>
      </w:tr>
      <w:tr w:rsidR="00433E27" w:rsidRPr="00FD119B" w14:paraId="08F8BBFD" w14:textId="77777777" w:rsidTr="00FD119B">
        <w:tc>
          <w:tcPr>
            <w:tcW w:w="1809" w:type="dxa"/>
          </w:tcPr>
          <w:p w14:paraId="69A73600" w14:textId="77777777" w:rsidR="00433E27" w:rsidRPr="00846D13" w:rsidRDefault="00433E27" w:rsidP="00433E27">
            <w:proofErr w:type="spellStart"/>
            <w:r>
              <w:t>qow</w:t>
            </w:r>
            <w:proofErr w:type="spellEnd"/>
          </w:p>
        </w:tc>
        <w:tc>
          <w:tcPr>
            <w:tcW w:w="6911" w:type="dxa"/>
          </w:tcPr>
          <w:p w14:paraId="4ECF7CEF" w14:textId="2C34CE2B" w:rsidR="00433E27" w:rsidRPr="00846D13" w:rsidRDefault="007C7A0E" w:rsidP="00433E27">
            <w:r>
              <w:t>E</w:t>
            </w:r>
            <w:r w:rsidRPr="00846D13">
              <w:t xml:space="preserve">very </w:t>
            </w:r>
            <w:r w:rsidR="00433E27" w:rsidRPr="00846D13">
              <w:t>other week</w:t>
            </w:r>
          </w:p>
        </w:tc>
      </w:tr>
      <w:tr w:rsidR="00433E27" w:rsidRPr="00FD119B" w14:paraId="4205DB51" w14:textId="77777777" w:rsidTr="00FD119B">
        <w:tc>
          <w:tcPr>
            <w:tcW w:w="1809" w:type="dxa"/>
          </w:tcPr>
          <w:p w14:paraId="4950803F" w14:textId="77777777" w:rsidR="00433E27" w:rsidRPr="00846D13" w:rsidRDefault="00433E27" w:rsidP="00433E27">
            <w:proofErr w:type="spellStart"/>
            <w:r>
              <w:t>rhLAL</w:t>
            </w:r>
            <w:proofErr w:type="spellEnd"/>
          </w:p>
        </w:tc>
        <w:tc>
          <w:tcPr>
            <w:tcW w:w="6911" w:type="dxa"/>
          </w:tcPr>
          <w:p w14:paraId="3054D897" w14:textId="00D60404" w:rsidR="00433E27" w:rsidRPr="00846D13" w:rsidRDefault="007C7A0E" w:rsidP="00433E27">
            <w:r>
              <w:t>R</w:t>
            </w:r>
            <w:r w:rsidRPr="00846D13">
              <w:t xml:space="preserve">ecombinant </w:t>
            </w:r>
            <w:r w:rsidR="00433E27" w:rsidRPr="00846D13">
              <w:t>human lysosomal acid lipase</w:t>
            </w:r>
          </w:p>
        </w:tc>
      </w:tr>
      <w:tr w:rsidR="00433E27" w:rsidRPr="00FD119B" w14:paraId="219A49E4" w14:textId="77777777" w:rsidTr="00FD119B">
        <w:tc>
          <w:tcPr>
            <w:tcW w:w="1809" w:type="dxa"/>
          </w:tcPr>
          <w:p w14:paraId="75BB90AF" w14:textId="77777777" w:rsidR="00433E27" w:rsidRPr="00846D13" w:rsidRDefault="00433E27" w:rsidP="00433E27">
            <w:r>
              <w:t>SAE</w:t>
            </w:r>
          </w:p>
        </w:tc>
        <w:tc>
          <w:tcPr>
            <w:tcW w:w="6911" w:type="dxa"/>
          </w:tcPr>
          <w:p w14:paraId="37AA76BF" w14:textId="2D64D05E" w:rsidR="00433E27" w:rsidRPr="00846D13" w:rsidRDefault="007C7A0E" w:rsidP="00433E27">
            <w:r>
              <w:t>S</w:t>
            </w:r>
            <w:r w:rsidRPr="00846D13">
              <w:t xml:space="preserve">erious </w:t>
            </w:r>
            <w:r w:rsidR="00433E27" w:rsidRPr="00846D13">
              <w:t>adverse event</w:t>
            </w:r>
          </w:p>
        </w:tc>
      </w:tr>
      <w:tr w:rsidR="002B27E3" w:rsidRPr="00FD119B" w14:paraId="64147BA3" w14:textId="77777777" w:rsidTr="00FD119B">
        <w:tc>
          <w:tcPr>
            <w:tcW w:w="1809" w:type="dxa"/>
          </w:tcPr>
          <w:p w14:paraId="371174C3" w14:textId="77777777" w:rsidR="002B27E3" w:rsidRDefault="002B27E3" w:rsidP="00433E27">
            <w:r w:rsidRPr="00D15227">
              <w:t>SBC-102</w:t>
            </w:r>
          </w:p>
        </w:tc>
        <w:tc>
          <w:tcPr>
            <w:tcW w:w="6911" w:type="dxa"/>
          </w:tcPr>
          <w:p w14:paraId="33B93AE0" w14:textId="0F9A617F" w:rsidR="002B27E3" w:rsidRPr="00846D13" w:rsidRDefault="007C7A0E" w:rsidP="002B27E3">
            <w:r>
              <w:t>S</w:t>
            </w:r>
            <w:r w:rsidRPr="00D15227">
              <w:t xml:space="preserve">ebelipase </w:t>
            </w:r>
            <w:r w:rsidR="002B27E3" w:rsidRPr="00D15227">
              <w:t>a</w:t>
            </w:r>
            <w:r w:rsidR="002B27E3">
              <w:t>lfa</w:t>
            </w:r>
          </w:p>
        </w:tc>
      </w:tr>
      <w:tr w:rsidR="00433E27" w:rsidRPr="00FD119B" w14:paraId="4F79116B" w14:textId="77777777" w:rsidTr="00FD119B">
        <w:tc>
          <w:tcPr>
            <w:tcW w:w="1809" w:type="dxa"/>
          </w:tcPr>
          <w:p w14:paraId="00D81B5F" w14:textId="77777777" w:rsidR="00433E27" w:rsidRPr="00846D13" w:rsidRDefault="008C79BF" w:rsidP="00433E27">
            <w:r>
              <w:t>t</w:t>
            </w:r>
            <w:r w:rsidRPr="007C7A0E">
              <w:t>½</w:t>
            </w:r>
          </w:p>
        </w:tc>
        <w:tc>
          <w:tcPr>
            <w:tcW w:w="6911" w:type="dxa"/>
          </w:tcPr>
          <w:p w14:paraId="7D9EC85A" w14:textId="309AFEB8" w:rsidR="00433E27" w:rsidRPr="00846D13" w:rsidRDefault="007C7A0E" w:rsidP="00433E27">
            <w:r>
              <w:t>A</w:t>
            </w:r>
            <w:r w:rsidRPr="00846D13">
              <w:t xml:space="preserve">pparent </w:t>
            </w:r>
            <w:r w:rsidR="00433E27" w:rsidRPr="00846D13">
              <w:t>terminal half-life</w:t>
            </w:r>
          </w:p>
        </w:tc>
      </w:tr>
      <w:tr w:rsidR="00945715" w:rsidRPr="00FD119B" w14:paraId="25114C6E" w14:textId="77777777" w:rsidTr="00FD119B">
        <w:tc>
          <w:tcPr>
            <w:tcW w:w="1809" w:type="dxa"/>
          </w:tcPr>
          <w:p w14:paraId="729E0A76" w14:textId="77777777" w:rsidR="00945715" w:rsidRDefault="00945715" w:rsidP="00433E27">
            <w:proofErr w:type="spellStart"/>
            <w:r>
              <w:t>TBil</w:t>
            </w:r>
            <w:proofErr w:type="spellEnd"/>
          </w:p>
        </w:tc>
        <w:tc>
          <w:tcPr>
            <w:tcW w:w="6911" w:type="dxa"/>
          </w:tcPr>
          <w:p w14:paraId="340453D8" w14:textId="77777777" w:rsidR="00945715" w:rsidRPr="00846D13" w:rsidRDefault="000B4393" w:rsidP="00433E27">
            <w:r>
              <w:t>Total bilirubin</w:t>
            </w:r>
          </w:p>
        </w:tc>
      </w:tr>
      <w:tr w:rsidR="00433E27" w:rsidRPr="00FD119B" w14:paraId="24F7DD0C" w14:textId="77777777" w:rsidTr="00FD119B">
        <w:tc>
          <w:tcPr>
            <w:tcW w:w="1809" w:type="dxa"/>
          </w:tcPr>
          <w:p w14:paraId="23ADCBF7" w14:textId="77777777" w:rsidR="00433E27" w:rsidRPr="00846D13" w:rsidRDefault="00433E27" w:rsidP="00433E27">
            <w:r>
              <w:t>TEAE</w:t>
            </w:r>
          </w:p>
        </w:tc>
        <w:tc>
          <w:tcPr>
            <w:tcW w:w="6911" w:type="dxa"/>
          </w:tcPr>
          <w:p w14:paraId="5D767874" w14:textId="452AB62B" w:rsidR="00433E27" w:rsidRPr="00846D13" w:rsidRDefault="007C7A0E" w:rsidP="00433E27">
            <w:r>
              <w:t>T</w:t>
            </w:r>
            <w:r w:rsidRPr="00846D13">
              <w:t>reatment</w:t>
            </w:r>
            <w:r w:rsidR="00433E27" w:rsidRPr="00846D13">
              <w:t>-emergent adverse event</w:t>
            </w:r>
          </w:p>
        </w:tc>
      </w:tr>
      <w:tr w:rsidR="00433E27" w:rsidRPr="00FD119B" w14:paraId="3793600A" w14:textId="77777777" w:rsidTr="00FD119B">
        <w:tc>
          <w:tcPr>
            <w:tcW w:w="1809" w:type="dxa"/>
          </w:tcPr>
          <w:p w14:paraId="53E7E635" w14:textId="77777777" w:rsidR="00433E27" w:rsidRPr="00846D13" w:rsidRDefault="008C79BF" w:rsidP="00433E27">
            <w:proofErr w:type="spellStart"/>
            <w:r>
              <w:t>T</w:t>
            </w:r>
            <w:r w:rsidRPr="00D72494">
              <w:rPr>
                <w:vertAlign w:val="subscript"/>
              </w:rPr>
              <w:t>max</w:t>
            </w:r>
            <w:proofErr w:type="spellEnd"/>
          </w:p>
        </w:tc>
        <w:tc>
          <w:tcPr>
            <w:tcW w:w="6911" w:type="dxa"/>
          </w:tcPr>
          <w:p w14:paraId="027758B9" w14:textId="129B5F3C" w:rsidR="00433E27" w:rsidRPr="00846D13" w:rsidRDefault="007C7A0E" w:rsidP="00433E27">
            <w:r>
              <w:t>T</w:t>
            </w:r>
            <w:r w:rsidRPr="00846D13">
              <w:t xml:space="preserve">ime </w:t>
            </w:r>
            <w:r w:rsidR="00433E27" w:rsidRPr="00846D13">
              <w:t>to maximum observed serum concentration</w:t>
            </w:r>
          </w:p>
        </w:tc>
      </w:tr>
      <w:tr w:rsidR="00433E27" w:rsidRPr="00FD119B" w14:paraId="79EAF6BE" w14:textId="77777777" w:rsidTr="00FD119B">
        <w:tc>
          <w:tcPr>
            <w:tcW w:w="1809" w:type="dxa"/>
          </w:tcPr>
          <w:p w14:paraId="2BD82745" w14:textId="77777777" w:rsidR="00433E27" w:rsidRPr="00846D13" w:rsidRDefault="00433E27" w:rsidP="00433E27">
            <w:r>
              <w:t>ULN</w:t>
            </w:r>
          </w:p>
        </w:tc>
        <w:tc>
          <w:tcPr>
            <w:tcW w:w="6911" w:type="dxa"/>
          </w:tcPr>
          <w:p w14:paraId="1E673F0F" w14:textId="6DA1473A" w:rsidR="00433E27" w:rsidRPr="00846D13" w:rsidRDefault="007C7A0E" w:rsidP="00433E27">
            <w:r>
              <w:t>U</w:t>
            </w:r>
            <w:r w:rsidRPr="00846D13">
              <w:t xml:space="preserve">pper </w:t>
            </w:r>
            <w:r w:rsidR="00433E27" w:rsidRPr="00846D13">
              <w:t>limit of normal</w:t>
            </w:r>
          </w:p>
        </w:tc>
      </w:tr>
      <w:tr w:rsidR="00433E27" w:rsidRPr="00FD119B" w14:paraId="41CCCA0A" w14:textId="77777777" w:rsidTr="00FD119B">
        <w:tc>
          <w:tcPr>
            <w:tcW w:w="1809" w:type="dxa"/>
          </w:tcPr>
          <w:p w14:paraId="4608BE20" w14:textId="77777777" w:rsidR="00433E27" w:rsidRPr="00846D13" w:rsidRDefault="00433E27" w:rsidP="00433E27">
            <w:r>
              <w:t>UK</w:t>
            </w:r>
          </w:p>
        </w:tc>
        <w:tc>
          <w:tcPr>
            <w:tcW w:w="6911" w:type="dxa"/>
          </w:tcPr>
          <w:p w14:paraId="5872A911" w14:textId="77777777" w:rsidR="00433E27" w:rsidRPr="00846D13" w:rsidRDefault="00433E27" w:rsidP="00433E27">
            <w:r w:rsidRPr="00846D13">
              <w:t>United Kingdom</w:t>
            </w:r>
          </w:p>
        </w:tc>
      </w:tr>
      <w:tr w:rsidR="00433E27" w:rsidRPr="00FD119B" w14:paraId="7734400A" w14:textId="77777777" w:rsidTr="00FD119B">
        <w:tc>
          <w:tcPr>
            <w:tcW w:w="1809" w:type="dxa"/>
          </w:tcPr>
          <w:p w14:paraId="686FCBCE" w14:textId="77777777" w:rsidR="00433E27" w:rsidRPr="00846D13" w:rsidRDefault="00433E27" w:rsidP="00433E27">
            <w:r>
              <w:lastRenderedPageBreak/>
              <w:t>US</w:t>
            </w:r>
          </w:p>
        </w:tc>
        <w:tc>
          <w:tcPr>
            <w:tcW w:w="6911" w:type="dxa"/>
          </w:tcPr>
          <w:p w14:paraId="23EA8670" w14:textId="77777777" w:rsidR="00433E27" w:rsidRPr="00846D13" w:rsidRDefault="00433E27" w:rsidP="00433E27">
            <w:r w:rsidRPr="00846D13">
              <w:t>United States</w:t>
            </w:r>
          </w:p>
        </w:tc>
      </w:tr>
      <w:tr w:rsidR="00945715" w:rsidRPr="00FD119B" w14:paraId="66D2195E" w14:textId="77777777" w:rsidTr="00FD119B">
        <w:tc>
          <w:tcPr>
            <w:tcW w:w="1809" w:type="dxa"/>
          </w:tcPr>
          <w:p w14:paraId="2A89B92B" w14:textId="77777777" w:rsidR="00945715" w:rsidRDefault="00945715" w:rsidP="00433E27">
            <w:proofErr w:type="spellStart"/>
            <w:r w:rsidRPr="00B55A5F">
              <w:t>V</w:t>
            </w:r>
            <w:r w:rsidRPr="00905BF2">
              <w:rPr>
                <w:vertAlign w:val="subscript"/>
              </w:rPr>
              <w:t>c</w:t>
            </w:r>
            <w:proofErr w:type="spellEnd"/>
          </w:p>
        </w:tc>
        <w:tc>
          <w:tcPr>
            <w:tcW w:w="6911" w:type="dxa"/>
          </w:tcPr>
          <w:p w14:paraId="00917214" w14:textId="5F367261" w:rsidR="00945715" w:rsidRPr="00846D13" w:rsidRDefault="007C7A0E" w:rsidP="00433E27">
            <w:r>
              <w:t xml:space="preserve">Volume </w:t>
            </w:r>
            <w:r w:rsidR="000B4393">
              <w:t>of distribution central compartment</w:t>
            </w:r>
          </w:p>
        </w:tc>
      </w:tr>
      <w:tr w:rsidR="00433E27" w:rsidRPr="00FD119B" w14:paraId="04A3EE67" w14:textId="77777777" w:rsidTr="00FD119B">
        <w:tc>
          <w:tcPr>
            <w:tcW w:w="1809" w:type="dxa"/>
          </w:tcPr>
          <w:p w14:paraId="25241C85" w14:textId="77777777" w:rsidR="00433E27" w:rsidRPr="00846D13" w:rsidRDefault="008C79BF" w:rsidP="00433E27">
            <w:proofErr w:type="spellStart"/>
            <w:r>
              <w:t>V</w:t>
            </w:r>
            <w:r w:rsidRPr="00D72494">
              <w:rPr>
                <w:vertAlign w:val="subscript"/>
              </w:rPr>
              <w:t>ss</w:t>
            </w:r>
            <w:proofErr w:type="spellEnd"/>
          </w:p>
        </w:tc>
        <w:tc>
          <w:tcPr>
            <w:tcW w:w="6911" w:type="dxa"/>
          </w:tcPr>
          <w:p w14:paraId="7566D26F" w14:textId="46CEEC3F" w:rsidR="00433E27" w:rsidRPr="00846D13" w:rsidRDefault="007C7A0E" w:rsidP="00433E27">
            <w:r>
              <w:t>V</w:t>
            </w:r>
            <w:r w:rsidRPr="00846D13">
              <w:t xml:space="preserve">olume </w:t>
            </w:r>
            <w:r w:rsidR="00433E27" w:rsidRPr="00846D13">
              <w:t>of distribution at steady state</w:t>
            </w:r>
          </w:p>
        </w:tc>
      </w:tr>
      <w:tr w:rsidR="00433E27" w:rsidRPr="00FD119B" w14:paraId="17E3274F" w14:textId="77777777" w:rsidTr="00FD119B">
        <w:tc>
          <w:tcPr>
            <w:tcW w:w="1809" w:type="dxa"/>
          </w:tcPr>
          <w:p w14:paraId="1FFDA57C" w14:textId="77777777" w:rsidR="00433E27" w:rsidRPr="00846D13" w:rsidRDefault="008C79BF" w:rsidP="00433E27">
            <w:proofErr w:type="spellStart"/>
            <w:r>
              <w:t>V</w:t>
            </w:r>
            <w:r w:rsidRPr="00D72494">
              <w:rPr>
                <w:vertAlign w:val="subscript"/>
              </w:rPr>
              <w:t>z</w:t>
            </w:r>
            <w:proofErr w:type="spellEnd"/>
          </w:p>
        </w:tc>
        <w:tc>
          <w:tcPr>
            <w:tcW w:w="6911" w:type="dxa"/>
          </w:tcPr>
          <w:p w14:paraId="60C24523" w14:textId="0B4A1424" w:rsidR="00433E27" w:rsidRPr="00846D13" w:rsidRDefault="007C7A0E" w:rsidP="00433E27">
            <w:r>
              <w:t>V</w:t>
            </w:r>
            <w:r w:rsidRPr="00846D13">
              <w:t xml:space="preserve">olume </w:t>
            </w:r>
            <w:r w:rsidR="00433E27" w:rsidRPr="00846D13">
              <w:t>of distribution</w:t>
            </w:r>
          </w:p>
        </w:tc>
      </w:tr>
      <w:tr w:rsidR="00433E27" w:rsidRPr="00FD119B" w14:paraId="4B2C954B" w14:textId="77777777" w:rsidTr="000B4393">
        <w:trPr>
          <w:trHeight w:val="414"/>
        </w:trPr>
        <w:tc>
          <w:tcPr>
            <w:tcW w:w="1809" w:type="dxa"/>
          </w:tcPr>
          <w:p w14:paraId="0067C224" w14:textId="77777777" w:rsidR="00433E27" w:rsidRPr="00846D13" w:rsidRDefault="00433E27" w:rsidP="00433E27">
            <w:r>
              <w:t>WHO</w:t>
            </w:r>
          </w:p>
        </w:tc>
        <w:tc>
          <w:tcPr>
            <w:tcW w:w="6911" w:type="dxa"/>
          </w:tcPr>
          <w:p w14:paraId="278F9AA6" w14:textId="77777777" w:rsidR="00433E27" w:rsidRPr="00846D13" w:rsidRDefault="00433E27" w:rsidP="00433E27">
            <w:r w:rsidRPr="00846D13">
              <w:t>World Health Organization</w:t>
            </w:r>
          </w:p>
        </w:tc>
      </w:tr>
    </w:tbl>
    <w:p w14:paraId="08682EF3" w14:textId="77777777" w:rsidR="00FD119B" w:rsidRDefault="00FD119B" w:rsidP="00FD119B"/>
    <w:p w14:paraId="1FDDC57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9EC5D7D" w14:textId="77777777" w:rsidR="008E7846" w:rsidRDefault="00F53C07" w:rsidP="008E7846">
      <w:pPr>
        <w:pStyle w:val="Heading2"/>
      </w:pPr>
      <w:bookmarkStart w:id="9" w:name="_Toc519601778"/>
      <w:r>
        <w:lastRenderedPageBreak/>
        <w:t>I.</w:t>
      </w:r>
      <w:r w:rsidR="008E7846">
        <w:t xml:space="preserve"> Introduction to product submission</w:t>
      </w:r>
      <w:bookmarkEnd w:id="0"/>
      <w:bookmarkEnd w:id="3"/>
      <w:bookmarkEnd w:id="9"/>
    </w:p>
    <w:p w14:paraId="1BCB4B4B" w14:textId="77777777" w:rsidR="008E7846" w:rsidRDefault="008E7846" w:rsidP="008E7846">
      <w:pPr>
        <w:pStyle w:val="Heading3"/>
        <w:rPr>
          <w:lang w:eastAsia="en-AU"/>
        </w:rPr>
      </w:pPr>
      <w:bookmarkStart w:id="10" w:name="_Toc247691502"/>
      <w:bookmarkStart w:id="11" w:name="_Toc314842483"/>
      <w:bookmarkStart w:id="12" w:name="_Toc519601779"/>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F1CCF8D" w14:textId="77777777" w:rsidTr="00B266A2">
        <w:trPr>
          <w:trHeight w:hRule="exact" w:val="454"/>
        </w:trPr>
        <w:tc>
          <w:tcPr>
            <w:tcW w:w="2907" w:type="dxa"/>
          </w:tcPr>
          <w:p w14:paraId="61144FA4"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34026C9" w14:textId="2A743682" w:rsidR="008E7846" w:rsidRPr="003D1E62" w:rsidRDefault="008E7846" w:rsidP="009C738E">
            <w:r w:rsidRPr="003D1E62">
              <w:t xml:space="preserve">New </w:t>
            </w:r>
            <w:r w:rsidR="009C738E">
              <w:t>biological</w:t>
            </w:r>
            <w:r w:rsidRPr="003D1E62">
              <w:t xml:space="preserve"> </w:t>
            </w:r>
            <w:r w:rsidR="001B5C90">
              <w:t>e</w:t>
            </w:r>
            <w:r w:rsidR="00773509">
              <w:t>ntity</w:t>
            </w:r>
          </w:p>
        </w:tc>
      </w:tr>
      <w:tr w:rsidR="008E7846" w:rsidRPr="003D1E62" w14:paraId="7301557D" w14:textId="77777777" w:rsidTr="00B266A2">
        <w:trPr>
          <w:trHeight w:hRule="exact" w:val="454"/>
        </w:trPr>
        <w:tc>
          <w:tcPr>
            <w:tcW w:w="2907" w:type="dxa"/>
          </w:tcPr>
          <w:p w14:paraId="7F532897" w14:textId="77777777" w:rsidR="008E7846" w:rsidRPr="003D1E62" w:rsidRDefault="008E7846" w:rsidP="003D1E62">
            <w:r w:rsidRPr="003D1E62">
              <w:rPr>
                <w:i/>
              </w:rPr>
              <w:t>Decision</w:t>
            </w:r>
            <w:r w:rsidRPr="003D1E62">
              <w:t>:</w:t>
            </w:r>
          </w:p>
        </w:tc>
        <w:tc>
          <w:tcPr>
            <w:tcW w:w="6307" w:type="dxa"/>
          </w:tcPr>
          <w:p w14:paraId="344916ED" w14:textId="77777777" w:rsidR="008E7846" w:rsidRPr="003D1E62" w:rsidRDefault="008E7846" w:rsidP="00773509">
            <w:r w:rsidRPr="003D1E62">
              <w:t>Approved</w:t>
            </w:r>
          </w:p>
        </w:tc>
      </w:tr>
      <w:tr w:rsidR="008E7846" w:rsidRPr="003D1E62" w14:paraId="103495DA" w14:textId="77777777" w:rsidTr="00B266A2">
        <w:trPr>
          <w:trHeight w:hRule="exact" w:val="454"/>
        </w:trPr>
        <w:tc>
          <w:tcPr>
            <w:tcW w:w="2907" w:type="dxa"/>
          </w:tcPr>
          <w:p w14:paraId="1539A2F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F2E59B6" w14:textId="77777777" w:rsidR="008E7846" w:rsidRPr="003D1E62" w:rsidRDefault="00773509" w:rsidP="001B5C90">
            <w:r>
              <w:t>17 May 2017</w:t>
            </w:r>
          </w:p>
        </w:tc>
      </w:tr>
      <w:tr w:rsidR="00ED2922" w:rsidRPr="003D1E62" w14:paraId="2C5F7567" w14:textId="77777777" w:rsidTr="00B266A2">
        <w:trPr>
          <w:trHeight w:hRule="exact" w:val="454"/>
        </w:trPr>
        <w:tc>
          <w:tcPr>
            <w:tcW w:w="2907" w:type="dxa"/>
          </w:tcPr>
          <w:p w14:paraId="4C6593E7" w14:textId="77777777" w:rsidR="00ED2922" w:rsidRPr="00441C3F" w:rsidRDefault="00ED2922" w:rsidP="001B5C90">
            <w:pPr>
              <w:rPr>
                <w:i/>
              </w:rPr>
            </w:pPr>
            <w:r w:rsidRPr="00441C3F">
              <w:rPr>
                <w:i/>
              </w:rPr>
              <w:t>Date of entry onto ARTG</w:t>
            </w:r>
          </w:p>
        </w:tc>
        <w:tc>
          <w:tcPr>
            <w:tcW w:w="6307" w:type="dxa"/>
          </w:tcPr>
          <w:p w14:paraId="6FE7D83C" w14:textId="77777777" w:rsidR="00ED2922" w:rsidRPr="00441C3F" w:rsidRDefault="00773509" w:rsidP="00EC463D">
            <w:pPr>
              <w:rPr>
                <w:i/>
              </w:rPr>
            </w:pPr>
            <w:r>
              <w:t>18 May 2017</w:t>
            </w:r>
          </w:p>
        </w:tc>
      </w:tr>
      <w:tr w:rsidR="008E7846" w:rsidRPr="00487162" w14:paraId="510339F3" w14:textId="77777777" w:rsidTr="00B266A2">
        <w:tc>
          <w:tcPr>
            <w:tcW w:w="2907" w:type="dxa"/>
          </w:tcPr>
          <w:p w14:paraId="3EB5C39F" w14:textId="77777777" w:rsidR="008E7846" w:rsidRPr="00487162" w:rsidRDefault="00773509" w:rsidP="00E45619">
            <w:pPr>
              <w:rPr>
                <w:i/>
              </w:rPr>
            </w:pPr>
            <w:r>
              <w:rPr>
                <w:i/>
              </w:rPr>
              <w:t>Active ingredient</w:t>
            </w:r>
            <w:r w:rsidR="001B5C90">
              <w:rPr>
                <w:i/>
              </w:rPr>
              <w:t>:</w:t>
            </w:r>
          </w:p>
        </w:tc>
        <w:tc>
          <w:tcPr>
            <w:tcW w:w="6307" w:type="dxa"/>
          </w:tcPr>
          <w:p w14:paraId="5E1E71DE" w14:textId="77777777" w:rsidR="008E7846" w:rsidRPr="00487162" w:rsidRDefault="00773509" w:rsidP="00E45619">
            <w:r>
              <w:t>Sebelipase alfa</w:t>
            </w:r>
          </w:p>
        </w:tc>
      </w:tr>
      <w:tr w:rsidR="008E7846" w:rsidRPr="00487162" w14:paraId="15C6342E" w14:textId="77777777" w:rsidTr="00B266A2">
        <w:tc>
          <w:tcPr>
            <w:tcW w:w="2907" w:type="dxa"/>
          </w:tcPr>
          <w:p w14:paraId="03D2F320" w14:textId="77777777" w:rsidR="008E7846" w:rsidRPr="00487162" w:rsidRDefault="008E7846" w:rsidP="001B5C90">
            <w:pPr>
              <w:rPr>
                <w:i/>
              </w:rPr>
            </w:pPr>
            <w:r w:rsidRPr="00487162">
              <w:rPr>
                <w:i/>
              </w:rPr>
              <w:t>Product</w:t>
            </w:r>
            <w:r w:rsidR="00773509">
              <w:rPr>
                <w:i/>
              </w:rPr>
              <w:t xml:space="preserve"> name</w:t>
            </w:r>
            <w:r w:rsidR="001B5C90">
              <w:rPr>
                <w:i/>
              </w:rPr>
              <w:t>:</w:t>
            </w:r>
          </w:p>
        </w:tc>
        <w:tc>
          <w:tcPr>
            <w:tcW w:w="6307" w:type="dxa"/>
          </w:tcPr>
          <w:p w14:paraId="4EC5CFEA" w14:textId="77777777" w:rsidR="008E7846" w:rsidRPr="00487162" w:rsidRDefault="00773509" w:rsidP="00E45619">
            <w:r>
              <w:t>Kanuma</w:t>
            </w:r>
          </w:p>
        </w:tc>
      </w:tr>
      <w:tr w:rsidR="008E7846" w:rsidRPr="00487162" w14:paraId="7B9D40AA" w14:textId="77777777" w:rsidTr="00B266A2">
        <w:tc>
          <w:tcPr>
            <w:tcW w:w="2907" w:type="dxa"/>
          </w:tcPr>
          <w:p w14:paraId="6FCC78F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24974AC" w14:textId="77777777" w:rsidR="008E7846" w:rsidRDefault="00773509" w:rsidP="00E45619">
            <w:r w:rsidRPr="00773509">
              <w:t>Alexion Pharmaceuticals Australia Pty Ltd</w:t>
            </w:r>
          </w:p>
          <w:p w14:paraId="270DB557" w14:textId="77777777" w:rsidR="00773509" w:rsidRDefault="00773509" w:rsidP="00E45619">
            <w:r>
              <w:t>Suite 401 Level 4 Building A</w:t>
            </w:r>
          </w:p>
          <w:p w14:paraId="53F28FB0" w14:textId="77777777" w:rsidR="00773509" w:rsidRDefault="00773509" w:rsidP="00E45619">
            <w:r>
              <w:t>20 Rodborough Road</w:t>
            </w:r>
          </w:p>
          <w:p w14:paraId="1B7F3EE9" w14:textId="77777777" w:rsidR="00773509" w:rsidRPr="00773509" w:rsidRDefault="00773509" w:rsidP="00E45619">
            <w:r>
              <w:t>Frenches Forest NSW 2086</w:t>
            </w:r>
          </w:p>
        </w:tc>
      </w:tr>
      <w:tr w:rsidR="008E7846" w:rsidRPr="00487162" w14:paraId="269A6555" w14:textId="77777777" w:rsidTr="00B266A2">
        <w:tc>
          <w:tcPr>
            <w:tcW w:w="2907" w:type="dxa"/>
          </w:tcPr>
          <w:p w14:paraId="5AC6B9A9" w14:textId="77777777" w:rsidR="008E7846" w:rsidRPr="00487162" w:rsidRDefault="00773509" w:rsidP="00E45619">
            <w:pPr>
              <w:rPr>
                <w:i/>
              </w:rPr>
            </w:pPr>
            <w:r>
              <w:rPr>
                <w:i/>
              </w:rPr>
              <w:t>Dose form</w:t>
            </w:r>
            <w:r w:rsidR="001B5C90">
              <w:rPr>
                <w:i/>
              </w:rPr>
              <w:t>:</w:t>
            </w:r>
          </w:p>
        </w:tc>
        <w:tc>
          <w:tcPr>
            <w:tcW w:w="6307" w:type="dxa"/>
          </w:tcPr>
          <w:p w14:paraId="14CD64A2" w14:textId="77777777" w:rsidR="008E7846" w:rsidRPr="00487162" w:rsidRDefault="00773509" w:rsidP="00E45619">
            <w:r>
              <w:t>Injection, intravenous infusion</w:t>
            </w:r>
          </w:p>
        </w:tc>
      </w:tr>
      <w:tr w:rsidR="008E7846" w:rsidRPr="00487162" w14:paraId="1822917E" w14:textId="77777777" w:rsidTr="00B266A2">
        <w:tc>
          <w:tcPr>
            <w:tcW w:w="2907" w:type="dxa"/>
          </w:tcPr>
          <w:p w14:paraId="0C2E367D" w14:textId="77777777" w:rsidR="008E7846" w:rsidRPr="00487162" w:rsidRDefault="00773509" w:rsidP="00E45619">
            <w:pPr>
              <w:rPr>
                <w:i/>
              </w:rPr>
            </w:pPr>
            <w:r>
              <w:rPr>
                <w:i/>
              </w:rPr>
              <w:t>Strength</w:t>
            </w:r>
            <w:r w:rsidR="008E7846" w:rsidRPr="00487162">
              <w:rPr>
                <w:i/>
              </w:rPr>
              <w:t xml:space="preserve">: </w:t>
            </w:r>
          </w:p>
        </w:tc>
        <w:tc>
          <w:tcPr>
            <w:tcW w:w="6307" w:type="dxa"/>
          </w:tcPr>
          <w:p w14:paraId="63ED0D42" w14:textId="33F36818" w:rsidR="008E7846" w:rsidRPr="00487162" w:rsidRDefault="00773509" w:rsidP="00E45619">
            <w:r>
              <w:t>2 mg/mL</w:t>
            </w:r>
          </w:p>
        </w:tc>
      </w:tr>
      <w:tr w:rsidR="008E7846" w:rsidRPr="00487162" w14:paraId="0C0F5DDF" w14:textId="77777777" w:rsidTr="00B266A2">
        <w:tc>
          <w:tcPr>
            <w:tcW w:w="2907" w:type="dxa"/>
          </w:tcPr>
          <w:p w14:paraId="01345390" w14:textId="77777777" w:rsidR="008E7846" w:rsidRPr="00487162" w:rsidRDefault="00773509" w:rsidP="00E45619">
            <w:pPr>
              <w:rPr>
                <w:i/>
              </w:rPr>
            </w:pPr>
            <w:r>
              <w:rPr>
                <w:i/>
              </w:rPr>
              <w:t>Container</w:t>
            </w:r>
            <w:r w:rsidR="008E7846" w:rsidRPr="00487162">
              <w:rPr>
                <w:i/>
              </w:rPr>
              <w:t>:</w:t>
            </w:r>
          </w:p>
        </w:tc>
        <w:tc>
          <w:tcPr>
            <w:tcW w:w="6307" w:type="dxa"/>
          </w:tcPr>
          <w:p w14:paraId="4F76650C" w14:textId="77777777" w:rsidR="008E7846" w:rsidRPr="00487162" w:rsidRDefault="00773509" w:rsidP="00E45619">
            <w:r>
              <w:t>vial</w:t>
            </w:r>
          </w:p>
        </w:tc>
      </w:tr>
      <w:tr w:rsidR="008E7846" w:rsidRPr="00487162" w14:paraId="5F3FF2EA" w14:textId="77777777" w:rsidTr="00B266A2">
        <w:tc>
          <w:tcPr>
            <w:tcW w:w="2907" w:type="dxa"/>
          </w:tcPr>
          <w:p w14:paraId="4490F127" w14:textId="77777777" w:rsidR="008E7846" w:rsidRPr="00487162" w:rsidRDefault="00773509" w:rsidP="00E45619">
            <w:pPr>
              <w:rPr>
                <w:i/>
              </w:rPr>
            </w:pPr>
            <w:r>
              <w:rPr>
                <w:i/>
              </w:rPr>
              <w:t>Pack size</w:t>
            </w:r>
            <w:r w:rsidR="008E7846" w:rsidRPr="00487162">
              <w:rPr>
                <w:i/>
              </w:rPr>
              <w:t>:</w:t>
            </w:r>
          </w:p>
        </w:tc>
        <w:tc>
          <w:tcPr>
            <w:tcW w:w="6307" w:type="dxa"/>
          </w:tcPr>
          <w:p w14:paraId="07804767" w14:textId="77777777" w:rsidR="008E7846" w:rsidRPr="00487162" w:rsidRDefault="00773509" w:rsidP="00E45619">
            <w:r>
              <w:t>1 vial</w:t>
            </w:r>
          </w:p>
        </w:tc>
      </w:tr>
      <w:tr w:rsidR="008E7846" w:rsidRPr="00487162" w14:paraId="50FFC6A8" w14:textId="77777777" w:rsidTr="00B266A2">
        <w:tc>
          <w:tcPr>
            <w:tcW w:w="2907" w:type="dxa"/>
          </w:tcPr>
          <w:p w14:paraId="3356D33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4F11D5A" w14:textId="77777777" w:rsidR="008E7846" w:rsidRPr="00487162" w:rsidRDefault="008C79BF" w:rsidP="00E45619">
            <w:pPr>
              <w:rPr>
                <w:rFonts w:eastAsia="MS Mincho"/>
                <w:lang w:eastAsia="ja-JP"/>
              </w:rPr>
            </w:pPr>
            <w:r w:rsidRPr="005B0314">
              <w:rPr>
                <w:rFonts w:eastAsiaTheme="minorHAnsi" w:cs="Cambria"/>
                <w:i/>
                <w:szCs w:val="23"/>
              </w:rPr>
              <w:t xml:space="preserve">Kanuma; </w:t>
            </w:r>
            <w:proofErr w:type="spellStart"/>
            <w:r w:rsidRPr="005B0314">
              <w:rPr>
                <w:rFonts w:eastAsiaTheme="minorHAnsi" w:cs="Cambria"/>
                <w:i/>
                <w:szCs w:val="23"/>
              </w:rPr>
              <w:t>sebelipase</w:t>
            </w:r>
            <w:proofErr w:type="spellEnd"/>
            <w:r w:rsidRPr="005B0314">
              <w:rPr>
                <w:rFonts w:eastAsiaTheme="minorHAnsi" w:cs="Cambria"/>
                <w:i/>
                <w:szCs w:val="23"/>
              </w:rPr>
              <w:t xml:space="preserve"> alfa (</w:t>
            </w:r>
            <w:proofErr w:type="spellStart"/>
            <w:r w:rsidRPr="005B0314">
              <w:rPr>
                <w:rFonts w:eastAsiaTheme="minorHAnsi" w:cs="Cambria"/>
                <w:i/>
                <w:szCs w:val="23"/>
              </w:rPr>
              <w:t>rce</w:t>
            </w:r>
            <w:proofErr w:type="spellEnd"/>
            <w:r w:rsidRPr="005B0314">
              <w:rPr>
                <w:rFonts w:eastAsiaTheme="minorHAnsi" w:cs="Cambria"/>
                <w:i/>
                <w:szCs w:val="23"/>
              </w:rPr>
              <w:t xml:space="preserve">) is indicated for </w:t>
            </w:r>
            <w:r w:rsidR="008E5468" w:rsidRPr="005B0314">
              <w:rPr>
                <w:rFonts w:eastAsiaTheme="minorHAnsi" w:cs="Cambria"/>
                <w:i/>
                <w:szCs w:val="23"/>
              </w:rPr>
              <w:t>long term</w:t>
            </w:r>
            <w:r w:rsidRPr="005B0314">
              <w:rPr>
                <w:rFonts w:eastAsiaTheme="minorHAnsi" w:cs="Cambria"/>
                <w:i/>
                <w:szCs w:val="23"/>
              </w:rPr>
              <w:t xml:space="preserve"> enzyme replacement therapy (ERT) in patients of all ages with lysosomal acid lipase deficiency (LAL-D)</w:t>
            </w:r>
          </w:p>
        </w:tc>
      </w:tr>
      <w:tr w:rsidR="008E7846" w:rsidRPr="00487162" w14:paraId="34C29E09" w14:textId="77777777" w:rsidTr="00B266A2">
        <w:tc>
          <w:tcPr>
            <w:tcW w:w="2907" w:type="dxa"/>
          </w:tcPr>
          <w:p w14:paraId="7F750760" w14:textId="77777777" w:rsidR="008E7846" w:rsidRPr="00487162" w:rsidRDefault="00773509" w:rsidP="00E45619">
            <w:pPr>
              <w:rPr>
                <w:i/>
              </w:rPr>
            </w:pPr>
            <w:r>
              <w:rPr>
                <w:i/>
              </w:rPr>
              <w:t>Route</w:t>
            </w:r>
            <w:r w:rsidR="008E7846" w:rsidRPr="00487162">
              <w:rPr>
                <w:i/>
              </w:rPr>
              <w:t xml:space="preserve"> of administration:</w:t>
            </w:r>
          </w:p>
        </w:tc>
        <w:tc>
          <w:tcPr>
            <w:tcW w:w="6307" w:type="dxa"/>
          </w:tcPr>
          <w:p w14:paraId="47A8E0BD" w14:textId="77777777" w:rsidR="008E7846" w:rsidRPr="00487162" w:rsidRDefault="00773509" w:rsidP="00E45619">
            <w:r>
              <w:t>intravenous</w:t>
            </w:r>
          </w:p>
        </w:tc>
      </w:tr>
      <w:tr w:rsidR="008E7846" w:rsidRPr="00487162" w14:paraId="2CFF498D" w14:textId="77777777" w:rsidTr="00B266A2">
        <w:trPr>
          <w:trHeight w:val="1803"/>
        </w:trPr>
        <w:tc>
          <w:tcPr>
            <w:tcW w:w="2907" w:type="dxa"/>
          </w:tcPr>
          <w:p w14:paraId="29357DE9" w14:textId="77777777" w:rsidR="008E7846" w:rsidRPr="00487162" w:rsidRDefault="008E7846" w:rsidP="00E45619">
            <w:pPr>
              <w:rPr>
                <w:i/>
              </w:rPr>
            </w:pPr>
            <w:r w:rsidRPr="00487162">
              <w:rPr>
                <w:i/>
              </w:rPr>
              <w:t>Dosage:</w:t>
            </w:r>
          </w:p>
        </w:tc>
        <w:tc>
          <w:tcPr>
            <w:tcW w:w="6307" w:type="dxa"/>
          </w:tcPr>
          <w:p w14:paraId="042C27CB" w14:textId="77777777" w:rsidR="008E7846" w:rsidRPr="00487162" w:rsidRDefault="008C79BF" w:rsidP="00E45619">
            <w:r>
              <w:t>For infants &lt; 6 months of age) presenting with LAL-D 1 mg/kg administered as an IV infusion once weekly with dose escalation considered based on clinical response. For children and adults presenting with LAL-D 1 mg/kg administered fortnightly as an IV infusion. For the full details of dosage please see the Product Information</w:t>
            </w:r>
            <w:r w:rsidR="007C7A0E">
              <w:t xml:space="preserve"> (Attachment 1)</w:t>
            </w:r>
            <w:r>
              <w:t>.</w:t>
            </w:r>
          </w:p>
        </w:tc>
      </w:tr>
      <w:tr w:rsidR="008E7846" w:rsidRPr="00487162" w14:paraId="647264E3" w14:textId="77777777" w:rsidTr="00B266A2">
        <w:tc>
          <w:tcPr>
            <w:tcW w:w="2907" w:type="dxa"/>
          </w:tcPr>
          <w:p w14:paraId="58B55F8B" w14:textId="77777777" w:rsidR="008E7846" w:rsidRPr="00487162" w:rsidRDefault="008E7846" w:rsidP="001B5C90">
            <w:pPr>
              <w:rPr>
                <w:i/>
              </w:rPr>
            </w:pPr>
            <w:r w:rsidRPr="00487162">
              <w:rPr>
                <w:i/>
              </w:rPr>
              <w:t xml:space="preserve">ARTG </w:t>
            </w:r>
            <w:r w:rsidR="001B5C90">
              <w:rPr>
                <w:i/>
              </w:rPr>
              <w:t>n</w:t>
            </w:r>
            <w:r w:rsidR="00773509">
              <w:rPr>
                <w:i/>
              </w:rPr>
              <w:t>umber</w:t>
            </w:r>
            <w:r w:rsidR="001B5C90">
              <w:rPr>
                <w:i/>
              </w:rPr>
              <w:t>:</w:t>
            </w:r>
          </w:p>
        </w:tc>
        <w:tc>
          <w:tcPr>
            <w:tcW w:w="6307" w:type="dxa"/>
          </w:tcPr>
          <w:p w14:paraId="411F2F9D" w14:textId="77777777" w:rsidR="008E7846" w:rsidRPr="00487162" w:rsidRDefault="00AE7E1E" w:rsidP="00E45619">
            <w:r>
              <w:t>274498</w:t>
            </w:r>
          </w:p>
        </w:tc>
      </w:tr>
    </w:tbl>
    <w:p w14:paraId="139543EA" w14:textId="77777777" w:rsidR="008E7846" w:rsidRDefault="008E7846" w:rsidP="00D15227">
      <w:pPr>
        <w:pStyle w:val="Heading3"/>
        <w:pageBreakBefore/>
      </w:pPr>
      <w:bookmarkStart w:id="13" w:name="_Toc247691503"/>
      <w:bookmarkStart w:id="14" w:name="_Toc314842484"/>
      <w:bookmarkStart w:id="15" w:name="_Toc519601780"/>
      <w:r>
        <w:lastRenderedPageBreak/>
        <w:t>Product background</w:t>
      </w:r>
      <w:bookmarkEnd w:id="13"/>
      <w:bookmarkEnd w:id="14"/>
      <w:bookmarkEnd w:id="15"/>
    </w:p>
    <w:p w14:paraId="605B2D9D" w14:textId="758AC186" w:rsidR="00F42C0E" w:rsidRPr="00D4450A" w:rsidRDefault="00940A89" w:rsidP="0086671A">
      <w:r w:rsidRPr="0086671A">
        <w:t xml:space="preserve">This AusPAR describes the application by </w:t>
      </w:r>
      <w:r w:rsidR="00F42C0E" w:rsidRPr="005B0314">
        <w:t>Alexion Pharmaceuticals Australasia Pty Ltd</w:t>
      </w:r>
      <w:r w:rsidR="00F42C0E" w:rsidRPr="0086671A">
        <w:t xml:space="preserve"> (</w:t>
      </w:r>
      <w:r w:rsidRPr="0086671A">
        <w:t>the sponsor</w:t>
      </w:r>
      <w:r w:rsidR="00F42C0E" w:rsidRPr="0086671A">
        <w:t>)</w:t>
      </w:r>
      <w:r w:rsidRPr="0086671A">
        <w:t xml:space="preserve"> to register </w:t>
      </w:r>
      <w:r w:rsidR="00F42C0E" w:rsidRPr="0086671A">
        <w:t>Kanuma sebelipase alfa 2</w:t>
      </w:r>
      <w:r w:rsidR="00654E93">
        <w:t> </w:t>
      </w:r>
      <w:r w:rsidR="00F42C0E" w:rsidRPr="0086671A">
        <w:t xml:space="preserve">mg/mL solution for intravenous (IV) infusion </w:t>
      </w:r>
      <w:r w:rsidRPr="0086671A">
        <w:t>for the following indication</w:t>
      </w:r>
      <w:r w:rsidR="00F42C0E" w:rsidRPr="00D4450A">
        <w:t>:</w:t>
      </w:r>
    </w:p>
    <w:p w14:paraId="24F1D66D" w14:textId="77777777" w:rsidR="00F42C0E" w:rsidRPr="005B0314" w:rsidRDefault="00C93FCF" w:rsidP="0086671A">
      <w:pPr>
        <w:ind w:left="720"/>
        <w:rPr>
          <w:i/>
        </w:rPr>
      </w:pPr>
      <w:r w:rsidRPr="005B0314">
        <w:rPr>
          <w:i/>
        </w:rPr>
        <w:t>Kanuma</w:t>
      </w:r>
      <w:r w:rsidR="00F42C0E" w:rsidRPr="005B0314">
        <w:rPr>
          <w:i/>
        </w:rPr>
        <w:t xml:space="preserve"> (sebelipase alfa) is indicated for </w:t>
      </w:r>
      <w:r w:rsidR="008E5468" w:rsidRPr="005B0314">
        <w:rPr>
          <w:i/>
        </w:rPr>
        <w:t>long term</w:t>
      </w:r>
      <w:r w:rsidR="00F42C0E" w:rsidRPr="005B0314">
        <w:rPr>
          <w:i/>
        </w:rPr>
        <w:t xml:space="preserve"> enzyme replacement therapy (ERT) in patients of all ages with lysosomal acid lipase deficiency (LAL</w:t>
      </w:r>
      <w:r w:rsidR="00F42C0E" w:rsidRPr="005B0314">
        <w:rPr>
          <w:i/>
        </w:rPr>
        <w:noBreakHyphen/>
        <w:t>D).</w:t>
      </w:r>
    </w:p>
    <w:p w14:paraId="6CBBC6C5" w14:textId="77777777" w:rsidR="002B27E3" w:rsidRPr="00D4450A" w:rsidRDefault="00F42C0E" w:rsidP="0086671A">
      <w:r w:rsidRPr="0086671A">
        <w:t xml:space="preserve">This is a submission to register the new biological entity sebelipase alfa </w:t>
      </w:r>
      <w:r w:rsidR="007F5DA3" w:rsidRPr="0086671A">
        <w:t xml:space="preserve">as enzyme replacement therapy </w:t>
      </w:r>
      <w:r w:rsidRPr="00D4450A">
        <w:t xml:space="preserve">for the </w:t>
      </w:r>
      <w:r w:rsidR="008E5468" w:rsidRPr="00D4450A">
        <w:t>long term</w:t>
      </w:r>
      <w:r w:rsidRPr="00D4450A">
        <w:t xml:space="preserve"> treatment of patients of all ages with lysosomal acid lipase deficiency.</w:t>
      </w:r>
      <w:r w:rsidR="002B27E3" w:rsidRPr="00D4450A">
        <w:t xml:space="preserve"> Sebelipase alfa (SBC-102) is a first in class recombinant human lysosomal acid lipase.</w:t>
      </w:r>
    </w:p>
    <w:p w14:paraId="7AC57617" w14:textId="77777777" w:rsidR="00CA17A3" w:rsidRPr="00D4450A" w:rsidRDefault="00F42C0E" w:rsidP="0086671A">
      <w:r w:rsidRPr="00D4450A">
        <w:t xml:space="preserve">Liposomal acid lipase deficiency (LAL-D) is a very rare, </w:t>
      </w:r>
      <w:r w:rsidR="00CA17A3" w:rsidRPr="00D4450A">
        <w:t>life threatening</w:t>
      </w:r>
      <w:r w:rsidRPr="00D4450A">
        <w:t xml:space="preserve"> autosomal recessive lysosomal storage disorder caused by mutations affecting a single gene.</w:t>
      </w:r>
      <w:r w:rsidRPr="005B0314">
        <w:t xml:space="preserve"> </w:t>
      </w:r>
      <w:r w:rsidRPr="0086671A">
        <w:t xml:space="preserve">It is </w:t>
      </w:r>
      <w:r w:rsidRPr="00D4450A">
        <w:t>associated with significant morbidity and mortality affecting individuals from infancy through to adulthood. LAL-D presenting in infants is a medical emergency with rapid disease progression over a period of weeks that is typically fatal within the first 6 months of life</w:t>
      </w:r>
      <w:r w:rsidR="00CA17A3" w:rsidRPr="00D4450A">
        <w:t>.</w:t>
      </w:r>
    </w:p>
    <w:p w14:paraId="04503A62" w14:textId="77777777" w:rsidR="00F42C0E" w:rsidRPr="00D4450A" w:rsidRDefault="009F456A" w:rsidP="00D4450A">
      <w:r w:rsidRPr="00D4450A">
        <w:t xml:space="preserve">Deficient </w:t>
      </w:r>
      <w:r w:rsidR="007F5DA3" w:rsidRPr="00D4450A">
        <w:t>lysosomal acid lipase (</w:t>
      </w:r>
      <w:r w:rsidRPr="00D4450A">
        <w:t>LAL</w:t>
      </w:r>
      <w:r w:rsidR="007F5DA3" w:rsidRPr="00D4450A">
        <w:t>)</w:t>
      </w:r>
      <w:r w:rsidRPr="00D4450A">
        <w:t xml:space="preserve"> enzyme activity results in progressive complications due to the lysosomal accumulation of cholesteryl esters and triglycerides in multiple organs, including the liver, spleen, intestine and the walls of blood vessels.</w:t>
      </w:r>
    </w:p>
    <w:p w14:paraId="14DC75FB" w14:textId="77777777" w:rsidR="00940A89" w:rsidRPr="00D4450A" w:rsidRDefault="00F42C0E" w:rsidP="00D4450A">
      <w:r w:rsidRPr="00D4450A">
        <w:t xml:space="preserve">Current treatment options for infants with </w:t>
      </w:r>
      <w:r w:rsidR="008E5468" w:rsidRPr="00D4450A">
        <w:t>LAL-</w:t>
      </w:r>
      <w:r w:rsidRPr="00D4450A">
        <w:t>D are limited to supportive therapies, including nutritional support, blood transfusions and albumin in an attempt to mitigate some of the effects of this rapidly fatal disease. Treatment for childre</w:t>
      </w:r>
      <w:r w:rsidR="008E5468" w:rsidRPr="00D4450A">
        <w:t>n or adults presenting with LAL-</w:t>
      </w:r>
      <w:r w:rsidRPr="00D4450A">
        <w:t xml:space="preserve">D is limited to liver transplant as liver function deteriorates, and attempts to manage dyslipidaemia through diet and the use of </w:t>
      </w:r>
      <w:r w:rsidR="00CA17A3" w:rsidRPr="00D4450A">
        <w:t>lipid lowering</w:t>
      </w:r>
      <w:r w:rsidRPr="00D4450A">
        <w:t xml:space="preserve"> medications.</w:t>
      </w:r>
    </w:p>
    <w:p w14:paraId="68A6D062" w14:textId="77777777" w:rsidR="00F42C0E" w:rsidRPr="00D4450A" w:rsidRDefault="00F42C0E" w:rsidP="00D4450A">
      <w:r w:rsidRPr="00D4450A">
        <w:t xml:space="preserve">Sebelipase alfa binds to cell surface receptors via </w:t>
      </w:r>
      <w:proofErr w:type="spellStart"/>
      <w:r w:rsidRPr="00D4450A">
        <w:t>glycans</w:t>
      </w:r>
      <w:proofErr w:type="spellEnd"/>
      <w:r w:rsidRPr="00D4450A">
        <w:t xml:space="preserve"> expressed on the protein and is subsequently internalised into lysosomes. </w:t>
      </w:r>
      <w:proofErr w:type="gramStart"/>
      <w:r w:rsidR="000B4393" w:rsidRPr="00D4450A">
        <w:t>Sebelipase alfa</w:t>
      </w:r>
      <w:r w:rsidRPr="00D4450A">
        <w:t xml:space="preserve"> catalyses the lysosomal hydrolysis of cholesteryl esters and triglycerides to free cholesterol, glycerol and free fatty acids.</w:t>
      </w:r>
      <w:proofErr w:type="gramEnd"/>
    </w:p>
    <w:p w14:paraId="62953443" w14:textId="77777777" w:rsidR="008C79BF" w:rsidRDefault="008C79BF" w:rsidP="005B0314">
      <w:pPr>
        <w:pStyle w:val="Heading4"/>
      </w:pPr>
      <w:bookmarkStart w:id="16" w:name="_Toc314842485"/>
      <w:bookmarkStart w:id="17" w:name="_Toc247691504"/>
      <w:r>
        <w:t>Proposed dosage:</w:t>
      </w:r>
    </w:p>
    <w:p w14:paraId="1102E76D" w14:textId="77777777" w:rsidR="008C79BF" w:rsidRPr="0086671A" w:rsidRDefault="008C79BF" w:rsidP="005B0314">
      <w:r w:rsidRPr="0086671A">
        <w:t>Infants (&lt; 6 month</w:t>
      </w:r>
      <w:r w:rsidR="008E5468" w:rsidRPr="0086671A">
        <w:t>s of age) presenting with LAL-D:</w:t>
      </w:r>
    </w:p>
    <w:p w14:paraId="37750874" w14:textId="77777777" w:rsidR="00CA17A3" w:rsidRPr="005B0314" w:rsidRDefault="008C79BF" w:rsidP="005B0314">
      <w:pPr>
        <w:ind w:left="720"/>
        <w:rPr>
          <w:i/>
        </w:rPr>
      </w:pPr>
      <w:r w:rsidRPr="005B0314">
        <w:rPr>
          <w:i/>
        </w:rPr>
        <w:t xml:space="preserve">The recommended starting dose in infants &lt; 6 months of age presenting with rapidly progressive LAL-D is 1 mg/kg administered as an </w:t>
      </w:r>
      <w:r w:rsidR="007F5DA3" w:rsidRPr="005B0314">
        <w:rPr>
          <w:i/>
        </w:rPr>
        <w:t>intravenous (</w:t>
      </w:r>
      <w:r w:rsidRPr="005B0314">
        <w:rPr>
          <w:i/>
        </w:rPr>
        <w:t>IV</w:t>
      </w:r>
      <w:r w:rsidR="007F5DA3" w:rsidRPr="005B0314">
        <w:rPr>
          <w:i/>
        </w:rPr>
        <w:t>)</w:t>
      </w:r>
      <w:r w:rsidRPr="005B0314">
        <w:rPr>
          <w:i/>
        </w:rPr>
        <w:t xml:space="preserve"> infusion once weekly. Dose escalation to 3 mg/kg once weekly should be considered based on clinical response</w:t>
      </w:r>
      <w:r w:rsidR="00CA17A3" w:rsidRPr="005B0314">
        <w:rPr>
          <w:i/>
        </w:rPr>
        <w:t>.</w:t>
      </w:r>
    </w:p>
    <w:p w14:paraId="1FD22B66" w14:textId="77777777" w:rsidR="008C79BF" w:rsidRPr="005B0314" w:rsidRDefault="008C79BF" w:rsidP="0086671A">
      <w:r w:rsidRPr="005B0314">
        <w:t>Children a</w:t>
      </w:r>
      <w:r w:rsidR="008E5468" w:rsidRPr="005B0314">
        <w:t>nd adults presenting with LAL-D:</w:t>
      </w:r>
    </w:p>
    <w:p w14:paraId="5CD7B90D" w14:textId="77777777" w:rsidR="008C79BF" w:rsidRPr="005B0314" w:rsidRDefault="008C79BF" w:rsidP="005B0314">
      <w:pPr>
        <w:ind w:left="720"/>
        <w:rPr>
          <w:i/>
        </w:rPr>
      </w:pPr>
      <w:r w:rsidRPr="005B0314">
        <w:rPr>
          <w:i/>
        </w:rPr>
        <w:t>The recommended dose in children and adults presenting with LAL-D is 1 mg/kg administered fortnightly as an IV infusion.</w:t>
      </w:r>
    </w:p>
    <w:p w14:paraId="5AE30F1F" w14:textId="31A92C0F" w:rsidR="008C79BF" w:rsidRPr="002D5FBA" w:rsidRDefault="008C79BF" w:rsidP="008C79BF">
      <w:pPr>
        <w:pStyle w:val="Heading4"/>
      </w:pPr>
      <w:r w:rsidRPr="00F74BDB">
        <w:t xml:space="preserve">Orphan </w:t>
      </w:r>
      <w:r w:rsidR="0086671A">
        <w:t>d</w:t>
      </w:r>
      <w:r w:rsidRPr="00F74BDB">
        <w:t xml:space="preserve">rug </w:t>
      </w:r>
      <w:r w:rsidR="0086671A">
        <w:t>s</w:t>
      </w:r>
      <w:r w:rsidRPr="00F74BDB">
        <w:t>tatus</w:t>
      </w:r>
    </w:p>
    <w:p w14:paraId="53C80B93" w14:textId="37829606" w:rsidR="008C79BF" w:rsidRDefault="008C79BF" w:rsidP="008C79BF">
      <w:r w:rsidRPr="00E7278A">
        <w:t xml:space="preserve">Sebelipase alfa was designated an orphan drug in Australia for the treatment of LAL-D in </w:t>
      </w:r>
      <w:r w:rsidR="003A7287" w:rsidRPr="00E7278A">
        <w:t>November</w:t>
      </w:r>
      <w:r w:rsidRPr="00E7278A">
        <w:t xml:space="preserve"> 2015. Sebelipase alfa was granted orphan designation in the US, Europe, and Japan, and was subsequently approved in the US (</w:t>
      </w:r>
      <w:r w:rsidR="003A7287" w:rsidRPr="00E7278A">
        <w:t>December</w:t>
      </w:r>
      <w:r w:rsidRPr="00E7278A">
        <w:t xml:space="preserve"> 2015), Europe (</w:t>
      </w:r>
      <w:r w:rsidR="003A7287" w:rsidRPr="00E7278A">
        <w:t>August</w:t>
      </w:r>
      <w:r w:rsidRPr="00E7278A">
        <w:t xml:space="preserve"> 2015), and Japan (</w:t>
      </w:r>
      <w:r w:rsidR="003A7287" w:rsidRPr="00E7278A">
        <w:t>March</w:t>
      </w:r>
      <w:r w:rsidRPr="00E7278A">
        <w:t xml:space="preserve"> 2016). The prevalence of LAL-D in Australia is estimated to be 142</w:t>
      </w:r>
      <w:r w:rsidR="0086671A">
        <w:t xml:space="preserve"> to </w:t>
      </w:r>
      <w:r w:rsidRPr="00E7278A">
        <w:t>297 individuals.</w:t>
      </w:r>
    </w:p>
    <w:p w14:paraId="3C70F526" w14:textId="77777777" w:rsidR="008E7846" w:rsidRDefault="00386150" w:rsidP="008E7846">
      <w:pPr>
        <w:pStyle w:val="Heading3"/>
      </w:pPr>
      <w:bookmarkStart w:id="18" w:name="_Toc519601781"/>
      <w:r w:rsidRPr="00F74BDB">
        <w:lastRenderedPageBreak/>
        <w:t>Regulatory s</w:t>
      </w:r>
      <w:r w:rsidR="008E7846" w:rsidRPr="00F74BDB">
        <w:t>tatus</w:t>
      </w:r>
      <w:bookmarkEnd w:id="16"/>
      <w:bookmarkEnd w:id="17"/>
      <w:bookmarkEnd w:id="18"/>
    </w:p>
    <w:p w14:paraId="5479781D" w14:textId="77777777" w:rsidR="008C79BF" w:rsidRPr="00940A89" w:rsidRDefault="008C79BF" w:rsidP="008C79BF">
      <w:bookmarkStart w:id="19" w:name="_Toc247691505"/>
      <w:bookmarkStart w:id="20" w:name="_Toc314842486"/>
      <w:r w:rsidRPr="00940A89">
        <w:t>The product received initial registration on the Australian Register</w:t>
      </w:r>
      <w:r>
        <w:t xml:space="preserve"> of Therapeutic Goods (ARTG) on 18 May 2017.</w:t>
      </w:r>
    </w:p>
    <w:p w14:paraId="5301CB0C" w14:textId="636D24FE" w:rsidR="008C79BF" w:rsidRDefault="008C79BF" w:rsidP="008C79BF">
      <w:r w:rsidRPr="00940A89">
        <w:t>At the time the TGA considered this application; similar application</w:t>
      </w:r>
      <w:r w:rsidR="0086671A">
        <w:t>s</w:t>
      </w:r>
      <w:r w:rsidRPr="00940A89">
        <w:t xml:space="preserve"> had been approved </w:t>
      </w:r>
      <w:r w:rsidR="0086671A">
        <w:t>in the countries or regions on the dates as follows:</w:t>
      </w:r>
    </w:p>
    <w:p w14:paraId="06D77563" w14:textId="77777777" w:rsidR="008C79BF" w:rsidRPr="008C79BF" w:rsidRDefault="008C79BF" w:rsidP="008C79BF">
      <w:pPr>
        <w:pStyle w:val="ListBullet"/>
      </w:pPr>
      <w:r w:rsidRPr="008C79BF">
        <w:t>US indication (approved 8 December 2015): Kanuma is indicated for the treatment of patients with a diagnosis of Lysosomal Acid Lipase (LAL) deficiency.</w:t>
      </w:r>
    </w:p>
    <w:p w14:paraId="12BF0B45" w14:textId="55DECC82" w:rsidR="008C79BF" w:rsidRPr="008C79BF" w:rsidRDefault="008C79BF" w:rsidP="008C79BF">
      <w:pPr>
        <w:pStyle w:val="ListBullet"/>
      </w:pPr>
      <w:r w:rsidRPr="008C79BF">
        <w:t xml:space="preserve">European indication (approved 28 August 2015): </w:t>
      </w:r>
      <w:r w:rsidR="00C93FCF">
        <w:t>Kanuma</w:t>
      </w:r>
      <w:r w:rsidRPr="008C79BF">
        <w:t xml:space="preserve"> is indicated for </w:t>
      </w:r>
      <w:r w:rsidR="008E5468">
        <w:t>long term</w:t>
      </w:r>
      <w:r w:rsidRPr="008C79BF">
        <w:t xml:space="preserve"> enzyme replacement therapy (ERT) in patients of all ages with lysosomal acid lipase (LAL) deficiency.</w:t>
      </w:r>
    </w:p>
    <w:p w14:paraId="4620014D" w14:textId="77777777" w:rsidR="008C79BF" w:rsidRPr="008C79BF" w:rsidRDefault="008C79BF" w:rsidP="008C79BF">
      <w:pPr>
        <w:pStyle w:val="ListBullet"/>
      </w:pPr>
      <w:r w:rsidRPr="008C79BF">
        <w:t>Japan</w:t>
      </w:r>
      <w:r w:rsidR="00F74BDB">
        <w:t>:</w:t>
      </w:r>
      <w:r w:rsidRPr="008C79BF">
        <w:t xml:space="preserve"> approved </w:t>
      </w:r>
      <w:r w:rsidR="00F74BDB">
        <w:t xml:space="preserve">on </w:t>
      </w:r>
      <w:r w:rsidRPr="008C79BF">
        <w:t>28 March 2016</w:t>
      </w:r>
    </w:p>
    <w:p w14:paraId="54DEB965" w14:textId="77777777" w:rsidR="008C79BF" w:rsidRPr="008C79BF" w:rsidRDefault="008C79BF" w:rsidP="008C79BF">
      <w:pPr>
        <w:pStyle w:val="ListBullet"/>
      </w:pPr>
      <w:r w:rsidRPr="008C79BF">
        <w:t>South Korea</w:t>
      </w:r>
      <w:r w:rsidR="00F74BDB">
        <w:t>:</w:t>
      </w:r>
      <w:r w:rsidRPr="008C79BF">
        <w:t xml:space="preserve"> approved</w:t>
      </w:r>
      <w:r w:rsidR="00F74BDB">
        <w:t xml:space="preserve"> on</w:t>
      </w:r>
      <w:r w:rsidRPr="008C79BF">
        <w:t xml:space="preserve"> 21 March 2016</w:t>
      </w:r>
    </w:p>
    <w:p w14:paraId="7F7B2A09" w14:textId="0F2C26B2" w:rsidR="00F42C0E" w:rsidRDefault="0086671A" w:rsidP="00940A89">
      <w:r>
        <w:t>In addition, similar applications were</w:t>
      </w:r>
      <w:r w:rsidR="008C79BF" w:rsidRPr="00940A89">
        <w:t xml:space="preserve"> under co</w:t>
      </w:r>
      <w:r w:rsidR="008C79BF">
        <w:t>nsideration in Canada, Switzerland, Singapore and New Zealand.</w:t>
      </w:r>
    </w:p>
    <w:p w14:paraId="33088D03" w14:textId="77777777" w:rsidR="008E7846" w:rsidRDefault="008E7846" w:rsidP="00940A89">
      <w:pPr>
        <w:pStyle w:val="Heading3"/>
      </w:pPr>
      <w:bookmarkStart w:id="21" w:name="_Toc519601782"/>
      <w:r>
        <w:t>Product Information</w:t>
      </w:r>
      <w:bookmarkEnd w:id="19"/>
      <w:bookmarkEnd w:id="20"/>
      <w:bookmarkEnd w:id="21"/>
    </w:p>
    <w:p w14:paraId="6A167BBD" w14:textId="2BD5419F"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proofErr w:type="gramStart"/>
      <w:r w:rsidR="00663236">
        <w:t>&gt;</w:t>
      </w:r>
      <w:r w:rsidR="00654E93">
        <w:t xml:space="preserve"> </w:t>
      </w:r>
      <w:r w:rsidR="00940A89" w:rsidRPr="00940A89">
        <w:t>.</w:t>
      </w:r>
      <w:proofErr w:type="gramEnd"/>
    </w:p>
    <w:p w14:paraId="7B95DEB8" w14:textId="77777777" w:rsidR="00433E27" w:rsidRDefault="00433E27" w:rsidP="00433E27">
      <w:pPr>
        <w:pStyle w:val="Heading2"/>
      </w:pPr>
      <w:bookmarkStart w:id="24" w:name="_Toc519601783"/>
      <w:r>
        <w:t xml:space="preserve">II. </w:t>
      </w:r>
      <w:r w:rsidRPr="00F74BDB">
        <w:t>Registration timeline</w:t>
      </w:r>
      <w:bookmarkEnd w:id="24"/>
    </w:p>
    <w:p w14:paraId="3F8E299C" w14:textId="77777777" w:rsidR="00433E27" w:rsidRPr="00433E27" w:rsidRDefault="008C79BF" w:rsidP="00433E27">
      <w:pPr>
        <w:pStyle w:val="TableTitle"/>
      </w:pPr>
      <w:r>
        <w:t>Table 1:</w:t>
      </w:r>
      <w:r w:rsidR="00433E27">
        <w:t xml:space="preserve"> Registration timeline for Submission PM-2016-01313-1-3</w:t>
      </w:r>
    </w:p>
    <w:tbl>
      <w:tblPr>
        <w:tblStyle w:val="TableTGAblue"/>
        <w:tblW w:w="0" w:type="auto"/>
        <w:tblLook w:val="04A0" w:firstRow="1" w:lastRow="0" w:firstColumn="1" w:lastColumn="0" w:noHBand="0" w:noVBand="1"/>
      </w:tblPr>
      <w:tblGrid>
        <w:gridCol w:w="4960"/>
        <w:gridCol w:w="3760"/>
      </w:tblGrid>
      <w:tr w:rsidR="00E440AD" w14:paraId="0C4798F5" w14:textId="77777777" w:rsidTr="005B0314">
        <w:trPr>
          <w:cnfStyle w:val="100000000000" w:firstRow="1" w:lastRow="0" w:firstColumn="0" w:lastColumn="0" w:oddVBand="0" w:evenVBand="0" w:oddHBand="0" w:evenHBand="0" w:firstRowFirstColumn="0" w:firstRowLastColumn="0" w:lastRowFirstColumn="0" w:lastRowLastColumn="0"/>
          <w:cantSplit/>
        </w:trPr>
        <w:tc>
          <w:tcPr>
            <w:tcW w:w="4960" w:type="dxa"/>
          </w:tcPr>
          <w:p w14:paraId="4BDF2DBF" w14:textId="77777777" w:rsidR="00433E27" w:rsidRDefault="00433E27" w:rsidP="00433E27">
            <w:r>
              <w:t>Description</w:t>
            </w:r>
          </w:p>
        </w:tc>
        <w:tc>
          <w:tcPr>
            <w:tcW w:w="3760" w:type="dxa"/>
          </w:tcPr>
          <w:p w14:paraId="4BEADDB0" w14:textId="77777777" w:rsidR="00433E27" w:rsidRDefault="00433E27" w:rsidP="00433E27">
            <w:r>
              <w:t>Date</w:t>
            </w:r>
          </w:p>
        </w:tc>
      </w:tr>
      <w:tr w:rsidR="00E440AD" w14:paraId="5FFFFD81" w14:textId="77777777" w:rsidTr="005B0314">
        <w:tc>
          <w:tcPr>
            <w:tcW w:w="4960" w:type="dxa"/>
          </w:tcPr>
          <w:p w14:paraId="31C3B7AF" w14:textId="77777777" w:rsidR="00433E27" w:rsidRDefault="00433E27" w:rsidP="00433E27">
            <w:r>
              <w:t>Submission dossier accepted and first round evaluation commenced</w:t>
            </w:r>
          </w:p>
        </w:tc>
        <w:tc>
          <w:tcPr>
            <w:tcW w:w="3760" w:type="dxa"/>
          </w:tcPr>
          <w:p w14:paraId="3C6A95C2" w14:textId="77777777" w:rsidR="00433E27" w:rsidRDefault="00587C2D" w:rsidP="00433E27">
            <w:r>
              <w:t>31 May 2016</w:t>
            </w:r>
          </w:p>
        </w:tc>
      </w:tr>
      <w:tr w:rsidR="00E440AD" w14:paraId="4E71AB8C" w14:textId="77777777" w:rsidTr="005B0314">
        <w:tc>
          <w:tcPr>
            <w:tcW w:w="4960" w:type="dxa"/>
          </w:tcPr>
          <w:p w14:paraId="7AAD2962" w14:textId="77777777" w:rsidR="00433E27" w:rsidRDefault="00433E27" w:rsidP="00433E27">
            <w:r>
              <w:t>First round evaluation completed</w:t>
            </w:r>
          </w:p>
        </w:tc>
        <w:tc>
          <w:tcPr>
            <w:tcW w:w="3760" w:type="dxa"/>
          </w:tcPr>
          <w:p w14:paraId="6019878A" w14:textId="77777777" w:rsidR="00433E27" w:rsidRDefault="00587C2D" w:rsidP="00433E27">
            <w:r>
              <w:t>31 October 2016</w:t>
            </w:r>
          </w:p>
        </w:tc>
      </w:tr>
      <w:tr w:rsidR="00E440AD" w14:paraId="2239650C" w14:textId="77777777" w:rsidTr="005B0314">
        <w:tc>
          <w:tcPr>
            <w:tcW w:w="4960" w:type="dxa"/>
          </w:tcPr>
          <w:p w14:paraId="79CF01B5" w14:textId="77777777" w:rsidR="00433E27" w:rsidRDefault="00433E27" w:rsidP="00433E27">
            <w:r>
              <w:t>Sponsor provides responses on questions raised in first round evaluation</w:t>
            </w:r>
          </w:p>
        </w:tc>
        <w:tc>
          <w:tcPr>
            <w:tcW w:w="3760" w:type="dxa"/>
          </w:tcPr>
          <w:p w14:paraId="15817385" w14:textId="77777777" w:rsidR="00433E27" w:rsidRDefault="00587C2D" w:rsidP="00433E27">
            <w:r>
              <w:t>29 November 2016</w:t>
            </w:r>
          </w:p>
        </w:tc>
      </w:tr>
      <w:tr w:rsidR="00E440AD" w14:paraId="1994356E" w14:textId="77777777" w:rsidTr="005B0314">
        <w:tc>
          <w:tcPr>
            <w:tcW w:w="4960" w:type="dxa"/>
          </w:tcPr>
          <w:p w14:paraId="0EE64BE3" w14:textId="77777777" w:rsidR="00433E27" w:rsidRDefault="00433E27" w:rsidP="00433E27">
            <w:r>
              <w:t>Second round evaluation completed</w:t>
            </w:r>
          </w:p>
        </w:tc>
        <w:tc>
          <w:tcPr>
            <w:tcW w:w="3760" w:type="dxa"/>
          </w:tcPr>
          <w:p w14:paraId="33FA04BA" w14:textId="77777777" w:rsidR="00433E27" w:rsidRDefault="00587C2D" w:rsidP="00433E27">
            <w:r>
              <w:t>30 January 2017</w:t>
            </w:r>
          </w:p>
        </w:tc>
      </w:tr>
      <w:tr w:rsidR="00E440AD" w14:paraId="53FCAC59" w14:textId="77777777" w:rsidTr="005B0314">
        <w:tc>
          <w:tcPr>
            <w:tcW w:w="4960" w:type="dxa"/>
          </w:tcPr>
          <w:p w14:paraId="65D278FA" w14:textId="77777777" w:rsidR="00433E27" w:rsidRDefault="00433E27" w:rsidP="00433E27">
            <w:r>
              <w:t>Delegate’s Overall benefit-risk assessment and request for Advisory Committee advice</w:t>
            </w:r>
          </w:p>
        </w:tc>
        <w:tc>
          <w:tcPr>
            <w:tcW w:w="3760" w:type="dxa"/>
          </w:tcPr>
          <w:p w14:paraId="5677FB9D" w14:textId="77777777" w:rsidR="00433E27" w:rsidRDefault="00E440AD" w:rsidP="00433E27">
            <w:r>
              <w:t>Dated 17 May 2017</w:t>
            </w:r>
          </w:p>
        </w:tc>
      </w:tr>
      <w:tr w:rsidR="00E440AD" w14:paraId="456A1807" w14:textId="77777777" w:rsidTr="005B0314">
        <w:tc>
          <w:tcPr>
            <w:tcW w:w="4960" w:type="dxa"/>
          </w:tcPr>
          <w:p w14:paraId="1F6CA4E8" w14:textId="77777777" w:rsidR="00433E27" w:rsidRDefault="00433E27" w:rsidP="00433E27">
            <w:r>
              <w:t>Sponsor’s pre-Advisory Committee response</w:t>
            </w:r>
          </w:p>
        </w:tc>
        <w:tc>
          <w:tcPr>
            <w:tcW w:w="3760" w:type="dxa"/>
          </w:tcPr>
          <w:p w14:paraId="25FF1234" w14:textId="77777777" w:rsidR="00433E27" w:rsidRDefault="00E440AD" w:rsidP="00433E27">
            <w:r>
              <w:t xml:space="preserve">No response </w:t>
            </w:r>
            <w:r w:rsidR="002F7A54">
              <w:t>required</w:t>
            </w:r>
          </w:p>
        </w:tc>
      </w:tr>
      <w:tr w:rsidR="00E440AD" w14:paraId="06904FD1" w14:textId="77777777" w:rsidTr="005B0314">
        <w:tc>
          <w:tcPr>
            <w:tcW w:w="4960" w:type="dxa"/>
          </w:tcPr>
          <w:p w14:paraId="122894CB" w14:textId="77777777" w:rsidR="00433E27" w:rsidRDefault="00433E27" w:rsidP="00433E27">
            <w:r>
              <w:t>Advisory Committee meeting</w:t>
            </w:r>
          </w:p>
        </w:tc>
        <w:tc>
          <w:tcPr>
            <w:tcW w:w="3760" w:type="dxa"/>
          </w:tcPr>
          <w:p w14:paraId="39E0F7D4" w14:textId="77777777" w:rsidR="00433E27" w:rsidRDefault="00587C2D" w:rsidP="00433E27">
            <w:r>
              <w:t>T</w:t>
            </w:r>
            <w:r w:rsidR="006C1A92">
              <w:t>his submission was not presented to ACM.</w:t>
            </w:r>
          </w:p>
        </w:tc>
      </w:tr>
      <w:tr w:rsidR="00E440AD" w14:paraId="56C119B5" w14:textId="77777777" w:rsidTr="005B0314">
        <w:tc>
          <w:tcPr>
            <w:tcW w:w="4960" w:type="dxa"/>
          </w:tcPr>
          <w:p w14:paraId="6952C98F" w14:textId="77777777" w:rsidR="00433E27" w:rsidRDefault="00433E27" w:rsidP="00433E27">
            <w:r>
              <w:t>Registration decision (Outcome)</w:t>
            </w:r>
          </w:p>
        </w:tc>
        <w:tc>
          <w:tcPr>
            <w:tcW w:w="3760" w:type="dxa"/>
          </w:tcPr>
          <w:p w14:paraId="280B5B7A" w14:textId="77777777" w:rsidR="00433E27" w:rsidRDefault="00587C2D" w:rsidP="00433E27">
            <w:r>
              <w:t>17 May 2017</w:t>
            </w:r>
          </w:p>
        </w:tc>
      </w:tr>
      <w:tr w:rsidR="00E440AD" w14:paraId="5ED829EF" w14:textId="77777777" w:rsidTr="005B0314">
        <w:tc>
          <w:tcPr>
            <w:tcW w:w="4960" w:type="dxa"/>
          </w:tcPr>
          <w:p w14:paraId="49040C0C" w14:textId="77777777" w:rsidR="00433E27" w:rsidRDefault="00433E27" w:rsidP="00433E27">
            <w:r>
              <w:t>Completion of administrative activities and registration on ARTG</w:t>
            </w:r>
          </w:p>
        </w:tc>
        <w:tc>
          <w:tcPr>
            <w:tcW w:w="3760" w:type="dxa"/>
          </w:tcPr>
          <w:p w14:paraId="3B4EF34A" w14:textId="77777777" w:rsidR="00433E27" w:rsidRDefault="00587C2D" w:rsidP="00433E27">
            <w:r>
              <w:t>18 May 2017</w:t>
            </w:r>
          </w:p>
        </w:tc>
      </w:tr>
      <w:tr w:rsidR="00E440AD" w14:paraId="569034E7" w14:textId="77777777" w:rsidTr="005B0314">
        <w:tc>
          <w:tcPr>
            <w:tcW w:w="4960" w:type="dxa"/>
          </w:tcPr>
          <w:p w14:paraId="25CD9DAD" w14:textId="77777777" w:rsidR="00433E27" w:rsidRDefault="00433E27" w:rsidP="00433E27">
            <w:r>
              <w:lastRenderedPageBreak/>
              <w:t>Number of working days from submission dossier acceptance to registration decision*</w:t>
            </w:r>
          </w:p>
        </w:tc>
        <w:tc>
          <w:tcPr>
            <w:tcW w:w="3760" w:type="dxa"/>
          </w:tcPr>
          <w:p w14:paraId="5C26C63F" w14:textId="77777777" w:rsidR="00433E27" w:rsidRDefault="00587C2D" w:rsidP="00433E27">
            <w:r>
              <w:t>220</w:t>
            </w:r>
          </w:p>
        </w:tc>
      </w:tr>
    </w:tbl>
    <w:p w14:paraId="754A6FD6" w14:textId="77777777" w:rsidR="008C79BF" w:rsidRPr="00433E27" w:rsidRDefault="008C79BF" w:rsidP="008C79BF">
      <w:pPr>
        <w:pStyle w:val="TableDescription"/>
      </w:pPr>
      <w:r w:rsidRPr="00433E27">
        <w:t xml:space="preserve">*Statutory timeframe is </w:t>
      </w:r>
      <w:r>
        <w:t>255 working days</w:t>
      </w:r>
    </w:p>
    <w:p w14:paraId="43B1507D" w14:textId="77777777" w:rsidR="008E7846" w:rsidRPr="003602A9" w:rsidRDefault="008E7846" w:rsidP="008E7846">
      <w:pPr>
        <w:pStyle w:val="Heading2"/>
        <w:ind w:left="-11"/>
      </w:pPr>
      <w:bookmarkStart w:id="25" w:name="_Toc519601784"/>
      <w:r>
        <w:t>II</w:t>
      </w:r>
      <w:r w:rsidR="00433E27">
        <w:t>I</w:t>
      </w:r>
      <w:r>
        <w:t>. Quality</w:t>
      </w:r>
      <w:bookmarkEnd w:id="1"/>
      <w:r>
        <w:t xml:space="preserve"> findings</w:t>
      </w:r>
      <w:bookmarkEnd w:id="22"/>
      <w:bookmarkEnd w:id="23"/>
      <w:bookmarkEnd w:id="25"/>
    </w:p>
    <w:p w14:paraId="0469AD0C" w14:textId="77777777" w:rsidR="00940A89" w:rsidRDefault="00940A89" w:rsidP="00940A89">
      <w:pPr>
        <w:pStyle w:val="Heading3"/>
      </w:pPr>
      <w:bookmarkStart w:id="26" w:name="_Toc247691507"/>
      <w:bookmarkStart w:id="27" w:name="_Toc314842488"/>
      <w:bookmarkStart w:id="28" w:name="_Toc519601785"/>
      <w:r w:rsidRPr="00940A89">
        <w:t>Introduction</w:t>
      </w:r>
      <w:bookmarkEnd w:id="28"/>
    </w:p>
    <w:p w14:paraId="65204C78" w14:textId="77777777" w:rsidR="00CA17A3" w:rsidRDefault="00B14769" w:rsidP="00B14769">
      <w:r w:rsidRPr="00B14769">
        <w:t xml:space="preserve">Sebelipase alfa has been developed as an </w:t>
      </w:r>
      <w:r w:rsidR="003F5CB4">
        <w:t>ERT</w:t>
      </w:r>
      <w:r w:rsidRPr="00B14769">
        <w:t xml:space="preserve"> intended for </w:t>
      </w:r>
      <w:r w:rsidR="008E5468">
        <w:t>long term</w:t>
      </w:r>
      <w:r w:rsidRPr="00B14769">
        <w:t xml:space="preserve"> treatment of patients with </w:t>
      </w:r>
      <w:r w:rsidR="008E5468">
        <w:t>LAL-D</w:t>
      </w:r>
      <w:r w:rsidRPr="00B14769">
        <w:t>, a very rare autosomal recessive monogenic disorder in which patients are deficient for a key lysosomal enzyme, lysosomal acid lipase, leading to the lysosomal accumulation of cholesteryl esters and triglycerides in various tissues and</w:t>
      </w:r>
      <w:r w:rsidR="00D0093D">
        <w:t xml:space="preserve"> cell types throughout the </w:t>
      </w:r>
      <w:r w:rsidR="00D0093D" w:rsidRPr="00D0093D">
        <w:t>body.</w:t>
      </w:r>
      <w:r w:rsidR="00D0093D" w:rsidRPr="00D0093D">
        <w:rPr>
          <w:rStyle w:val="FootnoteReference"/>
        </w:rPr>
        <w:footnoteReference w:id="1"/>
      </w:r>
    </w:p>
    <w:p w14:paraId="232290C1" w14:textId="77777777" w:rsidR="00CA17A3" w:rsidRDefault="008E5468" w:rsidP="00B14769">
      <w:r>
        <w:t>LAL-</w:t>
      </w:r>
      <w:r w:rsidR="00B14769" w:rsidRPr="00B14769">
        <w:t>D is a progressive multisystem disease which frequently manifests early in life leading to serious complications. In infants, these complications include failure to thrive with progressive liver injury, rapid development of liver fibrosis, and early death. In children and adults, chronic liver injury with liver fibrosis leading to such complications as variceal bleeding due to cirrhosis, and marked disturbances of lipid metabolism leading to dyslipid</w:t>
      </w:r>
      <w:r w:rsidR="0086671A">
        <w:t>a</w:t>
      </w:r>
      <w:r w:rsidR="00B14769" w:rsidRPr="00B14769">
        <w:t xml:space="preserve">emia increasing the risk of premature atherosclerosis, are seen. Currently there are no safe or effective therapies for this </w:t>
      </w:r>
      <w:r w:rsidR="00CA17A3">
        <w:t>life threatening</w:t>
      </w:r>
      <w:r w:rsidR="00B14769" w:rsidRPr="00B14769">
        <w:t xml:space="preserve"> disease</w:t>
      </w:r>
      <w:r w:rsidR="00CA17A3">
        <w:t>.</w:t>
      </w:r>
    </w:p>
    <w:p w14:paraId="00180AF1" w14:textId="52E8F1EB" w:rsidR="00CA17A3" w:rsidRDefault="00B14769" w:rsidP="00B14769">
      <w:r w:rsidRPr="00B14769">
        <w:t>Sebelipase alfa is the fi</w:t>
      </w:r>
      <w:r w:rsidR="008E5468">
        <w:t>rst ERT to be developed for LAL-</w:t>
      </w:r>
      <w:r w:rsidRPr="00B14769">
        <w:t xml:space="preserve">D and treatment is intended to directly address the root cause of disease by replacement of the missing or deficient enzyme which leads to reduction of the accumulated substrates and restoration of normal lipid metabolism. Enzyme replacement therapy in patients with </w:t>
      </w:r>
      <w:r w:rsidR="008E5468">
        <w:t>LAL-D</w:t>
      </w:r>
      <w:r w:rsidRPr="00B14769">
        <w:t xml:space="preserve"> is a rational approach given the demonstrated medical value and </w:t>
      </w:r>
      <w:r w:rsidR="008E5468">
        <w:t>long term</w:t>
      </w:r>
      <w:r w:rsidRPr="00B14769">
        <w:t xml:space="preserve"> safety of ERTs for other </w:t>
      </w:r>
      <w:r w:rsidR="007F5DA3">
        <w:t>lysosomal storage disorders</w:t>
      </w:r>
      <w:r w:rsidR="007F5DA3" w:rsidRPr="00B14769">
        <w:t xml:space="preserve"> </w:t>
      </w:r>
      <w:r w:rsidR="007F5DA3">
        <w:t>(</w:t>
      </w:r>
      <w:r w:rsidRPr="00B14769">
        <w:t>LSDs</w:t>
      </w:r>
      <w:r w:rsidR="007F5DA3">
        <w:t>)</w:t>
      </w:r>
      <w:r w:rsidRPr="00B14769">
        <w:t xml:space="preserve">, including </w:t>
      </w:r>
      <w:proofErr w:type="spellStart"/>
      <w:r w:rsidRPr="00B14769">
        <w:t>Gaucher</w:t>
      </w:r>
      <w:proofErr w:type="spellEnd"/>
      <w:r w:rsidRPr="00B14769">
        <w:t xml:space="preserve"> disease, </w:t>
      </w:r>
      <w:proofErr w:type="spellStart"/>
      <w:r w:rsidRPr="00B14769">
        <w:t>Pompe</w:t>
      </w:r>
      <w:proofErr w:type="spellEnd"/>
      <w:r w:rsidRPr="00B14769">
        <w:t xml:space="preserve"> disease, </w:t>
      </w:r>
      <w:proofErr w:type="spellStart"/>
      <w:r w:rsidRPr="00B14769">
        <w:t>Fabry</w:t>
      </w:r>
      <w:proofErr w:type="spellEnd"/>
      <w:r w:rsidRPr="00B14769">
        <w:t xml:space="preserve"> disease, and the </w:t>
      </w:r>
      <w:proofErr w:type="spellStart"/>
      <w:r w:rsidRPr="00B14769">
        <w:t>mucopolysaccharidoses</w:t>
      </w:r>
      <w:proofErr w:type="spellEnd"/>
      <w:r w:rsidR="00D0093D">
        <w:t>.</w:t>
      </w:r>
      <w:r w:rsidR="00D0093D" w:rsidRPr="00654E93">
        <w:rPr>
          <w:rStyle w:val="FootnoteReference"/>
        </w:rPr>
        <w:footnoteReference w:id="2"/>
      </w:r>
      <w:r w:rsidR="0086671A" w:rsidRPr="005B0314">
        <w:rPr>
          <w:vertAlign w:val="superscript"/>
        </w:rPr>
        <w:t>,</w:t>
      </w:r>
      <w:r w:rsidR="00D0093D" w:rsidRPr="00654E93">
        <w:rPr>
          <w:rStyle w:val="FootnoteReference"/>
        </w:rPr>
        <w:footnoteReference w:id="3"/>
      </w:r>
      <w:r w:rsidR="0086671A" w:rsidRPr="005B0314">
        <w:rPr>
          <w:vertAlign w:val="superscript"/>
        </w:rPr>
        <w:t>,</w:t>
      </w:r>
      <w:r w:rsidR="00D0093D" w:rsidRPr="00654E93">
        <w:rPr>
          <w:rStyle w:val="FootnoteReference"/>
        </w:rPr>
        <w:footnoteReference w:id="4"/>
      </w:r>
      <w:r w:rsidR="0086671A" w:rsidRPr="005B0314">
        <w:rPr>
          <w:vertAlign w:val="superscript"/>
        </w:rPr>
        <w:t>,</w:t>
      </w:r>
      <w:r w:rsidR="00D0093D" w:rsidRPr="00654E93">
        <w:rPr>
          <w:rStyle w:val="FootnoteReference"/>
        </w:rPr>
        <w:footnoteReference w:id="5"/>
      </w:r>
      <w:r w:rsidR="0086671A" w:rsidRPr="005B0314">
        <w:rPr>
          <w:vertAlign w:val="superscript"/>
        </w:rPr>
        <w:t>,</w:t>
      </w:r>
      <w:r w:rsidR="00D0093D" w:rsidRPr="00654E93">
        <w:rPr>
          <w:rStyle w:val="FootnoteReference"/>
        </w:rPr>
        <w:footnoteReference w:id="6"/>
      </w:r>
      <w:r w:rsidR="0086671A" w:rsidRPr="005B0314">
        <w:rPr>
          <w:vertAlign w:val="superscript"/>
        </w:rPr>
        <w:t>,</w:t>
      </w:r>
      <w:r w:rsidR="00D0093D" w:rsidRPr="00654E93">
        <w:rPr>
          <w:rStyle w:val="FootnoteReference"/>
        </w:rPr>
        <w:footnoteReference w:id="7"/>
      </w:r>
      <w:r w:rsidR="0086671A" w:rsidRPr="005B0314">
        <w:rPr>
          <w:vertAlign w:val="superscript"/>
        </w:rPr>
        <w:t>,</w:t>
      </w:r>
      <w:r w:rsidR="00D0093D" w:rsidRPr="00654E93">
        <w:rPr>
          <w:rStyle w:val="FootnoteReference"/>
        </w:rPr>
        <w:footnoteReference w:id="8"/>
      </w:r>
    </w:p>
    <w:p w14:paraId="35687653" w14:textId="77777777" w:rsidR="00B14769" w:rsidRPr="00B14769" w:rsidRDefault="00B14769" w:rsidP="00B14769">
      <w:r w:rsidRPr="00B14769">
        <w:t xml:space="preserve">Based on clinical experience with sebelipase alfa in a broad spectrum of patients with </w:t>
      </w:r>
      <w:r w:rsidR="00D0093D">
        <w:t>LAL</w:t>
      </w:r>
      <w:r w:rsidR="00D0093D">
        <w:noBreakHyphen/>
      </w:r>
      <w:r w:rsidR="008E5468">
        <w:t>D</w:t>
      </w:r>
      <w:r w:rsidRPr="00B14769">
        <w:t xml:space="preserve">, the recommended dose is 1 mg/kg administered as an intravenous infusion once every other week. In patients presenting with rapidly progressive </w:t>
      </w:r>
      <w:r w:rsidR="008E5468">
        <w:t>LAL-D</w:t>
      </w:r>
      <w:r w:rsidRPr="00B14769">
        <w:t xml:space="preserve"> in infancy, the </w:t>
      </w:r>
      <w:r w:rsidRPr="00B14769">
        <w:lastRenderedPageBreak/>
        <w:t>recommended starting dose is 1 mg/kg administered as an intravenous infusion once weekly. In clinical studies, these patients were dose escalated to 3 mg/kg once weekly.</w:t>
      </w:r>
    </w:p>
    <w:p w14:paraId="03901F88" w14:textId="77777777" w:rsidR="008E7846" w:rsidRDefault="008E7846" w:rsidP="00940A89">
      <w:pPr>
        <w:pStyle w:val="Heading3"/>
      </w:pPr>
      <w:bookmarkStart w:id="29" w:name="_Toc519601786"/>
      <w:r w:rsidRPr="008751DC">
        <w:t xml:space="preserve">Drug </w:t>
      </w:r>
      <w:r>
        <w:t>s</w:t>
      </w:r>
      <w:r w:rsidRPr="008751DC">
        <w:t>ubstance</w:t>
      </w:r>
      <w:r>
        <w:t xml:space="preserve"> (active ingredient)</w:t>
      </w:r>
      <w:bookmarkEnd w:id="26"/>
      <w:bookmarkEnd w:id="27"/>
      <w:bookmarkEnd w:id="29"/>
    </w:p>
    <w:p w14:paraId="4B164932" w14:textId="2365C934" w:rsidR="00B14769" w:rsidRDefault="00B14769" w:rsidP="00B14769">
      <w:bookmarkStart w:id="30" w:name="_Toc247691508"/>
      <w:bookmarkStart w:id="31" w:name="_Toc314842490"/>
      <w:r w:rsidRPr="00B14769">
        <w:t xml:space="preserve">Sebelipase alfa is a lysosomal acid lipase (LAL) glycoprotein. The average molecular weight of the glycosylated protein is 55 </w:t>
      </w:r>
      <w:proofErr w:type="spellStart"/>
      <w:r w:rsidRPr="00B14769">
        <w:t>kDa</w:t>
      </w:r>
      <w:proofErr w:type="spellEnd"/>
      <w:r w:rsidRPr="00B14769">
        <w:t>; following</w:t>
      </w:r>
      <w:r w:rsidR="00D0093D">
        <w:t xml:space="preserve"> de-glycosylation it is 43 </w:t>
      </w:r>
      <w:proofErr w:type="spellStart"/>
      <w:r w:rsidR="00D0093D">
        <w:t>kDa</w:t>
      </w:r>
      <w:proofErr w:type="spellEnd"/>
      <w:r w:rsidR="00D0093D">
        <w:t>.</w:t>
      </w:r>
      <w:r w:rsidRPr="00B14769">
        <w:t xml:space="preserve"> Its primary amino acid sequence contains 378 amino acids and is identical to the </w:t>
      </w:r>
      <w:proofErr w:type="spellStart"/>
      <w:r w:rsidRPr="00B14769">
        <w:t>Genbank</w:t>
      </w:r>
      <w:proofErr w:type="spellEnd"/>
      <w:r w:rsidRPr="00B14769">
        <w:t xml:space="preserve"> reference sequence for human </w:t>
      </w:r>
      <w:r w:rsidR="00D0093D">
        <w:t>LAL</w:t>
      </w:r>
      <w:r w:rsidRPr="00B14769">
        <w:t xml:space="preserve"> and is preceded by a</w:t>
      </w:r>
      <w:r w:rsidR="00CE5C7D">
        <w:t>n</w:t>
      </w:r>
      <w:r w:rsidRPr="00B14769">
        <w:t xml:space="preserve"> amino acid leader sequence.</w:t>
      </w:r>
    </w:p>
    <w:p w14:paraId="431E1B46" w14:textId="4609A759" w:rsidR="00B14769" w:rsidRPr="00E71D35" w:rsidRDefault="00C93FCF" w:rsidP="00B14769">
      <w:r w:rsidRPr="00C93FCF">
        <w:t>Liquid chromatography, tandem mass spectroscopy</w:t>
      </w:r>
      <w:r w:rsidR="00B14769" w:rsidRPr="00C93FCF">
        <w:t>, 100% peptide</w:t>
      </w:r>
      <w:r w:rsidR="00B14769" w:rsidRPr="004D1E6E">
        <w:t xml:space="preserve"> mapping, </w:t>
      </w:r>
      <w:r w:rsidR="00D0093D" w:rsidRPr="004D1E6E">
        <w:t xml:space="preserve">and amino acid analysis of </w:t>
      </w:r>
      <w:r w:rsidR="00B14769" w:rsidRPr="004D1E6E">
        <w:t xml:space="preserve">sebelipase alfa confirmed 100% homology between the </w:t>
      </w:r>
      <w:r w:rsidR="00B14769" w:rsidRPr="00FA75B5">
        <w:t xml:space="preserve">natural human amino acid sequence and the recombinant </w:t>
      </w:r>
      <w:proofErr w:type="spellStart"/>
      <w:r w:rsidR="00B14769" w:rsidRPr="00FA75B5">
        <w:t>hLAL</w:t>
      </w:r>
      <w:proofErr w:type="spellEnd"/>
      <w:r w:rsidR="00B14769" w:rsidRPr="00FA75B5">
        <w:t xml:space="preserve"> gene</w:t>
      </w:r>
      <w:r w:rsidR="005B0314">
        <w:t>.</w:t>
      </w:r>
    </w:p>
    <w:p w14:paraId="750917E1" w14:textId="0F59445B" w:rsidR="00B14769" w:rsidRPr="00260ACB" w:rsidRDefault="00B14769" w:rsidP="00B14769">
      <w:pPr>
        <w:pStyle w:val="Heading4"/>
      </w:pPr>
      <w:r w:rsidRPr="00260ACB">
        <w:t xml:space="preserve">Physical and </w:t>
      </w:r>
      <w:r w:rsidR="00654E93">
        <w:t>c</w:t>
      </w:r>
      <w:r w:rsidR="00654E93" w:rsidRPr="00260ACB">
        <w:t xml:space="preserve">hemical </w:t>
      </w:r>
      <w:r w:rsidR="00654E93">
        <w:t>p</w:t>
      </w:r>
      <w:r w:rsidR="00654E93" w:rsidRPr="00260ACB">
        <w:t>roperties</w:t>
      </w:r>
    </w:p>
    <w:p w14:paraId="78E60F91" w14:textId="6E0804E6" w:rsidR="00CA17A3" w:rsidRDefault="00B14769" w:rsidP="00B14769">
      <w:pPr>
        <w:rPr>
          <w:color w:val="000000"/>
          <w:lang w:eastAsia="en-AU"/>
        </w:rPr>
      </w:pPr>
      <w:r w:rsidRPr="003E7ACA">
        <w:rPr>
          <w:color w:val="000000"/>
          <w:lang w:eastAsia="en-AU"/>
        </w:rPr>
        <w:t>Sebelipase alfa is a recombinant human lysosomal acid lipase (</w:t>
      </w:r>
      <w:proofErr w:type="spellStart"/>
      <w:r w:rsidRPr="003E7ACA">
        <w:rPr>
          <w:color w:val="000000"/>
          <w:lang w:eastAsia="en-AU"/>
        </w:rPr>
        <w:t>rhLAL</w:t>
      </w:r>
      <w:proofErr w:type="spellEnd"/>
      <w:r w:rsidRPr="003E7ACA">
        <w:rPr>
          <w:color w:val="000000"/>
          <w:lang w:eastAsia="en-AU"/>
        </w:rPr>
        <w:t>) enzyme</w:t>
      </w:r>
      <w:r w:rsidRPr="004D1E6E">
        <w:rPr>
          <w:color w:val="000000"/>
          <w:lang w:eastAsia="en-AU"/>
        </w:rPr>
        <w:t xml:space="preserve">, purified from egg white of transgenic </w:t>
      </w:r>
      <w:r w:rsidRPr="00FA75B5">
        <w:rPr>
          <w:i/>
          <w:iCs/>
          <w:color w:val="000000"/>
          <w:lang w:eastAsia="en-AU"/>
        </w:rPr>
        <w:t>Gallus</w:t>
      </w:r>
      <w:r w:rsidRPr="007E0197">
        <w:rPr>
          <w:i/>
          <w:iCs/>
          <w:color w:val="000000"/>
          <w:lang w:eastAsia="en-AU"/>
        </w:rPr>
        <w:t xml:space="preserve"> </w:t>
      </w:r>
      <w:proofErr w:type="spellStart"/>
      <w:r w:rsidRPr="007E0197">
        <w:rPr>
          <w:i/>
          <w:iCs/>
          <w:color w:val="000000"/>
          <w:lang w:eastAsia="en-AU"/>
        </w:rPr>
        <w:t>gallus</w:t>
      </w:r>
      <w:proofErr w:type="spellEnd"/>
      <w:r w:rsidRPr="007E0197">
        <w:rPr>
          <w:color w:val="000000"/>
          <w:lang w:eastAsia="en-AU"/>
        </w:rPr>
        <w:t xml:space="preserve">, with the same amino acid sequence as the native human enzyme. Purified sebelipase alfa is a glycoprotein with a molecular weight of approximately 55 </w:t>
      </w:r>
      <w:proofErr w:type="spellStart"/>
      <w:proofErr w:type="gramStart"/>
      <w:r w:rsidRPr="007E0197">
        <w:rPr>
          <w:color w:val="000000"/>
          <w:lang w:eastAsia="en-AU"/>
        </w:rPr>
        <w:t>kD</w:t>
      </w:r>
      <w:proofErr w:type="spellEnd"/>
      <w:proofErr w:type="gramEnd"/>
      <w:r w:rsidRPr="007E0197">
        <w:rPr>
          <w:color w:val="000000"/>
          <w:lang w:eastAsia="en-AU"/>
        </w:rPr>
        <w:t xml:space="preserve"> with 6 N-linked glycosylation sites. Structural a</w:t>
      </w:r>
      <w:r w:rsidRPr="00894C9B">
        <w:rPr>
          <w:color w:val="000000"/>
          <w:lang w:eastAsia="en-AU"/>
        </w:rPr>
        <w:t xml:space="preserve">nd compositional analyses demonstrate that </w:t>
      </w:r>
      <w:proofErr w:type="spellStart"/>
      <w:r w:rsidRPr="00894C9B">
        <w:rPr>
          <w:color w:val="000000"/>
          <w:lang w:eastAsia="en-AU"/>
        </w:rPr>
        <w:t>sebelipase</w:t>
      </w:r>
      <w:proofErr w:type="spellEnd"/>
      <w:r w:rsidRPr="00894C9B">
        <w:rPr>
          <w:color w:val="000000"/>
          <w:lang w:eastAsia="en-AU"/>
        </w:rPr>
        <w:t xml:space="preserve"> alfa </w:t>
      </w:r>
      <w:proofErr w:type="spellStart"/>
      <w:r w:rsidRPr="00894C9B">
        <w:rPr>
          <w:color w:val="000000"/>
          <w:lang w:eastAsia="en-AU"/>
        </w:rPr>
        <w:t>glycans</w:t>
      </w:r>
      <w:proofErr w:type="spellEnd"/>
      <w:r w:rsidRPr="00894C9B">
        <w:rPr>
          <w:color w:val="000000"/>
          <w:lang w:eastAsia="en-AU"/>
        </w:rPr>
        <w:t xml:space="preserve"> consist of predominately N</w:t>
      </w:r>
      <w:r w:rsidR="00C4535F">
        <w:rPr>
          <w:color w:val="000000"/>
          <w:lang w:eastAsia="en-AU"/>
        </w:rPr>
        <w:noBreakHyphen/>
      </w:r>
      <w:r w:rsidRPr="00894C9B">
        <w:rPr>
          <w:color w:val="000000"/>
          <w:lang w:eastAsia="en-AU"/>
        </w:rPr>
        <w:t>acetyl</w:t>
      </w:r>
      <w:r w:rsidR="00C4535F">
        <w:rPr>
          <w:color w:val="000000"/>
          <w:lang w:eastAsia="en-AU"/>
        </w:rPr>
        <w:noBreakHyphen/>
      </w:r>
      <w:r w:rsidRPr="009B5E64">
        <w:rPr>
          <w:color w:val="000000"/>
          <w:lang w:eastAsia="en-AU"/>
        </w:rPr>
        <w:t>glucosamine (</w:t>
      </w:r>
      <w:proofErr w:type="spellStart"/>
      <w:r w:rsidRPr="009B5E64">
        <w:rPr>
          <w:color w:val="000000"/>
          <w:lang w:eastAsia="en-AU"/>
        </w:rPr>
        <w:t>GlcNAc</w:t>
      </w:r>
      <w:proofErr w:type="spellEnd"/>
      <w:r w:rsidRPr="009B5E64">
        <w:rPr>
          <w:color w:val="000000"/>
          <w:lang w:eastAsia="en-AU"/>
        </w:rPr>
        <w:t xml:space="preserve">) and mannose terminated N-linked structures, as well as mannose-6-phosphate moieties. These </w:t>
      </w:r>
      <w:proofErr w:type="spellStart"/>
      <w:r w:rsidRPr="009B5E64">
        <w:rPr>
          <w:color w:val="000000"/>
          <w:lang w:eastAsia="en-AU"/>
        </w:rPr>
        <w:t>glycans</w:t>
      </w:r>
      <w:proofErr w:type="spellEnd"/>
      <w:r w:rsidRPr="009B5E64">
        <w:rPr>
          <w:color w:val="000000"/>
          <w:lang w:eastAsia="en-AU"/>
        </w:rPr>
        <w:t xml:space="preserve"> target uptake via receptors express</w:t>
      </w:r>
      <w:r w:rsidRPr="00E71D35">
        <w:rPr>
          <w:color w:val="000000"/>
          <w:lang w:eastAsia="en-AU"/>
        </w:rPr>
        <w:t>ed on a number of cell types including Kupffer cells and hepatocytes in which substrate accumulation leads to disease pathogenesis. The described N-glycan structures are common to those found in human proteins and have been shown to facilitate protein uptake into cells via the macrophage mannose or mannose-6-phosphate receptors</w:t>
      </w:r>
      <w:r w:rsidR="007B3F04">
        <w:rPr>
          <w:color w:val="000000"/>
          <w:lang w:eastAsia="en-AU"/>
        </w:rPr>
        <w:t>.</w:t>
      </w:r>
      <w:r w:rsidR="007B3F04">
        <w:rPr>
          <w:rStyle w:val="FootnoteReference"/>
          <w:color w:val="000000"/>
          <w:lang w:eastAsia="en-AU"/>
        </w:rPr>
        <w:footnoteReference w:id="9"/>
      </w:r>
      <w:r w:rsidR="000644C7">
        <w:rPr>
          <w:color w:val="000000"/>
          <w:vertAlign w:val="superscript"/>
          <w:lang w:eastAsia="en-AU"/>
        </w:rPr>
        <w:t>,</w:t>
      </w:r>
      <w:r w:rsidR="00857587">
        <w:rPr>
          <w:rStyle w:val="FootnoteReference"/>
          <w:color w:val="000000"/>
          <w:lang w:eastAsia="en-AU"/>
        </w:rPr>
        <w:footnoteReference w:id="10"/>
      </w:r>
      <w:r w:rsidRPr="00E71D35">
        <w:rPr>
          <w:color w:val="000000"/>
          <w:lang w:eastAsia="en-AU"/>
        </w:rPr>
        <w:t xml:space="preserve"> N</w:t>
      </w:r>
      <w:r w:rsidR="00C4535F">
        <w:rPr>
          <w:color w:val="000000"/>
          <w:lang w:eastAsia="en-AU"/>
        </w:rPr>
        <w:noBreakHyphen/>
      </w:r>
      <w:r w:rsidRPr="00E71D35">
        <w:rPr>
          <w:color w:val="000000"/>
          <w:lang w:eastAsia="en-AU"/>
        </w:rPr>
        <w:t>acetyl-</w:t>
      </w:r>
      <w:proofErr w:type="spellStart"/>
      <w:r w:rsidRPr="00E71D35">
        <w:rPr>
          <w:color w:val="000000"/>
          <w:lang w:eastAsia="en-AU"/>
        </w:rPr>
        <w:t>galactosamine</w:t>
      </w:r>
      <w:proofErr w:type="spellEnd"/>
      <w:r w:rsidRPr="00E71D35">
        <w:rPr>
          <w:color w:val="000000"/>
          <w:lang w:eastAsia="en-AU"/>
        </w:rPr>
        <w:t xml:space="preserve"> (</w:t>
      </w:r>
      <w:proofErr w:type="spellStart"/>
      <w:r w:rsidRPr="00E71D35">
        <w:rPr>
          <w:color w:val="000000"/>
          <w:lang w:eastAsia="en-AU"/>
        </w:rPr>
        <w:t>GalNAc</w:t>
      </w:r>
      <w:proofErr w:type="spellEnd"/>
      <w:r w:rsidRPr="00E71D35">
        <w:rPr>
          <w:color w:val="000000"/>
          <w:lang w:eastAsia="en-AU"/>
        </w:rPr>
        <w:t xml:space="preserve">) was not detected in the monosaccharide analysis, indicating that O-linked </w:t>
      </w:r>
      <w:proofErr w:type="spellStart"/>
      <w:r w:rsidRPr="00E71D35">
        <w:rPr>
          <w:color w:val="000000"/>
          <w:lang w:eastAsia="en-AU"/>
        </w:rPr>
        <w:t>glycans</w:t>
      </w:r>
      <w:proofErr w:type="spellEnd"/>
      <w:r w:rsidRPr="00E71D35">
        <w:rPr>
          <w:color w:val="000000"/>
          <w:lang w:eastAsia="en-AU"/>
        </w:rPr>
        <w:t xml:space="preserve"> are not present</w:t>
      </w:r>
      <w:r w:rsidR="00CA17A3">
        <w:rPr>
          <w:color w:val="000000"/>
          <w:lang w:eastAsia="en-AU"/>
        </w:rPr>
        <w:t>.</w:t>
      </w:r>
    </w:p>
    <w:p w14:paraId="2CF01F32" w14:textId="59DB10B8" w:rsidR="00C82C7C" w:rsidRDefault="00B14769" w:rsidP="00C82C7C">
      <w:pPr>
        <w:rPr>
          <w:color w:val="000000"/>
          <w:lang w:eastAsia="en-AU"/>
        </w:rPr>
      </w:pPr>
      <w:r w:rsidRPr="00E71D35">
        <w:rPr>
          <w:color w:val="000000"/>
          <w:lang w:eastAsia="en-AU"/>
        </w:rPr>
        <w:t>LAL has been shown to catalyse the hydrolysis of cholesteryl esters and triglycerides to free cholesterol, glycerol and free fatty acids. The specific activity of sebelipase alfa is approximately 260 U/mg protein (one unit is defined as the amount of activity that results in the hydrolysis of 1</w:t>
      </w:r>
      <w:r w:rsidR="00817AA1">
        <w:rPr>
          <w:color w:val="000000"/>
          <w:lang w:eastAsia="en-AU"/>
        </w:rPr>
        <w:t xml:space="preserve"> </w:t>
      </w:r>
      <w:r w:rsidR="003A7287">
        <w:rPr>
          <w:color w:val="000000"/>
          <w:lang w:eastAsia="en-AU"/>
        </w:rPr>
        <w:t>µ</w:t>
      </w:r>
      <w:proofErr w:type="spellStart"/>
      <w:r w:rsidRPr="00E71D35">
        <w:rPr>
          <w:color w:val="000000"/>
          <w:lang w:eastAsia="en-AU"/>
        </w:rPr>
        <w:t>mol</w:t>
      </w:r>
      <w:proofErr w:type="spellEnd"/>
      <w:r w:rsidRPr="00E71D35">
        <w:rPr>
          <w:color w:val="000000"/>
          <w:lang w:eastAsia="en-AU"/>
        </w:rPr>
        <w:t xml:space="preserve"> of a synthetic substrate, 4-methylumbelliferyl </w:t>
      </w:r>
      <w:proofErr w:type="spellStart"/>
      <w:r w:rsidRPr="00E71D35">
        <w:rPr>
          <w:color w:val="000000"/>
          <w:lang w:eastAsia="en-AU"/>
        </w:rPr>
        <w:t>oleate</w:t>
      </w:r>
      <w:proofErr w:type="spellEnd"/>
      <w:r w:rsidRPr="00E71D35">
        <w:rPr>
          <w:color w:val="000000"/>
          <w:lang w:eastAsia="en-AU"/>
        </w:rPr>
        <w:t xml:space="preserve"> </w:t>
      </w:r>
      <w:r w:rsidR="000644C7">
        <w:rPr>
          <w:color w:val="000000"/>
          <w:lang w:eastAsia="en-AU"/>
        </w:rPr>
        <w:t>(</w:t>
      </w:r>
      <w:r w:rsidRPr="00E71D35">
        <w:rPr>
          <w:color w:val="000000"/>
          <w:lang w:eastAsia="en-AU"/>
        </w:rPr>
        <w:t>4-MUO</w:t>
      </w:r>
      <w:r w:rsidR="000644C7">
        <w:rPr>
          <w:color w:val="000000"/>
          <w:lang w:eastAsia="en-AU"/>
        </w:rPr>
        <w:t>)</w:t>
      </w:r>
      <w:r w:rsidRPr="00E71D35">
        <w:rPr>
          <w:color w:val="000000"/>
          <w:lang w:eastAsia="en-AU"/>
        </w:rPr>
        <w:t>, per minu</w:t>
      </w:r>
      <w:r w:rsidR="00C82C7C">
        <w:rPr>
          <w:color w:val="000000"/>
          <w:lang w:eastAsia="en-AU"/>
        </w:rPr>
        <w:t>te under the assay conditions).</w:t>
      </w:r>
    </w:p>
    <w:p w14:paraId="12E97BD6" w14:textId="77777777" w:rsidR="00B14769" w:rsidRDefault="00C82C7C" w:rsidP="00C82C7C">
      <w:r>
        <w:rPr>
          <w:color w:val="000000"/>
          <w:lang w:eastAsia="en-AU"/>
        </w:rPr>
        <w:t xml:space="preserve">Manufacturing steps include clarification, precipitation and low pH viral inactivation, chromatography, nano filtration, ultrafiltration and diafiltration followed by formulation. </w:t>
      </w:r>
      <w:r w:rsidR="00D71267">
        <w:rPr>
          <w:color w:val="000000"/>
          <w:lang w:eastAsia="en-AU"/>
        </w:rPr>
        <w:t xml:space="preserve">The formulated product includes human serum albumin (HSA) as a stabiliser. </w:t>
      </w:r>
      <w:r>
        <w:t>All manufacturing steps are validated</w:t>
      </w:r>
      <w:r w:rsidRPr="00CE0210">
        <w:t>.</w:t>
      </w:r>
    </w:p>
    <w:p w14:paraId="22407CD6" w14:textId="77777777" w:rsidR="00D71267" w:rsidRPr="00C82C7C" w:rsidRDefault="00D71267" w:rsidP="00C82C7C">
      <w:pPr>
        <w:rPr>
          <w:color w:val="000000"/>
          <w:lang w:eastAsia="en-AU"/>
        </w:rPr>
      </w:pPr>
      <w:r>
        <w:t>Specification testing for the drug substance includes testing for residual egg whit</w:t>
      </w:r>
      <w:r w:rsidR="00C93FCF">
        <w:t>e proteins, concentration of HSA</w:t>
      </w:r>
      <w:r>
        <w:t>, and verification of sebelipase alfa purity and identity and enzyme act</w:t>
      </w:r>
      <w:r w:rsidR="007B3F04">
        <w:t>ivity. All assays are validated.</w:t>
      </w:r>
    </w:p>
    <w:p w14:paraId="1F01EB25" w14:textId="77777777" w:rsidR="008E7846" w:rsidRDefault="008E7846" w:rsidP="008E7846">
      <w:pPr>
        <w:pStyle w:val="Heading3"/>
      </w:pPr>
      <w:bookmarkStart w:id="32" w:name="_Toc519601787"/>
      <w:r w:rsidRPr="008751DC">
        <w:t xml:space="preserve">Drug </w:t>
      </w:r>
      <w:r>
        <w:t>p</w:t>
      </w:r>
      <w:r w:rsidRPr="008751DC">
        <w:t>roduct</w:t>
      </w:r>
      <w:bookmarkEnd w:id="30"/>
      <w:bookmarkEnd w:id="31"/>
      <w:bookmarkEnd w:id="32"/>
    </w:p>
    <w:p w14:paraId="27A6B645" w14:textId="77777777" w:rsidR="00940A89" w:rsidRDefault="00C82C7C" w:rsidP="00940A89">
      <w:r>
        <w:t>After sterilising filtration of the formulated drug substance vials are filled prior to final visual inspection for control of visible defects.</w:t>
      </w:r>
    </w:p>
    <w:p w14:paraId="41AB4803" w14:textId="77777777" w:rsidR="00C82C7C" w:rsidRDefault="00C82C7C" w:rsidP="00940A89">
      <w:r>
        <w:lastRenderedPageBreak/>
        <w:t xml:space="preserve">The </w:t>
      </w:r>
      <w:r w:rsidR="00C32E91">
        <w:t xml:space="preserve">product </w:t>
      </w:r>
      <w:r>
        <w:t xml:space="preserve">specification testing includes appearance, pH, </w:t>
      </w:r>
      <w:proofErr w:type="gramStart"/>
      <w:r w:rsidR="00C32E91">
        <w:t>concentration</w:t>
      </w:r>
      <w:proofErr w:type="gramEnd"/>
      <w:r>
        <w:t xml:space="preserve"> of </w:t>
      </w:r>
      <w:r w:rsidR="00D71267">
        <w:t xml:space="preserve">sebelipase alfa, identity, purity, endotoxin and bioburden </w:t>
      </w:r>
      <w:r w:rsidR="00C32E91">
        <w:t>testing. All assays are validated.</w:t>
      </w:r>
    </w:p>
    <w:p w14:paraId="62F677D9" w14:textId="16880A7A" w:rsidR="00C32E91" w:rsidRDefault="00C32E91" w:rsidP="00C32E91">
      <w:r w:rsidRPr="00E71D35">
        <w:t xml:space="preserve">Stability of sebelipase alfa </w:t>
      </w:r>
      <w:r w:rsidR="007B3F04" w:rsidRPr="00E71D35">
        <w:t xml:space="preserve">drug product </w:t>
      </w:r>
      <w:r w:rsidRPr="00E71D35">
        <w:t xml:space="preserve">is evaluated consistent with </w:t>
      </w:r>
      <w:r w:rsidR="00DE38ED">
        <w:t>International Conference on Harmonisation (</w:t>
      </w:r>
      <w:r w:rsidRPr="00E71D35">
        <w:t>ICH</w:t>
      </w:r>
      <w:r w:rsidR="00DE38ED">
        <w:t>)</w:t>
      </w:r>
      <w:r w:rsidRPr="00E71D35">
        <w:t xml:space="preserve"> guidelines</w:t>
      </w:r>
      <w:r w:rsidR="00C93FCF">
        <w:t>.</w:t>
      </w:r>
      <w:r w:rsidR="007B3F04">
        <w:rPr>
          <w:rStyle w:val="FootnoteReference"/>
        </w:rPr>
        <w:footnoteReference w:id="11"/>
      </w:r>
      <w:r w:rsidR="000644C7" w:rsidRPr="005B0314">
        <w:rPr>
          <w:vertAlign w:val="superscript"/>
        </w:rPr>
        <w:t>,</w:t>
      </w:r>
      <w:r w:rsidR="007B3F04">
        <w:rPr>
          <w:rStyle w:val="FootnoteReference"/>
        </w:rPr>
        <w:footnoteReference w:id="12"/>
      </w:r>
      <w:r w:rsidRPr="00E71D35">
        <w:t xml:space="preserve"> Long term and accelerated stability data are provided for </w:t>
      </w:r>
      <w:r w:rsidR="00C93FCF">
        <w:t>drug product</w:t>
      </w:r>
      <w:r w:rsidRPr="00E71D35">
        <w:t xml:space="preserve"> lots stored at conditions of 5 </w:t>
      </w:r>
      <w:r w:rsidR="00C93FCF">
        <w:t>±</w:t>
      </w:r>
      <w:r w:rsidRPr="00E71D35">
        <w:t xml:space="preserve"> 3°C and 25 </w:t>
      </w:r>
      <w:r w:rsidR="00C93FCF">
        <w:t>±</w:t>
      </w:r>
      <w:r w:rsidRPr="00E71D35">
        <w:t xml:space="preserve"> 2°C (60</w:t>
      </w:r>
      <w:r w:rsidR="00DE38ED">
        <w:t> </w:t>
      </w:r>
      <w:r w:rsidR="00C93FCF">
        <w:t>±</w:t>
      </w:r>
      <w:r w:rsidR="00DE38ED">
        <w:t> </w:t>
      </w:r>
      <w:r w:rsidRPr="00E71D35">
        <w:t xml:space="preserve">5% relative humidity), respectively. The data from these studies support an expiration period of 24 months for sebelipase alfa </w:t>
      </w:r>
      <w:r w:rsidR="000644C7">
        <w:t>drug product</w:t>
      </w:r>
      <w:r w:rsidR="000644C7" w:rsidRPr="00E71D35">
        <w:t xml:space="preserve"> </w:t>
      </w:r>
      <w:r w:rsidRPr="00E71D35">
        <w:t xml:space="preserve">when stored at 5 </w:t>
      </w:r>
      <w:r w:rsidR="00C93FCF">
        <w:t>±</w:t>
      </w:r>
      <w:r w:rsidRPr="00E71D35">
        <w:t xml:space="preserve"> 3</w:t>
      </w:r>
      <w:r w:rsidR="00C93FCF">
        <w:t>°</w:t>
      </w:r>
      <w:r w:rsidRPr="00E71D35">
        <w:t>C.</w:t>
      </w:r>
    </w:p>
    <w:p w14:paraId="2460BB17" w14:textId="59FE4826" w:rsidR="00C32E91" w:rsidRPr="001079E5" w:rsidRDefault="00C32E91" w:rsidP="00C32E91">
      <w:pPr>
        <w:rPr>
          <w:lang w:eastAsia="en-AU"/>
        </w:rPr>
      </w:pPr>
      <w:r w:rsidRPr="001079E5">
        <w:rPr>
          <w:lang w:eastAsia="en-AU"/>
        </w:rPr>
        <w:t>The stability studies also demonstrated that diluted sebelipase alfa at concentrations of 0.1 mg/mL and 1.0 mg/mL in a syringe are</w:t>
      </w:r>
      <w:r w:rsidR="00C93FCF">
        <w:rPr>
          <w:lang w:eastAsia="en-AU"/>
        </w:rPr>
        <w:t xml:space="preserve"> stable for up to 72 hours at 2 to </w:t>
      </w:r>
      <w:r w:rsidRPr="001079E5">
        <w:rPr>
          <w:lang w:eastAsia="en-AU"/>
        </w:rPr>
        <w:t xml:space="preserve">8°C plus an additional 24 hour equilibration to room temperature followed by administration </w:t>
      </w:r>
      <w:r w:rsidR="00B35C86">
        <w:rPr>
          <w:lang w:eastAsia="en-AU"/>
        </w:rPr>
        <w:t>through a 0.2</w:t>
      </w:r>
      <w:r w:rsidR="00952B0B">
        <w:rPr>
          <w:lang w:eastAsia="en-AU"/>
        </w:rPr>
        <w:t xml:space="preserve"> </w:t>
      </w:r>
      <w:r w:rsidR="003A7287">
        <w:rPr>
          <w:lang w:eastAsia="en-AU"/>
        </w:rPr>
        <w:t>µ</w:t>
      </w:r>
      <w:r w:rsidR="00B35C86">
        <w:rPr>
          <w:lang w:eastAsia="en-AU"/>
        </w:rPr>
        <w:t>m filter.</w:t>
      </w:r>
    </w:p>
    <w:p w14:paraId="2DF6337A" w14:textId="517D02A2" w:rsidR="00C32E91" w:rsidRPr="00E71D35" w:rsidRDefault="00C32E91" w:rsidP="00C32E91">
      <w:r w:rsidRPr="001079E5">
        <w:rPr>
          <w:lang w:eastAsia="en-AU"/>
        </w:rPr>
        <w:t>The data demonstrate that sebelipase alfa diluted in 0.9% sodium chloride for injection USP/EP, within a concentration range of 0.1 mg/mL to 1.5 mg/mL may</w:t>
      </w:r>
      <w:r w:rsidR="00C93FCF">
        <w:rPr>
          <w:lang w:eastAsia="en-AU"/>
        </w:rPr>
        <w:t xml:space="preserve"> be stored for up to 24 hours </w:t>
      </w:r>
      <w:r w:rsidR="00952B0B">
        <w:rPr>
          <w:lang w:eastAsia="en-AU"/>
        </w:rPr>
        <w:t xml:space="preserve">at </w:t>
      </w:r>
      <w:r w:rsidR="00C93FCF">
        <w:rPr>
          <w:lang w:eastAsia="en-AU"/>
        </w:rPr>
        <w:t xml:space="preserve">2 to </w:t>
      </w:r>
      <w:r w:rsidRPr="001079E5">
        <w:rPr>
          <w:lang w:eastAsia="en-AU"/>
        </w:rPr>
        <w:t xml:space="preserve">8°C or </w:t>
      </w:r>
      <w:r w:rsidR="003455A2">
        <w:rPr>
          <w:lang w:eastAsia="en-AU"/>
        </w:rPr>
        <w:t>8</w:t>
      </w:r>
      <w:r w:rsidR="003455A2" w:rsidRPr="001079E5">
        <w:rPr>
          <w:lang w:eastAsia="en-AU"/>
        </w:rPr>
        <w:t xml:space="preserve"> </w:t>
      </w:r>
      <w:r w:rsidRPr="001079E5">
        <w:rPr>
          <w:lang w:eastAsia="en-AU"/>
        </w:rPr>
        <w:t>hours at 25 ± 2°C with minimal change to the product attributes.</w:t>
      </w:r>
    </w:p>
    <w:p w14:paraId="5921AC28" w14:textId="77777777" w:rsidR="00C32E91" w:rsidRPr="00940A89" w:rsidRDefault="00B35C86" w:rsidP="00C32E91">
      <w:r>
        <w:t xml:space="preserve">With respect to </w:t>
      </w:r>
      <w:r w:rsidR="00C93FCF">
        <w:t>quality</w:t>
      </w:r>
      <w:r>
        <w:t xml:space="preserve"> matters, the PI, CMI and labels as detailed in the table above are acceptable.</w:t>
      </w:r>
    </w:p>
    <w:p w14:paraId="7BD65664" w14:textId="77777777" w:rsidR="008E7846" w:rsidRPr="008751DC" w:rsidRDefault="008E7846" w:rsidP="008E7846">
      <w:pPr>
        <w:pStyle w:val="Heading3"/>
      </w:pPr>
      <w:bookmarkStart w:id="33" w:name="_Toc247691509"/>
      <w:bookmarkStart w:id="34" w:name="_Toc314842493"/>
      <w:bookmarkStart w:id="35" w:name="_Toc519601788"/>
      <w:r>
        <w:t>Quality s</w:t>
      </w:r>
      <w:r w:rsidRPr="008751DC">
        <w:t>ummary</w:t>
      </w:r>
      <w:r>
        <w:t xml:space="preserve"> and conclusions</w:t>
      </w:r>
      <w:bookmarkEnd w:id="33"/>
      <w:bookmarkEnd w:id="34"/>
      <w:bookmarkEnd w:id="35"/>
    </w:p>
    <w:p w14:paraId="68BD2EB1" w14:textId="77777777" w:rsidR="008E7846" w:rsidRDefault="00B14769" w:rsidP="00B14769">
      <w:pPr>
        <w:rPr>
          <w:rFonts w:asciiTheme="minorHAnsi" w:hAnsiTheme="minorHAnsi"/>
          <w:bCs/>
        </w:rPr>
      </w:pPr>
      <w:r w:rsidRPr="00B14769">
        <w:t xml:space="preserve">Assuming completion of TGA GMP certification there are no further objections on quality grounds to the approval of </w:t>
      </w:r>
      <w:r w:rsidRPr="00B14769">
        <w:rPr>
          <w:rFonts w:asciiTheme="minorHAnsi" w:hAnsiTheme="minorHAnsi"/>
          <w:bCs/>
        </w:rPr>
        <w:t>K</w:t>
      </w:r>
      <w:r w:rsidR="00C93FCF" w:rsidRPr="00B14769">
        <w:rPr>
          <w:rFonts w:asciiTheme="minorHAnsi" w:hAnsiTheme="minorHAnsi"/>
          <w:bCs/>
        </w:rPr>
        <w:t>anuma</w:t>
      </w:r>
      <w:r w:rsidRPr="00B14769">
        <w:rPr>
          <w:rFonts w:asciiTheme="minorHAnsi" w:hAnsiTheme="minorHAnsi"/>
          <w:bCs/>
        </w:rPr>
        <w:t xml:space="preserve"> (sebelipase alfa) 2 mg/mL solution for IV infusion</w:t>
      </w:r>
      <w:r>
        <w:rPr>
          <w:rFonts w:asciiTheme="minorHAnsi" w:hAnsiTheme="minorHAnsi"/>
          <w:bCs/>
        </w:rPr>
        <w:t>.</w:t>
      </w:r>
    </w:p>
    <w:p w14:paraId="3CB51996" w14:textId="659E9307" w:rsidR="00B14769" w:rsidRDefault="00B14769" w:rsidP="00B14769">
      <w:pPr>
        <w:pStyle w:val="Heading4"/>
      </w:pPr>
      <w:r>
        <w:t xml:space="preserve">Proposed </w:t>
      </w:r>
      <w:r w:rsidR="00B266A2">
        <w:t>conditions of registration</w:t>
      </w:r>
    </w:p>
    <w:p w14:paraId="0AA36ECE" w14:textId="77777777" w:rsidR="00B14769" w:rsidRPr="00B14769" w:rsidRDefault="00B14769" w:rsidP="00B14769">
      <w:r w:rsidRPr="00B14769">
        <w:t xml:space="preserve">Batch </w:t>
      </w:r>
      <w:r w:rsidR="00C93FCF" w:rsidRPr="00B14769">
        <w:t xml:space="preserve">release testing </w:t>
      </w:r>
      <w:r w:rsidR="00C93FCF">
        <w:t>and</w:t>
      </w:r>
      <w:r w:rsidR="00C93FCF" w:rsidRPr="00B14769">
        <w:t xml:space="preserve"> compliance with certified product details </w:t>
      </w:r>
      <w:r w:rsidRPr="00B14769">
        <w:t>(CPD)</w:t>
      </w:r>
    </w:p>
    <w:p w14:paraId="3ADE8A1C" w14:textId="77777777" w:rsidR="00B14769" w:rsidRPr="00B14769" w:rsidRDefault="00B14769" w:rsidP="00B14769">
      <w:pPr>
        <w:pStyle w:val="Numberbullet0"/>
      </w:pPr>
      <w:r w:rsidRPr="00B14769">
        <w:t xml:space="preserve">It is a condition of registration that all batches of </w:t>
      </w:r>
      <w:r w:rsidR="00C93FCF">
        <w:t>Kanuma</w:t>
      </w:r>
      <w:r w:rsidRPr="00B14769">
        <w:t xml:space="preserve"> (sebelipase alfa) 2 mg/mL solution for IV infusion imported into/manufactured in Australia must comply with the product details and specifications approved during evaluation and detailed in the </w:t>
      </w:r>
      <w:r w:rsidR="00C93FCF">
        <w:t>CPD</w:t>
      </w:r>
      <w:r w:rsidRPr="00B14769">
        <w:t>.</w:t>
      </w:r>
    </w:p>
    <w:p w14:paraId="066533A2" w14:textId="77777777" w:rsidR="00CA17A3" w:rsidRDefault="00B14769" w:rsidP="00B14769">
      <w:pPr>
        <w:pStyle w:val="Numberbullet0"/>
      </w:pPr>
      <w:r w:rsidRPr="00B14769">
        <w:t xml:space="preserve">It is a condition of registration that each batch of </w:t>
      </w:r>
      <w:r w:rsidR="00C93FCF">
        <w:t>Kanuma</w:t>
      </w:r>
      <w:r w:rsidRPr="00B14769">
        <w:t xml:space="preserve"> (sebelipase alfa) 2 mg/mL solution for IV infusion imported into/manufactured in Australia is not released for sale until samples and/or the manufacturer’s release data have been assessed and endorsed for release by the TGA Laboratories Branch</w:t>
      </w:r>
      <w:r w:rsidR="00CA17A3">
        <w:t>.</w:t>
      </w:r>
    </w:p>
    <w:p w14:paraId="737A910F" w14:textId="77777777" w:rsidR="00B14769" w:rsidRPr="00B14769" w:rsidRDefault="00B14769" w:rsidP="00B14769">
      <w:pPr>
        <w:pStyle w:val="Numberbullet0"/>
      </w:pPr>
      <w:r w:rsidRPr="00B14769">
        <w:t xml:space="preserve">The </w:t>
      </w:r>
      <w:r w:rsidR="00C93FCF">
        <w:t>CPD</w:t>
      </w:r>
      <w:r w:rsidRPr="00B14769">
        <w:t>,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401BEA08" w14:textId="77777777" w:rsidR="008E7846" w:rsidRDefault="00433E27" w:rsidP="008E7846">
      <w:pPr>
        <w:pStyle w:val="Heading2"/>
      </w:pPr>
      <w:bookmarkStart w:id="36" w:name="_Toc196046439"/>
      <w:bookmarkStart w:id="37" w:name="_Toc247691510"/>
      <w:bookmarkStart w:id="38" w:name="_Toc314842494"/>
      <w:bookmarkStart w:id="39" w:name="_Toc519601789"/>
      <w:r>
        <w:lastRenderedPageBreak/>
        <w:t>IV</w:t>
      </w:r>
      <w:r w:rsidR="008E7846">
        <w:t>. Nonclinical</w:t>
      </w:r>
      <w:bookmarkEnd w:id="36"/>
      <w:r w:rsidR="008E7846">
        <w:t xml:space="preserve"> findings</w:t>
      </w:r>
      <w:bookmarkEnd w:id="37"/>
      <w:bookmarkEnd w:id="38"/>
      <w:bookmarkEnd w:id="39"/>
    </w:p>
    <w:p w14:paraId="09EDF8DF" w14:textId="77777777" w:rsidR="008E7846" w:rsidRDefault="008E7846" w:rsidP="00940A89">
      <w:pPr>
        <w:pStyle w:val="Heading3"/>
      </w:pPr>
      <w:bookmarkStart w:id="40" w:name="_Toc247691511"/>
      <w:bookmarkStart w:id="41" w:name="_Toc314842495"/>
      <w:bookmarkStart w:id="42" w:name="_Toc519601790"/>
      <w:r>
        <w:t>Introduction</w:t>
      </w:r>
      <w:bookmarkEnd w:id="40"/>
      <w:bookmarkEnd w:id="41"/>
      <w:bookmarkEnd w:id="42"/>
    </w:p>
    <w:p w14:paraId="09712CD3" w14:textId="43DADFDC" w:rsidR="004334C7" w:rsidRPr="004334C7" w:rsidRDefault="002A535F" w:rsidP="004334C7">
      <w:r>
        <w:t xml:space="preserve">The </w:t>
      </w:r>
      <w:r w:rsidR="00C93FCF">
        <w:t>nonclinical</w:t>
      </w:r>
      <w:r>
        <w:t xml:space="preserve"> dossier included extensive primary pharmacology </w:t>
      </w:r>
      <w:r w:rsidRPr="000B4393">
        <w:t xml:space="preserve">studies (in vitro and in vivo), three </w:t>
      </w:r>
      <w:r w:rsidR="00C93FCF" w:rsidRPr="000B4393">
        <w:t>repeat dose</w:t>
      </w:r>
      <w:r w:rsidRPr="000B4393">
        <w:t xml:space="preserve"> toxicity studies (up to 6 months) in two species, reproductive toxicity studies in</w:t>
      </w:r>
      <w:r>
        <w:t xml:space="preserve"> two species, and anti-drug antibody testing. All pivotal </w:t>
      </w:r>
      <w:r w:rsidR="00C93FCF">
        <w:t>safety related</w:t>
      </w:r>
      <w:r>
        <w:t xml:space="preserve"> studies were </w:t>
      </w:r>
      <w:r w:rsidR="00663236">
        <w:t>good laboratory practice (</w:t>
      </w:r>
      <w:r>
        <w:t>GLP</w:t>
      </w:r>
      <w:r w:rsidR="00663236">
        <w:t>)</w:t>
      </w:r>
      <w:r>
        <w:t xml:space="preserve"> compliant. The dossier was therefore considered to be comprehensive for a </w:t>
      </w:r>
      <w:r w:rsidR="00663236">
        <w:t>biotechnology derived</w:t>
      </w:r>
      <w:r>
        <w:t xml:space="preserve"> product, in accordance with </w:t>
      </w:r>
      <w:r w:rsidR="00952B0B">
        <w:t xml:space="preserve">the </w:t>
      </w:r>
      <w:r>
        <w:t>ICH guideline</w:t>
      </w:r>
      <w:r w:rsidR="000644C7">
        <w:t>;</w:t>
      </w:r>
      <w:bookmarkStart w:id="43" w:name="_Ref513476794"/>
      <w:r w:rsidR="00C93FCF">
        <w:rPr>
          <w:rStyle w:val="FootnoteReference"/>
        </w:rPr>
        <w:footnoteReference w:id="13"/>
      </w:r>
      <w:bookmarkEnd w:id="43"/>
      <w:r>
        <w:t xml:space="preserve"> and adequate to evaluate the safety of this </w:t>
      </w:r>
      <w:r w:rsidR="00C93FCF">
        <w:t>first in class</w:t>
      </w:r>
      <w:r>
        <w:t xml:space="preserve"> medicine.</w:t>
      </w:r>
    </w:p>
    <w:p w14:paraId="55D15BC4" w14:textId="77777777" w:rsidR="008E7846" w:rsidRDefault="008E7846" w:rsidP="008E7846">
      <w:pPr>
        <w:pStyle w:val="Heading3"/>
      </w:pPr>
      <w:bookmarkStart w:id="44" w:name="_Toc247691512"/>
      <w:bookmarkStart w:id="45" w:name="_Toc314842496"/>
      <w:bookmarkStart w:id="46" w:name="_Toc519601791"/>
      <w:r w:rsidRPr="00020030">
        <w:t>Pharmacology</w:t>
      </w:r>
      <w:bookmarkEnd w:id="44"/>
      <w:bookmarkEnd w:id="45"/>
      <w:bookmarkEnd w:id="46"/>
    </w:p>
    <w:p w14:paraId="5BBA421F" w14:textId="77777777" w:rsidR="002A535F" w:rsidRPr="00EB69F1" w:rsidRDefault="002A535F" w:rsidP="002A535F">
      <w:pPr>
        <w:pStyle w:val="Heading4"/>
      </w:pPr>
      <w:r w:rsidRPr="00EB69F1">
        <w:t>Primary pharmacology</w:t>
      </w:r>
    </w:p>
    <w:p w14:paraId="138789E3" w14:textId="77777777" w:rsidR="002A535F" w:rsidRDefault="002A535F" w:rsidP="002A535F">
      <w:r>
        <w:t xml:space="preserve">Endogenous LAL is localised to lysosomes where it catalyses the hydrolysis of cholesteryl esters and triglycerides to free cholesterol, glycerol and free fatty acids. LAL substrates accumulate in multiple organs in LAL-D patients, particularly in those that play a major role in lipid metabolism and disposal, leading to organomegaly and organ dysfunction, a failure to thrive, and decreased survival. It is intended that sebelipase alfa administered IV to LAL-D patients is sequestered from the circulation into cells via </w:t>
      </w:r>
      <w:r w:rsidR="00C93FCF">
        <w:t>receptor mediated</w:t>
      </w:r>
      <w:r>
        <w:t xml:space="preserve"> endocytosis and targeted to lysosomes, thereby restoring LAL activity and alleviating the LAL-D phenotype.</w:t>
      </w:r>
    </w:p>
    <w:p w14:paraId="51C18F26" w14:textId="77777777" w:rsidR="002A535F" w:rsidRDefault="002A535F" w:rsidP="002A535F">
      <w:r w:rsidRPr="00B935CA">
        <w:t>In vitro, sebelipase</w:t>
      </w:r>
      <w:r>
        <w:t xml:space="preserve"> alfa was shown to be taken up by cultured rat alveolar macrophages</w:t>
      </w:r>
      <w:r w:rsidRPr="004556B3">
        <w:t xml:space="preserve"> </w:t>
      </w:r>
      <w:r>
        <w:t xml:space="preserve">and to localise to lysosomes within them. Cellular uptake was </w:t>
      </w:r>
      <w:r w:rsidR="00C93FCF">
        <w:t>receptor mediated</w:t>
      </w:r>
      <w:r>
        <w:t xml:space="preserve">, as it was inhibited in a </w:t>
      </w:r>
      <w:r w:rsidR="00C93FCF">
        <w:t>concentration dependent</w:t>
      </w:r>
      <w:r>
        <w:t xml:space="preserve"> manner by an oligosaccharide competitor, </w:t>
      </w:r>
      <w:proofErr w:type="spellStart"/>
      <w:r w:rsidRPr="00C93FCF">
        <w:t>mannan</w:t>
      </w:r>
      <w:proofErr w:type="spellEnd"/>
      <w:r w:rsidRPr="00C93FCF">
        <w:t>.</w:t>
      </w:r>
      <w:r w:rsidR="00B935CA">
        <w:rPr>
          <w:rStyle w:val="FootnoteReference"/>
        </w:rPr>
        <w:footnoteReference w:id="14"/>
      </w:r>
      <w:r>
        <w:t xml:space="preserve"> Treatment with </w:t>
      </w:r>
      <w:proofErr w:type="spellStart"/>
      <w:r>
        <w:t>sebelipase</w:t>
      </w:r>
      <w:proofErr w:type="spellEnd"/>
      <w:r>
        <w:t xml:space="preserve"> alfa increased LAL activity in normal human fibroblasts and, in LAL-deficient fibroblasts from patients, was able to fully and rapidly restore activity to normal endogenous levels. These findings indicate that sebelipase alfa is capable of functionally restoring LAL activity in LAL-deficient patient cells by restoring its </w:t>
      </w:r>
      <w:r w:rsidR="00B935CA">
        <w:t>missing endogenous counterpart.</w:t>
      </w:r>
    </w:p>
    <w:p w14:paraId="099D7BCD" w14:textId="0828794E" w:rsidR="002A535F" w:rsidRDefault="002A535F" w:rsidP="002A535F">
      <w:r>
        <w:t xml:space="preserve">A </w:t>
      </w:r>
      <w:r w:rsidRPr="00B935CA">
        <w:t>battery of studies was conducted in LAL-knockout rats, a model of human LAL</w:t>
      </w:r>
      <w:r w:rsidR="00BA6AD4">
        <w:t>-D</w:t>
      </w:r>
      <w:r w:rsidRPr="00B935CA">
        <w:t xml:space="preserve">, to examine the in vivo pharmacodynamics of sebelipase alfa administered IV. Consistent with in vitro studies, a single 5 mg/kg dose of sebelipase alfa led to a rapid and marked increase (as soon as 1 hour </w:t>
      </w:r>
      <w:r w:rsidR="00B935CA">
        <w:t>post dose</w:t>
      </w:r>
      <w:r w:rsidRPr="00B935CA">
        <w:t>) in hepatic LAL activity that exceeded that in control (</w:t>
      </w:r>
      <w:r w:rsidR="00B935CA">
        <w:t>LAL proficient</w:t>
      </w:r>
      <w:r w:rsidRPr="00B935CA">
        <w:t>) livers by up to 21</w:t>
      </w:r>
      <w:r w:rsidR="00B935CA">
        <w:t xml:space="preserve"> fold</w:t>
      </w:r>
      <w:r w:rsidRPr="00B935CA">
        <w:t xml:space="preserve"> and persisted for up to </w:t>
      </w:r>
      <w:r w:rsidR="00B935CA">
        <w:t>approximately 72 </w:t>
      </w:r>
      <w:r w:rsidRPr="00B935CA">
        <w:t xml:space="preserve">hours </w:t>
      </w:r>
      <w:r w:rsidR="00B935CA">
        <w:t>post dose</w:t>
      </w:r>
      <w:r w:rsidRPr="00B935CA">
        <w:t xml:space="preserve">. Several </w:t>
      </w:r>
      <w:r w:rsidR="00C93FCF" w:rsidRPr="00B935CA">
        <w:t>repeat dose</w:t>
      </w:r>
      <w:r w:rsidRPr="00B935CA">
        <w:t xml:space="preserve"> studies of</w:t>
      </w:r>
      <w:r>
        <w:t xml:space="preserve"> at least 4 weeks treatment duration were conducted to assess the effect of a variety of parameters on disease phenotype including treatment duration, dose, dosing frequency, rat age (and thus disease severity) at the commencement of treatment, and treatment withdrawal. These studies showed:</w:t>
      </w:r>
    </w:p>
    <w:p w14:paraId="79A31686" w14:textId="77777777" w:rsidR="00CA17A3" w:rsidRDefault="002A535F" w:rsidP="002A535F">
      <w:pPr>
        <w:pStyle w:val="ListBullet"/>
      </w:pPr>
      <w:r>
        <w:t>The levels of LAL substrates in the major organs in whi</w:t>
      </w:r>
      <w:r w:rsidR="00B935CA">
        <w:t xml:space="preserve">ch they are normally hydrolysed; the liver, spleen and intestine; </w:t>
      </w:r>
      <w:r>
        <w:t xml:space="preserve">were dramatically reduced in a dose and </w:t>
      </w:r>
      <w:r w:rsidR="00B935CA">
        <w:t>frequency dependent</w:t>
      </w:r>
      <w:r>
        <w:t xml:space="preserve"> manner by sebelipase alfa, reaching the levels in control animals at the maximum dose and frequency (5 mg/kg weekly)</w:t>
      </w:r>
      <w:r w:rsidR="00CA17A3">
        <w:t>.</w:t>
      </w:r>
    </w:p>
    <w:p w14:paraId="00A41595" w14:textId="77777777" w:rsidR="00CA17A3" w:rsidRDefault="002A535F" w:rsidP="002A535F">
      <w:pPr>
        <w:pStyle w:val="ListBullet"/>
      </w:pPr>
      <w:r>
        <w:t xml:space="preserve">Corresponding improvements to liver and intestine histopathology and function (as reflected in serum chemistry and lipid profiles) and body </w:t>
      </w:r>
      <w:r w:rsidR="00B935CA">
        <w:t>weight relative</w:t>
      </w:r>
      <w:r>
        <w:t xml:space="preserve"> or</w:t>
      </w:r>
      <w:r w:rsidR="00B935CA">
        <w:t>gan weights were generally dose</w:t>
      </w:r>
      <w:r>
        <w:t xml:space="preserve"> and </w:t>
      </w:r>
      <w:r w:rsidR="00B935CA">
        <w:t>frequency dependent</w:t>
      </w:r>
      <w:r>
        <w:t xml:space="preserve">. All or most parameters </w:t>
      </w:r>
      <w:r>
        <w:lastRenderedPageBreak/>
        <w:t xml:space="preserve">roughly normalised (equivalent to control animals) by </w:t>
      </w:r>
      <w:r w:rsidR="00B935CA">
        <w:t xml:space="preserve">approximately 3 to </w:t>
      </w:r>
      <w:r>
        <w:t>5 mg/kg weekly dosing (3 mg/kg weekly being the maximum proposed clinical dose)</w:t>
      </w:r>
      <w:r w:rsidR="00CA17A3">
        <w:t>.</w:t>
      </w:r>
    </w:p>
    <w:p w14:paraId="31DCB532" w14:textId="77777777" w:rsidR="00CA17A3" w:rsidRDefault="002A535F" w:rsidP="002A535F">
      <w:pPr>
        <w:pStyle w:val="ListBullet"/>
      </w:pPr>
      <w:r>
        <w:t xml:space="preserve">Untreated LAL-D rats failed to gain weight from </w:t>
      </w:r>
      <w:r w:rsidR="00B935CA">
        <w:t xml:space="preserve">approximately </w:t>
      </w:r>
      <w:r>
        <w:t xml:space="preserve">8 weeks of age. In contrast, </w:t>
      </w:r>
      <w:r w:rsidR="00B935CA">
        <w:t>dose dependent</w:t>
      </w:r>
      <w:r>
        <w:t xml:space="preserve"> increases in weight w</w:t>
      </w:r>
      <w:r w:rsidR="00B935CA">
        <w:t xml:space="preserve">ere observed in sebelipase alfa </w:t>
      </w:r>
      <w:r>
        <w:t xml:space="preserve">treated rats, attaining the level in control rats with </w:t>
      </w:r>
      <w:r w:rsidR="00B935CA">
        <w:t xml:space="preserve">≥ </w:t>
      </w:r>
      <w:r>
        <w:t>3 mg/</w:t>
      </w:r>
      <w:r w:rsidR="00B935CA">
        <w:t>kg weekly doses. Survival at 19 </w:t>
      </w:r>
      <w:r>
        <w:t>weeks of age was increased from 0 to 100%</w:t>
      </w:r>
      <w:r w:rsidR="00CA17A3">
        <w:t>.</w:t>
      </w:r>
    </w:p>
    <w:p w14:paraId="7B1FFE40" w14:textId="77777777" w:rsidR="00CA17A3" w:rsidRDefault="002A535F" w:rsidP="002A535F">
      <w:pPr>
        <w:pStyle w:val="ListBullet"/>
      </w:pPr>
      <w:r>
        <w:t xml:space="preserve">Whereas fortnightly treatment with </w:t>
      </w:r>
      <w:r w:rsidR="00B935CA">
        <w:t xml:space="preserve">≥ </w:t>
      </w:r>
      <w:r>
        <w:t>3 mg/kg was generally sufficient to significantly reverse most LAL-D-associated pathology, monthly dosing only led to moderate improvements to histopathology and to fluctuations in body weight, although all animals survived. Accordingly, from 4 weeks after the cessation of treatment (</w:t>
      </w:r>
      <w:r w:rsidR="00B935CA">
        <w:t>in a 13 </w:t>
      </w:r>
      <w:r>
        <w:t>week recovery period), all physiological parameters significantly deteriorated towards the untreated state</w:t>
      </w:r>
      <w:r w:rsidR="00CA17A3">
        <w:t>.</w:t>
      </w:r>
    </w:p>
    <w:p w14:paraId="1569E6B5" w14:textId="77777777" w:rsidR="00CA17A3" w:rsidRDefault="002A535F" w:rsidP="002A535F">
      <w:r>
        <w:t>In summary, the LAL-D phenotype in rats was substantially reversed by a sebelipase alfa dosing regimen (</w:t>
      </w:r>
      <w:r w:rsidR="00B935CA">
        <w:t>approximately 3 to 5 mg</w:t>
      </w:r>
      <w:r>
        <w:t xml:space="preserve">/kg/week) that was highly similar to that proposed clinically (maximum 3 mg/kg/week) and which elicited serum exposure in rats comparable to that observed clinically (see </w:t>
      </w:r>
      <w:r w:rsidRPr="00B935CA">
        <w:t>Pharmacokinetics,</w:t>
      </w:r>
      <w:r>
        <w:t xml:space="preserve"> below)</w:t>
      </w:r>
      <w:r w:rsidR="00CA17A3">
        <w:t>.</w:t>
      </w:r>
    </w:p>
    <w:p w14:paraId="1AC47CF5" w14:textId="77777777" w:rsidR="002A535F" w:rsidRPr="00EB69F1" w:rsidRDefault="002A535F" w:rsidP="002A535F">
      <w:pPr>
        <w:pStyle w:val="Heading5"/>
      </w:pPr>
      <w:r w:rsidRPr="00EB69F1">
        <w:t>Secondary pharmacodynamics and safety pharmacology</w:t>
      </w:r>
    </w:p>
    <w:p w14:paraId="7EFA7640" w14:textId="77777777" w:rsidR="00CA17A3" w:rsidRDefault="002A535F" w:rsidP="002A535F">
      <w:r>
        <w:t xml:space="preserve">Secondary pharmacodynamic effects of sebelipase alfa were not examined. This is acceptable given that the amino acid sequence of sebelipase alfa is identical to that of the endogenous human enzyme it is designed to restore in LAL-D patients, and sebelipase alfa was </w:t>
      </w:r>
      <w:r w:rsidRPr="00B935CA">
        <w:t>shown in vitro and in vivo to be rapidly taken</w:t>
      </w:r>
      <w:r>
        <w:t xml:space="preserve"> up by cells and to localise to the appropriate organelle, the lysosome</w:t>
      </w:r>
      <w:r w:rsidR="00CA17A3">
        <w:t>.</w:t>
      </w:r>
    </w:p>
    <w:p w14:paraId="69977EBE" w14:textId="746EFE2F" w:rsidR="00CA17A3" w:rsidRPr="00B935CA" w:rsidRDefault="002A535F" w:rsidP="00B935CA">
      <w:r w:rsidRPr="00B935CA">
        <w:t>Safety pharmacology studies covered the core battery of systems. In a study on the rat respiratory system, small increases in respiratory rate and minute volume (</w:t>
      </w:r>
      <w:r w:rsidR="00B935CA" w:rsidRPr="00B935CA">
        <w:t>approximately ≤</w:t>
      </w:r>
      <w:r w:rsidRPr="00B935CA">
        <w:t xml:space="preserve"> 1.2</w:t>
      </w:r>
      <w:r w:rsidR="00B935CA" w:rsidRPr="00B935CA">
        <w:t xml:space="preserve"> fold</w:t>
      </w:r>
      <w:r w:rsidRPr="00B935CA">
        <w:t xml:space="preserve">) were observed at </w:t>
      </w:r>
      <w:r w:rsidR="00B935CA" w:rsidRPr="00B935CA">
        <w:t xml:space="preserve">≥ </w:t>
      </w:r>
      <w:r w:rsidRPr="00B935CA">
        <w:t>6.7</w:t>
      </w:r>
      <w:r w:rsidR="00B935CA" w:rsidRPr="00B935CA">
        <w:t xml:space="preserve"> fold</w:t>
      </w:r>
      <w:r w:rsidRPr="00B935CA">
        <w:t xml:space="preserve"> peak clinical exposure (</w:t>
      </w:r>
      <w:r w:rsidR="008A4AC2">
        <w:t>maximum observed serum concentration (</w:t>
      </w:r>
      <w:proofErr w:type="spellStart"/>
      <w:r w:rsidR="00953E28">
        <w:t>C</w:t>
      </w:r>
      <w:r w:rsidR="00953E28" w:rsidRPr="00953E28">
        <w:rPr>
          <w:vertAlign w:val="subscript"/>
        </w:rPr>
        <w:t>max</w:t>
      </w:r>
      <w:proofErr w:type="spellEnd"/>
      <w:r w:rsidR="008A4AC2">
        <w:t>)</w:t>
      </w:r>
      <w:r w:rsidRPr="00B935CA">
        <w:t xml:space="preserve"> = 8 </w:t>
      </w:r>
      <w:r w:rsidR="003A7287">
        <w:t>µ</w:t>
      </w:r>
      <w:r w:rsidRPr="00B935CA">
        <w:t xml:space="preserve">g/mL in rats (male and female average) at dose of 20 mg/kg </w:t>
      </w:r>
      <w:r w:rsidR="00B935CA" w:rsidRPr="00B935CA">
        <w:t>compared with</w:t>
      </w:r>
      <w:r w:rsidRPr="00B935CA">
        <w:t xml:space="preserve"> </w:t>
      </w:r>
      <w:proofErr w:type="spellStart"/>
      <w:r w:rsidR="00953E28">
        <w:t>C</w:t>
      </w:r>
      <w:r w:rsidR="00953E28" w:rsidRPr="00953E28">
        <w:rPr>
          <w:vertAlign w:val="subscript"/>
        </w:rPr>
        <w:t>max</w:t>
      </w:r>
      <w:proofErr w:type="spellEnd"/>
      <w:r w:rsidRPr="00B935CA">
        <w:t xml:space="preserve"> = 0.96 </w:t>
      </w:r>
      <w:r w:rsidR="003A7287">
        <w:t>µ</w:t>
      </w:r>
      <w:r w:rsidRPr="00B935CA">
        <w:t xml:space="preserve">g/mL in patients). These effects do not raise particular safety concerns as they were moderate and reversible, were observed only during IV infusion, and were only statistically significant (in the case of minute volume) at the mid, but not high, dose. These effects might be linked to the </w:t>
      </w:r>
      <w:r w:rsidR="00B935CA" w:rsidRPr="00B935CA">
        <w:t>dose dependent</w:t>
      </w:r>
      <w:r w:rsidRPr="00B935CA">
        <w:t xml:space="preserve"> hypersensitivity reactions in rats during infusion that were observed in </w:t>
      </w:r>
      <w:r w:rsidR="00C93FCF" w:rsidRPr="00B935CA">
        <w:t>repeat dose</w:t>
      </w:r>
      <w:r w:rsidRPr="00B935CA">
        <w:t xml:space="preserve"> toxicity studies (and which are attributed to the administration of foreign </w:t>
      </w:r>
      <w:r w:rsidR="006402B7">
        <w:t>(</w:t>
      </w:r>
      <w:r w:rsidRPr="00B935CA">
        <w:t>human</w:t>
      </w:r>
      <w:r w:rsidR="006402B7">
        <w:t>)</w:t>
      </w:r>
      <w:r w:rsidRPr="00B935CA">
        <w:t xml:space="preserve"> proteins)</w:t>
      </w:r>
      <w:r w:rsidR="00CA17A3" w:rsidRPr="00B935CA">
        <w:t>.</w:t>
      </w:r>
    </w:p>
    <w:p w14:paraId="73E624D9" w14:textId="77777777" w:rsidR="002A535F" w:rsidRDefault="002A535F" w:rsidP="002A535F">
      <w:r>
        <w:t xml:space="preserve">Safety pharmacology studies on the rat central nervous and monkey cardiovascular systems did not show any significant </w:t>
      </w:r>
      <w:r w:rsidR="008A34D4">
        <w:t>drug related</w:t>
      </w:r>
      <w:r>
        <w:t xml:space="preserve"> effects at doses up to 50 mg/kg at which the</w:t>
      </w:r>
      <w:r w:rsidR="00B935CA">
        <w:t xml:space="preserve"> estimated peak exposure was 98</w:t>
      </w:r>
      <w:r>
        <w:t xml:space="preserve"> and 163</w:t>
      </w:r>
      <w:r w:rsidR="00B935CA">
        <w:t xml:space="preserve"> fold</w:t>
      </w:r>
      <w:r>
        <w:t xml:space="preserve"> (in rats and monkeys, respectively) that in humans</w:t>
      </w:r>
      <w:r w:rsidR="00B935CA">
        <w:t>.</w:t>
      </w:r>
      <w:r>
        <w:rPr>
          <w:rStyle w:val="FootnoteReference"/>
        </w:rPr>
        <w:footnoteReference w:id="15"/>
      </w:r>
    </w:p>
    <w:p w14:paraId="5F209343" w14:textId="77777777" w:rsidR="004334C7" w:rsidRPr="004334C7" w:rsidRDefault="002A535F" w:rsidP="004334C7">
      <w:r>
        <w:t>Based on the safety margins and minor transient nature of effects in the above mentioned studies, no significant clinical safety concerns are raised for the central nervous, cardiovascular or respiratory systems.</w:t>
      </w:r>
    </w:p>
    <w:p w14:paraId="7FBE6A0C" w14:textId="77777777" w:rsidR="008E7846" w:rsidRDefault="008E7846" w:rsidP="008E7846">
      <w:pPr>
        <w:pStyle w:val="Heading3"/>
      </w:pPr>
      <w:bookmarkStart w:id="47" w:name="_Toc247691513"/>
      <w:bookmarkStart w:id="48" w:name="_Toc314842497"/>
      <w:bookmarkStart w:id="49" w:name="_Toc519601792"/>
      <w:r>
        <w:t>Pharmacokinetics</w:t>
      </w:r>
      <w:bookmarkEnd w:id="47"/>
      <w:bookmarkEnd w:id="48"/>
      <w:bookmarkEnd w:id="49"/>
    </w:p>
    <w:p w14:paraId="46F7401A" w14:textId="4AC6A141" w:rsidR="002A535F" w:rsidRDefault="002A535F" w:rsidP="002A535F">
      <w:bookmarkStart w:id="50" w:name="_Toc247691514"/>
      <w:bookmarkStart w:id="51" w:name="_Toc314842498"/>
      <w:r>
        <w:t xml:space="preserve">In </w:t>
      </w:r>
      <w:r w:rsidR="00B935CA">
        <w:t>Sprague Dawley</w:t>
      </w:r>
      <w:r>
        <w:t xml:space="preserve"> rats and monkeys, peak (</w:t>
      </w:r>
      <w:proofErr w:type="spellStart"/>
      <w:r w:rsidR="00953E28">
        <w:t>C</w:t>
      </w:r>
      <w:r w:rsidR="00953E28" w:rsidRPr="00953E28">
        <w:rPr>
          <w:vertAlign w:val="subscript"/>
        </w:rPr>
        <w:t>max</w:t>
      </w:r>
      <w:proofErr w:type="spellEnd"/>
      <w:r>
        <w:t xml:space="preserve">) and overall </w:t>
      </w:r>
      <w:r w:rsidR="00634E1D">
        <w:t xml:space="preserve">area under the concentration time curve </w:t>
      </w:r>
      <w:r>
        <w:t xml:space="preserve">(AUC) </w:t>
      </w:r>
      <w:r w:rsidR="00B935CA">
        <w:t xml:space="preserve">exposure were shown to be supra </w:t>
      </w:r>
      <w:r>
        <w:t>proportional to dose from 1 to 50</w:t>
      </w:r>
      <w:r w:rsidR="00C50490">
        <w:t> </w:t>
      </w:r>
      <w:r>
        <w:t xml:space="preserve">mg/kg, suggesting clearance from the circulation was saturable over this dose range. In adult patients, these </w:t>
      </w:r>
      <w:r w:rsidR="00B935CA">
        <w:t xml:space="preserve">parameters were similarly supra </w:t>
      </w:r>
      <w:r>
        <w:t>proportional to dose from 1 to 3</w:t>
      </w:r>
      <w:r w:rsidR="00C50490">
        <w:t> </w:t>
      </w:r>
      <w:r>
        <w:t xml:space="preserve">mg/kg, but were roughly proportional up to 1 mg/kg in adults and children and 3 mg/kg </w:t>
      </w:r>
      <w:r>
        <w:lastRenderedPageBreak/>
        <w:t xml:space="preserve">in infants (the maximum clinical dose). Serum concentration and exposure generally did not increase with repeat dosing for up to 4 weeks in rats and monkeys and up to 6 months in humans, but were increased by repeat dosing for 6 months in monkeys. Although sex differences in serum kinetics were evident for rats, this was not the case for monkeys and humans, and the half-life was very short in all species examined (maximum </w:t>
      </w:r>
      <w:r w:rsidR="000B4393">
        <w:t>apparent terminal half-life</w:t>
      </w:r>
      <w:r w:rsidR="000B4393" w:rsidRPr="00BE0032">
        <w:t xml:space="preserve"> </w:t>
      </w:r>
      <w:r w:rsidR="000B4393">
        <w:t>(</w:t>
      </w:r>
      <w:r w:rsidRPr="00BE0032">
        <w:t>t</w:t>
      </w:r>
      <w:r w:rsidRPr="00BE0032">
        <w:rPr>
          <w:vertAlign w:val="subscript"/>
        </w:rPr>
        <w:t>½</w:t>
      </w:r>
      <w:r w:rsidR="000B4393">
        <w:t>)</w:t>
      </w:r>
      <w:r>
        <w:t xml:space="preserve"> of 20 min</w:t>
      </w:r>
      <w:r w:rsidR="00663236">
        <w:t>utes</w:t>
      </w:r>
      <w:r>
        <w:t xml:space="preserve">, 69 </w:t>
      </w:r>
      <w:r w:rsidR="00B935CA">
        <w:t>minutes</w:t>
      </w:r>
      <w:r w:rsidR="00663236">
        <w:t xml:space="preserve"> </w:t>
      </w:r>
      <w:r>
        <w:t xml:space="preserve">and 84 </w:t>
      </w:r>
      <w:r w:rsidR="00B935CA">
        <w:t>minutes</w:t>
      </w:r>
      <w:r w:rsidR="00663236">
        <w:t xml:space="preserve"> </w:t>
      </w:r>
      <w:r>
        <w:t>in rats, monkeys and humans). Volume of distribution was limited (</w:t>
      </w:r>
      <w:r w:rsidR="00B935CA">
        <w:t xml:space="preserve">approximately </w:t>
      </w:r>
      <w:r>
        <w:t xml:space="preserve">11%, &lt; 31% and </w:t>
      </w:r>
      <w:r w:rsidR="00B935CA">
        <w:t xml:space="preserve">approximately </w:t>
      </w:r>
      <w:r>
        <w:t>16% of total body water in rats, monkeys and humans) and plasma clearance was low to moderate in monkeys and humans (&lt; 8% and &lt; 60% hepatic blood flow, respectively).</w:t>
      </w:r>
    </w:p>
    <w:p w14:paraId="1662F519" w14:textId="77777777" w:rsidR="00CA17A3" w:rsidRPr="00663236" w:rsidRDefault="002A535F" w:rsidP="002A535F">
      <w:r w:rsidRPr="00663236">
        <w:t>Specific distribution studies were not conducted. The low volume of dis</w:t>
      </w:r>
      <w:r w:rsidR="000B4393">
        <w:t>tribution estimated from single</w:t>
      </w:r>
      <w:r w:rsidRPr="00663236">
        <w:t xml:space="preserve"> and </w:t>
      </w:r>
      <w:r w:rsidR="00C93FCF" w:rsidRPr="00663236">
        <w:t>repeat dose</w:t>
      </w:r>
      <w:r w:rsidRPr="00663236">
        <w:t xml:space="preserve"> serum kinetics indicates that the distribution of sebelipase alfa into tissues was limited, as anticipated for a large recombinant protein. However, broad tissue uptake is anticipated since the N-</w:t>
      </w:r>
      <w:proofErr w:type="spellStart"/>
      <w:r w:rsidRPr="00663236">
        <w:t>glycans</w:t>
      </w:r>
      <w:proofErr w:type="spellEnd"/>
      <w:r w:rsidRPr="00663236">
        <w:t xml:space="preserve"> present on </w:t>
      </w:r>
      <w:proofErr w:type="spellStart"/>
      <w:r w:rsidRPr="00663236">
        <w:t>sebelipase</w:t>
      </w:r>
      <w:proofErr w:type="spellEnd"/>
      <w:r w:rsidRPr="00663236">
        <w:t xml:space="preserve"> alfa (which are intended to promote its endocytosis) bind to cognate receptors that are expressed throughout the body in vertebrates. Accordingly, pharmacodynamic studies showed that the uptake of sebelipase alfa by cells in culture was </w:t>
      </w:r>
      <w:r w:rsidR="00C93FCF" w:rsidRPr="00663236">
        <w:t>receptor mediated</w:t>
      </w:r>
      <w:r w:rsidRPr="00663236">
        <w:t xml:space="preserve"> (including via the </w:t>
      </w:r>
      <w:r w:rsidR="008A34D4">
        <w:t>broadly expressed</w:t>
      </w:r>
      <w:r w:rsidRPr="00663236">
        <w:t xml:space="preserve"> mannose-6-phosphate receptor). Further, in LAL-D rats in vivo, sebelipase alfa reversed the pathology in a variety of organs which cause the disease phenotype</w:t>
      </w:r>
      <w:r w:rsidR="00CA17A3" w:rsidRPr="00663236">
        <w:t>.</w:t>
      </w:r>
    </w:p>
    <w:p w14:paraId="6D6176C7" w14:textId="77777777" w:rsidR="002A535F" w:rsidRDefault="002A535F" w:rsidP="002A535F">
      <w:r>
        <w:t xml:space="preserve">No metabolism and excretion studies were performed and this is acceptable based on </w:t>
      </w:r>
      <w:r w:rsidR="008A34D4">
        <w:t xml:space="preserve">the </w:t>
      </w:r>
      <w:r>
        <w:t>ICH guideline</w:t>
      </w:r>
      <w:r w:rsidR="00663236">
        <w:t>.</w:t>
      </w:r>
      <w:r w:rsidR="00663236" w:rsidRPr="00663236">
        <w:rPr>
          <w:vertAlign w:val="superscript"/>
        </w:rPr>
        <w:fldChar w:fldCharType="begin"/>
      </w:r>
      <w:r w:rsidR="00663236" w:rsidRPr="00663236">
        <w:rPr>
          <w:vertAlign w:val="superscript"/>
        </w:rPr>
        <w:instrText xml:space="preserve"> NOTEREF _Ref513476794 \h </w:instrText>
      </w:r>
      <w:r w:rsidR="00663236">
        <w:rPr>
          <w:vertAlign w:val="superscript"/>
        </w:rPr>
        <w:instrText xml:space="preserve"> \* MERGEFORMAT </w:instrText>
      </w:r>
      <w:r w:rsidR="00663236" w:rsidRPr="00663236">
        <w:rPr>
          <w:vertAlign w:val="superscript"/>
        </w:rPr>
      </w:r>
      <w:r w:rsidR="00663236" w:rsidRPr="00663236">
        <w:rPr>
          <w:vertAlign w:val="superscript"/>
        </w:rPr>
        <w:fldChar w:fldCharType="separate"/>
      </w:r>
      <w:r w:rsidR="00663236" w:rsidRPr="00663236">
        <w:rPr>
          <w:vertAlign w:val="superscript"/>
        </w:rPr>
        <w:t>12</w:t>
      </w:r>
      <w:r w:rsidR="00663236" w:rsidRPr="00663236">
        <w:rPr>
          <w:vertAlign w:val="superscript"/>
        </w:rPr>
        <w:fldChar w:fldCharType="end"/>
      </w:r>
      <w:r>
        <w:t xml:space="preserve"> Once </w:t>
      </w:r>
      <w:proofErr w:type="spellStart"/>
      <w:r>
        <w:t>sebelipase</w:t>
      </w:r>
      <w:proofErr w:type="spellEnd"/>
      <w:r>
        <w:t xml:space="preserve"> alfa has been taken up by cells, these processes are anticipated to parallel those of endogenous LAL.</w:t>
      </w:r>
    </w:p>
    <w:p w14:paraId="4F16A10F" w14:textId="77777777" w:rsidR="002A535F" w:rsidRPr="00836D91" w:rsidRDefault="002A535F" w:rsidP="00663236">
      <w:r>
        <w:t>Together these data show that the pharmacokinetic properties of sebelipase alfa in rats and monkeys are sufficiently similar to those in humans to allow the laboratory animal species to serve as appropriate models for assessing the toxicity profile of sebelipase alfa</w:t>
      </w:r>
      <w:r w:rsidR="00663236">
        <w:t>.</w:t>
      </w:r>
    </w:p>
    <w:p w14:paraId="322DA487" w14:textId="77777777" w:rsidR="002A535F" w:rsidRPr="00EB69F1" w:rsidRDefault="002A535F" w:rsidP="002A535F">
      <w:pPr>
        <w:pStyle w:val="Heading5"/>
      </w:pPr>
      <w:bookmarkStart w:id="52" w:name="_Toc294861725"/>
      <w:r w:rsidRPr="00EB69F1">
        <w:t>Pharmacokinetic drug interactions</w:t>
      </w:r>
      <w:bookmarkEnd w:id="52"/>
    </w:p>
    <w:p w14:paraId="1C0D8DFC" w14:textId="77777777" w:rsidR="004334C7" w:rsidRPr="00663236" w:rsidRDefault="002A535F" w:rsidP="00663236">
      <w:r w:rsidRPr="00663236">
        <w:t>No drug interaction studies were performed. This is acceptable given the nature of the drug.</w:t>
      </w:r>
    </w:p>
    <w:p w14:paraId="4F0CC633" w14:textId="77777777" w:rsidR="001B5C90" w:rsidRPr="00663236" w:rsidRDefault="008E7846" w:rsidP="00663236">
      <w:pPr>
        <w:pStyle w:val="Heading3"/>
      </w:pPr>
      <w:bookmarkStart w:id="53" w:name="_Toc519601793"/>
      <w:r w:rsidRPr="00663236">
        <w:t>Toxicology</w:t>
      </w:r>
      <w:bookmarkEnd w:id="50"/>
      <w:bookmarkEnd w:id="51"/>
      <w:bookmarkEnd w:id="53"/>
    </w:p>
    <w:p w14:paraId="381C8192" w14:textId="77777777" w:rsidR="00E8259E" w:rsidRPr="00EB69F1" w:rsidRDefault="00E8259E" w:rsidP="00E8259E">
      <w:pPr>
        <w:pStyle w:val="Heading5"/>
      </w:pPr>
      <w:bookmarkStart w:id="54" w:name="_Toc294861727"/>
      <w:r w:rsidRPr="00EB69F1">
        <w:t>Acute toxicity</w:t>
      </w:r>
      <w:bookmarkEnd w:id="54"/>
    </w:p>
    <w:p w14:paraId="38A39F39" w14:textId="41251E1E" w:rsidR="00CA17A3" w:rsidRDefault="00E8259E" w:rsidP="00E8259E">
      <w:r>
        <w:t xml:space="preserve">A single dose of sebelipase alfa was administered to two </w:t>
      </w:r>
      <w:r w:rsidR="00BF0F59">
        <w:t xml:space="preserve">cynomolgus </w:t>
      </w:r>
      <w:r>
        <w:t xml:space="preserve">monkeys by IV infusion (the clinical route </w:t>
      </w:r>
      <w:r w:rsidR="00663236">
        <w:t xml:space="preserve">of administration) in a non GLP </w:t>
      </w:r>
      <w:r>
        <w:t>compliant study. Considerable detail on the conduct of the study was lacking. At the maximum dose of 40 mg/kg (13</w:t>
      </w:r>
      <w:r w:rsidR="00B935CA">
        <w:t xml:space="preserve"> fold</w:t>
      </w:r>
      <w:r>
        <w:t xml:space="preserve"> the maximum clinical dose and estimated to elicit an exposure </w:t>
      </w:r>
      <w:r w:rsidR="00663236">
        <w:t xml:space="preserve">&gt; </w:t>
      </w:r>
      <w:r>
        <w:t>500</w:t>
      </w:r>
      <w:r w:rsidR="00B935CA">
        <w:t xml:space="preserve"> fold</w:t>
      </w:r>
      <w:r>
        <w:t xml:space="preserve"> that observed clinically; Study SBC102-T006) there were no mortalities, nor significant </w:t>
      </w:r>
      <w:r w:rsidR="00663236">
        <w:t>treatment related</w:t>
      </w:r>
      <w:r>
        <w:t xml:space="preserve"> effects</w:t>
      </w:r>
      <w:r w:rsidR="00CA17A3">
        <w:t>.</w:t>
      </w:r>
    </w:p>
    <w:p w14:paraId="782017BC" w14:textId="77777777" w:rsidR="00CA17A3" w:rsidRDefault="00E8259E" w:rsidP="00E8259E">
      <w:r>
        <w:t xml:space="preserve">In </w:t>
      </w:r>
      <w:r w:rsidR="00C93FCF">
        <w:t>repeat dose</w:t>
      </w:r>
      <w:r>
        <w:t xml:space="preserve"> studies, the maximum non-lethal dose was 50 mg/kg in both rats and monkeys</w:t>
      </w:r>
      <w:r w:rsidR="00CA17A3">
        <w:t>.</w:t>
      </w:r>
    </w:p>
    <w:p w14:paraId="023B72D3" w14:textId="77777777" w:rsidR="00E8259E" w:rsidRPr="00A52EC4" w:rsidRDefault="00E8259E" w:rsidP="00E8259E">
      <w:r>
        <w:t>Taken together, these data indicate that sebelipase alfa administered by IV infusion has low acute toxicity.</w:t>
      </w:r>
    </w:p>
    <w:p w14:paraId="3DB0AEF1" w14:textId="77777777" w:rsidR="00E8259E" w:rsidRPr="00EB69F1" w:rsidRDefault="00663236" w:rsidP="00E8259E">
      <w:pPr>
        <w:pStyle w:val="Heading5"/>
      </w:pPr>
      <w:bookmarkStart w:id="55" w:name="_Toc294861728"/>
      <w:r>
        <w:t xml:space="preserve">Repeat </w:t>
      </w:r>
      <w:r w:rsidR="00E8259E" w:rsidRPr="00650DD4">
        <w:t>dose toxicity</w:t>
      </w:r>
      <w:bookmarkEnd w:id="55"/>
    </w:p>
    <w:p w14:paraId="3E34266D" w14:textId="48014721" w:rsidR="00E8259E" w:rsidRPr="00266FAE" w:rsidRDefault="00E8259E" w:rsidP="00E8259E">
      <w:r>
        <w:t xml:space="preserve">The </w:t>
      </w:r>
      <w:r w:rsidR="00C93FCF">
        <w:t>repeat dose</w:t>
      </w:r>
      <w:r>
        <w:t xml:space="preserve"> toxicity of sebelipase alfa was evaluated in studies of 4 weeks duration in </w:t>
      </w:r>
      <w:r w:rsidR="000B4393">
        <w:t xml:space="preserve">Sprague Dawley </w:t>
      </w:r>
      <w:r>
        <w:t xml:space="preserve">rats and up to 6 months in </w:t>
      </w:r>
      <w:r w:rsidR="00BF0F59">
        <w:t xml:space="preserve">cynomolgus </w:t>
      </w:r>
      <w:r>
        <w:t xml:space="preserve">monkeys. The choice of species (rat as the rodent and monkey as the non-rodent) is acceptable on the basis of pharmacodynamic and pharmacokinetic considerations and the degree of similarity in lysosomal function and LAL amino acid sequence between these species and humans. The </w:t>
      </w:r>
      <w:r>
        <w:lastRenderedPageBreak/>
        <w:t>species used, group sizes and use of both sexes were consistent with ICH guideline</w:t>
      </w:r>
      <w:r w:rsidR="00663236">
        <w:t>,</w:t>
      </w:r>
      <w:r w:rsidR="00663236" w:rsidRPr="00663236">
        <w:rPr>
          <w:vertAlign w:val="superscript"/>
        </w:rPr>
        <w:fldChar w:fldCharType="begin"/>
      </w:r>
      <w:r w:rsidR="00663236" w:rsidRPr="00663236">
        <w:rPr>
          <w:vertAlign w:val="superscript"/>
        </w:rPr>
        <w:instrText xml:space="preserve"> NOTEREF _Ref513476794 \h </w:instrText>
      </w:r>
      <w:r w:rsidR="00663236">
        <w:rPr>
          <w:vertAlign w:val="superscript"/>
        </w:rPr>
        <w:instrText xml:space="preserve"> \* MERGEFORMAT </w:instrText>
      </w:r>
      <w:r w:rsidR="00663236" w:rsidRPr="00663236">
        <w:rPr>
          <w:vertAlign w:val="superscript"/>
        </w:rPr>
      </w:r>
      <w:r w:rsidR="00663236" w:rsidRPr="00663236">
        <w:rPr>
          <w:vertAlign w:val="superscript"/>
        </w:rPr>
        <w:fldChar w:fldCharType="separate"/>
      </w:r>
      <w:r w:rsidR="00663236" w:rsidRPr="00663236">
        <w:rPr>
          <w:vertAlign w:val="superscript"/>
        </w:rPr>
        <w:t>12</w:t>
      </w:r>
      <w:r w:rsidR="00663236" w:rsidRPr="00663236">
        <w:rPr>
          <w:vertAlign w:val="superscript"/>
        </w:rPr>
        <w:fldChar w:fldCharType="end"/>
      </w:r>
      <w:r>
        <w:t xml:space="preserve"> as was the duration, particularly considering the presence of anti-drug antibodies in the sera of most animals after repeat dosing for 4 weeks. The duration of the pivotal (6 month) study in monkeys is consistent with the intended </w:t>
      </w:r>
      <w:r w:rsidR="008E5468">
        <w:t>long term</w:t>
      </w:r>
      <w:r>
        <w:t xml:space="preserve"> clinical use of sebelipase alfa. Doses were administered weekly by IV infusion, the clinical frequency and route of administration, and the dose selection was appropriate. Animals were monitored appropriately in all studies.</w:t>
      </w:r>
    </w:p>
    <w:p w14:paraId="71B2EA07" w14:textId="77777777" w:rsidR="00E8259E" w:rsidRPr="00EB69F1" w:rsidRDefault="00E8259E" w:rsidP="00E8259E">
      <w:pPr>
        <w:pStyle w:val="Heading5"/>
      </w:pPr>
      <w:r w:rsidRPr="00EB69F1">
        <w:t>Relative exposure</w:t>
      </w:r>
    </w:p>
    <w:p w14:paraId="77C904DA" w14:textId="74129BD8" w:rsidR="00CA17A3" w:rsidRDefault="00E8259E" w:rsidP="00E8259E">
      <w:r w:rsidRPr="006A506E">
        <w:t>Exposure ratios have been calculated based on animal</w:t>
      </w:r>
      <w:r>
        <w:t xml:space="preserve"> and human </w:t>
      </w:r>
      <w:r w:rsidRPr="006A506E">
        <w:t>serum AUC</w:t>
      </w:r>
      <w:r>
        <w:t xml:space="preserve"> values</w:t>
      </w:r>
      <w:r>
        <w:rPr>
          <w:vertAlign w:val="subscript"/>
        </w:rPr>
        <w:t xml:space="preserve"> </w:t>
      </w:r>
      <w:r w:rsidR="00663236" w:rsidRPr="004A1DEE">
        <w:t>(</w:t>
      </w:r>
      <w:r w:rsidR="00BF0F59">
        <w:t xml:space="preserve">shown in </w:t>
      </w:r>
      <w:r w:rsidR="00663236" w:rsidRPr="004A1DEE">
        <w:t xml:space="preserve">Table </w:t>
      </w:r>
      <w:r w:rsidR="004A1DEE" w:rsidRPr="004A1DEE">
        <w:t>2</w:t>
      </w:r>
      <w:r w:rsidR="00BF0F59">
        <w:t>, below</w:t>
      </w:r>
      <w:r w:rsidRPr="004A1DEE">
        <w:t>).</w:t>
      </w:r>
      <w:r w:rsidRPr="0022345B">
        <w:t xml:space="preserve"> The AUC data used for animals is the mean of male and female values on the last sampling occasion.</w:t>
      </w:r>
      <w:r>
        <w:t xml:space="preserve"> Human reference values are for exposure after 23</w:t>
      </w:r>
      <w:r w:rsidR="00BF0F59">
        <w:t> </w:t>
      </w:r>
      <w:r>
        <w:t xml:space="preserve">weeks repeat dosing according to the proposed clinical dosing regimen (and maximum recommended dose in each patient group) and were derived by </w:t>
      </w:r>
      <w:r w:rsidR="00AA456F">
        <w:t>p</w:t>
      </w:r>
      <w:r>
        <w:t xml:space="preserve">opulation </w:t>
      </w:r>
      <w:r w:rsidR="000B4393">
        <w:t>pharmacokinetics (</w:t>
      </w:r>
      <w:r>
        <w:t>PK</w:t>
      </w:r>
      <w:r w:rsidR="000B4393">
        <w:t>)</w:t>
      </w:r>
      <w:r>
        <w:t xml:space="preserve"> modelling</w:t>
      </w:r>
      <w:r w:rsidR="00CA17A3">
        <w:t>.</w:t>
      </w:r>
    </w:p>
    <w:p w14:paraId="75CC1834" w14:textId="77777777" w:rsidR="00E8259E" w:rsidRDefault="00E8259E" w:rsidP="00C9747E">
      <w:r>
        <w:t>T</w:t>
      </w:r>
      <w:r w:rsidRPr="0022345B">
        <w:t xml:space="preserve">he exposure in rats and monkeys </w:t>
      </w:r>
      <w:r>
        <w:t>relative to humans was high (at least 300</w:t>
      </w:r>
      <w:r w:rsidR="00B935CA">
        <w:t xml:space="preserve"> fold</w:t>
      </w:r>
      <w:r>
        <w:t>),</w:t>
      </w:r>
      <w:r w:rsidRPr="00813C78">
        <w:t xml:space="preserve"> </w:t>
      </w:r>
      <w:r>
        <w:t>despite exposure differing markedly according to patient group.</w:t>
      </w:r>
    </w:p>
    <w:p w14:paraId="31C96A38" w14:textId="77777777" w:rsidR="00E8259E" w:rsidRPr="00E8259E" w:rsidRDefault="00E8259E" w:rsidP="00A42187">
      <w:pPr>
        <w:pStyle w:val="TableTitle"/>
        <w:pageBreakBefore/>
      </w:pPr>
      <w:r w:rsidRPr="00E8259E">
        <w:lastRenderedPageBreak/>
        <w:t xml:space="preserve">Table </w:t>
      </w:r>
      <w:r w:rsidR="004A1DEE">
        <w:t>2:</w:t>
      </w:r>
      <w:r w:rsidRPr="00E8259E">
        <w:t xml:space="preserve"> Relative exposure in </w:t>
      </w:r>
      <w:r w:rsidR="00C93FCF">
        <w:t>repeat dose</w:t>
      </w:r>
      <w:r w:rsidRPr="00E8259E">
        <w:t xml:space="preserve"> toxicity studies</w:t>
      </w:r>
    </w:p>
    <w:tbl>
      <w:tblPr>
        <w:tblStyle w:val="TableTGAblue"/>
        <w:tblW w:w="8623" w:type="dxa"/>
        <w:tblLayout w:type="fixed"/>
        <w:tblLook w:val="01E0" w:firstRow="1" w:lastRow="1" w:firstColumn="1" w:lastColumn="1" w:noHBand="0" w:noVBand="0"/>
      </w:tblPr>
      <w:tblGrid>
        <w:gridCol w:w="1526"/>
        <w:gridCol w:w="1417"/>
        <w:gridCol w:w="993"/>
        <w:gridCol w:w="975"/>
        <w:gridCol w:w="1009"/>
        <w:gridCol w:w="931"/>
        <w:gridCol w:w="928"/>
        <w:gridCol w:w="844"/>
      </w:tblGrid>
      <w:tr w:rsidR="006506BE" w:rsidRPr="00B266A2" w14:paraId="28F92443" w14:textId="77777777" w:rsidTr="00B266A2">
        <w:trPr>
          <w:cnfStyle w:val="100000000000" w:firstRow="1" w:lastRow="0" w:firstColumn="0" w:lastColumn="0" w:oddVBand="0" w:evenVBand="0" w:oddHBand="0" w:evenHBand="0" w:firstRowFirstColumn="0" w:firstRowLastColumn="0" w:lastRowFirstColumn="0" w:lastRowLastColumn="0"/>
          <w:trHeight w:val="322"/>
        </w:trPr>
        <w:tc>
          <w:tcPr>
            <w:tcW w:w="1526" w:type="dxa"/>
            <w:vMerge w:val="restart"/>
            <w:tcBorders>
              <w:right w:val="single" w:sz="8" w:space="0" w:color="auto"/>
            </w:tcBorders>
          </w:tcPr>
          <w:p w14:paraId="16FCAC68" w14:textId="77777777" w:rsidR="00E8259E" w:rsidRPr="00B266A2" w:rsidRDefault="00E8259E" w:rsidP="00B266A2">
            <w:pPr>
              <w:ind w:left="0"/>
              <w:rPr>
                <w:sz w:val="20"/>
                <w:szCs w:val="20"/>
              </w:rPr>
            </w:pPr>
            <w:r w:rsidRPr="00B266A2">
              <w:rPr>
                <w:sz w:val="20"/>
                <w:szCs w:val="20"/>
              </w:rPr>
              <w:t>Species</w:t>
            </w:r>
          </w:p>
        </w:tc>
        <w:tc>
          <w:tcPr>
            <w:tcW w:w="1417" w:type="dxa"/>
            <w:vMerge w:val="restart"/>
            <w:tcBorders>
              <w:left w:val="single" w:sz="8" w:space="0" w:color="auto"/>
              <w:right w:val="single" w:sz="8" w:space="0" w:color="auto"/>
            </w:tcBorders>
          </w:tcPr>
          <w:p w14:paraId="766EBEE3" w14:textId="08F1AC07" w:rsidR="00E8259E" w:rsidRPr="00B266A2" w:rsidRDefault="00663236" w:rsidP="00B266A2">
            <w:pPr>
              <w:ind w:left="34"/>
              <w:rPr>
                <w:sz w:val="20"/>
                <w:szCs w:val="20"/>
              </w:rPr>
            </w:pPr>
            <w:r w:rsidRPr="00B266A2">
              <w:rPr>
                <w:sz w:val="20"/>
                <w:szCs w:val="20"/>
              </w:rPr>
              <w:t xml:space="preserve">Study duration/type </w:t>
            </w:r>
            <w:r w:rsidR="00E8259E" w:rsidRPr="00B266A2">
              <w:rPr>
                <w:sz w:val="20"/>
                <w:szCs w:val="20"/>
              </w:rPr>
              <w:t xml:space="preserve">[Study </w:t>
            </w:r>
            <w:r w:rsidR="00836ABC" w:rsidRPr="00B266A2">
              <w:rPr>
                <w:sz w:val="20"/>
                <w:szCs w:val="20"/>
              </w:rPr>
              <w:t>ID</w:t>
            </w:r>
            <w:r w:rsidR="00E8259E" w:rsidRPr="00B266A2">
              <w:rPr>
                <w:sz w:val="20"/>
                <w:szCs w:val="20"/>
              </w:rPr>
              <w:t>]</w:t>
            </w:r>
          </w:p>
        </w:tc>
        <w:tc>
          <w:tcPr>
            <w:tcW w:w="993" w:type="dxa"/>
            <w:vMerge w:val="restart"/>
            <w:tcBorders>
              <w:left w:val="single" w:sz="8" w:space="0" w:color="auto"/>
              <w:right w:val="single" w:sz="8" w:space="0" w:color="auto"/>
            </w:tcBorders>
          </w:tcPr>
          <w:p w14:paraId="119DF1A5" w14:textId="77777777" w:rsidR="00E8259E" w:rsidRPr="00B266A2" w:rsidRDefault="00663236" w:rsidP="00B266A2">
            <w:pPr>
              <w:ind w:left="34"/>
              <w:rPr>
                <w:sz w:val="20"/>
                <w:szCs w:val="20"/>
              </w:rPr>
            </w:pPr>
            <w:r w:rsidRPr="00B266A2">
              <w:rPr>
                <w:sz w:val="20"/>
                <w:szCs w:val="20"/>
              </w:rPr>
              <w:t xml:space="preserve">Dose </w:t>
            </w:r>
            <w:r w:rsidR="00E8259E" w:rsidRPr="00B266A2">
              <w:rPr>
                <w:sz w:val="20"/>
                <w:szCs w:val="20"/>
              </w:rPr>
              <w:t>(mg/kg)</w:t>
            </w:r>
          </w:p>
        </w:tc>
        <w:tc>
          <w:tcPr>
            <w:tcW w:w="975" w:type="dxa"/>
            <w:vMerge w:val="restart"/>
            <w:tcBorders>
              <w:left w:val="single" w:sz="8" w:space="0" w:color="auto"/>
              <w:right w:val="single" w:sz="8" w:space="0" w:color="auto"/>
            </w:tcBorders>
          </w:tcPr>
          <w:p w14:paraId="734BFF0F" w14:textId="77777777" w:rsidR="00E8259E" w:rsidRPr="00B266A2" w:rsidRDefault="00E8259E" w:rsidP="00B266A2">
            <w:pPr>
              <w:ind w:left="33"/>
              <w:rPr>
                <w:sz w:val="20"/>
                <w:szCs w:val="20"/>
              </w:rPr>
            </w:pPr>
            <w:r w:rsidRPr="00B266A2">
              <w:rPr>
                <w:sz w:val="20"/>
                <w:szCs w:val="20"/>
              </w:rPr>
              <w:t>Dosing freq. (/</w:t>
            </w:r>
            <w:proofErr w:type="spellStart"/>
            <w:r w:rsidRPr="00B266A2">
              <w:rPr>
                <w:sz w:val="20"/>
                <w:szCs w:val="20"/>
              </w:rPr>
              <w:t>ftn</w:t>
            </w:r>
            <w:proofErr w:type="spellEnd"/>
            <w:r w:rsidRPr="00B266A2">
              <w:rPr>
                <w:sz w:val="20"/>
                <w:szCs w:val="20"/>
              </w:rPr>
              <w:t>)</w:t>
            </w:r>
          </w:p>
        </w:tc>
        <w:tc>
          <w:tcPr>
            <w:tcW w:w="1009" w:type="dxa"/>
            <w:vMerge w:val="restart"/>
            <w:tcBorders>
              <w:left w:val="single" w:sz="8" w:space="0" w:color="auto"/>
              <w:right w:val="single" w:sz="8" w:space="0" w:color="auto"/>
            </w:tcBorders>
          </w:tcPr>
          <w:p w14:paraId="4584E486" w14:textId="77777777" w:rsidR="00E8259E" w:rsidRPr="00B266A2" w:rsidRDefault="00663236" w:rsidP="00B266A2">
            <w:pPr>
              <w:ind w:left="51"/>
              <w:rPr>
                <w:sz w:val="20"/>
                <w:szCs w:val="20"/>
              </w:rPr>
            </w:pPr>
            <w:r w:rsidRPr="00B266A2">
              <w:rPr>
                <w:sz w:val="20"/>
                <w:szCs w:val="20"/>
              </w:rPr>
              <w:t>AUC</w:t>
            </w:r>
            <w:r w:rsidRPr="00B266A2">
              <w:rPr>
                <w:sz w:val="20"/>
                <w:szCs w:val="20"/>
                <w:vertAlign w:val="superscript"/>
              </w:rPr>
              <w:t>^</w:t>
            </w:r>
            <w:r w:rsidRPr="00B266A2">
              <w:rPr>
                <w:sz w:val="20"/>
                <w:szCs w:val="20"/>
              </w:rPr>
              <w:t xml:space="preserve"> </w:t>
            </w:r>
            <w:r w:rsidR="00E8259E" w:rsidRPr="00B266A2">
              <w:rPr>
                <w:sz w:val="20"/>
                <w:szCs w:val="20"/>
              </w:rPr>
              <w:t>(</w:t>
            </w:r>
            <w:proofErr w:type="spellStart"/>
            <w:r w:rsidR="00E8259E" w:rsidRPr="00B266A2">
              <w:rPr>
                <w:sz w:val="20"/>
                <w:szCs w:val="20"/>
              </w:rPr>
              <w:t>μg∙h</w:t>
            </w:r>
            <w:proofErr w:type="spellEnd"/>
            <w:r w:rsidR="00E8259E" w:rsidRPr="00B266A2">
              <w:rPr>
                <w:sz w:val="20"/>
                <w:szCs w:val="20"/>
              </w:rPr>
              <w:t>/mL)</w:t>
            </w:r>
          </w:p>
        </w:tc>
        <w:tc>
          <w:tcPr>
            <w:tcW w:w="2703" w:type="dxa"/>
            <w:gridSpan w:val="3"/>
            <w:tcBorders>
              <w:left w:val="single" w:sz="8" w:space="0" w:color="auto"/>
            </w:tcBorders>
          </w:tcPr>
          <w:p w14:paraId="163FCF1C" w14:textId="77777777" w:rsidR="00E8259E" w:rsidRPr="00B266A2" w:rsidRDefault="00E8259E" w:rsidP="00B266A2">
            <w:pPr>
              <w:ind w:left="4"/>
              <w:rPr>
                <w:sz w:val="20"/>
                <w:szCs w:val="20"/>
              </w:rPr>
            </w:pPr>
            <w:r w:rsidRPr="00B266A2">
              <w:rPr>
                <w:sz w:val="20"/>
                <w:szCs w:val="20"/>
              </w:rPr>
              <w:t>Exposure ratio</w:t>
            </w:r>
            <w:r w:rsidR="004A1DEE" w:rsidRPr="00B266A2">
              <w:rPr>
                <w:sz w:val="20"/>
                <w:szCs w:val="20"/>
                <w:vertAlign w:val="superscript"/>
              </w:rPr>
              <w:t>#</w:t>
            </w:r>
          </w:p>
        </w:tc>
      </w:tr>
      <w:tr w:rsidR="00B266A2" w:rsidRPr="00B266A2" w14:paraId="4E18BB92" w14:textId="77777777" w:rsidTr="00B266A2">
        <w:trPr>
          <w:cnfStyle w:val="100000000000" w:firstRow="1" w:lastRow="0" w:firstColumn="0" w:lastColumn="0" w:oddVBand="0" w:evenVBand="0" w:oddHBand="0" w:evenHBand="0" w:firstRowFirstColumn="0" w:firstRowLastColumn="0" w:lastRowFirstColumn="0" w:lastRowLastColumn="0"/>
          <w:trHeight w:val="322"/>
        </w:trPr>
        <w:tc>
          <w:tcPr>
            <w:tcW w:w="1526" w:type="dxa"/>
            <w:vMerge/>
            <w:tcBorders>
              <w:right w:val="single" w:sz="8" w:space="0" w:color="auto"/>
            </w:tcBorders>
          </w:tcPr>
          <w:p w14:paraId="78F0F5EE" w14:textId="77777777" w:rsidR="00E8259E" w:rsidRPr="00B266A2" w:rsidRDefault="00E8259E" w:rsidP="00B266A2">
            <w:pPr>
              <w:ind w:left="0"/>
              <w:rPr>
                <w:sz w:val="20"/>
                <w:szCs w:val="20"/>
              </w:rPr>
            </w:pPr>
          </w:p>
        </w:tc>
        <w:tc>
          <w:tcPr>
            <w:tcW w:w="1417" w:type="dxa"/>
            <w:vMerge/>
            <w:tcBorders>
              <w:left w:val="single" w:sz="8" w:space="0" w:color="auto"/>
              <w:right w:val="single" w:sz="8" w:space="0" w:color="auto"/>
            </w:tcBorders>
          </w:tcPr>
          <w:p w14:paraId="4F179243" w14:textId="77777777" w:rsidR="00E8259E" w:rsidRPr="00B266A2" w:rsidRDefault="00E8259E" w:rsidP="00B266A2">
            <w:pPr>
              <w:ind w:left="34"/>
              <w:rPr>
                <w:sz w:val="20"/>
                <w:szCs w:val="20"/>
              </w:rPr>
            </w:pPr>
          </w:p>
        </w:tc>
        <w:tc>
          <w:tcPr>
            <w:tcW w:w="993" w:type="dxa"/>
            <w:vMerge/>
            <w:tcBorders>
              <w:left w:val="single" w:sz="8" w:space="0" w:color="auto"/>
              <w:right w:val="single" w:sz="8" w:space="0" w:color="auto"/>
            </w:tcBorders>
          </w:tcPr>
          <w:p w14:paraId="5652F645" w14:textId="77777777" w:rsidR="00E8259E" w:rsidRPr="00B266A2" w:rsidRDefault="00E8259E" w:rsidP="00B266A2">
            <w:pPr>
              <w:ind w:left="34"/>
              <w:rPr>
                <w:sz w:val="20"/>
                <w:szCs w:val="20"/>
              </w:rPr>
            </w:pPr>
          </w:p>
        </w:tc>
        <w:tc>
          <w:tcPr>
            <w:tcW w:w="975" w:type="dxa"/>
            <w:vMerge/>
            <w:tcBorders>
              <w:left w:val="single" w:sz="8" w:space="0" w:color="auto"/>
              <w:right w:val="single" w:sz="8" w:space="0" w:color="auto"/>
            </w:tcBorders>
          </w:tcPr>
          <w:p w14:paraId="47BE9E6A" w14:textId="77777777" w:rsidR="00E8259E" w:rsidRPr="00B266A2" w:rsidRDefault="00E8259E" w:rsidP="00B266A2">
            <w:pPr>
              <w:ind w:left="33"/>
              <w:rPr>
                <w:sz w:val="20"/>
                <w:szCs w:val="20"/>
              </w:rPr>
            </w:pPr>
          </w:p>
        </w:tc>
        <w:tc>
          <w:tcPr>
            <w:tcW w:w="1009" w:type="dxa"/>
            <w:vMerge/>
            <w:tcBorders>
              <w:left w:val="single" w:sz="8" w:space="0" w:color="auto"/>
              <w:right w:val="single" w:sz="8" w:space="0" w:color="auto"/>
            </w:tcBorders>
          </w:tcPr>
          <w:p w14:paraId="76D0312E" w14:textId="77777777" w:rsidR="00E8259E" w:rsidRPr="00B266A2" w:rsidRDefault="00E8259E" w:rsidP="00B266A2">
            <w:pPr>
              <w:ind w:left="51"/>
              <w:rPr>
                <w:sz w:val="20"/>
                <w:szCs w:val="20"/>
              </w:rPr>
            </w:pPr>
          </w:p>
        </w:tc>
        <w:tc>
          <w:tcPr>
            <w:tcW w:w="931" w:type="dxa"/>
            <w:tcBorders>
              <w:left w:val="single" w:sz="8" w:space="0" w:color="auto"/>
            </w:tcBorders>
          </w:tcPr>
          <w:p w14:paraId="2BFBA866" w14:textId="77777777" w:rsidR="00E8259E" w:rsidRPr="00B266A2" w:rsidRDefault="00E8259E" w:rsidP="00B266A2">
            <w:pPr>
              <w:ind w:left="4"/>
              <w:rPr>
                <w:sz w:val="20"/>
                <w:szCs w:val="20"/>
              </w:rPr>
            </w:pPr>
            <w:r w:rsidRPr="00B266A2">
              <w:rPr>
                <w:sz w:val="20"/>
                <w:szCs w:val="20"/>
              </w:rPr>
              <w:t>Adults</w:t>
            </w:r>
          </w:p>
        </w:tc>
        <w:tc>
          <w:tcPr>
            <w:tcW w:w="928" w:type="dxa"/>
          </w:tcPr>
          <w:p w14:paraId="7078201A" w14:textId="0CA8CF01" w:rsidR="00E8259E" w:rsidRPr="00B266A2" w:rsidRDefault="00E8259E" w:rsidP="00B266A2">
            <w:pPr>
              <w:ind w:left="4"/>
              <w:rPr>
                <w:sz w:val="20"/>
                <w:szCs w:val="20"/>
              </w:rPr>
            </w:pPr>
            <w:r w:rsidRPr="00B266A2">
              <w:rPr>
                <w:sz w:val="20"/>
                <w:szCs w:val="20"/>
              </w:rPr>
              <w:t>Child</w:t>
            </w:r>
            <w:r w:rsidR="0029422C" w:rsidRPr="00B266A2">
              <w:rPr>
                <w:sz w:val="20"/>
                <w:szCs w:val="20"/>
              </w:rPr>
              <w:t>-</w:t>
            </w:r>
            <w:proofErr w:type="spellStart"/>
            <w:r w:rsidRPr="00B266A2">
              <w:rPr>
                <w:sz w:val="20"/>
                <w:szCs w:val="20"/>
              </w:rPr>
              <w:t>ren</w:t>
            </w:r>
            <w:proofErr w:type="spellEnd"/>
          </w:p>
        </w:tc>
        <w:tc>
          <w:tcPr>
            <w:tcW w:w="844" w:type="dxa"/>
          </w:tcPr>
          <w:p w14:paraId="4B74777C" w14:textId="77777777" w:rsidR="00E8259E" w:rsidRPr="00B266A2" w:rsidRDefault="00E8259E" w:rsidP="00B266A2">
            <w:pPr>
              <w:ind w:left="4"/>
              <w:rPr>
                <w:sz w:val="20"/>
                <w:szCs w:val="20"/>
              </w:rPr>
            </w:pPr>
            <w:r w:rsidRPr="00B266A2">
              <w:rPr>
                <w:sz w:val="20"/>
                <w:szCs w:val="20"/>
              </w:rPr>
              <w:t>Infants</w:t>
            </w:r>
          </w:p>
        </w:tc>
      </w:tr>
      <w:tr w:rsidR="006506BE" w:rsidRPr="00B266A2" w14:paraId="45A990B6" w14:textId="77777777" w:rsidTr="00B266A2">
        <w:trPr>
          <w:trHeight w:val="195"/>
        </w:trPr>
        <w:tc>
          <w:tcPr>
            <w:tcW w:w="1526" w:type="dxa"/>
            <w:vMerge w:val="restart"/>
          </w:tcPr>
          <w:p w14:paraId="25E09C9E" w14:textId="77777777" w:rsidR="00E8259E" w:rsidRPr="00B266A2" w:rsidRDefault="00E8259E" w:rsidP="00B266A2">
            <w:pPr>
              <w:ind w:left="0"/>
              <w:rPr>
                <w:sz w:val="20"/>
                <w:szCs w:val="20"/>
              </w:rPr>
            </w:pPr>
            <w:r w:rsidRPr="00B266A2">
              <w:rPr>
                <w:sz w:val="20"/>
                <w:szCs w:val="20"/>
              </w:rPr>
              <w:t>Rat</w:t>
            </w:r>
            <w:r w:rsidR="00663236" w:rsidRPr="00B266A2">
              <w:rPr>
                <w:sz w:val="20"/>
                <w:szCs w:val="20"/>
              </w:rPr>
              <w:t xml:space="preserve"> </w:t>
            </w:r>
            <w:r w:rsidRPr="00B266A2">
              <w:rPr>
                <w:sz w:val="20"/>
                <w:szCs w:val="20"/>
              </w:rPr>
              <w:t>(SD)</w:t>
            </w:r>
          </w:p>
        </w:tc>
        <w:tc>
          <w:tcPr>
            <w:tcW w:w="1417" w:type="dxa"/>
            <w:vMerge w:val="restart"/>
          </w:tcPr>
          <w:p w14:paraId="34E5254D" w14:textId="77777777" w:rsidR="00E8259E" w:rsidRPr="00B266A2" w:rsidRDefault="00E8259E" w:rsidP="00B266A2">
            <w:pPr>
              <w:ind w:left="34"/>
              <w:rPr>
                <w:sz w:val="20"/>
                <w:szCs w:val="20"/>
              </w:rPr>
            </w:pPr>
            <w:r w:rsidRPr="00B266A2">
              <w:rPr>
                <w:sz w:val="20"/>
                <w:szCs w:val="20"/>
              </w:rPr>
              <w:t>4 weeks</w:t>
            </w:r>
            <w:r w:rsidR="00663236" w:rsidRPr="00B266A2">
              <w:rPr>
                <w:sz w:val="20"/>
                <w:szCs w:val="20"/>
              </w:rPr>
              <w:t xml:space="preserve"> </w:t>
            </w:r>
            <w:r w:rsidRPr="00B266A2">
              <w:rPr>
                <w:sz w:val="20"/>
                <w:szCs w:val="20"/>
              </w:rPr>
              <w:t>[Study SBC102-T002]</w:t>
            </w:r>
          </w:p>
        </w:tc>
        <w:tc>
          <w:tcPr>
            <w:tcW w:w="993" w:type="dxa"/>
          </w:tcPr>
          <w:p w14:paraId="55D4D4E3" w14:textId="77777777" w:rsidR="00E8259E" w:rsidRPr="00B266A2" w:rsidRDefault="00E8259E" w:rsidP="00B266A2">
            <w:pPr>
              <w:ind w:left="34"/>
              <w:rPr>
                <w:sz w:val="20"/>
                <w:szCs w:val="20"/>
              </w:rPr>
            </w:pPr>
            <w:r w:rsidRPr="00B266A2">
              <w:rPr>
                <w:sz w:val="20"/>
                <w:szCs w:val="20"/>
              </w:rPr>
              <w:t>5</w:t>
            </w:r>
          </w:p>
        </w:tc>
        <w:tc>
          <w:tcPr>
            <w:tcW w:w="975" w:type="dxa"/>
            <w:vMerge w:val="restart"/>
          </w:tcPr>
          <w:p w14:paraId="60F7E11A" w14:textId="77777777" w:rsidR="00E8259E" w:rsidRPr="00B266A2" w:rsidRDefault="00E8259E" w:rsidP="00B266A2">
            <w:pPr>
              <w:ind w:left="33"/>
              <w:rPr>
                <w:sz w:val="20"/>
                <w:szCs w:val="20"/>
              </w:rPr>
            </w:pPr>
            <w:r w:rsidRPr="00B266A2">
              <w:rPr>
                <w:sz w:val="20"/>
                <w:szCs w:val="20"/>
              </w:rPr>
              <w:t>2</w:t>
            </w:r>
          </w:p>
        </w:tc>
        <w:tc>
          <w:tcPr>
            <w:tcW w:w="1009" w:type="dxa"/>
          </w:tcPr>
          <w:p w14:paraId="20839E14" w14:textId="77777777" w:rsidR="00E8259E" w:rsidRPr="00B266A2" w:rsidRDefault="00E8259E" w:rsidP="00B266A2">
            <w:pPr>
              <w:ind w:left="51"/>
              <w:rPr>
                <w:sz w:val="20"/>
                <w:szCs w:val="20"/>
              </w:rPr>
            </w:pPr>
            <w:r w:rsidRPr="00B266A2">
              <w:rPr>
                <w:sz w:val="20"/>
                <w:szCs w:val="20"/>
              </w:rPr>
              <w:t>2.4</w:t>
            </w:r>
          </w:p>
        </w:tc>
        <w:tc>
          <w:tcPr>
            <w:tcW w:w="931" w:type="dxa"/>
          </w:tcPr>
          <w:p w14:paraId="745433DD" w14:textId="77777777" w:rsidR="00E8259E" w:rsidRPr="00B266A2" w:rsidRDefault="00E8259E" w:rsidP="00B266A2">
            <w:pPr>
              <w:ind w:left="4"/>
              <w:rPr>
                <w:sz w:val="20"/>
                <w:szCs w:val="20"/>
              </w:rPr>
            </w:pPr>
            <w:r w:rsidRPr="00B266A2">
              <w:rPr>
                <w:sz w:val="20"/>
                <w:szCs w:val="20"/>
              </w:rPr>
              <w:t>2.5</w:t>
            </w:r>
          </w:p>
        </w:tc>
        <w:tc>
          <w:tcPr>
            <w:tcW w:w="928" w:type="dxa"/>
          </w:tcPr>
          <w:p w14:paraId="5D5693E1" w14:textId="77777777" w:rsidR="00E8259E" w:rsidRPr="00B266A2" w:rsidRDefault="00E8259E" w:rsidP="00B266A2">
            <w:pPr>
              <w:ind w:left="4"/>
              <w:rPr>
                <w:sz w:val="20"/>
                <w:szCs w:val="20"/>
              </w:rPr>
            </w:pPr>
            <w:r w:rsidRPr="00B266A2">
              <w:rPr>
                <w:sz w:val="20"/>
                <w:szCs w:val="20"/>
              </w:rPr>
              <w:t>5.3</w:t>
            </w:r>
          </w:p>
        </w:tc>
        <w:tc>
          <w:tcPr>
            <w:tcW w:w="844" w:type="dxa"/>
          </w:tcPr>
          <w:p w14:paraId="5D73FC79" w14:textId="77777777" w:rsidR="00E8259E" w:rsidRPr="00B266A2" w:rsidRDefault="00E8259E" w:rsidP="00B266A2">
            <w:pPr>
              <w:ind w:left="4"/>
              <w:rPr>
                <w:sz w:val="20"/>
                <w:szCs w:val="20"/>
              </w:rPr>
            </w:pPr>
            <w:r w:rsidRPr="00B266A2">
              <w:rPr>
                <w:sz w:val="20"/>
                <w:szCs w:val="20"/>
              </w:rPr>
              <w:t>2.0</w:t>
            </w:r>
          </w:p>
        </w:tc>
      </w:tr>
      <w:tr w:rsidR="006506BE" w:rsidRPr="00B266A2" w14:paraId="2076CFDC" w14:textId="77777777" w:rsidTr="00B266A2">
        <w:trPr>
          <w:trHeight w:val="195"/>
        </w:trPr>
        <w:tc>
          <w:tcPr>
            <w:tcW w:w="1526" w:type="dxa"/>
            <w:vMerge/>
          </w:tcPr>
          <w:p w14:paraId="15217F65" w14:textId="77777777" w:rsidR="00E8259E" w:rsidRPr="00B266A2" w:rsidRDefault="00E8259E" w:rsidP="00B266A2">
            <w:pPr>
              <w:ind w:left="0"/>
              <w:rPr>
                <w:sz w:val="20"/>
                <w:szCs w:val="20"/>
              </w:rPr>
            </w:pPr>
          </w:p>
        </w:tc>
        <w:tc>
          <w:tcPr>
            <w:tcW w:w="1417" w:type="dxa"/>
            <w:vMerge/>
          </w:tcPr>
          <w:p w14:paraId="41210109" w14:textId="77777777" w:rsidR="00E8259E" w:rsidRPr="00B266A2" w:rsidRDefault="00E8259E" w:rsidP="00B266A2">
            <w:pPr>
              <w:ind w:left="34"/>
              <w:rPr>
                <w:sz w:val="20"/>
                <w:szCs w:val="20"/>
              </w:rPr>
            </w:pPr>
          </w:p>
        </w:tc>
        <w:tc>
          <w:tcPr>
            <w:tcW w:w="993" w:type="dxa"/>
          </w:tcPr>
          <w:p w14:paraId="2A318AB7" w14:textId="77777777" w:rsidR="00E8259E" w:rsidRPr="00B266A2" w:rsidRDefault="00E8259E" w:rsidP="00B266A2">
            <w:pPr>
              <w:ind w:left="34"/>
              <w:rPr>
                <w:sz w:val="20"/>
                <w:szCs w:val="20"/>
              </w:rPr>
            </w:pPr>
            <w:r w:rsidRPr="00B266A2">
              <w:rPr>
                <w:sz w:val="20"/>
                <w:szCs w:val="20"/>
              </w:rPr>
              <w:t>20</w:t>
            </w:r>
          </w:p>
        </w:tc>
        <w:tc>
          <w:tcPr>
            <w:tcW w:w="975" w:type="dxa"/>
            <w:vMerge/>
          </w:tcPr>
          <w:p w14:paraId="49A35D28" w14:textId="77777777" w:rsidR="00E8259E" w:rsidRPr="00B266A2" w:rsidRDefault="00E8259E" w:rsidP="00B266A2">
            <w:pPr>
              <w:ind w:left="33"/>
              <w:rPr>
                <w:sz w:val="20"/>
                <w:szCs w:val="20"/>
              </w:rPr>
            </w:pPr>
          </w:p>
        </w:tc>
        <w:tc>
          <w:tcPr>
            <w:tcW w:w="1009" w:type="dxa"/>
          </w:tcPr>
          <w:p w14:paraId="1B3996BC" w14:textId="77777777" w:rsidR="00E8259E" w:rsidRPr="00B266A2" w:rsidRDefault="00E8259E" w:rsidP="00B266A2">
            <w:pPr>
              <w:ind w:left="51"/>
              <w:rPr>
                <w:sz w:val="20"/>
                <w:szCs w:val="20"/>
              </w:rPr>
            </w:pPr>
            <w:r w:rsidRPr="00B266A2">
              <w:rPr>
                <w:sz w:val="20"/>
                <w:szCs w:val="20"/>
              </w:rPr>
              <w:t>42</w:t>
            </w:r>
          </w:p>
        </w:tc>
        <w:tc>
          <w:tcPr>
            <w:tcW w:w="931" w:type="dxa"/>
          </w:tcPr>
          <w:p w14:paraId="0B585D8D" w14:textId="77777777" w:rsidR="00E8259E" w:rsidRPr="00B266A2" w:rsidRDefault="00E8259E" w:rsidP="00B266A2">
            <w:pPr>
              <w:ind w:left="4"/>
              <w:rPr>
                <w:sz w:val="20"/>
                <w:szCs w:val="20"/>
              </w:rPr>
            </w:pPr>
            <w:r w:rsidRPr="00B266A2">
              <w:rPr>
                <w:sz w:val="20"/>
                <w:szCs w:val="20"/>
              </w:rPr>
              <w:t>44</w:t>
            </w:r>
          </w:p>
        </w:tc>
        <w:tc>
          <w:tcPr>
            <w:tcW w:w="928" w:type="dxa"/>
          </w:tcPr>
          <w:p w14:paraId="5809A6FD" w14:textId="77777777" w:rsidR="00E8259E" w:rsidRPr="00B266A2" w:rsidRDefault="00E8259E" w:rsidP="00B266A2">
            <w:pPr>
              <w:ind w:left="4"/>
              <w:rPr>
                <w:sz w:val="20"/>
                <w:szCs w:val="20"/>
              </w:rPr>
            </w:pPr>
            <w:r w:rsidRPr="00B266A2">
              <w:rPr>
                <w:sz w:val="20"/>
                <w:szCs w:val="20"/>
              </w:rPr>
              <w:t>93</w:t>
            </w:r>
          </w:p>
        </w:tc>
        <w:tc>
          <w:tcPr>
            <w:tcW w:w="844" w:type="dxa"/>
          </w:tcPr>
          <w:p w14:paraId="05581DAB" w14:textId="77777777" w:rsidR="00E8259E" w:rsidRPr="00B266A2" w:rsidRDefault="00E8259E" w:rsidP="00B266A2">
            <w:pPr>
              <w:ind w:left="4"/>
              <w:rPr>
                <w:sz w:val="20"/>
                <w:szCs w:val="20"/>
              </w:rPr>
            </w:pPr>
            <w:r w:rsidRPr="00B266A2">
              <w:rPr>
                <w:sz w:val="20"/>
                <w:szCs w:val="20"/>
              </w:rPr>
              <w:t>35</w:t>
            </w:r>
          </w:p>
        </w:tc>
      </w:tr>
      <w:tr w:rsidR="006506BE" w:rsidRPr="00B266A2" w14:paraId="5A4CA060" w14:textId="77777777" w:rsidTr="00B266A2">
        <w:trPr>
          <w:trHeight w:val="195"/>
        </w:trPr>
        <w:tc>
          <w:tcPr>
            <w:tcW w:w="1526" w:type="dxa"/>
            <w:vMerge/>
          </w:tcPr>
          <w:p w14:paraId="0911013E" w14:textId="77777777" w:rsidR="00E8259E" w:rsidRPr="00B266A2" w:rsidRDefault="00E8259E" w:rsidP="00B266A2">
            <w:pPr>
              <w:ind w:left="0"/>
              <w:rPr>
                <w:sz w:val="20"/>
                <w:szCs w:val="20"/>
              </w:rPr>
            </w:pPr>
          </w:p>
        </w:tc>
        <w:tc>
          <w:tcPr>
            <w:tcW w:w="1417" w:type="dxa"/>
            <w:vMerge/>
          </w:tcPr>
          <w:p w14:paraId="6C696496" w14:textId="77777777" w:rsidR="00E8259E" w:rsidRPr="00B266A2" w:rsidRDefault="00E8259E" w:rsidP="00B266A2">
            <w:pPr>
              <w:ind w:left="34"/>
              <w:rPr>
                <w:sz w:val="20"/>
                <w:szCs w:val="20"/>
              </w:rPr>
            </w:pPr>
          </w:p>
        </w:tc>
        <w:tc>
          <w:tcPr>
            <w:tcW w:w="993" w:type="dxa"/>
          </w:tcPr>
          <w:p w14:paraId="2244D01F" w14:textId="77777777" w:rsidR="00E8259E" w:rsidRPr="00B266A2" w:rsidRDefault="00E8259E" w:rsidP="00B266A2">
            <w:pPr>
              <w:ind w:left="34"/>
              <w:rPr>
                <w:sz w:val="20"/>
                <w:szCs w:val="20"/>
              </w:rPr>
            </w:pPr>
            <w:r w:rsidRPr="00B266A2">
              <w:rPr>
                <w:sz w:val="20"/>
                <w:szCs w:val="20"/>
              </w:rPr>
              <w:t>50</w:t>
            </w:r>
          </w:p>
        </w:tc>
        <w:tc>
          <w:tcPr>
            <w:tcW w:w="975" w:type="dxa"/>
            <w:vMerge/>
          </w:tcPr>
          <w:p w14:paraId="44F0F207" w14:textId="77777777" w:rsidR="00E8259E" w:rsidRPr="00B266A2" w:rsidRDefault="00E8259E" w:rsidP="00B266A2">
            <w:pPr>
              <w:ind w:left="33"/>
              <w:rPr>
                <w:sz w:val="20"/>
                <w:szCs w:val="20"/>
              </w:rPr>
            </w:pPr>
          </w:p>
        </w:tc>
        <w:tc>
          <w:tcPr>
            <w:tcW w:w="1009" w:type="dxa"/>
          </w:tcPr>
          <w:p w14:paraId="6A81DC4B" w14:textId="77777777" w:rsidR="00E8259E" w:rsidRPr="00B266A2" w:rsidRDefault="00E8259E" w:rsidP="00B266A2">
            <w:pPr>
              <w:ind w:left="51"/>
              <w:rPr>
                <w:sz w:val="20"/>
                <w:szCs w:val="20"/>
              </w:rPr>
            </w:pPr>
            <w:r w:rsidRPr="00B266A2">
              <w:rPr>
                <w:sz w:val="20"/>
                <w:szCs w:val="20"/>
              </w:rPr>
              <w:t>370</w:t>
            </w:r>
          </w:p>
        </w:tc>
        <w:tc>
          <w:tcPr>
            <w:tcW w:w="931" w:type="dxa"/>
          </w:tcPr>
          <w:p w14:paraId="12ED1CB7" w14:textId="77777777" w:rsidR="00E8259E" w:rsidRPr="00B266A2" w:rsidRDefault="00E8259E" w:rsidP="00B266A2">
            <w:pPr>
              <w:ind w:left="4"/>
              <w:rPr>
                <w:sz w:val="20"/>
                <w:szCs w:val="20"/>
              </w:rPr>
            </w:pPr>
            <w:r w:rsidRPr="00B266A2">
              <w:rPr>
                <w:sz w:val="20"/>
                <w:szCs w:val="20"/>
              </w:rPr>
              <w:t>390</w:t>
            </w:r>
          </w:p>
        </w:tc>
        <w:tc>
          <w:tcPr>
            <w:tcW w:w="928" w:type="dxa"/>
          </w:tcPr>
          <w:p w14:paraId="2D734870" w14:textId="77777777" w:rsidR="00E8259E" w:rsidRPr="00B266A2" w:rsidRDefault="00E8259E" w:rsidP="00B266A2">
            <w:pPr>
              <w:ind w:left="4"/>
              <w:rPr>
                <w:sz w:val="20"/>
                <w:szCs w:val="20"/>
              </w:rPr>
            </w:pPr>
            <w:r w:rsidRPr="00B266A2">
              <w:rPr>
                <w:sz w:val="20"/>
                <w:szCs w:val="20"/>
              </w:rPr>
              <w:t>822</w:t>
            </w:r>
          </w:p>
        </w:tc>
        <w:tc>
          <w:tcPr>
            <w:tcW w:w="844" w:type="dxa"/>
          </w:tcPr>
          <w:p w14:paraId="3AAEADC1" w14:textId="77777777" w:rsidR="00E8259E" w:rsidRPr="00B266A2" w:rsidRDefault="00E8259E" w:rsidP="00B266A2">
            <w:pPr>
              <w:ind w:left="4"/>
              <w:rPr>
                <w:sz w:val="20"/>
                <w:szCs w:val="20"/>
              </w:rPr>
            </w:pPr>
            <w:r w:rsidRPr="00B266A2">
              <w:rPr>
                <w:sz w:val="20"/>
                <w:szCs w:val="20"/>
              </w:rPr>
              <w:t>308</w:t>
            </w:r>
          </w:p>
        </w:tc>
      </w:tr>
      <w:tr w:rsidR="006506BE" w:rsidRPr="00B266A2" w14:paraId="4CB4FED9" w14:textId="77777777" w:rsidTr="00B266A2">
        <w:trPr>
          <w:trHeight w:val="195"/>
        </w:trPr>
        <w:tc>
          <w:tcPr>
            <w:tcW w:w="1526" w:type="dxa"/>
            <w:vMerge w:val="restart"/>
          </w:tcPr>
          <w:p w14:paraId="48B165DB" w14:textId="3A613414" w:rsidR="00E8259E" w:rsidRPr="00B266A2" w:rsidRDefault="00E8259E" w:rsidP="00B266A2">
            <w:pPr>
              <w:ind w:left="0"/>
              <w:rPr>
                <w:sz w:val="20"/>
                <w:szCs w:val="20"/>
              </w:rPr>
            </w:pPr>
            <w:r w:rsidRPr="00B266A2">
              <w:rPr>
                <w:sz w:val="20"/>
                <w:szCs w:val="20"/>
              </w:rPr>
              <w:t>Monkey</w:t>
            </w:r>
            <w:r w:rsidR="00663236" w:rsidRPr="00B266A2">
              <w:rPr>
                <w:sz w:val="20"/>
                <w:szCs w:val="20"/>
              </w:rPr>
              <w:t xml:space="preserve"> </w:t>
            </w:r>
            <w:r w:rsidRPr="00B266A2">
              <w:rPr>
                <w:sz w:val="20"/>
                <w:szCs w:val="20"/>
              </w:rPr>
              <w:t>(</w:t>
            </w:r>
            <w:r w:rsidR="00836ABC" w:rsidRPr="00B266A2">
              <w:rPr>
                <w:sz w:val="20"/>
                <w:szCs w:val="20"/>
              </w:rPr>
              <w:t>cynomolgus</w:t>
            </w:r>
            <w:r w:rsidRPr="00B266A2">
              <w:rPr>
                <w:sz w:val="20"/>
                <w:szCs w:val="20"/>
              </w:rPr>
              <w:t>)</w:t>
            </w:r>
          </w:p>
        </w:tc>
        <w:tc>
          <w:tcPr>
            <w:tcW w:w="1417" w:type="dxa"/>
            <w:vMerge w:val="restart"/>
          </w:tcPr>
          <w:p w14:paraId="589D5A60" w14:textId="77777777" w:rsidR="00E8259E" w:rsidRPr="00B266A2" w:rsidRDefault="00E8259E" w:rsidP="00B266A2">
            <w:pPr>
              <w:ind w:left="34"/>
              <w:rPr>
                <w:sz w:val="20"/>
                <w:szCs w:val="20"/>
              </w:rPr>
            </w:pPr>
            <w:r w:rsidRPr="00B266A2">
              <w:rPr>
                <w:sz w:val="20"/>
                <w:szCs w:val="20"/>
              </w:rPr>
              <w:t>4 weeks</w:t>
            </w:r>
            <w:r w:rsidR="00663236" w:rsidRPr="00B266A2">
              <w:rPr>
                <w:sz w:val="20"/>
                <w:szCs w:val="20"/>
              </w:rPr>
              <w:t xml:space="preserve"> </w:t>
            </w:r>
            <w:r w:rsidRPr="00B266A2">
              <w:rPr>
                <w:sz w:val="20"/>
                <w:szCs w:val="20"/>
              </w:rPr>
              <w:t>[Study SBC102-T001]</w:t>
            </w:r>
          </w:p>
        </w:tc>
        <w:tc>
          <w:tcPr>
            <w:tcW w:w="993" w:type="dxa"/>
          </w:tcPr>
          <w:p w14:paraId="27A0EA38" w14:textId="77777777" w:rsidR="00E8259E" w:rsidRPr="00B266A2" w:rsidRDefault="00E8259E" w:rsidP="00B266A2">
            <w:pPr>
              <w:ind w:left="34"/>
              <w:rPr>
                <w:sz w:val="20"/>
                <w:szCs w:val="20"/>
              </w:rPr>
            </w:pPr>
            <w:r w:rsidRPr="00B266A2">
              <w:rPr>
                <w:sz w:val="20"/>
                <w:szCs w:val="20"/>
              </w:rPr>
              <w:t>5</w:t>
            </w:r>
          </w:p>
        </w:tc>
        <w:tc>
          <w:tcPr>
            <w:tcW w:w="975" w:type="dxa"/>
            <w:vMerge w:val="restart"/>
          </w:tcPr>
          <w:p w14:paraId="63463BE9" w14:textId="77777777" w:rsidR="00E8259E" w:rsidRPr="00B266A2" w:rsidRDefault="00E8259E" w:rsidP="00B266A2">
            <w:pPr>
              <w:ind w:left="33"/>
              <w:rPr>
                <w:sz w:val="20"/>
                <w:szCs w:val="20"/>
              </w:rPr>
            </w:pPr>
            <w:r w:rsidRPr="00B266A2">
              <w:rPr>
                <w:sz w:val="20"/>
                <w:szCs w:val="20"/>
              </w:rPr>
              <w:t>2</w:t>
            </w:r>
          </w:p>
        </w:tc>
        <w:tc>
          <w:tcPr>
            <w:tcW w:w="1009" w:type="dxa"/>
          </w:tcPr>
          <w:p w14:paraId="1875441F" w14:textId="77777777" w:rsidR="00E8259E" w:rsidRPr="00B266A2" w:rsidRDefault="00E8259E" w:rsidP="00B266A2">
            <w:pPr>
              <w:ind w:left="51"/>
              <w:rPr>
                <w:sz w:val="20"/>
                <w:szCs w:val="20"/>
              </w:rPr>
            </w:pPr>
            <w:r w:rsidRPr="00B266A2">
              <w:rPr>
                <w:sz w:val="20"/>
                <w:szCs w:val="20"/>
              </w:rPr>
              <w:t>4.8</w:t>
            </w:r>
          </w:p>
        </w:tc>
        <w:tc>
          <w:tcPr>
            <w:tcW w:w="931" w:type="dxa"/>
          </w:tcPr>
          <w:p w14:paraId="65C31102" w14:textId="77777777" w:rsidR="00E8259E" w:rsidRPr="00B266A2" w:rsidRDefault="00E8259E" w:rsidP="00B266A2">
            <w:pPr>
              <w:ind w:left="4"/>
              <w:rPr>
                <w:sz w:val="20"/>
                <w:szCs w:val="20"/>
              </w:rPr>
            </w:pPr>
            <w:r w:rsidRPr="00B266A2">
              <w:rPr>
                <w:sz w:val="20"/>
                <w:szCs w:val="20"/>
              </w:rPr>
              <w:t>5.1</w:t>
            </w:r>
          </w:p>
        </w:tc>
        <w:tc>
          <w:tcPr>
            <w:tcW w:w="928" w:type="dxa"/>
          </w:tcPr>
          <w:p w14:paraId="077058F7" w14:textId="77777777" w:rsidR="00E8259E" w:rsidRPr="00B266A2" w:rsidRDefault="00E8259E" w:rsidP="00B266A2">
            <w:pPr>
              <w:ind w:left="4"/>
              <w:rPr>
                <w:sz w:val="20"/>
                <w:szCs w:val="20"/>
              </w:rPr>
            </w:pPr>
            <w:r w:rsidRPr="00B266A2">
              <w:rPr>
                <w:sz w:val="20"/>
                <w:szCs w:val="20"/>
              </w:rPr>
              <w:t>10.7</w:t>
            </w:r>
          </w:p>
        </w:tc>
        <w:tc>
          <w:tcPr>
            <w:tcW w:w="844" w:type="dxa"/>
          </w:tcPr>
          <w:p w14:paraId="7C11AA08" w14:textId="77777777" w:rsidR="00E8259E" w:rsidRPr="00B266A2" w:rsidRDefault="00E8259E" w:rsidP="00B266A2">
            <w:pPr>
              <w:ind w:left="4"/>
              <w:rPr>
                <w:sz w:val="20"/>
                <w:szCs w:val="20"/>
              </w:rPr>
            </w:pPr>
            <w:r w:rsidRPr="00B266A2">
              <w:rPr>
                <w:sz w:val="20"/>
                <w:szCs w:val="20"/>
              </w:rPr>
              <w:t>4.0</w:t>
            </w:r>
          </w:p>
        </w:tc>
      </w:tr>
      <w:tr w:rsidR="006506BE" w:rsidRPr="00B266A2" w14:paraId="7B315EF2" w14:textId="77777777" w:rsidTr="00B266A2">
        <w:trPr>
          <w:trHeight w:val="195"/>
        </w:trPr>
        <w:tc>
          <w:tcPr>
            <w:tcW w:w="1526" w:type="dxa"/>
            <w:vMerge/>
          </w:tcPr>
          <w:p w14:paraId="56A1B41B" w14:textId="77777777" w:rsidR="00E8259E" w:rsidRPr="00B266A2" w:rsidRDefault="00E8259E" w:rsidP="00B266A2">
            <w:pPr>
              <w:ind w:left="0"/>
              <w:rPr>
                <w:sz w:val="20"/>
                <w:szCs w:val="20"/>
              </w:rPr>
            </w:pPr>
          </w:p>
        </w:tc>
        <w:tc>
          <w:tcPr>
            <w:tcW w:w="1417" w:type="dxa"/>
            <w:vMerge/>
          </w:tcPr>
          <w:p w14:paraId="14875185" w14:textId="77777777" w:rsidR="00E8259E" w:rsidRPr="00B266A2" w:rsidRDefault="00E8259E" w:rsidP="00B266A2">
            <w:pPr>
              <w:ind w:left="34"/>
              <w:rPr>
                <w:sz w:val="20"/>
                <w:szCs w:val="20"/>
              </w:rPr>
            </w:pPr>
          </w:p>
        </w:tc>
        <w:tc>
          <w:tcPr>
            <w:tcW w:w="993" w:type="dxa"/>
          </w:tcPr>
          <w:p w14:paraId="264F0966" w14:textId="77777777" w:rsidR="00E8259E" w:rsidRPr="00B266A2" w:rsidRDefault="00E8259E" w:rsidP="00B266A2">
            <w:pPr>
              <w:ind w:left="34"/>
              <w:rPr>
                <w:sz w:val="20"/>
                <w:szCs w:val="20"/>
              </w:rPr>
            </w:pPr>
            <w:r w:rsidRPr="00B266A2">
              <w:rPr>
                <w:sz w:val="20"/>
                <w:szCs w:val="20"/>
              </w:rPr>
              <w:t>20</w:t>
            </w:r>
          </w:p>
        </w:tc>
        <w:tc>
          <w:tcPr>
            <w:tcW w:w="975" w:type="dxa"/>
            <w:vMerge/>
          </w:tcPr>
          <w:p w14:paraId="41285CBB" w14:textId="77777777" w:rsidR="00E8259E" w:rsidRPr="00B266A2" w:rsidRDefault="00E8259E" w:rsidP="00B266A2">
            <w:pPr>
              <w:ind w:left="33"/>
              <w:rPr>
                <w:sz w:val="20"/>
                <w:szCs w:val="20"/>
              </w:rPr>
            </w:pPr>
          </w:p>
        </w:tc>
        <w:tc>
          <w:tcPr>
            <w:tcW w:w="1009" w:type="dxa"/>
          </w:tcPr>
          <w:p w14:paraId="447A4122" w14:textId="77777777" w:rsidR="00E8259E" w:rsidRPr="00B266A2" w:rsidRDefault="00E8259E" w:rsidP="00B266A2">
            <w:pPr>
              <w:ind w:left="51"/>
              <w:rPr>
                <w:sz w:val="20"/>
                <w:szCs w:val="20"/>
              </w:rPr>
            </w:pPr>
            <w:r w:rsidRPr="00B266A2">
              <w:rPr>
                <w:sz w:val="20"/>
                <w:szCs w:val="20"/>
              </w:rPr>
              <w:t>79</w:t>
            </w:r>
          </w:p>
        </w:tc>
        <w:tc>
          <w:tcPr>
            <w:tcW w:w="931" w:type="dxa"/>
          </w:tcPr>
          <w:p w14:paraId="21218EF8" w14:textId="77777777" w:rsidR="00E8259E" w:rsidRPr="00B266A2" w:rsidRDefault="00E8259E" w:rsidP="00B266A2">
            <w:pPr>
              <w:ind w:left="4"/>
              <w:rPr>
                <w:sz w:val="20"/>
                <w:szCs w:val="20"/>
              </w:rPr>
            </w:pPr>
            <w:r w:rsidRPr="00B266A2">
              <w:rPr>
                <w:sz w:val="20"/>
                <w:szCs w:val="20"/>
              </w:rPr>
              <w:t>83</w:t>
            </w:r>
          </w:p>
        </w:tc>
        <w:tc>
          <w:tcPr>
            <w:tcW w:w="928" w:type="dxa"/>
          </w:tcPr>
          <w:p w14:paraId="1F767CDD" w14:textId="77777777" w:rsidR="00E8259E" w:rsidRPr="00B266A2" w:rsidRDefault="00E8259E" w:rsidP="00B266A2">
            <w:pPr>
              <w:ind w:left="4"/>
              <w:rPr>
                <w:sz w:val="20"/>
                <w:szCs w:val="20"/>
              </w:rPr>
            </w:pPr>
            <w:r w:rsidRPr="00B266A2">
              <w:rPr>
                <w:sz w:val="20"/>
                <w:szCs w:val="20"/>
              </w:rPr>
              <w:t>176</w:t>
            </w:r>
          </w:p>
        </w:tc>
        <w:tc>
          <w:tcPr>
            <w:tcW w:w="844" w:type="dxa"/>
          </w:tcPr>
          <w:p w14:paraId="1FA0E9AD" w14:textId="77777777" w:rsidR="00E8259E" w:rsidRPr="00B266A2" w:rsidRDefault="00E8259E" w:rsidP="00B266A2">
            <w:pPr>
              <w:ind w:left="4"/>
              <w:rPr>
                <w:sz w:val="20"/>
                <w:szCs w:val="20"/>
              </w:rPr>
            </w:pPr>
            <w:r w:rsidRPr="00B266A2">
              <w:rPr>
                <w:sz w:val="20"/>
                <w:szCs w:val="20"/>
              </w:rPr>
              <w:t>66</w:t>
            </w:r>
          </w:p>
        </w:tc>
      </w:tr>
      <w:tr w:rsidR="006506BE" w:rsidRPr="00B266A2" w14:paraId="753D1916" w14:textId="77777777" w:rsidTr="00B266A2">
        <w:trPr>
          <w:trHeight w:val="195"/>
        </w:trPr>
        <w:tc>
          <w:tcPr>
            <w:tcW w:w="1526" w:type="dxa"/>
            <w:vMerge/>
          </w:tcPr>
          <w:p w14:paraId="30146699" w14:textId="77777777" w:rsidR="00E8259E" w:rsidRPr="00B266A2" w:rsidRDefault="00E8259E" w:rsidP="00B266A2">
            <w:pPr>
              <w:ind w:left="0"/>
              <w:rPr>
                <w:sz w:val="20"/>
                <w:szCs w:val="20"/>
              </w:rPr>
            </w:pPr>
          </w:p>
        </w:tc>
        <w:tc>
          <w:tcPr>
            <w:tcW w:w="1417" w:type="dxa"/>
            <w:vMerge/>
          </w:tcPr>
          <w:p w14:paraId="19B0B8A7" w14:textId="77777777" w:rsidR="00E8259E" w:rsidRPr="00B266A2" w:rsidRDefault="00E8259E" w:rsidP="00B266A2">
            <w:pPr>
              <w:ind w:left="34"/>
              <w:rPr>
                <w:sz w:val="20"/>
                <w:szCs w:val="20"/>
              </w:rPr>
            </w:pPr>
          </w:p>
        </w:tc>
        <w:tc>
          <w:tcPr>
            <w:tcW w:w="993" w:type="dxa"/>
          </w:tcPr>
          <w:p w14:paraId="2BA89392" w14:textId="77777777" w:rsidR="00E8259E" w:rsidRPr="00B266A2" w:rsidRDefault="00E8259E" w:rsidP="00B266A2">
            <w:pPr>
              <w:ind w:left="34"/>
              <w:rPr>
                <w:sz w:val="20"/>
                <w:szCs w:val="20"/>
              </w:rPr>
            </w:pPr>
            <w:r w:rsidRPr="00B266A2">
              <w:rPr>
                <w:sz w:val="20"/>
                <w:szCs w:val="20"/>
              </w:rPr>
              <w:t>50</w:t>
            </w:r>
          </w:p>
        </w:tc>
        <w:tc>
          <w:tcPr>
            <w:tcW w:w="975" w:type="dxa"/>
            <w:vMerge/>
          </w:tcPr>
          <w:p w14:paraId="7D3204A7" w14:textId="77777777" w:rsidR="00E8259E" w:rsidRPr="00B266A2" w:rsidRDefault="00E8259E" w:rsidP="00B266A2">
            <w:pPr>
              <w:ind w:left="33"/>
              <w:rPr>
                <w:sz w:val="20"/>
                <w:szCs w:val="20"/>
              </w:rPr>
            </w:pPr>
          </w:p>
        </w:tc>
        <w:tc>
          <w:tcPr>
            <w:tcW w:w="1009" w:type="dxa"/>
          </w:tcPr>
          <w:p w14:paraId="02E978DA" w14:textId="77777777" w:rsidR="00E8259E" w:rsidRPr="00B266A2" w:rsidRDefault="00E8259E" w:rsidP="00B266A2">
            <w:pPr>
              <w:ind w:left="51"/>
              <w:rPr>
                <w:sz w:val="20"/>
                <w:szCs w:val="20"/>
              </w:rPr>
            </w:pPr>
            <w:r w:rsidRPr="00B266A2">
              <w:rPr>
                <w:sz w:val="20"/>
                <w:szCs w:val="20"/>
              </w:rPr>
              <w:t>431</w:t>
            </w:r>
          </w:p>
        </w:tc>
        <w:tc>
          <w:tcPr>
            <w:tcW w:w="931" w:type="dxa"/>
          </w:tcPr>
          <w:p w14:paraId="51CDF22D" w14:textId="77777777" w:rsidR="00E8259E" w:rsidRPr="00B266A2" w:rsidRDefault="00E8259E" w:rsidP="00B266A2">
            <w:pPr>
              <w:ind w:left="4"/>
              <w:rPr>
                <w:sz w:val="20"/>
                <w:szCs w:val="20"/>
              </w:rPr>
            </w:pPr>
            <w:r w:rsidRPr="00B266A2">
              <w:rPr>
                <w:sz w:val="20"/>
                <w:szCs w:val="20"/>
              </w:rPr>
              <w:t>454</w:t>
            </w:r>
          </w:p>
        </w:tc>
        <w:tc>
          <w:tcPr>
            <w:tcW w:w="928" w:type="dxa"/>
          </w:tcPr>
          <w:p w14:paraId="64D07DEB" w14:textId="77777777" w:rsidR="00E8259E" w:rsidRPr="00B266A2" w:rsidRDefault="00E8259E" w:rsidP="00B266A2">
            <w:pPr>
              <w:ind w:left="4"/>
              <w:rPr>
                <w:sz w:val="20"/>
                <w:szCs w:val="20"/>
              </w:rPr>
            </w:pPr>
            <w:r w:rsidRPr="00B266A2">
              <w:rPr>
                <w:sz w:val="20"/>
                <w:szCs w:val="20"/>
              </w:rPr>
              <w:t>958</w:t>
            </w:r>
          </w:p>
        </w:tc>
        <w:tc>
          <w:tcPr>
            <w:tcW w:w="844" w:type="dxa"/>
          </w:tcPr>
          <w:p w14:paraId="2D7B7B7C" w14:textId="77777777" w:rsidR="00E8259E" w:rsidRPr="00B266A2" w:rsidRDefault="00E8259E" w:rsidP="00B266A2">
            <w:pPr>
              <w:ind w:left="4"/>
              <w:rPr>
                <w:sz w:val="20"/>
                <w:szCs w:val="20"/>
              </w:rPr>
            </w:pPr>
            <w:r w:rsidRPr="00B266A2">
              <w:rPr>
                <w:sz w:val="20"/>
                <w:szCs w:val="20"/>
              </w:rPr>
              <w:t>359</w:t>
            </w:r>
          </w:p>
        </w:tc>
      </w:tr>
      <w:tr w:rsidR="006506BE" w:rsidRPr="00B266A2" w14:paraId="13E7AFC1" w14:textId="77777777" w:rsidTr="00B266A2">
        <w:trPr>
          <w:trHeight w:val="195"/>
        </w:trPr>
        <w:tc>
          <w:tcPr>
            <w:tcW w:w="1526" w:type="dxa"/>
            <w:vMerge/>
          </w:tcPr>
          <w:p w14:paraId="43F8676A" w14:textId="77777777" w:rsidR="00E8259E" w:rsidRPr="00B266A2" w:rsidRDefault="00E8259E" w:rsidP="00B266A2">
            <w:pPr>
              <w:ind w:left="0"/>
              <w:rPr>
                <w:sz w:val="20"/>
                <w:szCs w:val="20"/>
              </w:rPr>
            </w:pPr>
          </w:p>
        </w:tc>
        <w:tc>
          <w:tcPr>
            <w:tcW w:w="1417" w:type="dxa"/>
            <w:vMerge w:val="restart"/>
          </w:tcPr>
          <w:p w14:paraId="2BA42241" w14:textId="77777777" w:rsidR="00E8259E" w:rsidRPr="00B266A2" w:rsidRDefault="00E8259E" w:rsidP="00B266A2">
            <w:pPr>
              <w:ind w:left="34"/>
              <w:rPr>
                <w:sz w:val="20"/>
                <w:szCs w:val="20"/>
              </w:rPr>
            </w:pPr>
            <w:r w:rsidRPr="00B266A2">
              <w:rPr>
                <w:sz w:val="20"/>
                <w:szCs w:val="20"/>
              </w:rPr>
              <w:t>6 months</w:t>
            </w:r>
            <w:r w:rsidR="00663236" w:rsidRPr="00B266A2">
              <w:rPr>
                <w:sz w:val="20"/>
                <w:szCs w:val="20"/>
              </w:rPr>
              <w:t xml:space="preserve"> [Pivotal; </w:t>
            </w:r>
            <w:r w:rsidRPr="00B266A2">
              <w:rPr>
                <w:sz w:val="20"/>
                <w:szCs w:val="20"/>
              </w:rPr>
              <w:t>Study SBC102-T006]</w:t>
            </w:r>
          </w:p>
        </w:tc>
        <w:tc>
          <w:tcPr>
            <w:tcW w:w="993" w:type="dxa"/>
          </w:tcPr>
          <w:p w14:paraId="52C2DBCC" w14:textId="77777777" w:rsidR="00E8259E" w:rsidRPr="00B266A2" w:rsidRDefault="00E8259E" w:rsidP="00B266A2">
            <w:pPr>
              <w:ind w:left="34"/>
              <w:rPr>
                <w:sz w:val="20"/>
                <w:szCs w:val="20"/>
              </w:rPr>
            </w:pPr>
            <w:r w:rsidRPr="00B266A2">
              <w:rPr>
                <w:sz w:val="20"/>
                <w:szCs w:val="20"/>
              </w:rPr>
              <w:t>3</w:t>
            </w:r>
          </w:p>
        </w:tc>
        <w:tc>
          <w:tcPr>
            <w:tcW w:w="975" w:type="dxa"/>
            <w:vMerge w:val="restart"/>
          </w:tcPr>
          <w:p w14:paraId="18770631" w14:textId="77777777" w:rsidR="00E8259E" w:rsidRPr="00B266A2" w:rsidRDefault="00E8259E" w:rsidP="00B266A2">
            <w:pPr>
              <w:ind w:left="33"/>
              <w:rPr>
                <w:sz w:val="20"/>
                <w:szCs w:val="20"/>
              </w:rPr>
            </w:pPr>
            <w:r w:rsidRPr="00B266A2">
              <w:rPr>
                <w:sz w:val="20"/>
                <w:szCs w:val="20"/>
              </w:rPr>
              <w:t>2</w:t>
            </w:r>
          </w:p>
        </w:tc>
        <w:tc>
          <w:tcPr>
            <w:tcW w:w="1009" w:type="dxa"/>
          </w:tcPr>
          <w:p w14:paraId="29353A8D" w14:textId="77777777" w:rsidR="00E8259E" w:rsidRPr="00B266A2" w:rsidRDefault="00E8259E" w:rsidP="00B266A2">
            <w:pPr>
              <w:ind w:left="51"/>
              <w:rPr>
                <w:sz w:val="20"/>
                <w:szCs w:val="20"/>
              </w:rPr>
            </w:pPr>
            <w:r w:rsidRPr="00B266A2">
              <w:rPr>
                <w:sz w:val="20"/>
                <w:szCs w:val="20"/>
              </w:rPr>
              <w:t>6.1</w:t>
            </w:r>
          </w:p>
        </w:tc>
        <w:tc>
          <w:tcPr>
            <w:tcW w:w="931" w:type="dxa"/>
          </w:tcPr>
          <w:p w14:paraId="7A140843" w14:textId="77777777" w:rsidR="00E8259E" w:rsidRPr="00B266A2" w:rsidRDefault="00E8259E" w:rsidP="00B266A2">
            <w:pPr>
              <w:ind w:left="4"/>
              <w:rPr>
                <w:sz w:val="20"/>
                <w:szCs w:val="20"/>
              </w:rPr>
            </w:pPr>
            <w:r w:rsidRPr="00B266A2">
              <w:rPr>
                <w:sz w:val="20"/>
                <w:szCs w:val="20"/>
              </w:rPr>
              <w:t>6.4</w:t>
            </w:r>
          </w:p>
        </w:tc>
        <w:tc>
          <w:tcPr>
            <w:tcW w:w="928" w:type="dxa"/>
          </w:tcPr>
          <w:p w14:paraId="6D8DF8C2" w14:textId="77777777" w:rsidR="00E8259E" w:rsidRPr="00B266A2" w:rsidRDefault="00E8259E" w:rsidP="00B266A2">
            <w:pPr>
              <w:ind w:left="4"/>
              <w:rPr>
                <w:sz w:val="20"/>
                <w:szCs w:val="20"/>
              </w:rPr>
            </w:pPr>
            <w:r w:rsidRPr="00B266A2">
              <w:rPr>
                <w:sz w:val="20"/>
                <w:szCs w:val="20"/>
              </w:rPr>
              <w:t>13.6</w:t>
            </w:r>
          </w:p>
        </w:tc>
        <w:tc>
          <w:tcPr>
            <w:tcW w:w="844" w:type="dxa"/>
          </w:tcPr>
          <w:p w14:paraId="7A8D2595" w14:textId="77777777" w:rsidR="00E8259E" w:rsidRPr="00B266A2" w:rsidRDefault="00E8259E" w:rsidP="00B266A2">
            <w:pPr>
              <w:ind w:left="4"/>
              <w:rPr>
                <w:sz w:val="20"/>
                <w:szCs w:val="20"/>
              </w:rPr>
            </w:pPr>
            <w:r w:rsidRPr="00B266A2">
              <w:rPr>
                <w:sz w:val="20"/>
                <w:szCs w:val="20"/>
              </w:rPr>
              <w:t>5.1</w:t>
            </w:r>
          </w:p>
        </w:tc>
      </w:tr>
      <w:tr w:rsidR="006506BE" w:rsidRPr="00B266A2" w14:paraId="2F3E6220" w14:textId="77777777" w:rsidTr="00B266A2">
        <w:trPr>
          <w:trHeight w:val="195"/>
        </w:trPr>
        <w:tc>
          <w:tcPr>
            <w:tcW w:w="1526" w:type="dxa"/>
            <w:vMerge/>
          </w:tcPr>
          <w:p w14:paraId="3A4E44DF" w14:textId="77777777" w:rsidR="00E8259E" w:rsidRPr="00B266A2" w:rsidRDefault="00E8259E" w:rsidP="00B266A2">
            <w:pPr>
              <w:ind w:left="0"/>
              <w:rPr>
                <w:sz w:val="20"/>
                <w:szCs w:val="20"/>
              </w:rPr>
            </w:pPr>
          </w:p>
        </w:tc>
        <w:tc>
          <w:tcPr>
            <w:tcW w:w="1417" w:type="dxa"/>
            <w:vMerge/>
          </w:tcPr>
          <w:p w14:paraId="67B4FCF8" w14:textId="77777777" w:rsidR="00E8259E" w:rsidRPr="00B266A2" w:rsidRDefault="00E8259E" w:rsidP="00B266A2">
            <w:pPr>
              <w:ind w:left="34"/>
              <w:rPr>
                <w:sz w:val="20"/>
                <w:szCs w:val="20"/>
              </w:rPr>
            </w:pPr>
          </w:p>
        </w:tc>
        <w:tc>
          <w:tcPr>
            <w:tcW w:w="993" w:type="dxa"/>
          </w:tcPr>
          <w:p w14:paraId="2559ADC2" w14:textId="77777777" w:rsidR="00E8259E" w:rsidRPr="00B266A2" w:rsidRDefault="00E8259E" w:rsidP="00B266A2">
            <w:pPr>
              <w:ind w:left="34"/>
              <w:rPr>
                <w:sz w:val="20"/>
                <w:szCs w:val="20"/>
              </w:rPr>
            </w:pPr>
            <w:r w:rsidRPr="00B266A2">
              <w:rPr>
                <w:sz w:val="20"/>
                <w:szCs w:val="20"/>
              </w:rPr>
              <w:t>10</w:t>
            </w:r>
          </w:p>
        </w:tc>
        <w:tc>
          <w:tcPr>
            <w:tcW w:w="975" w:type="dxa"/>
            <w:vMerge/>
          </w:tcPr>
          <w:p w14:paraId="7C6BA205" w14:textId="77777777" w:rsidR="00E8259E" w:rsidRPr="00B266A2" w:rsidRDefault="00E8259E" w:rsidP="00B266A2">
            <w:pPr>
              <w:ind w:left="33"/>
              <w:rPr>
                <w:sz w:val="20"/>
                <w:szCs w:val="20"/>
              </w:rPr>
            </w:pPr>
          </w:p>
        </w:tc>
        <w:tc>
          <w:tcPr>
            <w:tcW w:w="1009" w:type="dxa"/>
          </w:tcPr>
          <w:p w14:paraId="4833A303" w14:textId="77777777" w:rsidR="00E8259E" w:rsidRPr="00B266A2" w:rsidRDefault="00E8259E" w:rsidP="00B266A2">
            <w:pPr>
              <w:ind w:left="51"/>
              <w:rPr>
                <w:sz w:val="20"/>
                <w:szCs w:val="20"/>
              </w:rPr>
            </w:pPr>
            <w:r w:rsidRPr="00B266A2">
              <w:rPr>
                <w:sz w:val="20"/>
                <w:szCs w:val="20"/>
              </w:rPr>
              <w:t>105</w:t>
            </w:r>
          </w:p>
        </w:tc>
        <w:tc>
          <w:tcPr>
            <w:tcW w:w="931" w:type="dxa"/>
          </w:tcPr>
          <w:p w14:paraId="0001740C" w14:textId="77777777" w:rsidR="00E8259E" w:rsidRPr="00B266A2" w:rsidRDefault="00E8259E" w:rsidP="00B266A2">
            <w:pPr>
              <w:ind w:left="4"/>
              <w:rPr>
                <w:sz w:val="20"/>
                <w:szCs w:val="20"/>
              </w:rPr>
            </w:pPr>
            <w:r w:rsidRPr="00B266A2">
              <w:rPr>
                <w:sz w:val="20"/>
                <w:szCs w:val="20"/>
              </w:rPr>
              <w:t>111</w:t>
            </w:r>
          </w:p>
        </w:tc>
        <w:tc>
          <w:tcPr>
            <w:tcW w:w="928" w:type="dxa"/>
          </w:tcPr>
          <w:p w14:paraId="52CDAE8D" w14:textId="77777777" w:rsidR="00E8259E" w:rsidRPr="00B266A2" w:rsidRDefault="00E8259E" w:rsidP="00B266A2">
            <w:pPr>
              <w:ind w:left="4"/>
              <w:rPr>
                <w:sz w:val="20"/>
                <w:szCs w:val="20"/>
              </w:rPr>
            </w:pPr>
            <w:r w:rsidRPr="00B266A2">
              <w:rPr>
                <w:sz w:val="20"/>
                <w:szCs w:val="20"/>
              </w:rPr>
              <w:t>233</w:t>
            </w:r>
          </w:p>
        </w:tc>
        <w:tc>
          <w:tcPr>
            <w:tcW w:w="844" w:type="dxa"/>
          </w:tcPr>
          <w:p w14:paraId="37AE27EC" w14:textId="77777777" w:rsidR="00E8259E" w:rsidRPr="00B266A2" w:rsidRDefault="00E8259E" w:rsidP="00B266A2">
            <w:pPr>
              <w:ind w:left="4"/>
              <w:rPr>
                <w:sz w:val="20"/>
                <w:szCs w:val="20"/>
              </w:rPr>
            </w:pPr>
            <w:r w:rsidRPr="00B266A2">
              <w:rPr>
                <w:sz w:val="20"/>
                <w:szCs w:val="20"/>
              </w:rPr>
              <w:t>88</w:t>
            </w:r>
          </w:p>
        </w:tc>
      </w:tr>
      <w:tr w:rsidR="006506BE" w:rsidRPr="00B266A2" w14:paraId="588BB357" w14:textId="77777777" w:rsidTr="00B266A2">
        <w:trPr>
          <w:trHeight w:val="195"/>
        </w:trPr>
        <w:tc>
          <w:tcPr>
            <w:tcW w:w="1526" w:type="dxa"/>
            <w:vMerge/>
          </w:tcPr>
          <w:p w14:paraId="074733DB" w14:textId="77777777" w:rsidR="00E8259E" w:rsidRPr="00B266A2" w:rsidRDefault="00E8259E" w:rsidP="00B266A2">
            <w:pPr>
              <w:ind w:left="0"/>
              <w:rPr>
                <w:sz w:val="20"/>
                <w:szCs w:val="20"/>
              </w:rPr>
            </w:pPr>
          </w:p>
        </w:tc>
        <w:tc>
          <w:tcPr>
            <w:tcW w:w="1417" w:type="dxa"/>
            <w:vMerge/>
          </w:tcPr>
          <w:p w14:paraId="519CFDF2" w14:textId="77777777" w:rsidR="00E8259E" w:rsidRPr="00B266A2" w:rsidRDefault="00E8259E" w:rsidP="00B266A2">
            <w:pPr>
              <w:ind w:left="34"/>
              <w:rPr>
                <w:sz w:val="20"/>
                <w:szCs w:val="20"/>
              </w:rPr>
            </w:pPr>
          </w:p>
        </w:tc>
        <w:tc>
          <w:tcPr>
            <w:tcW w:w="993" w:type="dxa"/>
          </w:tcPr>
          <w:p w14:paraId="0EC71F42" w14:textId="77777777" w:rsidR="00E8259E" w:rsidRPr="00B266A2" w:rsidRDefault="00E8259E" w:rsidP="00B266A2">
            <w:pPr>
              <w:ind w:left="34"/>
              <w:rPr>
                <w:sz w:val="20"/>
                <w:szCs w:val="20"/>
              </w:rPr>
            </w:pPr>
            <w:r w:rsidRPr="00B266A2">
              <w:rPr>
                <w:sz w:val="20"/>
                <w:szCs w:val="20"/>
              </w:rPr>
              <w:t>30</w:t>
            </w:r>
          </w:p>
        </w:tc>
        <w:tc>
          <w:tcPr>
            <w:tcW w:w="975" w:type="dxa"/>
            <w:vMerge/>
          </w:tcPr>
          <w:p w14:paraId="0806E180" w14:textId="77777777" w:rsidR="00E8259E" w:rsidRPr="00B266A2" w:rsidRDefault="00E8259E" w:rsidP="00B266A2">
            <w:pPr>
              <w:ind w:left="33"/>
              <w:rPr>
                <w:sz w:val="20"/>
                <w:szCs w:val="20"/>
              </w:rPr>
            </w:pPr>
          </w:p>
        </w:tc>
        <w:tc>
          <w:tcPr>
            <w:tcW w:w="1009" w:type="dxa"/>
          </w:tcPr>
          <w:p w14:paraId="0B0599A9" w14:textId="77777777" w:rsidR="00E8259E" w:rsidRPr="00B266A2" w:rsidRDefault="00E8259E" w:rsidP="00B266A2">
            <w:pPr>
              <w:ind w:left="51"/>
              <w:rPr>
                <w:sz w:val="20"/>
                <w:szCs w:val="20"/>
              </w:rPr>
            </w:pPr>
            <w:r w:rsidRPr="00B266A2">
              <w:rPr>
                <w:sz w:val="20"/>
                <w:szCs w:val="20"/>
              </w:rPr>
              <w:t>1063</w:t>
            </w:r>
          </w:p>
        </w:tc>
        <w:tc>
          <w:tcPr>
            <w:tcW w:w="931" w:type="dxa"/>
          </w:tcPr>
          <w:p w14:paraId="70E497AC" w14:textId="77777777" w:rsidR="00E8259E" w:rsidRPr="00B266A2" w:rsidRDefault="00E8259E" w:rsidP="00B266A2">
            <w:pPr>
              <w:ind w:left="4"/>
              <w:rPr>
                <w:sz w:val="20"/>
                <w:szCs w:val="20"/>
              </w:rPr>
            </w:pPr>
            <w:r w:rsidRPr="00B266A2">
              <w:rPr>
                <w:sz w:val="20"/>
                <w:szCs w:val="20"/>
              </w:rPr>
              <w:t>1119</w:t>
            </w:r>
          </w:p>
        </w:tc>
        <w:tc>
          <w:tcPr>
            <w:tcW w:w="928" w:type="dxa"/>
          </w:tcPr>
          <w:p w14:paraId="0C9B92EE" w14:textId="77777777" w:rsidR="00E8259E" w:rsidRPr="00B266A2" w:rsidRDefault="00E8259E" w:rsidP="00B266A2">
            <w:pPr>
              <w:ind w:left="4"/>
              <w:rPr>
                <w:sz w:val="20"/>
                <w:szCs w:val="20"/>
              </w:rPr>
            </w:pPr>
            <w:r w:rsidRPr="00B266A2">
              <w:rPr>
                <w:sz w:val="20"/>
                <w:szCs w:val="20"/>
              </w:rPr>
              <w:t>2362</w:t>
            </w:r>
          </w:p>
        </w:tc>
        <w:tc>
          <w:tcPr>
            <w:tcW w:w="844" w:type="dxa"/>
          </w:tcPr>
          <w:p w14:paraId="4760683C" w14:textId="77777777" w:rsidR="00E8259E" w:rsidRPr="00B266A2" w:rsidRDefault="00E8259E" w:rsidP="00B266A2">
            <w:pPr>
              <w:ind w:left="4"/>
              <w:rPr>
                <w:sz w:val="20"/>
                <w:szCs w:val="20"/>
              </w:rPr>
            </w:pPr>
            <w:r w:rsidRPr="00B266A2">
              <w:rPr>
                <w:sz w:val="20"/>
                <w:szCs w:val="20"/>
              </w:rPr>
              <w:t>886</w:t>
            </w:r>
          </w:p>
        </w:tc>
      </w:tr>
      <w:tr w:rsidR="006506BE" w:rsidRPr="00B266A2" w14:paraId="0444041A" w14:textId="77777777" w:rsidTr="0029422C">
        <w:trPr>
          <w:trHeight w:val="312"/>
        </w:trPr>
        <w:tc>
          <w:tcPr>
            <w:tcW w:w="8623" w:type="dxa"/>
            <w:gridSpan w:val="8"/>
          </w:tcPr>
          <w:p w14:paraId="026BFFE1" w14:textId="77777777" w:rsidR="004A1DEE" w:rsidRPr="00B266A2" w:rsidRDefault="004A1DEE" w:rsidP="00B266A2">
            <w:pPr>
              <w:ind w:left="4"/>
              <w:rPr>
                <w:sz w:val="20"/>
                <w:szCs w:val="20"/>
              </w:rPr>
            </w:pPr>
            <w:r w:rsidRPr="00B266A2">
              <w:rPr>
                <w:sz w:val="20"/>
                <w:szCs w:val="20"/>
              </w:rPr>
              <w:t>Human (LAL-D patients)</w:t>
            </w:r>
          </w:p>
        </w:tc>
      </w:tr>
      <w:tr w:rsidR="006506BE" w:rsidRPr="00B266A2" w14:paraId="63C0BB12" w14:textId="77777777" w:rsidTr="00B266A2">
        <w:trPr>
          <w:trHeight w:val="250"/>
        </w:trPr>
        <w:tc>
          <w:tcPr>
            <w:tcW w:w="1526" w:type="dxa"/>
          </w:tcPr>
          <w:p w14:paraId="405E171D" w14:textId="77777777" w:rsidR="00E8259E" w:rsidRPr="00B266A2" w:rsidRDefault="00E8259E" w:rsidP="00B266A2">
            <w:pPr>
              <w:ind w:left="0"/>
              <w:rPr>
                <w:sz w:val="20"/>
                <w:szCs w:val="20"/>
              </w:rPr>
            </w:pPr>
            <w:r w:rsidRPr="00B266A2">
              <w:rPr>
                <w:sz w:val="20"/>
                <w:szCs w:val="20"/>
              </w:rPr>
              <w:t>Adults (</w:t>
            </w:r>
            <w:r w:rsidR="00B935CA" w:rsidRPr="00B266A2">
              <w:rPr>
                <w:sz w:val="20"/>
                <w:szCs w:val="20"/>
              </w:rPr>
              <w:t xml:space="preserve">≥ </w:t>
            </w:r>
            <w:r w:rsidRPr="00B266A2">
              <w:rPr>
                <w:sz w:val="20"/>
                <w:szCs w:val="20"/>
              </w:rPr>
              <w:t>18 years)</w:t>
            </w:r>
          </w:p>
        </w:tc>
        <w:tc>
          <w:tcPr>
            <w:tcW w:w="1417" w:type="dxa"/>
            <w:vMerge w:val="restart"/>
          </w:tcPr>
          <w:p w14:paraId="74A990CF" w14:textId="77777777" w:rsidR="00E8259E" w:rsidRPr="00B266A2" w:rsidRDefault="00E8259E" w:rsidP="00B266A2">
            <w:pPr>
              <w:ind w:left="34"/>
              <w:rPr>
                <w:sz w:val="20"/>
                <w:szCs w:val="20"/>
              </w:rPr>
            </w:pPr>
            <w:r w:rsidRPr="00B266A2">
              <w:rPr>
                <w:sz w:val="20"/>
                <w:szCs w:val="20"/>
              </w:rPr>
              <w:t>Population PK Study</w:t>
            </w:r>
            <w:r w:rsidR="00663236" w:rsidRPr="00B266A2">
              <w:rPr>
                <w:sz w:val="20"/>
                <w:szCs w:val="20"/>
              </w:rPr>
              <w:t xml:space="preserve"> </w:t>
            </w:r>
            <w:r w:rsidRPr="00B266A2">
              <w:rPr>
                <w:sz w:val="20"/>
                <w:szCs w:val="20"/>
              </w:rPr>
              <w:t>[Study SYN201301]</w:t>
            </w:r>
          </w:p>
        </w:tc>
        <w:tc>
          <w:tcPr>
            <w:tcW w:w="993" w:type="dxa"/>
            <w:vMerge w:val="restart"/>
          </w:tcPr>
          <w:p w14:paraId="28254B96" w14:textId="77777777" w:rsidR="00E8259E" w:rsidRPr="00B266A2" w:rsidRDefault="00E8259E" w:rsidP="00B266A2">
            <w:pPr>
              <w:ind w:left="34"/>
              <w:rPr>
                <w:sz w:val="20"/>
                <w:szCs w:val="20"/>
              </w:rPr>
            </w:pPr>
            <w:r w:rsidRPr="00B266A2">
              <w:rPr>
                <w:sz w:val="20"/>
                <w:szCs w:val="20"/>
              </w:rPr>
              <w:t>1</w:t>
            </w:r>
          </w:p>
        </w:tc>
        <w:tc>
          <w:tcPr>
            <w:tcW w:w="975" w:type="dxa"/>
            <w:vMerge w:val="restart"/>
          </w:tcPr>
          <w:p w14:paraId="39D19308" w14:textId="77777777" w:rsidR="00E8259E" w:rsidRPr="00B266A2" w:rsidRDefault="00E8259E" w:rsidP="00B266A2">
            <w:pPr>
              <w:ind w:left="33"/>
              <w:rPr>
                <w:sz w:val="20"/>
                <w:szCs w:val="20"/>
              </w:rPr>
            </w:pPr>
            <w:r w:rsidRPr="00B266A2">
              <w:rPr>
                <w:sz w:val="20"/>
                <w:szCs w:val="20"/>
              </w:rPr>
              <w:t>1</w:t>
            </w:r>
          </w:p>
        </w:tc>
        <w:tc>
          <w:tcPr>
            <w:tcW w:w="1009" w:type="dxa"/>
          </w:tcPr>
          <w:p w14:paraId="38027612" w14:textId="77777777" w:rsidR="00E8259E" w:rsidRPr="00B266A2" w:rsidRDefault="00E8259E" w:rsidP="00B266A2">
            <w:pPr>
              <w:ind w:left="51"/>
              <w:rPr>
                <w:sz w:val="20"/>
                <w:szCs w:val="20"/>
              </w:rPr>
            </w:pPr>
            <w:r w:rsidRPr="00B266A2">
              <w:rPr>
                <w:sz w:val="20"/>
                <w:szCs w:val="20"/>
              </w:rPr>
              <w:t>1.9</w:t>
            </w:r>
          </w:p>
        </w:tc>
        <w:tc>
          <w:tcPr>
            <w:tcW w:w="931" w:type="dxa"/>
          </w:tcPr>
          <w:p w14:paraId="5178540C" w14:textId="77777777" w:rsidR="00E8259E" w:rsidRPr="00B266A2" w:rsidRDefault="00E8259E" w:rsidP="00B266A2">
            <w:pPr>
              <w:ind w:left="4"/>
              <w:rPr>
                <w:sz w:val="20"/>
                <w:szCs w:val="20"/>
              </w:rPr>
            </w:pPr>
            <w:r w:rsidRPr="00B266A2">
              <w:rPr>
                <w:sz w:val="20"/>
                <w:szCs w:val="20"/>
              </w:rPr>
              <w:t>–</w:t>
            </w:r>
          </w:p>
        </w:tc>
        <w:tc>
          <w:tcPr>
            <w:tcW w:w="928" w:type="dxa"/>
          </w:tcPr>
          <w:p w14:paraId="103D4374" w14:textId="77777777" w:rsidR="00E8259E" w:rsidRPr="00B266A2" w:rsidRDefault="00E8259E" w:rsidP="00B266A2">
            <w:pPr>
              <w:ind w:left="4"/>
              <w:rPr>
                <w:sz w:val="20"/>
                <w:szCs w:val="20"/>
              </w:rPr>
            </w:pPr>
            <w:r w:rsidRPr="00B266A2">
              <w:rPr>
                <w:sz w:val="20"/>
                <w:szCs w:val="20"/>
              </w:rPr>
              <w:t>–</w:t>
            </w:r>
          </w:p>
        </w:tc>
        <w:tc>
          <w:tcPr>
            <w:tcW w:w="844" w:type="dxa"/>
          </w:tcPr>
          <w:p w14:paraId="19516C9E" w14:textId="77777777" w:rsidR="00E8259E" w:rsidRPr="00B266A2" w:rsidRDefault="00E8259E" w:rsidP="00B266A2">
            <w:pPr>
              <w:ind w:left="4"/>
              <w:rPr>
                <w:sz w:val="20"/>
                <w:szCs w:val="20"/>
              </w:rPr>
            </w:pPr>
            <w:r w:rsidRPr="00B266A2">
              <w:rPr>
                <w:sz w:val="20"/>
                <w:szCs w:val="20"/>
              </w:rPr>
              <w:t>–</w:t>
            </w:r>
          </w:p>
        </w:tc>
      </w:tr>
      <w:tr w:rsidR="006506BE" w:rsidRPr="00B266A2" w14:paraId="78F2D1CA" w14:textId="77777777" w:rsidTr="00B266A2">
        <w:trPr>
          <w:trHeight w:val="250"/>
        </w:trPr>
        <w:tc>
          <w:tcPr>
            <w:tcW w:w="1526" w:type="dxa"/>
          </w:tcPr>
          <w:p w14:paraId="73D57AED" w14:textId="3E17AB32" w:rsidR="00E8259E" w:rsidRPr="00B266A2" w:rsidRDefault="00E8259E" w:rsidP="00B266A2">
            <w:pPr>
              <w:ind w:left="0"/>
              <w:rPr>
                <w:sz w:val="20"/>
                <w:szCs w:val="20"/>
              </w:rPr>
            </w:pPr>
            <w:r w:rsidRPr="00B266A2">
              <w:rPr>
                <w:sz w:val="20"/>
                <w:szCs w:val="20"/>
              </w:rPr>
              <w:t>Children (4</w:t>
            </w:r>
            <w:r w:rsidR="00836ABC" w:rsidRPr="00B266A2">
              <w:rPr>
                <w:sz w:val="20"/>
                <w:szCs w:val="20"/>
              </w:rPr>
              <w:t xml:space="preserve"> to </w:t>
            </w:r>
            <w:r w:rsidRPr="00B266A2">
              <w:rPr>
                <w:sz w:val="20"/>
                <w:szCs w:val="20"/>
              </w:rPr>
              <w:t>11 years)</w:t>
            </w:r>
          </w:p>
        </w:tc>
        <w:tc>
          <w:tcPr>
            <w:tcW w:w="1417" w:type="dxa"/>
            <w:vMerge/>
          </w:tcPr>
          <w:p w14:paraId="5FD9CAAF" w14:textId="77777777" w:rsidR="00E8259E" w:rsidRPr="00B266A2" w:rsidRDefault="00E8259E" w:rsidP="00B266A2">
            <w:pPr>
              <w:ind w:left="34"/>
              <w:rPr>
                <w:sz w:val="20"/>
                <w:szCs w:val="20"/>
              </w:rPr>
            </w:pPr>
          </w:p>
        </w:tc>
        <w:tc>
          <w:tcPr>
            <w:tcW w:w="993" w:type="dxa"/>
            <w:vMerge/>
          </w:tcPr>
          <w:p w14:paraId="41418DB1" w14:textId="77777777" w:rsidR="00E8259E" w:rsidRPr="00B266A2" w:rsidRDefault="00E8259E" w:rsidP="00B266A2">
            <w:pPr>
              <w:ind w:left="34"/>
              <w:rPr>
                <w:sz w:val="20"/>
                <w:szCs w:val="20"/>
              </w:rPr>
            </w:pPr>
          </w:p>
        </w:tc>
        <w:tc>
          <w:tcPr>
            <w:tcW w:w="975" w:type="dxa"/>
            <w:vMerge/>
          </w:tcPr>
          <w:p w14:paraId="0AE58B48" w14:textId="77777777" w:rsidR="00E8259E" w:rsidRPr="00B266A2" w:rsidRDefault="00E8259E" w:rsidP="00B266A2">
            <w:pPr>
              <w:ind w:left="33"/>
              <w:rPr>
                <w:sz w:val="20"/>
                <w:szCs w:val="20"/>
              </w:rPr>
            </w:pPr>
          </w:p>
        </w:tc>
        <w:tc>
          <w:tcPr>
            <w:tcW w:w="1009" w:type="dxa"/>
          </w:tcPr>
          <w:p w14:paraId="231D03AD" w14:textId="77777777" w:rsidR="00E8259E" w:rsidRPr="00B266A2" w:rsidRDefault="00E8259E" w:rsidP="00B266A2">
            <w:pPr>
              <w:ind w:left="51"/>
              <w:rPr>
                <w:sz w:val="20"/>
                <w:szCs w:val="20"/>
              </w:rPr>
            </w:pPr>
            <w:r w:rsidRPr="00B266A2">
              <w:rPr>
                <w:sz w:val="20"/>
                <w:szCs w:val="20"/>
              </w:rPr>
              <w:t>0.9</w:t>
            </w:r>
          </w:p>
        </w:tc>
        <w:tc>
          <w:tcPr>
            <w:tcW w:w="931" w:type="dxa"/>
          </w:tcPr>
          <w:p w14:paraId="2B22D85E" w14:textId="77777777" w:rsidR="00E8259E" w:rsidRPr="00B266A2" w:rsidRDefault="00E8259E" w:rsidP="00B266A2">
            <w:pPr>
              <w:ind w:left="4"/>
              <w:rPr>
                <w:sz w:val="20"/>
                <w:szCs w:val="20"/>
              </w:rPr>
            </w:pPr>
            <w:r w:rsidRPr="00B266A2">
              <w:rPr>
                <w:sz w:val="20"/>
                <w:szCs w:val="20"/>
              </w:rPr>
              <w:t>–</w:t>
            </w:r>
          </w:p>
        </w:tc>
        <w:tc>
          <w:tcPr>
            <w:tcW w:w="928" w:type="dxa"/>
          </w:tcPr>
          <w:p w14:paraId="72D363CA" w14:textId="77777777" w:rsidR="00E8259E" w:rsidRPr="00B266A2" w:rsidRDefault="00E8259E" w:rsidP="00B266A2">
            <w:pPr>
              <w:ind w:left="4"/>
              <w:rPr>
                <w:sz w:val="20"/>
                <w:szCs w:val="20"/>
              </w:rPr>
            </w:pPr>
            <w:r w:rsidRPr="00B266A2">
              <w:rPr>
                <w:sz w:val="20"/>
                <w:szCs w:val="20"/>
              </w:rPr>
              <w:t>–</w:t>
            </w:r>
          </w:p>
        </w:tc>
        <w:tc>
          <w:tcPr>
            <w:tcW w:w="844" w:type="dxa"/>
          </w:tcPr>
          <w:p w14:paraId="32A82DD3" w14:textId="77777777" w:rsidR="00E8259E" w:rsidRPr="00B266A2" w:rsidRDefault="00E8259E" w:rsidP="00B266A2">
            <w:pPr>
              <w:ind w:left="4"/>
              <w:rPr>
                <w:sz w:val="20"/>
                <w:szCs w:val="20"/>
              </w:rPr>
            </w:pPr>
            <w:r w:rsidRPr="00B266A2">
              <w:rPr>
                <w:sz w:val="20"/>
                <w:szCs w:val="20"/>
              </w:rPr>
              <w:t>–</w:t>
            </w:r>
          </w:p>
        </w:tc>
      </w:tr>
      <w:tr w:rsidR="006506BE" w:rsidRPr="00B266A2" w14:paraId="3B8FBAB0" w14:textId="77777777" w:rsidTr="00B266A2">
        <w:trPr>
          <w:trHeight w:val="250"/>
        </w:trPr>
        <w:tc>
          <w:tcPr>
            <w:tcW w:w="1526" w:type="dxa"/>
          </w:tcPr>
          <w:p w14:paraId="16671FEE" w14:textId="77777777" w:rsidR="00E8259E" w:rsidRPr="00B266A2" w:rsidRDefault="00E8259E" w:rsidP="00B266A2">
            <w:pPr>
              <w:ind w:left="0"/>
              <w:rPr>
                <w:sz w:val="20"/>
                <w:szCs w:val="20"/>
              </w:rPr>
            </w:pPr>
            <w:r w:rsidRPr="00B266A2">
              <w:rPr>
                <w:sz w:val="20"/>
                <w:szCs w:val="20"/>
              </w:rPr>
              <w:t>Infants (&lt; 1 year)</w:t>
            </w:r>
          </w:p>
        </w:tc>
        <w:tc>
          <w:tcPr>
            <w:tcW w:w="1417" w:type="dxa"/>
            <w:vMerge/>
          </w:tcPr>
          <w:p w14:paraId="0D40B685" w14:textId="77777777" w:rsidR="00E8259E" w:rsidRPr="00B266A2" w:rsidRDefault="00E8259E" w:rsidP="00B266A2">
            <w:pPr>
              <w:ind w:left="34"/>
              <w:rPr>
                <w:sz w:val="20"/>
                <w:szCs w:val="20"/>
              </w:rPr>
            </w:pPr>
          </w:p>
        </w:tc>
        <w:tc>
          <w:tcPr>
            <w:tcW w:w="993" w:type="dxa"/>
          </w:tcPr>
          <w:p w14:paraId="06A6C39E" w14:textId="77777777" w:rsidR="00E8259E" w:rsidRPr="00B266A2" w:rsidRDefault="00E8259E" w:rsidP="00B266A2">
            <w:pPr>
              <w:ind w:left="34"/>
              <w:rPr>
                <w:sz w:val="20"/>
                <w:szCs w:val="20"/>
              </w:rPr>
            </w:pPr>
            <w:r w:rsidRPr="00B266A2">
              <w:rPr>
                <w:sz w:val="20"/>
                <w:szCs w:val="20"/>
              </w:rPr>
              <w:t>3</w:t>
            </w:r>
          </w:p>
        </w:tc>
        <w:tc>
          <w:tcPr>
            <w:tcW w:w="975" w:type="dxa"/>
          </w:tcPr>
          <w:p w14:paraId="46AB39D2" w14:textId="77777777" w:rsidR="00E8259E" w:rsidRPr="00B266A2" w:rsidRDefault="00E8259E" w:rsidP="00B266A2">
            <w:pPr>
              <w:ind w:left="33"/>
              <w:rPr>
                <w:sz w:val="20"/>
                <w:szCs w:val="20"/>
              </w:rPr>
            </w:pPr>
            <w:r w:rsidRPr="00B266A2">
              <w:rPr>
                <w:sz w:val="20"/>
                <w:szCs w:val="20"/>
              </w:rPr>
              <w:t>2</w:t>
            </w:r>
          </w:p>
        </w:tc>
        <w:tc>
          <w:tcPr>
            <w:tcW w:w="1009" w:type="dxa"/>
          </w:tcPr>
          <w:p w14:paraId="31D61AB0" w14:textId="77777777" w:rsidR="00E8259E" w:rsidRPr="00B266A2" w:rsidRDefault="00E8259E" w:rsidP="00B266A2">
            <w:pPr>
              <w:ind w:left="51"/>
              <w:rPr>
                <w:sz w:val="20"/>
                <w:szCs w:val="20"/>
              </w:rPr>
            </w:pPr>
            <w:r w:rsidRPr="00B266A2">
              <w:rPr>
                <w:sz w:val="20"/>
                <w:szCs w:val="20"/>
              </w:rPr>
              <w:t>1.2</w:t>
            </w:r>
          </w:p>
        </w:tc>
        <w:tc>
          <w:tcPr>
            <w:tcW w:w="931" w:type="dxa"/>
          </w:tcPr>
          <w:p w14:paraId="7DCA8CE7" w14:textId="77777777" w:rsidR="00E8259E" w:rsidRPr="00B266A2" w:rsidRDefault="00E8259E" w:rsidP="00B266A2">
            <w:pPr>
              <w:ind w:left="4"/>
              <w:rPr>
                <w:sz w:val="20"/>
                <w:szCs w:val="20"/>
              </w:rPr>
            </w:pPr>
            <w:r w:rsidRPr="00B266A2">
              <w:rPr>
                <w:sz w:val="20"/>
                <w:szCs w:val="20"/>
              </w:rPr>
              <w:t>–</w:t>
            </w:r>
          </w:p>
        </w:tc>
        <w:tc>
          <w:tcPr>
            <w:tcW w:w="928" w:type="dxa"/>
          </w:tcPr>
          <w:p w14:paraId="5E8C783F" w14:textId="77777777" w:rsidR="00E8259E" w:rsidRPr="00B266A2" w:rsidRDefault="00E8259E" w:rsidP="00B266A2">
            <w:pPr>
              <w:ind w:left="4"/>
              <w:rPr>
                <w:sz w:val="20"/>
                <w:szCs w:val="20"/>
              </w:rPr>
            </w:pPr>
            <w:r w:rsidRPr="00B266A2">
              <w:rPr>
                <w:sz w:val="20"/>
                <w:szCs w:val="20"/>
              </w:rPr>
              <w:t>–</w:t>
            </w:r>
          </w:p>
        </w:tc>
        <w:tc>
          <w:tcPr>
            <w:tcW w:w="844" w:type="dxa"/>
          </w:tcPr>
          <w:p w14:paraId="4DEDEC51" w14:textId="77777777" w:rsidR="00E8259E" w:rsidRPr="00B266A2" w:rsidRDefault="00E8259E" w:rsidP="00B266A2">
            <w:pPr>
              <w:ind w:left="4"/>
              <w:rPr>
                <w:sz w:val="20"/>
                <w:szCs w:val="20"/>
              </w:rPr>
            </w:pPr>
            <w:r w:rsidRPr="00B266A2">
              <w:rPr>
                <w:sz w:val="20"/>
                <w:szCs w:val="20"/>
              </w:rPr>
              <w:t>–</w:t>
            </w:r>
          </w:p>
        </w:tc>
      </w:tr>
    </w:tbl>
    <w:p w14:paraId="13F9D4EC" w14:textId="053DBC84" w:rsidR="00E8259E" w:rsidRPr="0005285B" w:rsidRDefault="004A1DEE" w:rsidP="00B266A2">
      <w:pPr>
        <w:pStyle w:val="TableDescription"/>
      </w:pPr>
      <w:r w:rsidRPr="0005285B">
        <w:t>^</w:t>
      </w:r>
      <w:r w:rsidR="00E8259E" w:rsidRPr="0005285B">
        <w:t xml:space="preserve"> = animal data are for the sexes combined at the last sampling occasion and AUC</w:t>
      </w:r>
      <w:r w:rsidR="00E8259E" w:rsidRPr="0005285B">
        <w:rPr>
          <w:vertAlign w:val="subscript"/>
        </w:rPr>
        <w:t>0-last</w:t>
      </w:r>
      <w:r w:rsidR="00E8259E" w:rsidRPr="0005285B">
        <w:t xml:space="preserve"> </w:t>
      </w:r>
      <w:r w:rsidR="00634E1D" w:rsidRPr="0005285B">
        <w:rPr>
          <w:rStyle w:val="FootnoteReference"/>
          <w:sz w:val="18"/>
        </w:rPr>
        <w:footnoteReference w:id="16"/>
      </w:r>
      <w:r w:rsidR="00E8259E" w:rsidRPr="0005285B">
        <w:t xml:space="preserve">and </w:t>
      </w:r>
      <w:proofErr w:type="spellStart"/>
      <w:r w:rsidR="00E8259E" w:rsidRPr="0005285B">
        <w:t>AUC</w:t>
      </w:r>
      <w:r w:rsidR="00634E1D" w:rsidRPr="0005285B">
        <w:rPr>
          <w:vertAlign w:val="subscript"/>
        </w:rPr>
        <w:t>ss</w:t>
      </w:r>
      <w:proofErr w:type="spellEnd"/>
      <w:r w:rsidRPr="0005285B">
        <w:t> </w:t>
      </w:r>
      <w:r w:rsidR="00634E1D" w:rsidRPr="0005285B">
        <w:rPr>
          <w:rStyle w:val="FootnoteReference"/>
          <w:sz w:val="18"/>
        </w:rPr>
        <w:footnoteReference w:id="17"/>
      </w:r>
      <w:r w:rsidR="00E8259E" w:rsidRPr="0005285B">
        <w:t xml:space="preserve">values are presented for animal and human studies, respectively. </w:t>
      </w:r>
      <w:r w:rsidRPr="0005285B">
        <w:rPr>
          <w:position w:val="-2"/>
          <w:vertAlign w:val="superscript"/>
        </w:rPr>
        <w:t xml:space="preserve"># </w:t>
      </w:r>
      <w:r w:rsidR="00E8259E" w:rsidRPr="0005285B">
        <w:t>= animal serum AUC</w:t>
      </w:r>
      <w:r w:rsidRPr="0005285B">
        <w:rPr>
          <w:vertAlign w:val="subscript"/>
        </w:rPr>
        <w:t>0</w:t>
      </w:r>
      <w:r w:rsidRPr="0005285B">
        <w:rPr>
          <w:vertAlign w:val="subscript"/>
        </w:rPr>
        <w:noBreakHyphen/>
      </w:r>
      <w:r w:rsidR="00E8259E" w:rsidRPr="0005285B">
        <w:rPr>
          <w:vertAlign w:val="subscript"/>
        </w:rPr>
        <w:t>last</w:t>
      </w:r>
      <w:r w:rsidR="00E8259E" w:rsidRPr="0005285B">
        <w:t>:</w:t>
      </w:r>
      <w:r w:rsidR="003A7287">
        <w:t xml:space="preserve"> </w:t>
      </w:r>
      <w:r w:rsidR="00E8259E" w:rsidRPr="0005285B">
        <w:t xml:space="preserve">human serum </w:t>
      </w:r>
      <w:proofErr w:type="spellStart"/>
      <w:r w:rsidR="00E8259E" w:rsidRPr="0005285B">
        <w:t>AUC</w:t>
      </w:r>
      <w:r w:rsidR="00E8259E" w:rsidRPr="0005285B">
        <w:rPr>
          <w:vertAlign w:val="subscript"/>
        </w:rPr>
        <w:t>ss</w:t>
      </w:r>
      <w:proofErr w:type="spellEnd"/>
      <w:r w:rsidR="00E8259E" w:rsidRPr="0005285B">
        <w:t xml:space="preserve"> exposure ratios were normalised for dosing frequency by multiplying each AUC value by the respective dosing frequencies shown.</w:t>
      </w:r>
    </w:p>
    <w:p w14:paraId="726A132F" w14:textId="77777777" w:rsidR="00E8259E" w:rsidRPr="00EB69F1" w:rsidRDefault="00E8259E" w:rsidP="00E8259E">
      <w:pPr>
        <w:pStyle w:val="Heading6"/>
      </w:pPr>
      <w:r w:rsidRPr="00EB69F1">
        <w:t xml:space="preserve">Major </w:t>
      </w:r>
      <w:r>
        <w:t>findings</w:t>
      </w:r>
    </w:p>
    <w:p w14:paraId="6A6EEDC7" w14:textId="77777777" w:rsidR="00CA17A3" w:rsidRDefault="00E8259E" w:rsidP="00E8259E">
      <w:r>
        <w:t>There were no significant toxicity findings due to sebelipase alfa in either rats or monkeys</w:t>
      </w:r>
      <w:r w:rsidR="00CA17A3">
        <w:t>.</w:t>
      </w:r>
    </w:p>
    <w:p w14:paraId="3CA4E74D" w14:textId="77777777" w:rsidR="00CA17A3" w:rsidRDefault="00E8259E" w:rsidP="00E8259E">
      <w:r>
        <w:t>The most prominent finding w</w:t>
      </w:r>
      <w:r w:rsidR="00663236">
        <w:t xml:space="preserve">as a transient hypersensitivity </w:t>
      </w:r>
      <w:r>
        <w:t>type (‘</w:t>
      </w:r>
      <w:r w:rsidR="008A34D4">
        <w:t>anaphylactoid</w:t>
      </w:r>
      <w:r>
        <w:t xml:space="preserve">’) reaction during dosing of both control and </w:t>
      </w:r>
      <w:r w:rsidR="008A34D4">
        <w:t>drug treated</w:t>
      </w:r>
      <w:r>
        <w:t xml:space="preserve"> animals.</w:t>
      </w:r>
      <w:r w:rsidR="00B935CA">
        <w:t xml:space="preserve"> </w:t>
      </w:r>
      <w:r>
        <w:t xml:space="preserve">This effect was most prevalent and pronounced in rats, in which it was characterised by redness of the skin and swelling of the paws, was </w:t>
      </w:r>
      <w:r w:rsidR="00B935CA">
        <w:t>dose dependent</w:t>
      </w:r>
      <w:r>
        <w:t xml:space="preserve"> and was alleviated by treatment with diphenhydramine. The effect may reasonably be attributed to the exposure of the animals to foreign proteins (sebelipase alfa and human serum albumin present in the vehicle) and is common in nonclinical studies with recombinant human proteins. These findings are not considered to raise significant concerns for the use of sebelipase alfa in humans</w:t>
      </w:r>
      <w:r w:rsidR="00CA17A3">
        <w:t>.</w:t>
      </w:r>
    </w:p>
    <w:p w14:paraId="1D4A400E" w14:textId="77777777" w:rsidR="00CA17A3" w:rsidRDefault="00E8259E" w:rsidP="00E8259E">
      <w:r>
        <w:lastRenderedPageBreak/>
        <w:t xml:space="preserve">Minimal cellular infiltration in a variety of tissues was a recurrent observation in monkeys in both the </w:t>
      </w:r>
      <w:r w:rsidR="008A34D4">
        <w:t xml:space="preserve">4 week </w:t>
      </w:r>
      <w:r>
        <w:t xml:space="preserve">and the </w:t>
      </w:r>
      <w:r w:rsidR="008A34D4">
        <w:t>6 month</w:t>
      </w:r>
      <w:r>
        <w:t xml:space="preserve"> (pivotal) study and appeared to occur more frequently in </w:t>
      </w:r>
      <w:r w:rsidR="008A34D4">
        <w:t>drug treated</w:t>
      </w:r>
      <w:r>
        <w:t xml:space="preserve"> animals. However, the incidence was generally low in all groups and there were no statistically significant differences between dose groups. In the brain and heart, the incidence of infiltrating immune cells or inflammation appeared to be obviously higher in monkeys dosed for 4 weeks with 20 or 50 mg/kg/week sebelipase alfa compared to controls. However, the incidence of these findings in the pivotal study was not </w:t>
      </w:r>
      <w:r w:rsidR="00634E1D">
        <w:t>dose related</w:t>
      </w:r>
      <w:r>
        <w:t xml:space="preserve"> and there were no clinical signs or </w:t>
      </w:r>
      <w:r w:rsidR="003F5CB4" w:rsidRPr="003F5CB4">
        <w:t>electrocardiogram (</w:t>
      </w:r>
      <w:r w:rsidRPr="003F5CB4">
        <w:t>ECG</w:t>
      </w:r>
      <w:r w:rsidR="003F5CB4" w:rsidRPr="003F5CB4">
        <w:t>)</w:t>
      </w:r>
      <w:r w:rsidRPr="003F5CB4">
        <w:t xml:space="preserve"> changes suggestive of abnormal </w:t>
      </w:r>
      <w:r w:rsidR="008A4AC2" w:rsidRPr="003F5CB4">
        <w:t>central nervous system (</w:t>
      </w:r>
      <w:r w:rsidRPr="003F5CB4">
        <w:t>CNS</w:t>
      </w:r>
      <w:r w:rsidR="008A4AC2" w:rsidRPr="003F5CB4">
        <w:t>)</w:t>
      </w:r>
      <w:r w:rsidRPr="003F5CB4">
        <w:t xml:space="preserve"> or heart function</w:t>
      </w:r>
      <w:r w:rsidR="00CA17A3" w:rsidRPr="003F5CB4">
        <w:t>.</w:t>
      </w:r>
    </w:p>
    <w:p w14:paraId="44880CB6" w14:textId="77777777" w:rsidR="00CA17A3" w:rsidRDefault="00E8259E" w:rsidP="00E8259E">
      <w:r>
        <w:t xml:space="preserve">After 4 weeks of repeat dosing, the sera of most or all animals from all dose groups and studies contained anti-drug antibodies, including neutralising antibodies. However, the presence of antibodies was not correlated with exposure and thus is not considered to present a concern for the interpretation of the </w:t>
      </w:r>
      <w:r w:rsidR="00C93FCF">
        <w:t>repeat dose</w:t>
      </w:r>
      <w:r>
        <w:t xml:space="preserve"> toxicity data</w:t>
      </w:r>
      <w:r w:rsidR="00CA17A3">
        <w:t>.</w:t>
      </w:r>
    </w:p>
    <w:p w14:paraId="325C81BA" w14:textId="77777777" w:rsidR="00E8259E" w:rsidRPr="00EB69F1" w:rsidRDefault="00E8259E" w:rsidP="00E8259E">
      <w:pPr>
        <w:pStyle w:val="Heading5"/>
      </w:pPr>
      <w:bookmarkStart w:id="56" w:name="_Toc294861729"/>
      <w:r w:rsidRPr="00EB69F1">
        <w:t>Genotoxicity</w:t>
      </w:r>
      <w:bookmarkEnd w:id="56"/>
    </w:p>
    <w:p w14:paraId="21E98DB8" w14:textId="77777777" w:rsidR="00E8259E" w:rsidRPr="00EB69F1" w:rsidRDefault="00E8259E" w:rsidP="00E8259E">
      <w:r w:rsidRPr="00E54584">
        <w:t>Genotoxicity studies were not performed and are not required under ICH guideline</w:t>
      </w:r>
      <w:r w:rsidR="008A34D4">
        <w:t>.</w:t>
      </w:r>
      <w:r w:rsidR="008A34D4" w:rsidRPr="008A34D4">
        <w:rPr>
          <w:vertAlign w:val="superscript"/>
        </w:rPr>
        <w:fldChar w:fldCharType="begin"/>
      </w:r>
      <w:r w:rsidR="008A34D4" w:rsidRPr="008A34D4">
        <w:rPr>
          <w:vertAlign w:val="superscript"/>
        </w:rPr>
        <w:instrText xml:space="preserve"> NOTEREF _Ref513476794 \h </w:instrText>
      </w:r>
      <w:r w:rsidR="008A34D4">
        <w:rPr>
          <w:vertAlign w:val="superscript"/>
        </w:rPr>
        <w:instrText xml:space="preserve"> \* MERGEFORMAT </w:instrText>
      </w:r>
      <w:r w:rsidR="008A34D4" w:rsidRPr="008A34D4">
        <w:rPr>
          <w:vertAlign w:val="superscript"/>
        </w:rPr>
      </w:r>
      <w:r w:rsidR="008A34D4" w:rsidRPr="008A34D4">
        <w:rPr>
          <w:vertAlign w:val="superscript"/>
        </w:rPr>
        <w:fldChar w:fldCharType="separate"/>
      </w:r>
      <w:r w:rsidR="008A34D4" w:rsidRPr="008A34D4">
        <w:rPr>
          <w:vertAlign w:val="superscript"/>
        </w:rPr>
        <w:t>12</w:t>
      </w:r>
      <w:r w:rsidR="008A34D4" w:rsidRPr="008A34D4">
        <w:rPr>
          <w:vertAlign w:val="superscript"/>
        </w:rPr>
        <w:fldChar w:fldCharType="end"/>
      </w:r>
      <w:r w:rsidRPr="00E54584">
        <w:t xml:space="preserve"> </w:t>
      </w:r>
      <w:r>
        <w:t xml:space="preserve">As a large molecular weight protein which localises </w:t>
      </w:r>
      <w:r w:rsidRPr="00E54584">
        <w:t xml:space="preserve">to the lysosome </w:t>
      </w:r>
      <w:r>
        <w:t>once taken up by cells (in the primary pharmacology Study SBC102-P001), s</w:t>
      </w:r>
      <w:r w:rsidRPr="00E54584">
        <w:t xml:space="preserve">ebelipase alfa is not anticipated to interact with </w:t>
      </w:r>
      <w:r w:rsidR="008A4AC2">
        <w:t>deoxyribonucleic acid</w:t>
      </w:r>
      <w:r w:rsidR="008A4AC2" w:rsidRPr="00E54584">
        <w:t xml:space="preserve"> </w:t>
      </w:r>
      <w:r w:rsidR="008A4AC2">
        <w:t>(</w:t>
      </w:r>
      <w:r w:rsidRPr="00E54584">
        <w:t>DNA</w:t>
      </w:r>
      <w:r w:rsidR="008A4AC2">
        <w:t>)</w:t>
      </w:r>
      <w:r>
        <w:t>.</w:t>
      </w:r>
    </w:p>
    <w:p w14:paraId="17EE9AD2" w14:textId="77777777" w:rsidR="00E8259E" w:rsidRPr="00EB69F1" w:rsidRDefault="00E8259E" w:rsidP="00E8259E">
      <w:pPr>
        <w:pStyle w:val="Heading5"/>
      </w:pPr>
      <w:bookmarkStart w:id="57" w:name="_Toc294861730"/>
      <w:r w:rsidRPr="00EB69F1">
        <w:t>Carcinogenicity</w:t>
      </w:r>
      <w:bookmarkEnd w:id="57"/>
    </w:p>
    <w:p w14:paraId="37B62F00" w14:textId="77777777" w:rsidR="00CA17A3" w:rsidRDefault="00E8259E" w:rsidP="00E8259E">
      <w:r w:rsidRPr="00B45215">
        <w:t xml:space="preserve">Carcinogenicity studies were not performed. This is considered </w:t>
      </w:r>
      <w:r>
        <w:t xml:space="preserve">to be acceptable given the nature of the drug and </w:t>
      </w:r>
      <w:r w:rsidR="008A34D4" w:rsidRPr="008A34D4">
        <w:t>it’s</w:t>
      </w:r>
      <w:r w:rsidR="008A34D4">
        <w:t>,</w:t>
      </w:r>
      <w:r w:rsidRPr="008A34D4">
        <w:t xml:space="preserve"> in vitro and in vivo pharmacodynamics</w:t>
      </w:r>
      <w:r>
        <w:t>, and to be</w:t>
      </w:r>
      <w:r w:rsidRPr="00B45215">
        <w:t xml:space="preserve"> in accordance with ICH guideline</w:t>
      </w:r>
      <w:r w:rsidR="008A34D4">
        <w:t>.</w:t>
      </w:r>
      <w:r w:rsidR="008A34D4" w:rsidRPr="008A34D4">
        <w:rPr>
          <w:vertAlign w:val="superscript"/>
        </w:rPr>
        <w:fldChar w:fldCharType="begin"/>
      </w:r>
      <w:r w:rsidR="008A34D4" w:rsidRPr="008A34D4">
        <w:rPr>
          <w:vertAlign w:val="superscript"/>
        </w:rPr>
        <w:instrText xml:space="preserve"> NOTEREF _Ref513476794 \h </w:instrText>
      </w:r>
      <w:r w:rsidR="008A34D4">
        <w:rPr>
          <w:vertAlign w:val="superscript"/>
        </w:rPr>
        <w:instrText xml:space="preserve"> \* MERGEFORMAT </w:instrText>
      </w:r>
      <w:r w:rsidR="008A34D4" w:rsidRPr="008A34D4">
        <w:rPr>
          <w:vertAlign w:val="superscript"/>
        </w:rPr>
      </w:r>
      <w:r w:rsidR="008A34D4" w:rsidRPr="008A34D4">
        <w:rPr>
          <w:vertAlign w:val="superscript"/>
        </w:rPr>
        <w:fldChar w:fldCharType="separate"/>
      </w:r>
      <w:r w:rsidR="008A34D4" w:rsidRPr="008A34D4">
        <w:rPr>
          <w:vertAlign w:val="superscript"/>
        </w:rPr>
        <w:t>12</w:t>
      </w:r>
      <w:r w:rsidR="008A34D4" w:rsidRPr="008A34D4">
        <w:rPr>
          <w:vertAlign w:val="superscript"/>
        </w:rPr>
        <w:fldChar w:fldCharType="end"/>
      </w:r>
    </w:p>
    <w:p w14:paraId="6335DC21" w14:textId="77777777" w:rsidR="00E8259E" w:rsidRPr="00EB69F1" w:rsidRDefault="00E8259E" w:rsidP="00E8259E">
      <w:pPr>
        <w:pStyle w:val="Heading5"/>
      </w:pPr>
      <w:r w:rsidRPr="00EB69F1">
        <w:t>Reproductive toxicity</w:t>
      </w:r>
    </w:p>
    <w:p w14:paraId="244AC29E" w14:textId="77777777" w:rsidR="00CA17A3" w:rsidRDefault="00E8259E" w:rsidP="00E8259E">
      <w:r>
        <w:t xml:space="preserve">The effects of sebelipase alfa on male and female fertility, early embryonic development, and pre/post-natal development, were examined in rats. Embryofetal development toxicity was examined in both rats and rabbits. All of the main studies for each stage of development and species were fully </w:t>
      </w:r>
      <w:r w:rsidR="008A34D4">
        <w:t>GLP compliant</w:t>
      </w:r>
      <w:r>
        <w:t xml:space="preserve">. The choice of species, group sizes, timing, dosages and duration of treatment are considered appropriate. Doses were administered by IV infusion (the clinical route of administration) </w:t>
      </w:r>
      <w:r w:rsidR="008A34D4">
        <w:t>twice weekly</w:t>
      </w:r>
      <w:r>
        <w:t>, more frequent than the clinical dosing frequency (weekly or fortnightly). The observations and measurements performed were comprehensive</w:t>
      </w:r>
      <w:r w:rsidR="00CA17A3">
        <w:t>.</w:t>
      </w:r>
    </w:p>
    <w:p w14:paraId="6318FF10" w14:textId="77777777" w:rsidR="00E8259E" w:rsidRDefault="00E8259E" w:rsidP="00B266A2">
      <w:pPr>
        <w:pStyle w:val="Heading6"/>
        <w:pageBreakBefore/>
      </w:pPr>
      <w:r w:rsidRPr="00EB69F1">
        <w:lastRenderedPageBreak/>
        <w:t>Relative exposure</w:t>
      </w:r>
    </w:p>
    <w:p w14:paraId="50FDF695" w14:textId="77777777" w:rsidR="00E8259E" w:rsidRPr="00E8259E" w:rsidRDefault="00E8259E" w:rsidP="00B266A2">
      <w:pPr>
        <w:pStyle w:val="TableTitle"/>
      </w:pPr>
      <w:r w:rsidRPr="004A1DEE">
        <w:t xml:space="preserve">Table </w:t>
      </w:r>
      <w:r w:rsidR="004A1DEE" w:rsidRPr="004A1DEE">
        <w:t>3:</w:t>
      </w:r>
      <w:r w:rsidRPr="004A1DEE">
        <w:t xml:space="preserve"> Relative exposure in reproductive toxicity studies</w:t>
      </w:r>
    </w:p>
    <w:tbl>
      <w:tblPr>
        <w:tblStyle w:val="TableTGAblue"/>
        <w:tblW w:w="8547" w:type="dxa"/>
        <w:tblLayout w:type="fixed"/>
        <w:tblLook w:val="01E0" w:firstRow="1" w:lastRow="1" w:firstColumn="1" w:lastColumn="1" w:noHBand="0" w:noVBand="0"/>
      </w:tblPr>
      <w:tblGrid>
        <w:gridCol w:w="1288"/>
        <w:gridCol w:w="1519"/>
        <w:gridCol w:w="928"/>
        <w:gridCol w:w="844"/>
        <w:gridCol w:w="1013"/>
        <w:gridCol w:w="1182"/>
        <w:gridCol w:w="928"/>
        <w:gridCol w:w="845"/>
      </w:tblGrid>
      <w:tr w:rsidR="00D46CFA" w:rsidRPr="00B266A2" w14:paraId="12BF0892" w14:textId="77777777" w:rsidTr="00A42187">
        <w:trPr>
          <w:cnfStyle w:val="100000000000" w:firstRow="1" w:lastRow="0" w:firstColumn="0" w:lastColumn="0" w:oddVBand="0" w:evenVBand="0" w:oddHBand="0" w:evenHBand="0" w:firstRowFirstColumn="0" w:firstRowLastColumn="0" w:lastRowFirstColumn="0" w:lastRowLastColumn="0"/>
          <w:trHeight w:val="163"/>
        </w:trPr>
        <w:tc>
          <w:tcPr>
            <w:tcW w:w="1288" w:type="dxa"/>
            <w:vMerge w:val="restart"/>
            <w:tcBorders>
              <w:right w:val="single" w:sz="8" w:space="0" w:color="auto"/>
            </w:tcBorders>
          </w:tcPr>
          <w:p w14:paraId="39E98FF1" w14:textId="77777777" w:rsidR="00E8259E" w:rsidRPr="00B266A2" w:rsidRDefault="00E8259E" w:rsidP="00B266A2">
            <w:pPr>
              <w:ind w:left="0"/>
              <w:rPr>
                <w:sz w:val="20"/>
                <w:szCs w:val="20"/>
              </w:rPr>
            </w:pPr>
            <w:r w:rsidRPr="00B266A2">
              <w:rPr>
                <w:sz w:val="20"/>
                <w:szCs w:val="20"/>
              </w:rPr>
              <w:t>Species</w:t>
            </w:r>
          </w:p>
        </w:tc>
        <w:tc>
          <w:tcPr>
            <w:tcW w:w="1519" w:type="dxa"/>
            <w:vMerge w:val="restart"/>
            <w:tcBorders>
              <w:left w:val="single" w:sz="8" w:space="0" w:color="auto"/>
              <w:right w:val="single" w:sz="8" w:space="0" w:color="auto"/>
            </w:tcBorders>
          </w:tcPr>
          <w:p w14:paraId="552576CC" w14:textId="3A4E19CB" w:rsidR="00E8259E" w:rsidRPr="00B266A2" w:rsidRDefault="00E8259E" w:rsidP="00B266A2">
            <w:pPr>
              <w:ind w:left="0"/>
              <w:rPr>
                <w:sz w:val="20"/>
                <w:szCs w:val="20"/>
              </w:rPr>
            </w:pPr>
            <w:r w:rsidRPr="00B266A2">
              <w:rPr>
                <w:sz w:val="20"/>
                <w:szCs w:val="20"/>
              </w:rPr>
              <w:t>Study</w:t>
            </w:r>
            <w:r w:rsidR="00B266A2" w:rsidRPr="00B266A2">
              <w:rPr>
                <w:sz w:val="20"/>
                <w:szCs w:val="20"/>
              </w:rPr>
              <w:t xml:space="preserve"> </w:t>
            </w:r>
            <w:r w:rsidRPr="00B266A2">
              <w:rPr>
                <w:sz w:val="20"/>
                <w:szCs w:val="20"/>
              </w:rPr>
              <w:t xml:space="preserve">[Study </w:t>
            </w:r>
            <w:r w:rsidR="00D46CFA" w:rsidRPr="00B266A2">
              <w:rPr>
                <w:sz w:val="20"/>
                <w:szCs w:val="20"/>
              </w:rPr>
              <w:t>ID</w:t>
            </w:r>
            <w:r w:rsidRPr="00B266A2">
              <w:rPr>
                <w:sz w:val="20"/>
                <w:szCs w:val="20"/>
              </w:rPr>
              <w:t>]</w:t>
            </w:r>
          </w:p>
        </w:tc>
        <w:tc>
          <w:tcPr>
            <w:tcW w:w="928" w:type="dxa"/>
            <w:vMerge w:val="restart"/>
            <w:tcBorders>
              <w:left w:val="single" w:sz="8" w:space="0" w:color="auto"/>
              <w:right w:val="single" w:sz="8" w:space="0" w:color="auto"/>
            </w:tcBorders>
          </w:tcPr>
          <w:p w14:paraId="194B5231" w14:textId="77777777" w:rsidR="00E8259E" w:rsidRPr="00B266A2" w:rsidRDefault="00E8259E" w:rsidP="00B266A2">
            <w:pPr>
              <w:ind w:left="28"/>
              <w:rPr>
                <w:sz w:val="20"/>
                <w:szCs w:val="20"/>
              </w:rPr>
            </w:pPr>
            <w:r w:rsidRPr="00B266A2">
              <w:rPr>
                <w:sz w:val="20"/>
                <w:szCs w:val="20"/>
              </w:rPr>
              <w:t>Dose (mg/kg)</w:t>
            </w:r>
          </w:p>
        </w:tc>
        <w:tc>
          <w:tcPr>
            <w:tcW w:w="844" w:type="dxa"/>
            <w:vMerge w:val="restart"/>
            <w:tcBorders>
              <w:left w:val="single" w:sz="8" w:space="0" w:color="auto"/>
              <w:right w:val="single" w:sz="8" w:space="0" w:color="auto"/>
            </w:tcBorders>
          </w:tcPr>
          <w:p w14:paraId="799CF2B8" w14:textId="77777777" w:rsidR="00E8259E" w:rsidRPr="00B266A2" w:rsidRDefault="00E8259E" w:rsidP="00B266A2">
            <w:pPr>
              <w:ind w:left="93"/>
              <w:rPr>
                <w:sz w:val="20"/>
                <w:szCs w:val="20"/>
              </w:rPr>
            </w:pPr>
            <w:r w:rsidRPr="00B266A2">
              <w:rPr>
                <w:sz w:val="20"/>
                <w:szCs w:val="20"/>
              </w:rPr>
              <w:t>Dosing freq. (/</w:t>
            </w:r>
            <w:proofErr w:type="spellStart"/>
            <w:r w:rsidRPr="00B266A2">
              <w:rPr>
                <w:sz w:val="20"/>
                <w:szCs w:val="20"/>
              </w:rPr>
              <w:t>ftn</w:t>
            </w:r>
            <w:proofErr w:type="spellEnd"/>
            <w:r w:rsidRPr="00B266A2">
              <w:rPr>
                <w:sz w:val="20"/>
                <w:szCs w:val="20"/>
              </w:rPr>
              <w:t>)</w:t>
            </w:r>
          </w:p>
        </w:tc>
        <w:tc>
          <w:tcPr>
            <w:tcW w:w="1013" w:type="dxa"/>
            <w:vMerge w:val="restart"/>
            <w:tcBorders>
              <w:left w:val="single" w:sz="8" w:space="0" w:color="auto"/>
              <w:right w:val="single" w:sz="8" w:space="0" w:color="auto"/>
            </w:tcBorders>
          </w:tcPr>
          <w:p w14:paraId="151883A5" w14:textId="77777777" w:rsidR="00E8259E" w:rsidRPr="00B266A2" w:rsidRDefault="00953E28" w:rsidP="00B266A2">
            <w:pPr>
              <w:ind w:left="99"/>
              <w:rPr>
                <w:sz w:val="20"/>
                <w:szCs w:val="20"/>
              </w:rPr>
            </w:pPr>
            <w:proofErr w:type="spellStart"/>
            <w:r w:rsidRPr="00B266A2">
              <w:rPr>
                <w:sz w:val="20"/>
                <w:szCs w:val="20"/>
              </w:rPr>
              <w:t>C</w:t>
            </w:r>
            <w:r w:rsidRPr="00B266A2">
              <w:rPr>
                <w:sz w:val="20"/>
                <w:szCs w:val="20"/>
                <w:vertAlign w:val="subscript"/>
              </w:rPr>
              <w:t>max</w:t>
            </w:r>
            <w:proofErr w:type="spellEnd"/>
            <w:r w:rsidR="00E8259E" w:rsidRPr="00B266A2">
              <w:rPr>
                <w:sz w:val="20"/>
                <w:szCs w:val="20"/>
              </w:rPr>
              <w:t xml:space="preserve"> (</w:t>
            </w:r>
            <w:proofErr w:type="spellStart"/>
            <w:r w:rsidR="00E8259E" w:rsidRPr="00B266A2">
              <w:rPr>
                <w:sz w:val="20"/>
                <w:szCs w:val="20"/>
              </w:rPr>
              <w:t>μg</w:t>
            </w:r>
            <w:proofErr w:type="spellEnd"/>
            <w:r w:rsidR="00E8259E" w:rsidRPr="00B266A2">
              <w:rPr>
                <w:sz w:val="20"/>
                <w:szCs w:val="20"/>
              </w:rPr>
              <w:t>/mL)</w:t>
            </w:r>
          </w:p>
        </w:tc>
        <w:tc>
          <w:tcPr>
            <w:tcW w:w="1182" w:type="dxa"/>
            <w:vMerge w:val="restart"/>
            <w:tcBorders>
              <w:left w:val="single" w:sz="8" w:space="0" w:color="auto"/>
              <w:right w:val="single" w:sz="8" w:space="0" w:color="auto"/>
            </w:tcBorders>
          </w:tcPr>
          <w:p w14:paraId="687EFBB9" w14:textId="77777777" w:rsidR="00E8259E" w:rsidRPr="00B266A2" w:rsidRDefault="00E8259E" w:rsidP="00B266A2">
            <w:pPr>
              <w:ind w:left="78"/>
              <w:rPr>
                <w:sz w:val="20"/>
                <w:szCs w:val="20"/>
              </w:rPr>
            </w:pPr>
            <w:r w:rsidRPr="00B266A2">
              <w:rPr>
                <w:sz w:val="20"/>
                <w:szCs w:val="20"/>
              </w:rPr>
              <w:t>AUC</w:t>
            </w:r>
            <w:r w:rsidRPr="00B266A2">
              <w:rPr>
                <w:sz w:val="20"/>
                <w:szCs w:val="20"/>
                <w:vertAlign w:val="superscript"/>
              </w:rPr>
              <w:t>^</w:t>
            </w:r>
            <w:r w:rsidRPr="00B266A2">
              <w:rPr>
                <w:sz w:val="20"/>
                <w:szCs w:val="20"/>
              </w:rPr>
              <w:t xml:space="preserve"> (</w:t>
            </w:r>
            <w:proofErr w:type="spellStart"/>
            <w:r w:rsidRPr="00B266A2">
              <w:rPr>
                <w:sz w:val="20"/>
                <w:szCs w:val="20"/>
              </w:rPr>
              <w:t>μg·h</w:t>
            </w:r>
            <w:proofErr w:type="spellEnd"/>
            <w:r w:rsidRPr="00B266A2">
              <w:rPr>
                <w:sz w:val="20"/>
                <w:szCs w:val="20"/>
              </w:rPr>
              <w:t>/mL)</w:t>
            </w:r>
          </w:p>
        </w:tc>
        <w:tc>
          <w:tcPr>
            <w:tcW w:w="1773" w:type="dxa"/>
            <w:gridSpan w:val="2"/>
            <w:tcBorders>
              <w:left w:val="single" w:sz="8" w:space="0" w:color="auto"/>
            </w:tcBorders>
          </w:tcPr>
          <w:p w14:paraId="6A8BDD8B" w14:textId="77777777" w:rsidR="00E8259E" w:rsidRPr="00B266A2" w:rsidRDefault="00E8259E" w:rsidP="00B266A2">
            <w:pPr>
              <w:ind w:left="30"/>
              <w:rPr>
                <w:sz w:val="20"/>
                <w:szCs w:val="20"/>
              </w:rPr>
            </w:pPr>
            <w:r w:rsidRPr="00B266A2">
              <w:rPr>
                <w:sz w:val="20"/>
                <w:szCs w:val="20"/>
              </w:rPr>
              <w:t>Exposure ratio</w:t>
            </w:r>
            <w:r w:rsidRPr="00B266A2">
              <w:rPr>
                <w:sz w:val="20"/>
                <w:szCs w:val="20"/>
                <w:vertAlign w:val="superscript"/>
              </w:rPr>
              <w:t>#</w:t>
            </w:r>
          </w:p>
        </w:tc>
      </w:tr>
      <w:tr w:rsidR="00D46CFA" w:rsidRPr="00B266A2" w14:paraId="252A48E8" w14:textId="77777777" w:rsidTr="00A42187">
        <w:trPr>
          <w:trHeight w:val="163"/>
        </w:trPr>
        <w:tc>
          <w:tcPr>
            <w:tcW w:w="1288" w:type="dxa"/>
            <w:vMerge/>
            <w:tcBorders>
              <w:right w:val="single" w:sz="8" w:space="0" w:color="auto"/>
            </w:tcBorders>
          </w:tcPr>
          <w:p w14:paraId="45B8922B" w14:textId="77777777" w:rsidR="00E8259E" w:rsidRPr="00B266A2" w:rsidRDefault="00E8259E" w:rsidP="00B266A2">
            <w:pPr>
              <w:ind w:left="0"/>
              <w:rPr>
                <w:sz w:val="20"/>
                <w:szCs w:val="20"/>
              </w:rPr>
            </w:pPr>
          </w:p>
        </w:tc>
        <w:tc>
          <w:tcPr>
            <w:tcW w:w="1519" w:type="dxa"/>
            <w:vMerge/>
            <w:tcBorders>
              <w:left w:val="single" w:sz="8" w:space="0" w:color="auto"/>
              <w:right w:val="single" w:sz="8" w:space="0" w:color="auto"/>
            </w:tcBorders>
          </w:tcPr>
          <w:p w14:paraId="54CC6040" w14:textId="77777777" w:rsidR="00E8259E" w:rsidRPr="00B266A2" w:rsidRDefault="00E8259E" w:rsidP="00B266A2">
            <w:pPr>
              <w:ind w:left="0"/>
              <w:rPr>
                <w:sz w:val="20"/>
                <w:szCs w:val="20"/>
              </w:rPr>
            </w:pPr>
          </w:p>
        </w:tc>
        <w:tc>
          <w:tcPr>
            <w:tcW w:w="928" w:type="dxa"/>
            <w:vMerge/>
            <w:tcBorders>
              <w:left w:val="single" w:sz="8" w:space="0" w:color="auto"/>
              <w:right w:val="single" w:sz="8" w:space="0" w:color="auto"/>
            </w:tcBorders>
          </w:tcPr>
          <w:p w14:paraId="3F954EEB" w14:textId="77777777" w:rsidR="00E8259E" w:rsidRPr="00B266A2" w:rsidRDefault="00E8259E" w:rsidP="00B266A2">
            <w:pPr>
              <w:ind w:left="28"/>
              <w:rPr>
                <w:sz w:val="20"/>
                <w:szCs w:val="20"/>
              </w:rPr>
            </w:pPr>
          </w:p>
        </w:tc>
        <w:tc>
          <w:tcPr>
            <w:tcW w:w="844" w:type="dxa"/>
            <w:vMerge/>
            <w:tcBorders>
              <w:left w:val="single" w:sz="8" w:space="0" w:color="auto"/>
              <w:right w:val="single" w:sz="8" w:space="0" w:color="auto"/>
            </w:tcBorders>
          </w:tcPr>
          <w:p w14:paraId="5E0154C7" w14:textId="77777777" w:rsidR="00E8259E" w:rsidRPr="00B266A2" w:rsidRDefault="00E8259E" w:rsidP="00B266A2">
            <w:pPr>
              <w:ind w:left="93"/>
              <w:rPr>
                <w:sz w:val="20"/>
                <w:szCs w:val="20"/>
              </w:rPr>
            </w:pPr>
          </w:p>
        </w:tc>
        <w:tc>
          <w:tcPr>
            <w:tcW w:w="1013" w:type="dxa"/>
            <w:vMerge/>
            <w:tcBorders>
              <w:left w:val="single" w:sz="8" w:space="0" w:color="auto"/>
              <w:right w:val="single" w:sz="8" w:space="0" w:color="auto"/>
            </w:tcBorders>
          </w:tcPr>
          <w:p w14:paraId="741E341A" w14:textId="77777777" w:rsidR="00E8259E" w:rsidRPr="00B266A2" w:rsidRDefault="00E8259E" w:rsidP="00B266A2">
            <w:pPr>
              <w:ind w:left="99"/>
              <w:rPr>
                <w:sz w:val="20"/>
                <w:szCs w:val="20"/>
              </w:rPr>
            </w:pPr>
          </w:p>
        </w:tc>
        <w:tc>
          <w:tcPr>
            <w:tcW w:w="1182" w:type="dxa"/>
            <w:vMerge/>
            <w:tcBorders>
              <w:left w:val="single" w:sz="8" w:space="0" w:color="auto"/>
              <w:right w:val="single" w:sz="8" w:space="0" w:color="auto"/>
            </w:tcBorders>
          </w:tcPr>
          <w:p w14:paraId="45C1B32B" w14:textId="77777777" w:rsidR="00E8259E" w:rsidRPr="00B266A2" w:rsidRDefault="00E8259E" w:rsidP="00B266A2">
            <w:pPr>
              <w:ind w:left="78"/>
              <w:rPr>
                <w:sz w:val="20"/>
                <w:szCs w:val="20"/>
              </w:rPr>
            </w:pPr>
          </w:p>
        </w:tc>
        <w:tc>
          <w:tcPr>
            <w:tcW w:w="928" w:type="dxa"/>
            <w:tcBorders>
              <w:left w:val="single" w:sz="8" w:space="0" w:color="auto"/>
            </w:tcBorders>
          </w:tcPr>
          <w:p w14:paraId="33035DDA" w14:textId="77777777" w:rsidR="00E8259E" w:rsidRPr="00B266A2" w:rsidRDefault="00E8259E" w:rsidP="00B266A2">
            <w:pPr>
              <w:ind w:left="30"/>
              <w:rPr>
                <w:sz w:val="20"/>
                <w:szCs w:val="20"/>
              </w:rPr>
            </w:pPr>
            <w:r w:rsidRPr="00B266A2">
              <w:rPr>
                <w:sz w:val="20"/>
                <w:szCs w:val="20"/>
              </w:rPr>
              <w:t>(</w:t>
            </w:r>
            <w:proofErr w:type="spellStart"/>
            <w:r w:rsidR="00953E28" w:rsidRPr="00B266A2">
              <w:rPr>
                <w:sz w:val="20"/>
                <w:szCs w:val="20"/>
              </w:rPr>
              <w:t>C</w:t>
            </w:r>
            <w:r w:rsidR="00953E28" w:rsidRPr="00B266A2">
              <w:rPr>
                <w:sz w:val="20"/>
                <w:szCs w:val="20"/>
                <w:vertAlign w:val="subscript"/>
              </w:rPr>
              <w:t>max</w:t>
            </w:r>
            <w:proofErr w:type="spellEnd"/>
            <w:r w:rsidRPr="00B266A2">
              <w:rPr>
                <w:sz w:val="20"/>
                <w:szCs w:val="20"/>
              </w:rPr>
              <w:t>)</w:t>
            </w:r>
          </w:p>
        </w:tc>
        <w:tc>
          <w:tcPr>
            <w:tcW w:w="844" w:type="dxa"/>
          </w:tcPr>
          <w:p w14:paraId="233436E2" w14:textId="77777777" w:rsidR="00E8259E" w:rsidRPr="00B266A2" w:rsidRDefault="00E8259E" w:rsidP="00B266A2">
            <w:pPr>
              <w:ind w:left="30"/>
              <w:rPr>
                <w:sz w:val="20"/>
                <w:szCs w:val="20"/>
              </w:rPr>
            </w:pPr>
            <w:r w:rsidRPr="00B266A2">
              <w:rPr>
                <w:sz w:val="20"/>
                <w:szCs w:val="20"/>
              </w:rPr>
              <w:t>(AUC)</w:t>
            </w:r>
          </w:p>
        </w:tc>
      </w:tr>
      <w:tr w:rsidR="00D46CFA" w:rsidRPr="00B266A2" w14:paraId="668768A1" w14:textId="77777777" w:rsidTr="00A42187">
        <w:trPr>
          <w:trHeight w:val="212"/>
        </w:trPr>
        <w:tc>
          <w:tcPr>
            <w:tcW w:w="1288" w:type="dxa"/>
            <w:vMerge w:val="restart"/>
          </w:tcPr>
          <w:p w14:paraId="623BA6B9" w14:textId="77777777" w:rsidR="00E8259E" w:rsidRPr="00B266A2" w:rsidRDefault="00E8259E" w:rsidP="00B266A2">
            <w:pPr>
              <w:ind w:left="0"/>
              <w:rPr>
                <w:sz w:val="20"/>
                <w:szCs w:val="20"/>
              </w:rPr>
            </w:pPr>
            <w:r w:rsidRPr="00B266A2">
              <w:rPr>
                <w:sz w:val="20"/>
                <w:szCs w:val="20"/>
              </w:rPr>
              <w:t>Rat (SD)</w:t>
            </w:r>
          </w:p>
        </w:tc>
        <w:tc>
          <w:tcPr>
            <w:tcW w:w="1519" w:type="dxa"/>
            <w:vMerge w:val="restart"/>
          </w:tcPr>
          <w:p w14:paraId="2577FB1F" w14:textId="77777777" w:rsidR="00E8259E" w:rsidRPr="00B266A2" w:rsidRDefault="00E8259E" w:rsidP="00B266A2">
            <w:pPr>
              <w:ind w:left="0"/>
              <w:rPr>
                <w:sz w:val="20"/>
                <w:szCs w:val="20"/>
              </w:rPr>
            </w:pPr>
            <w:r w:rsidRPr="00B266A2">
              <w:rPr>
                <w:sz w:val="20"/>
                <w:szCs w:val="20"/>
              </w:rPr>
              <w:t>Fertility</w:t>
            </w:r>
            <w:r w:rsidRPr="00B266A2">
              <w:rPr>
                <w:sz w:val="20"/>
                <w:szCs w:val="20"/>
                <w:vertAlign w:val="superscript"/>
              </w:rPr>
              <w:t>§</w:t>
            </w:r>
          </w:p>
        </w:tc>
        <w:tc>
          <w:tcPr>
            <w:tcW w:w="928" w:type="dxa"/>
          </w:tcPr>
          <w:p w14:paraId="06E9AE08" w14:textId="77777777" w:rsidR="00E8259E" w:rsidRPr="00B266A2" w:rsidRDefault="00E8259E" w:rsidP="00B266A2">
            <w:pPr>
              <w:ind w:left="28"/>
              <w:rPr>
                <w:sz w:val="20"/>
                <w:szCs w:val="20"/>
              </w:rPr>
            </w:pPr>
            <w:r w:rsidRPr="00B266A2">
              <w:rPr>
                <w:sz w:val="20"/>
                <w:szCs w:val="20"/>
              </w:rPr>
              <w:t>6</w:t>
            </w:r>
          </w:p>
        </w:tc>
        <w:tc>
          <w:tcPr>
            <w:tcW w:w="844" w:type="dxa"/>
            <w:vMerge w:val="restart"/>
          </w:tcPr>
          <w:p w14:paraId="4DC60D3F" w14:textId="77777777" w:rsidR="00E8259E" w:rsidRPr="00B266A2" w:rsidRDefault="00E8259E" w:rsidP="00B266A2">
            <w:pPr>
              <w:ind w:left="93"/>
              <w:rPr>
                <w:sz w:val="20"/>
                <w:szCs w:val="20"/>
              </w:rPr>
            </w:pPr>
            <w:r w:rsidRPr="00B266A2">
              <w:rPr>
                <w:sz w:val="20"/>
                <w:szCs w:val="20"/>
              </w:rPr>
              <w:t>4</w:t>
            </w:r>
          </w:p>
        </w:tc>
        <w:tc>
          <w:tcPr>
            <w:tcW w:w="1013" w:type="dxa"/>
          </w:tcPr>
          <w:p w14:paraId="41F70766" w14:textId="77777777" w:rsidR="00E8259E" w:rsidRPr="00B266A2" w:rsidRDefault="00E8259E" w:rsidP="00B266A2">
            <w:pPr>
              <w:ind w:left="99"/>
              <w:rPr>
                <w:sz w:val="20"/>
                <w:szCs w:val="20"/>
              </w:rPr>
            </w:pPr>
            <w:r w:rsidRPr="00B266A2">
              <w:rPr>
                <w:sz w:val="20"/>
                <w:szCs w:val="20"/>
              </w:rPr>
              <w:t>1.4</w:t>
            </w:r>
            <w:r w:rsidRPr="00B266A2">
              <w:rPr>
                <w:sz w:val="20"/>
                <w:szCs w:val="20"/>
                <w:vertAlign w:val="superscript"/>
              </w:rPr>
              <w:t>†</w:t>
            </w:r>
          </w:p>
        </w:tc>
        <w:tc>
          <w:tcPr>
            <w:tcW w:w="1182" w:type="dxa"/>
          </w:tcPr>
          <w:p w14:paraId="3CE3A1E8" w14:textId="77777777" w:rsidR="00E8259E" w:rsidRPr="00B266A2" w:rsidRDefault="00E8259E" w:rsidP="00B266A2">
            <w:pPr>
              <w:ind w:left="78"/>
              <w:rPr>
                <w:sz w:val="20"/>
                <w:szCs w:val="20"/>
              </w:rPr>
            </w:pPr>
            <w:r w:rsidRPr="00B266A2">
              <w:rPr>
                <w:sz w:val="20"/>
                <w:szCs w:val="20"/>
              </w:rPr>
              <w:t>5.0</w:t>
            </w:r>
            <w:r w:rsidRPr="00B266A2">
              <w:rPr>
                <w:sz w:val="20"/>
                <w:szCs w:val="20"/>
                <w:vertAlign w:val="superscript"/>
              </w:rPr>
              <w:t>†</w:t>
            </w:r>
          </w:p>
        </w:tc>
        <w:tc>
          <w:tcPr>
            <w:tcW w:w="928" w:type="dxa"/>
          </w:tcPr>
          <w:p w14:paraId="03C7108F" w14:textId="77777777" w:rsidR="00E8259E" w:rsidRPr="00B266A2" w:rsidRDefault="00E8259E" w:rsidP="00B266A2">
            <w:pPr>
              <w:ind w:left="30"/>
              <w:rPr>
                <w:sz w:val="20"/>
                <w:szCs w:val="20"/>
              </w:rPr>
            </w:pPr>
            <w:r w:rsidRPr="00B266A2">
              <w:rPr>
                <w:sz w:val="20"/>
                <w:szCs w:val="20"/>
              </w:rPr>
              <w:t>1.3</w:t>
            </w:r>
          </w:p>
        </w:tc>
        <w:tc>
          <w:tcPr>
            <w:tcW w:w="844" w:type="dxa"/>
          </w:tcPr>
          <w:p w14:paraId="06D2F82C" w14:textId="77777777" w:rsidR="00E8259E" w:rsidRPr="00B266A2" w:rsidRDefault="00E8259E" w:rsidP="00B266A2">
            <w:pPr>
              <w:ind w:left="30"/>
              <w:rPr>
                <w:sz w:val="20"/>
                <w:szCs w:val="20"/>
              </w:rPr>
            </w:pPr>
            <w:r w:rsidRPr="00B266A2">
              <w:rPr>
                <w:sz w:val="20"/>
                <w:szCs w:val="20"/>
              </w:rPr>
              <w:t>11</w:t>
            </w:r>
          </w:p>
        </w:tc>
      </w:tr>
      <w:tr w:rsidR="00D46CFA" w:rsidRPr="00B266A2" w14:paraId="5AC5C0BA" w14:textId="77777777" w:rsidTr="00A42187">
        <w:trPr>
          <w:trHeight w:val="212"/>
        </w:trPr>
        <w:tc>
          <w:tcPr>
            <w:tcW w:w="1288" w:type="dxa"/>
            <w:vMerge/>
          </w:tcPr>
          <w:p w14:paraId="73C5CE9D" w14:textId="77777777" w:rsidR="00E8259E" w:rsidRPr="00B266A2" w:rsidRDefault="00E8259E" w:rsidP="00B266A2">
            <w:pPr>
              <w:ind w:left="0"/>
              <w:rPr>
                <w:sz w:val="20"/>
                <w:szCs w:val="20"/>
              </w:rPr>
            </w:pPr>
          </w:p>
        </w:tc>
        <w:tc>
          <w:tcPr>
            <w:tcW w:w="1519" w:type="dxa"/>
            <w:vMerge/>
          </w:tcPr>
          <w:p w14:paraId="06944CFB" w14:textId="77777777" w:rsidR="00E8259E" w:rsidRPr="00B266A2" w:rsidRDefault="00E8259E" w:rsidP="00B266A2">
            <w:pPr>
              <w:ind w:left="0"/>
              <w:rPr>
                <w:sz w:val="20"/>
                <w:szCs w:val="20"/>
              </w:rPr>
            </w:pPr>
          </w:p>
        </w:tc>
        <w:tc>
          <w:tcPr>
            <w:tcW w:w="928" w:type="dxa"/>
          </w:tcPr>
          <w:p w14:paraId="0259FB0D" w14:textId="77777777" w:rsidR="00E8259E" w:rsidRPr="00B266A2" w:rsidRDefault="00E8259E" w:rsidP="00B266A2">
            <w:pPr>
              <w:ind w:left="28"/>
              <w:rPr>
                <w:sz w:val="20"/>
                <w:szCs w:val="20"/>
              </w:rPr>
            </w:pPr>
            <w:r w:rsidRPr="00B266A2">
              <w:rPr>
                <w:sz w:val="20"/>
                <w:szCs w:val="20"/>
              </w:rPr>
              <w:t>20</w:t>
            </w:r>
          </w:p>
        </w:tc>
        <w:tc>
          <w:tcPr>
            <w:tcW w:w="844" w:type="dxa"/>
            <w:vMerge/>
          </w:tcPr>
          <w:p w14:paraId="5100C83C" w14:textId="77777777" w:rsidR="00E8259E" w:rsidRPr="00B266A2" w:rsidRDefault="00E8259E" w:rsidP="00B266A2">
            <w:pPr>
              <w:ind w:left="93"/>
              <w:rPr>
                <w:sz w:val="20"/>
                <w:szCs w:val="20"/>
              </w:rPr>
            </w:pPr>
          </w:p>
        </w:tc>
        <w:tc>
          <w:tcPr>
            <w:tcW w:w="1013" w:type="dxa"/>
          </w:tcPr>
          <w:p w14:paraId="260E8D94" w14:textId="77777777" w:rsidR="00E8259E" w:rsidRPr="00B266A2" w:rsidRDefault="00E8259E" w:rsidP="00B266A2">
            <w:pPr>
              <w:ind w:left="99"/>
              <w:rPr>
                <w:sz w:val="20"/>
                <w:szCs w:val="20"/>
              </w:rPr>
            </w:pPr>
            <w:r w:rsidRPr="00B266A2">
              <w:rPr>
                <w:sz w:val="20"/>
                <w:szCs w:val="20"/>
              </w:rPr>
              <w:t>11</w:t>
            </w:r>
          </w:p>
        </w:tc>
        <w:tc>
          <w:tcPr>
            <w:tcW w:w="1182" w:type="dxa"/>
          </w:tcPr>
          <w:p w14:paraId="175A20D6" w14:textId="77777777" w:rsidR="00E8259E" w:rsidRPr="00B266A2" w:rsidRDefault="00E8259E" w:rsidP="00B266A2">
            <w:pPr>
              <w:ind w:left="78"/>
              <w:rPr>
                <w:sz w:val="20"/>
                <w:szCs w:val="20"/>
              </w:rPr>
            </w:pPr>
            <w:r w:rsidRPr="00B266A2">
              <w:rPr>
                <w:sz w:val="20"/>
                <w:szCs w:val="20"/>
              </w:rPr>
              <w:t>42</w:t>
            </w:r>
          </w:p>
        </w:tc>
        <w:tc>
          <w:tcPr>
            <w:tcW w:w="928" w:type="dxa"/>
          </w:tcPr>
          <w:p w14:paraId="77AA82D0" w14:textId="77777777" w:rsidR="00E8259E" w:rsidRPr="00B266A2" w:rsidRDefault="00E8259E" w:rsidP="00B266A2">
            <w:pPr>
              <w:ind w:left="30"/>
              <w:rPr>
                <w:sz w:val="20"/>
                <w:szCs w:val="20"/>
              </w:rPr>
            </w:pPr>
            <w:r w:rsidRPr="00B266A2">
              <w:rPr>
                <w:sz w:val="20"/>
                <w:szCs w:val="20"/>
              </w:rPr>
              <w:t>10</w:t>
            </w:r>
          </w:p>
        </w:tc>
        <w:tc>
          <w:tcPr>
            <w:tcW w:w="844" w:type="dxa"/>
          </w:tcPr>
          <w:p w14:paraId="636953EE" w14:textId="77777777" w:rsidR="00E8259E" w:rsidRPr="00B266A2" w:rsidRDefault="00E8259E" w:rsidP="00B266A2">
            <w:pPr>
              <w:ind w:left="30"/>
              <w:rPr>
                <w:sz w:val="20"/>
                <w:szCs w:val="20"/>
              </w:rPr>
            </w:pPr>
            <w:r w:rsidRPr="00B266A2">
              <w:rPr>
                <w:sz w:val="20"/>
                <w:szCs w:val="20"/>
              </w:rPr>
              <w:t>88</w:t>
            </w:r>
          </w:p>
        </w:tc>
      </w:tr>
      <w:tr w:rsidR="00D46CFA" w:rsidRPr="00B266A2" w14:paraId="67573199" w14:textId="77777777" w:rsidTr="00A42187">
        <w:trPr>
          <w:trHeight w:val="212"/>
        </w:trPr>
        <w:tc>
          <w:tcPr>
            <w:tcW w:w="1288" w:type="dxa"/>
            <w:vMerge/>
          </w:tcPr>
          <w:p w14:paraId="6F7F95A8" w14:textId="77777777" w:rsidR="00E8259E" w:rsidRPr="00B266A2" w:rsidRDefault="00E8259E" w:rsidP="00B266A2">
            <w:pPr>
              <w:ind w:left="0"/>
              <w:rPr>
                <w:sz w:val="20"/>
                <w:szCs w:val="20"/>
              </w:rPr>
            </w:pPr>
          </w:p>
        </w:tc>
        <w:tc>
          <w:tcPr>
            <w:tcW w:w="1519" w:type="dxa"/>
            <w:vMerge/>
          </w:tcPr>
          <w:p w14:paraId="0C9D3210" w14:textId="77777777" w:rsidR="00E8259E" w:rsidRPr="00B266A2" w:rsidRDefault="00E8259E" w:rsidP="00B266A2">
            <w:pPr>
              <w:ind w:left="0"/>
              <w:rPr>
                <w:sz w:val="20"/>
                <w:szCs w:val="20"/>
              </w:rPr>
            </w:pPr>
          </w:p>
        </w:tc>
        <w:tc>
          <w:tcPr>
            <w:tcW w:w="928" w:type="dxa"/>
          </w:tcPr>
          <w:p w14:paraId="0596562D" w14:textId="77777777" w:rsidR="00E8259E" w:rsidRPr="00B266A2" w:rsidRDefault="00E8259E" w:rsidP="00B266A2">
            <w:pPr>
              <w:ind w:left="28"/>
              <w:rPr>
                <w:sz w:val="20"/>
                <w:szCs w:val="20"/>
              </w:rPr>
            </w:pPr>
            <w:r w:rsidRPr="00B266A2">
              <w:rPr>
                <w:sz w:val="20"/>
                <w:szCs w:val="20"/>
              </w:rPr>
              <w:t>60</w:t>
            </w:r>
          </w:p>
        </w:tc>
        <w:tc>
          <w:tcPr>
            <w:tcW w:w="844" w:type="dxa"/>
            <w:vMerge/>
          </w:tcPr>
          <w:p w14:paraId="73749EF6" w14:textId="77777777" w:rsidR="00E8259E" w:rsidRPr="00B266A2" w:rsidRDefault="00E8259E" w:rsidP="00B266A2">
            <w:pPr>
              <w:ind w:left="93"/>
              <w:rPr>
                <w:sz w:val="20"/>
                <w:szCs w:val="20"/>
              </w:rPr>
            </w:pPr>
          </w:p>
        </w:tc>
        <w:tc>
          <w:tcPr>
            <w:tcW w:w="1013" w:type="dxa"/>
          </w:tcPr>
          <w:p w14:paraId="5C03406C" w14:textId="77777777" w:rsidR="00E8259E" w:rsidRPr="00B266A2" w:rsidRDefault="00E8259E" w:rsidP="00B266A2">
            <w:pPr>
              <w:ind w:left="99"/>
              <w:rPr>
                <w:sz w:val="20"/>
                <w:szCs w:val="20"/>
              </w:rPr>
            </w:pPr>
            <w:r w:rsidRPr="00B266A2">
              <w:rPr>
                <w:sz w:val="20"/>
                <w:szCs w:val="20"/>
              </w:rPr>
              <w:t>116</w:t>
            </w:r>
            <w:r w:rsidRPr="00B266A2">
              <w:rPr>
                <w:sz w:val="20"/>
                <w:szCs w:val="20"/>
                <w:vertAlign w:val="superscript"/>
              </w:rPr>
              <w:t>‡</w:t>
            </w:r>
          </w:p>
        </w:tc>
        <w:tc>
          <w:tcPr>
            <w:tcW w:w="1182" w:type="dxa"/>
          </w:tcPr>
          <w:p w14:paraId="03CB4F39" w14:textId="77777777" w:rsidR="00E8259E" w:rsidRPr="00B266A2" w:rsidRDefault="00E8259E" w:rsidP="00B266A2">
            <w:pPr>
              <w:ind w:left="78"/>
              <w:rPr>
                <w:sz w:val="20"/>
                <w:szCs w:val="20"/>
              </w:rPr>
            </w:pPr>
            <w:r w:rsidRPr="00B266A2">
              <w:rPr>
                <w:sz w:val="20"/>
                <w:szCs w:val="20"/>
              </w:rPr>
              <w:t>470</w:t>
            </w:r>
            <w:r w:rsidRPr="00B266A2">
              <w:rPr>
                <w:sz w:val="20"/>
                <w:szCs w:val="20"/>
                <w:vertAlign w:val="superscript"/>
              </w:rPr>
              <w:t>‡</w:t>
            </w:r>
          </w:p>
        </w:tc>
        <w:tc>
          <w:tcPr>
            <w:tcW w:w="928" w:type="dxa"/>
          </w:tcPr>
          <w:p w14:paraId="29AAE4F9" w14:textId="77777777" w:rsidR="00E8259E" w:rsidRPr="00B266A2" w:rsidRDefault="00E8259E" w:rsidP="00B266A2">
            <w:pPr>
              <w:ind w:left="30"/>
              <w:rPr>
                <w:sz w:val="20"/>
                <w:szCs w:val="20"/>
              </w:rPr>
            </w:pPr>
            <w:r w:rsidRPr="00B266A2">
              <w:rPr>
                <w:sz w:val="20"/>
                <w:szCs w:val="20"/>
              </w:rPr>
              <w:t>106</w:t>
            </w:r>
          </w:p>
        </w:tc>
        <w:tc>
          <w:tcPr>
            <w:tcW w:w="844" w:type="dxa"/>
          </w:tcPr>
          <w:p w14:paraId="1C1EDED4" w14:textId="77777777" w:rsidR="00E8259E" w:rsidRPr="00B266A2" w:rsidRDefault="00E8259E" w:rsidP="00B266A2">
            <w:pPr>
              <w:ind w:left="30"/>
              <w:rPr>
                <w:sz w:val="20"/>
                <w:szCs w:val="20"/>
              </w:rPr>
            </w:pPr>
            <w:r w:rsidRPr="00B266A2">
              <w:rPr>
                <w:sz w:val="20"/>
                <w:szCs w:val="20"/>
              </w:rPr>
              <w:t>1009</w:t>
            </w:r>
          </w:p>
        </w:tc>
      </w:tr>
      <w:tr w:rsidR="00D46CFA" w:rsidRPr="00B266A2" w14:paraId="519DB56E" w14:textId="77777777" w:rsidTr="00A42187">
        <w:trPr>
          <w:trHeight w:val="233"/>
        </w:trPr>
        <w:tc>
          <w:tcPr>
            <w:tcW w:w="1288" w:type="dxa"/>
            <w:vMerge/>
          </w:tcPr>
          <w:p w14:paraId="17169878" w14:textId="77777777" w:rsidR="00E8259E" w:rsidRPr="00B266A2" w:rsidRDefault="00E8259E" w:rsidP="00B266A2">
            <w:pPr>
              <w:ind w:left="0"/>
              <w:rPr>
                <w:sz w:val="20"/>
                <w:szCs w:val="20"/>
              </w:rPr>
            </w:pPr>
          </w:p>
        </w:tc>
        <w:tc>
          <w:tcPr>
            <w:tcW w:w="1519" w:type="dxa"/>
            <w:vMerge w:val="restart"/>
          </w:tcPr>
          <w:p w14:paraId="58E3FDEC" w14:textId="77777777" w:rsidR="00E8259E" w:rsidRPr="00B266A2" w:rsidRDefault="00E8259E" w:rsidP="00B266A2">
            <w:pPr>
              <w:ind w:left="0"/>
              <w:rPr>
                <w:sz w:val="20"/>
                <w:szCs w:val="20"/>
              </w:rPr>
            </w:pPr>
            <w:r w:rsidRPr="00B266A2">
              <w:rPr>
                <w:sz w:val="20"/>
                <w:szCs w:val="20"/>
              </w:rPr>
              <w:t>Embryofetal [Study SBC102-T011] and pre-/post-natal development</w:t>
            </w:r>
          </w:p>
        </w:tc>
        <w:tc>
          <w:tcPr>
            <w:tcW w:w="928" w:type="dxa"/>
          </w:tcPr>
          <w:p w14:paraId="3D9127C4" w14:textId="77777777" w:rsidR="00E8259E" w:rsidRPr="00B266A2" w:rsidRDefault="00E8259E" w:rsidP="00B266A2">
            <w:pPr>
              <w:ind w:left="28"/>
              <w:rPr>
                <w:sz w:val="20"/>
                <w:szCs w:val="20"/>
              </w:rPr>
            </w:pPr>
            <w:r w:rsidRPr="00B266A2">
              <w:rPr>
                <w:sz w:val="20"/>
                <w:szCs w:val="20"/>
              </w:rPr>
              <w:t>6</w:t>
            </w:r>
          </w:p>
        </w:tc>
        <w:tc>
          <w:tcPr>
            <w:tcW w:w="844" w:type="dxa"/>
            <w:vMerge w:val="restart"/>
          </w:tcPr>
          <w:p w14:paraId="04AF6CAA" w14:textId="77777777" w:rsidR="00E8259E" w:rsidRPr="00B266A2" w:rsidRDefault="00E8259E" w:rsidP="00B266A2">
            <w:pPr>
              <w:ind w:left="93"/>
              <w:rPr>
                <w:sz w:val="20"/>
                <w:szCs w:val="20"/>
              </w:rPr>
            </w:pPr>
            <w:r w:rsidRPr="00B266A2">
              <w:rPr>
                <w:sz w:val="20"/>
                <w:szCs w:val="20"/>
              </w:rPr>
              <w:t>5</w:t>
            </w:r>
          </w:p>
        </w:tc>
        <w:tc>
          <w:tcPr>
            <w:tcW w:w="1013" w:type="dxa"/>
          </w:tcPr>
          <w:p w14:paraId="58E85CCB" w14:textId="77777777" w:rsidR="00E8259E" w:rsidRPr="00B266A2" w:rsidRDefault="00E8259E" w:rsidP="00B266A2">
            <w:pPr>
              <w:ind w:left="99"/>
              <w:rPr>
                <w:sz w:val="20"/>
                <w:szCs w:val="20"/>
              </w:rPr>
            </w:pPr>
            <w:r w:rsidRPr="00B266A2">
              <w:rPr>
                <w:sz w:val="20"/>
                <w:szCs w:val="20"/>
              </w:rPr>
              <w:t>0.6</w:t>
            </w:r>
          </w:p>
        </w:tc>
        <w:tc>
          <w:tcPr>
            <w:tcW w:w="1182" w:type="dxa"/>
          </w:tcPr>
          <w:p w14:paraId="653CC9EF" w14:textId="77777777" w:rsidR="00E8259E" w:rsidRPr="00B266A2" w:rsidRDefault="00E8259E" w:rsidP="00B266A2">
            <w:pPr>
              <w:ind w:left="78"/>
              <w:rPr>
                <w:sz w:val="20"/>
                <w:szCs w:val="20"/>
              </w:rPr>
            </w:pPr>
            <w:r w:rsidRPr="00B266A2">
              <w:rPr>
                <w:sz w:val="20"/>
                <w:szCs w:val="20"/>
              </w:rPr>
              <w:t>2.2</w:t>
            </w:r>
          </w:p>
        </w:tc>
        <w:tc>
          <w:tcPr>
            <w:tcW w:w="928" w:type="dxa"/>
          </w:tcPr>
          <w:p w14:paraId="681BCF22" w14:textId="77777777" w:rsidR="00E8259E" w:rsidRPr="00B266A2" w:rsidRDefault="00E8259E" w:rsidP="00B266A2">
            <w:pPr>
              <w:ind w:left="30"/>
              <w:rPr>
                <w:sz w:val="20"/>
                <w:szCs w:val="20"/>
              </w:rPr>
            </w:pPr>
            <w:r w:rsidRPr="00B266A2">
              <w:rPr>
                <w:sz w:val="20"/>
                <w:szCs w:val="20"/>
              </w:rPr>
              <w:t>0.5</w:t>
            </w:r>
          </w:p>
        </w:tc>
        <w:tc>
          <w:tcPr>
            <w:tcW w:w="844" w:type="dxa"/>
          </w:tcPr>
          <w:p w14:paraId="0DE6281E" w14:textId="77777777" w:rsidR="00E8259E" w:rsidRPr="00B266A2" w:rsidRDefault="00E8259E" w:rsidP="00B266A2">
            <w:pPr>
              <w:ind w:left="30"/>
              <w:rPr>
                <w:sz w:val="20"/>
                <w:szCs w:val="20"/>
              </w:rPr>
            </w:pPr>
            <w:r w:rsidRPr="00B266A2">
              <w:rPr>
                <w:sz w:val="20"/>
                <w:szCs w:val="20"/>
              </w:rPr>
              <w:t>5.8</w:t>
            </w:r>
          </w:p>
        </w:tc>
      </w:tr>
      <w:tr w:rsidR="00D46CFA" w:rsidRPr="00B266A2" w14:paraId="242DC5BF" w14:textId="77777777" w:rsidTr="00A42187">
        <w:trPr>
          <w:trHeight w:val="234"/>
        </w:trPr>
        <w:tc>
          <w:tcPr>
            <w:tcW w:w="1288" w:type="dxa"/>
            <w:vMerge/>
          </w:tcPr>
          <w:p w14:paraId="2A460F16" w14:textId="77777777" w:rsidR="00E8259E" w:rsidRPr="00B266A2" w:rsidRDefault="00E8259E" w:rsidP="00B266A2">
            <w:pPr>
              <w:ind w:left="0"/>
              <w:rPr>
                <w:sz w:val="20"/>
                <w:szCs w:val="20"/>
              </w:rPr>
            </w:pPr>
          </w:p>
        </w:tc>
        <w:tc>
          <w:tcPr>
            <w:tcW w:w="1519" w:type="dxa"/>
            <w:vMerge/>
          </w:tcPr>
          <w:p w14:paraId="5CBD7577" w14:textId="77777777" w:rsidR="00E8259E" w:rsidRPr="00B266A2" w:rsidRDefault="00E8259E" w:rsidP="00B266A2">
            <w:pPr>
              <w:ind w:left="0"/>
              <w:rPr>
                <w:sz w:val="20"/>
                <w:szCs w:val="20"/>
              </w:rPr>
            </w:pPr>
          </w:p>
        </w:tc>
        <w:tc>
          <w:tcPr>
            <w:tcW w:w="928" w:type="dxa"/>
          </w:tcPr>
          <w:p w14:paraId="6B503217" w14:textId="77777777" w:rsidR="00E8259E" w:rsidRPr="00B266A2" w:rsidRDefault="00E8259E" w:rsidP="00B266A2">
            <w:pPr>
              <w:ind w:left="28"/>
              <w:rPr>
                <w:sz w:val="20"/>
                <w:szCs w:val="20"/>
              </w:rPr>
            </w:pPr>
            <w:r w:rsidRPr="00B266A2">
              <w:rPr>
                <w:sz w:val="20"/>
                <w:szCs w:val="20"/>
              </w:rPr>
              <w:t>20</w:t>
            </w:r>
          </w:p>
        </w:tc>
        <w:tc>
          <w:tcPr>
            <w:tcW w:w="844" w:type="dxa"/>
            <w:vMerge/>
          </w:tcPr>
          <w:p w14:paraId="7E9E90B7" w14:textId="77777777" w:rsidR="00E8259E" w:rsidRPr="00B266A2" w:rsidRDefault="00E8259E" w:rsidP="00B266A2">
            <w:pPr>
              <w:ind w:left="93"/>
              <w:rPr>
                <w:sz w:val="20"/>
                <w:szCs w:val="20"/>
              </w:rPr>
            </w:pPr>
          </w:p>
        </w:tc>
        <w:tc>
          <w:tcPr>
            <w:tcW w:w="1013" w:type="dxa"/>
          </w:tcPr>
          <w:p w14:paraId="2422C022" w14:textId="77777777" w:rsidR="00E8259E" w:rsidRPr="00B266A2" w:rsidRDefault="00E8259E" w:rsidP="00B266A2">
            <w:pPr>
              <w:ind w:left="99"/>
              <w:rPr>
                <w:sz w:val="20"/>
                <w:szCs w:val="20"/>
              </w:rPr>
            </w:pPr>
            <w:r w:rsidRPr="00B266A2">
              <w:rPr>
                <w:sz w:val="20"/>
                <w:szCs w:val="20"/>
              </w:rPr>
              <w:t>5</w:t>
            </w:r>
          </w:p>
        </w:tc>
        <w:tc>
          <w:tcPr>
            <w:tcW w:w="1182" w:type="dxa"/>
          </w:tcPr>
          <w:p w14:paraId="6431915F" w14:textId="77777777" w:rsidR="00E8259E" w:rsidRPr="00B266A2" w:rsidRDefault="00E8259E" w:rsidP="00B266A2">
            <w:pPr>
              <w:ind w:left="78"/>
              <w:rPr>
                <w:sz w:val="20"/>
                <w:szCs w:val="20"/>
              </w:rPr>
            </w:pPr>
            <w:r w:rsidRPr="00B266A2">
              <w:rPr>
                <w:sz w:val="20"/>
                <w:szCs w:val="20"/>
              </w:rPr>
              <w:t>12</w:t>
            </w:r>
          </w:p>
        </w:tc>
        <w:tc>
          <w:tcPr>
            <w:tcW w:w="928" w:type="dxa"/>
          </w:tcPr>
          <w:p w14:paraId="5CA2CC1E" w14:textId="77777777" w:rsidR="00E8259E" w:rsidRPr="00B266A2" w:rsidRDefault="00E8259E" w:rsidP="00B266A2">
            <w:pPr>
              <w:ind w:left="30"/>
              <w:rPr>
                <w:sz w:val="20"/>
                <w:szCs w:val="20"/>
              </w:rPr>
            </w:pPr>
            <w:r w:rsidRPr="00B266A2">
              <w:rPr>
                <w:sz w:val="20"/>
                <w:szCs w:val="20"/>
              </w:rPr>
              <w:t>5</w:t>
            </w:r>
          </w:p>
        </w:tc>
        <w:tc>
          <w:tcPr>
            <w:tcW w:w="844" w:type="dxa"/>
          </w:tcPr>
          <w:p w14:paraId="6C7D763C" w14:textId="77777777" w:rsidR="00E8259E" w:rsidRPr="00B266A2" w:rsidRDefault="00E8259E" w:rsidP="00B266A2">
            <w:pPr>
              <w:ind w:left="30"/>
              <w:rPr>
                <w:sz w:val="20"/>
                <w:szCs w:val="20"/>
              </w:rPr>
            </w:pPr>
            <w:r w:rsidRPr="00B266A2">
              <w:rPr>
                <w:sz w:val="20"/>
                <w:szCs w:val="20"/>
              </w:rPr>
              <w:t>32</w:t>
            </w:r>
          </w:p>
        </w:tc>
      </w:tr>
      <w:tr w:rsidR="00D46CFA" w:rsidRPr="00B266A2" w14:paraId="2128A348" w14:textId="77777777" w:rsidTr="00A42187">
        <w:trPr>
          <w:trHeight w:val="234"/>
        </w:trPr>
        <w:tc>
          <w:tcPr>
            <w:tcW w:w="1288" w:type="dxa"/>
            <w:vMerge/>
          </w:tcPr>
          <w:p w14:paraId="0B08043C" w14:textId="77777777" w:rsidR="00E8259E" w:rsidRPr="00B266A2" w:rsidRDefault="00E8259E" w:rsidP="00B266A2">
            <w:pPr>
              <w:ind w:left="0"/>
              <w:rPr>
                <w:sz w:val="20"/>
                <w:szCs w:val="20"/>
              </w:rPr>
            </w:pPr>
          </w:p>
        </w:tc>
        <w:tc>
          <w:tcPr>
            <w:tcW w:w="1519" w:type="dxa"/>
            <w:vMerge/>
          </w:tcPr>
          <w:p w14:paraId="4D972F16" w14:textId="77777777" w:rsidR="00E8259E" w:rsidRPr="00B266A2" w:rsidRDefault="00E8259E" w:rsidP="00B266A2">
            <w:pPr>
              <w:ind w:left="0"/>
              <w:rPr>
                <w:sz w:val="20"/>
                <w:szCs w:val="20"/>
              </w:rPr>
            </w:pPr>
          </w:p>
        </w:tc>
        <w:tc>
          <w:tcPr>
            <w:tcW w:w="928" w:type="dxa"/>
          </w:tcPr>
          <w:p w14:paraId="3BF64F29" w14:textId="77777777" w:rsidR="00E8259E" w:rsidRPr="00B266A2" w:rsidRDefault="00E8259E" w:rsidP="00B266A2">
            <w:pPr>
              <w:ind w:left="28"/>
              <w:rPr>
                <w:sz w:val="20"/>
                <w:szCs w:val="20"/>
              </w:rPr>
            </w:pPr>
            <w:r w:rsidRPr="00B266A2">
              <w:rPr>
                <w:sz w:val="20"/>
                <w:szCs w:val="20"/>
              </w:rPr>
              <w:t>60</w:t>
            </w:r>
          </w:p>
        </w:tc>
        <w:tc>
          <w:tcPr>
            <w:tcW w:w="844" w:type="dxa"/>
            <w:vMerge/>
          </w:tcPr>
          <w:p w14:paraId="7347AE82" w14:textId="77777777" w:rsidR="00E8259E" w:rsidRPr="00B266A2" w:rsidRDefault="00E8259E" w:rsidP="00B266A2">
            <w:pPr>
              <w:ind w:left="93"/>
              <w:rPr>
                <w:sz w:val="20"/>
                <w:szCs w:val="20"/>
              </w:rPr>
            </w:pPr>
          </w:p>
        </w:tc>
        <w:tc>
          <w:tcPr>
            <w:tcW w:w="1013" w:type="dxa"/>
          </w:tcPr>
          <w:p w14:paraId="1FFEB088" w14:textId="77777777" w:rsidR="00E8259E" w:rsidRPr="00B266A2" w:rsidRDefault="00E8259E" w:rsidP="00B266A2">
            <w:pPr>
              <w:ind w:left="99"/>
              <w:rPr>
                <w:sz w:val="20"/>
                <w:szCs w:val="20"/>
              </w:rPr>
            </w:pPr>
            <w:r w:rsidRPr="00B266A2">
              <w:rPr>
                <w:sz w:val="20"/>
                <w:szCs w:val="20"/>
              </w:rPr>
              <w:t>58</w:t>
            </w:r>
          </w:p>
        </w:tc>
        <w:tc>
          <w:tcPr>
            <w:tcW w:w="1182" w:type="dxa"/>
          </w:tcPr>
          <w:p w14:paraId="08C71C43" w14:textId="77777777" w:rsidR="00E8259E" w:rsidRPr="00B266A2" w:rsidRDefault="00E8259E" w:rsidP="00B266A2">
            <w:pPr>
              <w:ind w:left="78"/>
              <w:rPr>
                <w:sz w:val="20"/>
                <w:szCs w:val="20"/>
              </w:rPr>
            </w:pPr>
            <w:r w:rsidRPr="00B266A2">
              <w:rPr>
                <w:sz w:val="20"/>
                <w:szCs w:val="20"/>
              </w:rPr>
              <w:t>227</w:t>
            </w:r>
          </w:p>
        </w:tc>
        <w:tc>
          <w:tcPr>
            <w:tcW w:w="928" w:type="dxa"/>
          </w:tcPr>
          <w:p w14:paraId="5993FB6C" w14:textId="77777777" w:rsidR="00E8259E" w:rsidRPr="00B266A2" w:rsidRDefault="00E8259E" w:rsidP="00B266A2">
            <w:pPr>
              <w:ind w:left="30"/>
              <w:rPr>
                <w:sz w:val="20"/>
                <w:szCs w:val="20"/>
              </w:rPr>
            </w:pPr>
            <w:r w:rsidRPr="00B266A2">
              <w:rPr>
                <w:sz w:val="20"/>
                <w:szCs w:val="20"/>
              </w:rPr>
              <w:t>53</w:t>
            </w:r>
          </w:p>
        </w:tc>
        <w:tc>
          <w:tcPr>
            <w:tcW w:w="844" w:type="dxa"/>
          </w:tcPr>
          <w:p w14:paraId="1D214A35" w14:textId="77777777" w:rsidR="00E8259E" w:rsidRPr="00B266A2" w:rsidRDefault="00E8259E" w:rsidP="00B266A2">
            <w:pPr>
              <w:ind w:left="30"/>
              <w:rPr>
                <w:sz w:val="20"/>
                <w:szCs w:val="20"/>
              </w:rPr>
            </w:pPr>
            <w:r w:rsidRPr="00B266A2">
              <w:rPr>
                <w:sz w:val="20"/>
                <w:szCs w:val="20"/>
              </w:rPr>
              <w:t>597</w:t>
            </w:r>
          </w:p>
        </w:tc>
      </w:tr>
      <w:tr w:rsidR="00D46CFA" w:rsidRPr="00B266A2" w14:paraId="464F771E" w14:textId="77777777" w:rsidTr="00A42187">
        <w:trPr>
          <w:trHeight w:val="212"/>
        </w:trPr>
        <w:tc>
          <w:tcPr>
            <w:tcW w:w="1288" w:type="dxa"/>
            <w:vMerge w:val="restart"/>
          </w:tcPr>
          <w:p w14:paraId="2F0CB455" w14:textId="77777777" w:rsidR="00E8259E" w:rsidRPr="00B266A2" w:rsidRDefault="00E8259E" w:rsidP="00B266A2">
            <w:pPr>
              <w:ind w:left="0"/>
              <w:rPr>
                <w:sz w:val="20"/>
                <w:szCs w:val="20"/>
              </w:rPr>
            </w:pPr>
            <w:r w:rsidRPr="00B266A2">
              <w:rPr>
                <w:sz w:val="20"/>
                <w:szCs w:val="20"/>
              </w:rPr>
              <w:t>Rabbit (NZW)</w:t>
            </w:r>
          </w:p>
        </w:tc>
        <w:tc>
          <w:tcPr>
            <w:tcW w:w="1519" w:type="dxa"/>
            <w:vMerge w:val="restart"/>
          </w:tcPr>
          <w:p w14:paraId="156EFD0B" w14:textId="77777777" w:rsidR="00E8259E" w:rsidRPr="00B266A2" w:rsidRDefault="00E8259E" w:rsidP="00B266A2">
            <w:pPr>
              <w:ind w:left="0"/>
              <w:rPr>
                <w:sz w:val="20"/>
                <w:szCs w:val="20"/>
              </w:rPr>
            </w:pPr>
            <w:r w:rsidRPr="00B266A2">
              <w:rPr>
                <w:sz w:val="20"/>
                <w:szCs w:val="20"/>
              </w:rPr>
              <w:t>Embryofetal development</w:t>
            </w:r>
            <w:r w:rsidR="008A34D4" w:rsidRPr="00B266A2">
              <w:rPr>
                <w:sz w:val="20"/>
                <w:szCs w:val="20"/>
              </w:rPr>
              <w:t xml:space="preserve"> </w:t>
            </w:r>
            <w:r w:rsidRPr="00B266A2">
              <w:rPr>
                <w:sz w:val="20"/>
                <w:szCs w:val="20"/>
              </w:rPr>
              <w:t>[Study SBC102-T008]</w:t>
            </w:r>
          </w:p>
        </w:tc>
        <w:tc>
          <w:tcPr>
            <w:tcW w:w="928" w:type="dxa"/>
          </w:tcPr>
          <w:p w14:paraId="5DEE5281" w14:textId="77777777" w:rsidR="00E8259E" w:rsidRPr="00B266A2" w:rsidRDefault="00E8259E" w:rsidP="00B266A2">
            <w:pPr>
              <w:ind w:left="28"/>
              <w:rPr>
                <w:sz w:val="20"/>
                <w:szCs w:val="20"/>
              </w:rPr>
            </w:pPr>
            <w:r w:rsidRPr="00B266A2">
              <w:rPr>
                <w:sz w:val="20"/>
                <w:szCs w:val="20"/>
              </w:rPr>
              <w:t>3</w:t>
            </w:r>
          </w:p>
        </w:tc>
        <w:tc>
          <w:tcPr>
            <w:tcW w:w="844" w:type="dxa"/>
            <w:vMerge w:val="restart"/>
          </w:tcPr>
          <w:p w14:paraId="1AE011F5" w14:textId="77777777" w:rsidR="00E8259E" w:rsidRPr="00B266A2" w:rsidRDefault="00E8259E" w:rsidP="00B266A2">
            <w:pPr>
              <w:ind w:left="93"/>
              <w:rPr>
                <w:sz w:val="20"/>
                <w:szCs w:val="20"/>
              </w:rPr>
            </w:pPr>
            <w:r w:rsidRPr="00B266A2">
              <w:rPr>
                <w:sz w:val="20"/>
                <w:szCs w:val="20"/>
              </w:rPr>
              <w:t>5</w:t>
            </w:r>
          </w:p>
        </w:tc>
        <w:tc>
          <w:tcPr>
            <w:tcW w:w="1013" w:type="dxa"/>
          </w:tcPr>
          <w:p w14:paraId="211D977B" w14:textId="77777777" w:rsidR="00E8259E" w:rsidRPr="00B266A2" w:rsidRDefault="00E8259E" w:rsidP="00B266A2">
            <w:pPr>
              <w:ind w:left="99"/>
              <w:rPr>
                <w:sz w:val="20"/>
                <w:szCs w:val="20"/>
              </w:rPr>
            </w:pPr>
            <w:r w:rsidRPr="00B266A2">
              <w:rPr>
                <w:sz w:val="20"/>
                <w:szCs w:val="20"/>
              </w:rPr>
              <w:t>1.1</w:t>
            </w:r>
          </w:p>
        </w:tc>
        <w:tc>
          <w:tcPr>
            <w:tcW w:w="1182" w:type="dxa"/>
          </w:tcPr>
          <w:p w14:paraId="07491B5C" w14:textId="77777777" w:rsidR="00E8259E" w:rsidRPr="00B266A2" w:rsidRDefault="00E8259E" w:rsidP="00B266A2">
            <w:pPr>
              <w:ind w:left="78"/>
              <w:rPr>
                <w:sz w:val="20"/>
                <w:szCs w:val="20"/>
              </w:rPr>
            </w:pPr>
            <w:r w:rsidRPr="00B266A2">
              <w:rPr>
                <w:sz w:val="20"/>
                <w:szCs w:val="20"/>
              </w:rPr>
              <w:t>4</w:t>
            </w:r>
          </w:p>
        </w:tc>
        <w:tc>
          <w:tcPr>
            <w:tcW w:w="928" w:type="dxa"/>
          </w:tcPr>
          <w:p w14:paraId="1AAB4B73" w14:textId="77777777" w:rsidR="00E8259E" w:rsidRPr="00B266A2" w:rsidRDefault="00E8259E" w:rsidP="00B266A2">
            <w:pPr>
              <w:ind w:left="30"/>
              <w:rPr>
                <w:sz w:val="20"/>
                <w:szCs w:val="20"/>
              </w:rPr>
            </w:pPr>
            <w:r w:rsidRPr="00B266A2">
              <w:rPr>
                <w:sz w:val="20"/>
                <w:szCs w:val="20"/>
              </w:rPr>
              <w:t>1</w:t>
            </w:r>
          </w:p>
        </w:tc>
        <w:tc>
          <w:tcPr>
            <w:tcW w:w="844" w:type="dxa"/>
          </w:tcPr>
          <w:p w14:paraId="387A4901" w14:textId="77777777" w:rsidR="00E8259E" w:rsidRPr="00B266A2" w:rsidRDefault="00E8259E" w:rsidP="00B266A2">
            <w:pPr>
              <w:ind w:left="30"/>
              <w:rPr>
                <w:sz w:val="20"/>
                <w:szCs w:val="20"/>
              </w:rPr>
            </w:pPr>
            <w:r w:rsidRPr="00B266A2">
              <w:rPr>
                <w:sz w:val="20"/>
                <w:szCs w:val="20"/>
              </w:rPr>
              <w:t>11</w:t>
            </w:r>
          </w:p>
        </w:tc>
      </w:tr>
      <w:tr w:rsidR="00D46CFA" w:rsidRPr="00B266A2" w14:paraId="13EFD5D9" w14:textId="77777777" w:rsidTr="00A42187">
        <w:trPr>
          <w:trHeight w:val="212"/>
        </w:trPr>
        <w:tc>
          <w:tcPr>
            <w:tcW w:w="1288" w:type="dxa"/>
            <w:vMerge/>
          </w:tcPr>
          <w:p w14:paraId="719985DF" w14:textId="77777777" w:rsidR="00E8259E" w:rsidRPr="00B266A2" w:rsidRDefault="00E8259E" w:rsidP="00B266A2">
            <w:pPr>
              <w:ind w:left="0"/>
              <w:rPr>
                <w:sz w:val="20"/>
                <w:szCs w:val="20"/>
              </w:rPr>
            </w:pPr>
          </w:p>
        </w:tc>
        <w:tc>
          <w:tcPr>
            <w:tcW w:w="1519" w:type="dxa"/>
            <w:vMerge/>
          </w:tcPr>
          <w:p w14:paraId="29B1C342" w14:textId="77777777" w:rsidR="00E8259E" w:rsidRPr="00B266A2" w:rsidRDefault="00E8259E" w:rsidP="00B266A2">
            <w:pPr>
              <w:ind w:left="0"/>
              <w:rPr>
                <w:sz w:val="20"/>
                <w:szCs w:val="20"/>
              </w:rPr>
            </w:pPr>
          </w:p>
        </w:tc>
        <w:tc>
          <w:tcPr>
            <w:tcW w:w="928" w:type="dxa"/>
          </w:tcPr>
          <w:p w14:paraId="239C8F93" w14:textId="77777777" w:rsidR="00E8259E" w:rsidRPr="00B266A2" w:rsidRDefault="00E8259E" w:rsidP="00B266A2">
            <w:pPr>
              <w:ind w:left="28"/>
              <w:rPr>
                <w:sz w:val="20"/>
                <w:szCs w:val="20"/>
              </w:rPr>
            </w:pPr>
            <w:r w:rsidRPr="00B266A2">
              <w:rPr>
                <w:sz w:val="20"/>
                <w:szCs w:val="20"/>
              </w:rPr>
              <w:t>10</w:t>
            </w:r>
          </w:p>
        </w:tc>
        <w:tc>
          <w:tcPr>
            <w:tcW w:w="844" w:type="dxa"/>
            <w:vMerge/>
          </w:tcPr>
          <w:p w14:paraId="483CB0A6" w14:textId="77777777" w:rsidR="00E8259E" w:rsidRPr="00B266A2" w:rsidRDefault="00E8259E" w:rsidP="00B266A2">
            <w:pPr>
              <w:ind w:left="93"/>
              <w:rPr>
                <w:sz w:val="20"/>
                <w:szCs w:val="20"/>
              </w:rPr>
            </w:pPr>
          </w:p>
        </w:tc>
        <w:tc>
          <w:tcPr>
            <w:tcW w:w="1013" w:type="dxa"/>
          </w:tcPr>
          <w:p w14:paraId="5B51BDA0" w14:textId="77777777" w:rsidR="00E8259E" w:rsidRPr="00B266A2" w:rsidRDefault="00E8259E" w:rsidP="00B266A2">
            <w:pPr>
              <w:ind w:left="99"/>
              <w:rPr>
                <w:sz w:val="20"/>
                <w:szCs w:val="20"/>
              </w:rPr>
            </w:pPr>
            <w:r w:rsidRPr="00B266A2">
              <w:rPr>
                <w:sz w:val="20"/>
                <w:szCs w:val="20"/>
              </w:rPr>
              <w:t>6</w:t>
            </w:r>
          </w:p>
        </w:tc>
        <w:tc>
          <w:tcPr>
            <w:tcW w:w="1182" w:type="dxa"/>
          </w:tcPr>
          <w:p w14:paraId="69E47D7C" w14:textId="77777777" w:rsidR="00E8259E" w:rsidRPr="00B266A2" w:rsidRDefault="00E8259E" w:rsidP="00B266A2">
            <w:pPr>
              <w:ind w:left="78"/>
              <w:rPr>
                <w:sz w:val="20"/>
                <w:szCs w:val="20"/>
              </w:rPr>
            </w:pPr>
            <w:r w:rsidRPr="00B266A2">
              <w:rPr>
                <w:sz w:val="20"/>
                <w:szCs w:val="20"/>
              </w:rPr>
              <w:t>23</w:t>
            </w:r>
          </w:p>
        </w:tc>
        <w:tc>
          <w:tcPr>
            <w:tcW w:w="928" w:type="dxa"/>
          </w:tcPr>
          <w:p w14:paraId="7DAF007E" w14:textId="77777777" w:rsidR="00E8259E" w:rsidRPr="00B266A2" w:rsidRDefault="00E8259E" w:rsidP="00B266A2">
            <w:pPr>
              <w:ind w:left="30"/>
              <w:rPr>
                <w:sz w:val="20"/>
                <w:szCs w:val="20"/>
              </w:rPr>
            </w:pPr>
            <w:r w:rsidRPr="00B266A2">
              <w:rPr>
                <w:sz w:val="20"/>
                <w:szCs w:val="20"/>
              </w:rPr>
              <w:t>5.5</w:t>
            </w:r>
          </w:p>
        </w:tc>
        <w:tc>
          <w:tcPr>
            <w:tcW w:w="844" w:type="dxa"/>
          </w:tcPr>
          <w:p w14:paraId="3DB2EB0B" w14:textId="77777777" w:rsidR="00E8259E" w:rsidRPr="00B266A2" w:rsidRDefault="00E8259E" w:rsidP="00B266A2">
            <w:pPr>
              <w:ind w:left="30"/>
              <w:rPr>
                <w:sz w:val="20"/>
                <w:szCs w:val="20"/>
              </w:rPr>
            </w:pPr>
            <w:r w:rsidRPr="00B266A2">
              <w:rPr>
                <w:sz w:val="20"/>
                <w:szCs w:val="20"/>
              </w:rPr>
              <w:t>61</w:t>
            </w:r>
          </w:p>
        </w:tc>
      </w:tr>
      <w:tr w:rsidR="00D46CFA" w:rsidRPr="00B266A2" w14:paraId="5C4C1A46" w14:textId="77777777" w:rsidTr="00A42187">
        <w:trPr>
          <w:trHeight w:val="212"/>
        </w:trPr>
        <w:tc>
          <w:tcPr>
            <w:tcW w:w="1288" w:type="dxa"/>
            <w:vMerge/>
          </w:tcPr>
          <w:p w14:paraId="72EB98EE" w14:textId="77777777" w:rsidR="00E8259E" w:rsidRPr="00B266A2" w:rsidRDefault="00E8259E" w:rsidP="00B266A2">
            <w:pPr>
              <w:ind w:left="0"/>
              <w:rPr>
                <w:sz w:val="20"/>
                <w:szCs w:val="20"/>
              </w:rPr>
            </w:pPr>
          </w:p>
        </w:tc>
        <w:tc>
          <w:tcPr>
            <w:tcW w:w="1519" w:type="dxa"/>
            <w:vMerge/>
          </w:tcPr>
          <w:p w14:paraId="5356DE04" w14:textId="77777777" w:rsidR="00E8259E" w:rsidRPr="00B266A2" w:rsidRDefault="00E8259E" w:rsidP="00B266A2">
            <w:pPr>
              <w:ind w:left="0"/>
              <w:rPr>
                <w:sz w:val="20"/>
                <w:szCs w:val="20"/>
              </w:rPr>
            </w:pPr>
          </w:p>
        </w:tc>
        <w:tc>
          <w:tcPr>
            <w:tcW w:w="928" w:type="dxa"/>
          </w:tcPr>
          <w:p w14:paraId="46902D86" w14:textId="77777777" w:rsidR="00E8259E" w:rsidRPr="00B266A2" w:rsidRDefault="00E8259E" w:rsidP="00B266A2">
            <w:pPr>
              <w:ind w:left="28"/>
              <w:rPr>
                <w:sz w:val="20"/>
                <w:szCs w:val="20"/>
              </w:rPr>
            </w:pPr>
            <w:r w:rsidRPr="00B266A2">
              <w:rPr>
                <w:sz w:val="20"/>
                <w:szCs w:val="20"/>
              </w:rPr>
              <w:t>25</w:t>
            </w:r>
          </w:p>
        </w:tc>
        <w:tc>
          <w:tcPr>
            <w:tcW w:w="844" w:type="dxa"/>
            <w:vMerge/>
          </w:tcPr>
          <w:p w14:paraId="242F4101" w14:textId="77777777" w:rsidR="00E8259E" w:rsidRPr="00B266A2" w:rsidRDefault="00E8259E" w:rsidP="00B266A2">
            <w:pPr>
              <w:ind w:left="93"/>
              <w:rPr>
                <w:sz w:val="20"/>
                <w:szCs w:val="20"/>
              </w:rPr>
            </w:pPr>
          </w:p>
        </w:tc>
        <w:tc>
          <w:tcPr>
            <w:tcW w:w="1013" w:type="dxa"/>
          </w:tcPr>
          <w:p w14:paraId="43DD763D" w14:textId="77777777" w:rsidR="00E8259E" w:rsidRPr="00B266A2" w:rsidRDefault="00E8259E" w:rsidP="00B266A2">
            <w:pPr>
              <w:ind w:left="99"/>
              <w:rPr>
                <w:sz w:val="20"/>
                <w:szCs w:val="20"/>
              </w:rPr>
            </w:pPr>
            <w:r w:rsidRPr="00B266A2">
              <w:rPr>
                <w:sz w:val="20"/>
                <w:szCs w:val="20"/>
              </w:rPr>
              <w:t>59</w:t>
            </w:r>
          </w:p>
        </w:tc>
        <w:tc>
          <w:tcPr>
            <w:tcW w:w="1182" w:type="dxa"/>
          </w:tcPr>
          <w:p w14:paraId="220DE8D0" w14:textId="77777777" w:rsidR="00E8259E" w:rsidRPr="00B266A2" w:rsidRDefault="00E8259E" w:rsidP="00B266A2">
            <w:pPr>
              <w:ind w:left="78"/>
              <w:rPr>
                <w:sz w:val="20"/>
                <w:szCs w:val="20"/>
              </w:rPr>
            </w:pPr>
            <w:r w:rsidRPr="00B266A2">
              <w:rPr>
                <w:sz w:val="20"/>
                <w:szCs w:val="20"/>
              </w:rPr>
              <w:t>237</w:t>
            </w:r>
          </w:p>
        </w:tc>
        <w:tc>
          <w:tcPr>
            <w:tcW w:w="928" w:type="dxa"/>
          </w:tcPr>
          <w:p w14:paraId="0AA94790" w14:textId="77777777" w:rsidR="00E8259E" w:rsidRPr="00B266A2" w:rsidRDefault="00E8259E" w:rsidP="00B266A2">
            <w:pPr>
              <w:ind w:left="30"/>
              <w:rPr>
                <w:sz w:val="20"/>
                <w:szCs w:val="20"/>
              </w:rPr>
            </w:pPr>
            <w:r w:rsidRPr="00B266A2">
              <w:rPr>
                <w:sz w:val="20"/>
                <w:szCs w:val="20"/>
              </w:rPr>
              <w:t>54</w:t>
            </w:r>
          </w:p>
        </w:tc>
        <w:tc>
          <w:tcPr>
            <w:tcW w:w="844" w:type="dxa"/>
          </w:tcPr>
          <w:p w14:paraId="1B2B042E" w14:textId="77777777" w:rsidR="00E8259E" w:rsidRPr="00B266A2" w:rsidRDefault="00E8259E" w:rsidP="00B266A2">
            <w:pPr>
              <w:ind w:left="30"/>
              <w:rPr>
                <w:sz w:val="20"/>
                <w:szCs w:val="20"/>
              </w:rPr>
            </w:pPr>
            <w:r w:rsidRPr="00B266A2">
              <w:rPr>
                <w:sz w:val="20"/>
                <w:szCs w:val="20"/>
              </w:rPr>
              <w:t>624</w:t>
            </w:r>
          </w:p>
        </w:tc>
      </w:tr>
      <w:tr w:rsidR="00D46CFA" w:rsidRPr="00B266A2" w14:paraId="5971F48D" w14:textId="77777777" w:rsidTr="00A42187">
        <w:trPr>
          <w:trHeight w:val="212"/>
        </w:trPr>
        <w:tc>
          <w:tcPr>
            <w:tcW w:w="1288" w:type="dxa"/>
            <w:vMerge/>
          </w:tcPr>
          <w:p w14:paraId="6E98C6CB" w14:textId="77777777" w:rsidR="00E8259E" w:rsidRPr="00B266A2" w:rsidRDefault="00E8259E" w:rsidP="00B266A2">
            <w:pPr>
              <w:ind w:left="0"/>
              <w:rPr>
                <w:sz w:val="20"/>
                <w:szCs w:val="20"/>
              </w:rPr>
            </w:pPr>
          </w:p>
        </w:tc>
        <w:tc>
          <w:tcPr>
            <w:tcW w:w="1519" w:type="dxa"/>
            <w:vMerge/>
          </w:tcPr>
          <w:p w14:paraId="760F5201" w14:textId="77777777" w:rsidR="00E8259E" w:rsidRPr="00B266A2" w:rsidRDefault="00E8259E" w:rsidP="00B266A2">
            <w:pPr>
              <w:ind w:left="0"/>
              <w:rPr>
                <w:sz w:val="20"/>
                <w:szCs w:val="20"/>
              </w:rPr>
            </w:pPr>
          </w:p>
        </w:tc>
        <w:tc>
          <w:tcPr>
            <w:tcW w:w="928" w:type="dxa"/>
          </w:tcPr>
          <w:p w14:paraId="44C9DEBC" w14:textId="77777777" w:rsidR="00E8259E" w:rsidRPr="00B266A2" w:rsidRDefault="00E8259E" w:rsidP="00B266A2">
            <w:pPr>
              <w:ind w:left="28"/>
              <w:rPr>
                <w:sz w:val="20"/>
                <w:szCs w:val="20"/>
              </w:rPr>
            </w:pPr>
            <w:r w:rsidRPr="00B266A2">
              <w:rPr>
                <w:sz w:val="20"/>
                <w:szCs w:val="20"/>
              </w:rPr>
              <w:t>50</w:t>
            </w:r>
          </w:p>
        </w:tc>
        <w:tc>
          <w:tcPr>
            <w:tcW w:w="844" w:type="dxa"/>
            <w:vMerge/>
          </w:tcPr>
          <w:p w14:paraId="0F729B35" w14:textId="77777777" w:rsidR="00E8259E" w:rsidRPr="00B266A2" w:rsidRDefault="00E8259E" w:rsidP="00B266A2">
            <w:pPr>
              <w:ind w:left="93"/>
              <w:rPr>
                <w:sz w:val="20"/>
                <w:szCs w:val="20"/>
              </w:rPr>
            </w:pPr>
          </w:p>
        </w:tc>
        <w:tc>
          <w:tcPr>
            <w:tcW w:w="1013" w:type="dxa"/>
          </w:tcPr>
          <w:p w14:paraId="3AB8E99D" w14:textId="77777777" w:rsidR="00E8259E" w:rsidRPr="00B266A2" w:rsidRDefault="00E8259E" w:rsidP="00B266A2">
            <w:pPr>
              <w:ind w:left="99"/>
              <w:rPr>
                <w:sz w:val="20"/>
                <w:szCs w:val="20"/>
              </w:rPr>
            </w:pPr>
            <w:r w:rsidRPr="00B266A2">
              <w:rPr>
                <w:sz w:val="20"/>
                <w:szCs w:val="20"/>
              </w:rPr>
              <w:t>146</w:t>
            </w:r>
          </w:p>
        </w:tc>
        <w:tc>
          <w:tcPr>
            <w:tcW w:w="1182" w:type="dxa"/>
          </w:tcPr>
          <w:p w14:paraId="62E71010" w14:textId="77777777" w:rsidR="00E8259E" w:rsidRPr="00B266A2" w:rsidRDefault="00E8259E" w:rsidP="00B266A2">
            <w:pPr>
              <w:ind w:left="78"/>
              <w:rPr>
                <w:sz w:val="20"/>
                <w:szCs w:val="20"/>
              </w:rPr>
            </w:pPr>
            <w:r w:rsidRPr="00B266A2">
              <w:rPr>
                <w:sz w:val="20"/>
                <w:szCs w:val="20"/>
              </w:rPr>
              <w:t>653</w:t>
            </w:r>
          </w:p>
        </w:tc>
        <w:tc>
          <w:tcPr>
            <w:tcW w:w="928" w:type="dxa"/>
          </w:tcPr>
          <w:p w14:paraId="55602275" w14:textId="77777777" w:rsidR="00E8259E" w:rsidRPr="00B266A2" w:rsidRDefault="00E8259E" w:rsidP="00B266A2">
            <w:pPr>
              <w:ind w:left="30"/>
              <w:rPr>
                <w:sz w:val="20"/>
                <w:szCs w:val="20"/>
              </w:rPr>
            </w:pPr>
            <w:r w:rsidRPr="00B266A2">
              <w:rPr>
                <w:sz w:val="20"/>
                <w:szCs w:val="20"/>
              </w:rPr>
              <w:t>133</w:t>
            </w:r>
          </w:p>
        </w:tc>
        <w:tc>
          <w:tcPr>
            <w:tcW w:w="844" w:type="dxa"/>
          </w:tcPr>
          <w:p w14:paraId="6416CAE1" w14:textId="77777777" w:rsidR="00E8259E" w:rsidRPr="00B266A2" w:rsidRDefault="00E8259E" w:rsidP="00B266A2">
            <w:pPr>
              <w:ind w:left="30"/>
              <w:rPr>
                <w:sz w:val="20"/>
                <w:szCs w:val="20"/>
              </w:rPr>
            </w:pPr>
            <w:r w:rsidRPr="00B266A2">
              <w:rPr>
                <w:sz w:val="20"/>
                <w:szCs w:val="20"/>
              </w:rPr>
              <w:t>1718</w:t>
            </w:r>
          </w:p>
        </w:tc>
      </w:tr>
      <w:tr w:rsidR="00D46CFA" w:rsidRPr="00B266A2" w14:paraId="26B20AFE" w14:textId="77777777" w:rsidTr="00A42187">
        <w:trPr>
          <w:trHeight w:val="212"/>
        </w:trPr>
        <w:tc>
          <w:tcPr>
            <w:tcW w:w="1288" w:type="dxa"/>
          </w:tcPr>
          <w:p w14:paraId="03BFA4C3" w14:textId="256324AB" w:rsidR="00E8259E" w:rsidRPr="00B266A2" w:rsidRDefault="00E8259E" w:rsidP="00B266A2">
            <w:pPr>
              <w:ind w:left="0"/>
              <w:rPr>
                <w:sz w:val="20"/>
                <w:szCs w:val="20"/>
              </w:rPr>
            </w:pPr>
            <w:r w:rsidRPr="00B266A2">
              <w:rPr>
                <w:sz w:val="20"/>
                <w:szCs w:val="20"/>
              </w:rPr>
              <w:t xml:space="preserve">Human (Adult LAL-D patients, </w:t>
            </w:r>
            <w:r w:rsidR="00B935CA" w:rsidRPr="00B266A2">
              <w:rPr>
                <w:sz w:val="20"/>
                <w:szCs w:val="20"/>
              </w:rPr>
              <w:t>≥</w:t>
            </w:r>
            <w:r w:rsidR="00D46CFA" w:rsidRPr="00B266A2">
              <w:rPr>
                <w:sz w:val="20"/>
                <w:szCs w:val="20"/>
              </w:rPr>
              <w:t> </w:t>
            </w:r>
            <w:r w:rsidRPr="00B266A2">
              <w:rPr>
                <w:sz w:val="20"/>
                <w:szCs w:val="20"/>
              </w:rPr>
              <w:t>18</w:t>
            </w:r>
            <w:r w:rsidR="00D46CFA" w:rsidRPr="00B266A2">
              <w:rPr>
                <w:sz w:val="20"/>
                <w:szCs w:val="20"/>
              </w:rPr>
              <w:t> </w:t>
            </w:r>
            <w:r w:rsidRPr="00B266A2">
              <w:rPr>
                <w:sz w:val="20"/>
                <w:szCs w:val="20"/>
              </w:rPr>
              <w:t>y</w:t>
            </w:r>
            <w:r w:rsidR="008A34D4" w:rsidRPr="00B266A2">
              <w:rPr>
                <w:sz w:val="20"/>
                <w:szCs w:val="20"/>
              </w:rPr>
              <w:t>ears</w:t>
            </w:r>
            <w:r w:rsidRPr="00B266A2">
              <w:rPr>
                <w:sz w:val="20"/>
                <w:szCs w:val="20"/>
              </w:rPr>
              <w:t>)</w:t>
            </w:r>
          </w:p>
        </w:tc>
        <w:tc>
          <w:tcPr>
            <w:tcW w:w="1519" w:type="dxa"/>
          </w:tcPr>
          <w:p w14:paraId="6A2070A7" w14:textId="77777777" w:rsidR="00E8259E" w:rsidRPr="00B266A2" w:rsidRDefault="00E8259E" w:rsidP="00B266A2">
            <w:pPr>
              <w:ind w:left="0"/>
              <w:rPr>
                <w:sz w:val="20"/>
                <w:szCs w:val="20"/>
              </w:rPr>
            </w:pPr>
            <w:r w:rsidRPr="00B266A2">
              <w:rPr>
                <w:sz w:val="20"/>
                <w:szCs w:val="20"/>
              </w:rPr>
              <w:t>Population PK Study</w:t>
            </w:r>
          </w:p>
          <w:p w14:paraId="798EB020" w14:textId="77777777" w:rsidR="00E8259E" w:rsidRPr="00B266A2" w:rsidRDefault="00E8259E" w:rsidP="00B266A2">
            <w:pPr>
              <w:ind w:left="0"/>
              <w:rPr>
                <w:sz w:val="20"/>
                <w:szCs w:val="20"/>
              </w:rPr>
            </w:pPr>
            <w:r w:rsidRPr="00B266A2">
              <w:rPr>
                <w:sz w:val="20"/>
                <w:szCs w:val="20"/>
              </w:rPr>
              <w:t>[Study SYN201301]</w:t>
            </w:r>
          </w:p>
        </w:tc>
        <w:tc>
          <w:tcPr>
            <w:tcW w:w="928" w:type="dxa"/>
          </w:tcPr>
          <w:p w14:paraId="7207A652" w14:textId="77777777" w:rsidR="00E8259E" w:rsidRPr="00B266A2" w:rsidRDefault="00E8259E" w:rsidP="00B266A2">
            <w:pPr>
              <w:ind w:left="28"/>
              <w:rPr>
                <w:sz w:val="20"/>
                <w:szCs w:val="20"/>
              </w:rPr>
            </w:pPr>
            <w:r w:rsidRPr="00B266A2">
              <w:rPr>
                <w:sz w:val="20"/>
                <w:szCs w:val="20"/>
              </w:rPr>
              <w:t>1</w:t>
            </w:r>
          </w:p>
        </w:tc>
        <w:tc>
          <w:tcPr>
            <w:tcW w:w="844" w:type="dxa"/>
          </w:tcPr>
          <w:p w14:paraId="2A848ACE" w14:textId="77777777" w:rsidR="00E8259E" w:rsidRPr="00B266A2" w:rsidRDefault="00E8259E" w:rsidP="00B266A2">
            <w:pPr>
              <w:ind w:left="93"/>
              <w:rPr>
                <w:sz w:val="20"/>
                <w:szCs w:val="20"/>
              </w:rPr>
            </w:pPr>
            <w:r w:rsidRPr="00B266A2">
              <w:rPr>
                <w:sz w:val="20"/>
                <w:szCs w:val="20"/>
              </w:rPr>
              <w:t>1</w:t>
            </w:r>
          </w:p>
        </w:tc>
        <w:tc>
          <w:tcPr>
            <w:tcW w:w="1013" w:type="dxa"/>
          </w:tcPr>
          <w:p w14:paraId="39CDD3C8" w14:textId="77777777" w:rsidR="00E8259E" w:rsidRPr="00B266A2" w:rsidRDefault="00E8259E" w:rsidP="00B266A2">
            <w:pPr>
              <w:ind w:left="99"/>
              <w:rPr>
                <w:sz w:val="20"/>
                <w:szCs w:val="20"/>
              </w:rPr>
            </w:pPr>
            <w:r w:rsidRPr="00B266A2">
              <w:rPr>
                <w:sz w:val="20"/>
                <w:szCs w:val="20"/>
              </w:rPr>
              <w:t>1.1</w:t>
            </w:r>
          </w:p>
        </w:tc>
        <w:tc>
          <w:tcPr>
            <w:tcW w:w="1182" w:type="dxa"/>
          </w:tcPr>
          <w:p w14:paraId="28427C6B" w14:textId="77777777" w:rsidR="00E8259E" w:rsidRPr="00B266A2" w:rsidRDefault="00E8259E" w:rsidP="00B266A2">
            <w:pPr>
              <w:ind w:left="78"/>
              <w:rPr>
                <w:sz w:val="20"/>
                <w:szCs w:val="20"/>
              </w:rPr>
            </w:pPr>
            <w:r w:rsidRPr="00B266A2">
              <w:rPr>
                <w:sz w:val="20"/>
                <w:szCs w:val="20"/>
              </w:rPr>
              <w:t>1.9</w:t>
            </w:r>
          </w:p>
        </w:tc>
        <w:tc>
          <w:tcPr>
            <w:tcW w:w="928" w:type="dxa"/>
          </w:tcPr>
          <w:p w14:paraId="19ABE9C4" w14:textId="77777777" w:rsidR="00E8259E" w:rsidRPr="00B266A2" w:rsidRDefault="00E8259E" w:rsidP="00B266A2">
            <w:pPr>
              <w:ind w:left="30"/>
              <w:rPr>
                <w:sz w:val="20"/>
                <w:szCs w:val="20"/>
              </w:rPr>
            </w:pPr>
            <w:r w:rsidRPr="00B266A2">
              <w:rPr>
                <w:sz w:val="20"/>
                <w:szCs w:val="20"/>
              </w:rPr>
              <w:t>–</w:t>
            </w:r>
          </w:p>
        </w:tc>
        <w:tc>
          <w:tcPr>
            <w:tcW w:w="844" w:type="dxa"/>
          </w:tcPr>
          <w:p w14:paraId="7333D652" w14:textId="77777777" w:rsidR="00E8259E" w:rsidRPr="00B266A2" w:rsidRDefault="00E8259E" w:rsidP="00B266A2">
            <w:pPr>
              <w:ind w:left="30"/>
              <w:rPr>
                <w:sz w:val="20"/>
                <w:szCs w:val="20"/>
              </w:rPr>
            </w:pPr>
            <w:r w:rsidRPr="00B266A2">
              <w:rPr>
                <w:sz w:val="20"/>
                <w:szCs w:val="20"/>
              </w:rPr>
              <w:t>–</w:t>
            </w:r>
          </w:p>
        </w:tc>
      </w:tr>
    </w:tbl>
    <w:p w14:paraId="175C67DA" w14:textId="1417645D" w:rsidR="00E8259E" w:rsidRPr="00E8259E" w:rsidRDefault="00E8259E" w:rsidP="00B266A2">
      <w:pPr>
        <w:pStyle w:val="TableDescription"/>
      </w:pPr>
      <w:r w:rsidRPr="00132F48">
        <w:rPr>
          <w:kern w:val="2"/>
        </w:rPr>
        <w:t>§</w:t>
      </w:r>
      <w:r>
        <w:t xml:space="preserve"> = exposure in fertility studies (SBC102-T009 and –T010) based on </w:t>
      </w:r>
      <w:proofErr w:type="spellStart"/>
      <w:r w:rsidR="00953E28">
        <w:t>C</w:t>
      </w:r>
      <w:r w:rsidR="00953E28" w:rsidRPr="00953E28">
        <w:rPr>
          <w:vertAlign w:val="subscript"/>
        </w:rPr>
        <w:t>max</w:t>
      </w:r>
      <w:proofErr w:type="spellEnd"/>
      <w:r>
        <w:t xml:space="preserve"> and AUC (average male and female) from repeat dose study SBC102-T002:</w:t>
      </w:r>
      <w:r w:rsidR="00B935CA">
        <w:t xml:space="preserve"> </w:t>
      </w:r>
      <w:r>
        <w:t>†,</w:t>
      </w:r>
      <w:r w:rsidR="00B935CA">
        <w:t xml:space="preserve"> </w:t>
      </w:r>
      <w:r>
        <w:t xml:space="preserve">estimate based on linear interpolation from line-of-best fit of PK parameters at 5 and 20 μg/mL doses; ‡ = estimate based on linear extrapolation from line-of-best fit of PK parameters at 20 and 50 μg/mL doses. ^ = </w:t>
      </w:r>
      <w:r w:rsidRPr="00CC5CA2">
        <w:t>AUC</w:t>
      </w:r>
      <w:r w:rsidRPr="00CC5CA2">
        <w:rPr>
          <w:vertAlign w:val="subscript"/>
        </w:rPr>
        <w:t>0-last</w:t>
      </w:r>
      <w:r>
        <w:t xml:space="preserve"> and </w:t>
      </w:r>
      <w:proofErr w:type="spellStart"/>
      <w:r>
        <w:t>AUC</w:t>
      </w:r>
      <w:r w:rsidRPr="00CC5CA2">
        <w:rPr>
          <w:vertAlign w:val="subscript"/>
        </w:rPr>
        <w:t>steady</w:t>
      </w:r>
      <w:proofErr w:type="spellEnd"/>
      <w:r w:rsidRPr="00CC5CA2">
        <w:rPr>
          <w:vertAlign w:val="subscript"/>
        </w:rPr>
        <w:t xml:space="preserve"> state</w:t>
      </w:r>
      <w:r>
        <w:t xml:space="preserve"> values are presented for animal and human studies, respectively. </w:t>
      </w:r>
      <w:r w:rsidRPr="00EB69F1">
        <w:rPr>
          <w:position w:val="-2"/>
          <w:vertAlign w:val="superscript"/>
        </w:rPr>
        <w:t>#</w:t>
      </w:r>
      <w:r w:rsidRPr="00EB69F1">
        <w:t xml:space="preserve"> = </w:t>
      </w:r>
      <w:r w:rsidR="003A7287" w:rsidRPr="00EB69F1">
        <w:t>animal</w:t>
      </w:r>
      <w:r w:rsidR="003A7287">
        <w:t>: human</w:t>
      </w:r>
      <w:r>
        <w:t xml:space="preserve"> ratios of serum </w:t>
      </w:r>
      <w:proofErr w:type="spellStart"/>
      <w:r w:rsidR="00953E28">
        <w:t>C</w:t>
      </w:r>
      <w:r w:rsidR="00953E28" w:rsidRPr="00953E28">
        <w:rPr>
          <w:vertAlign w:val="subscript"/>
        </w:rPr>
        <w:t>max</w:t>
      </w:r>
      <w:proofErr w:type="spellEnd"/>
      <w:r>
        <w:t xml:space="preserve"> or AUC;</w:t>
      </w:r>
      <w:r w:rsidRPr="00CF6C32">
        <w:t xml:space="preserve"> </w:t>
      </w:r>
      <w:r>
        <w:t>exposure ratios based on AUC were normalised for dosing frequency by</w:t>
      </w:r>
      <w:r w:rsidR="0037757C">
        <w:t xml:space="preserve"> multiplying the AUC values by the respective dosing frequencies shown.</w:t>
      </w:r>
    </w:p>
    <w:p w14:paraId="4F08C4CD" w14:textId="60720AF7" w:rsidR="0037757C" w:rsidRDefault="003A7287" w:rsidP="0037757C">
      <w:r>
        <w:t>Animal: human</w:t>
      </w:r>
      <w:r w:rsidR="0037757C">
        <w:t xml:space="preserve"> exposure ratios have been calculated based on maximum serum concentration and </w:t>
      </w:r>
      <w:r w:rsidR="0037757C" w:rsidRPr="004A1DEE">
        <w:t>AUC (</w:t>
      </w:r>
      <w:r w:rsidR="00135C65">
        <w:t xml:space="preserve">see </w:t>
      </w:r>
      <w:r w:rsidR="0037757C" w:rsidRPr="004A1DEE">
        <w:t xml:space="preserve">Table </w:t>
      </w:r>
      <w:r w:rsidR="004A1DEE" w:rsidRPr="004A1DEE">
        <w:t>3</w:t>
      </w:r>
      <w:r w:rsidR="00135C65">
        <w:t>, above</w:t>
      </w:r>
      <w:r w:rsidR="0037757C" w:rsidRPr="004A1DEE">
        <w:t>). Toxicokinetics</w:t>
      </w:r>
      <w:r w:rsidR="0037757C">
        <w:t xml:space="preserve"> were examined as part the embryofetal development studies in rats and rabbits provided by the sponsor. These data are considered to provide an acceptable esti</w:t>
      </w:r>
      <w:r w:rsidR="008A34D4">
        <w:t>mate of the exposure in the pre</w:t>
      </w:r>
      <w:r w:rsidR="002F6D20">
        <w:t>-</w:t>
      </w:r>
      <w:r w:rsidR="0037757C">
        <w:t>/post-natal development study in rats also, since the dose amounts, frequency and duration were the same. Toxicokinetic data from the 4 week repeat dose toxicity study in rats were used to estimate the exposure in the fertility and early embryonic development studies.</w:t>
      </w:r>
    </w:p>
    <w:p w14:paraId="1E72C591" w14:textId="30289DCB" w:rsidR="0037757C" w:rsidRDefault="0037757C" w:rsidP="0037757C">
      <w:r>
        <w:lastRenderedPageBreak/>
        <w:t>In all studies, the relative</w:t>
      </w:r>
      <w:r w:rsidR="008A34D4">
        <w:t xml:space="preserve"> exposure based on AUC was high;</w:t>
      </w:r>
      <w:r>
        <w:t xml:space="preserve"> reaching at least </w:t>
      </w:r>
      <w:r w:rsidR="00B935CA">
        <w:t xml:space="preserve">approximately </w:t>
      </w:r>
      <w:r>
        <w:t>600</w:t>
      </w:r>
      <w:r w:rsidR="00B935CA">
        <w:t xml:space="preserve"> fold</w:t>
      </w:r>
      <w:r>
        <w:t xml:space="preserve"> the clinical exposure. The exposure ratio based on </w:t>
      </w:r>
      <w:proofErr w:type="spellStart"/>
      <w:r w:rsidR="00953E28">
        <w:t>C</w:t>
      </w:r>
      <w:r w:rsidR="00953E28" w:rsidRPr="00953E28">
        <w:rPr>
          <w:vertAlign w:val="subscript"/>
        </w:rPr>
        <w:t>max</w:t>
      </w:r>
      <w:proofErr w:type="spellEnd"/>
      <w:r>
        <w:t xml:space="preserve"> was also high, reaching at least 53</w:t>
      </w:r>
      <w:r w:rsidR="00B935CA">
        <w:t xml:space="preserve"> fold</w:t>
      </w:r>
      <w:r w:rsidR="008A34D4">
        <w:t xml:space="preserve">. Exposure was generally supra </w:t>
      </w:r>
      <w:r>
        <w:t xml:space="preserve">proportional to dose and similar (relative to dose) to that observed in </w:t>
      </w:r>
      <w:r w:rsidR="00C93FCF">
        <w:t>repeat dose</w:t>
      </w:r>
      <w:r>
        <w:t xml:space="preserve"> toxicity </w:t>
      </w:r>
      <w:r w:rsidRPr="004A1DEE">
        <w:t>studies (</w:t>
      </w:r>
      <w:r w:rsidR="002F6D20">
        <w:t xml:space="preserve">see </w:t>
      </w:r>
      <w:r w:rsidRPr="004A1DEE">
        <w:t xml:space="preserve">Table </w:t>
      </w:r>
      <w:r w:rsidR="004A1DEE" w:rsidRPr="004A1DEE">
        <w:t>2</w:t>
      </w:r>
      <w:r w:rsidR="002F6D20">
        <w:t>, above</w:t>
      </w:r>
      <w:r>
        <w:t>). The serum half-life was short.</w:t>
      </w:r>
    </w:p>
    <w:p w14:paraId="3411FE07" w14:textId="77777777" w:rsidR="0037757C" w:rsidRPr="00A54850" w:rsidRDefault="0037757C" w:rsidP="0037757C">
      <w:r>
        <w:t>Placental transfer and excretion into milk were not studied and are not anticipated for a large recombinant protein.</w:t>
      </w:r>
    </w:p>
    <w:p w14:paraId="314B2EC8" w14:textId="77777777" w:rsidR="0037757C" w:rsidRDefault="0037757C" w:rsidP="0037757C">
      <w:r>
        <w:t>There were no noteworthy effects of sebelipase alfa on male or female fertility or early embryonic development in rats.</w:t>
      </w:r>
      <w:r w:rsidR="00B935CA">
        <w:t xml:space="preserve"> </w:t>
      </w:r>
      <w:r>
        <w:t xml:space="preserve">Minor gross abnormalities in the liver and thymus (principally discolouration) of male rats were neither </w:t>
      </w:r>
      <w:r w:rsidR="00B935CA">
        <w:t>dose dependent</w:t>
      </w:r>
      <w:r>
        <w:t xml:space="preserve">, present in the corresponding cohort of female rats, nor observed in </w:t>
      </w:r>
      <w:r w:rsidR="00C93FCF">
        <w:t>repeat dose</w:t>
      </w:r>
      <w:r>
        <w:t xml:space="preserve"> toxicity studies in rats. Clinical signs consistent with a hypersensitivity reaction, and </w:t>
      </w:r>
      <w:r w:rsidR="00663236">
        <w:t>treatment related</w:t>
      </w:r>
      <w:r>
        <w:t xml:space="preserve"> minor tissue pathology at the infusion site, mirrored the findings from </w:t>
      </w:r>
      <w:r w:rsidR="00C93FCF">
        <w:t>repeat dose</w:t>
      </w:r>
      <w:r>
        <w:t xml:space="preserve"> toxicity studies. The </w:t>
      </w:r>
      <w:r w:rsidR="00773EA6">
        <w:t xml:space="preserve">no observed adverse </w:t>
      </w:r>
      <w:r w:rsidR="00773EA6" w:rsidRPr="00773EA6">
        <w:t>effect level (</w:t>
      </w:r>
      <w:r w:rsidRPr="00773EA6">
        <w:t>NOAEL</w:t>
      </w:r>
      <w:r w:rsidR="00773EA6" w:rsidRPr="00773EA6">
        <w:t>)</w:t>
      </w:r>
      <w:r w:rsidRPr="00773EA6">
        <w:t xml:space="preserve"> for both</w:t>
      </w:r>
      <w:r>
        <w:t xml:space="preserve"> male and female fertility was 60 mg/kg twice weekly.</w:t>
      </w:r>
    </w:p>
    <w:p w14:paraId="2C4E7923" w14:textId="77777777" w:rsidR="0037757C" w:rsidRDefault="0037757C" w:rsidP="0037757C">
      <w:r>
        <w:t>Embryofetal development studies in rats and rabbits showed no significant toxicity of sebelipase alfa. Increases in the incidence o</w:t>
      </w:r>
      <w:r w:rsidR="008A34D4">
        <w:t xml:space="preserve">f incomplete hyoid and/or supra </w:t>
      </w:r>
      <w:r>
        <w:t xml:space="preserve">occipital bone ossification (both species) and bilateral </w:t>
      </w:r>
      <w:r w:rsidR="008A34D4">
        <w:t>thirteenth</w:t>
      </w:r>
      <w:r>
        <w:t xml:space="preserve"> ribs (rabbits) occurred at high relative exposures (</w:t>
      </w:r>
      <w:r w:rsidR="00663236">
        <w:t xml:space="preserve">&gt; </w:t>
      </w:r>
      <w:r>
        <w:t>53</w:t>
      </w:r>
      <w:r w:rsidR="00B935CA">
        <w:t xml:space="preserve"> fold</w:t>
      </w:r>
      <w:r>
        <w:t>), lacked dose proportionality and/or did not exceed historical control data from the testing facility. In rabbits, the apparent increase in pre-implantation loss and decreases in mean implantations and live fetuses were minimal, not statistically significant, and occurred only at a high relative exposure (</w:t>
      </w:r>
      <w:r w:rsidR="00663236">
        <w:t xml:space="preserve">&gt; </w:t>
      </w:r>
      <w:r w:rsidR="008A34D4">
        <w:t>130</w:t>
      </w:r>
      <w:r>
        <w:t xml:space="preserve"> and 1700</w:t>
      </w:r>
      <w:r w:rsidR="00B935CA">
        <w:t xml:space="preserve"> fold</w:t>
      </w:r>
      <w:r>
        <w:t xml:space="preserve">, based on </w:t>
      </w:r>
      <w:proofErr w:type="spellStart"/>
      <w:r w:rsidR="00953E28">
        <w:t>C</w:t>
      </w:r>
      <w:r w:rsidR="00953E28" w:rsidRPr="00953E28">
        <w:rPr>
          <w:vertAlign w:val="subscript"/>
        </w:rPr>
        <w:t>max</w:t>
      </w:r>
      <w:proofErr w:type="spellEnd"/>
      <w:r>
        <w:t xml:space="preserve"> and AUC, respectively). The stated NOAEL was 60 mg/kg and 50 mg/kg twice weekly for rats and rabbits, respectively.</w:t>
      </w:r>
    </w:p>
    <w:p w14:paraId="5989FC52" w14:textId="0E6A8E0F" w:rsidR="0037757C" w:rsidRDefault="003A7287" w:rsidP="0037757C">
      <w:r>
        <w:t xml:space="preserve">In the study of pre- and post-natal development in rats, no noteworthy toxicity due to sebelipase alfa was evident. </w:t>
      </w:r>
      <w:r w:rsidR="0037757C">
        <w:t>Both the maternal and neonate NOAEL were 60 mg/kg twice weekly.</w:t>
      </w:r>
    </w:p>
    <w:p w14:paraId="1DA1B001" w14:textId="77777777" w:rsidR="0037757C" w:rsidRPr="0037757C" w:rsidRDefault="0037757C" w:rsidP="0037757C">
      <w:r>
        <w:t>Based on these findings, sebelipase alfa is not considered to raise any concerns for reproductive toxicity from a nonclinical perspective.</w:t>
      </w:r>
    </w:p>
    <w:p w14:paraId="5EE9E483" w14:textId="77777777" w:rsidR="0037757C" w:rsidRPr="00EB69F1" w:rsidRDefault="0037757C" w:rsidP="0037757C">
      <w:pPr>
        <w:pStyle w:val="Heading6"/>
      </w:pPr>
      <w:r w:rsidRPr="00EB69F1">
        <w:t>Pregnancy classification</w:t>
      </w:r>
    </w:p>
    <w:p w14:paraId="4DF060BD" w14:textId="212B5D95" w:rsidR="0037757C" w:rsidRPr="0037757C" w:rsidRDefault="0037757C" w:rsidP="0037757C">
      <w:r w:rsidRPr="00F94F58">
        <w:t xml:space="preserve">The sponsor has proposed </w:t>
      </w:r>
      <w:r w:rsidR="0005285B">
        <w:t xml:space="preserve">Australian </w:t>
      </w:r>
      <w:r w:rsidRPr="00F94F58">
        <w:t>Pregnancy Category B2</w:t>
      </w:r>
      <w:bookmarkStart w:id="58" w:name="_Ref513564337"/>
      <w:r w:rsidR="002F6D20">
        <w:t>.</w:t>
      </w:r>
      <w:r w:rsidR="008A34D4">
        <w:rPr>
          <w:rStyle w:val="FootnoteReference"/>
        </w:rPr>
        <w:footnoteReference w:id="18"/>
      </w:r>
      <w:bookmarkEnd w:id="58"/>
      <w:r w:rsidRPr="00F94F58">
        <w:t xml:space="preserve"> </w:t>
      </w:r>
      <w:r>
        <w:t xml:space="preserve">Since the </w:t>
      </w:r>
      <w:r w:rsidRPr="00F94F58">
        <w:t xml:space="preserve">animal reproductive toxicity </w:t>
      </w:r>
      <w:r>
        <w:t xml:space="preserve">studies were adequate </w:t>
      </w:r>
      <w:r w:rsidRPr="00F94F58">
        <w:t xml:space="preserve">and </w:t>
      </w:r>
      <w:r>
        <w:t>raised no significant concerns</w:t>
      </w:r>
      <w:r w:rsidRPr="008A34D4">
        <w:t xml:space="preserve">, </w:t>
      </w:r>
      <w:r w:rsidR="0005285B">
        <w:t xml:space="preserve">Australian </w:t>
      </w:r>
      <w:r w:rsidRPr="008A34D4">
        <w:t>Pregnancy Category B1</w:t>
      </w:r>
      <w:bookmarkStart w:id="59" w:name="_Ref513564321"/>
      <w:r w:rsidR="002F6D20">
        <w:t xml:space="preserve"> is warranted.</w:t>
      </w:r>
      <w:r w:rsidR="008A34D4">
        <w:rPr>
          <w:rStyle w:val="FootnoteReference"/>
        </w:rPr>
        <w:footnoteReference w:id="19"/>
      </w:r>
      <w:bookmarkEnd w:id="59"/>
    </w:p>
    <w:p w14:paraId="19BC02C3" w14:textId="77777777" w:rsidR="0037757C" w:rsidRDefault="0037757C" w:rsidP="0037757C">
      <w:pPr>
        <w:pStyle w:val="Heading5"/>
      </w:pPr>
      <w:r w:rsidRPr="00EB69F1">
        <w:t>Local toleran</w:t>
      </w:r>
      <w:r>
        <w:t>ce</w:t>
      </w:r>
    </w:p>
    <w:p w14:paraId="5CC2ACFC" w14:textId="77777777" w:rsidR="0037757C" w:rsidRPr="00151AE8" w:rsidRDefault="0037757C" w:rsidP="0037757C">
      <w:r>
        <w:t xml:space="preserve">The local tolerance to the IV infusion of sebelipase alfa was examined as part of </w:t>
      </w:r>
      <w:r w:rsidR="00C93FCF">
        <w:t>repeat dose</w:t>
      </w:r>
      <w:r>
        <w:t xml:space="preserve"> toxicity and reproductive toxicity studies in rats, rabbits and monkeys which were fitted with implanted catheters. In all species, a low to moderate incidence of perivascular inflammation, fibrosis, intimal proliferation, thrombi and thickening were observed at the catheter entrance and/or tip</w:t>
      </w:r>
      <w:r w:rsidR="008A34D4">
        <w:t xml:space="preserve"> in both control and sebelipase </w:t>
      </w:r>
      <w:r>
        <w:t>alfa treated groups. These changes are considered to be due to catheterisation and are not of toxicological concern.</w:t>
      </w:r>
    </w:p>
    <w:p w14:paraId="33731797" w14:textId="77777777" w:rsidR="0037757C" w:rsidRPr="00EB69F1" w:rsidRDefault="0037757C" w:rsidP="0037757C">
      <w:pPr>
        <w:pStyle w:val="Heading5"/>
      </w:pPr>
      <w:r w:rsidRPr="00EB69F1">
        <w:lastRenderedPageBreak/>
        <w:t>Paediatric use</w:t>
      </w:r>
    </w:p>
    <w:p w14:paraId="615CBFBD" w14:textId="17B1DD58" w:rsidR="0037757C" w:rsidRPr="00EB69F1" w:rsidRDefault="0037757C" w:rsidP="0037757C">
      <w:r>
        <w:t>Sebelipase alfa is intended for use in patients of all ages with LAL</w:t>
      </w:r>
      <w:r w:rsidR="00BA6AD4">
        <w:t>-D</w:t>
      </w:r>
      <w:r>
        <w:t xml:space="preserve">. Although specific studies in juvenile animals were not provided, the </w:t>
      </w:r>
      <w:r w:rsidR="008A34D4">
        <w:t xml:space="preserve">4 week </w:t>
      </w:r>
      <w:r>
        <w:t xml:space="preserve">and </w:t>
      </w:r>
      <w:r w:rsidR="008A34D4">
        <w:t>6 month</w:t>
      </w:r>
      <w:r>
        <w:t xml:space="preserve"> </w:t>
      </w:r>
      <w:r w:rsidR="00C93FCF">
        <w:t>repeat dose</w:t>
      </w:r>
      <w:r>
        <w:t xml:space="preserve"> toxicity studies in monkeys were c</w:t>
      </w:r>
      <w:r w:rsidR="008A34D4">
        <w:t xml:space="preserve">onducted in juvenile animals (2 to </w:t>
      </w:r>
      <w:r>
        <w:t xml:space="preserve">3 years of age). Neither the results of the comprehensive safety and general </w:t>
      </w:r>
      <w:r w:rsidR="00C93FCF">
        <w:t>repeat dose</w:t>
      </w:r>
      <w:r>
        <w:t xml:space="preserve"> toxicity studies, nor the pharmacology of sebelipase alfa, raise any specific concerns for toxicity towards developing systems and use in paediatric populations. It is considered acceptable and consistent with </w:t>
      </w:r>
      <w:r w:rsidR="00DA67D4">
        <w:t xml:space="preserve">the </w:t>
      </w:r>
      <w:r>
        <w:t>guideline</w:t>
      </w:r>
      <w:r w:rsidR="00DA67D4">
        <w:t>;</w:t>
      </w:r>
      <w:r w:rsidR="008A34D4">
        <w:rPr>
          <w:rStyle w:val="FootnoteReference"/>
        </w:rPr>
        <w:footnoteReference w:id="20"/>
      </w:r>
      <w:r>
        <w:t xml:space="preserve"> that studies in juvenile animals were not performed.</w:t>
      </w:r>
    </w:p>
    <w:p w14:paraId="3E34A53B" w14:textId="2217137B" w:rsidR="0037757C" w:rsidRPr="00EB69F1" w:rsidRDefault="0037757C" w:rsidP="0037757C">
      <w:pPr>
        <w:pStyle w:val="Heading4"/>
      </w:pPr>
      <w:bookmarkStart w:id="60" w:name="_Toc470186064"/>
      <w:r w:rsidRPr="00EB69F1">
        <w:t>Comments on the</w:t>
      </w:r>
      <w:r>
        <w:t xml:space="preserve"> </w:t>
      </w:r>
      <w:r w:rsidR="00B266A2">
        <w:t>nonclinical</w:t>
      </w:r>
      <w:r w:rsidR="00B266A2" w:rsidRPr="00EB69F1">
        <w:t xml:space="preserve"> safety specification of the risk management plan</w:t>
      </w:r>
      <w:bookmarkEnd w:id="60"/>
    </w:p>
    <w:p w14:paraId="04B38DAC" w14:textId="77777777" w:rsidR="0037757C" w:rsidRDefault="0037757C" w:rsidP="0037757C">
      <w:r w:rsidRPr="00093E79">
        <w:t>Results and conclusions drawn from the nonclinical program for sebelipase alfa detailed in the spons</w:t>
      </w:r>
      <w:r w:rsidR="008A34D4">
        <w:t>or’s draft Risk Management Plan (RMP)</w:t>
      </w:r>
      <w:r w:rsidRPr="00093E79">
        <w:t xml:space="preserve"> are in general concordance with those of the </w:t>
      </w:r>
      <w:r w:rsidR="008A34D4" w:rsidRPr="00093E79">
        <w:t>nonclinical evaluator</w:t>
      </w:r>
      <w:r w:rsidRPr="00093E79">
        <w:t>.</w:t>
      </w:r>
    </w:p>
    <w:p w14:paraId="774EACAA" w14:textId="77777777" w:rsidR="008E7846" w:rsidRDefault="008E7846" w:rsidP="008E7846">
      <w:pPr>
        <w:pStyle w:val="Heading3"/>
      </w:pPr>
      <w:bookmarkStart w:id="61" w:name="_Toc247691515"/>
      <w:bookmarkStart w:id="62" w:name="_Toc314842499"/>
      <w:bookmarkStart w:id="63" w:name="_Toc519601794"/>
      <w:r>
        <w:t>Nonclinical summary and conclusions</w:t>
      </w:r>
      <w:bookmarkEnd w:id="61"/>
      <w:bookmarkEnd w:id="62"/>
      <w:bookmarkEnd w:id="63"/>
    </w:p>
    <w:p w14:paraId="2042E3E8" w14:textId="77777777" w:rsidR="002A535F" w:rsidRPr="004C1B0C" w:rsidRDefault="002A535F" w:rsidP="002A535F">
      <w:pPr>
        <w:pStyle w:val="ListBullet"/>
      </w:pPr>
      <w:r w:rsidRPr="004C1B0C">
        <w:t xml:space="preserve">The </w:t>
      </w:r>
      <w:r w:rsidR="008A34D4">
        <w:t>nonclinical</w:t>
      </w:r>
      <w:r w:rsidRPr="004C1B0C">
        <w:t xml:space="preserve"> dossier was</w:t>
      </w:r>
      <w:r>
        <w:t xml:space="preserve"> adequate and the set of studies was</w:t>
      </w:r>
      <w:r w:rsidRPr="004C1B0C">
        <w:t xml:space="preserve"> in accordance with the relevant ICH guideline for the nonclinical assessment of biological medicines</w:t>
      </w:r>
      <w:r w:rsidR="008A34D4">
        <w:t>.</w:t>
      </w:r>
      <w:r w:rsidR="008A34D4" w:rsidRPr="008A34D4">
        <w:rPr>
          <w:vertAlign w:val="superscript"/>
        </w:rPr>
        <w:fldChar w:fldCharType="begin"/>
      </w:r>
      <w:r w:rsidR="008A34D4" w:rsidRPr="008A34D4">
        <w:rPr>
          <w:vertAlign w:val="superscript"/>
        </w:rPr>
        <w:instrText xml:space="preserve"> NOTEREF _Ref513476794 \h </w:instrText>
      </w:r>
      <w:r w:rsidR="008A34D4">
        <w:rPr>
          <w:vertAlign w:val="superscript"/>
        </w:rPr>
        <w:instrText xml:space="preserve"> \* MERGEFORMAT </w:instrText>
      </w:r>
      <w:r w:rsidR="008A34D4" w:rsidRPr="008A34D4">
        <w:rPr>
          <w:vertAlign w:val="superscript"/>
        </w:rPr>
      </w:r>
      <w:r w:rsidR="008A34D4" w:rsidRPr="008A34D4">
        <w:rPr>
          <w:vertAlign w:val="superscript"/>
        </w:rPr>
        <w:fldChar w:fldCharType="separate"/>
      </w:r>
      <w:r w:rsidR="008A34D4" w:rsidRPr="008A34D4">
        <w:rPr>
          <w:vertAlign w:val="superscript"/>
        </w:rPr>
        <w:t>12</w:t>
      </w:r>
      <w:r w:rsidR="008A34D4" w:rsidRPr="008A34D4">
        <w:rPr>
          <w:vertAlign w:val="superscript"/>
        </w:rPr>
        <w:fldChar w:fldCharType="end"/>
      </w:r>
      <w:r w:rsidRPr="004C1B0C">
        <w:t xml:space="preserve"> The overall quality of the nonclinical dossier was high. All pivotal </w:t>
      </w:r>
      <w:r w:rsidR="00C93FCF">
        <w:t>safety related</w:t>
      </w:r>
      <w:r w:rsidRPr="004C1B0C">
        <w:t xml:space="preserve"> studies were GLP compliant.</w:t>
      </w:r>
    </w:p>
    <w:p w14:paraId="412DEF5B" w14:textId="77777777" w:rsidR="002A535F" w:rsidRPr="00EB69F1" w:rsidRDefault="002A535F" w:rsidP="002A535F">
      <w:pPr>
        <w:pStyle w:val="ListBullet"/>
      </w:pPr>
      <w:r w:rsidRPr="008A34D4">
        <w:t>In vitro,</w:t>
      </w:r>
      <w:r w:rsidRPr="00DB3E40">
        <w:t xml:space="preserve"> sebelipase alfa was shown to be taken up by cells</w:t>
      </w:r>
      <w:r>
        <w:t xml:space="preserve">, localise to </w:t>
      </w:r>
      <w:r w:rsidRPr="00DB3E40">
        <w:t xml:space="preserve">lysosomes, and restore LAL enzyme activity in LAL-D patient </w:t>
      </w:r>
      <w:r w:rsidRPr="008A34D4">
        <w:t>cells. In vivo in</w:t>
      </w:r>
      <w:r w:rsidRPr="00DB3E40">
        <w:t xml:space="preserve"> a rat model of LAL-D, </w:t>
      </w:r>
      <w:r>
        <w:t xml:space="preserve">doses of </w:t>
      </w:r>
      <w:r w:rsidRPr="00DB3E40">
        <w:t xml:space="preserve">sebelipase alfa </w:t>
      </w:r>
      <w:r>
        <w:t>equivalent to that proposed clinically (based on mg/kg) were shown to increase</w:t>
      </w:r>
      <w:r w:rsidRPr="00DB3E40">
        <w:t xml:space="preserve"> hepatic LAL activity and </w:t>
      </w:r>
      <w:r>
        <w:t>reverse</w:t>
      </w:r>
      <w:r w:rsidRPr="00DB3E40">
        <w:t xml:space="preserve"> the hallmark pathology </w:t>
      </w:r>
      <w:r>
        <w:t xml:space="preserve">of LAL-D </w:t>
      </w:r>
      <w:r w:rsidRPr="00DB3E40">
        <w:t xml:space="preserve">including organomegaly and tissue LAL substrate accumulation, dyslipidaemia, and a failure to </w:t>
      </w:r>
      <w:r w:rsidRPr="008A34D4">
        <w:t>thrive. In vitro and in vivo results</w:t>
      </w:r>
      <w:r>
        <w:t xml:space="preserve"> were consistent with broad tissue uptake. These</w:t>
      </w:r>
      <w:r w:rsidRPr="00DB3E40">
        <w:t xml:space="preserve"> data support the proposed clinical indication.</w:t>
      </w:r>
    </w:p>
    <w:p w14:paraId="1A44591E" w14:textId="77777777" w:rsidR="00CA17A3" w:rsidRDefault="002A535F" w:rsidP="002A535F">
      <w:pPr>
        <w:pStyle w:val="ListBullet"/>
      </w:pPr>
      <w:r w:rsidRPr="00721D04">
        <w:t xml:space="preserve">Safety pharmacology studies of the effects of sebelipase alfa on the monkey cardiovascular system and rat respiratory and central nervous systems did not raise </w:t>
      </w:r>
      <w:r>
        <w:t>any safety concerns</w:t>
      </w:r>
      <w:r w:rsidR="00CA17A3">
        <w:t>.</w:t>
      </w:r>
    </w:p>
    <w:p w14:paraId="4B1B8C52" w14:textId="1CDB16FD" w:rsidR="00CA17A3" w:rsidRDefault="002A535F" w:rsidP="002A535F">
      <w:pPr>
        <w:pStyle w:val="ListBullet"/>
      </w:pPr>
      <w:r w:rsidRPr="00AD1463">
        <w:t xml:space="preserve">In </w:t>
      </w:r>
      <w:r>
        <w:t>laboratory animal species (</w:t>
      </w:r>
      <w:r w:rsidRPr="00AD1463">
        <w:t>rats</w:t>
      </w:r>
      <w:r>
        <w:t xml:space="preserve">, rabbits and </w:t>
      </w:r>
      <w:r w:rsidR="00E41C01">
        <w:t xml:space="preserve">cynomolgus </w:t>
      </w:r>
      <w:r w:rsidRPr="00AD1463">
        <w:t>monkeys</w:t>
      </w:r>
      <w:r>
        <w:t>)</w:t>
      </w:r>
      <w:r w:rsidRPr="00AD1463">
        <w:t xml:space="preserve">, </w:t>
      </w:r>
      <w:r>
        <w:t xml:space="preserve">as in humans, </w:t>
      </w:r>
      <w:r w:rsidRPr="00AD1463">
        <w:t>seb</w:t>
      </w:r>
      <w:r w:rsidR="008A34D4">
        <w:t xml:space="preserve">elipase alfa exposure was supra </w:t>
      </w:r>
      <w:r w:rsidRPr="00AD1463">
        <w:t xml:space="preserve">proportional to dose above </w:t>
      </w:r>
      <w:r w:rsidR="008A34D4">
        <w:t>approximately 1 </w:t>
      </w:r>
      <w:r>
        <w:t>mg/kg (the</w:t>
      </w:r>
      <w:r w:rsidRPr="00AD1463">
        <w:t xml:space="preserve"> proposed </w:t>
      </w:r>
      <w:r>
        <w:t>dose in adults and children)</w:t>
      </w:r>
      <w:r w:rsidRPr="00AD1463">
        <w:t xml:space="preserve"> and was </w:t>
      </w:r>
      <w:r>
        <w:t>generally not increased by</w:t>
      </w:r>
      <w:r w:rsidRPr="00AD1463">
        <w:t xml:space="preserve"> repeat dosing</w:t>
      </w:r>
      <w:r>
        <w:t xml:space="preserve"> (dosing for 6 months in monkeys being the exception)</w:t>
      </w:r>
      <w:r w:rsidRPr="00AD1463">
        <w:t xml:space="preserve">. Sebelipase alfa </w:t>
      </w:r>
      <w:r>
        <w:t xml:space="preserve">exhibited a short serum half-life and </w:t>
      </w:r>
      <w:r w:rsidRPr="00AD1463">
        <w:t xml:space="preserve">was rapidly cleared from the </w:t>
      </w:r>
      <w:r>
        <w:t>circulation</w:t>
      </w:r>
      <w:r w:rsidRPr="00AD1463">
        <w:t xml:space="preserve"> </w:t>
      </w:r>
      <w:r>
        <w:t>after the completion of IV infusion</w:t>
      </w:r>
      <w:r w:rsidRPr="00AD1463">
        <w:t>.</w:t>
      </w:r>
      <w:r>
        <w:t xml:space="preserve"> The volume of distribution in all species was limited, as anticipated for a drug of this nature</w:t>
      </w:r>
      <w:r w:rsidR="00CA17A3">
        <w:t>.</w:t>
      </w:r>
    </w:p>
    <w:p w14:paraId="7AE2F702" w14:textId="77777777" w:rsidR="00CA17A3" w:rsidRDefault="002A535F" w:rsidP="002A535F">
      <w:pPr>
        <w:pStyle w:val="ListBullet"/>
      </w:pPr>
      <w:r w:rsidRPr="00556F0C">
        <w:t xml:space="preserve">The </w:t>
      </w:r>
      <w:r w:rsidR="00C93FCF">
        <w:t>repeat dose</w:t>
      </w:r>
      <w:r w:rsidRPr="00556F0C">
        <w:t xml:space="preserve"> toxicity of sebelipase alfa administered by IV infusion was assessed </w:t>
      </w:r>
      <w:r>
        <w:t xml:space="preserve">in studies of up to 4 weeks duration </w:t>
      </w:r>
      <w:r w:rsidRPr="00556F0C">
        <w:t xml:space="preserve">in rats </w:t>
      </w:r>
      <w:r>
        <w:t xml:space="preserve">and 6 months in </w:t>
      </w:r>
      <w:r w:rsidRPr="00556F0C">
        <w:t xml:space="preserve">monkeys and maximum exposures (AUC) were high. There were no findings considered to be of toxicological concern. </w:t>
      </w:r>
      <w:r w:rsidRPr="000334F4">
        <w:t xml:space="preserve">Transient </w:t>
      </w:r>
      <w:r w:rsidR="00B935CA">
        <w:t>dose dependent</w:t>
      </w:r>
      <w:r w:rsidRPr="000334F4">
        <w:t xml:space="preserve"> hypersensitivity reactions were freq</w:t>
      </w:r>
      <w:r w:rsidR="008A34D4">
        <w:t>uently observed in both vehicle</w:t>
      </w:r>
      <w:r w:rsidRPr="000334F4">
        <w:t xml:space="preserve"> and </w:t>
      </w:r>
      <w:r w:rsidR="008A34D4">
        <w:t>drug treated</w:t>
      </w:r>
      <w:r w:rsidRPr="000334F4">
        <w:t xml:space="preserve"> rats during </w:t>
      </w:r>
      <w:r w:rsidR="008A34D4">
        <w:t xml:space="preserve">or immediately following dosing; </w:t>
      </w:r>
      <w:r w:rsidRPr="000334F4">
        <w:t>a common finding in rats administer</w:t>
      </w:r>
      <w:r w:rsidR="008A34D4">
        <w:t xml:space="preserve">ed foreign recombinant proteins; </w:t>
      </w:r>
      <w:r w:rsidRPr="000334F4">
        <w:t>but infrequently in monkey</w:t>
      </w:r>
      <w:r w:rsidRPr="00733848">
        <w:t xml:space="preserve">s. </w:t>
      </w:r>
      <w:r w:rsidR="008A34D4">
        <w:t>Infusion associated</w:t>
      </w:r>
      <w:r w:rsidRPr="00733848">
        <w:t xml:space="preserve"> hypersensitivity reactions were observed in some patients in the clinical studies</w:t>
      </w:r>
      <w:r>
        <w:t xml:space="preserve"> and corresponding statements are included in the </w:t>
      </w:r>
      <w:r w:rsidR="008A34D4">
        <w:t>PI</w:t>
      </w:r>
      <w:r>
        <w:t xml:space="preserve"> and </w:t>
      </w:r>
      <w:r w:rsidR="008A34D4">
        <w:t>RMP</w:t>
      </w:r>
      <w:r w:rsidRPr="00733848">
        <w:t>.</w:t>
      </w:r>
      <w:r w:rsidR="00B935CA">
        <w:t xml:space="preserve"> </w:t>
      </w:r>
      <w:r w:rsidRPr="00733848">
        <w:t>No conce</w:t>
      </w:r>
      <w:r>
        <w:t>rns were raised for local toxic effects of sebelipase alfa at the site of IV infusion</w:t>
      </w:r>
      <w:r w:rsidR="00CA17A3">
        <w:t>.</w:t>
      </w:r>
    </w:p>
    <w:p w14:paraId="702B0408" w14:textId="77777777" w:rsidR="002A535F" w:rsidRPr="000334F4" w:rsidRDefault="002A535F" w:rsidP="002A535F">
      <w:pPr>
        <w:pStyle w:val="ListBullet"/>
      </w:pPr>
      <w:r>
        <w:lastRenderedPageBreak/>
        <w:t xml:space="preserve">Anti-drug antibodies were present in the sera of most rats and monkeys after repeat dosing with sebelipase alfa, yet were not correlated with exposure, toxicity, or the pharmacodynamics of sebelipase alfa in a rat model of LAL-D. Monkeys dosed repeatedly for 6 months tested positive for </w:t>
      </w:r>
      <w:r w:rsidRPr="000334F4">
        <w:t>anti-ovalbumin antibodies, consistent with sebelipase alfa being produced from chicken egg whites, which may have implications for patients with egg allergies.</w:t>
      </w:r>
    </w:p>
    <w:p w14:paraId="3D468DEF" w14:textId="1C0DA91A" w:rsidR="00CA17A3" w:rsidRDefault="002A535F" w:rsidP="009A4C9A">
      <w:pPr>
        <w:pStyle w:val="ListBullet"/>
      </w:pPr>
      <w:r w:rsidRPr="000334F4">
        <w:t xml:space="preserve">Consistent with </w:t>
      </w:r>
      <w:r w:rsidR="009A4C9A">
        <w:t xml:space="preserve">the </w:t>
      </w:r>
      <w:r w:rsidRPr="000334F4">
        <w:t>ICH guideline</w:t>
      </w:r>
      <w:r w:rsidR="009A4C9A">
        <w:t xml:space="preserve"> </w:t>
      </w:r>
      <w:r w:rsidR="009A4C9A" w:rsidRPr="000334F4">
        <w:t>no genotoxicity or carcinogenicity studies were conducted</w:t>
      </w:r>
      <w:r w:rsidR="009A4C9A">
        <w:t>.</w:t>
      </w:r>
      <w:r w:rsidR="008A34D4" w:rsidRPr="009A4C9A">
        <w:rPr>
          <w:vertAlign w:val="superscript"/>
        </w:rPr>
        <w:fldChar w:fldCharType="begin"/>
      </w:r>
      <w:r w:rsidR="008A34D4" w:rsidRPr="009A4C9A">
        <w:rPr>
          <w:vertAlign w:val="superscript"/>
        </w:rPr>
        <w:instrText xml:space="preserve"> NOTEREF _Ref513476794 \h  \* MERGEFORMAT </w:instrText>
      </w:r>
      <w:r w:rsidR="008A34D4" w:rsidRPr="009A4C9A">
        <w:rPr>
          <w:vertAlign w:val="superscript"/>
        </w:rPr>
      </w:r>
      <w:r w:rsidR="008A34D4" w:rsidRPr="009A4C9A">
        <w:rPr>
          <w:vertAlign w:val="superscript"/>
        </w:rPr>
        <w:fldChar w:fldCharType="separate"/>
      </w:r>
      <w:r w:rsidR="008A34D4" w:rsidRPr="009A4C9A">
        <w:rPr>
          <w:vertAlign w:val="superscript"/>
        </w:rPr>
        <w:t>12</w:t>
      </w:r>
      <w:r w:rsidR="008A34D4" w:rsidRPr="009A4C9A">
        <w:rPr>
          <w:vertAlign w:val="superscript"/>
        </w:rPr>
        <w:fldChar w:fldCharType="end"/>
      </w:r>
    </w:p>
    <w:p w14:paraId="56BFDA5F" w14:textId="15FCF1A5" w:rsidR="002A535F" w:rsidRPr="000334F4" w:rsidRDefault="002A535F" w:rsidP="002A535F">
      <w:pPr>
        <w:pStyle w:val="ListBullet"/>
      </w:pPr>
      <w:r w:rsidRPr="000334F4">
        <w:t xml:space="preserve">In comprehensive reproductive toxicity studies in rats and rabbits, sebelipase alfa exposure was high and no concerns were raised for reproductive safety from a nonclinical perspective. </w:t>
      </w:r>
      <w:r w:rsidRPr="008A34D4">
        <w:t>Pregnancy Category B1</w:t>
      </w:r>
      <w:r w:rsidR="009A4C9A">
        <w:t xml:space="preserve"> </w:t>
      </w:r>
      <w:r w:rsidR="009A4C9A" w:rsidRPr="008A34D4">
        <w:t>is</w:t>
      </w:r>
      <w:r w:rsidR="009A4C9A">
        <w:t xml:space="preserve"> warranted, rather than the sponsor's proposal for Category B2.</w:t>
      </w:r>
      <w:r w:rsidR="009A4C9A" w:rsidRPr="004903CD">
        <w:rPr>
          <w:vertAlign w:val="superscript"/>
        </w:rPr>
        <w:fldChar w:fldCharType="begin"/>
      </w:r>
      <w:r w:rsidR="009A4C9A" w:rsidRPr="004903CD">
        <w:rPr>
          <w:vertAlign w:val="superscript"/>
        </w:rPr>
        <w:instrText xml:space="preserve"> NOTEREF _Ref513564337 \h </w:instrText>
      </w:r>
      <w:r w:rsidR="009A4C9A">
        <w:rPr>
          <w:vertAlign w:val="superscript"/>
        </w:rPr>
        <w:instrText xml:space="preserve"> \* MERGEFORMAT </w:instrText>
      </w:r>
      <w:r w:rsidR="009A4C9A" w:rsidRPr="004903CD">
        <w:rPr>
          <w:vertAlign w:val="superscript"/>
        </w:rPr>
      </w:r>
      <w:r w:rsidR="009A4C9A" w:rsidRPr="004903CD">
        <w:rPr>
          <w:vertAlign w:val="superscript"/>
        </w:rPr>
        <w:fldChar w:fldCharType="separate"/>
      </w:r>
      <w:r w:rsidR="009A4C9A">
        <w:rPr>
          <w:vertAlign w:val="superscript"/>
        </w:rPr>
        <w:t>18</w:t>
      </w:r>
      <w:r w:rsidR="009A4C9A" w:rsidRPr="004903CD">
        <w:rPr>
          <w:vertAlign w:val="superscript"/>
        </w:rPr>
        <w:fldChar w:fldCharType="end"/>
      </w:r>
      <w:r w:rsidR="009A4C9A">
        <w:rPr>
          <w:vertAlign w:val="superscript"/>
        </w:rPr>
        <w:t>,</w:t>
      </w:r>
      <w:r w:rsidR="004903CD" w:rsidRPr="004903CD">
        <w:rPr>
          <w:vertAlign w:val="superscript"/>
        </w:rPr>
        <w:fldChar w:fldCharType="begin"/>
      </w:r>
      <w:r w:rsidR="004903CD" w:rsidRPr="004903CD">
        <w:rPr>
          <w:vertAlign w:val="superscript"/>
        </w:rPr>
        <w:instrText xml:space="preserve"> NOTEREF _Ref513564321 \h </w:instrText>
      </w:r>
      <w:r w:rsidR="004903CD">
        <w:rPr>
          <w:vertAlign w:val="superscript"/>
        </w:rPr>
        <w:instrText xml:space="preserve"> \* MERGEFORMAT </w:instrText>
      </w:r>
      <w:r w:rsidR="004903CD" w:rsidRPr="004903CD">
        <w:rPr>
          <w:vertAlign w:val="superscript"/>
        </w:rPr>
      </w:r>
      <w:r w:rsidR="004903CD" w:rsidRPr="004903CD">
        <w:rPr>
          <w:vertAlign w:val="superscript"/>
        </w:rPr>
        <w:fldChar w:fldCharType="separate"/>
      </w:r>
      <w:r w:rsidR="009A4C9A">
        <w:rPr>
          <w:vertAlign w:val="superscript"/>
        </w:rPr>
        <w:t>19</w:t>
      </w:r>
      <w:r w:rsidR="004903CD" w:rsidRPr="004903CD">
        <w:rPr>
          <w:vertAlign w:val="superscript"/>
        </w:rPr>
        <w:fldChar w:fldCharType="end"/>
      </w:r>
    </w:p>
    <w:p w14:paraId="19295278" w14:textId="3B88A3D8" w:rsidR="002A535F" w:rsidRDefault="002A535F" w:rsidP="002A535F">
      <w:pPr>
        <w:pStyle w:val="ListBullet"/>
      </w:pPr>
      <w:r>
        <w:t xml:space="preserve">Based on the data provided and evaluated in this report, there are no nonclinical objections to the registration of </w:t>
      </w:r>
      <w:r w:rsidR="009A4C9A">
        <w:t xml:space="preserve">Kanuma </w:t>
      </w:r>
      <w:r>
        <w:t>sebelipase alfa</w:t>
      </w:r>
      <w:r w:rsidR="009A4C9A">
        <w:t>.</w:t>
      </w:r>
    </w:p>
    <w:p w14:paraId="614D84E8" w14:textId="77777777" w:rsidR="00CA17A3" w:rsidRDefault="002A535F" w:rsidP="002A535F">
      <w:pPr>
        <w:pStyle w:val="ListBullet"/>
      </w:pPr>
      <w:r>
        <w:t xml:space="preserve">The </w:t>
      </w:r>
      <w:r w:rsidR="0037757C">
        <w:t>nonclinical evaluator also raised issues relating to the PI but these are beyond the scope of the AusPAR</w:t>
      </w:r>
      <w:r w:rsidR="00CA17A3">
        <w:t>.</w:t>
      </w:r>
    </w:p>
    <w:p w14:paraId="75F0A4C6" w14:textId="77777777" w:rsidR="008E7846" w:rsidRPr="00254787" w:rsidRDefault="008E7846" w:rsidP="008E7846">
      <w:pPr>
        <w:pStyle w:val="Heading2"/>
      </w:pPr>
      <w:bookmarkStart w:id="64" w:name="_Toc196046462"/>
      <w:bookmarkStart w:id="65" w:name="_Toc247691516"/>
      <w:bookmarkStart w:id="66" w:name="_Toc314842500"/>
      <w:bookmarkStart w:id="67" w:name="_Toc163441353"/>
      <w:bookmarkStart w:id="68" w:name="_Toc163441348"/>
      <w:bookmarkStart w:id="69" w:name="_Toc519601795"/>
      <w:r>
        <w:t xml:space="preserve">V. </w:t>
      </w:r>
      <w:r w:rsidRPr="00254787">
        <w:t>Clinical</w:t>
      </w:r>
      <w:bookmarkEnd w:id="64"/>
      <w:r>
        <w:t xml:space="preserve"> </w:t>
      </w:r>
      <w:r w:rsidR="003A7F6C">
        <w:t>f</w:t>
      </w:r>
      <w:r>
        <w:t>indings</w:t>
      </w:r>
      <w:bookmarkEnd w:id="65"/>
      <w:bookmarkEnd w:id="66"/>
      <w:bookmarkEnd w:id="69"/>
    </w:p>
    <w:p w14:paraId="2BEE40BC" w14:textId="77777777" w:rsidR="00C8013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6E362910" w14:textId="77777777" w:rsidR="00D15227" w:rsidRDefault="008E7846" w:rsidP="00D15227">
      <w:pPr>
        <w:pStyle w:val="Heading3"/>
      </w:pPr>
      <w:bookmarkStart w:id="71" w:name="_Toc247691517"/>
      <w:bookmarkStart w:id="72" w:name="_Toc314842501"/>
      <w:bookmarkStart w:id="73" w:name="_Toc519601796"/>
      <w:r w:rsidRPr="00254787">
        <w:t>Introduction</w:t>
      </w:r>
      <w:bookmarkEnd w:id="70"/>
      <w:bookmarkEnd w:id="71"/>
      <w:bookmarkEnd w:id="72"/>
      <w:bookmarkEnd w:id="73"/>
    </w:p>
    <w:p w14:paraId="2ED23091" w14:textId="77777777" w:rsidR="00624BEF" w:rsidRDefault="00624BEF" w:rsidP="00624BEF">
      <w:pPr>
        <w:pStyle w:val="Heading4"/>
      </w:pPr>
      <w:bookmarkStart w:id="74" w:name="_Toc468957425"/>
      <w:bookmarkStart w:id="75" w:name="_Toc513113813"/>
      <w:r w:rsidRPr="00984096">
        <w:t>Information on the condition being treated</w:t>
      </w:r>
      <w:bookmarkEnd w:id="74"/>
      <w:bookmarkEnd w:id="75"/>
    </w:p>
    <w:p w14:paraId="509DF7ED" w14:textId="77777777" w:rsidR="00624BEF" w:rsidRDefault="008E5468" w:rsidP="00624BEF">
      <w:r>
        <w:t>LAL-D</w:t>
      </w:r>
      <w:r w:rsidR="00624BEF" w:rsidRPr="00984096">
        <w:t xml:space="preserve"> is a very rare, serious and </w:t>
      </w:r>
      <w:r w:rsidR="00624BEF">
        <w:t>life threatening</w:t>
      </w:r>
      <w:r w:rsidR="00624BEF" w:rsidRPr="00984096">
        <w:t xml:space="preserve"> lysosomal storage disorder caused by mutations affecting a single gene. It is associated with significant morbidity and mortality affecting individuals from infancy through to adulthood. LAL-D presenting in infants is a medical emergency with rapid disease progression over a period of weeks that is typically fatal within the first 6 months of life</w:t>
      </w:r>
      <w:r w:rsidR="00624BEF">
        <w:t>.</w:t>
      </w:r>
    </w:p>
    <w:p w14:paraId="573D235A" w14:textId="23CEF40D" w:rsidR="00624BEF" w:rsidRPr="00984096" w:rsidRDefault="00624BEF" w:rsidP="00624BEF">
      <w:r w:rsidRPr="00984096">
        <w:t>LAL-D is an autosomal recessive lysosomal storage disorder characterised by a genetic defect resulting in a marked decrease or loss in activity of the lysosomal acid lipase (LAL) enzyme. Deficient LAL enzyme activity results in progressive complications due to the lysosomal accumulation of cholesteryl esters and triglycerides in multiple organs, including the liver, spleen, intestine and the walls of blood vessels. The resulting lipid accumulation in the liver leads to hepatomegaly, increased hepatic fat content, transaminase elevation signalling chronic liver injury, and progression to fibrosis, cirrhosis, and complications of end stage liver disease. In the spleen, LAL</w:t>
      </w:r>
      <w:r w:rsidR="00BA6AD4">
        <w:t>-D</w:t>
      </w:r>
      <w:r w:rsidRPr="00984096">
        <w:t xml:space="preserve"> results in splenomegaly, anaemia and thrombocytopenia. Lipid accumulation in the intestinal wall leads to malabsorption and growth failure. In parallel, dyslipidaemia due to impaired degradation of lysosomal lipid is common with elevated </w:t>
      </w:r>
      <w:r w:rsidR="002B27E3">
        <w:t>low density</w:t>
      </w:r>
      <w:r w:rsidRPr="00984096">
        <w:t xml:space="preserve"> lipoprotein cholesterol (LDL-c) and triglycerides, and reduced </w:t>
      </w:r>
      <w:r w:rsidR="002B27E3">
        <w:t>high density</w:t>
      </w:r>
      <w:r w:rsidRPr="00984096">
        <w:t xml:space="preserve"> lipoprotein cholesterol (HDL-c). In addition to liver disease, patients with LAL-D experience increased risk for cardiovascular disease and accelerated atherosclerosis.</w:t>
      </w:r>
    </w:p>
    <w:p w14:paraId="5F820EE2" w14:textId="77777777" w:rsidR="00624BEF" w:rsidRPr="006D4A16" w:rsidRDefault="00624BEF" w:rsidP="00624BEF">
      <w:pPr>
        <w:pStyle w:val="Heading4"/>
      </w:pPr>
      <w:bookmarkStart w:id="76" w:name="_Toc468957426"/>
      <w:bookmarkStart w:id="77" w:name="_Toc513113814"/>
      <w:r w:rsidRPr="006D4A16">
        <w:t>Current treatment options</w:t>
      </w:r>
      <w:bookmarkEnd w:id="76"/>
      <w:bookmarkEnd w:id="77"/>
    </w:p>
    <w:p w14:paraId="1B81D01E" w14:textId="3A739C57" w:rsidR="00624BEF" w:rsidRDefault="00624BEF" w:rsidP="00624BEF">
      <w:r>
        <w:rPr>
          <w:bCs/>
          <w:iCs/>
        </w:rPr>
        <w:t xml:space="preserve">Current </w:t>
      </w:r>
      <w:r w:rsidRPr="006D4A16">
        <w:rPr>
          <w:bCs/>
          <w:iCs/>
        </w:rPr>
        <w:t>t</w:t>
      </w:r>
      <w:r>
        <w:rPr>
          <w:bCs/>
          <w:iCs/>
        </w:rPr>
        <w:t xml:space="preserve">reatment options for </w:t>
      </w:r>
      <w:r w:rsidRPr="006D4A16">
        <w:rPr>
          <w:bCs/>
          <w:iCs/>
        </w:rPr>
        <w:t xml:space="preserve">patients with </w:t>
      </w:r>
      <w:r w:rsidR="008E5468">
        <w:rPr>
          <w:bCs/>
          <w:iCs/>
        </w:rPr>
        <w:t>LAL-D</w:t>
      </w:r>
      <w:r w:rsidRPr="00046D04">
        <w:rPr>
          <w:bCs/>
          <w:iCs/>
        </w:rPr>
        <w:t xml:space="preserve"> are limited</w:t>
      </w:r>
      <w:r w:rsidRPr="00046D04">
        <w:t xml:space="preserve"> to supportive therapies, including nutritional support, blood transfusions and albumin in an attempt to mitigate </w:t>
      </w:r>
      <w:r w:rsidRPr="00046D04">
        <w:lastRenderedPageBreak/>
        <w:t>some of the effects of this rapidly fatal disease</w:t>
      </w:r>
      <w:r>
        <w:t xml:space="preserve"> (Study LAL-1-NH01). </w:t>
      </w:r>
      <w:r w:rsidRPr="00046D04">
        <w:t>Although some temporary stabilisation of the clinical condition has been described, these interventions do not appear to substantially modify the outcome in affected patients</w:t>
      </w:r>
      <w:r w:rsidR="002B27E3">
        <w:t>.</w:t>
      </w:r>
      <w:r w:rsidR="002B27E3">
        <w:rPr>
          <w:rStyle w:val="FootnoteReference"/>
        </w:rPr>
        <w:footnoteReference w:id="21"/>
      </w:r>
      <w:r w:rsidR="00A26008" w:rsidRPr="0029422C">
        <w:rPr>
          <w:vertAlign w:val="superscript"/>
        </w:rPr>
        <w:t>,</w:t>
      </w:r>
      <w:r w:rsidR="002B27E3">
        <w:rPr>
          <w:rStyle w:val="FootnoteReference"/>
        </w:rPr>
        <w:footnoteReference w:id="22"/>
      </w:r>
      <w:r w:rsidRPr="00046D04">
        <w:t xml:space="preserve"> With few exceptions, success has not been achieved using haematopoietic stem cell transplantation (HSCT) in infants</w:t>
      </w:r>
      <w:r>
        <w:t xml:space="preserve"> due to its limited use </w:t>
      </w:r>
      <w:r w:rsidRPr="00046D04">
        <w:t>and/or associat</w:t>
      </w:r>
      <w:r>
        <w:t>ion</w:t>
      </w:r>
      <w:r w:rsidRPr="00046D04">
        <w:t xml:space="preserve"> with high mortality due to the condition of the infants at the time of diagnosis and the rapidly progressive nature of the disease. Additionally, HSCT carries its own inherent risks, including </w:t>
      </w:r>
      <w:r w:rsidR="002B27E3">
        <w:t>graft versus host</w:t>
      </w:r>
      <w:r w:rsidRPr="00046D04">
        <w:t xml:space="preserve"> disease and does not fully address all aspects of the disease as it only replaces haematopoietic cells and therefore cannot resolve hepatic or other complications of the enzyme </w:t>
      </w:r>
      <w:r w:rsidRPr="002B27E3">
        <w:t>deficiency</w:t>
      </w:r>
      <w:r w:rsidR="00A26008" w:rsidRPr="002B27E3">
        <w:t>.</w:t>
      </w:r>
      <w:r w:rsidR="00A26008" w:rsidRPr="00A26008">
        <w:rPr>
          <w:rStyle w:val="FootnoteReference"/>
        </w:rPr>
        <w:footnoteReference w:id="23"/>
      </w:r>
      <w:r w:rsidR="00A26008" w:rsidRPr="0005285B">
        <w:rPr>
          <w:vertAlign w:val="superscript"/>
        </w:rPr>
        <w:t>,</w:t>
      </w:r>
      <w:r w:rsidR="002B27E3" w:rsidRPr="00A26008">
        <w:rPr>
          <w:rStyle w:val="FootnoteReference"/>
        </w:rPr>
        <w:footnoteReference w:id="24"/>
      </w:r>
      <w:r w:rsidR="00A26008" w:rsidRPr="0005285B">
        <w:rPr>
          <w:vertAlign w:val="superscript"/>
        </w:rPr>
        <w:t>,</w:t>
      </w:r>
      <w:r w:rsidR="002B27E3" w:rsidRPr="00A26008">
        <w:rPr>
          <w:rStyle w:val="FootnoteReference"/>
        </w:rPr>
        <w:footnoteReference w:id="25"/>
      </w:r>
      <w:r w:rsidR="00A26008" w:rsidRPr="0005285B">
        <w:rPr>
          <w:vertAlign w:val="superscript"/>
        </w:rPr>
        <w:t>,</w:t>
      </w:r>
      <w:r w:rsidR="002B27E3" w:rsidRPr="00A26008">
        <w:rPr>
          <w:rStyle w:val="FootnoteReference"/>
        </w:rPr>
        <w:footnoteReference w:id="26"/>
      </w:r>
      <w:r w:rsidRPr="002B27E3">
        <w:t xml:space="preserve"> </w:t>
      </w:r>
      <w:r w:rsidR="008F4D44">
        <w:t xml:space="preserve"> </w:t>
      </w:r>
      <w:r w:rsidRPr="002B27E3">
        <w:t>In the natural history Study LAL-1-NH01, median survival was noted to be longer for patients</w:t>
      </w:r>
      <w:r w:rsidRPr="00046D04">
        <w:t xml:space="preserve"> who received HSCT (and/or liver transplant) compared to those who did not; however, survival is still quite poor </w:t>
      </w:r>
      <w:r w:rsidR="002B27E3">
        <w:t>with median age at death of 8.6 </w:t>
      </w:r>
      <w:r w:rsidRPr="00046D04">
        <w:t>months</w:t>
      </w:r>
      <w:r>
        <w:t>.</w:t>
      </w:r>
    </w:p>
    <w:p w14:paraId="5E19C478" w14:textId="3357DB92" w:rsidR="00D15227" w:rsidRPr="00624BEF" w:rsidRDefault="00624BEF" w:rsidP="00624BEF">
      <w:r w:rsidRPr="00046D04">
        <w:t xml:space="preserve">Treatment for children or adults presenting with </w:t>
      </w:r>
      <w:r w:rsidR="008E5468">
        <w:t>LAL-D</w:t>
      </w:r>
      <w:r w:rsidRPr="00046D04">
        <w:t xml:space="preserve"> is limited to liver transplant as liver function deteriorates, and attempts to manage dyslipidaemia through diet and the use of </w:t>
      </w:r>
      <w:r>
        <w:t>lipid lowering</w:t>
      </w:r>
      <w:r w:rsidRPr="00046D04">
        <w:t xml:space="preserve"> medications (LLMs).</w:t>
      </w:r>
      <w:r>
        <w:t xml:space="preserve"> T</w:t>
      </w:r>
      <w:r w:rsidRPr="00046D04">
        <w:t xml:space="preserve">here is limited information in the medical literature on the </w:t>
      </w:r>
      <w:r>
        <w:t>long term</w:t>
      </w:r>
      <w:r w:rsidRPr="00046D04">
        <w:t xml:space="preserve"> outcomes of liver transplantation in patients with </w:t>
      </w:r>
      <w:r w:rsidR="008E5468">
        <w:t>LAL</w:t>
      </w:r>
      <w:r w:rsidR="00DF5CD1">
        <w:noBreakHyphen/>
      </w:r>
      <w:r w:rsidR="008E5468">
        <w:t>D</w:t>
      </w:r>
      <w:r w:rsidR="002B27E3">
        <w:t>.</w:t>
      </w:r>
      <w:r w:rsidR="002B27E3" w:rsidRPr="00A26008">
        <w:rPr>
          <w:rStyle w:val="FootnoteReference"/>
        </w:rPr>
        <w:footnoteReference w:id="27"/>
      </w:r>
      <w:r w:rsidR="00A26008" w:rsidRPr="0005285B">
        <w:rPr>
          <w:vertAlign w:val="superscript"/>
        </w:rPr>
        <w:t>,</w:t>
      </w:r>
      <w:r w:rsidR="002B27E3" w:rsidRPr="00A26008">
        <w:rPr>
          <w:rStyle w:val="FootnoteReference"/>
        </w:rPr>
        <w:footnoteReference w:id="28"/>
      </w:r>
      <w:r w:rsidR="00A26008" w:rsidRPr="0005285B">
        <w:rPr>
          <w:vertAlign w:val="superscript"/>
        </w:rPr>
        <w:t>,</w:t>
      </w:r>
      <w:r w:rsidR="002B27E3" w:rsidRPr="00A26008">
        <w:rPr>
          <w:rStyle w:val="FootnoteReference"/>
        </w:rPr>
        <w:footnoteReference w:id="29"/>
      </w:r>
      <w:r w:rsidR="00A26008" w:rsidRPr="0005285B">
        <w:rPr>
          <w:vertAlign w:val="superscript"/>
        </w:rPr>
        <w:t>,</w:t>
      </w:r>
      <w:r w:rsidR="002B27E3" w:rsidRPr="00A26008">
        <w:rPr>
          <w:rStyle w:val="FootnoteReference"/>
        </w:rPr>
        <w:footnoteReference w:id="30"/>
      </w:r>
      <w:r w:rsidRPr="00022AC8">
        <w:t xml:space="preserve"> In</w:t>
      </w:r>
      <w:r w:rsidRPr="00046D04">
        <w:t xml:space="preserve"> addition to the important risks associated with transplantation itself, and the required concomitant immunosuppression </w:t>
      </w:r>
      <w:r w:rsidRPr="00A75135">
        <w:t xml:space="preserve">post-transplant, liver transplant does not fully address the root cause of disease since other cells and tissues, including cells of haematopoietic lineage which will repopulate the transplanted liver, will </w:t>
      </w:r>
      <w:r w:rsidRPr="00B90407">
        <w:t>remain enzyme deficient in transplanted patients; hence, other disease complications may persist even if transplants are successful.</w:t>
      </w:r>
    </w:p>
    <w:p w14:paraId="1D932AEE" w14:textId="77777777" w:rsidR="00605AD4" w:rsidRDefault="00605AD4" w:rsidP="00605AD4">
      <w:pPr>
        <w:pStyle w:val="Heading4"/>
      </w:pPr>
      <w:bookmarkStart w:id="78" w:name="_Toc196046464"/>
      <w:bookmarkStart w:id="79" w:name="_Toc247691518"/>
      <w:bookmarkStart w:id="80" w:name="_Toc314842502"/>
      <w:r w:rsidRPr="00605AD4">
        <w:t xml:space="preserve">Clinical </w:t>
      </w:r>
      <w:r w:rsidR="00EF59DC">
        <w:t>r</w:t>
      </w:r>
      <w:r w:rsidRPr="00605AD4">
        <w:t>ationale</w:t>
      </w:r>
    </w:p>
    <w:p w14:paraId="31E29F30" w14:textId="77777777" w:rsidR="00D15227" w:rsidRDefault="00D15227" w:rsidP="00D15227">
      <w:r w:rsidRPr="00B90407">
        <w:t xml:space="preserve">Sebelipase alfa is the first ERT to be developed for </w:t>
      </w:r>
      <w:r w:rsidR="008E5468">
        <w:t>LAL-D</w:t>
      </w:r>
      <w:r w:rsidRPr="00B90407">
        <w:t xml:space="preserve"> and treatment with sebelipase alfa is intended to directly address the root cause of disease by replacement of the missing or deficient enzyme resulting in reduction of the accumulated substrates and restoration of normal lipid metabolism.</w:t>
      </w:r>
    </w:p>
    <w:p w14:paraId="5E01CD27" w14:textId="77777777" w:rsidR="00D15227" w:rsidRDefault="00D15227" w:rsidP="00D15227">
      <w:r w:rsidRPr="00B90407">
        <w:t xml:space="preserve">Sebelipase alfa binds to cell surface receptors via </w:t>
      </w:r>
      <w:proofErr w:type="spellStart"/>
      <w:r w:rsidRPr="00B90407">
        <w:t>glycans</w:t>
      </w:r>
      <w:proofErr w:type="spellEnd"/>
      <w:r w:rsidRPr="00B90407">
        <w:t xml:space="preserve"> expressed on the protein and is subsequently </w:t>
      </w:r>
      <w:r>
        <w:t>internalis</w:t>
      </w:r>
      <w:r w:rsidRPr="00B90407">
        <w:t xml:space="preserve">ed into lysosomes. </w:t>
      </w:r>
      <w:r>
        <w:t xml:space="preserve">It </w:t>
      </w:r>
      <w:r w:rsidRPr="00B90407">
        <w:t>catalyses the lysosomal hydrolysis of cholesteryl esters and triglycerides to</w:t>
      </w:r>
      <w:r w:rsidR="002B27E3">
        <w:t>:</w:t>
      </w:r>
      <w:r w:rsidRPr="00B90407">
        <w:t xml:space="preserve"> free cholesterol, glycerol and free fatty acids. Replacement of LAL enzyme activity </w:t>
      </w:r>
      <w:r>
        <w:t xml:space="preserve">would potentially lead to </w:t>
      </w:r>
      <w:r w:rsidRPr="00B90407">
        <w:t xml:space="preserve">reductions in liver fat content and transaminases, enable metabolism of cholesteryl esters and triglycerides in </w:t>
      </w:r>
      <w:r w:rsidRPr="00B90407">
        <w:lastRenderedPageBreak/>
        <w:t xml:space="preserve">the lysosome, leading to reductions in LDL-c, non-HDL-c, and triglycerides, and increases in HDL-c. </w:t>
      </w:r>
      <w:r>
        <w:t>A</w:t>
      </w:r>
      <w:r w:rsidRPr="00B90407">
        <w:t>s a result of substrate reduction in the intestine</w:t>
      </w:r>
      <w:r>
        <w:t>, treatment with proposed sebelipase alfa could also lead to an im</w:t>
      </w:r>
      <w:r w:rsidRPr="00B90407">
        <w:t>provement in growth</w:t>
      </w:r>
      <w:r>
        <w:t>.</w:t>
      </w:r>
      <w:r w:rsidRPr="00B90407">
        <w:rPr>
          <w:bCs/>
          <w:iCs/>
        </w:rPr>
        <w:t xml:space="preserve"> </w:t>
      </w:r>
      <w:r w:rsidRPr="00B90407">
        <w:t xml:space="preserve">Enzyme replacement therapy in patients with </w:t>
      </w:r>
      <w:r w:rsidR="008E5468">
        <w:t>LAL-D</w:t>
      </w:r>
      <w:r w:rsidRPr="00B90407">
        <w:t xml:space="preserve"> is a rational approach given the demonstrated medical value and </w:t>
      </w:r>
      <w:r>
        <w:t>long term</w:t>
      </w:r>
      <w:r w:rsidRPr="00B90407">
        <w:t xml:space="preserve"> safety of ERTs for other </w:t>
      </w:r>
      <w:r>
        <w:t>Lysosomal Storage Disorders (</w:t>
      </w:r>
      <w:r w:rsidRPr="00B90407">
        <w:t>LSDs</w:t>
      </w:r>
      <w:r>
        <w:t>)</w:t>
      </w:r>
      <w:r w:rsidRPr="00B90407">
        <w:t xml:space="preserve">, including </w:t>
      </w:r>
      <w:proofErr w:type="spellStart"/>
      <w:proofErr w:type="gramStart"/>
      <w:r w:rsidRPr="00B90407">
        <w:t>Gaucher</w:t>
      </w:r>
      <w:proofErr w:type="spellEnd"/>
      <w:proofErr w:type="gramEnd"/>
      <w:r w:rsidRPr="00B90407">
        <w:t xml:space="preserve"> disease, </w:t>
      </w:r>
      <w:proofErr w:type="spellStart"/>
      <w:r w:rsidRPr="00B90407">
        <w:t>Pompe</w:t>
      </w:r>
      <w:proofErr w:type="spellEnd"/>
      <w:r w:rsidRPr="00B90407">
        <w:t xml:space="preserve"> disease, </w:t>
      </w:r>
      <w:proofErr w:type="spellStart"/>
      <w:r w:rsidRPr="00B90407">
        <w:t>Fabry</w:t>
      </w:r>
      <w:proofErr w:type="spellEnd"/>
      <w:r w:rsidRPr="00B90407">
        <w:t xml:space="preserve"> disease, and the </w:t>
      </w:r>
      <w:proofErr w:type="spellStart"/>
      <w:r w:rsidRPr="00B90407">
        <w:t>mucopolysaccharidoses</w:t>
      </w:r>
      <w:proofErr w:type="spellEnd"/>
      <w:r w:rsidRPr="00B90407">
        <w:t>.</w:t>
      </w:r>
    </w:p>
    <w:p w14:paraId="06282D69" w14:textId="674DEC9C" w:rsidR="00624BEF" w:rsidRDefault="00624BEF" w:rsidP="00624BEF">
      <w:r w:rsidRPr="0070734C">
        <w:t>The sebelipase alfa formulation used in clinical trials is the formulation proposed for marketing</w:t>
      </w:r>
      <w:r>
        <w:t xml:space="preserve"> and no </w:t>
      </w:r>
      <w:r w:rsidRPr="0070734C">
        <w:t>biopharmaceutic bridging studies were required. Some changes</w:t>
      </w:r>
      <w:r w:rsidR="009F3E6B">
        <w:t xml:space="preserve"> </w:t>
      </w:r>
      <w:r w:rsidR="009F3E6B" w:rsidRPr="0070734C">
        <w:t xml:space="preserve">were made to the </w:t>
      </w:r>
      <w:r w:rsidR="009F3E6B">
        <w:t>d</w:t>
      </w:r>
      <w:r w:rsidR="009F3E6B" w:rsidRPr="0070734C">
        <w:t xml:space="preserve">rug </w:t>
      </w:r>
      <w:r w:rsidR="009F3E6B">
        <w:t>s</w:t>
      </w:r>
      <w:r w:rsidR="009F3E6B" w:rsidRPr="0070734C">
        <w:t>ubstance manufacturing process during development</w:t>
      </w:r>
      <w:r w:rsidR="009F3E6B" w:rsidRPr="009F3E6B">
        <w:rPr>
          <w:rStyle w:val="FootnoteReference"/>
          <w:rFonts w:asciiTheme="minorHAnsi" w:eastAsiaTheme="minorHAnsi" w:hAnsiTheme="minorHAnsi"/>
          <w:color w:val="000000"/>
          <w:vertAlign w:val="baseline"/>
        </w:rPr>
        <w:t>;</w:t>
      </w:r>
      <w:r>
        <w:rPr>
          <w:rStyle w:val="FootnoteReference"/>
          <w:rFonts w:asciiTheme="minorHAnsi" w:eastAsiaTheme="minorHAnsi" w:hAnsiTheme="minorHAnsi"/>
          <w:color w:val="000000"/>
        </w:rPr>
        <w:footnoteReference w:id="31"/>
      </w:r>
      <w:r>
        <w:t xml:space="preserve"> but n</w:t>
      </w:r>
      <w:r w:rsidRPr="0070734C">
        <w:t xml:space="preserve">o significant changes have been made to the overall process since initiation of pivotal clinical </w:t>
      </w:r>
      <w:r>
        <w:t>trials.</w:t>
      </w:r>
    </w:p>
    <w:p w14:paraId="4E62B942" w14:textId="4C8F48C1" w:rsidR="00624BEF" w:rsidRPr="00D15227" w:rsidRDefault="00624BEF" w:rsidP="00624BEF">
      <w:r>
        <w:rPr>
          <w:lang w:eastAsia="ja-JP"/>
        </w:rPr>
        <w:t>There is lack of any effective and safe treatment that directly addresses the root cause of LAL</w:t>
      </w:r>
      <w:r w:rsidR="00BA6AD4">
        <w:rPr>
          <w:lang w:eastAsia="ja-JP"/>
        </w:rPr>
        <w:t>-D</w:t>
      </w:r>
      <w:r>
        <w:rPr>
          <w:lang w:eastAsia="ja-JP"/>
        </w:rPr>
        <w:t xml:space="preserve"> and current treatment options are limited to supportive therapies. The clinical rationale for use of sebelipase alfa for long term ERT of LAL-</w:t>
      </w:r>
      <w:r w:rsidR="002B27E3">
        <w:rPr>
          <w:lang w:eastAsia="ja-JP"/>
        </w:rPr>
        <w:t>D</w:t>
      </w:r>
      <w:r>
        <w:rPr>
          <w:lang w:eastAsia="ja-JP"/>
        </w:rPr>
        <w:t xml:space="preserve"> is valid and acceptable.</w:t>
      </w:r>
    </w:p>
    <w:p w14:paraId="3C6A07F2" w14:textId="77777777" w:rsidR="00605AD4" w:rsidRPr="00605AD4" w:rsidRDefault="00605AD4" w:rsidP="00605AD4">
      <w:pPr>
        <w:pStyle w:val="Heading4"/>
      </w:pPr>
      <w:r w:rsidRPr="00605AD4">
        <w:t>Guidance</w:t>
      </w:r>
    </w:p>
    <w:p w14:paraId="4ABFA921" w14:textId="77777777" w:rsidR="00605AD4" w:rsidRDefault="00605AD4" w:rsidP="00605AD4">
      <w:pPr>
        <w:pStyle w:val="Heading4"/>
      </w:pPr>
      <w:r w:rsidRPr="00605AD4">
        <w:t>Contents of the clinical dossier</w:t>
      </w:r>
    </w:p>
    <w:p w14:paraId="35C82524" w14:textId="77777777" w:rsidR="00D15227" w:rsidRPr="00984096" w:rsidRDefault="00D15227" w:rsidP="00D15227">
      <w:r w:rsidRPr="00984096">
        <w:t>Clinical pharmacology studies:</w:t>
      </w:r>
    </w:p>
    <w:p w14:paraId="5A459ADC" w14:textId="2FE6F05A" w:rsidR="00D15227" w:rsidRPr="00D15227" w:rsidRDefault="00D15227" w:rsidP="00D15227">
      <w:pPr>
        <w:pStyle w:val="ListBullet"/>
      </w:pPr>
      <w:r w:rsidRPr="00D15227">
        <w:t xml:space="preserve">Study LAL-CL01: </w:t>
      </w:r>
      <w:r w:rsidR="009F3E6B">
        <w:t xml:space="preserve">A </w:t>
      </w:r>
      <w:r w:rsidRPr="00D15227">
        <w:t xml:space="preserve">Phase I/II </w:t>
      </w:r>
      <w:r w:rsidR="002B27E3">
        <w:t>open label</w:t>
      </w:r>
      <w:r w:rsidR="009F3E6B">
        <w:t xml:space="preserve"> </w:t>
      </w:r>
      <w:r w:rsidR="002B27E3" w:rsidRPr="00D15227">
        <w:t xml:space="preserve">multicentre study to evaluate the safety, tolerability and pharmacokinetics </w:t>
      </w:r>
      <w:r w:rsidRPr="00D15227">
        <w:t xml:space="preserve">of SBC-102 in </w:t>
      </w:r>
      <w:r w:rsidR="002B27E3" w:rsidRPr="00D15227">
        <w:t>adult patients with liver dysfunction due to lysosomal acid lipase deficiency</w:t>
      </w:r>
      <w:r w:rsidRPr="00D15227">
        <w:t>.</w:t>
      </w:r>
    </w:p>
    <w:p w14:paraId="3B52E062" w14:textId="293C87DB" w:rsidR="00D15227" w:rsidRPr="00D15227" w:rsidRDefault="009F3E6B" w:rsidP="00D15227">
      <w:pPr>
        <w:pStyle w:val="ListBullet"/>
      </w:pPr>
      <w:r>
        <w:t>Study SBC-103: A p</w:t>
      </w:r>
      <w:r w:rsidR="00D15227" w:rsidRPr="00D15227">
        <w:t xml:space="preserve">opulation </w:t>
      </w:r>
      <w:r>
        <w:t>p</w:t>
      </w:r>
      <w:r w:rsidRPr="00D15227">
        <w:t xml:space="preserve">harmacokinetics </w:t>
      </w:r>
      <w:r w:rsidR="002B27E3" w:rsidRPr="00D15227">
        <w:t>and pharmacokinetic pharmacodynamic graphical evaluation of sebelipase a</w:t>
      </w:r>
      <w:r w:rsidR="00D15227" w:rsidRPr="00D15227">
        <w:t xml:space="preserve">lfa (SBC-102) </w:t>
      </w:r>
      <w:r w:rsidR="002B27E3" w:rsidRPr="00D15227">
        <w:t>for subjects with lysosomal acid lipase deficiency</w:t>
      </w:r>
      <w:r w:rsidR="00D15227" w:rsidRPr="00D15227">
        <w:t>.</w:t>
      </w:r>
    </w:p>
    <w:p w14:paraId="7576F01B" w14:textId="77777777" w:rsidR="00D15227" w:rsidRPr="00984096" w:rsidRDefault="00D15227" w:rsidP="00D15227">
      <w:r w:rsidRPr="00984096">
        <w:t>Pivotal controlled efficacy/ s</w:t>
      </w:r>
      <w:r>
        <w:t>afety studies:</w:t>
      </w:r>
    </w:p>
    <w:p w14:paraId="6EE63A36" w14:textId="51877FFB" w:rsidR="00D15227" w:rsidRPr="00D15227" w:rsidRDefault="00D15227" w:rsidP="00D15227">
      <w:pPr>
        <w:pStyle w:val="ListBullet"/>
      </w:pPr>
      <w:r w:rsidRPr="00D15227">
        <w:t xml:space="preserve">Study LAL-CL02: </w:t>
      </w:r>
      <w:r w:rsidR="009F3E6B">
        <w:t xml:space="preserve">A </w:t>
      </w:r>
      <w:r w:rsidRPr="00D15227">
        <w:t xml:space="preserve">Phase III, </w:t>
      </w:r>
      <w:r w:rsidR="002B27E3" w:rsidRPr="00D15227">
        <w:t>multicentre, randomi</w:t>
      </w:r>
      <w:r w:rsidR="00654E93">
        <w:t>s</w:t>
      </w:r>
      <w:r w:rsidR="002B27E3" w:rsidRPr="00D15227">
        <w:t xml:space="preserve">ed, </w:t>
      </w:r>
      <w:r w:rsidR="002B27E3">
        <w:t>placebo controlled</w:t>
      </w:r>
      <w:r w:rsidR="002B27E3" w:rsidRPr="00D15227">
        <w:t xml:space="preserve"> study </w:t>
      </w:r>
      <w:r w:rsidR="002B27E3">
        <w:t>of SBC</w:t>
      </w:r>
      <w:r w:rsidR="002B27E3">
        <w:noBreakHyphen/>
      </w:r>
      <w:r w:rsidRPr="00D15227">
        <w:t xml:space="preserve">102 in </w:t>
      </w:r>
      <w:r w:rsidR="002B27E3" w:rsidRPr="00D15227">
        <w:t xml:space="preserve">patients with lysosomal acid lipase deficiency </w:t>
      </w:r>
      <w:r w:rsidRPr="00D15227">
        <w:t>(</w:t>
      </w:r>
      <w:r w:rsidR="009F3E6B">
        <w:t xml:space="preserve">also known as </w:t>
      </w:r>
      <w:r w:rsidRPr="00D15227">
        <w:t>ARISE</w:t>
      </w:r>
      <w:r w:rsidR="009F3E6B">
        <w:t xml:space="preserve"> (</w:t>
      </w:r>
      <w:r w:rsidRPr="00D15227">
        <w:t>Acid Lipase Replacement Investigating Safety and Efficacy</w:t>
      </w:r>
      <w:r w:rsidR="009F3E6B">
        <w:t>)</w:t>
      </w:r>
      <w:r w:rsidRPr="00D15227">
        <w:t>).</w:t>
      </w:r>
    </w:p>
    <w:p w14:paraId="115413F2" w14:textId="77777777" w:rsidR="00D15227" w:rsidRPr="00984096" w:rsidRDefault="002B27E3" w:rsidP="00D15227">
      <w:r>
        <w:t>Uncontrolled efficacy/</w:t>
      </w:r>
      <w:r w:rsidR="00D15227" w:rsidRPr="00984096">
        <w:t>safety studies:</w:t>
      </w:r>
    </w:p>
    <w:p w14:paraId="618DD4CC" w14:textId="36763A1D" w:rsidR="00D15227" w:rsidRPr="00D15227" w:rsidRDefault="00D15227" w:rsidP="00D15227">
      <w:pPr>
        <w:pStyle w:val="ListBullet"/>
      </w:pPr>
      <w:r w:rsidRPr="00D15227">
        <w:t xml:space="preserve">Study LAL-CL03: </w:t>
      </w:r>
      <w:r w:rsidR="009F3E6B">
        <w:t xml:space="preserve">A </w:t>
      </w:r>
      <w:r w:rsidRPr="00D15227">
        <w:t xml:space="preserve">Phase III, </w:t>
      </w:r>
      <w:r w:rsidR="002B27E3" w:rsidRPr="00D15227">
        <w:t xml:space="preserve">open label, multicentre, dose escalation study to evaluate the safety, tolerability, efficacy, pharmacokinetics, and pharmacodynamics </w:t>
      </w:r>
      <w:r w:rsidRPr="00D15227">
        <w:t xml:space="preserve">of SBC-102 </w:t>
      </w:r>
      <w:r w:rsidR="002B27E3" w:rsidRPr="00D15227">
        <w:t>in children with growth failure due to lysosomal acid lipase deficiency</w:t>
      </w:r>
    </w:p>
    <w:p w14:paraId="1929848E" w14:textId="77777777" w:rsidR="00D15227" w:rsidRPr="00D15227" w:rsidRDefault="00D15227" w:rsidP="00D15227">
      <w:pPr>
        <w:pStyle w:val="ListBullet"/>
      </w:pPr>
      <w:r w:rsidRPr="00D15227">
        <w:t>Study LAL-</w:t>
      </w:r>
      <w:r w:rsidR="002B27E3">
        <w:t xml:space="preserve">CL04: </w:t>
      </w:r>
      <w:r w:rsidRPr="00D15227">
        <w:t xml:space="preserve">An </w:t>
      </w:r>
      <w:r w:rsidR="002B27E3" w:rsidRPr="00D15227">
        <w:t xml:space="preserve">open label multicentre extension study to evaluate the </w:t>
      </w:r>
      <w:r w:rsidR="002B27E3">
        <w:t>long term</w:t>
      </w:r>
      <w:r w:rsidR="002B27E3" w:rsidRPr="00D15227">
        <w:t xml:space="preserve"> safety, tolerability, and efficacy of sebelipase alfa in adult subjects with liver dysfunction due to lysosomal acid lipase deficiency who previously received treatment </w:t>
      </w:r>
      <w:r w:rsidRPr="00D15227">
        <w:t>in Study LAL-CL01.</w:t>
      </w:r>
    </w:p>
    <w:p w14:paraId="68CF0B62" w14:textId="493DD250" w:rsidR="00D15227" w:rsidRPr="00984096" w:rsidRDefault="009F3E6B" w:rsidP="00D15227">
      <w:r>
        <w:t xml:space="preserve">In addition, the sponsor submitted an </w:t>
      </w:r>
      <w:r w:rsidR="00D15227" w:rsidRPr="00984096">
        <w:t xml:space="preserve">Integrated </w:t>
      </w:r>
      <w:r>
        <w:t>A</w:t>
      </w:r>
      <w:r w:rsidRPr="00984096">
        <w:t xml:space="preserve">nalysis </w:t>
      </w:r>
      <w:r w:rsidR="00D15227" w:rsidRPr="00984096">
        <w:t xml:space="preserve">of </w:t>
      </w:r>
      <w:r>
        <w:t>S</w:t>
      </w:r>
      <w:r w:rsidRPr="00984096">
        <w:t>afety</w:t>
      </w:r>
      <w:r w:rsidR="00D15227" w:rsidRPr="00984096">
        <w:t>.</w:t>
      </w:r>
    </w:p>
    <w:p w14:paraId="69F49999" w14:textId="77777777" w:rsidR="00D15227" w:rsidRPr="00984096" w:rsidRDefault="00D15227" w:rsidP="00D15227">
      <w:pPr>
        <w:keepNext/>
      </w:pPr>
      <w:r>
        <w:t>Other reports:</w:t>
      </w:r>
    </w:p>
    <w:p w14:paraId="67B56B1B" w14:textId="276E9247" w:rsidR="00D15227" w:rsidRPr="00D15227" w:rsidRDefault="009F3E6B" w:rsidP="00D15227">
      <w:pPr>
        <w:pStyle w:val="ListBullet"/>
      </w:pPr>
      <w:r>
        <w:t xml:space="preserve">Study </w:t>
      </w:r>
      <w:r w:rsidR="00D15227" w:rsidRPr="00D15227">
        <w:t xml:space="preserve">LAL-1-NH01: An observational, multinational, multicentre natural history study of patients diagnosed with </w:t>
      </w:r>
      <w:r w:rsidR="008E5468">
        <w:t>LAL-D</w:t>
      </w:r>
      <w:r w:rsidR="00D15227" w:rsidRPr="00D15227">
        <w:t xml:space="preserve"> presenting in infancy (historically called Wolman disease or </w:t>
      </w:r>
      <w:r w:rsidR="008E5468">
        <w:t>LAL-D</w:t>
      </w:r>
      <w:r w:rsidR="00D15227" w:rsidRPr="00D15227">
        <w:t>/Wolman phenotype).</w:t>
      </w:r>
    </w:p>
    <w:p w14:paraId="35DAD38F" w14:textId="565CEF00" w:rsidR="00D15227" w:rsidRPr="00D15227" w:rsidRDefault="009F3E6B" w:rsidP="00D15227">
      <w:pPr>
        <w:pStyle w:val="ListBullet"/>
      </w:pPr>
      <w:r>
        <w:lastRenderedPageBreak/>
        <w:t xml:space="preserve">Study </w:t>
      </w:r>
      <w:r w:rsidR="00D15227" w:rsidRPr="00D15227">
        <w:t xml:space="preserve">LAL-2-NH01: An observational, multinational, multicentre study of the clinical characteristics and disease progression of patients </w:t>
      </w:r>
      <w:r w:rsidR="002B27E3" w:rsidRPr="00D15227">
        <w:t>with l</w:t>
      </w:r>
      <w:r w:rsidR="002B27E3">
        <w:t>ysosomal acid lipase deficiency/</w:t>
      </w:r>
      <w:r w:rsidR="002B27E3" w:rsidRPr="00D15227">
        <w:t xml:space="preserve">cholesterol ester storage disease phenotype using </w:t>
      </w:r>
      <w:r w:rsidR="00D15227" w:rsidRPr="00D15227">
        <w:t xml:space="preserve">data from the clinical charts of a sufficient number of children and adults presenting with </w:t>
      </w:r>
      <w:r w:rsidR="008E5468">
        <w:t>LAL-D</w:t>
      </w:r>
      <w:r w:rsidR="00D15227" w:rsidRPr="00D15227">
        <w:t>.</w:t>
      </w:r>
    </w:p>
    <w:p w14:paraId="26F2EC3E" w14:textId="77777777" w:rsidR="00D15227" w:rsidRDefault="00D15227" w:rsidP="00AF627E">
      <w:pPr>
        <w:rPr>
          <w:lang w:eastAsia="ja-JP"/>
        </w:rPr>
      </w:pPr>
      <w:r w:rsidRPr="00B90407">
        <w:rPr>
          <w:lang w:eastAsia="ja-JP"/>
        </w:rPr>
        <w:t xml:space="preserve">Recently initiated studies (only </w:t>
      </w:r>
      <w:r>
        <w:rPr>
          <w:lang w:eastAsia="ja-JP"/>
        </w:rPr>
        <w:t>study</w:t>
      </w:r>
      <w:r w:rsidRPr="00B90407">
        <w:rPr>
          <w:lang w:eastAsia="ja-JP"/>
        </w:rPr>
        <w:t xml:space="preserve"> protocols were provided in the</w:t>
      </w:r>
      <w:r>
        <w:rPr>
          <w:lang w:eastAsia="ja-JP"/>
        </w:rPr>
        <w:t xml:space="preserve"> submitted dossier):</w:t>
      </w:r>
    </w:p>
    <w:p w14:paraId="505DD173" w14:textId="7D9E80DA" w:rsidR="00D15227" w:rsidRPr="00D15227" w:rsidRDefault="009F3E6B" w:rsidP="00D15227">
      <w:pPr>
        <w:pStyle w:val="ListBullet"/>
      </w:pPr>
      <w:r>
        <w:t xml:space="preserve">Study </w:t>
      </w:r>
      <w:r w:rsidR="00D15227" w:rsidRPr="00D15227">
        <w:t>LAL-CL06: An open label, multicentre study to evaluate</w:t>
      </w:r>
      <w:r w:rsidR="002B27E3">
        <w:t xml:space="preserve"> the safety and efficacy of SBC</w:t>
      </w:r>
      <w:r w:rsidR="002B27E3">
        <w:noBreakHyphen/>
      </w:r>
      <w:r w:rsidR="00D15227" w:rsidRPr="00D15227">
        <w:t>102 (United States adopted name: sebelipase alfa) in a broad population of subjects</w:t>
      </w:r>
      <w:r w:rsidR="00D15227" w:rsidRPr="002B27E3">
        <w:rPr>
          <w:vertAlign w:val="superscript"/>
        </w:rPr>
        <w:footnoteReference w:id="32"/>
      </w:r>
      <w:r w:rsidR="00D15227" w:rsidRPr="00D15227">
        <w:t xml:space="preserve"> with </w:t>
      </w:r>
      <w:r w:rsidR="002B27E3" w:rsidRPr="00D15227">
        <w:t xml:space="preserve">lysosomal acid lipase deficiency </w:t>
      </w:r>
      <w:r w:rsidR="00D15227" w:rsidRPr="00D15227">
        <w:t>(</w:t>
      </w:r>
      <w:r w:rsidR="008E5468">
        <w:t>LAL-D</w:t>
      </w:r>
      <w:r w:rsidR="00D15227" w:rsidRPr="00D15227">
        <w:t>).</w:t>
      </w:r>
    </w:p>
    <w:p w14:paraId="3A391B32" w14:textId="0251901E" w:rsidR="00D15227" w:rsidRPr="00D15227" w:rsidRDefault="009F3E6B" w:rsidP="00D15227">
      <w:pPr>
        <w:pStyle w:val="ListBullet"/>
      </w:pPr>
      <w:r>
        <w:t xml:space="preserve">Study </w:t>
      </w:r>
      <w:r w:rsidR="00D15227" w:rsidRPr="00D15227">
        <w:t xml:space="preserve">LAL-CL08: A Phase II, open label, multicentre, repeat dose, study of sebelipase alfa in infants with rapidly progressive </w:t>
      </w:r>
      <w:r w:rsidR="008E5468">
        <w:t>LAL-D</w:t>
      </w:r>
      <w:r w:rsidR="00D15227" w:rsidRPr="00D15227">
        <w:t>.</w:t>
      </w:r>
    </w:p>
    <w:p w14:paraId="3BD50EA7" w14:textId="77777777" w:rsidR="00D15227" w:rsidRPr="00D15227" w:rsidRDefault="00945715" w:rsidP="00D15227">
      <w:pPr>
        <w:spacing w:before="0" w:line="240" w:lineRule="auto"/>
        <w:rPr>
          <w:lang w:eastAsia="ja-JP"/>
        </w:rPr>
      </w:pPr>
      <w:r>
        <w:rPr>
          <w:lang w:eastAsia="ja-JP"/>
        </w:rPr>
        <w:t>The submission also contained literature references, clinical overview, summaries of clinical pharmacology, clinical efficacy and clinical safety</w:t>
      </w:r>
      <w:r w:rsidR="00D15227">
        <w:rPr>
          <w:lang w:eastAsia="ja-JP"/>
        </w:rPr>
        <w:t>.</w:t>
      </w:r>
    </w:p>
    <w:p w14:paraId="779FED10" w14:textId="77777777" w:rsidR="00605AD4" w:rsidRDefault="00605AD4" w:rsidP="00605AD4">
      <w:pPr>
        <w:pStyle w:val="Heading4"/>
      </w:pPr>
      <w:r w:rsidRPr="00605AD4">
        <w:t>Paediatric data</w:t>
      </w:r>
    </w:p>
    <w:p w14:paraId="4D567B31" w14:textId="07AF859C" w:rsidR="00D15227" w:rsidRPr="00D15227" w:rsidRDefault="00D15227" w:rsidP="00D15227">
      <w:r w:rsidRPr="00984096">
        <w:t>Fifty six of 84 patients (67%) who received sebelipase al</w:t>
      </w:r>
      <w:r>
        <w:t xml:space="preserve">fa during clinical </w:t>
      </w:r>
      <w:r w:rsidR="008E78CF">
        <w:t>studies (Studies </w:t>
      </w:r>
      <w:r>
        <w:t>LAL</w:t>
      </w:r>
      <w:r>
        <w:noBreakHyphen/>
      </w:r>
      <w:r w:rsidRPr="00984096">
        <w:t>CL01/LAL-CL04, LAL-CL02 and LAL-CL03</w:t>
      </w:r>
      <w:r w:rsidR="008E78CF">
        <w:t>)</w:t>
      </w:r>
      <w:r w:rsidRPr="00984096">
        <w:t xml:space="preserve"> were in the paediatric and adolescent age range (1 month up to 18 years).</w:t>
      </w:r>
    </w:p>
    <w:p w14:paraId="09C0F4B9" w14:textId="77777777" w:rsidR="00605AD4" w:rsidRDefault="00605AD4" w:rsidP="00605AD4">
      <w:pPr>
        <w:pStyle w:val="Heading4"/>
      </w:pPr>
      <w:r w:rsidRPr="00605AD4">
        <w:t>Good clinical practice</w:t>
      </w:r>
    </w:p>
    <w:p w14:paraId="4A792297" w14:textId="77777777" w:rsidR="00D15227" w:rsidRPr="00D15227" w:rsidRDefault="00D15227" w:rsidP="00D15227">
      <w:r w:rsidRPr="00A43FD2">
        <w:t>All studies have been conducted in accordance with International Conference on Harmonisation (ICH) and Good Clinical Practice (GCP) consolidated guidelines and the ethical principles of the Declaration of Helsinki.</w:t>
      </w:r>
    </w:p>
    <w:p w14:paraId="2430DC57" w14:textId="77777777" w:rsidR="008E7846" w:rsidRDefault="008E7846" w:rsidP="00605AD4">
      <w:pPr>
        <w:pStyle w:val="Heading3"/>
      </w:pPr>
      <w:bookmarkStart w:id="81" w:name="_Toc519601797"/>
      <w:r w:rsidRPr="00254787">
        <w:t>Pharmacokinetics</w:t>
      </w:r>
      <w:bookmarkEnd w:id="67"/>
      <w:bookmarkEnd w:id="78"/>
      <w:bookmarkEnd w:id="79"/>
      <w:bookmarkEnd w:id="80"/>
      <w:bookmarkEnd w:id="81"/>
    </w:p>
    <w:p w14:paraId="0181B526" w14:textId="77777777" w:rsidR="00605AD4" w:rsidRDefault="00605AD4" w:rsidP="00605AD4">
      <w:pPr>
        <w:pStyle w:val="Heading4"/>
      </w:pPr>
      <w:r>
        <w:t>Studies</w:t>
      </w:r>
      <w:r w:rsidR="00624BEF">
        <w:t xml:space="preserve"> providing pharmacokinetic data</w:t>
      </w:r>
    </w:p>
    <w:p w14:paraId="680F277A" w14:textId="73A56ECF" w:rsidR="00624BEF" w:rsidRDefault="00624BEF" w:rsidP="00624BEF">
      <w:r w:rsidRPr="00A43FD2">
        <w:rPr>
          <w:rFonts w:asciiTheme="minorHAnsi" w:hAnsiTheme="minorHAnsi"/>
          <w:lang w:eastAsia="ja-JP"/>
        </w:rPr>
        <w:t>Due to the rare nature of the disease being treated, there were no studies in healthy subj</w:t>
      </w:r>
      <w:r>
        <w:rPr>
          <w:rFonts w:asciiTheme="minorHAnsi" w:hAnsiTheme="minorHAnsi"/>
          <w:lang w:eastAsia="ja-JP"/>
        </w:rPr>
        <w:t xml:space="preserve">ects. Hence, all discussion </w:t>
      </w:r>
      <w:r w:rsidRPr="00A43FD2">
        <w:rPr>
          <w:rFonts w:asciiTheme="minorHAnsi" w:hAnsiTheme="minorHAnsi"/>
          <w:lang w:eastAsia="ja-JP"/>
        </w:rPr>
        <w:t>below relates to PK findings in patients with LAL</w:t>
      </w:r>
      <w:r w:rsidR="00BA6AD4">
        <w:rPr>
          <w:rFonts w:asciiTheme="minorHAnsi" w:hAnsiTheme="minorHAnsi"/>
          <w:lang w:eastAsia="ja-JP"/>
        </w:rPr>
        <w:t>-D</w:t>
      </w:r>
      <w:r w:rsidRPr="00A43FD2">
        <w:rPr>
          <w:rFonts w:asciiTheme="minorHAnsi" w:hAnsiTheme="minorHAnsi"/>
          <w:lang w:eastAsia="ja-JP"/>
        </w:rPr>
        <w:t>.</w:t>
      </w:r>
      <w:r w:rsidR="004B7482">
        <w:rPr>
          <w:rFonts w:asciiTheme="minorHAnsi" w:hAnsiTheme="minorHAnsi"/>
          <w:lang w:eastAsia="ja-JP"/>
        </w:rPr>
        <w:t xml:space="preserve"> Studies providing PK data are shown in Table 4, below.</w:t>
      </w:r>
    </w:p>
    <w:p w14:paraId="286A67C3" w14:textId="77777777" w:rsidR="00624BEF" w:rsidRDefault="00624BEF" w:rsidP="004A1DEE">
      <w:pPr>
        <w:pStyle w:val="Tabletitle0"/>
        <w:pageBreakBefore/>
      </w:pPr>
      <w:r w:rsidRPr="001E5930">
        <w:lastRenderedPageBreak/>
        <w:t xml:space="preserve">Table </w:t>
      </w:r>
      <w:r w:rsidR="004A1DEE">
        <w:t>4</w:t>
      </w:r>
      <w:r>
        <w:t xml:space="preserve">: </w:t>
      </w:r>
      <w:r w:rsidRPr="001E5930">
        <w:t>Submitted pharmacokinetic studies</w:t>
      </w:r>
    </w:p>
    <w:tbl>
      <w:tblPr>
        <w:tblStyle w:val="TableTGAblue"/>
        <w:tblW w:w="8570" w:type="dxa"/>
        <w:tblLayout w:type="fixed"/>
        <w:tblLook w:val="04A0" w:firstRow="1" w:lastRow="0" w:firstColumn="1" w:lastColumn="0" w:noHBand="0" w:noVBand="1"/>
      </w:tblPr>
      <w:tblGrid>
        <w:gridCol w:w="1820"/>
        <w:gridCol w:w="4500"/>
        <w:gridCol w:w="2250"/>
      </w:tblGrid>
      <w:tr w:rsidR="000B6B22" w:rsidRPr="00B55A5F" w14:paraId="1F6F6331" w14:textId="77777777" w:rsidTr="0005285B">
        <w:trPr>
          <w:cnfStyle w:val="100000000000" w:firstRow="1" w:lastRow="0" w:firstColumn="0" w:lastColumn="0" w:oddVBand="0" w:evenVBand="0" w:oddHBand="0" w:evenHBand="0" w:firstRowFirstColumn="0" w:firstRowLastColumn="0" w:lastRowFirstColumn="0" w:lastRowLastColumn="0"/>
          <w:trHeight w:val="138"/>
        </w:trPr>
        <w:tc>
          <w:tcPr>
            <w:tcW w:w="1820" w:type="dxa"/>
          </w:tcPr>
          <w:p w14:paraId="151B6D1F" w14:textId="77777777" w:rsidR="00624BEF" w:rsidRPr="00B55A5F" w:rsidRDefault="00624BEF" w:rsidP="00CA17A3">
            <w:r w:rsidRPr="00B55A5F">
              <w:t>PK topic</w:t>
            </w:r>
          </w:p>
        </w:tc>
        <w:tc>
          <w:tcPr>
            <w:tcW w:w="4500" w:type="dxa"/>
          </w:tcPr>
          <w:p w14:paraId="58360A76" w14:textId="77777777" w:rsidR="00624BEF" w:rsidRPr="00B55A5F" w:rsidRDefault="00624BEF" w:rsidP="00CA17A3">
            <w:r w:rsidRPr="00B55A5F">
              <w:t>Subtopic</w:t>
            </w:r>
          </w:p>
        </w:tc>
        <w:tc>
          <w:tcPr>
            <w:tcW w:w="2250" w:type="dxa"/>
          </w:tcPr>
          <w:p w14:paraId="2C3C46A8" w14:textId="77777777" w:rsidR="00624BEF" w:rsidRPr="00B55A5F" w:rsidRDefault="00624BEF" w:rsidP="00CA17A3">
            <w:r>
              <w:t>Study</w:t>
            </w:r>
            <w:r w:rsidRPr="00B55A5F">
              <w:t xml:space="preserve"> ID</w:t>
            </w:r>
          </w:p>
        </w:tc>
      </w:tr>
      <w:tr w:rsidR="000B6B22" w:rsidRPr="00B55A5F" w14:paraId="7971E6AC" w14:textId="77777777" w:rsidTr="0005285B">
        <w:trPr>
          <w:trHeight w:val="138"/>
        </w:trPr>
        <w:tc>
          <w:tcPr>
            <w:tcW w:w="1820" w:type="dxa"/>
          </w:tcPr>
          <w:p w14:paraId="0F3CFF35" w14:textId="77777777" w:rsidR="00624BEF" w:rsidRPr="00B55A5F" w:rsidRDefault="00624BEF" w:rsidP="00CA17A3">
            <w:r w:rsidRPr="00B55A5F">
              <w:t>PK in healthy adults</w:t>
            </w:r>
          </w:p>
        </w:tc>
        <w:tc>
          <w:tcPr>
            <w:tcW w:w="4500" w:type="dxa"/>
          </w:tcPr>
          <w:p w14:paraId="321754C5" w14:textId="77777777" w:rsidR="00624BEF" w:rsidRPr="00B55A5F" w:rsidRDefault="00624BEF" w:rsidP="00CA17A3">
            <w:r>
              <w:t>None</w:t>
            </w:r>
          </w:p>
        </w:tc>
        <w:tc>
          <w:tcPr>
            <w:tcW w:w="2250" w:type="dxa"/>
          </w:tcPr>
          <w:p w14:paraId="441BCC1A" w14:textId="77777777" w:rsidR="00624BEF" w:rsidRPr="00B55A5F" w:rsidRDefault="00624BEF" w:rsidP="00CA17A3"/>
        </w:tc>
      </w:tr>
      <w:tr w:rsidR="000B6B22" w:rsidRPr="00B55A5F" w14:paraId="472F682A" w14:textId="77777777" w:rsidTr="0005285B">
        <w:trPr>
          <w:trHeight w:val="138"/>
        </w:trPr>
        <w:tc>
          <w:tcPr>
            <w:tcW w:w="1820" w:type="dxa"/>
            <w:vMerge w:val="restart"/>
          </w:tcPr>
          <w:p w14:paraId="21AB3D89" w14:textId="77777777" w:rsidR="00624BEF" w:rsidRPr="00B55A5F" w:rsidRDefault="00624BEF" w:rsidP="00CA17A3">
            <w:r w:rsidRPr="00B55A5F">
              <w:t>PK in special populations</w:t>
            </w:r>
          </w:p>
        </w:tc>
        <w:tc>
          <w:tcPr>
            <w:tcW w:w="4500" w:type="dxa"/>
          </w:tcPr>
          <w:p w14:paraId="41647DB9" w14:textId="77777777" w:rsidR="00624BEF" w:rsidRPr="00B55A5F" w:rsidRDefault="00624BEF" w:rsidP="00624BEF">
            <w:r w:rsidRPr="00B55A5F">
              <w:t xml:space="preserve">Target population </w:t>
            </w:r>
            <w:r>
              <w:t xml:space="preserve">§ </w:t>
            </w:r>
            <w:r w:rsidRPr="00B55A5F">
              <w:t>Single dose</w:t>
            </w:r>
          </w:p>
        </w:tc>
        <w:tc>
          <w:tcPr>
            <w:tcW w:w="2250" w:type="dxa"/>
          </w:tcPr>
          <w:p w14:paraId="4737EA96" w14:textId="77777777" w:rsidR="00624BEF" w:rsidRPr="00B55A5F" w:rsidRDefault="00624BEF" w:rsidP="00CA17A3">
            <w:r w:rsidRPr="00B55A5F">
              <w:t>None</w:t>
            </w:r>
          </w:p>
        </w:tc>
      </w:tr>
      <w:tr w:rsidR="000B6B22" w:rsidRPr="00B55A5F" w14:paraId="605E4260" w14:textId="77777777" w:rsidTr="0005285B">
        <w:trPr>
          <w:trHeight w:val="138"/>
        </w:trPr>
        <w:tc>
          <w:tcPr>
            <w:tcW w:w="1820" w:type="dxa"/>
            <w:vMerge/>
          </w:tcPr>
          <w:p w14:paraId="00BBEDC6" w14:textId="77777777" w:rsidR="00624BEF" w:rsidRPr="00B55A5F" w:rsidRDefault="00624BEF" w:rsidP="00CA17A3"/>
        </w:tc>
        <w:tc>
          <w:tcPr>
            <w:tcW w:w="4500" w:type="dxa"/>
          </w:tcPr>
          <w:p w14:paraId="449D8897" w14:textId="77777777" w:rsidR="00624BEF" w:rsidRPr="00B55A5F" w:rsidRDefault="00624BEF" w:rsidP="00CA17A3">
            <w:r w:rsidRPr="00B55A5F">
              <w:t>Multi-dose</w:t>
            </w:r>
          </w:p>
        </w:tc>
        <w:tc>
          <w:tcPr>
            <w:tcW w:w="2250" w:type="dxa"/>
          </w:tcPr>
          <w:p w14:paraId="6A8DE385" w14:textId="566F351F" w:rsidR="00624BEF" w:rsidRPr="00B55A5F" w:rsidRDefault="004B7482" w:rsidP="00CA17A3">
            <w:r>
              <w:t xml:space="preserve">Study </w:t>
            </w:r>
            <w:r w:rsidR="00624BEF" w:rsidRPr="00B55A5F">
              <w:t>LAL-CL01</w:t>
            </w:r>
          </w:p>
        </w:tc>
      </w:tr>
      <w:tr w:rsidR="000B6B22" w:rsidRPr="00B55A5F" w14:paraId="0EB3233A" w14:textId="77777777" w:rsidTr="0005285B">
        <w:trPr>
          <w:trHeight w:val="138"/>
        </w:trPr>
        <w:tc>
          <w:tcPr>
            <w:tcW w:w="1820" w:type="dxa"/>
            <w:vMerge/>
          </w:tcPr>
          <w:p w14:paraId="1B254DA5" w14:textId="77777777" w:rsidR="00624BEF" w:rsidRPr="00B55A5F" w:rsidRDefault="00624BEF" w:rsidP="00CA17A3"/>
        </w:tc>
        <w:tc>
          <w:tcPr>
            <w:tcW w:w="4500" w:type="dxa"/>
          </w:tcPr>
          <w:p w14:paraId="01207495" w14:textId="77777777" w:rsidR="00624BEF" w:rsidRPr="00B55A5F" w:rsidRDefault="00624BEF" w:rsidP="00CA17A3">
            <w:r w:rsidRPr="00B55A5F">
              <w:t>Hepatic impairment</w:t>
            </w:r>
          </w:p>
        </w:tc>
        <w:tc>
          <w:tcPr>
            <w:tcW w:w="2250" w:type="dxa"/>
          </w:tcPr>
          <w:p w14:paraId="55253019" w14:textId="239EFA77" w:rsidR="00624BEF" w:rsidRPr="00B55A5F" w:rsidRDefault="004B7482" w:rsidP="00CA17A3">
            <w:r>
              <w:t xml:space="preserve">Study </w:t>
            </w:r>
            <w:r w:rsidR="00624BEF" w:rsidRPr="00B55A5F">
              <w:t>LAL-CL01</w:t>
            </w:r>
          </w:p>
        </w:tc>
      </w:tr>
      <w:tr w:rsidR="000B6B22" w:rsidRPr="00B55A5F" w14:paraId="6BB8C4E8" w14:textId="77777777" w:rsidTr="0005285B">
        <w:trPr>
          <w:trHeight w:val="138"/>
        </w:trPr>
        <w:tc>
          <w:tcPr>
            <w:tcW w:w="1820" w:type="dxa"/>
            <w:vMerge/>
          </w:tcPr>
          <w:p w14:paraId="095B157B" w14:textId="77777777" w:rsidR="00624BEF" w:rsidRPr="00B55A5F" w:rsidRDefault="00624BEF" w:rsidP="00CA17A3"/>
        </w:tc>
        <w:tc>
          <w:tcPr>
            <w:tcW w:w="4500" w:type="dxa"/>
          </w:tcPr>
          <w:p w14:paraId="0653C603" w14:textId="77777777" w:rsidR="00624BEF" w:rsidRPr="00B55A5F" w:rsidRDefault="00624BEF" w:rsidP="00CA17A3">
            <w:r w:rsidRPr="00B55A5F">
              <w:t>Renal impairment</w:t>
            </w:r>
          </w:p>
        </w:tc>
        <w:tc>
          <w:tcPr>
            <w:tcW w:w="2250" w:type="dxa"/>
          </w:tcPr>
          <w:p w14:paraId="56E008A7" w14:textId="2C9903CC" w:rsidR="00624BEF" w:rsidRPr="00B55A5F" w:rsidRDefault="00624BEF" w:rsidP="00CA17A3">
            <w:r w:rsidRPr="00B55A5F">
              <w:t>None</w:t>
            </w:r>
          </w:p>
        </w:tc>
      </w:tr>
      <w:tr w:rsidR="000B6B22" w:rsidRPr="00B55A5F" w14:paraId="0A80C0E7" w14:textId="77777777" w:rsidTr="0005285B">
        <w:trPr>
          <w:trHeight w:val="138"/>
        </w:trPr>
        <w:tc>
          <w:tcPr>
            <w:tcW w:w="1820" w:type="dxa"/>
            <w:vMerge/>
          </w:tcPr>
          <w:p w14:paraId="2A66FB1C" w14:textId="77777777" w:rsidR="00624BEF" w:rsidRPr="00B55A5F" w:rsidRDefault="00624BEF" w:rsidP="00CA17A3"/>
        </w:tc>
        <w:tc>
          <w:tcPr>
            <w:tcW w:w="4500" w:type="dxa"/>
          </w:tcPr>
          <w:p w14:paraId="4BBC1A57" w14:textId="053361AF" w:rsidR="00624BEF" w:rsidRPr="00B55A5F" w:rsidRDefault="00624BEF" w:rsidP="00CA17A3">
            <w:r w:rsidRPr="00B55A5F">
              <w:t xml:space="preserve">Neonates/infants/children/adolescents (limited information in patients </w:t>
            </w:r>
            <w:r w:rsidR="00663236">
              <w:t xml:space="preserve">&gt; </w:t>
            </w:r>
            <w:r>
              <w:t>18 years of age)</w:t>
            </w:r>
          </w:p>
        </w:tc>
        <w:tc>
          <w:tcPr>
            <w:tcW w:w="2250" w:type="dxa"/>
          </w:tcPr>
          <w:p w14:paraId="0A4B6C27" w14:textId="77777777" w:rsidR="00624BEF" w:rsidRPr="00B55A5F" w:rsidRDefault="00624BEF" w:rsidP="00CA17A3">
            <w:r>
              <w:t>Study</w:t>
            </w:r>
            <w:r w:rsidRPr="00B55A5F">
              <w:t xml:space="preserve"> LAL-CL03 (infants)</w:t>
            </w:r>
          </w:p>
        </w:tc>
      </w:tr>
      <w:tr w:rsidR="000B6B22" w:rsidRPr="00B55A5F" w14:paraId="6E5EF831" w14:textId="77777777" w:rsidTr="0005285B">
        <w:trPr>
          <w:trHeight w:val="138"/>
        </w:trPr>
        <w:tc>
          <w:tcPr>
            <w:tcW w:w="1820" w:type="dxa"/>
            <w:vMerge/>
          </w:tcPr>
          <w:p w14:paraId="08752242" w14:textId="77777777" w:rsidR="00624BEF" w:rsidRPr="00B55A5F" w:rsidRDefault="00624BEF" w:rsidP="00CA17A3"/>
        </w:tc>
        <w:tc>
          <w:tcPr>
            <w:tcW w:w="4500" w:type="dxa"/>
          </w:tcPr>
          <w:p w14:paraId="10AFE445" w14:textId="77777777" w:rsidR="00624BEF" w:rsidRPr="00B55A5F" w:rsidRDefault="00624BEF" w:rsidP="00CA17A3">
            <w:r w:rsidRPr="00B55A5F">
              <w:t>Elderly</w:t>
            </w:r>
          </w:p>
        </w:tc>
        <w:tc>
          <w:tcPr>
            <w:tcW w:w="2250" w:type="dxa"/>
          </w:tcPr>
          <w:p w14:paraId="46D4D793" w14:textId="77777777" w:rsidR="00624BEF" w:rsidRPr="00B55A5F" w:rsidRDefault="00624BEF" w:rsidP="00CA17A3">
            <w:r w:rsidRPr="00B55A5F">
              <w:t>None</w:t>
            </w:r>
          </w:p>
        </w:tc>
      </w:tr>
      <w:tr w:rsidR="000B6B22" w:rsidRPr="00B55A5F" w14:paraId="042FC165" w14:textId="77777777" w:rsidTr="0005285B">
        <w:trPr>
          <w:trHeight w:val="138"/>
        </w:trPr>
        <w:tc>
          <w:tcPr>
            <w:tcW w:w="1820" w:type="dxa"/>
            <w:vMerge/>
          </w:tcPr>
          <w:p w14:paraId="4C646F2E" w14:textId="77777777" w:rsidR="00624BEF" w:rsidRPr="00B55A5F" w:rsidRDefault="00624BEF" w:rsidP="00CA17A3"/>
        </w:tc>
        <w:tc>
          <w:tcPr>
            <w:tcW w:w="4500" w:type="dxa"/>
          </w:tcPr>
          <w:p w14:paraId="440A0975" w14:textId="77777777" w:rsidR="00624BEF" w:rsidRPr="00B55A5F" w:rsidRDefault="00624BEF" w:rsidP="00CA17A3">
            <w:r w:rsidRPr="00B55A5F">
              <w:t>Other special population</w:t>
            </w:r>
          </w:p>
        </w:tc>
        <w:tc>
          <w:tcPr>
            <w:tcW w:w="2250" w:type="dxa"/>
          </w:tcPr>
          <w:p w14:paraId="5019ADDC" w14:textId="77777777" w:rsidR="00624BEF" w:rsidRPr="00B55A5F" w:rsidRDefault="00624BEF" w:rsidP="00CA17A3">
            <w:r>
              <w:t>None</w:t>
            </w:r>
          </w:p>
        </w:tc>
      </w:tr>
      <w:tr w:rsidR="000B6B22" w:rsidRPr="00B55A5F" w14:paraId="0C913E56" w14:textId="77777777" w:rsidTr="0005285B">
        <w:trPr>
          <w:trHeight w:val="138"/>
        </w:trPr>
        <w:tc>
          <w:tcPr>
            <w:tcW w:w="1820" w:type="dxa"/>
            <w:vMerge w:val="restart"/>
          </w:tcPr>
          <w:p w14:paraId="371AE575" w14:textId="6D5A2AEF" w:rsidR="00624BEF" w:rsidRPr="00B55A5F" w:rsidRDefault="00624BEF" w:rsidP="00CA17A3">
            <w:r w:rsidRPr="00B55A5F">
              <w:t>Genetic/</w:t>
            </w:r>
            <w:r w:rsidR="000B6B22">
              <w:t xml:space="preserve"> </w:t>
            </w:r>
            <w:r w:rsidRPr="00B55A5F">
              <w:t>gender related PK</w:t>
            </w:r>
          </w:p>
        </w:tc>
        <w:tc>
          <w:tcPr>
            <w:tcW w:w="4500" w:type="dxa"/>
          </w:tcPr>
          <w:p w14:paraId="1DE181F6" w14:textId="77777777" w:rsidR="00624BEF" w:rsidRPr="00B55A5F" w:rsidRDefault="00624BEF" w:rsidP="00CA17A3">
            <w:r w:rsidRPr="00B55A5F">
              <w:t>Males versus females</w:t>
            </w:r>
          </w:p>
        </w:tc>
        <w:tc>
          <w:tcPr>
            <w:tcW w:w="2250" w:type="dxa"/>
          </w:tcPr>
          <w:p w14:paraId="6F4386A4" w14:textId="77777777" w:rsidR="00624BEF" w:rsidRPr="00B55A5F" w:rsidRDefault="00624BEF" w:rsidP="00CA17A3"/>
        </w:tc>
      </w:tr>
      <w:tr w:rsidR="000B6B22" w:rsidRPr="00B55A5F" w14:paraId="03C81836" w14:textId="77777777" w:rsidTr="0005285B">
        <w:trPr>
          <w:trHeight w:val="138"/>
        </w:trPr>
        <w:tc>
          <w:tcPr>
            <w:tcW w:w="1820" w:type="dxa"/>
            <w:vMerge/>
          </w:tcPr>
          <w:p w14:paraId="3B112D5A" w14:textId="77777777" w:rsidR="00624BEF" w:rsidRPr="00B55A5F" w:rsidRDefault="00624BEF" w:rsidP="00CA17A3"/>
        </w:tc>
        <w:tc>
          <w:tcPr>
            <w:tcW w:w="4500" w:type="dxa"/>
          </w:tcPr>
          <w:p w14:paraId="1D05B3CF" w14:textId="28D882EF" w:rsidR="00624BEF" w:rsidRPr="00B55A5F" w:rsidRDefault="00624BEF" w:rsidP="00CA17A3">
            <w:r w:rsidRPr="00B55A5F">
              <w:t>Other genetic variable</w:t>
            </w:r>
            <w:r w:rsidR="003A7287">
              <w:t>s</w:t>
            </w:r>
          </w:p>
        </w:tc>
        <w:tc>
          <w:tcPr>
            <w:tcW w:w="2250" w:type="dxa"/>
          </w:tcPr>
          <w:p w14:paraId="7ECFC511" w14:textId="77777777" w:rsidR="00624BEF" w:rsidRPr="00B55A5F" w:rsidRDefault="00624BEF" w:rsidP="00CA17A3"/>
        </w:tc>
      </w:tr>
      <w:tr w:rsidR="000B6B22" w:rsidRPr="00B55A5F" w14:paraId="6C64E5D5" w14:textId="77777777" w:rsidTr="0005285B">
        <w:trPr>
          <w:trHeight w:val="138"/>
        </w:trPr>
        <w:tc>
          <w:tcPr>
            <w:tcW w:w="1820" w:type="dxa"/>
          </w:tcPr>
          <w:p w14:paraId="2E558CFC" w14:textId="77777777" w:rsidR="00624BEF" w:rsidRPr="00B55A5F" w:rsidRDefault="00624BEF" w:rsidP="00CA17A3">
            <w:r w:rsidRPr="00B55A5F">
              <w:t>PK interactions</w:t>
            </w:r>
          </w:p>
        </w:tc>
        <w:tc>
          <w:tcPr>
            <w:tcW w:w="4500" w:type="dxa"/>
          </w:tcPr>
          <w:p w14:paraId="230E7052" w14:textId="77777777" w:rsidR="00624BEF" w:rsidRPr="00B55A5F" w:rsidRDefault="00624BEF" w:rsidP="00CA17A3"/>
        </w:tc>
        <w:tc>
          <w:tcPr>
            <w:tcW w:w="2250" w:type="dxa"/>
          </w:tcPr>
          <w:p w14:paraId="7BF7CC48" w14:textId="77777777" w:rsidR="00624BEF" w:rsidRPr="00B55A5F" w:rsidRDefault="00624BEF" w:rsidP="00CA17A3">
            <w:r w:rsidRPr="00B55A5F">
              <w:t>None</w:t>
            </w:r>
          </w:p>
        </w:tc>
      </w:tr>
      <w:tr w:rsidR="000B6B22" w:rsidRPr="00B55A5F" w14:paraId="10C6C9FD" w14:textId="77777777" w:rsidTr="0005285B">
        <w:trPr>
          <w:trHeight w:val="138"/>
        </w:trPr>
        <w:tc>
          <w:tcPr>
            <w:tcW w:w="1820" w:type="dxa"/>
            <w:vMerge w:val="restart"/>
          </w:tcPr>
          <w:p w14:paraId="75D209FF" w14:textId="77777777" w:rsidR="00624BEF" w:rsidRPr="00B55A5F" w:rsidRDefault="00624BEF" w:rsidP="00CA17A3">
            <w:r w:rsidRPr="00B55A5F">
              <w:t>Population PK analyses</w:t>
            </w:r>
          </w:p>
        </w:tc>
        <w:tc>
          <w:tcPr>
            <w:tcW w:w="4500" w:type="dxa"/>
          </w:tcPr>
          <w:p w14:paraId="15D671F4" w14:textId="77777777" w:rsidR="00624BEF" w:rsidRPr="00B55A5F" w:rsidRDefault="00624BEF" w:rsidP="00CA17A3">
            <w:r w:rsidRPr="00B55A5F">
              <w:t>Healthy subjects</w:t>
            </w:r>
          </w:p>
        </w:tc>
        <w:tc>
          <w:tcPr>
            <w:tcW w:w="2250" w:type="dxa"/>
          </w:tcPr>
          <w:p w14:paraId="5EDE49EC" w14:textId="77777777" w:rsidR="00624BEF" w:rsidRPr="00B55A5F" w:rsidRDefault="00624BEF" w:rsidP="00CA17A3">
            <w:r>
              <w:t>None</w:t>
            </w:r>
          </w:p>
        </w:tc>
      </w:tr>
      <w:tr w:rsidR="000B6B22" w:rsidRPr="00B55A5F" w14:paraId="0EC9FEC3" w14:textId="77777777" w:rsidTr="0005285B">
        <w:trPr>
          <w:trHeight w:val="138"/>
        </w:trPr>
        <w:tc>
          <w:tcPr>
            <w:tcW w:w="1820" w:type="dxa"/>
            <w:vMerge/>
          </w:tcPr>
          <w:p w14:paraId="353FADED" w14:textId="77777777" w:rsidR="00624BEF" w:rsidRPr="00B55A5F" w:rsidRDefault="00624BEF" w:rsidP="00CA17A3"/>
        </w:tc>
        <w:tc>
          <w:tcPr>
            <w:tcW w:w="4500" w:type="dxa"/>
          </w:tcPr>
          <w:p w14:paraId="67002DB8" w14:textId="77777777" w:rsidR="00624BEF" w:rsidRPr="00B55A5F" w:rsidRDefault="00624BEF" w:rsidP="00CA17A3">
            <w:r w:rsidRPr="00B55A5F">
              <w:t>Target population</w:t>
            </w:r>
          </w:p>
        </w:tc>
        <w:tc>
          <w:tcPr>
            <w:tcW w:w="2250" w:type="dxa"/>
          </w:tcPr>
          <w:p w14:paraId="0CE6D6C5" w14:textId="2900076A" w:rsidR="00624BEF" w:rsidRPr="00B55A5F" w:rsidRDefault="000B6B22" w:rsidP="00CA17A3">
            <w:r>
              <w:t xml:space="preserve">Study </w:t>
            </w:r>
            <w:r w:rsidR="00624BEF" w:rsidRPr="00B55A5F">
              <w:t>SYN201301</w:t>
            </w:r>
          </w:p>
        </w:tc>
      </w:tr>
    </w:tbl>
    <w:p w14:paraId="763F4558" w14:textId="77777777" w:rsidR="00624BEF" w:rsidRPr="00624BEF" w:rsidRDefault="00624BEF" w:rsidP="00624BEF">
      <w:pPr>
        <w:pStyle w:val="TableDescription"/>
      </w:pPr>
      <w:r w:rsidRPr="00624BEF">
        <w:t>§ Subjects who would be eligible to receive the drug if approved for the proposed indication.</w:t>
      </w:r>
    </w:p>
    <w:p w14:paraId="74543E3F" w14:textId="77777777" w:rsidR="00605AD4" w:rsidRDefault="00605AD4" w:rsidP="00605AD4">
      <w:pPr>
        <w:pStyle w:val="Heading4"/>
      </w:pPr>
      <w:r>
        <w:t>Evaluator’s conclusions on pharmacokinetics</w:t>
      </w:r>
    </w:p>
    <w:p w14:paraId="5EE4EBB3" w14:textId="486A8851" w:rsidR="00624BEF" w:rsidRPr="00B55A5F" w:rsidRDefault="00624BEF" w:rsidP="00624BEF">
      <w:r w:rsidRPr="00B55A5F">
        <w:t xml:space="preserve">In the </w:t>
      </w:r>
      <w:r>
        <w:t>Phase I/II</w:t>
      </w:r>
      <w:r w:rsidRPr="00B55A5F">
        <w:t xml:space="preserve"> </w:t>
      </w:r>
      <w:r w:rsidR="000B6B22">
        <w:t>Study</w:t>
      </w:r>
      <w:r w:rsidR="000B6B22" w:rsidRPr="00B55A5F">
        <w:t xml:space="preserve"> </w:t>
      </w:r>
      <w:r w:rsidRPr="00B55A5F">
        <w:t xml:space="preserve">LAL-CL01, SBC-102 serum concentrations increased rapidly during the first 10 to 15 minutes of the </w:t>
      </w:r>
      <w:r>
        <w:t>2 hour</w:t>
      </w:r>
      <w:r w:rsidRPr="00B55A5F">
        <w:t xml:space="preserve"> infusion, with a further slower increase thereafter. Median </w:t>
      </w:r>
      <w:r w:rsidR="000B4393">
        <w:t>time to maximum observed serum concentration</w:t>
      </w:r>
      <w:r w:rsidR="000B4393" w:rsidRPr="00B55A5F">
        <w:t xml:space="preserve"> </w:t>
      </w:r>
      <w:r w:rsidR="000B4393">
        <w:t>(</w:t>
      </w:r>
      <w:proofErr w:type="spellStart"/>
      <w:r w:rsidRPr="00B55A5F">
        <w:t>T</w:t>
      </w:r>
      <w:r w:rsidRPr="00B73619">
        <w:rPr>
          <w:vertAlign w:val="subscript"/>
        </w:rPr>
        <w:t>max</w:t>
      </w:r>
      <w:proofErr w:type="spellEnd"/>
      <w:r w:rsidR="000B4393">
        <w:t>)</w:t>
      </w:r>
      <w:r w:rsidRPr="00B55A5F">
        <w:t xml:space="preserve"> ranged from 0.67 to 1.80</w:t>
      </w:r>
      <w:r w:rsidR="000B6B22">
        <w:t> </w:t>
      </w:r>
      <w:r w:rsidRPr="00B55A5F">
        <w:t>hours, and appeared to increase with increasing dose. At the end of infusion, serum concentrations fell rapidly for the 1 and 3 mg/kg dose (mean t</w:t>
      </w:r>
      <w:r w:rsidR="00945715">
        <w:t>½</w:t>
      </w:r>
      <w:r>
        <w:t xml:space="preserve"> = </w:t>
      </w:r>
      <w:r w:rsidRPr="00B55A5F">
        <w:t>0.111 to 0.166 hours). This fall was less rapid for the 0.35 mg/kg dose (mean t</w:t>
      </w:r>
      <w:r>
        <w:t xml:space="preserve">½ = </w:t>
      </w:r>
      <w:r w:rsidRPr="00B55A5F">
        <w:t>1.825 at Day 0 and 0.966 at Day 21). Decreases in the mea</w:t>
      </w:r>
      <w:r>
        <w:t>n clearance were noted in the 3 </w:t>
      </w:r>
      <w:r w:rsidRPr="00B55A5F">
        <w:t>mg·kg</w:t>
      </w:r>
      <w:r w:rsidRPr="00905BF2">
        <w:rPr>
          <w:vertAlign w:val="superscript"/>
        </w:rPr>
        <w:t>-1</w:t>
      </w:r>
      <w:r w:rsidRPr="00B55A5F">
        <w:t xml:space="preserve"> dose cohort relative to the other dose cohorts at both Day 0 and Day 21.</w:t>
      </w:r>
    </w:p>
    <w:p w14:paraId="0F3312C3" w14:textId="39FC7440" w:rsidR="00624BEF" w:rsidRPr="00B55A5F" w:rsidRDefault="00624BEF" w:rsidP="00624BEF">
      <w:r w:rsidRPr="00B55A5F">
        <w:t>SBC-102 serum concentrations were reasonably dose proportional over the 3</w:t>
      </w:r>
      <w:r>
        <w:t xml:space="preserve"> fold</w:t>
      </w:r>
      <w:r w:rsidRPr="00B55A5F">
        <w:t xml:space="preserve"> increase in dose from 0.35 mg/kg to 1 mg/kg based on median values for AUC and </w:t>
      </w:r>
      <w:proofErr w:type="spellStart"/>
      <w:r w:rsidR="00953E28">
        <w:t>C</w:t>
      </w:r>
      <w:r w:rsidR="00953E28" w:rsidRPr="00953E28">
        <w:rPr>
          <w:vertAlign w:val="subscript"/>
        </w:rPr>
        <w:t>max</w:t>
      </w:r>
      <w:proofErr w:type="spellEnd"/>
      <w:r w:rsidRPr="00B55A5F">
        <w:t xml:space="preserve"> in this limited </w:t>
      </w:r>
      <w:r>
        <w:t>study</w:t>
      </w:r>
      <w:r w:rsidRPr="00B55A5F">
        <w:t xml:space="preserve"> population. Concentrations increased in a greater than dose proportional manner (approximately 10</w:t>
      </w:r>
      <w:r>
        <w:t xml:space="preserve"> fold</w:t>
      </w:r>
      <w:r w:rsidRPr="00B55A5F">
        <w:t>) over the 3</w:t>
      </w:r>
      <w:r>
        <w:t xml:space="preserve"> fold</w:t>
      </w:r>
      <w:r w:rsidRPr="00B55A5F">
        <w:t xml:space="preserve"> increase in dose from 1</w:t>
      </w:r>
      <w:r w:rsidR="000B6B22">
        <w:t> </w:t>
      </w:r>
      <w:r w:rsidRPr="00B55A5F">
        <w:t>mg/kg to 3 mg/kg, which suggests that either binding or serum clearance mechanisms for SBC-102 may become saturated between 1 mg/kg to 3 mg/kg.</w:t>
      </w:r>
    </w:p>
    <w:p w14:paraId="3563896C" w14:textId="77777777" w:rsidR="00624BEF" w:rsidRPr="00B55A5F" w:rsidRDefault="00624BEF" w:rsidP="00624BEF">
      <w:r w:rsidRPr="00B55A5F">
        <w:lastRenderedPageBreak/>
        <w:t xml:space="preserve">Decreases in </w:t>
      </w:r>
      <w:r w:rsidR="000B4393">
        <w:t>volume of distribution</w:t>
      </w:r>
      <w:r w:rsidR="000B4393" w:rsidRPr="00B55A5F">
        <w:t xml:space="preserve"> </w:t>
      </w:r>
      <w:r w:rsidR="000B4393">
        <w:t>(</w:t>
      </w:r>
      <w:proofErr w:type="spellStart"/>
      <w:r w:rsidRPr="00B55A5F">
        <w:t>V</w:t>
      </w:r>
      <w:r w:rsidRPr="00905BF2">
        <w:rPr>
          <w:vertAlign w:val="subscript"/>
        </w:rPr>
        <w:t>z</w:t>
      </w:r>
      <w:proofErr w:type="spellEnd"/>
      <w:r w:rsidR="000B4393">
        <w:t>)</w:t>
      </w:r>
      <w:r w:rsidRPr="00B55A5F">
        <w:t xml:space="preserve"> of SBC-102 were noted with increasing dose and after multiple dosing within the 0.35 mg/kg and 1 mg/kg dose cohort. In both these cohorts, the reduction in </w:t>
      </w:r>
      <w:proofErr w:type="spellStart"/>
      <w:r w:rsidRPr="00B55A5F">
        <w:t>V</w:t>
      </w:r>
      <w:r w:rsidRPr="00905BF2">
        <w:rPr>
          <w:vertAlign w:val="subscript"/>
        </w:rPr>
        <w:t>z</w:t>
      </w:r>
      <w:proofErr w:type="spellEnd"/>
      <w:r>
        <w:t xml:space="preserve"> between Day </w:t>
      </w:r>
      <w:r w:rsidRPr="00B55A5F">
        <w:t xml:space="preserve">0 and Day 21 did not alter the subject’s rank order with respect to the parameter value. This suggests that the variability in </w:t>
      </w:r>
      <w:proofErr w:type="spellStart"/>
      <w:r w:rsidRPr="00B55A5F">
        <w:t>V</w:t>
      </w:r>
      <w:r w:rsidRPr="00905BF2">
        <w:rPr>
          <w:vertAlign w:val="subscript"/>
        </w:rPr>
        <w:t>z</w:t>
      </w:r>
      <w:proofErr w:type="spellEnd"/>
      <w:r w:rsidRPr="00B55A5F">
        <w:t xml:space="preserve"> may reflect inter-individual differences in a saturable distribution process (binding or uptake) of SBC-102. The appearance of saturation is more likely with increasing magnitude of dose and dosing duration. It would be expected that changes in </w:t>
      </w:r>
      <w:proofErr w:type="spellStart"/>
      <w:r w:rsidRPr="00B55A5F">
        <w:t>V</w:t>
      </w:r>
      <w:r w:rsidRPr="00905BF2">
        <w:rPr>
          <w:vertAlign w:val="subscript"/>
        </w:rPr>
        <w:t>z</w:t>
      </w:r>
      <w:proofErr w:type="spellEnd"/>
      <w:r w:rsidRPr="00B55A5F">
        <w:t xml:space="preserve"> would lead to differences in half-life between Day 0 and</w:t>
      </w:r>
      <w:r>
        <w:t xml:space="preserve"> Day 21, but half-life was time</w:t>
      </w:r>
      <w:r w:rsidRPr="00B55A5F">
        <w:t xml:space="preserve"> and dose independent with exception of the 0.35 mg/kg dose group. The longer half-life noted following the 0.35 mg/kg dose is consistent with the higher volume of distribution relative to clearance for this dose in comparison with other doses (1 mg/kg and 3 mg/kg).</w:t>
      </w:r>
    </w:p>
    <w:p w14:paraId="469BD21F" w14:textId="25049983" w:rsidR="00624BEF" w:rsidRDefault="00624BEF" w:rsidP="00624BEF">
      <w:r w:rsidRPr="00B55A5F">
        <w:t>The PK of sebel</w:t>
      </w:r>
      <w:r w:rsidR="00945715">
        <w:t xml:space="preserve">ipase alfa was described by a 1 </w:t>
      </w:r>
      <w:r w:rsidRPr="00B55A5F">
        <w:t>compartment disposition model with a dual input model to allow for variability in infusion rate due to the flush. Sebelipase alfa sho</w:t>
      </w:r>
      <w:r>
        <w:t>wed linearity in doses of 0.35 to</w:t>
      </w:r>
      <w:r w:rsidRPr="00B55A5F">
        <w:t xml:space="preserve"> 1 mg/kg, and nonli</w:t>
      </w:r>
      <w:r w:rsidR="00945715">
        <w:t>nearity observed at a dose of 3 </w:t>
      </w:r>
      <w:r w:rsidRPr="00B55A5F">
        <w:t xml:space="preserve">mg/kg. </w:t>
      </w:r>
      <w:r w:rsidR="008A4AC2">
        <w:t>Total body clearance (CL)</w:t>
      </w:r>
      <w:r w:rsidRPr="00B55A5F">
        <w:t xml:space="preserve"> in the linear dose range, and therefore, exposure, was affected by </w:t>
      </w:r>
      <w:r w:rsidR="008A4AC2">
        <w:t>body surface area</w:t>
      </w:r>
      <w:r w:rsidR="008A4AC2" w:rsidRPr="00B55A5F">
        <w:t xml:space="preserve"> </w:t>
      </w:r>
      <w:r w:rsidR="008A4AC2">
        <w:t>(</w:t>
      </w:r>
      <w:r w:rsidRPr="00B55A5F">
        <w:t>BSA.</w:t>
      </w:r>
      <w:r w:rsidR="008A4AC2">
        <w:t>)</w:t>
      </w:r>
      <w:r w:rsidRPr="00B55A5F">
        <w:t xml:space="preserve"> As BSA was highly correlated with age, exposure therefore varied across subject age. Summary statistics of exposure variables </w:t>
      </w:r>
      <w:r w:rsidR="008A4AC2">
        <w:t xml:space="preserve">for all subjects in </w:t>
      </w:r>
      <w:r w:rsidR="000B6B22">
        <w:t xml:space="preserve">Studies </w:t>
      </w:r>
      <w:r w:rsidR="008A4AC2">
        <w:t>LAL</w:t>
      </w:r>
      <w:r w:rsidR="008A4AC2">
        <w:noBreakHyphen/>
      </w:r>
      <w:r w:rsidRPr="00B55A5F">
        <w:t xml:space="preserve">CL02 and LAL-CL03 suggested that there was no evidence of sebelipase alfa accumulation over time, with similar values of CL, </w:t>
      </w:r>
      <w:r w:rsidR="000B4393">
        <w:t xml:space="preserve">volume of distribution </w:t>
      </w:r>
      <w:r w:rsidR="00E435EF">
        <w:t xml:space="preserve">of the </w:t>
      </w:r>
      <w:r w:rsidR="000B4393">
        <w:t>central compartment</w:t>
      </w:r>
      <w:r w:rsidR="000B4393" w:rsidRPr="00B55A5F">
        <w:t xml:space="preserve"> </w:t>
      </w:r>
      <w:r w:rsidR="000B4393">
        <w:t>(</w:t>
      </w:r>
      <w:proofErr w:type="spellStart"/>
      <w:r w:rsidRPr="00B55A5F">
        <w:t>V</w:t>
      </w:r>
      <w:r w:rsidRPr="00905BF2">
        <w:rPr>
          <w:vertAlign w:val="subscript"/>
        </w:rPr>
        <w:t>c</w:t>
      </w:r>
      <w:proofErr w:type="spellEnd"/>
      <w:r w:rsidR="000B4393">
        <w:t>)</w:t>
      </w:r>
      <w:r w:rsidRPr="00B55A5F">
        <w:t xml:space="preserve">, </w:t>
      </w:r>
      <w:r>
        <w:t>t½</w:t>
      </w:r>
      <w:r w:rsidRPr="00B55A5F">
        <w:t xml:space="preserve">, </w:t>
      </w:r>
      <w:proofErr w:type="spellStart"/>
      <w:r w:rsidRPr="00B55A5F">
        <w:t>T</w:t>
      </w:r>
      <w:r w:rsidRPr="00B73619">
        <w:rPr>
          <w:vertAlign w:val="subscript"/>
        </w:rPr>
        <w:t>max</w:t>
      </w:r>
      <w:proofErr w:type="spellEnd"/>
      <w:r w:rsidRPr="00B55A5F">
        <w:t xml:space="preserve">, </w:t>
      </w:r>
      <w:proofErr w:type="spellStart"/>
      <w:r w:rsidR="00953E28">
        <w:t>C</w:t>
      </w:r>
      <w:r w:rsidR="00953E28" w:rsidRPr="00953E28">
        <w:rPr>
          <w:vertAlign w:val="subscript"/>
        </w:rPr>
        <w:t>max</w:t>
      </w:r>
      <w:proofErr w:type="spellEnd"/>
      <w:r w:rsidRPr="00B55A5F">
        <w:t>, and AUC observed at Week 0 and Week 22 by dose</w:t>
      </w:r>
      <w:r>
        <w:t>.</w:t>
      </w:r>
    </w:p>
    <w:p w14:paraId="62D8B997" w14:textId="77777777" w:rsidR="00624BEF" w:rsidRDefault="00624BEF" w:rsidP="00624BEF">
      <w:r w:rsidRPr="00B55A5F">
        <w:t xml:space="preserve">During the covariate analysis of the population pharmacokinetics model for sebelipase alfa, age, body weight, and sex were not found to have a significant influence on CL and </w:t>
      </w:r>
      <w:proofErr w:type="spellStart"/>
      <w:proofErr w:type="gramStart"/>
      <w:r w:rsidRPr="00B55A5F">
        <w:t>V</w:t>
      </w:r>
      <w:r w:rsidRPr="00905BF2">
        <w:rPr>
          <w:vertAlign w:val="subscript"/>
        </w:rPr>
        <w:t>c</w:t>
      </w:r>
      <w:proofErr w:type="spellEnd"/>
      <w:proofErr w:type="gramEnd"/>
      <w:r w:rsidRPr="00B55A5F">
        <w:t xml:space="preserve"> of </w:t>
      </w:r>
      <w:proofErr w:type="spellStart"/>
      <w:r w:rsidRPr="00B55A5F">
        <w:t>sebelipase</w:t>
      </w:r>
      <w:proofErr w:type="spellEnd"/>
      <w:r w:rsidRPr="00B55A5F">
        <w:t xml:space="preserve"> alfa. Sebelipase alfa has not been investigated in patients 2 to 4 years of age. There is limited information on PKs in patients </w:t>
      </w:r>
      <w:r w:rsidR="00663236">
        <w:t xml:space="preserve">&gt; </w:t>
      </w:r>
      <w:r w:rsidRPr="00B55A5F">
        <w:t>18 years of age</w:t>
      </w:r>
      <w:r>
        <w:t>.</w:t>
      </w:r>
    </w:p>
    <w:p w14:paraId="2F54B6E4" w14:textId="77777777" w:rsidR="00624BEF" w:rsidRDefault="00624BEF" w:rsidP="00624BEF">
      <w:r w:rsidRPr="00B55A5F">
        <w:t>There is limited information on the impact of anti-drug antibodies on sebelipase alfa pharmacokinetics</w:t>
      </w:r>
      <w:r>
        <w:t>.</w:t>
      </w:r>
    </w:p>
    <w:p w14:paraId="5FF904EB" w14:textId="77777777" w:rsidR="00624BEF" w:rsidRPr="00B55A5F" w:rsidRDefault="00624BEF" w:rsidP="00624BEF">
      <w:r w:rsidRPr="00B55A5F">
        <w:t>Sebelipase alfa is expected to be metabolically degraded through peptide hydrolysis</w:t>
      </w:r>
      <w:r>
        <w:t xml:space="preserve">. </w:t>
      </w:r>
      <w:r w:rsidRPr="00B55A5F">
        <w:t>Hence, impaired liver function is not expected to affect the pharmacokinetics of sebelipase alfa. There is a lack of data in patients with severe hepatic impairment</w:t>
      </w:r>
      <w:r>
        <w:t xml:space="preserve">. </w:t>
      </w:r>
      <w:r w:rsidRPr="00B55A5F">
        <w:t>Renal elimination of sebelipase alfa is considered a minor pathway for clearance. There is a lack of data in patients with renal impairment. No dosing adjustment is recommended in patients with renal or hepatic impairment based on current knowledge of the pharmacokinetics and pharmacodynamics of sebelipase alfa.</w:t>
      </w:r>
    </w:p>
    <w:p w14:paraId="6F3E9F22" w14:textId="77777777" w:rsidR="00624BEF" w:rsidRPr="00B55A5F" w:rsidRDefault="00624BEF" w:rsidP="00624BEF">
      <w:r w:rsidRPr="00B55A5F">
        <w:t xml:space="preserve">Overall, sebelipase alfa demonstrates PK characteristics consistent with other ERTs whose uptake and </w:t>
      </w:r>
      <w:proofErr w:type="spellStart"/>
      <w:r w:rsidRPr="00B55A5F">
        <w:t>biodistribution</w:t>
      </w:r>
      <w:proofErr w:type="spellEnd"/>
      <w:r w:rsidRPr="00B55A5F">
        <w:t xml:space="preserve"> are mediated by mannose a</w:t>
      </w:r>
      <w:r w:rsidR="00945715">
        <w:t xml:space="preserve">nd mannose 6-phosphate receptor </w:t>
      </w:r>
      <w:r w:rsidRPr="00B55A5F">
        <w:t>dependent mechanisms</w:t>
      </w:r>
      <w:r w:rsidR="00945715">
        <w:t>.</w:t>
      </w:r>
      <w:r w:rsidR="00945715">
        <w:rPr>
          <w:rStyle w:val="FootnoteReference"/>
        </w:rPr>
        <w:footnoteReference w:id="33"/>
      </w:r>
      <w:r w:rsidRPr="00B55A5F">
        <w:t xml:space="preserve"> The PK properties are predictable, with no changes associated with long term dosing through to 104 weeks. In </w:t>
      </w:r>
      <w:r>
        <w:t>Study</w:t>
      </w:r>
      <w:r w:rsidR="00945715">
        <w:t xml:space="preserve"> LAL-CL01, the absence of anti</w:t>
      </w:r>
      <w:r w:rsidR="00945715">
        <w:noBreakHyphen/>
      </w:r>
      <w:r w:rsidRPr="00B55A5F">
        <w:t>sebelipase alfa antibodies in adults with extended dosing precludes evaluation of effect of antibody formation on the PK profile of sebelipase alfa.</w:t>
      </w:r>
    </w:p>
    <w:p w14:paraId="506BCD8B" w14:textId="77777777" w:rsidR="00624BEF" w:rsidRPr="00624BEF" w:rsidRDefault="00624BEF" w:rsidP="00624BEF">
      <w:r w:rsidRPr="00B55A5F">
        <w:t>The PK aspects of the proposed PI are satisfactory.</w:t>
      </w:r>
    </w:p>
    <w:p w14:paraId="52B92071" w14:textId="77777777" w:rsidR="008E7846" w:rsidRDefault="008E7846" w:rsidP="008E7846">
      <w:pPr>
        <w:pStyle w:val="Heading3"/>
      </w:pPr>
      <w:bookmarkStart w:id="82" w:name="_Toc196046481"/>
      <w:bookmarkStart w:id="83" w:name="_Toc247691520"/>
      <w:bookmarkStart w:id="84" w:name="_Toc314842503"/>
      <w:bookmarkStart w:id="85" w:name="_Toc519601798"/>
      <w:r w:rsidRPr="00254787">
        <w:t>Pharmacodynamics</w:t>
      </w:r>
      <w:bookmarkEnd w:id="68"/>
      <w:bookmarkEnd w:id="82"/>
      <w:bookmarkEnd w:id="83"/>
      <w:bookmarkEnd w:id="84"/>
      <w:bookmarkEnd w:id="85"/>
    </w:p>
    <w:p w14:paraId="231E6BD0" w14:textId="77777777" w:rsidR="00605AD4" w:rsidRDefault="00605AD4" w:rsidP="00605AD4">
      <w:pPr>
        <w:pStyle w:val="Heading4"/>
      </w:pPr>
      <w:r>
        <w:t>Studies providing pharmacodynamic data</w:t>
      </w:r>
    </w:p>
    <w:p w14:paraId="5D8F1504" w14:textId="69B2E4B7" w:rsidR="00EE55DA" w:rsidRPr="00EE55DA" w:rsidRDefault="00EE55DA" w:rsidP="0005285B">
      <w:r>
        <w:t>Studies providing pharmacodynamic data are shown in Table 5, below.</w:t>
      </w:r>
    </w:p>
    <w:p w14:paraId="611ADF74" w14:textId="77777777" w:rsidR="00624BEF" w:rsidRDefault="00624BEF" w:rsidP="004A1DEE">
      <w:pPr>
        <w:pStyle w:val="Tabletitle0"/>
        <w:pageBreakBefore/>
        <w:rPr>
          <w:lang w:eastAsia="ja-JP"/>
        </w:rPr>
      </w:pPr>
      <w:r w:rsidRPr="00C41FC5">
        <w:lastRenderedPageBreak/>
        <w:t>Table</w:t>
      </w:r>
      <w:r w:rsidR="004A1DEE">
        <w:t xml:space="preserve"> 5</w:t>
      </w:r>
      <w:r>
        <w:t>:</w:t>
      </w:r>
      <w:r w:rsidRPr="00C41FC5">
        <w:t xml:space="preserve"> Submitted pharmacodynamic studies</w:t>
      </w:r>
    </w:p>
    <w:tbl>
      <w:tblPr>
        <w:tblStyle w:val="TableTGAblue"/>
        <w:tblW w:w="8425" w:type="dxa"/>
        <w:tblLayout w:type="fixed"/>
        <w:tblLook w:val="04A0" w:firstRow="1" w:lastRow="0" w:firstColumn="1" w:lastColumn="0" w:noHBand="0" w:noVBand="1"/>
      </w:tblPr>
      <w:tblGrid>
        <w:gridCol w:w="3172"/>
        <w:gridCol w:w="3642"/>
        <w:gridCol w:w="1611"/>
      </w:tblGrid>
      <w:tr w:rsidR="00EE55DA" w:rsidRPr="004A1DEE" w14:paraId="6C16B195" w14:textId="77777777" w:rsidTr="007E583A">
        <w:trPr>
          <w:cnfStyle w:val="100000000000" w:firstRow="1" w:lastRow="0" w:firstColumn="0" w:lastColumn="0" w:oddVBand="0" w:evenVBand="0" w:oddHBand="0" w:evenHBand="0" w:firstRowFirstColumn="0" w:firstRowLastColumn="0" w:lastRowFirstColumn="0" w:lastRowLastColumn="0"/>
          <w:trHeight w:val="746"/>
        </w:trPr>
        <w:tc>
          <w:tcPr>
            <w:tcW w:w="3172" w:type="dxa"/>
          </w:tcPr>
          <w:p w14:paraId="5EFB5DA0" w14:textId="3C81FD66" w:rsidR="00624BEF" w:rsidRPr="004A1DEE" w:rsidRDefault="000B4393" w:rsidP="00B266A2">
            <w:r w:rsidRPr="004A1DEE">
              <w:t>Pharmacodynamics (</w:t>
            </w:r>
            <w:r w:rsidR="00624BEF" w:rsidRPr="004A1DEE">
              <w:t>PD</w:t>
            </w:r>
            <w:r w:rsidRPr="004A1DEE">
              <w:t>)</w:t>
            </w:r>
            <w:r w:rsidR="00624BEF" w:rsidRPr="004A1DEE">
              <w:t xml:space="preserve"> </w:t>
            </w:r>
            <w:r w:rsidR="00EE55DA">
              <w:t>t</w:t>
            </w:r>
            <w:r w:rsidR="00EE55DA" w:rsidRPr="004A1DEE">
              <w:t>opic</w:t>
            </w:r>
          </w:p>
        </w:tc>
        <w:tc>
          <w:tcPr>
            <w:tcW w:w="3642" w:type="dxa"/>
          </w:tcPr>
          <w:p w14:paraId="6C439FF5" w14:textId="77777777" w:rsidR="00624BEF" w:rsidRPr="004A1DEE" w:rsidRDefault="00624BEF" w:rsidP="00B266A2">
            <w:r w:rsidRPr="004A1DEE">
              <w:t>Subtopic</w:t>
            </w:r>
          </w:p>
        </w:tc>
        <w:tc>
          <w:tcPr>
            <w:tcW w:w="1611" w:type="dxa"/>
          </w:tcPr>
          <w:p w14:paraId="795C7C3A" w14:textId="77777777" w:rsidR="00624BEF" w:rsidRPr="004A1DEE" w:rsidRDefault="00624BEF" w:rsidP="00B266A2">
            <w:r w:rsidRPr="004A1DEE">
              <w:t>Study ID</w:t>
            </w:r>
          </w:p>
        </w:tc>
      </w:tr>
      <w:tr w:rsidR="00EE55DA" w:rsidRPr="004A1DEE" w14:paraId="485B7B60" w14:textId="77777777" w:rsidTr="007E583A">
        <w:trPr>
          <w:trHeight w:val="459"/>
        </w:trPr>
        <w:tc>
          <w:tcPr>
            <w:tcW w:w="3172" w:type="dxa"/>
            <w:vMerge w:val="restart"/>
          </w:tcPr>
          <w:p w14:paraId="3DA78C5A" w14:textId="61E2FE7B" w:rsidR="00624BEF" w:rsidRPr="004A1DEE" w:rsidRDefault="00624BEF" w:rsidP="00B266A2">
            <w:r w:rsidRPr="004A1DEE">
              <w:t xml:space="preserve">Primary </w:t>
            </w:r>
            <w:r w:rsidR="00EE55DA">
              <w:t>p</w:t>
            </w:r>
            <w:r w:rsidR="00EE55DA" w:rsidRPr="004A1DEE">
              <w:t>harmacology</w:t>
            </w:r>
          </w:p>
        </w:tc>
        <w:tc>
          <w:tcPr>
            <w:tcW w:w="3642" w:type="dxa"/>
          </w:tcPr>
          <w:p w14:paraId="5FC02FD6" w14:textId="77777777" w:rsidR="00624BEF" w:rsidRPr="004A1DEE" w:rsidRDefault="00624BEF" w:rsidP="00B266A2">
            <w:r w:rsidRPr="004A1DEE">
              <w:t>Effect on PD parameter; liver enzymes</w:t>
            </w:r>
          </w:p>
        </w:tc>
        <w:tc>
          <w:tcPr>
            <w:tcW w:w="1611" w:type="dxa"/>
          </w:tcPr>
          <w:p w14:paraId="6AF80818" w14:textId="77777777" w:rsidR="00624BEF" w:rsidRPr="004A1DEE" w:rsidRDefault="00624BEF" w:rsidP="00B266A2">
            <w:r w:rsidRPr="004A1DEE">
              <w:t>LAL-CL01</w:t>
            </w:r>
          </w:p>
        </w:tc>
      </w:tr>
      <w:tr w:rsidR="00EE55DA" w:rsidRPr="004A1DEE" w14:paraId="50359244" w14:textId="77777777" w:rsidTr="007E583A">
        <w:trPr>
          <w:trHeight w:val="140"/>
        </w:trPr>
        <w:tc>
          <w:tcPr>
            <w:tcW w:w="3172" w:type="dxa"/>
            <w:vMerge/>
          </w:tcPr>
          <w:p w14:paraId="7898F90C" w14:textId="77777777" w:rsidR="00624BEF" w:rsidRPr="004A1DEE" w:rsidRDefault="00624BEF" w:rsidP="00B266A2"/>
        </w:tc>
        <w:tc>
          <w:tcPr>
            <w:tcW w:w="3642" w:type="dxa"/>
          </w:tcPr>
          <w:p w14:paraId="1F974622" w14:textId="77777777" w:rsidR="00624BEF" w:rsidRPr="004A1DEE" w:rsidRDefault="00624BEF" w:rsidP="00B266A2">
            <w:r w:rsidRPr="004A1DEE">
              <w:t>Effect on PD parameter; serum lipids</w:t>
            </w:r>
          </w:p>
        </w:tc>
        <w:tc>
          <w:tcPr>
            <w:tcW w:w="1611" w:type="dxa"/>
          </w:tcPr>
          <w:p w14:paraId="096A5B19" w14:textId="77777777" w:rsidR="00624BEF" w:rsidRPr="004A1DEE" w:rsidRDefault="00624BEF" w:rsidP="00B266A2">
            <w:r w:rsidRPr="004A1DEE">
              <w:t>LAL-CL01</w:t>
            </w:r>
          </w:p>
        </w:tc>
      </w:tr>
      <w:tr w:rsidR="00EE55DA" w:rsidRPr="004A1DEE" w14:paraId="4A9F38BB" w14:textId="77777777" w:rsidTr="007E583A">
        <w:trPr>
          <w:trHeight w:val="471"/>
        </w:trPr>
        <w:tc>
          <w:tcPr>
            <w:tcW w:w="3172" w:type="dxa"/>
          </w:tcPr>
          <w:p w14:paraId="32391FC8" w14:textId="5C499903" w:rsidR="00624BEF" w:rsidRPr="004A1DEE" w:rsidRDefault="00624BEF" w:rsidP="00B266A2">
            <w:r w:rsidRPr="004A1DEE">
              <w:t xml:space="preserve">Secondary </w:t>
            </w:r>
            <w:r w:rsidR="00EE55DA">
              <w:t>p</w:t>
            </w:r>
            <w:r w:rsidR="00EE55DA" w:rsidRPr="004A1DEE">
              <w:t>harmacology</w:t>
            </w:r>
          </w:p>
        </w:tc>
        <w:tc>
          <w:tcPr>
            <w:tcW w:w="3642" w:type="dxa"/>
          </w:tcPr>
          <w:p w14:paraId="548516C5" w14:textId="77777777" w:rsidR="00624BEF" w:rsidRPr="004A1DEE" w:rsidRDefault="00624BEF" w:rsidP="00B266A2">
            <w:r w:rsidRPr="004A1DEE">
              <w:t>Development of anti-drug antibodies</w:t>
            </w:r>
          </w:p>
        </w:tc>
        <w:tc>
          <w:tcPr>
            <w:tcW w:w="1611" w:type="dxa"/>
          </w:tcPr>
          <w:p w14:paraId="10C7589D" w14:textId="77777777" w:rsidR="00624BEF" w:rsidRPr="004A1DEE" w:rsidRDefault="00624BEF" w:rsidP="00B266A2"/>
        </w:tc>
      </w:tr>
      <w:tr w:rsidR="00EE55DA" w:rsidRPr="004A1DEE" w14:paraId="19A5145A" w14:textId="77777777" w:rsidTr="007E583A">
        <w:trPr>
          <w:trHeight w:val="931"/>
        </w:trPr>
        <w:tc>
          <w:tcPr>
            <w:tcW w:w="3172" w:type="dxa"/>
          </w:tcPr>
          <w:p w14:paraId="59503287" w14:textId="0E7FEA40" w:rsidR="00624BEF" w:rsidRPr="004A1DEE" w:rsidRDefault="00624BEF" w:rsidP="00B266A2">
            <w:r w:rsidRPr="004A1DEE">
              <w:t xml:space="preserve">Gender other genetic and </w:t>
            </w:r>
            <w:r w:rsidR="00EE55DA" w:rsidRPr="004A1DEE">
              <w:t xml:space="preserve">age related differences in </w:t>
            </w:r>
            <w:r w:rsidRPr="004A1DEE">
              <w:t xml:space="preserve">PD </w:t>
            </w:r>
            <w:r w:rsidR="00EE55DA">
              <w:t>r</w:t>
            </w:r>
            <w:r w:rsidR="00EE55DA" w:rsidRPr="004A1DEE">
              <w:t>esponse</w:t>
            </w:r>
          </w:p>
        </w:tc>
        <w:tc>
          <w:tcPr>
            <w:tcW w:w="3642" w:type="dxa"/>
          </w:tcPr>
          <w:p w14:paraId="74AF41A7" w14:textId="77777777" w:rsidR="00624BEF" w:rsidRPr="004A1DEE" w:rsidRDefault="00624BEF" w:rsidP="00B266A2">
            <w:r w:rsidRPr="004A1DEE">
              <w:t>No data</w:t>
            </w:r>
          </w:p>
        </w:tc>
        <w:tc>
          <w:tcPr>
            <w:tcW w:w="1611" w:type="dxa"/>
          </w:tcPr>
          <w:p w14:paraId="027690FE" w14:textId="77777777" w:rsidR="00624BEF" w:rsidRPr="004A1DEE" w:rsidRDefault="00624BEF" w:rsidP="00B266A2"/>
        </w:tc>
      </w:tr>
      <w:tr w:rsidR="00EE55DA" w:rsidRPr="004A1DEE" w14:paraId="468365D5" w14:textId="77777777" w:rsidTr="007E583A">
        <w:trPr>
          <w:trHeight w:val="459"/>
        </w:trPr>
        <w:tc>
          <w:tcPr>
            <w:tcW w:w="3172" w:type="dxa"/>
          </w:tcPr>
          <w:p w14:paraId="6D0A7D63" w14:textId="5C4A4AC7" w:rsidR="00624BEF" w:rsidRPr="004A1DEE" w:rsidRDefault="00624BEF" w:rsidP="00B266A2">
            <w:r w:rsidRPr="004A1DEE">
              <w:t xml:space="preserve">PD </w:t>
            </w:r>
            <w:r w:rsidR="00EE55DA">
              <w:t>i</w:t>
            </w:r>
            <w:r w:rsidR="00EE55DA" w:rsidRPr="004A1DEE">
              <w:t>nteractions</w:t>
            </w:r>
          </w:p>
        </w:tc>
        <w:tc>
          <w:tcPr>
            <w:tcW w:w="3642" w:type="dxa"/>
          </w:tcPr>
          <w:p w14:paraId="467934C1" w14:textId="77777777" w:rsidR="00624BEF" w:rsidRPr="004A1DEE" w:rsidRDefault="00624BEF" w:rsidP="00B266A2">
            <w:r w:rsidRPr="004A1DEE">
              <w:t>No data</w:t>
            </w:r>
          </w:p>
        </w:tc>
        <w:tc>
          <w:tcPr>
            <w:tcW w:w="1611" w:type="dxa"/>
          </w:tcPr>
          <w:p w14:paraId="32E99845" w14:textId="77777777" w:rsidR="00624BEF" w:rsidRPr="004A1DEE" w:rsidRDefault="00624BEF" w:rsidP="00B266A2"/>
        </w:tc>
      </w:tr>
      <w:tr w:rsidR="00EE55DA" w:rsidRPr="004A1DEE" w14:paraId="520FCDF9" w14:textId="77777777" w:rsidTr="007E583A">
        <w:trPr>
          <w:trHeight w:val="471"/>
        </w:trPr>
        <w:tc>
          <w:tcPr>
            <w:tcW w:w="3172" w:type="dxa"/>
            <w:vMerge w:val="restart"/>
          </w:tcPr>
          <w:p w14:paraId="39E68342" w14:textId="77777777" w:rsidR="00624BEF" w:rsidRPr="004A1DEE" w:rsidRDefault="00624BEF" w:rsidP="00B266A2">
            <w:r w:rsidRPr="004A1DEE">
              <w:t>Population PD and PK-PD analyses</w:t>
            </w:r>
          </w:p>
        </w:tc>
        <w:tc>
          <w:tcPr>
            <w:tcW w:w="3642" w:type="dxa"/>
          </w:tcPr>
          <w:p w14:paraId="5B463D83" w14:textId="77777777" w:rsidR="00624BEF" w:rsidRPr="004A1DEE" w:rsidRDefault="00624BEF" w:rsidP="00B266A2">
            <w:r w:rsidRPr="004A1DEE">
              <w:t>Healthy subjects</w:t>
            </w:r>
          </w:p>
        </w:tc>
        <w:tc>
          <w:tcPr>
            <w:tcW w:w="1611" w:type="dxa"/>
          </w:tcPr>
          <w:p w14:paraId="30B2AFD2" w14:textId="77777777" w:rsidR="00624BEF" w:rsidRPr="004A1DEE" w:rsidRDefault="00624BEF" w:rsidP="00B266A2">
            <w:r w:rsidRPr="004A1DEE">
              <w:t>None</w:t>
            </w:r>
          </w:p>
        </w:tc>
      </w:tr>
      <w:tr w:rsidR="00EE55DA" w:rsidRPr="004A1DEE" w14:paraId="50FAB0B2" w14:textId="77777777" w:rsidTr="007E583A">
        <w:trPr>
          <w:trHeight w:val="140"/>
        </w:trPr>
        <w:tc>
          <w:tcPr>
            <w:tcW w:w="3172" w:type="dxa"/>
            <w:vMerge/>
          </w:tcPr>
          <w:p w14:paraId="435DBC9F" w14:textId="77777777" w:rsidR="00624BEF" w:rsidRPr="004A1DEE" w:rsidRDefault="00624BEF" w:rsidP="00B266A2"/>
        </w:tc>
        <w:tc>
          <w:tcPr>
            <w:tcW w:w="3642" w:type="dxa"/>
          </w:tcPr>
          <w:p w14:paraId="7E1A0091" w14:textId="77777777" w:rsidR="00624BEF" w:rsidRPr="004A1DEE" w:rsidRDefault="00624BEF" w:rsidP="00B266A2">
            <w:r w:rsidRPr="004A1DEE">
              <w:t>Target population</w:t>
            </w:r>
          </w:p>
        </w:tc>
        <w:tc>
          <w:tcPr>
            <w:tcW w:w="1611" w:type="dxa"/>
          </w:tcPr>
          <w:p w14:paraId="4694AE97" w14:textId="77777777" w:rsidR="00624BEF" w:rsidRPr="004A1DEE" w:rsidRDefault="00624BEF" w:rsidP="00B266A2">
            <w:r w:rsidRPr="004A1DEE">
              <w:t>SYN201301</w:t>
            </w:r>
          </w:p>
        </w:tc>
      </w:tr>
    </w:tbl>
    <w:p w14:paraId="4DEAB2A2" w14:textId="77777777" w:rsidR="00605AD4" w:rsidRDefault="00605AD4" w:rsidP="00605AD4">
      <w:pPr>
        <w:pStyle w:val="Heading4"/>
      </w:pPr>
      <w:r>
        <w:t>Evaluator’s conclusions on pharmacodynamics</w:t>
      </w:r>
    </w:p>
    <w:p w14:paraId="3FD3BF14" w14:textId="2923909B" w:rsidR="00624BEF" w:rsidRPr="00B7505B" w:rsidRDefault="00624BEF" w:rsidP="00624BEF">
      <w:r w:rsidRPr="00B7505B">
        <w:t xml:space="preserve">Sebelipase alfa binds to cell surface receptors via </w:t>
      </w:r>
      <w:proofErr w:type="spellStart"/>
      <w:r w:rsidRPr="00B7505B">
        <w:t>glycans</w:t>
      </w:r>
      <w:proofErr w:type="spellEnd"/>
      <w:r w:rsidRPr="00B7505B">
        <w:t xml:space="preserve"> expressed on the protein and is subsequently internali</w:t>
      </w:r>
      <w:r w:rsidR="00654E93">
        <w:t>s</w:t>
      </w:r>
      <w:r w:rsidRPr="00B7505B">
        <w:t xml:space="preserve">ed into lysosomes. </w:t>
      </w:r>
      <w:proofErr w:type="gramStart"/>
      <w:r w:rsidRPr="00B7505B">
        <w:t>It catalyses the lysosomal hydrolysis of cholesteryl esters and triglycerides to free cholesterol, glycerol and free fatty acids.</w:t>
      </w:r>
      <w:proofErr w:type="gramEnd"/>
      <w:r w:rsidRPr="00B7505B">
        <w:t xml:space="preserve"> Replacement of LAL enzyme activity leads to reductions in liver fat content and transaminases, and enables metabolism of cholesteryl esters and triglycerides in the lysosom</w:t>
      </w:r>
      <w:r>
        <w:t>e, leading to reductions in LDL</w:t>
      </w:r>
      <w:r>
        <w:noBreakHyphen/>
      </w:r>
      <w:r w:rsidRPr="00B7505B">
        <w:t>c, non-HDL-c, and triglycerides, and increases in HDL-c. Improvement in growth occurs as a result of substrate reduction in the intestine.</w:t>
      </w:r>
    </w:p>
    <w:p w14:paraId="39562E05" w14:textId="546F5BC1" w:rsidR="00624BEF" w:rsidRDefault="00624BEF" w:rsidP="00624BEF">
      <w:r w:rsidRPr="00B7505B">
        <w:t>In clinical trials, after initiation of dosing with sebelipase alfa, breakdown of accumulated lysosomal lipid led to initial increases in LDL-c and triglycerides within the first 2 to 4</w:t>
      </w:r>
      <w:r w:rsidR="000D03FF">
        <w:t> </w:t>
      </w:r>
      <w:r w:rsidRPr="00B7505B">
        <w:t>weeks of treatment. In general, following increases in LDL-c and triglycerides, these parameters decreased to below pre-treatment values within 8 weeks of treatment with sebelipase alfa</w:t>
      </w:r>
      <w:r>
        <w:t>.</w:t>
      </w:r>
    </w:p>
    <w:p w14:paraId="3A3041CB" w14:textId="15C5E8F5" w:rsidR="00624BEF" w:rsidRDefault="00624BEF" w:rsidP="00624BEF">
      <w:r w:rsidRPr="00B7505B">
        <w:t xml:space="preserve">In all patients with elevated alanine aminotransferase (ALT) values at </w:t>
      </w:r>
      <w:r w:rsidR="000D03FF">
        <w:t>B</w:t>
      </w:r>
      <w:r w:rsidRPr="00B7505B">
        <w:t>aseline (82 of 84</w:t>
      </w:r>
      <w:r w:rsidR="000D03FF">
        <w:t> </w:t>
      </w:r>
      <w:r w:rsidRPr="00B7505B">
        <w:t>patients in clinical trials), reductions in ALT values we</w:t>
      </w:r>
      <w:r w:rsidR="00945715">
        <w:t>re observed, generally within 2 </w:t>
      </w:r>
      <w:r w:rsidRPr="00B7505B">
        <w:t>weeks after initiation of treatment with sebelipase alfa. Treatment interruption resulted in increases in LDL-c and ALT values and decreases in HDL-c</w:t>
      </w:r>
      <w:r>
        <w:t>.</w:t>
      </w:r>
    </w:p>
    <w:p w14:paraId="6858E9A0" w14:textId="77777777" w:rsidR="00624BEF" w:rsidRPr="00624BEF" w:rsidRDefault="00624BEF" w:rsidP="00624BEF">
      <w:r w:rsidRPr="00B7505B">
        <w:t xml:space="preserve">Though there is a risk of immunogenicity with any ERT, the overall rate of immunogenicity in studies with sebelipase alfa appears low. Subjects who tested positive for </w:t>
      </w:r>
      <w:r w:rsidR="00AA456F">
        <w:t>anti-drug antibodies</w:t>
      </w:r>
      <w:r w:rsidR="00AA456F" w:rsidRPr="00B7505B">
        <w:t xml:space="preserve"> </w:t>
      </w:r>
      <w:r w:rsidR="00AA456F">
        <w:t>(</w:t>
      </w:r>
      <w:r w:rsidRPr="00B7505B">
        <w:t>ADAs</w:t>
      </w:r>
      <w:r w:rsidR="00AA456F">
        <w:t>)</w:t>
      </w:r>
      <w:r w:rsidRPr="00B7505B">
        <w:t xml:space="preserve"> were evaluated for sebelipase alfa neutralising antibodies by measuring LAL enzyme activity and the cellular uptake of LAL. The population PK analysis of sebelipase alfa revealed no relevant effect of ADA positivity on the exposure to sebelipase alfa. The incidence of ADA positivity was higher in infants compared with children and adults. No evidence of any impact of ADAs on efficacy parameters was observed in children or adults, and although some potential impact on efficacy was observed in one infant positive for ADAs, the contribution of the ADA to the relative slowing of weight gain </w:t>
      </w:r>
      <w:r w:rsidRPr="00B7505B">
        <w:lastRenderedPageBreak/>
        <w:t>in this infant was not definitively established (as there were multiple concurrent confounding medical factors that also could impact weight gain and growth).</w:t>
      </w:r>
    </w:p>
    <w:p w14:paraId="36079A02" w14:textId="77777777" w:rsidR="00624BEF" w:rsidRPr="00624BEF" w:rsidRDefault="00605AD4" w:rsidP="00624BEF">
      <w:pPr>
        <w:pStyle w:val="Heading3"/>
      </w:pPr>
      <w:bookmarkStart w:id="86" w:name="_Toc519601799"/>
      <w:r>
        <w:t>Dosage selection for the pivotal studies</w:t>
      </w:r>
      <w:bookmarkEnd w:id="86"/>
    </w:p>
    <w:p w14:paraId="5CAC145E" w14:textId="77777777" w:rsidR="00624BEF" w:rsidRDefault="00624BEF" w:rsidP="00624BEF">
      <w:r w:rsidRPr="00B7505B">
        <w:t xml:space="preserve">Results of the Phase </w:t>
      </w:r>
      <w:r>
        <w:t>I/II Study</w:t>
      </w:r>
      <w:r w:rsidRPr="00B7505B">
        <w:t xml:space="preserve"> LAL-CL01 in adults with LAL-</w:t>
      </w:r>
      <w:r w:rsidR="00AA456F">
        <w:t>D</w:t>
      </w:r>
      <w:r w:rsidRPr="00B7505B">
        <w:t xml:space="preserve"> provided adequate evidence to support testing the following doses of sebelipase alfa in the two pivotal studies</w:t>
      </w:r>
      <w:r>
        <w:t>:</w:t>
      </w:r>
    </w:p>
    <w:p w14:paraId="50964B97" w14:textId="611E4EA9" w:rsidR="00CA17A3" w:rsidRDefault="00624BEF" w:rsidP="00945715">
      <w:pPr>
        <w:pStyle w:val="ListBullet"/>
      </w:pPr>
      <w:r>
        <w:t>Study</w:t>
      </w:r>
      <w:r w:rsidRPr="00B7505B">
        <w:t xml:space="preserve"> LAL-CL02 in adults and children with LAL-D: 1 mg/kg every other week dose administered by IV infusion</w:t>
      </w:r>
      <w:r w:rsidR="003455A2">
        <w:t>;</w:t>
      </w:r>
      <w:r w:rsidRPr="00B7505B">
        <w:t xml:space="preserve"> over 2 hours with option to reduce infusion </w:t>
      </w:r>
      <w:r>
        <w:t>duration to 1</w:t>
      </w:r>
      <w:r w:rsidR="000D03FF">
        <w:t> </w:t>
      </w:r>
      <w:r>
        <w:t>hour if tolerated</w:t>
      </w:r>
      <w:r w:rsidR="00876235">
        <w:t>)</w:t>
      </w:r>
      <w:r w:rsidR="00CA17A3">
        <w:t>.</w:t>
      </w:r>
    </w:p>
    <w:p w14:paraId="30DEB9D8" w14:textId="77777777" w:rsidR="00624BEF" w:rsidRDefault="00624BEF" w:rsidP="00945715">
      <w:pPr>
        <w:pStyle w:val="ListBullet"/>
      </w:pPr>
      <w:r>
        <w:t>Study</w:t>
      </w:r>
      <w:r w:rsidRPr="00B7505B">
        <w:t xml:space="preserve"> LAL-CL03 in infants with LAL-D: </w:t>
      </w:r>
      <w:r>
        <w:t>1 mg</w:t>
      </w:r>
      <w:r w:rsidRPr="00B7505B">
        <w:t xml:space="preserve">/kg every week with option to increase dose to </w:t>
      </w:r>
      <w:r>
        <w:t>3 mg</w:t>
      </w:r>
      <w:r w:rsidRPr="00B7505B">
        <w:t>/kg for infants who present with rapidly progressive disease administered by IV infusion (over 2 hours). It is important to note that the option to reduce infusion duration to 1 hour was not evaluated in infants</w:t>
      </w:r>
      <w:r>
        <w:t>.</w:t>
      </w:r>
    </w:p>
    <w:p w14:paraId="6B8C7313" w14:textId="77777777" w:rsidR="00624BEF" w:rsidRPr="00624BEF" w:rsidRDefault="00624BEF" w:rsidP="00624BEF">
      <w:r>
        <w:t>For further details of dosage selection for the pivotal studies please see Attachment 2</w:t>
      </w:r>
      <w:r w:rsidR="00A32212">
        <w:t xml:space="preserve"> (Extract from the Clinical Evaluation report).</w:t>
      </w:r>
    </w:p>
    <w:p w14:paraId="0627976B" w14:textId="77777777" w:rsidR="008E7846" w:rsidRPr="00254787" w:rsidRDefault="008E7846" w:rsidP="008E7846">
      <w:pPr>
        <w:pStyle w:val="Heading3"/>
      </w:pPr>
      <w:bookmarkStart w:id="87" w:name="_Toc163441372"/>
      <w:bookmarkStart w:id="88" w:name="_Toc196046485"/>
      <w:bookmarkStart w:id="89" w:name="_Toc247691521"/>
      <w:bookmarkStart w:id="90" w:name="_Toc314842504"/>
      <w:bookmarkStart w:id="91" w:name="_Toc519601800"/>
      <w:r w:rsidRPr="00254787">
        <w:t>Efficacy</w:t>
      </w:r>
      <w:bookmarkEnd w:id="87"/>
      <w:bookmarkEnd w:id="88"/>
      <w:bookmarkEnd w:id="89"/>
      <w:bookmarkEnd w:id="90"/>
      <w:bookmarkEnd w:id="91"/>
    </w:p>
    <w:p w14:paraId="37E88C8F" w14:textId="77777777" w:rsidR="00605AD4" w:rsidRDefault="00605AD4" w:rsidP="00605AD4">
      <w:pPr>
        <w:pStyle w:val="Heading4"/>
      </w:pPr>
      <w:bookmarkStart w:id="92" w:name="_Toc184439992"/>
      <w:bookmarkStart w:id="93" w:name="_Toc184440279"/>
      <w:bookmarkStart w:id="94" w:name="_Toc184444657"/>
      <w:bookmarkStart w:id="95" w:name="_Toc196046487"/>
      <w:r>
        <w:t>Studies providing efficacy data</w:t>
      </w:r>
    </w:p>
    <w:p w14:paraId="6F6515A0" w14:textId="472A46F7" w:rsidR="00A32212" w:rsidRPr="00DE635E" w:rsidRDefault="00991B6B" w:rsidP="0005285B">
      <w:pPr>
        <w:pStyle w:val="ListBullet"/>
      </w:pPr>
      <w:r>
        <w:t xml:space="preserve">Study </w:t>
      </w:r>
      <w:r w:rsidR="00A32212" w:rsidRPr="00DE635E">
        <w:t xml:space="preserve">LAL-CL02: A pivotal, </w:t>
      </w:r>
      <w:r w:rsidR="00A32212">
        <w:t>Phase III</w:t>
      </w:r>
      <w:r w:rsidR="00A32212" w:rsidRPr="00DE635E">
        <w:t>, multicentre, randomi</w:t>
      </w:r>
      <w:r w:rsidR="00654E93">
        <w:t>s</w:t>
      </w:r>
      <w:r w:rsidR="00A32212" w:rsidRPr="00DE635E">
        <w:t xml:space="preserve">ed, </w:t>
      </w:r>
      <w:r w:rsidR="00A32212">
        <w:t>placebo controlled</w:t>
      </w:r>
      <w:r w:rsidR="00A32212" w:rsidRPr="00DE635E">
        <w:t xml:space="preserve"> </w:t>
      </w:r>
      <w:r w:rsidR="00A32212">
        <w:t>study</w:t>
      </w:r>
      <w:r w:rsidR="00A32212" w:rsidRPr="00DE635E">
        <w:t xml:space="preserve"> of SBC-102 in patients </w:t>
      </w:r>
      <w:r w:rsidR="00945715" w:rsidRPr="00DE635E">
        <w:t xml:space="preserve">with lysosomal acid lipase deficiency </w:t>
      </w:r>
      <w:r w:rsidR="00A32212" w:rsidRPr="00DE635E">
        <w:t>(</w:t>
      </w:r>
      <w:r>
        <w:t xml:space="preserve">also known as </w:t>
      </w:r>
      <w:r w:rsidR="00A32212" w:rsidRPr="00DE635E">
        <w:t xml:space="preserve">ARISE </w:t>
      </w:r>
      <w:r>
        <w:t>(</w:t>
      </w:r>
      <w:r w:rsidR="00A32212" w:rsidRPr="00DE635E">
        <w:t>Acid Lipase Replacement investigating safety and efficacy</w:t>
      </w:r>
      <w:r>
        <w:t>)</w:t>
      </w:r>
      <w:r w:rsidR="00A32212" w:rsidRPr="00DE635E">
        <w:t>).</w:t>
      </w:r>
    </w:p>
    <w:p w14:paraId="13FB8680" w14:textId="751F0C29" w:rsidR="00A32212" w:rsidRPr="00DE635E" w:rsidRDefault="00991B6B" w:rsidP="0005285B">
      <w:pPr>
        <w:pStyle w:val="ListBullet"/>
      </w:pPr>
      <w:r>
        <w:t xml:space="preserve">Study </w:t>
      </w:r>
      <w:r w:rsidR="00A32212" w:rsidRPr="00DE635E">
        <w:t xml:space="preserve">LAL-CL03: A, </w:t>
      </w:r>
      <w:r w:rsidR="00A32212">
        <w:t>Phase II/III</w:t>
      </w:r>
      <w:r w:rsidR="00A32212" w:rsidRPr="00DE635E">
        <w:t xml:space="preserve">, open label, </w:t>
      </w:r>
      <w:r w:rsidR="00A32212">
        <w:t>m</w:t>
      </w:r>
      <w:r w:rsidR="00A32212" w:rsidRPr="00DE635E">
        <w:t xml:space="preserve">ulticentre, dose escalation </w:t>
      </w:r>
      <w:r w:rsidR="00A32212">
        <w:t>study</w:t>
      </w:r>
      <w:r w:rsidR="00A32212" w:rsidRPr="00DE635E">
        <w:t xml:space="preserve"> to evaluate the safety, tolerability, efficacy, pharmacokinetics, and pharmacodynamics of SBC-102 in children with growth failure due to lysosomal acid lipase deficiency</w:t>
      </w:r>
    </w:p>
    <w:p w14:paraId="33639B37" w14:textId="77777777" w:rsidR="00A32212" w:rsidRPr="00A32212" w:rsidRDefault="00A32212" w:rsidP="0005285B">
      <w:pPr>
        <w:pStyle w:val="ListBullet"/>
      </w:pPr>
      <w:r>
        <w:t>Study</w:t>
      </w:r>
      <w:r w:rsidRPr="00DE635E">
        <w:t xml:space="preserve"> LAL-CL04: A </w:t>
      </w:r>
      <w:r>
        <w:t>Phase II</w:t>
      </w:r>
      <w:r w:rsidRPr="00DE635E">
        <w:t xml:space="preserve">, open label multicentre extension </w:t>
      </w:r>
      <w:r>
        <w:t>study</w:t>
      </w:r>
      <w:r w:rsidRPr="00DE635E">
        <w:t xml:space="preserve"> to evaluate the </w:t>
      </w:r>
      <w:r w:rsidR="008E5468">
        <w:t>long term</w:t>
      </w:r>
      <w:r w:rsidRPr="00DE635E">
        <w:t xml:space="preserve"> safety, tolerability, and efficacy of sebelipase alfa in adult subjects with liver dysfunction due to lysosomal acid lipase deficiency who previously received treatment in </w:t>
      </w:r>
      <w:r>
        <w:t>Study</w:t>
      </w:r>
      <w:r w:rsidRPr="00DE635E">
        <w:t xml:space="preserve"> LAL-CL01</w:t>
      </w:r>
      <w:r>
        <w:t>.</w:t>
      </w:r>
    </w:p>
    <w:p w14:paraId="0F466819" w14:textId="77777777" w:rsidR="008E7846" w:rsidRDefault="00605AD4" w:rsidP="00605AD4">
      <w:pPr>
        <w:pStyle w:val="Heading4"/>
      </w:pPr>
      <w:r>
        <w:t>Evaluator’s conclusions on efficacy</w:t>
      </w:r>
    </w:p>
    <w:p w14:paraId="1B1435C4" w14:textId="77777777" w:rsidR="00A32212" w:rsidRDefault="008E5468" w:rsidP="00A32212">
      <w:r>
        <w:t>LAL-D</w:t>
      </w:r>
      <w:r w:rsidR="00A32212" w:rsidRPr="004A4C0C">
        <w:t xml:space="preserve"> is a very rare, serious and </w:t>
      </w:r>
      <w:r w:rsidR="00A32212">
        <w:t>life threatening</w:t>
      </w:r>
      <w:r w:rsidR="00A32212" w:rsidRPr="004A4C0C">
        <w:t xml:space="preserve"> lysosomal storage disorder caused by mutations affecting a single gene.</w:t>
      </w:r>
      <w:r w:rsidR="00A32212" w:rsidRPr="004A4C0C">
        <w:rPr>
          <w:b/>
          <w:i/>
        </w:rPr>
        <w:t xml:space="preserve"> </w:t>
      </w:r>
      <w:r w:rsidR="00A32212" w:rsidRPr="004A4C0C">
        <w:t>It is associated with significant morbidity and mortality affecting individuals from infancy through to adulthood. LAL-D presenting in infants is a medical emergency with rapid disease progression over a period of weeks that is typically fatal within the first 6 months of life. Current treatment options only include supportive therapies and there are no approved treatments addressing the root cause of the disease</w:t>
      </w:r>
      <w:r w:rsidR="00A32212">
        <w:t>.</w:t>
      </w:r>
    </w:p>
    <w:p w14:paraId="715F59E5" w14:textId="347F5F9B" w:rsidR="00A32212" w:rsidRDefault="00A32212" w:rsidP="00A32212">
      <w:pPr>
        <w:rPr>
          <w:rFonts w:cs="Calibri"/>
          <w:lang w:eastAsia="ja-JP"/>
        </w:rPr>
      </w:pPr>
      <w:r w:rsidRPr="004A4C0C">
        <w:rPr>
          <w:rFonts w:cs="TimesNewRomanPSMT"/>
        </w:rPr>
        <w:t xml:space="preserve">The main evidence for efficacy of sebelipase alfa was provided by the </w:t>
      </w:r>
      <w:r w:rsidR="00945715">
        <w:rPr>
          <w:rFonts w:cs="TimesNewRomanPSMT"/>
        </w:rPr>
        <w:t>well conducted</w:t>
      </w:r>
      <w:r w:rsidRPr="004A4C0C">
        <w:rPr>
          <w:rFonts w:cs="TimesNewRomanPSMT"/>
        </w:rPr>
        <w:t xml:space="preserve">, </w:t>
      </w:r>
      <w:r>
        <w:rPr>
          <w:rFonts w:cs="TimesNewRomanPSMT"/>
        </w:rPr>
        <w:t>Phase III</w:t>
      </w:r>
      <w:r w:rsidRPr="004A4C0C">
        <w:rPr>
          <w:rFonts w:cs="TimesNewRomanPSMT"/>
        </w:rPr>
        <w:t xml:space="preserve">, </w:t>
      </w:r>
      <w:r>
        <w:rPr>
          <w:rFonts w:cs="TimesNewRomanPSMT"/>
        </w:rPr>
        <w:t>double blind</w:t>
      </w:r>
      <w:r w:rsidRPr="004A4C0C">
        <w:rPr>
          <w:rFonts w:cs="TimesNewRomanPSMT"/>
        </w:rPr>
        <w:t xml:space="preserve">, </w:t>
      </w:r>
      <w:r>
        <w:rPr>
          <w:rFonts w:cs="TimesNewRomanPSMT"/>
        </w:rPr>
        <w:t>placebo controlled</w:t>
      </w:r>
      <w:r w:rsidRPr="004A4C0C">
        <w:rPr>
          <w:rFonts w:cs="TimesNewRomanPSMT"/>
        </w:rPr>
        <w:t xml:space="preserve"> </w:t>
      </w:r>
      <w:r>
        <w:rPr>
          <w:rFonts w:cs="TimesNewRomanPSMT"/>
        </w:rPr>
        <w:t>Study</w:t>
      </w:r>
      <w:r w:rsidRPr="004A4C0C">
        <w:rPr>
          <w:rFonts w:cs="TimesNewRomanPSMT"/>
        </w:rPr>
        <w:t xml:space="preserve"> LAL-CL02 involv</w:t>
      </w:r>
      <w:r w:rsidR="00945715">
        <w:rPr>
          <w:rFonts w:cs="TimesNewRomanPSMT"/>
        </w:rPr>
        <w:t>ing 66 patients with LAL</w:t>
      </w:r>
      <w:r w:rsidR="00945715">
        <w:rPr>
          <w:rFonts w:cs="TimesNewRomanPSMT"/>
        </w:rPr>
        <w:noBreakHyphen/>
      </w:r>
      <w:r w:rsidRPr="004A4C0C">
        <w:rPr>
          <w:rFonts w:cs="TimesNewRomanPSMT"/>
        </w:rPr>
        <w:t xml:space="preserve">D (children and adults, with 71% aged </w:t>
      </w:r>
      <w:r w:rsidR="00663236">
        <w:rPr>
          <w:rFonts w:cs="TimesNewRomanPSMT"/>
        </w:rPr>
        <w:t xml:space="preserve">&gt; </w:t>
      </w:r>
      <w:r w:rsidRPr="004A4C0C">
        <w:rPr>
          <w:rFonts w:cs="TimesNewRomanPSMT"/>
        </w:rPr>
        <w:t xml:space="preserve">18 years). The </w:t>
      </w:r>
      <w:r>
        <w:rPr>
          <w:rFonts w:cs="TimesNewRomanPSMT"/>
        </w:rPr>
        <w:t>study</w:t>
      </w:r>
      <w:r w:rsidRPr="004A4C0C">
        <w:rPr>
          <w:rFonts w:cs="TimesNewRomanPSMT"/>
        </w:rPr>
        <w:t xml:space="preserve"> was conducted in a broad range of subjects at different stages of disease progression including subjects with histologically confirmed cirrhosis and different genotypes</w:t>
      </w:r>
      <w:r>
        <w:rPr>
          <w:rFonts w:cs="TimesNewRomanPSMT"/>
        </w:rPr>
        <w:t xml:space="preserve">. </w:t>
      </w:r>
      <w:r w:rsidR="00A05218">
        <w:rPr>
          <w:rFonts w:cs="TimesNewRomanPSMT"/>
        </w:rPr>
        <w:t xml:space="preserve">Study </w:t>
      </w:r>
      <w:r w:rsidRPr="004A4C0C">
        <w:rPr>
          <w:rFonts w:cs="Calibri"/>
        </w:rPr>
        <w:t xml:space="preserve">LAL-CL03 was the </w:t>
      </w:r>
      <w:r w:rsidRPr="004A4C0C">
        <w:rPr>
          <w:rFonts w:cs="Calibri"/>
          <w:lang w:eastAsia="ja-JP"/>
        </w:rPr>
        <w:t xml:space="preserve">only </w:t>
      </w:r>
      <w:r>
        <w:rPr>
          <w:rFonts w:cs="Calibri"/>
          <w:lang w:eastAsia="ja-JP"/>
        </w:rPr>
        <w:t>study</w:t>
      </w:r>
      <w:r w:rsidRPr="004A4C0C">
        <w:rPr>
          <w:rFonts w:cs="Calibri"/>
          <w:lang w:eastAsia="ja-JP"/>
        </w:rPr>
        <w:t xml:space="preserve"> which evaluated the effect of sebelipase alfa in 9 infants with growth failure. This group of patients with LAL</w:t>
      </w:r>
      <w:r w:rsidR="00BA6AD4">
        <w:rPr>
          <w:rFonts w:cs="Calibri"/>
          <w:lang w:eastAsia="ja-JP"/>
        </w:rPr>
        <w:t>-D</w:t>
      </w:r>
      <w:r w:rsidRPr="004A4C0C">
        <w:rPr>
          <w:rFonts w:cs="Calibri"/>
          <w:lang w:eastAsia="ja-JP"/>
        </w:rPr>
        <w:t xml:space="preserve"> represents subgroup with serious complications and high mortality and morbidity risks. Overall, subjects enrolled in these 2 main studies were representative of the target patient population for the proposed indication</w:t>
      </w:r>
      <w:r>
        <w:rPr>
          <w:rFonts w:cs="Calibri"/>
          <w:lang w:eastAsia="ja-JP"/>
        </w:rPr>
        <w:t>.</w:t>
      </w:r>
    </w:p>
    <w:p w14:paraId="7208A125" w14:textId="15839534" w:rsidR="00A32212" w:rsidRDefault="00A32212" w:rsidP="00A32212">
      <w:pPr>
        <w:rPr>
          <w:color w:val="000000"/>
        </w:rPr>
      </w:pPr>
      <w:r w:rsidRPr="004A4C0C">
        <w:rPr>
          <w:rFonts w:cs="TimesNewRomanPSMT"/>
        </w:rPr>
        <w:lastRenderedPageBreak/>
        <w:t xml:space="preserve">In pivotal </w:t>
      </w:r>
      <w:r>
        <w:rPr>
          <w:rFonts w:cs="TimesNewRomanPSMT"/>
        </w:rPr>
        <w:t>Study</w:t>
      </w:r>
      <w:r w:rsidRPr="004A4C0C">
        <w:rPr>
          <w:rFonts w:cs="TimesNewRomanPSMT"/>
        </w:rPr>
        <w:t xml:space="preserve"> LAL-CL02, ERT with sebelipase alfa </w:t>
      </w:r>
      <w:r w:rsidRPr="004A4C0C">
        <w:t xml:space="preserve">1 mg/kg every other week (administered by IV infusion over 2 hours with option to reduce </w:t>
      </w:r>
      <w:r w:rsidR="00945715">
        <w:t>infusion duration to 1 </w:t>
      </w:r>
      <w:r w:rsidRPr="004A4C0C">
        <w:t xml:space="preserve">hour if tolerated) during the </w:t>
      </w:r>
      <w:r>
        <w:t>20 week</w:t>
      </w:r>
      <w:r w:rsidRPr="004A4C0C">
        <w:t xml:space="preserve"> </w:t>
      </w:r>
      <w:r>
        <w:t>double blind</w:t>
      </w:r>
      <w:r w:rsidRPr="004A4C0C">
        <w:t xml:space="preserve"> treatment period </w:t>
      </w:r>
      <w:r w:rsidRPr="004A4C0C">
        <w:rPr>
          <w:rFonts w:cs="TimesNewRomanPSMT"/>
        </w:rPr>
        <w:t>resulted in clinically meaningful reductions in ongoing liver cell injury, as evidenced by statistically significant improvements in the primary endpoint of ALT normalisation over placebo, with marked decreases in ALT and AST levels</w:t>
      </w:r>
      <w:r>
        <w:rPr>
          <w:rFonts w:cs="TimesNewRomanPSMT"/>
        </w:rPr>
        <w:t xml:space="preserve">. </w:t>
      </w:r>
      <w:r w:rsidRPr="004A4C0C">
        <w:rPr>
          <w:rFonts w:cs="TimesNewRomanPSMT"/>
        </w:rPr>
        <w:t xml:space="preserve">Reductions in liver cell injury were accompanied by clinically relevant reductions in other markers of liver dysfunction, including </w:t>
      </w:r>
      <w:r w:rsidR="003F5CB4">
        <w:t xml:space="preserve">gamma </w:t>
      </w:r>
      <w:proofErr w:type="spellStart"/>
      <w:r w:rsidR="003F5CB4">
        <w:t>glutamyl</w:t>
      </w:r>
      <w:proofErr w:type="spellEnd"/>
      <w:r w:rsidR="003F5CB4">
        <w:t xml:space="preserve"> transferase</w:t>
      </w:r>
      <w:r w:rsidR="003F5CB4" w:rsidRPr="004A4C0C">
        <w:rPr>
          <w:rFonts w:cs="TimesNewRomanPSMT"/>
        </w:rPr>
        <w:t xml:space="preserve"> </w:t>
      </w:r>
      <w:r w:rsidR="003F5CB4">
        <w:rPr>
          <w:rFonts w:cs="TimesNewRomanPSMT"/>
        </w:rPr>
        <w:t>(</w:t>
      </w:r>
      <w:r w:rsidRPr="004A4C0C">
        <w:rPr>
          <w:rFonts w:cs="TimesNewRomanPSMT"/>
        </w:rPr>
        <w:t>GGT</w:t>
      </w:r>
      <w:r w:rsidR="003F5CB4">
        <w:rPr>
          <w:rFonts w:cs="TimesNewRomanPSMT"/>
        </w:rPr>
        <w:t>)</w:t>
      </w:r>
      <w:r w:rsidRPr="004A4C0C">
        <w:rPr>
          <w:rFonts w:cs="TimesNewRomanPSMT"/>
        </w:rPr>
        <w:t xml:space="preserve"> and bilirubin. Sebelipase alfa also improved </w:t>
      </w:r>
      <w:r w:rsidR="008E5468">
        <w:rPr>
          <w:rFonts w:cs="TimesNewRomanPSMT"/>
        </w:rPr>
        <w:t>LAL-D</w:t>
      </w:r>
      <w:r w:rsidRPr="004A4C0C">
        <w:rPr>
          <w:rFonts w:cs="TimesNewRomanPSMT"/>
        </w:rPr>
        <w:t xml:space="preserve"> related dyslipidaemia, with clinically meaningful and statistically significant reductions in LDL-c accompanied by statistically significant decreases in </w:t>
      </w:r>
      <w:r w:rsidR="008A51EB">
        <w:rPr>
          <w:rFonts w:cs="TimesNewRomanPSMT"/>
        </w:rPr>
        <w:t>triglycerides</w:t>
      </w:r>
      <w:r w:rsidRPr="004A4C0C">
        <w:rPr>
          <w:rFonts w:cs="TimesNewRomanPSMT"/>
        </w:rPr>
        <w:t xml:space="preserve">, increases in HDL-c, and favourable changes in other abnormalities associated with increased risk of </w:t>
      </w:r>
      <w:r w:rsidR="008A51EB">
        <w:t xml:space="preserve">atherosclerotic </w:t>
      </w:r>
      <w:r w:rsidR="008A51EB" w:rsidRPr="008A51EB">
        <w:t>cardiovascular disease</w:t>
      </w:r>
      <w:r w:rsidR="008A51EB" w:rsidRPr="008A51EB">
        <w:rPr>
          <w:rFonts w:cs="TimesNewRomanPSMT"/>
        </w:rPr>
        <w:t xml:space="preserve"> (</w:t>
      </w:r>
      <w:r w:rsidRPr="008A51EB">
        <w:rPr>
          <w:rFonts w:cs="TimesNewRomanPSMT"/>
        </w:rPr>
        <w:t>ASCVD</w:t>
      </w:r>
      <w:r w:rsidR="008A51EB" w:rsidRPr="008A51EB">
        <w:rPr>
          <w:rFonts w:cs="TimesNewRomanPSMT"/>
        </w:rPr>
        <w:t>)</w:t>
      </w:r>
      <w:r w:rsidRPr="008A51EB">
        <w:rPr>
          <w:rFonts w:cs="TimesNewRomanPSMT"/>
        </w:rPr>
        <w:t>. Sebelipase</w:t>
      </w:r>
      <w:r w:rsidRPr="004A4C0C">
        <w:rPr>
          <w:rFonts w:cs="TimesNewRomanPSMT"/>
        </w:rPr>
        <w:t xml:space="preserve"> alfa produced statistically significant decreases in liver fat fractions assessed </w:t>
      </w:r>
      <w:r w:rsidRPr="008A51EB">
        <w:rPr>
          <w:rFonts w:cs="TimesNewRomanPSMT"/>
        </w:rPr>
        <w:t xml:space="preserve">by </w:t>
      </w:r>
      <w:r w:rsidR="008A51EB">
        <w:rPr>
          <w:rFonts w:cs="TimesNewRomanPSMT"/>
        </w:rPr>
        <w:t>magnetic resonance imaging (</w:t>
      </w:r>
      <w:r w:rsidRPr="008A51EB">
        <w:rPr>
          <w:rFonts w:cs="TimesNewRomanPSMT"/>
        </w:rPr>
        <w:t>MRI</w:t>
      </w:r>
      <w:r w:rsidR="008A51EB">
        <w:rPr>
          <w:rFonts w:cs="TimesNewRomanPSMT"/>
        </w:rPr>
        <w:t>)</w:t>
      </w:r>
      <w:r w:rsidRPr="008A51EB">
        <w:rPr>
          <w:rFonts w:cs="TimesNewRomanPSMT"/>
        </w:rPr>
        <w:t xml:space="preserve"> and reductions</w:t>
      </w:r>
      <w:r w:rsidRPr="004A4C0C">
        <w:rPr>
          <w:rFonts w:cs="TimesNewRomanPSMT"/>
        </w:rPr>
        <w:t xml:space="preserve"> in liver and spleen volume reflecting reductions in lysosomal lipid accumulation, which is directly related to LAL enzyme deficiency which is the root cause of the disease. Clinical endpoints such as cardiovascular morbidity/mortality or effects on liver histopathology would have required larger sample size with longer </w:t>
      </w:r>
      <w:r>
        <w:rPr>
          <w:rFonts w:cs="TimesNewRomanPSMT"/>
        </w:rPr>
        <w:t>double blind</w:t>
      </w:r>
      <w:r w:rsidRPr="004A4C0C">
        <w:rPr>
          <w:rFonts w:cs="TimesNewRomanPSMT"/>
        </w:rPr>
        <w:t xml:space="preserve"> treatment periods which was not possible due to the low prevalence and variable disease progression associated with this multisystem disorder. </w:t>
      </w:r>
      <w:r w:rsidRPr="004A4C0C">
        <w:rPr>
          <w:color w:val="000000"/>
        </w:rPr>
        <w:t xml:space="preserve">During the </w:t>
      </w:r>
      <w:r>
        <w:rPr>
          <w:color w:val="000000"/>
        </w:rPr>
        <w:t>open label</w:t>
      </w:r>
      <w:r w:rsidRPr="004A4C0C">
        <w:rPr>
          <w:color w:val="000000"/>
        </w:rPr>
        <w:t xml:space="preserve"> treatment period, these improvements were maintained in the subjects treated with sebelipase alfa during the </w:t>
      </w:r>
      <w:r>
        <w:rPr>
          <w:color w:val="000000"/>
        </w:rPr>
        <w:t>double blind</w:t>
      </w:r>
      <w:r w:rsidRPr="004A4C0C">
        <w:rPr>
          <w:color w:val="000000"/>
        </w:rPr>
        <w:t xml:space="preserve"> period, and a similar pattern of response was observed in subjects switched from placebo to 1 mg/kg </w:t>
      </w:r>
      <w:r w:rsidR="000B4393">
        <w:t xml:space="preserve">every </w:t>
      </w:r>
      <w:r w:rsidR="000B4393" w:rsidRPr="000B4393">
        <w:t>other week</w:t>
      </w:r>
      <w:r w:rsidR="000B4393" w:rsidRPr="000B4393">
        <w:rPr>
          <w:color w:val="000000"/>
        </w:rPr>
        <w:t xml:space="preserve"> (</w:t>
      </w:r>
      <w:proofErr w:type="spellStart"/>
      <w:r w:rsidRPr="000B4393">
        <w:rPr>
          <w:color w:val="000000"/>
        </w:rPr>
        <w:t>qow</w:t>
      </w:r>
      <w:proofErr w:type="spellEnd"/>
      <w:r w:rsidR="000B4393" w:rsidRPr="000B4393">
        <w:rPr>
          <w:color w:val="000000"/>
        </w:rPr>
        <w:t>)</w:t>
      </w:r>
      <w:r w:rsidRPr="004A4C0C">
        <w:rPr>
          <w:color w:val="000000"/>
        </w:rPr>
        <w:t xml:space="preserve"> </w:t>
      </w:r>
      <w:proofErr w:type="spellStart"/>
      <w:r w:rsidRPr="004A4C0C">
        <w:rPr>
          <w:color w:val="000000"/>
        </w:rPr>
        <w:t>sebelipase</w:t>
      </w:r>
      <w:proofErr w:type="spellEnd"/>
      <w:r w:rsidRPr="004A4C0C">
        <w:rPr>
          <w:color w:val="000000"/>
        </w:rPr>
        <w:t xml:space="preserve"> alfa</w:t>
      </w:r>
      <w:r>
        <w:rPr>
          <w:color w:val="000000"/>
        </w:rPr>
        <w:t>.</w:t>
      </w:r>
    </w:p>
    <w:p w14:paraId="501B0B7E" w14:textId="1C336901" w:rsidR="00A32212" w:rsidRPr="004A4C0C" w:rsidRDefault="00A32212" w:rsidP="00A32212">
      <w:pPr>
        <w:rPr>
          <w:rFonts w:cs="Calibri"/>
        </w:rPr>
      </w:pPr>
      <w:r w:rsidRPr="004A4C0C">
        <w:rPr>
          <w:rFonts w:cs="Calibri"/>
        </w:rPr>
        <w:t xml:space="preserve">In </w:t>
      </w:r>
      <w:r>
        <w:rPr>
          <w:rFonts w:cs="Calibri"/>
        </w:rPr>
        <w:t>Study</w:t>
      </w:r>
      <w:r w:rsidRPr="004A4C0C">
        <w:rPr>
          <w:rFonts w:cs="Calibri"/>
        </w:rPr>
        <w:t xml:space="preserve"> LAL-CL03, 9 infants with LAL-D and growth failure were treated with sebelipase alfa (</w:t>
      </w:r>
      <w:r>
        <w:t>1 mg</w:t>
      </w:r>
      <w:r w:rsidRPr="004A4C0C">
        <w:t xml:space="preserve">/kg every week with option to increase dose to </w:t>
      </w:r>
      <w:r>
        <w:t>3 mg</w:t>
      </w:r>
      <w:r w:rsidRPr="004A4C0C">
        <w:t>/kg for infants who present with rapidly progressive disease administered by IV infusion over 2 hours). These</w:t>
      </w:r>
      <w:r w:rsidRPr="004A4C0C">
        <w:rPr>
          <w:rFonts w:cs="Calibri"/>
        </w:rPr>
        <w:t xml:space="preserve"> infants presented with immediately </w:t>
      </w:r>
      <w:r>
        <w:rPr>
          <w:rFonts w:cs="Calibri"/>
        </w:rPr>
        <w:t>life threatening</w:t>
      </w:r>
      <w:r w:rsidRPr="004A4C0C">
        <w:rPr>
          <w:rFonts w:cs="Calibri"/>
        </w:rPr>
        <w:t xml:space="preserve"> </w:t>
      </w:r>
      <w:r>
        <w:rPr>
          <w:rFonts w:cs="Calibri"/>
        </w:rPr>
        <w:t>multi systemic</w:t>
      </w:r>
      <w:r w:rsidRPr="004A4C0C">
        <w:rPr>
          <w:rFonts w:cs="Calibri"/>
        </w:rPr>
        <w:t xml:space="preserve"> disease and their baseline characteristics were consistent with those reported among the patients in natural history </w:t>
      </w:r>
      <w:r>
        <w:rPr>
          <w:rFonts w:cs="Calibri"/>
        </w:rPr>
        <w:t>Study</w:t>
      </w:r>
      <w:r w:rsidRPr="004A4C0C">
        <w:rPr>
          <w:rFonts w:cs="Calibri"/>
        </w:rPr>
        <w:t xml:space="preserve"> LAL-1-NH01, supporting the comparison of survival data and outcomes between these 2 populations. Hence the </w:t>
      </w:r>
      <w:r>
        <w:rPr>
          <w:rFonts w:cs="Calibri"/>
        </w:rPr>
        <w:t>study</w:t>
      </w:r>
      <w:r w:rsidRPr="004A4C0C">
        <w:rPr>
          <w:rFonts w:cs="Calibri"/>
        </w:rPr>
        <w:t xml:space="preserve"> design and primary efficacy endpoint of survival was appropriate. </w:t>
      </w:r>
      <w:r w:rsidR="003A7287" w:rsidRPr="004A4C0C">
        <w:rPr>
          <w:rFonts w:cs="Calibri"/>
        </w:rPr>
        <w:t>Efficacy of sebelipase alfa was demonstrated in this subgroup of patients with poor prognosis with 67% (95% CI</w:t>
      </w:r>
      <w:r w:rsidR="003A7287">
        <w:rPr>
          <w:rFonts w:cs="Calibri"/>
        </w:rPr>
        <w:t xml:space="preserve"> = </w:t>
      </w:r>
      <w:r w:rsidR="003A7287" w:rsidRPr="004A4C0C">
        <w:rPr>
          <w:rFonts w:cs="Calibri"/>
        </w:rPr>
        <w:t>29.</w:t>
      </w:r>
      <w:r w:rsidR="003A7287">
        <w:rPr>
          <w:rFonts w:cs="Calibri"/>
        </w:rPr>
        <w:t>93%, 92.51%) of sebelipase alfa t</w:t>
      </w:r>
      <w:r w:rsidR="003A7287" w:rsidRPr="004A4C0C">
        <w:rPr>
          <w:rFonts w:cs="Calibri"/>
        </w:rPr>
        <w:t xml:space="preserve">reated subjects surviving to 12 months of age compared with 0% (0, 16.11%) of untreated patients in a historical control group. </w:t>
      </w:r>
      <w:r w:rsidRPr="004A4C0C">
        <w:rPr>
          <w:rFonts w:cs="Calibri"/>
        </w:rPr>
        <w:t xml:space="preserve">Sebelipase alfa also produced clinically meaningful improvements in growth (WFA percentile), biochemical markers of liver injury, hepatosplenomegaly, </w:t>
      </w:r>
      <w:r w:rsidR="00945715" w:rsidRPr="004A4C0C">
        <w:rPr>
          <w:rFonts w:cs="Calibri"/>
        </w:rPr>
        <w:t>and haematological</w:t>
      </w:r>
      <w:r w:rsidRPr="004A4C0C">
        <w:rPr>
          <w:rFonts w:cs="Calibri"/>
        </w:rPr>
        <w:t xml:space="preserve"> abnormalities such as anaemia and thrombocytopenia, and lipid profile.</w:t>
      </w:r>
    </w:p>
    <w:p w14:paraId="3894AEC6" w14:textId="0E080F75" w:rsidR="00A32212" w:rsidRPr="004A4C0C" w:rsidRDefault="00A32212" w:rsidP="00A32212">
      <w:pPr>
        <w:rPr>
          <w:rFonts w:cs="Calibri"/>
        </w:rPr>
      </w:pPr>
      <w:r w:rsidRPr="004A4C0C">
        <w:rPr>
          <w:rFonts w:cs="Calibri"/>
        </w:rPr>
        <w:t xml:space="preserve">Results from </w:t>
      </w:r>
      <w:r>
        <w:rPr>
          <w:rFonts w:cs="Calibri"/>
        </w:rPr>
        <w:t>Study</w:t>
      </w:r>
      <w:r w:rsidRPr="004A4C0C">
        <w:rPr>
          <w:rFonts w:cs="Calibri"/>
        </w:rPr>
        <w:t xml:space="preserve"> LAL-CL04 showed that the previously observed early benefits of enzyme replacement with sebelipase alfa that were reported in </w:t>
      </w:r>
      <w:r w:rsidR="003C57AA">
        <w:rPr>
          <w:rFonts w:cs="Calibri"/>
        </w:rPr>
        <w:t xml:space="preserve">Study </w:t>
      </w:r>
      <w:r w:rsidRPr="004A4C0C">
        <w:rPr>
          <w:rFonts w:cs="Calibri"/>
        </w:rPr>
        <w:t xml:space="preserve">LAL-CL01 can be achieved with </w:t>
      </w:r>
      <w:proofErr w:type="spellStart"/>
      <w:r w:rsidRPr="004A4C0C">
        <w:rPr>
          <w:rFonts w:cs="Calibri"/>
        </w:rPr>
        <w:t>qow</w:t>
      </w:r>
      <w:proofErr w:type="spellEnd"/>
      <w:r w:rsidRPr="004A4C0C">
        <w:rPr>
          <w:rFonts w:cs="Calibri"/>
        </w:rPr>
        <w:t xml:space="preserve"> dosing and continue through Week 104 with sustained normalisation of transaminases, sustained improvements on serum lipids, and reduction in fat fraction in the liver in adult subjects with </w:t>
      </w:r>
      <w:r w:rsidR="008E5468">
        <w:rPr>
          <w:rFonts w:cs="Calibri"/>
        </w:rPr>
        <w:t>LAL-D</w:t>
      </w:r>
      <w:r w:rsidRPr="004A4C0C">
        <w:rPr>
          <w:rFonts w:cs="Calibri"/>
        </w:rPr>
        <w:t>.</w:t>
      </w:r>
    </w:p>
    <w:p w14:paraId="3B01BF24" w14:textId="77777777" w:rsidR="00A32212" w:rsidRDefault="00A32212" w:rsidP="00A32212">
      <w:r w:rsidRPr="004A4C0C">
        <w:rPr>
          <w:rFonts w:cs="Calibri"/>
        </w:rPr>
        <w:t xml:space="preserve">Overall, there was adequate evidence to support efficacy of sebelipase alfa for </w:t>
      </w:r>
      <w:r>
        <w:t>long term</w:t>
      </w:r>
      <w:r w:rsidRPr="004A4C0C">
        <w:t xml:space="preserve"> </w:t>
      </w:r>
      <w:r w:rsidR="003F5CB4">
        <w:t>ERT</w:t>
      </w:r>
      <w:r w:rsidRPr="004A4C0C">
        <w:t xml:space="preserve"> in patients of all ages with lysosomal acid lipase deficiency (LAL-D)</w:t>
      </w:r>
      <w:r>
        <w:t>.</w:t>
      </w:r>
    </w:p>
    <w:p w14:paraId="4D0EA06B" w14:textId="77777777" w:rsidR="00A32212" w:rsidRPr="00A32212" w:rsidRDefault="00A32212" w:rsidP="00A32212">
      <w:r w:rsidRPr="004A4C0C">
        <w:t>The efficacy sections of the proposed PI are satisfactory</w:t>
      </w:r>
      <w:r>
        <w:t>.</w:t>
      </w:r>
    </w:p>
    <w:p w14:paraId="452D08A1" w14:textId="77777777" w:rsidR="008E7846" w:rsidRPr="002E238E" w:rsidRDefault="008E7846" w:rsidP="008E7846">
      <w:pPr>
        <w:pStyle w:val="Heading3"/>
      </w:pPr>
      <w:bookmarkStart w:id="96" w:name="_Toc163441378"/>
      <w:bookmarkStart w:id="97" w:name="_Toc196046495"/>
      <w:bookmarkStart w:id="98" w:name="_Toc247691522"/>
      <w:bookmarkStart w:id="99" w:name="_Toc314842505"/>
      <w:bookmarkStart w:id="100" w:name="_Toc519601801"/>
      <w:bookmarkEnd w:id="92"/>
      <w:bookmarkEnd w:id="93"/>
      <w:bookmarkEnd w:id="94"/>
      <w:bookmarkEnd w:id="95"/>
      <w:r w:rsidRPr="002E238E">
        <w:t>Safety</w:t>
      </w:r>
      <w:bookmarkEnd w:id="96"/>
      <w:bookmarkEnd w:id="97"/>
      <w:bookmarkEnd w:id="98"/>
      <w:bookmarkEnd w:id="99"/>
      <w:bookmarkEnd w:id="100"/>
    </w:p>
    <w:p w14:paraId="6BB0E792" w14:textId="77777777" w:rsidR="00605AD4" w:rsidRDefault="00605AD4" w:rsidP="00605AD4">
      <w:pPr>
        <w:pStyle w:val="Heading4"/>
      </w:pPr>
      <w:bookmarkStart w:id="101" w:name="_Toc247691524"/>
      <w:bookmarkStart w:id="102" w:name="_Toc314842508"/>
      <w:bookmarkStart w:id="103" w:name="_Toc196046504"/>
      <w:bookmarkStart w:id="104" w:name="_Toc163441390"/>
      <w:r w:rsidRPr="00605AD4">
        <w:t>Studies providing safety data</w:t>
      </w:r>
    </w:p>
    <w:p w14:paraId="7CB0B922" w14:textId="136480BC" w:rsidR="00A32212" w:rsidRPr="00CF02C7" w:rsidRDefault="00A32212" w:rsidP="00A32212">
      <w:r w:rsidRPr="00CF02C7">
        <w:t xml:space="preserve">Six clinical studies have been initiated to evaluate sebelipase alfa treatment in infants, children, and adults with </w:t>
      </w:r>
      <w:r w:rsidR="008E5468">
        <w:t>LAL-D</w:t>
      </w:r>
      <w:r w:rsidRPr="00CF02C7">
        <w:t>. (Studies LAL-CL03 and LAL-CL08 in infants, Studies</w:t>
      </w:r>
      <w:r w:rsidR="004E7DE8">
        <w:t> </w:t>
      </w:r>
      <w:r w:rsidRPr="00CF02C7">
        <w:t>LAL</w:t>
      </w:r>
      <w:r w:rsidR="004E7DE8">
        <w:noBreakHyphen/>
      </w:r>
      <w:r w:rsidRPr="00CF02C7">
        <w:t xml:space="preserve">CL02 and LAL-CL06 included children and adults, and Studies LAL-CL01 and </w:t>
      </w:r>
      <w:r w:rsidRPr="00CF02C7">
        <w:lastRenderedPageBreak/>
        <w:t xml:space="preserve">LAL-CL04 included adults only) An initial comprehensive </w:t>
      </w:r>
      <w:r w:rsidRPr="00945715">
        <w:t>Integrated Safety Analysis</w:t>
      </w:r>
      <w:r w:rsidR="004E6171">
        <w:t>;</w:t>
      </w:r>
      <w:r w:rsidRPr="00945715">
        <w:rPr>
          <w:rStyle w:val="FootnoteReference"/>
          <w:rFonts w:asciiTheme="minorHAnsi" w:hAnsiTheme="minorHAnsi"/>
        </w:rPr>
        <w:footnoteReference w:id="34"/>
      </w:r>
      <w:r w:rsidRPr="00945715">
        <w:t xml:space="preserve"> and an updated </w:t>
      </w:r>
      <w:r w:rsidR="004E6171">
        <w:t>I</w:t>
      </w:r>
      <w:r w:rsidR="004E6171" w:rsidRPr="00945715">
        <w:t xml:space="preserve">ntegrated </w:t>
      </w:r>
      <w:r w:rsidR="004E6171">
        <w:t>S</w:t>
      </w:r>
      <w:r w:rsidR="004E6171" w:rsidRPr="00945715">
        <w:t xml:space="preserve">afety </w:t>
      </w:r>
      <w:r w:rsidR="004E6171">
        <w:t>A</w:t>
      </w:r>
      <w:r w:rsidR="004E6171" w:rsidRPr="00945715">
        <w:t xml:space="preserve">nalysis </w:t>
      </w:r>
      <w:r w:rsidRPr="00945715">
        <w:t>of relevant new safety information (the D120 Safety Update)</w:t>
      </w:r>
      <w:r w:rsidR="004E7DE8">
        <w:t>;</w:t>
      </w:r>
      <w:r w:rsidRPr="00945715">
        <w:rPr>
          <w:rStyle w:val="FootnoteReference"/>
          <w:rFonts w:asciiTheme="minorHAnsi" w:hAnsiTheme="minorHAnsi"/>
        </w:rPr>
        <w:footnoteReference w:id="35"/>
      </w:r>
      <w:r w:rsidRPr="00945715">
        <w:t xml:space="preserve"> w</w:t>
      </w:r>
      <w:r w:rsidRPr="00CF02C7">
        <w:t xml:space="preserve">ere conducted </w:t>
      </w:r>
      <w:r w:rsidRPr="008A51EB">
        <w:t>(</w:t>
      </w:r>
      <w:r w:rsidR="008A51EB" w:rsidRPr="008A51EB">
        <w:t xml:space="preserve">see </w:t>
      </w:r>
      <w:r w:rsidRPr="008A51EB">
        <w:t>Table 21</w:t>
      </w:r>
      <w:r w:rsidR="008A51EB" w:rsidRPr="008A51EB">
        <w:t xml:space="preserve"> </w:t>
      </w:r>
      <w:r w:rsidR="004E7DE8">
        <w:t xml:space="preserve">in </w:t>
      </w:r>
      <w:r w:rsidR="008A51EB" w:rsidRPr="008A51EB">
        <w:t>Attachment 2</w:t>
      </w:r>
      <w:r w:rsidRPr="008A51EB">
        <w:t>). The</w:t>
      </w:r>
      <w:r w:rsidRPr="00CF02C7">
        <w:t xml:space="preserve"> </w:t>
      </w:r>
      <w:r w:rsidRPr="002E71EC">
        <w:rPr>
          <w:rFonts w:eastAsiaTheme="minorHAnsi"/>
          <w:color w:val="000000"/>
        </w:rPr>
        <w:t>D120 Safety Update</w:t>
      </w:r>
      <w:r w:rsidRPr="00CF02C7">
        <w:rPr>
          <w:rFonts w:eastAsiaTheme="minorHAnsi"/>
          <w:color w:val="000000"/>
        </w:rPr>
        <w:t xml:space="preserve"> was based on a dynamic database rather than on a cleaned, locked database.</w:t>
      </w:r>
      <w:r w:rsidRPr="00CF02C7">
        <w:t xml:space="preserve"> The pooling of data for the integrated analyses supporting this application was restricted to subjects who were administered at least 1 dose (partial or complete) of sebelipase alfa in the 4 fully enrolled studies included in the Integrated Safety Analysis (</w:t>
      </w:r>
      <w:r w:rsidR="004E7DE8">
        <w:t>p</w:t>
      </w:r>
      <w:r w:rsidR="004E7DE8" w:rsidRPr="00CF02C7">
        <w:t xml:space="preserve">ooled </w:t>
      </w:r>
      <w:r w:rsidRPr="00CF02C7">
        <w:t>Safety Set) and the 4</w:t>
      </w:r>
      <w:r w:rsidR="004E7DE8">
        <w:t> </w:t>
      </w:r>
      <w:r w:rsidRPr="00CF02C7">
        <w:t>fully enrolled studies and 2 additional ongoi</w:t>
      </w:r>
      <w:r w:rsidR="00945715">
        <w:t>ng studies included in the D120 </w:t>
      </w:r>
      <w:r w:rsidRPr="00CF02C7">
        <w:t>Safety Update (</w:t>
      </w:r>
      <w:r w:rsidR="004E7DE8" w:rsidRPr="00CF02C7">
        <w:t xml:space="preserve">updated pooled </w:t>
      </w:r>
      <w:r w:rsidRPr="00CF02C7">
        <w:t xml:space="preserve">Safety Set), Adverse events for both the Pooled Safety Set and the </w:t>
      </w:r>
      <w:r w:rsidR="004E7DE8" w:rsidRPr="00CF02C7">
        <w:t xml:space="preserve">updated pooled </w:t>
      </w:r>
      <w:r w:rsidRPr="00CF02C7">
        <w:t>Safety Set were coded using the Medical Dictionary for Regulatory Activities (</w:t>
      </w:r>
      <w:proofErr w:type="spellStart"/>
      <w:r w:rsidRPr="00CF02C7">
        <w:t>MedDRA</w:t>
      </w:r>
      <w:proofErr w:type="spellEnd"/>
      <w:r w:rsidRPr="00CF02C7">
        <w:t>), Version 17.0.</w:t>
      </w:r>
    </w:p>
    <w:p w14:paraId="22BB392D" w14:textId="78660B00" w:rsidR="00A32212" w:rsidRPr="006960BE" w:rsidRDefault="00A32212" w:rsidP="00A32212">
      <w:r w:rsidRPr="006960BE">
        <w:t>Pooled safety assessment was conducted to determine if any safety signals would be revealed that were not otherwise evident in the individual clinical studies</w:t>
      </w:r>
      <w:r>
        <w:t xml:space="preserve"> but </w:t>
      </w:r>
      <w:r w:rsidR="003A7287">
        <w:t xml:space="preserve">this </w:t>
      </w:r>
      <w:r w:rsidR="003A7287" w:rsidRPr="006960BE">
        <w:t>exploratory analysis</w:t>
      </w:r>
      <w:r w:rsidRPr="006960BE">
        <w:t xml:space="preserve"> across the entire enrolled subject population </w:t>
      </w:r>
      <w:r>
        <w:t xml:space="preserve">was limited due to </w:t>
      </w:r>
      <w:r w:rsidRPr="006960BE">
        <w:t xml:space="preserve">differences in the rate of disease progression, frequency of </w:t>
      </w:r>
      <w:proofErr w:type="spellStart"/>
      <w:r w:rsidRPr="006960BE">
        <w:t>intercurrent</w:t>
      </w:r>
      <w:proofErr w:type="spellEnd"/>
      <w:r w:rsidRPr="006960BE">
        <w:t xml:space="preserve"> illness and requirements for invasive procedures for disease management. </w:t>
      </w:r>
      <w:r>
        <w:t xml:space="preserve">Furthermore, management of patients </w:t>
      </w:r>
      <w:r w:rsidRPr="006960BE">
        <w:t xml:space="preserve">during the treatment period with the </w:t>
      </w:r>
      <w:r>
        <w:t>study</w:t>
      </w:r>
      <w:r w:rsidRPr="006960BE">
        <w:t xml:space="preserve"> drug varie</w:t>
      </w:r>
      <w:r>
        <w:t>d</w:t>
      </w:r>
      <w:r w:rsidRPr="006960BE">
        <w:t xml:space="preserve"> across subject populations from infants with rapidly progressive disease, who are frequently hospitalised due to more severe symptoms, to children and adults, whose progression to serious complications is more variable.</w:t>
      </w:r>
    </w:p>
    <w:p w14:paraId="038D3583" w14:textId="7DC10112" w:rsidR="00A32212" w:rsidRPr="00A32212" w:rsidRDefault="00A32212" w:rsidP="00A32212">
      <w:r w:rsidRPr="006960BE">
        <w:t>Safety information was also available for 3 patients who received sebelipase alfa treatment under a compassionate use protocol. Data from the 2 observational, non</w:t>
      </w:r>
      <w:r w:rsidR="00726DBE">
        <w:noBreakHyphen/>
      </w:r>
      <w:r w:rsidRPr="006960BE">
        <w:t>interventional studies (</w:t>
      </w:r>
      <w:r w:rsidR="002222D7">
        <w:t xml:space="preserve">Studies </w:t>
      </w:r>
      <w:r w:rsidRPr="006960BE">
        <w:t>LAL-1-NH01 and LAL-2-NH01) were not included in the pooled safety set and only used as reference to historical controls in comparison to patients treated with sebelipase alfa</w:t>
      </w:r>
      <w:r>
        <w:t>.</w:t>
      </w:r>
    </w:p>
    <w:p w14:paraId="5B4AA4FA" w14:textId="77777777" w:rsidR="00605AD4" w:rsidRDefault="00605AD4" w:rsidP="00605AD4">
      <w:pPr>
        <w:pStyle w:val="Heading4"/>
      </w:pPr>
      <w:r w:rsidRPr="00605AD4">
        <w:t>Patient exposure</w:t>
      </w:r>
    </w:p>
    <w:p w14:paraId="59A7E21C" w14:textId="3F72A80B" w:rsidR="00A32212" w:rsidRPr="00F35D50" w:rsidRDefault="00A32212" w:rsidP="00A32212">
      <w:r w:rsidRPr="00F35D50">
        <w:t xml:space="preserve">In the Integrated </w:t>
      </w:r>
      <w:r w:rsidR="00726DBE">
        <w:t>S</w:t>
      </w:r>
      <w:r w:rsidR="00726DBE" w:rsidRPr="00F35D50">
        <w:t xml:space="preserve">afety </w:t>
      </w:r>
      <w:r w:rsidR="00726DBE">
        <w:t>D</w:t>
      </w:r>
      <w:r w:rsidR="00726DBE" w:rsidRPr="00F35D50">
        <w:t xml:space="preserve">atabase </w:t>
      </w:r>
      <w:r w:rsidRPr="00F35D50">
        <w:t xml:space="preserve">across 4 studies, a total of 84 subjects with </w:t>
      </w:r>
      <w:r w:rsidR="008E5468">
        <w:t>LAL-D</w:t>
      </w:r>
      <w:r w:rsidRPr="00F35D50">
        <w:t xml:space="preserve"> have received treatment with sebelipase alfa, including 9 infants, 47 children, and 28 adults.</w:t>
      </w:r>
    </w:p>
    <w:p w14:paraId="189A3D77" w14:textId="77777777" w:rsidR="00A32212" w:rsidRDefault="00A32212" w:rsidP="00A32212">
      <w:pPr>
        <w:rPr>
          <w:rFonts w:eastAsiaTheme="minorHAnsi"/>
          <w:color w:val="000000"/>
        </w:rPr>
      </w:pPr>
      <w:r w:rsidRPr="002E71EC">
        <w:rPr>
          <w:rFonts w:eastAsiaTheme="minorHAnsi"/>
          <w:color w:val="000000"/>
        </w:rPr>
        <w:t>Across the 6 studies</w:t>
      </w:r>
      <w:r w:rsidRPr="00F35D50">
        <w:rPr>
          <w:rFonts w:eastAsiaTheme="minorHAnsi"/>
          <w:color w:val="000000"/>
        </w:rPr>
        <w:t xml:space="preserve"> included in the D120 safety update</w:t>
      </w:r>
      <w:r w:rsidRPr="002E71EC">
        <w:rPr>
          <w:rFonts w:eastAsiaTheme="minorHAnsi"/>
          <w:color w:val="000000"/>
        </w:rPr>
        <w:t xml:space="preserve">, 106 subjects with </w:t>
      </w:r>
      <w:r w:rsidR="008E5468">
        <w:rPr>
          <w:rFonts w:eastAsiaTheme="minorHAnsi"/>
          <w:color w:val="000000"/>
        </w:rPr>
        <w:t>LAL-D</w:t>
      </w:r>
      <w:r w:rsidRPr="002E71EC">
        <w:rPr>
          <w:rFonts w:eastAsiaTheme="minorHAnsi"/>
          <w:color w:val="000000"/>
        </w:rPr>
        <w:t xml:space="preserve"> have received treatment with sebelipase alfa, including 14 infants, 57 children, and 35 adults</w:t>
      </w:r>
      <w:r w:rsidRPr="00F35D50">
        <w:rPr>
          <w:rFonts w:eastAsiaTheme="minorHAnsi"/>
          <w:color w:val="000000"/>
        </w:rPr>
        <w:t>.</w:t>
      </w:r>
    </w:p>
    <w:p w14:paraId="080329AB" w14:textId="0EE3D38C" w:rsidR="00726DBE" w:rsidRPr="00171E6A" w:rsidRDefault="00726DBE" w:rsidP="00A32212">
      <w:r w:rsidRPr="00171E6A">
        <w:t xml:space="preserve">Table 6 (shown below) gives the </w:t>
      </w:r>
      <w:r w:rsidR="00FD00E1">
        <w:t>d</w:t>
      </w:r>
      <w:r w:rsidRPr="00726DBE">
        <w:t xml:space="preserve">uration of study drug exposure in the pooled </w:t>
      </w:r>
      <w:r w:rsidR="00FD00E1">
        <w:t>S</w:t>
      </w:r>
      <w:r w:rsidRPr="00726DBE">
        <w:t xml:space="preserve">afety </w:t>
      </w:r>
      <w:r w:rsidR="00FD00E1">
        <w:t>S</w:t>
      </w:r>
      <w:r w:rsidRPr="00726DBE">
        <w:t>et overall and by study</w:t>
      </w:r>
      <w:r>
        <w:t>.</w:t>
      </w:r>
    </w:p>
    <w:p w14:paraId="7034CA48" w14:textId="68C37383" w:rsidR="00A32212" w:rsidRDefault="00A32212" w:rsidP="00A32212">
      <w:pPr>
        <w:pStyle w:val="Tabletitle0"/>
      </w:pPr>
      <w:r>
        <w:lastRenderedPageBreak/>
        <w:t xml:space="preserve">Table </w:t>
      </w:r>
      <w:r w:rsidR="004A1DEE">
        <w:t>6</w:t>
      </w:r>
      <w:r>
        <w:t xml:space="preserve">: Duration of study drug exposure in the pooled </w:t>
      </w:r>
      <w:r w:rsidR="00FD00E1">
        <w:t xml:space="preserve">Safety Set </w:t>
      </w:r>
      <w:r>
        <w:t>overall</w:t>
      </w:r>
      <w:r w:rsidR="00FD00E1">
        <w:t>;</w:t>
      </w:r>
      <w:r>
        <w:t xml:space="preserve"> and by study</w:t>
      </w:r>
    </w:p>
    <w:p w14:paraId="34411402" w14:textId="77777777" w:rsidR="00A32212" w:rsidRPr="00A32212" w:rsidRDefault="00BF2FC1" w:rsidP="00A32212">
      <w:r>
        <w:rPr>
          <w:noProof/>
          <w:lang w:eastAsia="en-AU"/>
        </w:rPr>
        <w:drawing>
          <wp:inline distT="0" distB="0" distL="0" distR="0" wp14:anchorId="010E69C0" wp14:editId="4B01B30F">
            <wp:extent cx="4186611" cy="6131980"/>
            <wp:effectExtent l="0" t="0" r="4445" b="0"/>
            <wp:docPr id="3" name="Picture 3" descr="Table 6: Duration of study drug exposure in the pooled safety set overall and b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Lst>
                    </a:blip>
                    <a:stretch>
                      <a:fillRect/>
                    </a:stretch>
                  </pic:blipFill>
                  <pic:spPr>
                    <a:xfrm>
                      <a:off x="0" y="0"/>
                      <a:ext cx="4193097" cy="6141480"/>
                    </a:xfrm>
                    <a:prstGeom prst="rect">
                      <a:avLst/>
                    </a:prstGeom>
                  </pic:spPr>
                </pic:pic>
              </a:graphicData>
            </a:graphic>
          </wp:inline>
        </w:drawing>
      </w:r>
    </w:p>
    <w:p w14:paraId="3FA96146" w14:textId="77777777" w:rsidR="00605AD4" w:rsidRDefault="00605AD4" w:rsidP="00605AD4">
      <w:pPr>
        <w:pStyle w:val="Heading4"/>
      </w:pPr>
      <w:r w:rsidRPr="00605AD4">
        <w:t>Safety issues with the potential for major regulatory impact</w:t>
      </w:r>
    </w:p>
    <w:p w14:paraId="60059E62" w14:textId="77777777" w:rsidR="00BF2FC1" w:rsidRPr="00545B14" w:rsidRDefault="00BF2FC1" w:rsidP="00BF2FC1">
      <w:pPr>
        <w:pStyle w:val="Heading5"/>
      </w:pPr>
      <w:bookmarkStart w:id="105" w:name="_Toc272414669"/>
      <w:bookmarkStart w:id="106" w:name="_Toc290888533"/>
      <w:bookmarkStart w:id="107" w:name="_Toc416353749"/>
      <w:bookmarkStart w:id="108" w:name="_Toc421005292"/>
      <w:bookmarkStart w:id="109" w:name="_Toc432079169"/>
      <w:bookmarkStart w:id="110" w:name="_Toc432080742"/>
      <w:bookmarkStart w:id="111" w:name="_Toc468957493"/>
      <w:r w:rsidRPr="00545B14">
        <w:t>Liver function</w:t>
      </w:r>
      <w:bookmarkEnd w:id="105"/>
      <w:bookmarkEnd w:id="106"/>
      <w:bookmarkEnd w:id="107"/>
      <w:bookmarkEnd w:id="108"/>
      <w:r>
        <w:t xml:space="preserve"> and liver toxicity</w:t>
      </w:r>
      <w:bookmarkEnd w:id="109"/>
      <w:bookmarkEnd w:id="110"/>
      <w:bookmarkEnd w:id="111"/>
    </w:p>
    <w:p w14:paraId="5299FB47" w14:textId="464A2C00" w:rsidR="00BF2FC1" w:rsidRPr="007D1E77" w:rsidRDefault="00BF2FC1" w:rsidP="00BF2FC1">
      <w:pPr>
        <w:spacing w:before="0" w:line="240" w:lineRule="auto"/>
      </w:pPr>
      <w:r w:rsidRPr="00732A8D">
        <w:t xml:space="preserve">Liver parameters, </w:t>
      </w:r>
      <w:r w:rsidRPr="004A1DEE">
        <w:t xml:space="preserve">including ALT, AST, GGT, </w:t>
      </w:r>
      <w:r w:rsidR="00634E1D" w:rsidRPr="004A1DEE">
        <w:t>alkaline</w:t>
      </w:r>
      <w:r w:rsidR="00634E1D">
        <w:t xml:space="preserve"> </w:t>
      </w:r>
      <w:r w:rsidR="00634E1D" w:rsidRPr="00634E1D">
        <w:t>phosphatase (</w:t>
      </w:r>
      <w:r w:rsidRPr="00634E1D">
        <w:t>ALP</w:t>
      </w:r>
      <w:r w:rsidR="00634E1D" w:rsidRPr="000B4393">
        <w:t>)</w:t>
      </w:r>
      <w:r w:rsidRPr="000B4393">
        <w:t xml:space="preserve">, and </w:t>
      </w:r>
      <w:r w:rsidR="000B4393" w:rsidRPr="000B4393">
        <w:t>total bilirubin (</w:t>
      </w:r>
      <w:proofErr w:type="spellStart"/>
      <w:r w:rsidRPr="000B4393">
        <w:t>TBil</w:t>
      </w:r>
      <w:proofErr w:type="spellEnd"/>
      <w:r w:rsidR="000B4393" w:rsidRPr="000B4393">
        <w:t>)</w:t>
      </w:r>
      <w:r w:rsidRPr="000B4393">
        <w:t>, decreased from baseline to the last a</w:t>
      </w:r>
      <w:r w:rsidRPr="00732A8D">
        <w:t xml:space="preserve">ssessment. In an analysis by </w:t>
      </w:r>
      <w:r>
        <w:t>study</w:t>
      </w:r>
      <w:r w:rsidRPr="00732A8D">
        <w:t xml:space="preserve">, reductions in ALT, AST, GGT, ALP, and </w:t>
      </w:r>
      <w:proofErr w:type="spellStart"/>
      <w:r w:rsidRPr="00732A8D">
        <w:t>TBil</w:t>
      </w:r>
      <w:proofErr w:type="spellEnd"/>
      <w:r w:rsidRPr="00732A8D">
        <w:t xml:space="preserve"> were apparent across all </w:t>
      </w:r>
      <w:r w:rsidRPr="004A1DEE">
        <w:t>studies (</w:t>
      </w:r>
      <w:r w:rsidR="00FD00E1">
        <w:t xml:space="preserve">see </w:t>
      </w:r>
      <w:r w:rsidR="004A1DEE" w:rsidRPr="004A1DEE">
        <w:t>Table</w:t>
      </w:r>
      <w:r w:rsidRPr="004A1DEE">
        <w:t xml:space="preserve"> </w:t>
      </w:r>
      <w:r w:rsidR="004A1DEE" w:rsidRPr="004A1DEE">
        <w:t>7</w:t>
      </w:r>
      <w:r w:rsidR="00FD00E1">
        <w:t>, below</w:t>
      </w:r>
      <w:r w:rsidRPr="004A1DEE">
        <w:t>). In a few</w:t>
      </w:r>
      <w:r>
        <w:t xml:space="preserve"> subjects, </w:t>
      </w:r>
      <w:r w:rsidRPr="00732A8D">
        <w:t xml:space="preserve">individual </w:t>
      </w:r>
      <w:proofErr w:type="spellStart"/>
      <w:r w:rsidRPr="00732A8D">
        <w:t>TBil</w:t>
      </w:r>
      <w:proofErr w:type="spellEnd"/>
      <w:r w:rsidRPr="00732A8D">
        <w:t xml:space="preserve"> values remained very high at the last assessment</w:t>
      </w:r>
      <w:r>
        <w:t xml:space="preserve"> and a </w:t>
      </w:r>
      <w:r w:rsidRPr="00732A8D">
        <w:t xml:space="preserve">further medical review indicated that these high </w:t>
      </w:r>
      <w:proofErr w:type="spellStart"/>
      <w:r w:rsidRPr="00732A8D">
        <w:t>TBil</w:t>
      </w:r>
      <w:proofErr w:type="spellEnd"/>
      <w:r w:rsidRPr="00732A8D">
        <w:t xml:space="preserve"> values occurred in the context of worsening disease, including a subject </w:t>
      </w:r>
      <w:r w:rsidR="00945715">
        <w:t>in Study LAL</w:t>
      </w:r>
      <w:r w:rsidR="00945715">
        <w:noBreakHyphen/>
      </w:r>
      <w:r>
        <w:t xml:space="preserve">CL03 </w:t>
      </w:r>
      <w:r w:rsidRPr="00732A8D">
        <w:t>who died early in the course of treatment (</w:t>
      </w:r>
      <w:proofErr w:type="spellStart"/>
      <w:r w:rsidRPr="00732A8D">
        <w:t>TBil</w:t>
      </w:r>
      <w:proofErr w:type="spellEnd"/>
      <w:r>
        <w:t xml:space="preserve"> = </w:t>
      </w:r>
      <w:r w:rsidRPr="00732A8D">
        <w:t xml:space="preserve">443 </w:t>
      </w:r>
      <w:r>
        <w:t xml:space="preserve">and 419 </w:t>
      </w:r>
      <w:r w:rsidR="003A7287">
        <w:t>µ</w:t>
      </w:r>
      <w:proofErr w:type="spellStart"/>
      <w:r w:rsidRPr="00732A8D">
        <w:t>mol</w:t>
      </w:r>
      <w:proofErr w:type="spellEnd"/>
      <w:r w:rsidRPr="00732A8D">
        <w:t xml:space="preserve">/L at </w:t>
      </w:r>
      <w:r w:rsidR="00FD00E1">
        <w:t>B</w:t>
      </w:r>
      <w:r w:rsidR="00FD00E1" w:rsidRPr="00732A8D">
        <w:t xml:space="preserve">aseline </w:t>
      </w:r>
      <w:r w:rsidRPr="00732A8D">
        <w:t>and at last assessment</w:t>
      </w:r>
      <w:r>
        <w:t>, respectively</w:t>
      </w:r>
      <w:r w:rsidRPr="00732A8D">
        <w:t xml:space="preserve">) and a subject </w:t>
      </w:r>
      <w:r w:rsidRPr="007D1E77">
        <w:t>who had evidence of liver decompensation and required an urgent liver transplant</w:t>
      </w:r>
      <w:r>
        <w:t xml:space="preserve"> in Study </w:t>
      </w:r>
      <w:r w:rsidRPr="007D1E77">
        <w:t>LAL-CL01/LAL-CL04</w:t>
      </w:r>
      <w:r>
        <w:t xml:space="preserve"> (</w:t>
      </w:r>
      <w:proofErr w:type="spellStart"/>
      <w:r w:rsidRPr="007D1E77">
        <w:t>TBil</w:t>
      </w:r>
      <w:proofErr w:type="spellEnd"/>
      <w:r>
        <w:t xml:space="preserve"> = </w:t>
      </w:r>
      <w:r w:rsidRPr="007D1E77">
        <w:t>25.</w:t>
      </w:r>
      <w:r>
        <w:t>1 and 129.3 </w:t>
      </w:r>
      <w:proofErr w:type="spellStart"/>
      <w:r w:rsidRPr="007D1E77">
        <w:t>μmol</w:t>
      </w:r>
      <w:proofErr w:type="spellEnd"/>
      <w:r w:rsidRPr="007D1E77">
        <w:t>/L</w:t>
      </w:r>
      <w:r>
        <w:t>, respectively)</w:t>
      </w:r>
      <w:r w:rsidRPr="007D1E77">
        <w:t xml:space="preserve">. Direct bilirubin showed minimal changes from </w:t>
      </w:r>
      <w:r w:rsidR="00FD00E1">
        <w:t>B</w:t>
      </w:r>
      <w:r w:rsidR="00FD00E1" w:rsidRPr="007D1E77">
        <w:t xml:space="preserve">aseline </w:t>
      </w:r>
      <w:r w:rsidRPr="007D1E77">
        <w:t xml:space="preserve">to the last assessment in </w:t>
      </w:r>
      <w:r>
        <w:lastRenderedPageBreak/>
        <w:t>Study</w:t>
      </w:r>
      <w:r w:rsidR="00FD00E1">
        <w:t> </w:t>
      </w:r>
      <w:r w:rsidRPr="007D1E77">
        <w:t xml:space="preserve">LAL-CL01/LAL-CL04 and </w:t>
      </w:r>
      <w:r>
        <w:t xml:space="preserve">Study LAL-CL02, and increased from </w:t>
      </w:r>
      <w:r w:rsidR="00FD00E1">
        <w:t xml:space="preserve">Baseline </w:t>
      </w:r>
      <w:r w:rsidR="004012EA">
        <w:t xml:space="preserve">(27 </w:t>
      </w:r>
      <w:r w:rsidR="003A7287">
        <w:t>µ</w:t>
      </w:r>
      <w:proofErr w:type="spellStart"/>
      <w:r w:rsidRPr="007D1E77">
        <w:t>mol</w:t>
      </w:r>
      <w:proofErr w:type="spellEnd"/>
      <w:r w:rsidRPr="007D1E77">
        <w:t xml:space="preserve">/L) to the last assessment (71 </w:t>
      </w:r>
      <w:r w:rsidR="003A7287">
        <w:t>µ</w:t>
      </w:r>
      <w:proofErr w:type="spellStart"/>
      <w:r w:rsidRPr="007D1E77">
        <w:t>mol</w:t>
      </w:r>
      <w:proofErr w:type="spellEnd"/>
      <w:r w:rsidRPr="007D1E77">
        <w:t xml:space="preserve">/L) in </w:t>
      </w:r>
      <w:r>
        <w:t>Study</w:t>
      </w:r>
      <w:r w:rsidR="00945715">
        <w:t xml:space="preserve"> LAL</w:t>
      </w:r>
      <w:r w:rsidR="00945715">
        <w:noBreakHyphen/>
      </w:r>
      <w:r w:rsidRPr="007D1E77">
        <w:t xml:space="preserve">CL03. The analysis of </w:t>
      </w:r>
      <w:proofErr w:type="spellStart"/>
      <w:r w:rsidRPr="007D1E77">
        <w:t>DBil</w:t>
      </w:r>
      <w:proofErr w:type="spellEnd"/>
      <w:r w:rsidRPr="007D1E77">
        <w:t xml:space="preserve"> in </w:t>
      </w:r>
      <w:r>
        <w:t>Study</w:t>
      </w:r>
      <w:r w:rsidR="00123950">
        <w:t> </w:t>
      </w:r>
      <w:r w:rsidRPr="007D1E77">
        <w:t>LAL</w:t>
      </w:r>
      <w:r w:rsidR="00123950">
        <w:noBreakHyphen/>
      </w:r>
      <w:r w:rsidRPr="007D1E77">
        <w:t xml:space="preserve">CL03 </w:t>
      </w:r>
      <w:r>
        <w:t xml:space="preserve">was </w:t>
      </w:r>
      <w:r w:rsidRPr="007D1E77">
        <w:t>based on available data fo</w:t>
      </w:r>
      <w:r w:rsidR="00945715">
        <w:t>r only 3 </w:t>
      </w:r>
      <w:r w:rsidRPr="007D1E77">
        <w:t xml:space="preserve">subjects, 2 of whom died early in the course of treatment and had marked increases in </w:t>
      </w:r>
      <w:proofErr w:type="spellStart"/>
      <w:r w:rsidRPr="007D1E77">
        <w:t>DBil</w:t>
      </w:r>
      <w:proofErr w:type="spellEnd"/>
      <w:r w:rsidRPr="007D1E77">
        <w:t xml:space="preserve"> shortly prior to death; the other subje</w:t>
      </w:r>
      <w:r>
        <w:t xml:space="preserve">ct had a decrease in </w:t>
      </w:r>
      <w:proofErr w:type="spellStart"/>
      <w:r>
        <w:t>DBil</w:t>
      </w:r>
      <w:proofErr w:type="spellEnd"/>
      <w:r>
        <w:t xml:space="preserve"> from </w:t>
      </w:r>
      <w:r w:rsidR="00123950">
        <w:t>B</w:t>
      </w:r>
      <w:r w:rsidR="00123950" w:rsidRPr="007D1E77">
        <w:t xml:space="preserve">aseline </w:t>
      </w:r>
      <w:r w:rsidRPr="007D1E77">
        <w:t>to the last assessment.</w:t>
      </w:r>
    </w:p>
    <w:p w14:paraId="7849BF49" w14:textId="117944FE" w:rsidR="00BF2FC1" w:rsidRDefault="00BF2FC1" w:rsidP="00BF2FC1">
      <w:pPr>
        <w:spacing w:before="0" w:line="240" w:lineRule="auto"/>
      </w:pPr>
      <w:r w:rsidRPr="007D1E77">
        <w:t xml:space="preserve">In the </w:t>
      </w:r>
      <w:r w:rsidR="00123950">
        <w:t>p</w:t>
      </w:r>
      <w:r w:rsidR="00123950" w:rsidRPr="007D1E77">
        <w:t xml:space="preserve">ooled </w:t>
      </w:r>
      <w:r w:rsidRPr="007D1E77">
        <w:t>Safety Set overall, 1 subject (1/84; 1%) each had at least 1 ALT</w:t>
      </w:r>
      <w:r w:rsidR="00123950">
        <w:t>;</w:t>
      </w:r>
      <w:r w:rsidRPr="007D1E77">
        <w:rPr>
          <w:rStyle w:val="FootnoteReference"/>
        </w:rPr>
        <w:footnoteReference w:id="36"/>
      </w:r>
      <w:r w:rsidRPr="007D1E77">
        <w:t xml:space="preserve"> AST</w:t>
      </w:r>
      <w:r w:rsidR="00123950">
        <w:t>;</w:t>
      </w:r>
      <w:r w:rsidRPr="007D1E77">
        <w:rPr>
          <w:rStyle w:val="FootnoteReference"/>
        </w:rPr>
        <w:footnoteReference w:id="37"/>
      </w:r>
      <w:r w:rsidRPr="007D1E77">
        <w:t xml:space="preserve"> or GGT</w:t>
      </w:r>
      <w:r w:rsidR="00123950">
        <w:t>;</w:t>
      </w:r>
      <w:r w:rsidRPr="007D1E77">
        <w:rPr>
          <w:rStyle w:val="FootnoteReference"/>
        </w:rPr>
        <w:footnoteReference w:id="38"/>
      </w:r>
      <w:r w:rsidRPr="007D1E77">
        <w:t xml:space="preserve"> value </w:t>
      </w:r>
      <w:r w:rsidR="00663236">
        <w:t xml:space="preserve">&gt; </w:t>
      </w:r>
      <w:r w:rsidRPr="007D1E77">
        <w:t xml:space="preserve">5 </w:t>
      </w:r>
      <w:r>
        <w:t>x</w:t>
      </w:r>
      <w:r w:rsidRPr="007D1E77">
        <w:t xml:space="preserve"> </w:t>
      </w:r>
      <w:r w:rsidR="000B4393">
        <w:t>upper limit of normal</w:t>
      </w:r>
      <w:r w:rsidR="000B4393" w:rsidRPr="007D1E77">
        <w:t xml:space="preserve"> </w:t>
      </w:r>
      <w:r w:rsidR="000B4393">
        <w:t>(</w:t>
      </w:r>
      <w:r w:rsidRPr="007D1E77">
        <w:t>ULN</w:t>
      </w:r>
      <w:r w:rsidR="000B4393">
        <w:t>)</w:t>
      </w:r>
      <w:r w:rsidRPr="007D1E77">
        <w:t xml:space="preserve"> that was at least twice the highest pre</w:t>
      </w:r>
      <w:r w:rsidR="004F0CAA">
        <w:noBreakHyphen/>
      </w:r>
      <w:r w:rsidRPr="007D1E77">
        <w:t>treatment value.</w:t>
      </w:r>
    </w:p>
    <w:p w14:paraId="403C5452" w14:textId="74588469" w:rsidR="004012EA" w:rsidRDefault="004012EA" w:rsidP="004012EA">
      <w:pPr>
        <w:pStyle w:val="Tabletitle0"/>
      </w:pPr>
      <w:r>
        <w:lastRenderedPageBreak/>
        <w:t xml:space="preserve">Table </w:t>
      </w:r>
      <w:r w:rsidR="004A1DEE">
        <w:t>7</w:t>
      </w:r>
      <w:r>
        <w:t xml:space="preserve">: Changes from </w:t>
      </w:r>
      <w:r w:rsidR="004F0CAA">
        <w:t xml:space="preserve">Baseline </w:t>
      </w:r>
      <w:r>
        <w:t xml:space="preserve">to last assessment for select chemistry parameters, pooled </w:t>
      </w:r>
      <w:r w:rsidR="004F0CAA">
        <w:t>Safety Set</w:t>
      </w:r>
    </w:p>
    <w:p w14:paraId="657BB0EB" w14:textId="77777777" w:rsidR="004012EA" w:rsidRDefault="004012EA" w:rsidP="00BF2FC1">
      <w:pPr>
        <w:spacing w:before="0" w:line="240" w:lineRule="auto"/>
      </w:pPr>
      <w:r>
        <w:rPr>
          <w:noProof/>
          <w:lang w:eastAsia="en-AU"/>
        </w:rPr>
        <w:drawing>
          <wp:inline distT="0" distB="0" distL="0" distR="0" wp14:anchorId="71874D80" wp14:editId="74A1E2B6">
            <wp:extent cx="4059190" cy="7501370"/>
            <wp:effectExtent l="0" t="0" r="5080" b="0"/>
            <wp:docPr id="5" name="Picture 5" descr="Table 7: Changes from baseline to last assessment for select chemistry parameters,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4064965" cy="7512043"/>
                    </a:xfrm>
                    <a:prstGeom prst="rect">
                      <a:avLst/>
                    </a:prstGeom>
                  </pic:spPr>
                </pic:pic>
              </a:graphicData>
            </a:graphic>
          </wp:inline>
        </w:drawing>
      </w:r>
    </w:p>
    <w:p w14:paraId="553F0D1F" w14:textId="77777777" w:rsidR="004012EA" w:rsidRPr="003056B6" w:rsidRDefault="004012EA" w:rsidP="004012EA">
      <w:pPr>
        <w:pStyle w:val="Heading5"/>
      </w:pPr>
      <w:bookmarkStart w:id="112" w:name="_Toc272414671"/>
      <w:bookmarkStart w:id="113" w:name="_Toc290888535"/>
      <w:bookmarkStart w:id="114" w:name="_Toc416353751"/>
      <w:bookmarkStart w:id="115" w:name="_Toc421005294"/>
      <w:bookmarkStart w:id="116" w:name="_Toc432079171"/>
      <w:bookmarkStart w:id="117" w:name="_Toc432080744"/>
      <w:bookmarkStart w:id="118" w:name="_Toc468957495"/>
      <w:r w:rsidRPr="003056B6">
        <w:t>Other clinical chemistry</w:t>
      </w:r>
      <w:bookmarkEnd w:id="112"/>
      <w:bookmarkEnd w:id="113"/>
      <w:bookmarkEnd w:id="114"/>
      <w:bookmarkEnd w:id="115"/>
      <w:bookmarkEnd w:id="116"/>
      <w:bookmarkEnd w:id="117"/>
      <w:bookmarkEnd w:id="118"/>
    </w:p>
    <w:p w14:paraId="6EE751B9" w14:textId="3A2DBC46" w:rsidR="004A1DEE" w:rsidRDefault="004012EA" w:rsidP="004012EA">
      <w:r w:rsidRPr="003056B6">
        <w:t>A transient increase in serum lipids (</w:t>
      </w:r>
      <w:r w:rsidR="00945715">
        <w:t>LDL-c</w:t>
      </w:r>
      <w:r w:rsidRPr="003056B6">
        <w:t>, triglycerides</w:t>
      </w:r>
      <w:r w:rsidR="00945715">
        <w:t>, total cholesterol, and/or non</w:t>
      </w:r>
      <w:r w:rsidR="00945715">
        <w:noBreakHyphen/>
      </w:r>
      <w:r w:rsidRPr="003056B6">
        <w:t xml:space="preserve">HDL cholesterol) was noted following initiation of sebelipase alfa therapy. From </w:t>
      </w:r>
      <w:r>
        <w:t>b</w:t>
      </w:r>
      <w:r w:rsidRPr="003056B6">
        <w:t xml:space="preserve">aseline to the last assessment, total cholesterol, </w:t>
      </w:r>
      <w:r w:rsidR="00945715">
        <w:t>LDL-c</w:t>
      </w:r>
      <w:r w:rsidR="00945715" w:rsidRPr="003056B6">
        <w:t xml:space="preserve"> </w:t>
      </w:r>
      <w:r w:rsidRPr="003056B6">
        <w:t xml:space="preserve">and triglyceride values decreased and </w:t>
      </w:r>
      <w:r w:rsidR="00945715">
        <w:t>HDL-c</w:t>
      </w:r>
      <w:r w:rsidR="00945715" w:rsidRPr="003056B6">
        <w:t xml:space="preserve"> </w:t>
      </w:r>
      <w:r w:rsidRPr="003056B6">
        <w:t xml:space="preserve">values increased for subjects in the </w:t>
      </w:r>
      <w:r w:rsidR="00C41091">
        <w:t>p</w:t>
      </w:r>
      <w:r w:rsidR="00C41091" w:rsidRPr="003056B6">
        <w:t xml:space="preserve">ooled </w:t>
      </w:r>
      <w:r w:rsidRPr="003056B6">
        <w:t xml:space="preserve">Safety </w:t>
      </w:r>
      <w:r w:rsidRPr="004A1DEE">
        <w:t xml:space="preserve">Set </w:t>
      </w:r>
      <w:r w:rsidR="004A1DEE" w:rsidRPr="004A1DEE">
        <w:t>(</w:t>
      </w:r>
      <w:r w:rsidR="00C41091">
        <w:t xml:space="preserve">see </w:t>
      </w:r>
      <w:r w:rsidR="004A1DEE" w:rsidRPr="004A1DEE">
        <w:t>Table</w:t>
      </w:r>
      <w:r w:rsidRPr="004A1DEE">
        <w:t xml:space="preserve"> </w:t>
      </w:r>
      <w:r w:rsidR="004A1DEE" w:rsidRPr="004A1DEE">
        <w:t>7, above</w:t>
      </w:r>
      <w:r w:rsidR="00C41091">
        <w:t xml:space="preserve">; </w:t>
      </w:r>
      <w:r w:rsidRPr="004A1DEE">
        <w:t xml:space="preserve">and </w:t>
      </w:r>
      <w:r w:rsidR="004A1DEE" w:rsidRPr="004A1DEE">
        <w:lastRenderedPageBreak/>
        <w:t xml:space="preserve">Table </w:t>
      </w:r>
      <w:r w:rsidRPr="004A1DEE">
        <w:t>30</w:t>
      </w:r>
      <w:r w:rsidR="004A1DEE">
        <w:t xml:space="preserve"> of A</w:t>
      </w:r>
      <w:r w:rsidR="004A1DEE" w:rsidRPr="004A1DEE">
        <w:t>ttachment 2</w:t>
      </w:r>
      <w:r w:rsidRPr="004A1DEE">
        <w:t>).</w:t>
      </w:r>
      <w:r w:rsidRPr="00FA48CC">
        <w:t xml:space="preserve"> </w:t>
      </w:r>
      <w:r w:rsidRPr="003056B6">
        <w:t xml:space="preserve">All of these changes were consistent with an improvement in underlying disease and did not represent a safety concern for sebelipase alfa. Median total cholesterol, </w:t>
      </w:r>
      <w:r w:rsidR="00945715">
        <w:t>LDL-c</w:t>
      </w:r>
      <w:r w:rsidRPr="003056B6">
        <w:t xml:space="preserve">, and triglyceride levels decreased from </w:t>
      </w:r>
      <w:r w:rsidR="001F5735">
        <w:t>B</w:t>
      </w:r>
      <w:r w:rsidR="001F5735" w:rsidRPr="003056B6">
        <w:t xml:space="preserve">aseline </w:t>
      </w:r>
      <w:r w:rsidRPr="003056B6">
        <w:t xml:space="preserve">to the last assessment across all studies. Increases in median </w:t>
      </w:r>
      <w:r w:rsidR="00945715">
        <w:t>HDL-c</w:t>
      </w:r>
      <w:r w:rsidR="00945715" w:rsidRPr="003056B6">
        <w:t xml:space="preserve"> </w:t>
      </w:r>
      <w:r w:rsidRPr="003056B6">
        <w:t xml:space="preserve">were noted from </w:t>
      </w:r>
      <w:r w:rsidR="001F5735">
        <w:t>B</w:t>
      </w:r>
      <w:r w:rsidR="001F5735" w:rsidRPr="003056B6">
        <w:t xml:space="preserve">aseline </w:t>
      </w:r>
      <w:r w:rsidRPr="003056B6">
        <w:t xml:space="preserve">to last assessment in all studies, and were most pronounced in </w:t>
      </w:r>
      <w:r>
        <w:t>Study</w:t>
      </w:r>
      <w:r w:rsidRPr="003056B6">
        <w:t xml:space="preserve"> LAL-CL03 (median increase</w:t>
      </w:r>
      <w:r w:rsidR="00F30647">
        <w:t xml:space="preserve"> of</w:t>
      </w:r>
      <w:r>
        <w:t xml:space="preserve"> </w:t>
      </w:r>
      <w:r w:rsidRPr="003056B6">
        <w:t>0.30</w:t>
      </w:r>
      <w:r w:rsidR="00C41091">
        <w:t> </w:t>
      </w:r>
      <w:proofErr w:type="spellStart"/>
      <w:r w:rsidRPr="003056B6">
        <w:t>mmol</w:t>
      </w:r>
      <w:proofErr w:type="spellEnd"/>
      <w:r w:rsidRPr="003056B6">
        <w:t xml:space="preserve">/L) and </w:t>
      </w:r>
      <w:r>
        <w:t>Study</w:t>
      </w:r>
      <w:r w:rsidR="00945715">
        <w:t> </w:t>
      </w:r>
      <w:r w:rsidRPr="003056B6">
        <w:t>LAL-CL01/LAL-CL04 (median increase</w:t>
      </w:r>
      <w:r>
        <w:t> </w:t>
      </w:r>
      <w:r w:rsidR="00C41091">
        <w:t>of </w:t>
      </w:r>
      <w:r>
        <w:t>0.25 </w:t>
      </w:r>
      <w:r w:rsidRPr="003056B6">
        <w:t xml:space="preserve">mmol/L). These results are consistent with the known mechanism of sebelipase alfa and are also influenced by the varying clinical presentation in subjects with </w:t>
      </w:r>
      <w:r w:rsidR="008E5468">
        <w:t>LAL-D</w:t>
      </w:r>
      <w:r w:rsidRPr="003056B6">
        <w:t xml:space="preserve"> enrolled across the studies. No definitive associations were noted in the analysis of changes from </w:t>
      </w:r>
      <w:r w:rsidR="001F5735">
        <w:t>B</w:t>
      </w:r>
      <w:r w:rsidR="001F5735" w:rsidRPr="003056B6">
        <w:t xml:space="preserve">aseline </w:t>
      </w:r>
      <w:r w:rsidRPr="003056B6">
        <w:t xml:space="preserve">in chemistry parameters by various subgroups (according to age, gender, race or baseline LLM use). No subject met the criteria for total cholesterol </w:t>
      </w:r>
      <w:r w:rsidR="00663236">
        <w:t xml:space="preserve">&gt; </w:t>
      </w:r>
      <w:r w:rsidRPr="003056B6">
        <w:t>10.36 mmol/L (</w:t>
      </w:r>
      <w:r w:rsidR="00663236">
        <w:t xml:space="preserve">&gt; </w:t>
      </w:r>
      <w:r>
        <w:t>400 </w:t>
      </w:r>
      <w:r w:rsidRPr="003056B6">
        <w:t xml:space="preserve">mg/dL) with at least a 50% increase from the </w:t>
      </w:r>
      <w:r>
        <w:t>b</w:t>
      </w:r>
      <w:r w:rsidRPr="003056B6">
        <w:t xml:space="preserve">aseline value for 2 consecutive assessments, or triglycerides </w:t>
      </w:r>
      <w:r w:rsidR="00945715">
        <w:t>&gt; 9.04 </w:t>
      </w:r>
      <w:r w:rsidRPr="003056B6">
        <w:t>mmol/L (</w:t>
      </w:r>
      <w:r w:rsidR="00663236">
        <w:t xml:space="preserve">&gt; </w:t>
      </w:r>
      <w:r w:rsidRPr="003056B6">
        <w:t>800 mg/dL) at any assessment.</w:t>
      </w:r>
    </w:p>
    <w:p w14:paraId="3B3722E3" w14:textId="77777777" w:rsidR="004012EA" w:rsidRPr="003056B6" w:rsidRDefault="004012EA" w:rsidP="004012EA">
      <w:pPr>
        <w:pStyle w:val="Heading5"/>
      </w:pPr>
      <w:bookmarkStart w:id="119" w:name="_Toc468957496"/>
      <w:r w:rsidRPr="003056B6">
        <w:t>Haematology and haematological toxicity</w:t>
      </w:r>
      <w:bookmarkEnd w:id="119"/>
    </w:p>
    <w:p w14:paraId="4D4241E5" w14:textId="1F9D7602" w:rsidR="004012EA" w:rsidRDefault="004012EA" w:rsidP="004012EA">
      <w:r w:rsidRPr="003056B6">
        <w:t xml:space="preserve">Overall, mean values for RBC count, haemoglobin, haematocrit, and platelet count increased from </w:t>
      </w:r>
      <w:r>
        <w:t>b</w:t>
      </w:r>
      <w:r w:rsidRPr="003056B6">
        <w:t xml:space="preserve">aseline to the last assessment for subjects in the </w:t>
      </w:r>
      <w:r w:rsidR="001F5735">
        <w:t>p</w:t>
      </w:r>
      <w:r w:rsidR="001F5735" w:rsidRPr="003056B6">
        <w:t xml:space="preserve">ooled </w:t>
      </w:r>
      <w:r w:rsidRPr="003056B6">
        <w:t xml:space="preserve">Safety Set </w:t>
      </w:r>
      <w:r w:rsidRPr="004A1DEE">
        <w:t>(</w:t>
      </w:r>
      <w:r w:rsidR="001F5735">
        <w:t xml:space="preserve">see </w:t>
      </w:r>
      <w:r w:rsidRPr="004A1DEE">
        <w:t>Table 31</w:t>
      </w:r>
      <w:r w:rsidR="004A1DEE" w:rsidRPr="004A1DEE">
        <w:t xml:space="preserve"> of Attachment 2</w:t>
      </w:r>
      <w:r w:rsidRPr="004A1DEE">
        <w:t>).</w:t>
      </w:r>
      <w:r w:rsidRPr="003056B6">
        <w:t xml:space="preserve"> An analysis by </w:t>
      </w:r>
      <w:r>
        <w:t>study</w:t>
      </w:r>
      <w:r w:rsidRPr="003056B6">
        <w:t xml:space="preserve"> indicated that these increases in RBC count, haemoglobin, haematocrit, and platelet count were influenced by the more pronounced haematological changes observed for infants in </w:t>
      </w:r>
      <w:r>
        <w:t>Study</w:t>
      </w:r>
      <w:r w:rsidRPr="003056B6">
        <w:t xml:space="preserve"> LAL-CL03. Several haematology parameters, including haemoglobin, haematocrit, RBCs and platelet count, show</w:t>
      </w:r>
      <w:r>
        <w:t xml:space="preserve">ed more pronounced changes from </w:t>
      </w:r>
      <w:r w:rsidR="001F5735">
        <w:t>B</w:t>
      </w:r>
      <w:r w:rsidR="001F5735" w:rsidRPr="003056B6">
        <w:t xml:space="preserve">aseline </w:t>
      </w:r>
      <w:r w:rsidRPr="003056B6">
        <w:t xml:space="preserve">to the last assessment for subjects in the </w:t>
      </w:r>
      <w:r>
        <w:t xml:space="preserve">&lt; </w:t>
      </w:r>
      <w:r w:rsidRPr="003056B6">
        <w:t xml:space="preserve">2.00 years group </w:t>
      </w:r>
      <w:r>
        <w:t>compared with other age groups.</w:t>
      </w:r>
      <w:r w:rsidRPr="003056B6">
        <w:t xml:space="preserve"> All subjects in the </w:t>
      </w:r>
      <w:r>
        <w:t xml:space="preserve">&lt; </w:t>
      </w:r>
      <w:r w:rsidRPr="003056B6">
        <w:t xml:space="preserve">2.00 year age group were enrolled in </w:t>
      </w:r>
      <w:r>
        <w:t>Study</w:t>
      </w:r>
      <w:r w:rsidRPr="003056B6">
        <w:t xml:space="preserve"> LAL-CL03 and many of the subjects in this </w:t>
      </w:r>
      <w:r>
        <w:t>study</w:t>
      </w:r>
      <w:r w:rsidRPr="003056B6">
        <w:t xml:space="preserve"> were receiving packed RBC and/or platelet concentrates as part of their supportive care. Most of the shifts in haematology parameters noted for the Pooled Safety Set were consistent with improvements in underlying disease, and did not represent a safety concern. Overall, most of the subjects who had clinically meaningful shifts in haematology parameters from Baseline to the last assessment were from </w:t>
      </w:r>
      <w:r>
        <w:t>Study</w:t>
      </w:r>
      <w:r w:rsidRPr="003056B6">
        <w:t xml:space="preserve"> LAL-CL02, which was not unexpected given the substantially greater number of subjects in this </w:t>
      </w:r>
      <w:r>
        <w:t>study</w:t>
      </w:r>
      <w:r w:rsidRPr="003056B6">
        <w:t xml:space="preserve"> (N</w:t>
      </w:r>
      <w:r>
        <w:t xml:space="preserve"> = </w:t>
      </w:r>
      <w:r w:rsidRPr="003056B6">
        <w:t>66) compared with the other 2 studies (N</w:t>
      </w:r>
      <w:r>
        <w:t xml:space="preserve"> = </w:t>
      </w:r>
      <w:r w:rsidRPr="003056B6">
        <w:t>9 for both studies).</w:t>
      </w:r>
    </w:p>
    <w:p w14:paraId="01E6C975" w14:textId="6573AAA4" w:rsidR="004C7D85" w:rsidRPr="003056B6" w:rsidRDefault="004C7D85" w:rsidP="004C7D85">
      <w:pPr>
        <w:autoSpaceDE w:val="0"/>
        <w:autoSpaceDN w:val="0"/>
        <w:adjustRightInd w:val="0"/>
        <w:spacing w:before="0" w:line="240" w:lineRule="auto"/>
        <w:rPr>
          <w:rFonts w:asciiTheme="minorHAnsi" w:eastAsiaTheme="minorHAnsi" w:hAnsiTheme="minorHAnsi"/>
          <w:color w:val="000000"/>
        </w:rPr>
      </w:pPr>
      <w:r w:rsidRPr="003056B6">
        <w:rPr>
          <w:rFonts w:asciiTheme="minorHAnsi" w:eastAsiaTheme="minorHAnsi" w:hAnsiTheme="minorHAnsi"/>
          <w:color w:val="000000"/>
        </w:rPr>
        <w:t>For subjects in the Pooled Safety Set, median prothrombin time</w:t>
      </w:r>
      <w:r>
        <w:rPr>
          <w:rFonts w:asciiTheme="minorHAnsi" w:eastAsiaTheme="minorHAnsi" w:hAnsiTheme="minorHAnsi"/>
          <w:color w:val="000000"/>
        </w:rPr>
        <w:t>s at the last assessment (12.70 </w:t>
      </w:r>
      <w:r w:rsidRPr="003056B6">
        <w:rPr>
          <w:rFonts w:asciiTheme="minorHAnsi" w:eastAsiaTheme="minorHAnsi" w:hAnsiTheme="minorHAnsi"/>
          <w:color w:val="000000"/>
        </w:rPr>
        <w:t xml:space="preserve">sec) were similar to the median value observed at </w:t>
      </w:r>
      <w:r>
        <w:rPr>
          <w:rFonts w:asciiTheme="minorHAnsi" w:eastAsiaTheme="minorHAnsi" w:hAnsiTheme="minorHAnsi"/>
          <w:color w:val="000000"/>
        </w:rPr>
        <w:t>b</w:t>
      </w:r>
      <w:r w:rsidRPr="003056B6">
        <w:rPr>
          <w:rFonts w:asciiTheme="minorHAnsi" w:eastAsiaTheme="minorHAnsi" w:hAnsiTheme="minorHAnsi"/>
          <w:color w:val="000000"/>
        </w:rPr>
        <w:t xml:space="preserve">aseline (12.80 sec). </w:t>
      </w:r>
      <w:r w:rsidRPr="00945715">
        <w:rPr>
          <w:rFonts w:asciiTheme="minorHAnsi" w:eastAsiaTheme="minorHAnsi" w:hAnsiTheme="minorHAnsi"/>
          <w:color w:val="000000"/>
        </w:rPr>
        <w:t xml:space="preserve">Median </w:t>
      </w:r>
      <w:r w:rsidR="007F5DA3">
        <w:t>international normali</w:t>
      </w:r>
      <w:r w:rsidR="00654E93">
        <w:t>s</w:t>
      </w:r>
      <w:r w:rsidR="007F5DA3">
        <w:t>ed ratio</w:t>
      </w:r>
      <w:r w:rsidR="007F5DA3" w:rsidRPr="00945715">
        <w:rPr>
          <w:rFonts w:asciiTheme="minorHAnsi" w:eastAsiaTheme="minorHAnsi" w:hAnsiTheme="minorHAnsi"/>
          <w:color w:val="000000"/>
        </w:rPr>
        <w:t xml:space="preserve"> </w:t>
      </w:r>
      <w:r w:rsidR="007F5DA3">
        <w:rPr>
          <w:rFonts w:asciiTheme="minorHAnsi" w:eastAsiaTheme="minorHAnsi" w:hAnsiTheme="minorHAnsi"/>
          <w:color w:val="000000"/>
        </w:rPr>
        <w:t>(</w:t>
      </w:r>
      <w:r w:rsidRPr="00945715">
        <w:rPr>
          <w:rFonts w:asciiTheme="minorHAnsi" w:eastAsiaTheme="minorHAnsi" w:hAnsiTheme="minorHAnsi"/>
          <w:color w:val="000000"/>
        </w:rPr>
        <w:t>INR</w:t>
      </w:r>
      <w:r w:rsidR="007F5DA3">
        <w:rPr>
          <w:rFonts w:asciiTheme="minorHAnsi" w:eastAsiaTheme="minorHAnsi" w:hAnsiTheme="minorHAnsi"/>
          <w:color w:val="000000"/>
        </w:rPr>
        <w:t>)</w:t>
      </w:r>
      <w:r w:rsidRPr="003056B6">
        <w:rPr>
          <w:rFonts w:asciiTheme="minorHAnsi" w:eastAsiaTheme="minorHAnsi" w:hAnsiTheme="minorHAnsi"/>
          <w:color w:val="000000"/>
        </w:rPr>
        <w:t xml:space="preserve"> values and </w:t>
      </w:r>
      <w:r w:rsidR="007F5DA3">
        <w:t>activated partial thromboplastin time</w:t>
      </w:r>
      <w:r w:rsidR="007F5DA3" w:rsidRPr="00945715">
        <w:rPr>
          <w:rFonts w:asciiTheme="minorHAnsi" w:eastAsiaTheme="minorHAnsi" w:hAnsiTheme="minorHAnsi"/>
          <w:color w:val="000000"/>
          <w:highlight w:val="yellow"/>
        </w:rPr>
        <w:t xml:space="preserve"> </w:t>
      </w:r>
      <w:r w:rsidR="007F5DA3" w:rsidRPr="007F5DA3">
        <w:rPr>
          <w:rFonts w:asciiTheme="minorHAnsi" w:eastAsiaTheme="minorHAnsi" w:hAnsiTheme="minorHAnsi"/>
          <w:color w:val="000000"/>
        </w:rPr>
        <w:t>(</w:t>
      </w:r>
      <w:r w:rsidRPr="007F5DA3">
        <w:rPr>
          <w:rFonts w:asciiTheme="minorHAnsi" w:eastAsiaTheme="minorHAnsi" w:hAnsiTheme="minorHAnsi"/>
          <w:color w:val="000000"/>
        </w:rPr>
        <w:t>aPTT</w:t>
      </w:r>
      <w:r w:rsidR="007F5DA3" w:rsidRPr="007F5DA3">
        <w:rPr>
          <w:rFonts w:asciiTheme="minorHAnsi" w:eastAsiaTheme="minorHAnsi" w:hAnsiTheme="minorHAnsi"/>
          <w:color w:val="000000"/>
        </w:rPr>
        <w:t>)</w:t>
      </w:r>
      <w:r w:rsidRPr="007F5DA3">
        <w:rPr>
          <w:rFonts w:asciiTheme="minorHAnsi" w:eastAsiaTheme="minorHAnsi" w:hAnsiTheme="minorHAnsi"/>
          <w:color w:val="000000"/>
        </w:rPr>
        <w:t xml:space="preserve"> also</w:t>
      </w:r>
      <w:r w:rsidRPr="003056B6">
        <w:rPr>
          <w:rFonts w:asciiTheme="minorHAnsi" w:eastAsiaTheme="minorHAnsi" w:hAnsiTheme="minorHAnsi"/>
          <w:color w:val="000000"/>
        </w:rPr>
        <w:t xml:space="preserve"> rem</w:t>
      </w:r>
      <w:r>
        <w:rPr>
          <w:rFonts w:asciiTheme="minorHAnsi" w:eastAsiaTheme="minorHAnsi" w:hAnsiTheme="minorHAnsi"/>
          <w:color w:val="000000"/>
        </w:rPr>
        <w:t xml:space="preserve">ained virtually unchanged from </w:t>
      </w:r>
      <w:r w:rsidR="001F5735">
        <w:rPr>
          <w:rFonts w:asciiTheme="minorHAnsi" w:eastAsiaTheme="minorHAnsi" w:hAnsiTheme="minorHAnsi"/>
          <w:color w:val="000000"/>
        </w:rPr>
        <w:t>B</w:t>
      </w:r>
      <w:r w:rsidR="001F5735" w:rsidRPr="003056B6">
        <w:rPr>
          <w:rFonts w:asciiTheme="minorHAnsi" w:eastAsiaTheme="minorHAnsi" w:hAnsiTheme="minorHAnsi"/>
          <w:color w:val="000000"/>
        </w:rPr>
        <w:t xml:space="preserve">aseline </w:t>
      </w:r>
      <w:r w:rsidRPr="003056B6">
        <w:rPr>
          <w:rFonts w:asciiTheme="minorHAnsi" w:eastAsiaTheme="minorHAnsi" w:hAnsiTheme="minorHAnsi"/>
          <w:color w:val="000000"/>
        </w:rPr>
        <w:t xml:space="preserve">to the last assessment. Median changes in prothrombin time and INR were not remarkably different across studies. The median change in aPTT was greater in </w:t>
      </w:r>
      <w:r>
        <w:rPr>
          <w:rFonts w:asciiTheme="minorHAnsi" w:eastAsiaTheme="minorHAnsi" w:hAnsiTheme="minorHAnsi"/>
          <w:color w:val="000000"/>
        </w:rPr>
        <w:t>Study</w:t>
      </w:r>
      <w:r w:rsidRPr="003056B6">
        <w:rPr>
          <w:rFonts w:asciiTheme="minorHAnsi" w:eastAsiaTheme="minorHAnsi" w:hAnsiTheme="minorHAnsi"/>
          <w:color w:val="000000"/>
        </w:rPr>
        <w:t xml:space="preserve"> LAL-CL03 (increase of 5.80 sec) compared with </w:t>
      </w:r>
      <w:r>
        <w:rPr>
          <w:rFonts w:asciiTheme="minorHAnsi" w:eastAsiaTheme="minorHAnsi" w:hAnsiTheme="minorHAnsi"/>
          <w:color w:val="000000"/>
        </w:rPr>
        <w:t>Study</w:t>
      </w:r>
      <w:r w:rsidRPr="003056B6">
        <w:rPr>
          <w:rFonts w:asciiTheme="minorHAnsi" w:eastAsiaTheme="minorHAnsi" w:hAnsiTheme="minorHAnsi"/>
          <w:color w:val="000000"/>
        </w:rPr>
        <w:t xml:space="preserve"> LAL-CL01/ LAL-CL04 (increase of 0.80 sec) and </w:t>
      </w:r>
      <w:r>
        <w:rPr>
          <w:rFonts w:asciiTheme="minorHAnsi" w:eastAsiaTheme="minorHAnsi" w:hAnsiTheme="minorHAnsi"/>
          <w:color w:val="000000"/>
        </w:rPr>
        <w:t>Study</w:t>
      </w:r>
      <w:r w:rsidRPr="003056B6">
        <w:rPr>
          <w:rFonts w:asciiTheme="minorHAnsi" w:eastAsiaTheme="minorHAnsi" w:hAnsiTheme="minorHAnsi"/>
          <w:color w:val="000000"/>
        </w:rPr>
        <w:t xml:space="preserve"> LAL-CL02 (decrease of 0.10 sec). The increase in aPTT in </w:t>
      </w:r>
      <w:r>
        <w:rPr>
          <w:rFonts w:asciiTheme="minorHAnsi" w:eastAsiaTheme="minorHAnsi" w:hAnsiTheme="minorHAnsi"/>
          <w:color w:val="000000"/>
        </w:rPr>
        <w:t>Study</w:t>
      </w:r>
      <w:r w:rsidRPr="003056B6">
        <w:rPr>
          <w:rFonts w:asciiTheme="minorHAnsi" w:eastAsiaTheme="minorHAnsi" w:hAnsiTheme="minorHAnsi"/>
          <w:color w:val="000000"/>
        </w:rPr>
        <w:t xml:space="preserve"> LAL-CL03 was primarily driven by 1 subject who had an aPTT that was very low at </w:t>
      </w:r>
      <w:r w:rsidR="001F5735">
        <w:rPr>
          <w:rFonts w:asciiTheme="minorHAnsi" w:eastAsiaTheme="minorHAnsi" w:hAnsiTheme="minorHAnsi"/>
          <w:color w:val="000000"/>
        </w:rPr>
        <w:t>B</w:t>
      </w:r>
      <w:r w:rsidR="001F5735" w:rsidRPr="003056B6">
        <w:rPr>
          <w:rFonts w:asciiTheme="minorHAnsi" w:eastAsiaTheme="minorHAnsi" w:hAnsiTheme="minorHAnsi"/>
          <w:color w:val="000000"/>
        </w:rPr>
        <w:t xml:space="preserve">aseline </w:t>
      </w:r>
      <w:r w:rsidRPr="003056B6">
        <w:rPr>
          <w:rFonts w:asciiTheme="minorHAnsi" w:eastAsiaTheme="minorHAnsi" w:hAnsiTheme="minorHAnsi"/>
          <w:color w:val="000000"/>
        </w:rPr>
        <w:t xml:space="preserve">(10.2 sec; </w:t>
      </w:r>
      <w:r w:rsidR="007F5DA3">
        <w:t>lower limit of normal</w:t>
      </w:r>
      <w:r w:rsidR="007F5DA3" w:rsidRPr="003056B6">
        <w:rPr>
          <w:rFonts w:asciiTheme="minorHAnsi" w:eastAsiaTheme="minorHAnsi" w:hAnsiTheme="minorHAnsi"/>
          <w:color w:val="000000"/>
        </w:rPr>
        <w:t xml:space="preserve"> </w:t>
      </w:r>
      <w:r w:rsidR="007F5DA3">
        <w:rPr>
          <w:rFonts w:asciiTheme="minorHAnsi" w:eastAsiaTheme="minorHAnsi" w:hAnsiTheme="minorHAnsi"/>
          <w:color w:val="000000"/>
        </w:rPr>
        <w:t>= 23 </w:t>
      </w:r>
      <w:r w:rsidRPr="003056B6">
        <w:rPr>
          <w:rFonts w:asciiTheme="minorHAnsi" w:eastAsiaTheme="minorHAnsi" w:hAnsiTheme="minorHAnsi"/>
          <w:color w:val="000000"/>
        </w:rPr>
        <w:t>sec)</w:t>
      </w:r>
      <w:r w:rsidR="001F5735">
        <w:rPr>
          <w:rFonts w:asciiTheme="minorHAnsi" w:eastAsiaTheme="minorHAnsi" w:hAnsiTheme="minorHAnsi"/>
          <w:color w:val="000000"/>
        </w:rPr>
        <w:t>.</w:t>
      </w:r>
      <w:r>
        <w:rPr>
          <w:rStyle w:val="FootnoteReference"/>
          <w:rFonts w:asciiTheme="minorHAnsi" w:eastAsiaTheme="minorHAnsi" w:hAnsiTheme="minorHAnsi"/>
          <w:color w:val="000000"/>
        </w:rPr>
        <w:footnoteReference w:id="39"/>
      </w:r>
      <w:r w:rsidRPr="003056B6">
        <w:rPr>
          <w:rFonts w:asciiTheme="minorHAnsi" w:eastAsiaTheme="minorHAnsi" w:hAnsiTheme="minorHAnsi"/>
          <w:color w:val="000000"/>
        </w:rPr>
        <w:t xml:space="preserve"> Interpretation of results was confounded by small number of patients and data and the fact that infants were known to have coagulopathies that required treatment with fresh frozen plasma.</w:t>
      </w:r>
    </w:p>
    <w:p w14:paraId="0DCB4A20" w14:textId="77777777" w:rsidR="004C7D85" w:rsidRPr="003056B6" w:rsidRDefault="004C7D85" w:rsidP="004C7D85">
      <w:pPr>
        <w:pStyle w:val="Heading4"/>
      </w:pPr>
      <w:bookmarkStart w:id="120" w:name="_Toc432079176"/>
      <w:bookmarkStart w:id="121" w:name="_Toc432080749"/>
      <w:bookmarkStart w:id="122" w:name="_Toc468957500"/>
      <w:r w:rsidRPr="003056B6">
        <w:t>I</w:t>
      </w:r>
      <w:r>
        <w:t xml:space="preserve">mmunogenicity and immunological </w:t>
      </w:r>
      <w:r w:rsidRPr="003056B6">
        <w:t>events</w:t>
      </w:r>
      <w:bookmarkEnd w:id="120"/>
      <w:bookmarkEnd w:id="121"/>
      <w:bookmarkEnd w:id="122"/>
    </w:p>
    <w:p w14:paraId="4AE75F14" w14:textId="77777777" w:rsidR="004C7D85" w:rsidRDefault="004C7D85" w:rsidP="004C7D85">
      <w:pPr>
        <w:pStyle w:val="Heading5"/>
      </w:pPr>
      <w:r w:rsidRPr="003056B6">
        <w:t>Immunogenicity</w:t>
      </w:r>
    </w:p>
    <w:p w14:paraId="29376E9D" w14:textId="77777777" w:rsidR="004C7D85" w:rsidRPr="003056B6" w:rsidRDefault="004C7D85" w:rsidP="004C7D85">
      <w:pPr>
        <w:rPr>
          <w:b/>
          <w:u w:val="single"/>
        </w:rPr>
      </w:pPr>
      <w:r w:rsidRPr="003056B6">
        <w:t xml:space="preserve">Serum antibodies that bind to </w:t>
      </w:r>
      <w:r w:rsidR="00945715">
        <w:t xml:space="preserve">recombinant human </w:t>
      </w:r>
      <w:r w:rsidRPr="003056B6">
        <w:t xml:space="preserve">LAL were detected using an enzyme-linked immunosorbent assay (ELISA) screening assay and confirmed for specificity using a confirmatory ELISA. A subject was considered to be positive for ADAs at a given time point if he/she had a positive result on both the screening and confirmatory ELISAs. Antibody </w:t>
      </w:r>
      <w:r w:rsidRPr="003056B6">
        <w:lastRenderedPageBreak/>
        <w:t>titre was determined for all ADA positive subjects by serial dilution, beginning at a minimum required dilution (MRD) of 1:20.</w:t>
      </w:r>
    </w:p>
    <w:p w14:paraId="4E9B4989" w14:textId="6B88C743" w:rsidR="004012EA" w:rsidRDefault="004C7D85" w:rsidP="004C7D85">
      <w:r w:rsidRPr="003056B6">
        <w:t xml:space="preserve">Overall, 10 subjects in the </w:t>
      </w:r>
      <w:r w:rsidR="001F5735">
        <w:t>p</w:t>
      </w:r>
      <w:r w:rsidR="001F5735" w:rsidRPr="003056B6">
        <w:t xml:space="preserve">ooled </w:t>
      </w:r>
      <w:r w:rsidRPr="003056B6">
        <w:t>Safety Set (N</w:t>
      </w:r>
      <w:r>
        <w:t xml:space="preserve"> = </w:t>
      </w:r>
      <w:r w:rsidRPr="003056B6">
        <w:t>84) tested posi</w:t>
      </w:r>
      <w:r>
        <w:t>tive for ADAs during at least 1 assessment.</w:t>
      </w:r>
      <w:r w:rsidRPr="003056B6">
        <w:t xml:space="preserve"> Of the 84 subjects in the Pooled Safety Set, 81 subjects had ADA testing at </w:t>
      </w:r>
      <w:r>
        <w:t>b</w:t>
      </w:r>
      <w:r w:rsidRPr="003056B6">
        <w:t xml:space="preserve">aseline and 65 subjects had ADA testing for at least one time point after initiation of treatment with sebelipase alfa (7 subjects in </w:t>
      </w:r>
      <w:r>
        <w:t>Study</w:t>
      </w:r>
      <w:r w:rsidRPr="003056B6">
        <w:t xml:space="preserve"> LAL-CL03, 49 subjects in </w:t>
      </w:r>
      <w:r>
        <w:t>Study</w:t>
      </w:r>
      <w:r w:rsidR="00945715">
        <w:t> LAL</w:t>
      </w:r>
      <w:r w:rsidR="00945715">
        <w:noBreakHyphen/>
      </w:r>
      <w:r w:rsidRPr="003056B6">
        <w:t xml:space="preserve">CL02, and 9 subjects in </w:t>
      </w:r>
      <w:r>
        <w:t>Study</w:t>
      </w:r>
      <w:r w:rsidRPr="003056B6">
        <w:t xml:space="preserve"> LAL-CL01/LAL-CL04). For the 10 </w:t>
      </w:r>
      <w:r>
        <w:t>ADA positive</w:t>
      </w:r>
      <w:r w:rsidRPr="003056B6">
        <w:t xml:space="preserve"> subjects in the </w:t>
      </w:r>
      <w:r w:rsidR="001F5735">
        <w:t>p</w:t>
      </w:r>
      <w:r w:rsidR="001F5735" w:rsidRPr="003056B6">
        <w:t xml:space="preserve">ooled </w:t>
      </w:r>
      <w:r w:rsidRPr="003056B6">
        <w:t xml:space="preserve">Safety Set, the median time to first </w:t>
      </w:r>
      <w:r>
        <w:t>ADA positive</w:t>
      </w:r>
      <w:r w:rsidRPr="003056B6">
        <w:t xml:space="preserve"> result was 57 days (range 29 to 418 days). Maximum titres ranged from </w:t>
      </w:r>
      <w:r>
        <w:t xml:space="preserve">&lt; </w:t>
      </w:r>
      <w:r w:rsidRPr="003056B6">
        <w:t>1/20 to 1/1142.</w:t>
      </w:r>
    </w:p>
    <w:p w14:paraId="3660F811" w14:textId="77777777" w:rsidR="004C7D85" w:rsidRDefault="004C7D85" w:rsidP="004C7D85">
      <w:r w:rsidRPr="003056B6">
        <w:t xml:space="preserve">There was a marked difference in the proportion of infants in the </w:t>
      </w:r>
      <w:r>
        <w:t>ADA positive</w:t>
      </w:r>
      <w:r w:rsidRPr="003056B6">
        <w:t xml:space="preserve"> group (40.0%) compared with the </w:t>
      </w:r>
      <w:r>
        <w:t>ADA negative</w:t>
      </w:r>
      <w:r w:rsidRPr="003056B6">
        <w:t xml:space="preserve"> group (6.8%) and this, together with the limited number of </w:t>
      </w:r>
      <w:r>
        <w:t>ADA positive</w:t>
      </w:r>
      <w:r w:rsidRPr="003056B6">
        <w:t xml:space="preserve"> subjects overall (N</w:t>
      </w:r>
      <w:r>
        <w:t xml:space="preserve"> = </w:t>
      </w:r>
      <w:r w:rsidRPr="003056B6">
        <w:t xml:space="preserve">10) and fluctuations in ADA positivity in these subjects over time, precluded any meaningful conclusions </w:t>
      </w:r>
      <w:r>
        <w:t xml:space="preserve">regarding effects on </w:t>
      </w:r>
      <w:r w:rsidRPr="003056B6">
        <w:t>laboratory parameters by ADA status.</w:t>
      </w:r>
    </w:p>
    <w:p w14:paraId="41198236" w14:textId="5E091521" w:rsidR="00CF5709" w:rsidRDefault="00CF5709" w:rsidP="00CF5709">
      <w:pPr>
        <w:pStyle w:val="Tabletitle0"/>
      </w:pPr>
      <w:r w:rsidRPr="004A1DEE">
        <w:t xml:space="preserve">Table </w:t>
      </w:r>
      <w:r w:rsidR="004A1DEE" w:rsidRPr="004A1DEE">
        <w:t>8</w:t>
      </w:r>
      <w:r w:rsidRPr="004A1DEE">
        <w:t>: Overview</w:t>
      </w:r>
      <w:r>
        <w:t xml:space="preserve"> of treatment emergent adverse events in the pooled </w:t>
      </w:r>
      <w:r w:rsidR="001F5735">
        <w:t xml:space="preserve">Safety Set </w:t>
      </w:r>
      <w:r>
        <w:t xml:space="preserve">and updated pooled </w:t>
      </w:r>
      <w:r w:rsidR="001F5735">
        <w:t xml:space="preserve">Safety Set </w:t>
      </w:r>
      <w:r>
        <w:t>by antibody status and overall</w:t>
      </w:r>
    </w:p>
    <w:p w14:paraId="0AA529E3" w14:textId="77777777" w:rsidR="004C7D85" w:rsidRDefault="00CF5709" w:rsidP="004C7D85">
      <w:r>
        <w:rPr>
          <w:noProof/>
          <w:lang w:eastAsia="en-AU"/>
        </w:rPr>
        <w:drawing>
          <wp:inline distT="0" distB="0" distL="0" distR="0" wp14:anchorId="375D9F0D" wp14:editId="1DAB9841">
            <wp:extent cx="5400040" cy="2874252"/>
            <wp:effectExtent l="0" t="0" r="0" b="2540"/>
            <wp:docPr id="1" name="Picture 1" descr="Table 8: Overview of treatment emergent adverse events in the pooled safety set and updated pooled safety set by antibody status and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874252"/>
                    </a:xfrm>
                    <a:prstGeom prst="rect">
                      <a:avLst/>
                    </a:prstGeom>
                  </pic:spPr>
                </pic:pic>
              </a:graphicData>
            </a:graphic>
          </wp:inline>
        </w:drawing>
      </w:r>
    </w:p>
    <w:p w14:paraId="7D449BE3" w14:textId="77777777" w:rsidR="00CF5709" w:rsidRDefault="00CF5709" w:rsidP="00CF5709">
      <w:pPr>
        <w:pStyle w:val="Heading5"/>
      </w:pPr>
      <w:r w:rsidRPr="003056B6">
        <w:t>Hypersensitivity reactions</w:t>
      </w:r>
    </w:p>
    <w:p w14:paraId="4C1D5D08" w14:textId="12F4AD27" w:rsidR="00CF5709" w:rsidRPr="003056B6" w:rsidRDefault="00CF5709" w:rsidP="00CF5709">
      <w:r w:rsidRPr="003056B6">
        <w:t xml:space="preserve">In the </w:t>
      </w:r>
      <w:r w:rsidR="001F5735">
        <w:t>p</w:t>
      </w:r>
      <w:r w:rsidR="001F5735" w:rsidRPr="003056B6">
        <w:t xml:space="preserve">ooled </w:t>
      </w:r>
      <w:r w:rsidRPr="003056B6">
        <w:t xml:space="preserve">Safety Set, a total of 16/84 (19.0%) subjects, including 5/9 (56.0%) infants and 11/75 (15.0%) children and adults, were reported to have experienced signs and symptoms either consistent with or potentially related to a hypersensitivity reaction. All these potential hypersensitivity reactions were mild or moderate in severity with the exception of severe </w:t>
      </w:r>
      <w:r w:rsidR="000B4393">
        <w:t>treatment</w:t>
      </w:r>
      <w:r w:rsidR="001F5735">
        <w:t xml:space="preserve"> </w:t>
      </w:r>
      <w:r w:rsidR="000B4393">
        <w:t>emergent adverse events</w:t>
      </w:r>
      <w:r w:rsidR="000B4393" w:rsidRPr="003056B6">
        <w:t xml:space="preserve"> </w:t>
      </w:r>
      <w:r w:rsidR="000B4393">
        <w:t>(</w:t>
      </w:r>
      <w:r w:rsidRPr="003056B6">
        <w:t>TEAE</w:t>
      </w:r>
      <w:r w:rsidR="000B4393">
        <w:t>)</w:t>
      </w:r>
      <w:r w:rsidRPr="003056B6">
        <w:t xml:space="preserve"> in 3 subjects.</w:t>
      </w:r>
    </w:p>
    <w:p w14:paraId="1D86E8A1" w14:textId="51E91394" w:rsidR="00CF5709" w:rsidRDefault="00CF5709" w:rsidP="00CF5709">
      <w:pPr>
        <w:rPr>
          <w:rFonts w:eastAsiaTheme="minorHAnsi"/>
          <w:color w:val="000000"/>
        </w:rPr>
      </w:pPr>
      <w:r w:rsidRPr="003056B6">
        <w:rPr>
          <w:rFonts w:eastAsiaTheme="minorHAnsi"/>
          <w:color w:val="000000"/>
        </w:rPr>
        <w:t xml:space="preserve">In the </w:t>
      </w:r>
      <w:r w:rsidR="001F5735">
        <w:rPr>
          <w:rFonts w:eastAsiaTheme="minorHAnsi"/>
          <w:color w:val="000000"/>
        </w:rPr>
        <w:t>u</w:t>
      </w:r>
      <w:r w:rsidR="001F5735" w:rsidRPr="003056B6">
        <w:rPr>
          <w:rFonts w:eastAsiaTheme="minorHAnsi"/>
          <w:color w:val="000000"/>
        </w:rPr>
        <w:t xml:space="preserve">pdated </w:t>
      </w:r>
      <w:r w:rsidR="001F5735">
        <w:rPr>
          <w:rFonts w:eastAsiaTheme="minorHAnsi"/>
          <w:color w:val="000000"/>
        </w:rPr>
        <w:t>p</w:t>
      </w:r>
      <w:r w:rsidR="001F5735" w:rsidRPr="003056B6">
        <w:rPr>
          <w:rFonts w:eastAsiaTheme="minorHAnsi"/>
          <w:color w:val="000000"/>
        </w:rPr>
        <w:t xml:space="preserve">ooled </w:t>
      </w:r>
      <w:r w:rsidRPr="003056B6">
        <w:rPr>
          <w:rFonts w:eastAsiaTheme="minorHAnsi"/>
          <w:color w:val="000000"/>
        </w:rPr>
        <w:t>Safety Set, a total of 21/106 (19.8%) subjects, including 9/14 infants (64.3%) and 12/92 children and adults (13.0%), experienced signs and symptoms either consistent with or potentially related to a hypersensitivity reaction</w:t>
      </w:r>
      <w:r w:rsidRPr="003056B6">
        <w:rPr>
          <w:rFonts w:eastAsiaTheme="minorHAnsi"/>
          <w:b/>
          <w:color w:val="000000"/>
        </w:rPr>
        <w:t>.</w:t>
      </w:r>
      <w:r w:rsidRPr="003056B6">
        <w:rPr>
          <w:rFonts w:eastAsiaTheme="minorHAnsi"/>
          <w:color w:val="000000"/>
        </w:rPr>
        <w:t xml:space="preserve"> The </w:t>
      </w:r>
      <w:r w:rsidR="001F5735">
        <w:rPr>
          <w:rFonts w:eastAsiaTheme="minorHAnsi"/>
          <w:color w:val="000000"/>
        </w:rPr>
        <w:t>u</w:t>
      </w:r>
      <w:r w:rsidR="001F5735" w:rsidRPr="003056B6">
        <w:rPr>
          <w:rFonts w:eastAsiaTheme="minorHAnsi"/>
          <w:color w:val="000000"/>
        </w:rPr>
        <w:t xml:space="preserve">pdated </w:t>
      </w:r>
      <w:r w:rsidR="001F5735">
        <w:rPr>
          <w:rFonts w:eastAsiaTheme="minorHAnsi"/>
          <w:color w:val="000000"/>
        </w:rPr>
        <w:t>p</w:t>
      </w:r>
      <w:r w:rsidR="001F5735" w:rsidRPr="003056B6">
        <w:rPr>
          <w:rFonts w:eastAsiaTheme="minorHAnsi"/>
          <w:color w:val="000000"/>
        </w:rPr>
        <w:t xml:space="preserve">ooled </w:t>
      </w:r>
      <w:r w:rsidRPr="003056B6">
        <w:rPr>
          <w:rFonts w:eastAsiaTheme="minorHAnsi"/>
          <w:color w:val="000000"/>
        </w:rPr>
        <w:t>Safety Set included 5 new subjects with potential hypersensitivity reactions. All new potential hypersensitivity reactions were mild or moderate in severity, with the exception of severe hypersensitivity reactions occurring in 2 subjects</w:t>
      </w:r>
      <w:r>
        <w:rPr>
          <w:rFonts w:eastAsiaTheme="minorHAnsi"/>
          <w:color w:val="000000"/>
        </w:rPr>
        <w:t>.</w:t>
      </w:r>
    </w:p>
    <w:p w14:paraId="5B973178" w14:textId="77777777" w:rsidR="00CF5709" w:rsidRPr="003056B6" w:rsidRDefault="00CF5709" w:rsidP="00CF5709">
      <w:r w:rsidRPr="003056B6">
        <w:t xml:space="preserve">No clear relationship between the presence of ADAs and hypersensitivity reactions was apparent. Furthermore, the TEAE profile seen among </w:t>
      </w:r>
      <w:r>
        <w:t>ADA positive</w:t>
      </w:r>
      <w:r w:rsidRPr="003056B6">
        <w:t xml:space="preserve"> subjects was consistent with that in the </w:t>
      </w:r>
      <w:r>
        <w:t>study</w:t>
      </w:r>
      <w:r w:rsidRPr="003056B6">
        <w:t xml:space="preserve"> population as a whole (</w:t>
      </w:r>
      <w:r>
        <w:t>that is</w:t>
      </w:r>
      <w:r w:rsidRPr="003056B6">
        <w:t xml:space="preserve">, Pooled Safety Set), and no </w:t>
      </w:r>
      <w:r>
        <w:t>ADA positive</w:t>
      </w:r>
      <w:r w:rsidRPr="003056B6">
        <w:t xml:space="preserve"> subject experienced a severe TEAE, </w:t>
      </w:r>
      <w:r w:rsidR="000B4393">
        <w:t>serious adverse event</w:t>
      </w:r>
      <w:r w:rsidR="000B4393" w:rsidRPr="003056B6">
        <w:t xml:space="preserve"> </w:t>
      </w:r>
      <w:r w:rsidR="000B4393">
        <w:t>(</w:t>
      </w:r>
      <w:r w:rsidRPr="003056B6">
        <w:t>SAE</w:t>
      </w:r>
      <w:r w:rsidR="000B4393">
        <w:t>)</w:t>
      </w:r>
      <w:r w:rsidRPr="003056B6">
        <w:t xml:space="preserve">, or TEAE that led to </w:t>
      </w:r>
      <w:r>
        <w:t>study</w:t>
      </w:r>
      <w:r w:rsidRPr="003056B6">
        <w:t xml:space="preserve"> drug discontinuation.</w:t>
      </w:r>
    </w:p>
    <w:p w14:paraId="52519F49" w14:textId="77777777" w:rsidR="00CF5709" w:rsidRPr="003056B6" w:rsidRDefault="00CF5709" w:rsidP="00CF5709">
      <w:r w:rsidRPr="003056B6">
        <w:lastRenderedPageBreak/>
        <w:t>Three subjects experienced signs and symptoms consistent with an anaphylactic reaction:</w:t>
      </w:r>
    </w:p>
    <w:p w14:paraId="2058936E" w14:textId="77777777" w:rsidR="00CF5709" w:rsidRPr="00CF5709" w:rsidRDefault="00CF5709" w:rsidP="00CF5709">
      <w:pPr>
        <w:pStyle w:val="ListBullet"/>
      </w:pPr>
      <w:r w:rsidRPr="00CF5709">
        <w:t>In Study LAL-CL02, a subject experienced an anaphylactic reaction during open label treatment with sebelipase alfa 1 mg/kg qow. Treatment has been paused pending further evaluation.</w:t>
      </w:r>
    </w:p>
    <w:p w14:paraId="011CA99F" w14:textId="77777777" w:rsidR="00CF5709" w:rsidRPr="00CF5709" w:rsidRDefault="00CF5709" w:rsidP="00CF5709">
      <w:pPr>
        <w:pStyle w:val="ListBullet"/>
      </w:pPr>
      <w:r w:rsidRPr="00CF5709">
        <w:t xml:space="preserve">In Study LAL-CL08, an infant experienced signs and symptoms of anaphylaxis, 15 mins from start of the </w:t>
      </w:r>
      <w:r w:rsidR="00945715">
        <w:t>sixth</w:t>
      </w:r>
      <w:r w:rsidRPr="00CF5709">
        <w:t xml:space="preserve"> infusion at 1 mg/kg once weekly. All symptoms resolved on discontinuation of treatment and this subject continues on treatment in the study with no further reports of IARs.</w:t>
      </w:r>
    </w:p>
    <w:p w14:paraId="43A3F741" w14:textId="3AF9D5F4" w:rsidR="00CF5709" w:rsidRPr="00CF5709" w:rsidRDefault="00CF5709" w:rsidP="00CF5709">
      <w:pPr>
        <w:pStyle w:val="ListBullet"/>
      </w:pPr>
      <w:r w:rsidRPr="00CF5709">
        <w:t xml:space="preserve">In Study LAL-CL06, a subject experienced an SAE of anaphylactic reaction on study Day 86 (seventh infusion) after 90 minutes of infusion of 1 mg/kg qow sebelipase alfa. The subject continues in the study, receiving sebelipase alfa infusions under a </w:t>
      </w:r>
      <w:r w:rsidR="00CD3983" w:rsidRPr="00CF5709">
        <w:t>desensiti</w:t>
      </w:r>
      <w:r w:rsidR="00CD3983">
        <w:t>s</w:t>
      </w:r>
      <w:r w:rsidR="00CD3983" w:rsidRPr="00CF5709">
        <w:t xml:space="preserve">ation </w:t>
      </w:r>
      <w:r w:rsidRPr="00CF5709">
        <w:t>protocol.</w:t>
      </w:r>
    </w:p>
    <w:p w14:paraId="04513ED4" w14:textId="7D37FF5A" w:rsidR="00CF5709" w:rsidRPr="00CF5709" w:rsidRDefault="00CF5709" w:rsidP="004C7D85">
      <w:pPr>
        <w:rPr>
          <w:rFonts w:eastAsiaTheme="minorHAnsi"/>
          <w:color w:val="000000"/>
        </w:rPr>
      </w:pPr>
      <w:r w:rsidRPr="003056B6">
        <w:t xml:space="preserve">Due to the low level of immunogenicity found in the clinical studies of sebelipase alfa, immunogenicity was not considered in the </w:t>
      </w:r>
      <w:r>
        <w:t>exposure response</w:t>
      </w:r>
      <w:r w:rsidRPr="003056B6">
        <w:t xml:space="preserve"> analyses of efficacy endpoints or safety endpoints (occurrence of IARs). </w:t>
      </w:r>
      <w:r w:rsidRPr="003056B6">
        <w:rPr>
          <w:rFonts w:eastAsiaTheme="minorHAnsi"/>
          <w:color w:val="000000"/>
        </w:rPr>
        <w:t xml:space="preserve">The population PK analysis of sebelipase alfa revealed no relevant effect of ADA positivity on the exposure to sebelipase alfa. In </w:t>
      </w:r>
      <w:r>
        <w:rPr>
          <w:rFonts w:eastAsiaTheme="minorHAnsi"/>
          <w:color w:val="000000"/>
        </w:rPr>
        <w:t>Study</w:t>
      </w:r>
      <w:r w:rsidRPr="003056B6">
        <w:rPr>
          <w:rFonts w:eastAsiaTheme="minorHAnsi"/>
          <w:color w:val="000000"/>
        </w:rPr>
        <w:t xml:space="preserve"> LAL-CL02 (in children and adults) and </w:t>
      </w:r>
      <w:r>
        <w:rPr>
          <w:rFonts w:eastAsiaTheme="minorHAnsi"/>
          <w:color w:val="000000"/>
        </w:rPr>
        <w:t>Study</w:t>
      </w:r>
      <w:r w:rsidRPr="003056B6">
        <w:rPr>
          <w:rFonts w:eastAsiaTheme="minorHAnsi"/>
          <w:color w:val="000000"/>
        </w:rPr>
        <w:t xml:space="preserve"> LAL-CL04 (in adults), there were no relevant effects of ADAs on the clinical efficacy and safety findings. In </w:t>
      </w:r>
      <w:r>
        <w:rPr>
          <w:rFonts w:eastAsiaTheme="minorHAnsi"/>
          <w:color w:val="000000"/>
        </w:rPr>
        <w:t>Study</w:t>
      </w:r>
      <w:r w:rsidR="00875320">
        <w:rPr>
          <w:rFonts w:eastAsiaTheme="minorHAnsi"/>
          <w:color w:val="000000"/>
        </w:rPr>
        <w:t> </w:t>
      </w:r>
      <w:r w:rsidRPr="003056B6">
        <w:rPr>
          <w:rFonts w:eastAsiaTheme="minorHAnsi"/>
          <w:color w:val="000000"/>
        </w:rPr>
        <w:t>LAL</w:t>
      </w:r>
      <w:r w:rsidR="002805E5">
        <w:rPr>
          <w:rFonts w:eastAsiaTheme="minorHAnsi"/>
          <w:color w:val="000000"/>
        </w:rPr>
        <w:noBreakHyphen/>
      </w:r>
      <w:r w:rsidRPr="003056B6">
        <w:rPr>
          <w:rFonts w:eastAsiaTheme="minorHAnsi"/>
          <w:color w:val="000000"/>
        </w:rPr>
        <w:t>CL03 (in infants), however, some potential impact on efficacy was observed in one infant positive for ADAs.</w:t>
      </w:r>
    </w:p>
    <w:p w14:paraId="3BE3EB29" w14:textId="77777777" w:rsidR="00605AD4" w:rsidRDefault="00945715" w:rsidP="00605AD4">
      <w:pPr>
        <w:pStyle w:val="Heading4"/>
      </w:pPr>
      <w:r w:rsidRPr="00605AD4">
        <w:t>Post marketing</w:t>
      </w:r>
      <w:r w:rsidR="00605AD4" w:rsidRPr="00605AD4">
        <w:t xml:space="preserve"> data</w:t>
      </w:r>
    </w:p>
    <w:p w14:paraId="31C15AD0" w14:textId="77777777" w:rsidR="00CF5709" w:rsidRPr="00CF5709" w:rsidRDefault="00CF5709" w:rsidP="00CF5709">
      <w:r w:rsidRPr="003056B6">
        <w:t>Sebelipase alfa received marketing approval in the European Un</w:t>
      </w:r>
      <w:r>
        <w:t xml:space="preserve">ion and the United States on 28 August 2015 and </w:t>
      </w:r>
      <w:r w:rsidRPr="003056B6">
        <w:t xml:space="preserve">8 </w:t>
      </w:r>
      <w:r>
        <w:t>December</w:t>
      </w:r>
      <w:r w:rsidRPr="003056B6">
        <w:t xml:space="preserve"> 2015, respectively. The sponsor has stated that no new safety concerns associated with sebelipase alfa administration have been identified to date based on cumulative safety data receive</w:t>
      </w:r>
      <w:r w:rsidR="00945715">
        <w:t xml:space="preserve">d in the post </w:t>
      </w:r>
      <w:r>
        <w:t>marketing setting</w:t>
      </w:r>
      <w:r w:rsidRPr="003056B6">
        <w:t xml:space="preserve">. However, no </w:t>
      </w:r>
      <w:r w:rsidR="004A1DEE">
        <w:t xml:space="preserve">periodic safety update </w:t>
      </w:r>
      <w:r w:rsidR="004A1DEE" w:rsidRPr="004A1DEE">
        <w:t>reports (</w:t>
      </w:r>
      <w:r w:rsidRPr="004A1DEE">
        <w:t>PSURs</w:t>
      </w:r>
      <w:r w:rsidR="004A1DEE" w:rsidRPr="004A1DEE">
        <w:t>)</w:t>
      </w:r>
      <w:r w:rsidRPr="004A1DEE">
        <w:t xml:space="preserve"> were</w:t>
      </w:r>
      <w:r w:rsidRPr="003056B6">
        <w:t xml:space="preserve"> provided for evaluation in the submitted dossier</w:t>
      </w:r>
      <w:r>
        <w:t>.</w:t>
      </w:r>
    </w:p>
    <w:p w14:paraId="61C5AC03" w14:textId="77777777" w:rsidR="00605AD4" w:rsidRPr="00605AD4" w:rsidRDefault="00605AD4" w:rsidP="00605AD4">
      <w:pPr>
        <w:pStyle w:val="Heading4"/>
      </w:pPr>
      <w:r w:rsidRPr="00605AD4">
        <w:t>Evaluator’s conclusions on safety</w:t>
      </w:r>
    </w:p>
    <w:p w14:paraId="7764CFBF" w14:textId="221CCAFD" w:rsidR="00CF5709" w:rsidRPr="004A1DEE" w:rsidRDefault="00CF5709" w:rsidP="00CF5709">
      <w:r w:rsidRPr="003056B6">
        <w:t xml:space="preserve">An integrated analysis of the safety data was conducted to assess any safety signals not otherwise previously reported from analyses performed in the individual studies. The integrated analysis was performed using safety data from </w:t>
      </w:r>
      <w:r>
        <w:t>open label</w:t>
      </w:r>
      <w:r w:rsidRPr="003056B6">
        <w:t xml:space="preserve"> studies (Stud</w:t>
      </w:r>
      <w:r>
        <w:t>ies</w:t>
      </w:r>
      <w:r w:rsidR="00945715">
        <w:t> </w:t>
      </w:r>
      <w:r>
        <w:t>LAL</w:t>
      </w:r>
      <w:r>
        <w:noBreakHyphen/>
        <w:t xml:space="preserve">CL01/ </w:t>
      </w:r>
      <w:r w:rsidRPr="003056B6">
        <w:t xml:space="preserve">LAL-CL04 </w:t>
      </w:r>
      <w:r>
        <w:t xml:space="preserve">and </w:t>
      </w:r>
      <w:r w:rsidRPr="003056B6">
        <w:t xml:space="preserve">LAL-CL03) and a single randomised </w:t>
      </w:r>
      <w:r>
        <w:t>placebo controlled</w:t>
      </w:r>
      <w:r w:rsidRPr="003056B6">
        <w:t xml:space="preserve"> clinical trial (</w:t>
      </w:r>
      <w:r>
        <w:t>Study</w:t>
      </w:r>
      <w:r w:rsidRPr="003056B6">
        <w:t xml:space="preserve"> LAL-CL02). Interpretation of results from this integrated safety analysis was limited by the marked differences in the rate of LAL</w:t>
      </w:r>
      <w:r w:rsidR="00BA6AD4">
        <w:t>-D</w:t>
      </w:r>
      <w:r w:rsidRPr="003056B6">
        <w:t xml:space="preserve"> disease </w:t>
      </w:r>
      <w:proofErr w:type="gramStart"/>
      <w:r>
        <w:t>progression,</w:t>
      </w:r>
      <w:proofErr w:type="gramEnd"/>
      <w:r w:rsidRPr="003056B6">
        <w:t xml:space="preserve"> comorbidities and frequency of inter</w:t>
      </w:r>
      <w:r>
        <w:t xml:space="preserve"> </w:t>
      </w:r>
      <w:r w:rsidRPr="003056B6">
        <w:t xml:space="preserve">current illness in infants relative to the children and adults. Infants (10.7% of the Pooled Safety Set </w:t>
      </w:r>
      <w:r w:rsidR="002805E5">
        <w:t>(</w:t>
      </w:r>
      <w:r w:rsidRPr="003056B6">
        <w:t>9/84</w:t>
      </w:r>
      <w:r w:rsidR="002805E5">
        <w:t>)</w:t>
      </w:r>
      <w:r w:rsidRPr="003056B6">
        <w:t xml:space="preserve">) were already substantially clinically compromised at the start of sebelipase alfa treatment with important co-morbidities in addition to risks of serious complications related to the to rapidly progressive liver, haematological, and malabsorption. Children and adults (89.2% of the Pooled Safety Set [75/84]) had more variable progression to serious complications and presented with less comorbidities at the start of sebelipase alfa treatment. In addition, infants were treated for longer treatment periods at the 3 mg/kg </w:t>
      </w:r>
      <w:r w:rsidR="000B4393">
        <w:t>once weekly</w:t>
      </w:r>
      <w:r w:rsidR="000B4393" w:rsidRPr="003056B6">
        <w:t xml:space="preserve"> </w:t>
      </w:r>
      <w:r w:rsidR="000B4393">
        <w:t>(</w:t>
      </w:r>
      <w:r w:rsidRPr="003056B6">
        <w:t>qw</w:t>
      </w:r>
      <w:r w:rsidR="000B4393">
        <w:t>)</w:t>
      </w:r>
      <w:r w:rsidRPr="003056B6">
        <w:t xml:space="preserve"> dosing regimens as compared to other sebelipase alfa dosing</w:t>
      </w:r>
      <w:r>
        <w:t xml:space="preserve"> regimens including the 3 mg/kg </w:t>
      </w:r>
      <w:r w:rsidRPr="003056B6">
        <w:t xml:space="preserve">qow dosing regimen </w:t>
      </w:r>
      <w:r w:rsidRPr="004A1DEE">
        <w:t>which primarily included adults.</w:t>
      </w:r>
    </w:p>
    <w:p w14:paraId="7182B85D" w14:textId="77777777" w:rsidR="00CF5709" w:rsidRPr="000D2935" w:rsidRDefault="00CF5709" w:rsidP="00CF5709">
      <w:r w:rsidRPr="004A1DEE">
        <w:t>When administered at doses up to 3 mg/kg qow in childr</w:t>
      </w:r>
      <w:r w:rsidR="00945715" w:rsidRPr="004A1DEE">
        <w:t>en and adults and up to 3 mg/kg </w:t>
      </w:r>
      <w:r w:rsidRPr="004A1DEE">
        <w:t>qw in infants, the safety profile of sebelipase alfa was considered to be favourable. Dose increases up to 5 mg</w:t>
      </w:r>
      <w:r w:rsidRPr="003056B6">
        <w:t>/kg qw in 2 infants, based on clinical response, did not substantially alter the safety profile. The majority of TEAEs were non</w:t>
      </w:r>
      <w:r w:rsidR="00945715">
        <w:t>-</w:t>
      </w:r>
      <w:r w:rsidRPr="003056B6">
        <w:t xml:space="preserve">serious, mild or </w:t>
      </w:r>
      <w:r w:rsidRPr="003056B6">
        <w:lastRenderedPageBreak/>
        <w:t xml:space="preserve">moderate in severity, and reported as unrelated to treatment with sebelipase alfa. The use of LLMs by subjects who received sebelipase alfa did not appear to impact the safety profile of sebelipase </w:t>
      </w:r>
      <w:r w:rsidRPr="000D2935">
        <w:t xml:space="preserve">alfa. </w:t>
      </w:r>
      <w:r>
        <w:t xml:space="preserve">The most common </w:t>
      </w:r>
      <w:r w:rsidR="00634E1D">
        <w:t>adverse events (</w:t>
      </w:r>
      <w:r>
        <w:t>AEs</w:t>
      </w:r>
      <w:r w:rsidR="00634E1D">
        <w:t>)</w:t>
      </w:r>
      <w:r>
        <w:t xml:space="preserve"> in p</w:t>
      </w:r>
      <w:r w:rsidRPr="000D2935">
        <w:rPr>
          <w:rFonts w:eastAsia="TimesNewRoman" w:cs="TimesNewRoman"/>
        </w:rPr>
        <w:t xml:space="preserve">atients with </w:t>
      </w:r>
      <w:r>
        <w:rPr>
          <w:rFonts w:eastAsia="TimesNewRoman" w:cs="TimesNewRoman"/>
        </w:rPr>
        <w:t>rapidly p</w:t>
      </w:r>
      <w:r w:rsidRPr="000D2935">
        <w:rPr>
          <w:rFonts w:eastAsia="TimesNewRoman" w:cs="TimesNewRoman"/>
        </w:rPr>
        <w:t xml:space="preserve">rogressive </w:t>
      </w:r>
      <w:r>
        <w:rPr>
          <w:rFonts w:eastAsia="TimesNewRoman" w:cs="TimesNewRoman"/>
        </w:rPr>
        <w:t>d</w:t>
      </w:r>
      <w:r w:rsidRPr="000D2935">
        <w:rPr>
          <w:rFonts w:eastAsia="TimesNewRoman" w:cs="TimesNewRoman"/>
        </w:rPr>
        <w:t xml:space="preserve">isease </w:t>
      </w:r>
      <w:r>
        <w:rPr>
          <w:rFonts w:eastAsia="TimesNewRoman" w:cs="TimesNewRoman"/>
        </w:rPr>
        <w:t>presenting within the f</w:t>
      </w:r>
      <w:r w:rsidRPr="000D2935">
        <w:rPr>
          <w:rFonts w:eastAsia="TimesNewRoman" w:cs="TimesNewRoman"/>
        </w:rPr>
        <w:t>irst 6</w:t>
      </w:r>
      <w:r>
        <w:rPr>
          <w:rFonts w:eastAsia="TimesNewRoman" w:cs="TimesNewRoman"/>
        </w:rPr>
        <w:t xml:space="preserve"> m</w:t>
      </w:r>
      <w:r w:rsidRPr="000D2935">
        <w:rPr>
          <w:rFonts w:eastAsia="TimesNewRoman" w:cs="TimesNewRoman"/>
        </w:rPr>
        <w:t xml:space="preserve">onths of </w:t>
      </w:r>
      <w:r>
        <w:rPr>
          <w:rFonts w:eastAsia="TimesNewRoman" w:cs="TimesNewRoman"/>
        </w:rPr>
        <w:t>l</w:t>
      </w:r>
      <w:r w:rsidRPr="000D2935">
        <w:rPr>
          <w:rFonts w:eastAsia="TimesNewRoman" w:cs="TimesNewRoman"/>
        </w:rPr>
        <w:t>ife (</w:t>
      </w:r>
      <w:r w:rsidR="00B935CA">
        <w:rPr>
          <w:rFonts w:eastAsia="TimesNewRoman" w:cs="SymbolMT"/>
        </w:rPr>
        <w:t xml:space="preserve">≥ </w:t>
      </w:r>
      <w:r>
        <w:rPr>
          <w:rFonts w:eastAsia="TimesNewRoman" w:cs="SymbolMT"/>
        </w:rPr>
        <w:t>3</w:t>
      </w:r>
      <w:r w:rsidRPr="000D2935">
        <w:rPr>
          <w:rFonts w:eastAsia="TimesNewRoman" w:cs="TimesNewRoman"/>
        </w:rPr>
        <w:t>0%)</w:t>
      </w:r>
      <w:r>
        <w:rPr>
          <w:rFonts w:eastAsia="TimesNewRoman" w:cs="TimesNewRoman"/>
        </w:rPr>
        <w:t xml:space="preserve"> were </w:t>
      </w:r>
      <w:r w:rsidRPr="000D2935">
        <w:rPr>
          <w:rFonts w:eastAsia="TimesNewRoman" w:cs="TimesNewRoman"/>
        </w:rPr>
        <w:t>diarrh</w:t>
      </w:r>
      <w:r>
        <w:rPr>
          <w:rFonts w:eastAsia="TimesNewRoman" w:cs="TimesNewRoman"/>
        </w:rPr>
        <w:t>o</w:t>
      </w:r>
      <w:r w:rsidRPr="000D2935">
        <w:rPr>
          <w:rFonts w:eastAsia="TimesNewRoman" w:cs="TimesNewRoman"/>
        </w:rPr>
        <w:t>ea, vomiting, fever, rhinitis, an</w:t>
      </w:r>
      <w:r>
        <w:rPr>
          <w:rFonts w:eastAsia="TimesNewRoman" w:cs="TimesNewRoman"/>
        </w:rPr>
        <w:t>a</w:t>
      </w:r>
      <w:r w:rsidRPr="000D2935">
        <w:rPr>
          <w:rFonts w:eastAsia="TimesNewRoman" w:cs="TimesNewRoman"/>
        </w:rPr>
        <w:t>emia,</w:t>
      </w:r>
      <w:r>
        <w:rPr>
          <w:rFonts w:eastAsia="TimesNewRoman" w:cs="TimesNewRoman"/>
        </w:rPr>
        <w:t xml:space="preserve"> </w:t>
      </w:r>
      <w:r w:rsidRPr="000D2935">
        <w:rPr>
          <w:rFonts w:eastAsia="TimesNewRoman" w:cs="TimesNewRoman"/>
        </w:rPr>
        <w:t>cough, nasop</w:t>
      </w:r>
      <w:r>
        <w:rPr>
          <w:rFonts w:eastAsia="TimesNewRoman" w:cs="TimesNewRoman"/>
        </w:rPr>
        <w:t>haryngitis, and urticaria. Common AEs in the paediatric and adult patients</w:t>
      </w:r>
      <w:r w:rsidRPr="000D2935">
        <w:rPr>
          <w:rFonts w:eastAsia="TimesNewRoman" w:cs="TimesNewRoman"/>
        </w:rPr>
        <w:t xml:space="preserve"> (</w:t>
      </w:r>
      <w:r w:rsidR="00B935CA">
        <w:rPr>
          <w:rFonts w:eastAsia="TimesNewRoman" w:cs="TimesNewRoman"/>
        </w:rPr>
        <w:t xml:space="preserve">≥ </w:t>
      </w:r>
      <w:r>
        <w:rPr>
          <w:rFonts w:eastAsia="TimesNewRoman" w:cs="TimesNewRoman"/>
        </w:rPr>
        <w:t>8</w:t>
      </w:r>
      <w:r w:rsidRPr="000D2935">
        <w:rPr>
          <w:rFonts w:eastAsia="TimesNewRoman" w:cs="TimesNewRoman"/>
        </w:rPr>
        <w:t>%)</w:t>
      </w:r>
      <w:r>
        <w:rPr>
          <w:rFonts w:eastAsia="TimesNewRoman" w:cs="TimesNewRoman"/>
        </w:rPr>
        <w:t xml:space="preserve"> included</w:t>
      </w:r>
      <w:r w:rsidRPr="000D2935">
        <w:rPr>
          <w:rFonts w:eastAsia="TimesNewRoman" w:cs="TimesNewRoman"/>
        </w:rPr>
        <w:t xml:space="preserve"> headache, fever, oropharyngeal</w:t>
      </w:r>
      <w:r>
        <w:rPr>
          <w:rFonts w:eastAsia="TimesNewRoman" w:cs="TimesNewRoman"/>
        </w:rPr>
        <w:t xml:space="preserve"> </w:t>
      </w:r>
      <w:r w:rsidRPr="000D2935">
        <w:rPr>
          <w:rFonts w:eastAsia="TimesNewRoman" w:cs="TimesNewRoman"/>
        </w:rPr>
        <w:t>pain, nasopharyngitis, asthenia, constipation, and nausea.</w:t>
      </w:r>
    </w:p>
    <w:p w14:paraId="3EE7A9DE" w14:textId="45A413C4" w:rsidR="00CF5709" w:rsidRDefault="00CF5709" w:rsidP="00CF5709">
      <w:r w:rsidRPr="000D2935">
        <w:rPr>
          <w:rFonts w:eastAsia="TimesNewRoman" w:cs="TimesNewRoman"/>
        </w:rPr>
        <w:t xml:space="preserve">In clinical trials, 3 of 106 (3%) patients treated with </w:t>
      </w:r>
      <w:r>
        <w:rPr>
          <w:rFonts w:eastAsia="TimesNewRoman" w:cs="TimesNewRoman"/>
        </w:rPr>
        <w:t>Kanuma</w:t>
      </w:r>
      <w:r w:rsidRPr="000D2935">
        <w:rPr>
          <w:rFonts w:eastAsia="TimesNewRoman" w:cs="TimesNewRoman"/>
        </w:rPr>
        <w:t xml:space="preserve"> experienced signs and</w:t>
      </w:r>
      <w:r>
        <w:rPr>
          <w:rFonts w:eastAsia="TimesNewRoman" w:cs="TimesNewRoman"/>
        </w:rPr>
        <w:t xml:space="preserve"> </w:t>
      </w:r>
      <w:r w:rsidRPr="000D2935">
        <w:rPr>
          <w:rFonts w:eastAsia="TimesNewRoman" w:cs="TimesNewRoman"/>
        </w:rPr>
        <w:t>symptoms consistent with anaphylaxis. These patients experienced reactions during infusion</w:t>
      </w:r>
      <w:r>
        <w:rPr>
          <w:rFonts w:eastAsia="TimesNewRoman" w:cs="TimesNewRoman"/>
        </w:rPr>
        <w:t xml:space="preserve"> </w:t>
      </w:r>
      <w:r w:rsidRPr="000D2935">
        <w:rPr>
          <w:rFonts w:eastAsia="TimesNewRoman" w:cs="TimesNewRoman"/>
        </w:rPr>
        <w:t>with signs and symptoms including chest discomfort, conjunctival injection, dyspn</w:t>
      </w:r>
      <w:r>
        <w:rPr>
          <w:rFonts w:eastAsia="TimesNewRoman" w:cs="TimesNewRoman"/>
        </w:rPr>
        <w:t>o</w:t>
      </w:r>
      <w:r w:rsidRPr="000D2935">
        <w:rPr>
          <w:rFonts w:eastAsia="TimesNewRoman" w:cs="TimesNewRoman"/>
        </w:rPr>
        <w:t>ea,</w:t>
      </w:r>
      <w:r>
        <w:rPr>
          <w:rFonts w:eastAsia="TimesNewRoman" w:cs="TimesNewRoman"/>
        </w:rPr>
        <w:t xml:space="preserve"> </w:t>
      </w:r>
      <w:r w:rsidRPr="000D2935">
        <w:rPr>
          <w:rFonts w:eastAsia="TimesNewRoman" w:cs="TimesNewRoman"/>
        </w:rPr>
        <w:t>generali</w:t>
      </w:r>
      <w:r w:rsidR="00654E93">
        <w:rPr>
          <w:rFonts w:eastAsia="TimesNewRoman" w:cs="TimesNewRoman"/>
        </w:rPr>
        <w:t>s</w:t>
      </w:r>
      <w:r w:rsidRPr="000D2935">
        <w:rPr>
          <w:rFonts w:eastAsia="TimesNewRoman" w:cs="TimesNewRoman"/>
        </w:rPr>
        <w:t>ed and itchy rash, hyper</w:t>
      </w:r>
      <w:r>
        <w:rPr>
          <w:rFonts w:eastAsia="TimesNewRoman" w:cs="TimesNewRoman"/>
        </w:rPr>
        <w:t>a</w:t>
      </w:r>
      <w:r w:rsidRPr="000D2935">
        <w:rPr>
          <w:rFonts w:eastAsia="TimesNewRoman" w:cs="TimesNewRoman"/>
        </w:rPr>
        <w:t>emia, swelling of eyelids, rhinorrh</w:t>
      </w:r>
      <w:r>
        <w:rPr>
          <w:rFonts w:eastAsia="TimesNewRoman" w:cs="TimesNewRoman"/>
        </w:rPr>
        <w:t>o</w:t>
      </w:r>
      <w:r w:rsidRPr="000D2935">
        <w:rPr>
          <w:rFonts w:eastAsia="TimesNewRoman" w:cs="TimesNewRoman"/>
        </w:rPr>
        <w:t>ea, severe respiratory</w:t>
      </w:r>
      <w:r>
        <w:rPr>
          <w:rFonts w:eastAsia="TimesNewRoman" w:cs="TimesNewRoman"/>
        </w:rPr>
        <w:t xml:space="preserve"> </w:t>
      </w:r>
      <w:r w:rsidRPr="000D2935">
        <w:rPr>
          <w:rFonts w:eastAsia="TimesNewRoman" w:cs="TimesNewRoman"/>
        </w:rPr>
        <w:t>distress, tachycardia, tachypn</w:t>
      </w:r>
      <w:r>
        <w:rPr>
          <w:rFonts w:eastAsia="TimesNewRoman" w:cs="TimesNewRoman"/>
        </w:rPr>
        <w:t>o</w:t>
      </w:r>
      <w:r w:rsidRPr="000D2935">
        <w:rPr>
          <w:rFonts w:eastAsia="TimesNewRoman" w:cs="TimesNewRoman"/>
        </w:rPr>
        <w:t>ea, and urticaria. Anaphylaxis has occurred as early as the sixth</w:t>
      </w:r>
      <w:r>
        <w:rPr>
          <w:rFonts w:eastAsia="TimesNewRoman" w:cs="TimesNewRoman"/>
        </w:rPr>
        <w:t xml:space="preserve"> </w:t>
      </w:r>
      <w:r w:rsidRPr="000D2935">
        <w:rPr>
          <w:rFonts w:eastAsia="TimesNewRoman" w:cs="TimesNewRoman"/>
        </w:rPr>
        <w:t>infusion and as late as 1 year after treatment initiation</w:t>
      </w:r>
      <w:r>
        <w:rPr>
          <w:rFonts w:eastAsia="TimesNewRoman" w:cs="TimesNewRoman"/>
        </w:rPr>
        <w:t xml:space="preserve">. </w:t>
      </w:r>
      <w:r w:rsidRPr="000D2935">
        <w:t>Signs and symptoms suggestive of a</w:t>
      </w:r>
      <w:r>
        <w:t xml:space="preserve"> h</w:t>
      </w:r>
      <w:r w:rsidRPr="000D2935">
        <w:t xml:space="preserve">ypersensitivity reaction were identified in 21/106 (20%) subjects who received sebelipase alfa, including 9/14 (64%) infants and 12/92 (13%) children and adults (based on the </w:t>
      </w:r>
      <w:r w:rsidR="002805E5" w:rsidRPr="000D2935">
        <w:t xml:space="preserve">updated pooled </w:t>
      </w:r>
      <w:r w:rsidRPr="000D2935">
        <w:t>Safety Set). These events occurred most often during or within 4 hours of the infusion. Although a small number of subjects experienced severe reactions, no</w:t>
      </w:r>
      <w:r w:rsidRPr="003056B6">
        <w:t xml:space="preserve"> subject permanently discontinued treatment with sebelipase alfa due to a possible hypersensitivity reaction. Hypersensitivity reactions were successfully managed by temporarily interrupting the infusion, reducing the infusion rate, and administration of antipyretics</w:t>
      </w:r>
      <w:r>
        <w:t xml:space="preserve">, </w:t>
      </w:r>
      <w:r w:rsidRPr="003056B6">
        <w:t>antihistamines</w:t>
      </w:r>
      <w:r>
        <w:t xml:space="preserve"> and c</w:t>
      </w:r>
      <w:r w:rsidRPr="003056B6">
        <w:t>orticosteroids</w:t>
      </w:r>
      <w:r>
        <w:t>.</w:t>
      </w:r>
    </w:p>
    <w:p w14:paraId="586C7AA5" w14:textId="51004091" w:rsidR="00CF5709" w:rsidRDefault="00CF5709" w:rsidP="00CF5709">
      <w:r w:rsidRPr="003056B6">
        <w:t xml:space="preserve">Twelve subjects in the </w:t>
      </w:r>
      <w:r w:rsidR="002805E5" w:rsidRPr="003056B6">
        <w:t xml:space="preserve">updated pooled </w:t>
      </w:r>
      <w:r w:rsidRPr="003056B6">
        <w:t>Safety Set tested positive for ADAs during the course of treatment with sebelipase alfa. A higher proportion of infants tested positive for ADAs at more than one time point compared to children and adults</w:t>
      </w:r>
      <w:r>
        <w:t xml:space="preserve"> most likely due to fact that </w:t>
      </w:r>
      <w:r w:rsidRPr="003056B6">
        <w:t xml:space="preserve">infants received higher doses of sebelipase alfa and more frequent dosing as compared to dosing regimens for the children and adults. A possible relationship of mutation status on the formation of ADAs could not be excluded as the majority of </w:t>
      </w:r>
      <w:r>
        <w:t>ADA positive</w:t>
      </w:r>
      <w:r w:rsidRPr="003056B6">
        <w:t xml:space="preserve"> subjects were categorised as </w:t>
      </w:r>
      <w:r w:rsidR="00945715">
        <w:t>‘</w:t>
      </w:r>
      <w:r w:rsidRPr="003056B6">
        <w:t>Other</w:t>
      </w:r>
      <w:r w:rsidR="00945715">
        <w:t>’</w:t>
      </w:r>
      <w:r w:rsidRPr="003056B6">
        <w:t xml:space="preserve"> mutation. No apparent impact of ADA development on hypersensitivity reactions, including anaphylaxis, was identified.</w:t>
      </w:r>
    </w:p>
    <w:p w14:paraId="54A9F357" w14:textId="77777777" w:rsidR="00605AD4" w:rsidRPr="00605AD4" w:rsidRDefault="00CF5709" w:rsidP="00605AD4">
      <w:r>
        <w:t>The safety aspects of the proposed PI are satisfactory.</w:t>
      </w:r>
    </w:p>
    <w:p w14:paraId="16E943EC" w14:textId="505E3655" w:rsidR="00605AD4" w:rsidRPr="00605AD4" w:rsidRDefault="00605AD4" w:rsidP="00605AD4">
      <w:pPr>
        <w:pStyle w:val="Heading3"/>
        <w:rPr>
          <w:rFonts w:eastAsia="Cambria"/>
        </w:rPr>
      </w:pPr>
      <w:bookmarkStart w:id="123" w:name="_Toc519601802"/>
      <w:r w:rsidRPr="00605AD4">
        <w:rPr>
          <w:rFonts w:eastAsia="Cambria"/>
        </w:rPr>
        <w:t xml:space="preserve">First </w:t>
      </w:r>
      <w:r w:rsidR="00B266A2" w:rsidRPr="00605AD4">
        <w:rPr>
          <w:rFonts w:eastAsia="Cambria"/>
        </w:rPr>
        <w:t>round benefit-risk assessment</w:t>
      </w:r>
      <w:bookmarkEnd w:id="123"/>
    </w:p>
    <w:p w14:paraId="0DDF7D1E" w14:textId="77777777" w:rsidR="00605AD4" w:rsidRDefault="00605AD4" w:rsidP="00605AD4">
      <w:pPr>
        <w:pStyle w:val="Heading4"/>
      </w:pPr>
      <w:r w:rsidRPr="00605AD4">
        <w:t>First round assessment of benefits</w:t>
      </w:r>
    </w:p>
    <w:p w14:paraId="11B9EA9F" w14:textId="246A977A" w:rsidR="002805E5" w:rsidRPr="002805E5" w:rsidRDefault="002805E5" w:rsidP="00171E6A">
      <w:r>
        <w:t>Table 9, shown below, gives a summary of the first round assessment of benefits.</w:t>
      </w:r>
    </w:p>
    <w:p w14:paraId="51CFAD35" w14:textId="77777777" w:rsidR="00CF5709" w:rsidRPr="00CF5709" w:rsidRDefault="00CF5709" w:rsidP="00CF5709">
      <w:pPr>
        <w:pStyle w:val="Tabletitle0"/>
      </w:pPr>
      <w:r w:rsidRPr="00CF5709">
        <w:t xml:space="preserve">Table </w:t>
      </w:r>
      <w:r w:rsidR="004A1DEE">
        <w:t>9</w:t>
      </w:r>
      <w:r w:rsidRPr="00CF5709">
        <w:t>: First round assessment of benefits</w:t>
      </w:r>
    </w:p>
    <w:tbl>
      <w:tblPr>
        <w:tblStyle w:val="TableGrid"/>
        <w:tblW w:w="0" w:type="auto"/>
        <w:tblInd w:w="108" w:type="dxa"/>
        <w:tblLook w:val="04A0" w:firstRow="1" w:lastRow="0" w:firstColumn="1" w:lastColumn="0" w:noHBand="0" w:noVBand="1"/>
      </w:tblPr>
      <w:tblGrid>
        <w:gridCol w:w="4420"/>
        <w:gridCol w:w="4192"/>
      </w:tblGrid>
      <w:tr w:rsidR="00CF5709" w:rsidRPr="003056B6" w14:paraId="41B0D4BC" w14:textId="77777777" w:rsidTr="00CA17A3">
        <w:trPr>
          <w:tblHeader/>
        </w:trPr>
        <w:tc>
          <w:tcPr>
            <w:tcW w:w="4511" w:type="dxa"/>
            <w:shd w:val="clear" w:color="auto" w:fill="006D9D"/>
          </w:tcPr>
          <w:p w14:paraId="2734A4C5" w14:textId="77777777" w:rsidR="00CF5709" w:rsidRPr="00171E6A" w:rsidRDefault="00CF5709" w:rsidP="00171E6A">
            <w:pPr>
              <w:rPr>
                <w:b/>
                <w:color w:val="FFFFFF" w:themeColor="background1"/>
              </w:rPr>
            </w:pPr>
            <w:r w:rsidRPr="00171E6A">
              <w:rPr>
                <w:b/>
                <w:color w:val="FFFFFF" w:themeColor="background1"/>
              </w:rPr>
              <w:t>Benefits</w:t>
            </w:r>
          </w:p>
        </w:tc>
        <w:tc>
          <w:tcPr>
            <w:tcW w:w="4278" w:type="dxa"/>
            <w:shd w:val="clear" w:color="auto" w:fill="006D9D"/>
          </w:tcPr>
          <w:p w14:paraId="29A1DD3A" w14:textId="77777777" w:rsidR="00CF5709" w:rsidRPr="00171E6A" w:rsidRDefault="00CF5709" w:rsidP="00171E6A">
            <w:pPr>
              <w:rPr>
                <w:b/>
                <w:color w:val="FFFFFF" w:themeColor="background1"/>
              </w:rPr>
            </w:pPr>
            <w:r w:rsidRPr="00171E6A">
              <w:rPr>
                <w:b/>
                <w:color w:val="FFFFFF" w:themeColor="background1"/>
              </w:rPr>
              <w:t>Strengths and Uncertainties</w:t>
            </w:r>
          </w:p>
        </w:tc>
      </w:tr>
      <w:tr w:rsidR="00CF5709" w:rsidRPr="000A1B5F" w14:paraId="7D81D961" w14:textId="77777777" w:rsidTr="00CA17A3">
        <w:tc>
          <w:tcPr>
            <w:tcW w:w="4511" w:type="dxa"/>
          </w:tcPr>
          <w:p w14:paraId="37DE01E5" w14:textId="42972776" w:rsidR="00CF5709" w:rsidRPr="003A7287" w:rsidRDefault="00CF5709" w:rsidP="00171E6A">
            <w:r w:rsidRPr="002805E5">
              <w:t>In children and adults with LAL</w:t>
            </w:r>
            <w:r w:rsidR="00BA6AD4" w:rsidRPr="002805E5">
              <w:t>-D</w:t>
            </w:r>
            <w:r w:rsidRPr="002805E5">
              <w:t>, sebelipase alfa was significantly more effective than placebo in normalisation of serum transaminases, correction of multiple dyslipidaemia parameters and reduction in hepatic fat content.</w:t>
            </w:r>
          </w:p>
        </w:tc>
        <w:tc>
          <w:tcPr>
            <w:tcW w:w="4278" w:type="dxa"/>
          </w:tcPr>
          <w:p w14:paraId="5AFB809C" w14:textId="77777777" w:rsidR="00CF5709" w:rsidRPr="00171E6A" w:rsidRDefault="00CF5709" w:rsidP="00171E6A">
            <w:r w:rsidRPr="002805E5">
              <w:t xml:space="preserve">Survival or effect on clinical endpoints was not evaluated. However, efficacy was shown across multiple endpoints representing important clinical abnormalities in children and adults with </w:t>
            </w:r>
            <w:r w:rsidR="008E5468" w:rsidRPr="002805E5">
              <w:t>LAL-D</w:t>
            </w:r>
            <w:r w:rsidRPr="002805E5">
              <w:t>.</w:t>
            </w:r>
          </w:p>
        </w:tc>
      </w:tr>
      <w:tr w:rsidR="00CF5709" w:rsidRPr="000A1B5F" w14:paraId="503C0B84" w14:textId="77777777" w:rsidTr="00171E6A">
        <w:trPr>
          <w:cantSplit/>
        </w:trPr>
        <w:tc>
          <w:tcPr>
            <w:tcW w:w="4511" w:type="dxa"/>
          </w:tcPr>
          <w:p w14:paraId="797D4FFA" w14:textId="3BD1AADE" w:rsidR="00CF5709" w:rsidRPr="00171E6A" w:rsidRDefault="00CF5709" w:rsidP="00171E6A">
            <w:r w:rsidRPr="00171E6A">
              <w:lastRenderedPageBreak/>
              <w:t xml:space="preserve">Evidence of efficacy in terms of improved survival and positive clinically meaningful effects on the multi systemic manifestations of </w:t>
            </w:r>
            <w:r w:rsidR="008E5468" w:rsidRPr="00171E6A">
              <w:t>LAL-D</w:t>
            </w:r>
            <w:r w:rsidRPr="00171E6A">
              <w:t xml:space="preserve"> shown in open label, uncontrolled study involving 9 infants with growth failure due to LAL</w:t>
            </w:r>
            <w:r w:rsidR="00BA6AD4" w:rsidRPr="00171E6A">
              <w:t>-D</w:t>
            </w:r>
            <w:r w:rsidRPr="00171E6A">
              <w:t>.</w:t>
            </w:r>
          </w:p>
        </w:tc>
        <w:tc>
          <w:tcPr>
            <w:tcW w:w="4278" w:type="dxa"/>
          </w:tcPr>
          <w:p w14:paraId="57721FD5" w14:textId="77777777" w:rsidR="00CF5709" w:rsidRPr="00171E6A" w:rsidRDefault="00CF5709" w:rsidP="00171E6A">
            <w:r w:rsidRPr="00171E6A">
              <w:t>Due to the more progressive and serious nature of the disease in infants and due to low prevalence, a placebo controlled study was not justified or possible in infants.</w:t>
            </w:r>
          </w:p>
        </w:tc>
      </w:tr>
      <w:tr w:rsidR="00CF5709" w:rsidRPr="000A1B5F" w14:paraId="450AED9E" w14:textId="77777777" w:rsidTr="00CA17A3">
        <w:tc>
          <w:tcPr>
            <w:tcW w:w="4511" w:type="dxa"/>
          </w:tcPr>
          <w:p w14:paraId="2A929854" w14:textId="77777777" w:rsidR="00CF5709" w:rsidRPr="00171E6A" w:rsidRDefault="00CF5709" w:rsidP="00171E6A">
            <w:r w:rsidRPr="00171E6A">
              <w:t>ERT with sebelipase alfa addresses the root cause of the disease. Currently available treatment options only include supportive therapies.</w:t>
            </w:r>
          </w:p>
        </w:tc>
        <w:tc>
          <w:tcPr>
            <w:tcW w:w="4278" w:type="dxa"/>
          </w:tcPr>
          <w:p w14:paraId="54EA8C08" w14:textId="77777777" w:rsidR="00CF5709" w:rsidRPr="00171E6A" w:rsidRDefault="00CF5709" w:rsidP="00171E6A">
            <w:r w:rsidRPr="00171E6A">
              <w:t>Sebelipase alfa replaces the missing or deficient enzyme leading to statistically significant and clinically meaningful reductions of the accumulated substrates and restoration of lipid metabolism</w:t>
            </w:r>
          </w:p>
        </w:tc>
      </w:tr>
      <w:tr w:rsidR="00CF5709" w:rsidRPr="000A1B5F" w14:paraId="55065C82" w14:textId="77777777" w:rsidTr="00CA17A3">
        <w:tc>
          <w:tcPr>
            <w:tcW w:w="4511" w:type="dxa"/>
          </w:tcPr>
          <w:p w14:paraId="4F4A90A7" w14:textId="77777777" w:rsidR="00CF5709" w:rsidRPr="00171E6A" w:rsidRDefault="00CF5709" w:rsidP="00171E6A">
            <w:r w:rsidRPr="00171E6A">
              <w:t>Favourable safety profile.</w:t>
            </w:r>
          </w:p>
        </w:tc>
        <w:tc>
          <w:tcPr>
            <w:tcW w:w="4278" w:type="dxa"/>
          </w:tcPr>
          <w:p w14:paraId="7A9C30BB" w14:textId="77777777" w:rsidR="00CF5709" w:rsidRPr="00171E6A" w:rsidRDefault="00CF5709" w:rsidP="00171E6A">
            <w:r w:rsidRPr="002805E5">
              <w:t>Majority of TEAEs were non-serious, mild or moderate in severity, and reported as unrelated to treatment with sebelipase alfa.</w:t>
            </w:r>
          </w:p>
        </w:tc>
      </w:tr>
    </w:tbl>
    <w:p w14:paraId="5E2D8E9E" w14:textId="77777777" w:rsidR="00605AD4" w:rsidRDefault="00605AD4" w:rsidP="00605AD4">
      <w:pPr>
        <w:pStyle w:val="Heading4"/>
      </w:pPr>
      <w:r w:rsidRPr="00605AD4">
        <w:t>First round assessment of risks</w:t>
      </w:r>
    </w:p>
    <w:p w14:paraId="2841E243" w14:textId="0291EE00" w:rsidR="002805E5" w:rsidRPr="002805E5" w:rsidRDefault="002805E5" w:rsidP="00171E6A">
      <w:r>
        <w:t>Table 10, shown below, gives the first round assessment of risk.</w:t>
      </w:r>
    </w:p>
    <w:p w14:paraId="14C526D5" w14:textId="7594C7AF" w:rsidR="00CF5709" w:rsidRPr="00CF5709" w:rsidRDefault="00CF5709" w:rsidP="00CF5709">
      <w:pPr>
        <w:pStyle w:val="Tabletitle0"/>
      </w:pPr>
      <w:r w:rsidRPr="00CF5709">
        <w:t xml:space="preserve">Table </w:t>
      </w:r>
      <w:r w:rsidR="004A1DEE">
        <w:t>10</w:t>
      </w:r>
      <w:r w:rsidRPr="00CF5709">
        <w:t xml:space="preserve">: </w:t>
      </w:r>
      <w:r w:rsidR="002805E5">
        <w:t>F</w:t>
      </w:r>
      <w:r w:rsidRPr="00CF5709">
        <w:t>irst round assessment of risks</w:t>
      </w:r>
    </w:p>
    <w:tbl>
      <w:tblPr>
        <w:tblStyle w:val="TableGrid"/>
        <w:tblW w:w="0" w:type="auto"/>
        <w:tblInd w:w="108" w:type="dxa"/>
        <w:tblLook w:val="04A0" w:firstRow="1" w:lastRow="0" w:firstColumn="1" w:lastColumn="0" w:noHBand="0" w:noVBand="1"/>
      </w:tblPr>
      <w:tblGrid>
        <w:gridCol w:w="4306"/>
        <w:gridCol w:w="4306"/>
      </w:tblGrid>
      <w:tr w:rsidR="00CF5709" w:rsidRPr="00AB7834" w14:paraId="584D8FBF" w14:textId="77777777" w:rsidTr="00CA17A3">
        <w:trPr>
          <w:tblHeader/>
        </w:trPr>
        <w:tc>
          <w:tcPr>
            <w:tcW w:w="4395" w:type="dxa"/>
            <w:shd w:val="clear" w:color="auto" w:fill="006DA7" w:themeFill="accent3"/>
          </w:tcPr>
          <w:p w14:paraId="6A6F6E47" w14:textId="77777777" w:rsidR="00CF5709" w:rsidRPr="00171E6A" w:rsidRDefault="00CF5709" w:rsidP="00171E6A">
            <w:pPr>
              <w:rPr>
                <w:b/>
                <w:color w:val="FFFFFF" w:themeColor="background1"/>
              </w:rPr>
            </w:pPr>
            <w:r w:rsidRPr="00171E6A">
              <w:rPr>
                <w:b/>
                <w:color w:val="FFFFFF" w:themeColor="background1"/>
              </w:rPr>
              <w:t>Risks</w:t>
            </w:r>
          </w:p>
        </w:tc>
        <w:tc>
          <w:tcPr>
            <w:tcW w:w="4394" w:type="dxa"/>
            <w:shd w:val="clear" w:color="auto" w:fill="006DA7" w:themeFill="accent3"/>
          </w:tcPr>
          <w:p w14:paraId="4FE67CC6" w14:textId="77777777" w:rsidR="00CF5709" w:rsidRPr="00171E6A" w:rsidRDefault="00CF5709" w:rsidP="00171E6A">
            <w:pPr>
              <w:rPr>
                <w:b/>
                <w:color w:val="FFFFFF" w:themeColor="background1"/>
              </w:rPr>
            </w:pPr>
            <w:r w:rsidRPr="00171E6A">
              <w:rPr>
                <w:b/>
                <w:color w:val="FFFFFF" w:themeColor="background1"/>
              </w:rPr>
              <w:t>Strengths and Uncertainties</w:t>
            </w:r>
          </w:p>
        </w:tc>
      </w:tr>
      <w:tr w:rsidR="00CF5709" w:rsidRPr="000A1B5F" w14:paraId="31E586F9" w14:textId="77777777" w:rsidTr="00CA17A3">
        <w:tc>
          <w:tcPr>
            <w:tcW w:w="4395" w:type="dxa"/>
          </w:tcPr>
          <w:p w14:paraId="329067BB" w14:textId="77777777" w:rsidR="00CF5709" w:rsidRPr="00055120" w:rsidRDefault="00CF5709" w:rsidP="00171E6A">
            <w:r w:rsidRPr="002805E5">
              <w:t>Risk of hypersensitivity including anaphylaxis</w:t>
            </w:r>
            <w:r w:rsidRPr="00055120">
              <w:t>.</w:t>
            </w:r>
          </w:p>
        </w:tc>
        <w:tc>
          <w:tcPr>
            <w:tcW w:w="4394" w:type="dxa"/>
          </w:tcPr>
          <w:p w14:paraId="68E84680" w14:textId="77777777" w:rsidR="00CF5709" w:rsidRPr="00171E6A" w:rsidRDefault="00CF5709" w:rsidP="00171E6A">
            <w:r w:rsidRPr="002805E5">
              <w:t>Signs and symptoms suggestive of a hypersensitivity reaction were identified in 21/106 (20%) subjects who received sebelipase alfa, including 9/14 (64%) infants and 12/92 (13%) children and adults. These events occurred most often during or within 4 hours of the infusion. No subject permanently discontinued treatment with sebelipase alfa due to a possible hypersensitivity reaction. Hypersensitivity reactions were successfully managed by temporarily interrupting the infusion, reducing the infusion rate, and administration of antipyretics and antihistamines with occasional use of corticosteroids</w:t>
            </w:r>
          </w:p>
        </w:tc>
      </w:tr>
      <w:tr w:rsidR="00CF5709" w:rsidRPr="000A1B5F" w14:paraId="0DFF1051" w14:textId="77777777" w:rsidTr="00CA17A3">
        <w:tc>
          <w:tcPr>
            <w:tcW w:w="4395" w:type="dxa"/>
          </w:tcPr>
          <w:p w14:paraId="4D77DC91" w14:textId="77777777" w:rsidR="00CF5709" w:rsidRPr="002805E5" w:rsidRDefault="00CF5709" w:rsidP="00171E6A">
            <w:r w:rsidRPr="002805E5">
              <w:t>Development of anti-drug antibodies (ADA)</w:t>
            </w:r>
          </w:p>
        </w:tc>
        <w:tc>
          <w:tcPr>
            <w:tcW w:w="4394" w:type="dxa"/>
          </w:tcPr>
          <w:p w14:paraId="0A5585EA" w14:textId="77777777" w:rsidR="00CF5709" w:rsidRPr="003A7287" w:rsidRDefault="00CF5709" w:rsidP="00171E6A">
            <w:r w:rsidRPr="00055120">
              <w:t xml:space="preserve">A higher proportion of infants tested positive for ADAs at more than one time point compared to children and adults most likely due to fact that infants received higher doses of sebelipase alfa and more frequent dosing as compared to </w:t>
            </w:r>
            <w:r w:rsidRPr="002805E5">
              <w:t>dosing regimens for the children and adults. No apparent impact of ADA development on hypersensitivity reactions, including anaphylaxis, was identified.</w:t>
            </w:r>
          </w:p>
        </w:tc>
      </w:tr>
    </w:tbl>
    <w:p w14:paraId="60826CC7" w14:textId="77777777" w:rsidR="00605AD4" w:rsidRPr="00605AD4" w:rsidRDefault="00605AD4" w:rsidP="00055120">
      <w:pPr>
        <w:pStyle w:val="Heading4"/>
      </w:pPr>
      <w:r w:rsidRPr="00605AD4">
        <w:lastRenderedPageBreak/>
        <w:t>First round assessment of benefit-risk balance</w:t>
      </w:r>
    </w:p>
    <w:p w14:paraId="0693E909" w14:textId="2C2E9BAA" w:rsidR="00CF5709" w:rsidRPr="000A1B5F" w:rsidRDefault="00CF5709" w:rsidP="00CF5709">
      <w:pPr>
        <w:rPr>
          <w:lang w:eastAsia="ja-JP"/>
        </w:rPr>
      </w:pPr>
      <w:r w:rsidRPr="000A1B5F">
        <w:t xml:space="preserve">The clinical development programme for sebelipase alfa was designed to provide evidence of safety and efficacy across the full spectrum of patients with </w:t>
      </w:r>
      <w:r w:rsidR="008E5468">
        <w:t>LAL-D</w:t>
      </w:r>
      <w:r w:rsidRPr="000A1B5F">
        <w:t xml:space="preserve">. Six clinical studies have been initiated to evaluate sebelipase alfa treatment in infants, children, and adults with </w:t>
      </w:r>
      <w:r w:rsidR="008E5468">
        <w:t>LAL-D</w:t>
      </w:r>
      <w:r w:rsidRPr="000A1B5F">
        <w:t>. Across the 4 studies submitted in the current dossier (</w:t>
      </w:r>
      <w:r w:rsidR="00055120">
        <w:t xml:space="preserve">Studies </w:t>
      </w:r>
      <w:r w:rsidRPr="000A1B5F">
        <w:t>LAL-CL02, LAL</w:t>
      </w:r>
      <w:r w:rsidR="001D1257">
        <w:noBreakHyphen/>
      </w:r>
      <w:r w:rsidRPr="000A1B5F">
        <w:t xml:space="preserve">CL03, LAL-CL01, LAL-CL04), a total of 84 subjects with </w:t>
      </w:r>
      <w:r w:rsidR="008E5468">
        <w:t>LAL-D</w:t>
      </w:r>
      <w:r w:rsidRPr="000A1B5F">
        <w:t>, including 9 infants, 47</w:t>
      </w:r>
      <w:r w:rsidR="001D1257">
        <w:t> </w:t>
      </w:r>
      <w:r w:rsidRPr="000A1B5F">
        <w:t>children and 28 adults, have received treatment with sebelipase alfa as of the data cut-offs for reporting the primary analyses of PK, PD, efficacy, and safety, and a total of 106 subjects (14 infants and 92 children and adults) have received sebelipase alfa as of the data cut-off for an updated safety analysis (which also included some data from the ongoing studies (</w:t>
      </w:r>
      <w:r w:rsidR="001D1257">
        <w:t xml:space="preserve">Studies </w:t>
      </w:r>
      <w:r w:rsidRPr="000A1B5F">
        <w:t xml:space="preserve">LAL-CL06 and LAL-CL08). In addition, the </w:t>
      </w:r>
      <w:r>
        <w:t>sponsor</w:t>
      </w:r>
      <w:r w:rsidRPr="000A1B5F">
        <w:t xml:space="preserve"> has completed a natural history </w:t>
      </w:r>
      <w:r w:rsidR="001D1257">
        <w:t>s</w:t>
      </w:r>
      <w:r>
        <w:t>tudy</w:t>
      </w:r>
      <w:r w:rsidRPr="000A1B5F">
        <w:t xml:space="preserve"> (</w:t>
      </w:r>
      <w:r w:rsidR="001D1257">
        <w:t xml:space="preserve">Study </w:t>
      </w:r>
      <w:r w:rsidRPr="000A1B5F">
        <w:t>LAL-01-NH01)</w:t>
      </w:r>
      <w:r>
        <w:t xml:space="preserve"> </w:t>
      </w:r>
      <w:r w:rsidRPr="000A1B5F">
        <w:t xml:space="preserve">in infants which provides a historical control for interpretation of the results of the interventional </w:t>
      </w:r>
      <w:r>
        <w:t>study</w:t>
      </w:r>
      <w:r w:rsidRPr="000A1B5F">
        <w:t xml:space="preserve"> in infants and an observational </w:t>
      </w:r>
      <w:r w:rsidR="001D1257">
        <w:t>study</w:t>
      </w:r>
      <w:r w:rsidR="001D1257" w:rsidRPr="000A1B5F">
        <w:t xml:space="preserve"> </w:t>
      </w:r>
      <w:r w:rsidRPr="000A1B5F">
        <w:t>(</w:t>
      </w:r>
      <w:r w:rsidR="001D1257">
        <w:t xml:space="preserve">Study </w:t>
      </w:r>
      <w:r w:rsidRPr="000A1B5F">
        <w:t>LAL-02-NH01) in children and adults which provides additional insights into the abnormalities associated with this disease across a broader population.</w:t>
      </w:r>
    </w:p>
    <w:p w14:paraId="735FB078" w14:textId="77777777" w:rsidR="00CF5709" w:rsidRPr="000A1B5F" w:rsidRDefault="00CF5709" w:rsidP="00CF5709">
      <w:r w:rsidRPr="000A1B5F">
        <w:t xml:space="preserve">The pivotal development strategy included 2 studies focused on developing evidence of safety and efficacy in the target patient population. The first was a randomised, </w:t>
      </w:r>
      <w:r w:rsidR="00945715">
        <w:t>double </w:t>
      </w:r>
      <w:proofErr w:type="gramStart"/>
      <w:r>
        <w:t>blind</w:t>
      </w:r>
      <w:r w:rsidR="00945715">
        <w:t>,</w:t>
      </w:r>
      <w:proofErr w:type="gramEnd"/>
      <w:r w:rsidRPr="000A1B5F">
        <w:t xml:space="preserve"> </w:t>
      </w:r>
      <w:r>
        <w:t>placebo controlled</w:t>
      </w:r>
      <w:r w:rsidRPr="000A1B5F">
        <w:t xml:space="preserve"> </w:t>
      </w:r>
      <w:r w:rsidR="00945715">
        <w:t>S</w:t>
      </w:r>
      <w:r>
        <w:t>tudy LAL-CL02</w:t>
      </w:r>
      <w:r w:rsidRPr="000A1B5F">
        <w:t xml:space="preserve">, evaluating improvements in multiple clinically important </w:t>
      </w:r>
      <w:r>
        <w:t>disease related</w:t>
      </w:r>
      <w:r w:rsidRPr="000A1B5F">
        <w:t xml:space="preserve"> abnormalities in children and adults where the rate of disease progression is more variable. In this </w:t>
      </w:r>
      <w:r>
        <w:t>study</w:t>
      </w:r>
      <w:r w:rsidRPr="000A1B5F">
        <w:t xml:space="preserve">, treatment with sebelipase alfa at proposed dose of </w:t>
      </w:r>
      <w:r>
        <w:t>1 mg</w:t>
      </w:r>
      <w:r w:rsidRPr="000A1B5F">
        <w:t xml:space="preserve">/kg qow was significantly more effective than placebo across multiple endpoints representing important clinical abnormalities in children and adults with </w:t>
      </w:r>
      <w:r w:rsidR="008E5468">
        <w:t>LAL-D</w:t>
      </w:r>
      <w:r w:rsidRPr="000A1B5F">
        <w:t xml:space="preserve">, including improvements over placebo in normalisation of serum transaminases, correction of multiple dyslipidaemia parameters, and reduction in hepatic fat content. Furthermore, the efficacy of sebelipase alfa was observed across subgroups based on demographic and baseline characteristics. </w:t>
      </w:r>
      <w:r w:rsidRPr="000A1B5F">
        <w:rPr>
          <w:color w:val="000000"/>
        </w:rPr>
        <w:t xml:space="preserve">During the </w:t>
      </w:r>
      <w:r>
        <w:rPr>
          <w:color w:val="000000"/>
        </w:rPr>
        <w:t>open label</w:t>
      </w:r>
      <w:r w:rsidRPr="000A1B5F">
        <w:rPr>
          <w:color w:val="000000"/>
        </w:rPr>
        <w:t xml:space="preserve"> treatment period, these improvements were maintained in the subjects treated with sebelipase alfa during the </w:t>
      </w:r>
      <w:r>
        <w:rPr>
          <w:color w:val="000000"/>
        </w:rPr>
        <w:t>double blind</w:t>
      </w:r>
      <w:r w:rsidRPr="000A1B5F">
        <w:rPr>
          <w:color w:val="000000"/>
        </w:rPr>
        <w:t xml:space="preserve"> period, and a similar pattern of response was observed in subjects switched from placebo to 1 mg/kg qow sebelipase alfa </w:t>
      </w:r>
      <w:r w:rsidRPr="000A1B5F">
        <w:t>with sustained normalisation of transaminases, further reduction in fat fraction in the liver and further reductions in total cholesterol, LDL-c, and triglycerides, with increases in HDL-c.</w:t>
      </w:r>
    </w:p>
    <w:p w14:paraId="3901E042" w14:textId="1CB28471" w:rsidR="00CF5709" w:rsidRPr="000A1B5F" w:rsidRDefault="00CF5709" w:rsidP="00CF5709">
      <w:r w:rsidRPr="000A1B5F">
        <w:t xml:space="preserve">The second </w:t>
      </w:r>
      <w:r w:rsidR="001D1257">
        <w:t>study</w:t>
      </w:r>
      <w:r w:rsidR="001D1257" w:rsidRPr="000A1B5F">
        <w:t xml:space="preserve"> </w:t>
      </w:r>
      <w:r w:rsidRPr="000A1B5F">
        <w:t>(</w:t>
      </w:r>
      <w:r w:rsidR="001D1257">
        <w:t xml:space="preserve">that is, Study </w:t>
      </w:r>
      <w:r w:rsidRPr="000A1B5F">
        <w:t xml:space="preserve">LAL-CL03) was based on demonstrating a survival benefit in infants with the most rapidly progressive presentation of this disease where a placebo controlled </w:t>
      </w:r>
      <w:r>
        <w:t>study</w:t>
      </w:r>
      <w:r w:rsidRPr="000A1B5F">
        <w:t xml:space="preserve"> would not be clinically or ethically acceptable. Use of the historical control was justified in the </w:t>
      </w:r>
      <w:r>
        <w:t>study</w:t>
      </w:r>
      <w:r w:rsidRPr="000A1B5F">
        <w:t xml:space="preserve"> in infants presenting with rapidly progressive disease given the reliably poor outcome in these patients. Infants with rapidly progressive </w:t>
      </w:r>
      <w:r w:rsidR="008E5468">
        <w:t>LAL-D</w:t>
      </w:r>
      <w:r w:rsidRPr="000A1B5F">
        <w:t xml:space="preserve"> who received treatment with sebelipase alfa demonstrated prolonged survival compared with an untreated historical control group. Survival was accompanied by substantial and rapid improvements in liver disease parameters, growth, and haematological abnormalities.</w:t>
      </w:r>
    </w:p>
    <w:p w14:paraId="180516C6" w14:textId="078FAFC8" w:rsidR="00CF5709" w:rsidRDefault="00CF5709" w:rsidP="00CF5709">
      <w:pPr>
        <w:rPr>
          <w:rFonts w:cs="TimesNewRomanPSMT"/>
        </w:rPr>
      </w:pPr>
      <w:r w:rsidRPr="000A1B5F">
        <w:t xml:space="preserve">While it is recognised that majority of endpoints used in these 2 main studies were surrogate endpoints, some of these assessments are used in clinical practice to monitor liver injury and the effectiveness of therapies in reducing cardiovascular risk. The consistent and substantial effects of sebelipase alfa treatment on these assessments, including reduction and normalisation of transaminase levels, improvements in multiple lipid parameters suggest that patients would likely be at reduced risk of important clinical events associated with disease progression that would occur in the absence of effective intervention. </w:t>
      </w:r>
      <w:r w:rsidRPr="000A1B5F">
        <w:rPr>
          <w:rFonts w:cs="TimesNewRomanPSMT"/>
        </w:rPr>
        <w:t xml:space="preserve">Clinical endpoints such as cardiovascular morbidity/mortality or effects on liver histopathology would have required larger sample size with longer </w:t>
      </w:r>
      <w:r>
        <w:rPr>
          <w:rFonts w:cs="TimesNewRomanPSMT"/>
        </w:rPr>
        <w:t>double blind</w:t>
      </w:r>
      <w:r w:rsidRPr="000A1B5F">
        <w:rPr>
          <w:rFonts w:cs="TimesNewRomanPSMT"/>
        </w:rPr>
        <w:t xml:space="preserve"> treatment periods which was not possible due to the low prevalence and variable disease progression associated with this multisystem disorder</w:t>
      </w:r>
      <w:r>
        <w:rPr>
          <w:rFonts w:cs="TimesNewRomanPSMT"/>
        </w:rPr>
        <w:t>.</w:t>
      </w:r>
    </w:p>
    <w:p w14:paraId="164778C2" w14:textId="77777777" w:rsidR="00CF5709" w:rsidRDefault="00CF5709" w:rsidP="00CF5709">
      <w:r w:rsidRPr="000A1B5F">
        <w:lastRenderedPageBreak/>
        <w:t xml:space="preserve">The 2 </w:t>
      </w:r>
      <w:r>
        <w:t>study</w:t>
      </w:r>
      <w:r w:rsidRPr="000A1B5F">
        <w:t xml:space="preserve"> populations that contributed main evidence for safety of sebelipase alfa were from </w:t>
      </w:r>
      <w:r>
        <w:t>Study</w:t>
      </w:r>
      <w:r w:rsidRPr="000A1B5F">
        <w:t xml:space="preserve"> LAL-CL03, with a small number of critically ill infants with the most rapidly progressive disease, and controlled </w:t>
      </w:r>
      <w:r>
        <w:t>Study</w:t>
      </w:r>
      <w:r w:rsidRPr="000A1B5F">
        <w:t xml:space="preserve"> LAL-CL02, which allowed for a more thorough evaluation due to a larger sample size and the use of a placebo group. The safety and tolerability profile of sebelipase alfa was considered to be favourable when administered at the recommended doses of 1 mg/kg qow in children and adults and 1 to 3 mg/kg qw in infants. The most commonly reported types of AEs were gastrointestinal disturbances, headache, pyrexia/body temperature increases, and upper respiratory signs and symptoms. The majority of TEAEs were non-serious, mild or moderate in severity, and reported as unrelated to treatment with sebelipase alfa. To date, there does not appear to be any apparent cumulative toxicity based on review of TEAE incidence over time on treatment. Review of the safety data across subgroups based on demographic and baseline characteristics did not reveal any group for which the risk of treatment would outweigh the benefits. The use of LLMs by subjects receiving sebelipase alfa does not appear to impact the safety profile of sebelipase alfa</w:t>
      </w:r>
      <w:r>
        <w:t>.</w:t>
      </w:r>
    </w:p>
    <w:p w14:paraId="4EF06140" w14:textId="77777777" w:rsidR="00CF5709" w:rsidRDefault="00CF5709" w:rsidP="00CF5709">
      <w:r w:rsidRPr="000A1B5F">
        <w:t xml:space="preserve">The safety profile in infants with the most rapidly progressive form of </w:t>
      </w:r>
      <w:r w:rsidR="008E5468">
        <w:t>LAL-D</w:t>
      </w:r>
      <w:r w:rsidRPr="000A1B5F">
        <w:t xml:space="preserve"> was consistent with their more severe underlying condition and comorbidities. Not unexpectedly, SAEs were more frequent among infants in </w:t>
      </w:r>
      <w:r>
        <w:t>Study</w:t>
      </w:r>
      <w:r w:rsidRPr="000A1B5F">
        <w:t xml:space="preserve"> LAL-CL03 (8 of 9 subjects, 89%) compared to children and adults in </w:t>
      </w:r>
      <w:r>
        <w:t>Study</w:t>
      </w:r>
      <w:r w:rsidRPr="000A1B5F">
        <w:t xml:space="preserve"> LAL-CL02 (4 of 75 subjects, 5%). The most common types of SAEs were infections, primarily catheter site or </w:t>
      </w:r>
      <w:r w:rsidR="008E71BE">
        <w:t>device related</w:t>
      </w:r>
      <w:r w:rsidRPr="000A1B5F">
        <w:t xml:space="preserve"> infections in infants; these types of infections occurred early in treatment likely due to the compromised </w:t>
      </w:r>
      <w:r>
        <w:t>study</w:t>
      </w:r>
      <w:r w:rsidRPr="000A1B5F">
        <w:t xml:space="preserve"> of these subjects at </w:t>
      </w:r>
      <w:r>
        <w:t>study</w:t>
      </w:r>
      <w:r w:rsidRPr="000A1B5F">
        <w:t xml:space="preserve"> entry. There were no safety signals for sebelipase alfa treatment based on review of haematology, clinical chemistry, vital signs, or ECG parameters</w:t>
      </w:r>
      <w:r>
        <w:t>.</w:t>
      </w:r>
    </w:p>
    <w:p w14:paraId="76CFA59E" w14:textId="77777777" w:rsidR="00CF5709" w:rsidRPr="000A1B5F" w:rsidRDefault="00CF5709" w:rsidP="00CF5709">
      <w:r>
        <w:t>Infusion associated</w:t>
      </w:r>
      <w:r w:rsidRPr="000A1B5F">
        <w:t xml:space="preserve"> reactions are relatively common for protein containing medicinal products which are administered parentally. Overall, 19.8% of subjects treated with sebelipase alfa were determined to have experienced signs and symptoms that could be consistent with or related to hypersensitivity reactions. These events were observed more frequently in infants (64.3%) than in children and adults (13.0%). The majority of the events occurred during or within 4 hours of the completion of the infusion and were mild in severity. Although a small number of subjects experienced severe reactions, no subject has permanently discontinued treatment with sebelipase alfa due to a possible hypersensitivity reaction. Hypersensitivity reactions, including anaphylaxis, have been observed with other ERTs, including those used to treat </w:t>
      </w:r>
      <w:proofErr w:type="gramStart"/>
      <w:r w:rsidRPr="000A1B5F">
        <w:t>Gaucher</w:t>
      </w:r>
      <w:proofErr w:type="gramEnd"/>
      <w:r w:rsidRPr="000A1B5F">
        <w:t xml:space="preserve"> disease and mucopolysaccharidoses. The proposed prescribing information for sebelipase alfa includes appropriate warnings and precautions for hypersensitivity reactions, including anaphylaxis, specifically to stop the infusion and initiate appropriate medical treatment if a severe reaction is observed.</w:t>
      </w:r>
    </w:p>
    <w:p w14:paraId="1711A8A5" w14:textId="77777777" w:rsidR="00CF5709" w:rsidRDefault="00CF5709" w:rsidP="00CF5709">
      <w:r w:rsidRPr="000A1B5F">
        <w:t xml:space="preserve">Overall, </w:t>
      </w:r>
      <w:r w:rsidR="00FC1992">
        <w:t xml:space="preserve">a </w:t>
      </w:r>
      <w:r w:rsidRPr="000A1B5F">
        <w:t xml:space="preserve">higher proportion of infants (4/7, 57%) were positive for sebelipase alfa antibodies during at least one assessment compared </w:t>
      </w:r>
      <w:r w:rsidR="00FC1992">
        <w:t xml:space="preserve">to </w:t>
      </w:r>
      <w:r w:rsidRPr="000A1B5F">
        <w:t xml:space="preserve">children and adults (6/58, 10%). Median time to first ADA positive result was approximately 2 months. All of these subjects were able to continue treatment without interruption, although the </w:t>
      </w:r>
      <w:r w:rsidR="008E5468">
        <w:t>long term</w:t>
      </w:r>
      <w:r w:rsidRPr="000A1B5F">
        <w:t xml:space="preserve"> </w:t>
      </w:r>
      <w:proofErr w:type="gramStart"/>
      <w:r w:rsidRPr="000A1B5F">
        <w:t xml:space="preserve">implications regarding </w:t>
      </w:r>
      <w:r w:rsidR="00FC1992">
        <w:t xml:space="preserve">the </w:t>
      </w:r>
      <w:r w:rsidRPr="000A1B5F">
        <w:t>effect of ADAs on the efficacy of sebelipase alfa is</w:t>
      </w:r>
      <w:proofErr w:type="gramEnd"/>
      <w:r w:rsidRPr="000A1B5F">
        <w:t xml:space="preserve"> not known at this stage. No clear relationship between the presence of ADAs and IARs or the overall TEAE profile was apparent</w:t>
      </w:r>
      <w:r>
        <w:t>.</w:t>
      </w:r>
    </w:p>
    <w:p w14:paraId="1B7F7A5D" w14:textId="77777777" w:rsidR="00CF5709" w:rsidRDefault="00CF5709" w:rsidP="00CF5709">
      <w:r w:rsidRPr="000A1B5F">
        <w:t>Clinical studies did not include elderly subjects and excluded subjects with known egg allergies, and the risks of treatment with sebelipase alfa versus the potential benefits should be carefully considered in these patients</w:t>
      </w:r>
      <w:r>
        <w:t>.</w:t>
      </w:r>
    </w:p>
    <w:p w14:paraId="04861303" w14:textId="77777777" w:rsidR="00CF5709" w:rsidRPr="000A1B5F" w:rsidRDefault="00CF5709" w:rsidP="00CF5709">
      <w:r w:rsidRPr="000A1B5F">
        <w:t xml:space="preserve">Treatment with sebelipase alfa in infants has been shown to prolong survival in this very ill and vulnerable patient population; the improvement in survival was accompanied by substantial and rapid improvements in hepatic disease, growth, and haematological abnormalities. In children and adults, treatment with sebelipase alfa led to statistically </w:t>
      </w:r>
      <w:r w:rsidRPr="000A1B5F">
        <w:lastRenderedPageBreak/>
        <w:t xml:space="preserve">significant and clinically meaningful improvements in serum transaminase levels, correction of dyslipidaemia, and reduction in hepatic fat content. These results demonstrate that sebelipase alfa is effectively addressing the root cause of disease across the full spectrum of patients affected with </w:t>
      </w:r>
      <w:r w:rsidR="008E5468">
        <w:t>LAL-D</w:t>
      </w:r>
      <w:r w:rsidRPr="000A1B5F">
        <w:t>. Importantly, the safety and tolerability profile of sebelipase alfa is consistent with expectations and was favourable when administered at proposed doses up to 3 mg/kg qow in children and adults and doses up to 5 mg/kg qw in infants.</w:t>
      </w:r>
    </w:p>
    <w:p w14:paraId="269409AC" w14:textId="2E573F22" w:rsidR="00CF5709" w:rsidRDefault="00CF5709" w:rsidP="00CF5709">
      <w:pPr>
        <w:rPr>
          <w:rFonts w:cs="ArialMT"/>
        </w:rPr>
      </w:pPr>
      <w:r w:rsidRPr="000A1B5F">
        <w:t xml:space="preserve">Currently, there are no safe or effective therapies for this serious and </w:t>
      </w:r>
      <w:r>
        <w:t>life threatening</w:t>
      </w:r>
      <w:r w:rsidRPr="000A1B5F">
        <w:t xml:space="preserve"> disease. Statins and other </w:t>
      </w:r>
      <w:r>
        <w:t>lipid modifying</w:t>
      </w:r>
      <w:r w:rsidRPr="000A1B5F">
        <w:t xml:space="preserve"> agents have been used in attempts to affect abnormal blood lipid levels, but dyslipidaemia is persistent in many patients despite use of these drugs, and liver disease progresses despite their use. In the context of approvals of drugs developed for other rare genetic lipid disorders, regulatory authorities have stated that in the absence of cardiovascular outcomes data,</w:t>
      </w:r>
      <w:r w:rsidR="00945715">
        <w:t xml:space="preserve"> decisions to approve novel LDL </w:t>
      </w:r>
      <w:r w:rsidRPr="000A1B5F">
        <w:t>lowering therapies are not only influenced by the direction and magnitude of drug-induced changes in LDL-c, but also by the effects of the drug on other lipid parameters and markers of cardio</w:t>
      </w:r>
      <w:r w:rsidR="00945715">
        <w:t>-</w:t>
      </w:r>
      <w:r w:rsidRPr="000A1B5F">
        <w:t xml:space="preserve">metabolic risk, as well as evidence for off-target toxicity. Sebelipase alfa meets these criteria and the potential for off-target toxicity is limited. </w:t>
      </w:r>
      <w:r w:rsidRPr="004A1DEE">
        <w:t>HSCT</w:t>
      </w:r>
      <w:r w:rsidRPr="000A1B5F">
        <w:t xml:space="preserve"> and liver transplant have also been utilised in attempts to mitigate the effects of </w:t>
      </w:r>
      <w:r w:rsidR="008E5468">
        <w:t>LAL-D</w:t>
      </w:r>
      <w:r w:rsidRPr="000A1B5F">
        <w:t>, but these both have significant limitations and are associated with independent toxicities.</w:t>
      </w:r>
      <w:r w:rsidRPr="000A1B5F">
        <w:rPr>
          <w:rFonts w:cs="ArialMT"/>
        </w:rPr>
        <w:t xml:space="preserve"> No therapy has been shown to be safe or effective for the treatment of infants with rapidly progressive LAL</w:t>
      </w:r>
      <w:r w:rsidR="00BA6AD4">
        <w:rPr>
          <w:rFonts w:cs="ArialMT"/>
        </w:rPr>
        <w:t>-D</w:t>
      </w:r>
      <w:r w:rsidRPr="000A1B5F">
        <w:rPr>
          <w:rFonts w:cs="ArialMT"/>
        </w:rPr>
        <w:t>. HSCT has been used experimentally in infants but has a high morbidity and mortality</w:t>
      </w:r>
      <w:r>
        <w:rPr>
          <w:rFonts w:cs="ArialMT"/>
        </w:rPr>
        <w:t>.</w:t>
      </w:r>
    </w:p>
    <w:p w14:paraId="1843CC13" w14:textId="77777777" w:rsidR="00605AD4" w:rsidRPr="00CF5709" w:rsidRDefault="00CF5709" w:rsidP="00605AD4">
      <w:pPr>
        <w:rPr>
          <w:rFonts w:cs="ArialMT"/>
        </w:rPr>
      </w:pPr>
      <w:r w:rsidRPr="000A1B5F">
        <w:t xml:space="preserve">Sebelipase alfa provides a major advance in the treatment of this serious and </w:t>
      </w:r>
      <w:r>
        <w:t>life threatening</w:t>
      </w:r>
      <w:r w:rsidRPr="000A1B5F">
        <w:t xml:space="preserve"> disease through direct replacement of the missing or deficient enzyme. Overall, the benefit-risk assessment for sebelipase alfa is favourab</w:t>
      </w:r>
      <w:r>
        <w:t>le for its proposed use as life</w:t>
      </w:r>
      <w:r w:rsidRPr="000A1B5F">
        <w:t xml:space="preserve">long ERT in infants, children and adults with </w:t>
      </w:r>
      <w:r w:rsidR="008E5468">
        <w:t>LAL-D</w:t>
      </w:r>
      <w:r w:rsidRPr="000A1B5F">
        <w:t>.</w:t>
      </w:r>
    </w:p>
    <w:p w14:paraId="7BF8BE67" w14:textId="087713C0" w:rsidR="00605AD4" w:rsidRPr="00605AD4" w:rsidRDefault="00605AD4" w:rsidP="00605AD4">
      <w:pPr>
        <w:pStyle w:val="Heading3"/>
        <w:rPr>
          <w:rFonts w:eastAsia="Cambria"/>
        </w:rPr>
      </w:pPr>
      <w:bookmarkStart w:id="124" w:name="_Toc519601803"/>
      <w:r w:rsidRPr="00605AD4">
        <w:rPr>
          <w:rFonts w:eastAsia="Cambria"/>
        </w:rPr>
        <w:t xml:space="preserve">First </w:t>
      </w:r>
      <w:r w:rsidR="00563448" w:rsidRPr="00605AD4">
        <w:rPr>
          <w:rFonts w:eastAsia="Cambria"/>
        </w:rPr>
        <w:t>round recommendation regarding authorisation</w:t>
      </w:r>
      <w:bookmarkEnd w:id="124"/>
    </w:p>
    <w:p w14:paraId="10AD7CE4" w14:textId="77777777" w:rsidR="00CF5709" w:rsidRDefault="00CF5709" w:rsidP="00CF5709">
      <w:pPr>
        <w:rPr>
          <w:lang w:eastAsia="ja-JP"/>
        </w:rPr>
      </w:pPr>
      <w:r w:rsidRPr="00AB7834">
        <w:rPr>
          <w:lang w:eastAsia="ja-JP"/>
        </w:rPr>
        <w:t>It is recommended that Kanuma</w:t>
      </w:r>
      <w:r>
        <w:rPr>
          <w:lang w:eastAsia="ja-JP"/>
        </w:rPr>
        <w:t xml:space="preserve"> (s</w:t>
      </w:r>
      <w:r w:rsidRPr="00AB7834">
        <w:rPr>
          <w:lang w:eastAsia="ja-JP"/>
        </w:rPr>
        <w:t>ebelipase alfa) be approved for the following proposed indication</w:t>
      </w:r>
      <w:r>
        <w:rPr>
          <w:lang w:eastAsia="ja-JP"/>
        </w:rPr>
        <w:t>:</w:t>
      </w:r>
    </w:p>
    <w:p w14:paraId="6A9CF9E3" w14:textId="77777777" w:rsidR="00605AD4" w:rsidRDefault="00CF5709" w:rsidP="00CF5709">
      <w:pPr>
        <w:ind w:left="720"/>
        <w:rPr>
          <w:i/>
        </w:rPr>
      </w:pPr>
      <w:r w:rsidRPr="009D434A">
        <w:rPr>
          <w:i/>
        </w:rPr>
        <w:t xml:space="preserve">Kanuma (sebelipase alfa) is indicated for </w:t>
      </w:r>
      <w:r w:rsidR="008E5468">
        <w:rPr>
          <w:i/>
        </w:rPr>
        <w:t>long term</w:t>
      </w:r>
      <w:r w:rsidRPr="009D434A">
        <w:rPr>
          <w:i/>
        </w:rPr>
        <w:t xml:space="preserve"> enzyme replacement therapy (ERT) in patients of all ages with lysosomal acid lipase deficiency (LAL-D).</w:t>
      </w:r>
    </w:p>
    <w:p w14:paraId="232B691C" w14:textId="77777777" w:rsidR="00CF5709" w:rsidRPr="00CF5709" w:rsidRDefault="00CF5709" w:rsidP="00CF5709">
      <w:r>
        <w:rPr>
          <w:lang w:eastAsia="ja-JP"/>
        </w:rPr>
        <w:t>The second round recommendation by the clinical evaluator was the same as the first round with no changes made as there were no significant questions raised in the evaluation.</w:t>
      </w:r>
    </w:p>
    <w:p w14:paraId="536C2360" w14:textId="77777777" w:rsidR="008E7846" w:rsidRPr="00E41208" w:rsidRDefault="008E7846" w:rsidP="00546154">
      <w:pPr>
        <w:pStyle w:val="Heading2"/>
      </w:pPr>
      <w:bookmarkStart w:id="125" w:name="_Toc519601804"/>
      <w:r w:rsidRPr="00E41208">
        <w:t>V</w:t>
      </w:r>
      <w:r w:rsidR="00433E27">
        <w:t>I</w:t>
      </w:r>
      <w:r w:rsidRPr="00E41208">
        <w:t xml:space="preserve">. Pharmacovigilance </w:t>
      </w:r>
      <w:r>
        <w:t>f</w:t>
      </w:r>
      <w:r w:rsidRPr="00E41208">
        <w:t>indings</w:t>
      </w:r>
      <w:bookmarkEnd w:id="101"/>
      <w:bookmarkEnd w:id="102"/>
      <w:bookmarkEnd w:id="125"/>
    </w:p>
    <w:p w14:paraId="7695E94C" w14:textId="77777777" w:rsidR="008E7846" w:rsidRDefault="00386150" w:rsidP="008E7846">
      <w:pPr>
        <w:pStyle w:val="Heading3"/>
        <w:rPr>
          <w:lang w:eastAsia="en-AU"/>
        </w:rPr>
      </w:pPr>
      <w:bookmarkStart w:id="126" w:name="_Toc247691526"/>
      <w:bookmarkStart w:id="127" w:name="_Toc314842509"/>
      <w:bookmarkStart w:id="128" w:name="_Toc519601805"/>
      <w:r>
        <w:rPr>
          <w:lang w:eastAsia="en-AU"/>
        </w:rPr>
        <w:t>Risk m</w:t>
      </w:r>
      <w:r w:rsidR="008E7846">
        <w:rPr>
          <w:lang w:eastAsia="en-AU"/>
        </w:rPr>
        <w:t xml:space="preserve">anagement </w:t>
      </w:r>
      <w:r>
        <w:rPr>
          <w:lang w:eastAsia="en-AU"/>
        </w:rPr>
        <w:t>p</w:t>
      </w:r>
      <w:r w:rsidR="008E7846">
        <w:rPr>
          <w:lang w:eastAsia="en-AU"/>
        </w:rPr>
        <w:t>lan</w:t>
      </w:r>
      <w:bookmarkEnd w:id="126"/>
      <w:bookmarkEnd w:id="127"/>
      <w:bookmarkEnd w:id="128"/>
    </w:p>
    <w:p w14:paraId="7023F720" w14:textId="641DCD06" w:rsidR="00CA17A3" w:rsidRDefault="00654E93" w:rsidP="004215EA">
      <w:pPr>
        <w:pStyle w:val="ListBullet"/>
      </w:pPr>
      <w:r>
        <w:t>The sponsor</w:t>
      </w:r>
      <w:r w:rsidR="004215EA" w:rsidRPr="000C4614">
        <w:t xml:space="preserve"> has applied to register a new biological</w:t>
      </w:r>
      <w:r w:rsidR="004215EA">
        <w:t xml:space="preserve"> entity, sebelipase alfa (</w:t>
      </w:r>
      <w:r w:rsidR="004215EA" w:rsidRPr="00953E28">
        <w:t>Kanuma). Kanuma</w:t>
      </w:r>
      <w:r w:rsidR="004215EA" w:rsidRPr="000C4614">
        <w:t xml:space="preserve"> has been designated orphan drug status </w:t>
      </w:r>
      <w:r w:rsidR="004215EA">
        <w:t xml:space="preserve">by the TGA </w:t>
      </w:r>
      <w:r w:rsidR="004215EA" w:rsidRPr="000C4614">
        <w:t xml:space="preserve">and is proposed to be used as </w:t>
      </w:r>
      <w:r w:rsidR="008E5468">
        <w:t>long term</w:t>
      </w:r>
      <w:r w:rsidR="004215EA" w:rsidRPr="000C4614">
        <w:t xml:space="preserve"> enzyme replacement therapy (ERT) in patients of all ages with </w:t>
      </w:r>
      <w:r w:rsidR="001D1257" w:rsidRPr="000C4614">
        <w:t>lysosomal acid l</w:t>
      </w:r>
      <w:r w:rsidR="001D1257">
        <w:t xml:space="preserve">ipase deficiency </w:t>
      </w:r>
      <w:r w:rsidR="004215EA">
        <w:t>(LAL-D)</w:t>
      </w:r>
      <w:r w:rsidR="00CA17A3">
        <w:t>.</w:t>
      </w:r>
    </w:p>
    <w:p w14:paraId="2ECC83D5" w14:textId="083A0745" w:rsidR="004215EA" w:rsidRPr="000C4614" w:rsidRDefault="004215EA" w:rsidP="004215EA">
      <w:pPr>
        <w:pStyle w:val="ListBullet"/>
      </w:pPr>
      <w:r w:rsidRPr="00953E28">
        <w:t>Kanuma</w:t>
      </w:r>
      <w:r w:rsidRPr="000C4614">
        <w:t xml:space="preserve"> is available as a 2 mg/mL solution which is diluted with sodium chloride 0.9% for </w:t>
      </w:r>
      <w:r w:rsidR="001D1257">
        <w:t>IV</w:t>
      </w:r>
      <w:r w:rsidR="001D1257" w:rsidRPr="000C4614">
        <w:t xml:space="preserve"> </w:t>
      </w:r>
      <w:r w:rsidRPr="000C4614">
        <w:t>infusion</w:t>
      </w:r>
      <w:r>
        <w:t xml:space="preserve"> over 1 to 2 hours</w:t>
      </w:r>
      <w:r w:rsidRPr="000C4614">
        <w:t>. The proposed dosing regimen is 1 to 3</w:t>
      </w:r>
      <w:r w:rsidR="001D1257">
        <w:t> </w:t>
      </w:r>
      <w:r w:rsidRPr="000C4614">
        <w:t>mg/kg once weekly for infants less than 6 months and</w:t>
      </w:r>
      <w:r>
        <w:t xml:space="preserve"> 1 </w:t>
      </w:r>
      <w:r w:rsidRPr="000C4614">
        <w:t>mg/kg fortnightly for children and adults.</w:t>
      </w:r>
    </w:p>
    <w:p w14:paraId="76EA49EF" w14:textId="35358775" w:rsidR="00CA17A3" w:rsidRDefault="00654E93" w:rsidP="004215EA">
      <w:pPr>
        <w:pStyle w:val="ListBullet"/>
      </w:pPr>
      <w:r>
        <w:lastRenderedPageBreak/>
        <w:t>The sponsor</w:t>
      </w:r>
      <w:r w:rsidR="004215EA" w:rsidRPr="000C4614">
        <w:t xml:space="preserve"> has submitted EU-RMP version 1.0 (20 August 2015; </w:t>
      </w:r>
      <w:r w:rsidR="001D1257">
        <w:t>data lock point (</w:t>
      </w:r>
      <w:r w:rsidR="004215EA" w:rsidRPr="000C4614">
        <w:t>DLP</w:t>
      </w:r>
      <w:r w:rsidR="001D1257">
        <w:t>)</w:t>
      </w:r>
      <w:r w:rsidR="004215EA" w:rsidRPr="000C4614">
        <w:t xml:space="preserve"> 8 September 2014) and ASA version1.0 (April 2016) in support of this application</w:t>
      </w:r>
      <w:r w:rsidR="00CA17A3">
        <w:t>.</w:t>
      </w:r>
    </w:p>
    <w:p w14:paraId="15234193" w14:textId="1693D933" w:rsidR="004215EA" w:rsidRDefault="004215EA" w:rsidP="004215EA">
      <w:pPr>
        <w:pStyle w:val="ListBullet"/>
      </w:pPr>
      <w:r w:rsidRPr="000C4614">
        <w:t>The proposed Summary of Safety Concerns and their associated risk monitoring and mitigation strategies are summarised below</w:t>
      </w:r>
      <w:r w:rsidR="00953E28">
        <w:t xml:space="preserve"> </w:t>
      </w:r>
      <w:r w:rsidR="001D1257">
        <w:t xml:space="preserve">in </w:t>
      </w:r>
      <w:r w:rsidR="00953E28">
        <w:t xml:space="preserve">Table </w:t>
      </w:r>
      <w:r w:rsidR="004A1DEE">
        <w:t>11</w:t>
      </w:r>
      <w:r w:rsidR="001D1257">
        <w:t>.</w:t>
      </w:r>
    </w:p>
    <w:p w14:paraId="04975FAD" w14:textId="3E2A5847" w:rsidR="00953E28" w:rsidRPr="000C4614" w:rsidRDefault="00953E28" w:rsidP="00953E28">
      <w:pPr>
        <w:pStyle w:val="Tabletitle0"/>
      </w:pPr>
      <w:r>
        <w:t xml:space="preserve">Table </w:t>
      </w:r>
      <w:r w:rsidR="004A1DEE">
        <w:t>11:</w:t>
      </w:r>
      <w:r>
        <w:t xml:space="preserve"> Summary of </w:t>
      </w:r>
      <w:r w:rsidR="001D1257">
        <w:t>Safety Concerns</w:t>
      </w:r>
    </w:p>
    <w:tbl>
      <w:tblPr>
        <w:tblStyle w:val="TableTGAblue"/>
        <w:tblW w:w="8617" w:type="dxa"/>
        <w:tblLayout w:type="fixed"/>
        <w:tblLook w:val="04A0" w:firstRow="1" w:lastRow="0" w:firstColumn="1" w:lastColumn="0" w:noHBand="0" w:noVBand="1"/>
      </w:tblPr>
      <w:tblGrid>
        <w:gridCol w:w="1322"/>
        <w:gridCol w:w="3250"/>
        <w:gridCol w:w="948"/>
        <w:gridCol w:w="1119"/>
        <w:gridCol w:w="860"/>
        <w:gridCol w:w="1118"/>
      </w:tblGrid>
      <w:tr w:rsidR="001D1257" w:rsidRPr="004A1DEE" w14:paraId="7A3612C3" w14:textId="77777777" w:rsidTr="0029422C">
        <w:trPr>
          <w:cnfStyle w:val="100000000000" w:firstRow="1" w:lastRow="0" w:firstColumn="0" w:lastColumn="0" w:oddVBand="0" w:evenVBand="0" w:oddHBand="0" w:evenHBand="0" w:firstRowFirstColumn="0" w:firstRowLastColumn="0" w:lastRowFirstColumn="0" w:lastRowLastColumn="0"/>
          <w:trHeight w:val="758"/>
        </w:trPr>
        <w:tc>
          <w:tcPr>
            <w:tcW w:w="4572" w:type="dxa"/>
            <w:gridSpan w:val="2"/>
            <w:vMerge w:val="restart"/>
            <w:tcBorders>
              <w:right w:val="single" w:sz="4" w:space="0" w:color="000000"/>
            </w:tcBorders>
          </w:tcPr>
          <w:p w14:paraId="3E3E16F6" w14:textId="77777777" w:rsidR="004215EA" w:rsidRPr="004A1DEE" w:rsidRDefault="004215EA" w:rsidP="004A1DEE">
            <w:pPr>
              <w:spacing w:line="240" w:lineRule="auto"/>
              <w:ind w:left="0" w:right="0"/>
              <w:rPr>
                <w:sz w:val="20"/>
                <w:szCs w:val="20"/>
              </w:rPr>
            </w:pPr>
            <w:r w:rsidRPr="004A1DEE">
              <w:rPr>
                <w:sz w:val="20"/>
                <w:szCs w:val="20"/>
              </w:rPr>
              <w:t>Summary of safety concerns</w:t>
            </w:r>
          </w:p>
        </w:tc>
        <w:tc>
          <w:tcPr>
            <w:tcW w:w="2066" w:type="dxa"/>
            <w:gridSpan w:val="2"/>
            <w:tcBorders>
              <w:left w:val="single" w:sz="4" w:space="0" w:color="000000"/>
              <w:right w:val="single" w:sz="8" w:space="0" w:color="000000" w:themeColor="text1"/>
            </w:tcBorders>
          </w:tcPr>
          <w:p w14:paraId="6F03AE29" w14:textId="77777777" w:rsidR="004215EA" w:rsidRPr="004A1DEE" w:rsidRDefault="004215EA" w:rsidP="008F4D44">
            <w:pPr>
              <w:spacing w:line="240" w:lineRule="auto"/>
              <w:ind w:left="0" w:right="0"/>
              <w:jc w:val="center"/>
              <w:rPr>
                <w:sz w:val="20"/>
                <w:szCs w:val="20"/>
              </w:rPr>
            </w:pPr>
            <w:r w:rsidRPr="004A1DEE">
              <w:rPr>
                <w:sz w:val="20"/>
                <w:szCs w:val="20"/>
              </w:rPr>
              <w:t>Pharmaco</w:t>
            </w:r>
            <w:r w:rsidR="004A1DEE">
              <w:rPr>
                <w:sz w:val="20"/>
                <w:szCs w:val="20"/>
              </w:rPr>
              <w:t>-</w:t>
            </w:r>
            <w:r w:rsidRPr="004A1DEE">
              <w:rPr>
                <w:sz w:val="20"/>
                <w:szCs w:val="20"/>
              </w:rPr>
              <w:t>vigilance</w:t>
            </w:r>
            <w:r w:rsidRPr="004A1DEE">
              <w:rPr>
                <w:sz w:val="20"/>
                <w:szCs w:val="20"/>
                <w:vertAlign w:val="superscript"/>
              </w:rPr>
              <w:footnoteReference w:id="40"/>
            </w:r>
          </w:p>
        </w:tc>
        <w:tc>
          <w:tcPr>
            <w:tcW w:w="1977" w:type="dxa"/>
            <w:gridSpan w:val="2"/>
            <w:tcBorders>
              <w:left w:val="single" w:sz="8" w:space="0" w:color="000000" w:themeColor="text1"/>
            </w:tcBorders>
          </w:tcPr>
          <w:p w14:paraId="7B3D5014" w14:textId="77777777" w:rsidR="004215EA" w:rsidRPr="004A1DEE" w:rsidRDefault="004215EA" w:rsidP="008F4D44">
            <w:pPr>
              <w:spacing w:line="240" w:lineRule="auto"/>
              <w:ind w:left="0" w:right="0"/>
              <w:jc w:val="center"/>
              <w:rPr>
                <w:sz w:val="20"/>
                <w:szCs w:val="20"/>
              </w:rPr>
            </w:pPr>
            <w:r w:rsidRPr="004A1DEE">
              <w:rPr>
                <w:sz w:val="20"/>
                <w:szCs w:val="20"/>
              </w:rPr>
              <w:t>Risk Minimisation</w:t>
            </w:r>
            <w:r w:rsidRPr="004A1DEE">
              <w:rPr>
                <w:sz w:val="20"/>
                <w:szCs w:val="20"/>
                <w:vertAlign w:val="superscript"/>
              </w:rPr>
              <w:footnoteReference w:id="41"/>
            </w:r>
          </w:p>
        </w:tc>
      </w:tr>
      <w:tr w:rsidR="001D1257" w:rsidRPr="004A1DEE" w14:paraId="279C2C0A" w14:textId="77777777" w:rsidTr="0029422C">
        <w:trPr>
          <w:trHeight w:val="459"/>
        </w:trPr>
        <w:tc>
          <w:tcPr>
            <w:tcW w:w="4572" w:type="dxa"/>
            <w:gridSpan w:val="2"/>
            <w:vMerge/>
            <w:tcBorders>
              <w:bottom w:val="single" w:sz="4" w:space="0" w:color="000000"/>
              <w:right w:val="single" w:sz="4" w:space="0" w:color="000000"/>
            </w:tcBorders>
          </w:tcPr>
          <w:p w14:paraId="077ABAA7" w14:textId="77777777" w:rsidR="004215EA" w:rsidRPr="004A1DEE" w:rsidRDefault="004215EA" w:rsidP="004A1DEE">
            <w:pPr>
              <w:spacing w:line="240" w:lineRule="auto"/>
              <w:ind w:left="0" w:right="0"/>
              <w:rPr>
                <w:sz w:val="20"/>
                <w:szCs w:val="20"/>
              </w:rPr>
            </w:pPr>
          </w:p>
        </w:tc>
        <w:tc>
          <w:tcPr>
            <w:tcW w:w="948" w:type="dxa"/>
            <w:tcBorders>
              <w:left w:val="single" w:sz="4" w:space="0" w:color="000000"/>
            </w:tcBorders>
          </w:tcPr>
          <w:p w14:paraId="0A575D3B" w14:textId="77777777" w:rsidR="004215EA" w:rsidRPr="004A1DEE" w:rsidRDefault="004215EA" w:rsidP="008F4D44">
            <w:pPr>
              <w:spacing w:line="240" w:lineRule="auto"/>
              <w:ind w:left="0" w:right="0"/>
              <w:jc w:val="center"/>
              <w:rPr>
                <w:sz w:val="20"/>
                <w:szCs w:val="20"/>
              </w:rPr>
            </w:pPr>
            <w:r w:rsidRPr="004A1DEE">
              <w:rPr>
                <w:sz w:val="20"/>
                <w:szCs w:val="20"/>
              </w:rPr>
              <w:t>Routine</w:t>
            </w:r>
          </w:p>
        </w:tc>
        <w:tc>
          <w:tcPr>
            <w:tcW w:w="1119" w:type="dxa"/>
          </w:tcPr>
          <w:p w14:paraId="54A05BA0" w14:textId="77777777" w:rsidR="004215EA" w:rsidRPr="004A1DEE" w:rsidRDefault="004215EA" w:rsidP="008F4D44">
            <w:pPr>
              <w:spacing w:line="240" w:lineRule="auto"/>
              <w:ind w:left="0" w:right="0"/>
              <w:jc w:val="center"/>
              <w:rPr>
                <w:sz w:val="20"/>
                <w:szCs w:val="20"/>
              </w:rPr>
            </w:pPr>
            <w:r w:rsidRPr="004A1DEE">
              <w:rPr>
                <w:sz w:val="20"/>
                <w:szCs w:val="20"/>
              </w:rPr>
              <w:t>Additional</w:t>
            </w:r>
          </w:p>
        </w:tc>
        <w:tc>
          <w:tcPr>
            <w:tcW w:w="860" w:type="dxa"/>
          </w:tcPr>
          <w:p w14:paraId="26E7F5FF" w14:textId="77777777" w:rsidR="004215EA" w:rsidRPr="004A1DEE" w:rsidRDefault="004215EA" w:rsidP="008F4D44">
            <w:pPr>
              <w:spacing w:line="240" w:lineRule="auto"/>
              <w:ind w:left="0" w:right="0"/>
              <w:jc w:val="center"/>
              <w:rPr>
                <w:sz w:val="20"/>
                <w:szCs w:val="20"/>
              </w:rPr>
            </w:pPr>
            <w:r w:rsidRPr="004A1DEE">
              <w:rPr>
                <w:sz w:val="20"/>
                <w:szCs w:val="20"/>
              </w:rPr>
              <w:t>Routine</w:t>
            </w:r>
          </w:p>
        </w:tc>
        <w:tc>
          <w:tcPr>
            <w:tcW w:w="1118" w:type="dxa"/>
          </w:tcPr>
          <w:p w14:paraId="2BD50E8E" w14:textId="77777777" w:rsidR="004215EA" w:rsidRPr="004A1DEE" w:rsidRDefault="004215EA" w:rsidP="008F4D44">
            <w:pPr>
              <w:spacing w:line="240" w:lineRule="auto"/>
              <w:ind w:left="0" w:right="0"/>
              <w:jc w:val="center"/>
              <w:rPr>
                <w:sz w:val="20"/>
                <w:szCs w:val="20"/>
              </w:rPr>
            </w:pPr>
            <w:r w:rsidRPr="004A1DEE">
              <w:rPr>
                <w:sz w:val="20"/>
                <w:szCs w:val="20"/>
              </w:rPr>
              <w:t>Additional</w:t>
            </w:r>
          </w:p>
        </w:tc>
      </w:tr>
      <w:tr w:rsidR="001D1257" w:rsidRPr="004A1DEE" w14:paraId="575319ED" w14:textId="77777777" w:rsidTr="0029422C">
        <w:trPr>
          <w:trHeight w:val="129"/>
        </w:trPr>
        <w:tc>
          <w:tcPr>
            <w:tcW w:w="1322" w:type="dxa"/>
            <w:tcBorders>
              <w:top w:val="single" w:sz="4" w:space="0" w:color="000000"/>
            </w:tcBorders>
          </w:tcPr>
          <w:p w14:paraId="2D5235EE" w14:textId="77777777" w:rsidR="004215EA" w:rsidRPr="004A1DEE" w:rsidRDefault="004215EA" w:rsidP="004A1DEE">
            <w:pPr>
              <w:spacing w:line="240" w:lineRule="auto"/>
              <w:ind w:left="0" w:right="0"/>
              <w:rPr>
                <w:sz w:val="20"/>
                <w:szCs w:val="20"/>
              </w:rPr>
            </w:pPr>
            <w:r w:rsidRPr="004A1DEE">
              <w:rPr>
                <w:sz w:val="20"/>
                <w:szCs w:val="20"/>
              </w:rPr>
              <w:t>Important identified risks</w:t>
            </w:r>
          </w:p>
        </w:tc>
        <w:tc>
          <w:tcPr>
            <w:tcW w:w="3250" w:type="dxa"/>
            <w:tcBorders>
              <w:top w:val="single" w:sz="4" w:space="0" w:color="000000"/>
            </w:tcBorders>
          </w:tcPr>
          <w:p w14:paraId="45EBAB13" w14:textId="77777777" w:rsidR="004215EA" w:rsidRPr="004A1DEE" w:rsidRDefault="004215EA" w:rsidP="004A1DEE">
            <w:pPr>
              <w:spacing w:line="240" w:lineRule="auto"/>
              <w:ind w:left="0" w:right="0"/>
              <w:rPr>
                <w:sz w:val="20"/>
                <w:szCs w:val="20"/>
              </w:rPr>
            </w:pPr>
            <w:r w:rsidRPr="004A1DEE">
              <w:rPr>
                <w:sz w:val="20"/>
                <w:szCs w:val="20"/>
              </w:rPr>
              <w:t>Hypersensitivity reactions including anaphylaxis</w:t>
            </w:r>
          </w:p>
        </w:tc>
        <w:tc>
          <w:tcPr>
            <w:tcW w:w="948" w:type="dxa"/>
          </w:tcPr>
          <w:p w14:paraId="7D0ED9E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3DCA8999"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1E0D9737"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0A6ECA49" w14:textId="77777777" w:rsidR="004215EA" w:rsidRPr="004A1DEE" w:rsidRDefault="004A1DEE" w:rsidP="008F4D44">
            <w:pPr>
              <w:spacing w:line="240" w:lineRule="auto"/>
              <w:ind w:left="0" w:right="0"/>
              <w:jc w:val="center"/>
              <w:rPr>
                <w:sz w:val="20"/>
                <w:szCs w:val="20"/>
              </w:rPr>
            </w:pPr>
            <w:r>
              <w:rPr>
                <w:sz w:val="20"/>
                <w:szCs w:val="20"/>
              </w:rPr>
              <w:sym w:font="Wingdings" w:char="F0FC"/>
            </w:r>
            <w:r>
              <w:rPr>
                <w:sz w:val="20"/>
                <w:szCs w:val="20"/>
              </w:rPr>
              <w:t>*</w:t>
            </w:r>
          </w:p>
        </w:tc>
      </w:tr>
      <w:tr w:rsidR="001D1257" w:rsidRPr="004A1DEE" w14:paraId="776309DE" w14:textId="77777777" w:rsidTr="0029422C">
        <w:trPr>
          <w:trHeight w:val="150"/>
        </w:trPr>
        <w:tc>
          <w:tcPr>
            <w:tcW w:w="1322" w:type="dxa"/>
            <w:vMerge w:val="restart"/>
          </w:tcPr>
          <w:p w14:paraId="2A1676E9" w14:textId="77777777" w:rsidR="004215EA" w:rsidRPr="004A1DEE" w:rsidRDefault="004215EA" w:rsidP="004A1DEE">
            <w:pPr>
              <w:spacing w:line="240" w:lineRule="auto"/>
              <w:ind w:left="0" w:right="0"/>
              <w:rPr>
                <w:sz w:val="20"/>
                <w:szCs w:val="20"/>
              </w:rPr>
            </w:pPr>
            <w:r w:rsidRPr="004A1DEE">
              <w:rPr>
                <w:sz w:val="20"/>
                <w:szCs w:val="20"/>
              </w:rPr>
              <w:t>Important potential risks</w:t>
            </w:r>
          </w:p>
        </w:tc>
        <w:tc>
          <w:tcPr>
            <w:tcW w:w="3250" w:type="dxa"/>
          </w:tcPr>
          <w:p w14:paraId="3ADC8C01" w14:textId="77777777" w:rsidR="004215EA" w:rsidRPr="004A1DEE" w:rsidRDefault="004215EA" w:rsidP="004A1DEE">
            <w:pPr>
              <w:spacing w:line="240" w:lineRule="auto"/>
              <w:ind w:left="0" w:right="0"/>
              <w:rPr>
                <w:sz w:val="20"/>
                <w:szCs w:val="20"/>
              </w:rPr>
            </w:pPr>
            <w:r w:rsidRPr="004A1DEE">
              <w:rPr>
                <w:sz w:val="20"/>
                <w:szCs w:val="20"/>
              </w:rPr>
              <w:t>ADA development impacting response to drug</w:t>
            </w:r>
          </w:p>
        </w:tc>
        <w:tc>
          <w:tcPr>
            <w:tcW w:w="948" w:type="dxa"/>
          </w:tcPr>
          <w:p w14:paraId="39F3E784"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5D05950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3A334B31"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5CD8773B" w14:textId="77777777" w:rsidR="004215EA" w:rsidRPr="004A1DEE" w:rsidRDefault="004A1DEE" w:rsidP="008F4D44">
            <w:pPr>
              <w:spacing w:line="240" w:lineRule="auto"/>
              <w:ind w:left="0" w:right="0"/>
              <w:jc w:val="center"/>
              <w:rPr>
                <w:sz w:val="20"/>
                <w:szCs w:val="20"/>
              </w:rPr>
            </w:pPr>
            <w:r>
              <w:rPr>
                <w:sz w:val="20"/>
                <w:szCs w:val="20"/>
              </w:rPr>
              <w:sym w:font="Wingdings" w:char="F0FC"/>
            </w:r>
            <w:r>
              <w:rPr>
                <w:sz w:val="20"/>
                <w:szCs w:val="20"/>
              </w:rPr>
              <w:t>*</w:t>
            </w:r>
          </w:p>
        </w:tc>
      </w:tr>
      <w:tr w:rsidR="001D1257" w:rsidRPr="004A1DEE" w14:paraId="1E8D3CAF" w14:textId="77777777" w:rsidTr="0029422C">
        <w:trPr>
          <w:trHeight w:val="114"/>
        </w:trPr>
        <w:tc>
          <w:tcPr>
            <w:tcW w:w="1322" w:type="dxa"/>
            <w:vMerge/>
          </w:tcPr>
          <w:p w14:paraId="2D7E7805" w14:textId="77777777" w:rsidR="004215EA" w:rsidRPr="004A1DEE" w:rsidRDefault="004215EA" w:rsidP="004A1DEE">
            <w:pPr>
              <w:spacing w:line="240" w:lineRule="auto"/>
              <w:ind w:left="0" w:right="0"/>
              <w:rPr>
                <w:sz w:val="20"/>
                <w:szCs w:val="20"/>
              </w:rPr>
            </w:pPr>
          </w:p>
        </w:tc>
        <w:tc>
          <w:tcPr>
            <w:tcW w:w="3250" w:type="dxa"/>
          </w:tcPr>
          <w:p w14:paraId="67CF20B8" w14:textId="77777777" w:rsidR="004215EA" w:rsidRPr="004A1DEE" w:rsidRDefault="004215EA" w:rsidP="004A1DEE">
            <w:pPr>
              <w:spacing w:line="240" w:lineRule="auto"/>
              <w:ind w:left="0" w:right="0"/>
              <w:rPr>
                <w:sz w:val="20"/>
                <w:szCs w:val="20"/>
              </w:rPr>
            </w:pPr>
            <w:r w:rsidRPr="004A1DEE">
              <w:rPr>
                <w:sz w:val="20"/>
                <w:szCs w:val="20"/>
              </w:rPr>
              <w:t>Use in patients with egg allergy</w:t>
            </w:r>
          </w:p>
        </w:tc>
        <w:tc>
          <w:tcPr>
            <w:tcW w:w="948" w:type="dxa"/>
          </w:tcPr>
          <w:p w14:paraId="102728EF"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495A167D" w14:textId="77777777" w:rsidR="004215EA" w:rsidRPr="004A1DEE" w:rsidRDefault="004215EA" w:rsidP="008F4D44">
            <w:pPr>
              <w:spacing w:line="240" w:lineRule="auto"/>
              <w:ind w:left="0" w:right="0"/>
              <w:jc w:val="center"/>
              <w:rPr>
                <w:sz w:val="20"/>
                <w:szCs w:val="20"/>
              </w:rPr>
            </w:pPr>
            <w:r w:rsidRPr="004A1DEE">
              <w:rPr>
                <w:sz w:val="20"/>
                <w:szCs w:val="20"/>
              </w:rPr>
              <w:t>–</w:t>
            </w:r>
          </w:p>
        </w:tc>
        <w:tc>
          <w:tcPr>
            <w:tcW w:w="860" w:type="dxa"/>
          </w:tcPr>
          <w:p w14:paraId="201DA60F"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2C784F76" w14:textId="77777777" w:rsidR="004215EA" w:rsidRPr="004A1DEE" w:rsidRDefault="004215EA" w:rsidP="008F4D44">
            <w:pPr>
              <w:spacing w:line="240" w:lineRule="auto"/>
              <w:ind w:left="0" w:right="0"/>
              <w:jc w:val="center"/>
              <w:rPr>
                <w:sz w:val="20"/>
                <w:szCs w:val="20"/>
              </w:rPr>
            </w:pPr>
            <w:r w:rsidRPr="004A1DEE">
              <w:rPr>
                <w:sz w:val="20"/>
                <w:szCs w:val="20"/>
              </w:rPr>
              <w:t>–</w:t>
            </w:r>
          </w:p>
        </w:tc>
      </w:tr>
      <w:tr w:rsidR="001D1257" w:rsidRPr="004A1DEE" w14:paraId="183EB642" w14:textId="77777777" w:rsidTr="0029422C">
        <w:trPr>
          <w:trHeight w:val="104"/>
        </w:trPr>
        <w:tc>
          <w:tcPr>
            <w:tcW w:w="1322" w:type="dxa"/>
            <w:vMerge w:val="restart"/>
          </w:tcPr>
          <w:p w14:paraId="2B5DBEBF" w14:textId="77777777" w:rsidR="004215EA" w:rsidRPr="004A1DEE" w:rsidRDefault="004215EA" w:rsidP="004A1DEE">
            <w:pPr>
              <w:spacing w:line="240" w:lineRule="auto"/>
              <w:ind w:left="0" w:right="0"/>
              <w:rPr>
                <w:sz w:val="20"/>
                <w:szCs w:val="20"/>
              </w:rPr>
            </w:pPr>
            <w:r w:rsidRPr="004A1DEE">
              <w:rPr>
                <w:sz w:val="20"/>
                <w:szCs w:val="20"/>
              </w:rPr>
              <w:t>Missing information</w:t>
            </w:r>
          </w:p>
        </w:tc>
        <w:tc>
          <w:tcPr>
            <w:tcW w:w="3250" w:type="dxa"/>
          </w:tcPr>
          <w:p w14:paraId="466B6F91" w14:textId="77777777" w:rsidR="004215EA" w:rsidRPr="004A1DEE" w:rsidRDefault="004215EA" w:rsidP="004A1DEE">
            <w:pPr>
              <w:spacing w:line="240" w:lineRule="auto"/>
              <w:ind w:left="0" w:right="0"/>
              <w:rPr>
                <w:sz w:val="20"/>
                <w:szCs w:val="20"/>
              </w:rPr>
            </w:pPr>
            <w:r w:rsidRPr="004A1DEE">
              <w:rPr>
                <w:sz w:val="20"/>
                <w:szCs w:val="20"/>
              </w:rPr>
              <w:t>Safety and efficacy in patients older than 65 years of age</w:t>
            </w:r>
          </w:p>
        </w:tc>
        <w:tc>
          <w:tcPr>
            <w:tcW w:w="948" w:type="dxa"/>
          </w:tcPr>
          <w:p w14:paraId="22A3E0C6"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03F2D045"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152C8D5C"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6937AEED" w14:textId="77777777" w:rsidR="004215EA" w:rsidRPr="004A1DEE" w:rsidRDefault="004215EA" w:rsidP="008F4D44">
            <w:pPr>
              <w:spacing w:line="240" w:lineRule="auto"/>
              <w:ind w:left="0" w:right="0"/>
              <w:jc w:val="center"/>
              <w:rPr>
                <w:sz w:val="20"/>
                <w:szCs w:val="20"/>
              </w:rPr>
            </w:pPr>
            <w:r w:rsidRPr="004A1DEE">
              <w:rPr>
                <w:sz w:val="20"/>
                <w:szCs w:val="20"/>
              </w:rPr>
              <w:t>–</w:t>
            </w:r>
          </w:p>
        </w:tc>
      </w:tr>
      <w:tr w:rsidR="001D1257" w:rsidRPr="004A1DEE" w14:paraId="5F5D5F47" w14:textId="77777777" w:rsidTr="0029422C">
        <w:trPr>
          <w:trHeight w:val="395"/>
        </w:trPr>
        <w:tc>
          <w:tcPr>
            <w:tcW w:w="1322" w:type="dxa"/>
            <w:vMerge/>
          </w:tcPr>
          <w:p w14:paraId="38E2B4A1" w14:textId="77777777" w:rsidR="004215EA" w:rsidRPr="004A1DEE" w:rsidRDefault="004215EA" w:rsidP="004A1DEE">
            <w:pPr>
              <w:spacing w:line="240" w:lineRule="auto"/>
              <w:ind w:left="0" w:right="0"/>
              <w:rPr>
                <w:sz w:val="20"/>
                <w:szCs w:val="20"/>
              </w:rPr>
            </w:pPr>
          </w:p>
        </w:tc>
        <w:tc>
          <w:tcPr>
            <w:tcW w:w="3250" w:type="dxa"/>
          </w:tcPr>
          <w:p w14:paraId="6C38563C" w14:textId="29785944" w:rsidR="004215EA" w:rsidRPr="004A1DEE" w:rsidRDefault="004215EA" w:rsidP="004A1DEE">
            <w:pPr>
              <w:spacing w:line="240" w:lineRule="auto"/>
              <w:ind w:left="0" w:right="0"/>
              <w:rPr>
                <w:sz w:val="20"/>
                <w:szCs w:val="20"/>
              </w:rPr>
            </w:pPr>
            <w:r w:rsidRPr="004A1DEE">
              <w:rPr>
                <w:sz w:val="20"/>
                <w:szCs w:val="20"/>
              </w:rPr>
              <w:t xml:space="preserve">Safety and efficacy in paediatric population </w:t>
            </w:r>
            <w:r w:rsidR="00E425ED">
              <w:rPr>
                <w:sz w:val="20"/>
                <w:szCs w:val="20"/>
              </w:rPr>
              <w:t xml:space="preserve">between </w:t>
            </w:r>
            <w:r w:rsidRPr="004A1DEE">
              <w:rPr>
                <w:sz w:val="20"/>
                <w:szCs w:val="20"/>
              </w:rPr>
              <w:t>2</w:t>
            </w:r>
            <w:r w:rsidR="00E425ED">
              <w:rPr>
                <w:sz w:val="20"/>
                <w:szCs w:val="20"/>
              </w:rPr>
              <w:t xml:space="preserve"> to </w:t>
            </w:r>
            <w:r w:rsidRPr="004A1DEE">
              <w:rPr>
                <w:sz w:val="20"/>
                <w:szCs w:val="20"/>
              </w:rPr>
              <w:t>4</w:t>
            </w:r>
            <w:r w:rsidR="00E425ED">
              <w:rPr>
                <w:sz w:val="20"/>
                <w:szCs w:val="20"/>
              </w:rPr>
              <w:t xml:space="preserve"> years of age</w:t>
            </w:r>
          </w:p>
        </w:tc>
        <w:tc>
          <w:tcPr>
            <w:tcW w:w="948" w:type="dxa"/>
          </w:tcPr>
          <w:p w14:paraId="48511C2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6AB1F4C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48089D15"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0D7F1536" w14:textId="77777777" w:rsidR="004215EA" w:rsidRPr="004A1DEE" w:rsidRDefault="004215EA" w:rsidP="008F4D44">
            <w:pPr>
              <w:spacing w:line="240" w:lineRule="auto"/>
              <w:ind w:left="0" w:right="0"/>
              <w:jc w:val="center"/>
              <w:rPr>
                <w:sz w:val="20"/>
                <w:szCs w:val="20"/>
              </w:rPr>
            </w:pPr>
            <w:r w:rsidRPr="004A1DEE">
              <w:rPr>
                <w:sz w:val="20"/>
                <w:szCs w:val="20"/>
              </w:rPr>
              <w:t>–</w:t>
            </w:r>
          </w:p>
        </w:tc>
      </w:tr>
      <w:tr w:rsidR="001D1257" w:rsidRPr="004A1DEE" w14:paraId="417FD178" w14:textId="77777777" w:rsidTr="0029422C">
        <w:trPr>
          <w:trHeight w:val="97"/>
        </w:trPr>
        <w:tc>
          <w:tcPr>
            <w:tcW w:w="1322" w:type="dxa"/>
            <w:vMerge/>
          </w:tcPr>
          <w:p w14:paraId="1C1D1C82" w14:textId="77777777" w:rsidR="004215EA" w:rsidRPr="004A1DEE" w:rsidRDefault="004215EA" w:rsidP="004A1DEE">
            <w:pPr>
              <w:spacing w:line="240" w:lineRule="auto"/>
              <w:ind w:left="0" w:right="0"/>
              <w:rPr>
                <w:sz w:val="20"/>
                <w:szCs w:val="20"/>
              </w:rPr>
            </w:pPr>
          </w:p>
        </w:tc>
        <w:tc>
          <w:tcPr>
            <w:tcW w:w="3250" w:type="dxa"/>
          </w:tcPr>
          <w:p w14:paraId="23DB686B" w14:textId="77777777" w:rsidR="004215EA" w:rsidRPr="004A1DEE" w:rsidRDefault="004215EA" w:rsidP="004A1DEE">
            <w:pPr>
              <w:spacing w:line="240" w:lineRule="auto"/>
              <w:ind w:left="0" w:right="0"/>
              <w:rPr>
                <w:sz w:val="20"/>
                <w:szCs w:val="20"/>
              </w:rPr>
            </w:pPr>
            <w:r w:rsidRPr="004A1DEE">
              <w:rPr>
                <w:sz w:val="20"/>
                <w:szCs w:val="20"/>
              </w:rPr>
              <w:t>Use in pregnant and lactating women</w:t>
            </w:r>
          </w:p>
        </w:tc>
        <w:tc>
          <w:tcPr>
            <w:tcW w:w="948" w:type="dxa"/>
          </w:tcPr>
          <w:p w14:paraId="33418566"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73A75A31"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763BF63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7561BC40" w14:textId="77777777" w:rsidR="004215EA" w:rsidRPr="004A1DEE" w:rsidRDefault="004215EA" w:rsidP="008F4D44">
            <w:pPr>
              <w:spacing w:line="240" w:lineRule="auto"/>
              <w:ind w:left="0" w:right="0"/>
              <w:jc w:val="center"/>
              <w:rPr>
                <w:sz w:val="20"/>
                <w:szCs w:val="20"/>
              </w:rPr>
            </w:pPr>
            <w:r w:rsidRPr="004A1DEE">
              <w:rPr>
                <w:sz w:val="20"/>
                <w:szCs w:val="20"/>
              </w:rPr>
              <w:t>–</w:t>
            </w:r>
          </w:p>
        </w:tc>
      </w:tr>
      <w:tr w:rsidR="001D1257" w:rsidRPr="004A1DEE" w14:paraId="1B014489" w14:textId="77777777" w:rsidTr="0029422C">
        <w:trPr>
          <w:trHeight w:val="132"/>
        </w:trPr>
        <w:tc>
          <w:tcPr>
            <w:tcW w:w="1322" w:type="dxa"/>
            <w:vMerge/>
          </w:tcPr>
          <w:p w14:paraId="5F93C9ED" w14:textId="77777777" w:rsidR="004215EA" w:rsidRPr="004A1DEE" w:rsidRDefault="004215EA" w:rsidP="004A1DEE">
            <w:pPr>
              <w:spacing w:line="240" w:lineRule="auto"/>
              <w:ind w:left="0" w:right="0"/>
              <w:rPr>
                <w:sz w:val="20"/>
                <w:szCs w:val="20"/>
              </w:rPr>
            </w:pPr>
          </w:p>
        </w:tc>
        <w:tc>
          <w:tcPr>
            <w:tcW w:w="3250" w:type="dxa"/>
          </w:tcPr>
          <w:p w14:paraId="43B66110" w14:textId="77777777" w:rsidR="004215EA" w:rsidRPr="004A1DEE" w:rsidRDefault="008E5468" w:rsidP="004A1DEE">
            <w:pPr>
              <w:spacing w:line="240" w:lineRule="auto"/>
              <w:ind w:left="0" w:right="0"/>
              <w:rPr>
                <w:sz w:val="20"/>
                <w:szCs w:val="20"/>
              </w:rPr>
            </w:pPr>
            <w:r w:rsidRPr="004A1DEE">
              <w:rPr>
                <w:sz w:val="20"/>
                <w:szCs w:val="20"/>
              </w:rPr>
              <w:t>Long term</w:t>
            </w:r>
            <w:r w:rsidR="004215EA" w:rsidRPr="004A1DEE">
              <w:rPr>
                <w:sz w:val="20"/>
                <w:szCs w:val="20"/>
              </w:rPr>
              <w:t xml:space="preserve"> safety and efficacy data</w:t>
            </w:r>
          </w:p>
        </w:tc>
        <w:tc>
          <w:tcPr>
            <w:tcW w:w="948" w:type="dxa"/>
          </w:tcPr>
          <w:p w14:paraId="46B68618"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9" w:type="dxa"/>
          </w:tcPr>
          <w:p w14:paraId="6343140B"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860" w:type="dxa"/>
          </w:tcPr>
          <w:p w14:paraId="1F64D539" w14:textId="77777777" w:rsidR="004215EA" w:rsidRPr="004A1DEE" w:rsidRDefault="004A1DEE" w:rsidP="008F4D44">
            <w:pPr>
              <w:spacing w:line="240" w:lineRule="auto"/>
              <w:ind w:left="0" w:right="0"/>
              <w:jc w:val="center"/>
              <w:rPr>
                <w:sz w:val="20"/>
                <w:szCs w:val="20"/>
              </w:rPr>
            </w:pPr>
            <w:r>
              <w:rPr>
                <w:sz w:val="20"/>
                <w:szCs w:val="20"/>
              </w:rPr>
              <w:sym w:font="Wingdings" w:char="F0FC"/>
            </w:r>
          </w:p>
        </w:tc>
        <w:tc>
          <w:tcPr>
            <w:tcW w:w="1118" w:type="dxa"/>
          </w:tcPr>
          <w:p w14:paraId="7A549C68" w14:textId="77777777" w:rsidR="004215EA" w:rsidRPr="004A1DEE" w:rsidRDefault="004215EA" w:rsidP="008F4D44">
            <w:pPr>
              <w:spacing w:line="240" w:lineRule="auto"/>
              <w:ind w:left="0" w:right="0"/>
              <w:jc w:val="center"/>
              <w:rPr>
                <w:sz w:val="20"/>
                <w:szCs w:val="20"/>
              </w:rPr>
            </w:pPr>
            <w:r w:rsidRPr="004A1DEE">
              <w:rPr>
                <w:sz w:val="20"/>
                <w:szCs w:val="20"/>
              </w:rPr>
              <w:t>–</w:t>
            </w:r>
          </w:p>
        </w:tc>
      </w:tr>
    </w:tbl>
    <w:p w14:paraId="1AAEEDE6" w14:textId="77777777" w:rsidR="004215EA" w:rsidRPr="001476F0" w:rsidRDefault="004A1DEE" w:rsidP="004215EA">
      <w:pPr>
        <w:pStyle w:val="TableDescription"/>
      </w:pPr>
      <w:r>
        <w:t>*</w:t>
      </w:r>
      <w:r w:rsidR="004215EA" w:rsidRPr="001476F0">
        <w:t>Additional risk minimisation activities proposed in the EU RMP only.</w:t>
      </w:r>
    </w:p>
    <w:p w14:paraId="43E957E3" w14:textId="77777777" w:rsidR="004215EA" w:rsidRPr="00D27636" w:rsidRDefault="004215EA" w:rsidP="004215EA">
      <w:pPr>
        <w:pStyle w:val="ListBullet"/>
      </w:pPr>
      <w:r w:rsidRPr="00D27636">
        <w:t xml:space="preserve">Additional pharmacovigilance activities include two clinical trials and one </w:t>
      </w:r>
      <w:r>
        <w:t xml:space="preserve">international </w:t>
      </w:r>
      <w:r w:rsidRPr="00D27636">
        <w:t xml:space="preserve">observational </w:t>
      </w:r>
      <w:r>
        <w:t xml:space="preserve">disease and clinical outcomes </w:t>
      </w:r>
      <w:r w:rsidRPr="00D27636">
        <w:t>registry.</w:t>
      </w:r>
      <w:r>
        <w:t xml:space="preserve"> The PI includes a statement encouraging Australian prescribers to enrol their patients in the global registry.</w:t>
      </w:r>
    </w:p>
    <w:p w14:paraId="69DD764E" w14:textId="77777777" w:rsidR="004215EA" w:rsidRDefault="004215EA" w:rsidP="004215EA">
      <w:pPr>
        <w:pStyle w:val="ListBullet"/>
      </w:pPr>
      <w:r w:rsidRPr="00D27636">
        <w:t>Additional risk minimisation activities are not proposed for Australia. In the EU, health care professional educational material</w:t>
      </w:r>
      <w:r>
        <w:t>s</w:t>
      </w:r>
      <w:r w:rsidRPr="00D27636">
        <w:t xml:space="preserve"> </w:t>
      </w:r>
      <w:r>
        <w:t>are proposed as</w:t>
      </w:r>
      <w:r w:rsidRPr="00D27636">
        <w:t xml:space="preserve"> additional risk minimisation activi</w:t>
      </w:r>
      <w:r>
        <w:t xml:space="preserve">ties </w:t>
      </w:r>
      <w:r w:rsidRPr="00D27636">
        <w:t xml:space="preserve">for the two </w:t>
      </w:r>
      <w:r>
        <w:t xml:space="preserve">related </w:t>
      </w:r>
      <w:r w:rsidRPr="00D27636">
        <w:t xml:space="preserve">safety </w:t>
      </w:r>
      <w:r>
        <w:t>concerns</w:t>
      </w:r>
      <w:r w:rsidRPr="00D27636">
        <w:t xml:space="preserve"> identified in Table 1</w:t>
      </w:r>
      <w:r w:rsidR="004A1DEE">
        <w:t>1</w:t>
      </w:r>
      <w:r w:rsidRPr="00D27636">
        <w:t xml:space="preserve">. </w:t>
      </w:r>
      <w:r>
        <w:t>This lack of educational materials in Australia was considered acceptable for the following reasons:</w:t>
      </w:r>
    </w:p>
    <w:p w14:paraId="70107C2E" w14:textId="77777777" w:rsidR="00CA17A3" w:rsidRDefault="004215EA" w:rsidP="004215EA">
      <w:pPr>
        <w:pStyle w:val="ListBullet2"/>
      </w:pPr>
      <w:proofErr w:type="gramStart"/>
      <w:r>
        <w:lastRenderedPageBreak/>
        <w:t>hypersensitivity</w:t>
      </w:r>
      <w:proofErr w:type="gramEnd"/>
      <w:r>
        <w:t xml:space="preserve"> reactions are not an unexpected safety concern for a biological medicine</w:t>
      </w:r>
      <w:r w:rsidR="00CA17A3">
        <w:t>.</w:t>
      </w:r>
    </w:p>
    <w:p w14:paraId="4378D57D" w14:textId="77777777" w:rsidR="004215EA" w:rsidRDefault="004215EA" w:rsidP="004215EA">
      <w:pPr>
        <w:pStyle w:val="ListBullet2"/>
      </w:pPr>
      <w:r>
        <w:t>Australian patients will have access to ADA testing (following hypersensitivity reactions or loss of efficacy) through the patient registry.</w:t>
      </w:r>
    </w:p>
    <w:p w14:paraId="0DA30217" w14:textId="77777777" w:rsidR="004215EA" w:rsidRPr="00D27636" w:rsidRDefault="004215EA" w:rsidP="004215EA">
      <w:pPr>
        <w:pStyle w:val="ListBullet2"/>
      </w:pPr>
      <w:r>
        <w:t>The PI provides adequate advice for both these safety concerns.</w:t>
      </w:r>
    </w:p>
    <w:p w14:paraId="4193F27D" w14:textId="77777777" w:rsidR="004215EA" w:rsidRPr="004215EA" w:rsidRDefault="004215EA" w:rsidP="004215EA">
      <w:pPr>
        <w:pStyle w:val="Heading4"/>
      </w:pPr>
      <w:bookmarkStart w:id="129" w:name="_Toc469910320"/>
      <w:r w:rsidRPr="004215EA">
        <w:t>Outstanding recommendations</w:t>
      </w:r>
      <w:bookmarkEnd w:id="129"/>
    </w:p>
    <w:p w14:paraId="63CA7FD9" w14:textId="2CE1B82C" w:rsidR="004215EA" w:rsidRPr="004215EA" w:rsidRDefault="004215EA" w:rsidP="004215EA">
      <w:r w:rsidRPr="004215EA">
        <w:t xml:space="preserve">The recommendations made in the </w:t>
      </w:r>
      <w:r w:rsidR="00953E28">
        <w:t>first round</w:t>
      </w:r>
      <w:r w:rsidRPr="004215EA">
        <w:t xml:space="preserve"> evaluation, along with consid</w:t>
      </w:r>
      <w:r w:rsidR="009671F4">
        <w:t xml:space="preserve">eration of the </w:t>
      </w:r>
      <w:r w:rsidR="00E425ED">
        <w:t xml:space="preserve">sponsor’s </w:t>
      </w:r>
      <w:r w:rsidR="009671F4">
        <w:t>response</w:t>
      </w:r>
      <w:r w:rsidRPr="004215EA">
        <w:t xml:space="preserve"> </w:t>
      </w:r>
      <w:r w:rsidR="009671F4">
        <w:t>were provided</w:t>
      </w:r>
      <w:r w:rsidRPr="004215EA">
        <w:t xml:space="preserve">. The </w:t>
      </w:r>
      <w:r w:rsidR="00E425ED">
        <w:t>s</w:t>
      </w:r>
      <w:r w:rsidR="00E425ED" w:rsidRPr="004215EA">
        <w:t xml:space="preserve">ponsor </w:t>
      </w:r>
      <w:r w:rsidRPr="004215EA">
        <w:t>has adequately</w:t>
      </w:r>
      <w:r w:rsidR="009671F4">
        <w:t xml:space="preserve"> addressed all recommendations. </w:t>
      </w:r>
      <w:r w:rsidRPr="004215EA">
        <w:t>There are no new or outstanding recommendations.</w:t>
      </w:r>
    </w:p>
    <w:p w14:paraId="6A978AE3" w14:textId="77777777" w:rsidR="004215EA" w:rsidRPr="004215EA" w:rsidRDefault="004215EA" w:rsidP="004215EA">
      <w:pPr>
        <w:pStyle w:val="Heading4"/>
      </w:pPr>
      <w:bookmarkStart w:id="130" w:name="_Toc469910321"/>
      <w:r w:rsidRPr="004215EA">
        <w:t>Wording for conditions of registration</w:t>
      </w:r>
      <w:bookmarkEnd w:id="130"/>
    </w:p>
    <w:p w14:paraId="52B80540" w14:textId="77777777" w:rsidR="004215EA" w:rsidRPr="004215EA" w:rsidRDefault="004215EA" w:rsidP="004215EA">
      <w:r w:rsidRPr="004215EA">
        <w:t>Any changes to which the sponsor has agreed should be included in a revised RMP and ASA. However, irrespective of whether or not they are included in the currently available version of the RMP document, the agreed changes become part</w:t>
      </w:r>
      <w:r w:rsidR="009671F4">
        <w:t xml:space="preserve"> of the risk management system.</w:t>
      </w:r>
    </w:p>
    <w:p w14:paraId="78AE3978" w14:textId="77777777" w:rsidR="009671F4" w:rsidRDefault="009671F4" w:rsidP="004215EA">
      <w:r>
        <w:t>The suggested wording is:</w:t>
      </w:r>
    </w:p>
    <w:p w14:paraId="4EDFACE6" w14:textId="77777777" w:rsidR="004215EA" w:rsidRPr="004215EA" w:rsidRDefault="004215EA" w:rsidP="009671F4">
      <w:pPr>
        <w:ind w:left="720"/>
      </w:pPr>
      <w:r w:rsidRPr="004215EA">
        <w:t>Implement EU-RMP (version 1.0, dated 20 August 2015, data lock point 8 September 2014) with Australian Specific Annex (version 1.0, dated April 2016) and any future updates as a condition of registration.</w:t>
      </w:r>
    </w:p>
    <w:p w14:paraId="75F8DA94" w14:textId="77777777" w:rsidR="008E7846" w:rsidRPr="00792A32" w:rsidRDefault="008E7846" w:rsidP="008E7846">
      <w:pPr>
        <w:pStyle w:val="Heading2"/>
      </w:pPr>
      <w:bookmarkStart w:id="131" w:name="_Toc247691527"/>
      <w:bookmarkStart w:id="132" w:name="_Toc314842510"/>
      <w:bookmarkStart w:id="133" w:name="_Toc519601806"/>
      <w:r>
        <w:t>VI</w:t>
      </w:r>
      <w:r w:rsidR="00433E27">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3"/>
      <w:bookmarkEnd w:id="131"/>
      <w:bookmarkEnd w:id="132"/>
      <w:bookmarkEnd w:id="133"/>
    </w:p>
    <w:p w14:paraId="66E6569A" w14:textId="6A6334B1" w:rsidR="008E7846" w:rsidRDefault="008E7846" w:rsidP="008E7846">
      <w:bookmarkStart w:id="134" w:name="_Toc247691528"/>
      <w:r>
        <w:t xml:space="preserve">The submission was summarised in the following </w:t>
      </w:r>
      <w:r w:rsidRPr="00EF5C48">
        <w:t xml:space="preserve">Delegate’s </w:t>
      </w:r>
      <w:r>
        <w:t>overview</w:t>
      </w:r>
      <w:r w:rsidRPr="00EF5C48">
        <w:t xml:space="preserve"> and recommendation</w:t>
      </w:r>
      <w:r>
        <w:t>s</w:t>
      </w:r>
      <w:r w:rsidR="00E425ED">
        <w:t>.</w:t>
      </w:r>
    </w:p>
    <w:p w14:paraId="2D952F15" w14:textId="77777777" w:rsidR="00F42C0E" w:rsidRDefault="00F42C0E" w:rsidP="00F42C0E">
      <w:pPr>
        <w:pStyle w:val="Heading3"/>
      </w:pPr>
      <w:bookmarkStart w:id="135" w:name="_Toc519601807"/>
      <w:r>
        <w:t>Introduction</w:t>
      </w:r>
      <w:bookmarkEnd w:id="135"/>
    </w:p>
    <w:p w14:paraId="4F3C0A00" w14:textId="77777777" w:rsidR="00CA17A3" w:rsidRDefault="002817EA" w:rsidP="009F456A">
      <w:r>
        <w:t>Sebelipase alfa</w:t>
      </w:r>
      <w:r w:rsidR="00F42C0E" w:rsidRPr="00A75135">
        <w:t xml:space="preserve"> is a </w:t>
      </w:r>
      <w:r w:rsidR="00C93FCF">
        <w:t>first in class</w:t>
      </w:r>
      <w:r w:rsidR="00F42C0E" w:rsidRPr="00A75135">
        <w:t xml:space="preserve"> recombinant human lysosomal acid lipase.</w:t>
      </w:r>
      <w:r w:rsidR="00F42C0E">
        <w:t xml:space="preserve"> </w:t>
      </w:r>
      <w:r w:rsidR="00F42C0E" w:rsidRPr="00A75135">
        <w:t>L</w:t>
      </w:r>
      <w:r w:rsidR="00F42C0E">
        <w:t>iposomal acid lipase d</w:t>
      </w:r>
      <w:r w:rsidR="00F42C0E" w:rsidRPr="00A75135">
        <w:t>eficiency</w:t>
      </w:r>
      <w:r w:rsidR="00F42C0E">
        <w:t xml:space="preserve"> (LAL-D) is a very rare, </w:t>
      </w:r>
      <w:r w:rsidR="00CA17A3">
        <w:t>life threatening</w:t>
      </w:r>
      <w:r w:rsidR="00F42C0E" w:rsidRPr="006D4A16">
        <w:t xml:space="preserve"> autosomal recessive </w:t>
      </w:r>
      <w:r w:rsidR="00F42C0E" w:rsidRPr="00A75135">
        <w:t xml:space="preserve">lysosomal storage disorder caused by mutations affecting </w:t>
      </w:r>
      <w:r w:rsidR="00F42C0E" w:rsidRPr="006D4A16">
        <w:t>a single gene.</w:t>
      </w:r>
      <w:r w:rsidR="00F42C0E" w:rsidRPr="006D4A16">
        <w:rPr>
          <w:b/>
          <w:i/>
        </w:rPr>
        <w:t xml:space="preserve"> </w:t>
      </w:r>
      <w:r w:rsidR="00F42C0E" w:rsidRPr="006D4A16">
        <w:t>It is associated with significant morbidity and mortality affecting individuals from infancy through to adulthood. LAL-D presenting in infants is a medical emergency with rapid disease progression over a period of weeks that is typically fatal within the first 6 months of life</w:t>
      </w:r>
      <w:r w:rsidR="00CA17A3">
        <w:t>.</w:t>
      </w:r>
    </w:p>
    <w:p w14:paraId="4D5885E1" w14:textId="77777777" w:rsidR="00F42C0E" w:rsidRPr="006D4A16" w:rsidRDefault="00F42C0E" w:rsidP="009F456A">
      <w:r w:rsidRPr="006D4A16">
        <w:t>Deficient LAL enzyme activity results in progressive complications due to the lysosomal accumulation of cholesteryl esters and triglycerides in multiple organs, includi</w:t>
      </w:r>
      <w:r>
        <w:t>ng the liver, spleen, intestine</w:t>
      </w:r>
      <w:r w:rsidRPr="006D4A16">
        <w:t xml:space="preserve"> and the walls of blood vessels. The resulting lipid accumulation in the liver leads to hepatomegaly, transaminase elevation</w:t>
      </w:r>
      <w:r>
        <w:t xml:space="preserve">, </w:t>
      </w:r>
      <w:r w:rsidRPr="006D4A16">
        <w:t>and progression to fibrosis</w:t>
      </w:r>
      <w:r>
        <w:t xml:space="preserve"> and</w:t>
      </w:r>
      <w:r w:rsidRPr="006D4A16">
        <w:t xml:space="preserve"> cirrhosis</w:t>
      </w:r>
      <w:r>
        <w:t xml:space="preserve">. </w:t>
      </w:r>
      <w:r w:rsidRPr="006D4A16">
        <w:t>LAL</w:t>
      </w:r>
      <w:r>
        <w:t>-D</w:t>
      </w:r>
      <w:r w:rsidRPr="006D4A16">
        <w:t xml:space="preserve"> results in splenomegaly, anaemia and thrombocytopenia. Lipid accumulation in the intestinal wall leads to malabsorption and growth failure. In parallel, dyslipidaemia due to impaired degradation of lysosomal lipid is common with elevated </w:t>
      </w:r>
      <w:r w:rsidR="002B27E3">
        <w:t>low density</w:t>
      </w:r>
      <w:r>
        <w:t xml:space="preserve"> lipoprotein cholesterol</w:t>
      </w:r>
      <w:r w:rsidRPr="006D4A16">
        <w:t xml:space="preserve"> and triglycerides, and </w:t>
      </w:r>
      <w:r>
        <w:t xml:space="preserve">reduced </w:t>
      </w:r>
      <w:r w:rsidR="002B27E3">
        <w:t>high density</w:t>
      </w:r>
      <w:r>
        <w:t xml:space="preserve"> lipoprotein cholesterol</w:t>
      </w:r>
      <w:r w:rsidRPr="006D4A16">
        <w:t>. In addition to liver disease, patients with LAL-D experience increased risk for cardiovascular disease and accelerated atherosclerosis.</w:t>
      </w:r>
    </w:p>
    <w:p w14:paraId="5814E772" w14:textId="77777777" w:rsidR="00F42C0E" w:rsidRDefault="00F42C0E" w:rsidP="009F456A">
      <w:r>
        <w:t xml:space="preserve">Current </w:t>
      </w:r>
      <w:r w:rsidRPr="006D4A16">
        <w:t>t</w:t>
      </w:r>
      <w:r>
        <w:t>reatment options for infants</w:t>
      </w:r>
      <w:r w:rsidRPr="006D4A16">
        <w:t xml:space="preserve"> with </w:t>
      </w:r>
      <w:r w:rsidR="008E5468">
        <w:t>LAL-D</w:t>
      </w:r>
      <w:r w:rsidRPr="00046D04">
        <w:t xml:space="preserve"> are limited to supportive therapies, including nutritional support, blood transfusions and albumin in an attempt to mitigate some of the effects of this rapidly fatal disease</w:t>
      </w:r>
      <w:r>
        <w:t>. S</w:t>
      </w:r>
      <w:r w:rsidRPr="00046D04">
        <w:t xml:space="preserve">urvival is poor with median age at death of 8.6 months. Treatment for children or adults presenting with </w:t>
      </w:r>
      <w:r w:rsidR="008E5468">
        <w:t>LAL-D</w:t>
      </w:r>
      <w:r w:rsidRPr="00046D04">
        <w:t xml:space="preserve"> is limited to liver </w:t>
      </w:r>
      <w:r w:rsidRPr="00046D04">
        <w:lastRenderedPageBreak/>
        <w:t xml:space="preserve">transplant as liver function deteriorates, and attempts to manage dyslipidaemia through diet and the use of </w:t>
      </w:r>
      <w:r w:rsidR="00CA17A3">
        <w:t>lipid lowering</w:t>
      </w:r>
      <w:r w:rsidRPr="00046D04">
        <w:t xml:space="preserve"> medications</w:t>
      </w:r>
      <w:r>
        <w:t>.</w:t>
      </w:r>
    </w:p>
    <w:p w14:paraId="34FFF108" w14:textId="77777777" w:rsidR="00F42C0E" w:rsidRPr="00F42C0E" w:rsidRDefault="00F42C0E" w:rsidP="00F42C0E">
      <w:r w:rsidRPr="00B90407">
        <w:t xml:space="preserve">Sebelipase alfa binds to cell surface receptors via glycans expressed on the protein and is subsequently </w:t>
      </w:r>
      <w:r>
        <w:t>internalis</w:t>
      </w:r>
      <w:r w:rsidRPr="00B90407">
        <w:t xml:space="preserve">ed into lysosomes. </w:t>
      </w:r>
      <w:proofErr w:type="gramStart"/>
      <w:r w:rsidR="004A1DEE" w:rsidRPr="00B90407">
        <w:t>Sebelipase alfa</w:t>
      </w:r>
      <w:r>
        <w:t xml:space="preserve"> </w:t>
      </w:r>
      <w:r w:rsidRPr="00B90407">
        <w:t>catalyses the lysosomal hydrolysis of cholesteryl esters and triglycerides to free cholesterol,</w:t>
      </w:r>
      <w:r w:rsidR="000666DB">
        <w:t xml:space="preserve"> glycerol and free fatty acids.</w:t>
      </w:r>
      <w:proofErr w:type="gramEnd"/>
    </w:p>
    <w:p w14:paraId="59CE99F8" w14:textId="77777777" w:rsidR="008E7846" w:rsidRDefault="008E7846" w:rsidP="008E7846">
      <w:pPr>
        <w:pStyle w:val="Heading3"/>
      </w:pPr>
      <w:bookmarkStart w:id="136" w:name="_Toc314842511"/>
      <w:bookmarkStart w:id="137" w:name="_Toc519601808"/>
      <w:r>
        <w:t>Quality</w:t>
      </w:r>
      <w:bookmarkEnd w:id="134"/>
      <w:bookmarkEnd w:id="136"/>
      <w:bookmarkEnd w:id="137"/>
    </w:p>
    <w:p w14:paraId="65F5A5AB" w14:textId="77777777" w:rsidR="009F456A" w:rsidRDefault="009F456A" w:rsidP="009F456A">
      <w:r w:rsidRPr="0070734C">
        <w:t>Sebelipase alfa is a recombinant human lysosomal acid lipase (rhLAL) produced by recombinant DNA technology and purified from the egg white of g</w:t>
      </w:r>
      <w:r>
        <w:t>enetically engineered chickens (</w:t>
      </w:r>
      <w:r w:rsidRPr="0070734C">
        <w:t xml:space="preserve">transgenic </w:t>
      </w:r>
      <w:r w:rsidRPr="00953E28">
        <w:rPr>
          <w:i/>
          <w:iCs/>
        </w:rPr>
        <w:t>Gallus gallus</w:t>
      </w:r>
      <w:r>
        <w:rPr>
          <w:iCs/>
        </w:rPr>
        <w:t>)</w:t>
      </w:r>
      <w:r w:rsidRPr="0070734C">
        <w:t>. Purified sebelipase alfa is a monomeric glycoprotein containing 6 N-linked glycosylation sites with a molecular weight of approx</w:t>
      </w:r>
      <w:r>
        <w:t xml:space="preserve">imately 55 </w:t>
      </w:r>
      <w:proofErr w:type="gramStart"/>
      <w:r>
        <w:t>kD</w:t>
      </w:r>
      <w:proofErr w:type="gramEnd"/>
      <w:r w:rsidRPr="0070734C">
        <w:t>.</w:t>
      </w:r>
    </w:p>
    <w:p w14:paraId="1BE18483" w14:textId="77777777" w:rsidR="009F456A" w:rsidRPr="0070734C" w:rsidRDefault="009F456A" w:rsidP="009F456A">
      <w:r>
        <w:t xml:space="preserve">The </w:t>
      </w:r>
      <w:r w:rsidR="00953E28">
        <w:t>quality</w:t>
      </w:r>
      <w:r>
        <w:t xml:space="preserve"> evaluator has no objection to the registration of sebelipase alfa, contingent on finalisation of GMP certification. Batch release will be a condition of registration.</w:t>
      </w:r>
    </w:p>
    <w:p w14:paraId="35A564F1" w14:textId="77777777" w:rsidR="008E7846" w:rsidRDefault="008E7846" w:rsidP="008E7846">
      <w:pPr>
        <w:pStyle w:val="Heading3"/>
      </w:pPr>
      <w:bookmarkStart w:id="138" w:name="_Toc314842512"/>
      <w:bookmarkStart w:id="139" w:name="_Toc519601809"/>
      <w:r>
        <w:t>Nonclinical</w:t>
      </w:r>
      <w:bookmarkEnd w:id="138"/>
      <w:bookmarkEnd w:id="139"/>
    </w:p>
    <w:p w14:paraId="251E32BE" w14:textId="77777777" w:rsidR="009F456A" w:rsidRPr="00721D04" w:rsidRDefault="009F456A" w:rsidP="009F456A">
      <w:r w:rsidRPr="00E36B13">
        <w:rPr>
          <w:rFonts w:asciiTheme="minorHAnsi" w:hAnsiTheme="minorHAnsi"/>
        </w:rPr>
        <w:t xml:space="preserve">The </w:t>
      </w:r>
      <w:r w:rsidR="004A1DEE">
        <w:rPr>
          <w:rFonts w:asciiTheme="minorHAnsi" w:hAnsiTheme="minorHAnsi"/>
        </w:rPr>
        <w:t>nonclinical</w:t>
      </w:r>
      <w:r w:rsidRPr="00E36B13">
        <w:rPr>
          <w:rFonts w:asciiTheme="minorHAnsi" w:hAnsiTheme="minorHAnsi"/>
        </w:rPr>
        <w:t xml:space="preserve"> evaluator has no objections to the registration of </w:t>
      </w:r>
      <w:r w:rsidR="00C93FCF">
        <w:rPr>
          <w:rFonts w:asciiTheme="minorHAnsi" w:hAnsiTheme="minorHAnsi"/>
        </w:rPr>
        <w:t>Kanuma</w:t>
      </w:r>
      <w:r w:rsidRPr="00E36B13">
        <w:rPr>
          <w:rFonts w:asciiTheme="minorHAnsi" w:hAnsiTheme="minorHAnsi"/>
        </w:rPr>
        <w:t>.</w:t>
      </w:r>
      <w:r w:rsidRPr="00E36B13">
        <w:rPr>
          <w:rFonts w:asciiTheme="minorHAnsi" w:hAnsiTheme="minorHAnsi"/>
          <w:b/>
        </w:rPr>
        <w:t xml:space="preserve"> </w:t>
      </w:r>
      <w:r w:rsidRPr="00953E28">
        <w:t>In vitro,</w:t>
      </w:r>
      <w:r w:rsidRPr="00DB3E40">
        <w:t xml:space="preserve"> sebelipase alfa was shown to be taken up by cells</w:t>
      </w:r>
      <w:r>
        <w:t xml:space="preserve">, localise to </w:t>
      </w:r>
      <w:r w:rsidRPr="00DB3E40">
        <w:t>lysosomes, and restore LAL enzyme activity in LAL-D patient cells</w:t>
      </w:r>
      <w:r w:rsidRPr="00953E28">
        <w:t>. In vivo in</w:t>
      </w:r>
      <w:r w:rsidRPr="00DB3E40">
        <w:t xml:space="preserve"> a rat model of LAL-D, </w:t>
      </w:r>
      <w:r>
        <w:t xml:space="preserve">doses of </w:t>
      </w:r>
      <w:r w:rsidRPr="00DB3E40">
        <w:t xml:space="preserve">sebelipase alfa </w:t>
      </w:r>
      <w:r>
        <w:t>equivalent to that proposed clinically (based on mg/kg) were shown to increase</w:t>
      </w:r>
      <w:r w:rsidRPr="00DB3E40">
        <w:t xml:space="preserve"> hepatic LAL activity and </w:t>
      </w:r>
      <w:r>
        <w:t>reverse</w:t>
      </w:r>
      <w:r w:rsidRPr="00DB3E40">
        <w:t xml:space="preserve"> the hallmark pathology </w:t>
      </w:r>
      <w:r>
        <w:t xml:space="preserve">of LAL-D </w:t>
      </w:r>
      <w:r w:rsidRPr="00DB3E40">
        <w:t xml:space="preserve">including organomegaly and tissue LAL substrate accumulation, dyslipidaemia, and a failure </w:t>
      </w:r>
      <w:r w:rsidRPr="00953E28">
        <w:t>to thrive. In vitro and in vivo results were consistent with broad tissue uptake. These data support the proposed clinical indication. Safety pharmacology studies of the effects of sebelipase</w:t>
      </w:r>
      <w:r w:rsidRPr="00721D04">
        <w:t xml:space="preserve"> alfa on the monkey cardiovascular system and rat respiratory and central nervous systems did not raise </w:t>
      </w:r>
      <w:r>
        <w:t>any safety concerns.</w:t>
      </w:r>
    </w:p>
    <w:p w14:paraId="128D578D" w14:textId="6526A55F" w:rsidR="009F456A" w:rsidRDefault="009F456A" w:rsidP="009F456A">
      <w:r w:rsidRPr="00AD1463">
        <w:t xml:space="preserve">In </w:t>
      </w:r>
      <w:r>
        <w:t>laboratory animal species (</w:t>
      </w:r>
      <w:r w:rsidRPr="00AD1463">
        <w:t>rats</w:t>
      </w:r>
      <w:r>
        <w:t xml:space="preserve">, rabbits and </w:t>
      </w:r>
      <w:r w:rsidR="00454B12">
        <w:t>c</w:t>
      </w:r>
      <w:r>
        <w:t xml:space="preserve">ynomolgus </w:t>
      </w:r>
      <w:r w:rsidRPr="00AD1463">
        <w:t>monkeys</w:t>
      </w:r>
      <w:r>
        <w:t>)</w:t>
      </w:r>
      <w:r w:rsidRPr="00AD1463">
        <w:t xml:space="preserve">, </w:t>
      </w:r>
      <w:r>
        <w:t xml:space="preserve">as in humans, </w:t>
      </w:r>
      <w:r w:rsidRPr="00AD1463">
        <w:t xml:space="preserve">sebelipase alfa exposure was supra-proportional to dose above </w:t>
      </w:r>
      <w:r>
        <w:t>approximately 1 mg/kg (the</w:t>
      </w:r>
      <w:r w:rsidRPr="00AD1463">
        <w:t xml:space="preserve"> proposed </w:t>
      </w:r>
      <w:r>
        <w:t>dose in adults and children)</w:t>
      </w:r>
      <w:r w:rsidRPr="00AD1463">
        <w:t xml:space="preserve"> and was </w:t>
      </w:r>
      <w:r>
        <w:t>generally not increased by</w:t>
      </w:r>
      <w:r w:rsidRPr="00AD1463">
        <w:t xml:space="preserve"> repeat dosing</w:t>
      </w:r>
      <w:r>
        <w:t xml:space="preserve"> (dosing for 6 months in monkeys being the exception)</w:t>
      </w:r>
      <w:r w:rsidRPr="00AD1463">
        <w:t xml:space="preserve">. Sebelipase alfa </w:t>
      </w:r>
      <w:r>
        <w:t xml:space="preserve">exhibited a short serum half-life and </w:t>
      </w:r>
      <w:r w:rsidRPr="00AD1463">
        <w:t xml:space="preserve">was rapidly cleared from the </w:t>
      </w:r>
      <w:r>
        <w:t>circulation</w:t>
      </w:r>
      <w:r w:rsidRPr="00AD1463">
        <w:t xml:space="preserve"> </w:t>
      </w:r>
      <w:r>
        <w:t>after the completion of IV infusion</w:t>
      </w:r>
      <w:r w:rsidRPr="00AD1463">
        <w:t>.</w:t>
      </w:r>
      <w:r>
        <w:t xml:space="preserve"> The volume of distribution in all species was limited, as anticipated for a drug of this nature.</w:t>
      </w:r>
      <w:r w:rsidRPr="00AD1463">
        <w:t xml:space="preserve"> </w:t>
      </w:r>
      <w:r w:rsidRPr="00556F0C">
        <w:t xml:space="preserve">The </w:t>
      </w:r>
      <w:r w:rsidR="00C93FCF">
        <w:t>repeat dose</w:t>
      </w:r>
      <w:r w:rsidRPr="00556F0C">
        <w:t xml:space="preserve"> toxicity of sebelipase alfa administered by IV infusion was assessed </w:t>
      </w:r>
      <w:r>
        <w:t xml:space="preserve">in studies of up to 4 weeks duration </w:t>
      </w:r>
      <w:r w:rsidRPr="00556F0C">
        <w:t xml:space="preserve">in rats </w:t>
      </w:r>
      <w:r>
        <w:t xml:space="preserve">and 6 months in </w:t>
      </w:r>
      <w:r w:rsidRPr="00556F0C">
        <w:t xml:space="preserve">monkeys and maximum exposures (AUC) were high. There were no findings considered to be of toxicological concern. </w:t>
      </w:r>
      <w:r w:rsidRPr="000334F4">
        <w:t xml:space="preserve">Transient </w:t>
      </w:r>
      <w:r w:rsidR="00B935CA">
        <w:t>dose dependent</w:t>
      </w:r>
      <w:r w:rsidRPr="000334F4">
        <w:t xml:space="preserve"> hypersensitivity reactions were frequently observed in both vehicle and </w:t>
      </w:r>
      <w:r w:rsidR="008A34D4">
        <w:t>drug treated</w:t>
      </w:r>
      <w:r w:rsidRPr="000334F4">
        <w:t xml:space="preserve"> rats during </w:t>
      </w:r>
      <w:r w:rsidR="00953E28">
        <w:t xml:space="preserve">or immediately following dosing; </w:t>
      </w:r>
      <w:r w:rsidRPr="000334F4">
        <w:t>a common finding in rats administer</w:t>
      </w:r>
      <w:r w:rsidR="00953E28">
        <w:t xml:space="preserve">ed foreign recombinant proteins; </w:t>
      </w:r>
      <w:r w:rsidRPr="000334F4">
        <w:t>but infrequently in monkey</w:t>
      </w:r>
      <w:r w:rsidRPr="00733848">
        <w:t xml:space="preserve">s. </w:t>
      </w:r>
      <w:r w:rsidR="008A34D4">
        <w:t>Infusion associated</w:t>
      </w:r>
      <w:r w:rsidRPr="00733848">
        <w:t xml:space="preserve"> hypersensitivity reactions were observed in some patients in the clinical studies</w:t>
      </w:r>
      <w:r>
        <w:t xml:space="preserve"> and corresponding statements are included in the </w:t>
      </w:r>
      <w:r w:rsidR="008A34D4">
        <w:t>PI</w:t>
      </w:r>
      <w:r>
        <w:t xml:space="preserve"> and </w:t>
      </w:r>
      <w:r w:rsidR="00953E28">
        <w:t>RMP</w:t>
      </w:r>
      <w:r w:rsidRPr="00733848">
        <w:t>.</w:t>
      </w:r>
      <w:r w:rsidR="00B935CA">
        <w:t xml:space="preserve"> </w:t>
      </w:r>
      <w:r w:rsidRPr="00733848">
        <w:t>No conce</w:t>
      </w:r>
      <w:r>
        <w:t>rns were raised for local toxic effects of sebelipase alfa at the site of IV infusion.</w:t>
      </w:r>
    </w:p>
    <w:p w14:paraId="53647C5C" w14:textId="77777777" w:rsidR="009F456A" w:rsidRPr="000334F4" w:rsidRDefault="009F456A" w:rsidP="009F456A">
      <w:r>
        <w:t xml:space="preserve">Anti-drug antibodies were present in the sera of most rats and monkeys after repeat dosing with sebelipase alfa, yet were not correlated with exposure, toxicity, or the pharmacodynamics of sebelipase alfa in a rat model of LAL-D. Monkeys dosed repeatedly for 6 months tested positive for </w:t>
      </w:r>
      <w:r w:rsidRPr="000334F4">
        <w:t>anti-ovalbumin antibodies, consistent with sebelipase alfa being produced from chicken egg whites, which may have implications fo</w:t>
      </w:r>
      <w:r>
        <w:t>r patients with egg allergies.</w:t>
      </w:r>
    </w:p>
    <w:p w14:paraId="5103C1D8" w14:textId="16A32B9E" w:rsidR="009F456A" w:rsidRPr="009F456A" w:rsidRDefault="009F456A" w:rsidP="009F456A">
      <w:r w:rsidRPr="000334F4">
        <w:lastRenderedPageBreak/>
        <w:t xml:space="preserve">Consistent with </w:t>
      </w:r>
      <w:r w:rsidR="00454B12">
        <w:t xml:space="preserve">the </w:t>
      </w:r>
      <w:r w:rsidRPr="000334F4">
        <w:t>ICH guideline</w:t>
      </w:r>
      <w:proofErr w:type="gramStart"/>
      <w:r w:rsidR="00454B12">
        <w:t>;</w:t>
      </w:r>
      <w:proofErr w:type="gramEnd"/>
      <w:r w:rsidR="00953E28" w:rsidRPr="00953E28">
        <w:rPr>
          <w:vertAlign w:val="superscript"/>
        </w:rPr>
        <w:fldChar w:fldCharType="begin"/>
      </w:r>
      <w:r w:rsidR="00953E28" w:rsidRPr="00953E28">
        <w:rPr>
          <w:vertAlign w:val="superscript"/>
        </w:rPr>
        <w:instrText xml:space="preserve"> NOTEREF _Ref513476794 \h </w:instrText>
      </w:r>
      <w:r w:rsidR="00953E28">
        <w:rPr>
          <w:vertAlign w:val="superscript"/>
        </w:rPr>
        <w:instrText xml:space="preserve"> \* MERGEFORMAT </w:instrText>
      </w:r>
      <w:r w:rsidR="00953E28" w:rsidRPr="00953E28">
        <w:rPr>
          <w:vertAlign w:val="superscript"/>
        </w:rPr>
      </w:r>
      <w:r w:rsidR="00953E28" w:rsidRPr="00953E28">
        <w:rPr>
          <w:vertAlign w:val="superscript"/>
        </w:rPr>
        <w:fldChar w:fldCharType="separate"/>
      </w:r>
      <w:r w:rsidR="00953E28" w:rsidRPr="00953E28">
        <w:rPr>
          <w:vertAlign w:val="superscript"/>
        </w:rPr>
        <w:t>12</w:t>
      </w:r>
      <w:r w:rsidR="00953E28" w:rsidRPr="00953E28">
        <w:rPr>
          <w:vertAlign w:val="superscript"/>
        </w:rPr>
        <w:fldChar w:fldCharType="end"/>
      </w:r>
      <w:r w:rsidRPr="000334F4">
        <w:t xml:space="preserve"> no genotoxicity or carcinogenicity studies were conducted</w:t>
      </w:r>
      <w:r>
        <w:t xml:space="preserve">. </w:t>
      </w:r>
      <w:r w:rsidRPr="000334F4">
        <w:t>In comprehensive reproductive toxicity studies in rats and rabbits, sebelipase alfa exposure was high and no concerns were raised for reproductive safety from a nonclinical perspective</w:t>
      </w:r>
      <w:r w:rsidRPr="00953E28">
        <w:t>. Pregnancy Category B1 is warranted, rather than the sponsor's proposal for Category</w:t>
      </w:r>
      <w:r>
        <w:t xml:space="preserve"> B2</w:t>
      </w:r>
      <w:r w:rsidRPr="000334F4">
        <w:t>.</w:t>
      </w:r>
    </w:p>
    <w:p w14:paraId="18304EF1" w14:textId="77777777" w:rsidR="008E7846" w:rsidRDefault="008E7846" w:rsidP="008E7846">
      <w:pPr>
        <w:pStyle w:val="Heading3"/>
      </w:pPr>
      <w:bookmarkStart w:id="140" w:name="_Toc247691530"/>
      <w:bookmarkStart w:id="141" w:name="_Toc314842513"/>
      <w:bookmarkStart w:id="142" w:name="_Toc519601810"/>
      <w:r>
        <w:t>Clinical</w:t>
      </w:r>
      <w:bookmarkEnd w:id="140"/>
      <w:bookmarkEnd w:id="141"/>
      <w:bookmarkEnd w:id="142"/>
    </w:p>
    <w:p w14:paraId="1051345E" w14:textId="77777777" w:rsidR="009F456A" w:rsidRPr="000A1B5F" w:rsidRDefault="009F456A" w:rsidP="009F456A">
      <w:bookmarkStart w:id="143" w:name="_Ref272160677"/>
      <w:bookmarkStart w:id="144" w:name="_Toc272414713"/>
      <w:bookmarkStart w:id="145" w:name="_Toc290846352"/>
      <w:bookmarkStart w:id="146" w:name="_Toc465695468"/>
      <w:bookmarkStart w:id="147" w:name="_Toc314842514"/>
      <w:r>
        <w:t>In t</w:t>
      </w:r>
      <w:r w:rsidRPr="000A1B5F">
        <w:t>he clinical developmen</w:t>
      </w:r>
      <w:r>
        <w:t xml:space="preserve">t programme, </w:t>
      </w:r>
      <w:r w:rsidRPr="000A1B5F">
        <w:t>84 subjects with LAL</w:t>
      </w:r>
      <w:r>
        <w:t>-</w:t>
      </w:r>
      <w:r w:rsidRPr="000A1B5F">
        <w:t>D, including 9 infants, 47 children and 28 adults received treatment with sebelipase alfa</w:t>
      </w:r>
      <w:r>
        <w:t>.</w:t>
      </w:r>
    </w:p>
    <w:p w14:paraId="1652B233" w14:textId="77777777" w:rsidR="009F456A" w:rsidRPr="00E36B13" w:rsidRDefault="009F456A" w:rsidP="009F456A">
      <w:pPr>
        <w:rPr>
          <w:rFonts w:asciiTheme="minorHAnsi" w:hAnsiTheme="minorHAnsi"/>
        </w:rPr>
      </w:pPr>
      <w:r>
        <w:rPr>
          <w:rFonts w:asciiTheme="minorHAnsi" w:hAnsiTheme="minorHAnsi"/>
        </w:rPr>
        <w:t>The</w:t>
      </w:r>
      <w:r w:rsidRPr="00E36B13">
        <w:rPr>
          <w:rFonts w:asciiTheme="minorHAnsi" w:hAnsiTheme="minorHAnsi"/>
        </w:rPr>
        <w:t xml:space="preserve"> clinical evaluator recommended </w:t>
      </w:r>
      <w:bookmarkEnd w:id="143"/>
      <w:bookmarkEnd w:id="144"/>
      <w:bookmarkEnd w:id="145"/>
      <w:bookmarkEnd w:id="146"/>
      <w:r w:rsidRPr="00E36B13">
        <w:rPr>
          <w:rFonts w:asciiTheme="minorHAnsi" w:hAnsiTheme="minorHAnsi"/>
        </w:rPr>
        <w:t xml:space="preserve">authorisation for the sponsor’s proposed indication. This recommendation is provided subject to the </w:t>
      </w:r>
      <w:r>
        <w:rPr>
          <w:rFonts w:asciiTheme="minorHAnsi" w:hAnsiTheme="minorHAnsi"/>
        </w:rPr>
        <w:t>PI being updated as requested.</w:t>
      </w:r>
    </w:p>
    <w:p w14:paraId="7D8AFCE8" w14:textId="77777777" w:rsidR="009F456A" w:rsidRPr="00E36B13" w:rsidRDefault="009F456A" w:rsidP="009F456A">
      <w:pPr>
        <w:rPr>
          <w:rFonts w:asciiTheme="minorHAnsi" w:hAnsiTheme="minorHAnsi"/>
        </w:rPr>
      </w:pPr>
      <w:r w:rsidRPr="00E36B13">
        <w:rPr>
          <w:rFonts w:asciiTheme="minorHAnsi" w:hAnsiTheme="minorHAnsi"/>
        </w:rPr>
        <w:t>The clinical dossier included the following data:</w:t>
      </w:r>
    </w:p>
    <w:p w14:paraId="58153AD4" w14:textId="2930D70F" w:rsidR="009F456A" w:rsidRPr="00953E28" w:rsidRDefault="009F456A" w:rsidP="009F456A">
      <w:pPr>
        <w:pStyle w:val="ListBullet"/>
      </w:pPr>
      <w:r w:rsidRPr="00E36B13">
        <w:t>1</w:t>
      </w:r>
      <w:r>
        <w:t xml:space="preserve"> clinical </w:t>
      </w:r>
      <w:r w:rsidRPr="00953E28">
        <w:t>pharmacology study (</w:t>
      </w:r>
      <w:r w:rsidR="00454B12">
        <w:t xml:space="preserve">Study </w:t>
      </w:r>
      <w:r w:rsidRPr="00953E28">
        <w:t>LAL-CL01)</w:t>
      </w:r>
    </w:p>
    <w:p w14:paraId="417EBC3E" w14:textId="77777777" w:rsidR="009F456A" w:rsidRPr="00953E28" w:rsidRDefault="009F456A" w:rsidP="009F456A">
      <w:pPr>
        <w:pStyle w:val="ListBullet"/>
      </w:pPr>
      <w:r w:rsidRPr="00953E28">
        <w:t>1 population pharmacokinetic evaluation</w:t>
      </w:r>
    </w:p>
    <w:p w14:paraId="36087F93" w14:textId="51B718CA" w:rsidR="009F456A" w:rsidRPr="00953E28" w:rsidRDefault="009F456A" w:rsidP="009F456A">
      <w:pPr>
        <w:pStyle w:val="ListBullet"/>
      </w:pPr>
      <w:r w:rsidRPr="00953E28">
        <w:t>1 pivotal efficacy/safety study (</w:t>
      </w:r>
      <w:r w:rsidR="00454B12">
        <w:t xml:space="preserve">Study </w:t>
      </w:r>
      <w:r w:rsidRPr="00953E28">
        <w:t>LAL-CL02)</w:t>
      </w:r>
    </w:p>
    <w:p w14:paraId="7F12F733" w14:textId="3388F79F" w:rsidR="009F456A" w:rsidRPr="00953E28" w:rsidRDefault="009F456A" w:rsidP="009F456A">
      <w:pPr>
        <w:pStyle w:val="ListBullet"/>
      </w:pPr>
      <w:r w:rsidRPr="00953E28">
        <w:t xml:space="preserve">1 open label </w:t>
      </w:r>
      <w:r w:rsidR="00512C0D">
        <w:t>P</w:t>
      </w:r>
      <w:r w:rsidRPr="00953E28">
        <w:t xml:space="preserve">hase </w:t>
      </w:r>
      <w:r w:rsidR="00512C0D">
        <w:t>III</w:t>
      </w:r>
      <w:r w:rsidRPr="00953E28">
        <w:t xml:space="preserve"> efficacy/safety study (</w:t>
      </w:r>
      <w:r w:rsidR="00454B12">
        <w:t xml:space="preserve">Study </w:t>
      </w:r>
      <w:r w:rsidRPr="00953E28">
        <w:t>LAL-CL03)</w:t>
      </w:r>
    </w:p>
    <w:p w14:paraId="15A266B3" w14:textId="1E8B6F1B" w:rsidR="009F456A" w:rsidRPr="00953E28" w:rsidRDefault="009F456A" w:rsidP="009F456A">
      <w:pPr>
        <w:pStyle w:val="ListBullet"/>
      </w:pPr>
      <w:r w:rsidRPr="00953E28">
        <w:t>1 open label extension study (</w:t>
      </w:r>
      <w:r w:rsidR="00454B12">
        <w:t xml:space="preserve">Study </w:t>
      </w:r>
      <w:r w:rsidRPr="00953E28">
        <w:t>LAL-CL04)</w:t>
      </w:r>
    </w:p>
    <w:p w14:paraId="124AAE95" w14:textId="2D55710D" w:rsidR="009F456A" w:rsidRPr="00953E28" w:rsidRDefault="009F456A" w:rsidP="009F456A">
      <w:pPr>
        <w:pStyle w:val="ListBullet"/>
      </w:pPr>
      <w:r w:rsidRPr="00953E28">
        <w:t>2 observational natural history studies (</w:t>
      </w:r>
      <w:r w:rsidR="00454B12">
        <w:t xml:space="preserve">Study </w:t>
      </w:r>
      <w:r w:rsidRPr="00953E28">
        <w:t>LAL-1-NH01 in infants;</w:t>
      </w:r>
      <w:r w:rsidR="00454B12">
        <w:t xml:space="preserve"> and Study </w:t>
      </w:r>
      <w:r w:rsidRPr="00953E28">
        <w:t>LAL</w:t>
      </w:r>
      <w:r w:rsidR="00512C0D">
        <w:noBreakHyphen/>
      </w:r>
      <w:r w:rsidRPr="00953E28">
        <w:t>2-NH01 in children and adults)</w:t>
      </w:r>
      <w:r w:rsidR="004A1DEE">
        <w:t>.</w:t>
      </w:r>
    </w:p>
    <w:p w14:paraId="56183D87" w14:textId="77777777" w:rsidR="009F456A" w:rsidRPr="00E36B13" w:rsidRDefault="009F456A" w:rsidP="009F456A">
      <w:pPr>
        <w:pStyle w:val="Heading4"/>
      </w:pPr>
      <w:r w:rsidRPr="00E36B13">
        <w:t>Pharmacology</w:t>
      </w:r>
    </w:p>
    <w:p w14:paraId="7AFD551B" w14:textId="77777777" w:rsidR="009F456A" w:rsidRDefault="009F456A" w:rsidP="009F456A">
      <w:r>
        <w:t xml:space="preserve">The main </w:t>
      </w:r>
      <w:r w:rsidR="002817EA">
        <w:t>sebelipase alfa</w:t>
      </w:r>
      <w:r>
        <w:t xml:space="preserve"> PK data are based on only three subjects. AUC and </w:t>
      </w:r>
      <w:r w:rsidR="00953E28">
        <w:t>C</w:t>
      </w:r>
      <w:r w:rsidR="00953E28" w:rsidRPr="00953E28">
        <w:rPr>
          <w:vertAlign w:val="subscript"/>
        </w:rPr>
        <w:t>max</w:t>
      </w:r>
      <w:r>
        <w:t xml:space="preserve"> were dose-proportional from 0.35 to 1 mg/kg, but significantly greater than dose-proportional on moving to the 3 mg/kg dose. Median half-life was 0.78 h</w:t>
      </w:r>
      <w:r w:rsidR="00953E28">
        <w:t>ours</w:t>
      </w:r>
      <w:r>
        <w:t xml:space="preserve"> f</w:t>
      </w:r>
      <w:r w:rsidR="00953E28">
        <w:t xml:space="preserve">or the 0.35 mg/kg dose and 0.11 to </w:t>
      </w:r>
      <w:r>
        <w:t>0.13</w:t>
      </w:r>
      <w:r w:rsidR="00953E28">
        <w:t xml:space="preserve"> hours</w:t>
      </w:r>
      <w:r>
        <w:t xml:space="preserve"> for the 1 a</w:t>
      </w:r>
      <w:r w:rsidR="00953E28">
        <w:t>nd 3 mg/kg doses, respectively.</w:t>
      </w:r>
    </w:p>
    <w:p w14:paraId="63B6F0AE" w14:textId="41DEC0E9" w:rsidR="009F456A" w:rsidRPr="00E36B13" w:rsidRDefault="002817EA" w:rsidP="009F456A">
      <w:r>
        <w:t>Sebelipase alfa</w:t>
      </w:r>
      <w:r w:rsidR="009F456A">
        <w:t xml:space="preserve"> reduces transaminase levels within 1</w:t>
      </w:r>
      <w:r w:rsidR="00512C0D">
        <w:t xml:space="preserve"> to </w:t>
      </w:r>
      <w:r w:rsidR="009F456A">
        <w:t>2 weeks of treatment initiation. There was little effect of dose on time-course or magnitude of effect. Effec</w:t>
      </w:r>
      <w:r w:rsidR="00953E28">
        <w:t xml:space="preserve">ts on lipids were seen within 2 to </w:t>
      </w:r>
      <w:r w:rsidR="009F456A">
        <w:t>4 weeks and were more pronounced at the highest dose (3 mg/kg).</w:t>
      </w:r>
    </w:p>
    <w:p w14:paraId="7C3C376C" w14:textId="77777777" w:rsidR="009F456A" w:rsidRPr="00E36B13" w:rsidRDefault="009F456A" w:rsidP="009F456A">
      <w:pPr>
        <w:pStyle w:val="Heading4"/>
      </w:pPr>
      <w:r w:rsidRPr="00E36B13">
        <w:t>Efficacy</w:t>
      </w:r>
    </w:p>
    <w:p w14:paraId="2D271FE0" w14:textId="7E5E98E8" w:rsidR="009F456A" w:rsidRPr="00953E28" w:rsidRDefault="009F456A" w:rsidP="00953E28">
      <w:r>
        <w:t>In</w:t>
      </w:r>
      <w:r w:rsidRPr="00A05041">
        <w:t xml:space="preserve"> </w:t>
      </w:r>
      <w:r w:rsidR="00B37B92">
        <w:t>S</w:t>
      </w:r>
      <w:r w:rsidRPr="00953E28">
        <w:t xml:space="preserve">tudy LAL-CL01, adults were treated with 0.35, 1, or 3 mg/kg </w:t>
      </w:r>
      <w:r w:rsidR="002817EA">
        <w:t>sebelipase alfa</w:t>
      </w:r>
      <w:r w:rsidRPr="00953E28">
        <w:t xml:space="preserve"> weekly for 4 weeks. Subjects who participated in extension </w:t>
      </w:r>
      <w:r w:rsidR="00B37B92">
        <w:t>S</w:t>
      </w:r>
      <w:r w:rsidR="00B37B92" w:rsidRPr="00953E28">
        <w:t xml:space="preserve">tudy </w:t>
      </w:r>
      <w:r w:rsidRPr="00953E28">
        <w:t>LAL-CL04 transitioned to an every other week dosing regimen (1 or 3 mg/kg). All doses were associated with reductions in liver enzymes and improvements in serum lipids, which were maintained on switching to an every other week regimen.</w:t>
      </w:r>
    </w:p>
    <w:p w14:paraId="50FE8EBE" w14:textId="72FDC532" w:rsidR="009F456A" w:rsidRPr="00F5566D" w:rsidRDefault="009F456A" w:rsidP="00953E28">
      <w:r w:rsidRPr="00953E28">
        <w:t xml:space="preserve">Study LAL-CL02 was a pivotal, phase 3, multicentre, randomised, </w:t>
      </w:r>
      <w:r w:rsidR="002B27E3" w:rsidRPr="00953E28">
        <w:t>placebo controlled</w:t>
      </w:r>
      <w:r w:rsidRPr="00953E28">
        <w:t xml:space="preserve"> study of </w:t>
      </w:r>
      <w:r w:rsidR="002817EA">
        <w:t>sebelipase alfa</w:t>
      </w:r>
      <w:r w:rsidRPr="00953E28">
        <w:t xml:space="preserve"> in 66 children and adults with LAL-D. The primary objective was to demonstrate efficacy of </w:t>
      </w:r>
      <w:r w:rsidR="002817EA">
        <w:t>sebelipase alfa</w:t>
      </w:r>
      <w:r w:rsidRPr="00953E28">
        <w:t xml:space="preserve"> relative to placebo, based on normalisation of ALT. Secondary efficacy measures included decrease in </w:t>
      </w:r>
      <w:r w:rsidR="002817EA">
        <w:t>LDL-c</w:t>
      </w:r>
      <w:r w:rsidRPr="00953E28">
        <w:t>; decrease in non-</w:t>
      </w:r>
      <w:r w:rsidR="002817EA" w:rsidRPr="002817EA">
        <w:t xml:space="preserve"> </w:t>
      </w:r>
      <w:r w:rsidR="002817EA">
        <w:t>HDL-c</w:t>
      </w:r>
      <w:r w:rsidRPr="00953E28">
        <w:t xml:space="preserve">; normalisation of AST; decrease in triglycerides; increase in </w:t>
      </w:r>
      <w:r w:rsidR="002817EA">
        <w:t>HDL-c</w:t>
      </w:r>
      <w:r w:rsidRPr="00953E28">
        <w:t>; decrease in liver fat content and liver volume; and improvement in</w:t>
      </w:r>
      <w:r>
        <w:t xml:space="preserve"> hepatic histology. Subjects were aged over 4 years, had a diagnosis of LAL-D and ALT </w:t>
      </w:r>
      <w:r w:rsidR="00953E28">
        <w:t>≥</w:t>
      </w:r>
      <w:r>
        <w:t xml:space="preserve"> </w:t>
      </w:r>
      <w:r w:rsidR="00953E28">
        <w:t>1.5 x ULN</w:t>
      </w:r>
      <w:r>
        <w:t xml:space="preserve">. The main exclusion criterion was severe hepatic dysfunction (Child-Pugh Class C). Subjects were randomised to </w:t>
      </w:r>
      <w:r w:rsidR="00953E28">
        <w:t>sebelipase alfa</w:t>
      </w:r>
      <w:r>
        <w:t xml:space="preserve"> 1</w:t>
      </w:r>
      <w:r w:rsidR="003A7287">
        <w:t xml:space="preserve"> </w:t>
      </w:r>
      <w:r>
        <w:t xml:space="preserve">mg/kg every other week, or matching placebo, for 20 weeks, followed by a 130 week </w:t>
      </w:r>
      <w:r w:rsidR="00953E28">
        <w:t>o</w:t>
      </w:r>
      <w:r w:rsidR="002B27E3">
        <w:t>pen label</w:t>
      </w:r>
      <w:r>
        <w:t xml:space="preserve"> period. During the </w:t>
      </w:r>
      <w:r w:rsidR="00953E28">
        <w:t>o</w:t>
      </w:r>
      <w:r w:rsidR="002B27E3">
        <w:t>pen label</w:t>
      </w:r>
      <w:r>
        <w:t xml:space="preserve"> period, a dose increase to 3 mg/kg</w:t>
      </w:r>
      <w:r w:rsidRPr="008A3B8B">
        <w:t xml:space="preserve"> was permitted </w:t>
      </w:r>
      <w:r w:rsidRPr="008A3B8B">
        <w:lastRenderedPageBreak/>
        <w:t>in the event of an</w:t>
      </w:r>
      <w:r>
        <w:t xml:space="preserve"> </w:t>
      </w:r>
      <w:r w:rsidRPr="008A3B8B">
        <w:t xml:space="preserve">inadequate clinical response, and a </w:t>
      </w:r>
      <w:r>
        <w:t>dose reduction to 0.35 mg/kg</w:t>
      </w:r>
      <w:r w:rsidRPr="008A3B8B">
        <w:t xml:space="preserve"> was permitted in the event of poor</w:t>
      </w:r>
      <w:r>
        <w:t xml:space="preserve"> </w:t>
      </w:r>
      <w:r w:rsidRPr="008A3B8B">
        <w:t>tolerability</w:t>
      </w:r>
      <w:r>
        <w:t>.</w:t>
      </w:r>
    </w:p>
    <w:p w14:paraId="50B6FBF8" w14:textId="0E1CE8B5" w:rsidR="009F456A" w:rsidRDefault="009F456A" w:rsidP="00953E28">
      <w:r>
        <w:t xml:space="preserve">The median age was 13.0 years, with 36% aged </w:t>
      </w:r>
      <w:r w:rsidR="004A1DEE">
        <w:t>less than</w:t>
      </w:r>
      <w:r>
        <w:t xml:space="preserve"> 12 years and 29% over 18 years. 50% were</w:t>
      </w:r>
      <w:r w:rsidR="008E71BE">
        <w:t xml:space="preserve"> male. Median age at </w:t>
      </w:r>
      <w:r w:rsidR="00B37B92">
        <w:t xml:space="preserve">the </w:t>
      </w:r>
      <w:r w:rsidR="008E71BE">
        <w:t xml:space="preserve">first LAL </w:t>
      </w:r>
      <w:r>
        <w:t>related abnormality was 4 years, with the most common abnormality being elevated transaminases (47% in both groups).</w:t>
      </w:r>
    </w:p>
    <w:p w14:paraId="16ED36FB" w14:textId="061814F1" w:rsidR="009F456A" w:rsidRDefault="009F456A" w:rsidP="00953E28">
      <w:r>
        <w:t>All but 2 subjects received all 11 study d</w:t>
      </w:r>
      <w:r w:rsidR="00953E28">
        <w:t xml:space="preserve">rug infusions during the double </w:t>
      </w:r>
      <w:r>
        <w:t xml:space="preserve">blind period. </w:t>
      </w:r>
      <w:r w:rsidRPr="008F48D2">
        <w:t xml:space="preserve">A statistically significant greater proportion of subjects in the </w:t>
      </w:r>
      <w:r w:rsidR="002817EA">
        <w:t>sebelipase alfa</w:t>
      </w:r>
      <w:r w:rsidRPr="008F48D2">
        <w:t xml:space="preserve"> group than in the placebo</w:t>
      </w:r>
      <w:r>
        <w:t xml:space="preserve"> group </w:t>
      </w:r>
      <w:r w:rsidRPr="008F48D2">
        <w:t xml:space="preserve">achieved normalisation in ALT by the last time point in the </w:t>
      </w:r>
      <w:r w:rsidR="00953E28">
        <w:t>double blind</w:t>
      </w:r>
      <w:r w:rsidRPr="008F48D2">
        <w:t xml:space="preserve"> period</w:t>
      </w:r>
      <w:r>
        <w:t xml:space="preserve"> </w:t>
      </w:r>
      <w:r w:rsidRPr="008F48D2">
        <w:t xml:space="preserve">(31% </w:t>
      </w:r>
      <w:r w:rsidR="00953E28">
        <w:t>versus</w:t>
      </w:r>
      <w:r w:rsidRPr="008F48D2">
        <w:t xml:space="preserve"> 7%,</w:t>
      </w:r>
      <w:r w:rsidR="00B935CA">
        <w:t xml:space="preserve"> </w:t>
      </w:r>
      <w:r w:rsidR="00953E28">
        <w:t>p = 0</w:t>
      </w:r>
      <w:r w:rsidRPr="008F48D2">
        <w:t>.0271)</w:t>
      </w:r>
      <w:r>
        <w:t xml:space="preserve">. </w:t>
      </w:r>
      <w:r w:rsidR="002817EA">
        <w:t>Sebelipase alfa</w:t>
      </w:r>
      <w:r>
        <w:t xml:space="preserve"> was also associated with significant improvements in LDL-</w:t>
      </w:r>
      <w:r w:rsidR="007F5DA3">
        <w:t>c</w:t>
      </w:r>
      <w:r>
        <w:t xml:space="preserve"> (</w:t>
      </w:r>
      <w:r w:rsidR="008E71BE">
        <w:noBreakHyphen/>
      </w:r>
      <w:r>
        <w:t xml:space="preserve">28.42% </w:t>
      </w:r>
      <w:r w:rsidR="00953E28">
        <w:t>versus</w:t>
      </w:r>
      <w:r w:rsidRPr="008C2375">
        <w:t xml:space="preserve"> </w:t>
      </w:r>
      <w:r w:rsidR="008E71BE">
        <w:noBreakHyphen/>
      </w:r>
      <w:r w:rsidRPr="008C2375">
        <w:t>6.25%,</w:t>
      </w:r>
      <w:r>
        <w:t xml:space="preserve"> </w:t>
      </w:r>
      <w:r w:rsidR="00953E28">
        <w:t>p &lt; 0</w:t>
      </w:r>
      <w:r>
        <w:t xml:space="preserve">.0001), a greater rate of AST normalisation (42% </w:t>
      </w:r>
      <w:r w:rsidR="00953E28">
        <w:t>versus</w:t>
      </w:r>
      <w:r>
        <w:t xml:space="preserve"> </w:t>
      </w:r>
      <w:r w:rsidRPr="008C2375">
        <w:t>3%</w:t>
      </w:r>
      <w:r>
        <w:t xml:space="preserve">, </w:t>
      </w:r>
      <w:r w:rsidR="00953E28">
        <w:t>p = 0</w:t>
      </w:r>
      <w:r>
        <w:t xml:space="preserve">.0003), and greater improvements in triglycerides, </w:t>
      </w:r>
      <w:r w:rsidR="002817EA">
        <w:t>HDL-c</w:t>
      </w:r>
      <w:r>
        <w:t xml:space="preserve">, and liver histology, compared to placebo. Efficacy of </w:t>
      </w:r>
      <w:r w:rsidR="002817EA">
        <w:t>sebelipase alfa</w:t>
      </w:r>
      <w:r>
        <w:t xml:space="preserve"> appeared to improve with increasing </w:t>
      </w:r>
      <w:r w:rsidR="004A1DEE">
        <w:t>age;</w:t>
      </w:r>
      <w:r>
        <w:t xml:space="preserve"> </w:t>
      </w:r>
      <w:r w:rsidR="003A7287">
        <w:t>however,</w:t>
      </w:r>
      <w:r>
        <w:t xml:space="preserve"> this analysis is limited by the small number of subjects in each age category.</w:t>
      </w:r>
    </w:p>
    <w:p w14:paraId="25630584" w14:textId="64E802F8" w:rsidR="009F456A" w:rsidRDefault="009F456A" w:rsidP="00953E28">
      <w:r w:rsidRPr="008E71BE">
        <w:t>Study LAL-CL03</w:t>
      </w:r>
      <w:r>
        <w:t xml:space="preserve"> was a </w:t>
      </w:r>
      <w:r w:rsidR="008E71BE">
        <w:t>Phase II/III</w:t>
      </w:r>
      <w:r>
        <w:t xml:space="preserve"> </w:t>
      </w:r>
      <w:r w:rsidR="008E71BE">
        <w:t>ope</w:t>
      </w:r>
      <w:r w:rsidR="002B27E3">
        <w:t>n label</w:t>
      </w:r>
      <w:r>
        <w:t xml:space="preserve"> </w:t>
      </w:r>
      <w:r w:rsidR="008E71BE">
        <w:t>dose escalation</w:t>
      </w:r>
      <w:r w:rsidR="004A1DEE">
        <w:t xml:space="preserve"> study in nine children aged 1 to </w:t>
      </w:r>
      <w:r>
        <w:t xml:space="preserve">6 months with growth retardation due to LAL-D. Starting dose was 0.35 mg/kg weekly, which could be escalated to 1 mg/kg and then to 3 mg/kg. Primary efficacy endpoint was survival; secondary endpoints included growth parameters and hepatic enzyme changes. Study duration was up to 4 years. Six subjects survived to 12 months of age (all six were escalated to a dose of 3 mg/kg weekly), compared to none of 21 comparable infants in </w:t>
      </w:r>
      <w:r w:rsidR="00B37B92">
        <w:t xml:space="preserve">the </w:t>
      </w:r>
      <w:r>
        <w:t xml:space="preserve">natural history </w:t>
      </w:r>
      <w:r w:rsidR="00B37B92">
        <w:t>S</w:t>
      </w:r>
      <w:r>
        <w:t>tudy LAL-1-NH01. Three subjects survi</w:t>
      </w:r>
      <w:r w:rsidR="008E71BE">
        <w:t>ved to 18 months, and two to 24 </w:t>
      </w:r>
      <w:r>
        <w:t>months. The six subjects surviving to 12 months all had increased weight-for-age percentiles on treatment. Seven of nine infants had ALT above ULN at baseline; ALT decreased rapidly on treatment, with median ALT decrease at week 4 being 66%.</w:t>
      </w:r>
    </w:p>
    <w:p w14:paraId="62D7539F" w14:textId="33C6BE62" w:rsidR="009F456A" w:rsidRPr="00E36B13" w:rsidRDefault="009F456A" w:rsidP="00953E28">
      <w:r w:rsidRPr="008E71BE">
        <w:t>Study LAL-CL04</w:t>
      </w:r>
      <w:r>
        <w:t xml:space="preserve"> was </w:t>
      </w:r>
      <w:r w:rsidR="008E71BE">
        <w:t xml:space="preserve">an open </w:t>
      </w:r>
      <w:r w:rsidR="002B27E3">
        <w:t>label</w:t>
      </w:r>
      <w:r>
        <w:t xml:space="preserve"> extension study of eight adults previously treated in </w:t>
      </w:r>
      <w:r w:rsidR="00B37B92">
        <w:t xml:space="preserve">Study </w:t>
      </w:r>
      <w:r w:rsidRPr="00342C2E">
        <w:t>LAL-CL01</w:t>
      </w:r>
      <w:r>
        <w:t xml:space="preserve">. Subjects were transitioned to a 1 or 3 mg/kg every other week dosing regimen. All subjects had normalisation of both AST and ALT from 25 to 104 weeks of treatment, accompanied by reductions in </w:t>
      </w:r>
      <w:r w:rsidR="007F5DA3">
        <w:t>low density lipoprotein (</w:t>
      </w:r>
      <w:r>
        <w:t>LDL</w:t>
      </w:r>
      <w:r w:rsidR="007F5DA3">
        <w:t>)</w:t>
      </w:r>
      <w:r>
        <w:t xml:space="preserve"> and triglycerides, along with reductions in liver volume and liver fat content.</w:t>
      </w:r>
    </w:p>
    <w:p w14:paraId="79AFDD37" w14:textId="77777777" w:rsidR="009F456A" w:rsidRDefault="009F456A" w:rsidP="009F456A">
      <w:pPr>
        <w:pStyle w:val="Heading4"/>
      </w:pPr>
      <w:r w:rsidRPr="00E36B13">
        <w:t>Safety</w:t>
      </w:r>
    </w:p>
    <w:p w14:paraId="6AC67ABE" w14:textId="6A828AB8" w:rsidR="009F456A" w:rsidRDefault="009F456A" w:rsidP="009F456A">
      <w:r w:rsidRPr="00DF34C6">
        <w:t>T</w:t>
      </w:r>
      <w:r>
        <w:t>he pooled safety dataset compri</w:t>
      </w:r>
      <w:r w:rsidRPr="00DF34C6">
        <w:t xml:space="preserve">sed 84 patients. </w:t>
      </w:r>
      <w:r>
        <w:t xml:space="preserve">84% of subjects reported an adverse event, with 29% considered </w:t>
      </w:r>
      <w:r w:rsidR="00663236">
        <w:t>treatment related</w:t>
      </w:r>
      <w:r>
        <w:t>. The most frequent adverse events were diarrhoea (28.3%), fever (</w:t>
      </w:r>
      <w:r w:rsidRPr="00F66D71">
        <w:t xml:space="preserve">24.5%), </w:t>
      </w:r>
      <w:r>
        <w:t>headache (23.6%), n</w:t>
      </w:r>
      <w:r w:rsidRPr="00F66D71">
        <w:t xml:space="preserve">asopharyngitis (22.6%), </w:t>
      </w:r>
      <w:r>
        <w:t>c</w:t>
      </w:r>
      <w:r w:rsidRPr="00F66D71">
        <w:t xml:space="preserve">ough (21.7%), </w:t>
      </w:r>
      <w:r>
        <w:t>vomiting (17.9%), r</w:t>
      </w:r>
      <w:r w:rsidRPr="00F66D71">
        <w:t xml:space="preserve">hinitis (17.0%), </w:t>
      </w:r>
      <w:r>
        <w:t>u</w:t>
      </w:r>
      <w:r w:rsidRPr="00F66D71">
        <w:t xml:space="preserve">pper respiratory tract infection (16.0%), </w:t>
      </w:r>
      <w:r>
        <w:t>a</w:t>
      </w:r>
      <w:r w:rsidRPr="00F66D71">
        <w:t xml:space="preserve">bdominal pain (15.1%), </w:t>
      </w:r>
      <w:r>
        <w:t>n</w:t>
      </w:r>
      <w:r w:rsidRPr="00F66D71">
        <w:t xml:space="preserve">ausea (12.3%), </w:t>
      </w:r>
      <w:r>
        <w:t>o</w:t>
      </w:r>
      <w:r w:rsidRPr="00F66D71">
        <w:t>ropharyngeal pain (12.3%),</w:t>
      </w:r>
      <w:r w:rsidR="00B935CA">
        <w:t xml:space="preserve"> </w:t>
      </w:r>
      <w:r>
        <w:t>r</w:t>
      </w:r>
      <w:r w:rsidRPr="00F66D71">
        <w:t xml:space="preserve">hinorrhoea (11.3%), and </w:t>
      </w:r>
      <w:r>
        <w:t>g</w:t>
      </w:r>
      <w:r w:rsidRPr="00F66D71">
        <w:t>astroenteritis (10.4%).</w:t>
      </w:r>
      <w:r>
        <w:t xml:space="preserve"> There was a higher frequency of adverse events in the 3 mg/kg group, although there were only 9 subjects in this group.</w:t>
      </w:r>
    </w:p>
    <w:p w14:paraId="5B5FBD4A" w14:textId="77777777" w:rsidR="009F456A" w:rsidRDefault="009F456A" w:rsidP="009F456A">
      <w:r>
        <w:t xml:space="preserve">There were six deaths reported amongst patients receiving </w:t>
      </w:r>
      <w:r w:rsidR="002817EA">
        <w:t>sebelipase alfa</w:t>
      </w:r>
      <w:r>
        <w:t xml:space="preserve">, all in infants with rapidly progressive disease. Other serious adverse events reported by more than one subject were fever, catheter site infection, and </w:t>
      </w:r>
      <w:r w:rsidR="008E71BE">
        <w:t>device related</w:t>
      </w:r>
      <w:r>
        <w:t xml:space="preserve"> infection (N</w:t>
      </w:r>
      <w:r w:rsidR="008E71BE">
        <w:t xml:space="preserve"> </w:t>
      </w:r>
      <w:r>
        <w:t>=</w:t>
      </w:r>
      <w:r w:rsidR="008E71BE">
        <w:t xml:space="preserve"> </w:t>
      </w:r>
      <w:r>
        <w:t xml:space="preserve">2 for each). Three subjects treated with </w:t>
      </w:r>
      <w:r w:rsidR="002817EA">
        <w:t>sebelipase alfa</w:t>
      </w:r>
      <w:r>
        <w:t xml:space="preserve"> experienced signs and symptoms consistent with anaphylaxis, occurring up to a year after treatment initiation. 20% of subjects experienced signs and symptoms consistent with a hypersensitivity reaction, commonly during or up to 4 hours after infusion. Such reactions w</w:t>
      </w:r>
      <w:r w:rsidR="008E71BE">
        <w:t>ere more common in infants (64% versus</w:t>
      </w:r>
      <w:r>
        <w:t xml:space="preserve"> 13% for children and adults). No subject discontinued treatment due to a hypersensitivity reaction. 12 subjects tested positive for anti-drug antibodies, again more commonly in infants.</w:t>
      </w:r>
    </w:p>
    <w:p w14:paraId="02ED99E0" w14:textId="2D109BDF" w:rsidR="009F456A" w:rsidRPr="00DF34C6" w:rsidRDefault="009F456A" w:rsidP="009F456A">
      <w:r>
        <w:t>The sponsor stated that no new safety concerns have arisen post-</w:t>
      </w:r>
      <w:r w:rsidR="008E71BE">
        <w:t>market;</w:t>
      </w:r>
      <w:r>
        <w:t xml:space="preserve"> </w:t>
      </w:r>
      <w:r w:rsidR="003A7287">
        <w:t>however,</w:t>
      </w:r>
      <w:r>
        <w:t xml:space="preserve"> no data was provided to support this.</w:t>
      </w:r>
    </w:p>
    <w:p w14:paraId="7034DF9E" w14:textId="77777777" w:rsidR="008E7846" w:rsidRDefault="00386150" w:rsidP="007B6132">
      <w:pPr>
        <w:pStyle w:val="Heading3"/>
        <w:rPr>
          <w:lang w:eastAsia="en-AU"/>
        </w:rPr>
      </w:pPr>
      <w:bookmarkStart w:id="148" w:name="_Toc519601811"/>
      <w:r>
        <w:rPr>
          <w:lang w:eastAsia="en-AU"/>
        </w:rPr>
        <w:lastRenderedPageBreak/>
        <w:t>Risk m</w:t>
      </w:r>
      <w:r w:rsidR="008E7846">
        <w:rPr>
          <w:lang w:eastAsia="en-AU"/>
        </w:rPr>
        <w:t xml:space="preserve">anagement </w:t>
      </w:r>
      <w:r>
        <w:rPr>
          <w:lang w:eastAsia="en-AU"/>
        </w:rPr>
        <w:t>p</w:t>
      </w:r>
      <w:r w:rsidR="008E7846">
        <w:rPr>
          <w:lang w:eastAsia="en-AU"/>
        </w:rPr>
        <w:t>lan</w:t>
      </w:r>
      <w:bookmarkEnd w:id="147"/>
      <w:bookmarkEnd w:id="148"/>
    </w:p>
    <w:p w14:paraId="3773A7EA" w14:textId="71388A7B" w:rsidR="009F456A" w:rsidRDefault="009F456A" w:rsidP="009F456A">
      <w:pPr>
        <w:rPr>
          <w:rFonts w:asciiTheme="minorHAnsi" w:hAnsiTheme="minorHAnsi"/>
        </w:rPr>
      </w:pPr>
      <w:r w:rsidRPr="00E36B13">
        <w:rPr>
          <w:rFonts w:asciiTheme="minorHAnsi" w:hAnsiTheme="minorHAnsi"/>
        </w:rPr>
        <w:t>The Pharmacovigilance and Special Access Branch (PSAB) has accepted the EU</w:t>
      </w:r>
      <w:r w:rsidR="00B37B92">
        <w:rPr>
          <w:rFonts w:asciiTheme="minorHAnsi" w:hAnsiTheme="minorHAnsi"/>
        </w:rPr>
        <w:t>-</w:t>
      </w:r>
      <w:r w:rsidR="008E71BE">
        <w:rPr>
          <w:rFonts w:asciiTheme="minorHAnsi" w:hAnsiTheme="minorHAnsi"/>
        </w:rPr>
        <w:t>RMP</w:t>
      </w:r>
      <w:r>
        <w:rPr>
          <w:rFonts w:asciiTheme="minorHAnsi" w:hAnsiTheme="minorHAnsi"/>
        </w:rPr>
        <w:t xml:space="preserve"> for </w:t>
      </w:r>
      <w:r w:rsidR="00C93FCF">
        <w:rPr>
          <w:rFonts w:asciiTheme="minorHAnsi" w:hAnsiTheme="minorHAnsi"/>
        </w:rPr>
        <w:t>Kanuma</w:t>
      </w:r>
      <w:r w:rsidRPr="00E36B13">
        <w:rPr>
          <w:rFonts w:asciiTheme="minorHAnsi" w:hAnsiTheme="minorHAnsi"/>
        </w:rPr>
        <w:t xml:space="preserve"> (</w:t>
      </w:r>
      <w:r>
        <w:rPr>
          <w:rFonts w:asciiTheme="minorHAnsi" w:hAnsiTheme="minorHAnsi"/>
        </w:rPr>
        <w:t>sebelipase alfa</w:t>
      </w:r>
      <w:r w:rsidRPr="00E36B13">
        <w:rPr>
          <w:rFonts w:asciiTheme="minorHAnsi" w:hAnsiTheme="minorHAnsi"/>
        </w:rPr>
        <w:t xml:space="preserve">) </w:t>
      </w:r>
      <w:r w:rsidRPr="00163564">
        <w:t>(version</w:t>
      </w:r>
      <w:r>
        <w:t xml:space="preserve"> 1.0</w:t>
      </w:r>
      <w:r w:rsidRPr="00163564">
        <w:t>, date</w:t>
      </w:r>
      <w:r>
        <w:t>d 20 August 2015</w:t>
      </w:r>
      <w:r w:rsidRPr="00163564">
        <w:t>, data lock point</w:t>
      </w:r>
      <w:r w:rsidR="008E71BE">
        <w:t xml:space="preserve"> 8 September </w:t>
      </w:r>
      <w:r>
        <w:t>2014</w:t>
      </w:r>
      <w:r w:rsidRPr="00163564">
        <w:t>) with Australian Specific Annex (version</w:t>
      </w:r>
      <w:r>
        <w:t xml:space="preserve"> 1.0</w:t>
      </w:r>
      <w:r w:rsidRPr="00163564">
        <w:t>, date</w:t>
      </w:r>
      <w:r>
        <w:t>d April 2016)</w:t>
      </w:r>
      <w:r w:rsidRPr="00163564">
        <w:t>.</w:t>
      </w:r>
    </w:p>
    <w:p w14:paraId="6AFD7B9F" w14:textId="21259409" w:rsidR="009F456A" w:rsidRDefault="009F456A" w:rsidP="009F456A">
      <w:pPr>
        <w:rPr>
          <w:rFonts w:asciiTheme="minorHAnsi" w:hAnsiTheme="minorHAnsi"/>
        </w:rPr>
      </w:pPr>
      <w:r w:rsidRPr="00D27636">
        <w:t>Additional pharmacovigilance activities</w:t>
      </w:r>
      <w:r>
        <w:t xml:space="preserve"> in the EU-RMP</w:t>
      </w:r>
      <w:r w:rsidRPr="00D27636">
        <w:t xml:space="preserve"> include two clinical trials and one</w:t>
      </w:r>
      <w:r w:rsidR="00B37B92">
        <w:t> </w:t>
      </w:r>
      <w:r>
        <w:t xml:space="preserve">international </w:t>
      </w:r>
      <w:r w:rsidRPr="00D27636">
        <w:t xml:space="preserve">observational </w:t>
      </w:r>
      <w:r>
        <w:t xml:space="preserve">disease and clinical outcomes </w:t>
      </w:r>
      <w:r w:rsidRPr="00D27636">
        <w:t>registry.</w:t>
      </w:r>
      <w:r>
        <w:t xml:space="preserve"> The PI includes a statement encouraging Australian prescribers to enrol their patients in the global registry.</w:t>
      </w:r>
    </w:p>
    <w:p w14:paraId="197C64C5" w14:textId="39ACE0C8" w:rsidR="009F456A" w:rsidRDefault="009F456A" w:rsidP="009F456A">
      <w:pPr>
        <w:rPr>
          <w:rFonts w:asciiTheme="minorHAnsi" w:hAnsiTheme="minorHAnsi"/>
        </w:rPr>
      </w:pPr>
      <w:r w:rsidRPr="00E36B13">
        <w:rPr>
          <w:rFonts w:asciiTheme="minorHAnsi" w:hAnsiTheme="minorHAnsi"/>
        </w:rPr>
        <w:t xml:space="preserve">The proposed Summary of Safety Concerns and their associated risk monitoring and mitigation strategies are </w:t>
      </w:r>
      <w:r w:rsidRPr="004A1DEE">
        <w:rPr>
          <w:rFonts w:asciiTheme="minorHAnsi" w:hAnsiTheme="minorHAnsi"/>
        </w:rPr>
        <w:t xml:space="preserve">summarised </w:t>
      </w:r>
      <w:r w:rsidR="008E71BE" w:rsidRPr="004A1DEE">
        <w:rPr>
          <w:rFonts w:asciiTheme="minorHAnsi" w:hAnsiTheme="minorHAnsi"/>
        </w:rPr>
        <w:t xml:space="preserve">in Table </w:t>
      </w:r>
      <w:r w:rsidR="004A1DEE" w:rsidRPr="004A1DEE">
        <w:rPr>
          <w:rFonts w:asciiTheme="minorHAnsi" w:hAnsiTheme="minorHAnsi"/>
        </w:rPr>
        <w:t>11</w:t>
      </w:r>
      <w:r w:rsidR="00B37B92">
        <w:rPr>
          <w:rFonts w:asciiTheme="minorHAnsi" w:hAnsiTheme="minorHAnsi"/>
        </w:rPr>
        <w:t xml:space="preserve">, </w:t>
      </w:r>
      <w:r w:rsidR="008E71BE" w:rsidRPr="004A1DEE">
        <w:rPr>
          <w:rFonts w:asciiTheme="minorHAnsi" w:hAnsiTheme="minorHAnsi"/>
        </w:rPr>
        <w:t>above.</w:t>
      </w:r>
    </w:p>
    <w:p w14:paraId="5432A385" w14:textId="77777777" w:rsidR="009F456A" w:rsidRPr="001D0929" w:rsidRDefault="009F456A" w:rsidP="009F456A">
      <w:pPr>
        <w:rPr>
          <w:rFonts w:asciiTheme="minorHAnsi" w:hAnsiTheme="minorHAnsi"/>
        </w:rPr>
      </w:pPr>
      <w:bookmarkStart w:id="149" w:name="_Toc247691531"/>
      <w:bookmarkStart w:id="150" w:name="_Toc314842515"/>
      <w:bookmarkStart w:id="151" w:name="_Toc196046505"/>
      <w:bookmarkStart w:id="152" w:name="_Toc196046949"/>
      <w:r w:rsidRPr="00D27636">
        <w:t>Additional risk minimisation activities are not proposed for Australia. In the EU, health care professional educational material</w:t>
      </w:r>
      <w:r>
        <w:t>s</w:t>
      </w:r>
      <w:r w:rsidRPr="00D27636">
        <w:t xml:space="preserve"> </w:t>
      </w:r>
      <w:r>
        <w:t>are proposed as</w:t>
      </w:r>
      <w:r w:rsidRPr="00D27636">
        <w:t xml:space="preserve"> additional risk minimisation activi</w:t>
      </w:r>
      <w:r>
        <w:t xml:space="preserve">ties </w:t>
      </w:r>
      <w:r w:rsidRPr="00D27636">
        <w:t xml:space="preserve">for the two </w:t>
      </w:r>
      <w:r>
        <w:t xml:space="preserve">related </w:t>
      </w:r>
      <w:r w:rsidRPr="00D27636">
        <w:t xml:space="preserve">safety </w:t>
      </w:r>
      <w:r>
        <w:t>concerns</w:t>
      </w:r>
      <w:r w:rsidRPr="00D27636">
        <w:t xml:space="preserve"> </w:t>
      </w:r>
      <w:r w:rsidRPr="004A1DEE">
        <w:t xml:space="preserve">identified in Table </w:t>
      </w:r>
      <w:r w:rsidR="004A1DEE" w:rsidRPr="004A1DEE">
        <w:t>1</w:t>
      </w:r>
      <w:r w:rsidRPr="004A1DEE">
        <w:t>1. This lack</w:t>
      </w:r>
      <w:r>
        <w:t xml:space="preserve"> of educational materials in Australia was considered acceptable.</w:t>
      </w:r>
    </w:p>
    <w:p w14:paraId="35B809DF" w14:textId="77777777" w:rsidR="008E7846" w:rsidRDefault="00AA0ED0" w:rsidP="008E7846">
      <w:pPr>
        <w:pStyle w:val="Heading3"/>
      </w:pPr>
      <w:bookmarkStart w:id="153" w:name="_Toc519601812"/>
      <w:r>
        <w:t>Risk-benefit a</w:t>
      </w:r>
      <w:r w:rsidR="008E7846">
        <w:t>nalysis</w:t>
      </w:r>
      <w:bookmarkEnd w:id="149"/>
      <w:bookmarkEnd w:id="150"/>
      <w:bookmarkEnd w:id="153"/>
    </w:p>
    <w:p w14:paraId="705F80B5" w14:textId="77777777" w:rsidR="00D15227" w:rsidRDefault="00D15227" w:rsidP="00D15227">
      <w:pPr>
        <w:pStyle w:val="Heading4"/>
      </w:pPr>
      <w:r>
        <w:t>Quality</w:t>
      </w:r>
    </w:p>
    <w:p w14:paraId="1AD991A6" w14:textId="77777777" w:rsidR="009F456A" w:rsidRPr="008E71BE" w:rsidRDefault="009F456A" w:rsidP="008E71BE">
      <w:r w:rsidRPr="008E71BE">
        <w:t xml:space="preserve">The </w:t>
      </w:r>
      <w:r w:rsidR="008E71BE" w:rsidRPr="008E71BE">
        <w:t>quality</w:t>
      </w:r>
      <w:r w:rsidRPr="008E71BE">
        <w:t xml:space="preserve"> evaluator has no objection to the registration of Kanuma, subject to finalisation of GMP certification. Batch release will be a condition of registration.</w:t>
      </w:r>
    </w:p>
    <w:p w14:paraId="27B54461" w14:textId="77777777" w:rsidR="00D15227" w:rsidRDefault="008E71BE" w:rsidP="00D15227">
      <w:pPr>
        <w:pStyle w:val="Heading4"/>
      </w:pPr>
      <w:r>
        <w:t>Non</w:t>
      </w:r>
      <w:r w:rsidR="00D15227">
        <w:t>clinical</w:t>
      </w:r>
    </w:p>
    <w:p w14:paraId="700D041E" w14:textId="77777777" w:rsidR="009F456A" w:rsidRDefault="009F456A" w:rsidP="009F456A">
      <w:r w:rsidRPr="00E36B13">
        <w:t xml:space="preserve">The </w:t>
      </w:r>
      <w:r w:rsidR="008E71BE">
        <w:t>nonclinical</w:t>
      </w:r>
      <w:r w:rsidRPr="00E36B13">
        <w:t xml:space="preserve"> evaluator has no objections to the registration of </w:t>
      </w:r>
      <w:r>
        <w:t>Kanuma</w:t>
      </w:r>
      <w:r w:rsidRPr="00E36B13">
        <w:t>.</w:t>
      </w:r>
    </w:p>
    <w:p w14:paraId="3E63ECA8" w14:textId="77777777" w:rsidR="00D15227" w:rsidRDefault="00D15227" w:rsidP="00D15227">
      <w:pPr>
        <w:pStyle w:val="Heading4"/>
      </w:pPr>
      <w:r>
        <w:t>Clinical</w:t>
      </w:r>
    </w:p>
    <w:p w14:paraId="1A7AC951" w14:textId="77777777" w:rsidR="00D15227" w:rsidRDefault="00D15227" w:rsidP="00D15227">
      <w:pPr>
        <w:pStyle w:val="Heading5"/>
      </w:pPr>
      <w:r>
        <w:t>Efficacy</w:t>
      </w:r>
    </w:p>
    <w:p w14:paraId="7389EB8F" w14:textId="38382562" w:rsidR="009F456A" w:rsidRDefault="009F456A" w:rsidP="009F456A">
      <w:r>
        <w:t xml:space="preserve">The main evidence for efficacy was from </w:t>
      </w:r>
      <w:r w:rsidR="00B37B92">
        <w:t>S</w:t>
      </w:r>
      <w:r>
        <w:t>tudy LAL-CL02, which demonstrated clinically meaningful improvements in markers of liver cell injury</w:t>
      </w:r>
      <w:r w:rsidR="008E71BE">
        <w:t xml:space="preserve"> compared to placebo. Study LAL</w:t>
      </w:r>
      <w:r w:rsidR="008E71BE">
        <w:noBreakHyphen/>
      </w:r>
      <w:r>
        <w:t xml:space="preserve">CL03 showed efficacy in infants with </w:t>
      </w:r>
      <w:r w:rsidR="00CA17A3">
        <w:t>life threatening</w:t>
      </w:r>
      <w:r>
        <w:t xml:space="preserve"> disease compared to historical data. Study LAL-CL04 showed sustained efficacy benefit after switching to an every other week dosing schedule for up to 104 weeks.</w:t>
      </w:r>
    </w:p>
    <w:p w14:paraId="0D1EC390" w14:textId="77777777" w:rsidR="00D15227" w:rsidRDefault="00D15227" w:rsidP="00D15227">
      <w:pPr>
        <w:pStyle w:val="Heading5"/>
      </w:pPr>
      <w:r>
        <w:t>Safety</w:t>
      </w:r>
    </w:p>
    <w:p w14:paraId="70413377" w14:textId="77777777" w:rsidR="009F456A" w:rsidRDefault="009F456A" w:rsidP="009F456A">
      <w:r>
        <w:t>Adequate safety was demonstrated in a pooled safety data set comprising 84 patients. There were six deaths, all in infants with rapidly progressive disease. Hypersensitivity occurred in 20% of patients, more commonly in infants, including three subjects with anaphylaxis.</w:t>
      </w:r>
    </w:p>
    <w:p w14:paraId="1060595D" w14:textId="77777777" w:rsidR="00D15227" w:rsidRDefault="00D15227" w:rsidP="00D15227">
      <w:pPr>
        <w:pStyle w:val="Heading4"/>
      </w:pPr>
      <w:r>
        <w:t>Conclusion</w:t>
      </w:r>
    </w:p>
    <w:p w14:paraId="5B510572" w14:textId="77777777" w:rsidR="009F456A" w:rsidRPr="009F456A" w:rsidRDefault="009F456A" w:rsidP="009F456A">
      <w:r>
        <w:t xml:space="preserve">Quality, efficacy, and safety of Kanuma (sebelipase alfa) solution for infusion </w:t>
      </w:r>
      <w:r w:rsidR="008E71BE">
        <w:t>2 mg</w:t>
      </w:r>
      <w:r>
        <w:t xml:space="preserve">/mL have been established for the proposed indication. </w:t>
      </w:r>
      <w:r w:rsidR="008E71BE">
        <w:t>The Delegate</w:t>
      </w:r>
      <w:r>
        <w:t xml:space="preserve"> decided to approve the registration of the product without seeking the advice to the ACM for the following reasons: The </w:t>
      </w:r>
      <w:r w:rsidR="008E71BE">
        <w:t>quality, nonclinical</w:t>
      </w:r>
      <w:r>
        <w:t xml:space="preserve"> and </w:t>
      </w:r>
      <w:r w:rsidR="008E71BE">
        <w:t>clinical</w:t>
      </w:r>
      <w:r>
        <w:t xml:space="preserve"> evaluators had no objections to the registration; sebelipase alfa is a designated orphan drug in Australia; the product is currently registered in the USA, Europe, and Japan; and this is consistent with current TGA practice.</w:t>
      </w:r>
    </w:p>
    <w:p w14:paraId="4E4ADD40" w14:textId="77777777" w:rsidR="00D23139" w:rsidRDefault="00D15227" w:rsidP="00D23139">
      <w:pPr>
        <w:pStyle w:val="Heading4"/>
      </w:pPr>
      <w:r>
        <w:lastRenderedPageBreak/>
        <w:t>Delegate’s considerations</w:t>
      </w:r>
    </w:p>
    <w:p w14:paraId="2916BD3D" w14:textId="77777777" w:rsidR="009F456A" w:rsidRDefault="009F456A" w:rsidP="009F456A">
      <w:pPr>
        <w:rPr>
          <w:sz w:val="23"/>
          <w:szCs w:val="23"/>
        </w:rPr>
      </w:pPr>
      <w:r>
        <w:rPr>
          <w:sz w:val="23"/>
          <w:szCs w:val="23"/>
        </w:rPr>
        <w:t>The following conditions of registration are proposed:</w:t>
      </w:r>
    </w:p>
    <w:p w14:paraId="68669098" w14:textId="77777777" w:rsidR="009F456A" w:rsidRPr="000814AA" w:rsidRDefault="009F456A" w:rsidP="009671F4">
      <w:pPr>
        <w:pStyle w:val="Numberbullet0"/>
        <w:numPr>
          <w:ilvl w:val="0"/>
          <w:numId w:val="44"/>
        </w:numPr>
      </w:pPr>
      <w:r>
        <w:t xml:space="preserve">Implementation in Australia of the </w:t>
      </w:r>
      <w:r w:rsidRPr="00E36B13">
        <w:t xml:space="preserve">EU Risk </w:t>
      </w:r>
      <w:r>
        <w:t xml:space="preserve">Management Plan for </w:t>
      </w:r>
      <w:r w:rsidR="00C93FCF">
        <w:t>Kanuma</w:t>
      </w:r>
      <w:r w:rsidRPr="00E36B13">
        <w:t xml:space="preserve"> (</w:t>
      </w:r>
      <w:r>
        <w:t>sebelipase alfa</w:t>
      </w:r>
      <w:r w:rsidRPr="00E36B13">
        <w:t xml:space="preserve">) </w:t>
      </w:r>
      <w:r w:rsidRPr="00163564">
        <w:t>(version</w:t>
      </w:r>
      <w:r>
        <w:t xml:space="preserve"> 1.0</w:t>
      </w:r>
      <w:r w:rsidRPr="00163564">
        <w:t>, date</w:t>
      </w:r>
      <w:r>
        <w:t>d 20 August 2015</w:t>
      </w:r>
      <w:r w:rsidRPr="00163564">
        <w:t>, data lock point</w:t>
      </w:r>
      <w:r>
        <w:t xml:space="preserve"> 8 September 2014</w:t>
      </w:r>
      <w:r w:rsidRPr="00163564">
        <w:t>) with Australian Specific Annex (version</w:t>
      </w:r>
      <w:r>
        <w:t xml:space="preserve"> 1.0</w:t>
      </w:r>
      <w:r w:rsidRPr="00163564">
        <w:t>, date</w:t>
      </w:r>
      <w:r>
        <w:t>d April 2016)</w:t>
      </w:r>
      <w:r w:rsidRPr="00163564">
        <w:t>.</w:t>
      </w:r>
    </w:p>
    <w:p w14:paraId="41C60357" w14:textId="5CFEFA70" w:rsidR="009F456A" w:rsidRPr="000814AA" w:rsidRDefault="009F456A" w:rsidP="009671F4">
      <w:pPr>
        <w:pStyle w:val="Numberbullet0"/>
        <w:numPr>
          <w:ilvl w:val="0"/>
          <w:numId w:val="44"/>
        </w:numPr>
      </w:pPr>
      <w:r>
        <w:t xml:space="preserve">Batch release testing as outlined in the </w:t>
      </w:r>
      <w:r w:rsidR="00B37B92">
        <w:t xml:space="preserve">quality </w:t>
      </w:r>
      <w:r>
        <w:t>summary.</w:t>
      </w:r>
    </w:p>
    <w:p w14:paraId="647AFE90" w14:textId="77777777" w:rsidR="009F456A" w:rsidRPr="009F456A" w:rsidRDefault="009F456A" w:rsidP="009671F4">
      <w:pPr>
        <w:pStyle w:val="Numberbullet0"/>
        <w:numPr>
          <w:ilvl w:val="0"/>
          <w:numId w:val="44"/>
        </w:numPr>
      </w:pPr>
      <w:r>
        <w:t xml:space="preserve">Submission of the ongoing </w:t>
      </w:r>
      <w:r w:rsidRPr="00D15227">
        <w:t>studies LAL-CL06 and LAL-CL08, when</w:t>
      </w:r>
      <w:r>
        <w:t xml:space="preserve"> completed.</w:t>
      </w:r>
    </w:p>
    <w:p w14:paraId="5D84D1F9" w14:textId="77777777" w:rsidR="00D23139" w:rsidRDefault="00D23139" w:rsidP="00D23139">
      <w:pPr>
        <w:pStyle w:val="Heading4"/>
      </w:pPr>
      <w:r w:rsidRPr="00D23139">
        <w:t>Proposed action</w:t>
      </w:r>
    </w:p>
    <w:p w14:paraId="4B781A5E" w14:textId="42274EBA" w:rsidR="00D15227" w:rsidRDefault="009F456A" w:rsidP="009F456A">
      <w:r>
        <w:t>The application (</w:t>
      </w:r>
      <w:r w:rsidR="00B37B92">
        <w:t xml:space="preserve">Submission </w:t>
      </w:r>
      <w:r w:rsidRPr="00530387">
        <w:t>PM-2016-01313-1-3)</w:t>
      </w:r>
      <w:r>
        <w:t xml:space="preserve"> for registration of Kanuma (sebelipase alfa) </w:t>
      </w:r>
      <w:r w:rsidR="008E71BE">
        <w:t xml:space="preserve">should </w:t>
      </w:r>
      <w:r>
        <w:t>be approved, with the indication</w:t>
      </w:r>
      <w:r w:rsidR="00D15227">
        <w:t>:</w:t>
      </w:r>
    </w:p>
    <w:p w14:paraId="59986AFA" w14:textId="77777777" w:rsidR="009F456A" w:rsidRPr="009F456A" w:rsidRDefault="00C93FCF" w:rsidP="00D15227">
      <w:pPr>
        <w:ind w:left="720"/>
      </w:pPr>
      <w:r>
        <w:rPr>
          <w:i/>
          <w:sz w:val="23"/>
          <w:szCs w:val="23"/>
        </w:rPr>
        <w:t>Kanuma</w:t>
      </w:r>
      <w:r w:rsidR="009F456A" w:rsidRPr="00001259">
        <w:rPr>
          <w:i/>
          <w:sz w:val="23"/>
          <w:szCs w:val="23"/>
        </w:rPr>
        <w:t xml:space="preserve"> (sebelipase alfa) is indicated for </w:t>
      </w:r>
      <w:r w:rsidR="008E5468">
        <w:rPr>
          <w:i/>
          <w:sz w:val="23"/>
          <w:szCs w:val="23"/>
        </w:rPr>
        <w:t>long term</w:t>
      </w:r>
      <w:r w:rsidR="009F456A" w:rsidRPr="00001259">
        <w:rPr>
          <w:i/>
          <w:sz w:val="23"/>
          <w:szCs w:val="23"/>
        </w:rPr>
        <w:t xml:space="preserve"> enzyme replacement therapy (ERT) in patients of all ages with lysosomal</w:t>
      </w:r>
      <w:r w:rsidR="00D15227">
        <w:rPr>
          <w:i/>
          <w:sz w:val="23"/>
          <w:szCs w:val="23"/>
        </w:rPr>
        <w:t xml:space="preserve"> acid lipase deficiency (LAL</w:t>
      </w:r>
      <w:r w:rsidR="00D15227">
        <w:rPr>
          <w:i/>
          <w:sz w:val="23"/>
          <w:szCs w:val="23"/>
        </w:rPr>
        <w:noBreakHyphen/>
      </w:r>
      <w:r w:rsidR="009F456A">
        <w:rPr>
          <w:i/>
          <w:sz w:val="23"/>
          <w:szCs w:val="23"/>
        </w:rPr>
        <w:t>D)</w:t>
      </w:r>
      <w:r w:rsidR="009F456A">
        <w:rPr>
          <w:sz w:val="23"/>
          <w:szCs w:val="23"/>
        </w:rPr>
        <w:t>.</w:t>
      </w:r>
    </w:p>
    <w:p w14:paraId="474CE910" w14:textId="77777777" w:rsidR="00D23139" w:rsidRDefault="009F456A" w:rsidP="00D23139">
      <w:pPr>
        <w:pStyle w:val="Heading4"/>
      </w:pPr>
      <w:r>
        <w:t>Request for AC</w:t>
      </w:r>
      <w:r w:rsidR="00D23139" w:rsidRPr="00D23139">
        <w:t>M advice</w:t>
      </w:r>
    </w:p>
    <w:p w14:paraId="6C95E865" w14:textId="77777777" w:rsidR="009F456A" w:rsidRPr="009F456A" w:rsidRDefault="009F456A" w:rsidP="009F456A">
      <w:r>
        <w:t>This submission was not presented to the Advisory Committee for Medicines (ACM).</w:t>
      </w:r>
    </w:p>
    <w:p w14:paraId="4E0165DF" w14:textId="77777777" w:rsidR="008E7846" w:rsidRPr="002E238E" w:rsidRDefault="008E7846" w:rsidP="008F4D44">
      <w:pPr>
        <w:pStyle w:val="Heading3"/>
        <w:spacing w:before="360"/>
      </w:pPr>
      <w:bookmarkStart w:id="154" w:name="_Toc247691532"/>
      <w:bookmarkStart w:id="155" w:name="_Toc314842516"/>
      <w:bookmarkStart w:id="156" w:name="_Toc519601813"/>
      <w:bookmarkEnd w:id="104"/>
      <w:bookmarkEnd w:id="151"/>
      <w:bookmarkEnd w:id="152"/>
      <w:r>
        <w:t>Outcome</w:t>
      </w:r>
      <w:bookmarkEnd w:id="154"/>
      <w:bookmarkEnd w:id="155"/>
      <w:bookmarkEnd w:id="156"/>
    </w:p>
    <w:p w14:paraId="26AE0D88" w14:textId="77777777" w:rsidR="00D23139" w:rsidRPr="00D23139" w:rsidRDefault="00D23139" w:rsidP="00D23139">
      <w:bookmarkStart w:id="157" w:name="_Toc247691533"/>
      <w:bookmarkStart w:id="158" w:name="_Toc314842517"/>
      <w:r w:rsidRPr="00D23139">
        <w:t xml:space="preserve">Based on a review of quality, safety and efficacy, TGA approved the registration of </w:t>
      </w:r>
      <w:r w:rsidR="009671F4">
        <w:t>Kanuma sebelipase alfa</w:t>
      </w:r>
      <w:r w:rsidR="00F061D0">
        <w:t xml:space="preserve"> (rce)</w:t>
      </w:r>
      <w:r w:rsidRPr="00D23139">
        <w:t xml:space="preserve"> </w:t>
      </w:r>
      <w:r w:rsidR="00F061D0">
        <w:t>2 mg/mL injection intravenous infusion vial for,</w:t>
      </w:r>
      <w:r w:rsidRPr="00D23139">
        <w:t xml:space="preserve"> indicated for:</w:t>
      </w:r>
    </w:p>
    <w:p w14:paraId="7E49D4FF" w14:textId="77777777" w:rsidR="00D23139" w:rsidRPr="00F061D0" w:rsidRDefault="00C93FCF" w:rsidP="00F061D0">
      <w:pPr>
        <w:ind w:left="720"/>
        <w:rPr>
          <w:i/>
        </w:rPr>
      </w:pPr>
      <w:r>
        <w:rPr>
          <w:i/>
        </w:rPr>
        <w:t>Kanuma</w:t>
      </w:r>
      <w:r w:rsidR="009671F4" w:rsidRPr="009671F4">
        <w:rPr>
          <w:i/>
        </w:rPr>
        <w:t xml:space="preserve"> (sebelipase alfa rce) is indicated for </w:t>
      </w:r>
      <w:r w:rsidR="008E5468">
        <w:rPr>
          <w:i/>
        </w:rPr>
        <w:t>long term</w:t>
      </w:r>
      <w:r w:rsidR="009671F4" w:rsidRPr="009671F4">
        <w:rPr>
          <w:i/>
        </w:rPr>
        <w:t xml:space="preserve"> enzyme replacement therapy (ERT) in patients of all ages with lysosomal acid lipase deficiency (LAL-D).</w:t>
      </w:r>
    </w:p>
    <w:p w14:paraId="717D3C7C" w14:textId="77777777" w:rsidR="00D23139" w:rsidRPr="00D23139" w:rsidRDefault="00D23139" w:rsidP="00D23139">
      <w:pPr>
        <w:pStyle w:val="Heading4"/>
      </w:pPr>
      <w:r w:rsidRPr="00D23139">
        <w:t>Specific conditions of registration applying to these goods</w:t>
      </w:r>
    </w:p>
    <w:p w14:paraId="6C865901" w14:textId="5E6152ED" w:rsidR="00D23139" w:rsidRDefault="00F061D0" w:rsidP="00F061D0">
      <w:pPr>
        <w:pStyle w:val="Numberbullet0"/>
        <w:numPr>
          <w:ilvl w:val="0"/>
          <w:numId w:val="45"/>
        </w:numPr>
      </w:pPr>
      <w:r>
        <w:t xml:space="preserve">The sebelipase EU-Risk Management Plan (EU-RMP), version 1.0, dated 20 August 2015, data lock point 8 September 2014) with Australian Specific </w:t>
      </w:r>
      <w:r w:rsidR="003A7287">
        <w:t>Annex;</w:t>
      </w:r>
      <w:r w:rsidR="0029422C">
        <w:t xml:space="preserve"> </w:t>
      </w:r>
      <w:r>
        <w:t>(version 1.0, dated April 2016</w:t>
      </w:r>
      <w:r w:rsidR="00453696">
        <w:t>)</w:t>
      </w:r>
      <w:r>
        <w:t>, included with submission PM-2016-01313-1-3, and any subsequent revisions, as agreed with the TGA will be implemented in Australia.</w:t>
      </w:r>
    </w:p>
    <w:p w14:paraId="79117438" w14:textId="77777777" w:rsidR="00F061D0" w:rsidRDefault="00F061D0" w:rsidP="00F061D0">
      <w:pPr>
        <w:pStyle w:val="Numberbullet0"/>
        <w:numPr>
          <w:ilvl w:val="0"/>
          <w:numId w:val="45"/>
        </w:numPr>
      </w:pPr>
      <w:r>
        <w:t xml:space="preserve">All batches of </w:t>
      </w:r>
      <w:r w:rsidR="00C93FCF">
        <w:t>Kanuma</w:t>
      </w:r>
      <w:r w:rsidRPr="00F061D0">
        <w:t xml:space="preserve"> (sebelipase alfa) 2 mg/mL solution for IV infusion imported</w:t>
      </w:r>
      <w:r>
        <w:t xml:space="preserve"> into/manufactured in Australia must comply with the product details and</w:t>
      </w:r>
      <w:r w:rsidRPr="00F061D0">
        <w:rPr>
          <w:rFonts w:ascii="Cambria-Bold" w:hAnsi="Cambria-Bold" w:cs="Cambria-Bold"/>
          <w:b/>
          <w:bCs/>
        </w:rPr>
        <w:t xml:space="preserve"> </w:t>
      </w:r>
      <w:r>
        <w:t>specifications approved during evaluation and detailed in the Certified Product Details</w:t>
      </w:r>
      <w:r w:rsidR="00453696">
        <w:t xml:space="preserve"> </w:t>
      </w:r>
      <w:r>
        <w:t>(CPD).</w:t>
      </w:r>
    </w:p>
    <w:p w14:paraId="2DA48819" w14:textId="77777777" w:rsidR="00F061D0" w:rsidRDefault="00F061D0" w:rsidP="00F061D0">
      <w:pPr>
        <w:pStyle w:val="Numberbullet0"/>
        <w:numPr>
          <w:ilvl w:val="0"/>
          <w:numId w:val="45"/>
        </w:numPr>
      </w:pPr>
      <w:r w:rsidRPr="00F061D0">
        <w:t xml:space="preserve">Each batch of </w:t>
      </w:r>
      <w:r w:rsidR="00C93FCF">
        <w:t>Kanuma</w:t>
      </w:r>
      <w:r w:rsidRPr="00F061D0">
        <w:t xml:space="preserve"> (sebelipase alfa) 2 mg/mL solution for IV infusion</w:t>
      </w:r>
      <w:r>
        <w:t xml:space="preserve"> </w:t>
      </w:r>
      <w:r w:rsidRPr="00F061D0">
        <w:t>imported into/manufactured in Australia is not release</w:t>
      </w:r>
      <w:r>
        <w:t xml:space="preserve">d for sale until samples and/or </w:t>
      </w:r>
      <w:r w:rsidRPr="00F061D0">
        <w:t xml:space="preserve">the manufacturer’s release data have been assessed </w:t>
      </w:r>
      <w:r>
        <w:t xml:space="preserve">and endorsed for release by the </w:t>
      </w:r>
      <w:r w:rsidRPr="00F061D0">
        <w:t>TGA Laboratories Branch.</w:t>
      </w:r>
    </w:p>
    <w:p w14:paraId="1C05F562" w14:textId="77777777" w:rsidR="00F061D0" w:rsidRDefault="00F061D0" w:rsidP="00F061D0">
      <w:pPr>
        <w:pStyle w:val="Numberbullet0"/>
      </w:pPr>
      <w:r w:rsidRPr="00F061D0">
        <w:t>The Certified Product Details (CPD), as described i</w:t>
      </w:r>
      <w:r>
        <w:t xml:space="preserve">n Guidance 7: Certified Product </w:t>
      </w:r>
      <w:r w:rsidRPr="00F061D0">
        <w:t>Details of the Australian Regulatory Guidelines for</w:t>
      </w:r>
      <w:r>
        <w:t xml:space="preserve"> Prescription Medicines (ARGPM)</w:t>
      </w:r>
      <w:r w:rsidRPr="00F061D0">
        <w:t>, in PDF format, for the</w:t>
      </w:r>
      <w:r>
        <w:t xml:space="preserve"> </w:t>
      </w:r>
      <w:r w:rsidRPr="00F061D0">
        <w:t>above products should be provided upon registration</w:t>
      </w:r>
      <w:r>
        <w:t xml:space="preserve"> of these therapeutic goods. In </w:t>
      </w:r>
      <w:r w:rsidRPr="00F061D0">
        <w:t>addition, an updated CPD should be provided w</w:t>
      </w:r>
      <w:r>
        <w:t xml:space="preserve">hen changes to finished product </w:t>
      </w:r>
      <w:r w:rsidRPr="00F061D0">
        <w:t>specifications and test methods are approved in a Cat</w:t>
      </w:r>
      <w:r>
        <w:t xml:space="preserve">egory 3 application or notified </w:t>
      </w:r>
      <w:r w:rsidRPr="00F061D0">
        <w:t>through a self-assessable change.</w:t>
      </w:r>
    </w:p>
    <w:p w14:paraId="2BA38353" w14:textId="77777777" w:rsidR="00F061D0" w:rsidRPr="00F061D0" w:rsidRDefault="00F061D0" w:rsidP="00F061D0">
      <w:pPr>
        <w:pStyle w:val="Numberbullet0"/>
      </w:pPr>
      <w:r w:rsidRPr="00F061D0">
        <w:t>The following study reports must be submitted to the TGA as soon as possible after</w:t>
      </w:r>
      <w:r>
        <w:t xml:space="preserve"> </w:t>
      </w:r>
      <w:r w:rsidRPr="00F061D0">
        <w:t>completion, for evaluation as a Category 1 submission:</w:t>
      </w:r>
    </w:p>
    <w:p w14:paraId="3AF1CF02" w14:textId="77777777" w:rsidR="00F061D0" w:rsidRPr="00F061D0" w:rsidRDefault="00F061D0" w:rsidP="004A1DEE">
      <w:pPr>
        <w:pStyle w:val="ListBullet2"/>
      </w:pPr>
      <w:r w:rsidRPr="00F061D0">
        <w:t>Study LAL-CL06</w:t>
      </w:r>
    </w:p>
    <w:p w14:paraId="699F60FB" w14:textId="77777777" w:rsidR="00F061D0" w:rsidRPr="00F061D0" w:rsidRDefault="00F061D0" w:rsidP="004A1DEE">
      <w:pPr>
        <w:pStyle w:val="ListBullet2"/>
      </w:pPr>
      <w:r w:rsidRPr="00F061D0">
        <w:lastRenderedPageBreak/>
        <w:t>Study LAL-CL08</w:t>
      </w:r>
    </w:p>
    <w:p w14:paraId="2258748C" w14:textId="77777777" w:rsidR="008E7846" w:rsidRDefault="00A80B5B" w:rsidP="00D23139">
      <w:pPr>
        <w:pStyle w:val="Heading2"/>
      </w:pPr>
      <w:bookmarkStart w:id="159" w:name="_Toc519601814"/>
      <w:proofErr w:type="gramStart"/>
      <w:r>
        <w:t>Attachment 1.</w:t>
      </w:r>
      <w:proofErr w:type="gramEnd"/>
      <w:r>
        <w:t xml:space="preserve"> </w:t>
      </w:r>
      <w:r w:rsidR="008E7846">
        <w:t xml:space="preserve">Product </w:t>
      </w:r>
      <w:r w:rsidR="00AA0ED0">
        <w:t>I</w:t>
      </w:r>
      <w:r w:rsidR="008E7846">
        <w:t>nformation</w:t>
      </w:r>
      <w:bookmarkEnd w:id="157"/>
      <w:bookmarkEnd w:id="158"/>
      <w:bookmarkEnd w:id="159"/>
    </w:p>
    <w:p w14:paraId="367BDFE6" w14:textId="77777777" w:rsidR="00CA17A3" w:rsidRDefault="006136D7" w:rsidP="00C80137">
      <w:r w:rsidRPr="002B3624">
        <w:t xml:space="preserve">The </w:t>
      </w:r>
      <w:r>
        <w:t>PI</w:t>
      </w:r>
      <w:r w:rsidRPr="002B3624">
        <w:t xml:space="preserve"> for </w:t>
      </w:r>
      <w:r w:rsidR="009671F4">
        <w:t>Kanuma</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0" w:history="1">
        <w:r w:rsidR="007C6B9B" w:rsidRPr="007C6B9B">
          <w:rPr>
            <w:rStyle w:val="Hyperlink"/>
          </w:rPr>
          <w:t>https://www.tga.gov.au/product-information-pi</w:t>
        </w:r>
      </w:hyperlink>
      <w:proofErr w:type="gramStart"/>
      <w:r w:rsidR="00663236">
        <w:t xml:space="preserve">&gt; </w:t>
      </w:r>
      <w:r w:rsidR="00CA17A3">
        <w:t>.</w:t>
      </w:r>
      <w:proofErr w:type="gramEnd"/>
    </w:p>
    <w:p w14:paraId="1B490E9C" w14:textId="56B7308C" w:rsidR="00770CAC" w:rsidRDefault="00C80137" w:rsidP="0029422C">
      <w:pPr>
        <w:pStyle w:val="Heading2"/>
        <w:rPr>
          <w:lang w:eastAsia="ja-JP"/>
        </w:rPr>
      </w:pPr>
      <w:bookmarkStart w:id="160" w:name="_Toc519601815"/>
      <w:proofErr w:type="gramStart"/>
      <w:r>
        <w:rPr>
          <w:lang w:eastAsia="en-AU"/>
        </w:rPr>
        <w:t>Attachment 2.</w:t>
      </w:r>
      <w:proofErr w:type="gramEnd"/>
      <w:r w:rsidR="00A80B5B">
        <w:rPr>
          <w:lang w:eastAsia="en-AU"/>
        </w:rPr>
        <w:t xml:space="preserve"> </w:t>
      </w:r>
      <w:r>
        <w:rPr>
          <w:lang w:eastAsia="en-AU"/>
        </w:rPr>
        <w:t>Extract from the Clinical Evaluation Report</w:t>
      </w:r>
      <w:bookmarkEnd w:id="160"/>
    </w:p>
    <w:p w14:paraId="5CC23BFB" w14:textId="77777777" w:rsidR="00291957" w:rsidRDefault="00291957" w:rsidP="00291957">
      <w:pPr>
        <w:rPr>
          <w:lang w:eastAsia="ja-JP"/>
        </w:rPr>
      </w:pPr>
    </w:p>
    <w:p w14:paraId="2283E6B3" w14:textId="77777777" w:rsidR="00C80137" w:rsidRPr="001D043B" w:rsidRDefault="00C80137" w:rsidP="003A7F6C">
      <w:pPr>
        <w:pStyle w:val="TableTitle"/>
        <w:sectPr w:rsidR="00C80137" w:rsidRPr="001D043B" w:rsidSect="00B452CE">
          <w:headerReference w:type="even" r:id="rId21"/>
          <w:headerReference w:type="default" r:id="rId22"/>
          <w:headerReference w:type="first" r:id="rId23"/>
          <w:footerReference w:type="first" r:id="rId2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D2A4E99" w14:textId="77777777" w:rsidTr="00A05FA4">
        <w:trPr>
          <w:trHeight w:hRule="exact" w:val="704"/>
        </w:trPr>
        <w:tc>
          <w:tcPr>
            <w:tcW w:w="9175" w:type="dxa"/>
          </w:tcPr>
          <w:p w14:paraId="393624B0" w14:textId="77777777" w:rsidR="001C32CD" w:rsidRPr="00487162" w:rsidRDefault="001C32CD" w:rsidP="00A05FA4">
            <w:pPr>
              <w:pStyle w:val="TGASignoff"/>
            </w:pPr>
            <w:r w:rsidRPr="00487162">
              <w:lastRenderedPageBreak/>
              <w:t>Therapeutic Goods Administration</w:t>
            </w:r>
          </w:p>
        </w:tc>
      </w:tr>
      <w:tr w:rsidR="001C32CD" w:rsidRPr="004C239D" w14:paraId="40B88A1D" w14:textId="77777777" w:rsidTr="00A05FA4">
        <w:trPr>
          <w:trHeight w:val="1221"/>
        </w:trPr>
        <w:tc>
          <w:tcPr>
            <w:tcW w:w="9175" w:type="dxa"/>
            <w:tcMar>
              <w:top w:w="28" w:type="dxa"/>
            </w:tcMar>
          </w:tcPr>
          <w:p w14:paraId="0B163B8C" w14:textId="77777777" w:rsidR="001C32CD" w:rsidRPr="00487162" w:rsidRDefault="001C32CD" w:rsidP="00A05FA4">
            <w:pPr>
              <w:pStyle w:val="Address"/>
            </w:pPr>
            <w:r w:rsidRPr="00487162">
              <w:t>PO Box 100 Woden ACT 2606 Australia</w:t>
            </w:r>
          </w:p>
          <w:p w14:paraId="6EF715FD" w14:textId="77777777" w:rsidR="001C32CD" w:rsidRPr="00487162" w:rsidRDefault="001C32CD" w:rsidP="00A05FA4">
            <w:pPr>
              <w:pStyle w:val="Address"/>
            </w:pPr>
            <w:r w:rsidRPr="00487162">
              <w:t xml:space="preserve">Email: </w:t>
            </w:r>
            <w:hyperlink r:id="rId25" w:history="1">
              <w:r w:rsidRPr="004C239D">
                <w:rPr>
                  <w:rStyle w:val="Hyperlink"/>
                </w:rPr>
                <w:t>info@tga.gov.au</w:t>
              </w:r>
            </w:hyperlink>
            <w:r w:rsidR="00B935CA">
              <w:t xml:space="preserve"> </w:t>
            </w:r>
            <w:r w:rsidRPr="00487162">
              <w:t>Phone: 1800 020 653</w:t>
            </w:r>
            <w:r w:rsidR="00B935CA">
              <w:t xml:space="preserve"> </w:t>
            </w:r>
            <w:r w:rsidRPr="00487162">
              <w:t>Fax: 02 6232 8605</w:t>
            </w:r>
          </w:p>
          <w:p w14:paraId="18138A97" w14:textId="77777777" w:rsidR="001C32CD" w:rsidRPr="004C239D" w:rsidRDefault="00B266A2" w:rsidP="00A05FA4">
            <w:pPr>
              <w:pStyle w:val="Address"/>
              <w:spacing w:line="260" w:lineRule="atLeast"/>
              <w:rPr>
                <w:b/>
                <w:color w:val="0000FF"/>
                <w:u w:val="single"/>
              </w:rPr>
            </w:pPr>
            <w:hyperlink r:id="rId26" w:history="1">
              <w:r w:rsidR="007C6B9B" w:rsidRPr="007C6B9B">
                <w:rPr>
                  <w:rStyle w:val="Hyperlink"/>
                  <w:b/>
                </w:rPr>
                <w:t>https://www.tga.gov.au</w:t>
              </w:r>
            </w:hyperlink>
          </w:p>
        </w:tc>
      </w:tr>
    </w:tbl>
    <w:p w14:paraId="02974A6A" w14:textId="77777777" w:rsidR="00774E1D" w:rsidRPr="008A5E0B" w:rsidRDefault="00774E1D" w:rsidP="004C239D"/>
    <w:sectPr w:rsidR="00774E1D" w:rsidRPr="008A5E0B" w:rsidSect="001C32CD">
      <w:headerReference w:type="even" r:id="rId27"/>
      <w:headerReference w:type="default" r:id="rId28"/>
      <w:footerReference w:type="default" r:id="rId29"/>
      <w:headerReference w:type="first" r:id="rId30"/>
      <w:footerReference w:type="first" r:id="rId31"/>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9FF17D" w15:done="0"/>
  <w15:commentEx w15:paraId="61000DCB" w15:done="0"/>
  <w15:commentEx w15:paraId="5A1E063A" w15:done="0"/>
  <w15:commentEx w15:paraId="0C4E5F80" w15:done="0"/>
  <w15:commentEx w15:paraId="35B25937" w15:done="0"/>
  <w15:commentEx w15:paraId="0BDC93A1" w15:done="0"/>
  <w15:commentEx w15:paraId="161550CD" w15:done="0"/>
  <w15:commentEx w15:paraId="4AC97654" w15:done="0"/>
  <w15:commentEx w15:paraId="2DCD54A6" w15:done="0"/>
  <w15:commentEx w15:paraId="4D11C5D9" w15:done="0"/>
  <w15:commentEx w15:paraId="39353FDE" w15:done="0"/>
  <w15:commentEx w15:paraId="44A795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FDF56" w14:textId="77777777" w:rsidR="00B266A2" w:rsidRDefault="00B266A2" w:rsidP="00C40A36">
      <w:pPr>
        <w:spacing w:after="0"/>
      </w:pPr>
      <w:r>
        <w:separator/>
      </w:r>
    </w:p>
  </w:endnote>
  <w:endnote w:type="continuationSeparator" w:id="0">
    <w:p w14:paraId="230DE1D6" w14:textId="77777777" w:rsidR="00B266A2" w:rsidRDefault="00B266A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man-Light">
    <w:panose1 w:val="00000000000000000000"/>
    <w:charset w:val="00"/>
    <w:family w:val="auto"/>
    <w:notTrueType/>
    <w:pitch w:val="default"/>
    <w:sig w:usb0="00000003" w:usb1="00000000" w:usb2="00000000" w:usb3="00000000" w:csb0="00000001" w:csb1="00000000"/>
  </w:font>
  <w:font w:name="AdvTTb8864ccf.B">
    <w:panose1 w:val="00000000000000000000"/>
    <w:charset w:val="00"/>
    <w:family w:val="roman"/>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swiss"/>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NewsGothicB">
    <w:panose1 w:val="00000000000000000000"/>
    <w:charset w:val="00"/>
    <w:family w:val="swiss"/>
    <w:notTrueType/>
    <w:pitch w:val="default"/>
    <w:sig w:usb0="00000003" w:usb1="00000000" w:usb2="00000000" w:usb3="00000000" w:csb0="00000001" w:csb1="00000000"/>
  </w:font>
  <w:font w:name="AdvNewsGothicR">
    <w:panose1 w:val="00000000000000000000"/>
    <w:charset w:val="00"/>
    <w:family w:val="swiss"/>
    <w:notTrueType/>
    <w:pitch w:val="default"/>
    <w:sig w:usb0="00000003" w:usb1="00000000" w:usb2="00000000" w:usb3="00000000" w:csb0="00000001" w:csb1="00000000"/>
  </w:font>
  <w:font w:name="AdvTT5235d5a9">
    <w:altName w:val="Calibri"/>
    <w:panose1 w:val="00000000000000000000"/>
    <w:charset w:val="00"/>
    <w:family w:val="roman"/>
    <w:notTrueType/>
    <w:pitch w:val="default"/>
    <w:sig w:usb0="00000003" w:usb1="00000000" w:usb2="00000000" w:usb3="00000000" w:csb0="00000001" w:csb1="00000000"/>
  </w:font>
  <w:font w:name="AdvTT5235d5a9+20">
    <w:altName w:val="Calibri"/>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SymbolMT">
    <w:charset w:val="02"/>
    <w:family w:val="auto"/>
    <w:pitch w:val="variable"/>
    <w:sig w:usb0="00000000" w:usb1="10000000" w:usb2="00000000" w:usb3="00000000" w:csb0="80000000" w:csb1="00000000"/>
  </w:font>
  <w:font w:name="ArialMT">
    <w:charset w:val="00"/>
    <w:family w:val="swiss"/>
    <w:pitch w:val="variable"/>
    <w:sig w:usb0="E0002AFF" w:usb1="C0007843" w:usb2="00000009" w:usb3="00000000" w:csb0="000001FF" w:csb1="00000000"/>
  </w:font>
  <w:font w:name="Cambria-Bold">
    <w:altName w:val="Times New Roman"/>
    <w:charset w:val="00"/>
    <w:family w:val="roman"/>
    <w:pitch w:val="variable"/>
    <w:sig w:usb0="00000001" w:usb1="4000045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266A2" w:rsidRPr="00487162" w14:paraId="67352C14" w14:textId="77777777" w:rsidTr="00DB750B">
      <w:trPr>
        <w:trHeight w:val="269"/>
      </w:trPr>
      <w:tc>
        <w:tcPr>
          <w:tcW w:w="7371" w:type="dxa"/>
          <w:tcMar>
            <w:top w:w="142" w:type="dxa"/>
            <w:bottom w:w="0" w:type="dxa"/>
          </w:tcMar>
        </w:tcPr>
        <w:p w14:paraId="413549B5" w14:textId="1DBD5BA3" w:rsidR="00B266A2" w:rsidRPr="00487162" w:rsidRDefault="00B266A2" w:rsidP="00DA7B7A">
          <w:pPr>
            <w:pStyle w:val="Footer"/>
          </w:pPr>
          <w:r w:rsidRPr="00487162">
            <w:t>AusPA</w:t>
          </w:r>
          <w:r>
            <w:t xml:space="preserve">R </w:t>
          </w:r>
          <w:r w:rsidRPr="00AE7E1E">
            <w:t xml:space="preserve">KANUMA - Sebelipase - Alexion Pharmaceuticals Australia Pty Ltd - PM-2016-01313-1-3 </w:t>
          </w:r>
          <w:r>
            <w:t>FINAL 14 June 2018</w:t>
          </w:r>
        </w:p>
      </w:tc>
      <w:tc>
        <w:tcPr>
          <w:tcW w:w="1490" w:type="dxa"/>
          <w:tcMar>
            <w:top w:w="142" w:type="dxa"/>
            <w:bottom w:w="0" w:type="dxa"/>
          </w:tcMar>
        </w:tcPr>
        <w:p w14:paraId="345976F4" w14:textId="77777777" w:rsidR="00B266A2" w:rsidRPr="00487162" w:rsidRDefault="00B266A2" w:rsidP="00DB750B">
          <w:pPr>
            <w:pStyle w:val="Footer"/>
            <w:jc w:val="right"/>
          </w:pPr>
          <w:r w:rsidRPr="00487162">
            <w:t xml:space="preserve">Page </w:t>
          </w:r>
          <w:r>
            <w:fldChar w:fldCharType="begin"/>
          </w:r>
          <w:r>
            <w:instrText xml:space="preserve"> PAGE  \* Arabic </w:instrText>
          </w:r>
          <w:r>
            <w:fldChar w:fldCharType="separate"/>
          </w:r>
          <w:r w:rsidR="00563448">
            <w:rPr>
              <w:noProof/>
            </w:rPr>
            <w:t>3</w:t>
          </w:r>
          <w:r>
            <w:fldChar w:fldCharType="end"/>
          </w:r>
          <w:r w:rsidRPr="00487162">
            <w:t xml:space="preserve"> of </w:t>
          </w:r>
          <w:fldSimple w:instr=" NUMPAGES  \* Arabic ">
            <w:r w:rsidR="00563448">
              <w:rPr>
                <w:noProof/>
              </w:rPr>
              <w:t>52</w:t>
            </w:r>
          </w:fldSimple>
        </w:p>
      </w:tc>
    </w:tr>
  </w:tbl>
  <w:p w14:paraId="7DE8F95E" w14:textId="77777777" w:rsidR="00B266A2" w:rsidRDefault="00B266A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266A2" w:rsidRPr="00487162" w14:paraId="69BCDF7A" w14:textId="77777777" w:rsidTr="00E45619">
      <w:trPr>
        <w:trHeight w:val="269"/>
      </w:trPr>
      <w:tc>
        <w:tcPr>
          <w:tcW w:w="4519" w:type="dxa"/>
          <w:tcBorders>
            <w:top w:val="single" w:sz="4" w:space="0" w:color="auto"/>
          </w:tcBorders>
          <w:tcMar>
            <w:top w:w="142" w:type="dxa"/>
            <w:bottom w:w="0" w:type="dxa"/>
          </w:tcMar>
        </w:tcPr>
        <w:p w14:paraId="4E622D8F" w14:textId="77777777" w:rsidR="00B266A2" w:rsidRPr="00487162" w:rsidRDefault="00B266A2" w:rsidP="00FE1DEE">
          <w:pPr>
            <w:pStyle w:val="Footer"/>
          </w:pPr>
          <w:r w:rsidRPr="00487162">
            <w:t>Document title, Part #, Section # - Section title</w:t>
          </w:r>
        </w:p>
        <w:p w14:paraId="277AAA62" w14:textId="77777777" w:rsidR="00B266A2" w:rsidRPr="00487162" w:rsidRDefault="00B266A2" w:rsidP="00FE1DEE">
          <w:pPr>
            <w:pStyle w:val="Footer"/>
          </w:pPr>
          <w:r w:rsidRPr="00487162">
            <w:t>V1.0 October 2010</w:t>
          </w:r>
        </w:p>
      </w:tc>
      <w:tc>
        <w:tcPr>
          <w:tcW w:w="4342" w:type="dxa"/>
          <w:tcBorders>
            <w:top w:val="single" w:sz="4" w:space="0" w:color="auto"/>
          </w:tcBorders>
          <w:tcMar>
            <w:top w:w="142" w:type="dxa"/>
            <w:bottom w:w="0" w:type="dxa"/>
          </w:tcMar>
        </w:tcPr>
        <w:p w14:paraId="27E72681" w14:textId="77777777" w:rsidR="00B266A2" w:rsidRPr="00487162" w:rsidRDefault="00B266A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50</w:t>
            </w:r>
          </w:fldSimple>
        </w:p>
      </w:tc>
    </w:tr>
  </w:tbl>
  <w:p w14:paraId="0DD64981" w14:textId="77777777" w:rsidR="00B266A2" w:rsidRDefault="00B266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A491" w14:textId="77777777" w:rsidR="00B266A2" w:rsidRPr="001C32CD" w:rsidRDefault="00B266A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266A2" w14:paraId="0898FF71" w14:textId="77777777" w:rsidTr="0010601F">
      <w:trPr>
        <w:trHeight w:val="108"/>
      </w:trPr>
      <w:tc>
        <w:tcPr>
          <w:tcW w:w="8875" w:type="dxa"/>
          <w:gridSpan w:val="2"/>
          <w:tcBorders>
            <w:bottom w:val="single" w:sz="4" w:space="0" w:color="auto"/>
          </w:tcBorders>
          <w:tcMar>
            <w:right w:w="284" w:type="dxa"/>
          </w:tcMar>
        </w:tcPr>
        <w:p w14:paraId="2B6D7B67" w14:textId="77777777" w:rsidR="00B266A2" w:rsidRDefault="00B266A2" w:rsidP="006E08B3">
          <w:pPr>
            <w:pStyle w:val="Heading3"/>
          </w:pPr>
          <w:r>
            <w:t>Copyright</w:t>
          </w:r>
        </w:p>
        <w:p w14:paraId="2223DA23" w14:textId="77777777" w:rsidR="00B266A2" w:rsidRDefault="00B266A2" w:rsidP="006E08B3">
          <w:r>
            <w:rPr>
              <w:rFonts w:cs="Arial"/>
            </w:rPr>
            <w:t>©</w:t>
          </w:r>
          <w:r>
            <w:t xml:space="preserve"> Commonwealth of Australia [add year]</w:t>
          </w:r>
        </w:p>
        <w:p w14:paraId="547441A3" w14:textId="77777777" w:rsidR="00B266A2" w:rsidRDefault="00B266A2" w:rsidP="006E08B3"/>
        <w:p w14:paraId="0B06EAA7" w14:textId="77777777" w:rsidR="00B266A2" w:rsidRDefault="00B266A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364B361" w14:textId="77777777" w:rsidR="00B266A2" w:rsidRDefault="00B266A2" w:rsidP="006E08B3"/>
        <w:p w14:paraId="6942583E" w14:textId="77777777" w:rsidR="00B266A2" w:rsidRDefault="00B266A2" w:rsidP="006E08B3">
          <w:pPr>
            <w:pStyle w:val="Heading3"/>
          </w:pPr>
          <w:r>
            <w:t>Confidentiality</w:t>
          </w:r>
        </w:p>
        <w:p w14:paraId="314031B8" w14:textId="77777777" w:rsidR="00B266A2" w:rsidRDefault="00B266A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6C0289A" w14:textId="77777777" w:rsidR="00B266A2" w:rsidRDefault="00B266A2" w:rsidP="006E08B3"/>
        <w:p w14:paraId="14E25DBC" w14:textId="77777777" w:rsidR="00B266A2" w:rsidRDefault="00B266A2" w:rsidP="006E08B3">
          <w:r>
            <w:t>For submission made by individuals, all personal details, other than your name, will be removed from your submission before it is published on the TGA’s Internet site.</w:t>
          </w:r>
        </w:p>
        <w:p w14:paraId="4B32BB34" w14:textId="77777777" w:rsidR="00B266A2" w:rsidRDefault="00B266A2" w:rsidP="006E08B3"/>
        <w:p w14:paraId="7444A5C9" w14:textId="77777777" w:rsidR="00B266A2" w:rsidRDefault="00B266A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266A2" w14:paraId="6D071985" w14:textId="77777777" w:rsidTr="0010601F">
      <w:trPr>
        <w:trHeight w:val="417"/>
      </w:trPr>
      <w:tc>
        <w:tcPr>
          <w:tcW w:w="4519" w:type="dxa"/>
          <w:tcBorders>
            <w:top w:val="single" w:sz="4" w:space="0" w:color="auto"/>
          </w:tcBorders>
          <w:tcMar>
            <w:top w:w="142" w:type="dxa"/>
            <w:bottom w:w="0" w:type="dxa"/>
          </w:tcMar>
        </w:tcPr>
        <w:p w14:paraId="708C496C" w14:textId="77777777" w:rsidR="00B266A2" w:rsidRDefault="00B266A2" w:rsidP="006E08B3">
          <w:r>
            <w:t>Document title, Part #, Section # - Section title</w:t>
          </w:r>
        </w:p>
        <w:p w14:paraId="50E996FD" w14:textId="77777777" w:rsidR="00B266A2" w:rsidRDefault="00B266A2" w:rsidP="006E08B3">
          <w:r>
            <w:t>V1.0 October 2010</w:t>
          </w:r>
        </w:p>
      </w:tc>
      <w:tc>
        <w:tcPr>
          <w:tcW w:w="4356" w:type="dxa"/>
          <w:tcBorders>
            <w:top w:val="single" w:sz="4" w:space="0" w:color="auto"/>
          </w:tcBorders>
          <w:tcMar>
            <w:top w:w="142" w:type="dxa"/>
            <w:bottom w:w="0" w:type="dxa"/>
          </w:tcMar>
        </w:tcPr>
        <w:p w14:paraId="2C525156" w14:textId="77777777" w:rsidR="00B266A2" w:rsidRDefault="00B266A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50</w:t>
            </w:r>
          </w:fldSimple>
          <w:r>
            <w:t xml:space="preserve">  </w:t>
          </w:r>
        </w:p>
      </w:tc>
    </w:tr>
  </w:tbl>
  <w:p w14:paraId="446AF5E2" w14:textId="77777777" w:rsidR="00B266A2" w:rsidRDefault="00B266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DED6F" w14:textId="77777777" w:rsidR="00B266A2" w:rsidRDefault="00B266A2" w:rsidP="00C40A36">
      <w:pPr>
        <w:spacing w:after="0"/>
      </w:pPr>
      <w:r>
        <w:separator/>
      </w:r>
    </w:p>
  </w:footnote>
  <w:footnote w:type="continuationSeparator" w:id="0">
    <w:p w14:paraId="697F2307" w14:textId="77777777" w:rsidR="00B266A2" w:rsidRDefault="00B266A2" w:rsidP="00C40A36">
      <w:pPr>
        <w:spacing w:after="0"/>
      </w:pPr>
      <w:r>
        <w:continuationSeparator/>
      </w:r>
    </w:p>
  </w:footnote>
  <w:footnote w:id="1">
    <w:p w14:paraId="06CA3D40" w14:textId="047147AC" w:rsidR="00B266A2" w:rsidRPr="00D0093D" w:rsidRDefault="00B266A2" w:rsidP="00D0093D">
      <w:pPr>
        <w:pStyle w:val="FootnoteText"/>
      </w:pPr>
      <w:r>
        <w:rPr>
          <w:rStyle w:val="FootnoteReference"/>
        </w:rPr>
        <w:footnoteRef/>
      </w:r>
      <w:r>
        <w:t xml:space="preserve"> </w:t>
      </w:r>
      <w:r w:rsidRPr="00E71D35">
        <w:t xml:space="preserve">Grabowski GA, </w:t>
      </w:r>
      <w:r>
        <w:t>et al</w:t>
      </w:r>
      <w:r w:rsidRPr="00E71D35">
        <w:t xml:space="preserve">. Lysosomal acid lipase deficiencies: The Wolman disease / cholesteryl ester storage disease spectrum. In: Valle D, </w:t>
      </w:r>
      <w:r>
        <w:t>et al</w:t>
      </w:r>
      <w:r w:rsidRPr="00E71D35">
        <w:t xml:space="preserve">, </w:t>
      </w:r>
      <w:proofErr w:type="gramStart"/>
      <w:r w:rsidRPr="00E71D35">
        <w:t>eds</w:t>
      </w:r>
      <w:proofErr w:type="gramEnd"/>
      <w:r w:rsidRPr="00E71D35">
        <w:t xml:space="preserve">. </w:t>
      </w:r>
      <w:proofErr w:type="gramStart"/>
      <w:r w:rsidRPr="00E71D35">
        <w:t>The Online Metabolic and Molecular Basis of Inherited Disease.</w:t>
      </w:r>
      <w:proofErr w:type="gramEnd"/>
      <w:r w:rsidRPr="00E71D35">
        <w:t xml:space="preserve"> New York City, NY: McGraw Hill Inc. Upda</w:t>
      </w:r>
      <w:r>
        <w:t xml:space="preserve">ted March 2012. Available from: </w:t>
      </w:r>
      <w:r w:rsidRPr="00E71D35">
        <w:t>http://www.ommbid.com/OMMB</w:t>
      </w:r>
      <w:r>
        <w:t xml:space="preserve">ID/. </w:t>
      </w:r>
      <w:proofErr w:type="gramStart"/>
      <w:r>
        <w:t>Accessed 02 December 2013.</w:t>
      </w:r>
      <w:proofErr w:type="gramEnd"/>
    </w:p>
  </w:footnote>
  <w:footnote w:id="2">
    <w:p w14:paraId="179C6B7D" w14:textId="13ECB2F2" w:rsidR="00B266A2" w:rsidRPr="00D0093D" w:rsidRDefault="00B266A2" w:rsidP="00D0093D">
      <w:pPr>
        <w:pStyle w:val="FootnoteText"/>
      </w:pPr>
      <w:r>
        <w:rPr>
          <w:rStyle w:val="FootnoteReference"/>
        </w:rPr>
        <w:footnoteRef/>
      </w:r>
      <w:r>
        <w:t xml:space="preserve"> </w:t>
      </w:r>
      <w:r w:rsidRPr="00E71D35">
        <w:t xml:space="preserve">Barton NW, </w:t>
      </w:r>
      <w:r>
        <w:t>et al</w:t>
      </w:r>
      <w:r w:rsidRPr="00E71D35">
        <w:t xml:space="preserve">. Therapeutic response to intravenous infusions of glucocerebrosidase in a patient with </w:t>
      </w:r>
      <w:proofErr w:type="gramStart"/>
      <w:r w:rsidRPr="00E71D35">
        <w:t>Gaucher</w:t>
      </w:r>
      <w:proofErr w:type="gramEnd"/>
      <w:r w:rsidRPr="00E71D35">
        <w:t xml:space="preserve"> disease. </w:t>
      </w:r>
      <w:r w:rsidRPr="00E71D35">
        <w:rPr>
          <w:i/>
          <w:iCs/>
        </w:rPr>
        <w:t>Proc. Natl. Acad. Sci. U S A</w:t>
      </w:r>
      <w:r w:rsidRPr="00E71D35">
        <w:t>. 1990</w:t>
      </w:r>
      <w:proofErr w:type="gramStart"/>
      <w:r w:rsidRPr="00E71D35">
        <w:t>;87</w:t>
      </w:r>
      <w:proofErr w:type="gramEnd"/>
      <w:r w:rsidRPr="00E71D35">
        <w:t>:</w:t>
      </w:r>
      <w:r>
        <w:t xml:space="preserve"> </w:t>
      </w:r>
      <w:r w:rsidRPr="00E71D35">
        <w:t>1913-</w:t>
      </w:r>
      <w:r>
        <w:t>191</w:t>
      </w:r>
      <w:r w:rsidRPr="00E71D35">
        <w:t>6.</w:t>
      </w:r>
    </w:p>
  </w:footnote>
  <w:footnote w:id="3">
    <w:p w14:paraId="66D44677" w14:textId="744CB9ED" w:rsidR="00B266A2" w:rsidRPr="00D0093D" w:rsidRDefault="00B266A2" w:rsidP="00D0093D">
      <w:pPr>
        <w:pStyle w:val="FootnoteText"/>
        <w:rPr>
          <w:lang w:val="en-US"/>
        </w:rPr>
      </w:pPr>
      <w:r>
        <w:rPr>
          <w:rStyle w:val="FootnoteReference"/>
        </w:rPr>
        <w:footnoteRef/>
      </w:r>
      <w:r>
        <w:t xml:space="preserve"> </w:t>
      </w:r>
      <w:r w:rsidRPr="00E71D35">
        <w:t xml:space="preserve">Barton NW, et al. Replacement therapy for inherited enzyme deficiency-macrophage-targeted </w:t>
      </w:r>
      <w:proofErr w:type="spellStart"/>
      <w:r w:rsidRPr="00E71D35">
        <w:t>glucocerebrosidase</w:t>
      </w:r>
      <w:proofErr w:type="spellEnd"/>
      <w:r w:rsidRPr="00E71D35">
        <w:t xml:space="preserve"> for </w:t>
      </w:r>
      <w:proofErr w:type="spellStart"/>
      <w:r w:rsidRPr="00E71D35">
        <w:t>Gaucher's</w:t>
      </w:r>
      <w:proofErr w:type="spellEnd"/>
      <w:r w:rsidRPr="00E71D35">
        <w:t xml:space="preserve"> disease. </w:t>
      </w:r>
      <w:r w:rsidRPr="00E71D35">
        <w:rPr>
          <w:i/>
          <w:iCs/>
        </w:rPr>
        <w:t xml:space="preserve">N Engl J Med. </w:t>
      </w:r>
      <w:r w:rsidRPr="00E71D35">
        <w:t>1991</w:t>
      </w:r>
      <w:proofErr w:type="gramStart"/>
      <w:r w:rsidRPr="00E71D35">
        <w:t>;324</w:t>
      </w:r>
      <w:proofErr w:type="gramEnd"/>
      <w:r w:rsidRPr="00E71D35">
        <w:t>:</w:t>
      </w:r>
      <w:r>
        <w:t xml:space="preserve"> </w:t>
      </w:r>
      <w:r w:rsidRPr="00E71D35">
        <w:t>1464-</w:t>
      </w:r>
      <w:r>
        <w:t>14</w:t>
      </w:r>
      <w:r w:rsidRPr="00E71D35">
        <w:t>70.</w:t>
      </w:r>
    </w:p>
  </w:footnote>
  <w:footnote w:id="4">
    <w:p w14:paraId="78A03BF0" w14:textId="2A08DD65" w:rsidR="00B266A2" w:rsidRPr="00D0093D" w:rsidRDefault="00B266A2" w:rsidP="00D0093D">
      <w:pPr>
        <w:pStyle w:val="FootnoteText"/>
        <w:rPr>
          <w:lang w:val="en-US"/>
        </w:rPr>
      </w:pPr>
      <w:r>
        <w:rPr>
          <w:rStyle w:val="FootnoteReference"/>
        </w:rPr>
        <w:footnoteRef/>
      </w:r>
      <w:r>
        <w:t xml:space="preserve"> </w:t>
      </w:r>
      <w:proofErr w:type="spellStart"/>
      <w:r w:rsidRPr="00E71D35">
        <w:t>Kishnani</w:t>
      </w:r>
      <w:proofErr w:type="spellEnd"/>
      <w:r w:rsidRPr="00E71D35">
        <w:t xml:space="preserve"> PS, et al. Recombinant human acid α-glucosidase: Major clinical benefits in infantile-onset </w:t>
      </w:r>
      <w:proofErr w:type="spellStart"/>
      <w:r w:rsidRPr="00E71D35">
        <w:t>Pompe</w:t>
      </w:r>
      <w:proofErr w:type="spellEnd"/>
      <w:r w:rsidRPr="00E71D35">
        <w:t xml:space="preserve"> disease. </w:t>
      </w:r>
      <w:proofErr w:type="gramStart"/>
      <w:r w:rsidRPr="00E71D35">
        <w:rPr>
          <w:i/>
          <w:iCs/>
        </w:rPr>
        <w:t>Neurology.</w:t>
      </w:r>
      <w:proofErr w:type="gramEnd"/>
      <w:r w:rsidRPr="00E71D35">
        <w:rPr>
          <w:i/>
          <w:iCs/>
        </w:rPr>
        <w:t xml:space="preserve"> </w:t>
      </w:r>
      <w:proofErr w:type="gramStart"/>
      <w:r w:rsidRPr="00E71D35">
        <w:t>2007;</w:t>
      </w:r>
      <w:r>
        <w:t xml:space="preserve"> </w:t>
      </w:r>
      <w:r w:rsidRPr="00E71D35">
        <w:t>68:</w:t>
      </w:r>
      <w:r>
        <w:t xml:space="preserve"> </w:t>
      </w:r>
      <w:r w:rsidRPr="00E71D35">
        <w:t>99-109.</w:t>
      </w:r>
      <w:proofErr w:type="gramEnd"/>
    </w:p>
  </w:footnote>
  <w:footnote w:id="5">
    <w:p w14:paraId="362857EE" w14:textId="0914B821" w:rsidR="00B266A2" w:rsidRPr="00D0093D" w:rsidRDefault="00B266A2" w:rsidP="00D0093D">
      <w:pPr>
        <w:pStyle w:val="FootnoteText"/>
        <w:rPr>
          <w:lang w:val="en-US"/>
        </w:rPr>
      </w:pPr>
      <w:r>
        <w:rPr>
          <w:rStyle w:val="FootnoteReference"/>
        </w:rPr>
        <w:footnoteRef/>
      </w:r>
      <w:r>
        <w:t xml:space="preserve"> </w:t>
      </w:r>
      <w:proofErr w:type="gramStart"/>
      <w:r w:rsidRPr="00E71D35">
        <w:t>van</w:t>
      </w:r>
      <w:proofErr w:type="gramEnd"/>
      <w:r w:rsidRPr="00E71D35">
        <w:t xml:space="preserve"> der </w:t>
      </w:r>
      <w:proofErr w:type="spellStart"/>
      <w:r w:rsidRPr="00E71D35">
        <w:t>Ploeg</w:t>
      </w:r>
      <w:proofErr w:type="spellEnd"/>
      <w:r w:rsidRPr="00E71D35">
        <w:t xml:space="preserve"> AT, et al. </w:t>
      </w:r>
      <w:proofErr w:type="gramStart"/>
      <w:r w:rsidRPr="00E71D35">
        <w:t xml:space="preserve">A randomised study of </w:t>
      </w:r>
      <w:proofErr w:type="spellStart"/>
      <w:r w:rsidRPr="00E71D35">
        <w:t>alglucosidase</w:t>
      </w:r>
      <w:proofErr w:type="spellEnd"/>
      <w:r w:rsidRPr="00E71D35">
        <w:t xml:space="preserve"> alfa in late onset </w:t>
      </w:r>
      <w:proofErr w:type="spellStart"/>
      <w:r w:rsidRPr="00E71D35">
        <w:t>Pompe’s</w:t>
      </w:r>
      <w:proofErr w:type="spellEnd"/>
      <w:r w:rsidRPr="00E71D35">
        <w:t xml:space="preserve"> disease.</w:t>
      </w:r>
      <w:proofErr w:type="gramEnd"/>
      <w:r w:rsidRPr="00E71D35">
        <w:t xml:space="preserve"> </w:t>
      </w:r>
      <w:r w:rsidRPr="00E71D35">
        <w:rPr>
          <w:i/>
          <w:iCs/>
        </w:rPr>
        <w:t>N Engl. J Med</w:t>
      </w:r>
      <w:r w:rsidRPr="00E71D35">
        <w:t>. 2010;</w:t>
      </w:r>
      <w:r>
        <w:t xml:space="preserve"> </w:t>
      </w:r>
      <w:r w:rsidRPr="00E71D35">
        <w:t>362:</w:t>
      </w:r>
      <w:r>
        <w:t xml:space="preserve"> </w:t>
      </w:r>
      <w:r w:rsidRPr="00E71D35">
        <w:t>1396-</w:t>
      </w:r>
      <w:r>
        <w:t>1</w:t>
      </w:r>
      <w:r w:rsidRPr="00E71D35">
        <w:t>406</w:t>
      </w:r>
    </w:p>
  </w:footnote>
  <w:footnote w:id="6">
    <w:p w14:paraId="44C2151C" w14:textId="79AE9148" w:rsidR="00B266A2" w:rsidRPr="00D0093D" w:rsidRDefault="00B266A2">
      <w:pPr>
        <w:pStyle w:val="FootnoteText"/>
      </w:pPr>
      <w:r>
        <w:rPr>
          <w:rStyle w:val="FootnoteReference"/>
        </w:rPr>
        <w:footnoteRef/>
      </w:r>
      <w:r>
        <w:t xml:space="preserve"> </w:t>
      </w:r>
      <w:proofErr w:type="gramStart"/>
      <w:r w:rsidRPr="00E71D35">
        <w:t xml:space="preserve">Wilcox, WR, et al. Long-term safety and efficacy of enzyme replacement therapy for </w:t>
      </w:r>
      <w:proofErr w:type="spellStart"/>
      <w:r w:rsidRPr="00E71D35">
        <w:t>Fabry</w:t>
      </w:r>
      <w:proofErr w:type="spellEnd"/>
      <w:r w:rsidRPr="00E71D35">
        <w:t xml:space="preserve"> disease.</w:t>
      </w:r>
      <w:proofErr w:type="gramEnd"/>
      <w:r w:rsidRPr="00E71D35">
        <w:t xml:space="preserve"> </w:t>
      </w:r>
      <w:r w:rsidRPr="00E71D35">
        <w:rPr>
          <w:i/>
          <w:iCs/>
        </w:rPr>
        <w:t xml:space="preserve">Am. J. Hum. </w:t>
      </w:r>
      <w:proofErr w:type="gramStart"/>
      <w:r w:rsidRPr="00E71D35">
        <w:rPr>
          <w:i/>
          <w:iCs/>
        </w:rPr>
        <w:t>Genet</w:t>
      </w:r>
      <w:r w:rsidRPr="00E71D35">
        <w:t>.</w:t>
      </w:r>
      <w:proofErr w:type="gramEnd"/>
      <w:r w:rsidRPr="00E71D35">
        <w:t xml:space="preserve"> </w:t>
      </w:r>
      <w:proofErr w:type="gramStart"/>
      <w:r w:rsidRPr="00E71D35">
        <w:t>2004;</w:t>
      </w:r>
      <w:r>
        <w:t xml:space="preserve"> </w:t>
      </w:r>
      <w:r w:rsidRPr="00E71D35">
        <w:t>75:</w:t>
      </w:r>
      <w:r>
        <w:t xml:space="preserve"> </w:t>
      </w:r>
      <w:r w:rsidRPr="00E71D35">
        <w:t>65-74.</w:t>
      </w:r>
      <w:proofErr w:type="gramEnd"/>
    </w:p>
  </w:footnote>
  <w:footnote w:id="7">
    <w:p w14:paraId="64B0B03B" w14:textId="120376C3" w:rsidR="00B266A2" w:rsidRPr="00D0093D" w:rsidRDefault="00B266A2" w:rsidP="0029422C">
      <w:pPr>
        <w:pStyle w:val="FootnoteText"/>
      </w:pPr>
      <w:r>
        <w:rPr>
          <w:rStyle w:val="FootnoteReference"/>
        </w:rPr>
        <w:footnoteRef/>
      </w:r>
      <w:r>
        <w:t xml:space="preserve"> </w:t>
      </w:r>
      <w:r w:rsidRPr="00E71D35">
        <w:t xml:space="preserve">Wraith JE, et al. Enzyme replacement therapy for </w:t>
      </w:r>
      <w:proofErr w:type="spellStart"/>
      <w:r w:rsidRPr="00E71D35">
        <w:t>mucopolysaccharidosis</w:t>
      </w:r>
      <w:proofErr w:type="spellEnd"/>
      <w:r w:rsidRPr="00E71D35">
        <w:t xml:space="preserve"> I: a randomised, double-blinded, </w:t>
      </w:r>
      <w:r>
        <w:t xml:space="preserve">placebo </w:t>
      </w:r>
      <w:proofErr w:type="gramStart"/>
      <w:r>
        <w:t>controlled</w:t>
      </w:r>
      <w:r w:rsidRPr="00E71D35">
        <w:t>,</w:t>
      </w:r>
      <w:proofErr w:type="gramEnd"/>
      <w:r w:rsidRPr="00E71D35">
        <w:t xml:space="preserve"> multinational study of recombinant human alpha-L-</w:t>
      </w:r>
      <w:proofErr w:type="spellStart"/>
      <w:r w:rsidRPr="00E71D35">
        <w:t>iduronidase</w:t>
      </w:r>
      <w:proofErr w:type="spellEnd"/>
      <w:r w:rsidRPr="00E71D35">
        <w:t xml:space="preserve"> (</w:t>
      </w:r>
      <w:proofErr w:type="spellStart"/>
      <w:r w:rsidRPr="00E71D35">
        <w:t>laronidase</w:t>
      </w:r>
      <w:proofErr w:type="spellEnd"/>
      <w:r w:rsidRPr="00E71D35">
        <w:t xml:space="preserve">). </w:t>
      </w:r>
      <w:proofErr w:type="gramStart"/>
      <w:r w:rsidRPr="00E71D35">
        <w:rPr>
          <w:i/>
          <w:iCs/>
        </w:rPr>
        <w:t xml:space="preserve">J </w:t>
      </w:r>
      <w:proofErr w:type="spellStart"/>
      <w:r w:rsidRPr="00E71D35">
        <w:rPr>
          <w:i/>
          <w:iCs/>
        </w:rPr>
        <w:t>Pediatr</w:t>
      </w:r>
      <w:proofErr w:type="spellEnd"/>
      <w:r w:rsidRPr="00E71D35">
        <w:t>.</w:t>
      </w:r>
      <w:proofErr w:type="gramEnd"/>
      <w:r w:rsidRPr="00E71D35">
        <w:t xml:space="preserve"> </w:t>
      </w:r>
      <w:proofErr w:type="gramStart"/>
      <w:r w:rsidRPr="00E71D35">
        <w:t>2004;</w:t>
      </w:r>
      <w:r>
        <w:t xml:space="preserve"> </w:t>
      </w:r>
      <w:r w:rsidRPr="00E71D35">
        <w:t>144:</w:t>
      </w:r>
      <w:r>
        <w:t xml:space="preserve"> </w:t>
      </w:r>
      <w:r w:rsidRPr="00E71D35">
        <w:t>581-</w:t>
      </w:r>
      <w:r>
        <w:t>58</w:t>
      </w:r>
      <w:r w:rsidRPr="00E71D35">
        <w:t>8.</w:t>
      </w:r>
      <w:proofErr w:type="gramEnd"/>
    </w:p>
  </w:footnote>
  <w:footnote w:id="8">
    <w:p w14:paraId="6965B833" w14:textId="7092E730" w:rsidR="00B266A2" w:rsidRPr="00D0093D" w:rsidRDefault="00B266A2" w:rsidP="0029422C">
      <w:pPr>
        <w:pStyle w:val="FootnoteText"/>
        <w:rPr>
          <w:rFonts w:eastAsia="MS Mincho"/>
          <w:lang w:eastAsia="en-AU"/>
        </w:rPr>
      </w:pPr>
      <w:r>
        <w:rPr>
          <w:rStyle w:val="FootnoteReference"/>
        </w:rPr>
        <w:footnoteRef/>
      </w:r>
      <w:r>
        <w:t xml:space="preserve"> </w:t>
      </w:r>
      <w:proofErr w:type="spellStart"/>
      <w:r w:rsidRPr="00E71D35">
        <w:rPr>
          <w:rFonts w:eastAsia="MS Mincho"/>
          <w:lang w:eastAsia="en-AU"/>
        </w:rPr>
        <w:t>Muenzer</w:t>
      </w:r>
      <w:proofErr w:type="spellEnd"/>
      <w:r w:rsidRPr="00E71D35">
        <w:rPr>
          <w:rFonts w:eastAsia="MS Mincho"/>
          <w:lang w:eastAsia="en-AU"/>
        </w:rPr>
        <w:t xml:space="preserve"> J, </w:t>
      </w:r>
      <w:r>
        <w:rPr>
          <w:rFonts w:eastAsia="MS Mincho"/>
          <w:lang w:eastAsia="en-AU"/>
        </w:rPr>
        <w:t>et al</w:t>
      </w:r>
      <w:r w:rsidRPr="00E71D35">
        <w:rPr>
          <w:rFonts w:eastAsia="MS Mincho"/>
          <w:lang w:eastAsia="en-AU"/>
        </w:rPr>
        <w:t xml:space="preserve">. A phase I/II clinical trial of enzyme replacement therapy in </w:t>
      </w:r>
      <w:proofErr w:type="spellStart"/>
      <w:r w:rsidRPr="00E71D35">
        <w:rPr>
          <w:rFonts w:eastAsia="MS Mincho"/>
          <w:lang w:eastAsia="en-AU"/>
        </w:rPr>
        <w:t>mucopolysaccharidosis</w:t>
      </w:r>
      <w:proofErr w:type="spellEnd"/>
      <w:r w:rsidRPr="00E71D35">
        <w:rPr>
          <w:rFonts w:eastAsia="MS Mincho"/>
          <w:lang w:eastAsia="en-AU"/>
        </w:rPr>
        <w:t xml:space="preserve"> II (Hunter syndrome). </w:t>
      </w:r>
      <w:r w:rsidRPr="00E71D35">
        <w:rPr>
          <w:rFonts w:eastAsia="MS Mincho"/>
          <w:i/>
          <w:iCs/>
          <w:lang w:eastAsia="en-AU"/>
        </w:rPr>
        <w:t xml:space="preserve">Mol. Genet. </w:t>
      </w:r>
      <w:proofErr w:type="spellStart"/>
      <w:proofErr w:type="gramStart"/>
      <w:r w:rsidRPr="00E71D35">
        <w:rPr>
          <w:rFonts w:eastAsia="MS Mincho"/>
          <w:i/>
          <w:iCs/>
          <w:lang w:eastAsia="en-AU"/>
        </w:rPr>
        <w:t>Metab</w:t>
      </w:r>
      <w:proofErr w:type="spellEnd"/>
      <w:r w:rsidRPr="00E71D35">
        <w:rPr>
          <w:rFonts w:eastAsia="MS Mincho"/>
          <w:lang w:eastAsia="en-AU"/>
        </w:rPr>
        <w:t>.</w:t>
      </w:r>
      <w:proofErr w:type="gramEnd"/>
      <w:r w:rsidRPr="00E71D35">
        <w:rPr>
          <w:rFonts w:eastAsia="MS Mincho"/>
          <w:lang w:eastAsia="en-AU"/>
        </w:rPr>
        <w:t xml:space="preserve"> 2007;</w:t>
      </w:r>
      <w:r>
        <w:rPr>
          <w:rFonts w:eastAsia="MS Mincho"/>
          <w:lang w:eastAsia="en-AU"/>
        </w:rPr>
        <w:t xml:space="preserve"> </w:t>
      </w:r>
      <w:r w:rsidRPr="00E71D35">
        <w:rPr>
          <w:rFonts w:eastAsia="MS Mincho"/>
          <w:lang w:eastAsia="en-AU"/>
        </w:rPr>
        <w:t>90:</w:t>
      </w:r>
      <w:r>
        <w:rPr>
          <w:rFonts w:eastAsia="MS Mincho"/>
          <w:lang w:eastAsia="en-AU"/>
        </w:rPr>
        <w:t xml:space="preserve"> </w:t>
      </w:r>
      <w:r w:rsidRPr="00E71D35">
        <w:rPr>
          <w:rFonts w:eastAsia="MS Mincho"/>
          <w:lang w:eastAsia="en-AU"/>
        </w:rPr>
        <w:t>329-37</w:t>
      </w:r>
    </w:p>
  </w:footnote>
  <w:footnote w:id="9">
    <w:p w14:paraId="7E586486" w14:textId="11668C37" w:rsidR="00B266A2" w:rsidRPr="0029422C" w:rsidRDefault="00B266A2" w:rsidP="00B266A2">
      <w:pPr>
        <w:pStyle w:val="FootnoteText"/>
      </w:pPr>
      <w:r w:rsidRPr="00F51A7D">
        <w:rPr>
          <w:rStyle w:val="FootnoteReference"/>
        </w:rPr>
        <w:footnoteRef/>
      </w:r>
      <w:r w:rsidRPr="00BE1358">
        <w:t xml:space="preserve"> </w:t>
      </w:r>
      <w:r w:rsidRPr="0029422C">
        <w:rPr>
          <w:lang w:eastAsia="en-AU"/>
        </w:rPr>
        <w:t xml:space="preserve">Stahl, PD et al 1978, </w:t>
      </w:r>
      <w:r w:rsidRPr="0029422C">
        <w:t xml:space="preserve">Evidence for receptor-mediated binding of </w:t>
      </w:r>
      <w:r w:rsidRPr="00F51A7D">
        <w:t xml:space="preserve">glycoproteins, </w:t>
      </w:r>
      <w:proofErr w:type="spellStart"/>
      <w:r w:rsidRPr="0029422C">
        <w:t>glycoconjugates</w:t>
      </w:r>
      <w:proofErr w:type="spellEnd"/>
      <w:r w:rsidRPr="0029422C">
        <w:t xml:space="preserve">, and lysosomal </w:t>
      </w:r>
      <w:proofErr w:type="spellStart"/>
      <w:r w:rsidRPr="0029422C">
        <w:t>glycosidases</w:t>
      </w:r>
      <w:proofErr w:type="spellEnd"/>
      <w:r w:rsidRPr="0029422C">
        <w:t xml:space="preserve"> </w:t>
      </w:r>
      <w:r w:rsidRPr="00F51A7D">
        <w:t xml:space="preserve">by alveolar </w:t>
      </w:r>
      <w:r w:rsidRPr="0029422C">
        <w:t>macrophages</w:t>
      </w:r>
      <w:r w:rsidRPr="0029422C">
        <w:rPr>
          <w:i/>
          <w:iCs/>
          <w:lang w:eastAsia="en-AU"/>
        </w:rPr>
        <w:t xml:space="preserve"> Proc. Natl. Acad. Sci. USA</w:t>
      </w:r>
      <w:r w:rsidRPr="0029422C">
        <w:rPr>
          <w:lang w:eastAsia="en-AU"/>
        </w:rPr>
        <w:t>; 1978; 75: 1309-1403</w:t>
      </w:r>
      <w:r w:rsidRPr="0029422C">
        <w:rPr>
          <w:i/>
          <w:iCs/>
          <w:lang w:eastAsia="en-AU"/>
        </w:rPr>
        <w:t>.</w:t>
      </w:r>
    </w:p>
  </w:footnote>
  <w:footnote w:id="10">
    <w:p w14:paraId="20156D61" w14:textId="261DE37D" w:rsidR="00B266A2" w:rsidRPr="0029422C" w:rsidRDefault="00B266A2" w:rsidP="00B266A2">
      <w:pPr>
        <w:pStyle w:val="FootnoteText"/>
        <w:rPr>
          <w:rStyle w:val="FootnoteTextChar"/>
        </w:rPr>
      </w:pPr>
      <w:r w:rsidRPr="00F51A7D">
        <w:rPr>
          <w:rStyle w:val="FootnoteReference"/>
        </w:rPr>
        <w:footnoteRef/>
      </w:r>
      <w:r w:rsidRPr="00F51A7D">
        <w:t xml:space="preserve"> </w:t>
      </w:r>
      <w:proofErr w:type="spellStart"/>
      <w:r w:rsidRPr="0029422C">
        <w:t>Coutinho</w:t>
      </w:r>
      <w:proofErr w:type="spellEnd"/>
      <w:r w:rsidRPr="0029422C">
        <w:t xml:space="preserve">, </w:t>
      </w:r>
      <w:r>
        <w:t>MF et al</w:t>
      </w:r>
      <w:r w:rsidRPr="0029422C">
        <w:t>, Mannose-6-phosphate pathway: A review on</w:t>
      </w:r>
      <w:r w:rsidRPr="00F51A7D">
        <w:t xml:space="preserve"> its role in lysosomal function</w:t>
      </w:r>
      <w:r>
        <w:t xml:space="preserve"> </w:t>
      </w:r>
      <w:r w:rsidRPr="0029422C">
        <w:t xml:space="preserve">and dysfunction </w:t>
      </w:r>
      <w:proofErr w:type="spellStart"/>
      <w:r w:rsidRPr="0029422C">
        <w:rPr>
          <w:i/>
        </w:rPr>
        <w:t>Mol</w:t>
      </w:r>
      <w:proofErr w:type="spellEnd"/>
      <w:r w:rsidRPr="0029422C">
        <w:rPr>
          <w:i/>
        </w:rPr>
        <w:t xml:space="preserve"> Genet </w:t>
      </w:r>
      <w:proofErr w:type="spellStart"/>
      <w:r w:rsidRPr="0029422C">
        <w:rPr>
          <w:rStyle w:val="FootnoteTextChar"/>
          <w:i/>
        </w:rPr>
        <w:t>Metab</w:t>
      </w:r>
      <w:proofErr w:type="spellEnd"/>
      <w:r w:rsidRPr="0029422C">
        <w:rPr>
          <w:rStyle w:val="FootnoteTextChar"/>
          <w:i/>
        </w:rPr>
        <w:t xml:space="preserve"> </w:t>
      </w:r>
      <w:r w:rsidRPr="0029422C">
        <w:rPr>
          <w:rStyle w:val="FootnoteTextChar"/>
        </w:rPr>
        <w:t>2012 105 542–550</w:t>
      </w:r>
    </w:p>
  </w:footnote>
  <w:footnote w:id="11">
    <w:p w14:paraId="7111F016" w14:textId="77777777" w:rsidR="00B266A2" w:rsidRPr="007B3F04" w:rsidRDefault="00B266A2">
      <w:pPr>
        <w:pStyle w:val="FootnoteText"/>
        <w:rPr>
          <w:lang w:val="en-US"/>
        </w:rPr>
      </w:pPr>
      <w:r>
        <w:rPr>
          <w:rStyle w:val="FootnoteReference"/>
        </w:rPr>
        <w:footnoteRef/>
      </w:r>
      <w:r>
        <w:t xml:space="preserve"> </w:t>
      </w:r>
      <w:r w:rsidRPr="00E71D35">
        <w:t>Q1A (R2): Stability Testing of New Drug Substances and Products</w:t>
      </w:r>
    </w:p>
  </w:footnote>
  <w:footnote w:id="12">
    <w:p w14:paraId="583471A1" w14:textId="77777777" w:rsidR="00B266A2" w:rsidRPr="007B3F04" w:rsidRDefault="00B266A2">
      <w:pPr>
        <w:pStyle w:val="FootnoteText"/>
        <w:rPr>
          <w:lang w:val="en-US"/>
        </w:rPr>
      </w:pPr>
      <w:r>
        <w:rPr>
          <w:rStyle w:val="FootnoteReference"/>
        </w:rPr>
        <w:footnoteRef/>
      </w:r>
      <w:r>
        <w:t xml:space="preserve"> </w:t>
      </w:r>
      <w:r w:rsidRPr="00E71D35">
        <w:t>Q5C: Quality of Biotechnological Products: Stability Testing of Biotechnological/ Biological Products. Long term and accelerated stability data</w:t>
      </w:r>
    </w:p>
  </w:footnote>
  <w:footnote w:id="13">
    <w:p w14:paraId="6EF80E38" w14:textId="63ACED27" w:rsidR="00B266A2" w:rsidRPr="00C93FCF" w:rsidRDefault="00B266A2">
      <w:pPr>
        <w:pStyle w:val="FootnoteText"/>
        <w:rPr>
          <w:lang w:val="en-US"/>
        </w:rPr>
      </w:pPr>
      <w:r>
        <w:rPr>
          <w:rStyle w:val="FootnoteReference"/>
        </w:rPr>
        <w:footnoteRef/>
      </w:r>
      <w:r>
        <w:t xml:space="preserve"> </w:t>
      </w:r>
      <w:r>
        <w:rPr>
          <w:lang w:val="en-US"/>
        </w:rPr>
        <w:t>ICH guideline S6(R1): Preclinical safety evaluation of biotechnology-derived pharmaceuticals</w:t>
      </w:r>
    </w:p>
  </w:footnote>
  <w:footnote w:id="14">
    <w:p w14:paraId="3D46674A" w14:textId="77777777" w:rsidR="00B266A2" w:rsidRPr="00B935CA" w:rsidRDefault="00B266A2">
      <w:pPr>
        <w:pStyle w:val="FootnoteText"/>
        <w:rPr>
          <w:lang w:val="en-US"/>
        </w:rPr>
      </w:pPr>
      <w:r>
        <w:rPr>
          <w:rStyle w:val="FootnoteReference"/>
        </w:rPr>
        <w:footnoteRef/>
      </w:r>
      <w:r>
        <w:t xml:space="preserve"> </w:t>
      </w:r>
      <w:proofErr w:type="spellStart"/>
      <w:r>
        <w:rPr>
          <w:lang w:val="en-US"/>
        </w:rPr>
        <w:t>Mannan</w:t>
      </w:r>
      <w:proofErr w:type="spellEnd"/>
      <w:r>
        <w:rPr>
          <w:lang w:val="en-US"/>
        </w:rPr>
        <w:t xml:space="preserve"> </w:t>
      </w:r>
      <w:proofErr w:type="spellStart"/>
      <w:r>
        <w:rPr>
          <w:lang w:val="en-US"/>
        </w:rPr>
        <w:t>oligosachcharide</w:t>
      </w:r>
      <w:proofErr w:type="spellEnd"/>
      <w:r>
        <w:rPr>
          <w:lang w:val="en-US"/>
        </w:rPr>
        <w:t xml:space="preserve"> is a </w:t>
      </w:r>
      <w:proofErr w:type="spellStart"/>
      <w:r>
        <w:rPr>
          <w:lang w:val="en-US"/>
        </w:rPr>
        <w:t>glucomanno</w:t>
      </w:r>
      <w:proofErr w:type="spellEnd"/>
      <w:r>
        <w:rPr>
          <w:lang w:val="en-US"/>
        </w:rPr>
        <w:t xml:space="preserve"> protein complex derived from the inner cell wall of fungi.</w:t>
      </w:r>
    </w:p>
  </w:footnote>
  <w:footnote w:id="15">
    <w:p w14:paraId="50F55FEB" w14:textId="7C12DA97" w:rsidR="00B266A2" w:rsidRPr="000E2C06" w:rsidRDefault="00B266A2" w:rsidP="002A535F">
      <w:pPr>
        <w:pStyle w:val="FootnoteText"/>
        <w:rPr>
          <w:lang w:val="en-US"/>
        </w:rPr>
      </w:pPr>
      <w:r>
        <w:rPr>
          <w:rStyle w:val="FootnoteReference"/>
        </w:rPr>
        <w:footnoteRef/>
      </w:r>
      <w:r>
        <w:t xml:space="preserve"> Calculated as the </w:t>
      </w:r>
      <w:r w:rsidRPr="004527A9">
        <w:t>C</w:t>
      </w:r>
      <w:r w:rsidRPr="00B935CA">
        <w:rPr>
          <w:vertAlign w:val="subscript"/>
        </w:rPr>
        <w:t>max</w:t>
      </w:r>
      <w:r w:rsidRPr="004527A9">
        <w:t xml:space="preserve"> (average </w:t>
      </w:r>
      <w:r>
        <w:t xml:space="preserve">of </w:t>
      </w:r>
      <w:r w:rsidRPr="004527A9">
        <w:t xml:space="preserve">male and female) of </w:t>
      </w:r>
      <w:proofErr w:type="gramStart"/>
      <w:r w:rsidRPr="004527A9">
        <w:t>94 μg/mL</w:t>
      </w:r>
      <w:proofErr w:type="gramEnd"/>
      <w:r w:rsidRPr="004527A9">
        <w:t xml:space="preserve"> and 156 μg/mL for rats and monkeys, respectively, compared to steady state </w:t>
      </w:r>
      <w:proofErr w:type="spellStart"/>
      <w:r w:rsidRPr="004527A9">
        <w:t>C</w:t>
      </w:r>
      <w:r w:rsidRPr="00B935CA">
        <w:rPr>
          <w:vertAlign w:val="subscript"/>
        </w:rPr>
        <w:t>max</w:t>
      </w:r>
      <w:proofErr w:type="spellEnd"/>
      <w:r w:rsidRPr="004527A9">
        <w:t xml:space="preserve"> of 0.96 </w:t>
      </w:r>
      <w:r>
        <w:t>µ</w:t>
      </w:r>
      <w:r w:rsidRPr="004527A9">
        <w:t>g/mL in adult patients.</w:t>
      </w:r>
    </w:p>
  </w:footnote>
  <w:footnote w:id="16">
    <w:p w14:paraId="706D92A2" w14:textId="77777777" w:rsidR="00B266A2" w:rsidRPr="00634E1D" w:rsidRDefault="00B266A2">
      <w:pPr>
        <w:pStyle w:val="FootnoteText"/>
        <w:rPr>
          <w:lang w:val="en-US"/>
        </w:rPr>
      </w:pPr>
      <w:r>
        <w:rPr>
          <w:rStyle w:val="FootnoteReference"/>
        </w:rPr>
        <w:footnoteRef/>
      </w:r>
      <w:r>
        <w:t xml:space="preserve"> AUC</w:t>
      </w:r>
      <w:r>
        <w:rPr>
          <w:vertAlign w:val="subscript"/>
        </w:rPr>
        <w:t xml:space="preserve">0-last </w:t>
      </w:r>
      <w:r w:rsidRPr="00634E1D">
        <w:t>=</w:t>
      </w:r>
      <w:r>
        <w:t xml:space="preserve"> area under the concentration-time curve from the start of the infusion to the time of the last quantifiable concentration</w:t>
      </w:r>
    </w:p>
  </w:footnote>
  <w:footnote w:id="17">
    <w:p w14:paraId="369F5001" w14:textId="77777777" w:rsidR="00B266A2" w:rsidRPr="00634E1D" w:rsidRDefault="00B266A2">
      <w:pPr>
        <w:pStyle w:val="FootnoteText"/>
        <w:rPr>
          <w:lang w:val="en-US"/>
        </w:rPr>
      </w:pPr>
      <w:r>
        <w:rPr>
          <w:rStyle w:val="FootnoteReference"/>
        </w:rPr>
        <w:footnoteRef/>
      </w:r>
      <w:r>
        <w:t xml:space="preserve"> AUC</w:t>
      </w:r>
      <w:r>
        <w:rPr>
          <w:vertAlign w:val="subscript"/>
        </w:rPr>
        <w:t xml:space="preserve">ss </w:t>
      </w:r>
      <w:r w:rsidRPr="00634E1D">
        <w:t xml:space="preserve">= </w:t>
      </w:r>
      <w:r>
        <w:t>area under the concentration time curve at the steady state</w:t>
      </w:r>
    </w:p>
  </w:footnote>
  <w:footnote w:id="18">
    <w:p w14:paraId="18CD19A5" w14:textId="6E131ABD" w:rsidR="00B266A2" w:rsidRPr="008A34D4" w:rsidRDefault="00B266A2">
      <w:pPr>
        <w:pStyle w:val="FootnoteText"/>
      </w:pPr>
      <w:r>
        <w:rPr>
          <w:rStyle w:val="FootnoteReference"/>
        </w:rPr>
        <w:footnoteRef/>
      </w:r>
      <w:r>
        <w:t xml:space="preserve"> Australian </w:t>
      </w:r>
      <w:r w:rsidRPr="00F94F58">
        <w:t>Pregnancy Category B2</w:t>
      </w:r>
      <w:r>
        <w:t>:</w:t>
      </w:r>
      <w:r w:rsidRPr="008A34D4">
        <w:t xml:space="preserve">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are inadequate or may be lacking, but available data show no evidence of an increased occurrence of fetal damage.</w:t>
      </w:r>
    </w:p>
  </w:footnote>
  <w:footnote w:id="19">
    <w:p w14:paraId="0F5D9C45" w14:textId="177092BF" w:rsidR="00B266A2" w:rsidRPr="004903CD" w:rsidRDefault="00B266A2">
      <w:pPr>
        <w:pStyle w:val="FootnoteText"/>
      </w:pPr>
      <w:r>
        <w:rPr>
          <w:rStyle w:val="FootnoteReference"/>
        </w:rPr>
        <w:footnoteRef/>
      </w:r>
      <w:r>
        <w:t xml:space="preserve"> Australian </w:t>
      </w:r>
      <w:r w:rsidRPr="008A34D4">
        <w:t>Pregnancy Category B1</w:t>
      </w:r>
      <w:r>
        <w:t>:</w:t>
      </w:r>
      <w:r w:rsidRPr="004903CD">
        <w:t xml:space="preserve">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have not shown evidence of an increased occurrence of fetal damage.</w:t>
      </w:r>
    </w:p>
  </w:footnote>
  <w:footnote w:id="20">
    <w:p w14:paraId="1540C7EE" w14:textId="77777777" w:rsidR="00B266A2" w:rsidRPr="008A34D4" w:rsidRDefault="00B266A2">
      <w:pPr>
        <w:pStyle w:val="FootnoteText"/>
        <w:rPr>
          <w:lang w:val="en-US"/>
        </w:rPr>
      </w:pPr>
      <w:r>
        <w:rPr>
          <w:rStyle w:val="FootnoteReference"/>
        </w:rPr>
        <w:footnoteRef/>
      </w:r>
      <w:r>
        <w:t xml:space="preserve"> EMEA/CHMP/SWP/169215/2005 Guideline on the need for non-clinical testing in juvenile animals of pharmaceuticals for paediatric indications. 24 January 2008.</w:t>
      </w:r>
    </w:p>
  </w:footnote>
  <w:footnote w:id="21">
    <w:p w14:paraId="7142A629" w14:textId="77777777" w:rsidR="00B266A2" w:rsidRPr="00AA456F" w:rsidRDefault="00B266A2">
      <w:pPr>
        <w:pStyle w:val="FootnoteText"/>
      </w:pPr>
      <w:r w:rsidRPr="00AA456F">
        <w:rPr>
          <w:rStyle w:val="FootnoteReference"/>
        </w:rPr>
        <w:footnoteRef/>
      </w:r>
      <w:r w:rsidRPr="00AA456F">
        <w:t xml:space="preserve"> </w:t>
      </w:r>
      <w:proofErr w:type="spellStart"/>
      <w:r w:rsidRPr="00AA456F">
        <w:t>Hoeg</w:t>
      </w:r>
      <w:proofErr w:type="spellEnd"/>
      <w:r w:rsidRPr="00AA456F">
        <w:t>, M et al</w:t>
      </w:r>
      <w:r>
        <w:t>.</w:t>
      </w:r>
      <w:r w:rsidRPr="00AA456F">
        <w:t xml:space="preserve"> 1984 </w:t>
      </w:r>
      <w:r w:rsidRPr="003F5B14">
        <w:t xml:space="preserve">Cholesteryl Ester Storage Disease and Wolman Disease: Phenotypic Variants of Lysosomal Acid Cholesteryl Ester Hydrolase Deficiency. </w:t>
      </w:r>
      <w:r w:rsidRPr="00B71B5F">
        <w:rPr>
          <w:i/>
        </w:rPr>
        <w:t>Am J Hum Genet</w:t>
      </w:r>
      <w:r w:rsidRPr="003F5B14">
        <w:t xml:space="preserve"> 1984</w:t>
      </w:r>
      <w:r>
        <w:t>; 36:1190-1203</w:t>
      </w:r>
    </w:p>
  </w:footnote>
  <w:footnote w:id="22">
    <w:p w14:paraId="24ED75A5" w14:textId="77777777" w:rsidR="00B266A2" w:rsidRPr="002B27E3" w:rsidRDefault="00B266A2">
      <w:pPr>
        <w:pStyle w:val="FootnoteText"/>
        <w:rPr>
          <w:lang w:val="en-US"/>
        </w:rPr>
      </w:pPr>
      <w:r w:rsidRPr="00AA456F">
        <w:rPr>
          <w:rStyle w:val="FootnoteReference"/>
        </w:rPr>
        <w:footnoteRef/>
      </w:r>
      <w:r w:rsidRPr="00AA456F">
        <w:t xml:space="preserve"> </w:t>
      </w:r>
      <w:proofErr w:type="gramStart"/>
      <w:r w:rsidRPr="00AA456F">
        <w:t>Meyers WF et al</w:t>
      </w:r>
      <w:r>
        <w:t>.</w:t>
      </w:r>
      <w:r w:rsidRPr="00AA456F">
        <w:t xml:space="preserve"> 1985</w:t>
      </w:r>
      <w:r>
        <w:t>.</w:t>
      </w:r>
      <w:proofErr w:type="gramEnd"/>
      <w:r w:rsidRPr="00AA456F">
        <w:rPr>
          <w:rFonts w:asciiTheme="minorHAnsi" w:eastAsiaTheme="minorHAnsi" w:hAnsiTheme="minorHAnsi" w:cs="Courier"/>
        </w:rPr>
        <w:t xml:space="preserve"> </w:t>
      </w:r>
      <w:proofErr w:type="gramStart"/>
      <w:r w:rsidRPr="00AA456F">
        <w:rPr>
          <w:rFonts w:asciiTheme="minorHAnsi" w:eastAsiaTheme="minorHAnsi" w:hAnsiTheme="minorHAnsi" w:cs="Courier"/>
        </w:rPr>
        <w:t>Th</w:t>
      </w:r>
      <w:r w:rsidRPr="003F5B14">
        <w:rPr>
          <w:rFonts w:asciiTheme="minorHAnsi" w:eastAsiaTheme="minorHAnsi" w:hAnsiTheme="minorHAnsi" w:cs="Courier"/>
        </w:rPr>
        <w:t xml:space="preserve">e use of parenteral </w:t>
      </w:r>
      <w:proofErr w:type="spellStart"/>
      <w:r w:rsidRPr="003F5B14">
        <w:rPr>
          <w:rFonts w:asciiTheme="minorHAnsi" w:eastAsiaTheme="minorHAnsi" w:hAnsiTheme="minorHAnsi" w:cs="Courier"/>
        </w:rPr>
        <w:t>hyperalimentation</w:t>
      </w:r>
      <w:proofErr w:type="spellEnd"/>
      <w:r w:rsidRPr="003F5B14">
        <w:rPr>
          <w:rFonts w:asciiTheme="minorHAnsi" w:eastAsiaTheme="minorHAnsi" w:hAnsiTheme="minorHAnsi" w:cs="Courier"/>
        </w:rPr>
        <w:t xml:space="preserve"> and elemental formula feeding in the treatment of Wolman disease.</w:t>
      </w:r>
      <w:proofErr w:type="gramEnd"/>
      <w:r w:rsidRPr="003F5B14">
        <w:rPr>
          <w:rFonts w:asciiTheme="minorHAnsi" w:eastAsiaTheme="minorHAnsi" w:hAnsiTheme="minorHAnsi" w:cs="Courier"/>
        </w:rPr>
        <w:t xml:space="preserve"> </w:t>
      </w:r>
      <w:r w:rsidRPr="00B71B5F">
        <w:rPr>
          <w:rFonts w:asciiTheme="minorHAnsi" w:eastAsiaTheme="minorHAnsi" w:hAnsiTheme="minorHAnsi" w:cs="Courier"/>
          <w:i/>
        </w:rPr>
        <w:t>Nutrition Research</w:t>
      </w:r>
      <w:r w:rsidRPr="003F5B14">
        <w:rPr>
          <w:rFonts w:asciiTheme="minorHAnsi" w:eastAsiaTheme="minorHAnsi" w:hAnsiTheme="minorHAnsi" w:cs="Courier"/>
        </w:rPr>
        <w:t xml:space="preserve"> 1985</w:t>
      </w:r>
      <w:r>
        <w:rPr>
          <w:rFonts w:asciiTheme="minorHAnsi" w:eastAsiaTheme="minorHAnsi" w:hAnsiTheme="minorHAnsi" w:cs="Courier"/>
        </w:rPr>
        <w:t>; 5: 423-429</w:t>
      </w:r>
    </w:p>
  </w:footnote>
  <w:footnote w:id="23">
    <w:p w14:paraId="3773FB10" w14:textId="77777777" w:rsidR="00B266A2" w:rsidRPr="002B27E3" w:rsidRDefault="00B266A2">
      <w:pPr>
        <w:pStyle w:val="FootnoteText"/>
        <w:rPr>
          <w:lang w:val="en-US"/>
        </w:rPr>
      </w:pPr>
      <w:r w:rsidRPr="00AA456F">
        <w:rPr>
          <w:rStyle w:val="FootnoteReference"/>
        </w:rPr>
        <w:footnoteRef/>
      </w:r>
      <w:r w:rsidRPr="00AA456F">
        <w:t xml:space="preserve"> </w:t>
      </w:r>
      <w:proofErr w:type="spellStart"/>
      <w:r w:rsidRPr="00AA456F">
        <w:t>Krivit</w:t>
      </w:r>
      <w:proofErr w:type="spellEnd"/>
      <w:r w:rsidRPr="00AA456F">
        <w:t xml:space="preserve"> W et al, 2000</w:t>
      </w:r>
      <w:r w:rsidRPr="00AA456F">
        <w:rPr>
          <w:rFonts w:asciiTheme="minorHAnsi" w:eastAsiaTheme="minorHAnsi" w:hAnsiTheme="minorHAnsi" w:cs="Bookman-Light"/>
          <w:color w:val="231F20"/>
        </w:rPr>
        <w:t xml:space="preserve"> </w:t>
      </w:r>
      <w:r w:rsidRPr="00AA456F">
        <w:t>Wolman</w:t>
      </w:r>
      <w:r w:rsidRPr="005C7087">
        <w:t xml:space="preserve"> disease successfully treated by bone marrow transplantation</w:t>
      </w:r>
      <w:r>
        <w:t>.</w:t>
      </w:r>
      <w:r w:rsidRPr="005C7087">
        <w:t xml:space="preserve"> </w:t>
      </w:r>
      <w:r w:rsidRPr="005C7087">
        <w:rPr>
          <w:i/>
        </w:rPr>
        <w:t>Bone Marrow Transplantation</w:t>
      </w:r>
      <w:r>
        <w:t xml:space="preserve"> 2000;</w:t>
      </w:r>
      <w:r w:rsidRPr="005C7087">
        <w:t xml:space="preserve"> 26</w:t>
      </w:r>
      <w:r>
        <w:t>:</w:t>
      </w:r>
      <w:r w:rsidRPr="005C7087">
        <w:t xml:space="preserve"> 567–570</w:t>
      </w:r>
    </w:p>
  </w:footnote>
  <w:footnote w:id="24">
    <w:p w14:paraId="244150A8" w14:textId="77777777" w:rsidR="00B266A2" w:rsidRPr="002B27E3" w:rsidRDefault="00B266A2">
      <w:pPr>
        <w:pStyle w:val="FootnoteText"/>
        <w:rPr>
          <w:lang w:val="en-US"/>
        </w:rPr>
      </w:pPr>
      <w:r w:rsidRPr="00AA456F">
        <w:rPr>
          <w:rStyle w:val="FootnoteReference"/>
        </w:rPr>
        <w:footnoteRef/>
      </w:r>
      <w:r w:rsidRPr="00AA456F">
        <w:t xml:space="preserve"> Stein J et al</w:t>
      </w:r>
      <w:r>
        <w:t>.</w:t>
      </w:r>
      <w:r w:rsidRPr="00AA456F">
        <w:t xml:space="preserve"> 2007</w:t>
      </w:r>
      <w:r>
        <w:t>.</w:t>
      </w:r>
      <w:r w:rsidRPr="00AA456F">
        <w:rPr>
          <w:rFonts w:asciiTheme="minorHAnsi" w:eastAsiaTheme="minorHAnsi" w:hAnsiTheme="minorHAnsi" w:cs="AdvTTb8864ccf.B"/>
          <w:color w:val="141314"/>
        </w:rPr>
        <w:t xml:space="preserve"> </w:t>
      </w:r>
      <w:proofErr w:type="gramStart"/>
      <w:r w:rsidRPr="00AA456F">
        <w:rPr>
          <w:rFonts w:asciiTheme="minorHAnsi" w:eastAsiaTheme="minorHAnsi" w:hAnsiTheme="minorHAnsi" w:cs="AdvTTb8864ccf.B"/>
          <w:color w:val="141314"/>
        </w:rPr>
        <w:t>Successful</w:t>
      </w:r>
      <w:r w:rsidRPr="003F5B14">
        <w:rPr>
          <w:rFonts w:asciiTheme="minorHAnsi" w:eastAsiaTheme="minorHAnsi" w:hAnsiTheme="minorHAnsi" w:cs="AdvTTb8864ccf.B"/>
          <w:color w:val="141314"/>
        </w:rPr>
        <w:t xml:space="preserve"> treatment of Wolman disease by unrelated umbilical cord blood transplantation.</w:t>
      </w:r>
      <w:proofErr w:type="gramEnd"/>
      <w:r w:rsidRPr="003F5B14">
        <w:rPr>
          <w:rFonts w:asciiTheme="minorHAnsi" w:eastAsiaTheme="minorHAnsi" w:hAnsiTheme="minorHAnsi" w:cs="AdvTTb8864ccf.B"/>
          <w:color w:val="141314"/>
        </w:rPr>
        <w:t xml:space="preserve"> </w:t>
      </w:r>
      <w:proofErr w:type="spellStart"/>
      <w:r w:rsidRPr="00B71B5F">
        <w:rPr>
          <w:rFonts w:asciiTheme="minorHAnsi" w:eastAsiaTheme="minorHAnsi" w:hAnsiTheme="minorHAnsi" w:cs="AdvTT3713a231"/>
          <w:i/>
          <w:color w:val="141314"/>
        </w:rPr>
        <w:t>Eur</w:t>
      </w:r>
      <w:proofErr w:type="spellEnd"/>
      <w:r w:rsidRPr="00B71B5F">
        <w:rPr>
          <w:rFonts w:asciiTheme="minorHAnsi" w:eastAsiaTheme="minorHAnsi" w:hAnsiTheme="minorHAnsi" w:cs="AdvTT3713a231"/>
          <w:i/>
          <w:color w:val="141314"/>
        </w:rPr>
        <w:t xml:space="preserve"> J </w:t>
      </w:r>
      <w:proofErr w:type="spellStart"/>
      <w:r w:rsidRPr="00B71B5F">
        <w:rPr>
          <w:rFonts w:asciiTheme="minorHAnsi" w:eastAsiaTheme="minorHAnsi" w:hAnsiTheme="minorHAnsi" w:cs="AdvTT3713a231"/>
          <w:i/>
          <w:color w:val="141314"/>
        </w:rPr>
        <w:t>Pediatr</w:t>
      </w:r>
      <w:proofErr w:type="spellEnd"/>
      <w:r>
        <w:rPr>
          <w:rFonts w:asciiTheme="minorHAnsi" w:eastAsiaTheme="minorHAnsi" w:hAnsiTheme="minorHAnsi" w:cs="AdvTT3713a231"/>
          <w:color w:val="141314"/>
        </w:rPr>
        <w:t xml:space="preserve"> 2007;</w:t>
      </w:r>
      <w:r w:rsidRPr="003F5B14">
        <w:rPr>
          <w:rFonts w:asciiTheme="minorHAnsi" w:eastAsiaTheme="minorHAnsi" w:hAnsiTheme="minorHAnsi" w:cs="AdvTT3713a231"/>
          <w:color w:val="141314"/>
        </w:rPr>
        <w:t xml:space="preserve"> 166:663</w:t>
      </w:r>
      <w:r w:rsidRPr="003F5B14">
        <w:rPr>
          <w:rFonts w:asciiTheme="minorHAnsi" w:eastAsiaTheme="minorHAnsi" w:hAnsiTheme="minorHAnsi" w:cs="AdvTT3713a231+20"/>
          <w:color w:val="141314"/>
        </w:rPr>
        <w:t>–</w:t>
      </w:r>
      <w:r>
        <w:rPr>
          <w:rFonts w:asciiTheme="minorHAnsi" w:eastAsiaTheme="minorHAnsi" w:hAnsiTheme="minorHAnsi" w:cs="AdvTT3713a231"/>
          <w:color w:val="141314"/>
        </w:rPr>
        <w:t>666</w:t>
      </w:r>
    </w:p>
  </w:footnote>
  <w:footnote w:id="25">
    <w:p w14:paraId="4ADB5A38" w14:textId="6A532CE6" w:rsidR="00B266A2" w:rsidRPr="002B27E3" w:rsidRDefault="00B266A2">
      <w:pPr>
        <w:pStyle w:val="FootnoteText"/>
        <w:rPr>
          <w:lang w:val="en-US"/>
        </w:rPr>
      </w:pPr>
      <w:r w:rsidRPr="00AA456F">
        <w:rPr>
          <w:rStyle w:val="FootnoteReference"/>
        </w:rPr>
        <w:footnoteRef/>
      </w:r>
      <w:r w:rsidRPr="00AA456F">
        <w:t xml:space="preserve"> </w:t>
      </w:r>
      <w:proofErr w:type="spellStart"/>
      <w:r w:rsidRPr="00AA456F">
        <w:t>Tolar</w:t>
      </w:r>
      <w:proofErr w:type="spellEnd"/>
      <w:r w:rsidRPr="00AA456F">
        <w:t xml:space="preserve"> J, et al. 2009</w:t>
      </w:r>
      <w:r w:rsidRPr="00AA456F">
        <w:rPr>
          <w:rFonts w:asciiTheme="minorHAnsi" w:eastAsiaTheme="minorHAnsi" w:hAnsiTheme="minorHAnsi" w:cs="Courier"/>
        </w:rPr>
        <w:t xml:space="preserve"> </w:t>
      </w:r>
      <w:r w:rsidRPr="00AA456F">
        <w:rPr>
          <w:rFonts w:asciiTheme="minorHAnsi" w:eastAsiaTheme="minorHAnsi" w:hAnsiTheme="minorHAnsi" w:cs="AdvTimes-b"/>
        </w:rPr>
        <w:t>Long-term</w:t>
      </w:r>
      <w:r w:rsidRPr="003F5B14">
        <w:rPr>
          <w:rFonts w:asciiTheme="minorHAnsi" w:eastAsiaTheme="minorHAnsi" w:hAnsiTheme="minorHAnsi" w:cs="AdvTimes-b"/>
        </w:rPr>
        <w:t xml:space="preserve"> metabolic, endocrine, and neuropsychological outcome of hematopoietic cell transplantation for Wolman disease. </w:t>
      </w:r>
      <w:r w:rsidRPr="00B71B5F">
        <w:rPr>
          <w:rFonts w:asciiTheme="minorHAnsi" w:eastAsiaTheme="minorHAnsi" w:hAnsiTheme="minorHAnsi" w:cs="AdvNewsGothicB"/>
          <w:i/>
        </w:rPr>
        <w:t>Bone Marrow Transplantation</w:t>
      </w:r>
      <w:r>
        <w:rPr>
          <w:rFonts w:asciiTheme="minorHAnsi" w:eastAsiaTheme="minorHAnsi" w:hAnsiTheme="minorHAnsi" w:cs="AdvNewsGothicB"/>
        </w:rPr>
        <w:t xml:space="preserve"> 2009; </w:t>
      </w:r>
      <w:r w:rsidRPr="003F5B14">
        <w:rPr>
          <w:rFonts w:asciiTheme="minorHAnsi" w:eastAsiaTheme="minorHAnsi" w:hAnsiTheme="minorHAnsi" w:cs="AdvNewsGothicB"/>
        </w:rPr>
        <w:t>43</w:t>
      </w:r>
      <w:r w:rsidRPr="003F5B14">
        <w:rPr>
          <w:rFonts w:asciiTheme="minorHAnsi" w:eastAsiaTheme="minorHAnsi" w:hAnsiTheme="minorHAnsi" w:cs="AdvNewsGothicR"/>
        </w:rPr>
        <w:t>, 21–27</w:t>
      </w:r>
      <w:r>
        <w:rPr>
          <w:rFonts w:asciiTheme="minorHAnsi" w:eastAsiaTheme="minorHAnsi" w:hAnsiTheme="minorHAnsi" w:cs="AdvNewsGothicR"/>
        </w:rPr>
        <w:t>.</w:t>
      </w:r>
    </w:p>
  </w:footnote>
  <w:footnote w:id="26">
    <w:p w14:paraId="7BC73FDA" w14:textId="77777777" w:rsidR="00B266A2" w:rsidRPr="002B27E3" w:rsidRDefault="00B266A2">
      <w:pPr>
        <w:pStyle w:val="FootnoteText"/>
        <w:rPr>
          <w:lang w:val="en-US"/>
        </w:rPr>
      </w:pPr>
      <w:r w:rsidRPr="00AA456F">
        <w:rPr>
          <w:rStyle w:val="FootnoteReference"/>
        </w:rPr>
        <w:footnoteRef/>
      </w:r>
      <w:r w:rsidRPr="00AA456F">
        <w:t xml:space="preserve"> </w:t>
      </w:r>
      <w:proofErr w:type="spellStart"/>
      <w:r w:rsidRPr="00AA456F">
        <w:t>Yanir</w:t>
      </w:r>
      <w:proofErr w:type="spellEnd"/>
      <w:r w:rsidRPr="00AA456F">
        <w:t xml:space="preserve"> A, et al 2013 </w:t>
      </w:r>
      <w:r w:rsidRPr="00AA456F">
        <w:rPr>
          <w:rFonts w:asciiTheme="minorHAnsi" w:eastAsiaTheme="minorHAnsi" w:hAnsiTheme="minorHAnsi" w:cs="AdvTT5235d5a9"/>
        </w:rPr>
        <w:t>Unfavourable</w:t>
      </w:r>
      <w:r w:rsidRPr="003F5B14">
        <w:rPr>
          <w:rFonts w:asciiTheme="minorHAnsi" w:eastAsiaTheme="minorHAnsi" w:hAnsiTheme="minorHAnsi" w:cs="AdvTT5235d5a9"/>
        </w:rPr>
        <w:t xml:space="preserve"> outcome of hematopoietic stem cell transplantation in two siblings with Wolman disease due to graft failure and hepatic complications. </w:t>
      </w:r>
      <w:r w:rsidRPr="00B71B5F">
        <w:rPr>
          <w:rFonts w:asciiTheme="minorHAnsi" w:eastAsiaTheme="minorHAnsi" w:hAnsiTheme="minorHAnsi" w:cs="AdvTT5235d5a9"/>
          <w:i/>
        </w:rPr>
        <w:t>Molecular Genetics and Metabolism</w:t>
      </w:r>
      <w:r w:rsidRPr="003F5B14">
        <w:rPr>
          <w:rFonts w:asciiTheme="minorHAnsi" w:eastAsiaTheme="minorHAnsi" w:hAnsiTheme="minorHAnsi" w:cs="AdvTT5235d5a9"/>
        </w:rPr>
        <w:t xml:space="preserve"> 2013</w:t>
      </w:r>
      <w:r>
        <w:rPr>
          <w:rFonts w:asciiTheme="minorHAnsi" w:eastAsiaTheme="minorHAnsi" w:hAnsiTheme="minorHAnsi" w:cs="AdvTT5235d5a9"/>
        </w:rPr>
        <w:t>; 109:</w:t>
      </w:r>
      <w:r w:rsidRPr="003F5B14">
        <w:rPr>
          <w:rFonts w:asciiTheme="minorHAnsi" w:eastAsiaTheme="minorHAnsi" w:hAnsiTheme="minorHAnsi" w:cs="AdvTT5235d5a9"/>
        </w:rPr>
        <w:t xml:space="preserve"> 224</w:t>
      </w:r>
      <w:r w:rsidRPr="003F5B14">
        <w:rPr>
          <w:rFonts w:asciiTheme="minorHAnsi" w:eastAsiaTheme="minorHAnsi" w:hAnsiTheme="minorHAnsi" w:cs="AdvTT5235d5a9+20"/>
        </w:rPr>
        <w:t>–</w:t>
      </w:r>
      <w:r w:rsidRPr="003F5B14">
        <w:rPr>
          <w:rFonts w:asciiTheme="minorHAnsi" w:eastAsiaTheme="minorHAnsi" w:hAnsiTheme="minorHAnsi" w:cs="AdvTT5235d5a9"/>
        </w:rPr>
        <w:t>226</w:t>
      </w:r>
    </w:p>
  </w:footnote>
  <w:footnote w:id="27">
    <w:p w14:paraId="25E9997D" w14:textId="77777777" w:rsidR="00B266A2" w:rsidRPr="002B27E3" w:rsidRDefault="00B266A2">
      <w:pPr>
        <w:pStyle w:val="FootnoteText"/>
        <w:rPr>
          <w:lang w:val="en-US"/>
        </w:rPr>
      </w:pPr>
      <w:r>
        <w:rPr>
          <w:rStyle w:val="FootnoteReference"/>
        </w:rPr>
        <w:footnoteRef/>
      </w:r>
      <w:r>
        <w:t xml:space="preserve"> </w:t>
      </w:r>
      <w:r w:rsidRPr="00022AC8">
        <w:t>Ferry</w:t>
      </w:r>
      <w:r>
        <w:t xml:space="preserve"> D et al</w:t>
      </w:r>
      <w:r w:rsidRPr="00022AC8">
        <w:t>, 1991</w:t>
      </w:r>
      <w:r w:rsidRPr="003F5B14">
        <w:rPr>
          <w:rFonts w:asciiTheme="minorHAnsi" w:eastAsiaTheme="minorHAnsi" w:hAnsiTheme="minorHAnsi"/>
          <w:iCs/>
          <w:color w:val="0B0B0B"/>
        </w:rPr>
        <w:t xml:space="preserve">. </w:t>
      </w:r>
      <w:proofErr w:type="gramStart"/>
      <w:r w:rsidRPr="003F5B14">
        <w:rPr>
          <w:rFonts w:asciiTheme="minorHAnsi" w:eastAsiaTheme="minorHAnsi" w:hAnsiTheme="minorHAnsi"/>
          <w:iCs/>
          <w:color w:val="0B0B0B"/>
        </w:rPr>
        <w:t>Liver transplantation for cholesteryl ester storage disease.</w:t>
      </w:r>
      <w:proofErr w:type="gramEnd"/>
      <w:r w:rsidRPr="003F5B14">
        <w:rPr>
          <w:rFonts w:asciiTheme="minorHAnsi" w:eastAsiaTheme="minorHAnsi" w:hAnsiTheme="minorHAnsi"/>
          <w:iCs/>
          <w:color w:val="0B0B0B"/>
        </w:rPr>
        <w:t xml:space="preserve"> </w:t>
      </w:r>
      <w:r w:rsidRPr="009D434A">
        <w:rPr>
          <w:rFonts w:asciiTheme="minorHAnsi" w:eastAsiaTheme="minorHAnsi" w:hAnsiTheme="minorHAnsi"/>
          <w:i/>
          <w:iCs/>
          <w:color w:val="0B0B0B"/>
        </w:rPr>
        <w:t>Journal of Paediatric Ga</w:t>
      </w:r>
      <w:r w:rsidRPr="009D434A">
        <w:rPr>
          <w:rFonts w:asciiTheme="minorHAnsi" w:eastAsiaTheme="minorHAnsi" w:hAnsiTheme="minorHAnsi"/>
          <w:i/>
          <w:iCs/>
          <w:color w:val="2A2A2A"/>
        </w:rPr>
        <w:t>s</w:t>
      </w:r>
      <w:r w:rsidRPr="009D434A">
        <w:rPr>
          <w:rFonts w:asciiTheme="minorHAnsi" w:eastAsiaTheme="minorHAnsi" w:hAnsiTheme="minorHAnsi"/>
          <w:i/>
          <w:iCs/>
          <w:color w:val="0B0B0B"/>
        </w:rPr>
        <w:t>troent</w:t>
      </w:r>
      <w:r w:rsidRPr="009D434A">
        <w:rPr>
          <w:rFonts w:asciiTheme="minorHAnsi" w:eastAsiaTheme="minorHAnsi" w:hAnsiTheme="minorHAnsi"/>
          <w:i/>
          <w:iCs/>
          <w:color w:val="2A2A2A"/>
        </w:rPr>
        <w:t>e</w:t>
      </w:r>
      <w:r w:rsidRPr="009D434A">
        <w:rPr>
          <w:rFonts w:asciiTheme="minorHAnsi" w:eastAsiaTheme="minorHAnsi" w:hAnsiTheme="minorHAnsi"/>
          <w:i/>
          <w:iCs/>
          <w:color w:val="0B0B0B"/>
        </w:rPr>
        <w:t>rology and Nutriti</w:t>
      </w:r>
      <w:r w:rsidRPr="009D434A">
        <w:rPr>
          <w:rFonts w:asciiTheme="minorHAnsi" w:eastAsiaTheme="minorHAnsi" w:hAnsiTheme="minorHAnsi"/>
          <w:i/>
          <w:iCs/>
          <w:color w:val="2A2A2A"/>
        </w:rPr>
        <w:t>o</w:t>
      </w:r>
      <w:r w:rsidRPr="009D434A">
        <w:rPr>
          <w:rFonts w:asciiTheme="minorHAnsi" w:eastAsiaTheme="minorHAnsi" w:hAnsiTheme="minorHAnsi"/>
          <w:i/>
          <w:iCs/>
          <w:color w:val="0B0B0B"/>
        </w:rPr>
        <w:t>n</w:t>
      </w:r>
      <w:r w:rsidRPr="003F5B14">
        <w:rPr>
          <w:rFonts w:asciiTheme="minorHAnsi" w:eastAsiaTheme="minorHAnsi" w:hAnsiTheme="minorHAnsi"/>
          <w:iCs/>
          <w:color w:val="0B0B0B"/>
        </w:rPr>
        <w:t xml:space="preserve"> </w:t>
      </w:r>
      <w:r w:rsidRPr="003F5B14">
        <w:rPr>
          <w:rFonts w:asciiTheme="minorHAnsi" w:eastAsiaTheme="minorHAnsi" w:hAnsiTheme="minorHAnsi"/>
          <w:color w:val="0B0B0B"/>
        </w:rPr>
        <w:t>1991</w:t>
      </w:r>
      <w:r>
        <w:rPr>
          <w:rFonts w:asciiTheme="minorHAnsi" w:eastAsiaTheme="minorHAnsi" w:hAnsiTheme="minorHAnsi"/>
          <w:color w:val="0B0B0B"/>
        </w:rPr>
        <w:t xml:space="preserve">: </w:t>
      </w:r>
      <w:r w:rsidRPr="003F5B14">
        <w:rPr>
          <w:rFonts w:asciiTheme="minorHAnsi" w:eastAsiaTheme="minorHAnsi" w:hAnsiTheme="minorHAnsi"/>
          <w:color w:val="0B0B0B"/>
        </w:rPr>
        <w:t>12:</w:t>
      </w:r>
      <w:r>
        <w:rPr>
          <w:rFonts w:asciiTheme="minorHAnsi" w:eastAsiaTheme="minorHAnsi" w:hAnsiTheme="minorHAnsi"/>
          <w:color w:val="0B0B0B"/>
        </w:rPr>
        <w:t xml:space="preserve"> 376-378</w:t>
      </w:r>
    </w:p>
  </w:footnote>
  <w:footnote w:id="28">
    <w:p w14:paraId="0DB21DAA" w14:textId="77777777" w:rsidR="00B266A2" w:rsidRPr="002B27E3" w:rsidRDefault="00B266A2">
      <w:pPr>
        <w:pStyle w:val="FootnoteText"/>
        <w:rPr>
          <w:lang w:val="en-US"/>
        </w:rPr>
      </w:pPr>
      <w:r>
        <w:rPr>
          <w:rStyle w:val="FootnoteReference"/>
        </w:rPr>
        <w:footnoteRef/>
      </w:r>
      <w:r>
        <w:t xml:space="preserve"> </w:t>
      </w:r>
      <w:proofErr w:type="spellStart"/>
      <w:r w:rsidRPr="00D96127">
        <w:rPr>
          <w:rFonts w:asciiTheme="minorHAnsi" w:eastAsiaTheme="minorHAnsi" w:hAnsiTheme="minorHAnsi" w:cs="Bookman-Light"/>
          <w:color w:val="231F20"/>
        </w:rPr>
        <w:t>Krivit</w:t>
      </w:r>
      <w:proofErr w:type="spellEnd"/>
      <w:r w:rsidRPr="00D96127">
        <w:rPr>
          <w:rFonts w:asciiTheme="minorHAnsi" w:eastAsiaTheme="minorHAnsi" w:hAnsiTheme="minorHAnsi" w:cs="Bookman-Light"/>
          <w:color w:val="231F20"/>
        </w:rPr>
        <w:t>, W et al</w:t>
      </w:r>
      <w:r w:rsidRPr="00D96127">
        <w:t>, 1992</w:t>
      </w:r>
      <w:r w:rsidRPr="00D96127">
        <w:rPr>
          <w:rFonts w:asciiTheme="minorHAnsi" w:eastAsiaTheme="minorHAnsi" w:hAnsiTheme="minorHAnsi" w:cs="Bookman-Light"/>
          <w:color w:val="231F20"/>
        </w:rPr>
        <w:t xml:space="preserve">. </w:t>
      </w:r>
      <w:r w:rsidRPr="00D96127">
        <w:rPr>
          <w:rFonts w:asciiTheme="minorHAnsi" w:eastAsiaTheme="minorHAnsi" w:hAnsiTheme="minorHAnsi" w:cs="TimesNewRoman"/>
        </w:rPr>
        <w:t xml:space="preserve">Wolman's Disease: A Review of Treatment with Bone Marrow Transplantation </w:t>
      </w:r>
      <w:proofErr w:type="gramStart"/>
      <w:r w:rsidRPr="00D96127">
        <w:rPr>
          <w:rFonts w:asciiTheme="minorHAnsi" w:eastAsiaTheme="minorHAnsi" w:hAnsiTheme="minorHAnsi" w:cs="TimesNewRoman"/>
        </w:rPr>
        <w:t>And</w:t>
      </w:r>
      <w:proofErr w:type="gramEnd"/>
      <w:r w:rsidRPr="00D96127">
        <w:rPr>
          <w:rFonts w:asciiTheme="minorHAnsi" w:eastAsiaTheme="minorHAnsi" w:hAnsiTheme="minorHAnsi" w:cs="TimesNewRoman"/>
        </w:rPr>
        <w:t xml:space="preserve"> Considerations for the Future </w:t>
      </w:r>
      <w:r w:rsidRPr="00D96127">
        <w:rPr>
          <w:rFonts w:asciiTheme="minorHAnsi" w:eastAsiaTheme="minorHAnsi" w:hAnsiTheme="minorHAnsi" w:cs="Bookman-Light"/>
          <w:i/>
          <w:color w:val="231F20"/>
        </w:rPr>
        <w:t>Bone marrow transplantation</w:t>
      </w:r>
      <w:r w:rsidRPr="00D96127">
        <w:rPr>
          <w:rFonts w:asciiTheme="minorHAnsi" w:eastAsiaTheme="minorHAnsi" w:hAnsiTheme="minorHAnsi" w:cs="Bookman-Light"/>
          <w:color w:val="231F20"/>
        </w:rPr>
        <w:t xml:space="preserve"> 1992.</w:t>
      </w:r>
    </w:p>
  </w:footnote>
  <w:footnote w:id="29">
    <w:p w14:paraId="0528C0A7" w14:textId="77777777" w:rsidR="00B266A2" w:rsidRPr="002B27E3" w:rsidRDefault="00B266A2">
      <w:pPr>
        <w:pStyle w:val="FootnoteText"/>
        <w:rPr>
          <w:lang w:val="en-US"/>
        </w:rPr>
      </w:pPr>
      <w:r>
        <w:rPr>
          <w:rStyle w:val="FootnoteReference"/>
        </w:rPr>
        <w:footnoteRef/>
      </w:r>
      <w:r>
        <w:t xml:space="preserve"> </w:t>
      </w:r>
      <w:proofErr w:type="gramStart"/>
      <w:r w:rsidRPr="003F5B14">
        <w:rPr>
          <w:rFonts w:asciiTheme="minorHAnsi" w:eastAsiaTheme="minorHAnsi" w:hAnsiTheme="minorHAnsi"/>
          <w:iCs/>
          <w:color w:val="0B0B0B"/>
        </w:rPr>
        <w:t>Kale S, et al</w:t>
      </w:r>
      <w:r w:rsidRPr="00022AC8">
        <w:t xml:space="preserve"> 1995</w:t>
      </w:r>
      <w:r w:rsidRPr="003F5B14">
        <w:rPr>
          <w:rFonts w:asciiTheme="minorHAnsi" w:eastAsiaTheme="minorHAnsi" w:hAnsiTheme="minorHAnsi"/>
          <w:iCs/>
          <w:color w:val="0B0B0B"/>
        </w:rPr>
        <w:t>.</w:t>
      </w:r>
      <w:proofErr w:type="gramEnd"/>
      <w:r w:rsidRPr="003F5B14">
        <w:rPr>
          <w:rFonts w:asciiTheme="minorHAnsi" w:eastAsiaTheme="minorHAnsi" w:hAnsiTheme="minorHAnsi"/>
          <w:iCs/>
          <w:color w:val="0B0B0B"/>
        </w:rPr>
        <w:t xml:space="preserve"> </w:t>
      </w:r>
      <w:proofErr w:type="gramStart"/>
      <w:r w:rsidRPr="003F5B14">
        <w:rPr>
          <w:rFonts w:asciiTheme="minorHAnsi" w:eastAsiaTheme="minorHAnsi" w:hAnsiTheme="minorHAnsi" w:cs="TimesNewRoman"/>
        </w:rPr>
        <w:t>Case Report: End-Stage Renal Disease in a Patient with Cholesteryl Ester Storage Disease following Successful Liver Transplantation and Cyclosporine</w:t>
      </w:r>
      <w:r>
        <w:rPr>
          <w:rFonts w:asciiTheme="minorHAnsi" w:eastAsiaTheme="minorHAnsi" w:hAnsiTheme="minorHAnsi" w:cs="TimesNewRoman"/>
        </w:rPr>
        <w:t xml:space="preserve"> </w:t>
      </w:r>
      <w:r w:rsidRPr="003F5B14">
        <w:rPr>
          <w:rFonts w:asciiTheme="minorHAnsi" w:eastAsiaTheme="minorHAnsi" w:hAnsiTheme="minorHAnsi" w:cs="TimesNewRoman"/>
        </w:rPr>
        <w:t>Immunosuppression.</w:t>
      </w:r>
      <w:proofErr w:type="gramEnd"/>
      <w:r w:rsidRPr="003F5B14">
        <w:rPr>
          <w:rFonts w:asciiTheme="minorHAnsi" w:eastAsiaTheme="minorHAnsi" w:hAnsiTheme="minorHAnsi" w:cs="TimesNewRoman"/>
        </w:rPr>
        <w:t xml:space="preserve"> </w:t>
      </w:r>
      <w:r w:rsidRPr="009D434A">
        <w:rPr>
          <w:rFonts w:asciiTheme="minorHAnsi" w:eastAsiaTheme="minorHAnsi" w:hAnsiTheme="minorHAnsi"/>
          <w:i/>
          <w:iCs/>
          <w:color w:val="0B0B0B"/>
        </w:rPr>
        <w:t>Journal of Paediatric Ga</w:t>
      </w:r>
      <w:r w:rsidRPr="009D434A">
        <w:rPr>
          <w:rFonts w:asciiTheme="minorHAnsi" w:eastAsiaTheme="minorHAnsi" w:hAnsiTheme="minorHAnsi"/>
          <w:i/>
          <w:iCs/>
          <w:color w:val="2A2A2A"/>
        </w:rPr>
        <w:t>s</w:t>
      </w:r>
      <w:r w:rsidRPr="009D434A">
        <w:rPr>
          <w:rFonts w:asciiTheme="minorHAnsi" w:eastAsiaTheme="minorHAnsi" w:hAnsiTheme="minorHAnsi"/>
          <w:i/>
          <w:iCs/>
          <w:color w:val="0B0B0B"/>
        </w:rPr>
        <w:t>troent</w:t>
      </w:r>
      <w:r w:rsidRPr="009D434A">
        <w:rPr>
          <w:rFonts w:asciiTheme="minorHAnsi" w:eastAsiaTheme="minorHAnsi" w:hAnsiTheme="minorHAnsi"/>
          <w:i/>
          <w:iCs/>
          <w:color w:val="2A2A2A"/>
        </w:rPr>
        <w:t>e</w:t>
      </w:r>
      <w:r w:rsidRPr="009D434A">
        <w:rPr>
          <w:rFonts w:asciiTheme="minorHAnsi" w:eastAsiaTheme="minorHAnsi" w:hAnsiTheme="minorHAnsi"/>
          <w:i/>
          <w:iCs/>
          <w:color w:val="0B0B0B"/>
        </w:rPr>
        <w:t>rology and Nutriti</w:t>
      </w:r>
      <w:r w:rsidRPr="009D434A">
        <w:rPr>
          <w:rFonts w:asciiTheme="minorHAnsi" w:eastAsiaTheme="minorHAnsi" w:hAnsiTheme="minorHAnsi"/>
          <w:i/>
          <w:iCs/>
          <w:color w:val="2A2A2A"/>
        </w:rPr>
        <w:t>o</w:t>
      </w:r>
      <w:r w:rsidRPr="009D434A">
        <w:rPr>
          <w:rFonts w:asciiTheme="minorHAnsi" w:eastAsiaTheme="minorHAnsi" w:hAnsiTheme="minorHAnsi"/>
          <w:i/>
          <w:iCs/>
          <w:color w:val="0B0B0B"/>
        </w:rPr>
        <w:t>n</w:t>
      </w:r>
      <w:r w:rsidRPr="003F5B14">
        <w:rPr>
          <w:rFonts w:asciiTheme="minorHAnsi" w:eastAsiaTheme="minorHAnsi" w:hAnsiTheme="minorHAnsi"/>
          <w:iCs/>
          <w:color w:val="0B0B0B"/>
        </w:rPr>
        <w:t xml:space="preserve"> </w:t>
      </w:r>
      <w:r w:rsidRPr="003F5B14">
        <w:rPr>
          <w:rFonts w:asciiTheme="minorHAnsi" w:eastAsiaTheme="minorHAnsi" w:hAnsiTheme="minorHAnsi"/>
          <w:color w:val="0B0B0B"/>
        </w:rPr>
        <w:t>1995</w:t>
      </w:r>
      <w:r>
        <w:rPr>
          <w:rFonts w:asciiTheme="minorHAnsi" w:eastAsiaTheme="minorHAnsi" w:hAnsiTheme="minorHAnsi"/>
          <w:color w:val="0B0B0B"/>
        </w:rPr>
        <w:t xml:space="preserve">: </w:t>
      </w:r>
      <w:r w:rsidRPr="003F5B14">
        <w:rPr>
          <w:rFonts w:asciiTheme="minorHAnsi" w:eastAsiaTheme="minorHAnsi" w:hAnsiTheme="minorHAnsi"/>
          <w:iCs/>
          <w:color w:val="0B0B0B"/>
        </w:rPr>
        <w:t>20</w:t>
      </w:r>
      <w:r>
        <w:rPr>
          <w:rFonts w:asciiTheme="minorHAnsi" w:eastAsiaTheme="minorHAnsi" w:hAnsiTheme="minorHAnsi"/>
          <w:color w:val="0B0B0B"/>
        </w:rPr>
        <w:t>: 95-97</w:t>
      </w:r>
    </w:p>
  </w:footnote>
  <w:footnote w:id="30">
    <w:p w14:paraId="07737B7F" w14:textId="77777777" w:rsidR="00B266A2" w:rsidRPr="002B27E3" w:rsidRDefault="00B266A2">
      <w:pPr>
        <w:pStyle w:val="FootnoteText"/>
        <w:rPr>
          <w:lang w:val="en-US"/>
        </w:rPr>
      </w:pPr>
      <w:r>
        <w:rPr>
          <w:rStyle w:val="FootnoteReference"/>
        </w:rPr>
        <w:footnoteRef/>
      </w:r>
      <w:r>
        <w:t xml:space="preserve"> </w:t>
      </w:r>
      <w:r w:rsidRPr="003F5B14">
        <w:rPr>
          <w:rFonts w:asciiTheme="minorHAnsi" w:eastAsiaTheme="minorHAnsi" w:hAnsiTheme="minorHAnsi" w:cs="Bookman-Light"/>
          <w:color w:val="231F20"/>
        </w:rPr>
        <w:t xml:space="preserve">Hansen K, et al. </w:t>
      </w:r>
      <w:r w:rsidRPr="00022AC8">
        <w:t>2008</w:t>
      </w:r>
      <w:r w:rsidRPr="00AA456F">
        <w:rPr>
          <w:rFonts w:asciiTheme="minorHAnsi" w:eastAsiaTheme="minorHAnsi" w:hAnsiTheme="minorHAnsi" w:cs="Bookman-Light"/>
          <w:color w:val="231F20"/>
        </w:rPr>
        <w:t xml:space="preserve"> </w:t>
      </w:r>
      <w:r w:rsidRPr="003F5B14">
        <w:rPr>
          <w:rFonts w:asciiTheme="minorHAnsi" w:eastAsiaTheme="minorHAnsi" w:hAnsiTheme="minorHAnsi" w:cs="Bookman-Light"/>
          <w:color w:val="231F20"/>
        </w:rPr>
        <w:t xml:space="preserve">Metabolic liver disease in children. </w:t>
      </w:r>
      <w:r w:rsidRPr="009D434A">
        <w:rPr>
          <w:rFonts w:asciiTheme="minorHAnsi" w:eastAsiaTheme="minorHAnsi" w:hAnsiTheme="minorHAnsi" w:cs="Bookman-Light"/>
          <w:i/>
          <w:color w:val="231F20"/>
        </w:rPr>
        <w:t>Liver Transplantation</w:t>
      </w:r>
      <w:r w:rsidRPr="003F5B14">
        <w:rPr>
          <w:rFonts w:asciiTheme="minorHAnsi" w:eastAsiaTheme="minorHAnsi" w:hAnsiTheme="minorHAnsi" w:cs="Bookman-Light"/>
          <w:color w:val="231F20"/>
        </w:rPr>
        <w:t xml:space="preserve"> 2008</w:t>
      </w:r>
      <w:r>
        <w:rPr>
          <w:rFonts w:asciiTheme="minorHAnsi" w:eastAsiaTheme="minorHAnsi" w:hAnsiTheme="minorHAnsi" w:cs="Bookman-Light"/>
          <w:color w:val="231F20"/>
        </w:rPr>
        <w:t xml:space="preserve">; </w:t>
      </w:r>
      <w:r w:rsidRPr="003F5B14">
        <w:rPr>
          <w:rFonts w:asciiTheme="minorHAnsi" w:eastAsiaTheme="minorHAnsi" w:hAnsiTheme="minorHAnsi" w:cs="Bookman-Light"/>
          <w:color w:val="231F20"/>
        </w:rPr>
        <w:t>14:</w:t>
      </w:r>
      <w:r>
        <w:rPr>
          <w:rFonts w:asciiTheme="minorHAnsi" w:eastAsiaTheme="minorHAnsi" w:hAnsiTheme="minorHAnsi" w:cs="Bookman-Light"/>
          <w:color w:val="231F20"/>
        </w:rPr>
        <w:t xml:space="preserve"> 713-733</w:t>
      </w:r>
    </w:p>
  </w:footnote>
  <w:footnote w:id="31">
    <w:p w14:paraId="74556CC8" w14:textId="77777777" w:rsidR="00B266A2" w:rsidRPr="00D96127" w:rsidRDefault="00B266A2" w:rsidP="00624BEF">
      <w:pPr>
        <w:pStyle w:val="FootnoteText"/>
        <w:rPr>
          <w:szCs w:val="18"/>
        </w:rPr>
      </w:pPr>
      <w:r w:rsidRPr="00D96127">
        <w:rPr>
          <w:szCs w:val="18"/>
          <w:vertAlign w:val="superscript"/>
        </w:rPr>
        <w:footnoteRef/>
      </w:r>
      <w:r w:rsidRPr="00D96127">
        <w:rPr>
          <w:szCs w:val="18"/>
          <w:vertAlign w:val="superscript"/>
        </w:rPr>
        <w:t xml:space="preserve"> </w:t>
      </w:r>
      <w:r w:rsidRPr="00D96127">
        <w:rPr>
          <w:szCs w:val="18"/>
        </w:rPr>
        <w:t>Some additional controls and process optimisation were implemented for the proposed commercial process. These process changes were developed and implemented to ensure batch-to-batch consistency of the quality, safety and potency of the Drug Substance, as well as to augment viral reduction capacity of the purification process.</w:t>
      </w:r>
    </w:p>
  </w:footnote>
  <w:footnote w:id="32">
    <w:p w14:paraId="0C3B36F6" w14:textId="6FCF6BB7" w:rsidR="00B266A2" w:rsidRDefault="00B266A2" w:rsidP="00D15227">
      <w:pPr>
        <w:autoSpaceDE w:val="0"/>
        <w:autoSpaceDN w:val="0"/>
        <w:adjustRightInd w:val="0"/>
        <w:spacing w:before="0" w:after="0" w:line="240" w:lineRule="auto"/>
      </w:pPr>
      <w:r w:rsidRPr="001B519B">
        <w:rPr>
          <w:rStyle w:val="FootnoteReference"/>
          <w:sz w:val="16"/>
          <w:szCs w:val="16"/>
        </w:rPr>
        <w:footnoteRef/>
      </w:r>
      <w:r w:rsidRPr="001B519B">
        <w:rPr>
          <w:sz w:val="16"/>
          <w:szCs w:val="16"/>
        </w:rPr>
        <w:t xml:space="preserve"> </w:t>
      </w:r>
      <w:r w:rsidRPr="00B73619">
        <w:rPr>
          <w:rStyle w:val="FootnoteTextChar"/>
          <w:szCs w:val="18"/>
        </w:rPr>
        <w:t>Such subjects may have been excluded from enrolment in other studies of LAL</w:t>
      </w:r>
      <w:r>
        <w:rPr>
          <w:rStyle w:val="FootnoteTextChar"/>
          <w:szCs w:val="18"/>
        </w:rPr>
        <w:t>-</w:t>
      </w:r>
      <w:r w:rsidRPr="00B73619">
        <w:rPr>
          <w:rStyle w:val="FootnoteTextChar"/>
          <w:szCs w:val="18"/>
        </w:rPr>
        <w:t xml:space="preserve">D because of age, disease progression, and previous treatment by hematopoietic stem cell or liver transplantation, less common disease manifestations, or disease characteristics that would preclude participation in a placebo controlled </w:t>
      </w:r>
      <w:r>
        <w:rPr>
          <w:rStyle w:val="FootnoteTextChar"/>
          <w:szCs w:val="18"/>
        </w:rPr>
        <w:t>Study</w:t>
      </w:r>
      <w:r w:rsidRPr="00B73619">
        <w:rPr>
          <w:rStyle w:val="FootnoteTextChar"/>
          <w:szCs w:val="18"/>
        </w:rPr>
        <w:t>.</w:t>
      </w:r>
    </w:p>
  </w:footnote>
  <w:footnote w:id="33">
    <w:p w14:paraId="56B82A0C" w14:textId="77777777" w:rsidR="00B266A2" w:rsidRPr="00945715" w:rsidRDefault="00B266A2">
      <w:pPr>
        <w:pStyle w:val="FootnoteText"/>
        <w:rPr>
          <w:lang w:val="en-US"/>
        </w:rPr>
      </w:pPr>
      <w:r w:rsidRPr="00AA456F">
        <w:rPr>
          <w:rStyle w:val="FootnoteReference"/>
        </w:rPr>
        <w:footnoteRef/>
      </w:r>
      <w:r w:rsidRPr="00AA456F">
        <w:t xml:space="preserve"> </w:t>
      </w:r>
      <w:r w:rsidRPr="00AA456F">
        <w:rPr>
          <w:rFonts w:asciiTheme="minorHAnsi" w:eastAsiaTheme="minorHAnsi" w:hAnsiTheme="minorHAnsi" w:cs="TimesNewRomanPSMT"/>
        </w:rPr>
        <w:t xml:space="preserve">Stahl PD, et al </w:t>
      </w:r>
      <w:r w:rsidRPr="00AA456F">
        <w:t>1978</w:t>
      </w:r>
      <w:r w:rsidRPr="00AA456F">
        <w:rPr>
          <w:rFonts w:asciiTheme="minorHAnsi" w:eastAsiaTheme="minorHAnsi" w:hAnsiTheme="minorHAnsi" w:cs="TimesNewRomanPSMT"/>
        </w:rPr>
        <w:t xml:space="preserve"> Evidence for receptor-mediated binding of glycoproteins, </w:t>
      </w:r>
      <w:proofErr w:type="spellStart"/>
      <w:r w:rsidRPr="00AA456F">
        <w:rPr>
          <w:rFonts w:asciiTheme="minorHAnsi" w:eastAsiaTheme="minorHAnsi" w:hAnsiTheme="minorHAnsi" w:cs="TimesNewRomanPSMT"/>
        </w:rPr>
        <w:t>glycoconjugates</w:t>
      </w:r>
      <w:proofErr w:type="spellEnd"/>
      <w:r w:rsidRPr="00AA456F">
        <w:rPr>
          <w:rFonts w:asciiTheme="minorHAnsi" w:eastAsiaTheme="minorHAnsi" w:hAnsiTheme="minorHAnsi" w:cs="TimesNewRomanPSMT"/>
        </w:rPr>
        <w:t>, and lysosomal glycosides by alveolar macrophages</w:t>
      </w:r>
      <w:r w:rsidRPr="00F76D99">
        <w:rPr>
          <w:rFonts w:asciiTheme="minorHAnsi" w:eastAsiaTheme="minorHAnsi" w:hAnsiTheme="minorHAnsi" w:cs="TimesNewRomanPSMT"/>
        </w:rPr>
        <w:t xml:space="preserve">. </w:t>
      </w:r>
      <w:r w:rsidRPr="009D434A">
        <w:rPr>
          <w:rFonts w:asciiTheme="minorHAnsi" w:eastAsiaTheme="minorHAnsi" w:hAnsiTheme="minorHAnsi" w:cs="TimesNewRomanPSMT"/>
          <w:i/>
        </w:rPr>
        <w:t xml:space="preserve">Proc Natl </w:t>
      </w:r>
      <w:proofErr w:type="spellStart"/>
      <w:r w:rsidRPr="009D434A">
        <w:rPr>
          <w:rFonts w:asciiTheme="minorHAnsi" w:eastAsiaTheme="minorHAnsi" w:hAnsiTheme="minorHAnsi" w:cs="TimesNewRomanPSMT"/>
          <w:i/>
        </w:rPr>
        <w:t>Acad</w:t>
      </w:r>
      <w:proofErr w:type="spellEnd"/>
      <w:r w:rsidRPr="009D434A">
        <w:rPr>
          <w:rFonts w:asciiTheme="minorHAnsi" w:eastAsiaTheme="minorHAnsi" w:hAnsiTheme="minorHAnsi" w:cs="TimesNewRomanPSMT"/>
          <w:i/>
        </w:rPr>
        <w:t xml:space="preserve"> </w:t>
      </w:r>
      <w:proofErr w:type="spellStart"/>
      <w:r w:rsidRPr="009D434A">
        <w:rPr>
          <w:rFonts w:asciiTheme="minorHAnsi" w:eastAsiaTheme="minorHAnsi" w:hAnsiTheme="minorHAnsi" w:cs="TimesNewRomanPSMT"/>
          <w:i/>
        </w:rPr>
        <w:t>Sci</w:t>
      </w:r>
      <w:proofErr w:type="spellEnd"/>
      <w:r w:rsidRPr="009D434A">
        <w:rPr>
          <w:rFonts w:asciiTheme="minorHAnsi" w:eastAsiaTheme="minorHAnsi" w:hAnsiTheme="minorHAnsi" w:cs="TimesNewRomanPSMT"/>
          <w:i/>
        </w:rPr>
        <w:t xml:space="preserve"> U S A</w:t>
      </w:r>
      <w:r>
        <w:rPr>
          <w:rFonts w:asciiTheme="minorHAnsi" w:eastAsiaTheme="minorHAnsi" w:hAnsiTheme="minorHAnsi" w:cs="TimesNewRomanPSMT"/>
        </w:rPr>
        <w:t>. 1978; 75</w:t>
      </w:r>
      <w:r w:rsidRPr="00F76D99">
        <w:rPr>
          <w:rFonts w:asciiTheme="minorHAnsi" w:eastAsiaTheme="minorHAnsi" w:hAnsiTheme="minorHAnsi" w:cs="TimesNewRomanPSMT"/>
        </w:rPr>
        <w:t>:</w:t>
      </w:r>
      <w:r>
        <w:rPr>
          <w:rFonts w:asciiTheme="minorHAnsi" w:eastAsiaTheme="minorHAnsi" w:hAnsiTheme="minorHAnsi" w:cs="TimesNewRomanPSMT"/>
        </w:rPr>
        <w:t xml:space="preserve"> </w:t>
      </w:r>
      <w:r w:rsidRPr="00F76D99">
        <w:rPr>
          <w:rFonts w:asciiTheme="minorHAnsi" w:eastAsiaTheme="minorHAnsi" w:hAnsiTheme="minorHAnsi" w:cs="TimesNewRomanPSMT"/>
        </w:rPr>
        <w:t>1399-</w:t>
      </w:r>
      <w:r>
        <w:rPr>
          <w:rFonts w:asciiTheme="minorHAnsi" w:eastAsiaTheme="minorHAnsi" w:hAnsiTheme="minorHAnsi" w:cs="TimesNewRomanPSMT"/>
        </w:rPr>
        <w:t>1</w:t>
      </w:r>
      <w:r w:rsidRPr="00F76D99">
        <w:rPr>
          <w:rFonts w:asciiTheme="minorHAnsi" w:eastAsiaTheme="minorHAnsi" w:hAnsiTheme="minorHAnsi" w:cs="TimesNewRomanPSMT"/>
        </w:rPr>
        <w:t>403.</w:t>
      </w:r>
    </w:p>
  </w:footnote>
  <w:footnote w:id="34">
    <w:p w14:paraId="7231EE6A" w14:textId="09CBECE5" w:rsidR="00B266A2" w:rsidRPr="00847442" w:rsidRDefault="00B266A2" w:rsidP="00A32212">
      <w:pPr>
        <w:pStyle w:val="FootnoteText"/>
        <w:rPr>
          <w:szCs w:val="18"/>
        </w:rPr>
      </w:pPr>
      <w:r w:rsidRPr="00847442">
        <w:rPr>
          <w:rStyle w:val="FootnoteReference"/>
          <w:szCs w:val="18"/>
        </w:rPr>
        <w:footnoteRef/>
      </w:r>
      <w:r w:rsidRPr="00847442">
        <w:rPr>
          <w:szCs w:val="18"/>
        </w:rPr>
        <w:t xml:space="preserve"> </w:t>
      </w:r>
      <w:r>
        <w:rPr>
          <w:szCs w:val="18"/>
        </w:rPr>
        <w:t>D</w:t>
      </w:r>
      <w:r w:rsidRPr="00847442">
        <w:rPr>
          <w:szCs w:val="18"/>
        </w:rPr>
        <w:t>ata cut-off dates between 30 May 2014 and 27 Jun</w:t>
      </w:r>
      <w:r>
        <w:rPr>
          <w:szCs w:val="18"/>
        </w:rPr>
        <w:t>e</w:t>
      </w:r>
      <w:r w:rsidRPr="00847442">
        <w:rPr>
          <w:szCs w:val="18"/>
        </w:rPr>
        <w:t xml:space="preserve"> 2014 (depending on the study)</w:t>
      </w:r>
      <w:r>
        <w:rPr>
          <w:szCs w:val="18"/>
        </w:rPr>
        <w:t>.</w:t>
      </w:r>
    </w:p>
  </w:footnote>
  <w:footnote w:id="35">
    <w:p w14:paraId="00945378" w14:textId="6F4BB5F3" w:rsidR="00B266A2" w:rsidRPr="00847442" w:rsidRDefault="00B266A2" w:rsidP="00A32212">
      <w:pPr>
        <w:pStyle w:val="FootnoteText"/>
        <w:rPr>
          <w:szCs w:val="18"/>
        </w:rPr>
      </w:pPr>
      <w:r w:rsidRPr="00847442">
        <w:rPr>
          <w:rStyle w:val="FootnoteReference"/>
          <w:szCs w:val="18"/>
        </w:rPr>
        <w:footnoteRef/>
      </w:r>
      <w:r w:rsidRPr="00847442">
        <w:rPr>
          <w:szCs w:val="18"/>
        </w:rPr>
        <w:t xml:space="preserve"> </w:t>
      </w:r>
      <w:proofErr w:type="gramStart"/>
      <w:r>
        <w:rPr>
          <w:szCs w:val="18"/>
        </w:rPr>
        <w:t>A</w:t>
      </w:r>
      <w:r w:rsidRPr="00847442">
        <w:rPr>
          <w:szCs w:val="18"/>
        </w:rPr>
        <w:t>nalysis cut-off date of 26 Jan</w:t>
      </w:r>
      <w:r>
        <w:rPr>
          <w:szCs w:val="18"/>
        </w:rPr>
        <w:t>uary</w:t>
      </w:r>
      <w:r w:rsidRPr="00847442">
        <w:rPr>
          <w:szCs w:val="18"/>
        </w:rPr>
        <w:t xml:space="preserve"> 2015 for all 6 studies</w:t>
      </w:r>
      <w:r>
        <w:rPr>
          <w:szCs w:val="18"/>
        </w:rPr>
        <w:t>.</w:t>
      </w:r>
      <w:proofErr w:type="gramEnd"/>
    </w:p>
  </w:footnote>
  <w:footnote w:id="36">
    <w:p w14:paraId="5552D8EA" w14:textId="29267A61" w:rsidR="00B266A2" w:rsidRPr="004D59E7" w:rsidRDefault="00B266A2" w:rsidP="00BF2FC1">
      <w:pPr>
        <w:pStyle w:val="FootnoteText"/>
        <w:rPr>
          <w:szCs w:val="18"/>
        </w:rPr>
      </w:pPr>
      <w:r w:rsidRPr="004D59E7">
        <w:rPr>
          <w:rStyle w:val="FootnoteReference"/>
          <w:szCs w:val="18"/>
        </w:rPr>
        <w:footnoteRef/>
      </w:r>
      <w:r w:rsidRPr="004D59E7">
        <w:rPr>
          <w:szCs w:val="18"/>
        </w:rPr>
        <w:t xml:space="preserve"> The increase in ALT was reported for Subject LAL-CL03/01-002 who had a peak AST of 7.2 </w:t>
      </w:r>
      <w:proofErr w:type="gramStart"/>
      <w:r>
        <w:rPr>
          <w:szCs w:val="18"/>
        </w:rPr>
        <w:t>x</w:t>
      </w:r>
      <w:proofErr w:type="gramEnd"/>
      <w:r w:rsidRPr="004D59E7">
        <w:rPr>
          <w:szCs w:val="18"/>
        </w:rPr>
        <w:t xml:space="preserve"> ULN at </w:t>
      </w:r>
      <w:r>
        <w:rPr>
          <w:szCs w:val="18"/>
        </w:rPr>
        <w:t>about Week </w:t>
      </w:r>
      <w:r w:rsidRPr="004D59E7">
        <w:rPr>
          <w:szCs w:val="18"/>
        </w:rPr>
        <w:t>92 in the context of an inflammatory component related to a suspected viral infection</w:t>
      </w:r>
      <w:r>
        <w:rPr>
          <w:szCs w:val="18"/>
        </w:rPr>
        <w:t>.</w:t>
      </w:r>
    </w:p>
  </w:footnote>
  <w:footnote w:id="37">
    <w:p w14:paraId="66587D4C" w14:textId="342C5918" w:rsidR="00B266A2" w:rsidRPr="004D59E7" w:rsidRDefault="00B266A2" w:rsidP="00BF2FC1">
      <w:pPr>
        <w:pStyle w:val="FootnoteText"/>
        <w:rPr>
          <w:szCs w:val="18"/>
        </w:rPr>
      </w:pPr>
      <w:r w:rsidRPr="004D59E7">
        <w:rPr>
          <w:rStyle w:val="FootnoteReference"/>
          <w:szCs w:val="18"/>
        </w:rPr>
        <w:footnoteRef/>
      </w:r>
      <w:r w:rsidRPr="004D59E7">
        <w:rPr>
          <w:szCs w:val="18"/>
        </w:rPr>
        <w:t xml:space="preserve"> The increase in AST was reported for Subject LAL-CL01/LAL-CL04/02-001 (peak AST = 5.5 </w:t>
      </w:r>
      <w:r>
        <w:rPr>
          <w:szCs w:val="18"/>
        </w:rPr>
        <w:t>x</w:t>
      </w:r>
      <w:r w:rsidRPr="004D59E7">
        <w:rPr>
          <w:szCs w:val="18"/>
        </w:rPr>
        <w:t xml:space="preserve"> ULN), and occurred at Week 25. The reason for this isolated elevation in AST is unclear; AST returned to normal at the next assessment 2 weeks later</w:t>
      </w:r>
      <w:r>
        <w:rPr>
          <w:szCs w:val="18"/>
        </w:rPr>
        <w:t>.</w:t>
      </w:r>
    </w:p>
  </w:footnote>
  <w:footnote w:id="38">
    <w:p w14:paraId="6BCBAE50" w14:textId="77777777" w:rsidR="00B266A2" w:rsidRPr="004D59E7" w:rsidRDefault="00B266A2" w:rsidP="00BF2FC1">
      <w:pPr>
        <w:pStyle w:val="FootnoteText"/>
        <w:rPr>
          <w:szCs w:val="18"/>
        </w:rPr>
      </w:pPr>
      <w:r w:rsidRPr="004D59E7">
        <w:rPr>
          <w:rStyle w:val="FootnoteReference"/>
          <w:szCs w:val="18"/>
        </w:rPr>
        <w:footnoteRef/>
      </w:r>
      <w:r w:rsidRPr="004D59E7">
        <w:rPr>
          <w:szCs w:val="18"/>
        </w:rPr>
        <w:t xml:space="preserve"> The increase in GGT was reported for Subject LAL-CL03/02-003, who had a GGT of 6 </w:t>
      </w:r>
      <w:r>
        <w:rPr>
          <w:szCs w:val="18"/>
        </w:rPr>
        <w:t>x</w:t>
      </w:r>
      <w:r w:rsidRPr="004D59E7">
        <w:rPr>
          <w:szCs w:val="18"/>
        </w:rPr>
        <w:t xml:space="preserve"> ULN at Baseline that increased to a peak level of 17.2 </w:t>
      </w:r>
      <w:r>
        <w:rPr>
          <w:szCs w:val="18"/>
        </w:rPr>
        <w:t>x</w:t>
      </w:r>
      <w:r w:rsidRPr="004D59E7">
        <w:rPr>
          <w:szCs w:val="18"/>
        </w:rPr>
        <w:t xml:space="preserve"> ULN at Week 1 and decreased thereafter and was normal by Week 4.</w:t>
      </w:r>
    </w:p>
  </w:footnote>
  <w:footnote w:id="39">
    <w:p w14:paraId="7FEB2DDE" w14:textId="46902449" w:rsidR="00B266A2" w:rsidRPr="0079096A" w:rsidRDefault="00B266A2" w:rsidP="004C7D85">
      <w:pPr>
        <w:pStyle w:val="FootnoteText"/>
        <w:rPr>
          <w:szCs w:val="18"/>
        </w:rPr>
      </w:pPr>
      <w:r w:rsidRPr="0079096A">
        <w:rPr>
          <w:rStyle w:val="FootnoteReference"/>
          <w:szCs w:val="18"/>
        </w:rPr>
        <w:footnoteRef/>
      </w:r>
      <w:r w:rsidRPr="0079096A">
        <w:rPr>
          <w:szCs w:val="18"/>
        </w:rPr>
        <w:t xml:space="preserve"> </w:t>
      </w:r>
      <w:r>
        <w:rPr>
          <w:rFonts w:asciiTheme="minorHAnsi" w:eastAsiaTheme="minorHAnsi" w:hAnsiTheme="minorHAnsi"/>
          <w:color w:val="000000"/>
          <w:szCs w:val="18"/>
        </w:rPr>
        <w:t>T</w:t>
      </w:r>
      <w:r w:rsidRPr="0079096A">
        <w:rPr>
          <w:rFonts w:asciiTheme="minorHAnsi" w:eastAsiaTheme="minorHAnsi" w:hAnsiTheme="minorHAnsi"/>
          <w:color w:val="000000"/>
          <w:szCs w:val="18"/>
        </w:rPr>
        <w:t>he cause of this is unclear and may represent a lab error but other medical reasons cannot be excluded</w:t>
      </w:r>
      <w:r>
        <w:rPr>
          <w:rFonts w:asciiTheme="minorHAnsi" w:eastAsiaTheme="minorHAnsi" w:hAnsiTheme="minorHAnsi"/>
          <w:color w:val="000000"/>
          <w:szCs w:val="18"/>
        </w:rPr>
        <w:t>.</w:t>
      </w:r>
    </w:p>
  </w:footnote>
  <w:footnote w:id="40">
    <w:p w14:paraId="7C4B92C2" w14:textId="77777777" w:rsidR="00B266A2" w:rsidRDefault="00B266A2" w:rsidP="004215EA">
      <w:pPr>
        <w:pStyle w:val="FootnoteText"/>
      </w:pPr>
      <w:r>
        <w:rPr>
          <w:rStyle w:val="FootnoteReference"/>
        </w:rPr>
        <w:footnoteRef/>
      </w:r>
      <w:r>
        <w:t xml:space="preserve"> </w:t>
      </w:r>
      <w:r>
        <w:rPr>
          <w:lang w:val="en-US"/>
        </w:rPr>
        <w:t>Routine pharmacovigilance practices involve the following activities:</w:t>
      </w:r>
    </w:p>
    <w:p w14:paraId="7A4A1914" w14:textId="77777777" w:rsidR="00B266A2" w:rsidRPr="004215EA" w:rsidRDefault="00B266A2" w:rsidP="004215EA">
      <w:pPr>
        <w:pStyle w:val="ListBullet"/>
        <w:spacing w:before="0" w:after="0" w:line="240" w:lineRule="auto"/>
        <w:ind w:left="357" w:hanging="357"/>
        <w:rPr>
          <w:sz w:val="18"/>
          <w:szCs w:val="18"/>
        </w:rPr>
      </w:pPr>
      <w:r w:rsidRPr="004215EA">
        <w:rPr>
          <w:sz w:val="18"/>
          <w:szCs w:val="18"/>
          <w:lang w:val="en-US"/>
        </w:rPr>
        <w:t>All suspected adverse reactions that are reported to the personnel of the company are collected and collated in an accessible manner;</w:t>
      </w:r>
    </w:p>
    <w:p w14:paraId="07B1172B" w14:textId="77777777" w:rsidR="00B266A2" w:rsidRPr="004215EA" w:rsidRDefault="00B266A2" w:rsidP="004215EA">
      <w:pPr>
        <w:pStyle w:val="ListBullet"/>
        <w:spacing w:before="0" w:after="0" w:line="240" w:lineRule="auto"/>
        <w:ind w:left="357" w:hanging="357"/>
        <w:rPr>
          <w:sz w:val="18"/>
          <w:szCs w:val="18"/>
        </w:rPr>
      </w:pPr>
      <w:r w:rsidRPr="004215EA">
        <w:rPr>
          <w:sz w:val="18"/>
          <w:szCs w:val="18"/>
          <w:lang w:val="en-US"/>
        </w:rPr>
        <w:t>Reporting to regulatory authorities;</w:t>
      </w:r>
    </w:p>
    <w:p w14:paraId="2FD28CB0" w14:textId="77777777" w:rsidR="00B266A2" w:rsidRPr="004215EA" w:rsidRDefault="00B266A2" w:rsidP="004215EA">
      <w:pPr>
        <w:pStyle w:val="ListBullet"/>
        <w:spacing w:before="0" w:after="0" w:line="240" w:lineRule="auto"/>
        <w:ind w:left="357" w:hanging="357"/>
        <w:rPr>
          <w:sz w:val="18"/>
          <w:szCs w:val="18"/>
        </w:rPr>
      </w:pPr>
      <w:r w:rsidRPr="004215EA">
        <w:rPr>
          <w:sz w:val="18"/>
          <w:szCs w:val="18"/>
          <w:lang w:val="en-US"/>
        </w:rPr>
        <w:t>Continuous monitoring of the safety profiles of approved products including signal detection and updating of labeling;</w:t>
      </w:r>
    </w:p>
    <w:p w14:paraId="3B6BFB07" w14:textId="77777777" w:rsidR="00B266A2" w:rsidRPr="004215EA" w:rsidRDefault="00B266A2" w:rsidP="004215EA">
      <w:pPr>
        <w:pStyle w:val="ListBullet"/>
        <w:spacing w:before="0" w:after="0" w:line="240" w:lineRule="auto"/>
        <w:ind w:left="357" w:hanging="357"/>
        <w:rPr>
          <w:sz w:val="18"/>
          <w:szCs w:val="18"/>
        </w:rPr>
      </w:pPr>
      <w:r w:rsidRPr="004215EA">
        <w:rPr>
          <w:sz w:val="18"/>
          <w:szCs w:val="18"/>
          <w:lang w:val="en-US"/>
        </w:rPr>
        <w:t>Submission of PSURs;</w:t>
      </w:r>
    </w:p>
    <w:p w14:paraId="388A1323" w14:textId="77777777" w:rsidR="00B266A2" w:rsidRPr="004215EA" w:rsidRDefault="00B266A2" w:rsidP="004215EA">
      <w:pPr>
        <w:pStyle w:val="ListBullet"/>
        <w:spacing w:before="0" w:after="0" w:line="240" w:lineRule="auto"/>
        <w:ind w:left="357" w:hanging="357"/>
        <w:rPr>
          <w:sz w:val="18"/>
          <w:szCs w:val="18"/>
        </w:rPr>
      </w:pPr>
      <w:r w:rsidRPr="004215EA">
        <w:rPr>
          <w:sz w:val="18"/>
          <w:szCs w:val="18"/>
          <w:lang w:val="en-US"/>
        </w:rPr>
        <w:t>Meeting other local regulatory agency requirements.</w:t>
      </w:r>
    </w:p>
  </w:footnote>
  <w:footnote w:id="41">
    <w:p w14:paraId="240CE628" w14:textId="77777777" w:rsidR="00B266A2" w:rsidRPr="004215EA" w:rsidRDefault="00B266A2">
      <w:pPr>
        <w:pStyle w:val="FootnoteText"/>
        <w:rPr>
          <w:lang w:val="en-US"/>
        </w:rPr>
      </w:pPr>
      <w:r>
        <w:rPr>
          <w:rStyle w:val="FootnoteReference"/>
        </w:rPr>
        <w:footnoteRef/>
      </w:r>
      <w:r>
        <w:t xml:space="preserve"> Routine risk minimisation activities may be limited to </w:t>
      </w:r>
      <w:r>
        <w:rPr>
          <w:color w:val="000000"/>
        </w:rPr>
        <w:t>ensuring that suitable warnings are included in the product information or by careful use of labelling and packaging.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E627" w14:textId="77777777" w:rsidR="00B266A2" w:rsidRDefault="00B266A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E014E" w14:textId="77777777" w:rsidR="00B266A2" w:rsidRDefault="00B266A2">
    <w:pPr>
      <w:rPr>
        <w:noProof/>
        <w:lang w:eastAsia="en-AU"/>
      </w:rPr>
    </w:pPr>
    <w:r w:rsidRPr="00347824">
      <w:rPr>
        <w:noProof/>
        <w:lang w:eastAsia="en-AU"/>
      </w:rPr>
      <w:drawing>
        <wp:anchor distT="0" distB="0" distL="114300" distR="114300" simplePos="0" relativeHeight="251659264" behindDoc="1" locked="0" layoutInCell="1" allowOverlap="1" wp14:anchorId="7FA89A2E" wp14:editId="022FE454">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7C4DF15" w14:textId="77777777" w:rsidR="00B266A2" w:rsidRDefault="00B266A2" w:rsidP="00593AD1">
    <w:pPr>
      <w:pStyle w:val="HeaderNoLine"/>
    </w:pPr>
    <w:r>
      <w:rPr>
        <w:noProof/>
        <w:lang w:eastAsia="en-AU"/>
      </w:rPr>
      <w:drawing>
        <wp:inline distT="0" distB="0" distL="0" distR="0" wp14:anchorId="025729AF" wp14:editId="64E6D6C5">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89C03" w14:textId="77777777" w:rsidR="00B266A2" w:rsidRDefault="00B266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4995" w14:textId="77777777" w:rsidR="00B266A2" w:rsidRDefault="00B266A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21AF5" w14:textId="77777777" w:rsidR="00B266A2" w:rsidRDefault="00B266A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49C0A" w14:textId="77777777" w:rsidR="00B266A2" w:rsidRDefault="00B266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9E9E0" w14:textId="77777777" w:rsidR="00B266A2" w:rsidRDefault="00B266A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F9CF8" w14:textId="77777777" w:rsidR="00B266A2" w:rsidRDefault="00B266A2" w:rsidP="006E08B3">
    <w:r>
      <w:t>Therapeutic Goods Administration</w:t>
    </w:r>
  </w:p>
  <w:p w14:paraId="13D5B4BB" w14:textId="77777777" w:rsidR="00B266A2" w:rsidRDefault="00B266A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1034FA"/>
    <w:lvl w:ilvl="0">
      <w:start w:val="1"/>
      <w:numFmt w:val="decimal"/>
      <w:lvlText w:val="%1."/>
      <w:lvlJc w:val="left"/>
      <w:pPr>
        <w:tabs>
          <w:tab w:val="num" w:pos="1492"/>
        </w:tabs>
        <w:ind w:left="1492" w:hanging="360"/>
      </w:pPr>
    </w:lvl>
  </w:abstractNum>
  <w:abstractNum w:abstractNumId="1">
    <w:nsid w:val="FFFFFF7D"/>
    <w:multiLevelType w:val="singleLevel"/>
    <w:tmpl w:val="9B8E1430"/>
    <w:lvl w:ilvl="0">
      <w:start w:val="1"/>
      <w:numFmt w:val="decimal"/>
      <w:lvlText w:val="%1."/>
      <w:lvlJc w:val="left"/>
      <w:pPr>
        <w:tabs>
          <w:tab w:val="num" w:pos="1209"/>
        </w:tabs>
        <w:ind w:left="1209" w:hanging="360"/>
      </w:pPr>
    </w:lvl>
  </w:abstractNum>
  <w:abstractNum w:abstractNumId="2">
    <w:nsid w:val="FFFFFF7E"/>
    <w:multiLevelType w:val="singleLevel"/>
    <w:tmpl w:val="DEF29C46"/>
    <w:lvl w:ilvl="0">
      <w:start w:val="1"/>
      <w:numFmt w:val="decimal"/>
      <w:lvlText w:val="%1."/>
      <w:lvlJc w:val="left"/>
      <w:pPr>
        <w:tabs>
          <w:tab w:val="num" w:pos="926"/>
        </w:tabs>
        <w:ind w:left="926" w:hanging="360"/>
      </w:pPr>
    </w:lvl>
  </w:abstractNum>
  <w:abstractNum w:abstractNumId="3">
    <w:nsid w:val="FFFFFF7F"/>
    <w:multiLevelType w:val="singleLevel"/>
    <w:tmpl w:val="076891D4"/>
    <w:lvl w:ilvl="0">
      <w:start w:val="1"/>
      <w:numFmt w:val="decimal"/>
      <w:lvlText w:val="%1."/>
      <w:lvlJc w:val="left"/>
      <w:pPr>
        <w:tabs>
          <w:tab w:val="num" w:pos="643"/>
        </w:tabs>
        <w:ind w:left="643" w:hanging="360"/>
      </w:pPr>
    </w:lvl>
  </w:abstractNum>
  <w:abstractNum w:abstractNumId="4">
    <w:nsid w:val="FFFFFF80"/>
    <w:multiLevelType w:val="singleLevel"/>
    <w:tmpl w:val="D21C0B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3226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2B861C2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4D8130E"/>
    <w:multiLevelType w:val="hybridMultilevel"/>
    <w:tmpl w:val="76E0DAD6"/>
    <w:lvl w:ilvl="0" w:tplc="8F505154">
      <w:start w:val="1"/>
      <w:numFmt w:val="bullet"/>
      <w:lvlText w:val="­"/>
      <w:lvlJc w:val="left"/>
      <w:pPr>
        <w:tabs>
          <w:tab w:val="num" w:pos="567"/>
        </w:tabs>
        <w:ind w:left="567" w:hanging="283"/>
      </w:pPr>
      <w:rPr>
        <w:rFonts w:ascii="Calibri" w:hAnsi="Calibri"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0AF637B2"/>
    <w:multiLevelType w:val="hybridMultilevel"/>
    <w:tmpl w:val="B40CA8D4"/>
    <w:lvl w:ilvl="0" w:tplc="6C6E1760">
      <w:start w:val="1"/>
      <w:numFmt w:val="decimal"/>
      <w:lvlText w:val="%1)"/>
      <w:lvlJc w:val="left"/>
      <w:pPr>
        <w:ind w:left="360" w:hanging="360"/>
      </w:pPr>
      <w:rPr>
        <w:rFonts w:ascii="Cambria" w:eastAsiaTheme="minorHAnsi" w:hAnsi="Cambria"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nsid w:val="2C840078"/>
    <w:multiLevelType w:val="hybridMultilevel"/>
    <w:tmpl w:val="E75A0C94"/>
    <w:lvl w:ilvl="0" w:tplc="8326E3CE">
      <w:start w:val="1"/>
      <w:numFmt w:val="bullet"/>
      <w:pStyle w:val="GuidanceText-Bulleted"/>
      <w:lvlText w:val=""/>
      <w:lvlJc w:val="left"/>
      <w:pPr>
        <w:tabs>
          <w:tab w:val="num" w:pos="502"/>
        </w:tabs>
        <w:ind w:left="502" w:hanging="360"/>
      </w:pPr>
      <w:rPr>
        <w:rFonts w:ascii="Wingdings" w:hAnsi="Wingdings" w:hint="default"/>
      </w:rPr>
    </w:lvl>
    <w:lvl w:ilvl="1" w:tplc="E75A0FCC">
      <w:start w:val="1"/>
      <w:numFmt w:val="decimal"/>
      <w:pStyle w:val="QuestiontoSponsor"/>
      <w:lvlText w:val="%2."/>
      <w:lvlJc w:val="left"/>
      <w:pPr>
        <w:tabs>
          <w:tab w:val="num" w:pos="1440"/>
        </w:tabs>
        <w:ind w:left="1440" w:hanging="360"/>
      </w:pPr>
      <w:rPr>
        <w:rFonts w:asciiTheme="minorHAnsi" w:hAnsiTheme="minorHAnsi" w:hint="default"/>
        <w:b w:val="0"/>
        <w:color w:val="0070C0"/>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41BD268C"/>
    <w:multiLevelType w:val="hybridMultilevel"/>
    <w:tmpl w:val="FD9CD30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DE57E4A"/>
    <w:multiLevelType w:val="hybridMultilevel"/>
    <w:tmpl w:val="57247816"/>
    <w:lvl w:ilvl="0" w:tplc="8234786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B66DD9"/>
    <w:multiLevelType w:val="hybridMultilevel"/>
    <w:tmpl w:val="BB089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15"/>
  </w:num>
  <w:num w:numId="5">
    <w:abstractNumId w:val="6"/>
  </w:num>
  <w:num w:numId="6">
    <w:abstractNumId w:val="15"/>
  </w:num>
  <w:num w:numId="7">
    <w:abstractNumId w:val="15"/>
  </w:num>
  <w:num w:numId="8">
    <w:abstractNumId w:val="14"/>
  </w:num>
  <w:num w:numId="9">
    <w:abstractNumId w:val="14"/>
  </w:num>
  <w:num w:numId="10">
    <w:abstractNumId w:val="14"/>
  </w:num>
  <w:num w:numId="11">
    <w:abstractNumId w:val="14"/>
  </w:num>
  <w:num w:numId="12">
    <w:abstractNumId w:val="10"/>
    <w:lvlOverride w:ilvl="0">
      <w:lvl w:ilvl="0">
        <w:numFmt w:val="bullet"/>
        <w:lvlText w:val="•"/>
        <w:legacy w:legacy="1" w:legacySpace="0" w:legacyIndent="0"/>
        <w:lvlJc w:val="left"/>
        <w:rPr>
          <w:rFonts w:ascii="Helv" w:hAnsi="Helv" w:hint="default"/>
        </w:rPr>
      </w:lvl>
    </w:lvlOverride>
  </w:num>
  <w:num w:numId="13">
    <w:abstractNumId w:val="15"/>
  </w:num>
  <w:num w:numId="14">
    <w:abstractNumId w:val="15"/>
  </w:num>
  <w:num w:numId="15">
    <w:abstractNumId w:val="15"/>
  </w:num>
  <w:num w:numId="16">
    <w:abstractNumId w:val="14"/>
  </w:num>
  <w:num w:numId="17">
    <w:abstractNumId w:val="14"/>
  </w:num>
  <w:num w:numId="18">
    <w:abstractNumId w:val="14"/>
  </w:num>
  <w:num w:numId="19">
    <w:abstractNumId w:val="15"/>
  </w:num>
  <w:num w:numId="20">
    <w:abstractNumId w:val="15"/>
  </w:num>
  <w:num w:numId="21">
    <w:abstractNumId w:val="15"/>
  </w:num>
  <w:num w:numId="22">
    <w:abstractNumId w:val="14"/>
  </w:num>
  <w:num w:numId="23">
    <w:abstractNumId w:val="14"/>
  </w:num>
  <w:num w:numId="24">
    <w:abstractNumId w:val="14"/>
  </w:num>
  <w:num w:numId="25">
    <w:abstractNumId w:val="1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9"/>
  </w:num>
  <w:num w:numId="28">
    <w:abstractNumId w:val="17"/>
  </w:num>
  <w:num w:numId="29">
    <w:abstractNumId w:val="11"/>
  </w:num>
  <w:num w:numId="30">
    <w:abstractNumId w:val="13"/>
  </w:num>
  <w:num w:numId="31">
    <w:abstractNumId w:val="21"/>
  </w:num>
  <w:num w:numId="32">
    <w:abstractNumId w:val="18"/>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22"/>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12"/>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2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853"/>
    <w:rsid w:val="00002031"/>
    <w:rsid w:val="00004734"/>
    <w:rsid w:val="00006B22"/>
    <w:rsid w:val="0001276A"/>
    <w:rsid w:val="000246AE"/>
    <w:rsid w:val="00025C67"/>
    <w:rsid w:val="00044772"/>
    <w:rsid w:val="0005285B"/>
    <w:rsid w:val="00055120"/>
    <w:rsid w:val="0005559E"/>
    <w:rsid w:val="000604D6"/>
    <w:rsid w:val="000644C7"/>
    <w:rsid w:val="000666DB"/>
    <w:rsid w:val="00066CD7"/>
    <w:rsid w:val="000734D8"/>
    <w:rsid w:val="00077775"/>
    <w:rsid w:val="00090471"/>
    <w:rsid w:val="00096AA7"/>
    <w:rsid w:val="000A3AED"/>
    <w:rsid w:val="000B3126"/>
    <w:rsid w:val="000B3532"/>
    <w:rsid w:val="000B3A75"/>
    <w:rsid w:val="000B4393"/>
    <w:rsid w:val="000B6B22"/>
    <w:rsid w:val="000C00C2"/>
    <w:rsid w:val="000C1364"/>
    <w:rsid w:val="000C690F"/>
    <w:rsid w:val="000D03FF"/>
    <w:rsid w:val="000D1295"/>
    <w:rsid w:val="000D391B"/>
    <w:rsid w:val="000D3D6D"/>
    <w:rsid w:val="000D4FC7"/>
    <w:rsid w:val="000E6196"/>
    <w:rsid w:val="000F1040"/>
    <w:rsid w:val="000F4869"/>
    <w:rsid w:val="000F5B42"/>
    <w:rsid w:val="000F6E6F"/>
    <w:rsid w:val="0010601F"/>
    <w:rsid w:val="0010788A"/>
    <w:rsid w:val="00107A31"/>
    <w:rsid w:val="00110EA5"/>
    <w:rsid w:val="00112F56"/>
    <w:rsid w:val="00123950"/>
    <w:rsid w:val="00125318"/>
    <w:rsid w:val="001305A2"/>
    <w:rsid w:val="00133238"/>
    <w:rsid w:val="00133A1B"/>
    <w:rsid w:val="00135C65"/>
    <w:rsid w:val="0014197B"/>
    <w:rsid w:val="001447CD"/>
    <w:rsid w:val="001516B1"/>
    <w:rsid w:val="00154EBB"/>
    <w:rsid w:val="00155AC1"/>
    <w:rsid w:val="00156316"/>
    <w:rsid w:val="00161181"/>
    <w:rsid w:val="00162D14"/>
    <w:rsid w:val="00165389"/>
    <w:rsid w:val="00171E6A"/>
    <w:rsid w:val="0017693F"/>
    <w:rsid w:val="0018110E"/>
    <w:rsid w:val="00181684"/>
    <w:rsid w:val="001843C6"/>
    <w:rsid w:val="001850E0"/>
    <w:rsid w:val="001A2158"/>
    <w:rsid w:val="001A525F"/>
    <w:rsid w:val="001B09F9"/>
    <w:rsid w:val="001B5C90"/>
    <w:rsid w:val="001B6448"/>
    <w:rsid w:val="001C32CD"/>
    <w:rsid w:val="001D0AAD"/>
    <w:rsid w:val="001D1257"/>
    <w:rsid w:val="001D2077"/>
    <w:rsid w:val="001D2984"/>
    <w:rsid w:val="001E07CF"/>
    <w:rsid w:val="001E3853"/>
    <w:rsid w:val="001E59F1"/>
    <w:rsid w:val="001F2CEE"/>
    <w:rsid w:val="001F49EB"/>
    <w:rsid w:val="001F5735"/>
    <w:rsid w:val="001F5FA4"/>
    <w:rsid w:val="001F6CBA"/>
    <w:rsid w:val="00201D4E"/>
    <w:rsid w:val="002076C9"/>
    <w:rsid w:val="00220B8A"/>
    <w:rsid w:val="002222D7"/>
    <w:rsid w:val="002257F3"/>
    <w:rsid w:val="00233456"/>
    <w:rsid w:val="002339A5"/>
    <w:rsid w:val="00257848"/>
    <w:rsid w:val="0027084A"/>
    <w:rsid w:val="002805E5"/>
    <w:rsid w:val="002817EA"/>
    <w:rsid w:val="00286434"/>
    <w:rsid w:val="00286C59"/>
    <w:rsid w:val="0028710B"/>
    <w:rsid w:val="0028783A"/>
    <w:rsid w:val="00291957"/>
    <w:rsid w:val="0029422C"/>
    <w:rsid w:val="002942D1"/>
    <w:rsid w:val="0029501A"/>
    <w:rsid w:val="002A3721"/>
    <w:rsid w:val="002A535F"/>
    <w:rsid w:val="002B1638"/>
    <w:rsid w:val="002B27E3"/>
    <w:rsid w:val="002B3624"/>
    <w:rsid w:val="002D0952"/>
    <w:rsid w:val="002E3567"/>
    <w:rsid w:val="002E40B3"/>
    <w:rsid w:val="002E4C9A"/>
    <w:rsid w:val="002F11F8"/>
    <w:rsid w:val="002F3F56"/>
    <w:rsid w:val="002F44B5"/>
    <w:rsid w:val="002F6D20"/>
    <w:rsid w:val="002F7A54"/>
    <w:rsid w:val="00311AC0"/>
    <w:rsid w:val="003176FC"/>
    <w:rsid w:val="0032583B"/>
    <w:rsid w:val="00327883"/>
    <w:rsid w:val="00335504"/>
    <w:rsid w:val="00340C18"/>
    <w:rsid w:val="003442FD"/>
    <w:rsid w:val="003455A2"/>
    <w:rsid w:val="00347824"/>
    <w:rsid w:val="00350567"/>
    <w:rsid w:val="003521E8"/>
    <w:rsid w:val="00370CE3"/>
    <w:rsid w:val="003728F3"/>
    <w:rsid w:val="0037496E"/>
    <w:rsid w:val="0037757C"/>
    <w:rsid w:val="00383221"/>
    <w:rsid w:val="00386150"/>
    <w:rsid w:val="003874CE"/>
    <w:rsid w:val="00390900"/>
    <w:rsid w:val="003A7287"/>
    <w:rsid w:val="003A7F6C"/>
    <w:rsid w:val="003B4D60"/>
    <w:rsid w:val="003B7E39"/>
    <w:rsid w:val="003C57AA"/>
    <w:rsid w:val="003C58DC"/>
    <w:rsid w:val="003D1E62"/>
    <w:rsid w:val="003E0B99"/>
    <w:rsid w:val="003E2486"/>
    <w:rsid w:val="003E3208"/>
    <w:rsid w:val="003F0B04"/>
    <w:rsid w:val="003F5CB4"/>
    <w:rsid w:val="004012EA"/>
    <w:rsid w:val="0040134E"/>
    <w:rsid w:val="004215EA"/>
    <w:rsid w:val="004334C7"/>
    <w:rsid w:val="00433E27"/>
    <w:rsid w:val="00440A2D"/>
    <w:rsid w:val="00441C3F"/>
    <w:rsid w:val="00453696"/>
    <w:rsid w:val="00454B12"/>
    <w:rsid w:val="004564A7"/>
    <w:rsid w:val="004617BF"/>
    <w:rsid w:val="00463658"/>
    <w:rsid w:val="004637A0"/>
    <w:rsid w:val="004722CC"/>
    <w:rsid w:val="0047557D"/>
    <w:rsid w:val="00483424"/>
    <w:rsid w:val="004903CD"/>
    <w:rsid w:val="004936E4"/>
    <w:rsid w:val="00494E60"/>
    <w:rsid w:val="00497487"/>
    <w:rsid w:val="004A1DEE"/>
    <w:rsid w:val="004A6189"/>
    <w:rsid w:val="004A7390"/>
    <w:rsid w:val="004B7482"/>
    <w:rsid w:val="004B7B76"/>
    <w:rsid w:val="004C073F"/>
    <w:rsid w:val="004C239D"/>
    <w:rsid w:val="004C2DCA"/>
    <w:rsid w:val="004C61D2"/>
    <w:rsid w:val="004C7D85"/>
    <w:rsid w:val="004D15D0"/>
    <w:rsid w:val="004E6171"/>
    <w:rsid w:val="004E7DE8"/>
    <w:rsid w:val="004F0C4A"/>
    <w:rsid w:val="004F0CAA"/>
    <w:rsid w:val="004F0F38"/>
    <w:rsid w:val="004F47D6"/>
    <w:rsid w:val="00501921"/>
    <w:rsid w:val="00512C0D"/>
    <w:rsid w:val="00522270"/>
    <w:rsid w:val="00530354"/>
    <w:rsid w:val="0053625B"/>
    <w:rsid w:val="005434C6"/>
    <w:rsid w:val="00543B39"/>
    <w:rsid w:val="00546154"/>
    <w:rsid w:val="00550096"/>
    <w:rsid w:val="00555280"/>
    <w:rsid w:val="00557FF9"/>
    <w:rsid w:val="00562327"/>
    <w:rsid w:val="00563448"/>
    <w:rsid w:val="00566F34"/>
    <w:rsid w:val="005711D5"/>
    <w:rsid w:val="00576378"/>
    <w:rsid w:val="00577130"/>
    <w:rsid w:val="00577945"/>
    <w:rsid w:val="00577E38"/>
    <w:rsid w:val="00585322"/>
    <w:rsid w:val="005857C6"/>
    <w:rsid w:val="00587C2D"/>
    <w:rsid w:val="00592F6E"/>
    <w:rsid w:val="00593AD1"/>
    <w:rsid w:val="005A68B6"/>
    <w:rsid w:val="005B0314"/>
    <w:rsid w:val="005B3BD1"/>
    <w:rsid w:val="005B53A7"/>
    <w:rsid w:val="005C4431"/>
    <w:rsid w:val="005C5570"/>
    <w:rsid w:val="005C79A4"/>
    <w:rsid w:val="005D5442"/>
    <w:rsid w:val="00603F32"/>
    <w:rsid w:val="00605AD4"/>
    <w:rsid w:val="006136D7"/>
    <w:rsid w:val="00624BEF"/>
    <w:rsid w:val="00625A6E"/>
    <w:rsid w:val="00632398"/>
    <w:rsid w:val="00634E1D"/>
    <w:rsid w:val="006402B7"/>
    <w:rsid w:val="00640FC3"/>
    <w:rsid w:val="00642020"/>
    <w:rsid w:val="006506BE"/>
    <w:rsid w:val="0065337B"/>
    <w:rsid w:val="0065419D"/>
    <w:rsid w:val="00654E93"/>
    <w:rsid w:val="006604D8"/>
    <w:rsid w:val="00663236"/>
    <w:rsid w:val="00664A5B"/>
    <w:rsid w:val="0066735C"/>
    <w:rsid w:val="006763D2"/>
    <w:rsid w:val="00680C08"/>
    <w:rsid w:val="006916A0"/>
    <w:rsid w:val="006931B1"/>
    <w:rsid w:val="006A15C0"/>
    <w:rsid w:val="006C1A92"/>
    <w:rsid w:val="006C3E2A"/>
    <w:rsid w:val="006C642F"/>
    <w:rsid w:val="006D03E5"/>
    <w:rsid w:val="006D3755"/>
    <w:rsid w:val="006D46C4"/>
    <w:rsid w:val="006D5D3E"/>
    <w:rsid w:val="006E08B3"/>
    <w:rsid w:val="006F094C"/>
    <w:rsid w:val="006F17AC"/>
    <w:rsid w:val="006F25B8"/>
    <w:rsid w:val="006F572E"/>
    <w:rsid w:val="007046D6"/>
    <w:rsid w:val="00705DB0"/>
    <w:rsid w:val="00714C6A"/>
    <w:rsid w:val="00722B57"/>
    <w:rsid w:val="00726DBE"/>
    <w:rsid w:val="00730F8A"/>
    <w:rsid w:val="007314B1"/>
    <w:rsid w:val="00735A8C"/>
    <w:rsid w:val="0074253D"/>
    <w:rsid w:val="007425E0"/>
    <w:rsid w:val="0074429B"/>
    <w:rsid w:val="007615BC"/>
    <w:rsid w:val="00762F05"/>
    <w:rsid w:val="007652FF"/>
    <w:rsid w:val="00770CAC"/>
    <w:rsid w:val="00770EF1"/>
    <w:rsid w:val="00773509"/>
    <w:rsid w:val="00773EA6"/>
    <w:rsid w:val="00773EF7"/>
    <w:rsid w:val="00774E1D"/>
    <w:rsid w:val="007765D8"/>
    <w:rsid w:val="0077675A"/>
    <w:rsid w:val="00780355"/>
    <w:rsid w:val="00780B8C"/>
    <w:rsid w:val="007819FD"/>
    <w:rsid w:val="00785717"/>
    <w:rsid w:val="00785721"/>
    <w:rsid w:val="00793A59"/>
    <w:rsid w:val="007B3F04"/>
    <w:rsid w:val="007B6132"/>
    <w:rsid w:val="007B6E9F"/>
    <w:rsid w:val="007C1216"/>
    <w:rsid w:val="007C1AF7"/>
    <w:rsid w:val="007C6B9B"/>
    <w:rsid w:val="007C7A0E"/>
    <w:rsid w:val="007E583A"/>
    <w:rsid w:val="007F5DA3"/>
    <w:rsid w:val="007F7BEC"/>
    <w:rsid w:val="00805D27"/>
    <w:rsid w:val="00806DCB"/>
    <w:rsid w:val="00817AA1"/>
    <w:rsid w:val="00821776"/>
    <w:rsid w:val="008321F5"/>
    <w:rsid w:val="00832369"/>
    <w:rsid w:val="00834660"/>
    <w:rsid w:val="00836ABC"/>
    <w:rsid w:val="00836BC2"/>
    <w:rsid w:val="0085156D"/>
    <w:rsid w:val="00854410"/>
    <w:rsid w:val="0085641B"/>
    <w:rsid w:val="00857136"/>
    <w:rsid w:val="00857587"/>
    <w:rsid w:val="0086671A"/>
    <w:rsid w:val="00875320"/>
    <w:rsid w:val="00875A6B"/>
    <w:rsid w:val="00876235"/>
    <w:rsid w:val="00885B11"/>
    <w:rsid w:val="00886D15"/>
    <w:rsid w:val="00887DD8"/>
    <w:rsid w:val="00891BA9"/>
    <w:rsid w:val="00896018"/>
    <w:rsid w:val="008960DD"/>
    <w:rsid w:val="0089635C"/>
    <w:rsid w:val="008A2B9D"/>
    <w:rsid w:val="008A34D4"/>
    <w:rsid w:val="008A3D9F"/>
    <w:rsid w:val="008A4AC2"/>
    <w:rsid w:val="008A51EB"/>
    <w:rsid w:val="008A5E0B"/>
    <w:rsid w:val="008A6D59"/>
    <w:rsid w:val="008B4B03"/>
    <w:rsid w:val="008B596F"/>
    <w:rsid w:val="008C159F"/>
    <w:rsid w:val="008C1623"/>
    <w:rsid w:val="008C1850"/>
    <w:rsid w:val="008C51A9"/>
    <w:rsid w:val="008C79BF"/>
    <w:rsid w:val="008E4818"/>
    <w:rsid w:val="008E5468"/>
    <w:rsid w:val="008E71BE"/>
    <w:rsid w:val="008E7846"/>
    <w:rsid w:val="008E78CF"/>
    <w:rsid w:val="008F02E5"/>
    <w:rsid w:val="008F1CCC"/>
    <w:rsid w:val="008F2967"/>
    <w:rsid w:val="008F4D44"/>
    <w:rsid w:val="008F6943"/>
    <w:rsid w:val="00902A21"/>
    <w:rsid w:val="00920330"/>
    <w:rsid w:val="009219D7"/>
    <w:rsid w:val="00922D53"/>
    <w:rsid w:val="00923B70"/>
    <w:rsid w:val="00924482"/>
    <w:rsid w:val="00930237"/>
    <w:rsid w:val="009354A4"/>
    <w:rsid w:val="00937C17"/>
    <w:rsid w:val="00940A89"/>
    <w:rsid w:val="00945715"/>
    <w:rsid w:val="00946EA5"/>
    <w:rsid w:val="00952B0B"/>
    <w:rsid w:val="00953E28"/>
    <w:rsid w:val="00963C08"/>
    <w:rsid w:val="009671F4"/>
    <w:rsid w:val="009752A5"/>
    <w:rsid w:val="0098585A"/>
    <w:rsid w:val="00991B6B"/>
    <w:rsid w:val="009A4C9A"/>
    <w:rsid w:val="009A4CED"/>
    <w:rsid w:val="009A690D"/>
    <w:rsid w:val="009B1D12"/>
    <w:rsid w:val="009B416B"/>
    <w:rsid w:val="009C4BD5"/>
    <w:rsid w:val="009C738E"/>
    <w:rsid w:val="009D7B77"/>
    <w:rsid w:val="009E0BB0"/>
    <w:rsid w:val="009E3FBB"/>
    <w:rsid w:val="009F2A55"/>
    <w:rsid w:val="009F35A0"/>
    <w:rsid w:val="009F3E6B"/>
    <w:rsid w:val="009F456A"/>
    <w:rsid w:val="009F7353"/>
    <w:rsid w:val="00A04F85"/>
    <w:rsid w:val="00A05218"/>
    <w:rsid w:val="00A05FA4"/>
    <w:rsid w:val="00A102E4"/>
    <w:rsid w:val="00A12C42"/>
    <w:rsid w:val="00A14DF7"/>
    <w:rsid w:val="00A26008"/>
    <w:rsid w:val="00A32212"/>
    <w:rsid w:val="00A3246D"/>
    <w:rsid w:val="00A36FA7"/>
    <w:rsid w:val="00A42187"/>
    <w:rsid w:val="00A44DDB"/>
    <w:rsid w:val="00A475B7"/>
    <w:rsid w:val="00A47AF7"/>
    <w:rsid w:val="00A47C3E"/>
    <w:rsid w:val="00A50226"/>
    <w:rsid w:val="00A60BAD"/>
    <w:rsid w:val="00A75877"/>
    <w:rsid w:val="00A80B5B"/>
    <w:rsid w:val="00A818A7"/>
    <w:rsid w:val="00A84E36"/>
    <w:rsid w:val="00A964D1"/>
    <w:rsid w:val="00AA0ED0"/>
    <w:rsid w:val="00AA1D8E"/>
    <w:rsid w:val="00AA456F"/>
    <w:rsid w:val="00AC01EA"/>
    <w:rsid w:val="00AC2B40"/>
    <w:rsid w:val="00AC2BB2"/>
    <w:rsid w:val="00AC2C3C"/>
    <w:rsid w:val="00AC512D"/>
    <w:rsid w:val="00AD0083"/>
    <w:rsid w:val="00AD3935"/>
    <w:rsid w:val="00AE65EB"/>
    <w:rsid w:val="00AE67A7"/>
    <w:rsid w:val="00AE7E1E"/>
    <w:rsid w:val="00AF1D94"/>
    <w:rsid w:val="00AF60C5"/>
    <w:rsid w:val="00AF627E"/>
    <w:rsid w:val="00AF6BF0"/>
    <w:rsid w:val="00B009C6"/>
    <w:rsid w:val="00B01548"/>
    <w:rsid w:val="00B046B9"/>
    <w:rsid w:val="00B13EBD"/>
    <w:rsid w:val="00B14769"/>
    <w:rsid w:val="00B21D29"/>
    <w:rsid w:val="00B23C96"/>
    <w:rsid w:val="00B25034"/>
    <w:rsid w:val="00B266A2"/>
    <w:rsid w:val="00B33588"/>
    <w:rsid w:val="00B33863"/>
    <w:rsid w:val="00B35C86"/>
    <w:rsid w:val="00B37B92"/>
    <w:rsid w:val="00B37D17"/>
    <w:rsid w:val="00B4175E"/>
    <w:rsid w:val="00B452CE"/>
    <w:rsid w:val="00B54C25"/>
    <w:rsid w:val="00B76B91"/>
    <w:rsid w:val="00B77EB1"/>
    <w:rsid w:val="00B811C6"/>
    <w:rsid w:val="00B855B0"/>
    <w:rsid w:val="00B92E08"/>
    <w:rsid w:val="00B935CA"/>
    <w:rsid w:val="00BA6AD4"/>
    <w:rsid w:val="00BC622A"/>
    <w:rsid w:val="00BE0A78"/>
    <w:rsid w:val="00BE1358"/>
    <w:rsid w:val="00BE79F0"/>
    <w:rsid w:val="00BF046D"/>
    <w:rsid w:val="00BF0F59"/>
    <w:rsid w:val="00BF1190"/>
    <w:rsid w:val="00BF2FC1"/>
    <w:rsid w:val="00BF5D04"/>
    <w:rsid w:val="00C009AA"/>
    <w:rsid w:val="00C1164D"/>
    <w:rsid w:val="00C16861"/>
    <w:rsid w:val="00C32E91"/>
    <w:rsid w:val="00C346AB"/>
    <w:rsid w:val="00C404A6"/>
    <w:rsid w:val="00C40A36"/>
    <w:rsid w:val="00C41091"/>
    <w:rsid w:val="00C44419"/>
    <w:rsid w:val="00C4535F"/>
    <w:rsid w:val="00C45E7B"/>
    <w:rsid w:val="00C471B1"/>
    <w:rsid w:val="00C50490"/>
    <w:rsid w:val="00C6316B"/>
    <w:rsid w:val="00C634A9"/>
    <w:rsid w:val="00C64586"/>
    <w:rsid w:val="00C70D53"/>
    <w:rsid w:val="00C73D0B"/>
    <w:rsid w:val="00C772FF"/>
    <w:rsid w:val="00C80137"/>
    <w:rsid w:val="00C801AF"/>
    <w:rsid w:val="00C80256"/>
    <w:rsid w:val="00C82C7C"/>
    <w:rsid w:val="00C93FCF"/>
    <w:rsid w:val="00C94CD4"/>
    <w:rsid w:val="00C9747E"/>
    <w:rsid w:val="00CA17A3"/>
    <w:rsid w:val="00CA637E"/>
    <w:rsid w:val="00CB6BC0"/>
    <w:rsid w:val="00CC1B7C"/>
    <w:rsid w:val="00CC727F"/>
    <w:rsid w:val="00CD3983"/>
    <w:rsid w:val="00CE0097"/>
    <w:rsid w:val="00CE5C7D"/>
    <w:rsid w:val="00CF15C3"/>
    <w:rsid w:val="00CF2B6F"/>
    <w:rsid w:val="00CF2F3E"/>
    <w:rsid w:val="00CF4433"/>
    <w:rsid w:val="00CF5709"/>
    <w:rsid w:val="00CF58B6"/>
    <w:rsid w:val="00D0062D"/>
    <w:rsid w:val="00D0093D"/>
    <w:rsid w:val="00D017ED"/>
    <w:rsid w:val="00D040D3"/>
    <w:rsid w:val="00D04C65"/>
    <w:rsid w:val="00D15227"/>
    <w:rsid w:val="00D1664A"/>
    <w:rsid w:val="00D201D2"/>
    <w:rsid w:val="00D224FE"/>
    <w:rsid w:val="00D23139"/>
    <w:rsid w:val="00D425BB"/>
    <w:rsid w:val="00D4450A"/>
    <w:rsid w:val="00D46CFA"/>
    <w:rsid w:val="00D6493E"/>
    <w:rsid w:val="00D71267"/>
    <w:rsid w:val="00D7195D"/>
    <w:rsid w:val="00D7301E"/>
    <w:rsid w:val="00D83AE1"/>
    <w:rsid w:val="00D855D4"/>
    <w:rsid w:val="00D902C9"/>
    <w:rsid w:val="00D93466"/>
    <w:rsid w:val="00DA1124"/>
    <w:rsid w:val="00DA67D4"/>
    <w:rsid w:val="00DA7B7A"/>
    <w:rsid w:val="00DB6124"/>
    <w:rsid w:val="00DB750B"/>
    <w:rsid w:val="00DB75B7"/>
    <w:rsid w:val="00DC6E02"/>
    <w:rsid w:val="00DD28CD"/>
    <w:rsid w:val="00DE02AE"/>
    <w:rsid w:val="00DE38ED"/>
    <w:rsid w:val="00DE6B5F"/>
    <w:rsid w:val="00DF1D7F"/>
    <w:rsid w:val="00DF4BE4"/>
    <w:rsid w:val="00DF5CD1"/>
    <w:rsid w:val="00E02FB4"/>
    <w:rsid w:val="00E13FC7"/>
    <w:rsid w:val="00E16C48"/>
    <w:rsid w:val="00E20571"/>
    <w:rsid w:val="00E235F7"/>
    <w:rsid w:val="00E23659"/>
    <w:rsid w:val="00E239D4"/>
    <w:rsid w:val="00E26130"/>
    <w:rsid w:val="00E31E9C"/>
    <w:rsid w:val="00E40B22"/>
    <w:rsid w:val="00E41C01"/>
    <w:rsid w:val="00E425ED"/>
    <w:rsid w:val="00E435EF"/>
    <w:rsid w:val="00E43C23"/>
    <w:rsid w:val="00E440AD"/>
    <w:rsid w:val="00E44ED1"/>
    <w:rsid w:val="00E45619"/>
    <w:rsid w:val="00E4588F"/>
    <w:rsid w:val="00E46DA3"/>
    <w:rsid w:val="00E51BB1"/>
    <w:rsid w:val="00E624A5"/>
    <w:rsid w:val="00E64BA4"/>
    <w:rsid w:val="00E7344E"/>
    <w:rsid w:val="00E8259E"/>
    <w:rsid w:val="00E82665"/>
    <w:rsid w:val="00EB0798"/>
    <w:rsid w:val="00EB3040"/>
    <w:rsid w:val="00EB40AD"/>
    <w:rsid w:val="00EB586E"/>
    <w:rsid w:val="00EB5FC8"/>
    <w:rsid w:val="00EC463D"/>
    <w:rsid w:val="00EC7A85"/>
    <w:rsid w:val="00ED2922"/>
    <w:rsid w:val="00ED3CAD"/>
    <w:rsid w:val="00ED5A41"/>
    <w:rsid w:val="00EE1DE8"/>
    <w:rsid w:val="00EE27C2"/>
    <w:rsid w:val="00EE55DA"/>
    <w:rsid w:val="00EF4BAD"/>
    <w:rsid w:val="00EF59DC"/>
    <w:rsid w:val="00F033EC"/>
    <w:rsid w:val="00F04F68"/>
    <w:rsid w:val="00F061D0"/>
    <w:rsid w:val="00F12670"/>
    <w:rsid w:val="00F14B27"/>
    <w:rsid w:val="00F30647"/>
    <w:rsid w:val="00F3148D"/>
    <w:rsid w:val="00F325C5"/>
    <w:rsid w:val="00F32FE0"/>
    <w:rsid w:val="00F35298"/>
    <w:rsid w:val="00F42C0E"/>
    <w:rsid w:val="00F47333"/>
    <w:rsid w:val="00F47E37"/>
    <w:rsid w:val="00F51A7D"/>
    <w:rsid w:val="00F53C07"/>
    <w:rsid w:val="00F54B65"/>
    <w:rsid w:val="00F640B6"/>
    <w:rsid w:val="00F66DF2"/>
    <w:rsid w:val="00F74BDB"/>
    <w:rsid w:val="00F80E40"/>
    <w:rsid w:val="00F848D9"/>
    <w:rsid w:val="00FA5B82"/>
    <w:rsid w:val="00FA639E"/>
    <w:rsid w:val="00FC1992"/>
    <w:rsid w:val="00FC1FCA"/>
    <w:rsid w:val="00FC25E4"/>
    <w:rsid w:val="00FC4EF7"/>
    <w:rsid w:val="00FD00E1"/>
    <w:rsid w:val="00FD0824"/>
    <w:rsid w:val="00FD119B"/>
    <w:rsid w:val="00FD1EDC"/>
    <w:rsid w:val="00FD59A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E12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24BE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9F456A"/>
    <w:pPr>
      <w:numPr>
        <w:numId w:val="2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2">
    <w:name w:val="Bullet 2"/>
    <w:basedOn w:val="Normal"/>
    <w:rsid w:val="009F456A"/>
    <w:pPr>
      <w:numPr>
        <w:numId w:val="28"/>
      </w:numPr>
      <w:spacing w:after="0" w:line="240" w:lineRule="auto"/>
    </w:pPr>
    <w:rPr>
      <w:rFonts w:eastAsia="Times New Roman"/>
      <w:kern w:val="24"/>
      <w:szCs w:val="24"/>
      <w:lang w:eastAsia="en-AU"/>
    </w:rPr>
  </w:style>
  <w:style w:type="paragraph" w:customStyle="1" w:styleId="Bulletlist">
    <w:name w:val="Bullet list"/>
    <w:basedOn w:val="Normal"/>
    <w:link w:val="BulletlistChar"/>
    <w:qFormat/>
    <w:rsid w:val="009F456A"/>
    <w:pPr>
      <w:numPr>
        <w:numId w:val="30"/>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9F456A"/>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9F456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F456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9F456A"/>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9F456A"/>
    <w:pPr>
      <w:adjustRightInd w:val="0"/>
      <w:snapToGrid w:val="0"/>
      <w:spacing w:before="180" w:after="180"/>
      <w:ind w:left="720"/>
      <w:contextualSpacing/>
    </w:pPr>
    <w:rPr>
      <w:rFonts w:eastAsia="MS Mincho"/>
      <w:szCs w:val="20"/>
      <w:lang w:eastAsia="ja-JP"/>
    </w:rPr>
  </w:style>
  <w:style w:type="paragraph" w:customStyle="1" w:styleId="Default">
    <w:name w:val="Default"/>
    <w:rsid w:val="00CF44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basedOn w:val="Normal"/>
    <w:link w:val="StandardChar"/>
    <w:qFormat/>
    <w:rsid w:val="002A535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A535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2A535F"/>
    <w:pPr>
      <w:spacing w:after="0"/>
    </w:pPr>
    <w:rPr>
      <w:sz w:val="16"/>
      <w:szCs w:val="16"/>
    </w:rPr>
  </w:style>
  <w:style w:type="paragraph" w:customStyle="1" w:styleId="AssessmentSubsection">
    <w:name w:val="Assessment Subsection"/>
    <w:basedOn w:val="Standard"/>
    <w:next w:val="Standard"/>
    <w:rsid w:val="002A535F"/>
    <w:pPr>
      <w:keepNext/>
      <w:spacing w:after="110"/>
      <w:outlineLvl w:val="2"/>
    </w:pPr>
    <w:rPr>
      <w:b/>
      <w:i/>
    </w:rPr>
  </w:style>
  <w:style w:type="character" w:customStyle="1" w:styleId="WhiteSpaceChar">
    <w:name w:val="White Space Char"/>
    <w:basedOn w:val="DefaultParagraphFont"/>
    <w:link w:val="WhiteSpace"/>
    <w:rsid w:val="002A535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E8259E"/>
    <w:pPr>
      <w:outlineLvl w:val="3"/>
    </w:pPr>
    <w:rPr>
      <w:b w:val="0"/>
    </w:rPr>
  </w:style>
  <w:style w:type="character" w:customStyle="1" w:styleId="TableTitleChar">
    <w:name w:val="Table Title Char"/>
    <w:basedOn w:val="DefaultParagraphFont"/>
    <w:link w:val="TableTitle"/>
    <w:rsid w:val="00E8259E"/>
    <w:rPr>
      <w:rFonts w:ascii="Cambria" w:eastAsia="Cambria" w:hAnsi="Cambria" w:cs="Times New Roman"/>
      <w:b/>
    </w:rPr>
  </w:style>
  <w:style w:type="paragraph" w:customStyle="1" w:styleId="TableHeader">
    <w:name w:val="Table Header"/>
    <w:basedOn w:val="Normal"/>
    <w:rsid w:val="00E8259E"/>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E8259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E8259E"/>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E8259E"/>
    <w:pPr>
      <w:spacing w:before="0" w:after="0" w:line="200" w:lineRule="atLeast"/>
      <w:jc w:val="center"/>
    </w:pPr>
    <w:rPr>
      <w:rFonts w:eastAsia="Times New Roman"/>
      <w:snapToGrid w:val="0"/>
      <w:kern w:val="16"/>
      <w:sz w:val="18"/>
      <w:szCs w:val="19"/>
    </w:rPr>
  </w:style>
  <w:style w:type="paragraph" w:customStyle="1" w:styleId="AssessmentSection">
    <w:name w:val="Assessment Section"/>
    <w:basedOn w:val="AssessmentSubsection"/>
    <w:next w:val="Standard"/>
    <w:rsid w:val="0037757C"/>
    <w:pPr>
      <w:outlineLvl w:val="1"/>
    </w:pPr>
    <w:rPr>
      <w:i w:val="0"/>
    </w:rPr>
  </w:style>
  <w:style w:type="paragraph" w:customStyle="1" w:styleId="QuestiontoSponsor">
    <w:name w:val="Question to Sponsor"/>
    <w:basedOn w:val="Normal"/>
    <w:autoRedefine/>
    <w:rsid w:val="00B14769"/>
    <w:pPr>
      <w:numPr>
        <w:ilvl w:val="1"/>
        <w:numId w:val="34"/>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B14769"/>
    <w:pPr>
      <w:numPr>
        <w:numId w:val="34"/>
      </w:numPr>
      <w:tabs>
        <w:tab w:val="num" w:pos="643"/>
      </w:tabs>
      <w:autoSpaceDE w:val="0"/>
      <w:autoSpaceDN w:val="0"/>
      <w:adjustRightInd w:val="0"/>
      <w:spacing w:before="0" w:after="0" w:line="240" w:lineRule="auto"/>
      <w:ind w:left="643"/>
    </w:pPr>
    <w:rPr>
      <w:rFonts w:asciiTheme="minorHAnsi" w:eastAsia="Times New Roman" w:hAnsiTheme="minorHAnsi" w:cstheme="majorHAnsi"/>
      <w:lang w:eastAsia="en-AU"/>
    </w:rPr>
  </w:style>
  <w:style w:type="paragraph" w:customStyle="1" w:styleId="Tabletitle0">
    <w:name w:val="Table title"/>
    <w:basedOn w:val="Normal"/>
    <w:next w:val="Normal"/>
    <w:rsid w:val="00624BEF"/>
    <w:pPr>
      <w:keepNext/>
      <w:spacing w:after="180"/>
      <w:outlineLvl w:val="4"/>
    </w:pPr>
    <w:rPr>
      <w:rFonts w:cstheme="minorBidi"/>
      <w:b/>
    </w:rPr>
  </w:style>
  <w:style w:type="character" w:styleId="Emphasis">
    <w:name w:val="Emphasis"/>
    <w:basedOn w:val="DefaultParagraphFont"/>
    <w:uiPriority w:val="20"/>
    <w:qFormat/>
    <w:rsid w:val="008A51EB"/>
    <w:rPr>
      <w:i/>
      <w:iCs/>
    </w:rPr>
  </w:style>
  <w:style w:type="paragraph" w:styleId="DocumentMap">
    <w:name w:val="Document Map"/>
    <w:basedOn w:val="Normal"/>
    <w:link w:val="DocumentMapChar"/>
    <w:uiPriority w:val="99"/>
    <w:semiHidden/>
    <w:unhideWhenUsed/>
    <w:rsid w:val="00654E9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54E93"/>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24BE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ulletpoint">
    <w:name w:val="Bullet point"/>
    <w:basedOn w:val="Normal"/>
    <w:rsid w:val="009F456A"/>
    <w:pPr>
      <w:numPr>
        <w:numId w:val="27"/>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Bullet2">
    <w:name w:val="Bullet 2"/>
    <w:basedOn w:val="Normal"/>
    <w:rsid w:val="009F456A"/>
    <w:pPr>
      <w:numPr>
        <w:numId w:val="28"/>
      </w:numPr>
      <w:spacing w:after="0" w:line="240" w:lineRule="auto"/>
    </w:pPr>
    <w:rPr>
      <w:rFonts w:eastAsia="Times New Roman"/>
      <w:kern w:val="24"/>
      <w:szCs w:val="24"/>
      <w:lang w:eastAsia="en-AU"/>
    </w:rPr>
  </w:style>
  <w:style w:type="paragraph" w:customStyle="1" w:styleId="Bulletlist">
    <w:name w:val="Bullet list"/>
    <w:basedOn w:val="Normal"/>
    <w:link w:val="BulletlistChar"/>
    <w:qFormat/>
    <w:rsid w:val="009F456A"/>
    <w:pPr>
      <w:numPr>
        <w:numId w:val="30"/>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9F456A"/>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9F456A"/>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F456A"/>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9F456A"/>
    <w:rPr>
      <w:rFonts w:ascii="Cambria" w:eastAsia="Times New Roman" w:hAnsi="Cambria" w:cs="Times New Roman"/>
      <w:b/>
      <w:snapToGrid w:val="0"/>
      <w:kern w:val="16"/>
      <w:sz w:val="20"/>
      <w:szCs w:val="24"/>
    </w:rPr>
  </w:style>
  <w:style w:type="paragraph" w:styleId="ListParagraph">
    <w:name w:val="List Paragraph"/>
    <w:basedOn w:val="Normal"/>
    <w:uiPriority w:val="34"/>
    <w:qFormat/>
    <w:rsid w:val="009F456A"/>
    <w:pPr>
      <w:adjustRightInd w:val="0"/>
      <w:snapToGrid w:val="0"/>
      <w:spacing w:before="180" w:after="180"/>
      <w:ind w:left="720"/>
      <w:contextualSpacing/>
    </w:pPr>
    <w:rPr>
      <w:rFonts w:eastAsia="MS Mincho"/>
      <w:szCs w:val="20"/>
      <w:lang w:eastAsia="ja-JP"/>
    </w:rPr>
  </w:style>
  <w:style w:type="paragraph" w:customStyle="1" w:styleId="Default">
    <w:name w:val="Default"/>
    <w:rsid w:val="00CF443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basedOn w:val="Normal"/>
    <w:link w:val="StandardChar"/>
    <w:qFormat/>
    <w:rsid w:val="002A535F"/>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2A535F"/>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2A535F"/>
    <w:pPr>
      <w:spacing w:after="0"/>
    </w:pPr>
    <w:rPr>
      <w:sz w:val="16"/>
      <w:szCs w:val="16"/>
    </w:rPr>
  </w:style>
  <w:style w:type="paragraph" w:customStyle="1" w:styleId="AssessmentSubsection">
    <w:name w:val="Assessment Subsection"/>
    <w:basedOn w:val="Standard"/>
    <w:next w:val="Standard"/>
    <w:rsid w:val="002A535F"/>
    <w:pPr>
      <w:keepNext/>
      <w:spacing w:after="110"/>
      <w:outlineLvl w:val="2"/>
    </w:pPr>
    <w:rPr>
      <w:b/>
      <w:i/>
    </w:rPr>
  </w:style>
  <w:style w:type="character" w:customStyle="1" w:styleId="WhiteSpaceChar">
    <w:name w:val="White Space Char"/>
    <w:basedOn w:val="DefaultParagraphFont"/>
    <w:link w:val="WhiteSpace"/>
    <w:rsid w:val="002A535F"/>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E8259E"/>
    <w:pPr>
      <w:outlineLvl w:val="3"/>
    </w:pPr>
    <w:rPr>
      <w:b w:val="0"/>
    </w:rPr>
  </w:style>
  <w:style w:type="character" w:customStyle="1" w:styleId="TableTitleChar">
    <w:name w:val="Table Title Char"/>
    <w:basedOn w:val="DefaultParagraphFont"/>
    <w:link w:val="TableTitle"/>
    <w:rsid w:val="00E8259E"/>
    <w:rPr>
      <w:rFonts w:ascii="Cambria" w:eastAsia="Cambria" w:hAnsi="Cambria" w:cs="Times New Roman"/>
      <w:b/>
    </w:rPr>
  </w:style>
  <w:style w:type="paragraph" w:customStyle="1" w:styleId="TableHeader">
    <w:name w:val="Table Header"/>
    <w:basedOn w:val="Normal"/>
    <w:rsid w:val="00E8259E"/>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E8259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E8259E"/>
    <w:rPr>
      <w:rFonts w:ascii="Cambria" w:eastAsia="Times New Roman" w:hAnsi="Cambria" w:cs="Times New Roman"/>
      <w:snapToGrid w:val="0"/>
      <w:kern w:val="16"/>
      <w:sz w:val="18"/>
      <w:szCs w:val="19"/>
    </w:rPr>
  </w:style>
  <w:style w:type="paragraph" w:customStyle="1" w:styleId="TabletextPKvalues">
    <w:name w:val="Table text (PK values)"/>
    <w:basedOn w:val="Tabletext"/>
    <w:rsid w:val="00E8259E"/>
    <w:pPr>
      <w:spacing w:before="0" w:after="0" w:line="200" w:lineRule="atLeast"/>
      <w:jc w:val="center"/>
    </w:pPr>
    <w:rPr>
      <w:rFonts w:eastAsia="Times New Roman"/>
      <w:snapToGrid w:val="0"/>
      <w:kern w:val="16"/>
      <w:sz w:val="18"/>
      <w:szCs w:val="19"/>
    </w:rPr>
  </w:style>
  <w:style w:type="paragraph" w:customStyle="1" w:styleId="AssessmentSection">
    <w:name w:val="Assessment Section"/>
    <w:basedOn w:val="AssessmentSubsection"/>
    <w:next w:val="Standard"/>
    <w:rsid w:val="0037757C"/>
    <w:pPr>
      <w:outlineLvl w:val="1"/>
    </w:pPr>
    <w:rPr>
      <w:i w:val="0"/>
    </w:rPr>
  </w:style>
  <w:style w:type="paragraph" w:customStyle="1" w:styleId="QuestiontoSponsor">
    <w:name w:val="Question to Sponsor"/>
    <w:basedOn w:val="Normal"/>
    <w:autoRedefine/>
    <w:rsid w:val="00B14769"/>
    <w:pPr>
      <w:numPr>
        <w:ilvl w:val="1"/>
        <w:numId w:val="34"/>
      </w:numPr>
      <w:spacing w:before="0" w:line="240" w:lineRule="auto"/>
    </w:pPr>
    <w:rPr>
      <w:rFonts w:ascii="Century Gothic" w:eastAsia="Times New Roman" w:hAnsi="Century Gothic"/>
      <w:b/>
      <w:sz w:val="24"/>
      <w:szCs w:val="20"/>
    </w:rPr>
  </w:style>
  <w:style w:type="paragraph" w:customStyle="1" w:styleId="GuidanceText-Bulleted">
    <w:name w:val="Guidance Text-Bulleted"/>
    <w:basedOn w:val="Normal"/>
    <w:rsid w:val="00B14769"/>
    <w:pPr>
      <w:numPr>
        <w:numId w:val="34"/>
      </w:numPr>
      <w:tabs>
        <w:tab w:val="num" w:pos="643"/>
      </w:tabs>
      <w:autoSpaceDE w:val="0"/>
      <w:autoSpaceDN w:val="0"/>
      <w:adjustRightInd w:val="0"/>
      <w:spacing w:before="0" w:after="0" w:line="240" w:lineRule="auto"/>
      <w:ind w:left="643"/>
    </w:pPr>
    <w:rPr>
      <w:rFonts w:asciiTheme="minorHAnsi" w:eastAsia="Times New Roman" w:hAnsiTheme="minorHAnsi" w:cstheme="majorHAnsi"/>
      <w:lang w:eastAsia="en-AU"/>
    </w:rPr>
  </w:style>
  <w:style w:type="paragraph" w:customStyle="1" w:styleId="Tabletitle0">
    <w:name w:val="Table title"/>
    <w:basedOn w:val="Normal"/>
    <w:next w:val="Normal"/>
    <w:rsid w:val="00624BEF"/>
    <w:pPr>
      <w:keepNext/>
      <w:spacing w:after="180"/>
      <w:outlineLvl w:val="4"/>
    </w:pPr>
    <w:rPr>
      <w:rFonts w:cstheme="minorBidi"/>
      <w:b/>
    </w:rPr>
  </w:style>
  <w:style w:type="character" w:styleId="Emphasis">
    <w:name w:val="Emphasis"/>
    <w:basedOn w:val="DefaultParagraphFont"/>
    <w:uiPriority w:val="20"/>
    <w:qFormat/>
    <w:rsid w:val="008A51EB"/>
    <w:rPr>
      <w:i/>
      <w:iCs/>
    </w:rPr>
  </w:style>
  <w:style w:type="paragraph" w:styleId="DocumentMap">
    <w:name w:val="Document Map"/>
    <w:basedOn w:val="Normal"/>
    <w:link w:val="DocumentMapChar"/>
    <w:uiPriority w:val="99"/>
    <w:semiHidden/>
    <w:unhideWhenUsed/>
    <w:rsid w:val="00654E93"/>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654E93"/>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767488">
      <w:bodyDiv w:val="1"/>
      <w:marLeft w:val="0"/>
      <w:marRight w:val="0"/>
      <w:marTop w:val="0"/>
      <w:marBottom w:val="0"/>
      <w:divBdr>
        <w:top w:val="none" w:sz="0" w:space="0" w:color="auto"/>
        <w:left w:val="none" w:sz="0" w:space="0" w:color="auto"/>
        <w:bottom w:val="none" w:sz="0" w:space="0" w:color="auto"/>
        <w:right w:val="none" w:sz="0" w:space="0" w:color="auto"/>
      </w:divBdr>
    </w:div>
    <w:div w:id="207758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2.wdp"/><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tga.gov.au/product-information-pi"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7.xml"/><Relationship Id="rId36" Type="http://schemas.microsoft.com/office/2011/relationships/commentsExtended" Target="commentsExtended.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10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3F291-6CC4-4487-B3E3-BD76E4CFA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18</TotalTime>
  <Pages>52</Pages>
  <Words>18377</Words>
  <Characters>104755</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122887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Sebelipase alfa</dc:title>
  <dc:subject>prescription medicines</dc:subject>
  <dc:creator>Therapeutic Goods Administration</dc:creator>
  <cp:keywords>AusPARs</cp:keywords>
  <cp:lastModifiedBy>LACK, Janet</cp:lastModifiedBy>
  <cp:revision>3</cp:revision>
  <cp:lastPrinted>2018-05-07T05:18:00Z</cp:lastPrinted>
  <dcterms:created xsi:type="dcterms:W3CDTF">2018-07-17T04:23:00Z</dcterms:created>
  <dcterms:modified xsi:type="dcterms:W3CDTF">2018-07-17T04:42:00Z</dcterms:modified>
  <cp:category/>
</cp:coreProperties>
</file>