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CAB" w:rsidRPr="00F9786F" w:rsidRDefault="00EF3EBC" w:rsidP="005C2EA5">
      <w:pPr>
        <w:pStyle w:val="Title"/>
        <w:rPr>
          <w:lang w:val="en-US"/>
        </w:rPr>
      </w:pPr>
      <w:bookmarkStart w:id="0" w:name="_GoBack"/>
      <w:bookmarkEnd w:id="0"/>
      <w:r>
        <w:rPr>
          <w:lang w:val="en-US"/>
        </w:rPr>
        <w:t>KANUMA</w:t>
      </w:r>
      <w:r w:rsidR="00610CAB" w:rsidRPr="00F9786F">
        <w:rPr>
          <w:vertAlign w:val="superscript"/>
          <w:lang w:val="en-US"/>
        </w:rPr>
        <w:t>®</w:t>
      </w:r>
    </w:p>
    <w:p w:rsidR="00BE38BB" w:rsidRPr="00F9786F" w:rsidRDefault="00BE38BB" w:rsidP="00F9786F">
      <w:pPr>
        <w:pStyle w:val="Default"/>
        <w:rPr>
          <w:rFonts w:ascii="Times New Roman" w:hAnsi="Times New Roman" w:cs="Times New Roman"/>
          <w:color w:val="auto"/>
          <w:lang w:val="en-AU"/>
        </w:rPr>
      </w:pPr>
    </w:p>
    <w:p w:rsidR="00BE38BB" w:rsidRPr="00F9786F" w:rsidRDefault="002B7EA6" w:rsidP="00F9786F">
      <w:pPr>
        <w:pStyle w:val="Default"/>
        <w:rPr>
          <w:rFonts w:ascii="Times New Roman" w:hAnsi="Times New Roman" w:cs="Times New Roman"/>
          <w:b/>
          <w:color w:val="auto"/>
          <w:lang w:val="en-AU"/>
        </w:rPr>
      </w:pPr>
      <w:r w:rsidRPr="00F9786F">
        <w:rPr>
          <w:rFonts w:ascii="Times New Roman" w:hAnsi="Times New Roman" w:cs="Times New Roman"/>
          <w:b/>
          <w:color w:val="auto"/>
          <w:lang w:val="en-AU"/>
        </w:rPr>
        <w:t>NAME OF THE MEDICINE</w:t>
      </w:r>
    </w:p>
    <w:p w:rsidR="001C1C5D" w:rsidRPr="00F9786F" w:rsidRDefault="001C1C5D" w:rsidP="00F9786F">
      <w:pPr>
        <w:pStyle w:val="Default"/>
        <w:rPr>
          <w:rFonts w:ascii="Times New Roman" w:hAnsi="Times New Roman" w:cs="Times New Roman"/>
          <w:color w:val="auto"/>
          <w:lang w:val="en-AU"/>
        </w:rPr>
      </w:pPr>
    </w:p>
    <w:p w:rsidR="0062284C" w:rsidRPr="00F9786F" w:rsidRDefault="00EF3EBC" w:rsidP="00F9786F">
      <w:pPr>
        <w:pStyle w:val="CM16"/>
        <w:spacing w:after="0"/>
        <w:rPr>
          <w:rFonts w:ascii="Times New Roman" w:hAnsi="Times New Roman"/>
          <w:lang w:val="en-AU"/>
        </w:rPr>
      </w:pPr>
      <w:r>
        <w:rPr>
          <w:rFonts w:ascii="Times New Roman" w:hAnsi="Times New Roman"/>
          <w:lang w:val="en-AU"/>
        </w:rPr>
        <w:t>KANUMA</w:t>
      </w:r>
      <w:r w:rsidR="00B94415" w:rsidRPr="00445E6C">
        <w:rPr>
          <w:rFonts w:ascii="Times New Roman" w:hAnsi="Times New Roman"/>
          <w:vertAlign w:val="superscript"/>
          <w:lang w:val="en-AU"/>
        </w:rPr>
        <w:t>®</w:t>
      </w:r>
    </w:p>
    <w:p w:rsidR="00B94415" w:rsidRDefault="00EF3EBC" w:rsidP="00F9786F">
      <w:pPr>
        <w:pStyle w:val="CM16"/>
        <w:spacing w:after="0"/>
        <w:rPr>
          <w:rFonts w:ascii="Times New Roman" w:hAnsi="Times New Roman"/>
          <w:lang w:val="en-AU"/>
        </w:rPr>
      </w:pPr>
      <w:proofErr w:type="spellStart"/>
      <w:proofErr w:type="gramStart"/>
      <w:r>
        <w:rPr>
          <w:rFonts w:ascii="Times New Roman" w:hAnsi="Times New Roman"/>
          <w:lang w:val="en-AU"/>
        </w:rPr>
        <w:t>Sebelipase</w:t>
      </w:r>
      <w:proofErr w:type="spellEnd"/>
      <w:r>
        <w:rPr>
          <w:rFonts w:ascii="Times New Roman" w:hAnsi="Times New Roman"/>
          <w:lang w:val="en-AU"/>
        </w:rPr>
        <w:t xml:space="preserve"> </w:t>
      </w:r>
      <w:r w:rsidR="004C6656">
        <w:rPr>
          <w:rFonts w:ascii="Times New Roman" w:hAnsi="Times New Roman"/>
          <w:lang w:val="en-AU"/>
        </w:rPr>
        <w:t xml:space="preserve">alfa </w:t>
      </w:r>
      <w:proofErr w:type="spellStart"/>
      <w:r w:rsidR="004C6656" w:rsidRPr="00B57A15">
        <w:rPr>
          <w:rFonts w:ascii="Times New Roman" w:hAnsi="Times New Roman"/>
          <w:i/>
          <w:lang w:val="en-AU"/>
        </w:rPr>
        <w:t>rce</w:t>
      </w:r>
      <w:proofErr w:type="spellEnd"/>
      <w:r w:rsidR="005007DF">
        <w:rPr>
          <w:rFonts w:ascii="Times New Roman" w:hAnsi="Times New Roman"/>
          <w:lang w:val="en-AU"/>
        </w:rPr>
        <w:t xml:space="preserve"> </w:t>
      </w:r>
      <w:r w:rsidR="007A611B" w:rsidRPr="00F9786F">
        <w:rPr>
          <w:rFonts w:ascii="Times New Roman" w:hAnsi="Times New Roman"/>
          <w:lang w:val="en-AU"/>
        </w:rPr>
        <w:t>solution for</w:t>
      </w:r>
      <w:r w:rsidR="00F51F9E" w:rsidRPr="00F9786F">
        <w:rPr>
          <w:rFonts w:ascii="Times New Roman" w:hAnsi="Times New Roman"/>
          <w:lang w:val="en-AU"/>
        </w:rPr>
        <w:t xml:space="preserve"> </w:t>
      </w:r>
      <w:r w:rsidR="00E90A1E">
        <w:rPr>
          <w:rFonts w:ascii="Times New Roman" w:hAnsi="Times New Roman"/>
          <w:lang w:val="en-AU"/>
        </w:rPr>
        <w:t>IV infusion.</w:t>
      </w:r>
      <w:proofErr w:type="gramEnd"/>
      <w:r w:rsidR="0062284C" w:rsidRPr="00F9786F">
        <w:rPr>
          <w:rFonts w:ascii="Times New Roman" w:hAnsi="Times New Roman"/>
          <w:lang w:val="en-AU"/>
        </w:rPr>
        <w:t xml:space="preserve"> </w:t>
      </w:r>
    </w:p>
    <w:p w:rsidR="00B94415" w:rsidRDefault="00B94415" w:rsidP="00F9786F">
      <w:pPr>
        <w:pStyle w:val="CM16"/>
        <w:spacing w:after="0"/>
        <w:rPr>
          <w:rFonts w:ascii="Times New Roman" w:hAnsi="Times New Roman"/>
          <w:lang w:val="en-AU"/>
        </w:rPr>
      </w:pPr>
    </w:p>
    <w:p w:rsidR="005F6768" w:rsidRDefault="005F6768" w:rsidP="00B57CEC">
      <w:pPr>
        <w:pStyle w:val="Caption"/>
      </w:pPr>
      <w:bookmarkStart w:id="1" w:name="_Ref392843877"/>
      <w:bookmarkStart w:id="2" w:name="_Toc393110034"/>
      <w:r>
        <w:t xml:space="preserve">Figure </w:t>
      </w:r>
      <w:r w:rsidR="008748D1">
        <w:fldChar w:fldCharType="begin"/>
      </w:r>
      <w:r w:rsidR="008748D1">
        <w:instrText xml:space="preserve"> SEQ Figure \* ARABIC </w:instrText>
      </w:r>
      <w:r w:rsidR="008748D1">
        <w:fldChar w:fldCharType="separate"/>
      </w:r>
      <w:r w:rsidR="0035098F">
        <w:rPr>
          <w:noProof/>
        </w:rPr>
        <w:t>1</w:t>
      </w:r>
      <w:r w:rsidR="008748D1">
        <w:rPr>
          <w:noProof/>
        </w:rPr>
        <w:fldChar w:fldCharType="end"/>
      </w:r>
      <w:bookmarkEnd w:id="1"/>
      <w:r>
        <w:t>:</w:t>
      </w:r>
      <w:r>
        <w:tab/>
      </w:r>
      <w:r w:rsidR="00D72BF6">
        <w:t>Structure</w:t>
      </w:r>
      <w:r>
        <w:t xml:space="preserve"> of </w:t>
      </w:r>
      <w:proofErr w:type="spellStart"/>
      <w:r>
        <w:t>sebelipase</w:t>
      </w:r>
      <w:proofErr w:type="spellEnd"/>
      <w:r>
        <w:t xml:space="preserve"> </w:t>
      </w:r>
      <w:bookmarkEnd w:id="2"/>
      <w:r w:rsidR="004C6656">
        <w:t xml:space="preserve">alfa </w:t>
      </w:r>
      <w:proofErr w:type="spellStart"/>
      <w:r w:rsidR="004C6656" w:rsidRPr="00B57A15">
        <w:rPr>
          <w:i/>
        </w:rPr>
        <w:t>rce</w:t>
      </w:r>
      <w:proofErr w:type="spellEnd"/>
      <w:r w:rsidR="004C6656">
        <w:t xml:space="preserve"> </w:t>
      </w:r>
    </w:p>
    <w:p w:rsidR="005F6768" w:rsidRDefault="00D122C3" w:rsidP="00B57CEC">
      <w:pPr>
        <w:pStyle w:val="C-BodyText"/>
        <w:keepNext/>
        <w:rPr>
          <w:noProof/>
        </w:rPr>
      </w:pPr>
      <w:r>
        <w:rPr>
          <w:noProof/>
          <w:lang w:val="en-AU" w:eastAsia="en-AU"/>
        </w:rPr>
        <w:drawing>
          <wp:inline distT="0" distB="0" distL="0" distR="0">
            <wp:extent cx="2881630" cy="2158365"/>
            <wp:effectExtent l="0" t="0" r="0" b="0"/>
            <wp:docPr id="1" name="Picture 1" descr="WB structure sebelipase with glycosylation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 structure sebelipase with glycosylation si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1630" cy="2158365"/>
                    </a:xfrm>
                    <a:prstGeom prst="rect">
                      <a:avLst/>
                    </a:prstGeom>
                    <a:noFill/>
                    <a:ln>
                      <a:noFill/>
                    </a:ln>
                  </pic:spPr>
                </pic:pic>
              </a:graphicData>
            </a:graphic>
          </wp:inline>
        </w:drawing>
      </w:r>
    </w:p>
    <w:p w:rsidR="0062284C" w:rsidRPr="005F6768" w:rsidRDefault="0062284C" w:rsidP="005F6768">
      <w:pPr>
        <w:pStyle w:val="BodyText"/>
      </w:pPr>
      <w:r w:rsidRPr="00F9786F">
        <w:rPr>
          <w:lang w:val="en-AU"/>
        </w:rPr>
        <w:t>(CAS registry number:</w:t>
      </w:r>
      <w:r w:rsidR="005E1B1D" w:rsidRPr="00F9786F">
        <w:rPr>
          <w:lang w:val="en-AU"/>
        </w:rPr>
        <w:t xml:space="preserve">  </w:t>
      </w:r>
      <w:r w:rsidR="005F6768" w:rsidRPr="00847C67">
        <w:t>1276027-63-4</w:t>
      </w:r>
      <w:r w:rsidRPr="00F9786F">
        <w:rPr>
          <w:lang w:val="en-AU"/>
        </w:rPr>
        <w:t>).</w:t>
      </w:r>
    </w:p>
    <w:p w:rsidR="0062284C" w:rsidRDefault="002B7EA6" w:rsidP="00490370">
      <w:pPr>
        <w:pStyle w:val="PIMajorHeading"/>
      </w:pPr>
      <w:r w:rsidRPr="00425CBA">
        <w:t>DESCRIPTION</w:t>
      </w:r>
    </w:p>
    <w:p w:rsidR="00F9786F" w:rsidRPr="00F9786F" w:rsidRDefault="00EF3EBC" w:rsidP="000B5A96">
      <w:r>
        <w:rPr>
          <w:lang w:val="en-US"/>
        </w:rPr>
        <w:t xml:space="preserve">KANUMA </w:t>
      </w:r>
      <w:r w:rsidR="00E461F4">
        <w:rPr>
          <w:lang w:val="en-US"/>
        </w:rPr>
        <w:t xml:space="preserve">is supplied </w:t>
      </w:r>
      <w:r w:rsidR="0096038F">
        <w:rPr>
          <w:lang w:val="en-US"/>
        </w:rPr>
        <w:t xml:space="preserve">as </w:t>
      </w:r>
      <w:r w:rsidR="00E461F4">
        <w:rPr>
          <w:lang w:val="en-US"/>
        </w:rPr>
        <w:t xml:space="preserve">a single-use vial containing </w:t>
      </w:r>
      <w:r w:rsidR="007155C6">
        <w:rPr>
          <w:lang w:val="en-US"/>
        </w:rPr>
        <w:t xml:space="preserve">20 mg of </w:t>
      </w:r>
      <w:proofErr w:type="spellStart"/>
      <w:r w:rsidR="007155C6">
        <w:rPr>
          <w:lang w:val="en-US"/>
        </w:rPr>
        <w:t>sebelipase</w:t>
      </w:r>
      <w:proofErr w:type="spellEnd"/>
      <w:r w:rsidR="007155C6">
        <w:rPr>
          <w:lang w:val="en-US"/>
        </w:rPr>
        <w:t xml:space="preserve"> </w:t>
      </w:r>
      <w:r w:rsidR="004C6656">
        <w:rPr>
          <w:lang w:val="en-US"/>
        </w:rPr>
        <w:t xml:space="preserve">alfa </w:t>
      </w:r>
      <w:proofErr w:type="spellStart"/>
      <w:r w:rsidR="004C6656" w:rsidRPr="00B57A15">
        <w:rPr>
          <w:i/>
          <w:lang w:val="en-US"/>
        </w:rPr>
        <w:t>rce</w:t>
      </w:r>
      <w:proofErr w:type="spellEnd"/>
      <w:r w:rsidR="007155C6">
        <w:rPr>
          <w:lang w:val="en-US"/>
        </w:rPr>
        <w:t xml:space="preserve"> (2 mg/mL) with the following excipients; sodium citrate, citric acid monohydrate, albumin and water for injections.</w:t>
      </w:r>
    </w:p>
    <w:p w:rsidR="00113373" w:rsidRDefault="00113373" w:rsidP="00E93D98">
      <w:pPr>
        <w:pStyle w:val="Default"/>
      </w:pPr>
    </w:p>
    <w:p w:rsidR="00E93D98" w:rsidRDefault="0035750E" w:rsidP="00E93D98">
      <w:pPr>
        <w:pStyle w:val="Default"/>
        <w:rPr>
          <w:rFonts w:ascii="Times New Roman" w:hAnsi="Times New Roman" w:cs="Times New Roman"/>
          <w:color w:val="auto"/>
          <w:lang w:val="en-AU"/>
        </w:rPr>
      </w:pPr>
      <w:proofErr w:type="spellStart"/>
      <w:r>
        <w:rPr>
          <w:rFonts w:ascii="Times New Roman" w:hAnsi="Times New Roman" w:cs="Times New Roman"/>
          <w:color w:val="auto"/>
          <w:lang w:val="en-AU"/>
        </w:rPr>
        <w:t>Sebelipase</w:t>
      </w:r>
      <w:proofErr w:type="spellEnd"/>
      <w:r>
        <w:rPr>
          <w:rFonts w:ascii="Times New Roman" w:hAnsi="Times New Roman" w:cs="Times New Roman"/>
          <w:color w:val="auto"/>
          <w:lang w:val="en-AU"/>
        </w:rPr>
        <w:t xml:space="preserve"> </w:t>
      </w:r>
      <w:r w:rsidR="004C6656">
        <w:rPr>
          <w:rFonts w:ascii="Times New Roman" w:hAnsi="Times New Roman" w:cs="Times New Roman"/>
          <w:color w:val="auto"/>
          <w:lang w:val="en-AU"/>
        </w:rPr>
        <w:t xml:space="preserve">alfa </w:t>
      </w:r>
      <w:proofErr w:type="spellStart"/>
      <w:r w:rsidR="004C6656" w:rsidRPr="00B57A15">
        <w:rPr>
          <w:rFonts w:ascii="Times New Roman" w:hAnsi="Times New Roman" w:cs="Times New Roman"/>
          <w:i/>
          <w:color w:val="auto"/>
          <w:lang w:val="en-AU"/>
        </w:rPr>
        <w:t>rce</w:t>
      </w:r>
      <w:proofErr w:type="spellEnd"/>
      <w:r>
        <w:rPr>
          <w:rFonts w:ascii="Times New Roman" w:hAnsi="Times New Roman" w:cs="Times New Roman"/>
          <w:color w:val="auto"/>
          <w:lang w:val="en-AU"/>
        </w:rPr>
        <w:t xml:space="preserve"> </w:t>
      </w:r>
      <w:r w:rsidRPr="0035750E">
        <w:rPr>
          <w:rFonts w:ascii="Times New Roman" w:hAnsi="Times New Roman" w:cs="Times New Roman"/>
          <w:color w:val="auto"/>
          <w:lang w:val="en-AU"/>
        </w:rPr>
        <w:t>is a recombinant huma</w:t>
      </w:r>
      <w:r>
        <w:rPr>
          <w:rFonts w:ascii="Times New Roman" w:hAnsi="Times New Roman" w:cs="Times New Roman"/>
          <w:color w:val="auto"/>
          <w:lang w:val="en-AU"/>
        </w:rPr>
        <w:t>n lysosomal acid lipase (</w:t>
      </w:r>
      <w:proofErr w:type="spellStart"/>
      <w:r>
        <w:rPr>
          <w:rFonts w:ascii="Times New Roman" w:hAnsi="Times New Roman" w:cs="Times New Roman"/>
          <w:color w:val="auto"/>
          <w:lang w:val="en-AU"/>
        </w:rPr>
        <w:t>rhLAL</w:t>
      </w:r>
      <w:proofErr w:type="spellEnd"/>
      <w:r>
        <w:rPr>
          <w:rFonts w:ascii="Times New Roman" w:hAnsi="Times New Roman" w:cs="Times New Roman"/>
          <w:color w:val="auto"/>
          <w:lang w:val="en-AU"/>
        </w:rPr>
        <w:t>)</w:t>
      </w:r>
      <w:r w:rsidRPr="0035750E">
        <w:rPr>
          <w:rFonts w:ascii="Times New Roman" w:hAnsi="Times New Roman" w:cs="Times New Roman"/>
          <w:color w:val="auto"/>
          <w:lang w:val="en-AU"/>
        </w:rPr>
        <w:t xml:space="preserve"> produced by recombinant DNA technology and purified from the egg white of </w:t>
      </w:r>
      <w:r w:rsidR="009C4E95">
        <w:rPr>
          <w:rFonts w:ascii="Times New Roman" w:hAnsi="Times New Roman" w:cs="Times New Roman"/>
          <w:color w:val="auto"/>
          <w:lang w:val="en-AU"/>
        </w:rPr>
        <w:t>genetically engineered chickens {</w:t>
      </w:r>
      <w:r w:rsidR="009C4E95" w:rsidRPr="0035750E">
        <w:rPr>
          <w:rFonts w:ascii="Times New Roman" w:hAnsi="Times New Roman" w:cs="Times New Roman"/>
          <w:color w:val="auto"/>
          <w:lang w:val="en-AU"/>
        </w:rPr>
        <w:t xml:space="preserve">transgenic </w:t>
      </w:r>
      <w:r w:rsidR="009C4E95" w:rsidRPr="0035750E">
        <w:rPr>
          <w:rFonts w:ascii="Times New Roman" w:hAnsi="Times New Roman" w:cs="Times New Roman"/>
          <w:i/>
          <w:color w:val="auto"/>
          <w:lang w:val="en-AU"/>
        </w:rPr>
        <w:t>Gallus</w:t>
      </w:r>
      <w:r w:rsidR="009C4E95">
        <w:rPr>
          <w:rFonts w:ascii="Times New Roman" w:hAnsi="Times New Roman" w:cs="Times New Roman"/>
          <w:i/>
          <w:color w:val="auto"/>
          <w:lang w:val="en-AU"/>
        </w:rPr>
        <w:t>}</w:t>
      </w:r>
      <w:r w:rsidRPr="0035750E">
        <w:rPr>
          <w:rFonts w:ascii="Times New Roman" w:hAnsi="Times New Roman" w:cs="Times New Roman"/>
          <w:color w:val="auto"/>
          <w:lang w:val="en-AU"/>
        </w:rPr>
        <w:t xml:space="preserve">. Purified </w:t>
      </w:r>
      <w:proofErr w:type="spellStart"/>
      <w:r w:rsidRPr="0035750E">
        <w:rPr>
          <w:rFonts w:ascii="Times New Roman" w:hAnsi="Times New Roman" w:cs="Times New Roman"/>
          <w:color w:val="auto"/>
          <w:lang w:val="en-AU"/>
        </w:rPr>
        <w:t>sebelipase</w:t>
      </w:r>
      <w:proofErr w:type="spellEnd"/>
      <w:r w:rsidRPr="0035750E">
        <w:rPr>
          <w:rFonts w:ascii="Times New Roman" w:hAnsi="Times New Roman" w:cs="Times New Roman"/>
          <w:color w:val="auto"/>
          <w:lang w:val="en-AU"/>
        </w:rPr>
        <w:t xml:space="preserve"> </w:t>
      </w:r>
      <w:r w:rsidR="004C6656">
        <w:rPr>
          <w:rFonts w:ascii="Times New Roman" w:hAnsi="Times New Roman" w:cs="Times New Roman"/>
          <w:color w:val="auto"/>
          <w:lang w:val="en-AU"/>
        </w:rPr>
        <w:t xml:space="preserve">alfa </w:t>
      </w:r>
      <w:proofErr w:type="spellStart"/>
      <w:r w:rsidR="004C6656" w:rsidRPr="00B57A15">
        <w:rPr>
          <w:rFonts w:ascii="Times New Roman" w:hAnsi="Times New Roman" w:cs="Times New Roman"/>
          <w:i/>
          <w:color w:val="auto"/>
          <w:lang w:val="en-AU"/>
        </w:rPr>
        <w:t>rce</w:t>
      </w:r>
      <w:proofErr w:type="spellEnd"/>
      <w:r w:rsidRPr="0035750E">
        <w:rPr>
          <w:rFonts w:ascii="Times New Roman" w:hAnsi="Times New Roman" w:cs="Times New Roman"/>
          <w:color w:val="auto"/>
          <w:lang w:val="en-AU"/>
        </w:rPr>
        <w:t xml:space="preserve"> is a monomeric glycoprotein containing 6 N-linked glycosylation sites </w:t>
      </w:r>
      <w:r w:rsidR="009C4E95">
        <w:rPr>
          <w:rFonts w:ascii="Times New Roman" w:hAnsi="Times New Roman" w:cs="Times New Roman"/>
          <w:color w:val="auto"/>
          <w:lang w:val="en-AU"/>
        </w:rPr>
        <w:t xml:space="preserve">with a molecular weight of approx. </w:t>
      </w:r>
      <w:r w:rsidRPr="0035750E">
        <w:rPr>
          <w:rFonts w:ascii="Times New Roman" w:hAnsi="Times New Roman" w:cs="Times New Roman"/>
          <w:color w:val="auto"/>
          <w:lang w:val="en-AU"/>
        </w:rPr>
        <w:t>55</w:t>
      </w:r>
      <w:r w:rsidR="009C4E95">
        <w:rPr>
          <w:rFonts w:ascii="Times New Roman" w:hAnsi="Times New Roman" w:cs="Times New Roman"/>
          <w:color w:val="auto"/>
          <w:lang w:val="en-AU"/>
        </w:rPr>
        <w:t xml:space="preserve"> </w:t>
      </w:r>
      <w:proofErr w:type="spellStart"/>
      <w:r w:rsidR="009C4E95">
        <w:rPr>
          <w:rFonts w:ascii="Times New Roman" w:hAnsi="Times New Roman" w:cs="Times New Roman"/>
          <w:color w:val="auto"/>
          <w:lang w:val="en-AU"/>
        </w:rPr>
        <w:t>kDa</w:t>
      </w:r>
      <w:proofErr w:type="spellEnd"/>
      <w:r w:rsidRPr="0035750E">
        <w:rPr>
          <w:rFonts w:ascii="Times New Roman" w:hAnsi="Times New Roman" w:cs="Times New Roman"/>
          <w:color w:val="auto"/>
          <w:lang w:val="en-AU"/>
        </w:rPr>
        <w:t>.</w:t>
      </w:r>
    </w:p>
    <w:p w:rsidR="00113373" w:rsidRDefault="003351C1" w:rsidP="00113373">
      <w:pPr>
        <w:pStyle w:val="PIMajorHeading"/>
      </w:pPr>
      <w:r w:rsidRPr="00F9786F">
        <w:t>PHARMACOLOGY</w:t>
      </w:r>
    </w:p>
    <w:p w:rsidR="004D4340" w:rsidRDefault="004D4340" w:rsidP="00BE11B5">
      <w:pPr>
        <w:pStyle w:val="PIMinorHeading"/>
      </w:pPr>
      <w:r w:rsidRPr="00F9786F">
        <w:t xml:space="preserve">Mechanism of Action </w:t>
      </w:r>
    </w:p>
    <w:p w:rsidR="00B875DD" w:rsidRDefault="00EF3EBC" w:rsidP="00B875DD">
      <w:r>
        <w:rPr>
          <w:lang w:val="en-US"/>
        </w:rPr>
        <w:t>Lysosomal Acid Lipase Deficiency (LAL-D)</w:t>
      </w:r>
      <w:r w:rsidR="00B875DD">
        <w:rPr>
          <w:lang w:val="en-US"/>
        </w:rPr>
        <w:t xml:space="preserve"> is a rare disease associated with significant morbidity and mortality </w:t>
      </w:r>
      <w:r w:rsidR="00C968F7">
        <w:rPr>
          <w:lang w:val="en-US"/>
        </w:rPr>
        <w:t>affecting</w:t>
      </w:r>
      <w:r w:rsidR="00B875DD">
        <w:rPr>
          <w:lang w:val="en-US"/>
        </w:rPr>
        <w:t xml:space="preserve"> individuals from infancy through to adulthood. </w:t>
      </w:r>
      <w:r w:rsidR="00B875DD">
        <w:t xml:space="preserve">LAL-D </w:t>
      </w:r>
      <w:r w:rsidR="00B875DD" w:rsidRPr="00844279">
        <w:t>presenting in infants is a medical emergency with rapid disease progression over a period of weeks that is typically fatal within the first 6</w:t>
      </w:r>
      <w:r w:rsidR="00B875DD">
        <w:t> </w:t>
      </w:r>
      <w:r w:rsidR="00B875DD" w:rsidRPr="00844279">
        <w:t xml:space="preserve">months of life. </w:t>
      </w:r>
    </w:p>
    <w:p w:rsidR="00B875DD" w:rsidRDefault="00B875DD" w:rsidP="00B875DD"/>
    <w:p w:rsidR="006C2FED" w:rsidRPr="00844279" w:rsidRDefault="00B875DD" w:rsidP="006C2FED">
      <w:pPr>
        <w:rPr>
          <w:lang w:val="en-US"/>
        </w:rPr>
      </w:pPr>
      <w:r w:rsidRPr="00844279">
        <w:t>LAL</w:t>
      </w:r>
      <w:r>
        <w:t>-D</w:t>
      </w:r>
      <w:r w:rsidRPr="00844279">
        <w:t xml:space="preserve"> is an autosomal recessive lysosomal storage disorder characterised by a genetic defect resulting in a marked decrease or loss in activity of the lysosomal acid lipase (LAL) enzyme.</w:t>
      </w:r>
      <w:r>
        <w:t xml:space="preserve"> </w:t>
      </w:r>
      <w:r w:rsidRPr="00B875DD">
        <w:rPr>
          <w:lang w:val="en-US"/>
        </w:rPr>
        <w:t xml:space="preserve">Deficient LAL enzyme activity results in progressive complications due to the lysosomal accumulation of cholesteryl esters and triglycerides in multiple organs, including the liver, spleen, intestine, and the walls of blood vessels.  The resulting lipid accumulation in the liver </w:t>
      </w:r>
      <w:r w:rsidR="006C2FED" w:rsidRPr="00844279">
        <w:rPr>
          <w:lang w:val="en-US"/>
        </w:rPr>
        <w:t xml:space="preserve">leads to hepatomegaly, increased hepatic fat content, transaminase elevation </w:t>
      </w:r>
      <w:r w:rsidR="006C2FED" w:rsidRPr="00844279">
        <w:rPr>
          <w:lang w:val="en-US"/>
        </w:rPr>
        <w:lastRenderedPageBreak/>
        <w:t>signaling chronic liver injury, and progression to fibrosis, cirrhosis, and complications of end stage liver disease.</w:t>
      </w:r>
      <w:r w:rsidR="006C2FED" w:rsidRPr="006C2FED">
        <w:rPr>
          <w:lang w:val="en-US"/>
        </w:rPr>
        <w:t xml:space="preserve"> </w:t>
      </w:r>
      <w:r w:rsidR="006C2FED" w:rsidRPr="00844279">
        <w:rPr>
          <w:lang w:val="en-US"/>
        </w:rPr>
        <w:t xml:space="preserve">In the spleen, LAL </w:t>
      </w:r>
      <w:r w:rsidR="006C2FED">
        <w:rPr>
          <w:lang w:val="en-US"/>
        </w:rPr>
        <w:t>d</w:t>
      </w:r>
      <w:r w:rsidR="006C2FED" w:rsidRPr="00844279">
        <w:rPr>
          <w:lang w:val="en-US"/>
        </w:rPr>
        <w:t xml:space="preserve">eficiency results in splenomegaly, </w:t>
      </w:r>
      <w:proofErr w:type="spellStart"/>
      <w:r w:rsidR="006C2FED" w:rsidRPr="00844279">
        <w:rPr>
          <w:lang w:val="en-US"/>
        </w:rPr>
        <w:t>an</w:t>
      </w:r>
      <w:r w:rsidR="00084FAC">
        <w:rPr>
          <w:lang w:val="en-US"/>
        </w:rPr>
        <w:t>a</w:t>
      </w:r>
      <w:r w:rsidR="006C2FED" w:rsidRPr="00844279">
        <w:rPr>
          <w:lang w:val="en-US"/>
        </w:rPr>
        <w:t>emia</w:t>
      </w:r>
      <w:proofErr w:type="spellEnd"/>
      <w:r w:rsidR="006C2FED" w:rsidRPr="00844279">
        <w:rPr>
          <w:lang w:val="en-US"/>
        </w:rPr>
        <w:t>, and thrombocytopenia. Lipid accumulation in the intestinal wall leads to malabsorption and growth failure.</w:t>
      </w:r>
      <w:r w:rsidR="00BB019D">
        <w:rPr>
          <w:lang w:val="en-US"/>
        </w:rPr>
        <w:t xml:space="preserve"> </w:t>
      </w:r>
      <w:r w:rsidRPr="00B875DD">
        <w:rPr>
          <w:lang w:val="en-US"/>
        </w:rPr>
        <w:t xml:space="preserve">In parallel, dyslipidemia due to impaired degradation of lysosomal lipid is common with elevated </w:t>
      </w:r>
      <w:r w:rsidR="009D496B" w:rsidRPr="00844279">
        <w:rPr>
          <w:bCs/>
        </w:rPr>
        <w:t xml:space="preserve">low-density lipoprotein cholesterol </w:t>
      </w:r>
      <w:r w:rsidR="009D496B">
        <w:rPr>
          <w:bCs/>
        </w:rPr>
        <w:t xml:space="preserve">(LDL-c) </w:t>
      </w:r>
      <w:r w:rsidRPr="00B875DD">
        <w:rPr>
          <w:lang w:val="en-US"/>
        </w:rPr>
        <w:t>and triglycerides</w:t>
      </w:r>
      <w:r w:rsidR="009D496B">
        <w:rPr>
          <w:lang w:val="en-US"/>
        </w:rPr>
        <w:t>,</w:t>
      </w:r>
      <w:r w:rsidRPr="00B875DD">
        <w:rPr>
          <w:lang w:val="en-US"/>
        </w:rPr>
        <w:t xml:space="preserve"> and low </w:t>
      </w:r>
      <w:r w:rsidR="009D496B" w:rsidRPr="00844279">
        <w:rPr>
          <w:bCs/>
        </w:rPr>
        <w:t>high-density lipoprotein cholesterol</w:t>
      </w:r>
      <w:r w:rsidR="009D496B">
        <w:rPr>
          <w:bCs/>
        </w:rPr>
        <w:t xml:space="preserve"> </w:t>
      </w:r>
      <w:r w:rsidR="009D496B" w:rsidRPr="00844279">
        <w:rPr>
          <w:bCs/>
        </w:rPr>
        <w:t>(HDL</w:t>
      </w:r>
      <w:r w:rsidR="009D496B">
        <w:rPr>
          <w:bCs/>
        </w:rPr>
        <w:t>-c</w:t>
      </w:r>
      <w:r w:rsidR="009D496B" w:rsidRPr="00844279">
        <w:rPr>
          <w:bCs/>
        </w:rPr>
        <w:t>)</w:t>
      </w:r>
      <w:r w:rsidRPr="00B875DD">
        <w:rPr>
          <w:lang w:val="en-US"/>
        </w:rPr>
        <w:t xml:space="preserve">. </w:t>
      </w:r>
      <w:r w:rsidR="006C2FED" w:rsidRPr="00844279">
        <w:rPr>
          <w:lang w:val="en-US"/>
        </w:rPr>
        <w:t>In addition to liver disease, patients with LAL</w:t>
      </w:r>
      <w:r w:rsidR="009D496B">
        <w:rPr>
          <w:lang w:val="en-US"/>
        </w:rPr>
        <w:t>-D</w:t>
      </w:r>
      <w:r w:rsidR="006C2FED" w:rsidRPr="00844279" w:rsidDel="008D1CB9">
        <w:rPr>
          <w:lang w:val="en-US"/>
        </w:rPr>
        <w:t xml:space="preserve"> </w:t>
      </w:r>
      <w:r w:rsidR="006C2FED" w:rsidRPr="00844279">
        <w:rPr>
          <w:lang w:val="en-US"/>
        </w:rPr>
        <w:t xml:space="preserve">experience increased risk for cardiovascular disease and accelerated atherosclerosis. </w:t>
      </w:r>
    </w:p>
    <w:p w:rsidR="006C2FED" w:rsidRPr="00B875DD" w:rsidRDefault="006C2FED" w:rsidP="00B875DD">
      <w:pPr>
        <w:rPr>
          <w:lang w:val="en-US"/>
        </w:rPr>
      </w:pPr>
    </w:p>
    <w:p w:rsidR="00B875DD" w:rsidRPr="00844279" w:rsidRDefault="00B875DD" w:rsidP="00B875DD">
      <w:pPr>
        <w:rPr>
          <w:bCs/>
        </w:rPr>
      </w:pPr>
      <w:proofErr w:type="spellStart"/>
      <w:r w:rsidRPr="00B875DD">
        <w:rPr>
          <w:lang w:val="en-US"/>
        </w:rPr>
        <w:t>Sebelipase</w:t>
      </w:r>
      <w:proofErr w:type="spellEnd"/>
      <w:r w:rsidRPr="00B875DD">
        <w:rPr>
          <w:lang w:val="en-US"/>
        </w:rPr>
        <w:t xml:space="preserve"> </w:t>
      </w:r>
      <w:r w:rsidR="004C6656">
        <w:rPr>
          <w:lang w:val="en-US"/>
        </w:rPr>
        <w:t xml:space="preserve">alfa </w:t>
      </w:r>
      <w:proofErr w:type="spellStart"/>
      <w:r w:rsidR="004C6656" w:rsidRPr="00B57A15">
        <w:rPr>
          <w:i/>
          <w:lang w:val="en-US"/>
        </w:rPr>
        <w:t>rce</w:t>
      </w:r>
      <w:proofErr w:type="spellEnd"/>
      <w:r w:rsidRPr="00B875DD">
        <w:rPr>
          <w:lang w:val="en-US"/>
        </w:rPr>
        <w:t xml:space="preserve"> </w:t>
      </w:r>
      <w:r w:rsidR="007E6A1B">
        <w:rPr>
          <w:lang w:val="en-US"/>
        </w:rPr>
        <w:t>is taken up by</w:t>
      </w:r>
      <w:r w:rsidRPr="00B875DD">
        <w:rPr>
          <w:lang w:val="en-US"/>
        </w:rPr>
        <w:t xml:space="preserve"> cell</w:t>
      </w:r>
      <w:r w:rsidR="007E6A1B">
        <w:rPr>
          <w:lang w:val="en-US"/>
        </w:rPr>
        <w:t>s</w:t>
      </w:r>
      <w:r w:rsidRPr="00B875DD">
        <w:rPr>
          <w:lang w:val="en-US"/>
        </w:rPr>
        <w:t xml:space="preserve"> and is subsequently internalized into lysosomes</w:t>
      </w:r>
      <w:r w:rsidR="00604AAE">
        <w:rPr>
          <w:lang w:val="en-US"/>
        </w:rPr>
        <w:t xml:space="preserve"> where it</w:t>
      </w:r>
      <w:r w:rsidRPr="00B875DD">
        <w:rPr>
          <w:lang w:val="en-US"/>
        </w:rPr>
        <w:t xml:space="preserve"> catalyzes the lysosomal hydrolysis of cholesteryl esters and triglycerides to free cholesterol, glycerol and free fatty acids.</w:t>
      </w:r>
      <w:r>
        <w:rPr>
          <w:lang w:val="en-US"/>
        </w:rPr>
        <w:t xml:space="preserve"> </w:t>
      </w:r>
      <w:r w:rsidR="00604AAE">
        <w:rPr>
          <w:lang w:val="en-US"/>
        </w:rPr>
        <w:t xml:space="preserve">Binding of </w:t>
      </w:r>
      <w:proofErr w:type="spellStart"/>
      <w:r w:rsidR="00604AAE">
        <w:rPr>
          <w:lang w:val="en-US"/>
        </w:rPr>
        <w:t>glycans</w:t>
      </w:r>
      <w:proofErr w:type="spellEnd"/>
      <w:r w:rsidR="00604AAE">
        <w:rPr>
          <w:lang w:val="en-US"/>
        </w:rPr>
        <w:t xml:space="preserve"> present on </w:t>
      </w:r>
      <w:proofErr w:type="spellStart"/>
      <w:r w:rsidR="00604AAE">
        <w:rPr>
          <w:lang w:val="en-US"/>
        </w:rPr>
        <w:t>sebelipase</w:t>
      </w:r>
      <w:proofErr w:type="spellEnd"/>
      <w:r w:rsidR="00604AAE">
        <w:rPr>
          <w:lang w:val="en-US"/>
        </w:rPr>
        <w:t xml:space="preserve"> </w:t>
      </w:r>
      <w:r w:rsidR="004C6656">
        <w:rPr>
          <w:lang w:val="en-US"/>
        </w:rPr>
        <w:t>alfa</w:t>
      </w:r>
      <w:r w:rsidR="004C6656" w:rsidRPr="00B57A15">
        <w:rPr>
          <w:i/>
          <w:lang w:val="en-US"/>
        </w:rPr>
        <w:t xml:space="preserve"> </w:t>
      </w:r>
      <w:proofErr w:type="spellStart"/>
      <w:r w:rsidR="004C6656" w:rsidRPr="00B57A15">
        <w:rPr>
          <w:i/>
          <w:lang w:val="en-US"/>
        </w:rPr>
        <w:t>rce</w:t>
      </w:r>
      <w:proofErr w:type="spellEnd"/>
      <w:r w:rsidR="00255794">
        <w:rPr>
          <w:lang w:val="en-US"/>
        </w:rPr>
        <w:t>,</w:t>
      </w:r>
      <w:r w:rsidR="00604AAE">
        <w:rPr>
          <w:lang w:val="en-US"/>
        </w:rPr>
        <w:t xml:space="preserve"> to cell surface receptors is implicated in the cellular uptake of </w:t>
      </w:r>
      <w:proofErr w:type="spellStart"/>
      <w:r w:rsidR="00604AAE">
        <w:rPr>
          <w:lang w:val="en-US"/>
        </w:rPr>
        <w:t>sebelipase</w:t>
      </w:r>
      <w:proofErr w:type="spellEnd"/>
      <w:r w:rsidR="00604AAE">
        <w:rPr>
          <w:lang w:val="en-US"/>
        </w:rPr>
        <w:t xml:space="preserve"> </w:t>
      </w:r>
      <w:r w:rsidR="004C6656">
        <w:rPr>
          <w:lang w:val="en-US"/>
        </w:rPr>
        <w:t>alfa</w:t>
      </w:r>
      <w:r w:rsidR="004C6656" w:rsidRPr="00B57A15">
        <w:rPr>
          <w:i/>
          <w:lang w:val="en-US"/>
        </w:rPr>
        <w:t xml:space="preserve"> </w:t>
      </w:r>
      <w:proofErr w:type="spellStart"/>
      <w:r w:rsidR="004C6656" w:rsidRPr="00B57A15">
        <w:rPr>
          <w:i/>
          <w:lang w:val="en-US"/>
        </w:rPr>
        <w:t>rce</w:t>
      </w:r>
      <w:proofErr w:type="spellEnd"/>
      <w:r w:rsidR="00604AAE">
        <w:rPr>
          <w:lang w:val="en-US"/>
        </w:rPr>
        <w:t xml:space="preserve">.  </w:t>
      </w:r>
      <w:r w:rsidR="00F17E25">
        <w:rPr>
          <w:lang w:val="en-US"/>
        </w:rPr>
        <w:t xml:space="preserve">Treatment with </w:t>
      </w:r>
      <w:proofErr w:type="spellStart"/>
      <w:r w:rsidR="00F17E25">
        <w:rPr>
          <w:lang w:val="en-US"/>
        </w:rPr>
        <w:t>sebelipase</w:t>
      </w:r>
      <w:proofErr w:type="spellEnd"/>
      <w:r w:rsidR="00F17E25">
        <w:rPr>
          <w:lang w:val="en-US"/>
        </w:rPr>
        <w:t xml:space="preserve"> </w:t>
      </w:r>
      <w:r w:rsidR="004C6656">
        <w:rPr>
          <w:lang w:val="en-US"/>
        </w:rPr>
        <w:t>alfa</w:t>
      </w:r>
      <w:r w:rsidR="004C6656" w:rsidRPr="00B57A15">
        <w:rPr>
          <w:i/>
          <w:lang w:val="en-US"/>
        </w:rPr>
        <w:t xml:space="preserve"> </w:t>
      </w:r>
      <w:proofErr w:type="spellStart"/>
      <w:r w:rsidR="004C6656" w:rsidRPr="00B57A15">
        <w:rPr>
          <w:i/>
          <w:lang w:val="en-US"/>
        </w:rPr>
        <w:t>rce</w:t>
      </w:r>
      <w:proofErr w:type="spellEnd"/>
      <w:r w:rsidR="00F17E25">
        <w:rPr>
          <w:lang w:val="en-US"/>
        </w:rPr>
        <w:t xml:space="preserve"> restores</w:t>
      </w:r>
      <w:r w:rsidRPr="00844279">
        <w:rPr>
          <w:bCs/>
        </w:rPr>
        <w:t xml:space="preserve"> LAL enzyme activity</w:t>
      </w:r>
      <w:r w:rsidR="00F17E25">
        <w:rPr>
          <w:bCs/>
        </w:rPr>
        <w:t xml:space="preserve"> in LAL-D cells, </w:t>
      </w:r>
      <w:r w:rsidRPr="00844279">
        <w:rPr>
          <w:bCs/>
        </w:rPr>
        <w:t>enabl</w:t>
      </w:r>
      <w:r w:rsidR="00F17E25">
        <w:rPr>
          <w:bCs/>
        </w:rPr>
        <w:t>ing</w:t>
      </w:r>
      <w:r w:rsidRPr="00844279">
        <w:rPr>
          <w:bCs/>
        </w:rPr>
        <w:t xml:space="preserve"> </w:t>
      </w:r>
      <w:r w:rsidR="00F17E25">
        <w:rPr>
          <w:bCs/>
        </w:rPr>
        <w:t>hydrolysis</w:t>
      </w:r>
      <w:r w:rsidRPr="00844279">
        <w:rPr>
          <w:bCs/>
        </w:rPr>
        <w:t xml:space="preserve"> of cholesteryl esters and triglycerides in the lysosome</w:t>
      </w:r>
      <w:r w:rsidR="00F17E25">
        <w:rPr>
          <w:bCs/>
        </w:rPr>
        <w:t xml:space="preserve">. </w:t>
      </w:r>
      <w:proofErr w:type="spellStart"/>
      <w:r w:rsidR="003A0BEF">
        <w:rPr>
          <w:bCs/>
        </w:rPr>
        <w:t>S</w:t>
      </w:r>
      <w:r w:rsidR="00F17E25">
        <w:rPr>
          <w:bCs/>
        </w:rPr>
        <w:t>ebelipase</w:t>
      </w:r>
      <w:proofErr w:type="spellEnd"/>
      <w:r w:rsidR="00F17E25">
        <w:rPr>
          <w:bCs/>
        </w:rPr>
        <w:t xml:space="preserve"> </w:t>
      </w:r>
      <w:r w:rsidR="004C6656">
        <w:rPr>
          <w:bCs/>
        </w:rPr>
        <w:t>alfa</w:t>
      </w:r>
      <w:r w:rsidR="004C6656" w:rsidRPr="00B57A15">
        <w:rPr>
          <w:bCs/>
          <w:i/>
        </w:rPr>
        <w:t xml:space="preserve"> </w:t>
      </w:r>
      <w:proofErr w:type="spellStart"/>
      <w:r w:rsidR="004C6656" w:rsidRPr="00B57A15">
        <w:rPr>
          <w:bCs/>
          <w:i/>
        </w:rPr>
        <w:t>rce</w:t>
      </w:r>
      <w:proofErr w:type="spellEnd"/>
      <w:r w:rsidR="00F17E25">
        <w:rPr>
          <w:bCs/>
        </w:rPr>
        <w:t xml:space="preserve"> treatment restored hepatic LAL activity and </w:t>
      </w:r>
      <w:r w:rsidRPr="00844279">
        <w:rPr>
          <w:bCs/>
        </w:rPr>
        <w:t xml:space="preserve">lead to reductions in </w:t>
      </w:r>
      <w:r w:rsidR="00F17E25">
        <w:rPr>
          <w:bCs/>
        </w:rPr>
        <w:t>the fat content of the liver</w:t>
      </w:r>
      <w:r w:rsidR="003A0BEF">
        <w:rPr>
          <w:bCs/>
        </w:rPr>
        <w:t xml:space="preserve"> and</w:t>
      </w:r>
      <w:r w:rsidR="00F17E25">
        <w:rPr>
          <w:bCs/>
        </w:rPr>
        <w:t xml:space="preserve"> spleen; reductions in serum transaminases, </w:t>
      </w:r>
      <w:r w:rsidRPr="00844279">
        <w:rPr>
          <w:bCs/>
        </w:rPr>
        <w:t>LDL</w:t>
      </w:r>
      <w:r w:rsidR="009D496B">
        <w:rPr>
          <w:bCs/>
        </w:rPr>
        <w:t>-</w:t>
      </w:r>
      <w:r w:rsidRPr="00844279">
        <w:rPr>
          <w:bCs/>
        </w:rPr>
        <w:t>c</w:t>
      </w:r>
      <w:r w:rsidR="000F3DE3">
        <w:rPr>
          <w:bCs/>
        </w:rPr>
        <w:t xml:space="preserve">, </w:t>
      </w:r>
      <w:r w:rsidRPr="00844279">
        <w:rPr>
          <w:bCs/>
        </w:rPr>
        <w:t>non-HDL</w:t>
      </w:r>
      <w:r w:rsidR="0023552B">
        <w:rPr>
          <w:bCs/>
        </w:rPr>
        <w:t>-c</w:t>
      </w:r>
      <w:r w:rsidRPr="00844279">
        <w:rPr>
          <w:bCs/>
        </w:rPr>
        <w:t>,</w:t>
      </w:r>
      <w:r w:rsidR="000F3DE3">
        <w:rPr>
          <w:bCs/>
        </w:rPr>
        <w:t xml:space="preserve"> and</w:t>
      </w:r>
      <w:r w:rsidRPr="00844279">
        <w:rPr>
          <w:bCs/>
        </w:rPr>
        <w:t xml:space="preserve"> triglycerides</w:t>
      </w:r>
      <w:r w:rsidR="00F17E25">
        <w:rPr>
          <w:bCs/>
        </w:rPr>
        <w:t>;</w:t>
      </w:r>
      <w:r w:rsidRPr="00844279">
        <w:rPr>
          <w:bCs/>
        </w:rPr>
        <w:t xml:space="preserve"> and increases in</w:t>
      </w:r>
      <w:r w:rsidR="00F17E25">
        <w:rPr>
          <w:bCs/>
        </w:rPr>
        <w:t xml:space="preserve"> serum</w:t>
      </w:r>
      <w:r w:rsidRPr="00844279">
        <w:rPr>
          <w:bCs/>
        </w:rPr>
        <w:t xml:space="preserve"> HDL</w:t>
      </w:r>
      <w:r w:rsidR="000F3DE3">
        <w:rPr>
          <w:bCs/>
        </w:rPr>
        <w:t>-c</w:t>
      </w:r>
      <w:r w:rsidRPr="00844279">
        <w:rPr>
          <w:bCs/>
        </w:rPr>
        <w:t>. Improvement in growth</w:t>
      </w:r>
      <w:r w:rsidR="00F17E25">
        <w:rPr>
          <w:bCs/>
        </w:rPr>
        <w:t xml:space="preserve"> was associated with LAL</w:t>
      </w:r>
      <w:r w:rsidRPr="00844279">
        <w:rPr>
          <w:bCs/>
        </w:rPr>
        <w:t xml:space="preserve"> substrate reduction in the intestine.</w:t>
      </w:r>
    </w:p>
    <w:p w:rsidR="00B875DD" w:rsidRPr="00844279" w:rsidRDefault="00B875DD" w:rsidP="00B875DD">
      <w:pPr>
        <w:autoSpaceDE w:val="0"/>
        <w:autoSpaceDN w:val="0"/>
        <w:adjustRightInd w:val="0"/>
        <w:rPr>
          <w:u w:val="single"/>
        </w:rPr>
      </w:pPr>
    </w:p>
    <w:p w:rsidR="0001006A" w:rsidRDefault="0001006A" w:rsidP="00575C96">
      <w:pPr>
        <w:pStyle w:val="PIMinorHeading"/>
      </w:pPr>
      <w:r w:rsidRPr="00F9786F">
        <w:t>Pharmacodynamics</w:t>
      </w:r>
    </w:p>
    <w:p w:rsidR="004B27EE" w:rsidRDefault="004B27EE" w:rsidP="004B27EE">
      <w:pPr>
        <w:pStyle w:val="Default"/>
        <w:rPr>
          <w:rFonts w:ascii="Times New Roman" w:hAnsi="Times New Roman" w:cs="Times New Roman"/>
          <w:bCs/>
          <w:color w:val="auto"/>
          <w:szCs w:val="22"/>
          <w:lang w:val="en-AU"/>
        </w:rPr>
      </w:pPr>
      <w:r w:rsidRPr="004B27EE">
        <w:rPr>
          <w:rFonts w:ascii="Times New Roman" w:hAnsi="Times New Roman" w:cs="Times New Roman"/>
          <w:bCs/>
          <w:color w:val="auto"/>
          <w:szCs w:val="22"/>
          <w:lang w:val="en-AU"/>
        </w:rPr>
        <w:t xml:space="preserve">In clinical trials, after initiation of dosing with </w:t>
      </w:r>
      <w:proofErr w:type="spellStart"/>
      <w:r w:rsidR="00107F89">
        <w:rPr>
          <w:rFonts w:ascii="Times New Roman" w:hAnsi="Times New Roman" w:cs="Times New Roman"/>
          <w:bCs/>
          <w:color w:val="auto"/>
          <w:szCs w:val="22"/>
          <w:lang w:val="en-AU"/>
        </w:rPr>
        <w:t>sebelipase</w:t>
      </w:r>
      <w:proofErr w:type="spellEnd"/>
      <w:r w:rsidR="00107F89">
        <w:rPr>
          <w:rFonts w:ascii="Times New Roman" w:hAnsi="Times New Roman" w:cs="Times New Roman"/>
          <w:bCs/>
          <w:color w:val="auto"/>
          <w:szCs w:val="22"/>
          <w:lang w:val="en-AU"/>
        </w:rPr>
        <w:t xml:space="preserve"> </w:t>
      </w:r>
      <w:r w:rsidR="004C6656">
        <w:rPr>
          <w:rFonts w:ascii="Times New Roman" w:hAnsi="Times New Roman" w:cs="Times New Roman"/>
          <w:bCs/>
          <w:color w:val="auto"/>
          <w:szCs w:val="22"/>
          <w:lang w:val="en-AU"/>
        </w:rPr>
        <w:t>alfa</w:t>
      </w:r>
      <w:r w:rsidR="004C6656" w:rsidRPr="00B57A15">
        <w:rPr>
          <w:rFonts w:ascii="Times New Roman" w:hAnsi="Times New Roman" w:cs="Times New Roman"/>
          <w:bCs/>
          <w:i/>
          <w:color w:val="auto"/>
          <w:szCs w:val="22"/>
          <w:lang w:val="en-AU"/>
        </w:rPr>
        <w:t xml:space="preserve"> </w:t>
      </w:r>
      <w:proofErr w:type="spellStart"/>
      <w:r w:rsidR="004C6656" w:rsidRPr="00B57A15">
        <w:rPr>
          <w:rFonts w:ascii="Times New Roman" w:hAnsi="Times New Roman" w:cs="Times New Roman"/>
          <w:bCs/>
          <w:i/>
          <w:color w:val="auto"/>
          <w:szCs w:val="22"/>
          <w:lang w:val="en-AU"/>
        </w:rPr>
        <w:t>rce</w:t>
      </w:r>
      <w:proofErr w:type="spellEnd"/>
      <w:r w:rsidRPr="004B27EE">
        <w:rPr>
          <w:rFonts w:ascii="Times New Roman" w:hAnsi="Times New Roman" w:cs="Times New Roman"/>
          <w:bCs/>
          <w:color w:val="auto"/>
          <w:szCs w:val="22"/>
          <w:lang w:val="en-AU"/>
        </w:rPr>
        <w:t xml:space="preserve">, breakdown of accumulated lysosomal lipid led to initial increases in LDL-c and triglycerides within the first 2 to 4 weeks of treatment.  In general, following increases in LDL-c and triglycerides, these parameters decreased to below pre-treatment values within 8 weeks of treatment with </w:t>
      </w:r>
      <w:proofErr w:type="spellStart"/>
      <w:r w:rsidR="00107F89">
        <w:rPr>
          <w:rFonts w:ascii="Times New Roman" w:hAnsi="Times New Roman" w:cs="Times New Roman"/>
          <w:bCs/>
          <w:color w:val="auto"/>
          <w:szCs w:val="22"/>
          <w:lang w:val="en-AU"/>
        </w:rPr>
        <w:t>sebelipase</w:t>
      </w:r>
      <w:proofErr w:type="spellEnd"/>
      <w:r w:rsidR="00107F89">
        <w:rPr>
          <w:rFonts w:ascii="Times New Roman" w:hAnsi="Times New Roman" w:cs="Times New Roman"/>
          <w:bCs/>
          <w:color w:val="auto"/>
          <w:szCs w:val="22"/>
          <w:lang w:val="en-AU"/>
        </w:rPr>
        <w:t xml:space="preserve"> </w:t>
      </w:r>
      <w:r w:rsidR="004C6656">
        <w:rPr>
          <w:rFonts w:ascii="Times New Roman" w:hAnsi="Times New Roman" w:cs="Times New Roman"/>
          <w:bCs/>
          <w:color w:val="auto"/>
          <w:szCs w:val="22"/>
          <w:lang w:val="en-AU"/>
        </w:rPr>
        <w:t>alfa</w:t>
      </w:r>
      <w:r w:rsidR="004C6656" w:rsidRPr="00B57A15">
        <w:rPr>
          <w:rFonts w:ascii="Times New Roman" w:hAnsi="Times New Roman" w:cs="Times New Roman"/>
          <w:bCs/>
          <w:i/>
          <w:color w:val="auto"/>
          <w:szCs w:val="22"/>
          <w:lang w:val="en-AU"/>
        </w:rPr>
        <w:t xml:space="preserve"> </w:t>
      </w:r>
      <w:proofErr w:type="spellStart"/>
      <w:r w:rsidR="004C6656" w:rsidRPr="00B57A15">
        <w:rPr>
          <w:rFonts w:ascii="Times New Roman" w:hAnsi="Times New Roman" w:cs="Times New Roman"/>
          <w:bCs/>
          <w:i/>
          <w:color w:val="auto"/>
          <w:szCs w:val="22"/>
          <w:lang w:val="en-AU"/>
        </w:rPr>
        <w:t>rce</w:t>
      </w:r>
      <w:proofErr w:type="spellEnd"/>
      <w:r w:rsidRPr="004B27EE">
        <w:rPr>
          <w:rFonts w:ascii="Times New Roman" w:hAnsi="Times New Roman" w:cs="Times New Roman"/>
          <w:bCs/>
          <w:color w:val="auto"/>
          <w:szCs w:val="22"/>
          <w:lang w:val="en-AU"/>
        </w:rPr>
        <w:t xml:space="preserve">. </w:t>
      </w:r>
    </w:p>
    <w:p w:rsidR="004B27EE" w:rsidRPr="004B27EE" w:rsidRDefault="004B27EE" w:rsidP="004B27EE">
      <w:pPr>
        <w:pStyle w:val="Default"/>
        <w:rPr>
          <w:rFonts w:ascii="Times New Roman" w:hAnsi="Times New Roman" w:cs="Times New Roman"/>
          <w:bCs/>
          <w:color w:val="auto"/>
          <w:szCs w:val="22"/>
          <w:lang w:val="en-AU"/>
        </w:rPr>
      </w:pPr>
    </w:p>
    <w:p w:rsidR="00EF3EBC" w:rsidRPr="004B27EE" w:rsidRDefault="004B27EE" w:rsidP="004B27EE">
      <w:pPr>
        <w:pStyle w:val="Default"/>
        <w:rPr>
          <w:rFonts w:ascii="Times New Roman" w:hAnsi="Times New Roman" w:cs="Times New Roman"/>
          <w:bCs/>
          <w:color w:val="auto"/>
          <w:szCs w:val="22"/>
          <w:lang w:val="en-AU"/>
        </w:rPr>
      </w:pPr>
      <w:r w:rsidRPr="004B27EE">
        <w:rPr>
          <w:rFonts w:ascii="Times New Roman" w:hAnsi="Times New Roman" w:cs="Times New Roman"/>
          <w:bCs/>
          <w:color w:val="auto"/>
          <w:szCs w:val="22"/>
          <w:lang w:val="en-AU"/>
        </w:rPr>
        <w:t xml:space="preserve">In all patients with elevated alanine aminotransferase (ALT) values at baseline (82 of 84 patients in clinical trials), reductions in ALT values were observed, generally within 2 weeks after initiation of treatment with </w:t>
      </w:r>
      <w:proofErr w:type="spellStart"/>
      <w:r w:rsidR="002A1FA7">
        <w:rPr>
          <w:rFonts w:ascii="Times New Roman" w:hAnsi="Times New Roman" w:cs="Times New Roman"/>
          <w:bCs/>
          <w:color w:val="auto"/>
          <w:szCs w:val="22"/>
          <w:lang w:val="en-AU"/>
        </w:rPr>
        <w:t>sebelipase</w:t>
      </w:r>
      <w:proofErr w:type="spellEnd"/>
      <w:r w:rsidR="002A1FA7">
        <w:rPr>
          <w:rFonts w:ascii="Times New Roman" w:hAnsi="Times New Roman" w:cs="Times New Roman"/>
          <w:bCs/>
          <w:color w:val="auto"/>
          <w:szCs w:val="22"/>
          <w:lang w:val="en-AU"/>
        </w:rPr>
        <w:t xml:space="preserve"> </w:t>
      </w:r>
      <w:r w:rsidR="004C6656">
        <w:rPr>
          <w:rFonts w:ascii="Times New Roman" w:hAnsi="Times New Roman" w:cs="Times New Roman"/>
          <w:bCs/>
          <w:color w:val="auto"/>
          <w:szCs w:val="22"/>
          <w:lang w:val="en-AU"/>
        </w:rPr>
        <w:t>alfa</w:t>
      </w:r>
      <w:r w:rsidR="004C6656" w:rsidRPr="00B57A15">
        <w:rPr>
          <w:rFonts w:ascii="Times New Roman" w:hAnsi="Times New Roman" w:cs="Times New Roman"/>
          <w:bCs/>
          <w:i/>
          <w:color w:val="auto"/>
          <w:szCs w:val="22"/>
          <w:lang w:val="en-AU"/>
        </w:rPr>
        <w:t xml:space="preserve"> </w:t>
      </w:r>
      <w:proofErr w:type="spellStart"/>
      <w:r w:rsidR="004C6656" w:rsidRPr="00B57A15">
        <w:rPr>
          <w:rFonts w:ascii="Times New Roman" w:hAnsi="Times New Roman" w:cs="Times New Roman"/>
          <w:bCs/>
          <w:i/>
          <w:color w:val="auto"/>
          <w:szCs w:val="22"/>
          <w:lang w:val="en-AU"/>
        </w:rPr>
        <w:t>rce</w:t>
      </w:r>
      <w:proofErr w:type="spellEnd"/>
      <w:r w:rsidRPr="004B27EE">
        <w:rPr>
          <w:rFonts w:ascii="Times New Roman" w:hAnsi="Times New Roman" w:cs="Times New Roman"/>
          <w:bCs/>
          <w:color w:val="auto"/>
          <w:szCs w:val="22"/>
          <w:lang w:val="en-AU"/>
        </w:rPr>
        <w:t xml:space="preserve">. Treatment interruption resulted in increases in LDL-c and ALT values and decreases in HDL-c.  </w:t>
      </w:r>
    </w:p>
    <w:p w:rsidR="00621C6F" w:rsidRDefault="00621C6F" w:rsidP="00621C6F">
      <w:pPr>
        <w:pStyle w:val="Default"/>
        <w:rPr>
          <w:sz w:val="23"/>
          <w:szCs w:val="23"/>
        </w:rPr>
      </w:pPr>
      <w:r>
        <w:rPr>
          <w:sz w:val="23"/>
          <w:szCs w:val="23"/>
        </w:rPr>
        <w:t xml:space="preserve"> </w:t>
      </w:r>
    </w:p>
    <w:p w:rsidR="0062284C" w:rsidRDefault="0062284C" w:rsidP="00575C96">
      <w:pPr>
        <w:pStyle w:val="PIMinorHeading"/>
      </w:pPr>
      <w:r w:rsidRPr="000863B0">
        <w:t>Pharmacokinetics</w:t>
      </w:r>
    </w:p>
    <w:p w:rsidR="00E7045E" w:rsidRDefault="00E7045E" w:rsidP="004B27EE">
      <w:pPr>
        <w:numPr>
          <w:ilvl w:val="12"/>
          <w:numId w:val="0"/>
        </w:numPr>
        <w:ind w:right="-2"/>
        <w:rPr>
          <w:bCs/>
          <w:szCs w:val="24"/>
          <w:lang w:val="en-GB"/>
        </w:rPr>
      </w:pPr>
      <w:r w:rsidRPr="00E7045E">
        <w:rPr>
          <w:bCs/>
          <w:szCs w:val="24"/>
          <w:lang w:val="en-GB"/>
        </w:rPr>
        <w:t xml:space="preserve">Based on a non-compartmental analysis of data from adults (LAL-CL01/LAL-CL-04), the pharmacokinetics of </w:t>
      </w:r>
      <w:proofErr w:type="spellStart"/>
      <w:r w:rsidRPr="00E7045E">
        <w:rPr>
          <w:bCs/>
          <w:szCs w:val="24"/>
          <w:lang w:val="en-GB"/>
        </w:rPr>
        <w:t>sebelipase</w:t>
      </w:r>
      <w:proofErr w:type="spellEnd"/>
      <w:r w:rsidRPr="00E7045E">
        <w:rPr>
          <w:bCs/>
          <w:szCs w:val="24"/>
          <w:lang w:val="en-GB"/>
        </w:rPr>
        <w:t xml:space="preserve"> </w:t>
      </w:r>
      <w:r w:rsidR="004C6656">
        <w:rPr>
          <w:bCs/>
          <w:szCs w:val="24"/>
          <w:lang w:val="en-GB"/>
        </w:rPr>
        <w:t>alfa</w:t>
      </w:r>
      <w:r w:rsidR="004C6656" w:rsidRPr="00B57A15">
        <w:rPr>
          <w:bCs/>
          <w:i/>
          <w:szCs w:val="24"/>
          <w:lang w:val="en-GB"/>
        </w:rPr>
        <w:t xml:space="preserve"> </w:t>
      </w:r>
      <w:proofErr w:type="spellStart"/>
      <w:r w:rsidR="004C6656" w:rsidRPr="00B57A15">
        <w:rPr>
          <w:bCs/>
          <w:i/>
          <w:szCs w:val="24"/>
          <w:lang w:val="en-GB"/>
        </w:rPr>
        <w:t>rce</w:t>
      </w:r>
      <w:proofErr w:type="spellEnd"/>
      <w:r w:rsidRPr="00E7045E">
        <w:rPr>
          <w:bCs/>
          <w:szCs w:val="24"/>
          <w:lang w:val="en-GB"/>
        </w:rPr>
        <w:t xml:space="preserve"> appeared to be nonlinear with a greater than dose-proportional increase in exposure observed between the 1 and 3 mg/kg dosages. No accumulation was seen at 1 mg/kg (once weekly or </w:t>
      </w:r>
      <w:r>
        <w:rPr>
          <w:bCs/>
          <w:szCs w:val="24"/>
          <w:lang w:val="en-GB"/>
        </w:rPr>
        <w:t>fortnightly</w:t>
      </w:r>
      <w:r w:rsidRPr="00E7045E">
        <w:rPr>
          <w:bCs/>
          <w:szCs w:val="24"/>
          <w:lang w:val="en-GB"/>
        </w:rPr>
        <w:t xml:space="preserve">) or 3 mg/kg </w:t>
      </w:r>
      <w:r w:rsidR="0034204F">
        <w:rPr>
          <w:bCs/>
          <w:szCs w:val="24"/>
          <w:lang w:val="en-GB"/>
        </w:rPr>
        <w:t>per week</w:t>
      </w:r>
      <w:r w:rsidRPr="00E7045E">
        <w:rPr>
          <w:bCs/>
          <w:szCs w:val="24"/>
          <w:lang w:val="en-GB"/>
        </w:rPr>
        <w:t>.</w:t>
      </w:r>
    </w:p>
    <w:p w:rsidR="00E7045E" w:rsidRPr="004B27EE" w:rsidRDefault="00E7045E" w:rsidP="004B27EE">
      <w:pPr>
        <w:numPr>
          <w:ilvl w:val="12"/>
          <w:numId w:val="0"/>
        </w:numPr>
        <w:ind w:right="-2"/>
        <w:rPr>
          <w:bCs/>
          <w:szCs w:val="24"/>
          <w:lang w:val="en-GB"/>
        </w:rPr>
      </w:pPr>
    </w:p>
    <w:p w:rsidR="004B27EE" w:rsidRDefault="00345902" w:rsidP="004B27EE">
      <w:pPr>
        <w:numPr>
          <w:ilvl w:val="12"/>
          <w:numId w:val="0"/>
        </w:numPr>
        <w:ind w:right="-2"/>
        <w:rPr>
          <w:bCs/>
          <w:szCs w:val="24"/>
          <w:lang w:val="en-GB"/>
        </w:rPr>
      </w:pPr>
      <w:r>
        <w:rPr>
          <w:bCs/>
          <w:szCs w:val="24"/>
          <w:lang w:val="en-GB"/>
        </w:rPr>
        <w:t xml:space="preserve">The pharmacokinetics of </w:t>
      </w:r>
      <w:proofErr w:type="spellStart"/>
      <w:r>
        <w:rPr>
          <w:bCs/>
          <w:szCs w:val="24"/>
          <w:lang w:val="en-GB"/>
        </w:rPr>
        <w:t>sebelipase</w:t>
      </w:r>
      <w:proofErr w:type="spellEnd"/>
      <w:r>
        <w:rPr>
          <w:bCs/>
          <w:szCs w:val="24"/>
          <w:lang w:val="en-GB"/>
        </w:rPr>
        <w:t xml:space="preserve"> </w:t>
      </w:r>
      <w:r w:rsidR="004C6656">
        <w:rPr>
          <w:bCs/>
          <w:szCs w:val="24"/>
          <w:lang w:val="en-GB"/>
        </w:rPr>
        <w:t>alfa</w:t>
      </w:r>
      <w:r w:rsidR="004C6656" w:rsidRPr="00B57A15">
        <w:rPr>
          <w:bCs/>
          <w:i/>
          <w:szCs w:val="24"/>
          <w:lang w:val="en-GB"/>
        </w:rPr>
        <w:t xml:space="preserve"> </w:t>
      </w:r>
      <w:proofErr w:type="spellStart"/>
      <w:r w:rsidR="004C6656" w:rsidRPr="00B57A15">
        <w:rPr>
          <w:bCs/>
          <w:i/>
          <w:szCs w:val="24"/>
          <w:lang w:val="en-GB"/>
        </w:rPr>
        <w:t>rce</w:t>
      </w:r>
      <w:proofErr w:type="spellEnd"/>
      <w:r>
        <w:rPr>
          <w:bCs/>
          <w:szCs w:val="24"/>
          <w:lang w:val="en-GB"/>
        </w:rPr>
        <w:t xml:space="preserve"> in children and adults were determined u</w:t>
      </w:r>
      <w:r w:rsidR="004B27EE" w:rsidRPr="004B27EE">
        <w:rPr>
          <w:bCs/>
          <w:szCs w:val="24"/>
          <w:lang w:val="en-GB"/>
        </w:rPr>
        <w:t xml:space="preserve">sing a population pharmacokinetic </w:t>
      </w:r>
      <w:r>
        <w:rPr>
          <w:bCs/>
          <w:szCs w:val="24"/>
          <w:lang w:val="en-GB"/>
        </w:rPr>
        <w:t xml:space="preserve">analysis of </w:t>
      </w:r>
      <w:r w:rsidR="004B27EE" w:rsidRPr="004B27EE">
        <w:rPr>
          <w:bCs/>
          <w:szCs w:val="24"/>
          <w:lang w:val="en-GB"/>
        </w:rPr>
        <w:t xml:space="preserve">65 patients </w:t>
      </w:r>
      <w:r>
        <w:rPr>
          <w:bCs/>
          <w:szCs w:val="24"/>
          <w:lang w:val="en-GB"/>
        </w:rPr>
        <w:t xml:space="preserve">with LAL-D </w:t>
      </w:r>
      <w:r w:rsidR="004B27EE" w:rsidRPr="004B27EE">
        <w:rPr>
          <w:bCs/>
          <w:szCs w:val="24"/>
          <w:lang w:val="en-GB"/>
        </w:rPr>
        <w:t xml:space="preserve">who received </w:t>
      </w:r>
      <w:r>
        <w:rPr>
          <w:bCs/>
          <w:szCs w:val="24"/>
          <w:lang w:val="en-GB"/>
        </w:rPr>
        <w:t xml:space="preserve">fortnightly </w:t>
      </w:r>
      <w:r w:rsidR="004B27EE" w:rsidRPr="004B27EE">
        <w:rPr>
          <w:bCs/>
          <w:szCs w:val="24"/>
          <w:lang w:val="en-GB"/>
        </w:rPr>
        <w:t xml:space="preserve">intravenous infusions of 1 mg/kg </w:t>
      </w:r>
      <w:proofErr w:type="spellStart"/>
      <w:r>
        <w:rPr>
          <w:bCs/>
          <w:szCs w:val="24"/>
          <w:lang w:val="en-GB"/>
        </w:rPr>
        <w:t>sebelipase</w:t>
      </w:r>
      <w:proofErr w:type="spellEnd"/>
      <w:r>
        <w:rPr>
          <w:bCs/>
          <w:szCs w:val="24"/>
          <w:lang w:val="en-GB"/>
        </w:rPr>
        <w:t xml:space="preserve"> </w:t>
      </w:r>
      <w:r w:rsidR="004C6656">
        <w:rPr>
          <w:bCs/>
          <w:szCs w:val="24"/>
          <w:lang w:val="en-GB"/>
        </w:rPr>
        <w:t>alfa</w:t>
      </w:r>
      <w:r w:rsidR="004C6656" w:rsidRPr="00B57A15">
        <w:rPr>
          <w:bCs/>
          <w:i/>
          <w:szCs w:val="24"/>
          <w:lang w:val="en-GB"/>
        </w:rPr>
        <w:t xml:space="preserve"> </w:t>
      </w:r>
      <w:proofErr w:type="spellStart"/>
      <w:r w:rsidR="004C6656" w:rsidRPr="00B57A15">
        <w:rPr>
          <w:bCs/>
          <w:i/>
          <w:szCs w:val="24"/>
          <w:lang w:val="en-GB"/>
        </w:rPr>
        <w:t>rce</w:t>
      </w:r>
      <w:proofErr w:type="spellEnd"/>
      <w:r>
        <w:rPr>
          <w:bCs/>
          <w:szCs w:val="24"/>
          <w:lang w:val="en-GB"/>
        </w:rPr>
        <w:t xml:space="preserve"> in LAL-CL02 </w:t>
      </w:r>
      <w:r w:rsidR="004B27EE" w:rsidRPr="004B27EE">
        <w:rPr>
          <w:bCs/>
          <w:szCs w:val="24"/>
          <w:lang w:val="en-GB"/>
        </w:rPr>
        <w:t>(</w:t>
      </w:r>
      <w:r w:rsidR="00231D2B">
        <w:rPr>
          <w:bCs/>
          <w:szCs w:val="24"/>
          <w:lang w:val="en-GB"/>
        </w:rPr>
        <w:t xml:space="preserve">refer to </w:t>
      </w:r>
      <w:r>
        <w:rPr>
          <w:bCs/>
          <w:szCs w:val="24"/>
          <w:lang w:val="en-GB"/>
        </w:rPr>
        <w:fldChar w:fldCharType="begin"/>
      </w:r>
      <w:r>
        <w:rPr>
          <w:bCs/>
          <w:szCs w:val="24"/>
          <w:lang w:val="en-GB"/>
        </w:rPr>
        <w:instrText xml:space="preserve"> REF _Ref399161808 \h </w:instrText>
      </w:r>
      <w:r>
        <w:rPr>
          <w:bCs/>
          <w:szCs w:val="24"/>
          <w:lang w:val="en-GB"/>
        </w:rPr>
      </w:r>
      <w:r>
        <w:rPr>
          <w:bCs/>
          <w:szCs w:val="24"/>
          <w:lang w:val="en-GB"/>
        </w:rPr>
        <w:fldChar w:fldCharType="separate"/>
      </w:r>
      <w:r w:rsidR="0035098F" w:rsidRPr="001B2C4B">
        <w:rPr>
          <w:b/>
        </w:rPr>
        <w:t xml:space="preserve">Table </w:t>
      </w:r>
      <w:r w:rsidR="0035098F">
        <w:rPr>
          <w:b/>
          <w:noProof/>
        </w:rPr>
        <w:t>1</w:t>
      </w:r>
      <w:r>
        <w:rPr>
          <w:bCs/>
          <w:szCs w:val="24"/>
          <w:lang w:val="en-GB"/>
        </w:rPr>
        <w:fldChar w:fldCharType="end"/>
      </w:r>
      <w:r w:rsidR="004B27EE" w:rsidRPr="004B27EE">
        <w:rPr>
          <w:bCs/>
          <w:szCs w:val="24"/>
          <w:lang w:val="en-GB"/>
        </w:rPr>
        <w:t>)</w:t>
      </w:r>
      <w:r>
        <w:rPr>
          <w:bCs/>
          <w:szCs w:val="24"/>
          <w:lang w:val="en-GB"/>
        </w:rPr>
        <w:t xml:space="preserve">. </w:t>
      </w:r>
      <w:r w:rsidR="005A0613">
        <w:rPr>
          <w:bCs/>
          <w:szCs w:val="24"/>
        </w:rPr>
        <w:t>Twenty four patients were 4 to 11 years old, 23 were 12 to 17 years old, and 18 were adults</w:t>
      </w:r>
      <w:r w:rsidR="00F9680F">
        <w:rPr>
          <w:bCs/>
          <w:szCs w:val="24"/>
        </w:rPr>
        <w:t xml:space="preserve"> (18 years and over)</w:t>
      </w:r>
      <w:r w:rsidR="005A0613">
        <w:rPr>
          <w:bCs/>
          <w:szCs w:val="24"/>
        </w:rPr>
        <w:t>.</w:t>
      </w:r>
      <w:r w:rsidR="009D44D2">
        <w:rPr>
          <w:bCs/>
          <w:szCs w:val="24"/>
        </w:rPr>
        <w:t xml:space="preserve"> </w:t>
      </w:r>
      <w:r w:rsidR="004B27EE" w:rsidRPr="004B27EE">
        <w:rPr>
          <w:bCs/>
          <w:szCs w:val="24"/>
          <w:lang w:val="en-GB"/>
        </w:rPr>
        <w:t xml:space="preserve">The pharmacokinetic profiles of </w:t>
      </w:r>
      <w:proofErr w:type="spellStart"/>
      <w:r w:rsidR="004B27EE" w:rsidRPr="004B27EE">
        <w:rPr>
          <w:bCs/>
          <w:szCs w:val="24"/>
          <w:lang w:val="en-GB"/>
        </w:rPr>
        <w:t>sebelipase</w:t>
      </w:r>
      <w:proofErr w:type="spellEnd"/>
      <w:r w:rsidR="004B27EE" w:rsidRPr="004B27EE">
        <w:rPr>
          <w:bCs/>
          <w:szCs w:val="24"/>
          <w:lang w:val="en-GB"/>
        </w:rPr>
        <w:t xml:space="preserve"> </w:t>
      </w:r>
      <w:r w:rsidR="004C6656">
        <w:rPr>
          <w:bCs/>
          <w:szCs w:val="24"/>
          <w:lang w:val="en-GB"/>
        </w:rPr>
        <w:t>alfa</w:t>
      </w:r>
      <w:r w:rsidR="004C6656" w:rsidRPr="00B57A15">
        <w:rPr>
          <w:bCs/>
          <w:i/>
          <w:szCs w:val="24"/>
          <w:lang w:val="en-GB"/>
        </w:rPr>
        <w:t xml:space="preserve"> </w:t>
      </w:r>
      <w:proofErr w:type="spellStart"/>
      <w:r w:rsidR="004C6656" w:rsidRPr="00B57A15">
        <w:rPr>
          <w:bCs/>
          <w:i/>
          <w:szCs w:val="24"/>
          <w:lang w:val="en-GB"/>
        </w:rPr>
        <w:t>rce</w:t>
      </w:r>
      <w:proofErr w:type="spellEnd"/>
      <w:r w:rsidR="004B27EE" w:rsidRPr="004B27EE">
        <w:rPr>
          <w:bCs/>
          <w:szCs w:val="24"/>
          <w:lang w:val="en-GB"/>
        </w:rPr>
        <w:t xml:space="preserve"> were similar between adolescents and adults.  The </w:t>
      </w:r>
      <w:proofErr w:type="spellStart"/>
      <w:r w:rsidR="004B27EE" w:rsidRPr="004B27EE">
        <w:rPr>
          <w:bCs/>
          <w:szCs w:val="24"/>
          <w:lang w:val="en-GB"/>
        </w:rPr>
        <w:t>T</w:t>
      </w:r>
      <w:r w:rsidR="004B27EE" w:rsidRPr="004B27EE">
        <w:rPr>
          <w:bCs/>
          <w:szCs w:val="24"/>
          <w:vertAlign w:val="subscript"/>
          <w:lang w:val="en-GB"/>
        </w:rPr>
        <w:t>max</w:t>
      </w:r>
      <w:proofErr w:type="spellEnd"/>
      <w:r w:rsidR="004B27EE" w:rsidRPr="004B27EE">
        <w:rPr>
          <w:bCs/>
          <w:szCs w:val="24"/>
          <w:lang w:val="en-GB"/>
        </w:rPr>
        <w:t xml:space="preserve"> and T</w:t>
      </w:r>
      <w:r w:rsidR="004B27EE" w:rsidRPr="004B27EE">
        <w:rPr>
          <w:bCs/>
          <w:szCs w:val="24"/>
          <w:vertAlign w:val="subscript"/>
          <w:lang w:val="en-GB"/>
        </w:rPr>
        <w:t>1/2</w:t>
      </w:r>
      <w:r w:rsidR="004B27EE" w:rsidRPr="004B27EE">
        <w:rPr>
          <w:bCs/>
          <w:szCs w:val="24"/>
          <w:lang w:val="en-GB"/>
        </w:rPr>
        <w:t xml:space="preserve"> were similar across all age groups.</w:t>
      </w:r>
    </w:p>
    <w:p w:rsidR="001C7B9D" w:rsidRDefault="001C7B9D" w:rsidP="004B27EE">
      <w:pPr>
        <w:numPr>
          <w:ilvl w:val="12"/>
          <w:numId w:val="0"/>
        </w:numPr>
        <w:ind w:right="-2"/>
        <w:rPr>
          <w:bCs/>
          <w:szCs w:val="24"/>
          <w:lang w:val="en-GB"/>
        </w:rPr>
      </w:pPr>
    </w:p>
    <w:p w:rsidR="006C2FED" w:rsidRDefault="006C2FED" w:rsidP="00012A47">
      <w:pPr>
        <w:keepNext/>
        <w:spacing w:before="120" w:after="120"/>
        <w:jc w:val="center"/>
        <w:rPr>
          <w:b/>
          <w:color w:val="000000"/>
          <w:szCs w:val="24"/>
        </w:rPr>
      </w:pPr>
      <w:bookmarkStart w:id="3" w:name="_Ref399161808"/>
      <w:r w:rsidRPr="001B2C4B">
        <w:rPr>
          <w:b/>
        </w:rPr>
        <w:t xml:space="preserve">Table </w:t>
      </w:r>
      <w:r w:rsidRPr="001B2C4B">
        <w:rPr>
          <w:b/>
        </w:rPr>
        <w:fldChar w:fldCharType="begin"/>
      </w:r>
      <w:r w:rsidRPr="001B2C4B">
        <w:rPr>
          <w:b/>
        </w:rPr>
        <w:instrText xml:space="preserve"> SEQ Table \* ARABIC </w:instrText>
      </w:r>
      <w:r w:rsidRPr="001B2C4B">
        <w:rPr>
          <w:b/>
        </w:rPr>
        <w:fldChar w:fldCharType="separate"/>
      </w:r>
      <w:r w:rsidR="0035098F">
        <w:rPr>
          <w:b/>
          <w:noProof/>
        </w:rPr>
        <w:t>1</w:t>
      </w:r>
      <w:r w:rsidRPr="001B2C4B">
        <w:rPr>
          <w:b/>
        </w:rPr>
        <w:fldChar w:fldCharType="end"/>
      </w:r>
      <w:bookmarkEnd w:id="3"/>
      <w:r w:rsidRPr="001B2C4B">
        <w:rPr>
          <w:b/>
        </w:rPr>
        <w:t>:</w:t>
      </w:r>
      <w:r>
        <w:rPr>
          <w:b/>
          <w:color w:val="000000"/>
          <w:szCs w:val="24"/>
        </w:rPr>
        <w:t xml:space="preserve">  </w:t>
      </w:r>
      <w:r w:rsidRPr="00D32A3B">
        <w:rPr>
          <w:b/>
        </w:rPr>
        <w:t xml:space="preserve">Mean Pharmacokinetics Parameters </w:t>
      </w:r>
      <w:r w:rsidR="00231D2B">
        <w:rPr>
          <w:b/>
        </w:rPr>
        <w:t>at Week 22^</w:t>
      </w:r>
    </w:p>
    <w:tbl>
      <w:tblPr>
        <w:tblW w:w="3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896"/>
        <w:gridCol w:w="1644"/>
        <w:gridCol w:w="1730"/>
      </w:tblGrid>
      <w:tr w:rsidR="00345902" w:rsidRPr="00E503AF" w:rsidTr="00012A47">
        <w:trPr>
          <w:trHeight w:val="20"/>
          <w:tblHeader/>
          <w:jc w:val="center"/>
        </w:trPr>
        <w:tc>
          <w:tcPr>
            <w:tcW w:w="1433" w:type="dxa"/>
            <w:vMerge w:val="restart"/>
            <w:tcBorders>
              <w:top w:val="single" w:sz="4" w:space="0" w:color="auto"/>
              <w:left w:val="single" w:sz="4" w:space="0" w:color="auto"/>
              <w:right w:val="single" w:sz="4" w:space="0" w:color="auto"/>
            </w:tcBorders>
            <w:shd w:val="clear" w:color="auto" w:fill="auto"/>
            <w:vAlign w:val="center"/>
          </w:tcPr>
          <w:p w:rsidR="00345902" w:rsidRPr="00A2416F" w:rsidRDefault="00345902" w:rsidP="00A2416F">
            <w:pPr>
              <w:spacing w:before="60" w:after="60"/>
              <w:jc w:val="center"/>
              <w:rPr>
                <w:b/>
                <w:sz w:val="20"/>
                <w:szCs w:val="16"/>
                <w:lang w:eastAsia="ja-JP"/>
              </w:rPr>
            </w:pPr>
            <w:r w:rsidRPr="00A2416F">
              <w:rPr>
                <w:b/>
                <w:sz w:val="20"/>
                <w:szCs w:val="16"/>
                <w:lang w:eastAsia="ja-JP"/>
              </w:rPr>
              <w:t>Parameter</w:t>
            </w:r>
          </w:p>
        </w:tc>
        <w:tc>
          <w:tcPr>
            <w:tcW w:w="5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5902" w:rsidRPr="00A2416F" w:rsidRDefault="00345902" w:rsidP="00A2416F">
            <w:pPr>
              <w:keepNext/>
              <w:spacing w:before="60" w:after="60"/>
              <w:jc w:val="center"/>
              <w:rPr>
                <w:b/>
                <w:sz w:val="20"/>
                <w:szCs w:val="16"/>
                <w:lang w:eastAsia="ja-JP"/>
              </w:rPr>
            </w:pPr>
            <w:r w:rsidRPr="00A2416F">
              <w:rPr>
                <w:b/>
                <w:sz w:val="20"/>
                <w:szCs w:val="16"/>
                <w:lang w:eastAsia="ja-JP"/>
              </w:rPr>
              <w:t>Study LAL-CL02 – paediatric and adults</w:t>
            </w:r>
          </w:p>
          <w:p w:rsidR="00345902" w:rsidRPr="00A2416F" w:rsidRDefault="00345902" w:rsidP="00A2416F">
            <w:pPr>
              <w:keepNext/>
              <w:spacing w:before="60" w:after="60"/>
              <w:jc w:val="center"/>
              <w:rPr>
                <w:b/>
                <w:sz w:val="20"/>
                <w:szCs w:val="16"/>
                <w:lang w:eastAsia="ja-JP"/>
              </w:rPr>
            </w:pPr>
            <w:r w:rsidRPr="00A2416F">
              <w:rPr>
                <w:b/>
                <w:sz w:val="20"/>
                <w:szCs w:val="16"/>
                <w:lang w:eastAsia="ja-JP"/>
              </w:rPr>
              <w:t>1mg/kg per fortnight</w:t>
            </w:r>
          </w:p>
        </w:tc>
      </w:tr>
      <w:tr w:rsidR="00345902" w:rsidRPr="00E503AF" w:rsidTr="00012A47">
        <w:trPr>
          <w:trHeight w:val="20"/>
          <w:tblHeader/>
          <w:jc w:val="center"/>
        </w:trPr>
        <w:tc>
          <w:tcPr>
            <w:tcW w:w="1433" w:type="dxa"/>
            <w:vMerge/>
            <w:tcBorders>
              <w:left w:val="single" w:sz="4" w:space="0" w:color="auto"/>
              <w:right w:val="single" w:sz="4" w:space="0" w:color="auto"/>
            </w:tcBorders>
            <w:shd w:val="clear" w:color="auto" w:fill="auto"/>
            <w:vAlign w:val="center"/>
            <w:hideMark/>
          </w:tcPr>
          <w:p w:rsidR="00345902" w:rsidRPr="00A2416F" w:rsidRDefault="00345902" w:rsidP="00A2416F">
            <w:pPr>
              <w:spacing w:before="60" w:after="60"/>
              <w:jc w:val="center"/>
              <w:rPr>
                <w:b/>
                <w:sz w:val="20"/>
                <w:szCs w:val="16"/>
                <w:lang w:eastAsia="ja-JP"/>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345902" w:rsidRPr="00A2416F" w:rsidRDefault="00345902" w:rsidP="00A2416F">
            <w:pPr>
              <w:keepNext/>
              <w:spacing w:before="60" w:after="60"/>
              <w:jc w:val="center"/>
              <w:rPr>
                <w:b/>
                <w:sz w:val="20"/>
                <w:szCs w:val="16"/>
                <w:lang w:eastAsia="ja-JP"/>
              </w:rPr>
            </w:pPr>
            <w:r w:rsidRPr="00A2416F">
              <w:rPr>
                <w:b/>
                <w:sz w:val="20"/>
                <w:szCs w:val="16"/>
                <w:lang w:eastAsia="ja-JP"/>
              </w:rPr>
              <w:t xml:space="preserve">4-11 years old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345902" w:rsidRPr="00A2416F" w:rsidRDefault="00345902" w:rsidP="00A2416F">
            <w:pPr>
              <w:keepNext/>
              <w:spacing w:before="60" w:after="60"/>
              <w:jc w:val="center"/>
              <w:rPr>
                <w:b/>
                <w:sz w:val="20"/>
                <w:szCs w:val="16"/>
                <w:lang w:eastAsia="ja-JP"/>
              </w:rPr>
            </w:pPr>
            <w:r w:rsidRPr="00A2416F">
              <w:rPr>
                <w:b/>
                <w:sz w:val="20"/>
                <w:szCs w:val="16"/>
                <w:lang w:eastAsia="ja-JP"/>
              </w:rPr>
              <w:t>12-17 years old</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345902" w:rsidRPr="00A2416F" w:rsidRDefault="00345902" w:rsidP="00A2416F">
            <w:pPr>
              <w:keepNext/>
              <w:spacing w:before="60" w:after="60"/>
              <w:jc w:val="center"/>
              <w:rPr>
                <w:b/>
                <w:sz w:val="20"/>
                <w:szCs w:val="16"/>
                <w:lang w:eastAsia="ja-JP"/>
              </w:rPr>
            </w:pPr>
            <w:r w:rsidRPr="00A2416F">
              <w:rPr>
                <w:b/>
                <w:sz w:val="20"/>
                <w:szCs w:val="16"/>
                <w:lang w:eastAsia="ja-JP"/>
              </w:rPr>
              <w:t>≥18 years old</w:t>
            </w:r>
          </w:p>
        </w:tc>
      </w:tr>
      <w:tr w:rsidR="00345902" w:rsidRPr="00E503AF" w:rsidTr="00012A47">
        <w:trPr>
          <w:trHeight w:val="20"/>
          <w:jc w:val="center"/>
        </w:trPr>
        <w:tc>
          <w:tcPr>
            <w:tcW w:w="1433" w:type="dxa"/>
            <w:vMerge/>
            <w:tcBorders>
              <w:left w:val="single" w:sz="4" w:space="0" w:color="auto"/>
              <w:bottom w:val="single" w:sz="4" w:space="0" w:color="auto"/>
              <w:right w:val="single" w:sz="4" w:space="0" w:color="auto"/>
            </w:tcBorders>
            <w:shd w:val="clear" w:color="auto" w:fill="auto"/>
            <w:vAlign w:val="center"/>
            <w:hideMark/>
          </w:tcPr>
          <w:p w:rsidR="00345902" w:rsidRPr="00A2416F" w:rsidRDefault="00345902" w:rsidP="00A2416F">
            <w:pPr>
              <w:spacing w:before="60" w:after="60"/>
              <w:rPr>
                <w:b/>
                <w:sz w:val="20"/>
                <w:szCs w:val="16"/>
                <w:lang w:eastAsia="ja-JP"/>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5902" w:rsidRPr="00A2416F" w:rsidRDefault="00345902" w:rsidP="00A2416F">
            <w:pPr>
              <w:keepNext/>
              <w:spacing w:before="60" w:after="60"/>
              <w:ind w:left="-94" w:right="-113"/>
              <w:jc w:val="center"/>
              <w:rPr>
                <w:b/>
                <w:sz w:val="20"/>
                <w:szCs w:val="16"/>
                <w:lang w:eastAsia="ja-JP"/>
              </w:rPr>
            </w:pPr>
            <w:r w:rsidRPr="00A2416F">
              <w:rPr>
                <w:b/>
                <w:sz w:val="20"/>
                <w:szCs w:val="16"/>
                <w:lang w:eastAsia="ja-JP"/>
              </w:rPr>
              <w:t>n=24</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5902" w:rsidRPr="00A2416F" w:rsidRDefault="00345902" w:rsidP="00A2416F">
            <w:pPr>
              <w:keepNext/>
              <w:spacing w:before="60" w:after="60"/>
              <w:jc w:val="center"/>
              <w:rPr>
                <w:b/>
                <w:sz w:val="20"/>
                <w:szCs w:val="16"/>
                <w:lang w:eastAsia="ja-JP"/>
              </w:rPr>
            </w:pPr>
            <w:r w:rsidRPr="00A2416F">
              <w:rPr>
                <w:b/>
                <w:sz w:val="20"/>
                <w:szCs w:val="16"/>
                <w:lang w:eastAsia="ja-JP"/>
              </w:rPr>
              <w:t>n=23</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5902" w:rsidRPr="00A2416F" w:rsidRDefault="00345902" w:rsidP="00A2416F">
            <w:pPr>
              <w:keepNext/>
              <w:spacing w:before="60" w:after="60"/>
              <w:jc w:val="center"/>
              <w:rPr>
                <w:b/>
                <w:sz w:val="20"/>
                <w:szCs w:val="16"/>
                <w:lang w:eastAsia="ja-JP"/>
              </w:rPr>
            </w:pPr>
            <w:r w:rsidRPr="00A2416F">
              <w:rPr>
                <w:b/>
                <w:sz w:val="20"/>
                <w:szCs w:val="16"/>
                <w:lang w:eastAsia="ja-JP"/>
              </w:rPr>
              <w:t>n=18</w:t>
            </w:r>
          </w:p>
        </w:tc>
      </w:tr>
      <w:tr w:rsidR="005A0613" w:rsidRPr="00E503AF" w:rsidTr="00012A47">
        <w:trPr>
          <w:trHeight w:val="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5A0613" w:rsidP="00A2416F">
            <w:pPr>
              <w:keepNext/>
              <w:spacing w:before="60" w:after="60"/>
              <w:jc w:val="center"/>
              <w:rPr>
                <w:sz w:val="20"/>
                <w:szCs w:val="16"/>
                <w:lang w:eastAsia="ja-JP"/>
              </w:rPr>
            </w:pPr>
            <w:r w:rsidRPr="00A2416F">
              <w:rPr>
                <w:sz w:val="20"/>
                <w:szCs w:val="16"/>
                <w:lang w:eastAsia="ja-JP"/>
              </w:rPr>
              <w:t>AUC (</w:t>
            </w:r>
            <w:proofErr w:type="spellStart"/>
            <w:r w:rsidRPr="00A2416F">
              <w:rPr>
                <w:sz w:val="20"/>
                <w:szCs w:val="16"/>
                <w:lang w:eastAsia="ja-JP"/>
              </w:rPr>
              <w:t>ng∙hr</w:t>
            </w:r>
            <w:proofErr w:type="spellEnd"/>
            <w:r w:rsidRPr="00A2416F">
              <w:rPr>
                <w:sz w:val="20"/>
                <w:szCs w:val="16"/>
                <w:lang w:eastAsia="ja-JP"/>
              </w:rPr>
              <w:t>/mL)</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A2416F">
            <w:pPr>
              <w:keepNext/>
              <w:spacing w:before="60" w:after="60"/>
              <w:ind w:left="-102"/>
              <w:jc w:val="center"/>
              <w:rPr>
                <w:sz w:val="20"/>
                <w:szCs w:val="16"/>
                <w:lang w:eastAsia="ja-JP"/>
              </w:rPr>
            </w:pPr>
            <w:r>
              <w:rPr>
                <w:sz w:val="20"/>
                <w:szCs w:val="16"/>
                <w:lang w:eastAsia="ja-JP"/>
              </w:rPr>
              <w:t>941.6</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A2416F">
            <w:pPr>
              <w:keepNext/>
              <w:spacing w:before="60" w:after="60"/>
              <w:ind w:left="-102"/>
              <w:jc w:val="center"/>
              <w:rPr>
                <w:sz w:val="20"/>
                <w:szCs w:val="16"/>
                <w:lang w:eastAsia="ja-JP"/>
              </w:rPr>
            </w:pPr>
            <w:r>
              <w:rPr>
                <w:sz w:val="20"/>
                <w:szCs w:val="16"/>
                <w:lang w:eastAsia="ja-JP"/>
              </w:rPr>
              <w:t>1453.6</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E82D98" w:rsidP="00A2416F">
            <w:pPr>
              <w:keepNext/>
              <w:spacing w:before="60" w:after="60"/>
              <w:ind w:left="-102"/>
              <w:jc w:val="center"/>
              <w:rPr>
                <w:sz w:val="20"/>
                <w:szCs w:val="16"/>
                <w:lang w:eastAsia="ja-JP"/>
              </w:rPr>
            </w:pPr>
            <w:r>
              <w:rPr>
                <w:sz w:val="20"/>
                <w:szCs w:val="16"/>
                <w:lang w:eastAsia="ja-JP"/>
              </w:rPr>
              <w:t>1861.0</w:t>
            </w:r>
          </w:p>
        </w:tc>
      </w:tr>
      <w:tr w:rsidR="005A0613" w:rsidRPr="00E503AF" w:rsidTr="00012A47">
        <w:trPr>
          <w:trHeight w:val="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5A0613" w:rsidP="00A2416F">
            <w:pPr>
              <w:keepNext/>
              <w:spacing w:before="60" w:after="60"/>
              <w:jc w:val="center"/>
              <w:rPr>
                <w:sz w:val="20"/>
                <w:szCs w:val="16"/>
                <w:lang w:eastAsia="ja-JP"/>
              </w:rPr>
            </w:pPr>
            <w:proofErr w:type="spellStart"/>
            <w:r w:rsidRPr="00A2416F">
              <w:rPr>
                <w:sz w:val="20"/>
                <w:szCs w:val="16"/>
                <w:lang w:eastAsia="ja-JP"/>
              </w:rPr>
              <w:t>C</w:t>
            </w:r>
            <w:r w:rsidRPr="00A2416F">
              <w:rPr>
                <w:sz w:val="20"/>
                <w:szCs w:val="16"/>
                <w:vertAlign w:val="subscript"/>
                <w:lang w:eastAsia="ja-JP"/>
              </w:rPr>
              <w:t>max</w:t>
            </w:r>
            <w:proofErr w:type="spellEnd"/>
            <w:r w:rsidRPr="00A2416F">
              <w:rPr>
                <w:sz w:val="20"/>
                <w:szCs w:val="16"/>
                <w:lang w:eastAsia="ja-JP"/>
              </w:rPr>
              <w:t xml:space="preserve"> (ng/mL)</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A2416F">
            <w:pPr>
              <w:keepNext/>
              <w:spacing w:before="60" w:after="60"/>
              <w:ind w:left="-102"/>
              <w:jc w:val="center"/>
              <w:rPr>
                <w:sz w:val="20"/>
                <w:szCs w:val="16"/>
                <w:lang w:eastAsia="ja-JP"/>
              </w:rPr>
            </w:pPr>
            <w:r>
              <w:rPr>
                <w:sz w:val="20"/>
                <w:szCs w:val="16"/>
                <w:lang w:eastAsia="ja-JP"/>
              </w:rPr>
              <w:t>489.6</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5A0613" w:rsidP="00DB55A8">
            <w:pPr>
              <w:keepNext/>
              <w:spacing w:before="60" w:after="60"/>
              <w:ind w:left="-102"/>
              <w:jc w:val="center"/>
              <w:rPr>
                <w:sz w:val="20"/>
                <w:szCs w:val="16"/>
                <w:lang w:eastAsia="ja-JP"/>
              </w:rPr>
            </w:pPr>
            <w:r w:rsidRPr="00A2416F">
              <w:rPr>
                <w:sz w:val="20"/>
                <w:szCs w:val="16"/>
                <w:lang w:eastAsia="ja-JP"/>
              </w:rPr>
              <w:t>78</w:t>
            </w:r>
            <w:r w:rsidR="00DB55A8">
              <w:rPr>
                <w:sz w:val="20"/>
                <w:szCs w:val="16"/>
                <w:lang w:eastAsia="ja-JP"/>
              </w:rPr>
              <w:t>3.6</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E82D98" w:rsidP="00A2416F">
            <w:pPr>
              <w:keepNext/>
              <w:spacing w:before="60" w:after="60"/>
              <w:ind w:left="-102"/>
              <w:jc w:val="center"/>
              <w:rPr>
                <w:sz w:val="20"/>
                <w:szCs w:val="16"/>
                <w:lang w:eastAsia="ja-JP"/>
              </w:rPr>
            </w:pPr>
            <w:r>
              <w:rPr>
                <w:sz w:val="20"/>
                <w:szCs w:val="16"/>
                <w:lang w:eastAsia="ja-JP"/>
              </w:rPr>
              <w:t>957.0</w:t>
            </w:r>
          </w:p>
        </w:tc>
      </w:tr>
      <w:tr w:rsidR="005A0613" w:rsidRPr="00E503AF" w:rsidTr="00012A47">
        <w:trPr>
          <w:trHeight w:val="143"/>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5A0613" w:rsidP="00A2416F">
            <w:pPr>
              <w:keepNext/>
              <w:spacing w:before="60" w:after="60"/>
              <w:jc w:val="center"/>
              <w:rPr>
                <w:sz w:val="20"/>
                <w:szCs w:val="16"/>
                <w:lang w:eastAsia="ja-JP"/>
              </w:rPr>
            </w:pPr>
            <w:proofErr w:type="spellStart"/>
            <w:r w:rsidRPr="00A2416F">
              <w:rPr>
                <w:sz w:val="20"/>
                <w:szCs w:val="16"/>
                <w:lang w:eastAsia="ja-JP"/>
              </w:rPr>
              <w:t>T</w:t>
            </w:r>
            <w:r w:rsidRPr="00A2416F">
              <w:rPr>
                <w:sz w:val="20"/>
                <w:szCs w:val="16"/>
                <w:vertAlign w:val="subscript"/>
                <w:lang w:eastAsia="ja-JP"/>
              </w:rPr>
              <w:t>max</w:t>
            </w:r>
            <w:proofErr w:type="spellEnd"/>
            <w:r w:rsidRPr="00A2416F">
              <w:rPr>
                <w:sz w:val="20"/>
                <w:szCs w:val="16"/>
                <w:lang w:eastAsia="ja-JP"/>
              </w:rPr>
              <w:t xml:space="preserve"> (hr)</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A2416F">
            <w:pPr>
              <w:spacing w:before="60" w:after="60"/>
              <w:jc w:val="center"/>
              <w:rPr>
                <w:sz w:val="20"/>
                <w:szCs w:val="16"/>
              </w:rPr>
            </w:pPr>
            <w:r>
              <w:rPr>
                <w:sz w:val="20"/>
                <w:szCs w:val="16"/>
              </w:rPr>
              <w:t>1.3</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DB55A8">
            <w:pPr>
              <w:spacing w:before="60" w:after="60"/>
              <w:jc w:val="center"/>
              <w:rPr>
                <w:sz w:val="20"/>
                <w:szCs w:val="16"/>
              </w:rPr>
            </w:pPr>
            <w:r>
              <w:rPr>
                <w:sz w:val="20"/>
                <w:szCs w:val="16"/>
              </w:rPr>
              <w:t>1.1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E82D98" w:rsidP="00A2416F">
            <w:pPr>
              <w:spacing w:before="60" w:after="60"/>
              <w:jc w:val="center"/>
              <w:rPr>
                <w:sz w:val="20"/>
                <w:szCs w:val="16"/>
              </w:rPr>
            </w:pPr>
            <w:r>
              <w:rPr>
                <w:sz w:val="20"/>
                <w:szCs w:val="16"/>
              </w:rPr>
              <w:t>1.3</w:t>
            </w:r>
          </w:p>
        </w:tc>
      </w:tr>
      <w:tr w:rsidR="005A0613" w:rsidRPr="00E503AF" w:rsidTr="00012A47">
        <w:trPr>
          <w:trHeight w:val="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5A0613" w:rsidP="00A2416F">
            <w:pPr>
              <w:keepNext/>
              <w:spacing w:before="60" w:after="60"/>
              <w:ind w:right="-122"/>
              <w:jc w:val="center"/>
              <w:rPr>
                <w:sz w:val="20"/>
                <w:szCs w:val="16"/>
                <w:lang w:eastAsia="ja-JP"/>
              </w:rPr>
            </w:pPr>
            <w:r w:rsidRPr="00A2416F">
              <w:rPr>
                <w:sz w:val="20"/>
                <w:szCs w:val="16"/>
                <w:lang w:eastAsia="ja-JP"/>
              </w:rPr>
              <w:t>CL (L/hr)</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A2416F">
            <w:pPr>
              <w:spacing w:before="60" w:after="60"/>
              <w:jc w:val="center"/>
              <w:rPr>
                <w:sz w:val="20"/>
                <w:szCs w:val="16"/>
              </w:rPr>
            </w:pPr>
            <w:r>
              <w:rPr>
                <w:sz w:val="20"/>
                <w:szCs w:val="16"/>
              </w:rPr>
              <w:t>31.1</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A2416F">
            <w:pPr>
              <w:spacing w:before="60" w:after="60"/>
              <w:jc w:val="center"/>
              <w:rPr>
                <w:sz w:val="20"/>
                <w:szCs w:val="16"/>
              </w:rPr>
            </w:pPr>
            <w:r>
              <w:rPr>
                <w:sz w:val="20"/>
                <w:szCs w:val="16"/>
              </w:rPr>
              <w:t>37.4</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E82D98" w:rsidP="00A2416F">
            <w:pPr>
              <w:spacing w:before="60" w:after="60"/>
              <w:jc w:val="center"/>
              <w:rPr>
                <w:sz w:val="20"/>
                <w:szCs w:val="16"/>
              </w:rPr>
            </w:pPr>
            <w:r>
              <w:rPr>
                <w:sz w:val="20"/>
                <w:szCs w:val="16"/>
              </w:rPr>
              <w:t>38.2</w:t>
            </w:r>
          </w:p>
        </w:tc>
      </w:tr>
      <w:tr w:rsidR="005A0613" w:rsidRPr="00E503AF" w:rsidTr="00012A47">
        <w:trPr>
          <w:trHeight w:val="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5A0613" w:rsidP="00A2416F">
            <w:pPr>
              <w:keepNext/>
              <w:spacing w:before="60" w:after="60"/>
              <w:jc w:val="center"/>
              <w:rPr>
                <w:sz w:val="20"/>
                <w:szCs w:val="16"/>
                <w:lang w:eastAsia="ja-JP"/>
              </w:rPr>
            </w:pPr>
            <w:proofErr w:type="spellStart"/>
            <w:r w:rsidRPr="00A2416F">
              <w:rPr>
                <w:sz w:val="20"/>
                <w:szCs w:val="16"/>
                <w:lang w:eastAsia="ja-JP"/>
              </w:rPr>
              <w:t>V</w:t>
            </w:r>
            <w:r w:rsidRPr="00A2416F">
              <w:rPr>
                <w:sz w:val="20"/>
                <w:szCs w:val="16"/>
                <w:vertAlign w:val="subscript"/>
                <w:lang w:eastAsia="ja-JP"/>
              </w:rPr>
              <w:t>c</w:t>
            </w:r>
            <w:proofErr w:type="spellEnd"/>
            <w:r w:rsidRPr="00A2416F">
              <w:rPr>
                <w:sz w:val="20"/>
                <w:szCs w:val="16"/>
                <w:lang w:eastAsia="ja-JP"/>
              </w:rPr>
              <w:t xml:space="preserve"> (L)</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E63B11">
            <w:pPr>
              <w:spacing w:before="60" w:after="60"/>
              <w:jc w:val="center"/>
              <w:rPr>
                <w:sz w:val="20"/>
                <w:szCs w:val="16"/>
              </w:rPr>
            </w:pPr>
            <w:r>
              <w:rPr>
                <w:sz w:val="20"/>
                <w:szCs w:val="16"/>
              </w:rPr>
              <w:t>3.</w:t>
            </w:r>
            <w:r w:rsidR="00E63B11">
              <w:rPr>
                <w:sz w:val="20"/>
                <w:szCs w:val="16"/>
              </w:rPr>
              <w:t>7</w:t>
            </w:r>
            <w:r>
              <w:rPr>
                <w:sz w:val="20"/>
                <w:szCs w:val="16"/>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A2416F">
            <w:pPr>
              <w:spacing w:before="60" w:after="60"/>
              <w:jc w:val="center"/>
              <w:rPr>
                <w:sz w:val="20"/>
                <w:szCs w:val="16"/>
              </w:rPr>
            </w:pPr>
            <w:r>
              <w:rPr>
                <w:sz w:val="20"/>
                <w:szCs w:val="16"/>
              </w:rPr>
              <w:t>5.4</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E82D98" w:rsidP="00A2416F">
            <w:pPr>
              <w:spacing w:before="60" w:after="60"/>
              <w:jc w:val="center"/>
              <w:rPr>
                <w:sz w:val="20"/>
                <w:szCs w:val="16"/>
              </w:rPr>
            </w:pPr>
            <w:r>
              <w:rPr>
                <w:sz w:val="20"/>
                <w:szCs w:val="16"/>
              </w:rPr>
              <w:t>5.3</w:t>
            </w:r>
          </w:p>
        </w:tc>
      </w:tr>
      <w:tr w:rsidR="005A0613" w:rsidRPr="00E503AF" w:rsidTr="00012A47">
        <w:trPr>
          <w:trHeight w:val="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5A0613" w:rsidP="00DB55A8">
            <w:pPr>
              <w:keepNext/>
              <w:spacing w:before="60" w:after="60"/>
              <w:jc w:val="center"/>
              <w:rPr>
                <w:sz w:val="20"/>
                <w:szCs w:val="16"/>
                <w:lang w:eastAsia="ja-JP"/>
              </w:rPr>
            </w:pPr>
            <w:r w:rsidRPr="00A2416F">
              <w:rPr>
                <w:sz w:val="20"/>
                <w:szCs w:val="16"/>
                <w:lang w:eastAsia="ja-JP"/>
              </w:rPr>
              <w:t>T</w:t>
            </w:r>
            <w:r w:rsidRPr="00A2416F">
              <w:rPr>
                <w:sz w:val="20"/>
                <w:szCs w:val="16"/>
                <w:vertAlign w:val="subscript"/>
                <w:lang w:eastAsia="ja-JP"/>
              </w:rPr>
              <w:t xml:space="preserve">1/2 </w:t>
            </w:r>
            <w:r w:rsidRPr="00A2416F">
              <w:rPr>
                <w:sz w:val="20"/>
                <w:szCs w:val="16"/>
                <w:lang w:eastAsia="ja-JP"/>
              </w:rPr>
              <w:t>(</w:t>
            </w:r>
            <w:r w:rsidR="00DB55A8">
              <w:rPr>
                <w:sz w:val="20"/>
                <w:szCs w:val="16"/>
                <w:lang w:eastAsia="ja-JP"/>
              </w:rPr>
              <w:t>hr</w:t>
            </w:r>
            <w:r w:rsidRPr="00A2416F">
              <w:rPr>
                <w:sz w:val="20"/>
                <w:szCs w:val="16"/>
                <w:lang w:eastAsia="ja-JP"/>
              </w:rPr>
              <w:t>)</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A2416F">
            <w:pPr>
              <w:spacing w:before="60" w:after="60"/>
              <w:jc w:val="center"/>
              <w:rPr>
                <w:sz w:val="20"/>
                <w:szCs w:val="16"/>
              </w:rPr>
            </w:pPr>
            <w:r>
              <w:rPr>
                <w:sz w:val="20"/>
                <w:szCs w:val="16"/>
              </w:rPr>
              <w:t>0.1</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DB55A8" w:rsidP="00A2416F">
            <w:pPr>
              <w:spacing w:before="60" w:after="60"/>
              <w:jc w:val="center"/>
              <w:rPr>
                <w:sz w:val="20"/>
                <w:szCs w:val="16"/>
              </w:rPr>
            </w:pPr>
            <w:r>
              <w:rPr>
                <w:sz w:val="20"/>
                <w:szCs w:val="16"/>
              </w:rPr>
              <w:t>0.1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613" w:rsidRPr="00A2416F" w:rsidRDefault="00E82D98" w:rsidP="00A2416F">
            <w:pPr>
              <w:spacing w:before="60" w:after="60"/>
              <w:jc w:val="center"/>
              <w:rPr>
                <w:sz w:val="20"/>
                <w:szCs w:val="16"/>
              </w:rPr>
            </w:pPr>
            <w:r>
              <w:rPr>
                <w:sz w:val="20"/>
                <w:szCs w:val="16"/>
              </w:rPr>
              <w:t>0.1</w:t>
            </w:r>
          </w:p>
        </w:tc>
      </w:tr>
      <w:tr w:rsidR="006C2FED" w:rsidRPr="00E503AF" w:rsidTr="00012A47">
        <w:trPr>
          <w:trHeight w:val="20"/>
          <w:jc w:val="center"/>
        </w:trPr>
        <w:tc>
          <w:tcPr>
            <w:tcW w:w="6703" w:type="dxa"/>
            <w:gridSpan w:val="4"/>
            <w:tcBorders>
              <w:top w:val="single" w:sz="4" w:space="0" w:color="auto"/>
              <w:left w:val="nil"/>
              <w:bottom w:val="nil"/>
              <w:right w:val="nil"/>
            </w:tcBorders>
            <w:shd w:val="clear" w:color="auto" w:fill="auto"/>
            <w:vAlign w:val="center"/>
          </w:tcPr>
          <w:p w:rsidR="00231D2B" w:rsidRPr="00A2416F" w:rsidRDefault="00231D2B" w:rsidP="006454FD">
            <w:pPr>
              <w:pStyle w:val="NoSpacing"/>
              <w:ind w:left="8"/>
              <w:jc w:val="both"/>
              <w:rPr>
                <w:i/>
                <w:sz w:val="18"/>
                <w:szCs w:val="16"/>
              </w:rPr>
            </w:pPr>
            <w:r w:rsidRPr="00A2416F">
              <w:rPr>
                <w:i/>
                <w:sz w:val="18"/>
                <w:szCs w:val="16"/>
              </w:rPr>
              <w:t xml:space="preserve">^ Week 22 for placebo patients reset to Week 0, </w:t>
            </w:r>
            <w:proofErr w:type="spellStart"/>
            <w:r w:rsidRPr="00A2416F">
              <w:rPr>
                <w:i/>
                <w:sz w:val="18"/>
                <w:szCs w:val="16"/>
              </w:rPr>
              <w:t>ie</w:t>
            </w:r>
            <w:proofErr w:type="spellEnd"/>
            <w:r w:rsidRPr="00A2416F">
              <w:rPr>
                <w:i/>
                <w:sz w:val="18"/>
                <w:szCs w:val="16"/>
              </w:rPr>
              <w:t xml:space="preserve"> first week of active treatment</w:t>
            </w:r>
          </w:p>
          <w:p w:rsidR="006C2FED" w:rsidRPr="00A2416F" w:rsidRDefault="006C2FED" w:rsidP="006454FD">
            <w:pPr>
              <w:pStyle w:val="NoSpacing"/>
              <w:ind w:left="8"/>
              <w:jc w:val="both"/>
              <w:rPr>
                <w:i/>
                <w:sz w:val="20"/>
                <w:szCs w:val="16"/>
              </w:rPr>
            </w:pPr>
            <w:r w:rsidRPr="00A2416F">
              <w:rPr>
                <w:i/>
                <w:sz w:val="18"/>
                <w:szCs w:val="16"/>
              </w:rPr>
              <w:t>AUC = Area under the plasma concentration time curve</w:t>
            </w:r>
            <w:r w:rsidR="006454FD">
              <w:rPr>
                <w:i/>
                <w:sz w:val="18"/>
                <w:szCs w:val="16"/>
              </w:rPr>
              <w:t xml:space="preserve"> at steady state</w:t>
            </w:r>
            <w:r w:rsidRPr="00A2416F">
              <w:rPr>
                <w:i/>
                <w:sz w:val="18"/>
                <w:szCs w:val="16"/>
              </w:rPr>
              <w:t xml:space="preserve">. </w:t>
            </w:r>
            <w:proofErr w:type="spellStart"/>
            <w:r w:rsidRPr="00A2416F">
              <w:rPr>
                <w:i/>
                <w:sz w:val="18"/>
                <w:szCs w:val="16"/>
              </w:rPr>
              <w:t>C</w:t>
            </w:r>
            <w:r w:rsidRPr="00A2416F">
              <w:rPr>
                <w:i/>
                <w:sz w:val="18"/>
                <w:szCs w:val="16"/>
                <w:vertAlign w:val="subscript"/>
              </w:rPr>
              <w:t>max</w:t>
            </w:r>
            <w:proofErr w:type="spellEnd"/>
            <w:r w:rsidRPr="00A2416F">
              <w:rPr>
                <w:i/>
                <w:sz w:val="18"/>
                <w:szCs w:val="16"/>
              </w:rPr>
              <w:t xml:space="preserve"> = Maximum concentration. </w:t>
            </w:r>
            <w:proofErr w:type="spellStart"/>
            <w:r w:rsidRPr="00A2416F">
              <w:rPr>
                <w:i/>
                <w:sz w:val="18"/>
                <w:szCs w:val="16"/>
              </w:rPr>
              <w:t>T</w:t>
            </w:r>
            <w:r w:rsidRPr="00A2416F">
              <w:rPr>
                <w:i/>
                <w:sz w:val="18"/>
                <w:szCs w:val="16"/>
                <w:vertAlign w:val="subscript"/>
              </w:rPr>
              <w:t>max</w:t>
            </w:r>
            <w:proofErr w:type="spellEnd"/>
            <w:r w:rsidRPr="00A2416F">
              <w:rPr>
                <w:i/>
                <w:sz w:val="18"/>
                <w:szCs w:val="16"/>
              </w:rPr>
              <w:t xml:space="preserve"> = Time to maximum concentration. CL = Clearance. </w:t>
            </w:r>
            <w:proofErr w:type="spellStart"/>
            <w:r w:rsidRPr="00A2416F">
              <w:rPr>
                <w:i/>
                <w:sz w:val="18"/>
                <w:szCs w:val="16"/>
              </w:rPr>
              <w:t>V</w:t>
            </w:r>
            <w:r w:rsidRPr="00A2416F">
              <w:rPr>
                <w:i/>
                <w:sz w:val="18"/>
                <w:szCs w:val="16"/>
                <w:vertAlign w:val="subscript"/>
              </w:rPr>
              <w:t>c</w:t>
            </w:r>
            <w:proofErr w:type="spellEnd"/>
            <w:r w:rsidRPr="00A2416F">
              <w:rPr>
                <w:i/>
                <w:sz w:val="18"/>
                <w:szCs w:val="16"/>
              </w:rPr>
              <w:t xml:space="preserve"> = Central volume of distribution. T</w:t>
            </w:r>
            <w:r w:rsidRPr="00A2416F">
              <w:rPr>
                <w:i/>
                <w:sz w:val="18"/>
                <w:szCs w:val="16"/>
                <w:vertAlign w:val="subscript"/>
              </w:rPr>
              <w:t xml:space="preserve">1/2 </w:t>
            </w:r>
            <w:r w:rsidRPr="00A2416F">
              <w:rPr>
                <w:i/>
                <w:sz w:val="18"/>
                <w:szCs w:val="16"/>
              </w:rPr>
              <w:t>= Half-life.</w:t>
            </w:r>
          </w:p>
        </w:tc>
      </w:tr>
    </w:tbl>
    <w:p w:rsidR="00B1773E" w:rsidRDefault="00B1773E" w:rsidP="00EF3EBC">
      <w:pPr>
        <w:numPr>
          <w:ilvl w:val="12"/>
          <w:numId w:val="0"/>
        </w:numPr>
        <w:ind w:right="-2"/>
        <w:rPr>
          <w:szCs w:val="24"/>
        </w:rPr>
      </w:pPr>
    </w:p>
    <w:p w:rsidR="007671B5" w:rsidRPr="007671B5" w:rsidRDefault="007671B5" w:rsidP="000A4C59">
      <w:pPr>
        <w:pStyle w:val="PIMinorHeading"/>
        <w:rPr>
          <w:rFonts w:cs="Times New Roman"/>
          <w:b w:val="0"/>
          <w:iCs w:val="0"/>
          <w:szCs w:val="22"/>
          <w:lang w:val="en-US"/>
        </w:rPr>
      </w:pPr>
      <w:r w:rsidRPr="007671B5">
        <w:rPr>
          <w:rFonts w:cs="Times New Roman"/>
          <w:b w:val="0"/>
          <w:iCs w:val="0"/>
          <w:szCs w:val="22"/>
          <w:lang w:val="en-US"/>
        </w:rPr>
        <w:t xml:space="preserve">The volume of distribution was low, consistent with limited distribution of </w:t>
      </w:r>
      <w:proofErr w:type="spellStart"/>
      <w:r w:rsidRPr="007671B5">
        <w:rPr>
          <w:rFonts w:cs="Times New Roman"/>
          <w:b w:val="0"/>
          <w:iCs w:val="0"/>
          <w:szCs w:val="22"/>
          <w:lang w:val="en-US"/>
        </w:rPr>
        <w:t>sebelipase</w:t>
      </w:r>
      <w:proofErr w:type="spellEnd"/>
      <w:r w:rsidRPr="007671B5">
        <w:rPr>
          <w:rFonts w:cs="Times New Roman"/>
          <w:b w:val="0"/>
          <w:iCs w:val="0"/>
          <w:szCs w:val="22"/>
          <w:lang w:val="en-US"/>
        </w:rPr>
        <w:t xml:space="preserve"> </w:t>
      </w:r>
      <w:r w:rsidR="004C6656">
        <w:rPr>
          <w:rFonts w:cs="Times New Roman"/>
          <w:b w:val="0"/>
          <w:iCs w:val="0"/>
          <w:szCs w:val="22"/>
          <w:lang w:val="en-US"/>
        </w:rPr>
        <w:t>alfa</w:t>
      </w:r>
      <w:r w:rsidR="004C6656" w:rsidRPr="00B57A15">
        <w:rPr>
          <w:rFonts w:cs="Times New Roman"/>
          <w:b w:val="0"/>
          <w:i/>
          <w:iCs w:val="0"/>
          <w:szCs w:val="22"/>
          <w:lang w:val="en-US"/>
        </w:rPr>
        <w:t xml:space="preserve"> </w:t>
      </w:r>
      <w:proofErr w:type="spellStart"/>
      <w:r w:rsidR="004C6656" w:rsidRPr="00B57A15">
        <w:rPr>
          <w:rFonts w:cs="Times New Roman"/>
          <w:b w:val="0"/>
          <w:i/>
          <w:iCs w:val="0"/>
          <w:szCs w:val="22"/>
          <w:lang w:val="en-US"/>
        </w:rPr>
        <w:t>rce</w:t>
      </w:r>
      <w:proofErr w:type="spellEnd"/>
      <w:r w:rsidRPr="007671B5">
        <w:rPr>
          <w:rFonts w:cs="Times New Roman"/>
          <w:b w:val="0"/>
          <w:iCs w:val="0"/>
          <w:szCs w:val="22"/>
          <w:lang w:val="en-US"/>
        </w:rPr>
        <w:t xml:space="preserve"> into tissues. However, the pharmacology of </w:t>
      </w:r>
      <w:proofErr w:type="spellStart"/>
      <w:r w:rsidRPr="007671B5">
        <w:rPr>
          <w:rFonts w:cs="Times New Roman"/>
          <w:b w:val="0"/>
          <w:iCs w:val="0"/>
          <w:szCs w:val="22"/>
          <w:lang w:val="en-US"/>
        </w:rPr>
        <w:t>sebelipase</w:t>
      </w:r>
      <w:proofErr w:type="spellEnd"/>
      <w:r w:rsidRPr="007671B5">
        <w:rPr>
          <w:rFonts w:cs="Times New Roman"/>
          <w:b w:val="0"/>
          <w:iCs w:val="0"/>
          <w:szCs w:val="22"/>
          <w:lang w:val="en-US"/>
        </w:rPr>
        <w:t xml:space="preserve"> </w:t>
      </w:r>
      <w:r w:rsidR="004C6656">
        <w:rPr>
          <w:rFonts w:cs="Times New Roman"/>
          <w:b w:val="0"/>
          <w:iCs w:val="0"/>
          <w:szCs w:val="22"/>
          <w:lang w:val="en-US"/>
        </w:rPr>
        <w:t>alfa</w:t>
      </w:r>
      <w:r w:rsidR="004C6656" w:rsidRPr="00B57A15">
        <w:rPr>
          <w:rFonts w:cs="Times New Roman"/>
          <w:b w:val="0"/>
          <w:i/>
          <w:iCs w:val="0"/>
          <w:szCs w:val="22"/>
          <w:lang w:val="en-US"/>
        </w:rPr>
        <w:t xml:space="preserve"> </w:t>
      </w:r>
      <w:proofErr w:type="spellStart"/>
      <w:r w:rsidR="004C6656" w:rsidRPr="00B57A15">
        <w:rPr>
          <w:rFonts w:cs="Times New Roman"/>
          <w:b w:val="0"/>
          <w:i/>
          <w:iCs w:val="0"/>
          <w:szCs w:val="22"/>
          <w:lang w:val="en-US"/>
        </w:rPr>
        <w:t>rce</w:t>
      </w:r>
      <w:proofErr w:type="spellEnd"/>
      <w:r w:rsidRPr="007671B5">
        <w:rPr>
          <w:rFonts w:cs="Times New Roman"/>
          <w:b w:val="0"/>
          <w:iCs w:val="0"/>
          <w:szCs w:val="22"/>
          <w:lang w:val="en-US"/>
        </w:rPr>
        <w:t xml:space="preserve"> and results of </w:t>
      </w:r>
      <w:proofErr w:type="spellStart"/>
      <w:r w:rsidRPr="007671B5">
        <w:rPr>
          <w:rFonts w:cs="Times New Roman"/>
          <w:b w:val="0"/>
          <w:iCs w:val="0"/>
          <w:szCs w:val="22"/>
          <w:lang w:val="en-US"/>
        </w:rPr>
        <w:t>pharmacodynamic</w:t>
      </w:r>
      <w:proofErr w:type="spellEnd"/>
      <w:r w:rsidRPr="007671B5">
        <w:rPr>
          <w:rFonts w:cs="Times New Roman"/>
          <w:b w:val="0"/>
          <w:iCs w:val="0"/>
          <w:szCs w:val="22"/>
          <w:lang w:val="en-US"/>
        </w:rPr>
        <w:t xml:space="preserve"> studies in vitro and in LAL-D rats are consistent with the fraction of </w:t>
      </w:r>
      <w:proofErr w:type="spellStart"/>
      <w:r w:rsidRPr="007671B5">
        <w:rPr>
          <w:rFonts w:cs="Times New Roman"/>
          <w:b w:val="0"/>
          <w:iCs w:val="0"/>
          <w:szCs w:val="22"/>
          <w:lang w:val="en-US"/>
        </w:rPr>
        <w:t>sebelipase</w:t>
      </w:r>
      <w:proofErr w:type="spellEnd"/>
      <w:r w:rsidRPr="007671B5">
        <w:rPr>
          <w:rFonts w:cs="Times New Roman"/>
          <w:b w:val="0"/>
          <w:iCs w:val="0"/>
          <w:szCs w:val="22"/>
          <w:lang w:val="en-US"/>
        </w:rPr>
        <w:t xml:space="preserve"> </w:t>
      </w:r>
      <w:r w:rsidR="004C6656">
        <w:rPr>
          <w:rFonts w:cs="Times New Roman"/>
          <w:b w:val="0"/>
          <w:iCs w:val="0"/>
          <w:szCs w:val="22"/>
          <w:lang w:val="en-US"/>
        </w:rPr>
        <w:t>alfa</w:t>
      </w:r>
      <w:r w:rsidR="004C6656" w:rsidRPr="00B57A15">
        <w:rPr>
          <w:rFonts w:cs="Times New Roman"/>
          <w:b w:val="0"/>
          <w:i/>
          <w:iCs w:val="0"/>
          <w:szCs w:val="22"/>
          <w:lang w:val="en-US"/>
        </w:rPr>
        <w:t xml:space="preserve"> </w:t>
      </w:r>
      <w:proofErr w:type="spellStart"/>
      <w:r w:rsidR="004C6656" w:rsidRPr="00B57A15">
        <w:rPr>
          <w:rFonts w:cs="Times New Roman"/>
          <w:b w:val="0"/>
          <w:i/>
          <w:iCs w:val="0"/>
          <w:szCs w:val="22"/>
          <w:lang w:val="en-US"/>
        </w:rPr>
        <w:t>rce</w:t>
      </w:r>
      <w:proofErr w:type="spellEnd"/>
      <w:r w:rsidRPr="007671B5">
        <w:rPr>
          <w:rFonts w:cs="Times New Roman"/>
          <w:b w:val="0"/>
          <w:iCs w:val="0"/>
          <w:szCs w:val="22"/>
          <w:lang w:val="en-US"/>
        </w:rPr>
        <w:t xml:space="preserve"> that is taken up by cells distributing into a variety of tissues.</w:t>
      </w:r>
    </w:p>
    <w:p w:rsidR="007671B5" w:rsidRDefault="007671B5" w:rsidP="000A4C59">
      <w:pPr>
        <w:pStyle w:val="PIMinorHeading"/>
      </w:pPr>
    </w:p>
    <w:p w:rsidR="00A502B9" w:rsidRPr="001244D3" w:rsidRDefault="00A502B9" w:rsidP="000A4C59">
      <w:pPr>
        <w:pStyle w:val="PIMinorHeading"/>
      </w:pPr>
      <w:r>
        <w:t>Pharmacokinetics in Special Populations</w:t>
      </w:r>
    </w:p>
    <w:p w:rsidR="00D02FDD" w:rsidRDefault="00D02FDD" w:rsidP="00D02FDD">
      <w:pPr>
        <w:rPr>
          <w:bCs/>
          <w:lang w:val="en-US"/>
        </w:rPr>
      </w:pPr>
      <w:r w:rsidRPr="00D02FDD">
        <w:rPr>
          <w:bCs/>
          <w:lang w:val="en-US"/>
        </w:rPr>
        <w:t xml:space="preserve">During the covariate analysis of the population pharmacokinetics model for </w:t>
      </w:r>
      <w:proofErr w:type="spellStart"/>
      <w:r w:rsidRPr="00D02FDD">
        <w:rPr>
          <w:bCs/>
          <w:lang w:val="en-US"/>
        </w:rPr>
        <w:t>sebelipase</w:t>
      </w:r>
      <w:proofErr w:type="spellEnd"/>
      <w:r w:rsidRPr="00D02FDD">
        <w:rPr>
          <w:bCs/>
          <w:lang w:val="en-US"/>
        </w:rPr>
        <w:t xml:space="preserve"> </w:t>
      </w:r>
      <w:r w:rsidR="004C6656">
        <w:rPr>
          <w:bCs/>
          <w:lang w:val="en-US"/>
        </w:rPr>
        <w:t>alfa</w:t>
      </w:r>
      <w:r w:rsidR="004C6656" w:rsidRPr="00B57A15">
        <w:rPr>
          <w:bCs/>
          <w:i/>
          <w:lang w:val="en-US"/>
        </w:rPr>
        <w:t xml:space="preserve"> </w:t>
      </w:r>
      <w:proofErr w:type="spellStart"/>
      <w:r w:rsidR="004C6656" w:rsidRPr="00B57A15">
        <w:rPr>
          <w:bCs/>
          <w:i/>
          <w:lang w:val="en-US"/>
        </w:rPr>
        <w:t>rce</w:t>
      </w:r>
      <w:proofErr w:type="spellEnd"/>
      <w:r w:rsidRPr="00D02FDD">
        <w:rPr>
          <w:bCs/>
          <w:lang w:val="en-US"/>
        </w:rPr>
        <w:t xml:space="preserve">, age, body weight, and sex were not found to have a significant influence on CL and </w:t>
      </w:r>
      <w:proofErr w:type="spellStart"/>
      <w:proofErr w:type="gramStart"/>
      <w:r w:rsidRPr="00D02FDD">
        <w:rPr>
          <w:bCs/>
          <w:lang w:val="en-US"/>
        </w:rPr>
        <w:t>V</w:t>
      </w:r>
      <w:r w:rsidRPr="00D02FDD">
        <w:rPr>
          <w:bCs/>
          <w:vertAlign w:val="subscript"/>
          <w:lang w:val="en-US"/>
        </w:rPr>
        <w:t>c</w:t>
      </w:r>
      <w:proofErr w:type="spellEnd"/>
      <w:proofErr w:type="gramEnd"/>
      <w:r w:rsidRPr="00D02FDD">
        <w:rPr>
          <w:bCs/>
          <w:lang w:val="en-US"/>
        </w:rPr>
        <w:t xml:space="preserve"> of </w:t>
      </w:r>
      <w:proofErr w:type="spellStart"/>
      <w:r w:rsidRPr="00D02FDD">
        <w:rPr>
          <w:bCs/>
          <w:lang w:val="en-US"/>
        </w:rPr>
        <w:t>sebelipase</w:t>
      </w:r>
      <w:proofErr w:type="spellEnd"/>
      <w:r w:rsidRPr="00D02FDD">
        <w:rPr>
          <w:bCs/>
          <w:lang w:val="en-US"/>
        </w:rPr>
        <w:t xml:space="preserve"> </w:t>
      </w:r>
      <w:r w:rsidR="004C6656">
        <w:rPr>
          <w:bCs/>
          <w:lang w:val="en-US"/>
        </w:rPr>
        <w:t>alfa</w:t>
      </w:r>
      <w:r w:rsidR="004C6656" w:rsidRPr="00B57A15">
        <w:rPr>
          <w:bCs/>
          <w:i/>
          <w:lang w:val="en-US"/>
        </w:rPr>
        <w:t xml:space="preserve"> </w:t>
      </w:r>
      <w:proofErr w:type="spellStart"/>
      <w:r w:rsidR="004C6656" w:rsidRPr="00B57A15">
        <w:rPr>
          <w:bCs/>
          <w:i/>
          <w:lang w:val="en-US"/>
        </w:rPr>
        <w:t>rce</w:t>
      </w:r>
      <w:proofErr w:type="spellEnd"/>
      <w:r w:rsidRPr="00D02FDD">
        <w:rPr>
          <w:bCs/>
          <w:lang w:val="en-US"/>
        </w:rPr>
        <w:t xml:space="preserve">. </w:t>
      </w:r>
      <w:proofErr w:type="spellStart"/>
      <w:r w:rsidR="00DD706A" w:rsidRPr="00844279">
        <w:rPr>
          <w:bCs/>
          <w:lang w:val="en-US"/>
        </w:rPr>
        <w:t>Sebelipase</w:t>
      </w:r>
      <w:proofErr w:type="spellEnd"/>
      <w:r w:rsidR="00DD706A" w:rsidRPr="00844279">
        <w:rPr>
          <w:bCs/>
          <w:lang w:val="en-US"/>
        </w:rPr>
        <w:t xml:space="preserve"> </w:t>
      </w:r>
      <w:r w:rsidR="004C6656">
        <w:rPr>
          <w:bCs/>
          <w:lang w:val="en-US"/>
        </w:rPr>
        <w:t>alfa</w:t>
      </w:r>
      <w:r w:rsidR="004C6656" w:rsidRPr="00B57A15">
        <w:rPr>
          <w:bCs/>
          <w:i/>
          <w:lang w:val="en-US"/>
        </w:rPr>
        <w:t xml:space="preserve"> </w:t>
      </w:r>
      <w:proofErr w:type="spellStart"/>
      <w:r w:rsidR="004C6656" w:rsidRPr="00B57A15">
        <w:rPr>
          <w:bCs/>
          <w:i/>
          <w:lang w:val="en-US"/>
        </w:rPr>
        <w:t>rce</w:t>
      </w:r>
      <w:proofErr w:type="spellEnd"/>
      <w:r w:rsidR="00DD706A" w:rsidRPr="00844279">
        <w:rPr>
          <w:bCs/>
          <w:lang w:val="en-US"/>
        </w:rPr>
        <w:t xml:space="preserve"> has not been investigated in patients 2 to 4 years of age</w:t>
      </w:r>
      <w:r w:rsidR="00DD706A">
        <w:rPr>
          <w:bCs/>
          <w:lang w:val="en-US"/>
        </w:rPr>
        <w:t>.</w:t>
      </w:r>
    </w:p>
    <w:p w:rsidR="00D02FDD" w:rsidRDefault="00D02FDD" w:rsidP="00D02FDD">
      <w:pPr>
        <w:rPr>
          <w:bCs/>
          <w:lang w:val="en-US"/>
        </w:rPr>
      </w:pPr>
    </w:p>
    <w:p w:rsidR="00D02FDD" w:rsidRDefault="00D02FDD" w:rsidP="00D02FDD">
      <w:pPr>
        <w:rPr>
          <w:iCs/>
          <w:lang w:val="en-GB"/>
        </w:rPr>
      </w:pPr>
      <w:r w:rsidRPr="00D02FDD">
        <w:rPr>
          <w:iCs/>
          <w:lang w:val="en-GB"/>
        </w:rPr>
        <w:t xml:space="preserve">There is limited information on the impact of anti-drug antibodies on </w:t>
      </w:r>
      <w:proofErr w:type="spellStart"/>
      <w:r w:rsidRPr="00D02FDD">
        <w:rPr>
          <w:iCs/>
          <w:lang w:val="en-GB"/>
        </w:rPr>
        <w:t>sebelipase</w:t>
      </w:r>
      <w:proofErr w:type="spellEnd"/>
      <w:r w:rsidRPr="00D02FDD">
        <w:rPr>
          <w:iCs/>
          <w:lang w:val="en-GB"/>
        </w:rPr>
        <w:t xml:space="preserve"> </w:t>
      </w:r>
      <w:r w:rsidR="004C6656">
        <w:rPr>
          <w:iCs/>
          <w:lang w:val="en-GB"/>
        </w:rPr>
        <w:t>alfa</w:t>
      </w:r>
      <w:r w:rsidR="004C6656" w:rsidRPr="00B57A15">
        <w:rPr>
          <w:i/>
          <w:iCs/>
          <w:lang w:val="en-GB"/>
        </w:rPr>
        <w:t xml:space="preserve"> </w:t>
      </w:r>
      <w:proofErr w:type="spellStart"/>
      <w:r w:rsidR="004C6656" w:rsidRPr="00B57A15">
        <w:rPr>
          <w:i/>
          <w:iCs/>
          <w:lang w:val="en-GB"/>
        </w:rPr>
        <w:t>rce</w:t>
      </w:r>
      <w:proofErr w:type="spellEnd"/>
      <w:r w:rsidRPr="00D02FDD">
        <w:rPr>
          <w:iCs/>
          <w:lang w:val="en-GB"/>
        </w:rPr>
        <w:t xml:space="preserve"> pharmacokinetics.</w:t>
      </w:r>
    </w:p>
    <w:p w:rsidR="0039316D" w:rsidRDefault="0039316D" w:rsidP="00D02FDD">
      <w:pPr>
        <w:rPr>
          <w:iCs/>
          <w:lang w:val="en-GB"/>
        </w:rPr>
      </w:pPr>
    </w:p>
    <w:p w:rsidR="0039316D" w:rsidRPr="00A05B74" w:rsidRDefault="0039316D" w:rsidP="0039316D">
      <w:pPr>
        <w:rPr>
          <w:bCs/>
          <w:i/>
        </w:rPr>
      </w:pPr>
      <w:r w:rsidRPr="00A05B74">
        <w:rPr>
          <w:bCs/>
          <w:i/>
        </w:rPr>
        <w:t>Infants (&lt; 6 months of age)</w:t>
      </w:r>
    </w:p>
    <w:p w:rsidR="0039316D" w:rsidRPr="00844279" w:rsidRDefault="0039316D" w:rsidP="0039316D">
      <w:pPr>
        <w:rPr>
          <w:bCs/>
        </w:rPr>
      </w:pPr>
      <w:r w:rsidRPr="00844279">
        <w:rPr>
          <w:bCs/>
        </w:rPr>
        <w:t xml:space="preserve">In LAL-CL03, </w:t>
      </w:r>
      <w:proofErr w:type="spellStart"/>
      <w:r>
        <w:rPr>
          <w:bCs/>
        </w:rPr>
        <w:t>sebelipase</w:t>
      </w:r>
      <w:proofErr w:type="spellEnd"/>
      <w:r>
        <w:rPr>
          <w:bCs/>
        </w:rPr>
        <w:t xml:space="preserve"> </w:t>
      </w:r>
      <w:r w:rsidR="004C6656">
        <w:rPr>
          <w:bCs/>
        </w:rPr>
        <w:t>alfa</w:t>
      </w:r>
      <w:r w:rsidR="004C6656" w:rsidRPr="00B57A15">
        <w:rPr>
          <w:bCs/>
          <w:i/>
        </w:rPr>
        <w:t xml:space="preserve"> </w:t>
      </w:r>
      <w:proofErr w:type="spellStart"/>
      <w:r w:rsidR="004C6656" w:rsidRPr="00B57A15">
        <w:rPr>
          <w:bCs/>
          <w:i/>
        </w:rPr>
        <w:t>rce</w:t>
      </w:r>
      <w:proofErr w:type="spellEnd"/>
      <w:r w:rsidRPr="00844279">
        <w:rPr>
          <w:bCs/>
        </w:rPr>
        <w:t xml:space="preserve"> was eliminated from the systemic circulation with a median T</w:t>
      </w:r>
      <w:r w:rsidRPr="00844279">
        <w:rPr>
          <w:bCs/>
          <w:vertAlign w:val="subscript"/>
        </w:rPr>
        <w:t>1/2</w:t>
      </w:r>
      <w:r>
        <w:rPr>
          <w:bCs/>
        </w:rPr>
        <w:t xml:space="preserve"> of 0.1 hr (range: 0.1</w:t>
      </w:r>
      <w:r>
        <w:rPr>
          <w:bCs/>
        </w:rPr>
        <w:noBreakHyphen/>
      </w:r>
      <w:r w:rsidRPr="00844279">
        <w:rPr>
          <w:bCs/>
        </w:rPr>
        <w:t xml:space="preserve">0.2) at the 3 mg/kg </w:t>
      </w:r>
      <w:r w:rsidR="0034204F">
        <w:rPr>
          <w:bCs/>
        </w:rPr>
        <w:t>per week</w:t>
      </w:r>
      <w:r w:rsidRPr="00844279">
        <w:rPr>
          <w:bCs/>
        </w:rPr>
        <w:t xml:space="preserve"> dose (n</w:t>
      </w:r>
      <w:r>
        <w:rPr>
          <w:bCs/>
        </w:rPr>
        <w:t> </w:t>
      </w:r>
      <w:r w:rsidRPr="00844279">
        <w:rPr>
          <w:bCs/>
        </w:rPr>
        <w:t>=</w:t>
      </w:r>
      <w:r>
        <w:rPr>
          <w:bCs/>
        </w:rPr>
        <w:t> </w:t>
      </w:r>
      <w:r w:rsidRPr="00844279">
        <w:rPr>
          <w:bCs/>
        </w:rPr>
        <w:t xml:space="preserve">4). The difference in exposures to </w:t>
      </w:r>
      <w:proofErr w:type="spellStart"/>
      <w:r w:rsidRPr="00844279">
        <w:rPr>
          <w:bCs/>
        </w:rPr>
        <w:t>sebelipase</w:t>
      </w:r>
      <w:proofErr w:type="spellEnd"/>
      <w:r w:rsidRPr="00844279">
        <w:rPr>
          <w:bCs/>
        </w:rPr>
        <w:t xml:space="preserve"> </w:t>
      </w:r>
      <w:r w:rsidR="004C6656">
        <w:rPr>
          <w:bCs/>
        </w:rPr>
        <w:t>alfa</w:t>
      </w:r>
      <w:r w:rsidR="004C6656" w:rsidRPr="00B57A15">
        <w:rPr>
          <w:bCs/>
          <w:i/>
        </w:rPr>
        <w:t xml:space="preserve"> </w:t>
      </w:r>
      <w:proofErr w:type="spellStart"/>
      <w:r w:rsidR="004C6656" w:rsidRPr="00B57A15">
        <w:rPr>
          <w:bCs/>
          <w:i/>
        </w:rPr>
        <w:t>rce</w:t>
      </w:r>
      <w:proofErr w:type="spellEnd"/>
      <w:r w:rsidRPr="00844279">
        <w:rPr>
          <w:bCs/>
        </w:rPr>
        <w:t xml:space="preserve"> between the once weekly 0.35</w:t>
      </w:r>
      <w:r>
        <w:rPr>
          <w:bCs/>
        </w:rPr>
        <w:t> </w:t>
      </w:r>
      <w:r w:rsidRPr="00844279">
        <w:rPr>
          <w:bCs/>
        </w:rPr>
        <w:t>mg/kg and 3 mg/kg groups was more than dose proportional, with a</w:t>
      </w:r>
      <w:r>
        <w:rPr>
          <w:bCs/>
        </w:rPr>
        <w:t>n</w:t>
      </w:r>
      <w:r w:rsidRPr="00844279">
        <w:rPr>
          <w:bCs/>
        </w:rPr>
        <w:t xml:space="preserve"> 8.6</w:t>
      </w:r>
      <w:r>
        <w:rPr>
          <w:bCs/>
        </w:rPr>
        <w:noBreakHyphen/>
      </w:r>
      <w:r w:rsidRPr="00844279">
        <w:rPr>
          <w:bCs/>
        </w:rPr>
        <w:t>fold increase in dose resulting in a 9.6</w:t>
      </w:r>
      <w:r>
        <w:rPr>
          <w:bCs/>
        </w:rPr>
        <w:noBreakHyphen/>
      </w:r>
      <w:r w:rsidRPr="00844279">
        <w:rPr>
          <w:bCs/>
        </w:rPr>
        <w:t>fold increase in exposure for AUC and a 10.0</w:t>
      </w:r>
      <w:r>
        <w:rPr>
          <w:bCs/>
        </w:rPr>
        <w:noBreakHyphen/>
      </w:r>
      <w:r w:rsidRPr="00844279">
        <w:rPr>
          <w:bCs/>
        </w:rPr>
        <w:t xml:space="preserve">fold increase for </w:t>
      </w:r>
      <w:proofErr w:type="spellStart"/>
      <w:r w:rsidRPr="00844279">
        <w:rPr>
          <w:bCs/>
        </w:rPr>
        <w:t>C</w:t>
      </w:r>
      <w:r w:rsidRPr="00844279">
        <w:rPr>
          <w:bCs/>
          <w:vertAlign w:val="subscript"/>
        </w:rPr>
        <w:t>max</w:t>
      </w:r>
      <w:proofErr w:type="spellEnd"/>
      <w:r w:rsidRPr="00844279">
        <w:rPr>
          <w:bCs/>
        </w:rPr>
        <w:t>.</w:t>
      </w:r>
    </w:p>
    <w:p w:rsidR="00D341CE" w:rsidRPr="00FF3B2E" w:rsidRDefault="00D341CE" w:rsidP="000B5A96">
      <w:pPr>
        <w:rPr>
          <w:lang w:val="en-US"/>
        </w:rPr>
      </w:pPr>
    </w:p>
    <w:p w:rsidR="005679DC" w:rsidRDefault="005679DC" w:rsidP="005679DC">
      <w:pPr>
        <w:autoSpaceDE w:val="0"/>
        <w:autoSpaceDN w:val="0"/>
        <w:rPr>
          <w:i/>
          <w:iCs/>
          <w:color w:val="000000"/>
        </w:rPr>
      </w:pPr>
      <w:r>
        <w:rPr>
          <w:i/>
          <w:iCs/>
          <w:color w:val="000000"/>
        </w:rPr>
        <w:t>Renal and hepatic impairment</w:t>
      </w:r>
    </w:p>
    <w:p w:rsidR="00D02FDD" w:rsidRPr="00D02FDD" w:rsidRDefault="00D02FDD" w:rsidP="00D02FDD">
      <w:pPr>
        <w:rPr>
          <w:bCs/>
          <w:lang w:val="en-GB"/>
        </w:rPr>
      </w:pPr>
      <w:proofErr w:type="spellStart"/>
      <w:r w:rsidRPr="00D02FDD">
        <w:rPr>
          <w:bCs/>
          <w:lang w:val="en-GB"/>
        </w:rPr>
        <w:t>Sebelipase</w:t>
      </w:r>
      <w:proofErr w:type="spellEnd"/>
      <w:r w:rsidRPr="00D02FDD">
        <w:rPr>
          <w:bCs/>
          <w:lang w:val="en-GB"/>
        </w:rPr>
        <w:t xml:space="preserve"> </w:t>
      </w:r>
      <w:r w:rsidR="004C6656">
        <w:rPr>
          <w:bCs/>
          <w:lang w:val="en-GB"/>
        </w:rPr>
        <w:t>alfa</w:t>
      </w:r>
      <w:r w:rsidR="004C6656" w:rsidRPr="00B57A15">
        <w:rPr>
          <w:bCs/>
          <w:i/>
          <w:lang w:val="en-GB"/>
        </w:rPr>
        <w:t xml:space="preserve"> </w:t>
      </w:r>
      <w:proofErr w:type="spellStart"/>
      <w:r w:rsidR="004C6656" w:rsidRPr="00B57A15">
        <w:rPr>
          <w:bCs/>
          <w:i/>
          <w:lang w:val="en-GB"/>
        </w:rPr>
        <w:t>rce</w:t>
      </w:r>
      <w:proofErr w:type="spellEnd"/>
      <w:r w:rsidRPr="00D02FDD">
        <w:rPr>
          <w:bCs/>
          <w:lang w:val="en-GB"/>
        </w:rPr>
        <w:t xml:space="preserve"> is expected to be metabolically degraded through peptide hydrolysis. Consequently, impaired liver function is not expected to affect the pharmacokinetics of </w:t>
      </w:r>
      <w:proofErr w:type="spellStart"/>
      <w:r w:rsidRPr="00D02FDD">
        <w:rPr>
          <w:bCs/>
          <w:lang w:val="en-GB"/>
        </w:rPr>
        <w:t>sebelipase</w:t>
      </w:r>
      <w:proofErr w:type="spellEnd"/>
      <w:r w:rsidRPr="00D02FDD">
        <w:rPr>
          <w:bCs/>
          <w:lang w:val="en-GB"/>
        </w:rPr>
        <w:t xml:space="preserve"> </w:t>
      </w:r>
      <w:r w:rsidR="004C6656">
        <w:rPr>
          <w:bCs/>
          <w:lang w:val="en-GB"/>
        </w:rPr>
        <w:t>alfa</w:t>
      </w:r>
      <w:r w:rsidR="004C6656" w:rsidRPr="00B57A15">
        <w:rPr>
          <w:bCs/>
          <w:i/>
          <w:lang w:val="en-GB"/>
        </w:rPr>
        <w:t xml:space="preserve"> </w:t>
      </w:r>
      <w:proofErr w:type="spellStart"/>
      <w:r w:rsidR="004C6656" w:rsidRPr="00B57A15">
        <w:rPr>
          <w:bCs/>
          <w:i/>
          <w:lang w:val="en-GB"/>
        </w:rPr>
        <w:t>rce</w:t>
      </w:r>
      <w:proofErr w:type="spellEnd"/>
      <w:r w:rsidRPr="00D02FDD">
        <w:rPr>
          <w:bCs/>
          <w:lang w:val="en-GB"/>
        </w:rPr>
        <w:t>. There is a lack of data in patients with severe hepatic impairment.</w:t>
      </w:r>
    </w:p>
    <w:p w:rsidR="00D02FDD" w:rsidRPr="00D02FDD" w:rsidRDefault="00D02FDD" w:rsidP="00D02FDD">
      <w:pPr>
        <w:rPr>
          <w:bCs/>
          <w:lang w:val="en-GB"/>
        </w:rPr>
      </w:pPr>
    </w:p>
    <w:p w:rsidR="00D02FDD" w:rsidRPr="00D02FDD" w:rsidRDefault="00D02FDD" w:rsidP="00D02FDD">
      <w:pPr>
        <w:rPr>
          <w:lang w:val="en-GB"/>
        </w:rPr>
      </w:pPr>
      <w:r w:rsidRPr="00D02FDD">
        <w:rPr>
          <w:bCs/>
          <w:lang w:val="en-GB"/>
        </w:rPr>
        <w:t xml:space="preserve">Renal elimination of </w:t>
      </w:r>
      <w:proofErr w:type="spellStart"/>
      <w:r w:rsidRPr="00D02FDD">
        <w:rPr>
          <w:bCs/>
          <w:lang w:val="en-GB"/>
        </w:rPr>
        <w:t>sebelipase</w:t>
      </w:r>
      <w:proofErr w:type="spellEnd"/>
      <w:r w:rsidRPr="00D02FDD">
        <w:rPr>
          <w:bCs/>
          <w:lang w:val="en-GB"/>
        </w:rPr>
        <w:t xml:space="preserve"> </w:t>
      </w:r>
      <w:r w:rsidR="004C6656">
        <w:rPr>
          <w:bCs/>
          <w:lang w:val="en-GB"/>
        </w:rPr>
        <w:t>alfa</w:t>
      </w:r>
      <w:r w:rsidR="004C6656" w:rsidRPr="00B57A15">
        <w:rPr>
          <w:bCs/>
          <w:i/>
          <w:lang w:val="en-GB"/>
        </w:rPr>
        <w:t xml:space="preserve"> </w:t>
      </w:r>
      <w:proofErr w:type="spellStart"/>
      <w:r w:rsidR="004C6656" w:rsidRPr="00B57A15">
        <w:rPr>
          <w:bCs/>
          <w:i/>
          <w:lang w:val="en-GB"/>
        </w:rPr>
        <w:t>rce</w:t>
      </w:r>
      <w:proofErr w:type="spellEnd"/>
      <w:r w:rsidRPr="00D02FDD">
        <w:rPr>
          <w:bCs/>
          <w:lang w:val="en-GB"/>
        </w:rPr>
        <w:t xml:space="preserve"> is considered a minor pathway for clearance. There is a lack of data in patients with renal impairment.</w:t>
      </w:r>
    </w:p>
    <w:p w:rsidR="0062284C" w:rsidRDefault="002B7EA6" w:rsidP="00490370">
      <w:pPr>
        <w:pStyle w:val="PIMajorHeading"/>
      </w:pPr>
      <w:r w:rsidRPr="000863B0">
        <w:t>CLINICAL TRIALS</w:t>
      </w:r>
    </w:p>
    <w:p w:rsidR="00A17D29" w:rsidRPr="00A17D29" w:rsidRDefault="00A17D29" w:rsidP="00A17D29">
      <w:pPr>
        <w:rPr>
          <w:b/>
          <w:u w:val="single"/>
        </w:rPr>
      </w:pPr>
      <w:r w:rsidRPr="00A17D29">
        <w:rPr>
          <w:b/>
          <w:u w:val="single"/>
        </w:rPr>
        <w:t>Infants presenting with LAL deficiency</w:t>
      </w:r>
      <w:r w:rsidR="00527294">
        <w:rPr>
          <w:b/>
          <w:u w:val="single"/>
        </w:rPr>
        <w:t xml:space="preserve"> [LAL-CL03]</w:t>
      </w:r>
    </w:p>
    <w:p w:rsidR="00A17D29" w:rsidRDefault="00A17D29" w:rsidP="00A17D29">
      <w:pPr>
        <w:rPr>
          <w:bCs/>
          <w:lang w:val="en-GB"/>
        </w:rPr>
      </w:pPr>
      <w:r w:rsidRPr="00A17D29">
        <w:rPr>
          <w:bCs/>
          <w:lang w:val="en-GB"/>
        </w:rPr>
        <w:lastRenderedPageBreak/>
        <w:t>LAL</w:t>
      </w:r>
      <w:r w:rsidRPr="00A17D29">
        <w:rPr>
          <w:lang w:val="en-GB"/>
        </w:rPr>
        <w:noBreakHyphen/>
      </w:r>
      <w:r w:rsidRPr="00A17D29">
        <w:rPr>
          <w:bCs/>
          <w:lang w:val="en-GB"/>
        </w:rPr>
        <w:t xml:space="preserve">CL03 was a multicentre, open-label, single-arm study of </w:t>
      </w:r>
      <w:proofErr w:type="spellStart"/>
      <w:r>
        <w:rPr>
          <w:bCs/>
          <w:lang w:val="en-GB"/>
        </w:rPr>
        <w:t>sebelipase</w:t>
      </w:r>
      <w:proofErr w:type="spellEnd"/>
      <w:r>
        <w:rPr>
          <w:bCs/>
          <w:lang w:val="en-GB"/>
        </w:rPr>
        <w:t xml:space="preserve"> </w:t>
      </w:r>
      <w:r w:rsidR="004C6656">
        <w:rPr>
          <w:bCs/>
          <w:lang w:val="en-GB"/>
        </w:rPr>
        <w:t>alfa</w:t>
      </w:r>
      <w:r w:rsidR="004C6656" w:rsidRPr="00B57A15">
        <w:rPr>
          <w:bCs/>
          <w:i/>
          <w:lang w:val="en-GB"/>
        </w:rPr>
        <w:t xml:space="preserve"> </w:t>
      </w:r>
      <w:proofErr w:type="spellStart"/>
      <w:r w:rsidR="004C6656" w:rsidRPr="00B57A15">
        <w:rPr>
          <w:bCs/>
          <w:i/>
          <w:lang w:val="en-GB"/>
        </w:rPr>
        <w:t>rce</w:t>
      </w:r>
      <w:proofErr w:type="spellEnd"/>
      <w:r w:rsidRPr="00A17D29">
        <w:rPr>
          <w:bCs/>
          <w:lang w:val="en-GB"/>
        </w:rPr>
        <w:t xml:space="preserve"> in 9 patients with </w:t>
      </w:r>
      <w:r>
        <w:rPr>
          <w:bCs/>
          <w:lang w:val="en-GB"/>
        </w:rPr>
        <w:t>LAL-D</w:t>
      </w:r>
      <w:r w:rsidRPr="00A17D29">
        <w:rPr>
          <w:bCs/>
          <w:lang w:val="en-GB"/>
        </w:rPr>
        <w:t xml:space="preserve"> with growth failure</w:t>
      </w:r>
      <w:r w:rsidR="008379D8">
        <w:rPr>
          <w:bCs/>
          <w:lang w:val="en-GB"/>
        </w:rPr>
        <w:t>,</w:t>
      </w:r>
      <w:r w:rsidRPr="00A17D29">
        <w:rPr>
          <w:bCs/>
          <w:lang w:val="en-GB"/>
        </w:rPr>
        <w:t xml:space="preserve"> or other evidence of rapidly progressive disease prior to 6 months of age. Patients had rapidly progressive liver disease and severe hepatosplenomegaly. The age range at study entry was 1</w:t>
      </w:r>
      <w:r w:rsidRPr="00A17D29">
        <w:rPr>
          <w:lang w:val="en-GB"/>
        </w:rPr>
        <w:noBreakHyphen/>
      </w:r>
      <w:r w:rsidRPr="00A17D29">
        <w:rPr>
          <w:bCs/>
          <w:lang w:val="en-GB"/>
        </w:rPr>
        <w:t xml:space="preserve">6 months. Patients received </w:t>
      </w:r>
      <w:proofErr w:type="spellStart"/>
      <w:r w:rsidRPr="00A17D29">
        <w:rPr>
          <w:bCs/>
          <w:lang w:val="en-GB"/>
        </w:rPr>
        <w:t>sebelipase</w:t>
      </w:r>
      <w:proofErr w:type="spellEnd"/>
      <w:r w:rsidRPr="00A17D29">
        <w:rPr>
          <w:bCs/>
          <w:lang w:val="en-GB"/>
        </w:rPr>
        <w:t xml:space="preserve"> </w:t>
      </w:r>
      <w:r w:rsidR="004C6656">
        <w:rPr>
          <w:bCs/>
          <w:lang w:val="en-GB"/>
        </w:rPr>
        <w:t>alfa</w:t>
      </w:r>
      <w:r w:rsidR="004C6656" w:rsidRPr="00B57A15">
        <w:rPr>
          <w:bCs/>
          <w:i/>
          <w:lang w:val="en-GB"/>
        </w:rPr>
        <w:t xml:space="preserve"> </w:t>
      </w:r>
      <w:proofErr w:type="spellStart"/>
      <w:r w:rsidR="004C6656" w:rsidRPr="00B57A15">
        <w:rPr>
          <w:bCs/>
          <w:i/>
          <w:lang w:val="en-GB"/>
        </w:rPr>
        <w:t>rce</w:t>
      </w:r>
      <w:proofErr w:type="spellEnd"/>
      <w:r w:rsidRPr="00A17D29">
        <w:rPr>
          <w:bCs/>
          <w:lang w:val="en-GB"/>
        </w:rPr>
        <w:t xml:space="preserve"> at 0.35 mg/kg </w:t>
      </w:r>
      <w:r w:rsidR="0034204F">
        <w:rPr>
          <w:bCs/>
          <w:lang w:val="en-GB"/>
        </w:rPr>
        <w:t>per week</w:t>
      </w:r>
      <w:r w:rsidRPr="00A17D29">
        <w:rPr>
          <w:bCs/>
          <w:lang w:val="en-GB"/>
        </w:rPr>
        <w:t xml:space="preserve"> for the first 2 weeks</w:t>
      </w:r>
      <w:r w:rsidR="008379D8">
        <w:rPr>
          <w:bCs/>
          <w:lang w:val="en-GB"/>
        </w:rPr>
        <w:t>,</w:t>
      </w:r>
      <w:r w:rsidRPr="00A17D29">
        <w:rPr>
          <w:bCs/>
          <w:lang w:val="en-GB"/>
        </w:rPr>
        <w:t xml:space="preserve"> and then 1 mg/kg </w:t>
      </w:r>
      <w:r w:rsidR="0034204F">
        <w:rPr>
          <w:bCs/>
          <w:lang w:val="en-GB"/>
        </w:rPr>
        <w:t>per week</w:t>
      </w:r>
      <w:r w:rsidRPr="00A17D29">
        <w:rPr>
          <w:bCs/>
          <w:lang w:val="en-GB"/>
        </w:rPr>
        <w:t xml:space="preserve">. Based on clinical response, dose escalation to 3 mg/kg </w:t>
      </w:r>
      <w:r w:rsidR="008379D8">
        <w:rPr>
          <w:bCs/>
          <w:lang w:val="en-GB"/>
        </w:rPr>
        <w:t>per week</w:t>
      </w:r>
      <w:r w:rsidRPr="00A17D29">
        <w:rPr>
          <w:bCs/>
          <w:lang w:val="en-GB"/>
        </w:rPr>
        <w:t xml:space="preserve"> occurred as early as 1 month and up to 20 months after starting treatment at 1 mg/kg. A further dose escalation to 5 mg/kg </w:t>
      </w:r>
      <w:r w:rsidR="008379D8">
        <w:rPr>
          <w:bCs/>
          <w:lang w:val="en-GB"/>
        </w:rPr>
        <w:t>per week</w:t>
      </w:r>
      <w:r w:rsidRPr="00A17D29">
        <w:rPr>
          <w:bCs/>
          <w:lang w:val="en-GB"/>
        </w:rPr>
        <w:t xml:space="preserve"> was allowed. </w:t>
      </w:r>
    </w:p>
    <w:p w:rsidR="009552F0" w:rsidRPr="00A17D29" w:rsidRDefault="009552F0" w:rsidP="00A17D29">
      <w:pPr>
        <w:rPr>
          <w:lang w:val="en-GB"/>
        </w:rPr>
      </w:pPr>
    </w:p>
    <w:p w:rsidR="00A17D29" w:rsidRDefault="00A17D29" w:rsidP="00A17D29">
      <w:pPr>
        <w:rPr>
          <w:lang w:val="en-GB"/>
        </w:rPr>
      </w:pPr>
      <w:r w:rsidRPr="00A17D29">
        <w:rPr>
          <w:lang w:val="en-GB"/>
        </w:rPr>
        <w:t xml:space="preserve">Efficacy was assessed by comparing the survival experience of </w:t>
      </w:r>
      <w:proofErr w:type="spellStart"/>
      <w:r>
        <w:rPr>
          <w:lang w:val="en-GB"/>
        </w:rPr>
        <w:t>sebelipase</w:t>
      </w:r>
      <w:proofErr w:type="spellEnd"/>
      <w:r>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Pr="00A17D29">
        <w:rPr>
          <w:lang w:val="en-GB"/>
        </w:rPr>
        <w:t xml:space="preserve">-treated patients </w:t>
      </w:r>
      <w:r w:rsidR="00CF4534">
        <w:rPr>
          <w:lang w:val="en-GB"/>
        </w:rPr>
        <w:t xml:space="preserve">who survived past 12 months of age </w:t>
      </w:r>
      <w:r w:rsidRPr="00A17D29">
        <w:rPr>
          <w:lang w:val="en-GB"/>
        </w:rPr>
        <w:t>in LAL</w:t>
      </w:r>
      <w:r w:rsidRPr="00A17D29">
        <w:rPr>
          <w:lang w:val="en-GB"/>
        </w:rPr>
        <w:noBreakHyphen/>
        <w:t xml:space="preserve">CL03 with a historical cohort of untreated infants presenting with </w:t>
      </w:r>
      <w:r>
        <w:rPr>
          <w:lang w:val="en-GB"/>
        </w:rPr>
        <w:t>LAL-D</w:t>
      </w:r>
      <w:r w:rsidRPr="00A17D29">
        <w:rPr>
          <w:lang w:val="en-GB"/>
        </w:rPr>
        <w:t xml:space="preserve"> with similar clinical characteristics. </w:t>
      </w:r>
      <w:r w:rsidR="00CF4534">
        <w:rPr>
          <w:lang w:val="en-GB"/>
        </w:rPr>
        <w:t>In LAL-CL03, 6 of</w:t>
      </w:r>
      <w:r w:rsidRPr="00095DD0">
        <w:rPr>
          <w:lang w:val="en-GB"/>
        </w:rPr>
        <w:t xml:space="preserve"> the 9 </w:t>
      </w:r>
      <w:proofErr w:type="spellStart"/>
      <w:r w:rsidRPr="00095DD0">
        <w:rPr>
          <w:lang w:val="en-GB"/>
        </w:rPr>
        <w:t>sebelipase</w:t>
      </w:r>
      <w:proofErr w:type="spellEnd"/>
      <w:r w:rsidRPr="00095DD0">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Pr="00095DD0">
        <w:rPr>
          <w:lang w:val="en-GB"/>
        </w:rPr>
        <w:t>-treated infants</w:t>
      </w:r>
      <w:r w:rsidR="00CF4534">
        <w:rPr>
          <w:lang w:val="en-GB"/>
        </w:rPr>
        <w:t xml:space="preserve"> </w:t>
      </w:r>
      <w:r w:rsidRPr="00095DD0">
        <w:rPr>
          <w:lang w:val="en-GB"/>
        </w:rPr>
        <w:t>survived beyond 12 months (67%</w:t>
      </w:r>
      <w:r w:rsidR="00CF4534">
        <w:rPr>
          <w:lang w:val="en-GB"/>
        </w:rPr>
        <w:t xml:space="preserve"> 12-month survival</w:t>
      </w:r>
      <w:r w:rsidR="00226A89" w:rsidRPr="00095DD0">
        <w:rPr>
          <w:lang w:val="en-GB"/>
        </w:rPr>
        <w:t>;</w:t>
      </w:r>
      <w:r w:rsidRPr="00095DD0">
        <w:rPr>
          <w:lang w:val="en-GB"/>
        </w:rPr>
        <w:t xml:space="preserve"> 95% CI: 30% to 93</w:t>
      </w:r>
      <w:r w:rsidRPr="00CF4534">
        <w:rPr>
          <w:lang w:val="en-GB"/>
        </w:rPr>
        <w:t>%)</w:t>
      </w:r>
      <w:r w:rsidR="00CF4534" w:rsidRPr="00CF4534">
        <w:rPr>
          <w:lang w:val="en-GB"/>
        </w:rPr>
        <w:t xml:space="preserve">. With </w:t>
      </w:r>
      <w:r w:rsidR="00CF4534">
        <w:rPr>
          <w:lang w:val="en-GB"/>
        </w:rPr>
        <w:t xml:space="preserve">continued treatment beyond 12 months of age, 1 additional </w:t>
      </w:r>
      <w:r w:rsidR="00256A4B">
        <w:rPr>
          <w:lang w:val="en-GB"/>
        </w:rPr>
        <w:t xml:space="preserve">patient </w:t>
      </w:r>
      <w:r w:rsidR="00CF4534">
        <w:rPr>
          <w:lang w:val="en-GB"/>
        </w:rPr>
        <w:t>died at age 15 months.</w:t>
      </w:r>
      <w:r w:rsidR="00527294" w:rsidRPr="00226A89">
        <w:rPr>
          <w:lang w:val="en-GB"/>
        </w:rPr>
        <w:t xml:space="preserve"> </w:t>
      </w:r>
      <w:r w:rsidR="00543DD7" w:rsidRPr="00226A89">
        <w:rPr>
          <w:lang w:val="en-GB"/>
        </w:rPr>
        <w:t>In the historical cohort, 0 of 21 patients survived beyond 8 months of age (0% 12</w:t>
      </w:r>
      <w:r w:rsidR="00543DD7" w:rsidRPr="00226A89">
        <w:rPr>
          <w:lang w:val="en-GB"/>
        </w:rPr>
        <w:noBreakHyphen/>
        <w:t>month survival, 95% </w:t>
      </w:r>
      <w:r w:rsidR="00543DD7" w:rsidRPr="00095DD0">
        <w:rPr>
          <w:lang w:val="en-GB"/>
        </w:rPr>
        <w:t>CI: 0% to 16%).</w:t>
      </w:r>
    </w:p>
    <w:p w:rsidR="00C94C40" w:rsidRPr="00A17D29" w:rsidRDefault="00C94C40" w:rsidP="00A17D29">
      <w:pPr>
        <w:rPr>
          <w:lang w:val="en-GB"/>
        </w:rPr>
      </w:pPr>
    </w:p>
    <w:p w:rsidR="00A17D29" w:rsidRPr="00A17D29" w:rsidRDefault="00527294" w:rsidP="00A17D29">
      <w:pPr>
        <w:rPr>
          <w:lang w:val="en-GB"/>
        </w:rPr>
      </w:pPr>
      <w:proofErr w:type="spellStart"/>
      <w:r>
        <w:rPr>
          <w:lang w:val="en-GB"/>
        </w:rPr>
        <w:t>Sebelipase</w:t>
      </w:r>
      <w:proofErr w:type="spellEnd"/>
      <w:r>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00A17D29" w:rsidRPr="00A17D29">
        <w:rPr>
          <w:lang w:val="en-GB"/>
        </w:rPr>
        <w:t xml:space="preserve"> at doses up to 1 mg/kg </w:t>
      </w:r>
      <w:r w:rsidR="0034204F">
        <w:rPr>
          <w:lang w:val="en-GB"/>
        </w:rPr>
        <w:t>per week</w:t>
      </w:r>
      <w:r w:rsidR="00A17D29" w:rsidRPr="00A17D29">
        <w:rPr>
          <w:lang w:val="en-GB"/>
        </w:rPr>
        <w:t xml:space="preserve"> resulted in improvements in alanine aminotransferase (ALT) and aspartate aminotransferase (AST) levels and weight gain within the first several weeks of treatment. From baseline to week 48, the mean reductions for ALT and AST were </w:t>
      </w:r>
      <w:r w:rsidR="00A17D29" w:rsidRPr="00A17D29">
        <w:rPr>
          <w:lang w:val="en-GB"/>
        </w:rPr>
        <w:noBreakHyphen/>
        <w:t xml:space="preserve">34.0 U/l and </w:t>
      </w:r>
      <w:r w:rsidR="00A17D29" w:rsidRPr="00A17D29">
        <w:rPr>
          <w:lang w:val="en-GB"/>
        </w:rPr>
        <w:noBreakHyphen/>
        <w:t xml:space="preserve">44.5 U/l, respectively. Dose escalation to 3 mg/kg </w:t>
      </w:r>
      <w:r w:rsidR="0034204F">
        <w:rPr>
          <w:lang w:val="en-GB"/>
        </w:rPr>
        <w:t>per week</w:t>
      </w:r>
      <w:r w:rsidR="00A17D29" w:rsidRPr="00A17D29">
        <w:rPr>
          <w:lang w:val="en-GB"/>
        </w:rPr>
        <w:t xml:space="preserve"> was associated with additional improvements in weight gain, lymphadenopathy and serum albumin. From baseline to week 48, mean weight-for-age percentile improved from 12.74% to 29.83% and mean serum albumin levels increased from 26.7 g/l to 38.7 g/l.</w:t>
      </w:r>
    </w:p>
    <w:p w:rsidR="00A17D29" w:rsidRPr="00A17D29" w:rsidRDefault="00A17D29" w:rsidP="00A17D29">
      <w:pPr>
        <w:rPr>
          <w:lang w:val="en-GB"/>
        </w:rPr>
      </w:pPr>
    </w:p>
    <w:p w:rsidR="00A17D29" w:rsidRPr="00A17D29" w:rsidRDefault="00A17D29" w:rsidP="00A17D29">
      <w:pPr>
        <w:rPr>
          <w:bCs/>
          <w:lang w:val="en-GB"/>
        </w:rPr>
      </w:pPr>
      <w:r w:rsidRPr="00A17D29">
        <w:rPr>
          <w:bCs/>
          <w:lang w:val="en-GB"/>
        </w:rPr>
        <w:t xml:space="preserve">One infant was treated with 5 mg/kg </w:t>
      </w:r>
      <w:r w:rsidR="0034204F">
        <w:rPr>
          <w:bCs/>
          <w:lang w:val="en-GB"/>
        </w:rPr>
        <w:t>per week</w:t>
      </w:r>
      <w:r w:rsidRPr="00A17D29">
        <w:rPr>
          <w:bCs/>
          <w:lang w:val="en-GB"/>
        </w:rPr>
        <w:t>; no new adverse reactions were reported at this dose. In the absence of more clinical data, this dose is not recommended.</w:t>
      </w:r>
    </w:p>
    <w:p w:rsidR="00A17D29" w:rsidRPr="00A17D29" w:rsidRDefault="00A17D29" w:rsidP="00A17D29">
      <w:pPr>
        <w:rPr>
          <w:lang w:val="en-GB"/>
        </w:rPr>
      </w:pPr>
    </w:p>
    <w:p w:rsidR="00A17D29" w:rsidRPr="00A17D29" w:rsidRDefault="00A17D29" w:rsidP="00A17D29">
      <w:pPr>
        <w:rPr>
          <w:b/>
          <w:u w:val="single"/>
        </w:rPr>
      </w:pPr>
      <w:r w:rsidRPr="00A17D29">
        <w:rPr>
          <w:b/>
          <w:u w:val="single"/>
        </w:rPr>
        <w:t>Children and adults with LAL deficiency</w:t>
      </w:r>
      <w:r w:rsidR="006428E9">
        <w:rPr>
          <w:b/>
          <w:u w:val="single"/>
        </w:rPr>
        <w:t xml:space="preserve"> [LAL-CL02]</w:t>
      </w:r>
    </w:p>
    <w:p w:rsidR="00A17D29" w:rsidRPr="00A17D29" w:rsidRDefault="00A17D29" w:rsidP="00A17D29">
      <w:pPr>
        <w:rPr>
          <w:lang w:val="en-GB"/>
        </w:rPr>
      </w:pPr>
      <w:r w:rsidRPr="00A17D29">
        <w:rPr>
          <w:lang w:val="en-GB"/>
        </w:rPr>
        <w:t>LAL</w:t>
      </w:r>
      <w:r w:rsidRPr="00A17D29">
        <w:rPr>
          <w:lang w:val="en-GB"/>
        </w:rPr>
        <w:noBreakHyphen/>
        <w:t>CL02 was a multicentre, double-blind, placebo-controlled study in 66 children and adults with LAL</w:t>
      </w:r>
      <w:r w:rsidR="002F4F0D">
        <w:rPr>
          <w:lang w:val="en-GB"/>
        </w:rPr>
        <w:t>-D</w:t>
      </w:r>
      <w:r w:rsidRPr="00A17D29">
        <w:rPr>
          <w:lang w:val="en-GB"/>
        </w:rPr>
        <w:t xml:space="preserve">. Patients were randomised to receive </w:t>
      </w:r>
      <w:r w:rsidR="002F4F0D">
        <w:rPr>
          <w:lang w:val="en-GB"/>
        </w:rPr>
        <w:t xml:space="preserve">a fortnightly </w:t>
      </w:r>
      <w:proofErr w:type="spellStart"/>
      <w:r w:rsidR="002F4F0D">
        <w:rPr>
          <w:lang w:val="en-GB"/>
        </w:rPr>
        <w:t>sebelipase</w:t>
      </w:r>
      <w:proofErr w:type="spellEnd"/>
      <w:r w:rsidR="002F4F0D">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Pr="00A17D29">
        <w:rPr>
          <w:lang w:val="en-GB"/>
        </w:rPr>
        <w:t xml:space="preserve"> dose of 1 mg/</w:t>
      </w:r>
      <w:r w:rsidR="009D44D2">
        <w:rPr>
          <w:lang w:val="en-GB"/>
        </w:rPr>
        <w:t>kg (n = 36) or placebo (n = 30)</w:t>
      </w:r>
      <w:r w:rsidRPr="00A17D29">
        <w:rPr>
          <w:lang w:val="en-GB"/>
        </w:rPr>
        <w:t xml:space="preserve"> for 20 weeks in the double-blind period. The age range at randomisation was 4-58 years old (71% were &lt; 18 years old). For study entry, patients were required to have ALT levels of </w:t>
      </w:r>
      <w:r w:rsidRPr="00A17D29">
        <w:rPr>
          <w:lang w:val="en-GB"/>
        </w:rPr>
        <w:sym w:font="Symbol" w:char="F0B3"/>
      </w:r>
      <w:r w:rsidRPr="00A17D29">
        <w:rPr>
          <w:lang w:val="en-GB"/>
        </w:rPr>
        <w:t>1.5 </w:t>
      </w:r>
      <w:r w:rsidR="009D44D2">
        <w:rPr>
          <w:lang w:val="en-GB"/>
        </w:rPr>
        <w:t>x</w:t>
      </w:r>
      <w:r w:rsidRPr="00A17D29">
        <w:rPr>
          <w:lang w:val="en-GB"/>
        </w:rPr>
        <w:t xml:space="preserve"> upper limit of normal (ULN). The majority of patients (58%) had LDL-c &gt; </w:t>
      </w:r>
      <w:r w:rsidR="007B488B">
        <w:rPr>
          <w:lang w:val="en-GB"/>
        </w:rPr>
        <w:t>4.91</w:t>
      </w:r>
      <w:r w:rsidR="007B488B" w:rsidRPr="00A17D29">
        <w:rPr>
          <w:lang w:val="en-GB"/>
        </w:rPr>
        <w:t> </w:t>
      </w:r>
      <w:proofErr w:type="spellStart"/>
      <w:r w:rsidRPr="00A17D29">
        <w:rPr>
          <w:lang w:val="en-GB"/>
        </w:rPr>
        <w:t>m</w:t>
      </w:r>
      <w:r w:rsidR="007B488B">
        <w:rPr>
          <w:lang w:val="en-GB"/>
        </w:rPr>
        <w:t>mol</w:t>
      </w:r>
      <w:proofErr w:type="spellEnd"/>
      <w:r w:rsidRPr="00A17D29">
        <w:rPr>
          <w:lang w:val="en-GB"/>
        </w:rPr>
        <w:t>/</w:t>
      </w:r>
      <w:r w:rsidR="007B488B">
        <w:rPr>
          <w:lang w:val="en-GB"/>
        </w:rPr>
        <w:t>L</w:t>
      </w:r>
      <w:r w:rsidRPr="00A17D29">
        <w:rPr>
          <w:lang w:val="en-GB"/>
        </w:rPr>
        <w:t xml:space="preserve"> at study entry, and 24% of patients with LDL-c &gt; </w:t>
      </w:r>
      <w:r w:rsidR="007B488B">
        <w:rPr>
          <w:lang w:val="en-GB"/>
        </w:rPr>
        <w:t>4.91</w:t>
      </w:r>
      <w:r w:rsidR="007B488B" w:rsidRPr="00A17D29">
        <w:rPr>
          <w:lang w:val="en-GB"/>
        </w:rPr>
        <w:t> </w:t>
      </w:r>
      <w:proofErr w:type="spellStart"/>
      <w:r w:rsidR="007B488B" w:rsidRPr="00A17D29">
        <w:rPr>
          <w:lang w:val="en-GB"/>
        </w:rPr>
        <w:t>m</w:t>
      </w:r>
      <w:r w:rsidR="007B488B">
        <w:rPr>
          <w:lang w:val="en-GB"/>
        </w:rPr>
        <w:t>mol</w:t>
      </w:r>
      <w:proofErr w:type="spellEnd"/>
      <w:r w:rsidR="007B488B" w:rsidRPr="00A17D29">
        <w:rPr>
          <w:lang w:val="en-GB"/>
        </w:rPr>
        <w:t>/</w:t>
      </w:r>
      <w:r w:rsidR="007B488B">
        <w:rPr>
          <w:lang w:val="en-GB"/>
        </w:rPr>
        <w:t>L</w:t>
      </w:r>
      <w:r w:rsidRPr="00A17D29">
        <w:rPr>
          <w:lang w:val="en-GB"/>
        </w:rPr>
        <w:t xml:space="preserve"> were on lipid lowering </w:t>
      </w:r>
      <w:r w:rsidR="009D44D2">
        <w:rPr>
          <w:lang w:val="en-GB"/>
        </w:rPr>
        <w:t>medications</w:t>
      </w:r>
      <w:r w:rsidRPr="00A17D29">
        <w:rPr>
          <w:lang w:val="en-GB"/>
        </w:rPr>
        <w:t>. Of the 32 patients who had a liver biopsy at study entry, 100% had fibrosis and 31% had cirrhosis. The age range of patients with biopsy evidence of cirrhosis was 4</w:t>
      </w:r>
      <w:r w:rsidRPr="00A17D29">
        <w:rPr>
          <w:lang w:val="en-GB"/>
        </w:rPr>
        <w:noBreakHyphen/>
        <w:t>21 years old.</w:t>
      </w:r>
    </w:p>
    <w:p w:rsidR="00A17D29" w:rsidRPr="00A17D29" w:rsidRDefault="00A17D29" w:rsidP="00A17D29">
      <w:pPr>
        <w:rPr>
          <w:bCs/>
          <w:lang w:val="en-GB"/>
        </w:rPr>
      </w:pPr>
    </w:p>
    <w:p w:rsidR="00A17D29" w:rsidRPr="00A17D29" w:rsidRDefault="002F4F0D" w:rsidP="00A17D29">
      <w:pPr>
        <w:rPr>
          <w:lang w:val="en-GB"/>
        </w:rPr>
      </w:pPr>
      <w:r>
        <w:rPr>
          <w:bCs/>
          <w:lang w:val="en-GB"/>
        </w:rPr>
        <w:t xml:space="preserve">Randomisation was stratified by 1) age at randomisation (&lt;12 years old; </w:t>
      </w:r>
      <w:r w:rsidRPr="00A17D29">
        <w:rPr>
          <w:lang w:val="en-GB"/>
        </w:rPr>
        <w:sym w:font="Symbol" w:char="F0B3"/>
      </w:r>
      <w:r w:rsidRPr="00A17D29">
        <w:rPr>
          <w:lang w:val="en-GB"/>
        </w:rPr>
        <w:t>1</w:t>
      </w:r>
      <w:r>
        <w:rPr>
          <w:lang w:val="en-GB"/>
        </w:rPr>
        <w:t xml:space="preserve">2 years old); 2) ALT level at screening (&lt;3 x ULN; </w:t>
      </w:r>
      <w:r w:rsidRPr="00A17D29">
        <w:rPr>
          <w:lang w:val="en-GB"/>
        </w:rPr>
        <w:sym w:font="Symbol" w:char="F0B3"/>
      </w:r>
      <w:r>
        <w:rPr>
          <w:lang w:val="en-GB"/>
        </w:rPr>
        <w:t xml:space="preserve">3 x ULN); and 3) use of lipid lowering medications (yes; no). </w:t>
      </w:r>
      <w:r w:rsidR="00A17D29" w:rsidRPr="00A17D29">
        <w:rPr>
          <w:bCs/>
          <w:lang w:val="en-GB"/>
        </w:rPr>
        <w:t xml:space="preserve">The following endpoints were assessed: normalisation of ALT, </w:t>
      </w:r>
      <w:r w:rsidR="00A17D29" w:rsidRPr="00A17D29">
        <w:rPr>
          <w:lang w:val="en-GB"/>
        </w:rPr>
        <w:t>decrease in LDL-c, decrease in non-HDL-c, normalisation of AST, decrease in triglycerides, increase in HDL-c, decrease in liver fat content assessed by multi-echo gradient echo magnetic resonance imaging (MEGE-MRI), and improvement in hepatic steatosis measured by morphometry.</w:t>
      </w:r>
    </w:p>
    <w:p w:rsidR="00A17D29" w:rsidRPr="00A17D29" w:rsidRDefault="00A17D29" w:rsidP="00A17D29">
      <w:pPr>
        <w:rPr>
          <w:lang w:val="en-GB"/>
        </w:rPr>
      </w:pPr>
    </w:p>
    <w:p w:rsidR="00493461" w:rsidRDefault="00E4296C" w:rsidP="00A17D29">
      <w:pPr>
        <w:rPr>
          <w:lang w:val="en-GB"/>
        </w:rPr>
      </w:pPr>
      <w:r>
        <w:rPr>
          <w:lang w:val="en-GB"/>
        </w:rPr>
        <w:t>Through an exploratory analysis, a</w:t>
      </w:r>
      <w:r w:rsidR="00A17D29" w:rsidRPr="00A17D29">
        <w:rPr>
          <w:lang w:val="en-GB"/>
        </w:rPr>
        <w:t xml:space="preserve"> </w:t>
      </w:r>
      <w:r w:rsidR="00A17D29" w:rsidRPr="00117910">
        <w:rPr>
          <w:lang w:val="en-GB"/>
        </w:rPr>
        <w:t>statistically significant improvement in</w:t>
      </w:r>
      <w:r w:rsidR="00A17D29" w:rsidRPr="00A17D29">
        <w:rPr>
          <w:lang w:val="en-GB"/>
        </w:rPr>
        <w:t xml:space="preserve"> multiple endpoints was observed in the </w:t>
      </w:r>
      <w:proofErr w:type="spellStart"/>
      <w:r w:rsidR="00A17D29" w:rsidRPr="00A17D29">
        <w:rPr>
          <w:lang w:val="en-GB"/>
        </w:rPr>
        <w:t>sebelipase</w:t>
      </w:r>
      <w:proofErr w:type="spellEnd"/>
      <w:r w:rsidR="00A17D29" w:rsidRPr="00A17D29">
        <w:rPr>
          <w:lang w:val="en-GB"/>
        </w:rPr>
        <w:t xml:space="preserve"> </w:t>
      </w:r>
      <w:r w:rsidR="004C6656">
        <w:rPr>
          <w:lang w:val="en-GB"/>
        </w:rPr>
        <w:t>alfa</w:t>
      </w:r>
      <w:r w:rsidR="004C6656" w:rsidRPr="00B57A15">
        <w:rPr>
          <w:lang w:val="en-GB"/>
        </w:rPr>
        <w:t xml:space="preserve"> </w:t>
      </w:r>
      <w:proofErr w:type="spellStart"/>
      <w:r w:rsidR="004C6656" w:rsidRPr="00B57A15">
        <w:rPr>
          <w:i/>
          <w:lang w:val="en-GB"/>
        </w:rPr>
        <w:t>rce</w:t>
      </w:r>
      <w:proofErr w:type="spellEnd"/>
      <w:r w:rsidR="00A17D29" w:rsidRPr="00A17D29">
        <w:rPr>
          <w:lang w:val="en-GB"/>
        </w:rPr>
        <w:t>-treated group as compared to the placebo group at the completion of the 20</w:t>
      </w:r>
      <w:r w:rsidR="00A17D29" w:rsidRPr="00A17D29">
        <w:rPr>
          <w:lang w:val="en-GB"/>
        </w:rPr>
        <w:noBreakHyphen/>
        <w:t xml:space="preserve">week double-blind period, as shown in </w:t>
      </w:r>
      <w:r w:rsidR="00641BCA">
        <w:rPr>
          <w:lang w:val="en-GB"/>
        </w:rPr>
        <w:fldChar w:fldCharType="begin"/>
      </w:r>
      <w:r w:rsidR="00641BCA">
        <w:rPr>
          <w:lang w:val="en-GB"/>
        </w:rPr>
        <w:instrText xml:space="preserve"> REF _Ref444785755 \h </w:instrText>
      </w:r>
      <w:r w:rsidR="00641BCA">
        <w:rPr>
          <w:lang w:val="en-GB"/>
        </w:rPr>
      </w:r>
      <w:r w:rsidR="00641BCA">
        <w:rPr>
          <w:lang w:val="en-GB"/>
        </w:rPr>
        <w:fldChar w:fldCharType="separate"/>
      </w:r>
      <w:r w:rsidR="0035098F">
        <w:t xml:space="preserve">Table </w:t>
      </w:r>
      <w:r w:rsidR="0035098F">
        <w:rPr>
          <w:noProof/>
        </w:rPr>
        <w:t>2</w:t>
      </w:r>
      <w:r w:rsidR="00641BCA">
        <w:rPr>
          <w:lang w:val="en-GB"/>
        </w:rPr>
        <w:fldChar w:fldCharType="end"/>
      </w:r>
      <w:r w:rsidR="00A17D29" w:rsidRPr="00A17D29">
        <w:rPr>
          <w:lang w:val="en-GB"/>
        </w:rPr>
        <w:t xml:space="preserve">. </w:t>
      </w:r>
      <w:r w:rsidR="00493461">
        <w:rPr>
          <w:lang w:val="en-GB"/>
        </w:rPr>
        <w:lastRenderedPageBreak/>
        <w:t xml:space="preserve">Normalisation of ALT was achieved in 31% (11/36) of </w:t>
      </w:r>
      <w:proofErr w:type="spellStart"/>
      <w:r w:rsidR="00493461">
        <w:rPr>
          <w:lang w:val="en-GB"/>
        </w:rPr>
        <w:t>sebelipase</w:t>
      </w:r>
      <w:proofErr w:type="spellEnd"/>
      <w:r w:rsidR="006D4B89">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006D4B89">
        <w:rPr>
          <w:lang w:val="en-GB"/>
        </w:rPr>
        <w:t>-</w:t>
      </w:r>
      <w:r w:rsidR="00493461">
        <w:rPr>
          <w:lang w:val="en-GB"/>
        </w:rPr>
        <w:t>treated patients and 7% (2/30)</w:t>
      </w:r>
      <w:r w:rsidR="006D4B89">
        <w:rPr>
          <w:lang w:val="en-GB"/>
        </w:rPr>
        <w:t xml:space="preserve"> of</w:t>
      </w:r>
      <w:r w:rsidR="00493461">
        <w:rPr>
          <w:lang w:val="en-GB"/>
        </w:rPr>
        <w:t xml:space="preserve"> placebo patients. </w:t>
      </w:r>
      <w:r w:rsidR="006D4B89">
        <w:rPr>
          <w:lang w:val="en-GB"/>
        </w:rPr>
        <w:t>LDL-c normalisation (&lt;</w:t>
      </w:r>
      <w:r w:rsidR="007B488B">
        <w:rPr>
          <w:lang w:val="en-GB"/>
        </w:rPr>
        <w:t xml:space="preserve">3.36 </w:t>
      </w:r>
      <w:proofErr w:type="spellStart"/>
      <w:r w:rsidR="007B488B">
        <w:rPr>
          <w:lang w:val="en-GB"/>
        </w:rPr>
        <w:t>mmol</w:t>
      </w:r>
      <w:proofErr w:type="spellEnd"/>
      <w:r w:rsidR="007B488B">
        <w:rPr>
          <w:lang w:val="en-GB"/>
        </w:rPr>
        <w:t>/L</w:t>
      </w:r>
      <w:r w:rsidR="00493461">
        <w:rPr>
          <w:lang w:val="en-GB"/>
        </w:rPr>
        <w:t xml:space="preserve">) was achieved in 40.6% (13/32) of </w:t>
      </w:r>
      <w:proofErr w:type="spellStart"/>
      <w:r w:rsidR="00493461">
        <w:rPr>
          <w:lang w:val="en-GB"/>
        </w:rPr>
        <w:t>sebelipase</w:t>
      </w:r>
      <w:proofErr w:type="spellEnd"/>
      <w:r w:rsidR="00493461">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006D4B89">
        <w:rPr>
          <w:lang w:val="en-GB"/>
        </w:rPr>
        <w:t>-</w:t>
      </w:r>
      <w:r w:rsidR="00493461">
        <w:rPr>
          <w:lang w:val="en-GB"/>
        </w:rPr>
        <w:t>treated patients and 6.7% (2/30) of placebo patient</w:t>
      </w:r>
      <w:r w:rsidR="006D4B89">
        <w:rPr>
          <w:lang w:val="en-GB"/>
        </w:rPr>
        <w:t xml:space="preserve">s with abnormal baseline LDL-c </w:t>
      </w:r>
      <w:r w:rsidR="00493461" w:rsidRPr="00A16EA4">
        <w:t>(</w:t>
      </w:r>
      <w:r w:rsidR="00493461">
        <w:sym w:font="Symbol" w:char="F0B3"/>
      </w:r>
      <w:r w:rsidR="007B488B">
        <w:rPr>
          <w:lang w:val="en-GB"/>
        </w:rPr>
        <w:t xml:space="preserve">3.36 </w:t>
      </w:r>
      <w:proofErr w:type="spellStart"/>
      <w:r w:rsidR="007B488B">
        <w:rPr>
          <w:lang w:val="en-GB"/>
        </w:rPr>
        <w:t>mmol</w:t>
      </w:r>
      <w:proofErr w:type="spellEnd"/>
      <w:r w:rsidR="007B488B">
        <w:rPr>
          <w:lang w:val="en-GB"/>
        </w:rPr>
        <w:t>/L</w:t>
      </w:r>
      <w:r w:rsidR="00493461" w:rsidRPr="00A16EA4">
        <w:t>)</w:t>
      </w:r>
      <w:r w:rsidR="006D4B89">
        <w:rPr>
          <w:lang w:val="en-GB"/>
        </w:rPr>
        <w:t>.</w:t>
      </w:r>
    </w:p>
    <w:p w:rsidR="006D4B89" w:rsidRDefault="006D4B89" w:rsidP="00A17D29">
      <w:pPr>
        <w:rPr>
          <w:lang w:val="en-GB"/>
        </w:rPr>
      </w:pPr>
    </w:p>
    <w:p w:rsidR="00A17D29" w:rsidRPr="00A17D29" w:rsidRDefault="006D4B89" w:rsidP="00A17D29">
      <w:pPr>
        <w:rPr>
          <w:lang w:val="en-GB"/>
        </w:rPr>
      </w:pPr>
      <w:r>
        <w:rPr>
          <w:lang w:val="en-GB"/>
        </w:rPr>
        <w:t xml:space="preserve">Patients treated with </w:t>
      </w:r>
      <w:proofErr w:type="spellStart"/>
      <w:r>
        <w:rPr>
          <w:lang w:val="en-GB"/>
        </w:rPr>
        <w:t>sebelipase</w:t>
      </w:r>
      <w:proofErr w:type="spellEnd"/>
      <w:r>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Pr>
          <w:lang w:val="en-GB"/>
        </w:rPr>
        <w:t xml:space="preserve"> had larger reductions from baseline in ALT values and liver fat content (measured by MRI) compared to patients treated with placebo.</w:t>
      </w:r>
      <w:r w:rsidR="0007129E">
        <w:rPr>
          <w:lang w:val="en-GB"/>
        </w:rPr>
        <w:t xml:space="preserve"> </w:t>
      </w:r>
      <w:r w:rsidR="00493461">
        <w:rPr>
          <w:lang w:val="en-GB"/>
        </w:rPr>
        <w:t>T</w:t>
      </w:r>
      <w:r w:rsidR="00A17D29" w:rsidRPr="00A17D29">
        <w:rPr>
          <w:lang w:val="en-GB"/>
        </w:rPr>
        <w:t xml:space="preserve">he absolute reduction in mean ALT level was </w:t>
      </w:r>
      <w:r w:rsidR="00A17D29" w:rsidRPr="00A17D29">
        <w:rPr>
          <w:lang w:val="en-GB"/>
        </w:rPr>
        <w:noBreakHyphen/>
        <w:t>57.9 U/l (-53%)</w:t>
      </w:r>
      <w:r w:rsidR="0007129E">
        <w:rPr>
          <w:lang w:val="en-GB"/>
        </w:rPr>
        <w:t xml:space="preserve"> </w:t>
      </w:r>
      <w:r w:rsidR="00A17D29" w:rsidRPr="00A17D29">
        <w:rPr>
          <w:lang w:val="en-GB"/>
        </w:rPr>
        <w:t xml:space="preserve">in the </w:t>
      </w:r>
      <w:proofErr w:type="spellStart"/>
      <w:r w:rsidR="00A17D29" w:rsidRPr="00A17D29">
        <w:rPr>
          <w:lang w:val="en-GB"/>
        </w:rPr>
        <w:t>sebelipase</w:t>
      </w:r>
      <w:proofErr w:type="spellEnd"/>
      <w:r w:rsidR="00A17D29" w:rsidRPr="00A17D29">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00A17D29" w:rsidRPr="00A17D29">
        <w:rPr>
          <w:lang w:val="en-GB"/>
        </w:rPr>
        <w:t xml:space="preserve">-treated group and </w:t>
      </w:r>
      <w:r w:rsidR="00A17D29" w:rsidRPr="00A17D29">
        <w:rPr>
          <w:lang w:val="en-GB"/>
        </w:rPr>
        <w:noBreakHyphen/>
        <w:t>6.7 U/l (-6%) in the placebo group.</w:t>
      </w:r>
    </w:p>
    <w:p w:rsidR="00A17D29" w:rsidRPr="00A17D29" w:rsidRDefault="00A17D29" w:rsidP="00A17D29">
      <w:pPr>
        <w:rPr>
          <w:lang w:val="en-GB"/>
        </w:rPr>
      </w:pP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4"/>
        <w:gridCol w:w="1805"/>
        <w:gridCol w:w="1080"/>
        <w:gridCol w:w="1169"/>
      </w:tblGrid>
      <w:tr w:rsidR="00A17D29" w:rsidRPr="00A17D29" w:rsidTr="00CA5B60">
        <w:trPr>
          <w:cantSplit/>
          <w:trHeight w:val="340"/>
          <w:tblHeader/>
        </w:trPr>
        <w:tc>
          <w:tcPr>
            <w:tcW w:w="5000" w:type="pct"/>
            <w:gridSpan w:val="4"/>
            <w:tcBorders>
              <w:top w:val="nil"/>
              <w:left w:val="nil"/>
              <w:right w:val="nil"/>
            </w:tcBorders>
            <w:vAlign w:val="center"/>
          </w:tcPr>
          <w:p w:rsidR="00A17D29" w:rsidRPr="00A17D29" w:rsidRDefault="00641BCA" w:rsidP="00641BCA">
            <w:pPr>
              <w:pStyle w:val="Caption"/>
              <w:rPr>
                <w:b w:val="0"/>
                <w:lang w:val="en-GB"/>
              </w:rPr>
            </w:pPr>
            <w:bookmarkStart w:id="4" w:name="_Ref444785755"/>
            <w:r>
              <w:t xml:space="preserve">Table </w:t>
            </w:r>
            <w:r w:rsidR="008748D1">
              <w:fldChar w:fldCharType="begin"/>
            </w:r>
            <w:r w:rsidR="008748D1">
              <w:instrText xml:space="preserve"> SEQ Table \* ARABIC </w:instrText>
            </w:r>
            <w:r w:rsidR="008748D1">
              <w:fldChar w:fldCharType="separate"/>
            </w:r>
            <w:r w:rsidR="0035098F">
              <w:rPr>
                <w:noProof/>
              </w:rPr>
              <w:t>2</w:t>
            </w:r>
            <w:r w:rsidR="008748D1">
              <w:rPr>
                <w:noProof/>
              </w:rPr>
              <w:fldChar w:fldCharType="end"/>
            </w:r>
            <w:bookmarkEnd w:id="4"/>
            <w:r w:rsidR="00A17D29" w:rsidRPr="00A17D29">
              <w:rPr>
                <w:b w:val="0"/>
                <w:lang w:val="en-GB"/>
              </w:rPr>
              <w:t xml:space="preserve">: </w:t>
            </w:r>
            <w:r w:rsidR="00A17D29" w:rsidRPr="00641BCA">
              <w:rPr>
                <w:lang w:val="en-GB"/>
              </w:rPr>
              <w:t>Primary and secondary efficacy endpoints in LAL-CL02</w:t>
            </w:r>
          </w:p>
        </w:tc>
      </w:tr>
      <w:tr w:rsidR="00CA5B60" w:rsidRPr="00A17D29" w:rsidTr="00CA5B60">
        <w:trPr>
          <w:cantSplit/>
          <w:trHeight w:val="340"/>
          <w:tblHeader/>
        </w:trPr>
        <w:tc>
          <w:tcPr>
            <w:tcW w:w="2752" w:type="pct"/>
            <w:vAlign w:val="center"/>
          </w:tcPr>
          <w:p w:rsidR="00A17D29" w:rsidRPr="00A17D29" w:rsidRDefault="00A17D29" w:rsidP="00A17D29">
            <w:pPr>
              <w:rPr>
                <w:b/>
                <w:lang w:val="en-GB"/>
              </w:rPr>
            </w:pPr>
            <w:r w:rsidRPr="00A17D29">
              <w:rPr>
                <w:b/>
                <w:lang w:val="en-GB"/>
              </w:rPr>
              <w:t>Endpoint</w:t>
            </w:r>
          </w:p>
        </w:tc>
        <w:tc>
          <w:tcPr>
            <w:tcW w:w="1001" w:type="pct"/>
            <w:vAlign w:val="center"/>
          </w:tcPr>
          <w:p w:rsidR="00A17D29" w:rsidRPr="00A17D29" w:rsidRDefault="00CA5B60" w:rsidP="00CA5B60">
            <w:pPr>
              <w:jc w:val="center"/>
              <w:rPr>
                <w:b/>
                <w:lang w:val="en-GB"/>
              </w:rPr>
            </w:pPr>
            <w:proofErr w:type="spellStart"/>
            <w:r>
              <w:rPr>
                <w:b/>
                <w:lang w:val="en-GB"/>
              </w:rPr>
              <w:t>Sebelipase</w:t>
            </w:r>
            <w:proofErr w:type="spellEnd"/>
            <w:r>
              <w:rPr>
                <w:b/>
                <w:lang w:val="en-GB"/>
              </w:rPr>
              <w:t xml:space="preserve"> alfa</w:t>
            </w:r>
          </w:p>
          <w:p w:rsidR="00A17D29" w:rsidRPr="00A17D29" w:rsidRDefault="00A17D29" w:rsidP="00CA5B60">
            <w:pPr>
              <w:jc w:val="center"/>
              <w:rPr>
                <w:b/>
                <w:lang w:val="en-GB"/>
              </w:rPr>
            </w:pPr>
            <w:r w:rsidRPr="00A17D29">
              <w:rPr>
                <w:b/>
                <w:lang w:val="en-GB"/>
              </w:rPr>
              <w:t>(n = 36)</w:t>
            </w:r>
          </w:p>
        </w:tc>
        <w:tc>
          <w:tcPr>
            <w:tcW w:w="599" w:type="pct"/>
            <w:vAlign w:val="center"/>
          </w:tcPr>
          <w:p w:rsidR="00A17D29" w:rsidRPr="00A17D29" w:rsidRDefault="00A17D29" w:rsidP="00CA5B60">
            <w:pPr>
              <w:jc w:val="center"/>
              <w:rPr>
                <w:b/>
                <w:lang w:val="en-GB"/>
              </w:rPr>
            </w:pPr>
            <w:r w:rsidRPr="00A17D29">
              <w:rPr>
                <w:b/>
                <w:lang w:val="en-GB"/>
              </w:rPr>
              <w:t>Placebo</w:t>
            </w:r>
          </w:p>
          <w:p w:rsidR="00A17D29" w:rsidRPr="00A17D29" w:rsidRDefault="00A17D29" w:rsidP="00CA5B60">
            <w:pPr>
              <w:jc w:val="center"/>
              <w:rPr>
                <w:b/>
                <w:lang w:val="en-GB"/>
              </w:rPr>
            </w:pPr>
            <w:r w:rsidRPr="00A17D29">
              <w:rPr>
                <w:b/>
                <w:lang w:val="en-GB"/>
              </w:rPr>
              <w:t>(n = 30)</w:t>
            </w:r>
          </w:p>
        </w:tc>
        <w:tc>
          <w:tcPr>
            <w:tcW w:w="648" w:type="pct"/>
            <w:vAlign w:val="center"/>
          </w:tcPr>
          <w:p w:rsidR="00A17D29" w:rsidRPr="00A17D29" w:rsidRDefault="00A17D29" w:rsidP="00CA5B60">
            <w:pPr>
              <w:jc w:val="center"/>
              <w:rPr>
                <w:b/>
                <w:lang w:val="en-GB"/>
              </w:rPr>
            </w:pPr>
            <w:r w:rsidRPr="00A17D29">
              <w:rPr>
                <w:b/>
                <w:lang w:val="en-GB"/>
              </w:rPr>
              <w:t>P-value</w:t>
            </w:r>
            <w:r w:rsidRPr="00A17D29">
              <w:rPr>
                <w:b/>
                <w:vertAlign w:val="superscript"/>
                <w:lang w:val="en-GB"/>
              </w:rPr>
              <w:t>d</w:t>
            </w:r>
          </w:p>
        </w:tc>
      </w:tr>
      <w:tr w:rsidR="00CA5B60" w:rsidRPr="00A17D29" w:rsidTr="00CA5B60">
        <w:trPr>
          <w:cantSplit/>
          <w:trHeight w:val="340"/>
        </w:trPr>
        <w:tc>
          <w:tcPr>
            <w:tcW w:w="5000" w:type="pct"/>
            <w:gridSpan w:val="4"/>
            <w:vAlign w:val="center"/>
          </w:tcPr>
          <w:p w:rsidR="00CA5B60" w:rsidRPr="00A17D29" w:rsidRDefault="00CA5B60" w:rsidP="00A17D29">
            <w:pPr>
              <w:rPr>
                <w:lang w:val="en-GB"/>
              </w:rPr>
            </w:pPr>
            <w:r w:rsidRPr="00A17D29">
              <w:rPr>
                <w:b/>
                <w:lang w:val="en-GB"/>
              </w:rPr>
              <w:t>Primary Endpoint</w:t>
            </w:r>
          </w:p>
        </w:tc>
      </w:tr>
      <w:tr w:rsidR="00A17D29" w:rsidRPr="00A17D29" w:rsidTr="00CA5B60">
        <w:trPr>
          <w:cantSplit/>
          <w:trHeight w:val="340"/>
        </w:trPr>
        <w:tc>
          <w:tcPr>
            <w:tcW w:w="2752" w:type="pct"/>
            <w:vAlign w:val="center"/>
          </w:tcPr>
          <w:p w:rsidR="00A17D29" w:rsidRPr="00A17D29" w:rsidRDefault="00A17D29" w:rsidP="00A17D29">
            <w:pPr>
              <w:rPr>
                <w:lang w:val="en-GB"/>
              </w:rPr>
            </w:pPr>
            <w:r w:rsidRPr="00A17D29">
              <w:rPr>
                <w:lang w:val="en-GB"/>
              </w:rPr>
              <w:t xml:space="preserve">Normalisation of </w:t>
            </w:r>
            <w:proofErr w:type="spellStart"/>
            <w:r w:rsidRPr="00A17D29">
              <w:rPr>
                <w:lang w:val="en-GB"/>
              </w:rPr>
              <w:t>ALT</w:t>
            </w:r>
            <w:r w:rsidRPr="00A17D29">
              <w:rPr>
                <w:vertAlign w:val="superscript"/>
                <w:lang w:val="en-GB"/>
              </w:rPr>
              <w:t>a</w:t>
            </w:r>
            <w:proofErr w:type="spellEnd"/>
          </w:p>
        </w:tc>
        <w:tc>
          <w:tcPr>
            <w:tcW w:w="1001" w:type="pct"/>
            <w:vAlign w:val="center"/>
          </w:tcPr>
          <w:p w:rsidR="00A17D29" w:rsidRPr="00A17D29" w:rsidRDefault="00A17D29" w:rsidP="00CA5B60">
            <w:pPr>
              <w:jc w:val="center"/>
              <w:rPr>
                <w:lang w:val="en-GB"/>
              </w:rPr>
            </w:pPr>
            <w:r w:rsidRPr="00A17D29">
              <w:rPr>
                <w:lang w:val="en-GB"/>
              </w:rPr>
              <w:t>31%</w:t>
            </w:r>
          </w:p>
        </w:tc>
        <w:tc>
          <w:tcPr>
            <w:tcW w:w="598" w:type="pct"/>
            <w:vAlign w:val="center"/>
          </w:tcPr>
          <w:p w:rsidR="00A17D29" w:rsidRPr="00A17D29" w:rsidRDefault="00A17D29" w:rsidP="00CA5B60">
            <w:pPr>
              <w:jc w:val="center"/>
              <w:rPr>
                <w:lang w:val="en-GB"/>
              </w:rPr>
            </w:pPr>
            <w:r w:rsidRPr="00A17D29">
              <w:rPr>
                <w:lang w:val="en-GB"/>
              </w:rPr>
              <w:t>7%</w:t>
            </w:r>
          </w:p>
        </w:tc>
        <w:tc>
          <w:tcPr>
            <w:tcW w:w="649" w:type="pct"/>
            <w:vAlign w:val="center"/>
          </w:tcPr>
          <w:p w:rsidR="00A17D29" w:rsidRPr="00A17D29" w:rsidRDefault="00A17D29" w:rsidP="00CA5B60">
            <w:pPr>
              <w:jc w:val="center"/>
              <w:rPr>
                <w:lang w:val="en-GB"/>
              </w:rPr>
            </w:pPr>
            <w:r w:rsidRPr="00A17D29">
              <w:rPr>
                <w:lang w:val="en-GB"/>
              </w:rPr>
              <w:t>0.0271</w:t>
            </w:r>
          </w:p>
        </w:tc>
      </w:tr>
      <w:tr w:rsidR="00CA5B60" w:rsidRPr="00A17D29" w:rsidTr="00CA5B60">
        <w:trPr>
          <w:cantSplit/>
          <w:trHeight w:val="340"/>
        </w:trPr>
        <w:tc>
          <w:tcPr>
            <w:tcW w:w="5000" w:type="pct"/>
            <w:gridSpan w:val="4"/>
            <w:vAlign w:val="center"/>
          </w:tcPr>
          <w:p w:rsidR="00CA5B60" w:rsidRPr="00A17D29" w:rsidRDefault="00CA5B60" w:rsidP="00A17D29">
            <w:pPr>
              <w:rPr>
                <w:lang w:val="en-GB"/>
              </w:rPr>
            </w:pPr>
            <w:r w:rsidRPr="00A17D29">
              <w:rPr>
                <w:b/>
                <w:lang w:val="en-GB"/>
              </w:rPr>
              <w:t>Secondary Endpoints</w:t>
            </w:r>
          </w:p>
        </w:tc>
      </w:tr>
      <w:tr w:rsidR="00A17D29" w:rsidRPr="00A17D29" w:rsidTr="00CA5B60">
        <w:trPr>
          <w:cantSplit/>
          <w:trHeight w:val="340"/>
        </w:trPr>
        <w:tc>
          <w:tcPr>
            <w:tcW w:w="2752" w:type="pct"/>
            <w:vAlign w:val="center"/>
          </w:tcPr>
          <w:p w:rsidR="00A17D29" w:rsidRPr="00A17D29" w:rsidRDefault="00A17D29" w:rsidP="00CA5B60">
            <w:pPr>
              <w:rPr>
                <w:lang w:val="en-GB"/>
              </w:rPr>
            </w:pPr>
            <w:r w:rsidRPr="00A17D29">
              <w:rPr>
                <w:lang w:val="en-GB"/>
              </w:rPr>
              <w:t>LDL-c, mean % change from baseline</w:t>
            </w:r>
          </w:p>
        </w:tc>
        <w:tc>
          <w:tcPr>
            <w:tcW w:w="1001" w:type="pct"/>
            <w:vAlign w:val="center"/>
          </w:tcPr>
          <w:p w:rsidR="00A17D29" w:rsidRPr="00A17D29" w:rsidRDefault="00A17D29" w:rsidP="00CA5B60">
            <w:pPr>
              <w:jc w:val="center"/>
              <w:rPr>
                <w:lang w:val="en-GB"/>
              </w:rPr>
            </w:pPr>
            <w:r w:rsidRPr="00A17D29">
              <w:rPr>
                <w:lang w:val="en-GB"/>
              </w:rPr>
              <w:t>-28%</w:t>
            </w:r>
          </w:p>
        </w:tc>
        <w:tc>
          <w:tcPr>
            <w:tcW w:w="599" w:type="pct"/>
            <w:vAlign w:val="center"/>
          </w:tcPr>
          <w:p w:rsidR="00A17D29" w:rsidRPr="00A17D29" w:rsidRDefault="00A17D29" w:rsidP="00CA5B60">
            <w:pPr>
              <w:jc w:val="center"/>
              <w:rPr>
                <w:lang w:val="en-GB"/>
              </w:rPr>
            </w:pPr>
            <w:r w:rsidRPr="00A17D29">
              <w:rPr>
                <w:lang w:val="en-GB"/>
              </w:rPr>
              <w:t>-6%</w:t>
            </w:r>
          </w:p>
        </w:tc>
        <w:tc>
          <w:tcPr>
            <w:tcW w:w="648" w:type="pct"/>
            <w:vAlign w:val="center"/>
          </w:tcPr>
          <w:p w:rsidR="00A17D29" w:rsidRPr="00A17D29" w:rsidRDefault="00A17D29" w:rsidP="00CA5B60">
            <w:pPr>
              <w:jc w:val="center"/>
              <w:rPr>
                <w:lang w:val="en-GB"/>
              </w:rPr>
            </w:pPr>
            <w:r w:rsidRPr="00A17D29">
              <w:rPr>
                <w:lang w:val="en-GB"/>
              </w:rPr>
              <w:t>&lt; 0.0001</w:t>
            </w:r>
          </w:p>
        </w:tc>
      </w:tr>
      <w:tr w:rsidR="00A17D29" w:rsidRPr="00A17D29" w:rsidTr="00CA5B60">
        <w:trPr>
          <w:cantSplit/>
          <w:trHeight w:val="340"/>
        </w:trPr>
        <w:tc>
          <w:tcPr>
            <w:tcW w:w="2752" w:type="pct"/>
            <w:vAlign w:val="center"/>
          </w:tcPr>
          <w:p w:rsidR="00A17D29" w:rsidRPr="00A17D29" w:rsidRDefault="00A17D29" w:rsidP="00CA5B60">
            <w:pPr>
              <w:rPr>
                <w:lang w:val="en-GB"/>
              </w:rPr>
            </w:pPr>
            <w:r w:rsidRPr="00A17D29">
              <w:rPr>
                <w:lang w:val="en-GB"/>
              </w:rPr>
              <w:t>non-HDL-c, mean % change from baseline</w:t>
            </w:r>
          </w:p>
        </w:tc>
        <w:tc>
          <w:tcPr>
            <w:tcW w:w="1001" w:type="pct"/>
            <w:vAlign w:val="center"/>
          </w:tcPr>
          <w:p w:rsidR="00A17D29" w:rsidRPr="00A17D29" w:rsidRDefault="00A17D29" w:rsidP="00CA5B60">
            <w:pPr>
              <w:jc w:val="center"/>
              <w:rPr>
                <w:lang w:val="en-GB"/>
              </w:rPr>
            </w:pPr>
            <w:r w:rsidRPr="00A17D29">
              <w:rPr>
                <w:lang w:val="en-GB"/>
              </w:rPr>
              <w:t>-28%</w:t>
            </w:r>
          </w:p>
        </w:tc>
        <w:tc>
          <w:tcPr>
            <w:tcW w:w="599" w:type="pct"/>
            <w:vAlign w:val="center"/>
          </w:tcPr>
          <w:p w:rsidR="00A17D29" w:rsidRPr="00A17D29" w:rsidRDefault="00A17D29" w:rsidP="00CA5B60">
            <w:pPr>
              <w:jc w:val="center"/>
              <w:rPr>
                <w:lang w:val="en-GB"/>
              </w:rPr>
            </w:pPr>
            <w:r w:rsidRPr="00A17D29">
              <w:rPr>
                <w:lang w:val="en-GB"/>
              </w:rPr>
              <w:t>-7%</w:t>
            </w:r>
          </w:p>
        </w:tc>
        <w:tc>
          <w:tcPr>
            <w:tcW w:w="648" w:type="pct"/>
            <w:vAlign w:val="center"/>
          </w:tcPr>
          <w:p w:rsidR="00A17D29" w:rsidRPr="00A17D29" w:rsidRDefault="00A17D29" w:rsidP="00CA5B60">
            <w:pPr>
              <w:jc w:val="center"/>
              <w:rPr>
                <w:lang w:val="en-GB"/>
              </w:rPr>
            </w:pPr>
            <w:r w:rsidRPr="00A17D29">
              <w:rPr>
                <w:lang w:val="en-GB"/>
              </w:rPr>
              <w:t>&lt; 0.0001</w:t>
            </w:r>
          </w:p>
        </w:tc>
      </w:tr>
      <w:tr w:rsidR="00A17D29" w:rsidRPr="00A17D29" w:rsidTr="00CA5B60">
        <w:trPr>
          <w:cantSplit/>
          <w:trHeight w:val="340"/>
        </w:trPr>
        <w:tc>
          <w:tcPr>
            <w:tcW w:w="2752" w:type="pct"/>
            <w:vAlign w:val="center"/>
          </w:tcPr>
          <w:p w:rsidR="00A17D29" w:rsidRPr="00A17D29" w:rsidRDefault="00A17D29" w:rsidP="00A17D29">
            <w:pPr>
              <w:rPr>
                <w:lang w:val="en-GB"/>
              </w:rPr>
            </w:pPr>
            <w:r w:rsidRPr="00A17D29">
              <w:rPr>
                <w:lang w:val="en-GB"/>
              </w:rPr>
              <w:t xml:space="preserve">Normalisation of </w:t>
            </w:r>
            <w:proofErr w:type="spellStart"/>
            <w:r w:rsidRPr="00A17D29">
              <w:rPr>
                <w:lang w:val="en-GB"/>
              </w:rPr>
              <w:t>AST</w:t>
            </w:r>
            <w:r w:rsidRPr="00A17D29">
              <w:rPr>
                <w:vertAlign w:val="superscript"/>
                <w:lang w:val="en-GB"/>
              </w:rPr>
              <w:t>b</w:t>
            </w:r>
            <w:proofErr w:type="spellEnd"/>
          </w:p>
        </w:tc>
        <w:tc>
          <w:tcPr>
            <w:tcW w:w="1001" w:type="pct"/>
            <w:vAlign w:val="center"/>
          </w:tcPr>
          <w:p w:rsidR="00A17D29" w:rsidRPr="00A17D29" w:rsidRDefault="00A17D29" w:rsidP="00CA5B60">
            <w:pPr>
              <w:jc w:val="center"/>
              <w:rPr>
                <w:lang w:val="en-GB"/>
              </w:rPr>
            </w:pPr>
            <w:r w:rsidRPr="00A17D29">
              <w:rPr>
                <w:lang w:val="en-GB"/>
              </w:rPr>
              <w:t>42%</w:t>
            </w:r>
          </w:p>
        </w:tc>
        <w:tc>
          <w:tcPr>
            <w:tcW w:w="599" w:type="pct"/>
            <w:vAlign w:val="center"/>
          </w:tcPr>
          <w:p w:rsidR="00A17D29" w:rsidRPr="00A17D29" w:rsidRDefault="00A17D29" w:rsidP="00CA5B60">
            <w:pPr>
              <w:jc w:val="center"/>
              <w:rPr>
                <w:lang w:val="en-GB"/>
              </w:rPr>
            </w:pPr>
            <w:r w:rsidRPr="00A17D29">
              <w:rPr>
                <w:lang w:val="en-GB"/>
              </w:rPr>
              <w:t>3%</w:t>
            </w:r>
          </w:p>
        </w:tc>
        <w:tc>
          <w:tcPr>
            <w:tcW w:w="648" w:type="pct"/>
            <w:vAlign w:val="center"/>
          </w:tcPr>
          <w:p w:rsidR="00A17D29" w:rsidRPr="00A17D29" w:rsidRDefault="00A17D29" w:rsidP="00CA5B60">
            <w:pPr>
              <w:jc w:val="center"/>
              <w:rPr>
                <w:lang w:val="en-GB"/>
              </w:rPr>
            </w:pPr>
            <w:r w:rsidRPr="00A17D29">
              <w:rPr>
                <w:lang w:val="en-GB"/>
              </w:rPr>
              <w:t>0.0003</w:t>
            </w:r>
          </w:p>
        </w:tc>
      </w:tr>
      <w:tr w:rsidR="00A17D29" w:rsidRPr="00A17D29" w:rsidTr="00CA5B60">
        <w:trPr>
          <w:cantSplit/>
          <w:trHeight w:val="340"/>
        </w:trPr>
        <w:tc>
          <w:tcPr>
            <w:tcW w:w="2752" w:type="pct"/>
            <w:vAlign w:val="center"/>
          </w:tcPr>
          <w:p w:rsidR="00A17D29" w:rsidRPr="00A17D29" w:rsidRDefault="00A17D29" w:rsidP="00A17D29">
            <w:pPr>
              <w:rPr>
                <w:lang w:val="en-GB"/>
              </w:rPr>
            </w:pPr>
            <w:r w:rsidRPr="00A17D29">
              <w:rPr>
                <w:lang w:val="en-GB"/>
              </w:rPr>
              <w:t>Triglycerides, mean % change from baseline</w:t>
            </w:r>
          </w:p>
        </w:tc>
        <w:tc>
          <w:tcPr>
            <w:tcW w:w="1001" w:type="pct"/>
            <w:vAlign w:val="center"/>
          </w:tcPr>
          <w:p w:rsidR="00A17D29" w:rsidRPr="00A17D29" w:rsidRDefault="00A17D29" w:rsidP="00CA5B60">
            <w:pPr>
              <w:jc w:val="center"/>
              <w:rPr>
                <w:lang w:val="en-GB"/>
              </w:rPr>
            </w:pPr>
            <w:r w:rsidRPr="00A17D29">
              <w:rPr>
                <w:lang w:val="en-GB"/>
              </w:rPr>
              <w:t>-25%</w:t>
            </w:r>
          </w:p>
        </w:tc>
        <w:tc>
          <w:tcPr>
            <w:tcW w:w="599" w:type="pct"/>
            <w:vAlign w:val="center"/>
          </w:tcPr>
          <w:p w:rsidR="00A17D29" w:rsidRPr="00A17D29" w:rsidRDefault="00A17D29" w:rsidP="00CA5B60">
            <w:pPr>
              <w:jc w:val="center"/>
              <w:rPr>
                <w:lang w:val="en-GB"/>
              </w:rPr>
            </w:pPr>
            <w:r w:rsidRPr="00A17D29">
              <w:rPr>
                <w:lang w:val="en-GB"/>
              </w:rPr>
              <w:t>-11%</w:t>
            </w:r>
          </w:p>
        </w:tc>
        <w:tc>
          <w:tcPr>
            <w:tcW w:w="648" w:type="pct"/>
            <w:vAlign w:val="center"/>
          </w:tcPr>
          <w:p w:rsidR="00A17D29" w:rsidRPr="00A17D29" w:rsidRDefault="00A17D29" w:rsidP="00CA5B60">
            <w:pPr>
              <w:jc w:val="center"/>
              <w:rPr>
                <w:lang w:val="en-GB"/>
              </w:rPr>
            </w:pPr>
            <w:r w:rsidRPr="00A17D29">
              <w:rPr>
                <w:lang w:val="en-GB"/>
              </w:rPr>
              <w:t>0.0375</w:t>
            </w:r>
          </w:p>
        </w:tc>
      </w:tr>
      <w:tr w:rsidR="00A17D29" w:rsidRPr="00A17D29" w:rsidTr="00CA5B60">
        <w:trPr>
          <w:cantSplit/>
          <w:trHeight w:val="340"/>
        </w:trPr>
        <w:tc>
          <w:tcPr>
            <w:tcW w:w="2752" w:type="pct"/>
            <w:vAlign w:val="center"/>
          </w:tcPr>
          <w:p w:rsidR="00A17D29" w:rsidRPr="00A17D29" w:rsidRDefault="00A17D29" w:rsidP="00CA5B60">
            <w:pPr>
              <w:rPr>
                <w:lang w:val="en-GB"/>
              </w:rPr>
            </w:pPr>
            <w:r w:rsidRPr="00A17D29">
              <w:rPr>
                <w:lang w:val="en-GB"/>
              </w:rPr>
              <w:t>HDL-c, mean % change from baseline</w:t>
            </w:r>
            <w:r w:rsidRPr="00A17D29">
              <w:rPr>
                <w:vertAlign w:val="superscript"/>
                <w:lang w:val="en-GB"/>
              </w:rPr>
              <w:t xml:space="preserve"> </w:t>
            </w:r>
          </w:p>
        </w:tc>
        <w:tc>
          <w:tcPr>
            <w:tcW w:w="1001" w:type="pct"/>
            <w:vAlign w:val="center"/>
          </w:tcPr>
          <w:p w:rsidR="00A17D29" w:rsidRPr="00A17D29" w:rsidRDefault="00A17D29" w:rsidP="00CA5B60">
            <w:pPr>
              <w:jc w:val="center"/>
              <w:rPr>
                <w:lang w:val="en-GB"/>
              </w:rPr>
            </w:pPr>
            <w:r w:rsidRPr="00A17D29">
              <w:rPr>
                <w:lang w:val="en-GB"/>
              </w:rPr>
              <w:t>20%</w:t>
            </w:r>
          </w:p>
        </w:tc>
        <w:tc>
          <w:tcPr>
            <w:tcW w:w="599" w:type="pct"/>
            <w:vAlign w:val="center"/>
          </w:tcPr>
          <w:p w:rsidR="00A17D29" w:rsidRPr="00A17D29" w:rsidRDefault="00A17D29" w:rsidP="00CA5B60">
            <w:pPr>
              <w:jc w:val="center"/>
              <w:rPr>
                <w:lang w:val="en-GB"/>
              </w:rPr>
            </w:pPr>
            <w:r w:rsidRPr="00A17D29">
              <w:rPr>
                <w:lang w:val="en-GB"/>
              </w:rPr>
              <w:t>-0.3%</w:t>
            </w:r>
          </w:p>
        </w:tc>
        <w:tc>
          <w:tcPr>
            <w:tcW w:w="648" w:type="pct"/>
            <w:vAlign w:val="center"/>
          </w:tcPr>
          <w:p w:rsidR="00A17D29" w:rsidRPr="00A17D29" w:rsidRDefault="00A17D29" w:rsidP="00CA5B60">
            <w:pPr>
              <w:jc w:val="center"/>
              <w:rPr>
                <w:lang w:val="en-GB"/>
              </w:rPr>
            </w:pPr>
            <w:r w:rsidRPr="00A17D29">
              <w:rPr>
                <w:lang w:val="en-GB"/>
              </w:rPr>
              <w:t>&lt; 0.0001</w:t>
            </w:r>
          </w:p>
        </w:tc>
      </w:tr>
      <w:tr w:rsidR="00CA5B60" w:rsidRPr="00A17D29" w:rsidTr="00CA5B60">
        <w:trPr>
          <w:cantSplit/>
          <w:trHeight w:val="340"/>
        </w:trPr>
        <w:tc>
          <w:tcPr>
            <w:tcW w:w="2752" w:type="pct"/>
            <w:tcBorders>
              <w:bottom w:val="single" w:sz="4" w:space="0" w:color="auto"/>
            </w:tcBorders>
            <w:vAlign w:val="center"/>
          </w:tcPr>
          <w:p w:rsidR="00A17D29" w:rsidRPr="00A17D29" w:rsidRDefault="00A17D29" w:rsidP="00A17D29">
            <w:pPr>
              <w:rPr>
                <w:lang w:val="en-GB"/>
              </w:rPr>
            </w:pPr>
            <w:r w:rsidRPr="00A17D29">
              <w:rPr>
                <w:lang w:val="en-GB"/>
              </w:rPr>
              <w:t xml:space="preserve">Liver fat content </w:t>
            </w:r>
            <w:r w:rsidRPr="00A17D29">
              <w:rPr>
                <w:vertAlign w:val="superscript"/>
                <w:lang w:val="en-GB"/>
              </w:rPr>
              <w:t>c</w:t>
            </w:r>
            <w:r w:rsidRPr="00A17D29">
              <w:rPr>
                <w:lang w:val="en-GB"/>
              </w:rPr>
              <w:t>, mean % change from baseline</w:t>
            </w:r>
          </w:p>
        </w:tc>
        <w:tc>
          <w:tcPr>
            <w:tcW w:w="1001" w:type="pct"/>
            <w:tcBorders>
              <w:bottom w:val="single" w:sz="4" w:space="0" w:color="auto"/>
            </w:tcBorders>
            <w:vAlign w:val="center"/>
          </w:tcPr>
          <w:p w:rsidR="00A17D29" w:rsidRPr="00A17D29" w:rsidRDefault="00A17D29" w:rsidP="00CA5B60">
            <w:pPr>
              <w:jc w:val="center"/>
              <w:rPr>
                <w:lang w:val="en-GB"/>
              </w:rPr>
            </w:pPr>
            <w:r w:rsidRPr="00A17D29">
              <w:rPr>
                <w:lang w:val="en-GB"/>
              </w:rPr>
              <w:t>-32%</w:t>
            </w:r>
          </w:p>
        </w:tc>
        <w:tc>
          <w:tcPr>
            <w:tcW w:w="599" w:type="pct"/>
            <w:tcBorders>
              <w:bottom w:val="single" w:sz="4" w:space="0" w:color="auto"/>
            </w:tcBorders>
            <w:vAlign w:val="center"/>
          </w:tcPr>
          <w:p w:rsidR="00A17D29" w:rsidRPr="00A17D29" w:rsidRDefault="00A17D29" w:rsidP="00CA5B60">
            <w:pPr>
              <w:jc w:val="center"/>
              <w:rPr>
                <w:lang w:val="en-GB"/>
              </w:rPr>
            </w:pPr>
            <w:r w:rsidRPr="00A17D29">
              <w:rPr>
                <w:lang w:val="en-GB"/>
              </w:rPr>
              <w:t>-4%</w:t>
            </w:r>
          </w:p>
        </w:tc>
        <w:tc>
          <w:tcPr>
            <w:tcW w:w="648" w:type="pct"/>
            <w:tcBorders>
              <w:bottom w:val="single" w:sz="4" w:space="0" w:color="auto"/>
            </w:tcBorders>
            <w:vAlign w:val="center"/>
          </w:tcPr>
          <w:p w:rsidR="00A17D29" w:rsidRPr="00A17D29" w:rsidRDefault="00A17D29" w:rsidP="00CA5B60">
            <w:pPr>
              <w:jc w:val="center"/>
              <w:rPr>
                <w:lang w:val="en-GB"/>
              </w:rPr>
            </w:pPr>
            <w:r w:rsidRPr="00A17D29">
              <w:rPr>
                <w:lang w:val="en-GB"/>
              </w:rPr>
              <w:t>&lt; 0.0001</w:t>
            </w:r>
          </w:p>
        </w:tc>
      </w:tr>
      <w:tr w:rsidR="00FB2BF8" w:rsidRPr="00A17D29" w:rsidTr="00CA5B60">
        <w:trPr>
          <w:cantSplit/>
          <w:trHeight w:val="340"/>
        </w:trPr>
        <w:tc>
          <w:tcPr>
            <w:tcW w:w="5000" w:type="pct"/>
            <w:gridSpan w:val="4"/>
            <w:tcBorders>
              <w:left w:val="nil"/>
              <w:bottom w:val="nil"/>
              <w:right w:val="nil"/>
            </w:tcBorders>
            <w:vAlign w:val="center"/>
          </w:tcPr>
          <w:p w:rsidR="00CA5B60" w:rsidRPr="00CA5B60" w:rsidRDefault="00CA5B60" w:rsidP="00CA5B60">
            <w:pPr>
              <w:spacing w:before="120"/>
              <w:rPr>
                <w:i/>
                <w:sz w:val="22"/>
                <w:lang w:val="en-GB"/>
              </w:rPr>
            </w:pPr>
            <w:proofErr w:type="gramStart"/>
            <w:r>
              <w:rPr>
                <w:i/>
                <w:sz w:val="22"/>
                <w:lang w:val="en-GB"/>
              </w:rPr>
              <w:t>low</w:t>
            </w:r>
            <w:r w:rsidRPr="00CA5B60">
              <w:rPr>
                <w:i/>
                <w:sz w:val="22"/>
                <w:lang w:val="en-GB"/>
              </w:rPr>
              <w:t>-density</w:t>
            </w:r>
            <w:proofErr w:type="gramEnd"/>
            <w:r w:rsidRPr="00CA5B60">
              <w:rPr>
                <w:i/>
                <w:sz w:val="22"/>
                <w:lang w:val="en-GB"/>
              </w:rPr>
              <w:t xml:space="preserve"> lipoprotein cholesterol</w:t>
            </w:r>
            <w:r>
              <w:rPr>
                <w:i/>
                <w:sz w:val="22"/>
                <w:lang w:val="en-GB"/>
              </w:rPr>
              <w:t xml:space="preserve"> (LDL-c);</w:t>
            </w:r>
            <w:r w:rsidRPr="00CA5B60">
              <w:rPr>
                <w:i/>
                <w:sz w:val="22"/>
                <w:lang w:val="en-GB"/>
              </w:rPr>
              <w:t xml:space="preserve"> high-density lipoprotein cholesterol</w:t>
            </w:r>
            <w:r>
              <w:rPr>
                <w:i/>
                <w:sz w:val="22"/>
                <w:lang w:val="en-GB"/>
              </w:rPr>
              <w:t xml:space="preserve"> (</w:t>
            </w:r>
            <w:r w:rsidRPr="00CA5B60">
              <w:rPr>
                <w:i/>
                <w:sz w:val="22"/>
                <w:lang w:val="en-GB"/>
              </w:rPr>
              <w:t>HDL-c</w:t>
            </w:r>
            <w:r>
              <w:rPr>
                <w:i/>
                <w:sz w:val="22"/>
                <w:lang w:val="en-GB"/>
              </w:rPr>
              <w:t xml:space="preserve">); </w:t>
            </w:r>
            <w:r w:rsidRPr="00CA5B60">
              <w:rPr>
                <w:i/>
                <w:sz w:val="22"/>
                <w:lang w:val="en-GB"/>
              </w:rPr>
              <w:t>ala</w:t>
            </w:r>
            <w:r>
              <w:rPr>
                <w:i/>
                <w:sz w:val="22"/>
                <w:lang w:val="en-GB"/>
              </w:rPr>
              <w:t>nine aminotransferase (ALT); aspartate aminotransferase (AST).</w:t>
            </w:r>
          </w:p>
          <w:p w:rsidR="00FB2BF8" w:rsidRPr="00FB2BF8" w:rsidRDefault="00FB2BF8" w:rsidP="00FB2BF8">
            <w:pPr>
              <w:rPr>
                <w:i/>
                <w:sz w:val="22"/>
                <w:lang w:val="en-GB"/>
              </w:rPr>
            </w:pPr>
            <w:proofErr w:type="gramStart"/>
            <w:r w:rsidRPr="00FB2BF8">
              <w:rPr>
                <w:i/>
                <w:sz w:val="22"/>
                <w:vertAlign w:val="superscript"/>
                <w:lang w:val="en-GB"/>
              </w:rPr>
              <w:t>a</w:t>
            </w:r>
            <w:proofErr w:type="gramEnd"/>
            <w:r w:rsidRPr="00FB2BF8">
              <w:rPr>
                <w:i/>
                <w:sz w:val="22"/>
                <w:lang w:val="en-GB"/>
              </w:rPr>
              <w:t xml:space="preserve"> Proportion of patients who achieved normalisation defined as 34 or 43 U/l, depending on age and gender.</w:t>
            </w:r>
          </w:p>
          <w:p w:rsidR="00FB2BF8" w:rsidRPr="00FB2BF8" w:rsidRDefault="00FB2BF8" w:rsidP="00FB2BF8">
            <w:pPr>
              <w:rPr>
                <w:i/>
                <w:sz w:val="22"/>
                <w:lang w:val="en-GB"/>
              </w:rPr>
            </w:pPr>
            <w:proofErr w:type="gramStart"/>
            <w:r w:rsidRPr="00FB2BF8">
              <w:rPr>
                <w:i/>
                <w:sz w:val="22"/>
                <w:vertAlign w:val="superscript"/>
                <w:lang w:val="en-GB"/>
              </w:rPr>
              <w:t>b</w:t>
            </w:r>
            <w:proofErr w:type="gramEnd"/>
            <w:r w:rsidRPr="00FB2BF8">
              <w:rPr>
                <w:i/>
                <w:sz w:val="22"/>
                <w:lang w:val="en-GB"/>
              </w:rPr>
              <w:t xml:space="preserve"> Proportion of patients who achieved normalisation defined as 34-59 U/l, depending on age and gender. Evaluated in patients with abnormal baseline values (n = 36 for </w:t>
            </w:r>
            <w:proofErr w:type="spellStart"/>
            <w:r w:rsidR="006F09A5">
              <w:rPr>
                <w:i/>
                <w:sz w:val="22"/>
                <w:lang w:val="en-GB"/>
              </w:rPr>
              <w:t>sebelipase</w:t>
            </w:r>
            <w:proofErr w:type="spellEnd"/>
            <w:r w:rsidR="006F09A5">
              <w:rPr>
                <w:i/>
                <w:sz w:val="22"/>
                <w:lang w:val="en-GB"/>
              </w:rPr>
              <w:t xml:space="preserve"> alfa</w:t>
            </w:r>
            <w:r w:rsidRPr="00FB2BF8">
              <w:rPr>
                <w:i/>
                <w:sz w:val="22"/>
                <w:lang w:val="en-GB"/>
              </w:rPr>
              <w:t xml:space="preserve">; n = 29 for placebo). </w:t>
            </w:r>
          </w:p>
          <w:p w:rsidR="00FB2BF8" w:rsidRPr="00FB2BF8" w:rsidRDefault="00FB2BF8" w:rsidP="00FB2BF8">
            <w:pPr>
              <w:rPr>
                <w:i/>
                <w:sz w:val="22"/>
                <w:lang w:val="en-GB"/>
              </w:rPr>
            </w:pPr>
            <w:proofErr w:type="gramStart"/>
            <w:r w:rsidRPr="00FB2BF8">
              <w:rPr>
                <w:i/>
                <w:sz w:val="22"/>
                <w:vertAlign w:val="superscript"/>
                <w:lang w:val="en-GB"/>
              </w:rPr>
              <w:t>c</w:t>
            </w:r>
            <w:proofErr w:type="gramEnd"/>
            <w:r w:rsidRPr="00FB2BF8">
              <w:rPr>
                <w:i/>
                <w:sz w:val="22"/>
                <w:lang w:val="en-GB"/>
              </w:rPr>
              <w:t xml:space="preserve"> Evaluated in patients with MEGE-MRI assessments performed (n = 32 for </w:t>
            </w:r>
            <w:proofErr w:type="spellStart"/>
            <w:r w:rsidR="008A4C13">
              <w:rPr>
                <w:i/>
                <w:sz w:val="22"/>
                <w:lang w:val="en-GB"/>
              </w:rPr>
              <w:t>sebelipase</w:t>
            </w:r>
            <w:proofErr w:type="spellEnd"/>
            <w:r w:rsidR="008A4C13">
              <w:rPr>
                <w:i/>
                <w:sz w:val="22"/>
                <w:lang w:val="en-GB"/>
              </w:rPr>
              <w:t xml:space="preserve"> alfa</w:t>
            </w:r>
            <w:r w:rsidRPr="00FB2BF8">
              <w:rPr>
                <w:i/>
                <w:sz w:val="22"/>
                <w:lang w:val="en-GB"/>
              </w:rPr>
              <w:t xml:space="preserve">; n = 25 for placebo). </w:t>
            </w:r>
          </w:p>
          <w:p w:rsidR="00FB2BF8" w:rsidRPr="00A17D29" w:rsidRDefault="00FB2BF8" w:rsidP="00FB2BF8">
            <w:pPr>
              <w:rPr>
                <w:lang w:val="en-GB"/>
              </w:rPr>
            </w:pPr>
            <w:proofErr w:type="gramStart"/>
            <w:r w:rsidRPr="00FB2BF8">
              <w:rPr>
                <w:i/>
                <w:sz w:val="22"/>
                <w:vertAlign w:val="superscript"/>
                <w:lang w:val="en-GB"/>
              </w:rPr>
              <w:t>d</w:t>
            </w:r>
            <w:proofErr w:type="gramEnd"/>
            <w:r w:rsidRPr="00FB2BF8">
              <w:rPr>
                <w:i/>
                <w:sz w:val="22"/>
                <w:lang w:val="en-GB"/>
              </w:rPr>
              <w:t xml:space="preserve"> P-values are from Fisher’s exact test for normalisation endpoints and Wilcoxon rank-sum test for all other endpoints</w:t>
            </w:r>
            <w:r w:rsidRPr="00A17D29">
              <w:rPr>
                <w:lang w:val="en-GB"/>
              </w:rPr>
              <w:t>.</w:t>
            </w:r>
          </w:p>
          <w:p w:rsidR="00FB2BF8" w:rsidRPr="00A17D29" w:rsidRDefault="00FB2BF8" w:rsidP="00A17D29">
            <w:pPr>
              <w:rPr>
                <w:lang w:val="en-GB"/>
              </w:rPr>
            </w:pPr>
          </w:p>
        </w:tc>
      </w:tr>
    </w:tbl>
    <w:p w:rsidR="001A53AB" w:rsidRDefault="001A53AB" w:rsidP="00A17D29">
      <w:pPr>
        <w:rPr>
          <w:bCs/>
          <w:lang w:val="en-GB"/>
        </w:rPr>
      </w:pPr>
    </w:p>
    <w:p w:rsidR="00835AB1" w:rsidRDefault="00A17D29" w:rsidP="00A17D29">
      <w:pPr>
        <w:rPr>
          <w:bCs/>
          <w:lang w:val="en-GB"/>
        </w:rPr>
      </w:pPr>
      <w:r w:rsidRPr="00A17D29">
        <w:rPr>
          <w:bCs/>
          <w:lang w:val="en-GB"/>
        </w:rPr>
        <w:t>Paired liver biopsies at baseline and week 20 were available in</w:t>
      </w:r>
      <w:r w:rsidRPr="00A17D29">
        <w:rPr>
          <w:lang w:val="en-GB"/>
        </w:rPr>
        <w:t xml:space="preserve"> </w:t>
      </w:r>
      <w:r w:rsidRPr="00A17D29">
        <w:rPr>
          <w:bCs/>
          <w:lang w:val="en-GB"/>
        </w:rPr>
        <w:t xml:space="preserve">a subset of patients (n = 26). Of patients with paired liver biopsies, 63% (10/16) of </w:t>
      </w:r>
      <w:proofErr w:type="spellStart"/>
      <w:r w:rsidR="008A4C13">
        <w:rPr>
          <w:bCs/>
          <w:lang w:val="en-GB"/>
        </w:rPr>
        <w:t>sebelipase</w:t>
      </w:r>
      <w:proofErr w:type="spellEnd"/>
      <w:r w:rsidR="008A4C13">
        <w:rPr>
          <w:bCs/>
          <w:lang w:val="en-GB"/>
        </w:rPr>
        <w:t xml:space="preserve"> </w:t>
      </w:r>
      <w:r w:rsidR="004C6656">
        <w:rPr>
          <w:bCs/>
          <w:lang w:val="en-GB"/>
        </w:rPr>
        <w:t>alfa</w:t>
      </w:r>
      <w:r w:rsidR="004C6656" w:rsidRPr="00B57A15">
        <w:rPr>
          <w:bCs/>
          <w:i/>
          <w:lang w:val="en-GB"/>
        </w:rPr>
        <w:t xml:space="preserve"> </w:t>
      </w:r>
      <w:proofErr w:type="spellStart"/>
      <w:r w:rsidR="004C6656" w:rsidRPr="00B57A15">
        <w:rPr>
          <w:bCs/>
          <w:i/>
          <w:lang w:val="en-GB"/>
        </w:rPr>
        <w:t>rce</w:t>
      </w:r>
      <w:proofErr w:type="spellEnd"/>
      <w:r w:rsidRPr="00A17D29">
        <w:rPr>
          <w:bCs/>
          <w:lang w:val="en-GB"/>
        </w:rPr>
        <w:t xml:space="preserve">-treated patients had improvement in hepatic steatosis (at least </w:t>
      </w:r>
      <w:r w:rsidRPr="00A17D29">
        <w:rPr>
          <w:bCs/>
          <w:lang w:val="en-GB"/>
        </w:rPr>
        <w:sym w:font="Symbol" w:char="F0B3"/>
      </w:r>
      <w:r w:rsidRPr="00A17D29">
        <w:rPr>
          <w:bCs/>
          <w:lang w:val="en-GB"/>
        </w:rPr>
        <w:t> 5% reduction) as measured by morphometry compared to 40% (4/10) of placebo patients</w:t>
      </w:r>
      <w:r w:rsidR="007F1A7F">
        <w:rPr>
          <w:bCs/>
          <w:lang w:val="en-GB"/>
        </w:rPr>
        <w:t xml:space="preserve"> (</w:t>
      </w:r>
      <w:r w:rsidR="00566178">
        <w:rPr>
          <w:bCs/>
          <w:lang w:val="en-GB"/>
        </w:rPr>
        <w:fldChar w:fldCharType="begin"/>
      </w:r>
      <w:r w:rsidR="00566178">
        <w:rPr>
          <w:bCs/>
          <w:lang w:val="en-GB"/>
        </w:rPr>
        <w:instrText xml:space="preserve"> REF _Ref396674942 \h </w:instrText>
      </w:r>
      <w:r w:rsidR="00566178">
        <w:rPr>
          <w:bCs/>
          <w:lang w:val="en-GB"/>
        </w:rPr>
      </w:r>
      <w:r w:rsidR="00566178">
        <w:rPr>
          <w:bCs/>
          <w:lang w:val="en-GB"/>
        </w:rPr>
        <w:fldChar w:fldCharType="separate"/>
      </w:r>
      <w:r w:rsidR="0035098F">
        <w:t xml:space="preserve">Table </w:t>
      </w:r>
      <w:r w:rsidR="0035098F">
        <w:rPr>
          <w:noProof/>
        </w:rPr>
        <w:t>3</w:t>
      </w:r>
      <w:r w:rsidR="00566178">
        <w:rPr>
          <w:bCs/>
          <w:lang w:val="en-GB"/>
        </w:rPr>
        <w:fldChar w:fldCharType="end"/>
      </w:r>
      <w:r w:rsidR="007F1A7F">
        <w:rPr>
          <w:bCs/>
          <w:lang w:val="en-GB"/>
        </w:rPr>
        <w:t>)</w:t>
      </w:r>
      <w:r w:rsidRPr="00A17D29">
        <w:rPr>
          <w:bCs/>
          <w:lang w:val="en-GB"/>
        </w:rPr>
        <w:t xml:space="preserve">. This difference was not statistically significant. </w:t>
      </w:r>
      <w:r w:rsidR="006320CC">
        <w:rPr>
          <w:bCs/>
          <w:lang w:val="en-GB"/>
        </w:rPr>
        <w:t xml:space="preserve">Five of the 10 (50%) placebo patients with paired biopsies worsened from baseline compared to one of 16 (6%) in the </w:t>
      </w:r>
      <w:proofErr w:type="spellStart"/>
      <w:r w:rsidR="006320CC">
        <w:rPr>
          <w:bCs/>
          <w:lang w:val="en-GB"/>
        </w:rPr>
        <w:t>sebelipase</w:t>
      </w:r>
      <w:proofErr w:type="spellEnd"/>
      <w:r w:rsidR="006320CC">
        <w:rPr>
          <w:bCs/>
          <w:lang w:val="en-GB"/>
        </w:rPr>
        <w:t xml:space="preserve"> </w:t>
      </w:r>
      <w:r w:rsidR="004C6656">
        <w:rPr>
          <w:bCs/>
          <w:lang w:val="en-GB"/>
        </w:rPr>
        <w:t>alfa</w:t>
      </w:r>
      <w:r w:rsidR="004C6656" w:rsidRPr="00B57A15">
        <w:rPr>
          <w:bCs/>
          <w:i/>
          <w:lang w:val="en-GB"/>
        </w:rPr>
        <w:t xml:space="preserve"> </w:t>
      </w:r>
      <w:proofErr w:type="spellStart"/>
      <w:r w:rsidR="004C6656" w:rsidRPr="00B57A15">
        <w:rPr>
          <w:bCs/>
          <w:i/>
          <w:lang w:val="en-GB"/>
        </w:rPr>
        <w:t>rce</w:t>
      </w:r>
      <w:proofErr w:type="spellEnd"/>
      <w:r w:rsidR="006320CC">
        <w:rPr>
          <w:bCs/>
          <w:lang w:val="en-GB"/>
        </w:rPr>
        <w:t xml:space="preserve">-treated patients (p=0.0184). </w:t>
      </w:r>
    </w:p>
    <w:p w:rsidR="006320CC" w:rsidRDefault="006320CC" w:rsidP="00A17D29">
      <w:pPr>
        <w:rPr>
          <w:bCs/>
          <w:lang w:val="en-GB"/>
        </w:rPr>
      </w:pP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63"/>
        <w:gridCol w:w="1105"/>
        <w:gridCol w:w="1170"/>
        <w:gridCol w:w="1171"/>
      </w:tblGrid>
      <w:tr w:rsidR="00835AB1" w:rsidRPr="00E86958" w:rsidTr="001A53AB">
        <w:tc>
          <w:tcPr>
            <w:tcW w:w="8567" w:type="dxa"/>
            <w:gridSpan w:val="5"/>
            <w:tcBorders>
              <w:top w:val="nil"/>
              <w:left w:val="nil"/>
              <w:bottom w:val="single" w:sz="4" w:space="0" w:color="auto"/>
              <w:right w:val="nil"/>
            </w:tcBorders>
            <w:shd w:val="clear" w:color="auto" w:fill="auto"/>
            <w:vAlign w:val="bottom"/>
          </w:tcPr>
          <w:p w:rsidR="00835AB1" w:rsidRPr="00D12095" w:rsidRDefault="00566178" w:rsidP="00566178">
            <w:pPr>
              <w:pStyle w:val="Caption"/>
              <w:rPr>
                <w:rFonts w:eastAsia="Batang"/>
                <w:sz w:val="20"/>
              </w:rPr>
            </w:pPr>
            <w:bookmarkStart w:id="5" w:name="_Ref396674942"/>
            <w:bookmarkStart w:id="6" w:name="_Toc393542332"/>
            <w:bookmarkStart w:id="7" w:name="_Ref394224370"/>
            <w:bookmarkStart w:id="8" w:name="_Toc402908183"/>
            <w:r>
              <w:lastRenderedPageBreak/>
              <w:t xml:space="preserve">Table </w:t>
            </w:r>
            <w:r w:rsidR="008748D1">
              <w:fldChar w:fldCharType="begin"/>
            </w:r>
            <w:r w:rsidR="008748D1">
              <w:instrText xml:space="preserve"> SEQ Table \* ARABIC </w:instrText>
            </w:r>
            <w:r w:rsidR="008748D1">
              <w:fldChar w:fldCharType="separate"/>
            </w:r>
            <w:r w:rsidR="0035098F">
              <w:rPr>
                <w:noProof/>
              </w:rPr>
              <w:t>3</w:t>
            </w:r>
            <w:r w:rsidR="008748D1">
              <w:rPr>
                <w:noProof/>
              </w:rPr>
              <w:fldChar w:fldCharType="end"/>
            </w:r>
            <w:bookmarkEnd w:id="5"/>
            <w:r w:rsidR="007F1A7F" w:rsidRPr="00D12095">
              <w:rPr>
                <w:rFonts w:eastAsia="Batang"/>
              </w:rPr>
              <w:t xml:space="preserve">: </w:t>
            </w:r>
            <w:r w:rsidR="00835AB1" w:rsidRPr="00D12095">
              <w:rPr>
                <w:rFonts w:eastAsia="Batang"/>
              </w:rPr>
              <w:t xml:space="preserve">Change from Baseline to Last Visit in the Double-Blind Treatment Period in Liver Histopathology </w:t>
            </w:r>
            <w:bookmarkEnd w:id="6"/>
            <w:bookmarkEnd w:id="7"/>
            <w:bookmarkEnd w:id="8"/>
          </w:p>
        </w:tc>
      </w:tr>
      <w:tr w:rsidR="00835AB1" w:rsidRPr="00E86958" w:rsidTr="001A53AB">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rsidR="00835AB1" w:rsidRPr="00D12095" w:rsidRDefault="00835AB1" w:rsidP="001A53AB">
            <w:pPr>
              <w:pStyle w:val="TableText"/>
              <w:keepNext/>
              <w:keepLines/>
              <w:jc w:val="center"/>
              <w:rPr>
                <w:b/>
                <w:sz w:val="20"/>
              </w:rPr>
            </w:pPr>
            <w:r w:rsidRPr="00D12095">
              <w:rPr>
                <w:b/>
                <w:sz w:val="20"/>
              </w:rPr>
              <w:t>Result at Last Visit in the Double-Blind Treatment Period</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rsidR="00835AB1" w:rsidRPr="00D12095" w:rsidRDefault="00835AB1" w:rsidP="001A53AB">
            <w:pPr>
              <w:pStyle w:val="TableText"/>
              <w:keepNext/>
              <w:keepLines/>
              <w:jc w:val="center"/>
              <w:rPr>
                <w:b/>
                <w:sz w:val="20"/>
              </w:rPr>
            </w:pPr>
            <w:proofErr w:type="spellStart"/>
            <w:r w:rsidRPr="00D12095">
              <w:rPr>
                <w:b/>
                <w:sz w:val="20"/>
              </w:rPr>
              <w:t>Sebelipase</w:t>
            </w:r>
            <w:proofErr w:type="spellEnd"/>
            <w:r w:rsidRPr="00D12095">
              <w:rPr>
                <w:b/>
                <w:sz w:val="20"/>
              </w:rPr>
              <w:t xml:space="preserve"> </w:t>
            </w:r>
            <w:proofErr w:type="gramStart"/>
            <w:r w:rsidRPr="00D12095">
              <w:rPr>
                <w:b/>
                <w:sz w:val="20"/>
              </w:rPr>
              <w:t>Alfa</w:t>
            </w:r>
            <w:proofErr w:type="gramEnd"/>
            <w:r w:rsidRPr="00D12095">
              <w:rPr>
                <w:b/>
                <w:sz w:val="20"/>
              </w:rPr>
              <w:br/>
              <w:t>(</w:t>
            </w:r>
            <w:r w:rsidR="001A53AB">
              <w:rPr>
                <w:b/>
                <w:sz w:val="20"/>
              </w:rPr>
              <w:t xml:space="preserve">n </w:t>
            </w:r>
            <w:r w:rsidRPr="00D12095">
              <w:rPr>
                <w:b/>
                <w:sz w:val="20"/>
              </w:rPr>
              <w:t>=</w:t>
            </w:r>
            <w:r w:rsidR="001A53AB">
              <w:rPr>
                <w:b/>
                <w:sz w:val="20"/>
              </w:rPr>
              <w:t xml:space="preserve"> </w:t>
            </w:r>
            <w:r w:rsidRPr="00D12095">
              <w:rPr>
                <w:b/>
                <w:sz w:val="20"/>
              </w:rPr>
              <w:t>19)</w:t>
            </w:r>
            <w:r w:rsidRPr="00D12095">
              <w:rPr>
                <w:b/>
                <w:sz w:val="20"/>
              </w:rPr>
              <w:br/>
              <w:t>n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835AB1" w:rsidRPr="00D12095" w:rsidRDefault="00835AB1" w:rsidP="001A53AB">
            <w:pPr>
              <w:pStyle w:val="TableText"/>
              <w:keepNext/>
              <w:keepLines/>
              <w:jc w:val="center"/>
              <w:rPr>
                <w:b/>
                <w:sz w:val="20"/>
              </w:rPr>
            </w:pPr>
            <w:proofErr w:type="gramStart"/>
            <w:r w:rsidRPr="00D12095">
              <w:rPr>
                <w:b/>
                <w:sz w:val="20"/>
              </w:rPr>
              <w:t>Placebo</w:t>
            </w:r>
            <w:proofErr w:type="gramEnd"/>
            <w:r w:rsidRPr="00D12095">
              <w:rPr>
                <w:b/>
                <w:sz w:val="20"/>
              </w:rPr>
              <w:br/>
              <w:t>(</w:t>
            </w:r>
            <w:r w:rsidR="001A53AB">
              <w:rPr>
                <w:b/>
                <w:sz w:val="20"/>
              </w:rPr>
              <w:t xml:space="preserve">n </w:t>
            </w:r>
            <w:r w:rsidRPr="00D12095">
              <w:rPr>
                <w:b/>
                <w:sz w:val="20"/>
              </w:rPr>
              <w:t>=</w:t>
            </w:r>
            <w:r w:rsidR="001A53AB">
              <w:rPr>
                <w:b/>
                <w:sz w:val="20"/>
              </w:rPr>
              <w:t xml:space="preserve"> </w:t>
            </w:r>
            <w:r w:rsidRPr="00D12095">
              <w:rPr>
                <w:b/>
                <w:sz w:val="20"/>
              </w:rPr>
              <w:t>13)</w:t>
            </w:r>
            <w:r w:rsidRPr="00D12095">
              <w:rPr>
                <w:b/>
                <w:sz w:val="20"/>
              </w:rPr>
              <w:br/>
              <w:t>n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35AB1" w:rsidRPr="00D12095" w:rsidRDefault="00835AB1" w:rsidP="001A53AB">
            <w:pPr>
              <w:pStyle w:val="TableText"/>
              <w:keepNext/>
              <w:keepLines/>
              <w:jc w:val="center"/>
              <w:rPr>
                <w:b/>
                <w:sz w:val="20"/>
              </w:rPr>
            </w:pPr>
            <w:r w:rsidRPr="00D12095">
              <w:rPr>
                <w:b/>
                <w:sz w:val="20"/>
              </w:rPr>
              <w:t>Difference (%)</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835AB1" w:rsidRPr="00D12095" w:rsidRDefault="00835AB1" w:rsidP="001A53AB">
            <w:pPr>
              <w:pStyle w:val="TableText"/>
              <w:keepNext/>
              <w:keepLines/>
              <w:jc w:val="center"/>
              <w:rPr>
                <w:b/>
                <w:sz w:val="20"/>
              </w:rPr>
            </w:pPr>
            <w:r w:rsidRPr="00D12095">
              <w:rPr>
                <w:b/>
                <w:sz w:val="20"/>
              </w:rPr>
              <w:t>P-</w:t>
            </w:r>
            <w:proofErr w:type="spellStart"/>
            <w:r w:rsidRPr="00D12095">
              <w:rPr>
                <w:b/>
                <w:sz w:val="20"/>
              </w:rPr>
              <w:t>value</w:t>
            </w:r>
            <w:r w:rsidRPr="00D12095">
              <w:rPr>
                <w:b/>
                <w:sz w:val="20"/>
                <w:vertAlign w:val="superscript"/>
              </w:rPr>
              <w:t>a</w:t>
            </w:r>
            <w:proofErr w:type="spellEnd"/>
          </w:p>
        </w:tc>
      </w:tr>
      <w:tr w:rsidR="00835AB1" w:rsidRPr="00E86958" w:rsidTr="001A53AB">
        <w:tc>
          <w:tcPr>
            <w:tcW w:w="3258" w:type="dxa"/>
            <w:tcBorders>
              <w:top w:val="single" w:sz="4" w:space="0" w:color="auto"/>
              <w:left w:val="single" w:sz="4" w:space="0" w:color="auto"/>
              <w:bottom w:val="nil"/>
              <w:right w:val="single" w:sz="4" w:space="0" w:color="auto"/>
            </w:tcBorders>
            <w:shd w:val="clear" w:color="auto" w:fill="auto"/>
          </w:tcPr>
          <w:p w:rsidR="00835AB1" w:rsidRPr="00D12095" w:rsidRDefault="00835AB1" w:rsidP="00D12095">
            <w:pPr>
              <w:pStyle w:val="TableText"/>
              <w:keepNext/>
              <w:keepLines/>
              <w:rPr>
                <w:sz w:val="20"/>
              </w:rPr>
            </w:pPr>
            <w:r w:rsidRPr="00D12095">
              <w:rPr>
                <w:sz w:val="20"/>
              </w:rPr>
              <w:t>N</w:t>
            </w:r>
          </w:p>
        </w:tc>
        <w:tc>
          <w:tcPr>
            <w:tcW w:w="1863" w:type="dxa"/>
            <w:tcBorders>
              <w:top w:val="single" w:sz="4" w:space="0" w:color="auto"/>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16</w:t>
            </w:r>
          </w:p>
        </w:tc>
        <w:tc>
          <w:tcPr>
            <w:tcW w:w="1105" w:type="dxa"/>
            <w:tcBorders>
              <w:top w:val="single" w:sz="4" w:space="0" w:color="auto"/>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10</w:t>
            </w:r>
          </w:p>
        </w:tc>
        <w:tc>
          <w:tcPr>
            <w:tcW w:w="1170" w:type="dxa"/>
            <w:tcBorders>
              <w:top w:val="single" w:sz="4" w:space="0" w:color="auto"/>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p>
        </w:tc>
        <w:tc>
          <w:tcPr>
            <w:tcW w:w="1171" w:type="dxa"/>
            <w:tcBorders>
              <w:top w:val="single" w:sz="4" w:space="0" w:color="auto"/>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p>
        </w:tc>
      </w:tr>
      <w:tr w:rsidR="00835AB1" w:rsidRPr="00E86958" w:rsidTr="001A53AB">
        <w:tc>
          <w:tcPr>
            <w:tcW w:w="3258"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rPr>
                <w:sz w:val="20"/>
              </w:rPr>
            </w:pPr>
            <w:r w:rsidRPr="00D12095">
              <w:rPr>
                <w:sz w:val="20"/>
              </w:rPr>
              <w:t xml:space="preserve">Endpoint improved from </w:t>
            </w:r>
            <w:proofErr w:type="spellStart"/>
            <w:r w:rsidRPr="00D12095">
              <w:rPr>
                <w:sz w:val="20"/>
              </w:rPr>
              <w:t>Baseline</w:t>
            </w:r>
            <w:r w:rsidRPr="00D12095">
              <w:rPr>
                <w:sz w:val="20"/>
                <w:vertAlign w:val="superscript"/>
              </w:rPr>
              <w:t>b</w:t>
            </w:r>
            <w:proofErr w:type="spellEnd"/>
          </w:p>
        </w:tc>
        <w:tc>
          <w:tcPr>
            <w:tcW w:w="1863"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10 (63)</w:t>
            </w:r>
          </w:p>
        </w:tc>
        <w:tc>
          <w:tcPr>
            <w:tcW w:w="1105"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4 (40)</w:t>
            </w:r>
          </w:p>
        </w:tc>
        <w:tc>
          <w:tcPr>
            <w:tcW w:w="1170"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23</w:t>
            </w:r>
          </w:p>
        </w:tc>
        <w:tc>
          <w:tcPr>
            <w:tcW w:w="1171"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 xml:space="preserve">0.4216 </w:t>
            </w:r>
          </w:p>
        </w:tc>
      </w:tr>
      <w:tr w:rsidR="00835AB1" w:rsidRPr="00E86958" w:rsidTr="001A53AB">
        <w:tc>
          <w:tcPr>
            <w:tcW w:w="3258"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rPr>
                <w:sz w:val="20"/>
              </w:rPr>
            </w:pPr>
            <w:r w:rsidRPr="00D12095">
              <w:rPr>
                <w:sz w:val="20"/>
              </w:rPr>
              <w:t xml:space="preserve">Endpoint unchanged from </w:t>
            </w:r>
            <w:proofErr w:type="spellStart"/>
            <w:r w:rsidRPr="00D12095">
              <w:rPr>
                <w:sz w:val="20"/>
              </w:rPr>
              <w:t>Baseline</w:t>
            </w:r>
            <w:r w:rsidRPr="00D12095">
              <w:rPr>
                <w:sz w:val="20"/>
                <w:vertAlign w:val="superscript"/>
              </w:rPr>
              <w:t>b</w:t>
            </w:r>
            <w:proofErr w:type="spellEnd"/>
          </w:p>
        </w:tc>
        <w:tc>
          <w:tcPr>
            <w:tcW w:w="1863"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5 (31)</w:t>
            </w:r>
          </w:p>
        </w:tc>
        <w:tc>
          <w:tcPr>
            <w:tcW w:w="1105"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1 (10)</w:t>
            </w:r>
          </w:p>
        </w:tc>
        <w:tc>
          <w:tcPr>
            <w:tcW w:w="1170"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21</w:t>
            </w:r>
          </w:p>
        </w:tc>
        <w:tc>
          <w:tcPr>
            <w:tcW w:w="1171"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0.3524</w:t>
            </w:r>
          </w:p>
        </w:tc>
      </w:tr>
      <w:tr w:rsidR="00835AB1" w:rsidRPr="00E86958" w:rsidTr="001A53AB">
        <w:tc>
          <w:tcPr>
            <w:tcW w:w="3258" w:type="dxa"/>
            <w:tcBorders>
              <w:top w:val="nil"/>
              <w:left w:val="single" w:sz="4" w:space="0" w:color="auto"/>
              <w:bottom w:val="nil"/>
              <w:right w:val="single" w:sz="4" w:space="0" w:color="auto"/>
            </w:tcBorders>
            <w:shd w:val="clear" w:color="auto" w:fill="auto"/>
          </w:tcPr>
          <w:p w:rsidR="00835AB1" w:rsidRPr="00D12095" w:rsidRDefault="00835AB1" w:rsidP="00D12095">
            <w:pPr>
              <w:pStyle w:val="TableText"/>
              <w:keepNext/>
              <w:keepLines/>
              <w:rPr>
                <w:sz w:val="20"/>
              </w:rPr>
            </w:pPr>
            <w:r w:rsidRPr="00D12095">
              <w:rPr>
                <w:sz w:val="20"/>
              </w:rPr>
              <w:t xml:space="preserve">Endpoint worsened from </w:t>
            </w:r>
            <w:proofErr w:type="spellStart"/>
            <w:r w:rsidRPr="00D12095">
              <w:rPr>
                <w:sz w:val="20"/>
              </w:rPr>
              <w:t>Baseline</w:t>
            </w:r>
            <w:r w:rsidRPr="00D12095">
              <w:rPr>
                <w:sz w:val="20"/>
                <w:vertAlign w:val="superscript"/>
              </w:rPr>
              <w:t>b</w:t>
            </w:r>
            <w:proofErr w:type="spellEnd"/>
          </w:p>
        </w:tc>
        <w:tc>
          <w:tcPr>
            <w:tcW w:w="1863" w:type="dxa"/>
            <w:tcBorders>
              <w:top w:val="nil"/>
              <w:left w:val="single" w:sz="4" w:space="0" w:color="auto"/>
              <w:bottom w:val="single" w:sz="4" w:space="0" w:color="auto"/>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1 (6)</w:t>
            </w:r>
          </w:p>
        </w:tc>
        <w:tc>
          <w:tcPr>
            <w:tcW w:w="1105" w:type="dxa"/>
            <w:tcBorders>
              <w:top w:val="nil"/>
              <w:left w:val="single" w:sz="4" w:space="0" w:color="auto"/>
              <w:bottom w:val="single" w:sz="4" w:space="0" w:color="auto"/>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5 (50)</w:t>
            </w:r>
          </w:p>
        </w:tc>
        <w:tc>
          <w:tcPr>
            <w:tcW w:w="1170" w:type="dxa"/>
            <w:tcBorders>
              <w:top w:val="nil"/>
              <w:left w:val="single" w:sz="4" w:space="0" w:color="auto"/>
              <w:bottom w:val="single" w:sz="4" w:space="0" w:color="auto"/>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-44</w:t>
            </w:r>
          </w:p>
        </w:tc>
        <w:tc>
          <w:tcPr>
            <w:tcW w:w="1171" w:type="dxa"/>
            <w:tcBorders>
              <w:top w:val="nil"/>
              <w:left w:val="single" w:sz="4" w:space="0" w:color="auto"/>
              <w:bottom w:val="single" w:sz="4" w:space="0" w:color="auto"/>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 xml:space="preserve">0.0184 </w:t>
            </w:r>
          </w:p>
        </w:tc>
      </w:tr>
      <w:tr w:rsidR="00835AB1" w:rsidRPr="00E86958" w:rsidTr="001A53AB">
        <w:tc>
          <w:tcPr>
            <w:tcW w:w="3258" w:type="dxa"/>
            <w:tcBorders>
              <w:top w:val="nil"/>
              <w:left w:val="single" w:sz="4" w:space="0" w:color="auto"/>
              <w:bottom w:val="single" w:sz="4" w:space="0" w:color="auto"/>
              <w:right w:val="single" w:sz="4" w:space="0" w:color="auto"/>
            </w:tcBorders>
            <w:shd w:val="clear" w:color="auto" w:fill="auto"/>
          </w:tcPr>
          <w:p w:rsidR="00835AB1" w:rsidRPr="00D12095" w:rsidRDefault="00835AB1" w:rsidP="00D12095">
            <w:pPr>
              <w:pStyle w:val="TableText"/>
              <w:keepNext/>
              <w:keepLines/>
              <w:rPr>
                <w:sz w:val="20"/>
              </w:rPr>
            </w:pPr>
            <w:r w:rsidRPr="00D12095">
              <w:rPr>
                <w:sz w:val="20"/>
              </w:rPr>
              <w:t xml:space="preserve">Overall distribution of </w:t>
            </w:r>
            <w:proofErr w:type="spellStart"/>
            <w:r w:rsidRPr="00D12095">
              <w:rPr>
                <w:sz w:val="20"/>
              </w:rPr>
              <w:t>results</w:t>
            </w:r>
            <w:r w:rsidRPr="00D12095">
              <w:rPr>
                <w:sz w:val="20"/>
                <w:vertAlign w:val="superscript"/>
              </w:rPr>
              <w:t>c</w:t>
            </w:r>
            <w:proofErr w:type="spellEnd"/>
          </w:p>
        </w:tc>
        <w:tc>
          <w:tcPr>
            <w:tcW w:w="5309" w:type="dxa"/>
            <w:gridSpan w:val="4"/>
            <w:tcBorders>
              <w:top w:val="single" w:sz="4" w:space="0" w:color="auto"/>
              <w:left w:val="single" w:sz="4" w:space="0" w:color="auto"/>
              <w:bottom w:val="single" w:sz="4" w:space="0" w:color="auto"/>
              <w:right w:val="single" w:sz="4" w:space="0" w:color="auto"/>
            </w:tcBorders>
            <w:shd w:val="clear" w:color="auto" w:fill="auto"/>
          </w:tcPr>
          <w:p w:rsidR="00835AB1" w:rsidRPr="00D12095" w:rsidRDefault="00835AB1" w:rsidP="00D12095">
            <w:pPr>
              <w:pStyle w:val="TableText"/>
              <w:keepNext/>
              <w:keepLines/>
              <w:jc w:val="center"/>
              <w:rPr>
                <w:sz w:val="20"/>
              </w:rPr>
            </w:pPr>
            <w:r w:rsidRPr="00D12095">
              <w:rPr>
                <w:sz w:val="20"/>
              </w:rPr>
              <w:t>0.0454</w:t>
            </w:r>
          </w:p>
        </w:tc>
      </w:tr>
      <w:tr w:rsidR="00835AB1" w:rsidRPr="00E86958" w:rsidTr="001A53AB">
        <w:tc>
          <w:tcPr>
            <w:tcW w:w="8567" w:type="dxa"/>
            <w:gridSpan w:val="5"/>
            <w:tcBorders>
              <w:top w:val="single" w:sz="4" w:space="0" w:color="auto"/>
              <w:left w:val="nil"/>
              <w:bottom w:val="nil"/>
              <w:right w:val="nil"/>
            </w:tcBorders>
            <w:shd w:val="clear" w:color="auto" w:fill="auto"/>
          </w:tcPr>
          <w:p w:rsidR="00835AB1" w:rsidRPr="004754D5" w:rsidRDefault="00835AB1" w:rsidP="004754D5">
            <w:pPr>
              <w:pStyle w:val="TableFigureNote"/>
              <w:keepNext/>
              <w:keepLines/>
              <w:ind w:left="180" w:hanging="180"/>
              <w:rPr>
                <w:rFonts w:eastAsia="Batang"/>
                <w:i/>
                <w:sz w:val="22"/>
                <w:szCs w:val="22"/>
              </w:rPr>
            </w:pPr>
            <w:proofErr w:type="gramStart"/>
            <w:r w:rsidRPr="004754D5">
              <w:rPr>
                <w:rFonts w:eastAsia="Batang"/>
                <w:i/>
                <w:sz w:val="22"/>
                <w:szCs w:val="22"/>
                <w:vertAlign w:val="superscript"/>
              </w:rPr>
              <w:t>a</w:t>
            </w:r>
            <w:proofErr w:type="gramEnd"/>
            <w:r w:rsidRPr="004754D5">
              <w:rPr>
                <w:rFonts w:eastAsia="Batang"/>
                <w:i/>
                <w:sz w:val="22"/>
                <w:szCs w:val="22"/>
              </w:rPr>
              <w:tab/>
              <w:t xml:space="preserve">Fisher’s exact test for treatment differences between the percentage of </w:t>
            </w:r>
            <w:proofErr w:type="spellStart"/>
            <w:r w:rsidRPr="004754D5">
              <w:rPr>
                <w:rFonts w:eastAsia="Batang"/>
                <w:i/>
                <w:sz w:val="22"/>
                <w:szCs w:val="22"/>
              </w:rPr>
              <w:t>sebelipase</w:t>
            </w:r>
            <w:proofErr w:type="spellEnd"/>
            <w:r w:rsidRPr="004754D5">
              <w:rPr>
                <w:rFonts w:eastAsia="Batang"/>
                <w:i/>
                <w:sz w:val="22"/>
                <w:szCs w:val="22"/>
              </w:rPr>
              <w:t xml:space="preserve"> alfa – placebo subjects.</w:t>
            </w:r>
          </w:p>
          <w:p w:rsidR="00835AB1" w:rsidRPr="004754D5" w:rsidRDefault="00835AB1" w:rsidP="004754D5">
            <w:pPr>
              <w:pStyle w:val="TableFigureNote"/>
              <w:keepNext/>
              <w:keepLines/>
              <w:ind w:left="180" w:hanging="180"/>
              <w:rPr>
                <w:rFonts w:eastAsia="Batang"/>
                <w:i/>
                <w:sz w:val="22"/>
                <w:szCs w:val="22"/>
              </w:rPr>
            </w:pPr>
            <w:proofErr w:type="gramStart"/>
            <w:r w:rsidRPr="004754D5">
              <w:rPr>
                <w:rFonts w:eastAsia="Batang"/>
                <w:i/>
                <w:sz w:val="22"/>
                <w:szCs w:val="22"/>
                <w:vertAlign w:val="superscript"/>
              </w:rPr>
              <w:t>b</w:t>
            </w:r>
            <w:proofErr w:type="gramEnd"/>
            <w:r w:rsidRPr="004754D5">
              <w:rPr>
                <w:rFonts w:eastAsia="Batang"/>
                <w:i/>
                <w:sz w:val="22"/>
                <w:szCs w:val="22"/>
              </w:rPr>
              <w:tab/>
              <w:t>P-value for this row compares proportion of subjects with this result vs any other result.</w:t>
            </w:r>
          </w:p>
          <w:p w:rsidR="00835AB1" w:rsidRPr="004754D5" w:rsidRDefault="00835AB1" w:rsidP="004754D5">
            <w:pPr>
              <w:pStyle w:val="TableFigureNote"/>
              <w:keepNext/>
              <w:keepLines/>
              <w:ind w:left="180" w:hanging="180"/>
              <w:rPr>
                <w:rFonts w:eastAsia="Batang"/>
                <w:i/>
                <w:sz w:val="22"/>
                <w:szCs w:val="22"/>
              </w:rPr>
            </w:pPr>
            <w:proofErr w:type="gramStart"/>
            <w:r w:rsidRPr="004754D5">
              <w:rPr>
                <w:rFonts w:eastAsia="Batang"/>
                <w:i/>
                <w:sz w:val="22"/>
                <w:szCs w:val="22"/>
                <w:vertAlign w:val="superscript"/>
              </w:rPr>
              <w:t>c</w:t>
            </w:r>
            <w:proofErr w:type="gramEnd"/>
            <w:r w:rsidRPr="004754D5">
              <w:rPr>
                <w:rFonts w:eastAsia="Batang"/>
                <w:i/>
                <w:sz w:val="22"/>
                <w:szCs w:val="22"/>
              </w:rPr>
              <w:tab/>
              <w:t>P-value for this row compares distribution of 3 possible results across treatment groups.</w:t>
            </w:r>
          </w:p>
          <w:p w:rsidR="00835AB1" w:rsidRPr="00D12095" w:rsidRDefault="00835AB1" w:rsidP="00D12095">
            <w:pPr>
              <w:pStyle w:val="TableFigureNote"/>
              <w:keepNext/>
              <w:keepLines/>
              <w:rPr>
                <w:rFonts w:eastAsia="Batang"/>
                <w:sz w:val="18"/>
              </w:rPr>
            </w:pPr>
          </w:p>
        </w:tc>
      </w:tr>
    </w:tbl>
    <w:p w:rsidR="00835AB1" w:rsidRPr="00A17D29" w:rsidRDefault="00835AB1" w:rsidP="00A17D29">
      <w:pPr>
        <w:rPr>
          <w:lang w:val="en-GB"/>
        </w:rPr>
      </w:pPr>
    </w:p>
    <w:p w:rsidR="00A17D29" w:rsidRPr="00A17D29" w:rsidRDefault="00A17D29" w:rsidP="00A17D29">
      <w:pPr>
        <w:rPr>
          <w:lang w:val="en-GB"/>
        </w:rPr>
      </w:pPr>
    </w:p>
    <w:p w:rsidR="00A17D29" w:rsidRPr="008A4C13" w:rsidRDefault="00A17D29" w:rsidP="00A17D29">
      <w:pPr>
        <w:rPr>
          <w:u w:val="single"/>
        </w:rPr>
      </w:pPr>
      <w:r w:rsidRPr="008A4C13">
        <w:rPr>
          <w:u w:val="single"/>
        </w:rPr>
        <w:t>Open-label period</w:t>
      </w:r>
    </w:p>
    <w:p w:rsidR="00A17D29" w:rsidRDefault="00A17D29" w:rsidP="00A17D29">
      <w:pPr>
        <w:rPr>
          <w:lang w:val="en-US"/>
        </w:rPr>
      </w:pPr>
      <w:r w:rsidRPr="00A17D29">
        <w:rPr>
          <w:lang w:val="en-GB"/>
        </w:rPr>
        <w:t xml:space="preserve">Sixty-five of 66 patients entered the open-label period (up to 130 weeks) at a </w:t>
      </w:r>
      <w:r w:rsidR="008A4C13">
        <w:rPr>
          <w:lang w:val="en-GB"/>
        </w:rPr>
        <w:t xml:space="preserve">fortnightly </w:t>
      </w:r>
      <w:r w:rsidRPr="00A17D29">
        <w:rPr>
          <w:lang w:val="en-GB"/>
        </w:rPr>
        <w:t xml:space="preserve">dose of 1 mg/kg </w:t>
      </w:r>
      <w:proofErr w:type="spellStart"/>
      <w:r w:rsidR="008A4C13">
        <w:rPr>
          <w:lang w:val="en-GB"/>
        </w:rPr>
        <w:t>sebelipase</w:t>
      </w:r>
      <w:proofErr w:type="spellEnd"/>
      <w:r w:rsidR="008A4C13">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Pr="00A17D29">
        <w:rPr>
          <w:lang w:val="en-GB"/>
        </w:rPr>
        <w:t xml:space="preserve">. In patients who had received </w:t>
      </w:r>
      <w:proofErr w:type="spellStart"/>
      <w:r w:rsidR="008A4C13">
        <w:rPr>
          <w:lang w:val="en-GB"/>
        </w:rPr>
        <w:t>sebelipase</w:t>
      </w:r>
      <w:proofErr w:type="spellEnd"/>
      <w:r w:rsidR="008A4C13">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Pr="00A17D29">
        <w:rPr>
          <w:lang w:val="en-GB"/>
        </w:rPr>
        <w:t xml:space="preserve"> during the double-blind period, reductions in ALT levels during the first 20 weeks of treatment were maintained and further improvements were seen in lipid parameters including LDL</w:t>
      </w:r>
      <w:r w:rsidRPr="00A17D29">
        <w:rPr>
          <w:lang w:val="en-GB"/>
        </w:rPr>
        <w:noBreakHyphen/>
        <w:t>c and HDL</w:t>
      </w:r>
      <w:r w:rsidRPr="00A17D29">
        <w:rPr>
          <w:lang w:val="en-GB"/>
        </w:rPr>
        <w:noBreakHyphen/>
        <w:t xml:space="preserve">c levels. </w:t>
      </w:r>
      <w:r w:rsidR="008A4C13">
        <w:rPr>
          <w:lang w:val="en-US"/>
        </w:rPr>
        <w:t>Four</w:t>
      </w:r>
      <w:r w:rsidRPr="00A17D29">
        <w:rPr>
          <w:lang w:val="en-US"/>
        </w:rPr>
        <w:t xml:space="preserve"> of 65 patients in the open label period</w:t>
      </w:r>
      <w:r w:rsidR="008A4C13">
        <w:rPr>
          <w:lang w:val="en-US"/>
        </w:rPr>
        <w:t xml:space="preserve"> were dose escalated to 3 mg/kg</w:t>
      </w:r>
      <w:r w:rsidRPr="00A17D29">
        <w:rPr>
          <w:lang w:val="en-US"/>
        </w:rPr>
        <w:t xml:space="preserve"> </w:t>
      </w:r>
      <w:r w:rsidR="007D1F1A">
        <w:rPr>
          <w:lang w:val="en-US"/>
        </w:rPr>
        <w:t xml:space="preserve">(per fortnight) </w:t>
      </w:r>
      <w:r w:rsidRPr="00A17D29">
        <w:rPr>
          <w:lang w:val="en-US"/>
        </w:rPr>
        <w:t>based on clinical response.</w:t>
      </w:r>
    </w:p>
    <w:p w:rsidR="00A85774" w:rsidRPr="00A17D29" w:rsidRDefault="00A85774" w:rsidP="00A17D29">
      <w:pPr>
        <w:rPr>
          <w:lang w:val="en-GB"/>
        </w:rPr>
      </w:pPr>
    </w:p>
    <w:p w:rsidR="00A17D29" w:rsidRDefault="00A17D29" w:rsidP="00A17D29">
      <w:pPr>
        <w:rPr>
          <w:lang w:val="en-GB"/>
        </w:rPr>
      </w:pPr>
      <w:r w:rsidRPr="00A17D29">
        <w:rPr>
          <w:lang w:val="en-GB"/>
        </w:rPr>
        <w:t>Placebo patients had persistently elevated serum transaminase and abnormal serum lipid levels during the double</w:t>
      </w:r>
      <w:r w:rsidRPr="00A17D29">
        <w:rPr>
          <w:lang w:val="en-GB"/>
        </w:rPr>
        <w:noBreakHyphen/>
        <w:t xml:space="preserve">blind period. Consistent with what was observed in </w:t>
      </w:r>
      <w:proofErr w:type="spellStart"/>
      <w:r w:rsidR="008A4C13">
        <w:rPr>
          <w:lang w:val="en-GB"/>
        </w:rPr>
        <w:t>sebelipase</w:t>
      </w:r>
      <w:proofErr w:type="spellEnd"/>
      <w:r w:rsidR="008A4C13">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Pr="00A17D29">
        <w:rPr>
          <w:lang w:val="en-GB"/>
        </w:rPr>
        <w:t xml:space="preserve">-treated patients during the double-blind period, initiation of treatment with </w:t>
      </w:r>
      <w:proofErr w:type="spellStart"/>
      <w:r w:rsidR="008A4C13">
        <w:rPr>
          <w:lang w:val="en-GB"/>
        </w:rPr>
        <w:t>sebelipase</w:t>
      </w:r>
      <w:proofErr w:type="spellEnd"/>
      <w:r w:rsidR="008A4C13">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Pr="00A17D29">
        <w:rPr>
          <w:lang w:val="en-GB"/>
        </w:rPr>
        <w:t xml:space="preserve"> during the open-label period produced rapid improvements in ALT levels and in lipid parameters including LDL</w:t>
      </w:r>
      <w:r w:rsidRPr="00A17D29">
        <w:rPr>
          <w:lang w:val="en-GB"/>
        </w:rPr>
        <w:noBreakHyphen/>
        <w:t>c and HDL</w:t>
      </w:r>
      <w:r w:rsidRPr="00A17D29">
        <w:rPr>
          <w:lang w:val="en-GB"/>
        </w:rPr>
        <w:noBreakHyphen/>
        <w:t>c levels</w:t>
      </w:r>
      <w:r w:rsidR="00450DC6">
        <w:rPr>
          <w:lang w:val="en-GB"/>
        </w:rPr>
        <w:t xml:space="preserve"> (refer to </w:t>
      </w:r>
      <w:r w:rsidR="00450DC6">
        <w:rPr>
          <w:lang w:val="en-GB"/>
        </w:rPr>
        <w:fldChar w:fldCharType="begin"/>
      </w:r>
      <w:r w:rsidR="00450DC6">
        <w:rPr>
          <w:lang w:val="en-GB"/>
        </w:rPr>
        <w:instrText xml:space="preserve"> REF _Ref421022977 \h </w:instrText>
      </w:r>
      <w:r w:rsidR="00450DC6">
        <w:rPr>
          <w:lang w:val="en-GB"/>
        </w:rPr>
      </w:r>
      <w:r w:rsidR="00450DC6">
        <w:rPr>
          <w:lang w:val="en-GB"/>
        </w:rPr>
        <w:fldChar w:fldCharType="separate"/>
      </w:r>
      <w:r w:rsidR="0035098F">
        <w:t xml:space="preserve">Figure </w:t>
      </w:r>
      <w:r w:rsidR="0035098F">
        <w:rPr>
          <w:noProof/>
        </w:rPr>
        <w:t>2</w:t>
      </w:r>
      <w:r w:rsidR="00450DC6">
        <w:rPr>
          <w:lang w:val="en-GB"/>
        </w:rPr>
        <w:fldChar w:fldCharType="end"/>
      </w:r>
      <w:r w:rsidR="00450DC6">
        <w:rPr>
          <w:lang w:val="en-GB"/>
        </w:rPr>
        <w:t xml:space="preserve"> and </w:t>
      </w:r>
      <w:r w:rsidR="00450DC6">
        <w:rPr>
          <w:lang w:val="en-GB"/>
        </w:rPr>
        <w:fldChar w:fldCharType="begin"/>
      </w:r>
      <w:r w:rsidR="00450DC6">
        <w:rPr>
          <w:lang w:val="en-GB"/>
        </w:rPr>
        <w:instrText xml:space="preserve"> REF _Ref421022983 \h </w:instrText>
      </w:r>
      <w:r w:rsidR="00450DC6">
        <w:rPr>
          <w:lang w:val="en-GB"/>
        </w:rPr>
      </w:r>
      <w:r w:rsidR="00450DC6">
        <w:rPr>
          <w:lang w:val="en-GB"/>
        </w:rPr>
        <w:fldChar w:fldCharType="separate"/>
      </w:r>
      <w:r w:rsidR="0035098F">
        <w:t xml:space="preserve">Figure </w:t>
      </w:r>
      <w:r w:rsidR="0035098F">
        <w:rPr>
          <w:noProof/>
        </w:rPr>
        <w:t>3</w:t>
      </w:r>
      <w:r w:rsidR="00450DC6">
        <w:rPr>
          <w:lang w:val="en-GB"/>
        </w:rPr>
        <w:fldChar w:fldCharType="end"/>
      </w:r>
      <w:r w:rsidR="00450DC6">
        <w:rPr>
          <w:lang w:val="en-GB"/>
        </w:rPr>
        <w:t>)</w:t>
      </w:r>
      <w:r w:rsidRPr="00A17D29">
        <w:rPr>
          <w:lang w:val="en-GB"/>
        </w:rPr>
        <w:t xml:space="preserve">. </w:t>
      </w:r>
    </w:p>
    <w:p w:rsidR="00450DC6" w:rsidRDefault="00450DC6" w:rsidP="00A17D29">
      <w:pPr>
        <w:rPr>
          <w:lang w:val="en-GB"/>
        </w:rPr>
      </w:pPr>
    </w:p>
    <w:p w:rsidR="00450DC6" w:rsidRPr="00A16EA4" w:rsidRDefault="00450DC6" w:rsidP="00450DC6">
      <w:pPr>
        <w:pStyle w:val="Caption"/>
      </w:pPr>
      <w:bookmarkStart w:id="9" w:name="_Ref421022977"/>
      <w:bookmarkStart w:id="10" w:name="_Ref421023475"/>
      <w:r>
        <w:t xml:space="preserve">Figure </w:t>
      </w:r>
      <w:r w:rsidR="008748D1">
        <w:fldChar w:fldCharType="begin"/>
      </w:r>
      <w:r w:rsidR="008748D1">
        <w:instrText xml:space="preserve"> SEQ Figure \* ARABIC </w:instrText>
      </w:r>
      <w:r w:rsidR="008748D1">
        <w:fldChar w:fldCharType="separate"/>
      </w:r>
      <w:r w:rsidR="0035098F">
        <w:rPr>
          <w:noProof/>
        </w:rPr>
        <w:t>2</w:t>
      </w:r>
      <w:r w:rsidR="008748D1">
        <w:rPr>
          <w:noProof/>
        </w:rPr>
        <w:fldChar w:fldCharType="end"/>
      </w:r>
      <w:bookmarkEnd w:id="9"/>
      <w:bookmarkEnd w:id="10"/>
      <w:r>
        <w:t>:</w:t>
      </w:r>
      <w:r>
        <w:tab/>
      </w:r>
      <w:r w:rsidRPr="00A16EA4">
        <w:t xml:space="preserve">Mean </w:t>
      </w:r>
      <w:r>
        <w:t>C</w:t>
      </w:r>
      <w:r w:rsidRPr="00A16EA4">
        <w:t xml:space="preserve">hange from </w:t>
      </w:r>
      <w:r>
        <w:t>Baseline in ALT V</w:t>
      </w:r>
      <w:r w:rsidRPr="00A16EA4">
        <w:t xml:space="preserve">alues </w:t>
      </w:r>
      <w:r>
        <w:t>over T</w:t>
      </w:r>
      <w:r w:rsidRPr="00A16EA4">
        <w:t xml:space="preserve">ime in LAL-CL02 </w:t>
      </w:r>
    </w:p>
    <w:p w:rsidR="00450DC6" w:rsidRPr="00A16EA4" w:rsidRDefault="00450DC6" w:rsidP="00450DC6">
      <w:pPr>
        <w:keepNext/>
        <w:rPr>
          <w:szCs w:val="24"/>
        </w:rPr>
      </w:pPr>
    </w:p>
    <w:p w:rsidR="00450DC6" w:rsidRDefault="00D122C3" w:rsidP="00450DC6">
      <w:pPr>
        <w:jc w:val="center"/>
        <w:rPr>
          <w:szCs w:val="24"/>
        </w:rPr>
      </w:pPr>
      <w:r>
        <w:rPr>
          <w:noProof/>
          <w:szCs w:val="24"/>
          <w:lang w:eastAsia="en-AU"/>
        </w:rPr>
        <w:drawing>
          <wp:inline distT="0" distB="0" distL="0" distR="0">
            <wp:extent cx="4231640" cy="276415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1640" cy="2764155"/>
                    </a:xfrm>
                    <a:prstGeom prst="rect">
                      <a:avLst/>
                    </a:prstGeom>
                    <a:noFill/>
                    <a:ln>
                      <a:noFill/>
                    </a:ln>
                  </pic:spPr>
                </pic:pic>
              </a:graphicData>
            </a:graphic>
          </wp:inline>
        </w:drawing>
      </w:r>
    </w:p>
    <w:p w:rsidR="00450DC6" w:rsidRPr="00A16EA4" w:rsidRDefault="00450DC6" w:rsidP="00450DC6">
      <w:pPr>
        <w:rPr>
          <w:szCs w:val="24"/>
        </w:rPr>
      </w:pPr>
    </w:p>
    <w:p w:rsidR="00450DC6" w:rsidRDefault="00450DC6" w:rsidP="00450DC6"/>
    <w:p w:rsidR="00450DC6" w:rsidRPr="00A16EA4" w:rsidRDefault="00450DC6" w:rsidP="00450DC6">
      <w:pPr>
        <w:pStyle w:val="Caption"/>
      </w:pPr>
      <w:bookmarkStart w:id="11" w:name="_Ref421022983"/>
      <w:bookmarkStart w:id="12" w:name="_Ref421023481"/>
      <w:r>
        <w:lastRenderedPageBreak/>
        <w:t xml:space="preserve">Figure </w:t>
      </w:r>
      <w:r w:rsidR="008748D1">
        <w:fldChar w:fldCharType="begin"/>
      </w:r>
      <w:r w:rsidR="008748D1">
        <w:instrText xml:space="preserve"> SEQ Figure \* ARABIC </w:instrText>
      </w:r>
      <w:r w:rsidR="008748D1">
        <w:fldChar w:fldCharType="separate"/>
      </w:r>
      <w:r w:rsidR="0035098F">
        <w:rPr>
          <w:noProof/>
        </w:rPr>
        <w:t>3</w:t>
      </w:r>
      <w:r w:rsidR="008748D1">
        <w:rPr>
          <w:noProof/>
        </w:rPr>
        <w:fldChar w:fldCharType="end"/>
      </w:r>
      <w:bookmarkEnd w:id="11"/>
      <w:bookmarkEnd w:id="12"/>
      <w:r>
        <w:t>:</w:t>
      </w:r>
      <w:r>
        <w:tab/>
      </w:r>
      <w:r w:rsidRPr="00A16EA4">
        <w:t xml:space="preserve">Mean </w:t>
      </w:r>
      <w:r>
        <w:t>Percent C</w:t>
      </w:r>
      <w:r w:rsidRPr="00A16EA4">
        <w:t xml:space="preserve">hange in </w:t>
      </w:r>
      <w:r>
        <w:t>L</w:t>
      </w:r>
      <w:r w:rsidRPr="00A16EA4">
        <w:t>ip</w:t>
      </w:r>
      <w:r>
        <w:t>id Levels over Time in LAL-CL02</w:t>
      </w:r>
    </w:p>
    <w:p w:rsidR="00450DC6" w:rsidRPr="00A16EA4" w:rsidRDefault="00D122C3" w:rsidP="00450DC6">
      <w:pPr>
        <w:jc w:val="center"/>
        <w:rPr>
          <w:szCs w:val="24"/>
        </w:rPr>
      </w:pPr>
      <w:r>
        <w:rPr>
          <w:noProof/>
          <w:szCs w:val="24"/>
          <w:lang w:eastAsia="en-AU"/>
        </w:rPr>
        <w:drawing>
          <wp:inline distT="0" distB="0" distL="0" distR="0">
            <wp:extent cx="4231640" cy="27222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1640" cy="2722245"/>
                    </a:xfrm>
                    <a:prstGeom prst="rect">
                      <a:avLst/>
                    </a:prstGeom>
                    <a:noFill/>
                    <a:ln>
                      <a:noFill/>
                    </a:ln>
                  </pic:spPr>
                </pic:pic>
              </a:graphicData>
            </a:graphic>
          </wp:inline>
        </w:drawing>
      </w:r>
    </w:p>
    <w:p w:rsidR="00A17D29" w:rsidRPr="00666A5F" w:rsidRDefault="00A17D29" w:rsidP="00A17D29">
      <w:pPr>
        <w:rPr>
          <w:bCs/>
        </w:rPr>
      </w:pPr>
      <w:bookmarkStart w:id="13" w:name="IDX"/>
      <w:bookmarkEnd w:id="13"/>
      <w:r w:rsidRPr="00A17D29">
        <w:rPr>
          <w:lang w:val="en-GB"/>
        </w:rPr>
        <w:t>In a separate open-label study</w:t>
      </w:r>
      <w:r w:rsidR="00666A5F">
        <w:rPr>
          <w:lang w:val="en-GB"/>
        </w:rPr>
        <w:t xml:space="preserve"> in adult patients with LAL-D</w:t>
      </w:r>
      <w:r w:rsidRPr="00A17D29">
        <w:rPr>
          <w:lang w:val="en-GB"/>
        </w:rPr>
        <w:t xml:space="preserve"> (LAL</w:t>
      </w:r>
      <w:r w:rsidRPr="00A17D29">
        <w:rPr>
          <w:lang w:val="en-GB"/>
        </w:rPr>
        <w:noBreakHyphen/>
        <w:t>CL01/LAL</w:t>
      </w:r>
      <w:r w:rsidRPr="00A17D29">
        <w:rPr>
          <w:lang w:val="en-GB"/>
        </w:rPr>
        <w:noBreakHyphen/>
        <w:t>CL04</w:t>
      </w:r>
      <w:r w:rsidR="00666A5F">
        <w:rPr>
          <w:lang w:val="en-GB"/>
        </w:rPr>
        <w:t xml:space="preserve">; </w:t>
      </w:r>
      <w:proofErr w:type="spellStart"/>
      <w:r w:rsidR="00666A5F">
        <w:rPr>
          <w:lang w:val="en-GB"/>
        </w:rPr>
        <w:t>sebelipase</w:t>
      </w:r>
      <w:proofErr w:type="spellEnd"/>
      <w:r w:rsidR="00666A5F">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00666A5F">
        <w:rPr>
          <w:lang w:val="en-GB"/>
        </w:rPr>
        <w:t xml:space="preserve"> </w:t>
      </w:r>
      <w:r w:rsidR="00666A5F">
        <w:rPr>
          <w:bCs/>
        </w:rPr>
        <w:t>dosage</w:t>
      </w:r>
      <w:r w:rsidR="00666A5F" w:rsidRPr="00A16EA4">
        <w:rPr>
          <w:bCs/>
        </w:rPr>
        <w:t xml:space="preserve"> </w:t>
      </w:r>
      <w:r w:rsidR="00FB1521">
        <w:rPr>
          <w:bCs/>
        </w:rPr>
        <w:t xml:space="preserve">of </w:t>
      </w:r>
      <w:r w:rsidR="00666A5F" w:rsidRPr="00A16EA4">
        <w:rPr>
          <w:bCs/>
        </w:rPr>
        <w:t xml:space="preserve">0.35, 1, and 3 mg/kg </w:t>
      </w:r>
      <w:r w:rsidR="00666A5F">
        <w:rPr>
          <w:bCs/>
        </w:rPr>
        <w:t xml:space="preserve">per week </w:t>
      </w:r>
      <w:r w:rsidR="00666A5F" w:rsidRPr="00A16EA4">
        <w:rPr>
          <w:bCs/>
        </w:rPr>
        <w:t>for 4 weeks</w:t>
      </w:r>
      <w:r w:rsidR="00666A5F">
        <w:rPr>
          <w:bCs/>
        </w:rPr>
        <w:t>,</w:t>
      </w:r>
      <w:r w:rsidR="00666A5F" w:rsidRPr="00A16EA4">
        <w:rPr>
          <w:bCs/>
        </w:rPr>
        <w:t xml:space="preserve"> followed by </w:t>
      </w:r>
      <w:r w:rsidR="00666A5F" w:rsidRPr="00A16EA4">
        <w:t xml:space="preserve">a period off treatment before entering an extension period </w:t>
      </w:r>
      <w:r w:rsidR="00FB1521">
        <w:t>receiving</w:t>
      </w:r>
      <w:r w:rsidR="00666A5F" w:rsidRPr="00A16EA4">
        <w:t xml:space="preserve"> </w:t>
      </w:r>
      <w:r w:rsidR="00666A5F">
        <w:t>fortnightly</w:t>
      </w:r>
      <w:r w:rsidR="00FB1521">
        <w:t xml:space="preserve"> dose of</w:t>
      </w:r>
      <w:r w:rsidR="00666A5F">
        <w:t xml:space="preserve"> </w:t>
      </w:r>
      <w:r w:rsidR="00666A5F" w:rsidRPr="00A16EA4">
        <w:rPr>
          <w:bCs/>
        </w:rPr>
        <w:t>1 o</w:t>
      </w:r>
      <w:r w:rsidR="00666A5F">
        <w:rPr>
          <w:bCs/>
        </w:rPr>
        <w:t>r 3 mg/kg</w:t>
      </w:r>
      <w:r w:rsidRPr="00A17D29">
        <w:rPr>
          <w:lang w:val="en-GB"/>
        </w:rPr>
        <w:t>), improvements in serum transaminase and lipid levels were sustained through the 104</w:t>
      </w:r>
      <w:r w:rsidRPr="00A17D29">
        <w:rPr>
          <w:lang w:val="en-GB"/>
        </w:rPr>
        <w:noBreakHyphen/>
        <w:t>week treatment period.</w:t>
      </w:r>
      <w:r w:rsidR="00AA5FFC">
        <w:rPr>
          <w:lang w:val="en-GB"/>
        </w:rPr>
        <w:t xml:space="preserve"> Increases in serum transaminases and LDL and decreases in HDL were observed during the period in which patients were off treatment with </w:t>
      </w:r>
      <w:proofErr w:type="spellStart"/>
      <w:r w:rsidR="00AA5FFC">
        <w:rPr>
          <w:lang w:val="en-GB"/>
        </w:rPr>
        <w:t>sebelipase</w:t>
      </w:r>
      <w:proofErr w:type="spellEnd"/>
      <w:r w:rsidR="00AA5FFC">
        <w:rPr>
          <w:lang w:val="en-GB"/>
        </w:rPr>
        <w:t xml:space="preserve"> </w:t>
      </w:r>
      <w:r w:rsidR="004C6656">
        <w:rPr>
          <w:lang w:val="en-GB"/>
        </w:rPr>
        <w:t>alfa</w:t>
      </w:r>
      <w:r w:rsidR="004C6656" w:rsidRPr="00B57A15">
        <w:rPr>
          <w:i/>
          <w:lang w:val="en-GB"/>
        </w:rPr>
        <w:t xml:space="preserve"> </w:t>
      </w:r>
      <w:proofErr w:type="spellStart"/>
      <w:r w:rsidR="004C6656" w:rsidRPr="00B57A15">
        <w:rPr>
          <w:i/>
          <w:lang w:val="en-GB"/>
        </w:rPr>
        <w:t>rce</w:t>
      </w:r>
      <w:proofErr w:type="spellEnd"/>
      <w:r w:rsidR="00AA5FFC">
        <w:rPr>
          <w:lang w:val="en-GB"/>
        </w:rPr>
        <w:t>.</w:t>
      </w:r>
    </w:p>
    <w:p w:rsidR="0062284C" w:rsidRPr="00A960D0" w:rsidRDefault="002B7EA6" w:rsidP="00490370">
      <w:pPr>
        <w:pStyle w:val="PIMajorHeading"/>
      </w:pPr>
      <w:r w:rsidRPr="00A960D0">
        <w:t>INDICATIONS</w:t>
      </w:r>
    </w:p>
    <w:p w:rsidR="0096767E" w:rsidRDefault="00EF3EBC" w:rsidP="00490370">
      <w:pPr>
        <w:pStyle w:val="CM16"/>
        <w:spacing w:after="0"/>
        <w:rPr>
          <w:rFonts w:ascii="Times New Roman" w:hAnsi="Times New Roman"/>
          <w:lang w:val="en-AU"/>
        </w:rPr>
      </w:pPr>
      <w:r>
        <w:rPr>
          <w:rFonts w:ascii="Times New Roman" w:hAnsi="Times New Roman"/>
          <w:lang w:val="en-AU"/>
        </w:rPr>
        <w:t>KANUMA</w:t>
      </w:r>
      <w:r w:rsidR="00602D9F">
        <w:rPr>
          <w:rFonts w:ascii="Times New Roman" w:hAnsi="Times New Roman"/>
          <w:lang w:val="en-AU"/>
        </w:rPr>
        <w:t xml:space="preserve"> (</w:t>
      </w:r>
      <w:proofErr w:type="spellStart"/>
      <w:r>
        <w:rPr>
          <w:rFonts w:ascii="Times New Roman" w:hAnsi="Times New Roman"/>
          <w:lang w:val="en-AU"/>
        </w:rPr>
        <w:t>sebelipase</w:t>
      </w:r>
      <w:proofErr w:type="spellEnd"/>
      <w:r>
        <w:rPr>
          <w:rFonts w:ascii="Times New Roman" w:hAnsi="Times New Roman"/>
          <w:lang w:val="en-AU"/>
        </w:rPr>
        <w:t xml:space="preserve"> </w:t>
      </w:r>
      <w:r w:rsidR="004C6656">
        <w:rPr>
          <w:rFonts w:ascii="Times New Roman" w:hAnsi="Times New Roman"/>
          <w:lang w:val="en-AU"/>
        </w:rPr>
        <w:t>alfa</w:t>
      </w:r>
      <w:r w:rsidR="004C6656" w:rsidRPr="00B57A15">
        <w:rPr>
          <w:rFonts w:ascii="Times New Roman" w:hAnsi="Times New Roman"/>
          <w:i/>
          <w:lang w:val="en-AU"/>
        </w:rPr>
        <w:t xml:space="preserve"> </w:t>
      </w:r>
      <w:proofErr w:type="spellStart"/>
      <w:r w:rsidR="004C6656" w:rsidRPr="00B57A15">
        <w:rPr>
          <w:rFonts w:ascii="Times New Roman" w:hAnsi="Times New Roman"/>
          <w:i/>
          <w:lang w:val="en-AU"/>
        </w:rPr>
        <w:t>rce</w:t>
      </w:r>
      <w:proofErr w:type="spellEnd"/>
      <w:r w:rsidR="00602D9F">
        <w:rPr>
          <w:rFonts w:ascii="Times New Roman" w:hAnsi="Times New Roman"/>
          <w:lang w:val="en-AU"/>
        </w:rPr>
        <w:t>)</w:t>
      </w:r>
      <w:r w:rsidR="0062284C" w:rsidRPr="00A960D0">
        <w:rPr>
          <w:rFonts w:ascii="Times New Roman" w:hAnsi="Times New Roman"/>
          <w:lang w:val="en-AU"/>
        </w:rPr>
        <w:t xml:space="preserve"> is indicated </w:t>
      </w:r>
      <w:r w:rsidR="00E65D61">
        <w:rPr>
          <w:rFonts w:ascii="Times New Roman" w:hAnsi="Times New Roman"/>
          <w:lang w:val="en-AU"/>
        </w:rPr>
        <w:t>for long-term enzyme replacement therapy (ERT) in patients</w:t>
      </w:r>
      <w:r w:rsidR="00A85774">
        <w:rPr>
          <w:rFonts w:ascii="Times New Roman" w:hAnsi="Times New Roman"/>
          <w:lang w:val="en-AU"/>
        </w:rPr>
        <w:t xml:space="preserve"> of all ages</w:t>
      </w:r>
      <w:r w:rsidR="00E65D61">
        <w:rPr>
          <w:rFonts w:ascii="Times New Roman" w:hAnsi="Times New Roman"/>
          <w:lang w:val="en-AU"/>
        </w:rPr>
        <w:t xml:space="preserve"> with lysosomal acid lipase deficiency (LAL-D).</w:t>
      </w:r>
    </w:p>
    <w:p w:rsidR="00184B4A" w:rsidRPr="00184B4A" w:rsidRDefault="002B7EA6" w:rsidP="00490370">
      <w:pPr>
        <w:pStyle w:val="PIMajorHeading"/>
        <w:rPr>
          <w:b w:val="0"/>
        </w:rPr>
      </w:pPr>
      <w:r w:rsidRPr="00A960D0">
        <w:t>CONTRAINDICATIONS</w:t>
      </w:r>
    </w:p>
    <w:p w:rsidR="00CA26B2" w:rsidRPr="00FD77A3" w:rsidRDefault="00FD77A3" w:rsidP="00CA26B2">
      <w:r>
        <w:t>KANUMA is contraindicated in patients with a l</w:t>
      </w:r>
      <w:r w:rsidR="00CA26B2" w:rsidRPr="00FD77A3">
        <w:t>ife-threatening hypersensitivity (anaphylactic reaction) to the active substance</w:t>
      </w:r>
      <w:r>
        <w:t>,</w:t>
      </w:r>
      <w:r w:rsidR="00CA26B2" w:rsidRPr="00FD77A3">
        <w:t xml:space="preserve"> to egg</w:t>
      </w:r>
      <w:r>
        <w:t>,</w:t>
      </w:r>
      <w:r w:rsidR="00CA26B2" w:rsidRPr="00FD77A3">
        <w:t xml:space="preserve"> or </w:t>
      </w:r>
      <w:r>
        <w:t xml:space="preserve">to </w:t>
      </w:r>
      <w:r w:rsidR="00CA26B2" w:rsidRPr="00FD77A3">
        <w:t>any of the excipients</w:t>
      </w:r>
      <w:r>
        <w:t xml:space="preserve"> (see</w:t>
      </w:r>
      <w:r w:rsidRPr="008B759A">
        <w:t xml:space="preserve"> DESCRIPTION</w:t>
      </w:r>
      <w:r>
        <w:t xml:space="preserve">), </w:t>
      </w:r>
      <w:r w:rsidR="00CA26B2" w:rsidRPr="00FD77A3">
        <w:t>when attempts to rechallenge are unsuccessful.</w:t>
      </w:r>
    </w:p>
    <w:p w:rsidR="0062284C" w:rsidRDefault="002B7EA6" w:rsidP="00490370">
      <w:pPr>
        <w:pStyle w:val="PIMajorHeading"/>
      </w:pPr>
      <w:r w:rsidRPr="00A960D0">
        <w:t>PRECAUTIONS</w:t>
      </w:r>
    </w:p>
    <w:p w:rsidR="00F65BB2" w:rsidRDefault="00FE0568" w:rsidP="00425CBA">
      <w:pPr>
        <w:pStyle w:val="PIMinorHeading"/>
      </w:pPr>
      <w:bookmarkStart w:id="14" w:name="_5.1.1_Meningococcal_Infection"/>
      <w:bookmarkEnd w:id="14"/>
      <w:r>
        <w:t>Hypersensitivity</w:t>
      </w:r>
      <w:r w:rsidR="00BC2D08">
        <w:t xml:space="preserve"> reactions, including anaphylaxis</w:t>
      </w:r>
    </w:p>
    <w:p w:rsidR="00BC2D08" w:rsidRDefault="00FE0568" w:rsidP="00BC2D08">
      <w:r>
        <w:t>Hypersensitivity reactions</w:t>
      </w:r>
      <w:r w:rsidR="00BC2D08">
        <w:t xml:space="preserve">, including anaphylaxis, have been reported in </w:t>
      </w:r>
      <w:proofErr w:type="spellStart"/>
      <w:r w:rsidR="00BC2D08">
        <w:t>sebelipase</w:t>
      </w:r>
      <w:proofErr w:type="spellEnd"/>
      <w:r w:rsidR="00BC2D08">
        <w:t xml:space="preserve"> </w:t>
      </w:r>
      <w:r w:rsidR="004C6656">
        <w:t>alfa</w:t>
      </w:r>
      <w:r w:rsidR="004C6656" w:rsidRPr="00B57A15">
        <w:rPr>
          <w:i/>
        </w:rPr>
        <w:t xml:space="preserve"> </w:t>
      </w:r>
      <w:proofErr w:type="spellStart"/>
      <w:r w:rsidR="004C6656" w:rsidRPr="00B57A15">
        <w:rPr>
          <w:i/>
        </w:rPr>
        <w:t>rce</w:t>
      </w:r>
      <w:proofErr w:type="spellEnd"/>
      <w:r w:rsidR="00BC2D08">
        <w:t xml:space="preserve">-treated patients. In clinical trials, 3 of 106 (3%) patients treated with </w:t>
      </w:r>
      <w:proofErr w:type="spellStart"/>
      <w:r w:rsidR="00BC2D08">
        <w:t>sebelipase</w:t>
      </w:r>
      <w:proofErr w:type="spellEnd"/>
      <w:r w:rsidR="00BC2D08">
        <w:t xml:space="preserve"> </w:t>
      </w:r>
      <w:r w:rsidR="004C6656">
        <w:t>alfa</w:t>
      </w:r>
      <w:r w:rsidR="004C6656" w:rsidRPr="00B57A15">
        <w:rPr>
          <w:i/>
        </w:rPr>
        <w:t xml:space="preserve"> </w:t>
      </w:r>
      <w:proofErr w:type="spellStart"/>
      <w:r w:rsidR="004C6656" w:rsidRPr="00B57A15">
        <w:rPr>
          <w:i/>
        </w:rPr>
        <w:t>rce</w:t>
      </w:r>
      <w:proofErr w:type="spellEnd"/>
      <w:r w:rsidR="00170A6A">
        <w:t>, including 1 of 14 (7%) infants and 2 of 92 (2%) children and adults,</w:t>
      </w:r>
      <w:r w:rsidR="00BC2D08">
        <w:t xml:space="preserve"> experienced signs and symptoms consistent with anaphylaxis.  These patients experienced reactions during infusion with signs and symptoms including chest discomfort, conjunctival injection, dyspnoea, generalized and itchy rash, hyperaemia, swelling of eyelids, rhinorrhoea, severe respiratory distress, tachycardia, tachypnoea, and </w:t>
      </w:r>
      <w:proofErr w:type="spellStart"/>
      <w:r w:rsidR="00BC2D08">
        <w:t>urticaria</w:t>
      </w:r>
      <w:proofErr w:type="spellEnd"/>
      <w:r w:rsidR="00BC2D08">
        <w:t xml:space="preserve">.  Anaphylaxis has occurred as early as the sixth infusion and as late as 1 year after treatment initiation. </w:t>
      </w:r>
    </w:p>
    <w:p w:rsidR="00BC2D08" w:rsidRDefault="00BC2D08" w:rsidP="00BC2D08"/>
    <w:p w:rsidR="00BC2D08" w:rsidRDefault="00BC2D08" w:rsidP="00BC2D08">
      <w:r>
        <w:t xml:space="preserve">In clinical trials, 21 of 106 (20%) </w:t>
      </w:r>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t xml:space="preserve">-treated patients, including 9 of 14 (64%) infants and 12 of 92 (13%) paediatric patients, 4 years and older, and adults, </w:t>
      </w:r>
      <w:r>
        <w:lastRenderedPageBreak/>
        <w:t>experienced signs and symptoms either consistent with</w:t>
      </w:r>
      <w:r w:rsidR="00FF3C7E">
        <w:t>,</w:t>
      </w:r>
      <w:r>
        <w:t xml:space="preserve"> or that may be related to a hypersensitivity reaction.  Signs and symptoms of hypersensitivity reactions, occurring in </w:t>
      </w:r>
      <w:r w:rsidR="00FF3C7E">
        <w:t>2</w:t>
      </w:r>
      <w:r>
        <w:t xml:space="preserve"> or more patients, included abdominal pain, agitation, fever, chills, diarrh</w:t>
      </w:r>
      <w:r w:rsidR="00FF3C7E">
        <w:t>o</w:t>
      </w:r>
      <w:r>
        <w:t xml:space="preserve">ea, eczema, </w:t>
      </w:r>
      <w:r w:rsidR="00FF3C7E">
        <w:t>o</w:t>
      </w:r>
      <w:r>
        <w:t xml:space="preserve">edema, hypertension, irritability, laryngeal </w:t>
      </w:r>
      <w:r w:rsidR="00FF3C7E">
        <w:t>o</w:t>
      </w:r>
      <w:r>
        <w:t xml:space="preserve">edema, nausea, pallor, pruritus, rash, and vomiting.  The majority of reactions occurred during or within 4 hours of the completion of the infusion.  Patients were not routinely pre-medicated prior to infusion of </w:t>
      </w:r>
      <w:proofErr w:type="spellStart"/>
      <w:r w:rsidR="00FF3C7E">
        <w:t>sebelipase</w:t>
      </w:r>
      <w:proofErr w:type="spellEnd"/>
      <w:r w:rsidR="00FF3C7E">
        <w:t xml:space="preserve"> </w:t>
      </w:r>
      <w:r w:rsidR="004C6656">
        <w:t>alfa</w:t>
      </w:r>
      <w:r w:rsidR="004C6656" w:rsidRPr="00B57A15">
        <w:rPr>
          <w:i/>
        </w:rPr>
        <w:t xml:space="preserve"> </w:t>
      </w:r>
      <w:proofErr w:type="spellStart"/>
      <w:r w:rsidR="004C6656" w:rsidRPr="00B57A15">
        <w:rPr>
          <w:i/>
        </w:rPr>
        <w:t>rce</w:t>
      </w:r>
      <w:proofErr w:type="spellEnd"/>
      <w:r>
        <w:t xml:space="preserve"> in these clinical trials.</w:t>
      </w:r>
    </w:p>
    <w:p w:rsidR="00FF3C7E" w:rsidRDefault="00FF3C7E" w:rsidP="00BC2D08"/>
    <w:p w:rsidR="00BC2D08" w:rsidRDefault="00FF3C7E" w:rsidP="00BC2D08">
      <w:r>
        <w:t>A</w:t>
      </w:r>
      <w:r w:rsidR="00BC2D08">
        <w:t xml:space="preserve">ppropriate medical support should be readily available when </w:t>
      </w:r>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rsidR="00BC2D08">
        <w:t xml:space="preserve"> is administered.  If </w:t>
      </w:r>
      <w:r w:rsidR="00070D1A">
        <w:t>anaphylaxis</w:t>
      </w:r>
      <w:r w:rsidR="00BC2D08">
        <w:t xml:space="preserve"> occur</w:t>
      </w:r>
      <w:r w:rsidR="00070D1A">
        <w:t>s</w:t>
      </w:r>
      <w:r w:rsidR="00BC2D08">
        <w:t xml:space="preserve">, immediately discontinue the infusion and initiate appropriate medical treatment.  </w:t>
      </w:r>
      <w:r w:rsidR="00391CB3">
        <w:t>Patients should be</w:t>
      </w:r>
      <w:r w:rsidR="00BC2D08">
        <w:t xml:space="preserve"> closely </w:t>
      </w:r>
      <w:r w:rsidR="00391CB3">
        <w:t xml:space="preserve">observed </w:t>
      </w:r>
      <w:r w:rsidR="00BC2D08">
        <w:t>during</w:t>
      </w:r>
      <w:r w:rsidR="00391CB3">
        <w:t>,</w:t>
      </w:r>
      <w:r w:rsidR="00BC2D08">
        <w:t xml:space="preserve"> and after the infusion.  Inform patients of the signs and symptoms of anaphylaxis, and instruct them to seek immediate medical care should signs and symptoms occur.</w:t>
      </w:r>
    </w:p>
    <w:p w:rsidR="00391CB3" w:rsidRDefault="00391CB3" w:rsidP="00BC2D08"/>
    <w:p w:rsidR="00391CB3" w:rsidRDefault="00391CB3" w:rsidP="00BC2D08">
      <w:r w:rsidRPr="00391CB3">
        <w:t xml:space="preserve">The risks and benefits of re-administering </w:t>
      </w:r>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rsidRPr="00391CB3">
        <w:t xml:space="preserve"> following a severe reaction should be considered. For patients who have experienced allergic reactions during infusion, caution should be exercised upon re-administration.</w:t>
      </w:r>
    </w:p>
    <w:p w:rsidR="00391CB3" w:rsidRDefault="00391CB3" w:rsidP="00BC2D08"/>
    <w:p w:rsidR="00391CB3" w:rsidRDefault="00BC2D08" w:rsidP="00BC2D08">
      <w:r>
        <w:t xml:space="preserve">The management of hypersensitivity reactions should be based on the severity of the reaction and may include temporarily interrupting the infusion, lowering the infusion rate, and/or treatment with antihistamines, antipyretics, and/or corticosteroids.  If interrupted, the infusion may be resumed at a slower rate with increases as tolerated.  Pre-treatment with antipyretics and/or antihistamines may prevent subsequent reactions in those cases where symptomatic treatment was required.  </w:t>
      </w:r>
    </w:p>
    <w:p w:rsidR="00054D44" w:rsidRDefault="00054D44" w:rsidP="00BC2D08"/>
    <w:p w:rsidR="004256C2" w:rsidRPr="004256C2" w:rsidRDefault="004256C2" w:rsidP="004256C2">
      <w:pPr>
        <w:rPr>
          <w:i/>
        </w:rPr>
      </w:pPr>
      <w:r w:rsidRPr="004256C2">
        <w:rPr>
          <w:i/>
        </w:rPr>
        <w:t xml:space="preserve">Hypersensitivity to Egg </w:t>
      </w:r>
    </w:p>
    <w:p w:rsidR="00EF3EBC" w:rsidRDefault="004256C2" w:rsidP="004256C2">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t xml:space="preserve"> is produced in the egg white </w:t>
      </w:r>
      <w:r w:rsidR="00CC419F" w:rsidRPr="00CC419F">
        <w:t xml:space="preserve">of transgenic </w:t>
      </w:r>
      <w:r w:rsidR="00CC419F" w:rsidRPr="00184B4A">
        <w:rPr>
          <w:i/>
        </w:rPr>
        <w:t>Gallus</w:t>
      </w:r>
      <w:r w:rsidR="00CC419F" w:rsidRPr="00CC419F">
        <w:t xml:space="preserve"> by recombinant DNA technology</w:t>
      </w:r>
      <w:r>
        <w:t xml:space="preserve">.  Patients with a known history of egg allergies were excluded from the clinical trials.  Consider the risks and benefits of treatment with </w:t>
      </w:r>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t xml:space="preserve"> in patients</w:t>
      </w:r>
      <w:r w:rsidR="00CC419F">
        <w:t xml:space="preserve"> with</w:t>
      </w:r>
      <w:r>
        <w:t xml:space="preserve"> </w:t>
      </w:r>
      <w:r w:rsidR="00070D1A" w:rsidRPr="00070D1A">
        <w:t>known life-threatening hypersensitivity (anaphylactic reaction) to egg</w:t>
      </w:r>
      <w:r>
        <w:t>.</w:t>
      </w:r>
    </w:p>
    <w:p w:rsidR="00FE0452" w:rsidRDefault="00FE0452" w:rsidP="00425CBA">
      <w:pPr>
        <w:pStyle w:val="PIMinorHeading"/>
      </w:pPr>
      <w:bookmarkStart w:id="15" w:name="_5.2.1_Other_Systemic"/>
      <w:bookmarkStart w:id="16" w:name="_5.2.3_General"/>
      <w:bookmarkEnd w:id="15"/>
      <w:bookmarkEnd w:id="16"/>
    </w:p>
    <w:p w:rsidR="0062284C" w:rsidRDefault="001D2FA2" w:rsidP="00425CBA">
      <w:pPr>
        <w:pStyle w:val="PIMinorHeading"/>
      </w:pPr>
      <w:r w:rsidRPr="000046BB">
        <w:t>Effects on</w:t>
      </w:r>
      <w:r w:rsidR="0062284C" w:rsidRPr="000046BB">
        <w:t xml:space="preserve"> Fertility  </w:t>
      </w:r>
    </w:p>
    <w:p w:rsidR="00EF3EBC" w:rsidRPr="00EF3EBC" w:rsidRDefault="00FE0452" w:rsidP="00EF3EBC">
      <w:pPr>
        <w:pStyle w:val="Default"/>
        <w:rPr>
          <w:lang w:val="en-AU"/>
        </w:rPr>
      </w:pPr>
      <w:r>
        <w:rPr>
          <w:rFonts w:ascii="Times New Roman" w:hAnsi="Times New Roman" w:cs="Times New Roman"/>
          <w:color w:val="auto"/>
          <w:szCs w:val="22"/>
          <w:lang w:val="en-AU"/>
        </w:rPr>
        <w:t>N</w:t>
      </w:r>
      <w:r w:rsidRPr="00FE0452">
        <w:rPr>
          <w:rFonts w:ascii="Times New Roman" w:hAnsi="Times New Roman" w:cs="Times New Roman"/>
          <w:color w:val="auto"/>
          <w:szCs w:val="22"/>
          <w:lang w:val="en-AU"/>
        </w:rPr>
        <w:t>o adverse effect</w:t>
      </w:r>
      <w:r>
        <w:rPr>
          <w:rFonts w:ascii="Times New Roman" w:hAnsi="Times New Roman" w:cs="Times New Roman"/>
          <w:color w:val="auto"/>
          <w:szCs w:val="22"/>
          <w:lang w:val="en-AU"/>
        </w:rPr>
        <w:t>s</w:t>
      </w:r>
      <w:r w:rsidRPr="00FE0452">
        <w:rPr>
          <w:rFonts w:ascii="Times New Roman" w:hAnsi="Times New Roman" w:cs="Times New Roman"/>
          <w:color w:val="auto"/>
          <w:szCs w:val="22"/>
          <w:lang w:val="en-AU"/>
        </w:rPr>
        <w:t xml:space="preserve"> on fertility and reproductive performance </w:t>
      </w:r>
      <w:r>
        <w:rPr>
          <w:rFonts w:ascii="Times New Roman" w:hAnsi="Times New Roman" w:cs="Times New Roman"/>
          <w:color w:val="auto"/>
          <w:szCs w:val="22"/>
          <w:lang w:val="en-AU"/>
        </w:rPr>
        <w:t>were observed in</w:t>
      </w:r>
      <w:r w:rsidRPr="00FE0452">
        <w:rPr>
          <w:rFonts w:ascii="Times New Roman" w:hAnsi="Times New Roman" w:cs="Times New Roman"/>
          <w:color w:val="auto"/>
          <w:szCs w:val="22"/>
          <w:lang w:val="en-AU"/>
        </w:rPr>
        <w:t xml:space="preserve"> male and female rats </w:t>
      </w:r>
      <w:r>
        <w:rPr>
          <w:rFonts w:ascii="Times New Roman" w:hAnsi="Times New Roman" w:cs="Times New Roman"/>
          <w:color w:val="auto"/>
          <w:szCs w:val="22"/>
          <w:lang w:val="en-AU"/>
        </w:rPr>
        <w:t xml:space="preserve">given IV doses of </w:t>
      </w:r>
      <w:proofErr w:type="spellStart"/>
      <w:r>
        <w:rPr>
          <w:rFonts w:ascii="Times New Roman" w:hAnsi="Times New Roman" w:cs="Times New Roman"/>
          <w:color w:val="auto"/>
          <w:szCs w:val="22"/>
          <w:lang w:val="en-AU"/>
        </w:rPr>
        <w:t>sebelipase</w:t>
      </w:r>
      <w:proofErr w:type="spellEnd"/>
      <w:r>
        <w:rPr>
          <w:rFonts w:ascii="Times New Roman" w:hAnsi="Times New Roman" w:cs="Times New Roman"/>
          <w:color w:val="auto"/>
          <w:szCs w:val="22"/>
          <w:lang w:val="en-AU"/>
        </w:rPr>
        <w:t xml:space="preserve"> </w:t>
      </w:r>
      <w:r w:rsidR="004C6656">
        <w:rPr>
          <w:rFonts w:ascii="Times New Roman" w:hAnsi="Times New Roman" w:cs="Times New Roman"/>
          <w:color w:val="auto"/>
          <w:szCs w:val="22"/>
          <w:lang w:val="en-AU"/>
        </w:rPr>
        <w:t>alfa</w:t>
      </w:r>
      <w:r w:rsidR="004C6656" w:rsidRPr="00B57A15">
        <w:rPr>
          <w:rFonts w:ascii="Times New Roman" w:hAnsi="Times New Roman" w:cs="Times New Roman"/>
          <w:i/>
          <w:color w:val="auto"/>
          <w:szCs w:val="22"/>
          <w:lang w:val="en-AU"/>
        </w:rPr>
        <w:t xml:space="preserve"> </w:t>
      </w:r>
      <w:proofErr w:type="spellStart"/>
      <w:r w:rsidR="004C6656" w:rsidRPr="00B57A15">
        <w:rPr>
          <w:rFonts w:ascii="Times New Roman" w:hAnsi="Times New Roman" w:cs="Times New Roman"/>
          <w:i/>
          <w:color w:val="auto"/>
          <w:szCs w:val="22"/>
          <w:lang w:val="en-AU"/>
        </w:rPr>
        <w:t>rce</w:t>
      </w:r>
      <w:proofErr w:type="spellEnd"/>
      <w:r>
        <w:rPr>
          <w:rFonts w:ascii="Times New Roman" w:hAnsi="Times New Roman" w:cs="Times New Roman"/>
          <w:color w:val="auto"/>
          <w:szCs w:val="22"/>
          <w:lang w:val="en-AU"/>
        </w:rPr>
        <w:t xml:space="preserve"> </w:t>
      </w:r>
      <w:r w:rsidRPr="00FE0452">
        <w:rPr>
          <w:rFonts w:ascii="Times New Roman" w:hAnsi="Times New Roman" w:cs="Times New Roman"/>
          <w:color w:val="auto"/>
          <w:szCs w:val="22"/>
          <w:lang w:val="en-AU"/>
        </w:rPr>
        <w:t>up to 60 mg/kg administered twice weekly (approximately 1</w:t>
      </w:r>
      <w:r w:rsidR="007671B5">
        <w:rPr>
          <w:rFonts w:ascii="Times New Roman" w:hAnsi="Times New Roman" w:cs="Times New Roman"/>
          <w:color w:val="auto"/>
          <w:szCs w:val="22"/>
          <w:lang w:val="en-AU"/>
        </w:rPr>
        <w:t>2</w:t>
      </w:r>
      <w:r w:rsidR="003A0BEF">
        <w:rPr>
          <w:rFonts w:ascii="Times New Roman" w:hAnsi="Times New Roman" w:cs="Times New Roman"/>
          <w:color w:val="auto"/>
          <w:szCs w:val="22"/>
          <w:lang w:val="en-AU"/>
        </w:rPr>
        <w:t>2</w:t>
      </w:r>
      <w:r w:rsidRPr="00FE0452">
        <w:rPr>
          <w:rFonts w:ascii="Times New Roman" w:hAnsi="Times New Roman" w:cs="Times New Roman"/>
          <w:color w:val="auto"/>
          <w:szCs w:val="22"/>
          <w:lang w:val="en-AU"/>
        </w:rPr>
        <w:t xml:space="preserve"> times the</w:t>
      </w:r>
      <w:r w:rsidR="007671B5">
        <w:rPr>
          <w:rFonts w:ascii="Times New Roman" w:hAnsi="Times New Roman" w:cs="Times New Roman"/>
          <w:color w:val="auto"/>
          <w:szCs w:val="22"/>
          <w:lang w:val="en-AU"/>
        </w:rPr>
        <w:t xml:space="preserve"> adult</w:t>
      </w:r>
      <w:r w:rsidRPr="00FE0452">
        <w:rPr>
          <w:rFonts w:ascii="Times New Roman" w:hAnsi="Times New Roman" w:cs="Times New Roman"/>
          <w:color w:val="auto"/>
          <w:szCs w:val="22"/>
          <w:lang w:val="en-AU"/>
        </w:rPr>
        <w:t xml:space="preserve"> human AUC of 18</w:t>
      </w:r>
      <w:r w:rsidR="007671B5">
        <w:rPr>
          <w:rFonts w:ascii="Times New Roman" w:hAnsi="Times New Roman" w:cs="Times New Roman"/>
          <w:color w:val="auto"/>
          <w:szCs w:val="22"/>
          <w:lang w:val="en-AU"/>
        </w:rPr>
        <w:t>61</w:t>
      </w:r>
      <w:r w:rsidRPr="00FE0452">
        <w:rPr>
          <w:rFonts w:ascii="Times New Roman" w:hAnsi="Times New Roman" w:cs="Times New Roman"/>
          <w:color w:val="auto"/>
          <w:szCs w:val="22"/>
          <w:lang w:val="en-AU"/>
        </w:rPr>
        <w:t xml:space="preserve"> </w:t>
      </w:r>
      <w:proofErr w:type="spellStart"/>
      <w:r w:rsidRPr="00FE0452">
        <w:rPr>
          <w:rFonts w:ascii="Times New Roman" w:hAnsi="Times New Roman" w:cs="Times New Roman"/>
          <w:color w:val="auto"/>
          <w:szCs w:val="22"/>
          <w:lang w:val="en-AU"/>
        </w:rPr>
        <w:t>ng.h</w:t>
      </w:r>
      <w:proofErr w:type="spellEnd"/>
      <w:r w:rsidRPr="00FE0452">
        <w:rPr>
          <w:rFonts w:ascii="Times New Roman" w:hAnsi="Times New Roman" w:cs="Times New Roman"/>
          <w:color w:val="auto"/>
          <w:szCs w:val="22"/>
          <w:lang w:val="en-AU"/>
        </w:rPr>
        <w:t xml:space="preserve">/mL at 1 mg/kg dose administered </w:t>
      </w:r>
      <w:r>
        <w:rPr>
          <w:rFonts w:ascii="Times New Roman" w:hAnsi="Times New Roman" w:cs="Times New Roman"/>
          <w:color w:val="auto"/>
          <w:szCs w:val="22"/>
          <w:lang w:val="en-AU"/>
        </w:rPr>
        <w:t>fortnightly</w:t>
      </w:r>
      <w:r w:rsidRPr="00FE0452">
        <w:rPr>
          <w:rFonts w:ascii="Times New Roman" w:hAnsi="Times New Roman" w:cs="Times New Roman"/>
          <w:color w:val="auto"/>
          <w:szCs w:val="22"/>
          <w:lang w:val="en-AU"/>
        </w:rPr>
        <w:t>)</w:t>
      </w:r>
      <w:r>
        <w:rPr>
          <w:rFonts w:ascii="Times New Roman" w:hAnsi="Times New Roman" w:cs="Times New Roman"/>
          <w:color w:val="auto"/>
          <w:szCs w:val="22"/>
          <w:lang w:val="en-AU"/>
        </w:rPr>
        <w:t>.</w:t>
      </w:r>
    </w:p>
    <w:p w:rsidR="008A156A" w:rsidRPr="0027183B" w:rsidRDefault="0027183B" w:rsidP="000046BB">
      <w:pPr>
        <w:pStyle w:val="CM16"/>
        <w:spacing w:after="0"/>
        <w:rPr>
          <w:rFonts w:ascii="Times New Roman" w:hAnsi="Times New Roman"/>
          <w:szCs w:val="22"/>
          <w:lang w:val="en-AU"/>
        </w:rPr>
      </w:pPr>
      <w:r w:rsidRPr="0027183B">
        <w:t xml:space="preserve"> </w:t>
      </w:r>
    </w:p>
    <w:p w:rsidR="0062284C" w:rsidRDefault="0062284C" w:rsidP="00425CBA">
      <w:pPr>
        <w:pStyle w:val="PIMinorHeading"/>
      </w:pPr>
      <w:r w:rsidRPr="00C95A07">
        <w:t>Use in Pregnancy</w:t>
      </w:r>
      <w:r w:rsidR="000C04C3" w:rsidRPr="00C95A07">
        <w:t xml:space="preserve"> – </w:t>
      </w:r>
      <w:r w:rsidR="00D85747" w:rsidRPr="00C95A07">
        <w:t xml:space="preserve">Category </w:t>
      </w:r>
      <w:r w:rsidR="007671B5" w:rsidRPr="00C95A07">
        <w:t>B</w:t>
      </w:r>
      <w:r w:rsidR="007671B5">
        <w:t>1</w:t>
      </w:r>
    </w:p>
    <w:p w:rsidR="00C95A07" w:rsidRPr="00C95A07" w:rsidRDefault="00C95A07" w:rsidP="00C95A07">
      <w:pPr>
        <w:pStyle w:val="BodyText"/>
        <w:spacing w:after="0" w:line="240" w:lineRule="auto"/>
        <w:rPr>
          <w:lang w:val="en-US" w:eastAsia="en-US"/>
        </w:rPr>
      </w:pPr>
      <w:proofErr w:type="spellStart"/>
      <w:r w:rsidRPr="00C95A07">
        <w:rPr>
          <w:lang w:val="en-US" w:eastAsia="en-US"/>
        </w:rPr>
        <w:t>Sebelipase</w:t>
      </w:r>
      <w:proofErr w:type="spellEnd"/>
      <w:r w:rsidRPr="00C95A07">
        <w:rPr>
          <w:lang w:val="en-US" w:eastAsia="en-US"/>
        </w:rPr>
        <w:t xml:space="preserve"> </w:t>
      </w:r>
      <w:r w:rsidR="004C6656">
        <w:rPr>
          <w:lang w:val="en-US" w:eastAsia="en-US"/>
        </w:rPr>
        <w:t>alfa</w:t>
      </w:r>
      <w:r w:rsidR="004C6656" w:rsidRPr="00B57A15">
        <w:rPr>
          <w:i/>
          <w:lang w:val="en-US" w:eastAsia="en-US"/>
        </w:rPr>
        <w:t xml:space="preserve"> </w:t>
      </w:r>
      <w:proofErr w:type="spellStart"/>
      <w:r w:rsidR="004C6656" w:rsidRPr="00B57A15">
        <w:rPr>
          <w:i/>
          <w:lang w:val="en-US" w:eastAsia="en-US"/>
        </w:rPr>
        <w:t>rce</w:t>
      </w:r>
      <w:proofErr w:type="spellEnd"/>
      <w:r w:rsidRPr="00C95A07">
        <w:rPr>
          <w:lang w:val="en-US" w:eastAsia="en-US"/>
        </w:rPr>
        <w:t xml:space="preserve"> administered during the period of organogenesis to rats (on gestation days 6, 9, 12, 15 and 17) and rabbits (on gestation days 7, 10, 13, 16 and 19) at intravenous doses up to 60 and 50 mg/kg, respectively (approximately</w:t>
      </w:r>
      <w:r w:rsidR="00255794">
        <w:rPr>
          <w:lang w:val="en-US" w:eastAsia="en-US"/>
        </w:rPr>
        <w:t xml:space="preserve"> </w:t>
      </w:r>
      <w:r w:rsidRPr="00C95A07">
        <w:rPr>
          <w:lang w:val="en-US" w:eastAsia="en-US"/>
        </w:rPr>
        <w:t>1</w:t>
      </w:r>
      <w:r w:rsidR="007671B5">
        <w:rPr>
          <w:lang w:val="en-US" w:eastAsia="en-US"/>
        </w:rPr>
        <w:t>2</w:t>
      </w:r>
      <w:r w:rsidR="003A0BEF">
        <w:rPr>
          <w:lang w:val="en-US" w:eastAsia="en-US"/>
        </w:rPr>
        <w:t>2</w:t>
      </w:r>
      <w:r w:rsidRPr="00C95A07">
        <w:rPr>
          <w:lang w:val="en-US" w:eastAsia="en-US"/>
        </w:rPr>
        <w:t xml:space="preserve"> and </w:t>
      </w:r>
      <w:r w:rsidR="003A0BEF">
        <w:rPr>
          <w:lang w:val="en-US" w:eastAsia="en-US"/>
        </w:rPr>
        <w:t>39</w:t>
      </w:r>
      <w:r w:rsidR="003A0BEF" w:rsidRPr="00C95A07">
        <w:rPr>
          <w:lang w:val="en-US" w:eastAsia="en-US"/>
        </w:rPr>
        <w:t xml:space="preserve">2 </w:t>
      </w:r>
      <w:r w:rsidRPr="00C95A07">
        <w:rPr>
          <w:lang w:val="en-US" w:eastAsia="en-US"/>
        </w:rPr>
        <w:t>times the human AUC of 18</w:t>
      </w:r>
      <w:r w:rsidR="007671B5">
        <w:rPr>
          <w:lang w:val="en-US" w:eastAsia="en-US"/>
        </w:rPr>
        <w:t>61</w:t>
      </w:r>
      <w:r w:rsidRPr="00C95A07">
        <w:rPr>
          <w:lang w:val="en-US" w:eastAsia="en-US"/>
        </w:rPr>
        <w:t xml:space="preserve"> </w:t>
      </w:r>
      <w:proofErr w:type="spellStart"/>
      <w:r w:rsidRPr="00C95A07">
        <w:rPr>
          <w:lang w:val="en-US" w:eastAsia="en-US"/>
        </w:rPr>
        <w:t>ng.h</w:t>
      </w:r>
      <w:proofErr w:type="spellEnd"/>
      <w:r w:rsidRPr="00C95A07">
        <w:rPr>
          <w:lang w:val="en-US" w:eastAsia="en-US"/>
        </w:rPr>
        <w:t xml:space="preserve">/mL at 1 mg/kg dose administered </w:t>
      </w:r>
      <w:r>
        <w:rPr>
          <w:lang w:val="en-US" w:eastAsia="en-US"/>
        </w:rPr>
        <w:t>fortnightly</w:t>
      </w:r>
      <w:r w:rsidRPr="00C95A07">
        <w:rPr>
          <w:lang w:val="en-US" w:eastAsia="en-US"/>
        </w:rPr>
        <w:t>, respectively</w:t>
      </w:r>
      <w:r>
        <w:rPr>
          <w:lang w:val="en-US" w:eastAsia="en-US"/>
        </w:rPr>
        <w:t xml:space="preserve">) </w:t>
      </w:r>
      <w:r w:rsidRPr="00C95A07">
        <w:rPr>
          <w:lang w:val="en-US" w:eastAsia="en-US"/>
        </w:rPr>
        <w:t xml:space="preserve">did not cause any adverse effects on </w:t>
      </w:r>
      <w:proofErr w:type="spellStart"/>
      <w:r w:rsidRPr="00C95A07">
        <w:rPr>
          <w:lang w:val="en-US" w:eastAsia="en-US"/>
        </w:rPr>
        <w:t>embryof</w:t>
      </w:r>
      <w:r>
        <w:rPr>
          <w:lang w:val="en-US" w:eastAsia="en-US"/>
        </w:rPr>
        <w:t>o</w:t>
      </w:r>
      <w:r w:rsidRPr="00C95A07">
        <w:rPr>
          <w:lang w:val="en-US" w:eastAsia="en-US"/>
        </w:rPr>
        <w:t>etal</w:t>
      </w:r>
      <w:proofErr w:type="spellEnd"/>
      <w:r w:rsidRPr="00C95A07">
        <w:rPr>
          <w:lang w:val="en-US" w:eastAsia="en-US"/>
        </w:rPr>
        <w:t xml:space="preserve"> development.  A pre- and postnatal development study in rats showed no evidence of adverse effects on pre- and postnatal development at intravenous doses (administered on gestation days 6, 9, 12, 15, 18, and 20 and days 4, 7, 10, 14, and 17 postpartum) of </w:t>
      </w:r>
      <w:proofErr w:type="spellStart"/>
      <w:r w:rsidRPr="00C95A07">
        <w:rPr>
          <w:lang w:val="en-US" w:eastAsia="en-US"/>
        </w:rPr>
        <w:t>sebelipase</w:t>
      </w:r>
      <w:proofErr w:type="spellEnd"/>
      <w:r w:rsidRPr="00C95A07">
        <w:rPr>
          <w:lang w:val="en-US" w:eastAsia="en-US"/>
        </w:rPr>
        <w:t xml:space="preserve"> </w:t>
      </w:r>
      <w:r w:rsidR="004C6656">
        <w:rPr>
          <w:lang w:val="en-US" w:eastAsia="en-US"/>
        </w:rPr>
        <w:t>alfa</w:t>
      </w:r>
      <w:r w:rsidR="004C6656" w:rsidRPr="00B57A15">
        <w:rPr>
          <w:i/>
          <w:lang w:val="en-US" w:eastAsia="en-US"/>
        </w:rPr>
        <w:t xml:space="preserve"> </w:t>
      </w:r>
      <w:proofErr w:type="spellStart"/>
      <w:r w:rsidR="004C6656" w:rsidRPr="00B57A15">
        <w:rPr>
          <w:i/>
          <w:lang w:val="en-US" w:eastAsia="en-US"/>
        </w:rPr>
        <w:t>rce</w:t>
      </w:r>
      <w:proofErr w:type="spellEnd"/>
      <w:r w:rsidRPr="00C95A07">
        <w:rPr>
          <w:lang w:val="en-US" w:eastAsia="en-US"/>
        </w:rPr>
        <w:t xml:space="preserve"> up to 60 mg/kg/day (approximately </w:t>
      </w:r>
      <w:r w:rsidR="007671B5" w:rsidRPr="00C95A07">
        <w:rPr>
          <w:lang w:val="en-US" w:eastAsia="en-US"/>
        </w:rPr>
        <w:t>1</w:t>
      </w:r>
      <w:r w:rsidR="007671B5">
        <w:rPr>
          <w:lang w:val="en-US" w:eastAsia="en-US"/>
        </w:rPr>
        <w:t>2</w:t>
      </w:r>
      <w:r w:rsidR="003A0BEF">
        <w:rPr>
          <w:lang w:val="en-US" w:eastAsia="en-US"/>
        </w:rPr>
        <w:t>2</w:t>
      </w:r>
      <w:r w:rsidR="007671B5" w:rsidRPr="00C95A07">
        <w:rPr>
          <w:lang w:val="en-US" w:eastAsia="en-US"/>
        </w:rPr>
        <w:t xml:space="preserve"> </w:t>
      </w:r>
      <w:r w:rsidRPr="00C95A07">
        <w:rPr>
          <w:lang w:val="en-US" w:eastAsia="en-US"/>
        </w:rPr>
        <w:t>times the human AUC of 18</w:t>
      </w:r>
      <w:r w:rsidR="007671B5">
        <w:rPr>
          <w:lang w:val="en-US" w:eastAsia="en-US"/>
        </w:rPr>
        <w:t>61</w:t>
      </w:r>
      <w:r w:rsidRPr="00C95A07">
        <w:rPr>
          <w:lang w:val="en-US" w:eastAsia="en-US"/>
        </w:rPr>
        <w:t xml:space="preserve"> </w:t>
      </w:r>
      <w:proofErr w:type="spellStart"/>
      <w:r w:rsidRPr="00C95A07">
        <w:rPr>
          <w:lang w:val="en-US" w:eastAsia="en-US"/>
        </w:rPr>
        <w:t>ng.h</w:t>
      </w:r>
      <w:proofErr w:type="spellEnd"/>
      <w:r w:rsidRPr="00C95A07">
        <w:rPr>
          <w:lang w:val="en-US" w:eastAsia="en-US"/>
        </w:rPr>
        <w:t xml:space="preserve">/mL at 1 mg/kg dose administered </w:t>
      </w:r>
      <w:r w:rsidR="00290604">
        <w:rPr>
          <w:lang w:val="en-US" w:eastAsia="en-US"/>
        </w:rPr>
        <w:t>fortnightly</w:t>
      </w:r>
      <w:r w:rsidRPr="00C95A07">
        <w:rPr>
          <w:lang w:val="en-US" w:eastAsia="en-US"/>
        </w:rPr>
        <w:t>).</w:t>
      </w:r>
    </w:p>
    <w:p w:rsidR="0024333F" w:rsidRDefault="0024333F" w:rsidP="00F06CD7">
      <w:pPr>
        <w:pStyle w:val="C-BodyText"/>
        <w:spacing w:before="0" w:after="0" w:line="240" w:lineRule="auto"/>
      </w:pPr>
    </w:p>
    <w:p w:rsidR="00EC5F52" w:rsidRDefault="00C95A07" w:rsidP="00F06CD7">
      <w:pPr>
        <w:pStyle w:val="C-BodyText"/>
        <w:spacing w:before="0" w:after="0" w:line="240" w:lineRule="auto"/>
        <w:rPr>
          <w:szCs w:val="22"/>
          <w:lang w:val="en-AU"/>
        </w:rPr>
      </w:pPr>
      <w:r>
        <w:lastRenderedPageBreak/>
        <w:t xml:space="preserve">There are no </w:t>
      </w:r>
      <w:r>
        <w:rPr>
          <w:szCs w:val="24"/>
        </w:rPr>
        <w:t xml:space="preserve">available data on </w:t>
      </w:r>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t xml:space="preserve"> </w:t>
      </w:r>
      <w:r>
        <w:rPr>
          <w:szCs w:val="24"/>
        </w:rPr>
        <w:t>use</w:t>
      </w:r>
      <w:r>
        <w:t xml:space="preserve"> in pregnant women. Pregnant and lactating women were excluded from </w:t>
      </w:r>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t xml:space="preserve"> clinical trials. </w:t>
      </w:r>
      <w:r w:rsidR="002A6910">
        <w:t xml:space="preserve">As a precautionary measure, it is preferable to avoid the use of </w:t>
      </w:r>
      <w:proofErr w:type="spellStart"/>
      <w:r w:rsidR="002A6910">
        <w:t>s</w:t>
      </w:r>
      <w:r w:rsidR="00EB4D7C">
        <w:t>ebelipase</w:t>
      </w:r>
      <w:proofErr w:type="spellEnd"/>
      <w:r w:rsidR="00EB4D7C">
        <w:t xml:space="preserve"> </w:t>
      </w:r>
      <w:r w:rsidR="004C6656">
        <w:t>alfa</w:t>
      </w:r>
      <w:r w:rsidR="004C6656" w:rsidRPr="00B57A15">
        <w:rPr>
          <w:i/>
        </w:rPr>
        <w:t xml:space="preserve"> </w:t>
      </w:r>
      <w:proofErr w:type="spellStart"/>
      <w:r w:rsidR="004C6656" w:rsidRPr="00B57A15">
        <w:rPr>
          <w:i/>
        </w:rPr>
        <w:t>rce</w:t>
      </w:r>
      <w:proofErr w:type="spellEnd"/>
      <w:r w:rsidR="001E0C62" w:rsidRPr="001E0C62">
        <w:t xml:space="preserve"> during pregnancy.</w:t>
      </w:r>
      <w:r w:rsidR="0029023A">
        <w:t xml:space="preserve"> </w:t>
      </w:r>
    </w:p>
    <w:p w:rsidR="00EF3EBC" w:rsidRPr="00F06CD7" w:rsidRDefault="00EF3EBC" w:rsidP="00F06CD7"/>
    <w:p w:rsidR="0062284C" w:rsidRPr="000046BB" w:rsidRDefault="000116F5" w:rsidP="00425CBA">
      <w:pPr>
        <w:pStyle w:val="PIMinorHeading"/>
      </w:pPr>
      <w:r w:rsidRPr="000046BB">
        <w:t>Use in L</w:t>
      </w:r>
      <w:r w:rsidR="0062284C" w:rsidRPr="000046BB">
        <w:t>actation</w:t>
      </w:r>
    </w:p>
    <w:p w:rsidR="00A63F45" w:rsidRDefault="003622D8" w:rsidP="000B5A96">
      <w:r w:rsidRPr="00823124">
        <w:t xml:space="preserve">There </w:t>
      </w:r>
      <w:r w:rsidR="002A6910">
        <w:t xml:space="preserve">are no data from studies in breast-feeding women. It is not known whether </w:t>
      </w:r>
      <w:proofErr w:type="spellStart"/>
      <w:r w:rsidR="002A6910">
        <w:t>sebelipase</w:t>
      </w:r>
      <w:proofErr w:type="spellEnd"/>
      <w:r w:rsidR="002A6910">
        <w:t xml:space="preserve"> </w:t>
      </w:r>
      <w:r w:rsidR="004C6656">
        <w:t>alfa</w:t>
      </w:r>
      <w:r w:rsidR="004C6656" w:rsidRPr="00B57A15">
        <w:rPr>
          <w:i/>
        </w:rPr>
        <w:t xml:space="preserve"> </w:t>
      </w:r>
      <w:proofErr w:type="spellStart"/>
      <w:r w:rsidR="004C6656" w:rsidRPr="00B57A15">
        <w:rPr>
          <w:i/>
        </w:rPr>
        <w:t>rce</w:t>
      </w:r>
      <w:proofErr w:type="spellEnd"/>
      <w:r w:rsidR="002A6910">
        <w:t xml:space="preserve"> is </w:t>
      </w:r>
      <w:r w:rsidRPr="00823124">
        <w:t>excret</w:t>
      </w:r>
      <w:r w:rsidR="002A6910">
        <w:t>ed</w:t>
      </w:r>
      <w:r w:rsidRPr="00823124">
        <w:t xml:space="preserve"> in human milk. </w:t>
      </w:r>
      <w:r w:rsidR="002A6910">
        <w:t>A decision must be made whether to discontinue breast</w:t>
      </w:r>
      <w:r w:rsidR="005037B0">
        <w:t>-</w:t>
      </w:r>
      <w:r w:rsidR="002A6910">
        <w:t>fee</w:t>
      </w:r>
      <w:r w:rsidR="000E1856">
        <w:t>d</w:t>
      </w:r>
      <w:r w:rsidR="002A6910">
        <w:t xml:space="preserve">ing or to discontinue/abstain from </w:t>
      </w:r>
      <w:proofErr w:type="spellStart"/>
      <w:r w:rsidR="002A6910">
        <w:t>sebelipase</w:t>
      </w:r>
      <w:proofErr w:type="spellEnd"/>
      <w:r w:rsidR="002A6910">
        <w:t xml:space="preserve"> </w:t>
      </w:r>
      <w:r w:rsidR="004C6656">
        <w:t>alfa</w:t>
      </w:r>
      <w:r w:rsidR="004C6656" w:rsidRPr="00B57A15">
        <w:rPr>
          <w:i/>
        </w:rPr>
        <w:t xml:space="preserve"> </w:t>
      </w:r>
      <w:proofErr w:type="spellStart"/>
      <w:r w:rsidR="004C6656" w:rsidRPr="00B57A15">
        <w:rPr>
          <w:i/>
        </w:rPr>
        <w:t>rce</w:t>
      </w:r>
      <w:proofErr w:type="spellEnd"/>
      <w:r w:rsidR="002A6910">
        <w:t xml:space="preserve"> treatment taking into account the benefit of breast</w:t>
      </w:r>
      <w:r w:rsidR="005037B0">
        <w:t>-</w:t>
      </w:r>
      <w:r w:rsidR="002A6910">
        <w:t xml:space="preserve">feeding for the child and the benefit of therapy for the woman. </w:t>
      </w:r>
    </w:p>
    <w:p w:rsidR="002A6910" w:rsidRPr="000046BB" w:rsidRDefault="002A6910" w:rsidP="000B5A96"/>
    <w:p w:rsidR="0062284C" w:rsidRPr="000046BB" w:rsidRDefault="0062284C" w:rsidP="00425CBA">
      <w:pPr>
        <w:pStyle w:val="PIMinorHeading"/>
      </w:pPr>
      <w:r w:rsidRPr="000046BB">
        <w:t>Paediatric Use</w:t>
      </w:r>
    </w:p>
    <w:p w:rsidR="00EF3EBC" w:rsidRDefault="00582B8C" w:rsidP="000B5A96">
      <w:r w:rsidRPr="00582B8C">
        <w:t>Fifty</w:t>
      </w:r>
      <w:r>
        <w:t xml:space="preserve"> </w:t>
      </w:r>
      <w:r w:rsidRPr="00582B8C">
        <w:t xml:space="preserve">six of 84 patients (67%) who received </w:t>
      </w:r>
      <w:proofErr w:type="spellStart"/>
      <w:r w:rsidRPr="00582B8C">
        <w:t>sebelipase</w:t>
      </w:r>
      <w:proofErr w:type="spellEnd"/>
      <w:r w:rsidRPr="00582B8C">
        <w:t xml:space="preserve"> </w:t>
      </w:r>
      <w:r w:rsidR="004C6656">
        <w:t>alfa</w:t>
      </w:r>
      <w:r w:rsidR="004C6656" w:rsidRPr="00B57A15">
        <w:rPr>
          <w:i/>
        </w:rPr>
        <w:t xml:space="preserve"> </w:t>
      </w:r>
      <w:proofErr w:type="spellStart"/>
      <w:r w:rsidR="004C6656" w:rsidRPr="00B57A15">
        <w:rPr>
          <w:i/>
        </w:rPr>
        <w:t>rce</w:t>
      </w:r>
      <w:proofErr w:type="spellEnd"/>
      <w:r w:rsidRPr="00582B8C">
        <w:t xml:space="preserve"> during clinical studies (LAL-CL01/LAL-CL04, LAL-CL02 and LAL-CL03) were in the paediatric and adolescent age range (1 month up to 18 years).</w:t>
      </w:r>
    </w:p>
    <w:p w:rsidR="00257C8C" w:rsidRDefault="00257C8C" w:rsidP="000B5A96"/>
    <w:p w:rsidR="0062284C" w:rsidRPr="000046BB" w:rsidRDefault="0062284C" w:rsidP="00425CBA">
      <w:pPr>
        <w:pStyle w:val="PIMinorHeading"/>
      </w:pPr>
      <w:r w:rsidRPr="000046BB">
        <w:t>Use</w:t>
      </w:r>
      <w:r w:rsidR="00746D2F" w:rsidRPr="000046BB">
        <w:t xml:space="preserve"> in the Elderly</w:t>
      </w:r>
    </w:p>
    <w:p w:rsidR="00EF3EBC" w:rsidRPr="00C97FEC" w:rsidRDefault="00C97FEC" w:rsidP="000B5A96">
      <w:r w:rsidRPr="00C97FEC">
        <w:t xml:space="preserve">Safety and efficacy of </w:t>
      </w:r>
      <w:proofErr w:type="spellStart"/>
      <w:r w:rsidR="00EF3EBC">
        <w:t>sebelipase</w:t>
      </w:r>
      <w:proofErr w:type="spellEnd"/>
      <w:r w:rsidR="00EF3EBC">
        <w:t xml:space="preserve"> </w:t>
      </w:r>
      <w:r w:rsidR="004C6656">
        <w:t>alfa</w:t>
      </w:r>
      <w:r w:rsidR="004C6656" w:rsidRPr="00B57A15">
        <w:rPr>
          <w:i/>
        </w:rPr>
        <w:t xml:space="preserve"> </w:t>
      </w:r>
      <w:proofErr w:type="spellStart"/>
      <w:r w:rsidR="004C6656" w:rsidRPr="00B57A15">
        <w:rPr>
          <w:i/>
        </w:rPr>
        <w:t>rce</w:t>
      </w:r>
      <w:proofErr w:type="spellEnd"/>
      <w:r w:rsidRPr="00C97FEC">
        <w:t xml:space="preserve"> in patients older than 65 years have not been established</w:t>
      </w:r>
      <w:r w:rsidR="00983645">
        <w:t>.</w:t>
      </w:r>
      <w:r w:rsidR="00B96050">
        <w:t xml:space="preserve"> </w:t>
      </w:r>
      <w:r w:rsidR="00F819AB">
        <w:t>T</w:t>
      </w:r>
      <w:r w:rsidR="00B96050">
        <w:t>here</w:t>
      </w:r>
      <w:r w:rsidR="001C7C7E">
        <w:t>fore, there</w:t>
      </w:r>
      <w:r w:rsidR="00B96050">
        <w:t xml:space="preserve"> is no </w:t>
      </w:r>
      <w:r w:rsidR="001C7C7E">
        <w:t>information available to determine whether patients aged 65 years and over respond differently from younger patients.</w:t>
      </w:r>
      <w:r w:rsidR="00F819AB">
        <w:t xml:space="preserve"> </w:t>
      </w:r>
    </w:p>
    <w:p w:rsidR="00005326" w:rsidRPr="000046BB" w:rsidRDefault="00005326" w:rsidP="000B5A96"/>
    <w:p w:rsidR="00540847" w:rsidRPr="000046BB" w:rsidRDefault="00540847" w:rsidP="00425CBA">
      <w:pPr>
        <w:pStyle w:val="PIMinorHeading"/>
      </w:pPr>
      <w:r w:rsidRPr="000046BB">
        <w:t>Genotoxicity</w:t>
      </w:r>
    </w:p>
    <w:p w:rsidR="00540847" w:rsidRPr="000046BB" w:rsidRDefault="00540847" w:rsidP="000B5A96">
      <w:r w:rsidRPr="000046BB">
        <w:t>No</w:t>
      </w:r>
      <w:r w:rsidRPr="000046BB">
        <w:rPr>
          <w:b/>
        </w:rPr>
        <w:t xml:space="preserve"> </w:t>
      </w:r>
      <w:r w:rsidRPr="000046BB">
        <w:t xml:space="preserve">studies have been conducted to assess the genotoxic potential of </w:t>
      </w:r>
      <w:proofErr w:type="spellStart"/>
      <w:r w:rsidR="00EF3EBC">
        <w:t>sebelipase</w:t>
      </w:r>
      <w:proofErr w:type="spellEnd"/>
      <w:r w:rsidR="00EF3EBC">
        <w:t xml:space="preserve"> </w:t>
      </w:r>
      <w:r w:rsidR="004C6656">
        <w:t>alfa</w:t>
      </w:r>
      <w:r w:rsidR="004C6656" w:rsidRPr="00B57A15">
        <w:rPr>
          <w:i/>
        </w:rPr>
        <w:t xml:space="preserve"> </w:t>
      </w:r>
      <w:proofErr w:type="spellStart"/>
      <w:r w:rsidR="004C6656" w:rsidRPr="00B57A15">
        <w:rPr>
          <w:i/>
        </w:rPr>
        <w:t>rce</w:t>
      </w:r>
      <w:proofErr w:type="spellEnd"/>
      <w:r w:rsidRPr="000046BB">
        <w:t>.</w:t>
      </w:r>
      <w:r w:rsidR="007671B5">
        <w:t xml:space="preserve">  </w:t>
      </w:r>
      <w:r w:rsidR="007671B5">
        <w:rPr>
          <w:sz w:val="22"/>
        </w:rPr>
        <w:t>This is considered acceptable for biotechnology-derived products such as K</w:t>
      </w:r>
      <w:r w:rsidR="007671B5">
        <w:rPr>
          <w:sz w:val="20"/>
          <w:szCs w:val="20"/>
        </w:rPr>
        <w:t>ANUMA</w:t>
      </w:r>
      <w:r w:rsidR="007671B5">
        <w:rPr>
          <w:sz w:val="22"/>
        </w:rPr>
        <w:t>.</w:t>
      </w:r>
    </w:p>
    <w:p w:rsidR="00540847" w:rsidRPr="000046BB" w:rsidRDefault="00540847" w:rsidP="000B5A96"/>
    <w:p w:rsidR="00540847" w:rsidRPr="000046BB" w:rsidRDefault="00540847" w:rsidP="00425CBA">
      <w:pPr>
        <w:pStyle w:val="PIMinorHeading"/>
      </w:pPr>
      <w:r w:rsidRPr="000046BB">
        <w:t>Carcinogenicity</w:t>
      </w:r>
    </w:p>
    <w:p w:rsidR="00540847" w:rsidRPr="000046BB" w:rsidRDefault="00540847" w:rsidP="000B5A96">
      <w:r w:rsidRPr="000046BB">
        <w:t>No studies have been conducted to assess the carci</w:t>
      </w:r>
      <w:r w:rsidR="00A63F45" w:rsidRPr="000046BB">
        <w:t>nogenic potential of</w:t>
      </w:r>
      <w:r w:rsidR="00031076">
        <w:t xml:space="preserve"> </w:t>
      </w:r>
      <w:proofErr w:type="spellStart"/>
      <w:r w:rsidR="00EF3EBC">
        <w:t>sebelipase</w:t>
      </w:r>
      <w:proofErr w:type="spellEnd"/>
      <w:r w:rsidR="00EF3EBC">
        <w:t xml:space="preserve"> </w:t>
      </w:r>
      <w:r w:rsidR="004C6656">
        <w:t>alfa</w:t>
      </w:r>
      <w:r w:rsidR="004C6656" w:rsidRPr="00B57A15">
        <w:rPr>
          <w:i/>
        </w:rPr>
        <w:t xml:space="preserve"> </w:t>
      </w:r>
      <w:proofErr w:type="spellStart"/>
      <w:r w:rsidR="004C6656" w:rsidRPr="00B57A15">
        <w:rPr>
          <w:i/>
        </w:rPr>
        <w:t>rce</w:t>
      </w:r>
      <w:proofErr w:type="spellEnd"/>
      <w:r w:rsidRPr="000046BB">
        <w:t>.</w:t>
      </w:r>
      <w:r w:rsidR="007671B5">
        <w:t xml:space="preserve">  </w:t>
      </w:r>
      <w:r w:rsidR="007671B5">
        <w:rPr>
          <w:sz w:val="22"/>
        </w:rPr>
        <w:t>This is considered acceptable for biotechnology-derived products such as K</w:t>
      </w:r>
      <w:r w:rsidR="007671B5">
        <w:rPr>
          <w:sz w:val="20"/>
          <w:szCs w:val="20"/>
        </w:rPr>
        <w:t>ANUMA</w:t>
      </w:r>
      <w:r w:rsidR="007671B5">
        <w:rPr>
          <w:sz w:val="22"/>
        </w:rPr>
        <w:t>.</w:t>
      </w:r>
    </w:p>
    <w:p w:rsidR="00540847" w:rsidRPr="000046BB" w:rsidRDefault="00540847" w:rsidP="000B5A96"/>
    <w:p w:rsidR="00706473" w:rsidRPr="000046BB" w:rsidRDefault="00540847" w:rsidP="00425CBA">
      <w:pPr>
        <w:pStyle w:val="PIMinorHeading"/>
      </w:pPr>
      <w:r w:rsidRPr="000046BB">
        <w:t>Effects on Laboratory Tests</w:t>
      </w:r>
    </w:p>
    <w:p w:rsidR="00EF3EBC" w:rsidRPr="001E4B2A" w:rsidRDefault="00745950" w:rsidP="0047114E">
      <w:pPr>
        <w:autoSpaceDE w:val="0"/>
        <w:autoSpaceDN w:val="0"/>
        <w:adjustRightInd w:val="0"/>
      </w:pPr>
      <w:proofErr w:type="gramStart"/>
      <w:r>
        <w:t>Unknown.</w:t>
      </w:r>
      <w:proofErr w:type="gramEnd"/>
    </w:p>
    <w:p w:rsidR="00774334" w:rsidRDefault="002B7EA6" w:rsidP="00490370">
      <w:pPr>
        <w:pStyle w:val="PIMajorHeading"/>
      </w:pPr>
      <w:r w:rsidRPr="000046BB">
        <w:t>INTERACTIONS WITH OTHER MEDICINES</w:t>
      </w:r>
    </w:p>
    <w:p w:rsidR="00AC7937" w:rsidRPr="000046BB" w:rsidRDefault="00774334" w:rsidP="000B5A96">
      <w:r w:rsidRPr="000046BB">
        <w:t xml:space="preserve">Drug interaction studies have not been performed with </w:t>
      </w:r>
      <w:proofErr w:type="spellStart"/>
      <w:r w:rsidR="00EF3EBC">
        <w:t>sebelipase</w:t>
      </w:r>
      <w:proofErr w:type="spellEnd"/>
      <w:r w:rsidR="00EF3EBC">
        <w:t xml:space="preserve"> </w:t>
      </w:r>
      <w:r w:rsidR="004C6656">
        <w:t>alfa</w:t>
      </w:r>
      <w:r w:rsidR="004C6656" w:rsidRPr="00B57A15">
        <w:rPr>
          <w:i/>
        </w:rPr>
        <w:t xml:space="preserve"> </w:t>
      </w:r>
      <w:proofErr w:type="spellStart"/>
      <w:r w:rsidR="004C6656" w:rsidRPr="00B57A15">
        <w:rPr>
          <w:i/>
        </w:rPr>
        <w:t>rce</w:t>
      </w:r>
      <w:proofErr w:type="spellEnd"/>
      <w:r w:rsidR="006A1D1A">
        <w:t>.</w:t>
      </w:r>
      <w:r w:rsidR="00295E68">
        <w:t xml:space="preserve"> </w:t>
      </w:r>
    </w:p>
    <w:p w:rsidR="0062284C" w:rsidRPr="00992824" w:rsidRDefault="002B7EA6" w:rsidP="00490370">
      <w:pPr>
        <w:pStyle w:val="PIMajorHeading"/>
      </w:pPr>
      <w:r w:rsidRPr="00992824">
        <w:t>ADVERSE EFFECTS</w:t>
      </w:r>
    </w:p>
    <w:p w:rsidR="00707ABC" w:rsidRPr="00992824" w:rsidRDefault="00707ABC" w:rsidP="00FC5C53">
      <w:pPr>
        <w:pStyle w:val="PIMinorHeading"/>
      </w:pPr>
      <w:r w:rsidRPr="00992824">
        <w:t>Summary of the safety profile</w:t>
      </w:r>
    </w:p>
    <w:p w:rsidR="00E52C35" w:rsidRDefault="00992824" w:rsidP="00E52C35">
      <w:r>
        <w:t xml:space="preserve">The data described below reflect exposure of </w:t>
      </w:r>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t xml:space="preserve"> in 84 patients who received </w:t>
      </w:r>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t xml:space="preserve"> at doses ranging from 0.35 to 3 mg/kg/week in clinical studies. Patients were between 1 month and 59 years old (67% were &lt; 18 years old) at the time of first treatment with </w:t>
      </w:r>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t>.</w:t>
      </w:r>
    </w:p>
    <w:p w:rsidR="00992824" w:rsidRDefault="00992824" w:rsidP="00E52C35"/>
    <w:p w:rsidR="00992824" w:rsidRDefault="00992824" w:rsidP="00E52C35">
      <w:r>
        <w:t xml:space="preserve">The safety of </w:t>
      </w:r>
      <w:proofErr w:type="spellStart"/>
      <w:r>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t xml:space="preserve"> was evaluated in an open-label, single arm study in infants presenting with LAL-D (LAL-CL03) and a randomised placebo-controlled study in children and adults (LAL-CL02). Additional safety information, including data on 2-year exposure to </w:t>
      </w:r>
      <w:proofErr w:type="spellStart"/>
      <w:r>
        <w:lastRenderedPageBreak/>
        <w:t>sebelipase</w:t>
      </w:r>
      <w:proofErr w:type="spellEnd"/>
      <w:r>
        <w:t xml:space="preserve"> </w:t>
      </w:r>
      <w:r w:rsidR="004C6656">
        <w:t>alfa</w:t>
      </w:r>
      <w:r w:rsidR="004C6656" w:rsidRPr="00B57A15">
        <w:rPr>
          <w:i/>
        </w:rPr>
        <w:t xml:space="preserve"> </w:t>
      </w:r>
      <w:proofErr w:type="spellStart"/>
      <w:r w:rsidR="004C6656" w:rsidRPr="00B57A15">
        <w:rPr>
          <w:i/>
        </w:rPr>
        <w:t>rce</w:t>
      </w:r>
      <w:proofErr w:type="spellEnd"/>
      <w:r>
        <w:t xml:space="preserve"> is available from an open-label study in adults (LAL-CL01/LAL-CL04) [Refer to CLINICAL TRIALS].</w:t>
      </w:r>
    </w:p>
    <w:p w:rsidR="00992824" w:rsidRDefault="00992824" w:rsidP="00E52C35"/>
    <w:p w:rsidR="0083241E" w:rsidRDefault="00992824" w:rsidP="00E52C35">
      <w:r>
        <w:t xml:space="preserve">The most serious adverse reactions experienced by 3% of patients in clinical trials were signs and symptoms consistent with anaphylaxis. Signs and symptoms included chest discomfort, </w:t>
      </w:r>
      <w:r w:rsidRPr="00992824">
        <w:rPr>
          <w:lang w:val="en-GB"/>
        </w:rPr>
        <w:t xml:space="preserve">conjunctival injection, dyspnoea, generalised and itchy rash, hyperaemia, mild eyelid oedema, rhinorrhoea, severe respiratory distress, tachycardia, </w:t>
      </w:r>
      <w:proofErr w:type="spellStart"/>
      <w:r w:rsidRPr="00992824">
        <w:rPr>
          <w:lang w:val="en-GB"/>
        </w:rPr>
        <w:t>tachypnoea</w:t>
      </w:r>
      <w:proofErr w:type="spellEnd"/>
      <w:r w:rsidRPr="00992824">
        <w:rPr>
          <w:lang w:val="en-GB"/>
        </w:rPr>
        <w:t xml:space="preserve"> and </w:t>
      </w:r>
      <w:proofErr w:type="spellStart"/>
      <w:r w:rsidRPr="00992824">
        <w:rPr>
          <w:lang w:val="en-GB"/>
        </w:rPr>
        <w:t>urticaria</w:t>
      </w:r>
      <w:proofErr w:type="spellEnd"/>
      <w:r w:rsidRPr="00992824">
        <w:rPr>
          <w:lang w:val="en-GB"/>
        </w:rPr>
        <w:t>.</w:t>
      </w:r>
    </w:p>
    <w:p w:rsidR="0083241E" w:rsidRDefault="0083241E" w:rsidP="000B5A96"/>
    <w:p w:rsidR="00707ABC" w:rsidRPr="00843466" w:rsidRDefault="00707ABC" w:rsidP="00787A15">
      <w:pPr>
        <w:pStyle w:val="PIMinorHeading"/>
        <w:spacing w:after="0"/>
      </w:pPr>
      <w:r w:rsidRPr="00843466">
        <w:t>Tabulated list of adverse reactions</w:t>
      </w:r>
    </w:p>
    <w:p w:rsidR="00740823" w:rsidRDefault="00740823" w:rsidP="00740823">
      <w:pPr>
        <w:overflowPunct w:val="0"/>
        <w:autoSpaceDE w:val="0"/>
        <w:autoSpaceDN w:val="0"/>
        <w:adjustRightInd w:val="0"/>
        <w:textAlignment w:val="baseline"/>
        <w:rPr>
          <w:szCs w:val="20"/>
          <w:lang w:val="en-GB" w:eastAsia="ja-JP"/>
        </w:rPr>
      </w:pPr>
      <w:r w:rsidRPr="00740823">
        <w:rPr>
          <w:szCs w:val="20"/>
          <w:lang w:val="en-GB" w:eastAsia="ja-JP"/>
        </w:rPr>
        <w:fldChar w:fldCharType="begin"/>
      </w:r>
      <w:r w:rsidRPr="00740823">
        <w:rPr>
          <w:szCs w:val="20"/>
          <w:lang w:val="en-GB" w:eastAsia="ja-JP"/>
        </w:rPr>
        <w:instrText xml:space="preserve"> REF _Ref421020582 \h  \* MERGEFORMAT </w:instrText>
      </w:r>
      <w:r w:rsidRPr="00740823">
        <w:rPr>
          <w:szCs w:val="20"/>
          <w:lang w:val="en-GB" w:eastAsia="ja-JP"/>
        </w:rPr>
      </w:r>
      <w:r w:rsidRPr="00740823">
        <w:rPr>
          <w:szCs w:val="20"/>
          <w:lang w:val="en-GB" w:eastAsia="ja-JP"/>
        </w:rPr>
        <w:fldChar w:fldCharType="separate"/>
      </w:r>
      <w:r w:rsidR="0035098F" w:rsidRPr="0035098F">
        <w:rPr>
          <w:szCs w:val="20"/>
          <w:lang w:val="en-GB" w:eastAsia="ja-JP"/>
        </w:rPr>
        <w:t xml:space="preserve">Table </w:t>
      </w:r>
      <w:r w:rsidR="0035098F" w:rsidRPr="0035098F">
        <w:rPr>
          <w:noProof/>
          <w:szCs w:val="20"/>
          <w:lang w:val="en-GB" w:eastAsia="ja-JP"/>
        </w:rPr>
        <w:t>4</w:t>
      </w:r>
      <w:r w:rsidRPr="00740823">
        <w:rPr>
          <w:szCs w:val="20"/>
          <w:lang w:val="en-GB" w:eastAsia="ja-JP"/>
        </w:rPr>
        <w:fldChar w:fldCharType="end"/>
      </w:r>
      <w:r w:rsidRPr="00740823">
        <w:rPr>
          <w:szCs w:val="20"/>
          <w:lang w:val="en-GB" w:eastAsia="ja-JP"/>
        </w:rPr>
        <w:t xml:space="preserve"> below summarizes the mos</w:t>
      </w:r>
      <w:r w:rsidR="00D46B64">
        <w:rPr>
          <w:szCs w:val="20"/>
          <w:lang w:val="en-GB" w:eastAsia="ja-JP"/>
        </w:rPr>
        <w:t>t common adverse reactions occurring</w:t>
      </w:r>
      <w:r w:rsidRPr="00740823">
        <w:rPr>
          <w:szCs w:val="20"/>
          <w:lang w:val="en-GB" w:eastAsia="ja-JP"/>
        </w:rPr>
        <w:t xml:space="preserve"> in </w:t>
      </w:r>
      <w:r w:rsidR="00221348">
        <w:rPr>
          <w:b/>
          <w:szCs w:val="20"/>
          <w:lang w:val="en-GB" w:eastAsia="ja-JP"/>
        </w:rPr>
        <w:t>≥</w:t>
      </w:r>
      <w:r w:rsidR="00D46B64">
        <w:rPr>
          <w:szCs w:val="20"/>
          <w:lang w:val="en-GB" w:eastAsia="ja-JP"/>
        </w:rPr>
        <w:t>30% of patients with rapidly progressive LAL-D presenting in the first 6 months of life</w:t>
      </w:r>
      <w:r w:rsidRPr="00740823">
        <w:rPr>
          <w:szCs w:val="20"/>
          <w:lang w:val="en-GB" w:eastAsia="ja-JP"/>
        </w:rPr>
        <w:t xml:space="preserve"> receiving </w:t>
      </w:r>
      <w:proofErr w:type="spellStart"/>
      <w:r>
        <w:rPr>
          <w:szCs w:val="20"/>
          <w:lang w:val="en-GB" w:eastAsia="ja-JP"/>
        </w:rPr>
        <w:t>sebelipase</w:t>
      </w:r>
      <w:proofErr w:type="spellEnd"/>
      <w:r>
        <w:rPr>
          <w:szCs w:val="20"/>
          <w:lang w:val="en-GB" w:eastAsia="ja-JP"/>
        </w:rPr>
        <w:t xml:space="preserve"> </w:t>
      </w:r>
      <w:r w:rsidR="004C6656">
        <w:rPr>
          <w:szCs w:val="20"/>
          <w:lang w:val="en-GB" w:eastAsia="ja-JP"/>
        </w:rPr>
        <w:t>alfa</w:t>
      </w:r>
      <w:r w:rsidR="004C6656" w:rsidRPr="00B57A15">
        <w:rPr>
          <w:i/>
          <w:szCs w:val="20"/>
          <w:lang w:val="en-GB" w:eastAsia="ja-JP"/>
        </w:rPr>
        <w:t xml:space="preserve"> </w:t>
      </w:r>
      <w:proofErr w:type="spellStart"/>
      <w:r w:rsidR="004C6656" w:rsidRPr="00B57A15">
        <w:rPr>
          <w:i/>
          <w:szCs w:val="20"/>
          <w:lang w:val="en-GB" w:eastAsia="ja-JP"/>
        </w:rPr>
        <w:t>rce</w:t>
      </w:r>
      <w:proofErr w:type="spellEnd"/>
      <w:r w:rsidRPr="00740823">
        <w:rPr>
          <w:szCs w:val="20"/>
          <w:lang w:val="en-GB" w:eastAsia="ja-JP"/>
        </w:rPr>
        <w:t xml:space="preserve"> </w:t>
      </w:r>
      <w:r w:rsidR="00D46B64">
        <w:rPr>
          <w:szCs w:val="20"/>
          <w:lang w:val="en-GB" w:eastAsia="ja-JP"/>
        </w:rPr>
        <w:t>(</w:t>
      </w:r>
      <w:r w:rsidRPr="00740823">
        <w:rPr>
          <w:szCs w:val="20"/>
          <w:lang w:val="en-GB" w:eastAsia="ja-JP"/>
        </w:rPr>
        <w:t>LAL-CL03</w:t>
      </w:r>
      <w:r w:rsidR="00D46B64">
        <w:rPr>
          <w:szCs w:val="20"/>
          <w:lang w:val="en-GB" w:eastAsia="ja-JP"/>
        </w:rPr>
        <w:t>).</w:t>
      </w:r>
      <w:r w:rsidRPr="00740823">
        <w:rPr>
          <w:szCs w:val="20"/>
          <w:lang w:val="en-GB" w:eastAsia="ja-JP"/>
        </w:rPr>
        <w:t xml:space="preserve"> </w:t>
      </w:r>
    </w:p>
    <w:p w:rsidR="00740823" w:rsidRDefault="00740823" w:rsidP="00740823">
      <w:pPr>
        <w:overflowPunct w:val="0"/>
        <w:autoSpaceDE w:val="0"/>
        <w:autoSpaceDN w:val="0"/>
        <w:adjustRightInd w:val="0"/>
        <w:textAlignment w:val="baseline"/>
        <w:rPr>
          <w:szCs w:val="20"/>
          <w:lang w:val="en-GB" w:eastAsia="ja-JP"/>
        </w:rPr>
      </w:pPr>
    </w:p>
    <w:p w:rsidR="00740823" w:rsidRPr="00740823" w:rsidRDefault="00740823" w:rsidP="00787A15">
      <w:pPr>
        <w:overflowPunct w:val="0"/>
        <w:autoSpaceDE w:val="0"/>
        <w:autoSpaceDN w:val="0"/>
        <w:adjustRightInd w:val="0"/>
        <w:ind w:left="994" w:hanging="994"/>
        <w:textAlignment w:val="baseline"/>
        <w:rPr>
          <w:szCs w:val="20"/>
          <w:lang w:val="en-GB" w:eastAsia="ja-JP"/>
        </w:rPr>
      </w:pPr>
      <w:bookmarkStart w:id="17" w:name="_Ref421020582"/>
      <w:bookmarkStart w:id="18" w:name="_Ref399161590"/>
      <w:r w:rsidRPr="00740823">
        <w:rPr>
          <w:b/>
          <w:szCs w:val="20"/>
          <w:lang w:val="en-GB" w:eastAsia="ja-JP"/>
        </w:rPr>
        <w:t xml:space="preserve">Table </w:t>
      </w:r>
      <w:r w:rsidRPr="00740823">
        <w:rPr>
          <w:b/>
          <w:szCs w:val="20"/>
          <w:lang w:val="en-GB" w:eastAsia="ja-JP"/>
        </w:rPr>
        <w:fldChar w:fldCharType="begin"/>
      </w:r>
      <w:r w:rsidRPr="00740823">
        <w:rPr>
          <w:b/>
          <w:szCs w:val="20"/>
          <w:lang w:val="en-GB" w:eastAsia="ja-JP"/>
        </w:rPr>
        <w:instrText xml:space="preserve"> SEQ Table \* ARABIC </w:instrText>
      </w:r>
      <w:r w:rsidRPr="00740823">
        <w:rPr>
          <w:b/>
          <w:szCs w:val="20"/>
          <w:lang w:val="en-GB" w:eastAsia="ja-JP"/>
        </w:rPr>
        <w:fldChar w:fldCharType="separate"/>
      </w:r>
      <w:r w:rsidR="0035098F">
        <w:rPr>
          <w:b/>
          <w:noProof/>
          <w:szCs w:val="20"/>
          <w:lang w:val="en-GB" w:eastAsia="ja-JP"/>
        </w:rPr>
        <w:t>4</w:t>
      </w:r>
      <w:r w:rsidRPr="00740823">
        <w:rPr>
          <w:b/>
          <w:szCs w:val="20"/>
          <w:lang w:val="en-GB" w:eastAsia="ja-JP"/>
        </w:rPr>
        <w:fldChar w:fldCharType="end"/>
      </w:r>
      <w:bookmarkEnd w:id="17"/>
      <w:r w:rsidRPr="00740823">
        <w:rPr>
          <w:b/>
          <w:szCs w:val="20"/>
          <w:lang w:val="en-GB" w:eastAsia="ja-JP"/>
        </w:rPr>
        <w:t>:</w:t>
      </w:r>
      <w:bookmarkEnd w:id="18"/>
      <w:r>
        <w:rPr>
          <w:b/>
          <w:szCs w:val="20"/>
          <w:lang w:val="en-GB" w:eastAsia="ja-JP"/>
        </w:rPr>
        <w:t xml:space="preserve"> </w:t>
      </w:r>
      <w:r w:rsidR="00D46B64">
        <w:rPr>
          <w:b/>
          <w:szCs w:val="20"/>
          <w:lang w:val="en-GB" w:eastAsia="ja-JP"/>
        </w:rPr>
        <w:t xml:space="preserve">Adverse </w:t>
      </w:r>
      <w:r w:rsidR="000E0B3B">
        <w:rPr>
          <w:b/>
          <w:szCs w:val="20"/>
          <w:lang w:val="en-GB" w:eastAsia="ja-JP"/>
        </w:rPr>
        <w:t>R</w:t>
      </w:r>
      <w:r w:rsidR="00D46B64">
        <w:rPr>
          <w:b/>
          <w:szCs w:val="20"/>
          <w:lang w:val="en-GB" w:eastAsia="ja-JP"/>
        </w:rPr>
        <w:t xml:space="preserve">eactions </w:t>
      </w:r>
      <w:r w:rsidR="000E0B3B">
        <w:rPr>
          <w:b/>
          <w:szCs w:val="20"/>
          <w:lang w:val="en-GB" w:eastAsia="ja-JP"/>
        </w:rPr>
        <w:t>R</w:t>
      </w:r>
      <w:r w:rsidRPr="00740823">
        <w:rPr>
          <w:b/>
          <w:szCs w:val="20"/>
          <w:lang w:val="en-GB" w:eastAsia="ja-JP"/>
        </w:rPr>
        <w:t xml:space="preserve">eported in </w:t>
      </w:r>
      <w:r w:rsidR="00221348">
        <w:rPr>
          <w:b/>
          <w:szCs w:val="20"/>
          <w:lang w:val="en-GB" w:eastAsia="ja-JP"/>
        </w:rPr>
        <w:t>≥</w:t>
      </w:r>
      <w:r w:rsidR="00D46B64">
        <w:rPr>
          <w:b/>
          <w:szCs w:val="20"/>
          <w:lang w:val="en-GB" w:eastAsia="ja-JP"/>
        </w:rPr>
        <w:t xml:space="preserve"> 30%</w:t>
      </w:r>
      <w:r w:rsidRPr="00740823">
        <w:rPr>
          <w:b/>
          <w:szCs w:val="20"/>
          <w:lang w:val="en-GB" w:eastAsia="ja-JP"/>
        </w:rPr>
        <w:t xml:space="preserve"> </w:t>
      </w:r>
      <w:r w:rsidR="000E0B3B">
        <w:rPr>
          <w:b/>
          <w:szCs w:val="20"/>
          <w:lang w:val="en-GB" w:eastAsia="ja-JP"/>
        </w:rPr>
        <w:t>of P</w:t>
      </w:r>
      <w:r w:rsidR="00D46B64">
        <w:rPr>
          <w:b/>
          <w:szCs w:val="20"/>
          <w:lang w:val="en-GB" w:eastAsia="ja-JP"/>
        </w:rPr>
        <w:t xml:space="preserve">atients </w:t>
      </w:r>
      <w:r w:rsidR="000E0B3B">
        <w:rPr>
          <w:b/>
          <w:szCs w:val="20"/>
          <w:lang w:val="en-GB" w:eastAsia="ja-JP"/>
        </w:rPr>
        <w:t>R</w:t>
      </w:r>
      <w:r w:rsidRPr="00740823">
        <w:rPr>
          <w:b/>
          <w:szCs w:val="20"/>
          <w:lang w:val="en-GB" w:eastAsia="ja-JP"/>
        </w:rPr>
        <w:t xml:space="preserve">eceiving </w:t>
      </w:r>
      <w:proofErr w:type="spellStart"/>
      <w:r w:rsidR="000E0B3B">
        <w:rPr>
          <w:b/>
          <w:szCs w:val="20"/>
          <w:lang w:val="en-GB" w:eastAsia="ja-JP"/>
        </w:rPr>
        <w:t>S</w:t>
      </w:r>
      <w:r w:rsidR="00D46B64">
        <w:rPr>
          <w:b/>
          <w:szCs w:val="20"/>
          <w:lang w:val="en-GB" w:eastAsia="ja-JP"/>
        </w:rPr>
        <w:t>ebelipase</w:t>
      </w:r>
      <w:proofErr w:type="spellEnd"/>
      <w:r w:rsidR="00D46B64">
        <w:rPr>
          <w:b/>
          <w:szCs w:val="20"/>
          <w:lang w:val="en-GB" w:eastAsia="ja-JP"/>
        </w:rPr>
        <w:t xml:space="preserve"> </w:t>
      </w:r>
      <w:r w:rsidR="000E0B3B">
        <w:rPr>
          <w:b/>
          <w:szCs w:val="20"/>
          <w:lang w:val="en-GB" w:eastAsia="ja-JP"/>
        </w:rPr>
        <w:t>A</w:t>
      </w:r>
      <w:r>
        <w:rPr>
          <w:b/>
          <w:szCs w:val="20"/>
          <w:lang w:val="en-GB" w:eastAsia="ja-JP"/>
        </w:rPr>
        <w:t>lfa</w:t>
      </w:r>
      <w:r w:rsidRPr="00740823">
        <w:rPr>
          <w:b/>
          <w:szCs w:val="20"/>
          <w:lang w:val="en-GB" w:eastAsia="ja-JP"/>
        </w:rPr>
        <w:t xml:space="preserve"> in</w:t>
      </w:r>
      <w:r>
        <w:rPr>
          <w:b/>
          <w:szCs w:val="20"/>
          <w:lang w:val="en-GB" w:eastAsia="ja-JP"/>
        </w:rPr>
        <w:t xml:space="preserve"> </w:t>
      </w:r>
      <w:r w:rsidRPr="00740823">
        <w:rPr>
          <w:b/>
          <w:szCs w:val="20"/>
          <w:lang w:val="en-GB" w:eastAsia="ja-JP"/>
        </w:rPr>
        <w:t>LAL</w:t>
      </w:r>
      <w:r w:rsidRPr="00740823">
        <w:rPr>
          <w:b/>
          <w:szCs w:val="20"/>
          <w:lang w:val="en-GB" w:eastAsia="ja-JP"/>
        </w:rPr>
        <w:noBreakHyphen/>
        <w:t>CL03</w:t>
      </w:r>
    </w:p>
    <w:tbl>
      <w:tblPr>
        <w:tblW w:w="0" w:type="auto"/>
        <w:tblInd w:w="288" w:type="dxa"/>
        <w:tblBorders>
          <w:top w:val="nil"/>
          <w:left w:val="nil"/>
          <w:bottom w:val="nil"/>
          <w:right w:val="nil"/>
        </w:tblBorders>
        <w:tblLayout w:type="fixed"/>
        <w:tblLook w:val="0000" w:firstRow="0" w:lastRow="0" w:firstColumn="0" w:lastColumn="0" w:noHBand="0" w:noVBand="0"/>
      </w:tblPr>
      <w:tblGrid>
        <w:gridCol w:w="4410"/>
        <w:gridCol w:w="2160"/>
      </w:tblGrid>
      <w:tr w:rsidR="00740823" w:rsidRPr="00740823" w:rsidTr="00787A15">
        <w:trPr>
          <w:trHeight w:val="516"/>
          <w:tblHeader/>
        </w:trPr>
        <w:tc>
          <w:tcPr>
            <w:tcW w:w="44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0823" w:rsidRPr="00740823" w:rsidRDefault="00740823" w:rsidP="00787A15">
            <w:pPr>
              <w:overflowPunct w:val="0"/>
              <w:autoSpaceDE w:val="0"/>
              <w:autoSpaceDN w:val="0"/>
              <w:adjustRightInd w:val="0"/>
              <w:spacing w:before="20"/>
              <w:textAlignment w:val="baseline"/>
              <w:rPr>
                <w:b/>
                <w:szCs w:val="24"/>
                <w:lang w:val="en-GB" w:eastAsia="ja-JP"/>
              </w:rPr>
            </w:pPr>
            <w:r w:rsidRPr="00740823">
              <w:rPr>
                <w:b/>
                <w:szCs w:val="24"/>
                <w:lang w:val="en-GB" w:eastAsia="ja-JP"/>
              </w:rPr>
              <w:t>Adverse Reactions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0823" w:rsidRPr="00740823" w:rsidRDefault="00740823" w:rsidP="00787A15">
            <w:pPr>
              <w:overflowPunct w:val="0"/>
              <w:autoSpaceDE w:val="0"/>
              <w:autoSpaceDN w:val="0"/>
              <w:adjustRightInd w:val="0"/>
              <w:spacing w:before="20"/>
              <w:jc w:val="center"/>
              <w:textAlignment w:val="baseline"/>
              <w:rPr>
                <w:b/>
                <w:szCs w:val="24"/>
                <w:lang w:val="en-GB" w:eastAsia="ja-JP"/>
              </w:rPr>
            </w:pPr>
            <w:proofErr w:type="spellStart"/>
            <w:r>
              <w:rPr>
                <w:b/>
                <w:bCs/>
                <w:szCs w:val="24"/>
                <w:lang w:val="en-GB" w:eastAsia="ja-JP"/>
              </w:rPr>
              <w:t>Sebelipase</w:t>
            </w:r>
            <w:proofErr w:type="spellEnd"/>
            <w:r>
              <w:rPr>
                <w:b/>
                <w:bCs/>
                <w:szCs w:val="24"/>
                <w:lang w:val="en-GB" w:eastAsia="ja-JP"/>
              </w:rPr>
              <w:t xml:space="preserve"> Alfa</w:t>
            </w:r>
            <w:r w:rsidRPr="00740823">
              <w:rPr>
                <w:b/>
                <w:bCs/>
                <w:szCs w:val="24"/>
                <w:lang w:val="en-GB" w:eastAsia="ja-JP"/>
              </w:rPr>
              <w:br/>
            </w:r>
            <w:r>
              <w:rPr>
                <w:b/>
                <w:bCs/>
                <w:szCs w:val="24"/>
                <w:lang w:val="en-GB" w:eastAsia="ja-JP"/>
              </w:rPr>
              <w:t>n</w:t>
            </w:r>
            <w:r w:rsidRPr="00740823">
              <w:rPr>
                <w:b/>
                <w:bCs/>
                <w:szCs w:val="24"/>
                <w:lang w:val="en-GB" w:eastAsia="ja-JP"/>
              </w:rPr>
              <w:t>=9</w:t>
            </w:r>
          </w:p>
        </w:tc>
      </w:tr>
      <w:tr w:rsidR="00740823" w:rsidRPr="00740823" w:rsidTr="00740823">
        <w:trPr>
          <w:trHeight w:val="97"/>
        </w:trPr>
        <w:tc>
          <w:tcPr>
            <w:tcW w:w="44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0823" w:rsidRPr="00740823" w:rsidRDefault="00740823" w:rsidP="00740823">
            <w:pPr>
              <w:overflowPunct w:val="0"/>
              <w:autoSpaceDE w:val="0"/>
              <w:autoSpaceDN w:val="0"/>
              <w:adjustRightInd w:val="0"/>
              <w:spacing w:before="20" w:after="20"/>
              <w:textAlignment w:val="baseline"/>
              <w:rPr>
                <w:b/>
                <w:szCs w:val="24"/>
                <w:lang w:val="en-GB" w:eastAsia="ja-JP"/>
              </w:rPr>
            </w:pPr>
            <w:r w:rsidRPr="00740823">
              <w:rPr>
                <w:b/>
                <w:bCs/>
                <w:szCs w:val="24"/>
                <w:lang w:val="en-GB" w:eastAsia="ja-JP"/>
              </w:rPr>
              <w:t xml:space="preserve">Preferred Term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0823" w:rsidRPr="00740823" w:rsidRDefault="00740823" w:rsidP="00740823">
            <w:pPr>
              <w:overflowPunct w:val="0"/>
              <w:autoSpaceDE w:val="0"/>
              <w:autoSpaceDN w:val="0"/>
              <w:adjustRightInd w:val="0"/>
              <w:spacing w:before="20" w:after="20"/>
              <w:jc w:val="center"/>
              <w:textAlignment w:val="baseline"/>
              <w:rPr>
                <w:b/>
                <w:szCs w:val="24"/>
                <w:lang w:val="en-GB" w:eastAsia="ja-JP"/>
              </w:rPr>
            </w:pPr>
            <w:proofErr w:type="gramStart"/>
            <w:r w:rsidRPr="00740823">
              <w:rPr>
                <w:b/>
                <w:bCs/>
                <w:szCs w:val="24"/>
                <w:lang w:val="en-GB" w:eastAsia="ja-JP"/>
              </w:rPr>
              <w:t>n</w:t>
            </w:r>
            <w:proofErr w:type="gramEnd"/>
            <w:r w:rsidRPr="00740823">
              <w:rPr>
                <w:b/>
                <w:bCs/>
                <w:szCs w:val="24"/>
                <w:lang w:val="en-GB" w:eastAsia="ja-JP"/>
              </w:rPr>
              <w:t xml:space="preserve"> (%)</w:t>
            </w:r>
          </w:p>
        </w:tc>
      </w:tr>
      <w:tr w:rsidR="00740823" w:rsidRPr="00740823" w:rsidTr="00740823">
        <w:trPr>
          <w:trHeight w:val="97"/>
        </w:trPr>
        <w:tc>
          <w:tcPr>
            <w:tcW w:w="441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Diarrh</w:t>
            </w:r>
            <w:r>
              <w:rPr>
                <w:szCs w:val="24"/>
                <w:lang w:val="en-GB" w:eastAsia="ja-JP"/>
              </w:rPr>
              <w:t>o</w:t>
            </w:r>
            <w:r w:rsidRPr="00740823">
              <w:rPr>
                <w:szCs w:val="24"/>
                <w:lang w:val="en-GB" w:eastAsia="ja-JP"/>
              </w:rPr>
              <w:t>ea</w:t>
            </w:r>
          </w:p>
        </w:tc>
        <w:tc>
          <w:tcPr>
            <w:tcW w:w="216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6 (67)</w:t>
            </w:r>
          </w:p>
        </w:tc>
      </w:tr>
      <w:tr w:rsidR="00740823" w:rsidRPr="00740823" w:rsidTr="00740823">
        <w:trPr>
          <w:trHeight w:val="97"/>
        </w:trPr>
        <w:tc>
          <w:tcPr>
            <w:tcW w:w="441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Vomiting</w:t>
            </w:r>
          </w:p>
        </w:tc>
        <w:tc>
          <w:tcPr>
            <w:tcW w:w="216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6 (67)</w:t>
            </w:r>
          </w:p>
        </w:tc>
      </w:tr>
      <w:tr w:rsidR="00740823" w:rsidRPr="00740823" w:rsidTr="00740823">
        <w:trPr>
          <w:trHeight w:val="97"/>
        </w:trPr>
        <w:tc>
          <w:tcPr>
            <w:tcW w:w="441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Pyrexia/body temperature increased</w:t>
            </w:r>
          </w:p>
        </w:tc>
        <w:tc>
          <w:tcPr>
            <w:tcW w:w="216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5(56)</w:t>
            </w:r>
          </w:p>
        </w:tc>
      </w:tr>
      <w:tr w:rsidR="00740823" w:rsidRPr="00740823" w:rsidTr="00740823">
        <w:trPr>
          <w:trHeight w:val="97"/>
        </w:trPr>
        <w:tc>
          <w:tcPr>
            <w:tcW w:w="4410" w:type="dxa"/>
            <w:tcBorders>
              <w:top w:val="single" w:sz="4" w:space="0" w:color="000000"/>
              <w:left w:val="single" w:sz="4" w:space="0" w:color="000000"/>
              <w:bottom w:val="single" w:sz="4" w:space="0" w:color="000000"/>
              <w:right w:val="single" w:sz="4" w:space="0" w:color="000000"/>
            </w:tcBorders>
            <w:noWrap/>
            <w:vAlign w:val="center"/>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Rhinitis</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5 (56)</w:t>
            </w:r>
          </w:p>
        </w:tc>
      </w:tr>
      <w:tr w:rsidR="00740823" w:rsidRPr="00740823" w:rsidTr="00740823">
        <w:trPr>
          <w:trHeight w:val="96"/>
        </w:trPr>
        <w:tc>
          <w:tcPr>
            <w:tcW w:w="441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An</w:t>
            </w:r>
            <w:r>
              <w:rPr>
                <w:szCs w:val="24"/>
                <w:lang w:val="en-GB" w:eastAsia="ja-JP"/>
              </w:rPr>
              <w:t>a</w:t>
            </w:r>
            <w:r w:rsidRPr="00740823">
              <w:rPr>
                <w:szCs w:val="24"/>
                <w:lang w:val="en-GB" w:eastAsia="ja-JP"/>
              </w:rPr>
              <w:t>emia</w:t>
            </w:r>
          </w:p>
        </w:tc>
        <w:tc>
          <w:tcPr>
            <w:tcW w:w="216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4 (44)</w:t>
            </w:r>
          </w:p>
        </w:tc>
      </w:tr>
      <w:tr w:rsidR="00740823" w:rsidRPr="00740823" w:rsidTr="00740823">
        <w:trPr>
          <w:trHeight w:val="96"/>
        </w:trPr>
        <w:tc>
          <w:tcPr>
            <w:tcW w:w="441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Catheter site/device related infection</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3(33)</w:t>
            </w:r>
          </w:p>
        </w:tc>
      </w:tr>
      <w:tr w:rsidR="00740823" w:rsidRPr="00740823" w:rsidTr="00740823">
        <w:trPr>
          <w:trHeight w:val="97"/>
        </w:trPr>
        <w:tc>
          <w:tcPr>
            <w:tcW w:w="441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Cough</w:t>
            </w:r>
          </w:p>
        </w:tc>
        <w:tc>
          <w:tcPr>
            <w:tcW w:w="216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3 (33)</w:t>
            </w:r>
          </w:p>
        </w:tc>
      </w:tr>
      <w:tr w:rsidR="00740823" w:rsidRPr="00740823" w:rsidTr="00740823">
        <w:trPr>
          <w:trHeight w:val="97"/>
        </w:trPr>
        <w:tc>
          <w:tcPr>
            <w:tcW w:w="4410" w:type="dxa"/>
            <w:tcBorders>
              <w:top w:val="single" w:sz="4" w:space="0" w:color="000000"/>
              <w:left w:val="single" w:sz="4" w:space="0" w:color="000000"/>
              <w:bottom w:val="single" w:sz="4" w:space="0" w:color="000000"/>
              <w:right w:val="single" w:sz="4" w:space="0" w:color="000000"/>
            </w:tcBorders>
            <w:noWrap/>
            <w:vAlign w:val="center"/>
          </w:tcPr>
          <w:p w:rsidR="00740823" w:rsidRPr="00740823" w:rsidRDefault="00740823" w:rsidP="00740823">
            <w:pPr>
              <w:overflowPunct w:val="0"/>
              <w:autoSpaceDE w:val="0"/>
              <w:autoSpaceDN w:val="0"/>
              <w:adjustRightInd w:val="0"/>
              <w:spacing w:before="20" w:after="20"/>
              <w:textAlignment w:val="baseline"/>
              <w:rPr>
                <w:szCs w:val="24"/>
                <w:lang w:val="en-GB" w:eastAsia="ja-JP"/>
              </w:rPr>
            </w:pPr>
            <w:proofErr w:type="spellStart"/>
            <w:r w:rsidRPr="00740823">
              <w:rPr>
                <w:szCs w:val="24"/>
                <w:lang w:val="en-GB" w:eastAsia="ja-JP"/>
              </w:rPr>
              <w:t>Nasopharyngitis</w:t>
            </w:r>
            <w:proofErr w:type="spellEnd"/>
          </w:p>
        </w:tc>
        <w:tc>
          <w:tcPr>
            <w:tcW w:w="2160" w:type="dxa"/>
            <w:tcBorders>
              <w:top w:val="single" w:sz="4" w:space="0" w:color="000000"/>
              <w:left w:val="single" w:sz="4" w:space="0" w:color="000000"/>
              <w:bottom w:val="single" w:sz="4" w:space="0" w:color="000000"/>
              <w:right w:val="single" w:sz="4" w:space="0" w:color="000000"/>
            </w:tcBorders>
            <w:noWrap/>
            <w:vAlign w:val="center"/>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3 (33)</w:t>
            </w:r>
          </w:p>
        </w:tc>
      </w:tr>
      <w:tr w:rsidR="00740823" w:rsidRPr="00740823" w:rsidTr="00740823">
        <w:trPr>
          <w:trHeight w:val="98"/>
        </w:trPr>
        <w:tc>
          <w:tcPr>
            <w:tcW w:w="441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textAlignment w:val="baseline"/>
              <w:rPr>
                <w:szCs w:val="24"/>
                <w:lang w:val="en-GB" w:eastAsia="ja-JP"/>
              </w:rPr>
            </w:pPr>
            <w:proofErr w:type="spellStart"/>
            <w:r w:rsidRPr="00740823">
              <w:rPr>
                <w:szCs w:val="24"/>
                <w:lang w:val="en-GB" w:eastAsia="ja-JP"/>
              </w:rPr>
              <w:t>Urticaria</w:t>
            </w:r>
            <w:proofErr w:type="spellEnd"/>
          </w:p>
        </w:tc>
        <w:tc>
          <w:tcPr>
            <w:tcW w:w="2160" w:type="dxa"/>
            <w:tcBorders>
              <w:top w:val="single" w:sz="4" w:space="0" w:color="000000"/>
              <w:left w:val="single" w:sz="4" w:space="0" w:color="000000"/>
              <w:bottom w:val="single" w:sz="4" w:space="0" w:color="000000"/>
              <w:right w:val="single" w:sz="4" w:space="0" w:color="000000"/>
            </w:tcBorders>
            <w:noWrap/>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3 (33)</w:t>
            </w:r>
          </w:p>
        </w:tc>
      </w:tr>
    </w:tbl>
    <w:p w:rsidR="00D24816" w:rsidRDefault="00D24816" w:rsidP="000E4BEE">
      <w:pPr>
        <w:overflowPunct w:val="0"/>
        <w:autoSpaceDE w:val="0"/>
        <w:autoSpaceDN w:val="0"/>
        <w:adjustRightInd w:val="0"/>
        <w:textAlignment w:val="baseline"/>
        <w:rPr>
          <w:color w:val="0000FF"/>
          <w:szCs w:val="24"/>
          <w:lang w:val="en-GB" w:eastAsia="ja-JP"/>
        </w:rPr>
      </w:pPr>
    </w:p>
    <w:p w:rsidR="00740823" w:rsidRDefault="00740823" w:rsidP="000E4BEE">
      <w:pPr>
        <w:overflowPunct w:val="0"/>
        <w:autoSpaceDE w:val="0"/>
        <w:autoSpaceDN w:val="0"/>
        <w:adjustRightInd w:val="0"/>
        <w:textAlignment w:val="baseline"/>
        <w:rPr>
          <w:szCs w:val="24"/>
          <w:lang w:val="en-GB" w:eastAsia="ja-JP"/>
        </w:rPr>
      </w:pPr>
      <w:r w:rsidRPr="00740823">
        <w:rPr>
          <w:color w:val="0000FF"/>
          <w:szCs w:val="24"/>
          <w:lang w:val="en-GB" w:eastAsia="ja-JP"/>
        </w:rPr>
        <w:fldChar w:fldCharType="begin"/>
      </w:r>
      <w:r w:rsidRPr="00740823">
        <w:rPr>
          <w:szCs w:val="24"/>
          <w:lang w:val="en-GB" w:eastAsia="ja-JP"/>
        </w:rPr>
        <w:instrText xml:space="preserve"> REF _Ref421021552 \h </w:instrText>
      </w:r>
      <w:r w:rsidR="000E4BEE" w:rsidRPr="000E4BEE">
        <w:rPr>
          <w:color w:val="0000FF"/>
          <w:szCs w:val="24"/>
          <w:lang w:val="en-GB" w:eastAsia="ja-JP"/>
        </w:rPr>
        <w:instrText xml:space="preserve"> \* MERGEFORMAT </w:instrText>
      </w:r>
      <w:r w:rsidRPr="00740823">
        <w:rPr>
          <w:color w:val="0000FF"/>
          <w:szCs w:val="24"/>
          <w:lang w:val="en-GB" w:eastAsia="ja-JP"/>
        </w:rPr>
      </w:r>
      <w:r w:rsidRPr="00740823">
        <w:rPr>
          <w:color w:val="0000FF"/>
          <w:szCs w:val="24"/>
          <w:lang w:val="en-GB" w:eastAsia="ja-JP"/>
        </w:rPr>
        <w:fldChar w:fldCharType="separate"/>
      </w:r>
      <w:r w:rsidR="0035098F" w:rsidRPr="0035098F">
        <w:rPr>
          <w:szCs w:val="20"/>
          <w:lang w:val="en-GB" w:eastAsia="ja-JP"/>
        </w:rPr>
        <w:t xml:space="preserve">Table </w:t>
      </w:r>
      <w:r w:rsidR="0035098F" w:rsidRPr="0035098F">
        <w:rPr>
          <w:noProof/>
          <w:szCs w:val="20"/>
          <w:lang w:val="en-GB" w:eastAsia="ja-JP"/>
        </w:rPr>
        <w:t>5</w:t>
      </w:r>
      <w:r w:rsidRPr="00740823">
        <w:rPr>
          <w:color w:val="0000FF"/>
          <w:szCs w:val="24"/>
          <w:lang w:val="en-GB" w:eastAsia="ja-JP"/>
        </w:rPr>
        <w:fldChar w:fldCharType="end"/>
      </w:r>
      <w:r w:rsidRPr="00740823">
        <w:rPr>
          <w:szCs w:val="24"/>
          <w:lang w:val="en-GB" w:eastAsia="ja-JP"/>
        </w:rPr>
        <w:t xml:space="preserve"> </w:t>
      </w:r>
      <w:bookmarkStart w:id="19" w:name="_Ref399161632"/>
      <w:r w:rsidR="000E4BEE">
        <w:rPr>
          <w:szCs w:val="24"/>
          <w:lang w:val="en-GB" w:eastAsia="ja-JP"/>
        </w:rPr>
        <w:t xml:space="preserve">below </w:t>
      </w:r>
      <w:r w:rsidRPr="00740823">
        <w:rPr>
          <w:szCs w:val="24"/>
          <w:lang w:val="en-GB" w:eastAsia="ja-JP"/>
        </w:rPr>
        <w:t xml:space="preserve">summarizes the adverse reactions that occurred in </w:t>
      </w:r>
      <w:r w:rsidR="00221348">
        <w:rPr>
          <w:b/>
          <w:szCs w:val="20"/>
          <w:lang w:val="en-GB" w:eastAsia="ja-JP"/>
        </w:rPr>
        <w:t>≥</w:t>
      </w:r>
      <w:r w:rsidR="000E0B3B">
        <w:rPr>
          <w:szCs w:val="24"/>
          <w:lang w:val="en-GB" w:eastAsia="ja-JP"/>
        </w:rPr>
        <w:t xml:space="preserve"> 8% of</w:t>
      </w:r>
      <w:r w:rsidRPr="00740823">
        <w:rPr>
          <w:szCs w:val="24"/>
          <w:lang w:val="en-GB" w:eastAsia="ja-JP"/>
        </w:rPr>
        <w:t xml:space="preserve"> children or adults receiving </w:t>
      </w:r>
      <w:proofErr w:type="spellStart"/>
      <w:r w:rsidR="000E4BEE">
        <w:rPr>
          <w:szCs w:val="24"/>
          <w:lang w:val="en-GB" w:eastAsia="ja-JP"/>
        </w:rPr>
        <w:t>sebelipase</w:t>
      </w:r>
      <w:proofErr w:type="spellEnd"/>
      <w:r w:rsidR="000E4BEE">
        <w:rPr>
          <w:szCs w:val="24"/>
          <w:lang w:val="en-GB" w:eastAsia="ja-JP"/>
        </w:rPr>
        <w:t xml:space="preserve"> </w:t>
      </w:r>
      <w:r w:rsidR="004C6656">
        <w:rPr>
          <w:szCs w:val="24"/>
          <w:lang w:val="en-GB" w:eastAsia="ja-JP"/>
        </w:rPr>
        <w:t>alfa</w:t>
      </w:r>
      <w:r w:rsidR="004C6656" w:rsidRPr="00B57A15">
        <w:rPr>
          <w:i/>
          <w:szCs w:val="24"/>
          <w:lang w:val="en-GB" w:eastAsia="ja-JP"/>
        </w:rPr>
        <w:t xml:space="preserve"> </w:t>
      </w:r>
      <w:proofErr w:type="spellStart"/>
      <w:r w:rsidR="004C6656" w:rsidRPr="00B57A15">
        <w:rPr>
          <w:i/>
          <w:szCs w:val="24"/>
          <w:lang w:val="en-GB" w:eastAsia="ja-JP"/>
        </w:rPr>
        <w:t>rce</w:t>
      </w:r>
      <w:proofErr w:type="spellEnd"/>
      <w:r w:rsidRPr="00740823">
        <w:rPr>
          <w:szCs w:val="24"/>
          <w:lang w:val="en-GB" w:eastAsia="ja-JP"/>
        </w:rPr>
        <w:t xml:space="preserve"> at a </w:t>
      </w:r>
      <w:r w:rsidR="000E4BEE">
        <w:rPr>
          <w:szCs w:val="24"/>
          <w:lang w:val="en-GB" w:eastAsia="ja-JP"/>
        </w:rPr>
        <w:t xml:space="preserve">fortnightly dose of 1 mg/kg </w:t>
      </w:r>
      <w:r w:rsidRPr="00740823">
        <w:rPr>
          <w:szCs w:val="24"/>
          <w:lang w:val="en-GB" w:eastAsia="ja-JP"/>
        </w:rPr>
        <w:t>and at a higher incidence than in patients receiving placebo during the 20-week double-blind period of LAL-CL02.</w:t>
      </w:r>
    </w:p>
    <w:p w:rsidR="000E4BEE" w:rsidRDefault="000E4BEE" w:rsidP="000E4BEE">
      <w:pPr>
        <w:overflowPunct w:val="0"/>
        <w:autoSpaceDE w:val="0"/>
        <w:autoSpaceDN w:val="0"/>
        <w:adjustRightInd w:val="0"/>
        <w:textAlignment w:val="baseline"/>
        <w:rPr>
          <w:szCs w:val="24"/>
          <w:lang w:val="en-GB" w:eastAsia="ja-JP"/>
        </w:rPr>
      </w:pPr>
    </w:p>
    <w:p w:rsidR="000E4BEE" w:rsidRDefault="000E4BEE" w:rsidP="000E4BEE">
      <w:pPr>
        <w:overflowPunct w:val="0"/>
        <w:autoSpaceDE w:val="0"/>
        <w:autoSpaceDN w:val="0"/>
        <w:adjustRightInd w:val="0"/>
        <w:textAlignment w:val="baseline"/>
        <w:rPr>
          <w:szCs w:val="24"/>
          <w:lang w:val="en-GB" w:eastAsia="ja-JP"/>
        </w:rPr>
      </w:pPr>
      <w:bookmarkStart w:id="20" w:name="_Ref421021552"/>
      <w:r w:rsidRPr="00740823">
        <w:rPr>
          <w:b/>
          <w:szCs w:val="20"/>
          <w:lang w:val="en-GB" w:eastAsia="ja-JP"/>
        </w:rPr>
        <w:t xml:space="preserve">Table </w:t>
      </w:r>
      <w:r w:rsidRPr="00740823">
        <w:rPr>
          <w:b/>
          <w:szCs w:val="20"/>
          <w:lang w:val="en-GB" w:eastAsia="ja-JP"/>
        </w:rPr>
        <w:fldChar w:fldCharType="begin"/>
      </w:r>
      <w:r w:rsidRPr="00740823">
        <w:rPr>
          <w:b/>
          <w:szCs w:val="20"/>
          <w:lang w:val="en-GB" w:eastAsia="ja-JP"/>
        </w:rPr>
        <w:instrText xml:space="preserve"> SEQ Table \* ARABIC </w:instrText>
      </w:r>
      <w:r w:rsidRPr="00740823">
        <w:rPr>
          <w:b/>
          <w:szCs w:val="20"/>
          <w:lang w:val="en-GB" w:eastAsia="ja-JP"/>
        </w:rPr>
        <w:fldChar w:fldCharType="separate"/>
      </w:r>
      <w:r w:rsidR="0035098F">
        <w:rPr>
          <w:b/>
          <w:noProof/>
          <w:szCs w:val="20"/>
          <w:lang w:val="en-GB" w:eastAsia="ja-JP"/>
        </w:rPr>
        <w:t>5</w:t>
      </w:r>
      <w:r w:rsidRPr="00740823">
        <w:rPr>
          <w:b/>
          <w:szCs w:val="20"/>
          <w:lang w:val="en-GB" w:eastAsia="ja-JP"/>
        </w:rPr>
        <w:fldChar w:fldCharType="end"/>
      </w:r>
      <w:bookmarkEnd w:id="20"/>
      <w:r>
        <w:rPr>
          <w:b/>
          <w:szCs w:val="20"/>
          <w:lang w:val="en-GB" w:eastAsia="ja-JP"/>
        </w:rPr>
        <w:t xml:space="preserve">: </w:t>
      </w:r>
      <w:r w:rsidRPr="00740823">
        <w:rPr>
          <w:rFonts w:eastAsia="Calibri"/>
          <w:b/>
          <w:szCs w:val="20"/>
          <w:lang w:val="en-GB" w:eastAsia="ja-JP"/>
        </w:rPr>
        <w:t xml:space="preserve">Adverse Reactions Reported in </w:t>
      </w:r>
      <w:r w:rsidR="009F08A1">
        <w:rPr>
          <w:b/>
          <w:szCs w:val="20"/>
          <w:lang w:val="en-GB" w:eastAsia="ja-JP"/>
        </w:rPr>
        <w:t>≥</w:t>
      </w:r>
      <w:r w:rsidR="000E0B3B">
        <w:rPr>
          <w:rFonts w:eastAsia="Calibri"/>
          <w:b/>
          <w:szCs w:val="20"/>
          <w:lang w:val="en-GB" w:eastAsia="ja-JP"/>
        </w:rPr>
        <w:t xml:space="preserve"> 8%</w:t>
      </w:r>
      <w:r w:rsidRPr="00740823">
        <w:rPr>
          <w:rFonts w:eastAsia="Calibri"/>
          <w:b/>
          <w:szCs w:val="20"/>
          <w:lang w:val="en-GB" w:eastAsia="ja-JP"/>
        </w:rPr>
        <w:t xml:space="preserve"> Children or Adults Receiving </w:t>
      </w:r>
      <w:proofErr w:type="spellStart"/>
      <w:r>
        <w:rPr>
          <w:b/>
          <w:szCs w:val="20"/>
          <w:lang w:val="en-GB" w:eastAsia="ja-JP"/>
        </w:rPr>
        <w:t>Sebelipase</w:t>
      </w:r>
      <w:proofErr w:type="spellEnd"/>
      <w:r>
        <w:rPr>
          <w:b/>
          <w:szCs w:val="20"/>
          <w:lang w:val="en-GB" w:eastAsia="ja-JP"/>
        </w:rPr>
        <w:t xml:space="preserve"> </w:t>
      </w:r>
      <w:r w:rsidR="004C6656">
        <w:rPr>
          <w:b/>
          <w:szCs w:val="20"/>
          <w:lang w:val="en-GB" w:eastAsia="ja-JP"/>
        </w:rPr>
        <w:t>Alfa</w:t>
      </w:r>
      <w:r w:rsidRPr="00740823">
        <w:rPr>
          <w:rFonts w:eastAsia="Calibri"/>
          <w:b/>
          <w:szCs w:val="20"/>
          <w:lang w:val="en-GB" w:eastAsia="ja-JP"/>
        </w:rPr>
        <w:t xml:space="preserve"> and at Higher Incidence than in Patients Receiving Placebo in LAL</w:t>
      </w:r>
      <w:r w:rsidRPr="00740823">
        <w:rPr>
          <w:rFonts w:eastAsia="Calibri"/>
          <w:b/>
          <w:szCs w:val="20"/>
          <w:lang w:val="en-GB" w:eastAsia="ja-JP"/>
        </w:rPr>
        <w:noBreakHyphen/>
        <w:t>CL02</w:t>
      </w:r>
    </w:p>
    <w:p w:rsidR="000E4BEE" w:rsidRPr="00740823" w:rsidRDefault="000E4BEE" w:rsidP="000E4BEE">
      <w:pPr>
        <w:overflowPunct w:val="0"/>
        <w:autoSpaceDE w:val="0"/>
        <w:autoSpaceDN w:val="0"/>
        <w:adjustRightInd w:val="0"/>
        <w:textAlignment w:val="baseline"/>
        <w:rPr>
          <w:szCs w:val="24"/>
          <w:lang w:val="en-GB" w:eastAsia="ja-JP"/>
        </w:rPr>
      </w:pPr>
    </w:p>
    <w:tbl>
      <w:tblPr>
        <w:tblW w:w="8226" w:type="dxa"/>
        <w:tblInd w:w="283" w:type="dxa"/>
        <w:tblLayout w:type="fixed"/>
        <w:tblLook w:val="04A0" w:firstRow="1" w:lastRow="0" w:firstColumn="1" w:lastColumn="0" w:noHBand="0" w:noVBand="1"/>
      </w:tblPr>
      <w:tblGrid>
        <w:gridCol w:w="3875"/>
        <w:gridCol w:w="2268"/>
        <w:gridCol w:w="2083"/>
      </w:tblGrid>
      <w:tr w:rsidR="00740823" w:rsidRPr="00740823" w:rsidTr="00740823">
        <w:trPr>
          <w:trHeight w:val="126"/>
        </w:trPr>
        <w:tc>
          <w:tcPr>
            <w:tcW w:w="3875" w:type="dxa"/>
            <w:tcBorders>
              <w:top w:val="single" w:sz="4" w:space="0" w:color="000000"/>
              <w:left w:val="single" w:sz="4" w:space="0" w:color="000000"/>
              <w:bottom w:val="single" w:sz="6" w:space="0" w:color="000000"/>
              <w:right w:val="single" w:sz="6" w:space="0" w:color="000000"/>
            </w:tcBorders>
            <w:shd w:val="clear" w:color="auto" w:fill="FFFFFF"/>
            <w:vAlign w:val="center"/>
            <w:hideMark/>
          </w:tcPr>
          <w:bookmarkEnd w:id="19"/>
          <w:p w:rsidR="00740823" w:rsidRPr="00740823" w:rsidRDefault="00740823" w:rsidP="00740823">
            <w:pPr>
              <w:overflowPunct w:val="0"/>
              <w:autoSpaceDE w:val="0"/>
              <w:autoSpaceDN w:val="0"/>
              <w:adjustRightInd w:val="0"/>
              <w:spacing w:before="20" w:after="20"/>
              <w:jc w:val="center"/>
              <w:textAlignment w:val="baseline"/>
              <w:rPr>
                <w:b/>
                <w:szCs w:val="24"/>
                <w:lang w:val="en-GB" w:eastAsia="ja-JP"/>
              </w:rPr>
            </w:pPr>
            <w:r w:rsidRPr="00740823">
              <w:rPr>
                <w:b/>
                <w:szCs w:val="24"/>
                <w:lang w:val="en-GB" w:eastAsia="ja-JP"/>
              </w:rPr>
              <w:t>Adverse Reactions</w:t>
            </w:r>
          </w:p>
        </w:tc>
        <w:tc>
          <w:tcPr>
            <w:tcW w:w="2268" w:type="dxa"/>
            <w:tcBorders>
              <w:top w:val="single" w:sz="4" w:space="0" w:color="000000"/>
              <w:left w:val="single" w:sz="6" w:space="0" w:color="000000"/>
              <w:bottom w:val="single" w:sz="6" w:space="0" w:color="000000"/>
              <w:right w:val="single" w:sz="6" w:space="0" w:color="000000"/>
            </w:tcBorders>
            <w:shd w:val="clear" w:color="auto" w:fill="FFFFFF"/>
            <w:vAlign w:val="center"/>
            <w:hideMark/>
          </w:tcPr>
          <w:p w:rsidR="00740823" w:rsidRPr="00740823" w:rsidRDefault="000E4BEE" w:rsidP="00740823">
            <w:pPr>
              <w:overflowPunct w:val="0"/>
              <w:autoSpaceDE w:val="0"/>
              <w:autoSpaceDN w:val="0"/>
              <w:adjustRightInd w:val="0"/>
              <w:spacing w:before="20" w:after="20"/>
              <w:jc w:val="center"/>
              <w:textAlignment w:val="baseline"/>
              <w:rPr>
                <w:b/>
                <w:szCs w:val="24"/>
                <w:lang w:val="en-GB" w:eastAsia="ja-JP"/>
              </w:rPr>
            </w:pPr>
            <w:proofErr w:type="spellStart"/>
            <w:r>
              <w:rPr>
                <w:b/>
                <w:bCs/>
                <w:szCs w:val="24"/>
                <w:lang w:val="en-GB" w:eastAsia="ja-JP"/>
              </w:rPr>
              <w:t>Sebelipase</w:t>
            </w:r>
            <w:proofErr w:type="spellEnd"/>
            <w:r>
              <w:rPr>
                <w:b/>
                <w:bCs/>
                <w:szCs w:val="24"/>
                <w:lang w:val="en-GB" w:eastAsia="ja-JP"/>
              </w:rPr>
              <w:t xml:space="preserve"> Alfa</w:t>
            </w:r>
            <w:r w:rsidR="00740823" w:rsidRPr="00740823">
              <w:rPr>
                <w:b/>
                <w:bCs/>
                <w:szCs w:val="24"/>
                <w:lang w:val="en-GB" w:eastAsia="ja-JP"/>
              </w:rPr>
              <w:t xml:space="preserve"> </w:t>
            </w:r>
            <w:r w:rsidR="00740823" w:rsidRPr="00740823">
              <w:rPr>
                <w:b/>
                <w:bCs/>
                <w:szCs w:val="24"/>
                <w:lang w:val="en-GB" w:eastAsia="ja-JP"/>
              </w:rPr>
              <w:br/>
            </w:r>
            <w:r>
              <w:rPr>
                <w:b/>
                <w:bCs/>
                <w:szCs w:val="24"/>
                <w:lang w:val="en-GB" w:eastAsia="ja-JP"/>
              </w:rPr>
              <w:t>n</w:t>
            </w:r>
            <w:r w:rsidR="00740823" w:rsidRPr="00740823">
              <w:rPr>
                <w:b/>
                <w:bCs/>
                <w:szCs w:val="24"/>
                <w:lang w:val="en-GB" w:eastAsia="ja-JP"/>
              </w:rPr>
              <w:t xml:space="preserve"> = 36</w:t>
            </w:r>
          </w:p>
        </w:tc>
        <w:tc>
          <w:tcPr>
            <w:tcW w:w="2083" w:type="dxa"/>
            <w:tcBorders>
              <w:top w:val="single" w:sz="4" w:space="0" w:color="000000"/>
              <w:left w:val="single" w:sz="6" w:space="0" w:color="000000"/>
              <w:bottom w:val="single" w:sz="6" w:space="0" w:color="000000"/>
              <w:right w:val="single" w:sz="4" w:space="0" w:color="000000"/>
            </w:tcBorders>
            <w:shd w:val="clear" w:color="auto" w:fill="FFFFFF"/>
            <w:vAlign w:val="center"/>
            <w:hideMark/>
          </w:tcPr>
          <w:p w:rsidR="00740823" w:rsidRPr="00740823" w:rsidRDefault="00740823" w:rsidP="000E4BEE">
            <w:pPr>
              <w:overflowPunct w:val="0"/>
              <w:autoSpaceDE w:val="0"/>
              <w:autoSpaceDN w:val="0"/>
              <w:adjustRightInd w:val="0"/>
              <w:spacing w:before="20" w:after="20"/>
              <w:jc w:val="center"/>
              <w:textAlignment w:val="baseline"/>
              <w:rPr>
                <w:b/>
                <w:szCs w:val="24"/>
                <w:lang w:val="en-GB" w:eastAsia="ja-JP"/>
              </w:rPr>
            </w:pPr>
            <w:r w:rsidRPr="00740823">
              <w:rPr>
                <w:b/>
                <w:bCs/>
                <w:szCs w:val="24"/>
                <w:lang w:val="en-GB" w:eastAsia="ja-JP"/>
              </w:rPr>
              <w:t>Placebo</w:t>
            </w:r>
            <w:r w:rsidRPr="00740823">
              <w:rPr>
                <w:b/>
                <w:bCs/>
                <w:szCs w:val="24"/>
                <w:lang w:val="en-GB" w:eastAsia="ja-JP"/>
              </w:rPr>
              <w:br/>
            </w:r>
            <w:r w:rsidR="000E4BEE">
              <w:rPr>
                <w:b/>
                <w:bCs/>
                <w:szCs w:val="24"/>
                <w:lang w:val="en-GB" w:eastAsia="ja-JP"/>
              </w:rPr>
              <w:t>n</w:t>
            </w:r>
            <w:r w:rsidRPr="00740823">
              <w:rPr>
                <w:b/>
                <w:bCs/>
                <w:szCs w:val="24"/>
                <w:lang w:val="en-GB" w:eastAsia="ja-JP"/>
              </w:rPr>
              <w:t xml:space="preserve"> = 30</w:t>
            </w:r>
          </w:p>
        </w:tc>
      </w:tr>
      <w:tr w:rsidR="00740823" w:rsidRPr="00740823" w:rsidTr="00740823">
        <w:trPr>
          <w:trHeight w:val="97"/>
        </w:trPr>
        <w:tc>
          <w:tcPr>
            <w:tcW w:w="3875" w:type="dxa"/>
            <w:tcBorders>
              <w:top w:val="single" w:sz="6" w:space="0" w:color="000000"/>
              <w:left w:val="single" w:sz="4" w:space="0" w:color="000000"/>
              <w:bottom w:val="single" w:sz="6" w:space="0" w:color="000000"/>
              <w:right w:val="single" w:sz="6" w:space="0" w:color="000000"/>
            </w:tcBorders>
            <w:shd w:val="clear" w:color="auto" w:fill="FFFFFF"/>
            <w:vAlign w:val="center"/>
            <w:hideMark/>
          </w:tcPr>
          <w:p w:rsidR="00740823" w:rsidRPr="00740823" w:rsidRDefault="00740823" w:rsidP="00740823">
            <w:pPr>
              <w:overflowPunct w:val="0"/>
              <w:autoSpaceDE w:val="0"/>
              <w:autoSpaceDN w:val="0"/>
              <w:adjustRightInd w:val="0"/>
              <w:spacing w:before="20" w:after="20"/>
              <w:textAlignment w:val="baseline"/>
              <w:rPr>
                <w:b/>
                <w:szCs w:val="24"/>
                <w:lang w:val="en-GB" w:eastAsia="ja-JP"/>
              </w:rPr>
            </w:pPr>
            <w:r w:rsidRPr="00740823">
              <w:rPr>
                <w:b/>
                <w:bCs/>
                <w:szCs w:val="24"/>
                <w:lang w:val="en-GB" w:eastAsia="ja-JP"/>
              </w:rPr>
              <w:t xml:space="preserve">Preferred Term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40823" w:rsidRPr="00740823" w:rsidRDefault="00740823" w:rsidP="00740823">
            <w:pPr>
              <w:overflowPunct w:val="0"/>
              <w:autoSpaceDE w:val="0"/>
              <w:autoSpaceDN w:val="0"/>
              <w:adjustRightInd w:val="0"/>
              <w:spacing w:before="20" w:after="20"/>
              <w:jc w:val="center"/>
              <w:textAlignment w:val="baseline"/>
              <w:rPr>
                <w:b/>
                <w:szCs w:val="24"/>
                <w:lang w:val="en-GB" w:eastAsia="ja-JP"/>
              </w:rPr>
            </w:pPr>
            <w:proofErr w:type="gramStart"/>
            <w:r w:rsidRPr="00740823">
              <w:rPr>
                <w:b/>
                <w:szCs w:val="24"/>
                <w:lang w:val="en-GB" w:eastAsia="ja-JP"/>
              </w:rPr>
              <w:t>n</w:t>
            </w:r>
            <w:proofErr w:type="gramEnd"/>
            <w:r w:rsidRPr="00740823">
              <w:rPr>
                <w:b/>
                <w:szCs w:val="24"/>
                <w:lang w:val="en-GB" w:eastAsia="ja-JP"/>
              </w:rPr>
              <w:t xml:space="preserve"> (%)</w:t>
            </w:r>
          </w:p>
        </w:tc>
        <w:tc>
          <w:tcPr>
            <w:tcW w:w="2083" w:type="dxa"/>
            <w:tcBorders>
              <w:top w:val="single" w:sz="6" w:space="0" w:color="000000"/>
              <w:left w:val="single" w:sz="6" w:space="0" w:color="000000"/>
              <w:bottom w:val="single" w:sz="6" w:space="0" w:color="000000"/>
              <w:right w:val="single" w:sz="4" w:space="0" w:color="000000"/>
            </w:tcBorders>
            <w:shd w:val="clear" w:color="auto" w:fill="FFFFFF"/>
            <w:vAlign w:val="center"/>
            <w:hideMark/>
          </w:tcPr>
          <w:p w:rsidR="00740823" w:rsidRPr="00740823" w:rsidRDefault="00740823" w:rsidP="00740823">
            <w:pPr>
              <w:overflowPunct w:val="0"/>
              <w:autoSpaceDE w:val="0"/>
              <w:autoSpaceDN w:val="0"/>
              <w:adjustRightInd w:val="0"/>
              <w:spacing w:before="20" w:after="20"/>
              <w:jc w:val="center"/>
              <w:textAlignment w:val="baseline"/>
              <w:rPr>
                <w:b/>
                <w:szCs w:val="24"/>
                <w:lang w:val="en-GB" w:eastAsia="ja-JP"/>
              </w:rPr>
            </w:pPr>
            <w:proofErr w:type="gramStart"/>
            <w:r w:rsidRPr="00740823">
              <w:rPr>
                <w:b/>
                <w:bCs/>
                <w:szCs w:val="24"/>
                <w:lang w:val="en-GB" w:eastAsia="ja-JP"/>
              </w:rPr>
              <w:t>n</w:t>
            </w:r>
            <w:proofErr w:type="gramEnd"/>
            <w:r w:rsidRPr="00740823">
              <w:rPr>
                <w:b/>
                <w:bCs/>
                <w:szCs w:val="24"/>
                <w:lang w:val="en-GB" w:eastAsia="ja-JP"/>
              </w:rPr>
              <w:t xml:space="preserve"> (%)</w:t>
            </w:r>
          </w:p>
        </w:tc>
      </w:tr>
      <w:tr w:rsidR="00740823" w:rsidRPr="00740823" w:rsidTr="00827DF3">
        <w:trPr>
          <w:trHeight w:val="97"/>
        </w:trPr>
        <w:tc>
          <w:tcPr>
            <w:tcW w:w="3875" w:type="dxa"/>
            <w:tcBorders>
              <w:top w:val="single" w:sz="6" w:space="0" w:color="000000"/>
              <w:left w:val="single" w:sz="4" w:space="0" w:color="000000"/>
              <w:bottom w:val="single" w:sz="6" w:space="0" w:color="000000"/>
              <w:right w:val="single" w:sz="6" w:space="0" w:color="000000"/>
            </w:tcBorders>
            <w:vAlign w:val="center"/>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Headache</w:t>
            </w:r>
          </w:p>
        </w:tc>
        <w:tc>
          <w:tcPr>
            <w:tcW w:w="2268" w:type="dxa"/>
            <w:tcBorders>
              <w:top w:val="single" w:sz="6" w:space="0" w:color="000000"/>
              <w:left w:val="single" w:sz="6" w:space="0" w:color="000000"/>
              <w:bottom w:val="single" w:sz="6" w:space="0" w:color="000000"/>
              <w:right w:val="single" w:sz="6" w:space="0" w:color="000000"/>
            </w:tcBorders>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10 (28)</w:t>
            </w:r>
          </w:p>
        </w:tc>
        <w:tc>
          <w:tcPr>
            <w:tcW w:w="2083" w:type="dxa"/>
            <w:tcBorders>
              <w:top w:val="single" w:sz="6" w:space="0" w:color="000000"/>
              <w:left w:val="single" w:sz="6" w:space="0" w:color="000000"/>
              <w:bottom w:val="single" w:sz="6" w:space="0" w:color="000000"/>
              <w:right w:val="single" w:sz="4" w:space="0" w:color="000000"/>
            </w:tcBorders>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6 (20)</w:t>
            </w:r>
          </w:p>
        </w:tc>
      </w:tr>
      <w:tr w:rsidR="00740823" w:rsidRPr="00740823" w:rsidTr="00827DF3">
        <w:trPr>
          <w:trHeight w:val="97"/>
        </w:trPr>
        <w:tc>
          <w:tcPr>
            <w:tcW w:w="3875" w:type="dxa"/>
            <w:tcBorders>
              <w:top w:val="single" w:sz="6" w:space="0" w:color="000000"/>
              <w:left w:val="single" w:sz="4" w:space="0" w:color="000000"/>
              <w:bottom w:val="single" w:sz="6" w:space="0" w:color="000000"/>
              <w:right w:val="single" w:sz="6" w:space="0" w:color="000000"/>
            </w:tcBorders>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Pyrexia/body temperature increased</w:t>
            </w:r>
          </w:p>
        </w:tc>
        <w:tc>
          <w:tcPr>
            <w:tcW w:w="2268" w:type="dxa"/>
            <w:tcBorders>
              <w:top w:val="single" w:sz="6" w:space="0" w:color="000000"/>
              <w:left w:val="single" w:sz="6" w:space="0" w:color="000000"/>
              <w:bottom w:val="single" w:sz="6" w:space="0" w:color="000000"/>
              <w:right w:val="single" w:sz="6" w:space="0" w:color="000000"/>
            </w:tcBorders>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9 (25)</w:t>
            </w:r>
          </w:p>
        </w:tc>
        <w:tc>
          <w:tcPr>
            <w:tcW w:w="2083" w:type="dxa"/>
            <w:tcBorders>
              <w:top w:val="single" w:sz="6" w:space="0" w:color="000000"/>
              <w:left w:val="single" w:sz="6" w:space="0" w:color="000000"/>
              <w:bottom w:val="single" w:sz="6" w:space="0" w:color="000000"/>
              <w:right w:val="single" w:sz="4" w:space="0" w:color="000000"/>
            </w:tcBorders>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7 (23)</w:t>
            </w:r>
          </w:p>
        </w:tc>
      </w:tr>
      <w:tr w:rsidR="00740823" w:rsidRPr="00740823" w:rsidTr="00827DF3">
        <w:trPr>
          <w:trHeight w:val="97"/>
        </w:trPr>
        <w:tc>
          <w:tcPr>
            <w:tcW w:w="3875" w:type="dxa"/>
            <w:tcBorders>
              <w:top w:val="single" w:sz="6" w:space="0" w:color="000000"/>
              <w:left w:val="single" w:sz="4" w:space="0" w:color="000000"/>
              <w:bottom w:val="single" w:sz="6" w:space="0" w:color="000000"/>
              <w:right w:val="single" w:sz="6" w:space="0" w:color="000000"/>
            </w:tcBorders>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Oropharyngeal pain</w:t>
            </w:r>
          </w:p>
        </w:tc>
        <w:tc>
          <w:tcPr>
            <w:tcW w:w="2268" w:type="dxa"/>
            <w:tcBorders>
              <w:top w:val="single" w:sz="6" w:space="0" w:color="000000"/>
              <w:left w:val="single" w:sz="6" w:space="0" w:color="000000"/>
              <w:bottom w:val="single" w:sz="6" w:space="0" w:color="000000"/>
              <w:right w:val="single" w:sz="6" w:space="0" w:color="000000"/>
            </w:tcBorders>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6 (17)</w:t>
            </w:r>
          </w:p>
        </w:tc>
        <w:tc>
          <w:tcPr>
            <w:tcW w:w="2083" w:type="dxa"/>
            <w:tcBorders>
              <w:top w:val="single" w:sz="6" w:space="0" w:color="000000"/>
              <w:left w:val="single" w:sz="6" w:space="0" w:color="000000"/>
              <w:bottom w:val="single" w:sz="6" w:space="0" w:color="000000"/>
              <w:right w:val="single" w:sz="4" w:space="0" w:color="000000"/>
            </w:tcBorders>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1 (3)</w:t>
            </w:r>
          </w:p>
        </w:tc>
      </w:tr>
      <w:tr w:rsidR="00740823" w:rsidRPr="00740823" w:rsidTr="00827DF3">
        <w:trPr>
          <w:trHeight w:val="97"/>
        </w:trPr>
        <w:tc>
          <w:tcPr>
            <w:tcW w:w="3875" w:type="dxa"/>
            <w:tcBorders>
              <w:top w:val="single" w:sz="6" w:space="0" w:color="000000"/>
              <w:left w:val="single" w:sz="4" w:space="0" w:color="000000"/>
              <w:bottom w:val="single" w:sz="6" w:space="0" w:color="000000"/>
              <w:right w:val="single" w:sz="6" w:space="0" w:color="000000"/>
            </w:tcBorders>
          </w:tcPr>
          <w:p w:rsidR="00740823" w:rsidRPr="00740823" w:rsidRDefault="00740823" w:rsidP="00740823">
            <w:pPr>
              <w:overflowPunct w:val="0"/>
              <w:autoSpaceDE w:val="0"/>
              <w:autoSpaceDN w:val="0"/>
              <w:adjustRightInd w:val="0"/>
              <w:spacing w:before="20" w:after="20"/>
              <w:textAlignment w:val="baseline"/>
              <w:rPr>
                <w:szCs w:val="24"/>
                <w:lang w:val="en-GB" w:eastAsia="ja-JP"/>
              </w:rPr>
            </w:pPr>
            <w:proofErr w:type="spellStart"/>
            <w:r w:rsidRPr="00740823">
              <w:rPr>
                <w:szCs w:val="24"/>
                <w:lang w:val="en-GB" w:eastAsia="ja-JP"/>
              </w:rPr>
              <w:t>Nasopharyngitis</w:t>
            </w:r>
            <w:proofErr w:type="spellEnd"/>
          </w:p>
        </w:tc>
        <w:tc>
          <w:tcPr>
            <w:tcW w:w="2268" w:type="dxa"/>
            <w:tcBorders>
              <w:top w:val="single" w:sz="6" w:space="0" w:color="000000"/>
              <w:left w:val="single" w:sz="6" w:space="0" w:color="000000"/>
              <w:bottom w:val="single" w:sz="6" w:space="0" w:color="000000"/>
              <w:right w:val="single" w:sz="6" w:space="0" w:color="000000"/>
            </w:tcBorders>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4 (11)</w:t>
            </w:r>
          </w:p>
        </w:tc>
        <w:tc>
          <w:tcPr>
            <w:tcW w:w="2083" w:type="dxa"/>
            <w:tcBorders>
              <w:top w:val="single" w:sz="6" w:space="0" w:color="000000"/>
              <w:left w:val="single" w:sz="6" w:space="0" w:color="000000"/>
              <w:bottom w:val="single" w:sz="6" w:space="0" w:color="000000"/>
              <w:right w:val="single" w:sz="4" w:space="0" w:color="000000"/>
            </w:tcBorders>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3 (10)</w:t>
            </w:r>
          </w:p>
        </w:tc>
      </w:tr>
      <w:tr w:rsidR="00740823" w:rsidRPr="00740823" w:rsidTr="00827DF3">
        <w:trPr>
          <w:trHeight w:val="97"/>
        </w:trPr>
        <w:tc>
          <w:tcPr>
            <w:tcW w:w="3875" w:type="dxa"/>
            <w:tcBorders>
              <w:top w:val="single" w:sz="6" w:space="0" w:color="000000"/>
              <w:left w:val="single" w:sz="4" w:space="0" w:color="000000"/>
              <w:bottom w:val="single" w:sz="6" w:space="0" w:color="000000"/>
              <w:right w:val="single" w:sz="6" w:space="0" w:color="000000"/>
            </w:tcBorders>
            <w:vAlign w:val="center"/>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Asthenia</w:t>
            </w:r>
          </w:p>
        </w:tc>
        <w:tc>
          <w:tcPr>
            <w:tcW w:w="2268" w:type="dxa"/>
            <w:tcBorders>
              <w:top w:val="single" w:sz="6" w:space="0" w:color="000000"/>
              <w:left w:val="single" w:sz="6" w:space="0" w:color="000000"/>
              <w:bottom w:val="single" w:sz="6" w:space="0" w:color="000000"/>
              <w:right w:val="single" w:sz="6" w:space="0" w:color="000000"/>
            </w:tcBorders>
            <w:vAlign w:val="center"/>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3 (8)</w:t>
            </w:r>
          </w:p>
        </w:tc>
        <w:tc>
          <w:tcPr>
            <w:tcW w:w="2083" w:type="dxa"/>
            <w:tcBorders>
              <w:top w:val="single" w:sz="6" w:space="0" w:color="000000"/>
              <w:left w:val="single" w:sz="6" w:space="0" w:color="000000"/>
              <w:bottom w:val="single" w:sz="6" w:space="0" w:color="000000"/>
              <w:right w:val="single" w:sz="4" w:space="0" w:color="000000"/>
            </w:tcBorders>
            <w:vAlign w:val="center"/>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1 (3)</w:t>
            </w:r>
          </w:p>
        </w:tc>
      </w:tr>
      <w:tr w:rsidR="00740823" w:rsidRPr="00740823" w:rsidTr="00827DF3">
        <w:trPr>
          <w:trHeight w:val="97"/>
        </w:trPr>
        <w:tc>
          <w:tcPr>
            <w:tcW w:w="3875" w:type="dxa"/>
            <w:tcBorders>
              <w:top w:val="single" w:sz="6" w:space="0" w:color="000000"/>
              <w:left w:val="single" w:sz="4" w:space="0" w:color="000000"/>
              <w:bottom w:val="single" w:sz="6" w:space="0" w:color="000000"/>
              <w:right w:val="single" w:sz="6" w:space="0" w:color="000000"/>
            </w:tcBorders>
            <w:vAlign w:val="center"/>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Constipation</w:t>
            </w:r>
          </w:p>
        </w:tc>
        <w:tc>
          <w:tcPr>
            <w:tcW w:w="2268" w:type="dxa"/>
            <w:tcBorders>
              <w:top w:val="single" w:sz="6" w:space="0" w:color="000000"/>
              <w:left w:val="single" w:sz="6" w:space="0" w:color="000000"/>
              <w:bottom w:val="single" w:sz="6" w:space="0" w:color="000000"/>
              <w:right w:val="single" w:sz="6" w:space="0" w:color="000000"/>
            </w:tcBorders>
            <w:vAlign w:val="center"/>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3 (8)</w:t>
            </w:r>
          </w:p>
        </w:tc>
        <w:tc>
          <w:tcPr>
            <w:tcW w:w="2083" w:type="dxa"/>
            <w:tcBorders>
              <w:top w:val="single" w:sz="6" w:space="0" w:color="000000"/>
              <w:left w:val="single" w:sz="6" w:space="0" w:color="000000"/>
              <w:bottom w:val="single" w:sz="6" w:space="0" w:color="000000"/>
              <w:right w:val="single" w:sz="4" w:space="0" w:color="000000"/>
            </w:tcBorders>
            <w:vAlign w:val="center"/>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1 (3)</w:t>
            </w:r>
          </w:p>
        </w:tc>
      </w:tr>
      <w:tr w:rsidR="00740823" w:rsidRPr="00740823" w:rsidTr="00827DF3">
        <w:trPr>
          <w:trHeight w:val="97"/>
        </w:trPr>
        <w:tc>
          <w:tcPr>
            <w:tcW w:w="3875" w:type="dxa"/>
            <w:tcBorders>
              <w:top w:val="single" w:sz="6" w:space="0" w:color="000000"/>
              <w:left w:val="single" w:sz="4" w:space="0" w:color="000000"/>
              <w:bottom w:val="single" w:sz="4" w:space="0" w:color="000000"/>
              <w:right w:val="single" w:sz="6" w:space="0" w:color="000000"/>
            </w:tcBorders>
            <w:vAlign w:val="center"/>
          </w:tcPr>
          <w:p w:rsidR="00740823" w:rsidRPr="00740823" w:rsidRDefault="00740823" w:rsidP="00740823">
            <w:pPr>
              <w:overflowPunct w:val="0"/>
              <w:autoSpaceDE w:val="0"/>
              <w:autoSpaceDN w:val="0"/>
              <w:adjustRightInd w:val="0"/>
              <w:spacing w:before="20" w:after="20"/>
              <w:textAlignment w:val="baseline"/>
              <w:rPr>
                <w:szCs w:val="24"/>
                <w:lang w:val="en-GB" w:eastAsia="ja-JP"/>
              </w:rPr>
            </w:pPr>
            <w:r w:rsidRPr="00740823">
              <w:rPr>
                <w:szCs w:val="24"/>
                <w:lang w:val="en-GB" w:eastAsia="ja-JP"/>
              </w:rPr>
              <w:t>Nausea</w:t>
            </w:r>
          </w:p>
        </w:tc>
        <w:tc>
          <w:tcPr>
            <w:tcW w:w="2268" w:type="dxa"/>
            <w:tcBorders>
              <w:top w:val="single" w:sz="6" w:space="0" w:color="000000"/>
              <w:left w:val="single" w:sz="6" w:space="0" w:color="000000"/>
              <w:bottom w:val="single" w:sz="4" w:space="0" w:color="000000"/>
              <w:right w:val="single" w:sz="6" w:space="0" w:color="000000"/>
            </w:tcBorders>
            <w:vAlign w:val="center"/>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3 (8)</w:t>
            </w:r>
          </w:p>
        </w:tc>
        <w:tc>
          <w:tcPr>
            <w:tcW w:w="2083" w:type="dxa"/>
            <w:tcBorders>
              <w:top w:val="single" w:sz="6" w:space="0" w:color="000000"/>
              <w:left w:val="single" w:sz="6" w:space="0" w:color="000000"/>
              <w:bottom w:val="single" w:sz="4" w:space="0" w:color="000000"/>
              <w:right w:val="single" w:sz="4" w:space="0" w:color="000000"/>
            </w:tcBorders>
            <w:vAlign w:val="center"/>
          </w:tcPr>
          <w:p w:rsidR="00740823" w:rsidRPr="00740823" w:rsidRDefault="00740823" w:rsidP="00740823">
            <w:pPr>
              <w:overflowPunct w:val="0"/>
              <w:autoSpaceDE w:val="0"/>
              <w:autoSpaceDN w:val="0"/>
              <w:adjustRightInd w:val="0"/>
              <w:spacing w:before="20" w:after="20"/>
              <w:jc w:val="center"/>
              <w:textAlignment w:val="baseline"/>
              <w:rPr>
                <w:szCs w:val="24"/>
                <w:lang w:val="en-GB" w:eastAsia="ja-JP"/>
              </w:rPr>
            </w:pPr>
            <w:r w:rsidRPr="00740823">
              <w:rPr>
                <w:szCs w:val="24"/>
                <w:lang w:val="en-GB" w:eastAsia="ja-JP"/>
              </w:rPr>
              <w:t>2 (7)</w:t>
            </w:r>
          </w:p>
        </w:tc>
      </w:tr>
    </w:tbl>
    <w:p w:rsidR="00740823" w:rsidRPr="001C72D6" w:rsidRDefault="00740823" w:rsidP="00740823">
      <w:pPr>
        <w:autoSpaceDE w:val="0"/>
        <w:autoSpaceDN w:val="0"/>
        <w:adjustRightInd w:val="0"/>
        <w:spacing w:line="183" w:lineRule="atLeast"/>
        <w:rPr>
          <w:rFonts w:eastAsia="Calibri"/>
          <w:sz w:val="22"/>
          <w:szCs w:val="24"/>
          <w:vertAlign w:val="superscript"/>
          <w:lang w:val="en-US"/>
        </w:rPr>
      </w:pPr>
    </w:p>
    <w:p w:rsidR="00740823" w:rsidRDefault="00740823" w:rsidP="006B4727">
      <w:pPr>
        <w:overflowPunct w:val="0"/>
        <w:autoSpaceDE w:val="0"/>
        <w:autoSpaceDN w:val="0"/>
        <w:adjustRightInd w:val="0"/>
        <w:textAlignment w:val="baseline"/>
        <w:rPr>
          <w:bCs/>
          <w:szCs w:val="24"/>
          <w:lang w:val="en-GB" w:eastAsia="ja-JP"/>
        </w:rPr>
      </w:pPr>
      <w:r w:rsidRPr="00740823">
        <w:rPr>
          <w:bCs/>
          <w:szCs w:val="24"/>
          <w:lang w:val="en-US" w:eastAsia="ja-JP"/>
        </w:rPr>
        <w:lastRenderedPageBreak/>
        <w:t xml:space="preserve">Other adverse reactions reported in patients who received </w:t>
      </w:r>
      <w:proofErr w:type="spellStart"/>
      <w:r w:rsidR="006B4727">
        <w:rPr>
          <w:szCs w:val="24"/>
          <w:lang w:val="en-GB" w:eastAsia="ja-JP"/>
        </w:rPr>
        <w:t>sebelipase</w:t>
      </w:r>
      <w:proofErr w:type="spellEnd"/>
      <w:r w:rsidR="006B4727">
        <w:rPr>
          <w:szCs w:val="24"/>
          <w:lang w:val="en-GB" w:eastAsia="ja-JP"/>
        </w:rPr>
        <w:t xml:space="preserve"> </w:t>
      </w:r>
      <w:r w:rsidR="004C6656">
        <w:rPr>
          <w:szCs w:val="24"/>
          <w:lang w:val="en-GB" w:eastAsia="ja-JP"/>
        </w:rPr>
        <w:t>alfa</w:t>
      </w:r>
      <w:r w:rsidR="004C6656" w:rsidRPr="00B57A15">
        <w:rPr>
          <w:i/>
          <w:szCs w:val="24"/>
          <w:lang w:val="en-GB" w:eastAsia="ja-JP"/>
        </w:rPr>
        <w:t xml:space="preserve"> </w:t>
      </w:r>
      <w:proofErr w:type="spellStart"/>
      <w:r w:rsidR="004C6656" w:rsidRPr="00B57A15">
        <w:rPr>
          <w:i/>
          <w:szCs w:val="24"/>
          <w:lang w:val="en-GB" w:eastAsia="ja-JP"/>
        </w:rPr>
        <w:t>rce</w:t>
      </w:r>
      <w:proofErr w:type="spellEnd"/>
      <w:r w:rsidRPr="00740823">
        <w:rPr>
          <w:bCs/>
          <w:szCs w:val="24"/>
          <w:lang w:val="en-US" w:eastAsia="ja-JP"/>
        </w:rPr>
        <w:t xml:space="preserve"> include anxiety, dizziness, hypotension, </w:t>
      </w:r>
      <w:proofErr w:type="spellStart"/>
      <w:r w:rsidRPr="00740823">
        <w:rPr>
          <w:bCs/>
          <w:szCs w:val="24"/>
          <w:lang w:val="en-US" w:eastAsia="ja-JP"/>
        </w:rPr>
        <w:t>hypotonia</w:t>
      </w:r>
      <w:proofErr w:type="spellEnd"/>
      <w:r w:rsidRPr="00740823">
        <w:rPr>
          <w:bCs/>
          <w:szCs w:val="24"/>
          <w:lang w:val="en-US" w:eastAsia="ja-JP"/>
        </w:rPr>
        <w:t xml:space="preserve">, nasal congestion, oxygen saturation decreased, </w:t>
      </w:r>
      <w:proofErr w:type="gramStart"/>
      <w:r w:rsidRPr="00740823">
        <w:rPr>
          <w:bCs/>
          <w:szCs w:val="24"/>
          <w:lang w:val="en-US" w:eastAsia="ja-JP"/>
        </w:rPr>
        <w:t>rash</w:t>
      </w:r>
      <w:proofErr w:type="gramEnd"/>
      <w:r w:rsidRPr="00740823">
        <w:rPr>
          <w:bCs/>
          <w:szCs w:val="24"/>
          <w:lang w:val="en-US" w:eastAsia="ja-JP"/>
        </w:rPr>
        <w:t xml:space="preserve"> </w:t>
      </w:r>
      <w:proofErr w:type="spellStart"/>
      <w:r w:rsidRPr="00740823">
        <w:rPr>
          <w:bCs/>
          <w:szCs w:val="24"/>
          <w:lang w:val="en-US" w:eastAsia="ja-JP"/>
        </w:rPr>
        <w:t>papular</w:t>
      </w:r>
      <w:proofErr w:type="spellEnd"/>
      <w:r w:rsidRPr="00740823">
        <w:rPr>
          <w:bCs/>
          <w:szCs w:val="24"/>
          <w:lang w:val="en-US" w:eastAsia="ja-JP"/>
        </w:rPr>
        <w:t>, retching, sneezing, and wheezing</w:t>
      </w:r>
      <w:r w:rsidRPr="00740823">
        <w:rPr>
          <w:bCs/>
          <w:szCs w:val="24"/>
          <w:lang w:val="en-GB" w:eastAsia="ja-JP"/>
        </w:rPr>
        <w:t xml:space="preserve">. </w:t>
      </w:r>
    </w:p>
    <w:p w:rsidR="00012A47" w:rsidRDefault="00012A47" w:rsidP="006B4727">
      <w:pPr>
        <w:overflowPunct w:val="0"/>
        <w:autoSpaceDE w:val="0"/>
        <w:autoSpaceDN w:val="0"/>
        <w:adjustRightInd w:val="0"/>
        <w:textAlignment w:val="baseline"/>
        <w:rPr>
          <w:bCs/>
          <w:szCs w:val="24"/>
          <w:lang w:val="en-GB" w:eastAsia="ja-JP"/>
        </w:rPr>
      </w:pPr>
    </w:p>
    <w:p w:rsidR="005E3C23" w:rsidRPr="005E3C23" w:rsidRDefault="005E3C23" w:rsidP="006B4727">
      <w:pPr>
        <w:overflowPunct w:val="0"/>
        <w:autoSpaceDE w:val="0"/>
        <w:autoSpaceDN w:val="0"/>
        <w:adjustRightInd w:val="0"/>
        <w:textAlignment w:val="baseline"/>
        <w:rPr>
          <w:bCs/>
          <w:szCs w:val="24"/>
          <w:u w:val="single"/>
          <w:lang w:val="en-GB" w:eastAsia="ja-JP"/>
        </w:rPr>
      </w:pPr>
      <w:r w:rsidRPr="005E3C23">
        <w:rPr>
          <w:bCs/>
          <w:szCs w:val="24"/>
          <w:u w:val="single"/>
          <w:lang w:val="en-GB" w:eastAsia="ja-JP"/>
        </w:rPr>
        <w:t>Description of selected adverse reactions</w:t>
      </w:r>
    </w:p>
    <w:p w:rsidR="005B2EBD" w:rsidRDefault="005B2EBD" w:rsidP="005B2EBD">
      <w:pPr>
        <w:overflowPunct w:val="0"/>
        <w:autoSpaceDE w:val="0"/>
        <w:autoSpaceDN w:val="0"/>
        <w:adjustRightInd w:val="0"/>
        <w:textAlignment w:val="baseline"/>
        <w:rPr>
          <w:bCs/>
          <w:i/>
          <w:szCs w:val="24"/>
          <w:lang w:val="en-GB" w:eastAsia="ja-JP"/>
        </w:rPr>
      </w:pPr>
    </w:p>
    <w:p w:rsidR="005B2EBD" w:rsidRPr="005B2EBD" w:rsidRDefault="005B2EBD" w:rsidP="005B2EBD">
      <w:pPr>
        <w:overflowPunct w:val="0"/>
        <w:autoSpaceDE w:val="0"/>
        <w:autoSpaceDN w:val="0"/>
        <w:adjustRightInd w:val="0"/>
        <w:textAlignment w:val="baseline"/>
        <w:rPr>
          <w:bCs/>
          <w:i/>
          <w:szCs w:val="24"/>
          <w:lang w:val="en-GB" w:eastAsia="ja-JP"/>
        </w:rPr>
      </w:pPr>
      <w:r w:rsidRPr="005B2EBD">
        <w:rPr>
          <w:bCs/>
          <w:i/>
          <w:szCs w:val="24"/>
          <w:lang w:val="en-GB" w:eastAsia="ja-JP"/>
        </w:rPr>
        <w:t>Transient hyperlipidaemia</w:t>
      </w:r>
    </w:p>
    <w:p w:rsidR="005B2EBD" w:rsidRDefault="005B2EBD" w:rsidP="005B2EBD">
      <w:pPr>
        <w:overflowPunct w:val="0"/>
        <w:autoSpaceDE w:val="0"/>
        <w:autoSpaceDN w:val="0"/>
        <w:adjustRightInd w:val="0"/>
        <w:textAlignment w:val="baseline"/>
        <w:rPr>
          <w:bCs/>
          <w:szCs w:val="24"/>
          <w:lang w:val="en-GB" w:eastAsia="ja-JP"/>
        </w:rPr>
      </w:pPr>
      <w:r w:rsidRPr="005B2EBD">
        <w:rPr>
          <w:bCs/>
          <w:szCs w:val="24"/>
          <w:lang w:val="en-GB" w:eastAsia="ja-JP"/>
        </w:rPr>
        <w:t xml:space="preserve">Consistent with its known mechanism of action, asymptomatic increases in circulating cholesterol and triglycerides have been observed following initiation of </w:t>
      </w:r>
      <w:proofErr w:type="spellStart"/>
      <w:r>
        <w:rPr>
          <w:bCs/>
          <w:szCs w:val="24"/>
          <w:lang w:val="en-GB" w:eastAsia="ja-JP"/>
        </w:rPr>
        <w:t>sebelipase</w:t>
      </w:r>
      <w:proofErr w:type="spellEnd"/>
      <w:r>
        <w:rPr>
          <w:bCs/>
          <w:szCs w:val="24"/>
          <w:lang w:val="en-GB" w:eastAsia="ja-JP"/>
        </w:rPr>
        <w:t xml:space="preserve"> </w:t>
      </w:r>
      <w:r w:rsidR="004C6656">
        <w:rPr>
          <w:bCs/>
          <w:szCs w:val="24"/>
          <w:lang w:val="en-GB" w:eastAsia="ja-JP"/>
        </w:rPr>
        <w:t>alfa</w:t>
      </w:r>
      <w:r w:rsidR="004C6656" w:rsidRPr="00B57A15">
        <w:rPr>
          <w:bCs/>
          <w:i/>
          <w:szCs w:val="24"/>
          <w:lang w:val="en-GB" w:eastAsia="ja-JP"/>
        </w:rPr>
        <w:t xml:space="preserve"> </w:t>
      </w:r>
      <w:proofErr w:type="spellStart"/>
      <w:r w:rsidR="004C6656" w:rsidRPr="00B57A15">
        <w:rPr>
          <w:bCs/>
          <w:i/>
          <w:szCs w:val="24"/>
          <w:lang w:val="en-GB" w:eastAsia="ja-JP"/>
        </w:rPr>
        <w:t>rce</w:t>
      </w:r>
      <w:proofErr w:type="spellEnd"/>
      <w:r w:rsidRPr="005B2EBD">
        <w:rPr>
          <w:bCs/>
          <w:szCs w:val="24"/>
          <w:lang w:val="en-GB" w:eastAsia="ja-JP"/>
        </w:rPr>
        <w:t xml:space="preserve">. These increases have generally occurred within the first 2 to 4 weeks and improved within a further 8 weeks of </w:t>
      </w:r>
      <w:proofErr w:type="spellStart"/>
      <w:r>
        <w:rPr>
          <w:bCs/>
          <w:szCs w:val="24"/>
          <w:lang w:val="en-GB" w:eastAsia="ja-JP"/>
        </w:rPr>
        <w:t>sebelipase</w:t>
      </w:r>
      <w:proofErr w:type="spellEnd"/>
      <w:r>
        <w:rPr>
          <w:bCs/>
          <w:szCs w:val="24"/>
          <w:lang w:val="en-GB" w:eastAsia="ja-JP"/>
        </w:rPr>
        <w:t xml:space="preserve"> </w:t>
      </w:r>
      <w:r w:rsidR="004C6656">
        <w:rPr>
          <w:bCs/>
          <w:szCs w:val="24"/>
          <w:lang w:val="en-GB" w:eastAsia="ja-JP"/>
        </w:rPr>
        <w:t>alfa</w:t>
      </w:r>
      <w:r w:rsidR="004C6656" w:rsidRPr="00B57A15">
        <w:rPr>
          <w:bCs/>
          <w:i/>
          <w:szCs w:val="24"/>
          <w:lang w:val="en-GB" w:eastAsia="ja-JP"/>
        </w:rPr>
        <w:t xml:space="preserve"> </w:t>
      </w:r>
      <w:proofErr w:type="spellStart"/>
      <w:r w:rsidR="004C6656" w:rsidRPr="00B57A15">
        <w:rPr>
          <w:bCs/>
          <w:i/>
          <w:szCs w:val="24"/>
          <w:lang w:val="en-GB" w:eastAsia="ja-JP"/>
        </w:rPr>
        <w:t>rce</w:t>
      </w:r>
      <w:proofErr w:type="spellEnd"/>
      <w:r w:rsidRPr="005B2EBD">
        <w:rPr>
          <w:bCs/>
          <w:szCs w:val="24"/>
          <w:lang w:val="en-GB" w:eastAsia="ja-JP"/>
        </w:rPr>
        <w:t xml:space="preserve"> treatment.</w:t>
      </w:r>
    </w:p>
    <w:p w:rsidR="005B2EBD" w:rsidRPr="005B2EBD" w:rsidRDefault="005B2EBD" w:rsidP="005B2EBD">
      <w:pPr>
        <w:overflowPunct w:val="0"/>
        <w:autoSpaceDE w:val="0"/>
        <w:autoSpaceDN w:val="0"/>
        <w:adjustRightInd w:val="0"/>
        <w:textAlignment w:val="baseline"/>
        <w:rPr>
          <w:b/>
          <w:bCs/>
          <w:szCs w:val="24"/>
          <w:lang w:val="en-GB" w:eastAsia="ja-JP"/>
        </w:rPr>
      </w:pPr>
    </w:p>
    <w:p w:rsidR="005B2EBD" w:rsidRPr="005B2EBD" w:rsidRDefault="005B2EBD" w:rsidP="005B2EBD">
      <w:pPr>
        <w:overflowPunct w:val="0"/>
        <w:autoSpaceDE w:val="0"/>
        <w:autoSpaceDN w:val="0"/>
        <w:adjustRightInd w:val="0"/>
        <w:textAlignment w:val="baseline"/>
        <w:rPr>
          <w:bCs/>
          <w:i/>
          <w:szCs w:val="24"/>
          <w:lang w:val="en-GB" w:eastAsia="ja-JP"/>
        </w:rPr>
      </w:pPr>
      <w:r w:rsidRPr="005B2EBD">
        <w:rPr>
          <w:bCs/>
          <w:i/>
          <w:szCs w:val="24"/>
          <w:lang w:val="en-GB" w:eastAsia="ja-JP"/>
        </w:rPr>
        <w:t xml:space="preserve">Immunogenicity </w:t>
      </w:r>
    </w:p>
    <w:p w:rsidR="005B2EBD" w:rsidRDefault="005B2EBD" w:rsidP="005B2EBD">
      <w:pPr>
        <w:overflowPunct w:val="0"/>
        <w:autoSpaceDE w:val="0"/>
        <w:autoSpaceDN w:val="0"/>
        <w:adjustRightInd w:val="0"/>
        <w:textAlignment w:val="baseline"/>
        <w:rPr>
          <w:bCs/>
          <w:szCs w:val="24"/>
          <w:lang w:val="en-GB" w:eastAsia="ja-JP"/>
        </w:rPr>
      </w:pPr>
      <w:r w:rsidRPr="005B2EBD">
        <w:rPr>
          <w:bCs/>
          <w:szCs w:val="24"/>
          <w:lang w:val="en-GB" w:eastAsia="ja-JP"/>
        </w:rPr>
        <w:t xml:space="preserve">Patients have developed anti-drug antibodies (ADA) to </w:t>
      </w:r>
      <w:proofErr w:type="spellStart"/>
      <w:r w:rsidRPr="005B2EBD">
        <w:rPr>
          <w:bCs/>
          <w:szCs w:val="24"/>
          <w:lang w:val="en-GB" w:eastAsia="ja-JP"/>
        </w:rPr>
        <w:t>sebelipase</w:t>
      </w:r>
      <w:proofErr w:type="spellEnd"/>
      <w:r w:rsidRPr="005B2EBD">
        <w:rPr>
          <w:bCs/>
          <w:szCs w:val="24"/>
          <w:lang w:val="en-GB" w:eastAsia="ja-JP"/>
        </w:rPr>
        <w:t xml:space="preserve"> </w:t>
      </w:r>
      <w:r w:rsidR="004C6656">
        <w:rPr>
          <w:bCs/>
          <w:szCs w:val="24"/>
          <w:lang w:val="en-GB" w:eastAsia="ja-JP"/>
        </w:rPr>
        <w:t>alfa</w:t>
      </w:r>
      <w:r w:rsidR="004C6656" w:rsidRPr="00B57A15">
        <w:rPr>
          <w:bCs/>
          <w:i/>
          <w:szCs w:val="24"/>
          <w:lang w:val="en-GB" w:eastAsia="ja-JP"/>
        </w:rPr>
        <w:t xml:space="preserve"> </w:t>
      </w:r>
      <w:proofErr w:type="spellStart"/>
      <w:r w:rsidR="004C6656" w:rsidRPr="00B57A15">
        <w:rPr>
          <w:bCs/>
          <w:i/>
          <w:szCs w:val="24"/>
          <w:lang w:val="en-GB" w:eastAsia="ja-JP"/>
        </w:rPr>
        <w:t>rce</w:t>
      </w:r>
      <w:proofErr w:type="spellEnd"/>
      <w:r w:rsidRPr="005B2EBD">
        <w:rPr>
          <w:bCs/>
          <w:szCs w:val="24"/>
          <w:lang w:val="en-GB" w:eastAsia="ja-JP"/>
        </w:rPr>
        <w:t>.</w:t>
      </w:r>
    </w:p>
    <w:p w:rsidR="005B2EBD" w:rsidRPr="005B2EBD" w:rsidRDefault="005B2EBD" w:rsidP="005B2EBD">
      <w:pPr>
        <w:overflowPunct w:val="0"/>
        <w:autoSpaceDE w:val="0"/>
        <w:autoSpaceDN w:val="0"/>
        <w:adjustRightInd w:val="0"/>
        <w:textAlignment w:val="baseline"/>
        <w:rPr>
          <w:bCs/>
          <w:szCs w:val="24"/>
          <w:lang w:val="en-GB" w:eastAsia="ja-JP"/>
        </w:rPr>
      </w:pPr>
    </w:p>
    <w:p w:rsidR="005B2EBD" w:rsidRDefault="005B2EBD" w:rsidP="005B2EBD">
      <w:pPr>
        <w:overflowPunct w:val="0"/>
        <w:autoSpaceDE w:val="0"/>
        <w:autoSpaceDN w:val="0"/>
        <w:adjustRightInd w:val="0"/>
        <w:textAlignment w:val="baseline"/>
        <w:rPr>
          <w:bCs/>
          <w:szCs w:val="24"/>
          <w:lang w:val="en-GB" w:eastAsia="ja-JP"/>
        </w:rPr>
      </w:pPr>
      <w:r w:rsidRPr="005B2EBD">
        <w:rPr>
          <w:bCs/>
          <w:szCs w:val="24"/>
          <w:lang w:val="en-GB" w:eastAsia="ja-JP"/>
        </w:rPr>
        <w:t>In LAL</w:t>
      </w:r>
      <w:r w:rsidRPr="005B2EBD">
        <w:rPr>
          <w:bCs/>
          <w:szCs w:val="24"/>
          <w:lang w:val="en-GB" w:eastAsia="ja-JP"/>
        </w:rPr>
        <w:noBreakHyphen/>
        <w:t xml:space="preserve">CL03, 4 of 7 evaluable infants (57%) developed ADA during treatment with </w:t>
      </w:r>
      <w:proofErr w:type="spellStart"/>
      <w:r>
        <w:rPr>
          <w:bCs/>
          <w:szCs w:val="24"/>
          <w:lang w:val="en-GB" w:eastAsia="ja-JP"/>
        </w:rPr>
        <w:t>sebelipase</w:t>
      </w:r>
      <w:proofErr w:type="spellEnd"/>
      <w:r>
        <w:rPr>
          <w:bCs/>
          <w:szCs w:val="24"/>
          <w:lang w:val="en-GB" w:eastAsia="ja-JP"/>
        </w:rPr>
        <w:t xml:space="preserve"> </w:t>
      </w:r>
      <w:r w:rsidR="004C6656">
        <w:rPr>
          <w:bCs/>
          <w:szCs w:val="24"/>
          <w:lang w:val="en-GB" w:eastAsia="ja-JP"/>
        </w:rPr>
        <w:t>alfa</w:t>
      </w:r>
      <w:r w:rsidR="004C6656" w:rsidRPr="00B57A15">
        <w:rPr>
          <w:bCs/>
          <w:i/>
          <w:szCs w:val="24"/>
          <w:lang w:val="en-GB" w:eastAsia="ja-JP"/>
        </w:rPr>
        <w:t xml:space="preserve"> </w:t>
      </w:r>
      <w:proofErr w:type="spellStart"/>
      <w:r w:rsidR="004C6656" w:rsidRPr="00B57A15">
        <w:rPr>
          <w:bCs/>
          <w:i/>
          <w:szCs w:val="24"/>
          <w:lang w:val="en-GB" w:eastAsia="ja-JP"/>
        </w:rPr>
        <w:t>rce</w:t>
      </w:r>
      <w:proofErr w:type="spellEnd"/>
      <w:r w:rsidRPr="005B2EBD">
        <w:rPr>
          <w:bCs/>
          <w:szCs w:val="24"/>
          <w:lang w:val="en-GB" w:eastAsia="ja-JP"/>
        </w:rPr>
        <w:t xml:space="preserve">. At the time of initial ADA positivity, 3 patients were receiving a dose of 1 mg/kg </w:t>
      </w:r>
      <w:r>
        <w:rPr>
          <w:bCs/>
          <w:szCs w:val="24"/>
          <w:lang w:val="en-GB" w:eastAsia="ja-JP"/>
        </w:rPr>
        <w:t>per week</w:t>
      </w:r>
      <w:r w:rsidRPr="005B2EBD">
        <w:rPr>
          <w:bCs/>
          <w:szCs w:val="24"/>
          <w:lang w:val="en-GB" w:eastAsia="ja-JP"/>
        </w:rPr>
        <w:t xml:space="preserve"> and 1 patient was receiving a dose of 3 mg/kg </w:t>
      </w:r>
      <w:r>
        <w:rPr>
          <w:bCs/>
          <w:szCs w:val="24"/>
          <w:lang w:val="en-GB" w:eastAsia="ja-JP"/>
        </w:rPr>
        <w:t>per week</w:t>
      </w:r>
      <w:r w:rsidRPr="005B2EBD">
        <w:rPr>
          <w:bCs/>
          <w:szCs w:val="24"/>
          <w:lang w:val="en-GB" w:eastAsia="ja-JP"/>
        </w:rPr>
        <w:t xml:space="preserve">. Most patients who developed ADA did so within the first 2 months of exposure. ADA titres decreased to undetectable levels during continued treatment in 3 of the 4 patients. Two patients were determined to be positive for antibodies that inhibit </w:t>
      </w:r>
      <w:r w:rsidRPr="005B2EBD">
        <w:rPr>
          <w:bCs/>
          <w:i/>
          <w:szCs w:val="24"/>
          <w:lang w:val="en-GB" w:eastAsia="ja-JP"/>
        </w:rPr>
        <w:t>in vitro</w:t>
      </w:r>
      <w:r w:rsidRPr="005B2EBD">
        <w:rPr>
          <w:bCs/>
          <w:szCs w:val="24"/>
          <w:lang w:val="en-GB" w:eastAsia="ja-JP"/>
        </w:rPr>
        <w:t xml:space="preserve"> enzyme activity and cellular uptake of the enzyme. </w:t>
      </w:r>
    </w:p>
    <w:p w:rsidR="00CF554B" w:rsidRDefault="00CF554B" w:rsidP="005B2EBD">
      <w:pPr>
        <w:overflowPunct w:val="0"/>
        <w:autoSpaceDE w:val="0"/>
        <w:autoSpaceDN w:val="0"/>
        <w:adjustRightInd w:val="0"/>
        <w:textAlignment w:val="baseline"/>
        <w:rPr>
          <w:bCs/>
          <w:szCs w:val="24"/>
          <w:lang w:val="en-GB" w:eastAsia="ja-JP"/>
        </w:rPr>
      </w:pPr>
    </w:p>
    <w:p w:rsidR="005B2EBD" w:rsidRDefault="005B2EBD" w:rsidP="005B2EBD">
      <w:pPr>
        <w:overflowPunct w:val="0"/>
        <w:autoSpaceDE w:val="0"/>
        <w:autoSpaceDN w:val="0"/>
        <w:adjustRightInd w:val="0"/>
        <w:textAlignment w:val="baseline"/>
        <w:rPr>
          <w:bCs/>
          <w:szCs w:val="24"/>
          <w:lang w:val="en-GB" w:eastAsia="ja-JP"/>
        </w:rPr>
      </w:pPr>
      <w:r w:rsidRPr="005B2EBD">
        <w:rPr>
          <w:bCs/>
          <w:szCs w:val="24"/>
          <w:lang w:val="en-GB" w:eastAsia="ja-JP"/>
        </w:rPr>
        <w:t>In LAL</w:t>
      </w:r>
      <w:r w:rsidRPr="005B2EBD">
        <w:rPr>
          <w:bCs/>
          <w:szCs w:val="24"/>
          <w:lang w:val="en-GB" w:eastAsia="ja-JP"/>
        </w:rPr>
        <w:noBreakHyphen/>
        <w:t xml:space="preserve">CL02, 5 of 35 evaluable children and adults (14%) who were administered </w:t>
      </w:r>
      <w:proofErr w:type="spellStart"/>
      <w:r>
        <w:rPr>
          <w:bCs/>
          <w:szCs w:val="24"/>
          <w:lang w:val="en-GB" w:eastAsia="ja-JP"/>
        </w:rPr>
        <w:t>sebelipase</w:t>
      </w:r>
      <w:proofErr w:type="spellEnd"/>
      <w:r>
        <w:rPr>
          <w:bCs/>
          <w:szCs w:val="24"/>
          <w:lang w:val="en-GB" w:eastAsia="ja-JP"/>
        </w:rPr>
        <w:t xml:space="preserve"> </w:t>
      </w:r>
      <w:r w:rsidR="004C6656">
        <w:rPr>
          <w:bCs/>
          <w:szCs w:val="24"/>
          <w:lang w:val="en-GB" w:eastAsia="ja-JP"/>
        </w:rPr>
        <w:t>alfa</w:t>
      </w:r>
      <w:r w:rsidR="004C6656" w:rsidRPr="00B57A15">
        <w:rPr>
          <w:bCs/>
          <w:i/>
          <w:szCs w:val="24"/>
          <w:lang w:val="en-GB" w:eastAsia="ja-JP"/>
        </w:rPr>
        <w:t xml:space="preserve"> </w:t>
      </w:r>
      <w:proofErr w:type="spellStart"/>
      <w:r w:rsidR="004C6656" w:rsidRPr="00B57A15">
        <w:rPr>
          <w:bCs/>
          <w:i/>
          <w:szCs w:val="24"/>
          <w:lang w:val="en-GB" w:eastAsia="ja-JP"/>
        </w:rPr>
        <w:t>rce</w:t>
      </w:r>
      <w:proofErr w:type="spellEnd"/>
      <w:r w:rsidRPr="005B2EBD">
        <w:rPr>
          <w:bCs/>
          <w:szCs w:val="24"/>
          <w:lang w:val="en-GB" w:eastAsia="ja-JP"/>
        </w:rPr>
        <w:t xml:space="preserve"> during the 20</w:t>
      </w:r>
      <w:r w:rsidRPr="005B2EBD">
        <w:rPr>
          <w:bCs/>
          <w:szCs w:val="24"/>
          <w:lang w:val="en-GB" w:eastAsia="ja-JP"/>
        </w:rPr>
        <w:noBreakHyphen/>
        <w:t xml:space="preserve">week double-blind period of the study developed ADA. All patients were receiving 1 mg/kg </w:t>
      </w:r>
      <w:r w:rsidR="00290604">
        <w:rPr>
          <w:bCs/>
          <w:szCs w:val="24"/>
          <w:lang w:val="en-GB" w:eastAsia="ja-JP"/>
        </w:rPr>
        <w:t>every fortnight</w:t>
      </w:r>
      <w:r w:rsidRPr="005B2EBD">
        <w:rPr>
          <w:bCs/>
          <w:szCs w:val="24"/>
          <w:lang w:val="en-GB" w:eastAsia="ja-JP"/>
        </w:rPr>
        <w:t xml:space="preserve">. Those patients who developed ADA did so within the first 3 months of exposure. ADA titres decreased to undetectable levels during continued treatment in all patients. Two patients were positive at only a single time point. No patients developed antibodies that inhibit </w:t>
      </w:r>
      <w:r w:rsidRPr="005B2EBD">
        <w:rPr>
          <w:bCs/>
          <w:i/>
          <w:szCs w:val="24"/>
          <w:lang w:val="en-GB" w:eastAsia="ja-JP"/>
        </w:rPr>
        <w:t>in vitro</w:t>
      </w:r>
      <w:r w:rsidRPr="005B2EBD">
        <w:rPr>
          <w:bCs/>
          <w:szCs w:val="24"/>
          <w:lang w:val="en-GB" w:eastAsia="ja-JP"/>
        </w:rPr>
        <w:t xml:space="preserve"> enzyme activity or cellular uptake of the enzyme.</w:t>
      </w:r>
    </w:p>
    <w:p w:rsidR="005B2EBD" w:rsidRPr="005B2EBD" w:rsidRDefault="005B2EBD" w:rsidP="005B2EBD">
      <w:pPr>
        <w:overflowPunct w:val="0"/>
        <w:autoSpaceDE w:val="0"/>
        <w:autoSpaceDN w:val="0"/>
        <w:adjustRightInd w:val="0"/>
        <w:textAlignment w:val="baseline"/>
        <w:rPr>
          <w:bCs/>
          <w:szCs w:val="24"/>
          <w:lang w:val="en-GB" w:eastAsia="ja-JP"/>
        </w:rPr>
      </w:pPr>
    </w:p>
    <w:p w:rsidR="005E3C23" w:rsidRDefault="005B2EBD" w:rsidP="006B4727">
      <w:pPr>
        <w:overflowPunct w:val="0"/>
        <w:autoSpaceDE w:val="0"/>
        <w:autoSpaceDN w:val="0"/>
        <w:adjustRightInd w:val="0"/>
        <w:textAlignment w:val="baseline"/>
        <w:rPr>
          <w:bCs/>
          <w:szCs w:val="24"/>
          <w:lang w:val="en-GB" w:eastAsia="ja-JP"/>
        </w:rPr>
      </w:pPr>
      <w:r w:rsidRPr="005B2EBD">
        <w:rPr>
          <w:bCs/>
          <w:szCs w:val="24"/>
          <w:lang w:val="en-GB" w:eastAsia="ja-JP"/>
        </w:rPr>
        <w:t xml:space="preserve">The association between the development of ADA to </w:t>
      </w:r>
      <w:proofErr w:type="spellStart"/>
      <w:r w:rsidRPr="005B2EBD">
        <w:rPr>
          <w:bCs/>
          <w:szCs w:val="24"/>
          <w:lang w:val="en-GB" w:eastAsia="ja-JP"/>
        </w:rPr>
        <w:t>sebelipase</w:t>
      </w:r>
      <w:proofErr w:type="spellEnd"/>
      <w:r w:rsidRPr="005B2EBD">
        <w:rPr>
          <w:bCs/>
          <w:szCs w:val="24"/>
          <w:lang w:val="en-GB" w:eastAsia="ja-JP"/>
        </w:rPr>
        <w:t xml:space="preserve"> </w:t>
      </w:r>
      <w:r w:rsidR="004C6656">
        <w:rPr>
          <w:bCs/>
          <w:szCs w:val="24"/>
          <w:lang w:val="en-GB" w:eastAsia="ja-JP"/>
        </w:rPr>
        <w:t>alfa</w:t>
      </w:r>
      <w:r w:rsidR="004C6656" w:rsidRPr="00B57A15">
        <w:rPr>
          <w:bCs/>
          <w:i/>
          <w:szCs w:val="24"/>
          <w:lang w:val="en-GB" w:eastAsia="ja-JP"/>
        </w:rPr>
        <w:t xml:space="preserve"> </w:t>
      </w:r>
      <w:proofErr w:type="spellStart"/>
      <w:r w:rsidR="004C6656" w:rsidRPr="00B57A15">
        <w:rPr>
          <w:bCs/>
          <w:i/>
          <w:szCs w:val="24"/>
          <w:lang w:val="en-GB" w:eastAsia="ja-JP"/>
        </w:rPr>
        <w:t>rce</w:t>
      </w:r>
      <w:proofErr w:type="spellEnd"/>
      <w:r w:rsidRPr="005B2EBD">
        <w:rPr>
          <w:bCs/>
          <w:szCs w:val="24"/>
          <w:lang w:val="en-GB" w:eastAsia="ja-JP"/>
        </w:rPr>
        <w:t xml:space="preserve"> and reductions in treatment effect </w:t>
      </w:r>
      <w:proofErr w:type="gramStart"/>
      <w:r w:rsidRPr="005B2EBD">
        <w:rPr>
          <w:bCs/>
          <w:szCs w:val="24"/>
          <w:lang w:val="en-GB" w:eastAsia="ja-JP"/>
        </w:rPr>
        <w:t>or</w:t>
      </w:r>
      <w:proofErr w:type="gramEnd"/>
      <w:r w:rsidRPr="005B2EBD">
        <w:rPr>
          <w:bCs/>
          <w:szCs w:val="24"/>
          <w:lang w:val="en-GB" w:eastAsia="ja-JP"/>
        </w:rPr>
        <w:t xml:space="preserve"> the occurrence of adverse reactions is not well understood.</w:t>
      </w:r>
    </w:p>
    <w:p w:rsidR="0062284C" w:rsidRPr="00490370" w:rsidRDefault="002B7EA6" w:rsidP="00490370">
      <w:pPr>
        <w:pStyle w:val="PIMajorHeading"/>
      </w:pPr>
      <w:r w:rsidRPr="00490370">
        <w:t>DOSAGE AND ADMINISTRATION</w:t>
      </w:r>
    </w:p>
    <w:p w:rsidR="00416A07" w:rsidRDefault="007B719E" w:rsidP="000B5A96">
      <w:r>
        <w:t>It is important to initiate treatment as early as possible.</w:t>
      </w:r>
    </w:p>
    <w:p w:rsidR="00DA5EDB" w:rsidRDefault="00DA5EDB" w:rsidP="000B5A96"/>
    <w:p w:rsidR="00DA5EDB" w:rsidRDefault="00DA5EDB" w:rsidP="00787A15">
      <w:r>
        <w:t>KANUMA is for intravenous use only.</w:t>
      </w:r>
      <w:r w:rsidR="00787A15">
        <w:t xml:space="preserve"> </w:t>
      </w:r>
      <w:r w:rsidRPr="00A16EA4">
        <w:t xml:space="preserve">The total volume of the infusion should be administered over approximately 2 hours. </w:t>
      </w:r>
      <w:r>
        <w:t xml:space="preserve">Infusion over 1 </w:t>
      </w:r>
      <w:r w:rsidRPr="00A16EA4">
        <w:t xml:space="preserve">hour may be considered after patient tolerability is established. The infusion period may be extended in the event of dose escalation. </w:t>
      </w:r>
    </w:p>
    <w:p w:rsidR="00DA5EDB" w:rsidRPr="00710C33" w:rsidRDefault="00DA5EDB" w:rsidP="00DA5EDB">
      <w:pPr>
        <w:pStyle w:val="BodyText"/>
        <w:spacing w:after="0" w:line="240" w:lineRule="auto"/>
      </w:pPr>
    </w:p>
    <w:p w:rsidR="00DA5EDB" w:rsidRDefault="00DA5EDB" w:rsidP="00DA5EDB">
      <w:r w:rsidRPr="00A16EA4">
        <w:t xml:space="preserve">For instructions on the preventive measures and monitoring of hypersensitivity reactions, </w:t>
      </w:r>
      <w:r w:rsidRPr="00E56319">
        <w:t>see</w:t>
      </w:r>
      <w:r>
        <w:t xml:space="preserve"> PRECAUTIONS, Hypersensitivity reactions, including anaphylaxis.</w:t>
      </w:r>
    </w:p>
    <w:p w:rsidR="00DA5EDB" w:rsidRDefault="00DA5EDB" w:rsidP="000B5A96"/>
    <w:p w:rsidR="005504B8" w:rsidRDefault="005504B8" w:rsidP="005504B8">
      <w:pPr>
        <w:pStyle w:val="PIMinorHeading"/>
      </w:pPr>
      <w:r>
        <w:t>Recommended Dose</w:t>
      </w:r>
    </w:p>
    <w:p w:rsidR="007B719E" w:rsidRPr="00E56319" w:rsidRDefault="007B719E" w:rsidP="007B719E">
      <w:pPr>
        <w:rPr>
          <w:b/>
          <w:szCs w:val="24"/>
        </w:rPr>
      </w:pPr>
      <w:r w:rsidRPr="00E56319">
        <w:rPr>
          <w:b/>
          <w:szCs w:val="24"/>
        </w:rPr>
        <w:t>Infants (&lt;</w:t>
      </w:r>
      <w:r w:rsidRPr="00E56319">
        <w:rPr>
          <w:szCs w:val="24"/>
        </w:rPr>
        <w:t> </w:t>
      </w:r>
      <w:r w:rsidRPr="00E56319">
        <w:rPr>
          <w:b/>
          <w:szCs w:val="24"/>
        </w:rPr>
        <w:t>6 months of age)</w:t>
      </w:r>
      <w:r>
        <w:rPr>
          <w:b/>
          <w:szCs w:val="24"/>
        </w:rPr>
        <w:t xml:space="preserve"> presenting with LAL</w:t>
      </w:r>
      <w:r w:rsidR="008D6113">
        <w:rPr>
          <w:b/>
          <w:szCs w:val="24"/>
        </w:rPr>
        <w:t>-</w:t>
      </w:r>
      <w:r>
        <w:rPr>
          <w:b/>
          <w:szCs w:val="24"/>
        </w:rPr>
        <w:t>D</w:t>
      </w:r>
    </w:p>
    <w:p w:rsidR="007B719E" w:rsidRDefault="007B719E" w:rsidP="007B719E">
      <w:pPr>
        <w:rPr>
          <w:szCs w:val="24"/>
        </w:rPr>
      </w:pPr>
      <w:r w:rsidRPr="00E56319">
        <w:rPr>
          <w:szCs w:val="24"/>
        </w:rPr>
        <w:lastRenderedPageBreak/>
        <w:t>The recomm</w:t>
      </w:r>
      <w:r w:rsidR="00DA5EDB">
        <w:rPr>
          <w:szCs w:val="24"/>
        </w:rPr>
        <w:t>ended starting dose in infants &lt; 6 months of age</w:t>
      </w:r>
      <w:r w:rsidRPr="00E56319">
        <w:rPr>
          <w:szCs w:val="24"/>
        </w:rPr>
        <w:t xml:space="preserve"> presenting with rapidly progressive LAL</w:t>
      </w:r>
      <w:r w:rsidR="008D6113">
        <w:rPr>
          <w:szCs w:val="24"/>
        </w:rPr>
        <w:t>-</w:t>
      </w:r>
      <w:r w:rsidRPr="00E56319">
        <w:rPr>
          <w:szCs w:val="24"/>
        </w:rPr>
        <w:t xml:space="preserve">D is 1 mg/kg administered as an </w:t>
      </w:r>
      <w:r w:rsidR="008D6113">
        <w:rPr>
          <w:szCs w:val="24"/>
        </w:rPr>
        <w:t>IV</w:t>
      </w:r>
      <w:r w:rsidRPr="00E56319">
        <w:rPr>
          <w:szCs w:val="24"/>
        </w:rPr>
        <w:t xml:space="preserve"> infusion once weekly. Dose escalation to 3 mg/kg once weekly should be considered based on clinical response.</w:t>
      </w:r>
    </w:p>
    <w:p w:rsidR="007B719E" w:rsidRPr="00E56319" w:rsidRDefault="007B719E" w:rsidP="007B719E">
      <w:pPr>
        <w:rPr>
          <w:szCs w:val="24"/>
        </w:rPr>
      </w:pPr>
    </w:p>
    <w:p w:rsidR="007B719E" w:rsidRPr="00E56319" w:rsidRDefault="007B719E" w:rsidP="007B719E">
      <w:pPr>
        <w:rPr>
          <w:b/>
          <w:szCs w:val="24"/>
        </w:rPr>
      </w:pPr>
      <w:r w:rsidRPr="00E56319">
        <w:rPr>
          <w:b/>
          <w:szCs w:val="24"/>
        </w:rPr>
        <w:t>Children and adults presenting with LAL</w:t>
      </w:r>
      <w:r w:rsidR="008D6113">
        <w:rPr>
          <w:b/>
          <w:szCs w:val="24"/>
        </w:rPr>
        <w:t>-</w:t>
      </w:r>
      <w:r w:rsidRPr="00E56319">
        <w:rPr>
          <w:b/>
          <w:szCs w:val="24"/>
        </w:rPr>
        <w:t>D</w:t>
      </w:r>
    </w:p>
    <w:p w:rsidR="007B719E" w:rsidRDefault="007B719E" w:rsidP="007B719E">
      <w:pPr>
        <w:pStyle w:val="BodyText"/>
        <w:spacing w:after="0" w:line="240" w:lineRule="auto"/>
      </w:pPr>
      <w:r w:rsidRPr="00E56319">
        <w:t>The recommended dose in children and adults presenting with LAL</w:t>
      </w:r>
      <w:r w:rsidR="008D6113">
        <w:t>-</w:t>
      </w:r>
      <w:r w:rsidRPr="00E56319">
        <w:t>D</w:t>
      </w:r>
      <w:r w:rsidR="008D6113">
        <w:t xml:space="preserve"> is 1 mg/kg administered fortnightly as an IV infusion</w:t>
      </w:r>
      <w:r w:rsidRPr="00E56319">
        <w:t>.</w:t>
      </w:r>
    </w:p>
    <w:p w:rsidR="00D13714" w:rsidRPr="00FC0A8E" w:rsidRDefault="00D13714" w:rsidP="007B719E">
      <w:pPr>
        <w:pStyle w:val="BodyText"/>
        <w:spacing w:after="0" w:line="240" w:lineRule="auto"/>
      </w:pPr>
    </w:p>
    <w:p w:rsidR="005A7AE8" w:rsidRDefault="005A7AE8" w:rsidP="00AA7E9D">
      <w:pPr>
        <w:pStyle w:val="PIMinorHeading"/>
      </w:pPr>
      <w:r>
        <w:t>Method of Administration</w:t>
      </w:r>
    </w:p>
    <w:p w:rsidR="00726058" w:rsidRDefault="00613ACF" w:rsidP="00702C54">
      <w:pPr>
        <w:pStyle w:val="BodyText"/>
        <w:spacing w:after="0" w:line="240" w:lineRule="auto"/>
      </w:pPr>
      <w:r>
        <w:t>Dilute KANUMA</w:t>
      </w:r>
      <w:r w:rsidR="00726058">
        <w:t xml:space="preserve"> with </w:t>
      </w:r>
      <w:r>
        <w:t xml:space="preserve">0.9% </w:t>
      </w:r>
      <w:r w:rsidR="00726058">
        <w:t xml:space="preserve">sodium chloride solution for infusion using aseptic technique. </w:t>
      </w:r>
    </w:p>
    <w:p w:rsidR="00726058" w:rsidRPr="00BB1C57" w:rsidRDefault="00726058" w:rsidP="00702C54">
      <w:pPr>
        <w:pStyle w:val="BodyText"/>
        <w:spacing w:after="0" w:line="240" w:lineRule="auto"/>
      </w:pPr>
      <w:r>
        <w:t>The diluted solution should be administered to patients using a low-protein binding infusion set equipped with an in-line, low-protein binding 0.2 </w:t>
      </w:r>
      <w:proofErr w:type="spellStart"/>
      <w:r>
        <w:t>μm</w:t>
      </w:r>
      <w:proofErr w:type="spellEnd"/>
      <w:r>
        <w:t xml:space="preserve"> filter</w:t>
      </w:r>
      <w:r w:rsidRPr="00A46487">
        <w:t xml:space="preserve"> with </w:t>
      </w:r>
      <w:r>
        <w:t>a</w:t>
      </w:r>
      <w:r w:rsidRPr="00A46487">
        <w:t xml:space="preserve"> surface area of greater than 4.5</w:t>
      </w:r>
      <w:r>
        <w:t> </w:t>
      </w:r>
      <w:r w:rsidRPr="00A46487">
        <w:t>cm</w:t>
      </w:r>
      <w:r w:rsidRPr="00A46487">
        <w:rPr>
          <w:vertAlign w:val="superscript"/>
        </w:rPr>
        <w:t>2</w:t>
      </w:r>
      <w:r w:rsidRPr="00A46487">
        <w:t xml:space="preserve"> as available</w:t>
      </w:r>
      <w:r w:rsidR="00F02806">
        <w:t>,</w:t>
      </w:r>
      <w:r w:rsidRPr="00A46487">
        <w:t xml:space="preserve"> in order to avoid filter occlusion.</w:t>
      </w:r>
    </w:p>
    <w:p w:rsidR="00702C54" w:rsidRDefault="00702C54" w:rsidP="00702C54">
      <w:pPr>
        <w:pStyle w:val="BodyText"/>
        <w:spacing w:after="0" w:line="240" w:lineRule="auto"/>
        <w:rPr>
          <w:szCs w:val="24"/>
          <w:u w:val="single"/>
        </w:rPr>
      </w:pPr>
    </w:p>
    <w:p w:rsidR="00726058" w:rsidRDefault="00726058" w:rsidP="00702C54">
      <w:pPr>
        <w:pStyle w:val="BodyText"/>
        <w:spacing w:after="0" w:line="240" w:lineRule="auto"/>
        <w:rPr>
          <w:szCs w:val="24"/>
        </w:rPr>
      </w:pPr>
      <w:r w:rsidRPr="00A16EA4">
        <w:rPr>
          <w:szCs w:val="24"/>
          <w:u w:val="single"/>
        </w:rPr>
        <w:t>Preparation of the KANUMA infusion</w:t>
      </w:r>
      <w:r w:rsidRPr="00684B6A">
        <w:rPr>
          <w:szCs w:val="24"/>
        </w:rPr>
        <w:t xml:space="preserve"> </w:t>
      </w:r>
    </w:p>
    <w:p w:rsidR="00726058" w:rsidRPr="00BB1C57" w:rsidRDefault="00726058" w:rsidP="004D53A0">
      <w:pPr>
        <w:pStyle w:val="BodyText"/>
        <w:numPr>
          <w:ilvl w:val="0"/>
          <w:numId w:val="41"/>
        </w:numPr>
        <w:tabs>
          <w:tab w:val="left" w:pos="360"/>
        </w:tabs>
        <w:spacing w:after="0" w:line="240" w:lineRule="auto"/>
      </w:pPr>
      <w:r w:rsidRPr="00A16EA4">
        <w:t xml:space="preserve">Determine the number of vials to be diluted for infusion based on the patient’s weight and prescribed dose. </w:t>
      </w:r>
    </w:p>
    <w:p w:rsidR="00726058" w:rsidRDefault="00726058" w:rsidP="004D53A0">
      <w:pPr>
        <w:pStyle w:val="BodyText"/>
        <w:numPr>
          <w:ilvl w:val="0"/>
          <w:numId w:val="41"/>
        </w:numPr>
        <w:tabs>
          <w:tab w:val="left" w:pos="360"/>
        </w:tabs>
        <w:spacing w:after="0" w:line="240" w:lineRule="auto"/>
        <w:rPr>
          <w:szCs w:val="24"/>
        </w:rPr>
      </w:pPr>
      <w:r w:rsidRPr="00A16EA4">
        <w:rPr>
          <w:szCs w:val="24"/>
        </w:rPr>
        <w:t xml:space="preserve">Dilute the total calculated dose with </w:t>
      </w:r>
      <w:r w:rsidR="00702C54">
        <w:rPr>
          <w:szCs w:val="24"/>
        </w:rPr>
        <w:t xml:space="preserve">0.9% </w:t>
      </w:r>
      <w:r w:rsidRPr="00A16EA4">
        <w:rPr>
          <w:szCs w:val="24"/>
        </w:rPr>
        <w:t xml:space="preserve">sodium chloride solution for infusion. See </w:t>
      </w:r>
      <w:r w:rsidRPr="00702C54">
        <w:rPr>
          <w:color w:val="0000FF"/>
          <w:szCs w:val="24"/>
        </w:rPr>
        <w:fldChar w:fldCharType="begin"/>
      </w:r>
      <w:r w:rsidRPr="00702C54">
        <w:rPr>
          <w:szCs w:val="24"/>
        </w:rPr>
        <w:instrText xml:space="preserve"> REF _Ref421023165 </w:instrText>
      </w:r>
      <w:r w:rsidR="00702C54" w:rsidRPr="00702C54">
        <w:rPr>
          <w:szCs w:val="24"/>
        </w:rPr>
        <w:instrText xml:space="preserve"> \* MERGEFORMAT </w:instrText>
      </w:r>
      <w:r w:rsidRPr="00702C54">
        <w:rPr>
          <w:color w:val="0000FF"/>
          <w:szCs w:val="24"/>
        </w:rPr>
        <w:fldChar w:fldCharType="separate"/>
      </w:r>
      <w:r w:rsidR="0035098F" w:rsidRPr="0035098F">
        <w:t xml:space="preserve">Table </w:t>
      </w:r>
      <w:r w:rsidR="0035098F" w:rsidRPr="0035098F">
        <w:rPr>
          <w:noProof/>
        </w:rPr>
        <w:t>6</w:t>
      </w:r>
      <w:r w:rsidRPr="00702C54">
        <w:rPr>
          <w:color w:val="0000FF"/>
          <w:szCs w:val="24"/>
        </w:rPr>
        <w:fldChar w:fldCharType="end"/>
      </w:r>
      <w:r w:rsidRPr="00702C54">
        <w:rPr>
          <w:szCs w:val="24"/>
        </w:rPr>
        <w:t xml:space="preserve"> fo</w:t>
      </w:r>
      <w:r w:rsidRPr="00A16EA4">
        <w:rPr>
          <w:szCs w:val="24"/>
        </w:rPr>
        <w:t>r recommended infusion volumes</w:t>
      </w:r>
      <w:r w:rsidR="004D53A0">
        <w:rPr>
          <w:szCs w:val="24"/>
        </w:rPr>
        <w:t xml:space="preserve"> by weight range</w:t>
      </w:r>
      <w:r w:rsidRPr="00A16EA4">
        <w:rPr>
          <w:szCs w:val="24"/>
        </w:rPr>
        <w:t xml:space="preserve">. </w:t>
      </w:r>
    </w:p>
    <w:p w:rsidR="00702C54" w:rsidRDefault="00702C54" w:rsidP="00702C54">
      <w:pPr>
        <w:pStyle w:val="BodyText"/>
        <w:tabs>
          <w:tab w:val="left" w:pos="360"/>
        </w:tabs>
        <w:spacing w:after="0" w:line="240" w:lineRule="auto"/>
        <w:ind w:left="360" w:hanging="360"/>
        <w:rPr>
          <w:szCs w:val="24"/>
        </w:rPr>
      </w:pPr>
    </w:p>
    <w:p w:rsidR="00702C54" w:rsidRDefault="00702C54" w:rsidP="004A107D">
      <w:pPr>
        <w:pStyle w:val="BodyText"/>
        <w:keepNext/>
        <w:tabs>
          <w:tab w:val="left" w:pos="360"/>
        </w:tabs>
        <w:spacing w:after="0" w:line="240" w:lineRule="auto"/>
        <w:ind w:left="360" w:hanging="360"/>
        <w:rPr>
          <w:b/>
        </w:rPr>
      </w:pPr>
      <w:bookmarkStart w:id="21" w:name="_Ref421023165"/>
      <w:r w:rsidRPr="00702C54">
        <w:rPr>
          <w:b/>
        </w:rPr>
        <w:t xml:space="preserve">Table </w:t>
      </w:r>
      <w:r w:rsidRPr="00702C54">
        <w:rPr>
          <w:b/>
        </w:rPr>
        <w:fldChar w:fldCharType="begin"/>
      </w:r>
      <w:r w:rsidRPr="00702C54">
        <w:rPr>
          <w:b/>
        </w:rPr>
        <w:instrText xml:space="preserve"> SEQ Table \* ARABIC </w:instrText>
      </w:r>
      <w:r w:rsidRPr="00702C54">
        <w:rPr>
          <w:b/>
        </w:rPr>
        <w:fldChar w:fldCharType="separate"/>
      </w:r>
      <w:r w:rsidR="0035098F">
        <w:rPr>
          <w:b/>
          <w:noProof/>
        </w:rPr>
        <w:t>6</w:t>
      </w:r>
      <w:r w:rsidRPr="00702C54">
        <w:rPr>
          <w:b/>
        </w:rPr>
        <w:fldChar w:fldCharType="end"/>
      </w:r>
      <w:bookmarkEnd w:id="21"/>
      <w:r>
        <w:rPr>
          <w:b/>
        </w:rPr>
        <w:t xml:space="preserve">: </w:t>
      </w:r>
      <w:r w:rsidRPr="00702C54">
        <w:rPr>
          <w:b/>
        </w:rPr>
        <w:t>Recommended Infusion Volumes (1 mg/kg dose)*</w:t>
      </w:r>
    </w:p>
    <w:p w:rsidR="00257C8C" w:rsidRDefault="00257C8C" w:rsidP="004A107D">
      <w:pPr>
        <w:pStyle w:val="BodyText"/>
        <w:keepNext/>
        <w:tabs>
          <w:tab w:val="left" w:pos="360"/>
        </w:tabs>
        <w:spacing w:after="0" w:line="240" w:lineRule="auto"/>
        <w:ind w:left="360" w:hanging="360"/>
        <w:rPr>
          <w:b/>
        </w:rPr>
      </w:pPr>
    </w:p>
    <w:tbl>
      <w:tblPr>
        <w:tblW w:w="0" w:type="auto"/>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90"/>
        <w:gridCol w:w="2700"/>
      </w:tblGrid>
      <w:tr w:rsidR="00726058" w:rsidRPr="00702C54" w:rsidTr="00702C54">
        <w:trPr>
          <w:trHeight w:val="147"/>
          <w:tblHeader/>
        </w:trPr>
        <w:tc>
          <w:tcPr>
            <w:tcW w:w="1890" w:type="dxa"/>
            <w:tcBorders>
              <w:top w:val="single" w:sz="4" w:space="0" w:color="auto"/>
              <w:bottom w:val="single" w:sz="4" w:space="0" w:color="auto"/>
              <w:right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b/>
                <w:bCs/>
              </w:rPr>
              <w:t>Weight range (kg)</w:t>
            </w:r>
          </w:p>
        </w:tc>
        <w:tc>
          <w:tcPr>
            <w:tcW w:w="2700" w:type="dxa"/>
            <w:tcBorders>
              <w:top w:val="single" w:sz="4" w:space="0" w:color="auto"/>
              <w:left w:val="single" w:sz="4" w:space="0" w:color="auto"/>
              <w:bottom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b/>
                <w:bCs/>
              </w:rPr>
              <w:t>Total infusion volume (ml)</w:t>
            </w:r>
          </w:p>
        </w:tc>
      </w:tr>
      <w:tr w:rsidR="00726058" w:rsidRPr="00702C54" w:rsidTr="00702C54">
        <w:trPr>
          <w:trHeight w:val="145"/>
        </w:trPr>
        <w:tc>
          <w:tcPr>
            <w:tcW w:w="1890" w:type="dxa"/>
            <w:tcBorders>
              <w:top w:val="single" w:sz="4" w:space="0" w:color="auto"/>
              <w:bottom w:val="single" w:sz="4" w:space="0" w:color="auto"/>
              <w:right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rPr>
              <w:t>1-10</w:t>
            </w:r>
          </w:p>
        </w:tc>
        <w:tc>
          <w:tcPr>
            <w:tcW w:w="2700" w:type="dxa"/>
            <w:tcBorders>
              <w:top w:val="single" w:sz="4" w:space="0" w:color="auto"/>
              <w:left w:val="single" w:sz="4" w:space="0" w:color="auto"/>
              <w:bottom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rPr>
              <w:t>10</w:t>
            </w:r>
          </w:p>
        </w:tc>
      </w:tr>
      <w:tr w:rsidR="00726058" w:rsidRPr="00702C54" w:rsidTr="00702C54">
        <w:trPr>
          <w:trHeight w:val="145"/>
        </w:trPr>
        <w:tc>
          <w:tcPr>
            <w:tcW w:w="1890" w:type="dxa"/>
            <w:tcBorders>
              <w:top w:val="single" w:sz="4" w:space="0" w:color="auto"/>
              <w:bottom w:val="single" w:sz="4" w:space="0" w:color="auto"/>
              <w:right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rPr>
              <w:t>11-24</w:t>
            </w:r>
          </w:p>
        </w:tc>
        <w:tc>
          <w:tcPr>
            <w:tcW w:w="2700" w:type="dxa"/>
            <w:tcBorders>
              <w:top w:val="single" w:sz="4" w:space="0" w:color="auto"/>
              <w:left w:val="single" w:sz="4" w:space="0" w:color="auto"/>
              <w:bottom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rPr>
              <w:t>25</w:t>
            </w:r>
          </w:p>
        </w:tc>
      </w:tr>
      <w:tr w:rsidR="00726058" w:rsidRPr="00702C54" w:rsidTr="00702C54">
        <w:trPr>
          <w:trHeight w:val="145"/>
        </w:trPr>
        <w:tc>
          <w:tcPr>
            <w:tcW w:w="1890" w:type="dxa"/>
            <w:tcBorders>
              <w:top w:val="single" w:sz="4" w:space="0" w:color="auto"/>
              <w:bottom w:val="single" w:sz="4" w:space="0" w:color="auto"/>
              <w:right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rPr>
              <w:t>25-49</w:t>
            </w:r>
          </w:p>
        </w:tc>
        <w:tc>
          <w:tcPr>
            <w:tcW w:w="2700" w:type="dxa"/>
            <w:tcBorders>
              <w:top w:val="single" w:sz="4" w:space="0" w:color="auto"/>
              <w:left w:val="single" w:sz="4" w:space="0" w:color="auto"/>
              <w:bottom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rPr>
              <w:t>50</w:t>
            </w:r>
          </w:p>
        </w:tc>
      </w:tr>
      <w:tr w:rsidR="00726058" w:rsidRPr="00702C54" w:rsidTr="00702C54">
        <w:trPr>
          <w:trHeight w:val="145"/>
        </w:trPr>
        <w:tc>
          <w:tcPr>
            <w:tcW w:w="1890" w:type="dxa"/>
            <w:tcBorders>
              <w:top w:val="single" w:sz="4" w:space="0" w:color="auto"/>
              <w:bottom w:val="single" w:sz="4" w:space="0" w:color="auto"/>
              <w:right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rPr>
              <w:t>50-99</w:t>
            </w:r>
          </w:p>
        </w:tc>
        <w:tc>
          <w:tcPr>
            <w:tcW w:w="2700" w:type="dxa"/>
            <w:tcBorders>
              <w:top w:val="single" w:sz="4" w:space="0" w:color="auto"/>
              <w:left w:val="single" w:sz="4" w:space="0" w:color="auto"/>
              <w:bottom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rPr>
              <w:t>100</w:t>
            </w:r>
          </w:p>
        </w:tc>
      </w:tr>
      <w:tr w:rsidR="00726058" w:rsidRPr="00702C54" w:rsidTr="00702C54">
        <w:trPr>
          <w:trHeight w:val="145"/>
        </w:trPr>
        <w:tc>
          <w:tcPr>
            <w:tcW w:w="1890" w:type="dxa"/>
            <w:tcBorders>
              <w:top w:val="single" w:sz="4" w:space="0" w:color="auto"/>
              <w:bottom w:val="single" w:sz="4" w:space="0" w:color="auto"/>
              <w:right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rPr>
              <w:t>100-120</w:t>
            </w:r>
          </w:p>
        </w:tc>
        <w:tc>
          <w:tcPr>
            <w:tcW w:w="2700" w:type="dxa"/>
            <w:tcBorders>
              <w:top w:val="single" w:sz="4" w:space="0" w:color="auto"/>
              <w:left w:val="single" w:sz="4" w:space="0" w:color="auto"/>
              <w:bottom w:val="single" w:sz="4" w:space="0" w:color="auto"/>
            </w:tcBorders>
          </w:tcPr>
          <w:p w:rsidR="00726058" w:rsidRPr="00702C54" w:rsidRDefault="00726058" w:rsidP="00702C54">
            <w:pPr>
              <w:pStyle w:val="Default"/>
              <w:jc w:val="center"/>
              <w:rPr>
                <w:rFonts w:ascii="Times New Roman" w:hAnsi="Times New Roman" w:cs="Times New Roman"/>
              </w:rPr>
            </w:pPr>
            <w:r w:rsidRPr="00702C54">
              <w:rPr>
                <w:rFonts w:ascii="Times New Roman" w:hAnsi="Times New Roman" w:cs="Times New Roman"/>
              </w:rPr>
              <w:t>250</w:t>
            </w:r>
          </w:p>
        </w:tc>
      </w:tr>
    </w:tbl>
    <w:p w:rsidR="00726058" w:rsidRPr="00A16EA4" w:rsidRDefault="00726058" w:rsidP="00787A15">
      <w:pPr>
        <w:pStyle w:val="TableFigureNote"/>
        <w:ind w:left="360" w:right="2242"/>
      </w:pPr>
      <w:r>
        <w:t>*</w:t>
      </w:r>
      <w:r>
        <w:tab/>
      </w:r>
      <w:r w:rsidRPr="00A16EA4">
        <w:t xml:space="preserve">The infusion volume should be based on the prescribed dose and should be prepared to a final KANUMA concentration of 0.1-1.5 mg/ml. </w:t>
      </w:r>
    </w:p>
    <w:p w:rsidR="00257C8C" w:rsidRDefault="00257C8C" w:rsidP="00257C8C">
      <w:pPr>
        <w:pStyle w:val="BodyText"/>
        <w:spacing w:after="0" w:line="240" w:lineRule="auto"/>
        <w:ind w:left="720"/>
      </w:pPr>
    </w:p>
    <w:p w:rsidR="00702C54" w:rsidRDefault="00726058" w:rsidP="004D53A0">
      <w:pPr>
        <w:pStyle w:val="BodyText"/>
        <w:numPr>
          <w:ilvl w:val="0"/>
          <w:numId w:val="43"/>
        </w:numPr>
        <w:spacing w:after="0" w:line="240" w:lineRule="auto"/>
      </w:pPr>
      <w:r w:rsidRPr="00A16EA4">
        <w:t xml:space="preserve">Mix gently. Do not shake the vials or the prepared infusion. </w:t>
      </w:r>
    </w:p>
    <w:p w:rsidR="00DA5EDB" w:rsidRDefault="00DA5EDB" w:rsidP="004D53A0">
      <w:pPr>
        <w:numPr>
          <w:ilvl w:val="0"/>
          <w:numId w:val="43"/>
        </w:numPr>
      </w:pPr>
      <w:r w:rsidRPr="00FB13E5">
        <w:t xml:space="preserve">Product is for single use in one patient only. Discard any unused portion left in </w:t>
      </w:r>
      <w:r>
        <w:t xml:space="preserve">the </w:t>
      </w:r>
      <w:r w:rsidRPr="00FB13E5">
        <w:t>vial, as the product contains no preservatives.</w:t>
      </w:r>
    </w:p>
    <w:p w:rsidR="00B205AD" w:rsidRDefault="00B205AD" w:rsidP="00702C54"/>
    <w:p w:rsidR="005D1F9E" w:rsidRDefault="00B205AD" w:rsidP="00B205AD">
      <w:pPr>
        <w:pStyle w:val="PIMinorHeading"/>
      </w:pPr>
      <w:r>
        <w:t>Special Populations</w:t>
      </w:r>
    </w:p>
    <w:p w:rsidR="00745950" w:rsidRPr="00C97FEC" w:rsidRDefault="005D1F9E" w:rsidP="00745950">
      <w:r>
        <w:rPr>
          <w:i/>
          <w:szCs w:val="24"/>
        </w:rPr>
        <w:t xml:space="preserve">Patients with renal and hepatic impairment: </w:t>
      </w:r>
      <w:r w:rsidR="00745950" w:rsidRPr="00A16EA4">
        <w:t xml:space="preserve">No dosing adjustment is recommended in patients with renal </w:t>
      </w:r>
      <w:r w:rsidR="00745950">
        <w:t xml:space="preserve">or hepatic </w:t>
      </w:r>
      <w:r w:rsidR="00745950" w:rsidRPr="00A16EA4">
        <w:t xml:space="preserve">impairment based on current knowledge of the pharmacokinetics and pharmacodynamics of </w:t>
      </w:r>
      <w:proofErr w:type="spellStart"/>
      <w:r w:rsidR="00745950" w:rsidRPr="00A16EA4">
        <w:t>sebelipase</w:t>
      </w:r>
      <w:proofErr w:type="spellEnd"/>
      <w:r w:rsidR="00745950" w:rsidRPr="00A16EA4">
        <w:t xml:space="preserve"> </w:t>
      </w:r>
      <w:r w:rsidR="004C6656">
        <w:t>alfa</w:t>
      </w:r>
      <w:r w:rsidR="004C6656" w:rsidRPr="00B57A15">
        <w:rPr>
          <w:i/>
        </w:rPr>
        <w:t xml:space="preserve"> </w:t>
      </w:r>
      <w:proofErr w:type="spellStart"/>
      <w:r w:rsidR="004C6656" w:rsidRPr="00B57A15">
        <w:rPr>
          <w:i/>
        </w:rPr>
        <w:t>rce</w:t>
      </w:r>
      <w:proofErr w:type="spellEnd"/>
      <w:r w:rsidR="00745950">
        <w:t>.</w:t>
      </w:r>
    </w:p>
    <w:p w:rsidR="005D1F9E" w:rsidRDefault="005D1F9E" w:rsidP="005D1F9E">
      <w:pPr>
        <w:autoSpaceDE w:val="0"/>
        <w:autoSpaceDN w:val="0"/>
        <w:adjustRightInd w:val="0"/>
        <w:rPr>
          <w:i/>
          <w:szCs w:val="24"/>
        </w:rPr>
      </w:pPr>
    </w:p>
    <w:p w:rsidR="005D1F9E" w:rsidRDefault="005D1F9E" w:rsidP="005D1F9E">
      <w:pPr>
        <w:autoSpaceDE w:val="0"/>
        <w:autoSpaceDN w:val="0"/>
        <w:adjustRightInd w:val="0"/>
        <w:rPr>
          <w:szCs w:val="24"/>
        </w:rPr>
      </w:pPr>
      <w:r w:rsidRPr="00D22092">
        <w:rPr>
          <w:i/>
          <w:szCs w:val="24"/>
        </w:rPr>
        <w:t>Adult patients:</w:t>
      </w:r>
      <w:r>
        <w:rPr>
          <w:b/>
          <w:szCs w:val="24"/>
        </w:rPr>
        <w:t xml:space="preserve"> </w:t>
      </w:r>
      <w:r w:rsidRPr="009F6301">
        <w:rPr>
          <w:szCs w:val="24"/>
        </w:rPr>
        <w:t xml:space="preserve">safety </w:t>
      </w:r>
      <w:r>
        <w:rPr>
          <w:szCs w:val="24"/>
        </w:rPr>
        <w:t xml:space="preserve">and efficacy </w:t>
      </w:r>
      <w:r w:rsidRPr="009F6301">
        <w:rPr>
          <w:szCs w:val="24"/>
        </w:rPr>
        <w:t>data in patients &gt;18 years old are limited.</w:t>
      </w:r>
    </w:p>
    <w:p w:rsidR="004C54F9" w:rsidRDefault="004C54F9" w:rsidP="005D1F9E">
      <w:pPr>
        <w:autoSpaceDE w:val="0"/>
        <w:autoSpaceDN w:val="0"/>
        <w:adjustRightInd w:val="0"/>
        <w:rPr>
          <w:szCs w:val="24"/>
        </w:rPr>
      </w:pPr>
    </w:p>
    <w:p w:rsidR="004C54F9" w:rsidRPr="00582B8C" w:rsidRDefault="004C54F9" w:rsidP="004C54F9">
      <w:pPr>
        <w:rPr>
          <w:rFonts w:eastAsia="Calibri"/>
          <w:b/>
        </w:rPr>
      </w:pPr>
      <w:r w:rsidRPr="00582B8C">
        <w:rPr>
          <w:rFonts w:eastAsia="Calibri"/>
          <w:b/>
        </w:rPr>
        <w:t>LAL</w:t>
      </w:r>
      <w:r w:rsidR="009503AB">
        <w:rPr>
          <w:rFonts w:eastAsia="Calibri"/>
          <w:b/>
        </w:rPr>
        <w:t>-D Patient Monitoring Prog</w:t>
      </w:r>
      <w:r w:rsidR="00E7643A">
        <w:rPr>
          <w:rFonts w:eastAsia="Calibri"/>
          <w:b/>
        </w:rPr>
        <w:t>r</w:t>
      </w:r>
      <w:r w:rsidR="009503AB">
        <w:rPr>
          <w:rFonts w:eastAsia="Calibri"/>
          <w:b/>
        </w:rPr>
        <w:t>am</w:t>
      </w:r>
      <w:r w:rsidRPr="00582B8C">
        <w:rPr>
          <w:rFonts w:eastAsia="Calibri"/>
          <w:b/>
        </w:rPr>
        <w:t xml:space="preserve"> </w:t>
      </w:r>
    </w:p>
    <w:p w:rsidR="004C54F9" w:rsidRDefault="004C54F9" w:rsidP="004C54F9">
      <w:r>
        <w:rPr>
          <w:rFonts w:eastAsia="Calibri"/>
        </w:rPr>
        <w:t>Physicians</w:t>
      </w:r>
      <w:r w:rsidRPr="00844279">
        <w:rPr>
          <w:rFonts w:eastAsia="Calibri"/>
        </w:rPr>
        <w:t xml:space="preserve"> are encouraged to participate and enrol all patients diagnosed </w:t>
      </w:r>
      <w:r>
        <w:rPr>
          <w:rFonts w:eastAsia="Calibri"/>
        </w:rPr>
        <w:t>with LAL-D in</w:t>
      </w:r>
      <w:r w:rsidR="009503AB">
        <w:rPr>
          <w:rFonts w:eastAsia="Calibri"/>
        </w:rPr>
        <w:t xml:space="preserve"> a patient monitoring program</w:t>
      </w:r>
      <w:r>
        <w:rPr>
          <w:rFonts w:eastAsia="Calibri"/>
        </w:rPr>
        <w:t>.</w:t>
      </w:r>
    </w:p>
    <w:p w:rsidR="00364EE8" w:rsidRDefault="00364EE8" w:rsidP="00490370">
      <w:pPr>
        <w:pStyle w:val="PIMajorHeading"/>
      </w:pPr>
      <w:r w:rsidRPr="00FB13E5">
        <w:lastRenderedPageBreak/>
        <w:t>OVERDOSAGE</w:t>
      </w:r>
    </w:p>
    <w:p w:rsidR="004D53A0" w:rsidRPr="004D53A0" w:rsidRDefault="00295E68" w:rsidP="004D53A0">
      <w:pPr>
        <w:pStyle w:val="Heading2"/>
        <w:spacing w:before="0" w:after="0"/>
        <w:ind w:firstLine="0"/>
        <w:rPr>
          <w:bCs w:val="0"/>
          <w:iCs w:val="0"/>
          <w:szCs w:val="24"/>
        </w:rPr>
      </w:pPr>
      <w:r>
        <w:rPr>
          <w:rFonts w:cs="Times New Roman"/>
          <w:b w:val="0"/>
          <w:sz w:val="24"/>
          <w:szCs w:val="24"/>
          <w:lang w:val="en-AU"/>
        </w:rPr>
        <w:t xml:space="preserve">The maximum dose of </w:t>
      </w:r>
      <w:proofErr w:type="spellStart"/>
      <w:r w:rsidR="00E52C35">
        <w:rPr>
          <w:rFonts w:cs="Times New Roman"/>
          <w:b w:val="0"/>
          <w:sz w:val="24"/>
          <w:szCs w:val="24"/>
          <w:lang w:val="en-AU"/>
        </w:rPr>
        <w:t>sebelipase</w:t>
      </w:r>
      <w:proofErr w:type="spellEnd"/>
      <w:r w:rsidR="00E52C35">
        <w:rPr>
          <w:rFonts w:cs="Times New Roman"/>
          <w:b w:val="0"/>
          <w:sz w:val="24"/>
          <w:szCs w:val="24"/>
          <w:lang w:val="en-AU"/>
        </w:rPr>
        <w:t xml:space="preserve"> </w:t>
      </w:r>
      <w:r w:rsidR="004C6656">
        <w:rPr>
          <w:rFonts w:cs="Times New Roman"/>
          <w:b w:val="0"/>
          <w:sz w:val="24"/>
          <w:szCs w:val="24"/>
          <w:lang w:val="en-AU"/>
        </w:rPr>
        <w:t>alfa</w:t>
      </w:r>
      <w:r w:rsidR="004C6656" w:rsidRPr="00B57A15">
        <w:rPr>
          <w:rFonts w:cs="Times New Roman"/>
          <w:b w:val="0"/>
          <w:i/>
          <w:sz w:val="24"/>
          <w:szCs w:val="24"/>
          <w:lang w:val="en-AU"/>
        </w:rPr>
        <w:t xml:space="preserve"> </w:t>
      </w:r>
      <w:proofErr w:type="spellStart"/>
      <w:r w:rsidR="004C6656" w:rsidRPr="00B57A15">
        <w:rPr>
          <w:rFonts w:cs="Times New Roman"/>
          <w:b w:val="0"/>
          <w:i/>
          <w:sz w:val="24"/>
          <w:szCs w:val="24"/>
          <w:lang w:val="en-AU"/>
        </w:rPr>
        <w:t>rce</w:t>
      </w:r>
      <w:proofErr w:type="spellEnd"/>
      <w:r>
        <w:rPr>
          <w:rFonts w:cs="Times New Roman"/>
          <w:b w:val="0"/>
          <w:sz w:val="24"/>
          <w:szCs w:val="24"/>
          <w:lang w:val="en-AU"/>
        </w:rPr>
        <w:t xml:space="preserve"> used in clinical trials </w:t>
      </w:r>
      <w:r w:rsidR="004D53A0">
        <w:rPr>
          <w:rFonts w:cs="Times New Roman"/>
          <w:b w:val="0"/>
          <w:sz w:val="24"/>
          <w:szCs w:val="24"/>
          <w:lang w:val="en-AU"/>
        </w:rPr>
        <w:t>was 5 mg/kg/week. No</w:t>
      </w:r>
      <w:r w:rsidR="004D53A0" w:rsidRPr="004D53A0">
        <w:rPr>
          <w:rFonts w:cs="Times New Roman"/>
          <w:b w:val="0"/>
          <w:sz w:val="24"/>
          <w:szCs w:val="24"/>
          <w:lang w:val="en-AU"/>
        </w:rPr>
        <w:t xml:space="preserve"> specific signs or symptoms were identified following the higher doses. </w:t>
      </w:r>
    </w:p>
    <w:p w:rsidR="00E52C35" w:rsidRPr="00E52C35" w:rsidRDefault="00E52C35" w:rsidP="00E52C35"/>
    <w:p w:rsidR="000B0EB9" w:rsidRPr="00FB13E5" w:rsidRDefault="00295E68" w:rsidP="000B5A96">
      <w:r w:rsidRPr="00D52CDA">
        <w:t>For information on the management of overdose, contact the Poison Information Centre on 13</w:t>
      </w:r>
      <w:r>
        <w:t xml:space="preserve"> </w:t>
      </w:r>
      <w:r w:rsidRPr="00D52CDA">
        <w:t>11</w:t>
      </w:r>
      <w:r>
        <w:t xml:space="preserve"> </w:t>
      </w:r>
      <w:r w:rsidRPr="00D52CDA">
        <w:t>26 (Australia).</w:t>
      </w:r>
    </w:p>
    <w:p w:rsidR="0062284C" w:rsidRDefault="0062284C" w:rsidP="0043778E">
      <w:pPr>
        <w:pStyle w:val="PIMajorHeading"/>
      </w:pPr>
      <w:r w:rsidRPr="00FB13E5">
        <w:t>PRESEN</w:t>
      </w:r>
      <w:r w:rsidR="00723C3F" w:rsidRPr="00FB13E5">
        <w:t>T</w:t>
      </w:r>
      <w:r w:rsidRPr="00FB13E5">
        <w:t>ATION AND STORAGE CONDITIONS</w:t>
      </w:r>
    </w:p>
    <w:p w:rsidR="00E52C35" w:rsidRDefault="00702C54" w:rsidP="000B5A96">
      <w:r>
        <w:t>KANUMA</w:t>
      </w:r>
      <w:r w:rsidRPr="00A16EA4">
        <w:t xml:space="preserve"> </w:t>
      </w:r>
      <w:r>
        <w:t>is</w:t>
      </w:r>
      <w:r w:rsidRPr="00A16EA4">
        <w:t xml:space="preserve"> </w:t>
      </w:r>
      <w:r>
        <w:t xml:space="preserve">a </w:t>
      </w:r>
      <w:r w:rsidRPr="00A16EA4">
        <w:t xml:space="preserve">clear to slightly opalescent, colourless to slightly coloured solution. </w:t>
      </w:r>
    </w:p>
    <w:p w:rsidR="00657A77" w:rsidRDefault="00657A77" w:rsidP="000B5A96"/>
    <w:p w:rsidR="00E20719" w:rsidRPr="00FB13E5" w:rsidRDefault="00E20719" w:rsidP="00E20719">
      <w:pPr>
        <w:pStyle w:val="PIMinorHeading"/>
      </w:pPr>
      <w:r>
        <w:t>Storage conditions</w:t>
      </w:r>
    </w:p>
    <w:p w:rsidR="0076433C" w:rsidRDefault="00E52C35" w:rsidP="000B5A96">
      <w:r>
        <w:t>KANUMA</w:t>
      </w:r>
      <w:r w:rsidR="003B3A78" w:rsidRPr="00FB13E5">
        <w:t xml:space="preserve"> vials must be stored in </w:t>
      </w:r>
      <w:r w:rsidR="003B3A78">
        <w:t>a refrigerator (</w:t>
      </w:r>
      <w:r w:rsidR="003B3A78" w:rsidRPr="00FB13E5">
        <w:t>2 to 8º C</w:t>
      </w:r>
      <w:r w:rsidR="0034676F">
        <w:t>,</w:t>
      </w:r>
      <w:r w:rsidR="00B07A58">
        <w:t xml:space="preserve"> Do not </w:t>
      </w:r>
      <w:r w:rsidR="00B07A58" w:rsidRPr="007155C6">
        <w:t>freeze</w:t>
      </w:r>
      <w:r w:rsidR="0034676F" w:rsidRPr="007155C6">
        <w:t>)</w:t>
      </w:r>
      <w:r w:rsidR="003B3A78" w:rsidRPr="007155C6">
        <w:t xml:space="preserve"> in the original packag</w:t>
      </w:r>
      <w:r w:rsidR="0034676F" w:rsidRPr="007155C6">
        <w:t>ing</w:t>
      </w:r>
      <w:r w:rsidR="003B3A78" w:rsidRPr="007155C6">
        <w:t xml:space="preserve"> in order to protect from light.</w:t>
      </w:r>
      <w:r w:rsidR="00B07A58">
        <w:t xml:space="preserve"> </w:t>
      </w:r>
    </w:p>
    <w:p w:rsidR="00657A77" w:rsidRDefault="00657A77" w:rsidP="00657A77"/>
    <w:p w:rsidR="00657A77" w:rsidRPr="00844279" w:rsidRDefault="00657A77" w:rsidP="00657A77">
      <w:r w:rsidRPr="00844279">
        <w:t xml:space="preserve">It is recommended to allow KANUMA vials to reach </w:t>
      </w:r>
      <w:r>
        <w:t>a</w:t>
      </w:r>
      <w:r w:rsidRPr="00844279">
        <w:t xml:space="preserve"> temperature </w:t>
      </w:r>
      <w:r>
        <w:t xml:space="preserve">between </w:t>
      </w:r>
      <w:r w:rsidRPr="00844279">
        <w:t>15</w:t>
      </w:r>
      <w:r>
        <w:t>°</w:t>
      </w:r>
      <w:r w:rsidRPr="00844279">
        <w:t>C</w:t>
      </w:r>
      <w:r>
        <w:t xml:space="preserve"> and </w:t>
      </w:r>
      <w:r w:rsidRPr="00844279">
        <w:t>25</w:t>
      </w:r>
      <w:r>
        <w:t>°</w:t>
      </w:r>
      <w:r w:rsidRPr="00844279">
        <w:t xml:space="preserve">C prior to reconstitution to minimize the potential for the formation of </w:t>
      </w:r>
      <w:proofErr w:type="spellStart"/>
      <w:r w:rsidRPr="00844279">
        <w:t>sebelipase</w:t>
      </w:r>
      <w:proofErr w:type="spellEnd"/>
      <w:r w:rsidRPr="00844279">
        <w:t xml:space="preserve"> </w:t>
      </w:r>
      <w:r w:rsidR="004C6656">
        <w:t>alfa</w:t>
      </w:r>
      <w:r w:rsidR="004C6656" w:rsidRPr="00B57A15">
        <w:rPr>
          <w:i/>
        </w:rPr>
        <w:t xml:space="preserve"> </w:t>
      </w:r>
      <w:proofErr w:type="spellStart"/>
      <w:r w:rsidR="004C6656" w:rsidRPr="00B57A15">
        <w:rPr>
          <w:i/>
        </w:rPr>
        <w:t>rce</w:t>
      </w:r>
      <w:proofErr w:type="spellEnd"/>
      <w:r w:rsidRPr="00844279">
        <w:t xml:space="preserve"> protein particles in solution. </w:t>
      </w:r>
    </w:p>
    <w:p w:rsidR="00657A77" w:rsidRDefault="00657A77" w:rsidP="000B5A96"/>
    <w:p w:rsidR="0076433C" w:rsidRDefault="00AA67FE" w:rsidP="00657A77">
      <w:pPr>
        <w:pStyle w:val="BodyText"/>
        <w:spacing w:after="0" w:line="240" w:lineRule="auto"/>
      </w:pPr>
      <w:proofErr w:type="gramStart"/>
      <w:r w:rsidRPr="00AA67FE">
        <w:t>To reduce microbiological hazard, use</w:t>
      </w:r>
      <w:r w:rsidR="00C7539D">
        <w:t xml:space="preserve"> </w:t>
      </w:r>
      <w:r w:rsidR="00C7539D" w:rsidRPr="00745579">
        <w:t>as soon as practicable</w:t>
      </w:r>
      <w:r w:rsidR="00745579" w:rsidRPr="00745579">
        <w:t xml:space="preserve"> after dilution</w:t>
      </w:r>
      <w:r w:rsidR="00C7539D" w:rsidRPr="00745579">
        <w:t>.</w:t>
      </w:r>
      <w:proofErr w:type="gramEnd"/>
      <w:r w:rsidR="00745579" w:rsidRPr="00745579">
        <w:t xml:space="preserve">  </w:t>
      </w:r>
      <w:r w:rsidR="00745579" w:rsidRPr="00745579">
        <w:rPr>
          <w:rFonts w:ascii="Cambria" w:hAnsi="Cambria"/>
          <w:bCs/>
          <w:iCs/>
        </w:rPr>
        <w:t>If storage is necessary, hold at 2°-8°C for not more than 24 hours</w:t>
      </w:r>
      <w:r w:rsidR="0076433C" w:rsidRPr="008F5B7B">
        <w:t xml:space="preserve"> or up to </w:t>
      </w:r>
      <w:r>
        <w:t>8</w:t>
      </w:r>
      <w:r w:rsidRPr="008F5B7B">
        <w:t xml:space="preserve"> </w:t>
      </w:r>
      <w:r w:rsidR="0076433C" w:rsidRPr="008F5B7B">
        <w:t>hours below 25</w:t>
      </w:r>
      <w:r w:rsidR="0076433C" w:rsidRPr="008F5B7B">
        <w:sym w:font="Symbol" w:char="F0B0"/>
      </w:r>
      <w:r w:rsidR="0076433C" w:rsidRPr="008F5B7B">
        <w:t>C.</w:t>
      </w:r>
    </w:p>
    <w:p w:rsidR="00657A77" w:rsidRPr="00BB1C57" w:rsidRDefault="00657A77" w:rsidP="00657A77">
      <w:pPr>
        <w:pStyle w:val="BodyText"/>
        <w:spacing w:after="0" w:line="240" w:lineRule="auto"/>
      </w:pPr>
    </w:p>
    <w:p w:rsidR="005B38F6" w:rsidRDefault="005B38F6" w:rsidP="000B5A96">
      <w:pPr>
        <w:rPr>
          <w:lang w:val="en-US"/>
        </w:rPr>
      </w:pPr>
      <w:bookmarkStart w:id="22" w:name="_17_PATIENT_COUNSELING"/>
      <w:bookmarkEnd w:id="22"/>
      <w:proofErr w:type="gramStart"/>
      <w:r w:rsidRPr="00FB13E5">
        <w:rPr>
          <w:szCs w:val="24"/>
        </w:rPr>
        <w:t>Do not use</w:t>
      </w:r>
      <w:proofErr w:type="gramEnd"/>
      <w:r w:rsidRPr="00FB13E5">
        <w:rPr>
          <w:szCs w:val="24"/>
        </w:rPr>
        <w:t xml:space="preserve"> beyond the expiration date </w:t>
      </w:r>
      <w:r w:rsidR="00B07A58">
        <w:rPr>
          <w:szCs w:val="24"/>
        </w:rPr>
        <w:t xml:space="preserve">(EXP) </w:t>
      </w:r>
      <w:r w:rsidRPr="00FB13E5">
        <w:rPr>
          <w:szCs w:val="24"/>
        </w:rPr>
        <w:t xml:space="preserve">stamped on the </w:t>
      </w:r>
      <w:r w:rsidR="00B07A58">
        <w:rPr>
          <w:szCs w:val="24"/>
        </w:rPr>
        <w:t>packaging</w:t>
      </w:r>
      <w:r w:rsidRPr="00FB13E5">
        <w:rPr>
          <w:szCs w:val="24"/>
        </w:rPr>
        <w:t xml:space="preserve">. </w:t>
      </w:r>
      <w:r w:rsidRPr="007D18EB">
        <w:rPr>
          <w:lang w:val="en-US"/>
        </w:rPr>
        <w:t>Unused or expired medicine should be returned to a pharmacy for disposal</w:t>
      </w:r>
      <w:r>
        <w:rPr>
          <w:lang w:val="en-US"/>
        </w:rPr>
        <w:t>.</w:t>
      </w:r>
    </w:p>
    <w:p w:rsidR="00EA2BA2" w:rsidRDefault="00EA2BA2" w:rsidP="00490370">
      <w:pPr>
        <w:pStyle w:val="PIMajorHeading"/>
      </w:pPr>
      <w:r w:rsidRPr="00FB13E5">
        <w:t>NAME AND ADDRESS OF SPONSOR</w:t>
      </w:r>
    </w:p>
    <w:p w:rsidR="00EA2BA2" w:rsidRPr="00FB13E5" w:rsidRDefault="00EA2BA2" w:rsidP="004F60CE">
      <w:pPr>
        <w:pStyle w:val="CM16"/>
        <w:spacing w:after="0"/>
        <w:rPr>
          <w:rFonts w:ascii="Times New Roman" w:hAnsi="Times New Roman"/>
          <w:lang w:val="en-AU"/>
        </w:rPr>
      </w:pPr>
      <w:r w:rsidRPr="00FB13E5">
        <w:rPr>
          <w:rFonts w:ascii="Times New Roman" w:hAnsi="Times New Roman"/>
          <w:lang w:val="en-AU"/>
        </w:rPr>
        <w:t>Alexion Pharmaceuticals Australasia Pty Ltd</w:t>
      </w:r>
    </w:p>
    <w:p w:rsidR="00445E6C" w:rsidRPr="00915789" w:rsidRDefault="00445E6C" w:rsidP="000B5A96">
      <w:r w:rsidRPr="00915789">
        <w:t>Suite 40</w:t>
      </w:r>
      <w:r w:rsidR="00A968EB">
        <w:t>1</w:t>
      </w:r>
      <w:r w:rsidRPr="00915789">
        <w:t xml:space="preserve">. </w:t>
      </w:r>
      <w:proofErr w:type="gramStart"/>
      <w:r w:rsidRPr="00915789">
        <w:t>Level 4.</w:t>
      </w:r>
      <w:proofErr w:type="gramEnd"/>
      <w:r w:rsidRPr="00915789">
        <w:t xml:space="preserve"> Building A</w:t>
      </w:r>
    </w:p>
    <w:p w:rsidR="00445E6C" w:rsidRPr="00915789" w:rsidRDefault="00445E6C" w:rsidP="000B5A96">
      <w:r w:rsidRPr="00915789">
        <w:t>20 Rodborough Rd</w:t>
      </w:r>
    </w:p>
    <w:p w:rsidR="00445E6C" w:rsidRPr="00915789" w:rsidRDefault="00445E6C" w:rsidP="000B5A96">
      <w:r w:rsidRPr="00915789">
        <w:t>Frenchs Forest</w:t>
      </w:r>
      <w:r w:rsidR="00915789">
        <w:t xml:space="preserve"> NSW 2086</w:t>
      </w:r>
    </w:p>
    <w:p w:rsidR="00EA2BA2" w:rsidRPr="00FB13E5" w:rsidRDefault="00EA2BA2" w:rsidP="004F60CE">
      <w:pPr>
        <w:pStyle w:val="Default"/>
        <w:rPr>
          <w:rFonts w:ascii="Times New Roman" w:hAnsi="Times New Roman" w:cs="Times New Roman"/>
          <w:color w:val="auto"/>
          <w:lang w:val="en-AU"/>
        </w:rPr>
      </w:pPr>
    </w:p>
    <w:p w:rsidR="004F60CE" w:rsidRDefault="003B3A78" w:rsidP="004F60CE">
      <w:pPr>
        <w:pStyle w:val="Default"/>
        <w:rPr>
          <w:rFonts w:ascii="Times New Roman" w:hAnsi="Times New Roman" w:cs="Times New Roman"/>
          <w:color w:val="auto"/>
          <w:lang w:val="en-AU"/>
        </w:rPr>
      </w:pPr>
      <w:r w:rsidRPr="003B3A78">
        <w:rPr>
          <w:rFonts w:ascii="Times New Roman" w:hAnsi="Times New Roman" w:cs="Times New Roman"/>
          <w:color w:val="auto"/>
          <w:lang w:val="en-AU"/>
        </w:rPr>
        <w:t>Medical enquiries</w:t>
      </w:r>
      <w:r>
        <w:rPr>
          <w:rFonts w:ascii="Times New Roman" w:hAnsi="Times New Roman" w:cs="Times New Roman"/>
          <w:color w:val="auto"/>
          <w:lang w:val="en-AU"/>
        </w:rPr>
        <w:t xml:space="preserve">: 1800 </w:t>
      </w:r>
      <w:r w:rsidRPr="003B3A78">
        <w:rPr>
          <w:rFonts w:ascii="Times New Roman" w:hAnsi="Times New Roman" w:cs="Times New Roman"/>
          <w:color w:val="auto"/>
          <w:lang w:val="en-AU"/>
        </w:rPr>
        <w:t>788 189</w:t>
      </w:r>
    </w:p>
    <w:p w:rsidR="007D18EB" w:rsidRPr="003B3A78" w:rsidRDefault="007D18EB" w:rsidP="004F60CE">
      <w:pPr>
        <w:pStyle w:val="Default"/>
        <w:rPr>
          <w:rFonts w:ascii="Times New Roman" w:hAnsi="Times New Roman" w:cs="Times New Roman"/>
          <w:color w:val="auto"/>
          <w:lang w:val="en-AU"/>
        </w:rPr>
      </w:pPr>
    </w:p>
    <w:p w:rsidR="002D3EEA" w:rsidRDefault="002D3EEA" w:rsidP="00490370">
      <w:pPr>
        <w:pStyle w:val="PIMajorHeading"/>
      </w:pPr>
      <w:r w:rsidRPr="00FB13E5">
        <w:t xml:space="preserve">POISONS SCHEDULE OF </w:t>
      </w:r>
      <w:r w:rsidR="002B7EA6" w:rsidRPr="00FB13E5">
        <w:t xml:space="preserve">THE </w:t>
      </w:r>
      <w:r w:rsidRPr="00FB13E5">
        <w:t>MEDICINE</w:t>
      </w:r>
    </w:p>
    <w:p w:rsidR="00887C2A" w:rsidRDefault="002D3EEA" w:rsidP="000B5A96">
      <w:r w:rsidRPr="00FB13E5">
        <w:t xml:space="preserve">S4. Prescription </w:t>
      </w:r>
      <w:r w:rsidR="007E3E77" w:rsidRPr="00FB13E5">
        <w:t>M</w:t>
      </w:r>
      <w:r w:rsidRPr="00FB13E5">
        <w:t>edicine</w:t>
      </w:r>
    </w:p>
    <w:p w:rsidR="00B1748E" w:rsidRDefault="00B1748E" w:rsidP="000B5A96"/>
    <w:p w:rsidR="004F60CE" w:rsidRDefault="004F60CE" w:rsidP="000B5A96"/>
    <w:p w:rsidR="00E22A9C" w:rsidRPr="00FB13E5" w:rsidRDefault="002B7EA6" w:rsidP="004F60CE">
      <w:pPr>
        <w:pStyle w:val="Default"/>
        <w:rPr>
          <w:rFonts w:ascii="Times New Roman" w:hAnsi="Times New Roman" w:cs="Times New Roman"/>
          <w:color w:val="auto"/>
          <w:sz w:val="28"/>
          <w:lang w:val="en-AU"/>
        </w:rPr>
      </w:pPr>
      <w:r w:rsidRPr="00AA7E9D">
        <w:rPr>
          <w:rStyle w:val="PIMajorHeadingChar"/>
          <w:rFonts w:ascii="Times New Roman" w:hAnsi="Times New Roman" w:cs="Times New Roman"/>
          <w:caps/>
        </w:rPr>
        <w:t>Date o</w:t>
      </w:r>
      <w:r w:rsidR="007C2FD1" w:rsidRPr="00AA7E9D">
        <w:rPr>
          <w:rStyle w:val="PIMajorHeadingChar"/>
          <w:rFonts w:ascii="Times New Roman" w:hAnsi="Times New Roman" w:cs="Times New Roman"/>
          <w:caps/>
        </w:rPr>
        <w:t>f</w:t>
      </w:r>
      <w:r w:rsidR="00EA2BA2" w:rsidRPr="00AA7E9D">
        <w:rPr>
          <w:rStyle w:val="PIMajorHeadingChar"/>
          <w:rFonts w:ascii="Times New Roman" w:hAnsi="Times New Roman" w:cs="Times New Roman"/>
          <w:caps/>
        </w:rPr>
        <w:t xml:space="preserve"> First Inclusion in the Australian Register of Therapeutic Goods (the ARTG)</w:t>
      </w:r>
      <w:r w:rsidR="00B17619" w:rsidRPr="00AA7E9D">
        <w:rPr>
          <w:rStyle w:val="PIMajorHeadingChar"/>
          <w:rFonts w:ascii="Times New Roman" w:hAnsi="Times New Roman" w:cs="Times New Roman"/>
          <w:caps/>
        </w:rPr>
        <w:t>:</w:t>
      </w:r>
      <w:r w:rsidR="0044703B" w:rsidRPr="00086803">
        <w:rPr>
          <w:rFonts w:ascii="Times New Roman" w:hAnsi="Times New Roman" w:cs="Times New Roman"/>
          <w:b/>
          <w:caps/>
          <w:color w:val="auto"/>
          <w:lang w:val="en-AU"/>
        </w:rPr>
        <w:t xml:space="preserve"> </w:t>
      </w:r>
      <w:r w:rsidR="000C15EF">
        <w:rPr>
          <w:rFonts w:ascii="Times New Roman" w:hAnsi="Times New Roman" w:cs="Times New Roman"/>
          <w:color w:val="auto"/>
          <w:lang w:val="en-AU"/>
        </w:rPr>
        <w:t>18 May 2017</w:t>
      </w:r>
    </w:p>
    <w:sectPr w:rsidR="00E22A9C" w:rsidRPr="00FB13E5" w:rsidSect="000D1855">
      <w:headerReference w:type="default" r:id="rId12"/>
      <w:footerReference w:type="default" r:id="rId13"/>
      <w:pgSz w:w="11907" w:h="16839" w:code="9"/>
      <w:pgMar w:top="1418" w:right="1418" w:bottom="1418" w:left="1418" w:header="680" w:footer="680" w:gutter="79"/>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150" w:rsidRDefault="002D1150" w:rsidP="000B5A96">
      <w:r>
        <w:separator/>
      </w:r>
    </w:p>
    <w:p w:rsidR="002D1150" w:rsidRDefault="002D1150" w:rsidP="000B5A96"/>
  </w:endnote>
  <w:endnote w:type="continuationSeparator" w:id="0">
    <w:p w:rsidR="002D1150" w:rsidRDefault="002D1150" w:rsidP="000B5A96">
      <w:r>
        <w:continuationSeparator/>
      </w:r>
    </w:p>
    <w:p w:rsidR="002D1150" w:rsidRDefault="002D1150" w:rsidP="000B5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T A 20 F 6 BE 8o 00">
    <w:altName w:val="TT A 20 F 6 BE 8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AB" w:rsidRPr="00904D14" w:rsidRDefault="00E4296C" w:rsidP="000B5A96">
    <w:pPr>
      <w:pStyle w:val="Footer"/>
    </w:pPr>
    <w:r>
      <w:rPr>
        <w:rStyle w:val="PageNumber"/>
        <w:sz w:val="20"/>
        <w:szCs w:val="20"/>
      </w:rPr>
      <w:t>170</w:t>
    </w:r>
    <w:r w:rsidR="000C15EF">
      <w:rPr>
        <w:rStyle w:val="PageNumber"/>
        <w:sz w:val="20"/>
        <w:szCs w:val="20"/>
      </w:rPr>
      <w:t>518</w:t>
    </w:r>
    <w:r w:rsidR="00EF3EBC">
      <w:rPr>
        <w:rStyle w:val="PageNumber"/>
        <w:sz w:val="20"/>
        <w:szCs w:val="20"/>
      </w:rPr>
      <w:t>_Kanuma</w:t>
    </w:r>
    <w:r w:rsidR="00F819AB">
      <w:rPr>
        <w:rStyle w:val="PageNumber"/>
        <w:sz w:val="20"/>
        <w:szCs w:val="20"/>
      </w:rPr>
      <w:t xml:space="preserve"> </w:t>
    </w:r>
    <w:proofErr w:type="spellStart"/>
    <w:r w:rsidR="00122486">
      <w:rPr>
        <w:rStyle w:val="PageNumber"/>
        <w:sz w:val="20"/>
        <w:szCs w:val="20"/>
      </w:rPr>
      <w:t>Aus</w:t>
    </w:r>
    <w:proofErr w:type="spellEnd"/>
    <w:r w:rsidR="0020373F">
      <w:rPr>
        <w:rStyle w:val="PageNumber"/>
        <w:sz w:val="20"/>
        <w:szCs w:val="20"/>
      </w:rPr>
      <w:t xml:space="preserve"> </w:t>
    </w:r>
    <w:r w:rsidR="00F819AB">
      <w:rPr>
        <w:rStyle w:val="PageNumber"/>
        <w:sz w:val="20"/>
        <w:szCs w:val="20"/>
      </w:rPr>
      <w:t>PI</w:t>
    </w:r>
    <w:r w:rsidR="00F819AB">
      <w:rPr>
        <w:rStyle w:val="PageNumber"/>
        <w:sz w:val="16"/>
        <w:szCs w:val="16"/>
      </w:rPr>
      <w:tab/>
    </w:r>
    <w:r w:rsidR="00740823">
      <w:rPr>
        <w:rStyle w:val="PageNumber"/>
        <w:sz w:val="16"/>
        <w:szCs w:val="16"/>
      </w:rPr>
      <w:tab/>
    </w:r>
    <w:r w:rsidR="00F819AB">
      <w:rPr>
        <w:rStyle w:val="PageNumber"/>
      </w:rPr>
      <w:fldChar w:fldCharType="begin"/>
    </w:r>
    <w:r w:rsidR="00F819AB">
      <w:rPr>
        <w:rStyle w:val="PageNumber"/>
      </w:rPr>
      <w:instrText xml:space="preserve"> PAGE </w:instrText>
    </w:r>
    <w:r w:rsidR="00F819AB">
      <w:rPr>
        <w:rStyle w:val="PageNumber"/>
      </w:rPr>
      <w:fldChar w:fldCharType="separate"/>
    </w:r>
    <w:r w:rsidR="008748D1">
      <w:rPr>
        <w:rStyle w:val="PageNumber"/>
        <w:noProof/>
      </w:rPr>
      <w:t>12</w:t>
    </w:r>
    <w:r w:rsidR="00F819AB">
      <w:rPr>
        <w:rStyle w:val="PageNumber"/>
      </w:rPr>
      <w:fldChar w:fldCharType="end"/>
    </w:r>
  </w:p>
  <w:p w:rsidR="00F819AB" w:rsidRDefault="00F819AB" w:rsidP="000B5A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150" w:rsidRDefault="002D1150" w:rsidP="000B5A96">
      <w:r>
        <w:separator/>
      </w:r>
    </w:p>
    <w:p w:rsidR="002D1150" w:rsidRDefault="002D1150" w:rsidP="000B5A96"/>
  </w:footnote>
  <w:footnote w:type="continuationSeparator" w:id="0">
    <w:p w:rsidR="002D1150" w:rsidRDefault="002D1150" w:rsidP="000B5A96">
      <w:r>
        <w:continuationSeparator/>
      </w:r>
    </w:p>
    <w:p w:rsidR="002D1150" w:rsidRDefault="002D1150" w:rsidP="000B5A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748D1" w:rsidRPr="001C184C" w:rsidTr="004E48F8">
      <w:tc>
        <w:tcPr>
          <w:tcW w:w="8720" w:type="dxa"/>
          <w:shd w:val="clear" w:color="auto" w:fill="E4F2E0"/>
        </w:tcPr>
        <w:p w:rsidR="008748D1" w:rsidRPr="001C184C" w:rsidRDefault="008748D1" w:rsidP="004E48F8">
          <w:pPr>
            <w:pStyle w:val="Footer"/>
            <w:rPr>
              <w:b/>
              <w:sz w:val="18"/>
              <w:szCs w:val="18"/>
            </w:rPr>
          </w:pPr>
          <w:r w:rsidRPr="001C184C">
            <w:rPr>
              <w:b/>
              <w:sz w:val="18"/>
              <w:szCs w:val="18"/>
            </w:rPr>
            <w:t xml:space="preserve">Attachment 1: Product information for </w:t>
          </w:r>
          <w:r w:rsidRPr="00480FBB">
            <w:rPr>
              <w:b/>
              <w:sz w:val="18"/>
              <w:szCs w:val="18"/>
            </w:rPr>
            <w:t xml:space="preserve">AusPAR KANUMA - </w:t>
          </w:r>
          <w:proofErr w:type="spellStart"/>
          <w:r w:rsidRPr="00480FBB">
            <w:rPr>
              <w:b/>
              <w:sz w:val="18"/>
              <w:szCs w:val="18"/>
            </w:rPr>
            <w:t>Sebelipase</w:t>
          </w:r>
          <w:proofErr w:type="spellEnd"/>
          <w:r w:rsidRPr="00480FBB">
            <w:rPr>
              <w:b/>
              <w:sz w:val="18"/>
              <w:szCs w:val="18"/>
            </w:rPr>
            <w:t xml:space="preserve"> - Alexion Pharmaceuticals Australia Pty Ltd - PM-2016-01313-1-3 FINAL 14 June 2018</w:t>
          </w:r>
          <w:r w:rsidRPr="001C184C">
            <w:rPr>
              <w:b/>
              <w:sz w:val="18"/>
              <w:szCs w:val="18"/>
            </w:rPr>
            <w:t>. This Product information was approved at the time this AusPAR was published.</w:t>
          </w:r>
        </w:p>
      </w:tc>
    </w:tr>
  </w:tbl>
  <w:p w:rsidR="008748D1" w:rsidRDefault="00874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D01CE"/>
    <w:multiLevelType w:val="hybridMultilevel"/>
    <w:tmpl w:val="228A56E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2F6135F"/>
    <w:multiLevelType w:val="hybridMultilevel"/>
    <w:tmpl w:val="5C8410D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851BB7"/>
    <w:multiLevelType w:val="hybridMultilevel"/>
    <w:tmpl w:val="D871C52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AF20F36"/>
    <w:multiLevelType w:val="hybridMultilevel"/>
    <w:tmpl w:val="5F4E8FB0"/>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72CB7"/>
    <w:multiLevelType w:val="hybridMultilevel"/>
    <w:tmpl w:val="6AD87DB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
    <w:nsid w:val="0EC375CC"/>
    <w:multiLevelType w:val="hybridMultilevel"/>
    <w:tmpl w:val="54A24FC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468CC"/>
    <w:multiLevelType w:val="hybridMultilevel"/>
    <w:tmpl w:val="4F8C2782"/>
    <w:lvl w:ilvl="0" w:tplc="1602B628">
      <w:start w:val="1"/>
      <w:numFmt w:val="bullet"/>
      <w:lvlText w:val=""/>
      <w:lvlJc w:val="left"/>
      <w:pPr>
        <w:tabs>
          <w:tab w:val="num" w:pos="360"/>
        </w:tabs>
        <w:ind w:left="360" w:hanging="360"/>
      </w:pPr>
      <w:rPr>
        <w:rFonts w:ascii="Symbol" w:hAnsi="Symbol" w:hint="default"/>
        <w:sz w:val="22"/>
        <w:szCs w:val="22"/>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139D1D9C"/>
    <w:multiLevelType w:val="hybridMultilevel"/>
    <w:tmpl w:val="680E4754"/>
    <w:lvl w:ilvl="0" w:tplc="55AC18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A821202"/>
    <w:multiLevelType w:val="hybridMultilevel"/>
    <w:tmpl w:val="6F92CC9A"/>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51CDC"/>
    <w:multiLevelType w:val="hybridMultilevel"/>
    <w:tmpl w:val="A8D4775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1B4426AB"/>
    <w:multiLevelType w:val="hybridMultilevel"/>
    <w:tmpl w:val="7CD0BC24"/>
    <w:lvl w:ilvl="0" w:tplc="6D8E61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F1333"/>
    <w:multiLevelType w:val="hybridMultilevel"/>
    <w:tmpl w:val="9F00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9E7302"/>
    <w:multiLevelType w:val="hybridMultilevel"/>
    <w:tmpl w:val="DDCC5CFA"/>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210D2234"/>
    <w:multiLevelType w:val="hybridMultilevel"/>
    <w:tmpl w:val="0024E6E6"/>
    <w:lvl w:ilvl="0" w:tplc="0409000F">
      <w:start w:val="4"/>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805E1"/>
    <w:multiLevelType w:val="hybridMultilevel"/>
    <w:tmpl w:val="8608548E"/>
    <w:lvl w:ilvl="0" w:tplc="31B0744E">
      <w:start w:val="6"/>
      <w:numFmt w:val="bullet"/>
      <w:lvlText w:val="-"/>
      <w:lvlJc w:val="left"/>
      <w:pPr>
        <w:ind w:left="360" w:hanging="360"/>
      </w:pPr>
      <w:rPr>
        <w:rFonts w:ascii="Times New Roman" w:eastAsia="Times New Roman" w:hAnsi="Times New Roman" w:cs="Times New Roman" w:hint="default"/>
      </w:rPr>
    </w:lvl>
    <w:lvl w:ilvl="1" w:tplc="31B0744E">
      <w:start w:val="6"/>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7D1866"/>
    <w:multiLevelType w:val="hybridMultilevel"/>
    <w:tmpl w:val="77845D3C"/>
    <w:lvl w:ilvl="0" w:tplc="04090001">
      <w:start w:val="1"/>
      <w:numFmt w:val="bullet"/>
      <w:pStyle w:val="Bullet1"/>
      <w:lvlText w:val=""/>
      <w:lvlJc w:val="left"/>
      <w:pPr>
        <w:tabs>
          <w:tab w:val="num" w:pos="288"/>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2B3F8A"/>
    <w:multiLevelType w:val="hybridMultilevel"/>
    <w:tmpl w:val="7F72DD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nsid w:val="295C6C23"/>
    <w:multiLevelType w:val="hybridMultilevel"/>
    <w:tmpl w:val="B478EFD2"/>
    <w:lvl w:ilvl="0" w:tplc="04090001">
      <w:start w:val="1"/>
      <w:numFmt w:val="bullet"/>
      <w:lvlText w:val=""/>
      <w:lvlJc w:val="left"/>
      <w:pPr>
        <w:tabs>
          <w:tab w:val="num" w:pos="-60"/>
        </w:tabs>
        <w:ind w:left="-60" w:hanging="360"/>
      </w:pPr>
      <w:rPr>
        <w:rFonts w:ascii="Symbol" w:hAnsi="Symbol" w:hint="default"/>
      </w:rPr>
    </w:lvl>
    <w:lvl w:ilvl="1" w:tplc="04090003">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8">
    <w:nsid w:val="2ABB7B09"/>
    <w:multiLevelType w:val="hybridMultilevel"/>
    <w:tmpl w:val="CE02C1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D967E9C"/>
    <w:multiLevelType w:val="hybridMultilevel"/>
    <w:tmpl w:val="04C8C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8326A9"/>
    <w:multiLevelType w:val="hybridMultilevel"/>
    <w:tmpl w:val="CF326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1A497F"/>
    <w:multiLevelType w:val="hybridMultilevel"/>
    <w:tmpl w:val="BD502BD2"/>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E870C1"/>
    <w:multiLevelType w:val="hybridMultilevel"/>
    <w:tmpl w:val="F4F271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0D56FE"/>
    <w:multiLevelType w:val="hybridMultilevel"/>
    <w:tmpl w:val="4B5A33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4">
    <w:nsid w:val="3B32237B"/>
    <w:multiLevelType w:val="hybridMultilevel"/>
    <w:tmpl w:val="0B24E590"/>
    <w:lvl w:ilvl="0" w:tplc="B0D2E920">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nsid w:val="3EBF6ED1"/>
    <w:multiLevelType w:val="hybridMultilevel"/>
    <w:tmpl w:val="C93487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60714F"/>
    <w:multiLevelType w:val="hybridMultilevel"/>
    <w:tmpl w:val="E6B41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5134CD"/>
    <w:multiLevelType w:val="hybridMultilevel"/>
    <w:tmpl w:val="929286F4"/>
    <w:lvl w:ilvl="0" w:tplc="08130019">
      <w:start w:val="1"/>
      <w:numFmt w:val="lowerLetter"/>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28">
    <w:nsid w:val="4C884821"/>
    <w:multiLevelType w:val="hybridMultilevel"/>
    <w:tmpl w:val="CFAA4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E9C6E77"/>
    <w:multiLevelType w:val="multilevel"/>
    <w:tmpl w:val="2CA89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9B775C"/>
    <w:multiLevelType w:val="multilevel"/>
    <w:tmpl w:val="C29A3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2E5967"/>
    <w:multiLevelType w:val="hybridMultilevel"/>
    <w:tmpl w:val="60FABB9E"/>
    <w:lvl w:ilvl="0" w:tplc="0409000B">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1D5A8F"/>
    <w:multiLevelType w:val="hybridMultilevel"/>
    <w:tmpl w:val="EC8C3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nsid w:val="61EB4731"/>
    <w:multiLevelType w:val="multilevel"/>
    <w:tmpl w:val="EF66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6160C2"/>
    <w:multiLevelType w:val="hybridMultilevel"/>
    <w:tmpl w:val="8A820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3AD2DC1"/>
    <w:multiLevelType w:val="hybridMultilevel"/>
    <w:tmpl w:val="1E68E640"/>
    <w:lvl w:ilvl="0" w:tplc="105C1A36">
      <w:numFmt w:val="bullet"/>
      <w:lvlText w:val="•"/>
      <w:lvlJc w:val="left"/>
      <w:pPr>
        <w:ind w:left="570" w:hanging="57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3DF1BED"/>
    <w:multiLevelType w:val="hybridMultilevel"/>
    <w:tmpl w:val="A31CE6D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C77F8B"/>
    <w:multiLevelType w:val="hybridMultilevel"/>
    <w:tmpl w:val="A8DEF5D2"/>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8">
    <w:nsid w:val="67DE03F9"/>
    <w:multiLevelType w:val="hybridMultilevel"/>
    <w:tmpl w:val="3952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3D1B11"/>
    <w:multiLevelType w:val="hybridMultilevel"/>
    <w:tmpl w:val="058C30A2"/>
    <w:lvl w:ilvl="0" w:tplc="6D8E61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C35166"/>
    <w:multiLevelType w:val="hybridMultilevel"/>
    <w:tmpl w:val="EFFC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942D53"/>
    <w:multiLevelType w:val="hybridMultilevel"/>
    <w:tmpl w:val="09C4F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0A191A"/>
    <w:multiLevelType w:val="hybridMultilevel"/>
    <w:tmpl w:val="EBAE2D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nsid w:val="770E1495"/>
    <w:multiLevelType w:val="hybridMultilevel"/>
    <w:tmpl w:val="73B66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7"/>
  </w:num>
  <w:num w:numId="5">
    <w:abstractNumId w:val="15"/>
  </w:num>
  <w:num w:numId="6">
    <w:abstractNumId w:val="23"/>
  </w:num>
  <w:num w:numId="7">
    <w:abstractNumId w:val="4"/>
  </w:num>
  <w:num w:numId="8">
    <w:abstractNumId w:val="37"/>
  </w:num>
  <w:num w:numId="9">
    <w:abstractNumId w:val="26"/>
  </w:num>
  <w:num w:numId="10">
    <w:abstractNumId w:val="14"/>
  </w:num>
  <w:num w:numId="11">
    <w:abstractNumId w:val="6"/>
  </w:num>
  <w:num w:numId="12">
    <w:abstractNumId w:val="35"/>
  </w:num>
  <w:num w:numId="13">
    <w:abstractNumId w:val="16"/>
  </w:num>
  <w:num w:numId="14">
    <w:abstractNumId w:val="19"/>
  </w:num>
  <w:num w:numId="15">
    <w:abstractNumId w:val="31"/>
  </w:num>
  <w:num w:numId="16">
    <w:abstractNumId w:val="25"/>
  </w:num>
  <w:num w:numId="17">
    <w:abstractNumId w:val="12"/>
  </w:num>
  <w:num w:numId="18">
    <w:abstractNumId w:val="22"/>
  </w:num>
  <w:num w:numId="19">
    <w:abstractNumId w:val="9"/>
  </w:num>
  <w:num w:numId="20">
    <w:abstractNumId w:val="24"/>
  </w:num>
  <w:num w:numId="21">
    <w:abstractNumId w:val="29"/>
  </w:num>
  <w:num w:numId="22">
    <w:abstractNumId w:val="33"/>
  </w:num>
  <w:num w:numId="23">
    <w:abstractNumId w:val="30"/>
  </w:num>
  <w:num w:numId="24">
    <w:abstractNumId w:val="38"/>
  </w:num>
  <w:num w:numId="25">
    <w:abstractNumId w:val="8"/>
  </w:num>
  <w:num w:numId="26">
    <w:abstractNumId w:val="3"/>
  </w:num>
  <w:num w:numId="27">
    <w:abstractNumId w:val="39"/>
  </w:num>
  <w:num w:numId="28">
    <w:abstractNumId w:val="10"/>
  </w:num>
  <w:num w:numId="29">
    <w:abstractNumId w:val="18"/>
  </w:num>
  <w:num w:numId="30">
    <w:abstractNumId w:val="28"/>
  </w:num>
  <w:num w:numId="31">
    <w:abstractNumId w:val="40"/>
  </w:num>
  <w:num w:numId="32">
    <w:abstractNumId w:val="41"/>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1"/>
  </w:num>
  <w:num w:numId="36">
    <w:abstractNumId w:val="13"/>
  </w:num>
  <w:num w:numId="37">
    <w:abstractNumId w:val="5"/>
  </w:num>
  <w:num w:numId="38">
    <w:abstractNumId w:val="11"/>
  </w:num>
  <w:num w:numId="39">
    <w:abstractNumId w:val="36"/>
  </w:num>
  <w:num w:numId="40">
    <w:abstractNumId w:val="27"/>
  </w:num>
  <w:num w:numId="41">
    <w:abstractNumId w:val="34"/>
  </w:num>
  <w:num w:numId="42">
    <w:abstractNumId w:val="7"/>
  </w:num>
  <w:num w:numId="43">
    <w:abstractNumId w:val="20"/>
  </w:num>
  <w:num w:numId="44">
    <w:abstractNumId w:val="4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de-CH" w:vendorID="64" w:dllVersion="131078" w:nlCheck="1" w:checkStyle="1"/>
  <w:activeWritingStyle w:appName="MSWord" w:lang="fr-B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EA"/>
    <w:rsid w:val="000023F4"/>
    <w:rsid w:val="00002751"/>
    <w:rsid w:val="00003AAE"/>
    <w:rsid w:val="000046BB"/>
    <w:rsid w:val="00005326"/>
    <w:rsid w:val="0000613A"/>
    <w:rsid w:val="00007A18"/>
    <w:rsid w:val="0001006A"/>
    <w:rsid w:val="00011484"/>
    <w:rsid w:val="000116F5"/>
    <w:rsid w:val="0001250C"/>
    <w:rsid w:val="00012A47"/>
    <w:rsid w:val="00012C26"/>
    <w:rsid w:val="00012FD5"/>
    <w:rsid w:val="00015B02"/>
    <w:rsid w:val="00021FF6"/>
    <w:rsid w:val="00024080"/>
    <w:rsid w:val="00025122"/>
    <w:rsid w:val="000261BE"/>
    <w:rsid w:val="00026C54"/>
    <w:rsid w:val="00027734"/>
    <w:rsid w:val="00027CB6"/>
    <w:rsid w:val="00027DC9"/>
    <w:rsid w:val="00027EAD"/>
    <w:rsid w:val="00031076"/>
    <w:rsid w:val="000310D0"/>
    <w:rsid w:val="00031704"/>
    <w:rsid w:val="0003711C"/>
    <w:rsid w:val="000403EF"/>
    <w:rsid w:val="00041D7C"/>
    <w:rsid w:val="00042762"/>
    <w:rsid w:val="00043CF8"/>
    <w:rsid w:val="00045D72"/>
    <w:rsid w:val="00046073"/>
    <w:rsid w:val="000463E8"/>
    <w:rsid w:val="000505DF"/>
    <w:rsid w:val="00051956"/>
    <w:rsid w:val="00052B60"/>
    <w:rsid w:val="00052EEF"/>
    <w:rsid w:val="00054D44"/>
    <w:rsid w:val="00056444"/>
    <w:rsid w:val="0005665A"/>
    <w:rsid w:val="00060747"/>
    <w:rsid w:val="00060B88"/>
    <w:rsid w:val="00061ECA"/>
    <w:rsid w:val="00066355"/>
    <w:rsid w:val="00067C76"/>
    <w:rsid w:val="00067E3D"/>
    <w:rsid w:val="00070D1A"/>
    <w:rsid w:val="0007129E"/>
    <w:rsid w:val="00074504"/>
    <w:rsid w:val="00075BDF"/>
    <w:rsid w:val="00077658"/>
    <w:rsid w:val="00081579"/>
    <w:rsid w:val="00081E6D"/>
    <w:rsid w:val="00084FAC"/>
    <w:rsid w:val="00085781"/>
    <w:rsid w:val="000863B0"/>
    <w:rsid w:val="00086803"/>
    <w:rsid w:val="000869AB"/>
    <w:rsid w:val="00086F1E"/>
    <w:rsid w:val="00087156"/>
    <w:rsid w:val="00087342"/>
    <w:rsid w:val="00087367"/>
    <w:rsid w:val="00090231"/>
    <w:rsid w:val="000914FC"/>
    <w:rsid w:val="00091859"/>
    <w:rsid w:val="00092250"/>
    <w:rsid w:val="00092E9D"/>
    <w:rsid w:val="000932EB"/>
    <w:rsid w:val="00093B71"/>
    <w:rsid w:val="00094101"/>
    <w:rsid w:val="00095DD0"/>
    <w:rsid w:val="00097B97"/>
    <w:rsid w:val="000A0BF0"/>
    <w:rsid w:val="000A1F62"/>
    <w:rsid w:val="000A3179"/>
    <w:rsid w:val="000A3ED0"/>
    <w:rsid w:val="000A41BA"/>
    <w:rsid w:val="000A4C59"/>
    <w:rsid w:val="000A5499"/>
    <w:rsid w:val="000A5612"/>
    <w:rsid w:val="000A671D"/>
    <w:rsid w:val="000B00A0"/>
    <w:rsid w:val="000B0EB9"/>
    <w:rsid w:val="000B1AEF"/>
    <w:rsid w:val="000B2336"/>
    <w:rsid w:val="000B4540"/>
    <w:rsid w:val="000B5A96"/>
    <w:rsid w:val="000B6479"/>
    <w:rsid w:val="000B68DE"/>
    <w:rsid w:val="000B744B"/>
    <w:rsid w:val="000C04C3"/>
    <w:rsid w:val="000C15EF"/>
    <w:rsid w:val="000C1A81"/>
    <w:rsid w:val="000C23A1"/>
    <w:rsid w:val="000C24FD"/>
    <w:rsid w:val="000C5DB1"/>
    <w:rsid w:val="000C5DC6"/>
    <w:rsid w:val="000C62DB"/>
    <w:rsid w:val="000C76DE"/>
    <w:rsid w:val="000D0B33"/>
    <w:rsid w:val="000D1855"/>
    <w:rsid w:val="000D2CEE"/>
    <w:rsid w:val="000D49DB"/>
    <w:rsid w:val="000D50CE"/>
    <w:rsid w:val="000D5123"/>
    <w:rsid w:val="000D6E2B"/>
    <w:rsid w:val="000E0B3B"/>
    <w:rsid w:val="000E0ED4"/>
    <w:rsid w:val="000E15A7"/>
    <w:rsid w:val="000E1856"/>
    <w:rsid w:val="000E23C0"/>
    <w:rsid w:val="000E2F18"/>
    <w:rsid w:val="000E3E8C"/>
    <w:rsid w:val="000E4BEE"/>
    <w:rsid w:val="000E5724"/>
    <w:rsid w:val="000F3DE3"/>
    <w:rsid w:val="000F4512"/>
    <w:rsid w:val="000F5652"/>
    <w:rsid w:val="000F6CDB"/>
    <w:rsid w:val="001003C7"/>
    <w:rsid w:val="00101C40"/>
    <w:rsid w:val="00102351"/>
    <w:rsid w:val="001038F1"/>
    <w:rsid w:val="00107F89"/>
    <w:rsid w:val="00110063"/>
    <w:rsid w:val="001108DB"/>
    <w:rsid w:val="00112B85"/>
    <w:rsid w:val="00112EF4"/>
    <w:rsid w:val="00113373"/>
    <w:rsid w:val="00115652"/>
    <w:rsid w:val="00117910"/>
    <w:rsid w:val="00121202"/>
    <w:rsid w:val="001216AB"/>
    <w:rsid w:val="00122486"/>
    <w:rsid w:val="00123755"/>
    <w:rsid w:val="001244D3"/>
    <w:rsid w:val="00124B43"/>
    <w:rsid w:val="00125194"/>
    <w:rsid w:val="00131259"/>
    <w:rsid w:val="00132172"/>
    <w:rsid w:val="00132AB0"/>
    <w:rsid w:val="00133828"/>
    <w:rsid w:val="00133DD6"/>
    <w:rsid w:val="00135C37"/>
    <w:rsid w:val="001404D6"/>
    <w:rsid w:val="0014173D"/>
    <w:rsid w:val="001425F5"/>
    <w:rsid w:val="001501FE"/>
    <w:rsid w:val="00150359"/>
    <w:rsid w:val="00150CED"/>
    <w:rsid w:val="00151E3D"/>
    <w:rsid w:val="00152426"/>
    <w:rsid w:val="00152916"/>
    <w:rsid w:val="00155256"/>
    <w:rsid w:val="00156199"/>
    <w:rsid w:val="0016035B"/>
    <w:rsid w:val="00160938"/>
    <w:rsid w:val="00162D78"/>
    <w:rsid w:val="00164BB6"/>
    <w:rsid w:val="0016523C"/>
    <w:rsid w:val="00165897"/>
    <w:rsid w:val="00166254"/>
    <w:rsid w:val="00167662"/>
    <w:rsid w:val="00167C07"/>
    <w:rsid w:val="00170A6A"/>
    <w:rsid w:val="00172FF8"/>
    <w:rsid w:val="00173CFA"/>
    <w:rsid w:val="00174181"/>
    <w:rsid w:val="001744A3"/>
    <w:rsid w:val="0017623E"/>
    <w:rsid w:val="00177031"/>
    <w:rsid w:val="00180057"/>
    <w:rsid w:val="0018148F"/>
    <w:rsid w:val="001814B0"/>
    <w:rsid w:val="00181E1D"/>
    <w:rsid w:val="00182161"/>
    <w:rsid w:val="00183DCF"/>
    <w:rsid w:val="00184B4A"/>
    <w:rsid w:val="00184B97"/>
    <w:rsid w:val="00186D1B"/>
    <w:rsid w:val="00191102"/>
    <w:rsid w:val="0019320E"/>
    <w:rsid w:val="00193A6A"/>
    <w:rsid w:val="001947D3"/>
    <w:rsid w:val="0019515B"/>
    <w:rsid w:val="0019532B"/>
    <w:rsid w:val="00195BF2"/>
    <w:rsid w:val="00195ECC"/>
    <w:rsid w:val="001A0274"/>
    <w:rsid w:val="001A0B2D"/>
    <w:rsid w:val="001A0CA5"/>
    <w:rsid w:val="001A0F7F"/>
    <w:rsid w:val="001A3C80"/>
    <w:rsid w:val="001A53AB"/>
    <w:rsid w:val="001A5EDB"/>
    <w:rsid w:val="001B005B"/>
    <w:rsid w:val="001B13CB"/>
    <w:rsid w:val="001B3E71"/>
    <w:rsid w:val="001B5227"/>
    <w:rsid w:val="001B5D8D"/>
    <w:rsid w:val="001B61EE"/>
    <w:rsid w:val="001B7973"/>
    <w:rsid w:val="001C1C5D"/>
    <w:rsid w:val="001C24A5"/>
    <w:rsid w:val="001C37CE"/>
    <w:rsid w:val="001C5269"/>
    <w:rsid w:val="001C56D2"/>
    <w:rsid w:val="001C5CD7"/>
    <w:rsid w:val="001C6816"/>
    <w:rsid w:val="001C72D6"/>
    <w:rsid w:val="001C7B9D"/>
    <w:rsid w:val="001C7C7E"/>
    <w:rsid w:val="001D0847"/>
    <w:rsid w:val="001D093C"/>
    <w:rsid w:val="001D2FA2"/>
    <w:rsid w:val="001D4109"/>
    <w:rsid w:val="001D6EBF"/>
    <w:rsid w:val="001D7CEB"/>
    <w:rsid w:val="001E051B"/>
    <w:rsid w:val="001E0C62"/>
    <w:rsid w:val="001E14EA"/>
    <w:rsid w:val="001E192C"/>
    <w:rsid w:val="001E25E8"/>
    <w:rsid w:val="001E38A4"/>
    <w:rsid w:val="001E4E0F"/>
    <w:rsid w:val="001F01A8"/>
    <w:rsid w:val="001F122E"/>
    <w:rsid w:val="001F255A"/>
    <w:rsid w:val="001F29AE"/>
    <w:rsid w:val="001F3384"/>
    <w:rsid w:val="001F48B3"/>
    <w:rsid w:val="001F59EA"/>
    <w:rsid w:val="001F6455"/>
    <w:rsid w:val="00200BA7"/>
    <w:rsid w:val="002022FD"/>
    <w:rsid w:val="0020373F"/>
    <w:rsid w:val="00207D75"/>
    <w:rsid w:val="002129E2"/>
    <w:rsid w:val="00213D6D"/>
    <w:rsid w:val="00216B34"/>
    <w:rsid w:val="00220195"/>
    <w:rsid w:val="00221348"/>
    <w:rsid w:val="00221DD2"/>
    <w:rsid w:val="00221E49"/>
    <w:rsid w:val="0022547F"/>
    <w:rsid w:val="00225B12"/>
    <w:rsid w:val="00225EBA"/>
    <w:rsid w:val="00226580"/>
    <w:rsid w:val="00226A89"/>
    <w:rsid w:val="00226DBA"/>
    <w:rsid w:val="00230B26"/>
    <w:rsid w:val="00231D2B"/>
    <w:rsid w:val="00233081"/>
    <w:rsid w:val="0023552B"/>
    <w:rsid w:val="0023608A"/>
    <w:rsid w:val="002360F3"/>
    <w:rsid w:val="002368EB"/>
    <w:rsid w:val="00237828"/>
    <w:rsid w:val="0024333F"/>
    <w:rsid w:val="0024427C"/>
    <w:rsid w:val="0024592B"/>
    <w:rsid w:val="00245FEF"/>
    <w:rsid w:val="002522D6"/>
    <w:rsid w:val="0025376B"/>
    <w:rsid w:val="00255246"/>
    <w:rsid w:val="00255794"/>
    <w:rsid w:val="00255A60"/>
    <w:rsid w:val="00255B8A"/>
    <w:rsid w:val="002566BB"/>
    <w:rsid w:val="00256A4B"/>
    <w:rsid w:val="00257C8C"/>
    <w:rsid w:val="00260499"/>
    <w:rsid w:val="002606EA"/>
    <w:rsid w:val="002638A5"/>
    <w:rsid w:val="0026490D"/>
    <w:rsid w:val="00267E76"/>
    <w:rsid w:val="00267ED7"/>
    <w:rsid w:val="0027183B"/>
    <w:rsid w:val="002761EF"/>
    <w:rsid w:val="00276B49"/>
    <w:rsid w:val="00280187"/>
    <w:rsid w:val="00280484"/>
    <w:rsid w:val="00283162"/>
    <w:rsid w:val="00283910"/>
    <w:rsid w:val="00284A27"/>
    <w:rsid w:val="002865FC"/>
    <w:rsid w:val="0028713E"/>
    <w:rsid w:val="0029004E"/>
    <w:rsid w:val="0029023A"/>
    <w:rsid w:val="00290604"/>
    <w:rsid w:val="00291D5F"/>
    <w:rsid w:val="00292A12"/>
    <w:rsid w:val="00294A37"/>
    <w:rsid w:val="00295AFD"/>
    <w:rsid w:val="00295E68"/>
    <w:rsid w:val="002963BB"/>
    <w:rsid w:val="0029667A"/>
    <w:rsid w:val="00297876"/>
    <w:rsid w:val="002A15F5"/>
    <w:rsid w:val="002A1990"/>
    <w:rsid w:val="002A1FA7"/>
    <w:rsid w:val="002A21F7"/>
    <w:rsid w:val="002A2318"/>
    <w:rsid w:val="002A24E8"/>
    <w:rsid w:val="002A6910"/>
    <w:rsid w:val="002B1F9E"/>
    <w:rsid w:val="002B1FB5"/>
    <w:rsid w:val="002B3522"/>
    <w:rsid w:val="002B44F5"/>
    <w:rsid w:val="002B47D0"/>
    <w:rsid w:val="002B5EA9"/>
    <w:rsid w:val="002B7EA6"/>
    <w:rsid w:val="002C0C7D"/>
    <w:rsid w:val="002C3B04"/>
    <w:rsid w:val="002C509D"/>
    <w:rsid w:val="002C6A5F"/>
    <w:rsid w:val="002C7BC1"/>
    <w:rsid w:val="002D1150"/>
    <w:rsid w:val="002D2CE5"/>
    <w:rsid w:val="002D3EEA"/>
    <w:rsid w:val="002D5B05"/>
    <w:rsid w:val="002D67B5"/>
    <w:rsid w:val="002D6A3F"/>
    <w:rsid w:val="002D6C46"/>
    <w:rsid w:val="002D7018"/>
    <w:rsid w:val="002E133C"/>
    <w:rsid w:val="002E26E7"/>
    <w:rsid w:val="002E40A0"/>
    <w:rsid w:val="002E45E6"/>
    <w:rsid w:val="002E5B6F"/>
    <w:rsid w:val="002E6990"/>
    <w:rsid w:val="002E7A3A"/>
    <w:rsid w:val="002F3FA4"/>
    <w:rsid w:val="002F4F0D"/>
    <w:rsid w:val="002F53EF"/>
    <w:rsid w:val="002F66B9"/>
    <w:rsid w:val="002F6EA1"/>
    <w:rsid w:val="0030287B"/>
    <w:rsid w:val="00302BDC"/>
    <w:rsid w:val="0030305F"/>
    <w:rsid w:val="003056EE"/>
    <w:rsid w:val="0030663A"/>
    <w:rsid w:val="00306E19"/>
    <w:rsid w:val="00310AD9"/>
    <w:rsid w:val="003130C9"/>
    <w:rsid w:val="003139D4"/>
    <w:rsid w:val="00313DD5"/>
    <w:rsid w:val="00314A28"/>
    <w:rsid w:val="003153EB"/>
    <w:rsid w:val="0031618A"/>
    <w:rsid w:val="00320E95"/>
    <w:rsid w:val="00322278"/>
    <w:rsid w:val="003226F7"/>
    <w:rsid w:val="003246D8"/>
    <w:rsid w:val="00325399"/>
    <w:rsid w:val="00333D74"/>
    <w:rsid w:val="00334651"/>
    <w:rsid w:val="00334844"/>
    <w:rsid w:val="00334A58"/>
    <w:rsid w:val="0033511B"/>
    <w:rsid w:val="0033514F"/>
    <w:rsid w:val="003351C1"/>
    <w:rsid w:val="00335837"/>
    <w:rsid w:val="00336DDF"/>
    <w:rsid w:val="00337FA6"/>
    <w:rsid w:val="0034204F"/>
    <w:rsid w:val="003422DC"/>
    <w:rsid w:val="0034322F"/>
    <w:rsid w:val="003446EF"/>
    <w:rsid w:val="00344A86"/>
    <w:rsid w:val="00345902"/>
    <w:rsid w:val="00346730"/>
    <w:rsid w:val="0034676F"/>
    <w:rsid w:val="00346FC2"/>
    <w:rsid w:val="0034709B"/>
    <w:rsid w:val="003470B1"/>
    <w:rsid w:val="0035098F"/>
    <w:rsid w:val="003512F9"/>
    <w:rsid w:val="00351C19"/>
    <w:rsid w:val="00351F98"/>
    <w:rsid w:val="00353A77"/>
    <w:rsid w:val="00353ABA"/>
    <w:rsid w:val="00355837"/>
    <w:rsid w:val="0035750E"/>
    <w:rsid w:val="00357A92"/>
    <w:rsid w:val="003618D4"/>
    <w:rsid w:val="00361C64"/>
    <w:rsid w:val="003622D8"/>
    <w:rsid w:val="003629B3"/>
    <w:rsid w:val="003636F3"/>
    <w:rsid w:val="003638F2"/>
    <w:rsid w:val="0036405B"/>
    <w:rsid w:val="00364EE8"/>
    <w:rsid w:val="00365974"/>
    <w:rsid w:val="00365B45"/>
    <w:rsid w:val="003664D2"/>
    <w:rsid w:val="003679FA"/>
    <w:rsid w:val="00370924"/>
    <w:rsid w:val="00370B75"/>
    <w:rsid w:val="00371583"/>
    <w:rsid w:val="00371DCC"/>
    <w:rsid w:val="00373594"/>
    <w:rsid w:val="00373E46"/>
    <w:rsid w:val="00375052"/>
    <w:rsid w:val="003751EE"/>
    <w:rsid w:val="00382BC0"/>
    <w:rsid w:val="00383E9B"/>
    <w:rsid w:val="00384552"/>
    <w:rsid w:val="00390725"/>
    <w:rsid w:val="00391BF9"/>
    <w:rsid w:val="00391CB3"/>
    <w:rsid w:val="0039316D"/>
    <w:rsid w:val="003936DB"/>
    <w:rsid w:val="00393A1F"/>
    <w:rsid w:val="003966F8"/>
    <w:rsid w:val="0039700F"/>
    <w:rsid w:val="003A0AC4"/>
    <w:rsid w:val="003A0BEF"/>
    <w:rsid w:val="003A45BB"/>
    <w:rsid w:val="003A5DCC"/>
    <w:rsid w:val="003A5EE0"/>
    <w:rsid w:val="003B09BB"/>
    <w:rsid w:val="003B2105"/>
    <w:rsid w:val="003B2758"/>
    <w:rsid w:val="003B3A78"/>
    <w:rsid w:val="003B41EC"/>
    <w:rsid w:val="003B468A"/>
    <w:rsid w:val="003B5D03"/>
    <w:rsid w:val="003B6BCE"/>
    <w:rsid w:val="003B7478"/>
    <w:rsid w:val="003C3CD6"/>
    <w:rsid w:val="003C5307"/>
    <w:rsid w:val="003C5343"/>
    <w:rsid w:val="003C536D"/>
    <w:rsid w:val="003C69C2"/>
    <w:rsid w:val="003C71B4"/>
    <w:rsid w:val="003D0B47"/>
    <w:rsid w:val="003D3399"/>
    <w:rsid w:val="003D58C1"/>
    <w:rsid w:val="003D5FAE"/>
    <w:rsid w:val="003D5FD4"/>
    <w:rsid w:val="003D63E9"/>
    <w:rsid w:val="003D64C9"/>
    <w:rsid w:val="003D7200"/>
    <w:rsid w:val="003D766F"/>
    <w:rsid w:val="003D7968"/>
    <w:rsid w:val="003E0B7B"/>
    <w:rsid w:val="003E0E4B"/>
    <w:rsid w:val="003E17F2"/>
    <w:rsid w:val="003E1884"/>
    <w:rsid w:val="003E2312"/>
    <w:rsid w:val="003E2E7A"/>
    <w:rsid w:val="003E3B5F"/>
    <w:rsid w:val="003E596E"/>
    <w:rsid w:val="003E6C17"/>
    <w:rsid w:val="003E7022"/>
    <w:rsid w:val="003E75F3"/>
    <w:rsid w:val="003E7A53"/>
    <w:rsid w:val="003E7DC3"/>
    <w:rsid w:val="003F025D"/>
    <w:rsid w:val="003F0876"/>
    <w:rsid w:val="003F19EC"/>
    <w:rsid w:val="003F2D39"/>
    <w:rsid w:val="003F33DD"/>
    <w:rsid w:val="003F7D93"/>
    <w:rsid w:val="00400144"/>
    <w:rsid w:val="00400A75"/>
    <w:rsid w:val="00400E19"/>
    <w:rsid w:val="004025DE"/>
    <w:rsid w:val="00402D4E"/>
    <w:rsid w:val="00402D83"/>
    <w:rsid w:val="00403AF6"/>
    <w:rsid w:val="004040ED"/>
    <w:rsid w:val="004043F5"/>
    <w:rsid w:val="004051C6"/>
    <w:rsid w:val="00407D09"/>
    <w:rsid w:val="004104E3"/>
    <w:rsid w:val="00410DC9"/>
    <w:rsid w:val="004157A3"/>
    <w:rsid w:val="00415C2A"/>
    <w:rsid w:val="004163F5"/>
    <w:rsid w:val="00416A07"/>
    <w:rsid w:val="00417DF4"/>
    <w:rsid w:val="004207B8"/>
    <w:rsid w:val="00422BCA"/>
    <w:rsid w:val="0042312C"/>
    <w:rsid w:val="00423FA5"/>
    <w:rsid w:val="004256C2"/>
    <w:rsid w:val="00425CBA"/>
    <w:rsid w:val="00426BBA"/>
    <w:rsid w:val="0042746E"/>
    <w:rsid w:val="00430426"/>
    <w:rsid w:val="00431655"/>
    <w:rsid w:val="004316D8"/>
    <w:rsid w:val="00431982"/>
    <w:rsid w:val="00431A3E"/>
    <w:rsid w:val="00432534"/>
    <w:rsid w:val="00433022"/>
    <w:rsid w:val="004339FA"/>
    <w:rsid w:val="00433A40"/>
    <w:rsid w:val="00434A5E"/>
    <w:rsid w:val="00434AC9"/>
    <w:rsid w:val="004350D2"/>
    <w:rsid w:val="00436E7C"/>
    <w:rsid w:val="0043778E"/>
    <w:rsid w:val="00437990"/>
    <w:rsid w:val="00441B7C"/>
    <w:rsid w:val="0044307F"/>
    <w:rsid w:val="00444873"/>
    <w:rsid w:val="00445D27"/>
    <w:rsid w:val="00445E6C"/>
    <w:rsid w:val="004460A2"/>
    <w:rsid w:val="0044703B"/>
    <w:rsid w:val="00450DC6"/>
    <w:rsid w:val="00450DDF"/>
    <w:rsid w:val="004530CF"/>
    <w:rsid w:val="00454AF9"/>
    <w:rsid w:val="00455D13"/>
    <w:rsid w:val="004564B4"/>
    <w:rsid w:val="004603BE"/>
    <w:rsid w:val="00461514"/>
    <w:rsid w:val="00462DEA"/>
    <w:rsid w:val="00463E52"/>
    <w:rsid w:val="00464B81"/>
    <w:rsid w:val="004658DF"/>
    <w:rsid w:val="00465A6B"/>
    <w:rsid w:val="004670B5"/>
    <w:rsid w:val="0047114E"/>
    <w:rsid w:val="004720E5"/>
    <w:rsid w:val="004731F3"/>
    <w:rsid w:val="00473264"/>
    <w:rsid w:val="004750E0"/>
    <w:rsid w:val="004754D5"/>
    <w:rsid w:val="00475A56"/>
    <w:rsid w:val="00475B3C"/>
    <w:rsid w:val="00477437"/>
    <w:rsid w:val="004776EE"/>
    <w:rsid w:val="0048141F"/>
    <w:rsid w:val="0048151F"/>
    <w:rsid w:val="00481EFF"/>
    <w:rsid w:val="00483489"/>
    <w:rsid w:val="00483A00"/>
    <w:rsid w:val="00485844"/>
    <w:rsid w:val="00487291"/>
    <w:rsid w:val="004900D6"/>
    <w:rsid w:val="00490370"/>
    <w:rsid w:val="00492979"/>
    <w:rsid w:val="00492B0B"/>
    <w:rsid w:val="00493461"/>
    <w:rsid w:val="00494A32"/>
    <w:rsid w:val="00495F6F"/>
    <w:rsid w:val="0049696E"/>
    <w:rsid w:val="00497451"/>
    <w:rsid w:val="004979E1"/>
    <w:rsid w:val="004A107D"/>
    <w:rsid w:val="004A172B"/>
    <w:rsid w:val="004A249E"/>
    <w:rsid w:val="004A4A34"/>
    <w:rsid w:val="004A4D8A"/>
    <w:rsid w:val="004A6914"/>
    <w:rsid w:val="004A7524"/>
    <w:rsid w:val="004B0714"/>
    <w:rsid w:val="004B27EE"/>
    <w:rsid w:val="004B3378"/>
    <w:rsid w:val="004B40B8"/>
    <w:rsid w:val="004B4A0F"/>
    <w:rsid w:val="004B6603"/>
    <w:rsid w:val="004B6751"/>
    <w:rsid w:val="004C182D"/>
    <w:rsid w:val="004C24F8"/>
    <w:rsid w:val="004C3734"/>
    <w:rsid w:val="004C4D45"/>
    <w:rsid w:val="004C54F9"/>
    <w:rsid w:val="004C561E"/>
    <w:rsid w:val="004C5761"/>
    <w:rsid w:val="004C6656"/>
    <w:rsid w:val="004C6D55"/>
    <w:rsid w:val="004D13C5"/>
    <w:rsid w:val="004D31FE"/>
    <w:rsid w:val="004D3B60"/>
    <w:rsid w:val="004D4340"/>
    <w:rsid w:val="004D534C"/>
    <w:rsid w:val="004D53A0"/>
    <w:rsid w:val="004D5FF9"/>
    <w:rsid w:val="004D6175"/>
    <w:rsid w:val="004D6FBF"/>
    <w:rsid w:val="004E02DA"/>
    <w:rsid w:val="004E3C3C"/>
    <w:rsid w:val="004E3D02"/>
    <w:rsid w:val="004E466E"/>
    <w:rsid w:val="004E5781"/>
    <w:rsid w:val="004E6442"/>
    <w:rsid w:val="004E6D1A"/>
    <w:rsid w:val="004E77F0"/>
    <w:rsid w:val="004F065E"/>
    <w:rsid w:val="004F29CD"/>
    <w:rsid w:val="004F328E"/>
    <w:rsid w:val="004F60CE"/>
    <w:rsid w:val="004F6347"/>
    <w:rsid w:val="004F743C"/>
    <w:rsid w:val="004F7A8F"/>
    <w:rsid w:val="00500115"/>
    <w:rsid w:val="005007DF"/>
    <w:rsid w:val="0050156F"/>
    <w:rsid w:val="00502C53"/>
    <w:rsid w:val="005037B0"/>
    <w:rsid w:val="0050417C"/>
    <w:rsid w:val="00505119"/>
    <w:rsid w:val="00506BBB"/>
    <w:rsid w:val="00506F8A"/>
    <w:rsid w:val="00507A1A"/>
    <w:rsid w:val="00510E6C"/>
    <w:rsid w:val="005114DE"/>
    <w:rsid w:val="00512667"/>
    <w:rsid w:val="00515EEC"/>
    <w:rsid w:val="005209B0"/>
    <w:rsid w:val="00523839"/>
    <w:rsid w:val="0052412D"/>
    <w:rsid w:val="00525032"/>
    <w:rsid w:val="00525F65"/>
    <w:rsid w:val="00526295"/>
    <w:rsid w:val="00526D07"/>
    <w:rsid w:val="00527294"/>
    <w:rsid w:val="005306D9"/>
    <w:rsid w:val="00531E7B"/>
    <w:rsid w:val="005330BA"/>
    <w:rsid w:val="00536668"/>
    <w:rsid w:val="005373A3"/>
    <w:rsid w:val="00537DB6"/>
    <w:rsid w:val="00537F75"/>
    <w:rsid w:val="005402CF"/>
    <w:rsid w:val="00540847"/>
    <w:rsid w:val="0054105B"/>
    <w:rsid w:val="00541639"/>
    <w:rsid w:val="00541E0F"/>
    <w:rsid w:val="005421AE"/>
    <w:rsid w:val="0054273F"/>
    <w:rsid w:val="00543DD7"/>
    <w:rsid w:val="0054461D"/>
    <w:rsid w:val="005449FD"/>
    <w:rsid w:val="00545D77"/>
    <w:rsid w:val="00546ADA"/>
    <w:rsid w:val="00546E76"/>
    <w:rsid w:val="005504B8"/>
    <w:rsid w:val="00550E10"/>
    <w:rsid w:val="00551FD6"/>
    <w:rsid w:val="0055306A"/>
    <w:rsid w:val="00553626"/>
    <w:rsid w:val="00553D7F"/>
    <w:rsid w:val="00553E9F"/>
    <w:rsid w:val="00555BE1"/>
    <w:rsid w:val="005564E7"/>
    <w:rsid w:val="00560240"/>
    <w:rsid w:val="00561423"/>
    <w:rsid w:val="0056261A"/>
    <w:rsid w:val="00562EB9"/>
    <w:rsid w:val="00563BE9"/>
    <w:rsid w:val="00564356"/>
    <w:rsid w:val="005645E4"/>
    <w:rsid w:val="0056571B"/>
    <w:rsid w:val="00566178"/>
    <w:rsid w:val="005666EC"/>
    <w:rsid w:val="005679DC"/>
    <w:rsid w:val="005707C4"/>
    <w:rsid w:val="0057370B"/>
    <w:rsid w:val="00573CB3"/>
    <w:rsid w:val="00575C96"/>
    <w:rsid w:val="00575F52"/>
    <w:rsid w:val="00577D11"/>
    <w:rsid w:val="00577F0E"/>
    <w:rsid w:val="0058101F"/>
    <w:rsid w:val="0058223A"/>
    <w:rsid w:val="00582B8C"/>
    <w:rsid w:val="0058400E"/>
    <w:rsid w:val="00584D27"/>
    <w:rsid w:val="00586CC7"/>
    <w:rsid w:val="005874C7"/>
    <w:rsid w:val="00591996"/>
    <w:rsid w:val="005925EB"/>
    <w:rsid w:val="005929A9"/>
    <w:rsid w:val="00595588"/>
    <w:rsid w:val="005976CF"/>
    <w:rsid w:val="005A0613"/>
    <w:rsid w:val="005A2B92"/>
    <w:rsid w:val="005A3F49"/>
    <w:rsid w:val="005A6670"/>
    <w:rsid w:val="005A7768"/>
    <w:rsid w:val="005A7911"/>
    <w:rsid w:val="005A7AE8"/>
    <w:rsid w:val="005B004B"/>
    <w:rsid w:val="005B2207"/>
    <w:rsid w:val="005B2EBD"/>
    <w:rsid w:val="005B38F6"/>
    <w:rsid w:val="005B5870"/>
    <w:rsid w:val="005C0A83"/>
    <w:rsid w:val="005C1B42"/>
    <w:rsid w:val="005C2EA5"/>
    <w:rsid w:val="005C3C7F"/>
    <w:rsid w:val="005C6037"/>
    <w:rsid w:val="005C7EE2"/>
    <w:rsid w:val="005D02FB"/>
    <w:rsid w:val="005D16CB"/>
    <w:rsid w:val="005D1F9E"/>
    <w:rsid w:val="005D462A"/>
    <w:rsid w:val="005D75C0"/>
    <w:rsid w:val="005D7755"/>
    <w:rsid w:val="005D7F05"/>
    <w:rsid w:val="005E0A19"/>
    <w:rsid w:val="005E101F"/>
    <w:rsid w:val="005E1B1D"/>
    <w:rsid w:val="005E2633"/>
    <w:rsid w:val="005E2E60"/>
    <w:rsid w:val="005E3014"/>
    <w:rsid w:val="005E36B2"/>
    <w:rsid w:val="005E3C23"/>
    <w:rsid w:val="005E56CA"/>
    <w:rsid w:val="005E6E68"/>
    <w:rsid w:val="005E6F6E"/>
    <w:rsid w:val="005E79FF"/>
    <w:rsid w:val="005E7CC6"/>
    <w:rsid w:val="005F3D20"/>
    <w:rsid w:val="005F4CA3"/>
    <w:rsid w:val="005F6571"/>
    <w:rsid w:val="005F6768"/>
    <w:rsid w:val="00602D9F"/>
    <w:rsid w:val="00603654"/>
    <w:rsid w:val="00603ED0"/>
    <w:rsid w:val="00604AAE"/>
    <w:rsid w:val="006053CC"/>
    <w:rsid w:val="006074FE"/>
    <w:rsid w:val="006106AC"/>
    <w:rsid w:val="00610904"/>
    <w:rsid w:val="00610CAB"/>
    <w:rsid w:val="006127DB"/>
    <w:rsid w:val="006127E4"/>
    <w:rsid w:val="00612BAC"/>
    <w:rsid w:val="00613ACF"/>
    <w:rsid w:val="0061433B"/>
    <w:rsid w:val="00614658"/>
    <w:rsid w:val="00614981"/>
    <w:rsid w:val="00614C8D"/>
    <w:rsid w:val="00616D24"/>
    <w:rsid w:val="00620469"/>
    <w:rsid w:val="00621C6F"/>
    <w:rsid w:val="00621DFB"/>
    <w:rsid w:val="0062284C"/>
    <w:rsid w:val="00626AF2"/>
    <w:rsid w:val="00626B44"/>
    <w:rsid w:val="006277C7"/>
    <w:rsid w:val="0063131D"/>
    <w:rsid w:val="006320CC"/>
    <w:rsid w:val="00633940"/>
    <w:rsid w:val="00634C28"/>
    <w:rsid w:val="00636851"/>
    <w:rsid w:val="00636A9F"/>
    <w:rsid w:val="00637244"/>
    <w:rsid w:val="00641BCA"/>
    <w:rsid w:val="006428E9"/>
    <w:rsid w:val="00643BE1"/>
    <w:rsid w:val="006454FD"/>
    <w:rsid w:val="00647D17"/>
    <w:rsid w:val="00653928"/>
    <w:rsid w:val="0065423A"/>
    <w:rsid w:val="0065716C"/>
    <w:rsid w:val="006571AC"/>
    <w:rsid w:val="00657662"/>
    <w:rsid w:val="00657A77"/>
    <w:rsid w:val="00661E36"/>
    <w:rsid w:val="00664C9A"/>
    <w:rsid w:val="0066592B"/>
    <w:rsid w:val="00666377"/>
    <w:rsid w:val="00666A5F"/>
    <w:rsid w:val="00666C67"/>
    <w:rsid w:val="006670F1"/>
    <w:rsid w:val="00670BBC"/>
    <w:rsid w:val="006724D6"/>
    <w:rsid w:val="006730B0"/>
    <w:rsid w:val="006759F1"/>
    <w:rsid w:val="00675AB0"/>
    <w:rsid w:val="00675FE9"/>
    <w:rsid w:val="00676249"/>
    <w:rsid w:val="006767F7"/>
    <w:rsid w:val="00677443"/>
    <w:rsid w:val="006775F2"/>
    <w:rsid w:val="0067779B"/>
    <w:rsid w:val="00680882"/>
    <w:rsid w:val="00680C86"/>
    <w:rsid w:val="006823F6"/>
    <w:rsid w:val="00682C3E"/>
    <w:rsid w:val="00682D1A"/>
    <w:rsid w:val="006831FF"/>
    <w:rsid w:val="00684B93"/>
    <w:rsid w:val="00685134"/>
    <w:rsid w:val="00690878"/>
    <w:rsid w:val="0069089A"/>
    <w:rsid w:val="00691826"/>
    <w:rsid w:val="00691A75"/>
    <w:rsid w:val="00697228"/>
    <w:rsid w:val="006A076D"/>
    <w:rsid w:val="006A10E0"/>
    <w:rsid w:val="006A13B9"/>
    <w:rsid w:val="006A1D1A"/>
    <w:rsid w:val="006A2FBF"/>
    <w:rsid w:val="006A5E4B"/>
    <w:rsid w:val="006A6482"/>
    <w:rsid w:val="006A69D2"/>
    <w:rsid w:val="006A707B"/>
    <w:rsid w:val="006A7202"/>
    <w:rsid w:val="006A7F28"/>
    <w:rsid w:val="006B05B3"/>
    <w:rsid w:val="006B2070"/>
    <w:rsid w:val="006B2DC3"/>
    <w:rsid w:val="006B39B7"/>
    <w:rsid w:val="006B4727"/>
    <w:rsid w:val="006B788A"/>
    <w:rsid w:val="006C162E"/>
    <w:rsid w:val="006C2B55"/>
    <w:rsid w:val="006C2FED"/>
    <w:rsid w:val="006C34C9"/>
    <w:rsid w:val="006C36B2"/>
    <w:rsid w:val="006C5D7B"/>
    <w:rsid w:val="006C7FCD"/>
    <w:rsid w:val="006D1F21"/>
    <w:rsid w:val="006D2DA3"/>
    <w:rsid w:val="006D3893"/>
    <w:rsid w:val="006D4B89"/>
    <w:rsid w:val="006D500F"/>
    <w:rsid w:val="006D51E8"/>
    <w:rsid w:val="006D5F1D"/>
    <w:rsid w:val="006D608D"/>
    <w:rsid w:val="006D6362"/>
    <w:rsid w:val="006D6ACC"/>
    <w:rsid w:val="006E054E"/>
    <w:rsid w:val="006E081A"/>
    <w:rsid w:val="006E1629"/>
    <w:rsid w:val="006E2196"/>
    <w:rsid w:val="006E39E5"/>
    <w:rsid w:val="006E4298"/>
    <w:rsid w:val="006E44F0"/>
    <w:rsid w:val="006E4B31"/>
    <w:rsid w:val="006E5CB7"/>
    <w:rsid w:val="006F0653"/>
    <w:rsid w:val="006F09A5"/>
    <w:rsid w:val="006F0A3F"/>
    <w:rsid w:val="006F1187"/>
    <w:rsid w:val="006F397F"/>
    <w:rsid w:val="006F41B1"/>
    <w:rsid w:val="006F5DC4"/>
    <w:rsid w:val="006F70A2"/>
    <w:rsid w:val="00702C54"/>
    <w:rsid w:val="00704D10"/>
    <w:rsid w:val="0070501C"/>
    <w:rsid w:val="00706473"/>
    <w:rsid w:val="007064A8"/>
    <w:rsid w:val="007078E3"/>
    <w:rsid w:val="00707ABC"/>
    <w:rsid w:val="00710420"/>
    <w:rsid w:val="007140FA"/>
    <w:rsid w:val="0071482E"/>
    <w:rsid w:val="00715358"/>
    <w:rsid w:val="007155C6"/>
    <w:rsid w:val="007162B0"/>
    <w:rsid w:val="007226FF"/>
    <w:rsid w:val="00723553"/>
    <w:rsid w:val="00723C3F"/>
    <w:rsid w:val="00726058"/>
    <w:rsid w:val="007325E6"/>
    <w:rsid w:val="00732744"/>
    <w:rsid w:val="00732921"/>
    <w:rsid w:val="00732E54"/>
    <w:rsid w:val="0073333E"/>
    <w:rsid w:val="00735053"/>
    <w:rsid w:val="007369B6"/>
    <w:rsid w:val="00736F54"/>
    <w:rsid w:val="00737368"/>
    <w:rsid w:val="00737914"/>
    <w:rsid w:val="00737D6E"/>
    <w:rsid w:val="00740823"/>
    <w:rsid w:val="007421C9"/>
    <w:rsid w:val="00744105"/>
    <w:rsid w:val="007449D9"/>
    <w:rsid w:val="00745579"/>
    <w:rsid w:val="00745950"/>
    <w:rsid w:val="00746BF3"/>
    <w:rsid w:val="00746D2F"/>
    <w:rsid w:val="007513D6"/>
    <w:rsid w:val="00751B18"/>
    <w:rsid w:val="00754B5A"/>
    <w:rsid w:val="00755858"/>
    <w:rsid w:val="00756CC9"/>
    <w:rsid w:val="00760B73"/>
    <w:rsid w:val="0076203C"/>
    <w:rsid w:val="00762C2C"/>
    <w:rsid w:val="00763428"/>
    <w:rsid w:val="0076433C"/>
    <w:rsid w:val="00765B84"/>
    <w:rsid w:val="00765DE9"/>
    <w:rsid w:val="007665DE"/>
    <w:rsid w:val="00767073"/>
    <w:rsid w:val="007671B5"/>
    <w:rsid w:val="00767E8D"/>
    <w:rsid w:val="007712ED"/>
    <w:rsid w:val="00771A3B"/>
    <w:rsid w:val="007742FD"/>
    <w:rsid w:val="00774334"/>
    <w:rsid w:val="0077465C"/>
    <w:rsid w:val="00774869"/>
    <w:rsid w:val="00776BCE"/>
    <w:rsid w:val="00777E7F"/>
    <w:rsid w:val="007806D9"/>
    <w:rsid w:val="007839EC"/>
    <w:rsid w:val="007844C6"/>
    <w:rsid w:val="0078679A"/>
    <w:rsid w:val="00786DA6"/>
    <w:rsid w:val="00787A15"/>
    <w:rsid w:val="00787C08"/>
    <w:rsid w:val="00787D19"/>
    <w:rsid w:val="007917D9"/>
    <w:rsid w:val="00795275"/>
    <w:rsid w:val="00795A3D"/>
    <w:rsid w:val="007A0029"/>
    <w:rsid w:val="007A03CC"/>
    <w:rsid w:val="007A2473"/>
    <w:rsid w:val="007A273D"/>
    <w:rsid w:val="007A5420"/>
    <w:rsid w:val="007A611B"/>
    <w:rsid w:val="007A6B4D"/>
    <w:rsid w:val="007A7668"/>
    <w:rsid w:val="007B01ED"/>
    <w:rsid w:val="007B488B"/>
    <w:rsid w:val="007B5202"/>
    <w:rsid w:val="007B719E"/>
    <w:rsid w:val="007C1646"/>
    <w:rsid w:val="007C2782"/>
    <w:rsid w:val="007C2F67"/>
    <w:rsid w:val="007C2FD1"/>
    <w:rsid w:val="007C4760"/>
    <w:rsid w:val="007C4857"/>
    <w:rsid w:val="007C4F5D"/>
    <w:rsid w:val="007C6BFD"/>
    <w:rsid w:val="007D18EB"/>
    <w:rsid w:val="007D1F1A"/>
    <w:rsid w:val="007D217B"/>
    <w:rsid w:val="007D640B"/>
    <w:rsid w:val="007E2C92"/>
    <w:rsid w:val="007E3C98"/>
    <w:rsid w:val="007E3E77"/>
    <w:rsid w:val="007E46BF"/>
    <w:rsid w:val="007E67B8"/>
    <w:rsid w:val="007E6A1B"/>
    <w:rsid w:val="007F1A7F"/>
    <w:rsid w:val="007F35EE"/>
    <w:rsid w:val="007F7EAE"/>
    <w:rsid w:val="00800799"/>
    <w:rsid w:val="00801ACB"/>
    <w:rsid w:val="008047EB"/>
    <w:rsid w:val="0080595D"/>
    <w:rsid w:val="0080797B"/>
    <w:rsid w:val="00813CCA"/>
    <w:rsid w:val="0082168A"/>
    <w:rsid w:val="008227CE"/>
    <w:rsid w:val="008227FE"/>
    <w:rsid w:val="00823124"/>
    <w:rsid w:val="00824D4D"/>
    <w:rsid w:val="00824FC4"/>
    <w:rsid w:val="0082644A"/>
    <w:rsid w:val="008271D2"/>
    <w:rsid w:val="00827A19"/>
    <w:rsid w:val="00827A2D"/>
    <w:rsid w:val="00827DF3"/>
    <w:rsid w:val="00830038"/>
    <w:rsid w:val="0083241E"/>
    <w:rsid w:val="00835AB1"/>
    <w:rsid w:val="008379D8"/>
    <w:rsid w:val="0084035B"/>
    <w:rsid w:val="008410FB"/>
    <w:rsid w:val="00842BE1"/>
    <w:rsid w:val="00843466"/>
    <w:rsid w:val="00845E69"/>
    <w:rsid w:val="00850C2F"/>
    <w:rsid w:val="008531E4"/>
    <w:rsid w:val="00857530"/>
    <w:rsid w:val="00861B7E"/>
    <w:rsid w:val="00863F06"/>
    <w:rsid w:val="008643C6"/>
    <w:rsid w:val="00864C27"/>
    <w:rsid w:val="00865796"/>
    <w:rsid w:val="008671D2"/>
    <w:rsid w:val="008722D8"/>
    <w:rsid w:val="00873AF0"/>
    <w:rsid w:val="008748D1"/>
    <w:rsid w:val="008757F8"/>
    <w:rsid w:val="00877D86"/>
    <w:rsid w:val="00880202"/>
    <w:rsid w:val="00887669"/>
    <w:rsid w:val="00887C2A"/>
    <w:rsid w:val="008908A5"/>
    <w:rsid w:val="00891F2C"/>
    <w:rsid w:val="008937DA"/>
    <w:rsid w:val="00894818"/>
    <w:rsid w:val="00894F21"/>
    <w:rsid w:val="008A156A"/>
    <w:rsid w:val="008A2552"/>
    <w:rsid w:val="008A4C13"/>
    <w:rsid w:val="008A78D0"/>
    <w:rsid w:val="008A799E"/>
    <w:rsid w:val="008B0FF4"/>
    <w:rsid w:val="008B25C4"/>
    <w:rsid w:val="008B759A"/>
    <w:rsid w:val="008B77D2"/>
    <w:rsid w:val="008C0BC5"/>
    <w:rsid w:val="008C0CFD"/>
    <w:rsid w:val="008C1AC7"/>
    <w:rsid w:val="008C2210"/>
    <w:rsid w:val="008C34BB"/>
    <w:rsid w:val="008C4363"/>
    <w:rsid w:val="008C4793"/>
    <w:rsid w:val="008C51DF"/>
    <w:rsid w:val="008C6406"/>
    <w:rsid w:val="008C66B6"/>
    <w:rsid w:val="008C7B03"/>
    <w:rsid w:val="008D1090"/>
    <w:rsid w:val="008D1578"/>
    <w:rsid w:val="008D2006"/>
    <w:rsid w:val="008D287F"/>
    <w:rsid w:val="008D31A1"/>
    <w:rsid w:val="008D3BE2"/>
    <w:rsid w:val="008D50F0"/>
    <w:rsid w:val="008D6113"/>
    <w:rsid w:val="008D7624"/>
    <w:rsid w:val="008E0DEC"/>
    <w:rsid w:val="008E1FA9"/>
    <w:rsid w:val="008E281C"/>
    <w:rsid w:val="008F006B"/>
    <w:rsid w:val="008F27CC"/>
    <w:rsid w:val="008F345C"/>
    <w:rsid w:val="008F35DC"/>
    <w:rsid w:val="008F3671"/>
    <w:rsid w:val="008F4DC4"/>
    <w:rsid w:val="008F5B7B"/>
    <w:rsid w:val="008F6752"/>
    <w:rsid w:val="008F734B"/>
    <w:rsid w:val="00901C38"/>
    <w:rsid w:val="009049C2"/>
    <w:rsid w:val="00904D14"/>
    <w:rsid w:val="00910B7A"/>
    <w:rsid w:val="00910DF0"/>
    <w:rsid w:val="009121FE"/>
    <w:rsid w:val="009128CB"/>
    <w:rsid w:val="00914095"/>
    <w:rsid w:val="009141E2"/>
    <w:rsid w:val="00915789"/>
    <w:rsid w:val="009170F6"/>
    <w:rsid w:val="00920A39"/>
    <w:rsid w:val="009222F5"/>
    <w:rsid w:val="009231FF"/>
    <w:rsid w:val="00923354"/>
    <w:rsid w:val="009237A1"/>
    <w:rsid w:val="009242B3"/>
    <w:rsid w:val="009245A7"/>
    <w:rsid w:val="009258DF"/>
    <w:rsid w:val="00925F48"/>
    <w:rsid w:val="00926901"/>
    <w:rsid w:val="00930B07"/>
    <w:rsid w:val="009311FC"/>
    <w:rsid w:val="00931770"/>
    <w:rsid w:val="0093273D"/>
    <w:rsid w:val="00933A3D"/>
    <w:rsid w:val="00933AFF"/>
    <w:rsid w:val="00934A9B"/>
    <w:rsid w:val="009358B5"/>
    <w:rsid w:val="009411F7"/>
    <w:rsid w:val="009434B0"/>
    <w:rsid w:val="00943E04"/>
    <w:rsid w:val="00945149"/>
    <w:rsid w:val="009465F5"/>
    <w:rsid w:val="009503AB"/>
    <w:rsid w:val="009518B4"/>
    <w:rsid w:val="00952014"/>
    <w:rsid w:val="0095261C"/>
    <w:rsid w:val="009541DA"/>
    <w:rsid w:val="009545F6"/>
    <w:rsid w:val="00954823"/>
    <w:rsid w:val="009552F0"/>
    <w:rsid w:val="00955A2B"/>
    <w:rsid w:val="00955D76"/>
    <w:rsid w:val="00956229"/>
    <w:rsid w:val="009569EF"/>
    <w:rsid w:val="0096038F"/>
    <w:rsid w:val="00960500"/>
    <w:rsid w:val="00963B92"/>
    <w:rsid w:val="009671AB"/>
    <w:rsid w:val="0096767E"/>
    <w:rsid w:val="0096776B"/>
    <w:rsid w:val="00967E54"/>
    <w:rsid w:val="009704E8"/>
    <w:rsid w:val="0097072C"/>
    <w:rsid w:val="009720CF"/>
    <w:rsid w:val="00973204"/>
    <w:rsid w:val="00974AA9"/>
    <w:rsid w:val="00974D4B"/>
    <w:rsid w:val="009803CB"/>
    <w:rsid w:val="00983645"/>
    <w:rsid w:val="009849E6"/>
    <w:rsid w:val="00984EEC"/>
    <w:rsid w:val="009864FD"/>
    <w:rsid w:val="00992824"/>
    <w:rsid w:val="009928FB"/>
    <w:rsid w:val="00992963"/>
    <w:rsid w:val="009937DB"/>
    <w:rsid w:val="0099406D"/>
    <w:rsid w:val="00995A89"/>
    <w:rsid w:val="00997BF8"/>
    <w:rsid w:val="009A043A"/>
    <w:rsid w:val="009A04D8"/>
    <w:rsid w:val="009A062B"/>
    <w:rsid w:val="009A39C8"/>
    <w:rsid w:val="009A55B7"/>
    <w:rsid w:val="009A7B20"/>
    <w:rsid w:val="009B1407"/>
    <w:rsid w:val="009B3033"/>
    <w:rsid w:val="009B5838"/>
    <w:rsid w:val="009B72F5"/>
    <w:rsid w:val="009C0773"/>
    <w:rsid w:val="009C1069"/>
    <w:rsid w:val="009C1F29"/>
    <w:rsid w:val="009C2701"/>
    <w:rsid w:val="009C3F12"/>
    <w:rsid w:val="009C484F"/>
    <w:rsid w:val="009C4A12"/>
    <w:rsid w:val="009C4E95"/>
    <w:rsid w:val="009C577A"/>
    <w:rsid w:val="009C744C"/>
    <w:rsid w:val="009C746F"/>
    <w:rsid w:val="009D10D0"/>
    <w:rsid w:val="009D26BC"/>
    <w:rsid w:val="009D33FF"/>
    <w:rsid w:val="009D3540"/>
    <w:rsid w:val="009D3AC8"/>
    <w:rsid w:val="009D44D2"/>
    <w:rsid w:val="009D496B"/>
    <w:rsid w:val="009D4CDB"/>
    <w:rsid w:val="009D58A9"/>
    <w:rsid w:val="009D5B53"/>
    <w:rsid w:val="009D70FE"/>
    <w:rsid w:val="009E058D"/>
    <w:rsid w:val="009E08EF"/>
    <w:rsid w:val="009E0F9F"/>
    <w:rsid w:val="009E4A92"/>
    <w:rsid w:val="009E4B54"/>
    <w:rsid w:val="009E6B01"/>
    <w:rsid w:val="009E72D8"/>
    <w:rsid w:val="009E7693"/>
    <w:rsid w:val="009E7A8E"/>
    <w:rsid w:val="009F08A1"/>
    <w:rsid w:val="009F40D2"/>
    <w:rsid w:val="009F5548"/>
    <w:rsid w:val="009F6688"/>
    <w:rsid w:val="009F70BA"/>
    <w:rsid w:val="00A05B74"/>
    <w:rsid w:val="00A06958"/>
    <w:rsid w:val="00A0733D"/>
    <w:rsid w:val="00A10024"/>
    <w:rsid w:val="00A106AF"/>
    <w:rsid w:val="00A10AD5"/>
    <w:rsid w:val="00A11D23"/>
    <w:rsid w:val="00A123C4"/>
    <w:rsid w:val="00A132CA"/>
    <w:rsid w:val="00A13ACE"/>
    <w:rsid w:val="00A14369"/>
    <w:rsid w:val="00A148C8"/>
    <w:rsid w:val="00A17D29"/>
    <w:rsid w:val="00A17E74"/>
    <w:rsid w:val="00A20797"/>
    <w:rsid w:val="00A20C32"/>
    <w:rsid w:val="00A21F11"/>
    <w:rsid w:val="00A22E77"/>
    <w:rsid w:val="00A2416F"/>
    <w:rsid w:val="00A26E45"/>
    <w:rsid w:val="00A276CF"/>
    <w:rsid w:val="00A27C09"/>
    <w:rsid w:val="00A31237"/>
    <w:rsid w:val="00A33AF6"/>
    <w:rsid w:val="00A34577"/>
    <w:rsid w:val="00A3465B"/>
    <w:rsid w:val="00A35104"/>
    <w:rsid w:val="00A367AA"/>
    <w:rsid w:val="00A37641"/>
    <w:rsid w:val="00A37E05"/>
    <w:rsid w:val="00A4025B"/>
    <w:rsid w:val="00A404B4"/>
    <w:rsid w:val="00A409F7"/>
    <w:rsid w:val="00A410DA"/>
    <w:rsid w:val="00A43A75"/>
    <w:rsid w:val="00A44B44"/>
    <w:rsid w:val="00A45ACC"/>
    <w:rsid w:val="00A46FFF"/>
    <w:rsid w:val="00A471A5"/>
    <w:rsid w:val="00A502B9"/>
    <w:rsid w:val="00A52131"/>
    <w:rsid w:val="00A52904"/>
    <w:rsid w:val="00A533D8"/>
    <w:rsid w:val="00A549C2"/>
    <w:rsid w:val="00A55CFB"/>
    <w:rsid w:val="00A6076D"/>
    <w:rsid w:val="00A6186E"/>
    <w:rsid w:val="00A61A01"/>
    <w:rsid w:val="00A61C67"/>
    <w:rsid w:val="00A63AC3"/>
    <w:rsid w:val="00A63F45"/>
    <w:rsid w:val="00A63F62"/>
    <w:rsid w:val="00A656BE"/>
    <w:rsid w:val="00A66F78"/>
    <w:rsid w:val="00A71D21"/>
    <w:rsid w:val="00A7226C"/>
    <w:rsid w:val="00A73B4A"/>
    <w:rsid w:val="00A73EC4"/>
    <w:rsid w:val="00A76745"/>
    <w:rsid w:val="00A779E5"/>
    <w:rsid w:val="00A77D36"/>
    <w:rsid w:val="00A80A56"/>
    <w:rsid w:val="00A80C56"/>
    <w:rsid w:val="00A814F3"/>
    <w:rsid w:val="00A839DD"/>
    <w:rsid w:val="00A84006"/>
    <w:rsid w:val="00A84445"/>
    <w:rsid w:val="00A84DF9"/>
    <w:rsid w:val="00A85774"/>
    <w:rsid w:val="00A86F64"/>
    <w:rsid w:val="00A90793"/>
    <w:rsid w:val="00A917BC"/>
    <w:rsid w:val="00A92032"/>
    <w:rsid w:val="00A94137"/>
    <w:rsid w:val="00A960D0"/>
    <w:rsid w:val="00A96176"/>
    <w:rsid w:val="00A968EB"/>
    <w:rsid w:val="00A97233"/>
    <w:rsid w:val="00A97857"/>
    <w:rsid w:val="00A97B04"/>
    <w:rsid w:val="00AA3455"/>
    <w:rsid w:val="00AA5CBC"/>
    <w:rsid w:val="00AA5D7A"/>
    <w:rsid w:val="00AA5FFC"/>
    <w:rsid w:val="00AA67FE"/>
    <w:rsid w:val="00AA6B58"/>
    <w:rsid w:val="00AA6C64"/>
    <w:rsid w:val="00AA7888"/>
    <w:rsid w:val="00AA7D24"/>
    <w:rsid w:val="00AA7E9D"/>
    <w:rsid w:val="00AB201D"/>
    <w:rsid w:val="00AB40BA"/>
    <w:rsid w:val="00AB712C"/>
    <w:rsid w:val="00AC1C6F"/>
    <w:rsid w:val="00AC1D90"/>
    <w:rsid w:val="00AC22A7"/>
    <w:rsid w:val="00AC41F2"/>
    <w:rsid w:val="00AC5E29"/>
    <w:rsid w:val="00AC5EF3"/>
    <w:rsid w:val="00AC73DA"/>
    <w:rsid w:val="00AC765B"/>
    <w:rsid w:val="00AC7749"/>
    <w:rsid w:val="00AC7937"/>
    <w:rsid w:val="00AD3BA1"/>
    <w:rsid w:val="00AD6BC1"/>
    <w:rsid w:val="00AD6BE8"/>
    <w:rsid w:val="00AD71CF"/>
    <w:rsid w:val="00AE1AFE"/>
    <w:rsid w:val="00AE2046"/>
    <w:rsid w:val="00AE3428"/>
    <w:rsid w:val="00AE5252"/>
    <w:rsid w:val="00AE5318"/>
    <w:rsid w:val="00AE670F"/>
    <w:rsid w:val="00AF310F"/>
    <w:rsid w:val="00AF3477"/>
    <w:rsid w:val="00AF3B2A"/>
    <w:rsid w:val="00AF57EC"/>
    <w:rsid w:val="00AF60C4"/>
    <w:rsid w:val="00B01E1F"/>
    <w:rsid w:val="00B046A0"/>
    <w:rsid w:val="00B07A58"/>
    <w:rsid w:val="00B07FEB"/>
    <w:rsid w:val="00B112D3"/>
    <w:rsid w:val="00B13E95"/>
    <w:rsid w:val="00B16191"/>
    <w:rsid w:val="00B1748E"/>
    <w:rsid w:val="00B17619"/>
    <w:rsid w:val="00B176E1"/>
    <w:rsid w:val="00B1773E"/>
    <w:rsid w:val="00B1778E"/>
    <w:rsid w:val="00B17B1B"/>
    <w:rsid w:val="00B205AD"/>
    <w:rsid w:val="00B20898"/>
    <w:rsid w:val="00B24D40"/>
    <w:rsid w:val="00B274D4"/>
    <w:rsid w:val="00B30E59"/>
    <w:rsid w:val="00B318B3"/>
    <w:rsid w:val="00B331D9"/>
    <w:rsid w:val="00B34551"/>
    <w:rsid w:val="00B367F8"/>
    <w:rsid w:val="00B410BE"/>
    <w:rsid w:val="00B426B0"/>
    <w:rsid w:val="00B43782"/>
    <w:rsid w:val="00B45219"/>
    <w:rsid w:val="00B46449"/>
    <w:rsid w:val="00B51B85"/>
    <w:rsid w:val="00B52E08"/>
    <w:rsid w:val="00B53315"/>
    <w:rsid w:val="00B538BF"/>
    <w:rsid w:val="00B56B36"/>
    <w:rsid w:val="00B57A15"/>
    <w:rsid w:val="00B57CEC"/>
    <w:rsid w:val="00B57F5D"/>
    <w:rsid w:val="00B61F3E"/>
    <w:rsid w:val="00B63EFF"/>
    <w:rsid w:val="00B6531D"/>
    <w:rsid w:val="00B66734"/>
    <w:rsid w:val="00B67BE3"/>
    <w:rsid w:val="00B7438A"/>
    <w:rsid w:val="00B751FB"/>
    <w:rsid w:val="00B76C9F"/>
    <w:rsid w:val="00B80A60"/>
    <w:rsid w:val="00B836C4"/>
    <w:rsid w:val="00B839FC"/>
    <w:rsid w:val="00B84DF9"/>
    <w:rsid w:val="00B85A4C"/>
    <w:rsid w:val="00B862E1"/>
    <w:rsid w:val="00B875DD"/>
    <w:rsid w:val="00B909BE"/>
    <w:rsid w:val="00B931A3"/>
    <w:rsid w:val="00B94415"/>
    <w:rsid w:val="00B94FD3"/>
    <w:rsid w:val="00B95833"/>
    <w:rsid w:val="00B95A46"/>
    <w:rsid w:val="00B95D97"/>
    <w:rsid w:val="00B96050"/>
    <w:rsid w:val="00B96A87"/>
    <w:rsid w:val="00B96F1C"/>
    <w:rsid w:val="00B97A39"/>
    <w:rsid w:val="00BA0DE9"/>
    <w:rsid w:val="00BA1822"/>
    <w:rsid w:val="00BA206E"/>
    <w:rsid w:val="00BA3694"/>
    <w:rsid w:val="00BA54EC"/>
    <w:rsid w:val="00BA675C"/>
    <w:rsid w:val="00BA79BA"/>
    <w:rsid w:val="00BB019D"/>
    <w:rsid w:val="00BB09EE"/>
    <w:rsid w:val="00BB223A"/>
    <w:rsid w:val="00BB2B31"/>
    <w:rsid w:val="00BB3A43"/>
    <w:rsid w:val="00BB3AE2"/>
    <w:rsid w:val="00BB75F1"/>
    <w:rsid w:val="00BC16A5"/>
    <w:rsid w:val="00BC1F70"/>
    <w:rsid w:val="00BC2D08"/>
    <w:rsid w:val="00BC7664"/>
    <w:rsid w:val="00BC7A22"/>
    <w:rsid w:val="00BD08EB"/>
    <w:rsid w:val="00BD0EE4"/>
    <w:rsid w:val="00BD3923"/>
    <w:rsid w:val="00BD3E21"/>
    <w:rsid w:val="00BD4648"/>
    <w:rsid w:val="00BD5F92"/>
    <w:rsid w:val="00BD627D"/>
    <w:rsid w:val="00BD74B9"/>
    <w:rsid w:val="00BD7AFC"/>
    <w:rsid w:val="00BD7DF1"/>
    <w:rsid w:val="00BD7EE0"/>
    <w:rsid w:val="00BE11B5"/>
    <w:rsid w:val="00BE38BB"/>
    <w:rsid w:val="00BE51BD"/>
    <w:rsid w:val="00BE520C"/>
    <w:rsid w:val="00BE7BE1"/>
    <w:rsid w:val="00BF4741"/>
    <w:rsid w:val="00BF6F37"/>
    <w:rsid w:val="00C00C3D"/>
    <w:rsid w:val="00C01A33"/>
    <w:rsid w:val="00C0343B"/>
    <w:rsid w:val="00C04AA5"/>
    <w:rsid w:val="00C05104"/>
    <w:rsid w:val="00C11BC6"/>
    <w:rsid w:val="00C154F4"/>
    <w:rsid w:val="00C2009A"/>
    <w:rsid w:val="00C220CE"/>
    <w:rsid w:val="00C22536"/>
    <w:rsid w:val="00C238EC"/>
    <w:rsid w:val="00C24E99"/>
    <w:rsid w:val="00C25F3D"/>
    <w:rsid w:val="00C25FBD"/>
    <w:rsid w:val="00C26142"/>
    <w:rsid w:val="00C2647C"/>
    <w:rsid w:val="00C274AA"/>
    <w:rsid w:val="00C316B4"/>
    <w:rsid w:val="00C325AA"/>
    <w:rsid w:val="00C3292D"/>
    <w:rsid w:val="00C33739"/>
    <w:rsid w:val="00C3385B"/>
    <w:rsid w:val="00C34C66"/>
    <w:rsid w:val="00C34D4F"/>
    <w:rsid w:val="00C35C73"/>
    <w:rsid w:val="00C36404"/>
    <w:rsid w:val="00C40976"/>
    <w:rsid w:val="00C41D26"/>
    <w:rsid w:val="00C44589"/>
    <w:rsid w:val="00C4599C"/>
    <w:rsid w:val="00C468AB"/>
    <w:rsid w:val="00C46B92"/>
    <w:rsid w:val="00C47E6B"/>
    <w:rsid w:val="00C519E2"/>
    <w:rsid w:val="00C51CEB"/>
    <w:rsid w:val="00C52348"/>
    <w:rsid w:val="00C54100"/>
    <w:rsid w:val="00C5498C"/>
    <w:rsid w:val="00C5522F"/>
    <w:rsid w:val="00C573BE"/>
    <w:rsid w:val="00C600D4"/>
    <w:rsid w:val="00C60300"/>
    <w:rsid w:val="00C603C3"/>
    <w:rsid w:val="00C622AC"/>
    <w:rsid w:val="00C640DA"/>
    <w:rsid w:val="00C6575F"/>
    <w:rsid w:val="00C65C55"/>
    <w:rsid w:val="00C65E69"/>
    <w:rsid w:val="00C67619"/>
    <w:rsid w:val="00C6781E"/>
    <w:rsid w:val="00C70998"/>
    <w:rsid w:val="00C712B0"/>
    <w:rsid w:val="00C74450"/>
    <w:rsid w:val="00C7539D"/>
    <w:rsid w:val="00C77A3E"/>
    <w:rsid w:val="00C80B17"/>
    <w:rsid w:val="00C81EDE"/>
    <w:rsid w:val="00C836FD"/>
    <w:rsid w:val="00C84472"/>
    <w:rsid w:val="00C8478E"/>
    <w:rsid w:val="00C84B18"/>
    <w:rsid w:val="00C871CA"/>
    <w:rsid w:val="00C87A0F"/>
    <w:rsid w:val="00C87B99"/>
    <w:rsid w:val="00C901C3"/>
    <w:rsid w:val="00C93214"/>
    <w:rsid w:val="00C93248"/>
    <w:rsid w:val="00C93DCD"/>
    <w:rsid w:val="00C94C40"/>
    <w:rsid w:val="00C955E8"/>
    <w:rsid w:val="00C95A07"/>
    <w:rsid w:val="00C95B88"/>
    <w:rsid w:val="00C968F7"/>
    <w:rsid w:val="00C96DAD"/>
    <w:rsid w:val="00C97FEC"/>
    <w:rsid w:val="00CA0528"/>
    <w:rsid w:val="00CA1E72"/>
    <w:rsid w:val="00CA26B2"/>
    <w:rsid w:val="00CA5B60"/>
    <w:rsid w:val="00CA5E19"/>
    <w:rsid w:val="00CA7D7C"/>
    <w:rsid w:val="00CB0B5D"/>
    <w:rsid w:val="00CB120A"/>
    <w:rsid w:val="00CB1D5B"/>
    <w:rsid w:val="00CB201B"/>
    <w:rsid w:val="00CB207F"/>
    <w:rsid w:val="00CB2619"/>
    <w:rsid w:val="00CB3D9A"/>
    <w:rsid w:val="00CB40A7"/>
    <w:rsid w:val="00CB45F6"/>
    <w:rsid w:val="00CB6F1F"/>
    <w:rsid w:val="00CB6F5B"/>
    <w:rsid w:val="00CC1511"/>
    <w:rsid w:val="00CC2062"/>
    <w:rsid w:val="00CC2AE8"/>
    <w:rsid w:val="00CC2F35"/>
    <w:rsid w:val="00CC419F"/>
    <w:rsid w:val="00CC4CCE"/>
    <w:rsid w:val="00CC5D6A"/>
    <w:rsid w:val="00CC6210"/>
    <w:rsid w:val="00CC7E74"/>
    <w:rsid w:val="00CD0B29"/>
    <w:rsid w:val="00CD2988"/>
    <w:rsid w:val="00CD2A90"/>
    <w:rsid w:val="00CD2D37"/>
    <w:rsid w:val="00CD3558"/>
    <w:rsid w:val="00CD5007"/>
    <w:rsid w:val="00CD70BF"/>
    <w:rsid w:val="00CE00C7"/>
    <w:rsid w:val="00CE061E"/>
    <w:rsid w:val="00CE0AAE"/>
    <w:rsid w:val="00CE0AEC"/>
    <w:rsid w:val="00CE5282"/>
    <w:rsid w:val="00CE5F52"/>
    <w:rsid w:val="00CE6364"/>
    <w:rsid w:val="00CE71A3"/>
    <w:rsid w:val="00CF1724"/>
    <w:rsid w:val="00CF2D7B"/>
    <w:rsid w:val="00CF3647"/>
    <w:rsid w:val="00CF399C"/>
    <w:rsid w:val="00CF4489"/>
    <w:rsid w:val="00CF4534"/>
    <w:rsid w:val="00CF554B"/>
    <w:rsid w:val="00CF568B"/>
    <w:rsid w:val="00CF5794"/>
    <w:rsid w:val="00D02FDD"/>
    <w:rsid w:val="00D0485F"/>
    <w:rsid w:val="00D04DC9"/>
    <w:rsid w:val="00D07F70"/>
    <w:rsid w:val="00D12095"/>
    <w:rsid w:val="00D122C3"/>
    <w:rsid w:val="00D13714"/>
    <w:rsid w:val="00D147C6"/>
    <w:rsid w:val="00D14C47"/>
    <w:rsid w:val="00D15F84"/>
    <w:rsid w:val="00D1636C"/>
    <w:rsid w:val="00D20E16"/>
    <w:rsid w:val="00D22092"/>
    <w:rsid w:val="00D22EDC"/>
    <w:rsid w:val="00D23AB2"/>
    <w:rsid w:val="00D24816"/>
    <w:rsid w:val="00D26D63"/>
    <w:rsid w:val="00D27AB8"/>
    <w:rsid w:val="00D27C80"/>
    <w:rsid w:val="00D341CE"/>
    <w:rsid w:val="00D34287"/>
    <w:rsid w:val="00D35368"/>
    <w:rsid w:val="00D3571D"/>
    <w:rsid w:val="00D374CB"/>
    <w:rsid w:val="00D37667"/>
    <w:rsid w:val="00D37AED"/>
    <w:rsid w:val="00D40EB5"/>
    <w:rsid w:val="00D41393"/>
    <w:rsid w:val="00D4151C"/>
    <w:rsid w:val="00D42ECB"/>
    <w:rsid w:val="00D44D5A"/>
    <w:rsid w:val="00D45279"/>
    <w:rsid w:val="00D456CB"/>
    <w:rsid w:val="00D458B0"/>
    <w:rsid w:val="00D45983"/>
    <w:rsid w:val="00D46B64"/>
    <w:rsid w:val="00D47BB7"/>
    <w:rsid w:val="00D50894"/>
    <w:rsid w:val="00D50BF3"/>
    <w:rsid w:val="00D50D7D"/>
    <w:rsid w:val="00D50DE9"/>
    <w:rsid w:val="00D50E12"/>
    <w:rsid w:val="00D525C7"/>
    <w:rsid w:val="00D527E6"/>
    <w:rsid w:val="00D5377D"/>
    <w:rsid w:val="00D54625"/>
    <w:rsid w:val="00D5612B"/>
    <w:rsid w:val="00D57036"/>
    <w:rsid w:val="00D57CFB"/>
    <w:rsid w:val="00D6181F"/>
    <w:rsid w:val="00D61BD9"/>
    <w:rsid w:val="00D629CD"/>
    <w:rsid w:val="00D67511"/>
    <w:rsid w:val="00D70A77"/>
    <w:rsid w:val="00D71D62"/>
    <w:rsid w:val="00D72BF6"/>
    <w:rsid w:val="00D74090"/>
    <w:rsid w:val="00D77202"/>
    <w:rsid w:val="00D80AD0"/>
    <w:rsid w:val="00D80E35"/>
    <w:rsid w:val="00D81E79"/>
    <w:rsid w:val="00D82BCB"/>
    <w:rsid w:val="00D85747"/>
    <w:rsid w:val="00D86B70"/>
    <w:rsid w:val="00D924AC"/>
    <w:rsid w:val="00D92C59"/>
    <w:rsid w:val="00D9410E"/>
    <w:rsid w:val="00D95C7A"/>
    <w:rsid w:val="00D97CFA"/>
    <w:rsid w:val="00D97EFC"/>
    <w:rsid w:val="00DA0D6F"/>
    <w:rsid w:val="00DA2954"/>
    <w:rsid w:val="00DA42AF"/>
    <w:rsid w:val="00DA43DA"/>
    <w:rsid w:val="00DA47DB"/>
    <w:rsid w:val="00DA54CA"/>
    <w:rsid w:val="00DA5EDB"/>
    <w:rsid w:val="00DA6023"/>
    <w:rsid w:val="00DA74F8"/>
    <w:rsid w:val="00DB0764"/>
    <w:rsid w:val="00DB1CF6"/>
    <w:rsid w:val="00DB2CFE"/>
    <w:rsid w:val="00DB2E8D"/>
    <w:rsid w:val="00DB3CA5"/>
    <w:rsid w:val="00DB3F69"/>
    <w:rsid w:val="00DB4B9D"/>
    <w:rsid w:val="00DB55A8"/>
    <w:rsid w:val="00DB698D"/>
    <w:rsid w:val="00DC06F5"/>
    <w:rsid w:val="00DC07DC"/>
    <w:rsid w:val="00DC133E"/>
    <w:rsid w:val="00DC1E33"/>
    <w:rsid w:val="00DC2920"/>
    <w:rsid w:val="00DC3AC2"/>
    <w:rsid w:val="00DC5818"/>
    <w:rsid w:val="00DC5F5B"/>
    <w:rsid w:val="00DC7532"/>
    <w:rsid w:val="00DC7D3E"/>
    <w:rsid w:val="00DD356D"/>
    <w:rsid w:val="00DD3A19"/>
    <w:rsid w:val="00DD706A"/>
    <w:rsid w:val="00DE188D"/>
    <w:rsid w:val="00DE49E2"/>
    <w:rsid w:val="00DE4A21"/>
    <w:rsid w:val="00DF3D39"/>
    <w:rsid w:val="00DF4E1D"/>
    <w:rsid w:val="00DF56A8"/>
    <w:rsid w:val="00DF7140"/>
    <w:rsid w:val="00E008A4"/>
    <w:rsid w:val="00E00A9E"/>
    <w:rsid w:val="00E029E5"/>
    <w:rsid w:val="00E03242"/>
    <w:rsid w:val="00E03852"/>
    <w:rsid w:val="00E04948"/>
    <w:rsid w:val="00E052F4"/>
    <w:rsid w:val="00E056F4"/>
    <w:rsid w:val="00E05CAA"/>
    <w:rsid w:val="00E0668A"/>
    <w:rsid w:val="00E108F0"/>
    <w:rsid w:val="00E11FEE"/>
    <w:rsid w:val="00E12546"/>
    <w:rsid w:val="00E13E1C"/>
    <w:rsid w:val="00E140C0"/>
    <w:rsid w:val="00E14387"/>
    <w:rsid w:val="00E14779"/>
    <w:rsid w:val="00E174A7"/>
    <w:rsid w:val="00E17B9C"/>
    <w:rsid w:val="00E20719"/>
    <w:rsid w:val="00E22A9C"/>
    <w:rsid w:val="00E250FE"/>
    <w:rsid w:val="00E30CED"/>
    <w:rsid w:val="00E33321"/>
    <w:rsid w:val="00E4296C"/>
    <w:rsid w:val="00E42EB3"/>
    <w:rsid w:val="00E434C6"/>
    <w:rsid w:val="00E43A02"/>
    <w:rsid w:val="00E44B76"/>
    <w:rsid w:val="00E461F4"/>
    <w:rsid w:val="00E472EE"/>
    <w:rsid w:val="00E47E7E"/>
    <w:rsid w:val="00E50AB5"/>
    <w:rsid w:val="00E51A35"/>
    <w:rsid w:val="00E528A7"/>
    <w:rsid w:val="00E52C35"/>
    <w:rsid w:val="00E53C75"/>
    <w:rsid w:val="00E55BEA"/>
    <w:rsid w:val="00E561CE"/>
    <w:rsid w:val="00E61A3B"/>
    <w:rsid w:val="00E63B11"/>
    <w:rsid w:val="00E63F14"/>
    <w:rsid w:val="00E65D61"/>
    <w:rsid w:val="00E65DF2"/>
    <w:rsid w:val="00E66299"/>
    <w:rsid w:val="00E7045E"/>
    <w:rsid w:val="00E72C27"/>
    <w:rsid w:val="00E74F2C"/>
    <w:rsid w:val="00E75E4D"/>
    <w:rsid w:val="00E7643A"/>
    <w:rsid w:val="00E8056B"/>
    <w:rsid w:val="00E82D98"/>
    <w:rsid w:val="00E83D5D"/>
    <w:rsid w:val="00E87A76"/>
    <w:rsid w:val="00E90A1E"/>
    <w:rsid w:val="00E92F46"/>
    <w:rsid w:val="00E93D98"/>
    <w:rsid w:val="00E94514"/>
    <w:rsid w:val="00EA158E"/>
    <w:rsid w:val="00EA22A2"/>
    <w:rsid w:val="00EA2BA2"/>
    <w:rsid w:val="00EA2D03"/>
    <w:rsid w:val="00EA5DF0"/>
    <w:rsid w:val="00EA5EC5"/>
    <w:rsid w:val="00EA7B54"/>
    <w:rsid w:val="00EB06AA"/>
    <w:rsid w:val="00EB089F"/>
    <w:rsid w:val="00EB1901"/>
    <w:rsid w:val="00EB25DC"/>
    <w:rsid w:val="00EB4D7C"/>
    <w:rsid w:val="00EC1EDF"/>
    <w:rsid w:val="00EC2B9A"/>
    <w:rsid w:val="00EC2BB9"/>
    <w:rsid w:val="00EC43F7"/>
    <w:rsid w:val="00EC5370"/>
    <w:rsid w:val="00EC5F52"/>
    <w:rsid w:val="00EC75A9"/>
    <w:rsid w:val="00ED0AF4"/>
    <w:rsid w:val="00ED1AFE"/>
    <w:rsid w:val="00ED747A"/>
    <w:rsid w:val="00ED786D"/>
    <w:rsid w:val="00EE190B"/>
    <w:rsid w:val="00EE58DF"/>
    <w:rsid w:val="00EE6E7C"/>
    <w:rsid w:val="00EF0027"/>
    <w:rsid w:val="00EF0C69"/>
    <w:rsid w:val="00EF30FF"/>
    <w:rsid w:val="00EF3EBC"/>
    <w:rsid w:val="00EF4C73"/>
    <w:rsid w:val="00EF6117"/>
    <w:rsid w:val="00F0010E"/>
    <w:rsid w:val="00F02806"/>
    <w:rsid w:val="00F05598"/>
    <w:rsid w:val="00F05791"/>
    <w:rsid w:val="00F06047"/>
    <w:rsid w:val="00F0679A"/>
    <w:rsid w:val="00F067DA"/>
    <w:rsid w:val="00F0685F"/>
    <w:rsid w:val="00F06CD7"/>
    <w:rsid w:val="00F070CC"/>
    <w:rsid w:val="00F10D43"/>
    <w:rsid w:val="00F114EC"/>
    <w:rsid w:val="00F12948"/>
    <w:rsid w:val="00F12F84"/>
    <w:rsid w:val="00F14E41"/>
    <w:rsid w:val="00F16079"/>
    <w:rsid w:val="00F1648D"/>
    <w:rsid w:val="00F16930"/>
    <w:rsid w:val="00F16FFD"/>
    <w:rsid w:val="00F17CB5"/>
    <w:rsid w:val="00F17E25"/>
    <w:rsid w:val="00F208D9"/>
    <w:rsid w:val="00F211B0"/>
    <w:rsid w:val="00F23F66"/>
    <w:rsid w:val="00F261B7"/>
    <w:rsid w:val="00F272DC"/>
    <w:rsid w:val="00F30096"/>
    <w:rsid w:val="00F30140"/>
    <w:rsid w:val="00F30F8B"/>
    <w:rsid w:val="00F35156"/>
    <w:rsid w:val="00F354D8"/>
    <w:rsid w:val="00F36C69"/>
    <w:rsid w:val="00F40688"/>
    <w:rsid w:val="00F417B9"/>
    <w:rsid w:val="00F42552"/>
    <w:rsid w:val="00F4464D"/>
    <w:rsid w:val="00F46169"/>
    <w:rsid w:val="00F47622"/>
    <w:rsid w:val="00F500F3"/>
    <w:rsid w:val="00F5029D"/>
    <w:rsid w:val="00F51399"/>
    <w:rsid w:val="00F51F9E"/>
    <w:rsid w:val="00F5284C"/>
    <w:rsid w:val="00F5512A"/>
    <w:rsid w:val="00F56A67"/>
    <w:rsid w:val="00F6086A"/>
    <w:rsid w:val="00F608B1"/>
    <w:rsid w:val="00F61DE1"/>
    <w:rsid w:val="00F61FC1"/>
    <w:rsid w:val="00F645D9"/>
    <w:rsid w:val="00F65611"/>
    <w:rsid w:val="00F65BB2"/>
    <w:rsid w:val="00F663C2"/>
    <w:rsid w:val="00F666E6"/>
    <w:rsid w:val="00F679E0"/>
    <w:rsid w:val="00F711E2"/>
    <w:rsid w:val="00F7189C"/>
    <w:rsid w:val="00F72A90"/>
    <w:rsid w:val="00F73E1B"/>
    <w:rsid w:val="00F75A5A"/>
    <w:rsid w:val="00F75D5E"/>
    <w:rsid w:val="00F7644A"/>
    <w:rsid w:val="00F819AB"/>
    <w:rsid w:val="00F8296C"/>
    <w:rsid w:val="00F8492A"/>
    <w:rsid w:val="00F87CB4"/>
    <w:rsid w:val="00F91701"/>
    <w:rsid w:val="00F9189D"/>
    <w:rsid w:val="00F91E45"/>
    <w:rsid w:val="00F93047"/>
    <w:rsid w:val="00F94EEA"/>
    <w:rsid w:val="00F95D3D"/>
    <w:rsid w:val="00F9680F"/>
    <w:rsid w:val="00F9786F"/>
    <w:rsid w:val="00F97ED3"/>
    <w:rsid w:val="00FA51F9"/>
    <w:rsid w:val="00FA5529"/>
    <w:rsid w:val="00FA5FDF"/>
    <w:rsid w:val="00FA7BB1"/>
    <w:rsid w:val="00FA7F66"/>
    <w:rsid w:val="00FB13E5"/>
    <w:rsid w:val="00FB1521"/>
    <w:rsid w:val="00FB1567"/>
    <w:rsid w:val="00FB158B"/>
    <w:rsid w:val="00FB2A44"/>
    <w:rsid w:val="00FB2BF8"/>
    <w:rsid w:val="00FB3A89"/>
    <w:rsid w:val="00FB523B"/>
    <w:rsid w:val="00FB5AF7"/>
    <w:rsid w:val="00FC04DC"/>
    <w:rsid w:val="00FC1AB8"/>
    <w:rsid w:val="00FC29D5"/>
    <w:rsid w:val="00FC39F2"/>
    <w:rsid w:val="00FC5510"/>
    <w:rsid w:val="00FC582C"/>
    <w:rsid w:val="00FC591B"/>
    <w:rsid w:val="00FC5C00"/>
    <w:rsid w:val="00FC5C53"/>
    <w:rsid w:val="00FC6FD3"/>
    <w:rsid w:val="00FC73A3"/>
    <w:rsid w:val="00FD1D8A"/>
    <w:rsid w:val="00FD4159"/>
    <w:rsid w:val="00FD4437"/>
    <w:rsid w:val="00FD4C9D"/>
    <w:rsid w:val="00FD58FD"/>
    <w:rsid w:val="00FD6F85"/>
    <w:rsid w:val="00FD77A3"/>
    <w:rsid w:val="00FE0452"/>
    <w:rsid w:val="00FE0568"/>
    <w:rsid w:val="00FE15E1"/>
    <w:rsid w:val="00FE297C"/>
    <w:rsid w:val="00FE2C80"/>
    <w:rsid w:val="00FE4AEC"/>
    <w:rsid w:val="00FF1DF1"/>
    <w:rsid w:val="00FF3A26"/>
    <w:rsid w:val="00FF3B2E"/>
    <w:rsid w:val="00FF3C7E"/>
    <w:rsid w:val="00FF4AF3"/>
    <w:rsid w:val="00FF56CF"/>
    <w:rsid w:val="00FF5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A96"/>
    <w:rPr>
      <w:sz w:val="24"/>
      <w:szCs w:val="22"/>
      <w:lang w:eastAsia="en-US"/>
    </w:rPr>
  </w:style>
  <w:style w:type="paragraph" w:styleId="Heading1">
    <w:name w:val="heading 1"/>
    <w:basedOn w:val="Normal"/>
    <w:next w:val="Normal"/>
    <w:qFormat/>
    <w:rsid w:val="000B0EB9"/>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62284C"/>
    <w:pPr>
      <w:keepNext/>
      <w:spacing w:before="60" w:after="60"/>
      <w:ind w:firstLine="288"/>
      <w:outlineLvl w:val="1"/>
    </w:pPr>
    <w:rPr>
      <w:rFonts w:cs="Arial"/>
      <w:b/>
      <w:bCs/>
      <w:iCs/>
      <w:sz w:val="16"/>
      <w:szCs w:val="16"/>
      <w:lang w:val="en-US" w:eastAsia="en-US"/>
    </w:rPr>
  </w:style>
  <w:style w:type="paragraph" w:styleId="Heading3">
    <w:name w:val="heading 3"/>
    <w:basedOn w:val="Normal"/>
    <w:next w:val="Normal"/>
    <w:qFormat/>
    <w:rsid w:val="00F65B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TT A 20 F 6 BE 8o 00" w:hAnsi="TT A 20 F 6 BE 8o 00" w:cs="TT A 20 F 6 BE 8o 00"/>
      <w:color w:val="000000"/>
      <w:sz w:val="24"/>
      <w:szCs w:val="24"/>
      <w:lang w:val="en-US" w:eastAsia="en-US"/>
    </w:rPr>
  </w:style>
  <w:style w:type="paragraph" w:customStyle="1" w:styleId="CM1">
    <w:name w:val="CM1"/>
    <w:basedOn w:val="Default"/>
    <w:next w:val="Default"/>
    <w:rPr>
      <w:rFonts w:cs="Times New Roman"/>
      <w:color w:val="auto"/>
    </w:rPr>
  </w:style>
  <w:style w:type="paragraph" w:customStyle="1" w:styleId="CM15">
    <w:name w:val="CM15"/>
    <w:basedOn w:val="Default"/>
    <w:next w:val="Default"/>
    <w:pPr>
      <w:spacing w:after="530"/>
    </w:pPr>
    <w:rPr>
      <w:rFonts w:cs="Times New Roman"/>
      <w:color w:val="auto"/>
    </w:rPr>
  </w:style>
  <w:style w:type="paragraph" w:customStyle="1" w:styleId="CM2">
    <w:name w:val="CM2"/>
    <w:basedOn w:val="Default"/>
    <w:next w:val="Default"/>
    <w:rPr>
      <w:rFonts w:cs="Times New Roman"/>
      <w:color w:val="auto"/>
    </w:rPr>
  </w:style>
  <w:style w:type="paragraph" w:customStyle="1" w:styleId="CM16">
    <w:name w:val="CM16"/>
    <w:basedOn w:val="Default"/>
    <w:next w:val="Default"/>
    <w:link w:val="CM16Char"/>
    <w:pPr>
      <w:spacing w:after="118"/>
    </w:pPr>
    <w:rPr>
      <w:rFonts w:cs="Times New Roman"/>
      <w:color w:val="auto"/>
    </w:rPr>
  </w:style>
  <w:style w:type="paragraph" w:customStyle="1" w:styleId="CM3">
    <w:name w:val="CM3"/>
    <w:basedOn w:val="Default"/>
    <w:next w:val="Default"/>
    <w:pPr>
      <w:spacing w:line="280" w:lineRule="atLeast"/>
    </w:pPr>
    <w:rPr>
      <w:rFonts w:cs="Times New Roman"/>
      <w:color w:val="auto"/>
    </w:rPr>
  </w:style>
  <w:style w:type="paragraph" w:customStyle="1" w:styleId="CM17">
    <w:name w:val="CM17"/>
    <w:basedOn w:val="Default"/>
    <w:next w:val="Default"/>
    <w:pPr>
      <w:spacing w:after="375"/>
    </w:pPr>
    <w:rPr>
      <w:rFonts w:cs="Times New Roman"/>
      <w:color w:val="auto"/>
    </w:rPr>
  </w:style>
  <w:style w:type="paragraph" w:customStyle="1" w:styleId="CM18">
    <w:name w:val="CM18"/>
    <w:basedOn w:val="Default"/>
    <w:next w:val="Default"/>
    <w:pPr>
      <w:spacing w:after="273"/>
    </w:pPr>
    <w:rPr>
      <w:rFonts w:cs="Times New Roman"/>
      <w:color w:val="auto"/>
    </w:rPr>
  </w:style>
  <w:style w:type="paragraph" w:customStyle="1" w:styleId="CM4">
    <w:name w:val="CM4"/>
    <w:basedOn w:val="Default"/>
    <w:next w:val="Default"/>
    <w:pPr>
      <w:spacing w:line="278" w:lineRule="atLeast"/>
    </w:pPr>
    <w:rPr>
      <w:rFonts w:cs="Times New Roman"/>
      <w:color w:val="auto"/>
    </w:rPr>
  </w:style>
  <w:style w:type="paragraph" w:customStyle="1" w:styleId="CM19">
    <w:name w:val="CM19"/>
    <w:basedOn w:val="Default"/>
    <w:next w:val="Default"/>
    <w:pPr>
      <w:spacing w:after="778"/>
    </w:pPr>
    <w:rPr>
      <w:rFonts w:cs="Times New Roman"/>
      <w:color w:val="auto"/>
    </w:rPr>
  </w:style>
  <w:style w:type="paragraph" w:customStyle="1" w:styleId="CM5">
    <w:name w:val="CM5"/>
    <w:basedOn w:val="Default"/>
    <w:next w:val="Default"/>
    <w:rPr>
      <w:rFonts w:cs="Times New Roman"/>
      <w:color w:val="auto"/>
    </w:rPr>
  </w:style>
  <w:style w:type="paragraph" w:customStyle="1" w:styleId="CM20">
    <w:name w:val="CM20"/>
    <w:basedOn w:val="Default"/>
    <w:next w:val="Default"/>
    <w:pPr>
      <w:spacing w:after="102"/>
    </w:pPr>
    <w:rPr>
      <w:rFonts w:cs="Times New Roman"/>
      <w:color w:val="auto"/>
    </w:rPr>
  </w:style>
  <w:style w:type="paragraph" w:customStyle="1" w:styleId="CM21">
    <w:name w:val="CM21"/>
    <w:basedOn w:val="Default"/>
    <w:next w:val="Default"/>
    <w:pPr>
      <w:spacing w:after="167"/>
    </w:pPr>
    <w:rPr>
      <w:rFonts w:cs="Times New Roman"/>
      <w:color w:val="auto"/>
    </w:rPr>
  </w:style>
  <w:style w:type="paragraph" w:customStyle="1" w:styleId="CM6">
    <w:name w:val="CM6"/>
    <w:basedOn w:val="Default"/>
    <w:next w:val="Default"/>
    <w:pPr>
      <w:spacing w:line="278" w:lineRule="atLeast"/>
    </w:pPr>
    <w:rPr>
      <w:rFonts w:cs="Times New Roman"/>
      <w:color w:val="auto"/>
    </w:rPr>
  </w:style>
  <w:style w:type="paragraph" w:customStyle="1" w:styleId="CM7">
    <w:name w:val="CM7"/>
    <w:basedOn w:val="Default"/>
    <w:next w:val="Default"/>
    <w:pPr>
      <w:spacing w:line="276" w:lineRule="atLeast"/>
    </w:pPr>
    <w:rPr>
      <w:rFonts w:cs="Times New Roman"/>
      <w:color w:val="auto"/>
    </w:rPr>
  </w:style>
  <w:style w:type="paragraph" w:customStyle="1" w:styleId="CM8">
    <w:name w:val="CM8"/>
    <w:basedOn w:val="Default"/>
    <w:next w:val="Default"/>
    <w:pPr>
      <w:spacing w:line="276" w:lineRule="atLeast"/>
    </w:pPr>
    <w:rPr>
      <w:rFonts w:cs="Times New Roman"/>
      <w:color w:val="auto"/>
    </w:rPr>
  </w:style>
  <w:style w:type="paragraph" w:customStyle="1" w:styleId="CM9">
    <w:name w:val="CM9"/>
    <w:basedOn w:val="Default"/>
    <w:next w:val="Default"/>
    <w:pPr>
      <w:spacing w:line="276" w:lineRule="atLeast"/>
    </w:pPr>
    <w:rPr>
      <w:rFonts w:cs="Times New Roman"/>
      <w:color w:val="auto"/>
    </w:rPr>
  </w:style>
  <w:style w:type="paragraph" w:customStyle="1" w:styleId="CM25">
    <w:name w:val="CM25"/>
    <w:basedOn w:val="Default"/>
    <w:next w:val="Default"/>
    <w:pPr>
      <w:spacing w:after="468"/>
    </w:pPr>
    <w:rPr>
      <w:rFonts w:cs="Times New Roman"/>
      <w:color w:val="auto"/>
    </w:rPr>
  </w:style>
  <w:style w:type="paragraph" w:customStyle="1" w:styleId="CM26">
    <w:name w:val="CM26"/>
    <w:basedOn w:val="Default"/>
    <w:next w:val="Default"/>
    <w:pPr>
      <w:spacing w:after="638"/>
    </w:pPr>
    <w:rPr>
      <w:rFonts w:cs="Times New Roman"/>
      <w:color w:val="auto"/>
    </w:rPr>
  </w:style>
  <w:style w:type="paragraph" w:customStyle="1" w:styleId="CM10">
    <w:name w:val="CM10"/>
    <w:basedOn w:val="Default"/>
    <w:next w:val="Default"/>
    <w:pPr>
      <w:spacing w:line="238" w:lineRule="atLeast"/>
    </w:pPr>
    <w:rPr>
      <w:rFonts w:cs="Times New Roman"/>
      <w:color w:val="auto"/>
    </w:rPr>
  </w:style>
  <w:style w:type="paragraph" w:customStyle="1" w:styleId="CM13">
    <w:name w:val="CM13"/>
    <w:basedOn w:val="Default"/>
    <w:next w:val="Default"/>
    <w:pPr>
      <w:spacing w:line="276" w:lineRule="atLeast"/>
    </w:pPr>
    <w:rPr>
      <w:rFonts w:cs="Times New Roman"/>
      <w:color w:val="auto"/>
    </w:rPr>
  </w:style>
  <w:style w:type="paragraph" w:customStyle="1" w:styleId="CM22">
    <w:name w:val="CM22"/>
    <w:basedOn w:val="Default"/>
    <w:next w:val="Default"/>
    <w:pPr>
      <w:spacing w:after="410"/>
    </w:pPr>
    <w:rPr>
      <w:rFonts w:cs="Times New Roman"/>
      <w:color w:val="auto"/>
    </w:rPr>
  </w:style>
  <w:style w:type="paragraph" w:customStyle="1" w:styleId="CM14">
    <w:name w:val="CM14"/>
    <w:basedOn w:val="Default"/>
    <w:next w:val="Default"/>
    <w:pPr>
      <w:spacing w:line="276" w:lineRule="atLeast"/>
    </w:pPr>
    <w:rPr>
      <w:rFonts w:cs="Times New Roman"/>
      <w:color w:val="auto"/>
    </w:rPr>
  </w:style>
  <w:style w:type="paragraph" w:styleId="Header">
    <w:name w:val="header"/>
    <w:basedOn w:val="Normal"/>
    <w:rsid w:val="00AA6C64"/>
    <w:pPr>
      <w:tabs>
        <w:tab w:val="center" w:pos="4320"/>
        <w:tab w:val="right" w:pos="8640"/>
      </w:tabs>
    </w:pPr>
  </w:style>
  <w:style w:type="paragraph" w:styleId="Footer">
    <w:name w:val="footer"/>
    <w:basedOn w:val="Normal"/>
    <w:link w:val="FooterChar"/>
    <w:qFormat/>
    <w:rsid w:val="00AA6C64"/>
    <w:pPr>
      <w:tabs>
        <w:tab w:val="center" w:pos="4320"/>
        <w:tab w:val="right" w:pos="8640"/>
      </w:tabs>
    </w:pPr>
  </w:style>
  <w:style w:type="paragraph" w:customStyle="1" w:styleId="AlexionBodyText">
    <w:name w:val="Alexion Body Text"/>
    <w:basedOn w:val="Normal"/>
    <w:link w:val="AlexionBodyTextChar"/>
    <w:rsid w:val="0062284C"/>
    <w:pPr>
      <w:spacing w:before="120" w:after="240"/>
      <w:ind w:firstLine="432"/>
    </w:pPr>
    <w:rPr>
      <w:sz w:val="16"/>
      <w:szCs w:val="20"/>
      <w:lang w:val="en-US"/>
    </w:rPr>
  </w:style>
  <w:style w:type="character" w:styleId="Hyperlink">
    <w:name w:val="Hyperlink"/>
    <w:rsid w:val="0062284C"/>
    <w:rPr>
      <w:color w:val="0000FF"/>
      <w:u w:val="single"/>
    </w:rPr>
  </w:style>
  <w:style w:type="character" w:customStyle="1" w:styleId="AlexionBodyTextChar">
    <w:name w:val="Alexion Body Text Char"/>
    <w:link w:val="AlexionBodyText"/>
    <w:rsid w:val="0062284C"/>
    <w:rPr>
      <w:sz w:val="16"/>
      <w:lang w:val="en-US" w:eastAsia="en-US" w:bidi="ar-SA"/>
    </w:rPr>
  </w:style>
  <w:style w:type="table" w:styleId="TableGrid">
    <w:name w:val="Table Grid"/>
    <w:aliases w:val="Table Grid No Line"/>
    <w:basedOn w:val="TableNormal"/>
    <w:uiPriority w:val="59"/>
    <w:rsid w:val="00F65BB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next w:val="Normal"/>
    <w:rsid w:val="00F65BB2"/>
    <w:pPr>
      <w:spacing w:before="60" w:after="60"/>
      <w:jc w:val="center"/>
    </w:pPr>
    <w:rPr>
      <w:b/>
      <w:sz w:val="16"/>
      <w:szCs w:val="24"/>
      <w:lang w:val="en-US" w:eastAsia="en-US"/>
    </w:rPr>
  </w:style>
  <w:style w:type="character" w:styleId="CommentReference">
    <w:name w:val="annotation reference"/>
    <w:rsid w:val="000B0EB9"/>
    <w:rPr>
      <w:sz w:val="16"/>
      <w:szCs w:val="16"/>
    </w:rPr>
  </w:style>
  <w:style w:type="paragraph" w:styleId="CommentText">
    <w:name w:val="annotation text"/>
    <w:aliases w:val="Comment Text Char2 Char,Comment Text Char1 Char Char,Comment Text Char Char Char Char,Comment Text Char Char1 Char,Comment Text Char Char"/>
    <w:basedOn w:val="Normal"/>
    <w:link w:val="CommentTextChar"/>
    <w:rsid w:val="000B0EB9"/>
    <w:rPr>
      <w:sz w:val="20"/>
      <w:szCs w:val="20"/>
    </w:rPr>
  </w:style>
  <w:style w:type="paragraph" w:styleId="CommentSubject">
    <w:name w:val="annotation subject"/>
    <w:basedOn w:val="CommentText"/>
    <w:next w:val="CommentText"/>
    <w:semiHidden/>
    <w:rsid w:val="000B0EB9"/>
    <w:rPr>
      <w:b/>
      <w:bCs/>
    </w:rPr>
  </w:style>
  <w:style w:type="paragraph" w:styleId="BalloonText">
    <w:name w:val="Balloon Text"/>
    <w:basedOn w:val="Normal"/>
    <w:semiHidden/>
    <w:rsid w:val="000B0EB9"/>
    <w:rPr>
      <w:rFonts w:ascii="Tahoma" w:hAnsi="Tahoma" w:cs="Tahoma"/>
      <w:sz w:val="16"/>
      <w:szCs w:val="16"/>
    </w:rPr>
  </w:style>
  <w:style w:type="character" w:customStyle="1" w:styleId="FDAHeader3Char">
    <w:name w:val="FDA Header 3 Char"/>
    <w:rsid w:val="000B0EB9"/>
    <w:rPr>
      <w:rFonts w:ascii="Arial" w:hAnsi="Arial" w:cs="Arial"/>
      <w:b/>
      <w:bCs/>
      <w:noProof w:val="0"/>
      <w:sz w:val="24"/>
      <w:szCs w:val="24"/>
      <w:lang w:val="en-US" w:eastAsia="en-US" w:bidi="ar-SA"/>
    </w:rPr>
  </w:style>
  <w:style w:type="paragraph" w:customStyle="1" w:styleId="Bullet1">
    <w:name w:val="Bullet 1"/>
    <w:basedOn w:val="Normal"/>
    <w:rsid w:val="000B0EB9"/>
    <w:pPr>
      <w:numPr>
        <w:numId w:val="5"/>
      </w:numPr>
      <w:spacing w:before="120"/>
    </w:pPr>
    <w:rPr>
      <w:sz w:val="16"/>
      <w:szCs w:val="24"/>
      <w:lang w:val="en-US"/>
    </w:rPr>
  </w:style>
  <w:style w:type="paragraph" w:customStyle="1" w:styleId="Normal-text">
    <w:name w:val="Normal-text"/>
    <w:basedOn w:val="Normal"/>
    <w:rsid w:val="002C6A5F"/>
    <w:pPr>
      <w:tabs>
        <w:tab w:val="left" w:pos="0"/>
      </w:tabs>
      <w:suppressAutoHyphens/>
      <w:spacing w:before="60" w:after="120"/>
    </w:pPr>
    <w:rPr>
      <w:rFonts w:ascii="Arial" w:hAnsi="Arial"/>
      <w:szCs w:val="20"/>
      <w:lang w:val="en-US"/>
    </w:rPr>
  </w:style>
  <w:style w:type="character" w:styleId="PageNumber">
    <w:name w:val="page number"/>
    <w:basedOn w:val="DefaultParagraphFont"/>
    <w:rsid w:val="00904D14"/>
  </w:style>
  <w:style w:type="paragraph" w:customStyle="1" w:styleId="C-BodyText">
    <w:name w:val="C-Body Text"/>
    <w:link w:val="C-BodyTextChar"/>
    <w:rsid w:val="00B95833"/>
    <w:pPr>
      <w:spacing w:before="120" w:after="120" w:line="280" w:lineRule="atLeast"/>
    </w:pPr>
    <w:rPr>
      <w:sz w:val="24"/>
      <w:lang w:val="en-US" w:eastAsia="en-US"/>
    </w:rPr>
  </w:style>
  <w:style w:type="character" w:customStyle="1" w:styleId="C-BodyTextChar">
    <w:name w:val="C-Body Text Char"/>
    <w:link w:val="C-BodyText"/>
    <w:rsid w:val="00B95833"/>
    <w:rPr>
      <w:sz w:val="24"/>
    </w:rPr>
  </w:style>
  <w:style w:type="character" w:customStyle="1" w:styleId="CommentTextChar">
    <w:name w:val="Comment Text Char"/>
    <w:aliases w:val="Comment Text Char2 Char Char,Comment Text Char1 Char Char Char,Comment Text Char Char Char Char Char,Comment Text Char Char1 Char Char,Comment Text Char Char Char"/>
    <w:link w:val="CommentText"/>
    <w:rsid w:val="00051956"/>
    <w:rPr>
      <w:lang w:val="en-GB"/>
    </w:rPr>
  </w:style>
  <w:style w:type="paragraph" w:styleId="Revision">
    <w:name w:val="Revision"/>
    <w:hidden/>
    <w:uiPriority w:val="99"/>
    <w:semiHidden/>
    <w:rsid w:val="00CC5D6A"/>
    <w:rPr>
      <w:sz w:val="22"/>
      <w:szCs w:val="22"/>
      <w:lang w:val="en-GB" w:eastAsia="en-US"/>
    </w:rPr>
  </w:style>
  <w:style w:type="paragraph" w:styleId="NormalWeb">
    <w:name w:val="Normal (Web)"/>
    <w:basedOn w:val="Normal"/>
    <w:uiPriority w:val="99"/>
    <w:unhideWhenUsed/>
    <w:rsid w:val="00C25F3D"/>
    <w:pPr>
      <w:spacing w:before="240" w:after="240"/>
    </w:pPr>
    <w:rPr>
      <w:szCs w:val="24"/>
      <w:lang w:val="en-US"/>
    </w:rPr>
  </w:style>
  <w:style w:type="paragraph" w:customStyle="1" w:styleId="PIMajorHeading">
    <w:name w:val="PIMajorHeading"/>
    <w:basedOn w:val="CM16"/>
    <w:link w:val="PIMajorHeadingChar"/>
    <w:qFormat/>
    <w:rsid w:val="00490370"/>
    <w:pPr>
      <w:keepNext/>
      <w:spacing w:before="360" w:after="120"/>
    </w:pPr>
    <w:rPr>
      <w:rFonts w:ascii="Times New Roman" w:hAnsi="Times New Roman"/>
      <w:b/>
      <w:lang w:val="en-AU"/>
    </w:rPr>
  </w:style>
  <w:style w:type="paragraph" w:customStyle="1" w:styleId="PIMinorHeading">
    <w:name w:val="PIMinorHeading"/>
    <w:basedOn w:val="Heading2"/>
    <w:link w:val="PIMinorHeadingChar"/>
    <w:qFormat/>
    <w:rsid w:val="00425CBA"/>
    <w:pPr>
      <w:tabs>
        <w:tab w:val="left" w:pos="300"/>
      </w:tabs>
      <w:spacing w:before="0" w:after="120"/>
      <w:ind w:firstLine="0"/>
      <w:jc w:val="both"/>
    </w:pPr>
    <w:rPr>
      <w:sz w:val="24"/>
      <w:szCs w:val="24"/>
      <w:lang w:val="en-AU"/>
    </w:rPr>
  </w:style>
  <w:style w:type="character" w:customStyle="1" w:styleId="DefaultChar">
    <w:name w:val="Default Char"/>
    <w:link w:val="Default"/>
    <w:rsid w:val="00425CBA"/>
    <w:rPr>
      <w:rFonts w:ascii="TT A 20 F 6 BE 8o 00" w:hAnsi="TT A 20 F 6 BE 8o 00" w:cs="TT A 20 F 6 BE 8o 00"/>
      <w:color w:val="000000"/>
      <w:sz w:val="24"/>
      <w:szCs w:val="24"/>
    </w:rPr>
  </w:style>
  <w:style w:type="character" w:customStyle="1" w:styleId="CM16Char">
    <w:name w:val="CM16 Char"/>
    <w:link w:val="CM16"/>
    <w:rsid w:val="00425CBA"/>
    <w:rPr>
      <w:rFonts w:ascii="TT A 20 F 6 BE 8o 00" w:hAnsi="TT A 20 F 6 BE 8o 00" w:cs="TT A 20 F 6 BE 8o 00"/>
      <w:color w:val="000000"/>
      <w:sz w:val="24"/>
      <w:szCs w:val="24"/>
    </w:rPr>
  </w:style>
  <w:style w:type="character" w:customStyle="1" w:styleId="PIMajorHeadingChar">
    <w:name w:val="PIMajorHeading Char"/>
    <w:link w:val="PIMajorHeading"/>
    <w:rsid w:val="00490370"/>
    <w:rPr>
      <w:b/>
      <w:sz w:val="24"/>
      <w:szCs w:val="24"/>
      <w:lang w:val="en-AU"/>
    </w:rPr>
  </w:style>
  <w:style w:type="character" w:customStyle="1" w:styleId="C-BodyTextChar1">
    <w:name w:val="C-Body Text Char1"/>
    <w:rsid w:val="006F5DC4"/>
    <w:rPr>
      <w:rFonts w:eastAsia="Times New Roman"/>
      <w:sz w:val="24"/>
    </w:rPr>
  </w:style>
  <w:style w:type="character" w:customStyle="1" w:styleId="Heading2Char">
    <w:name w:val="Heading 2 Char"/>
    <w:link w:val="Heading2"/>
    <w:rsid w:val="00425CBA"/>
    <w:rPr>
      <w:rFonts w:cs="Arial"/>
      <w:b/>
      <w:bCs/>
      <w:iCs/>
      <w:sz w:val="16"/>
      <w:szCs w:val="16"/>
    </w:rPr>
  </w:style>
  <w:style w:type="character" w:customStyle="1" w:styleId="PIMinorHeadingChar">
    <w:name w:val="PIMinorHeading Char"/>
    <w:link w:val="PIMinorHeading"/>
    <w:rsid w:val="00425CBA"/>
    <w:rPr>
      <w:rFonts w:cs="Arial"/>
      <w:b/>
      <w:bCs/>
      <w:iCs/>
      <w:sz w:val="24"/>
      <w:szCs w:val="24"/>
      <w:lang w:val="en-AU"/>
    </w:rPr>
  </w:style>
  <w:style w:type="paragraph" w:customStyle="1" w:styleId="C-TableHeader">
    <w:name w:val="C-Table Header"/>
    <w:next w:val="C-TableText"/>
    <w:link w:val="C-TableHeaderChar"/>
    <w:rsid w:val="004104E3"/>
    <w:pPr>
      <w:keepNext/>
    </w:pPr>
    <w:rPr>
      <w:b/>
      <w:lang w:val="en-US" w:eastAsia="en-US"/>
    </w:rPr>
  </w:style>
  <w:style w:type="paragraph" w:customStyle="1" w:styleId="C-TableText">
    <w:name w:val="C-Table Text"/>
    <w:link w:val="C-TableTextChar"/>
    <w:rsid w:val="004104E3"/>
    <w:rPr>
      <w:lang w:val="en-US" w:eastAsia="en-US"/>
    </w:rPr>
  </w:style>
  <w:style w:type="table" w:customStyle="1" w:styleId="C-Table">
    <w:name w:val="C-Table"/>
    <w:basedOn w:val="TableNormal"/>
    <w:rsid w:val="004104E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104E3"/>
  </w:style>
  <w:style w:type="character" w:customStyle="1" w:styleId="C-TableHeaderChar">
    <w:name w:val="C-Table Header Char"/>
    <w:link w:val="C-TableHeader"/>
    <w:locked/>
    <w:rsid w:val="004104E3"/>
    <w:rPr>
      <w:b/>
    </w:rPr>
  </w:style>
  <w:style w:type="paragraph" w:styleId="Caption">
    <w:name w:val="caption"/>
    <w:basedOn w:val="Normal"/>
    <w:next w:val="Normal"/>
    <w:link w:val="CaptionChar"/>
    <w:unhideWhenUsed/>
    <w:qFormat/>
    <w:rsid w:val="004104E3"/>
    <w:pPr>
      <w:keepNext/>
    </w:pPr>
    <w:rPr>
      <w:b/>
      <w:bCs/>
      <w:szCs w:val="20"/>
    </w:rPr>
  </w:style>
  <w:style w:type="paragraph" w:customStyle="1" w:styleId="PIMinorHeadingsubsection">
    <w:name w:val="PIMinorHeadingsubsection"/>
    <w:basedOn w:val="Normal"/>
    <w:link w:val="PIMinorHeadingsubsectionChar"/>
    <w:qFormat/>
    <w:rsid w:val="00485844"/>
    <w:pPr>
      <w:spacing w:after="120"/>
    </w:pPr>
    <w:rPr>
      <w:i/>
      <w:u w:val="single"/>
    </w:rPr>
  </w:style>
  <w:style w:type="paragraph" w:styleId="Title">
    <w:name w:val="Title"/>
    <w:basedOn w:val="Normal"/>
    <w:next w:val="Normal"/>
    <w:link w:val="TitleChar"/>
    <w:uiPriority w:val="10"/>
    <w:qFormat/>
    <w:rsid w:val="005C2EA5"/>
    <w:pPr>
      <w:spacing w:before="240" w:after="60"/>
      <w:jc w:val="center"/>
      <w:outlineLvl w:val="0"/>
    </w:pPr>
    <w:rPr>
      <w:rFonts w:ascii="Cambria" w:hAnsi="Cambria"/>
      <w:b/>
      <w:bCs/>
      <w:kern w:val="28"/>
      <w:sz w:val="32"/>
      <w:szCs w:val="32"/>
    </w:rPr>
  </w:style>
  <w:style w:type="character" w:customStyle="1" w:styleId="PIMinorHeadingsubsectionChar">
    <w:name w:val="PIMinorHeadingsubsection Char"/>
    <w:link w:val="PIMinorHeadingsubsection"/>
    <w:rsid w:val="00485844"/>
    <w:rPr>
      <w:i/>
      <w:sz w:val="24"/>
      <w:szCs w:val="22"/>
      <w:u w:val="single"/>
      <w:lang w:val="en-AU"/>
    </w:rPr>
  </w:style>
  <w:style w:type="character" w:customStyle="1" w:styleId="TitleChar">
    <w:name w:val="Title Char"/>
    <w:link w:val="Title"/>
    <w:uiPriority w:val="10"/>
    <w:rsid w:val="005C2EA5"/>
    <w:rPr>
      <w:rFonts w:ascii="Cambria" w:eastAsia="Times New Roman" w:hAnsi="Cambria" w:cs="Times New Roman"/>
      <w:b/>
      <w:bCs/>
      <w:kern w:val="28"/>
      <w:sz w:val="32"/>
      <w:szCs w:val="32"/>
      <w:lang w:val="en-AU"/>
    </w:rPr>
  </w:style>
  <w:style w:type="paragraph" w:styleId="ListParagraph">
    <w:name w:val="List Paragraph"/>
    <w:basedOn w:val="Normal"/>
    <w:uiPriority w:val="34"/>
    <w:qFormat/>
    <w:rsid w:val="00813CCA"/>
    <w:pPr>
      <w:spacing w:after="120"/>
      <w:ind w:left="720"/>
      <w:contextualSpacing/>
    </w:pPr>
    <w:rPr>
      <w:szCs w:val="24"/>
      <w:lang w:val="en-US"/>
    </w:rPr>
  </w:style>
  <w:style w:type="paragraph" w:customStyle="1" w:styleId="CM38">
    <w:name w:val="CM38"/>
    <w:basedOn w:val="Default"/>
    <w:next w:val="Default"/>
    <w:uiPriority w:val="99"/>
    <w:rsid w:val="00621C6F"/>
    <w:pPr>
      <w:widowControl/>
    </w:pPr>
    <w:rPr>
      <w:rFonts w:ascii="Times New Roman" w:hAnsi="Times New Roman" w:cs="Times New Roman"/>
      <w:color w:val="auto"/>
    </w:rPr>
  </w:style>
  <w:style w:type="paragraph" w:styleId="BodyText">
    <w:name w:val="Body Text"/>
    <w:basedOn w:val="Normal"/>
    <w:link w:val="BodyTextChar"/>
    <w:rsid w:val="005F6768"/>
    <w:pPr>
      <w:overflowPunct w:val="0"/>
      <w:autoSpaceDE w:val="0"/>
      <w:autoSpaceDN w:val="0"/>
      <w:adjustRightInd w:val="0"/>
      <w:spacing w:after="180" w:line="360" w:lineRule="exact"/>
      <w:textAlignment w:val="baseline"/>
    </w:pPr>
    <w:rPr>
      <w:szCs w:val="20"/>
      <w:lang w:val="en-GB" w:eastAsia="ja-JP"/>
    </w:rPr>
  </w:style>
  <w:style w:type="character" w:customStyle="1" w:styleId="BodyTextChar">
    <w:name w:val="Body Text Char"/>
    <w:link w:val="BodyText"/>
    <w:rsid w:val="005F6768"/>
    <w:rPr>
      <w:sz w:val="24"/>
      <w:lang w:val="en-GB" w:eastAsia="ja-JP"/>
    </w:rPr>
  </w:style>
  <w:style w:type="character" w:customStyle="1" w:styleId="FooterChar">
    <w:name w:val="Footer Char"/>
    <w:link w:val="Footer"/>
    <w:rsid w:val="005F6768"/>
    <w:rPr>
      <w:sz w:val="24"/>
      <w:szCs w:val="22"/>
      <w:lang w:eastAsia="en-US"/>
    </w:rPr>
  </w:style>
  <w:style w:type="paragraph" w:styleId="NoSpacing">
    <w:name w:val="No Spacing"/>
    <w:uiPriority w:val="1"/>
    <w:qFormat/>
    <w:rsid w:val="006C2FED"/>
    <w:rPr>
      <w:rFonts w:eastAsia="Calibri"/>
      <w:sz w:val="24"/>
      <w:szCs w:val="22"/>
      <w:lang w:val="en-US" w:eastAsia="en-US"/>
    </w:rPr>
  </w:style>
  <w:style w:type="table" w:customStyle="1" w:styleId="TableGrid3">
    <w:name w:val="Table Grid3"/>
    <w:basedOn w:val="TableNormal"/>
    <w:rsid w:val="006C2FE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Note">
    <w:name w:val="Table/Figure Note"/>
    <w:basedOn w:val="Normal"/>
    <w:rsid w:val="00726058"/>
    <w:pPr>
      <w:overflowPunct w:val="0"/>
      <w:autoSpaceDE w:val="0"/>
      <w:autoSpaceDN w:val="0"/>
      <w:adjustRightInd w:val="0"/>
      <w:ind w:left="720" w:hanging="360"/>
      <w:textAlignment w:val="baseline"/>
    </w:pPr>
    <w:rPr>
      <w:sz w:val="20"/>
      <w:szCs w:val="20"/>
      <w:lang w:val="en-GB" w:eastAsia="ja-JP"/>
    </w:rPr>
  </w:style>
  <w:style w:type="paragraph" w:customStyle="1" w:styleId="C-Title">
    <w:name w:val="C-Title"/>
    <w:next w:val="C-BodyText"/>
    <w:rsid w:val="00C05104"/>
    <w:pPr>
      <w:spacing w:after="120"/>
      <w:jc w:val="center"/>
    </w:pPr>
    <w:rPr>
      <w:b/>
      <w:caps/>
      <w:sz w:val="36"/>
      <w:lang w:val="en-US" w:eastAsia="en-US"/>
    </w:rPr>
  </w:style>
  <w:style w:type="paragraph" w:customStyle="1" w:styleId="TableText">
    <w:name w:val="Table Text"/>
    <w:basedOn w:val="BodyText"/>
    <w:link w:val="TableTextChar"/>
    <w:rsid w:val="00C05104"/>
    <w:pPr>
      <w:overflowPunct/>
      <w:autoSpaceDE/>
      <w:autoSpaceDN/>
      <w:adjustRightInd/>
      <w:spacing w:before="20" w:after="20" w:line="240" w:lineRule="auto"/>
      <w:textAlignment w:val="auto"/>
    </w:pPr>
    <w:rPr>
      <w:rFonts w:eastAsia="MS Mincho"/>
      <w:sz w:val="22"/>
      <w:szCs w:val="22"/>
      <w:lang w:eastAsia="x-none"/>
    </w:rPr>
  </w:style>
  <w:style w:type="character" w:customStyle="1" w:styleId="TableTextChar">
    <w:name w:val="Table Text Char"/>
    <w:link w:val="TableText"/>
    <w:locked/>
    <w:rsid w:val="00C05104"/>
    <w:rPr>
      <w:rFonts w:eastAsia="MS Mincho"/>
      <w:sz w:val="22"/>
      <w:szCs w:val="22"/>
      <w:lang w:val="en-GB" w:eastAsia="x-none"/>
    </w:rPr>
  </w:style>
  <w:style w:type="character" w:customStyle="1" w:styleId="CaptionChar">
    <w:name w:val="Caption Char"/>
    <w:link w:val="Caption"/>
    <w:rsid w:val="00835AB1"/>
    <w:rPr>
      <w:b/>
      <w:bCs/>
      <w:sz w:val="24"/>
      <w:lang w:val="en-AU"/>
    </w:rPr>
  </w:style>
  <w:style w:type="character" w:customStyle="1" w:styleId="apple-converted-space">
    <w:name w:val="apple-converted-space"/>
    <w:rsid w:val="00707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A96"/>
    <w:rPr>
      <w:sz w:val="24"/>
      <w:szCs w:val="22"/>
      <w:lang w:eastAsia="en-US"/>
    </w:rPr>
  </w:style>
  <w:style w:type="paragraph" w:styleId="Heading1">
    <w:name w:val="heading 1"/>
    <w:basedOn w:val="Normal"/>
    <w:next w:val="Normal"/>
    <w:qFormat/>
    <w:rsid w:val="000B0EB9"/>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62284C"/>
    <w:pPr>
      <w:keepNext/>
      <w:spacing w:before="60" w:after="60"/>
      <w:ind w:firstLine="288"/>
      <w:outlineLvl w:val="1"/>
    </w:pPr>
    <w:rPr>
      <w:rFonts w:cs="Arial"/>
      <w:b/>
      <w:bCs/>
      <w:iCs/>
      <w:sz w:val="16"/>
      <w:szCs w:val="16"/>
      <w:lang w:val="en-US" w:eastAsia="en-US"/>
    </w:rPr>
  </w:style>
  <w:style w:type="paragraph" w:styleId="Heading3">
    <w:name w:val="heading 3"/>
    <w:basedOn w:val="Normal"/>
    <w:next w:val="Normal"/>
    <w:qFormat/>
    <w:rsid w:val="00F65B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TT A 20 F 6 BE 8o 00" w:hAnsi="TT A 20 F 6 BE 8o 00" w:cs="TT A 20 F 6 BE 8o 00"/>
      <w:color w:val="000000"/>
      <w:sz w:val="24"/>
      <w:szCs w:val="24"/>
      <w:lang w:val="en-US" w:eastAsia="en-US"/>
    </w:rPr>
  </w:style>
  <w:style w:type="paragraph" w:customStyle="1" w:styleId="CM1">
    <w:name w:val="CM1"/>
    <w:basedOn w:val="Default"/>
    <w:next w:val="Default"/>
    <w:rPr>
      <w:rFonts w:cs="Times New Roman"/>
      <w:color w:val="auto"/>
    </w:rPr>
  </w:style>
  <w:style w:type="paragraph" w:customStyle="1" w:styleId="CM15">
    <w:name w:val="CM15"/>
    <w:basedOn w:val="Default"/>
    <w:next w:val="Default"/>
    <w:pPr>
      <w:spacing w:after="530"/>
    </w:pPr>
    <w:rPr>
      <w:rFonts w:cs="Times New Roman"/>
      <w:color w:val="auto"/>
    </w:rPr>
  </w:style>
  <w:style w:type="paragraph" w:customStyle="1" w:styleId="CM2">
    <w:name w:val="CM2"/>
    <w:basedOn w:val="Default"/>
    <w:next w:val="Default"/>
    <w:rPr>
      <w:rFonts w:cs="Times New Roman"/>
      <w:color w:val="auto"/>
    </w:rPr>
  </w:style>
  <w:style w:type="paragraph" w:customStyle="1" w:styleId="CM16">
    <w:name w:val="CM16"/>
    <w:basedOn w:val="Default"/>
    <w:next w:val="Default"/>
    <w:link w:val="CM16Char"/>
    <w:pPr>
      <w:spacing w:after="118"/>
    </w:pPr>
    <w:rPr>
      <w:rFonts w:cs="Times New Roman"/>
      <w:color w:val="auto"/>
    </w:rPr>
  </w:style>
  <w:style w:type="paragraph" w:customStyle="1" w:styleId="CM3">
    <w:name w:val="CM3"/>
    <w:basedOn w:val="Default"/>
    <w:next w:val="Default"/>
    <w:pPr>
      <w:spacing w:line="280" w:lineRule="atLeast"/>
    </w:pPr>
    <w:rPr>
      <w:rFonts w:cs="Times New Roman"/>
      <w:color w:val="auto"/>
    </w:rPr>
  </w:style>
  <w:style w:type="paragraph" w:customStyle="1" w:styleId="CM17">
    <w:name w:val="CM17"/>
    <w:basedOn w:val="Default"/>
    <w:next w:val="Default"/>
    <w:pPr>
      <w:spacing w:after="375"/>
    </w:pPr>
    <w:rPr>
      <w:rFonts w:cs="Times New Roman"/>
      <w:color w:val="auto"/>
    </w:rPr>
  </w:style>
  <w:style w:type="paragraph" w:customStyle="1" w:styleId="CM18">
    <w:name w:val="CM18"/>
    <w:basedOn w:val="Default"/>
    <w:next w:val="Default"/>
    <w:pPr>
      <w:spacing w:after="273"/>
    </w:pPr>
    <w:rPr>
      <w:rFonts w:cs="Times New Roman"/>
      <w:color w:val="auto"/>
    </w:rPr>
  </w:style>
  <w:style w:type="paragraph" w:customStyle="1" w:styleId="CM4">
    <w:name w:val="CM4"/>
    <w:basedOn w:val="Default"/>
    <w:next w:val="Default"/>
    <w:pPr>
      <w:spacing w:line="278" w:lineRule="atLeast"/>
    </w:pPr>
    <w:rPr>
      <w:rFonts w:cs="Times New Roman"/>
      <w:color w:val="auto"/>
    </w:rPr>
  </w:style>
  <w:style w:type="paragraph" w:customStyle="1" w:styleId="CM19">
    <w:name w:val="CM19"/>
    <w:basedOn w:val="Default"/>
    <w:next w:val="Default"/>
    <w:pPr>
      <w:spacing w:after="778"/>
    </w:pPr>
    <w:rPr>
      <w:rFonts w:cs="Times New Roman"/>
      <w:color w:val="auto"/>
    </w:rPr>
  </w:style>
  <w:style w:type="paragraph" w:customStyle="1" w:styleId="CM5">
    <w:name w:val="CM5"/>
    <w:basedOn w:val="Default"/>
    <w:next w:val="Default"/>
    <w:rPr>
      <w:rFonts w:cs="Times New Roman"/>
      <w:color w:val="auto"/>
    </w:rPr>
  </w:style>
  <w:style w:type="paragraph" w:customStyle="1" w:styleId="CM20">
    <w:name w:val="CM20"/>
    <w:basedOn w:val="Default"/>
    <w:next w:val="Default"/>
    <w:pPr>
      <w:spacing w:after="102"/>
    </w:pPr>
    <w:rPr>
      <w:rFonts w:cs="Times New Roman"/>
      <w:color w:val="auto"/>
    </w:rPr>
  </w:style>
  <w:style w:type="paragraph" w:customStyle="1" w:styleId="CM21">
    <w:name w:val="CM21"/>
    <w:basedOn w:val="Default"/>
    <w:next w:val="Default"/>
    <w:pPr>
      <w:spacing w:after="167"/>
    </w:pPr>
    <w:rPr>
      <w:rFonts w:cs="Times New Roman"/>
      <w:color w:val="auto"/>
    </w:rPr>
  </w:style>
  <w:style w:type="paragraph" w:customStyle="1" w:styleId="CM6">
    <w:name w:val="CM6"/>
    <w:basedOn w:val="Default"/>
    <w:next w:val="Default"/>
    <w:pPr>
      <w:spacing w:line="278" w:lineRule="atLeast"/>
    </w:pPr>
    <w:rPr>
      <w:rFonts w:cs="Times New Roman"/>
      <w:color w:val="auto"/>
    </w:rPr>
  </w:style>
  <w:style w:type="paragraph" w:customStyle="1" w:styleId="CM7">
    <w:name w:val="CM7"/>
    <w:basedOn w:val="Default"/>
    <w:next w:val="Default"/>
    <w:pPr>
      <w:spacing w:line="276" w:lineRule="atLeast"/>
    </w:pPr>
    <w:rPr>
      <w:rFonts w:cs="Times New Roman"/>
      <w:color w:val="auto"/>
    </w:rPr>
  </w:style>
  <w:style w:type="paragraph" w:customStyle="1" w:styleId="CM8">
    <w:name w:val="CM8"/>
    <w:basedOn w:val="Default"/>
    <w:next w:val="Default"/>
    <w:pPr>
      <w:spacing w:line="276" w:lineRule="atLeast"/>
    </w:pPr>
    <w:rPr>
      <w:rFonts w:cs="Times New Roman"/>
      <w:color w:val="auto"/>
    </w:rPr>
  </w:style>
  <w:style w:type="paragraph" w:customStyle="1" w:styleId="CM9">
    <w:name w:val="CM9"/>
    <w:basedOn w:val="Default"/>
    <w:next w:val="Default"/>
    <w:pPr>
      <w:spacing w:line="276" w:lineRule="atLeast"/>
    </w:pPr>
    <w:rPr>
      <w:rFonts w:cs="Times New Roman"/>
      <w:color w:val="auto"/>
    </w:rPr>
  </w:style>
  <w:style w:type="paragraph" w:customStyle="1" w:styleId="CM25">
    <w:name w:val="CM25"/>
    <w:basedOn w:val="Default"/>
    <w:next w:val="Default"/>
    <w:pPr>
      <w:spacing w:after="468"/>
    </w:pPr>
    <w:rPr>
      <w:rFonts w:cs="Times New Roman"/>
      <w:color w:val="auto"/>
    </w:rPr>
  </w:style>
  <w:style w:type="paragraph" w:customStyle="1" w:styleId="CM26">
    <w:name w:val="CM26"/>
    <w:basedOn w:val="Default"/>
    <w:next w:val="Default"/>
    <w:pPr>
      <w:spacing w:after="638"/>
    </w:pPr>
    <w:rPr>
      <w:rFonts w:cs="Times New Roman"/>
      <w:color w:val="auto"/>
    </w:rPr>
  </w:style>
  <w:style w:type="paragraph" w:customStyle="1" w:styleId="CM10">
    <w:name w:val="CM10"/>
    <w:basedOn w:val="Default"/>
    <w:next w:val="Default"/>
    <w:pPr>
      <w:spacing w:line="238" w:lineRule="atLeast"/>
    </w:pPr>
    <w:rPr>
      <w:rFonts w:cs="Times New Roman"/>
      <w:color w:val="auto"/>
    </w:rPr>
  </w:style>
  <w:style w:type="paragraph" w:customStyle="1" w:styleId="CM13">
    <w:name w:val="CM13"/>
    <w:basedOn w:val="Default"/>
    <w:next w:val="Default"/>
    <w:pPr>
      <w:spacing w:line="276" w:lineRule="atLeast"/>
    </w:pPr>
    <w:rPr>
      <w:rFonts w:cs="Times New Roman"/>
      <w:color w:val="auto"/>
    </w:rPr>
  </w:style>
  <w:style w:type="paragraph" w:customStyle="1" w:styleId="CM22">
    <w:name w:val="CM22"/>
    <w:basedOn w:val="Default"/>
    <w:next w:val="Default"/>
    <w:pPr>
      <w:spacing w:after="410"/>
    </w:pPr>
    <w:rPr>
      <w:rFonts w:cs="Times New Roman"/>
      <w:color w:val="auto"/>
    </w:rPr>
  </w:style>
  <w:style w:type="paragraph" w:customStyle="1" w:styleId="CM14">
    <w:name w:val="CM14"/>
    <w:basedOn w:val="Default"/>
    <w:next w:val="Default"/>
    <w:pPr>
      <w:spacing w:line="276" w:lineRule="atLeast"/>
    </w:pPr>
    <w:rPr>
      <w:rFonts w:cs="Times New Roman"/>
      <w:color w:val="auto"/>
    </w:rPr>
  </w:style>
  <w:style w:type="paragraph" w:styleId="Header">
    <w:name w:val="header"/>
    <w:basedOn w:val="Normal"/>
    <w:rsid w:val="00AA6C64"/>
    <w:pPr>
      <w:tabs>
        <w:tab w:val="center" w:pos="4320"/>
        <w:tab w:val="right" w:pos="8640"/>
      </w:tabs>
    </w:pPr>
  </w:style>
  <w:style w:type="paragraph" w:styleId="Footer">
    <w:name w:val="footer"/>
    <w:basedOn w:val="Normal"/>
    <w:link w:val="FooterChar"/>
    <w:qFormat/>
    <w:rsid w:val="00AA6C64"/>
    <w:pPr>
      <w:tabs>
        <w:tab w:val="center" w:pos="4320"/>
        <w:tab w:val="right" w:pos="8640"/>
      </w:tabs>
    </w:pPr>
  </w:style>
  <w:style w:type="paragraph" w:customStyle="1" w:styleId="AlexionBodyText">
    <w:name w:val="Alexion Body Text"/>
    <w:basedOn w:val="Normal"/>
    <w:link w:val="AlexionBodyTextChar"/>
    <w:rsid w:val="0062284C"/>
    <w:pPr>
      <w:spacing w:before="120" w:after="240"/>
      <w:ind w:firstLine="432"/>
    </w:pPr>
    <w:rPr>
      <w:sz w:val="16"/>
      <w:szCs w:val="20"/>
      <w:lang w:val="en-US"/>
    </w:rPr>
  </w:style>
  <w:style w:type="character" w:styleId="Hyperlink">
    <w:name w:val="Hyperlink"/>
    <w:rsid w:val="0062284C"/>
    <w:rPr>
      <w:color w:val="0000FF"/>
      <w:u w:val="single"/>
    </w:rPr>
  </w:style>
  <w:style w:type="character" w:customStyle="1" w:styleId="AlexionBodyTextChar">
    <w:name w:val="Alexion Body Text Char"/>
    <w:link w:val="AlexionBodyText"/>
    <w:rsid w:val="0062284C"/>
    <w:rPr>
      <w:sz w:val="16"/>
      <w:lang w:val="en-US" w:eastAsia="en-US" w:bidi="ar-SA"/>
    </w:rPr>
  </w:style>
  <w:style w:type="table" w:styleId="TableGrid">
    <w:name w:val="Table Grid"/>
    <w:aliases w:val="Table Grid No Line"/>
    <w:basedOn w:val="TableNormal"/>
    <w:uiPriority w:val="59"/>
    <w:rsid w:val="00F65BB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next w:val="Normal"/>
    <w:rsid w:val="00F65BB2"/>
    <w:pPr>
      <w:spacing w:before="60" w:after="60"/>
      <w:jc w:val="center"/>
    </w:pPr>
    <w:rPr>
      <w:b/>
      <w:sz w:val="16"/>
      <w:szCs w:val="24"/>
      <w:lang w:val="en-US" w:eastAsia="en-US"/>
    </w:rPr>
  </w:style>
  <w:style w:type="character" w:styleId="CommentReference">
    <w:name w:val="annotation reference"/>
    <w:rsid w:val="000B0EB9"/>
    <w:rPr>
      <w:sz w:val="16"/>
      <w:szCs w:val="16"/>
    </w:rPr>
  </w:style>
  <w:style w:type="paragraph" w:styleId="CommentText">
    <w:name w:val="annotation text"/>
    <w:aliases w:val="Comment Text Char2 Char,Comment Text Char1 Char Char,Comment Text Char Char Char Char,Comment Text Char Char1 Char,Comment Text Char Char"/>
    <w:basedOn w:val="Normal"/>
    <w:link w:val="CommentTextChar"/>
    <w:rsid w:val="000B0EB9"/>
    <w:rPr>
      <w:sz w:val="20"/>
      <w:szCs w:val="20"/>
    </w:rPr>
  </w:style>
  <w:style w:type="paragraph" w:styleId="CommentSubject">
    <w:name w:val="annotation subject"/>
    <w:basedOn w:val="CommentText"/>
    <w:next w:val="CommentText"/>
    <w:semiHidden/>
    <w:rsid w:val="000B0EB9"/>
    <w:rPr>
      <w:b/>
      <w:bCs/>
    </w:rPr>
  </w:style>
  <w:style w:type="paragraph" w:styleId="BalloonText">
    <w:name w:val="Balloon Text"/>
    <w:basedOn w:val="Normal"/>
    <w:semiHidden/>
    <w:rsid w:val="000B0EB9"/>
    <w:rPr>
      <w:rFonts w:ascii="Tahoma" w:hAnsi="Tahoma" w:cs="Tahoma"/>
      <w:sz w:val="16"/>
      <w:szCs w:val="16"/>
    </w:rPr>
  </w:style>
  <w:style w:type="character" w:customStyle="1" w:styleId="FDAHeader3Char">
    <w:name w:val="FDA Header 3 Char"/>
    <w:rsid w:val="000B0EB9"/>
    <w:rPr>
      <w:rFonts w:ascii="Arial" w:hAnsi="Arial" w:cs="Arial"/>
      <w:b/>
      <w:bCs/>
      <w:noProof w:val="0"/>
      <w:sz w:val="24"/>
      <w:szCs w:val="24"/>
      <w:lang w:val="en-US" w:eastAsia="en-US" w:bidi="ar-SA"/>
    </w:rPr>
  </w:style>
  <w:style w:type="paragraph" w:customStyle="1" w:styleId="Bullet1">
    <w:name w:val="Bullet 1"/>
    <w:basedOn w:val="Normal"/>
    <w:rsid w:val="000B0EB9"/>
    <w:pPr>
      <w:numPr>
        <w:numId w:val="5"/>
      </w:numPr>
      <w:spacing w:before="120"/>
    </w:pPr>
    <w:rPr>
      <w:sz w:val="16"/>
      <w:szCs w:val="24"/>
      <w:lang w:val="en-US"/>
    </w:rPr>
  </w:style>
  <w:style w:type="paragraph" w:customStyle="1" w:styleId="Normal-text">
    <w:name w:val="Normal-text"/>
    <w:basedOn w:val="Normal"/>
    <w:rsid w:val="002C6A5F"/>
    <w:pPr>
      <w:tabs>
        <w:tab w:val="left" w:pos="0"/>
      </w:tabs>
      <w:suppressAutoHyphens/>
      <w:spacing w:before="60" w:after="120"/>
    </w:pPr>
    <w:rPr>
      <w:rFonts w:ascii="Arial" w:hAnsi="Arial"/>
      <w:szCs w:val="20"/>
      <w:lang w:val="en-US"/>
    </w:rPr>
  </w:style>
  <w:style w:type="character" w:styleId="PageNumber">
    <w:name w:val="page number"/>
    <w:basedOn w:val="DefaultParagraphFont"/>
    <w:rsid w:val="00904D14"/>
  </w:style>
  <w:style w:type="paragraph" w:customStyle="1" w:styleId="C-BodyText">
    <w:name w:val="C-Body Text"/>
    <w:link w:val="C-BodyTextChar"/>
    <w:rsid w:val="00B95833"/>
    <w:pPr>
      <w:spacing w:before="120" w:after="120" w:line="280" w:lineRule="atLeast"/>
    </w:pPr>
    <w:rPr>
      <w:sz w:val="24"/>
      <w:lang w:val="en-US" w:eastAsia="en-US"/>
    </w:rPr>
  </w:style>
  <w:style w:type="character" w:customStyle="1" w:styleId="C-BodyTextChar">
    <w:name w:val="C-Body Text Char"/>
    <w:link w:val="C-BodyText"/>
    <w:rsid w:val="00B95833"/>
    <w:rPr>
      <w:sz w:val="24"/>
    </w:rPr>
  </w:style>
  <w:style w:type="character" w:customStyle="1" w:styleId="CommentTextChar">
    <w:name w:val="Comment Text Char"/>
    <w:aliases w:val="Comment Text Char2 Char Char,Comment Text Char1 Char Char Char,Comment Text Char Char Char Char Char,Comment Text Char Char1 Char Char,Comment Text Char Char Char"/>
    <w:link w:val="CommentText"/>
    <w:rsid w:val="00051956"/>
    <w:rPr>
      <w:lang w:val="en-GB"/>
    </w:rPr>
  </w:style>
  <w:style w:type="paragraph" w:styleId="Revision">
    <w:name w:val="Revision"/>
    <w:hidden/>
    <w:uiPriority w:val="99"/>
    <w:semiHidden/>
    <w:rsid w:val="00CC5D6A"/>
    <w:rPr>
      <w:sz w:val="22"/>
      <w:szCs w:val="22"/>
      <w:lang w:val="en-GB" w:eastAsia="en-US"/>
    </w:rPr>
  </w:style>
  <w:style w:type="paragraph" w:styleId="NormalWeb">
    <w:name w:val="Normal (Web)"/>
    <w:basedOn w:val="Normal"/>
    <w:uiPriority w:val="99"/>
    <w:unhideWhenUsed/>
    <w:rsid w:val="00C25F3D"/>
    <w:pPr>
      <w:spacing w:before="240" w:after="240"/>
    </w:pPr>
    <w:rPr>
      <w:szCs w:val="24"/>
      <w:lang w:val="en-US"/>
    </w:rPr>
  </w:style>
  <w:style w:type="paragraph" w:customStyle="1" w:styleId="PIMajorHeading">
    <w:name w:val="PIMajorHeading"/>
    <w:basedOn w:val="CM16"/>
    <w:link w:val="PIMajorHeadingChar"/>
    <w:qFormat/>
    <w:rsid w:val="00490370"/>
    <w:pPr>
      <w:keepNext/>
      <w:spacing w:before="360" w:after="120"/>
    </w:pPr>
    <w:rPr>
      <w:rFonts w:ascii="Times New Roman" w:hAnsi="Times New Roman"/>
      <w:b/>
      <w:lang w:val="en-AU"/>
    </w:rPr>
  </w:style>
  <w:style w:type="paragraph" w:customStyle="1" w:styleId="PIMinorHeading">
    <w:name w:val="PIMinorHeading"/>
    <w:basedOn w:val="Heading2"/>
    <w:link w:val="PIMinorHeadingChar"/>
    <w:qFormat/>
    <w:rsid w:val="00425CBA"/>
    <w:pPr>
      <w:tabs>
        <w:tab w:val="left" w:pos="300"/>
      </w:tabs>
      <w:spacing w:before="0" w:after="120"/>
      <w:ind w:firstLine="0"/>
      <w:jc w:val="both"/>
    </w:pPr>
    <w:rPr>
      <w:sz w:val="24"/>
      <w:szCs w:val="24"/>
      <w:lang w:val="en-AU"/>
    </w:rPr>
  </w:style>
  <w:style w:type="character" w:customStyle="1" w:styleId="DefaultChar">
    <w:name w:val="Default Char"/>
    <w:link w:val="Default"/>
    <w:rsid w:val="00425CBA"/>
    <w:rPr>
      <w:rFonts w:ascii="TT A 20 F 6 BE 8o 00" w:hAnsi="TT A 20 F 6 BE 8o 00" w:cs="TT A 20 F 6 BE 8o 00"/>
      <w:color w:val="000000"/>
      <w:sz w:val="24"/>
      <w:szCs w:val="24"/>
    </w:rPr>
  </w:style>
  <w:style w:type="character" w:customStyle="1" w:styleId="CM16Char">
    <w:name w:val="CM16 Char"/>
    <w:link w:val="CM16"/>
    <w:rsid w:val="00425CBA"/>
    <w:rPr>
      <w:rFonts w:ascii="TT A 20 F 6 BE 8o 00" w:hAnsi="TT A 20 F 6 BE 8o 00" w:cs="TT A 20 F 6 BE 8o 00"/>
      <w:color w:val="000000"/>
      <w:sz w:val="24"/>
      <w:szCs w:val="24"/>
    </w:rPr>
  </w:style>
  <w:style w:type="character" w:customStyle="1" w:styleId="PIMajorHeadingChar">
    <w:name w:val="PIMajorHeading Char"/>
    <w:link w:val="PIMajorHeading"/>
    <w:rsid w:val="00490370"/>
    <w:rPr>
      <w:b/>
      <w:sz w:val="24"/>
      <w:szCs w:val="24"/>
      <w:lang w:val="en-AU"/>
    </w:rPr>
  </w:style>
  <w:style w:type="character" w:customStyle="1" w:styleId="C-BodyTextChar1">
    <w:name w:val="C-Body Text Char1"/>
    <w:rsid w:val="006F5DC4"/>
    <w:rPr>
      <w:rFonts w:eastAsia="Times New Roman"/>
      <w:sz w:val="24"/>
    </w:rPr>
  </w:style>
  <w:style w:type="character" w:customStyle="1" w:styleId="Heading2Char">
    <w:name w:val="Heading 2 Char"/>
    <w:link w:val="Heading2"/>
    <w:rsid w:val="00425CBA"/>
    <w:rPr>
      <w:rFonts w:cs="Arial"/>
      <w:b/>
      <w:bCs/>
      <w:iCs/>
      <w:sz w:val="16"/>
      <w:szCs w:val="16"/>
    </w:rPr>
  </w:style>
  <w:style w:type="character" w:customStyle="1" w:styleId="PIMinorHeadingChar">
    <w:name w:val="PIMinorHeading Char"/>
    <w:link w:val="PIMinorHeading"/>
    <w:rsid w:val="00425CBA"/>
    <w:rPr>
      <w:rFonts w:cs="Arial"/>
      <w:b/>
      <w:bCs/>
      <w:iCs/>
      <w:sz w:val="24"/>
      <w:szCs w:val="24"/>
      <w:lang w:val="en-AU"/>
    </w:rPr>
  </w:style>
  <w:style w:type="paragraph" w:customStyle="1" w:styleId="C-TableHeader">
    <w:name w:val="C-Table Header"/>
    <w:next w:val="C-TableText"/>
    <w:link w:val="C-TableHeaderChar"/>
    <w:rsid w:val="004104E3"/>
    <w:pPr>
      <w:keepNext/>
    </w:pPr>
    <w:rPr>
      <w:b/>
      <w:lang w:val="en-US" w:eastAsia="en-US"/>
    </w:rPr>
  </w:style>
  <w:style w:type="paragraph" w:customStyle="1" w:styleId="C-TableText">
    <w:name w:val="C-Table Text"/>
    <w:link w:val="C-TableTextChar"/>
    <w:rsid w:val="004104E3"/>
    <w:rPr>
      <w:lang w:val="en-US" w:eastAsia="en-US"/>
    </w:rPr>
  </w:style>
  <w:style w:type="table" w:customStyle="1" w:styleId="C-Table">
    <w:name w:val="C-Table"/>
    <w:basedOn w:val="TableNormal"/>
    <w:rsid w:val="004104E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104E3"/>
  </w:style>
  <w:style w:type="character" w:customStyle="1" w:styleId="C-TableHeaderChar">
    <w:name w:val="C-Table Header Char"/>
    <w:link w:val="C-TableHeader"/>
    <w:locked/>
    <w:rsid w:val="004104E3"/>
    <w:rPr>
      <w:b/>
    </w:rPr>
  </w:style>
  <w:style w:type="paragraph" w:styleId="Caption">
    <w:name w:val="caption"/>
    <w:basedOn w:val="Normal"/>
    <w:next w:val="Normal"/>
    <w:link w:val="CaptionChar"/>
    <w:unhideWhenUsed/>
    <w:qFormat/>
    <w:rsid w:val="004104E3"/>
    <w:pPr>
      <w:keepNext/>
    </w:pPr>
    <w:rPr>
      <w:b/>
      <w:bCs/>
      <w:szCs w:val="20"/>
    </w:rPr>
  </w:style>
  <w:style w:type="paragraph" w:customStyle="1" w:styleId="PIMinorHeadingsubsection">
    <w:name w:val="PIMinorHeadingsubsection"/>
    <w:basedOn w:val="Normal"/>
    <w:link w:val="PIMinorHeadingsubsectionChar"/>
    <w:qFormat/>
    <w:rsid w:val="00485844"/>
    <w:pPr>
      <w:spacing w:after="120"/>
    </w:pPr>
    <w:rPr>
      <w:i/>
      <w:u w:val="single"/>
    </w:rPr>
  </w:style>
  <w:style w:type="paragraph" w:styleId="Title">
    <w:name w:val="Title"/>
    <w:basedOn w:val="Normal"/>
    <w:next w:val="Normal"/>
    <w:link w:val="TitleChar"/>
    <w:uiPriority w:val="10"/>
    <w:qFormat/>
    <w:rsid w:val="005C2EA5"/>
    <w:pPr>
      <w:spacing w:before="240" w:after="60"/>
      <w:jc w:val="center"/>
      <w:outlineLvl w:val="0"/>
    </w:pPr>
    <w:rPr>
      <w:rFonts w:ascii="Cambria" w:hAnsi="Cambria"/>
      <w:b/>
      <w:bCs/>
      <w:kern w:val="28"/>
      <w:sz w:val="32"/>
      <w:szCs w:val="32"/>
    </w:rPr>
  </w:style>
  <w:style w:type="character" w:customStyle="1" w:styleId="PIMinorHeadingsubsectionChar">
    <w:name w:val="PIMinorHeadingsubsection Char"/>
    <w:link w:val="PIMinorHeadingsubsection"/>
    <w:rsid w:val="00485844"/>
    <w:rPr>
      <w:i/>
      <w:sz w:val="24"/>
      <w:szCs w:val="22"/>
      <w:u w:val="single"/>
      <w:lang w:val="en-AU"/>
    </w:rPr>
  </w:style>
  <w:style w:type="character" w:customStyle="1" w:styleId="TitleChar">
    <w:name w:val="Title Char"/>
    <w:link w:val="Title"/>
    <w:uiPriority w:val="10"/>
    <w:rsid w:val="005C2EA5"/>
    <w:rPr>
      <w:rFonts w:ascii="Cambria" w:eastAsia="Times New Roman" w:hAnsi="Cambria" w:cs="Times New Roman"/>
      <w:b/>
      <w:bCs/>
      <w:kern w:val="28"/>
      <w:sz w:val="32"/>
      <w:szCs w:val="32"/>
      <w:lang w:val="en-AU"/>
    </w:rPr>
  </w:style>
  <w:style w:type="paragraph" w:styleId="ListParagraph">
    <w:name w:val="List Paragraph"/>
    <w:basedOn w:val="Normal"/>
    <w:uiPriority w:val="34"/>
    <w:qFormat/>
    <w:rsid w:val="00813CCA"/>
    <w:pPr>
      <w:spacing w:after="120"/>
      <w:ind w:left="720"/>
      <w:contextualSpacing/>
    </w:pPr>
    <w:rPr>
      <w:szCs w:val="24"/>
      <w:lang w:val="en-US"/>
    </w:rPr>
  </w:style>
  <w:style w:type="paragraph" w:customStyle="1" w:styleId="CM38">
    <w:name w:val="CM38"/>
    <w:basedOn w:val="Default"/>
    <w:next w:val="Default"/>
    <w:uiPriority w:val="99"/>
    <w:rsid w:val="00621C6F"/>
    <w:pPr>
      <w:widowControl/>
    </w:pPr>
    <w:rPr>
      <w:rFonts w:ascii="Times New Roman" w:hAnsi="Times New Roman" w:cs="Times New Roman"/>
      <w:color w:val="auto"/>
    </w:rPr>
  </w:style>
  <w:style w:type="paragraph" w:styleId="BodyText">
    <w:name w:val="Body Text"/>
    <w:basedOn w:val="Normal"/>
    <w:link w:val="BodyTextChar"/>
    <w:rsid w:val="005F6768"/>
    <w:pPr>
      <w:overflowPunct w:val="0"/>
      <w:autoSpaceDE w:val="0"/>
      <w:autoSpaceDN w:val="0"/>
      <w:adjustRightInd w:val="0"/>
      <w:spacing w:after="180" w:line="360" w:lineRule="exact"/>
      <w:textAlignment w:val="baseline"/>
    </w:pPr>
    <w:rPr>
      <w:szCs w:val="20"/>
      <w:lang w:val="en-GB" w:eastAsia="ja-JP"/>
    </w:rPr>
  </w:style>
  <w:style w:type="character" w:customStyle="1" w:styleId="BodyTextChar">
    <w:name w:val="Body Text Char"/>
    <w:link w:val="BodyText"/>
    <w:rsid w:val="005F6768"/>
    <w:rPr>
      <w:sz w:val="24"/>
      <w:lang w:val="en-GB" w:eastAsia="ja-JP"/>
    </w:rPr>
  </w:style>
  <w:style w:type="character" w:customStyle="1" w:styleId="FooterChar">
    <w:name w:val="Footer Char"/>
    <w:link w:val="Footer"/>
    <w:rsid w:val="005F6768"/>
    <w:rPr>
      <w:sz w:val="24"/>
      <w:szCs w:val="22"/>
      <w:lang w:eastAsia="en-US"/>
    </w:rPr>
  </w:style>
  <w:style w:type="paragraph" w:styleId="NoSpacing">
    <w:name w:val="No Spacing"/>
    <w:uiPriority w:val="1"/>
    <w:qFormat/>
    <w:rsid w:val="006C2FED"/>
    <w:rPr>
      <w:rFonts w:eastAsia="Calibri"/>
      <w:sz w:val="24"/>
      <w:szCs w:val="22"/>
      <w:lang w:val="en-US" w:eastAsia="en-US"/>
    </w:rPr>
  </w:style>
  <w:style w:type="table" w:customStyle="1" w:styleId="TableGrid3">
    <w:name w:val="Table Grid3"/>
    <w:basedOn w:val="TableNormal"/>
    <w:rsid w:val="006C2FE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Note">
    <w:name w:val="Table/Figure Note"/>
    <w:basedOn w:val="Normal"/>
    <w:rsid w:val="00726058"/>
    <w:pPr>
      <w:overflowPunct w:val="0"/>
      <w:autoSpaceDE w:val="0"/>
      <w:autoSpaceDN w:val="0"/>
      <w:adjustRightInd w:val="0"/>
      <w:ind w:left="720" w:hanging="360"/>
      <w:textAlignment w:val="baseline"/>
    </w:pPr>
    <w:rPr>
      <w:sz w:val="20"/>
      <w:szCs w:val="20"/>
      <w:lang w:val="en-GB" w:eastAsia="ja-JP"/>
    </w:rPr>
  </w:style>
  <w:style w:type="paragraph" w:customStyle="1" w:styleId="C-Title">
    <w:name w:val="C-Title"/>
    <w:next w:val="C-BodyText"/>
    <w:rsid w:val="00C05104"/>
    <w:pPr>
      <w:spacing w:after="120"/>
      <w:jc w:val="center"/>
    </w:pPr>
    <w:rPr>
      <w:b/>
      <w:caps/>
      <w:sz w:val="36"/>
      <w:lang w:val="en-US" w:eastAsia="en-US"/>
    </w:rPr>
  </w:style>
  <w:style w:type="paragraph" w:customStyle="1" w:styleId="TableText">
    <w:name w:val="Table Text"/>
    <w:basedOn w:val="BodyText"/>
    <w:link w:val="TableTextChar"/>
    <w:rsid w:val="00C05104"/>
    <w:pPr>
      <w:overflowPunct/>
      <w:autoSpaceDE/>
      <w:autoSpaceDN/>
      <w:adjustRightInd/>
      <w:spacing w:before="20" w:after="20" w:line="240" w:lineRule="auto"/>
      <w:textAlignment w:val="auto"/>
    </w:pPr>
    <w:rPr>
      <w:rFonts w:eastAsia="MS Mincho"/>
      <w:sz w:val="22"/>
      <w:szCs w:val="22"/>
      <w:lang w:eastAsia="x-none"/>
    </w:rPr>
  </w:style>
  <w:style w:type="character" w:customStyle="1" w:styleId="TableTextChar">
    <w:name w:val="Table Text Char"/>
    <w:link w:val="TableText"/>
    <w:locked/>
    <w:rsid w:val="00C05104"/>
    <w:rPr>
      <w:rFonts w:eastAsia="MS Mincho"/>
      <w:sz w:val="22"/>
      <w:szCs w:val="22"/>
      <w:lang w:val="en-GB" w:eastAsia="x-none"/>
    </w:rPr>
  </w:style>
  <w:style w:type="character" w:customStyle="1" w:styleId="CaptionChar">
    <w:name w:val="Caption Char"/>
    <w:link w:val="Caption"/>
    <w:rsid w:val="00835AB1"/>
    <w:rPr>
      <w:b/>
      <w:bCs/>
      <w:sz w:val="24"/>
      <w:lang w:val="en-AU"/>
    </w:rPr>
  </w:style>
  <w:style w:type="character" w:customStyle="1" w:styleId="apple-converted-space">
    <w:name w:val="apple-converted-space"/>
    <w:rsid w:val="00707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7722">
      <w:bodyDiv w:val="1"/>
      <w:marLeft w:val="0"/>
      <w:marRight w:val="0"/>
      <w:marTop w:val="0"/>
      <w:marBottom w:val="0"/>
      <w:divBdr>
        <w:top w:val="none" w:sz="0" w:space="0" w:color="auto"/>
        <w:left w:val="none" w:sz="0" w:space="0" w:color="auto"/>
        <w:bottom w:val="none" w:sz="0" w:space="0" w:color="auto"/>
        <w:right w:val="none" w:sz="0" w:space="0" w:color="auto"/>
      </w:divBdr>
    </w:div>
    <w:div w:id="92433523">
      <w:bodyDiv w:val="1"/>
      <w:marLeft w:val="0"/>
      <w:marRight w:val="0"/>
      <w:marTop w:val="0"/>
      <w:marBottom w:val="0"/>
      <w:divBdr>
        <w:top w:val="none" w:sz="0" w:space="0" w:color="auto"/>
        <w:left w:val="none" w:sz="0" w:space="0" w:color="auto"/>
        <w:bottom w:val="none" w:sz="0" w:space="0" w:color="auto"/>
        <w:right w:val="none" w:sz="0" w:space="0" w:color="auto"/>
      </w:divBdr>
      <w:divsChild>
        <w:div w:id="377900728">
          <w:marLeft w:val="0"/>
          <w:marRight w:val="0"/>
          <w:marTop w:val="0"/>
          <w:marBottom w:val="0"/>
          <w:divBdr>
            <w:top w:val="none" w:sz="0" w:space="0" w:color="auto"/>
            <w:left w:val="none" w:sz="0" w:space="0" w:color="auto"/>
            <w:bottom w:val="none" w:sz="0" w:space="0" w:color="auto"/>
            <w:right w:val="none" w:sz="0" w:space="0" w:color="auto"/>
          </w:divBdr>
          <w:divsChild>
            <w:div w:id="2103379969">
              <w:marLeft w:val="0"/>
              <w:marRight w:val="0"/>
              <w:marTop w:val="0"/>
              <w:marBottom w:val="0"/>
              <w:divBdr>
                <w:top w:val="none" w:sz="0" w:space="0" w:color="auto"/>
                <w:left w:val="none" w:sz="0" w:space="0" w:color="auto"/>
                <w:bottom w:val="none" w:sz="0" w:space="0" w:color="auto"/>
                <w:right w:val="none" w:sz="0" w:space="0" w:color="auto"/>
              </w:divBdr>
              <w:divsChild>
                <w:div w:id="1365787589">
                  <w:marLeft w:val="0"/>
                  <w:marRight w:val="0"/>
                  <w:marTop w:val="0"/>
                  <w:marBottom w:val="0"/>
                  <w:divBdr>
                    <w:top w:val="none" w:sz="0" w:space="0" w:color="auto"/>
                    <w:left w:val="none" w:sz="0" w:space="0" w:color="auto"/>
                    <w:bottom w:val="none" w:sz="0" w:space="0" w:color="auto"/>
                    <w:right w:val="none" w:sz="0" w:space="0" w:color="auto"/>
                  </w:divBdr>
                  <w:divsChild>
                    <w:div w:id="1759060666">
                      <w:marLeft w:val="0"/>
                      <w:marRight w:val="0"/>
                      <w:marTop w:val="0"/>
                      <w:marBottom w:val="0"/>
                      <w:divBdr>
                        <w:top w:val="none" w:sz="0" w:space="0" w:color="auto"/>
                        <w:left w:val="none" w:sz="0" w:space="0" w:color="auto"/>
                        <w:bottom w:val="none" w:sz="0" w:space="0" w:color="auto"/>
                        <w:right w:val="none" w:sz="0" w:space="0" w:color="auto"/>
                      </w:divBdr>
                      <w:divsChild>
                        <w:div w:id="2003119820">
                          <w:marLeft w:val="0"/>
                          <w:marRight w:val="0"/>
                          <w:marTop w:val="0"/>
                          <w:marBottom w:val="0"/>
                          <w:divBdr>
                            <w:top w:val="none" w:sz="0" w:space="0" w:color="auto"/>
                            <w:left w:val="none" w:sz="0" w:space="0" w:color="auto"/>
                            <w:bottom w:val="none" w:sz="0" w:space="0" w:color="auto"/>
                            <w:right w:val="none" w:sz="0" w:space="0" w:color="auto"/>
                          </w:divBdr>
                          <w:divsChild>
                            <w:div w:id="6811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41840">
      <w:bodyDiv w:val="1"/>
      <w:marLeft w:val="0"/>
      <w:marRight w:val="0"/>
      <w:marTop w:val="0"/>
      <w:marBottom w:val="0"/>
      <w:divBdr>
        <w:top w:val="none" w:sz="0" w:space="0" w:color="auto"/>
        <w:left w:val="none" w:sz="0" w:space="0" w:color="auto"/>
        <w:bottom w:val="none" w:sz="0" w:space="0" w:color="auto"/>
        <w:right w:val="none" w:sz="0" w:space="0" w:color="auto"/>
      </w:divBdr>
    </w:div>
    <w:div w:id="205996956">
      <w:bodyDiv w:val="1"/>
      <w:marLeft w:val="0"/>
      <w:marRight w:val="0"/>
      <w:marTop w:val="0"/>
      <w:marBottom w:val="0"/>
      <w:divBdr>
        <w:top w:val="none" w:sz="0" w:space="0" w:color="auto"/>
        <w:left w:val="none" w:sz="0" w:space="0" w:color="auto"/>
        <w:bottom w:val="none" w:sz="0" w:space="0" w:color="auto"/>
        <w:right w:val="none" w:sz="0" w:space="0" w:color="auto"/>
      </w:divBdr>
      <w:divsChild>
        <w:div w:id="1396126981">
          <w:marLeft w:val="0"/>
          <w:marRight w:val="0"/>
          <w:marTop w:val="0"/>
          <w:marBottom w:val="0"/>
          <w:divBdr>
            <w:top w:val="none" w:sz="0" w:space="0" w:color="auto"/>
            <w:left w:val="none" w:sz="0" w:space="0" w:color="auto"/>
            <w:bottom w:val="none" w:sz="0" w:space="0" w:color="auto"/>
            <w:right w:val="none" w:sz="0" w:space="0" w:color="auto"/>
          </w:divBdr>
          <w:divsChild>
            <w:div w:id="530924584">
              <w:marLeft w:val="0"/>
              <w:marRight w:val="0"/>
              <w:marTop w:val="0"/>
              <w:marBottom w:val="0"/>
              <w:divBdr>
                <w:top w:val="none" w:sz="0" w:space="0" w:color="auto"/>
                <w:left w:val="none" w:sz="0" w:space="0" w:color="auto"/>
                <w:bottom w:val="none" w:sz="0" w:space="0" w:color="auto"/>
                <w:right w:val="none" w:sz="0" w:space="0" w:color="auto"/>
              </w:divBdr>
              <w:divsChild>
                <w:div w:id="617882280">
                  <w:marLeft w:val="0"/>
                  <w:marRight w:val="0"/>
                  <w:marTop w:val="0"/>
                  <w:marBottom w:val="0"/>
                  <w:divBdr>
                    <w:top w:val="none" w:sz="0" w:space="0" w:color="auto"/>
                    <w:left w:val="none" w:sz="0" w:space="0" w:color="auto"/>
                    <w:bottom w:val="none" w:sz="0" w:space="0" w:color="auto"/>
                    <w:right w:val="none" w:sz="0" w:space="0" w:color="auto"/>
                  </w:divBdr>
                  <w:divsChild>
                    <w:div w:id="551691508">
                      <w:marLeft w:val="0"/>
                      <w:marRight w:val="0"/>
                      <w:marTop w:val="0"/>
                      <w:marBottom w:val="0"/>
                      <w:divBdr>
                        <w:top w:val="none" w:sz="0" w:space="0" w:color="auto"/>
                        <w:left w:val="none" w:sz="0" w:space="0" w:color="auto"/>
                        <w:bottom w:val="none" w:sz="0" w:space="0" w:color="auto"/>
                        <w:right w:val="none" w:sz="0" w:space="0" w:color="auto"/>
                      </w:divBdr>
                      <w:divsChild>
                        <w:div w:id="19105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59319">
      <w:bodyDiv w:val="1"/>
      <w:marLeft w:val="0"/>
      <w:marRight w:val="0"/>
      <w:marTop w:val="0"/>
      <w:marBottom w:val="0"/>
      <w:divBdr>
        <w:top w:val="none" w:sz="0" w:space="0" w:color="auto"/>
        <w:left w:val="none" w:sz="0" w:space="0" w:color="auto"/>
        <w:bottom w:val="none" w:sz="0" w:space="0" w:color="auto"/>
        <w:right w:val="none" w:sz="0" w:space="0" w:color="auto"/>
      </w:divBdr>
    </w:div>
    <w:div w:id="325793002">
      <w:bodyDiv w:val="1"/>
      <w:marLeft w:val="0"/>
      <w:marRight w:val="0"/>
      <w:marTop w:val="0"/>
      <w:marBottom w:val="0"/>
      <w:divBdr>
        <w:top w:val="none" w:sz="0" w:space="0" w:color="auto"/>
        <w:left w:val="none" w:sz="0" w:space="0" w:color="auto"/>
        <w:bottom w:val="none" w:sz="0" w:space="0" w:color="auto"/>
        <w:right w:val="none" w:sz="0" w:space="0" w:color="auto"/>
      </w:divBdr>
    </w:div>
    <w:div w:id="379744648">
      <w:bodyDiv w:val="1"/>
      <w:marLeft w:val="0"/>
      <w:marRight w:val="0"/>
      <w:marTop w:val="0"/>
      <w:marBottom w:val="0"/>
      <w:divBdr>
        <w:top w:val="none" w:sz="0" w:space="0" w:color="auto"/>
        <w:left w:val="none" w:sz="0" w:space="0" w:color="auto"/>
        <w:bottom w:val="none" w:sz="0" w:space="0" w:color="auto"/>
        <w:right w:val="none" w:sz="0" w:space="0" w:color="auto"/>
      </w:divBdr>
      <w:divsChild>
        <w:div w:id="1201670145">
          <w:marLeft w:val="0"/>
          <w:marRight w:val="0"/>
          <w:marTop w:val="0"/>
          <w:marBottom w:val="0"/>
          <w:divBdr>
            <w:top w:val="none" w:sz="0" w:space="0" w:color="auto"/>
            <w:left w:val="none" w:sz="0" w:space="0" w:color="auto"/>
            <w:bottom w:val="none" w:sz="0" w:space="0" w:color="auto"/>
            <w:right w:val="none" w:sz="0" w:space="0" w:color="auto"/>
          </w:divBdr>
          <w:divsChild>
            <w:div w:id="1683163779">
              <w:marLeft w:val="0"/>
              <w:marRight w:val="0"/>
              <w:marTop w:val="0"/>
              <w:marBottom w:val="0"/>
              <w:divBdr>
                <w:top w:val="none" w:sz="0" w:space="0" w:color="auto"/>
                <w:left w:val="none" w:sz="0" w:space="0" w:color="auto"/>
                <w:bottom w:val="none" w:sz="0" w:space="0" w:color="auto"/>
                <w:right w:val="none" w:sz="0" w:space="0" w:color="auto"/>
              </w:divBdr>
              <w:divsChild>
                <w:div w:id="10579760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0984540">
      <w:bodyDiv w:val="1"/>
      <w:marLeft w:val="0"/>
      <w:marRight w:val="0"/>
      <w:marTop w:val="0"/>
      <w:marBottom w:val="0"/>
      <w:divBdr>
        <w:top w:val="none" w:sz="0" w:space="0" w:color="auto"/>
        <w:left w:val="none" w:sz="0" w:space="0" w:color="auto"/>
        <w:bottom w:val="none" w:sz="0" w:space="0" w:color="auto"/>
        <w:right w:val="none" w:sz="0" w:space="0" w:color="auto"/>
      </w:divBdr>
    </w:div>
    <w:div w:id="495456413">
      <w:bodyDiv w:val="1"/>
      <w:marLeft w:val="0"/>
      <w:marRight w:val="0"/>
      <w:marTop w:val="0"/>
      <w:marBottom w:val="0"/>
      <w:divBdr>
        <w:top w:val="none" w:sz="0" w:space="0" w:color="auto"/>
        <w:left w:val="none" w:sz="0" w:space="0" w:color="auto"/>
        <w:bottom w:val="none" w:sz="0" w:space="0" w:color="auto"/>
        <w:right w:val="none" w:sz="0" w:space="0" w:color="auto"/>
      </w:divBdr>
    </w:div>
    <w:div w:id="531845152">
      <w:bodyDiv w:val="1"/>
      <w:marLeft w:val="0"/>
      <w:marRight w:val="0"/>
      <w:marTop w:val="0"/>
      <w:marBottom w:val="0"/>
      <w:divBdr>
        <w:top w:val="none" w:sz="0" w:space="0" w:color="auto"/>
        <w:left w:val="none" w:sz="0" w:space="0" w:color="auto"/>
        <w:bottom w:val="none" w:sz="0" w:space="0" w:color="auto"/>
        <w:right w:val="none" w:sz="0" w:space="0" w:color="auto"/>
      </w:divBdr>
    </w:div>
    <w:div w:id="549682783">
      <w:bodyDiv w:val="1"/>
      <w:marLeft w:val="0"/>
      <w:marRight w:val="0"/>
      <w:marTop w:val="0"/>
      <w:marBottom w:val="0"/>
      <w:divBdr>
        <w:top w:val="none" w:sz="0" w:space="0" w:color="auto"/>
        <w:left w:val="none" w:sz="0" w:space="0" w:color="auto"/>
        <w:bottom w:val="none" w:sz="0" w:space="0" w:color="auto"/>
        <w:right w:val="none" w:sz="0" w:space="0" w:color="auto"/>
      </w:divBdr>
      <w:divsChild>
        <w:div w:id="543180822">
          <w:marLeft w:val="0"/>
          <w:marRight w:val="0"/>
          <w:marTop w:val="0"/>
          <w:marBottom w:val="0"/>
          <w:divBdr>
            <w:top w:val="none" w:sz="0" w:space="0" w:color="auto"/>
            <w:left w:val="none" w:sz="0" w:space="0" w:color="auto"/>
            <w:bottom w:val="none" w:sz="0" w:space="0" w:color="auto"/>
            <w:right w:val="none" w:sz="0" w:space="0" w:color="auto"/>
          </w:divBdr>
          <w:divsChild>
            <w:div w:id="1278491873">
              <w:marLeft w:val="0"/>
              <w:marRight w:val="0"/>
              <w:marTop w:val="0"/>
              <w:marBottom w:val="0"/>
              <w:divBdr>
                <w:top w:val="none" w:sz="0" w:space="0" w:color="auto"/>
                <w:left w:val="none" w:sz="0" w:space="0" w:color="auto"/>
                <w:bottom w:val="none" w:sz="0" w:space="0" w:color="auto"/>
                <w:right w:val="none" w:sz="0" w:space="0" w:color="auto"/>
              </w:divBdr>
              <w:divsChild>
                <w:div w:id="19965711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72933389">
      <w:bodyDiv w:val="1"/>
      <w:marLeft w:val="0"/>
      <w:marRight w:val="0"/>
      <w:marTop w:val="0"/>
      <w:marBottom w:val="0"/>
      <w:divBdr>
        <w:top w:val="none" w:sz="0" w:space="0" w:color="auto"/>
        <w:left w:val="none" w:sz="0" w:space="0" w:color="auto"/>
        <w:bottom w:val="none" w:sz="0" w:space="0" w:color="auto"/>
        <w:right w:val="none" w:sz="0" w:space="0" w:color="auto"/>
      </w:divBdr>
    </w:div>
    <w:div w:id="685787110">
      <w:bodyDiv w:val="1"/>
      <w:marLeft w:val="0"/>
      <w:marRight w:val="0"/>
      <w:marTop w:val="0"/>
      <w:marBottom w:val="0"/>
      <w:divBdr>
        <w:top w:val="none" w:sz="0" w:space="0" w:color="auto"/>
        <w:left w:val="none" w:sz="0" w:space="0" w:color="auto"/>
        <w:bottom w:val="none" w:sz="0" w:space="0" w:color="auto"/>
        <w:right w:val="none" w:sz="0" w:space="0" w:color="auto"/>
      </w:divBdr>
    </w:div>
    <w:div w:id="747768870">
      <w:bodyDiv w:val="1"/>
      <w:marLeft w:val="0"/>
      <w:marRight w:val="0"/>
      <w:marTop w:val="0"/>
      <w:marBottom w:val="0"/>
      <w:divBdr>
        <w:top w:val="none" w:sz="0" w:space="0" w:color="auto"/>
        <w:left w:val="none" w:sz="0" w:space="0" w:color="auto"/>
        <w:bottom w:val="none" w:sz="0" w:space="0" w:color="auto"/>
        <w:right w:val="none" w:sz="0" w:space="0" w:color="auto"/>
      </w:divBdr>
    </w:div>
    <w:div w:id="913776747">
      <w:bodyDiv w:val="1"/>
      <w:marLeft w:val="0"/>
      <w:marRight w:val="0"/>
      <w:marTop w:val="0"/>
      <w:marBottom w:val="0"/>
      <w:divBdr>
        <w:top w:val="none" w:sz="0" w:space="0" w:color="auto"/>
        <w:left w:val="none" w:sz="0" w:space="0" w:color="auto"/>
        <w:bottom w:val="none" w:sz="0" w:space="0" w:color="auto"/>
        <w:right w:val="none" w:sz="0" w:space="0" w:color="auto"/>
      </w:divBdr>
    </w:div>
    <w:div w:id="1002273861">
      <w:bodyDiv w:val="1"/>
      <w:marLeft w:val="0"/>
      <w:marRight w:val="0"/>
      <w:marTop w:val="0"/>
      <w:marBottom w:val="0"/>
      <w:divBdr>
        <w:top w:val="none" w:sz="0" w:space="0" w:color="auto"/>
        <w:left w:val="none" w:sz="0" w:space="0" w:color="auto"/>
        <w:bottom w:val="none" w:sz="0" w:space="0" w:color="auto"/>
        <w:right w:val="none" w:sz="0" w:space="0" w:color="auto"/>
      </w:divBdr>
    </w:div>
    <w:div w:id="1260411687">
      <w:bodyDiv w:val="1"/>
      <w:marLeft w:val="0"/>
      <w:marRight w:val="0"/>
      <w:marTop w:val="0"/>
      <w:marBottom w:val="0"/>
      <w:divBdr>
        <w:top w:val="none" w:sz="0" w:space="0" w:color="auto"/>
        <w:left w:val="none" w:sz="0" w:space="0" w:color="auto"/>
        <w:bottom w:val="none" w:sz="0" w:space="0" w:color="auto"/>
        <w:right w:val="none" w:sz="0" w:space="0" w:color="auto"/>
      </w:divBdr>
    </w:div>
    <w:div w:id="1285234698">
      <w:bodyDiv w:val="1"/>
      <w:marLeft w:val="0"/>
      <w:marRight w:val="0"/>
      <w:marTop w:val="0"/>
      <w:marBottom w:val="0"/>
      <w:divBdr>
        <w:top w:val="none" w:sz="0" w:space="0" w:color="auto"/>
        <w:left w:val="none" w:sz="0" w:space="0" w:color="auto"/>
        <w:bottom w:val="none" w:sz="0" w:space="0" w:color="auto"/>
        <w:right w:val="none" w:sz="0" w:space="0" w:color="auto"/>
      </w:divBdr>
    </w:div>
    <w:div w:id="1375811925">
      <w:bodyDiv w:val="1"/>
      <w:marLeft w:val="0"/>
      <w:marRight w:val="0"/>
      <w:marTop w:val="0"/>
      <w:marBottom w:val="0"/>
      <w:divBdr>
        <w:top w:val="none" w:sz="0" w:space="0" w:color="auto"/>
        <w:left w:val="none" w:sz="0" w:space="0" w:color="auto"/>
        <w:bottom w:val="none" w:sz="0" w:space="0" w:color="auto"/>
        <w:right w:val="none" w:sz="0" w:space="0" w:color="auto"/>
      </w:divBdr>
    </w:div>
    <w:div w:id="1603494145">
      <w:bodyDiv w:val="1"/>
      <w:marLeft w:val="0"/>
      <w:marRight w:val="0"/>
      <w:marTop w:val="0"/>
      <w:marBottom w:val="0"/>
      <w:divBdr>
        <w:top w:val="none" w:sz="0" w:space="0" w:color="auto"/>
        <w:left w:val="none" w:sz="0" w:space="0" w:color="auto"/>
        <w:bottom w:val="none" w:sz="0" w:space="0" w:color="auto"/>
        <w:right w:val="none" w:sz="0" w:space="0" w:color="auto"/>
      </w:divBdr>
    </w:div>
    <w:div w:id="1952207013">
      <w:bodyDiv w:val="1"/>
      <w:marLeft w:val="0"/>
      <w:marRight w:val="0"/>
      <w:marTop w:val="0"/>
      <w:marBottom w:val="0"/>
      <w:divBdr>
        <w:top w:val="none" w:sz="0" w:space="0" w:color="auto"/>
        <w:left w:val="none" w:sz="0" w:space="0" w:color="auto"/>
        <w:bottom w:val="none" w:sz="0" w:space="0" w:color="auto"/>
        <w:right w:val="none" w:sz="0" w:space="0" w:color="auto"/>
      </w:divBdr>
    </w:div>
    <w:div w:id="2096631485">
      <w:bodyDiv w:val="1"/>
      <w:marLeft w:val="0"/>
      <w:marRight w:val="0"/>
      <w:marTop w:val="0"/>
      <w:marBottom w:val="0"/>
      <w:divBdr>
        <w:top w:val="none" w:sz="0" w:space="0" w:color="auto"/>
        <w:left w:val="none" w:sz="0" w:space="0" w:color="auto"/>
        <w:bottom w:val="none" w:sz="0" w:space="0" w:color="auto"/>
        <w:right w:val="none" w:sz="0" w:space="0" w:color="auto"/>
      </w:divBdr>
      <w:divsChild>
        <w:div w:id="673846096">
          <w:marLeft w:val="0"/>
          <w:marRight w:val="0"/>
          <w:marTop w:val="0"/>
          <w:marBottom w:val="0"/>
          <w:divBdr>
            <w:top w:val="none" w:sz="0" w:space="0" w:color="auto"/>
            <w:left w:val="none" w:sz="0" w:space="0" w:color="auto"/>
            <w:bottom w:val="none" w:sz="0" w:space="0" w:color="auto"/>
            <w:right w:val="none" w:sz="0" w:space="0" w:color="auto"/>
          </w:divBdr>
          <w:divsChild>
            <w:div w:id="543905729">
              <w:marLeft w:val="0"/>
              <w:marRight w:val="0"/>
              <w:marTop w:val="0"/>
              <w:marBottom w:val="0"/>
              <w:divBdr>
                <w:top w:val="none" w:sz="0" w:space="0" w:color="auto"/>
                <w:left w:val="none" w:sz="0" w:space="0" w:color="auto"/>
                <w:bottom w:val="none" w:sz="0" w:space="0" w:color="auto"/>
                <w:right w:val="none" w:sz="0" w:space="0" w:color="auto"/>
              </w:divBdr>
              <w:divsChild>
                <w:div w:id="14643027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80A9-63C3-49DC-90BF-89C2883B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4623</Words>
  <Characters>26101</Characters>
  <Application>Microsoft Office Word</Application>
  <DocSecurity>0</DocSecurity>
  <Lines>420</Lines>
  <Paragraphs>141</Paragraphs>
  <ScaleCrop>false</ScaleCrop>
  <HeadingPairs>
    <vt:vector size="2" baseType="variant">
      <vt:variant>
        <vt:lpstr>Title</vt:lpstr>
      </vt:variant>
      <vt:variant>
        <vt:i4>1</vt:i4>
      </vt:variant>
    </vt:vector>
  </HeadingPairs>
  <TitlesOfParts>
    <vt:vector size="1" baseType="lpstr">
      <vt:lpstr>Australia aHUS PI</vt:lpstr>
    </vt:vector>
  </TitlesOfParts>
  <Company>Alexion Pharmaceuticals, Inc.</Company>
  <LinksUpToDate>false</LinksUpToDate>
  <CharactersWithSpaces>30583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Sebelipase alfa</dc:title>
  <dc:subject>prescription medicines</dc:subject>
  <dc:creator>Lisa Elkin;WalkerM@alxn.com</dc:creator>
  <cp:keywords>AusPARs</cp:keywords>
  <cp:lastModifiedBy>LACK, Janet</cp:lastModifiedBy>
  <cp:revision>3</cp:revision>
  <cp:lastPrinted>2017-05-10T01:54:00Z</cp:lastPrinted>
  <dcterms:created xsi:type="dcterms:W3CDTF">2018-07-17T04:23:00Z</dcterms:created>
  <dcterms:modified xsi:type="dcterms:W3CDTF">2018-07-18T02:32:00Z</dcterms:modified>
</cp:coreProperties>
</file>