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C81CBB" w:rsidP="00096AA7">
            <w:pPr>
              <w:rPr>
                <w:rFonts w:ascii="Arial" w:hAnsi="Arial" w:cs="Arial"/>
                <w:b/>
                <w:color w:val="002C47"/>
                <w:sz w:val="36"/>
                <w:szCs w:val="36"/>
              </w:rPr>
            </w:pPr>
            <w:r>
              <w:rPr>
                <w:rFonts w:ascii="Arial" w:hAnsi="Arial" w:cs="Arial"/>
                <w:b/>
                <w:color w:val="002C47"/>
                <w:sz w:val="36"/>
                <w:szCs w:val="36"/>
              </w:rPr>
              <w:t xml:space="preserve">October </w:t>
            </w:r>
            <w:r w:rsidR="000B32F6">
              <w:rPr>
                <w:rFonts w:ascii="Arial" w:hAnsi="Arial" w:cs="Arial"/>
                <w:b/>
                <w:color w:val="002C47"/>
                <w:sz w:val="36"/>
                <w:szCs w:val="36"/>
              </w:rPr>
              <w:t>2013</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E670EC">
            <w:pPr>
              <w:pStyle w:val="Title"/>
              <w:rPr>
                <w:color w:val="FFFFFF"/>
              </w:rPr>
            </w:pPr>
            <w:r w:rsidRPr="00A964D1">
              <w:rPr>
                <w:color w:val="FFFFFF"/>
              </w:rPr>
              <w:t>Australian Pu</w:t>
            </w:r>
            <w:r w:rsidR="000B32F6">
              <w:rPr>
                <w:color w:val="FFFFFF"/>
              </w:rPr>
              <w:t xml:space="preserve">blic Assessment Report for </w:t>
            </w:r>
            <w:proofErr w:type="spellStart"/>
            <w:r w:rsidR="008B7101">
              <w:rPr>
                <w:color w:val="FFFFFF"/>
              </w:rPr>
              <w:t>S</w:t>
            </w:r>
            <w:r w:rsidR="000B32F6" w:rsidRPr="000B32F6">
              <w:rPr>
                <w:color w:val="FFFFFF"/>
              </w:rPr>
              <w:t>axagliptin</w:t>
            </w:r>
            <w:proofErr w:type="spellEnd"/>
            <w:r w:rsidR="000B32F6" w:rsidRPr="000B32F6">
              <w:rPr>
                <w:color w:val="FFFFFF"/>
              </w:rPr>
              <w:t xml:space="preserve"> / </w:t>
            </w:r>
            <w:proofErr w:type="spellStart"/>
            <w:r w:rsidR="00E670EC">
              <w:rPr>
                <w:color w:val="FFFFFF"/>
              </w:rPr>
              <w:t>m</w:t>
            </w:r>
            <w:r w:rsidR="000B32F6" w:rsidRPr="000B32F6">
              <w:rPr>
                <w:color w:val="FFFFFF"/>
              </w:rPr>
              <w:t>etformin</w:t>
            </w:r>
            <w:proofErr w:type="spellEnd"/>
            <w:r w:rsidR="000B32F6" w:rsidRPr="000B32F6">
              <w:rPr>
                <w:color w:val="FFFFFF"/>
              </w:rPr>
              <w:t xml:space="preserve"> </w:t>
            </w:r>
            <w:r w:rsidR="00E670EC">
              <w:rPr>
                <w:color w:val="FFFFFF"/>
              </w:rPr>
              <w:t>h</w:t>
            </w:r>
            <w:r w:rsidR="000B32F6" w:rsidRPr="000B32F6">
              <w:rPr>
                <w:color w:val="FFFFFF"/>
              </w:rPr>
              <w:t>ydrochloride</w:t>
            </w:r>
          </w:p>
        </w:tc>
      </w:tr>
      <w:tr w:rsidR="0032583B" w:rsidRPr="00B64760" w:rsidTr="0032583B">
        <w:tc>
          <w:tcPr>
            <w:tcW w:w="9079" w:type="dxa"/>
          </w:tcPr>
          <w:p w:rsidR="0032583B" w:rsidRPr="008E7846" w:rsidRDefault="000B32F6" w:rsidP="0032583B">
            <w:pPr>
              <w:pStyle w:val="Subtitle"/>
              <w:rPr>
                <w:color w:val="FFFFFF"/>
              </w:rPr>
            </w:pPr>
            <w:r>
              <w:rPr>
                <w:color w:val="FFFFFF"/>
              </w:rPr>
              <w:t xml:space="preserve">Proprietary Product Name: </w:t>
            </w:r>
            <w:proofErr w:type="spellStart"/>
            <w:r>
              <w:rPr>
                <w:color w:val="FFFFFF"/>
              </w:rPr>
              <w:t>Kombiglyze</w:t>
            </w:r>
            <w:proofErr w:type="spellEnd"/>
            <w:r w:rsidR="0032583B" w:rsidRPr="008E7846">
              <w:rPr>
                <w:color w:val="FFFFFF"/>
              </w:rPr>
              <w:t xml:space="preserve"> </w:t>
            </w:r>
          </w:p>
        </w:tc>
      </w:tr>
      <w:tr w:rsidR="0032583B" w:rsidRPr="00B64760" w:rsidTr="0032583B">
        <w:trPr>
          <w:trHeight w:val="486"/>
        </w:trPr>
        <w:tc>
          <w:tcPr>
            <w:tcW w:w="9079" w:type="dxa"/>
          </w:tcPr>
          <w:p w:rsidR="0032583B" w:rsidRPr="008E7846" w:rsidRDefault="000B32F6" w:rsidP="0032583B">
            <w:pPr>
              <w:pStyle w:val="Subtitle"/>
              <w:rPr>
                <w:color w:val="FFFFFF"/>
              </w:rPr>
            </w:pPr>
            <w:r>
              <w:rPr>
                <w:color w:val="FFFFFF"/>
              </w:rPr>
              <w:t xml:space="preserve">Sponsor: </w:t>
            </w:r>
            <w:r w:rsidRPr="000B32F6">
              <w:rPr>
                <w:color w:val="FFFFFF"/>
              </w:rPr>
              <w:t>Bristol-Myers Squibb Australia Pty Ltd</w:t>
            </w:r>
          </w:p>
        </w:tc>
      </w:tr>
    </w:tbl>
    <w:p w:rsidR="008E7846" w:rsidRPr="001F6CBA" w:rsidRDefault="008E7846" w:rsidP="008E7846">
      <w:pPr>
        <w:pStyle w:val="NonTOCHeading2"/>
      </w:pPr>
      <w:r>
        <w:br w:type="page"/>
      </w:r>
      <w:r w:rsidRPr="001F6CBA">
        <w:lastRenderedPageBreak/>
        <w:t>About the Therapeutic Goods Administration (TGA)</w:t>
      </w:r>
    </w:p>
    <w:p w:rsidR="008E7846" w:rsidRDefault="008E7846" w:rsidP="008B7101">
      <w:pPr>
        <w:pStyle w:val="ListBullet"/>
      </w:pPr>
      <w:r>
        <w:t xml:space="preserve">The Therapeutic Goods Administration (TGA) is </w:t>
      </w:r>
      <w:r w:rsidR="00E624A5">
        <w:t xml:space="preserve">part </w:t>
      </w:r>
      <w:r>
        <w:t xml:space="preserve">of the Australian Government Department of Health and </w:t>
      </w:r>
      <w:r w:rsidRPr="008B7101">
        <w:t>is</w:t>
      </w:r>
      <w:r>
        <w:t xml:space="preserve"> responsible for regulating medicines and medical devices.</w:t>
      </w:r>
    </w:p>
    <w:p w:rsidR="008E7846" w:rsidRDefault="00C80137" w:rsidP="008B7101">
      <w:pPr>
        <w:pStyle w:val="ListBullet"/>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B7101">
      <w:pPr>
        <w:pStyle w:val="ListBullet"/>
      </w:pPr>
      <w:r>
        <w:t xml:space="preserve">The work of the TGA is based on applying scientific and clinical expertise to decision-making, to ensure that the benefits to </w:t>
      </w:r>
      <w:r w:rsidRPr="008B7101">
        <w:t>consumers</w:t>
      </w:r>
      <w:r>
        <w:t xml:space="preserve"> outweigh any risks associated with the use of medicines and medical devices.</w:t>
      </w:r>
    </w:p>
    <w:p w:rsidR="008E7846" w:rsidRDefault="008E7846" w:rsidP="008B7101">
      <w:pPr>
        <w:pStyle w:val="ListBullet"/>
      </w:pPr>
      <w:r>
        <w:t xml:space="preserve">The TGA relies on the public, healthcare professionals and industry to report problems with medicines or medical devices. TGA investigates reports </w:t>
      </w:r>
      <w:r w:rsidRPr="008B7101">
        <w:t>received</w:t>
      </w:r>
      <w:r>
        <w:t xml:space="preserve"> by it to determine any necessary regulatory action.</w:t>
      </w:r>
    </w:p>
    <w:p w:rsidR="008E7846" w:rsidRDefault="008E7846" w:rsidP="008B7101">
      <w:pPr>
        <w:pStyle w:val="ListBullet"/>
      </w:pPr>
      <w:r>
        <w:t>To report a problem with a medicine or medical device, please see the information on the TGA website</w:t>
      </w:r>
      <w:r w:rsidR="00112F56">
        <w:t xml:space="preserve"> &lt;</w:t>
      </w:r>
      <w:hyperlink r:id="rId8" w:history="1">
        <w:r w:rsidR="008B7101" w:rsidRPr="00BB1CAC">
          <w:rPr>
            <w:rStyle w:val="Hyperlink"/>
          </w:rPr>
          <w:t>http://www.tga.gov.au</w:t>
        </w:r>
      </w:hyperlink>
      <w:r w:rsidR="00112F56">
        <w:t>&gt;</w:t>
      </w:r>
      <w:r>
        <w:t>.</w:t>
      </w:r>
    </w:p>
    <w:p w:rsidR="008E7846" w:rsidRDefault="008E7846" w:rsidP="008E7846">
      <w:pPr>
        <w:pStyle w:val="NonTOCHeading2"/>
      </w:pPr>
      <w:r>
        <w:t xml:space="preserve">About </w:t>
      </w:r>
      <w:proofErr w:type="spellStart"/>
      <w:r>
        <w:t>AusPARs</w:t>
      </w:r>
      <w:proofErr w:type="spellEnd"/>
    </w:p>
    <w:p w:rsidR="008E7846" w:rsidRDefault="008E7846" w:rsidP="008B7101">
      <w:pPr>
        <w:pStyle w:val="ListBullet"/>
      </w:pPr>
      <w:r>
        <w:t>An Australian Public Assessment Record (</w:t>
      </w:r>
      <w:proofErr w:type="spellStart"/>
      <w:r>
        <w:t>AusPAR</w:t>
      </w:r>
      <w:proofErr w:type="spellEnd"/>
      <w:r>
        <w:t xml:space="preserve">) provides information about the evaluation of a prescription medicine </w:t>
      </w:r>
      <w:r w:rsidRPr="008B7101">
        <w:t>and</w:t>
      </w:r>
      <w:r>
        <w:t xml:space="preserve"> the considerations that led the TGA to approve or not approve a prescription medicine submission. </w:t>
      </w:r>
    </w:p>
    <w:p w:rsidR="008E7846" w:rsidRDefault="008E7846" w:rsidP="008B7101">
      <w:pPr>
        <w:pStyle w:val="ListBullet"/>
      </w:pPr>
      <w:proofErr w:type="spellStart"/>
      <w:r>
        <w:t>AusPARs</w:t>
      </w:r>
      <w:proofErr w:type="spellEnd"/>
      <w:r>
        <w:t xml:space="preserve"> are prepared and published by </w:t>
      </w:r>
      <w:r w:rsidRPr="008B7101">
        <w:t>the</w:t>
      </w:r>
      <w:r>
        <w:t xml:space="preserve"> TGA.</w:t>
      </w:r>
    </w:p>
    <w:p w:rsidR="008E7846" w:rsidRDefault="008E7846" w:rsidP="008B7101">
      <w:pPr>
        <w:pStyle w:val="ListBullet"/>
      </w:pPr>
      <w:r>
        <w:t xml:space="preserve">An </w:t>
      </w:r>
      <w:proofErr w:type="spellStart"/>
      <w:r>
        <w:t>AusPAR</w:t>
      </w:r>
      <w:proofErr w:type="spellEnd"/>
      <w:r>
        <w:t xml:space="preserve"> is prepared for submissions that relate to new chemical entities, generic medicines, major variations, and extensions of </w:t>
      </w:r>
      <w:r w:rsidRPr="008B7101">
        <w:t>indications</w:t>
      </w:r>
      <w:r>
        <w:t>.</w:t>
      </w:r>
    </w:p>
    <w:p w:rsidR="008E7846" w:rsidRDefault="008E7846" w:rsidP="008B7101">
      <w:pPr>
        <w:pStyle w:val="ListBullet"/>
      </w:pPr>
      <w:r>
        <w:t xml:space="preserve">An </w:t>
      </w:r>
      <w:proofErr w:type="spellStart"/>
      <w:r>
        <w:t>AusPAR</w:t>
      </w:r>
      <w:proofErr w:type="spellEnd"/>
      <w:r>
        <w:t xml:space="preserve"> is a static document, in that it will </w:t>
      </w:r>
      <w:r w:rsidRPr="008B7101">
        <w:t>provide</w:t>
      </w:r>
      <w:r>
        <w:t xml:space="preserve"> information that relates to a submission at a particular point in time.</w:t>
      </w:r>
    </w:p>
    <w:p w:rsidR="000871C1" w:rsidRDefault="008E7846" w:rsidP="008B7101">
      <w:pPr>
        <w:pStyle w:val="ListBullet"/>
      </w:pPr>
      <w:r>
        <w:t xml:space="preserve">A new </w:t>
      </w:r>
      <w:proofErr w:type="spellStart"/>
      <w:r>
        <w:t>AusPAR</w:t>
      </w:r>
      <w:proofErr w:type="spellEnd"/>
      <w:r>
        <w:t xml:space="preserve"> will be developed to reflect changes to </w:t>
      </w:r>
      <w:r w:rsidRPr="008B7101">
        <w:t>indications</w:t>
      </w:r>
      <w:r>
        <w:t xml:space="preserve"> and/or major variations to a prescription medicine subject to evaluation by the TGA.</w:t>
      </w:r>
    </w:p>
    <w:p w:rsidR="000871C1" w:rsidRDefault="000871C1" w:rsidP="00BE77C9">
      <w:pPr>
        <w:pStyle w:val="LegalCopy"/>
        <w:spacing w:before="3400"/>
        <w:rPr>
          <w:rFonts w:cs="Arial"/>
          <w:lang w:val="en-GB"/>
        </w:rPr>
      </w:pPr>
      <w:r w:rsidRPr="000871C1">
        <w:rPr>
          <w:rFonts w:cs="Arial"/>
          <w:b/>
          <w:lang w:val="en-GB"/>
        </w:rPr>
        <w:t>Copyright</w:t>
      </w:r>
      <w:r w:rsidRPr="000871C1">
        <w:rPr>
          <w:rFonts w:cs="Arial"/>
          <w:b/>
          <w:lang w:val="en-GB"/>
        </w:rPr>
        <w:br/>
      </w:r>
      <w:r w:rsidR="00924482" w:rsidRPr="00191B3B">
        <w:rPr>
          <w:rFonts w:cs="Arial"/>
          <w:lang w:val="en-GB"/>
        </w:rPr>
        <w:t>© Comm</w:t>
      </w:r>
      <w:r w:rsidR="00924482">
        <w:rPr>
          <w:rFonts w:cs="Arial"/>
          <w:lang w:val="en-GB"/>
        </w:rPr>
        <w:t>onwealth of Australia 201</w:t>
      </w:r>
      <w:r w:rsidR="00BF1190">
        <w:rPr>
          <w:rFonts w:cs="Arial"/>
          <w:lang w:val="en-GB"/>
        </w:rPr>
        <w:t>3</w:t>
      </w:r>
    </w:p>
    <w:p w:rsidR="000871C1" w:rsidRDefault="00924482" w:rsidP="00924482">
      <w:pPr>
        <w:pStyle w:val="LegalCopy"/>
      </w:pPr>
      <w:r w:rsidRPr="00191B3B">
        <w:rPr>
          <w:rFonts w:cs="Arial"/>
          <w:lang w:val="en-GB"/>
        </w:rP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p w:rsidR="0089635C" w:rsidRPr="0089635C" w:rsidRDefault="0089635C" w:rsidP="00C81CBB">
      <w:pPr>
        <w:pStyle w:val="Contents"/>
        <w:spacing w:line="180" w:lineRule="atLeast"/>
      </w:pPr>
      <w:bookmarkStart w:id="0" w:name="_Toc247691501"/>
      <w:bookmarkStart w:id="1" w:name="_Toc196046425"/>
      <w:r w:rsidRPr="0010788A">
        <w:lastRenderedPageBreak/>
        <w:t>Contents</w:t>
      </w:r>
    </w:p>
    <w:p w:rsidR="003E1FC4" w:rsidRDefault="00FB4F6A">
      <w:pPr>
        <w:pStyle w:val="TOC2"/>
        <w:rPr>
          <w:rFonts w:asciiTheme="minorHAnsi" w:eastAsiaTheme="minorEastAsia" w:hAnsiTheme="minorHAnsi" w:cstheme="minorBidi"/>
          <w:b w:val="0"/>
          <w:noProof/>
          <w:sz w:val="22"/>
          <w:lang w:eastAsia="en-AU"/>
        </w:rPr>
      </w:pPr>
      <w:r w:rsidRPr="0057345A">
        <w:rPr>
          <w:sz w:val="20"/>
          <w:szCs w:val="20"/>
        </w:rPr>
        <w:fldChar w:fldCharType="begin"/>
      </w:r>
      <w:r w:rsidR="0089635C" w:rsidRPr="0057345A">
        <w:rPr>
          <w:sz w:val="20"/>
          <w:szCs w:val="20"/>
        </w:rPr>
        <w:instrText xml:space="preserve"> TOC \o "1-3" \h \z \u </w:instrText>
      </w:r>
      <w:r w:rsidRPr="0057345A">
        <w:rPr>
          <w:sz w:val="20"/>
          <w:szCs w:val="20"/>
        </w:rPr>
        <w:fldChar w:fldCharType="separate"/>
      </w:r>
      <w:hyperlink w:anchor="_Toc371598160" w:history="1">
        <w:r w:rsidR="003E1FC4" w:rsidRPr="00755B1A">
          <w:rPr>
            <w:rStyle w:val="Hyperlink"/>
            <w:noProof/>
          </w:rPr>
          <w:t>I. Introduction to product submission</w:t>
        </w:r>
        <w:r w:rsidR="003E1FC4">
          <w:rPr>
            <w:noProof/>
            <w:webHidden/>
          </w:rPr>
          <w:tab/>
        </w:r>
        <w:r w:rsidR="003E1FC4">
          <w:rPr>
            <w:noProof/>
            <w:webHidden/>
          </w:rPr>
          <w:fldChar w:fldCharType="begin"/>
        </w:r>
        <w:r w:rsidR="003E1FC4">
          <w:rPr>
            <w:noProof/>
            <w:webHidden/>
          </w:rPr>
          <w:instrText xml:space="preserve"> PAGEREF _Toc371598160 \h </w:instrText>
        </w:r>
        <w:r w:rsidR="003E1FC4">
          <w:rPr>
            <w:noProof/>
            <w:webHidden/>
          </w:rPr>
        </w:r>
        <w:r w:rsidR="003E1FC4">
          <w:rPr>
            <w:noProof/>
            <w:webHidden/>
          </w:rPr>
          <w:fldChar w:fldCharType="separate"/>
        </w:r>
        <w:r w:rsidR="003E1FC4">
          <w:rPr>
            <w:noProof/>
            <w:webHidden/>
          </w:rPr>
          <w:t>5</w:t>
        </w:r>
        <w:r w:rsidR="003E1FC4">
          <w:rPr>
            <w:noProof/>
            <w:webHidden/>
          </w:rPr>
          <w:fldChar w:fldCharType="end"/>
        </w:r>
      </w:hyperlink>
    </w:p>
    <w:p w:rsidR="003E1FC4" w:rsidRDefault="003E1FC4">
      <w:pPr>
        <w:pStyle w:val="TOC3"/>
        <w:rPr>
          <w:rFonts w:asciiTheme="minorHAnsi" w:eastAsiaTheme="minorEastAsia" w:hAnsiTheme="minorHAnsi" w:cstheme="minorBidi"/>
          <w:noProof/>
          <w:lang w:eastAsia="en-AU"/>
        </w:rPr>
      </w:pPr>
      <w:hyperlink w:anchor="_Toc371598161" w:history="1">
        <w:r w:rsidRPr="00755B1A">
          <w:rPr>
            <w:rStyle w:val="Hyperlink"/>
            <w:noProof/>
            <w:lang w:eastAsia="en-AU"/>
          </w:rPr>
          <w:t>Submission details</w:t>
        </w:r>
        <w:r>
          <w:rPr>
            <w:noProof/>
            <w:webHidden/>
          </w:rPr>
          <w:tab/>
        </w:r>
        <w:r>
          <w:rPr>
            <w:noProof/>
            <w:webHidden/>
          </w:rPr>
          <w:fldChar w:fldCharType="begin"/>
        </w:r>
        <w:r>
          <w:rPr>
            <w:noProof/>
            <w:webHidden/>
          </w:rPr>
          <w:instrText xml:space="preserve"> PAGEREF _Toc371598161 \h </w:instrText>
        </w:r>
        <w:r>
          <w:rPr>
            <w:noProof/>
            <w:webHidden/>
          </w:rPr>
        </w:r>
        <w:r>
          <w:rPr>
            <w:noProof/>
            <w:webHidden/>
          </w:rPr>
          <w:fldChar w:fldCharType="separate"/>
        </w:r>
        <w:r>
          <w:rPr>
            <w:noProof/>
            <w:webHidden/>
          </w:rPr>
          <w:t>5</w:t>
        </w:r>
        <w:r>
          <w:rPr>
            <w:noProof/>
            <w:webHidden/>
          </w:rPr>
          <w:fldChar w:fldCharType="end"/>
        </w:r>
      </w:hyperlink>
    </w:p>
    <w:p w:rsidR="003E1FC4" w:rsidRDefault="003E1FC4">
      <w:pPr>
        <w:pStyle w:val="TOC3"/>
        <w:rPr>
          <w:rFonts w:asciiTheme="minorHAnsi" w:eastAsiaTheme="minorEastAsia" w:hAnsiTheme="minorHAnsi" w:cstheme="minorBidi"/>
          <w:noProof/>
          <w:lang w:eastAsia="en-AU"/>
        </w:rPr>
      </w:pPr>
      <w:hyperlink w:anchor="_Toc371598162" w:history="1">
        <w:r w:rsidRPr="00755B1A">
          <w:rPr>
            <w:rStyle w:val="Hyperlink"/>
            <w:noProof/>
          </w:rPr>
          <w:t>Product background</w:t>
        </w:r>
        <w:r>
          <w:rPr>
            <w:noProof/>
            <w:webHidden/>
          </w:rPr>
          <w:tab/>
        </w:r>
        <w:r>
          <w:rPr>
            <w:noProof/>
            <w:webHidden/>
          </w:rPr>
          <w:fldChar w:fldCharType="begin"/>
        </w:r>
        <w:r>
          <w:rPr>
            <w:noProof/>
            <w:webHidden/>
          </w:rPr>
          <w:instrText xml:space="preserve"> PAGEREF _Toc371598162 \h </w:instrText>
        </w:r>
        <w:r>
          <w:rPr>
            <w:noProof/>
            <w:webHidden/>
          </w:rPr>
        </w:r>
        <w:r>
          <w:rPr>
            <w:noProof/>
            <w:webHidden/>
          </w:rPr>
          <w:fldChar w:fldCharType="separate"/>
        </w:r>
        <w:r>
          <w:rPr>
            <w:noProof/>
            <w:webHidden/>
          </w:rPr>
          <w:t>5</w:t>
        </w:r>
        <w:r>
          <w:rPr>
            <w:noProof/>
            <w:webHidden/>
          </w:rPr>
          <w:fldChar w:fldCharType="end"/>
        </w:r>
      </w:hyperlink>
    </w:p>
    <w:p w:rsidR="003E1FC4" w:rsidRDefault="003E1FC4">
      <w:pPr>
        <w:pStyle w:val="TOC3"/>
        <w:rPr>
          <w:rFonts w:asciiTheme="minorHAnsi" w:eastAsiaTheme="minorEastAsia" w:hAnsiTheme="minorHAnsi" w:cstheme="minorBidi"/>
          <w:noProof/>
          <w:lang w:eastAsia="en-AU"/>
        </w:rPr>
      </w:pPr>
      <w:hyperlink w:anchor="_Toc371598163" w:history="1">
        <w:r w:rsidRPr="00755B1A">
          <w:rPr>
            <w:rStyle w:val="Hyperlink"/>
            <w:noProof/>
          </w:rPr>
          <w:t>Regulatory status</w:t>
        </w:r>
        <w:r>
          <w:rPr>
            <w:noProof/>
            <w:webHidden/>
          </w:rPr>
          <w:tab/>
        </w:r>
        <w:r>
          <w:rPr>
            <w:noProof/>
            <w:webHidden/>
          </w:rPr>
          <w:fldChar w:fldCharType="begin"/>
        </w:r>
        <w:r>
          <w:rPr>
            <w:noProof/>
            <w:webHidden/>
          </w:rPr>
          <w:instrText xml:space="preserve"> PAGEREF _Toc371598163 \h </w:instrText>
        </w:r>
        <w:r>
          <w:rPr>
            <w:noProof/>
            <w:webHidden/>
          </w:rPr>
        </w:r>
        <w:r>
          <w:rPr>
            <w:noProof/>
            <w:webHidden/>
          </w:rPr>
          <w:fldChar w:fldCharType="separate"/>
        </w:r>
        <w:r>
          <w:rPr>
            <w:noProof/>
            <w:webHidden/>
          </w:rPr>
          <w:t>6</w:t>
        </w:r>
        <w:r>
          <w:rPr>
            <w:noProof/>
            <w:webHidden/>
          </w:rPr>
          <w:fldChar w:fldCharType="end"/>
        </w:r>
      </w:hyperlink>
    </w:p>
    <w:p w:rsidR="003E1FC4" w:rsidRDefault="003E1FC4">
      <w:pPr>
        <w:pStyle w:val="TOC3"/>
        <w:rPr>
          <w:rFonts w:asciiTheme="minorHAnsi" w:eastAsiaTheme="minorEastAsia" w:hAnsiTheme="minorHAnsi" w:cstheme="minorBidi"/>
          <w:noProof/>
          <w:lang w:eastAsia="en-AU"/>
        </w:rPr>
      </w:pPr>
      <w:hyperlink w:anchor="_Toc371598164" w:history="1">
        <w:r w:rsidRPr="00755B1A">
          <w:rPr>
            <w:rStyle w:val="Hyperlink"/>
            <w:noProof/>
          </w:rPr>
          <w:t>Product Information</w:t>
        </w:r>
        <w:r>
          <w:rPr>
            <w:noProof/>
            <w:webHidden/>
          </w:rPr>
          <w:tab/>
        </w:r>
        <w:r>
          <w:rPr>
            <w:noProof/>
            <w:webHidden/>
          </w:rPr>
          <w:fldChar w:fldCharType="begin"/>
        </w:r>
        <w:r>
          <w:rPr>
            <w:noProof/>
            <w:webHidden/>
          </w:rPr>
          <w:instrText xml:space="preserve"> PAGEREF _Toc371598164 \h </w:instrText>
        </w:r>
        <w:r>
          <w:rPr>
            <w:noProof/>
            <w:webHidden/>
          </w:rPr>
        </w:r>
        <w:r>
          <w:rPr>
            <w:noProof/>
            <w:webHidden/>
          </w:rPr>
          <w:fldChar w:fldCharType="separate"/>
        </w:r>
        <w:r>
          <w:rPr>
            <w:noProof/>
            <w:webHidden/>
          </w:rPr>
          <w:t>8</w:t>
        </w:r>
        <w:r>
          <w:rPr>
            <w:noProof/>
            <w:webHidden/>
          </w:rPr>
          <w:fldChar w:fldCharType="end"/>
        </w:r>
      </w:hyperlink>
    </w:p>
    <w:p w:rsidR="003E1FC4" w:rsidRDefault="003E1FC4">
      <w:pPr>
        <w:pStyle w:val="TOC2"/>
        <w:rPr>
          <w:rFonts w:asciiTheme="minorHAnsi" w:eastAsiaTheme="minorEastAsia" w:hAnsiTheme="minorHAnsi" w:cstheme="minorBidi"/>
          <w:b w:val="0"/>
          <w:noProof/>
          <w:sz w:val="22"/>
          <w:lang w:eastAsia="en-AU"/>
        </w:rPr>
      </w:pPr>
      <w:hyperlink w:anchor="_Toc371598165" w:history="1">
        <w:r w:rsidRPr="00755B1A">
          <w:rPr>
            <w:rStyle w:val="Hyperlink"/>
            <w:noProof/>
          </w:rPr>
          <w:t>II. Quality findings</w:t>
        </w:r>
        <w:r>
          <w:rPr>
            <w:noProof/>
            <w:webHidden/>
          </w:rPr>
          <w:tab/>
        </w:r>
        <w:r>
          <w:rPr>
            <w:noProof/>
            <w:webHidden/>
          </w:rPr>
          <w:fldChar w:fldCharType="begin"/>
        </w:r>
        <w:r>
          <w:rPr>
            <w:noProof/>
            <w:webHidden/>
          </w:rPr>
          <w:instrText xml:space="preserve"> PAGEREF _Toc371598165 \h </w:instrText>
        </w:r>
        <w:r>
          <w:rPr>
            <w:noProof/>
            <w:webHidden/>
          </w:rPr>
        </w:r>
        <w:r>
          <w:rPr>
            <w:noProof/>
            <w:webHidden/>
          </w:rPr>
          <w:fldChar w:fldCharType="separate"/>
        </w:r>
        <w:r>
          <w:rPr>
            <w:noProof/>
            <w:webHidden/>
          </w:rPr>
          <w:t>8</w:t>
        </w:r>
        <w:r>
          <w:rPr>
            <w:noProof/>
            <w:webHidden/>
          </w:rPr>
          <w:fldChar w:fldCharType="end"/>
        </w:r>
      </w:hyperlink>
    </w:p>
    <w:p w:rsidR="003E1FC4" w:rsidRDefault="003E1FC4">
      <w:pPr>
        <w:pStyle w:val="TOC3"/>
        <w:rPr>
          <w:rFonts w:asciiTheme="minorHAnsi" w:eastAsiaTheme="minorEastAsia" w:hAnsiTheme="minorHAnsi" w:cstheme="minorBidi"/>
          <w:noProof/>
          <w:lang w:eastAsia="en-AU"/>
        </w:rPr>
      </w:pPr>
      <w:hyperlink w:anchor="_Toc371598166" w:history="1">
        <w:r w:rsidRPr="00755B1A">
          <w:rPr>
            <w:rStyle w:val="Hyperlink"/>
            <w:noProof/>
          </w:rPr>
          <w:t>Drug substance (active ingredient)</w:t>
        </w:r>
        <w:r>
          <w:rPr>
            <w:noProof/>
            <w:webHidden/>
          </w:rPr>
          <w:tab/>
        </w:r>
        <w:r>
          <w:rPr>
            <w:noProof/>
            <w:webHidden/>
          </w:rPr>
          <w:fldChar w:fldCharType="begin"/>
        </w:r>
        <w:r>
          <w:rPr>
            <w:noProof/>
            <w:webHidden/>
          </w:rPr>
          <w:instrText xml:space="preserve"> PAGEREF _Toc371598166 \h </w:instrText>
        </w:r>
        <w:r>
          <w:rPr>
            <w:noProof/>
            <w:webHidden/>
          </w:rPr>
        </w:r>
        <w:r>
          <w:rPr>
            <w:noProof/>
            <w:webHidden/>
          </w:rPr>
          <w:fldChar w:fldCharType="separate"/>
        </w:r>
        <w:r>
          <w:rPr>
            <w:noProof/>
            <w:webHidden/>
          </w:rPr>
          <w:t>8</w:t>
        </w:r>
        <w:r>
          <w:rPr>
            <w:noProof/>
            <w:webHidden/>
          </w:rPr>
          <w:fldChar w:fldCharType="end"/>
        </w:r>
      </w:hyperlink>
    </w:p>
    <w:p w:rsidR="003E1FC4" w:rsidRDefault="003E1FC4">
      <w:pPr>
        <w:pStyle w:val="TOC3"/>
        <w:rPr>
          <w:rFonts w:asciiTheme="minorHAnsi" w:eastAsiaTheme="minorEastAsia" w:hAnsiTheme="minorHAnsi" w:cstheme="minorBidi"/>
          <w:noProof/>
          <w:lang w:eastAsia="en-AU"/>
        </w:rPr>
      </w:pPr>
      <w:hyperlink w:anchor="_Toc371598167" w:history="1">
        <w:r w:rsidRPr="00755B1A">
          <w:rPr>
            <w:rStyle w:val="Hyperlink"/>
            <w:noProof/>
          </w:rPr>
          <w:t>Drug product</w:t>
        </w:r>
        <w:r>
          <w:rPr>
            <w:noProof/>
            <w:webHidden/>
          </w:rPr>
          <w:tab/>
        </w:r>
        <w:r>
          <w:rPr>
            <w:noProof/>
            <w:webHidden/>
          </w:rPr>
          <w:fldChar w:fldCharType="begin"/>
        </w:r>
        <w:r>
          <w:rPr>
            <w:noProof/>
            <w:webHidden/>
          </w:rPr>
          <w:instrText xml:space="preserve"> PAGEREF _Toc371598167 \h </w:instrText>
        </w:r>
        <w:r>
          <w:rPr>
            <w:noProof/>
            <w:webHidden/>
          </w:rPr>
        </w:r>
        <w:r>
          <w:rPr>
            <w:noProof/>
            <w:webHidden/>
          </w:rPr>
          <w:fldChar w:fldCharType="separate"/>
        </w:r>
        <w:r>
          <w:rPr>
            <w:noProof/>
            <w:webHidden/>
          </w:rPr>
          <w:t>8</w:t>
        </w:r>
        <w:r>
          <w:rPr>
            <w:noProof/>
            <w:webHidden/>
          </w:rPr>
          <w:fldChar w:fldCharType="end"/>
        </w:r>
      </w:hyperlink>
    </w:p>
    <w:p w:rsidR="003E1FC4" w:rsidRDefault="003E1FC4">
      <w:pPr>
        <w:pStyle w:val="TOC3"/>
        <w:rPr>
          <w:rFonts w:asciiTheme="minorHAnsi" w:eastAsiaTheme="minorEastAsia" w:hAnsiTheme="minorHAnsi" w:cstheme="minorBidi"/>
          <w:noProof/>
          <w:lang w:eastAsia="en-AU"/>
        </w:rPr>
      </w:pPr>
      <w:hyperlink w:anchor="_Toc371598168" w:history="1">
        <w:r w:rsidRPr="00755B1A">
          <w:rPr>
            <w:rStyle w:val="Hyperlink"/>
            <w:noProof/>
          </w:rPr>
          <w:t>Biopharmaceutics</w:t>
        </w:r>
        <w:r>
          <w:rPr>
            <w:noProof/>
            <w:webHidden/>
          </w:rPr>
          <w:tab/>
        </w:r>
        <w:r>
          <w:rPr>
            <w:noProof/>
            <w:webHidden/>
          </w:rPr>
          <w:fldChar w:fldCharType="begin"/>
        </w:r>
        <w:r>
          <w:rPr>
            <w:noProof/>
            <w:webHidden/>
          </w:rPr>
          <w:instrText xml:space="preserve"> PAGEREF _Toc371598168 \h </w:instrText>
        </w:r>
        <w:r>
          <w:rPr>
            <w:noProof/>
            <w:webHidden/>
          </w:rPr>
        </w:r>
        <w:r>
          <w:rPr>
            <w:noProof/>
            <w:webHidden/>
          </w:rPr>
          <w:fldChar w:fldCharType="separate"/>
        </w:r>
        <w:r>
          <w:rPr>
            <w:noProof/>
            <w:webHidden/>
          </w:rPr>
          <w:t>9</w:t>
        </w:r>
        <w:r>
          <w:rPr>
            <w:noProof/>
            <w:webHidden/>
          </w:rPr>
          <w:fldChar w:fldCharType="end"/>
        </w:r>
      </w:hyperlink>
    </w:p>
    <w:p w:rsidR="003E1FC4" w:rsidRDefault="003E1FC4">
      <w:pPr>
        <w:pStyle w:val="TOC3"/>
        <w:rPr>
          <w:rFonts w:asciiTheme="minorHAnsi" w:eastAsiaTheme="minorEastAsia" w:hAnsiTheme="minorHAnsi" w:cstheme="minorBidi"/>
          <w:noProof/>
          <w:lang w:eastAsia="en-AU"/>
        </w:rPr>
      </w:pPr>
      <w:hyperlink w:anchor="_Toc371598169" w:history="1">
        <w:r w:rsidRPr="00755B1A">
          <w:rPr>
            <w:rStyle w:val="Hyperlink"/>
            <w:noProof/>
          </w:rPr>
          <w:t>Advisory committee considerations</w:t>
        </w:r>
        <w:r>
          <w:rPr>
            <w:noProof/>
            <w:webHidden/>
          </w:rPr>
          <w:tab/>
        </w:r>
        <w:r>
          <w:rPr>
            <w:noProof/>
            <w:webHidden/>
          </w:rPr>
          <w:fldChar w:fldCharType="begin"/>
        </w:r>
        <w:r>
          <w:rPr>
            <w:noProof/>
            <w:webHidden/>
          </w:rPr>
          <w:instrText xml:space="preserve"> PAGEREF _Toc371598169 \h </w:instrText>
        </w:r>
        <w:r>
          <w:rPr>
            <w:noProof/>
            <w:webHidden/>
          </w:rPr>
        </w:r>
        <w:r>
          <w:rPr>
            <w:noProof/>
            <w:webHidden/>
          </w:rPr>
          <w:fldChar w:fldCharType="separate"/>
        </w:r>
        <w:r>
          <w:rPr>
            <w:noProof/>
            <w:webHidden/>
          </w:rPr>
          <w:t>10</w:t>
        </w:r>
        <w:r>
          <w:rPr>
            <w:noProof/>
            <w:webHidden/>
          </w:rPr>
          <w:fldChar w:fldCharType="end"/>
        </w:r>
      </w:hyperlink>
    </w:p>
    <w:p w:rsidR="003E1FC4" w:rsidRDefault="003E1FC4">
      <w:pPr>
        <w:pStyle w:val="TOC3"/>
        <w:rPr>
          <w:rFonts w:asciiTheme="minorHAnsi" w:eastAsiaTheme="minorEastAsia" w:hAnsiTheme="minorHAnsi" w:cstheme="minorBidi"/>
          <w:noProof/>
          <w:lang w:eastAsia="en-AU"/>
        </w:rPr>
      </w:pPr>
      <w:hyperlink w:anchor="_Toc371598170" w:history="1">
        <w:r w:rsidRPr="00755B1A">
          <w:rPr>
            <w:rStyle w:val="Hyperlink"/>
            <w:noProof/>
          </w:rPr>
          <w:t>Quality summary and conclusions</w:t>
        </w:r>
        <w:r>
          <w:rPr>
            <w:noProof/>
            <w:webHidden/>
          </w:rPr>
          <w:tab/>
        </w:r>
        <w:r>
          <w:rPr>
            <w:noProof/>
            <w:webHidden/>
          </w:rPr>
          <w:fldChar w:fldCharType="begin"/>
        </w:r>
        <w:r>
          <w:rPr>
            <w:noProof/>
            <w:webHidden/>
          </w:rPr>
          <w:instrText xml:space="preserve"> PAGEREF _Toc371598170 \h </w:instrText>
        </w:r>
        <w:r>
          <w:rPr>
            <w:noProof/>
            <w:webHidden/>
          </w:rPr>
        </w:r>
        <w:r>
          <w:rPr>
            <w:noProof/>
            <w:webHidden/>
          </w:rPr>
          <w:fldChar w:fldCharType="separate"/>
        </w:r>
        <w:r>
          <w:rPr>
            <w:noProof/>
            <w:webHidden/>
          </w:rPr>
          <w:t>10</w:t>
        </w:r>
        <w:r>
          <w:rPr>
            <w:noProof/>
            <w:webHidden/>
          </w:rPr>
          <w:fldChar w:fldCharType="end"/>
        </w:r>
      </w:hyperlink>
    </w:p>
    <w:p w:rsidR="003E1FC4" w:rsidRDefault="003E1FC4">
      <w:pPr>
        <w:pStyle w:val="TOC2"/>
        <w:rPr>
          <w:rFonts w:asciiTheme="minorHAnsi" w:eastAsiaTheme="minorEastAsia" w:hAnsiTheme="minorHAnsi" w:cstheme="minorBidi"/>
          <w:b w:val="0"/>
          <w:noProof/>
          <w:sz w:val="22"/>
          <w:lang w:eastAsia="en-AU"/>
        </w:rPr>
      </w:pPr>
      <w:hyperlink w:anchor="_Toc371598171" w:history="1">
        <w:r w:rsidRPr="00755B1A">
          <w:rPr>
            <w:rStyle w:val="Hyperlink"/>
            <w:noProof/>
          </w:rPr>
          <w:t>III. Nonclinical findings</w:t>
        </w:r>
        <w:r>
          <w:rPr>
            <w:noProof/>
            <w:webHidden/>
          </w:rPr>
          <w:tab/>
        </w:r>
        <w:r>
          <w:rPr>
            <w:noProof/>
            <w:webHidden/>
          </w:rPr>
          <w:fldChar w:fldCharType="begin"/>
        </w:r>
        <w:r>
          <w:rPr>
            <w:noProof/>
            <w:webHidden/>
          </w:rPr>
          <w:instrText xml:space="preserve"> PAGEREF _Toc371598171 \h </w:instrText>
        </w:r>
        <w:r>
          <w:rPr>
            <w:noProof/>
            <w:webHidden/>
          </w:rPr>
        </w:r>
        <w:r>
          <w:rPr>
            <w:noProof/>
            <w:webHidden/>
          </w:rPr>
          <w:fldChar w:fldCharType="separate"/>
        </w:r>
        <w:r>
          <w:rPr>
            <w:noProof/>
            <w:webHidden/>
          </w:rPr>
          <w:t>10</w:t>
        </w:r>
        <w:r>
          <w:rPr>
            <w:noProof/>
            <w:webHidden/>
          </w:rPr>
          <w:fldChar w:fldCharType="end"/>
        </w:r>
      </w:hyperlink>
    </w:p>
    <w:p w:rsidR="003E1FC4" w:rsidRDefault="003E1FC4">
      <w:pPr>
        <w:pStyle w:val="TOC3"/>
        <w:rPr>
          <w:rFonts w:asciiTheme="minorHAnsi" w:eastAsiaTheme="minorEastAsia" w:hAnsiTheme="minorHAnsi" w:cstheme="minorBidi"/>
          <w:noProof/>
          <w:lang w:eastAsia="en-AU"/>
        </w:rPr>
      </w:pPr>
      <w:hyperlink w:anchor="_Toc371598172" w:history="1">
        <w:r w:rsidRPr="00755B1A">
          <w:rPr>
            <w:rStyle w:val="Hyperlink"/>
            <w:noProof/>
          </w:rPr>
          <w:t>Introduction</w:t>
        </w:r>
        <w:r>
          <w:rPr>
            <w:noProof/>
            <w:webHidden/>
          </w:rPr>
          <w:tab/>
        </w:r>
        <w:r>
          <w:rPr>
            <w:noProof/>
            <w:webHidden/>
          </w:rPr>
          <w:fldChar w:fldCharType="begin"/>
        </w:r>
        <w:r>
          <w:rPr>
            <w:noProof/>
            <w:webHidden/>
          </w:rPr>
          <w:instrText xml:space="preserve"> PAGEREF _Toc371598172 \h </w:instrText>
        </w:r>
        <w:r>
          <w:rPr>
            <w:noProof/>
            <w:webHidden/>
          </w:rPr>
        </w:r>
        <w:r>
          <w:rPr>
            <w:noProof/>
            <w:webHidden/>
          </w:rPr>
          <w:fldChar w:fldCharType="separate"/>
        </w:r>
        <w:r>
          <w:rPr>
            <w:noProof/>
            <w:webHidden/>
          </w:rPr>
          <w:t>10</w:t>
        </w:r>
        <w:r>
          <w:rPr>
            <w:noProof/>
            <w:webHidden/>
          </w:rPr>
          <w:fldChar w:fldCharType="end"/>
        </w:r>
      </w:hyperlink>
    </w:p>
    <w:p w:rsidR="003E1FC4" w:rsidRDefault="003E1FC4">
      <w:pPr>
        <w:pStyle w:val="TOC3"/>
        <w:rPr>
          <w:rFonts w:asciiTheme="minorHAnsi" w:eastAsiaTheme="minorEastAsia" w:hAnsiTheme="minorHAnsi" w:cstheme="minorBidi"/>
          <w:noProof/>
          <w:lang w:eastAsia="en-AU"/>
        </w:rPr>
      </w:pPr>
      <w:hyperlink w:anchor="_Toc371598173" w:history="1">
        <w:r w:rsidRPr="00755B1A">
          <w:rPr>
            <w:rStyle w:val="Hyperlink"/>
            <w:noProof/>
          </w:rPr>
          <w:t>Pharmacology</w:t>
        </w:r>
        <w:r>
          <w:rPr>
            <w:noProof/>
            <w:webHidden/>
          </w:rPr>
          <w:tab/>
        </w:r>
        <w:r>
          <w:rPr>
            <w:noProof/>
            <w:webHidden/>
          </w:rPr>
          <w:fldChar w:fldCharType="begin"/>
        </w:r>
        <w:r>
          <w:rPr>
            <w:noProof/>
            <w:webHidden/>
          </w:rPr>
          <w:instrText xml:space="preserve"> PAGEREF _Toc371598173 \h </w:instrText>
        </w:r>
        <w:r>
          <w:rPr>
            <w:noProof/>
            <w:webHidden/>
          </w:rPr>
        </w:r>
        <w:r>
          <w:rPr>
            <w:noProof/>
            <w:webHidden/>
          </w:rPr>
          <w:fldChar w:fldCharType="separate"/>
        </w:r>
        <w:r>
          <w:rPr>
            <w:noProof/>
            <w:webHidden/>
          </w:rPr>
          <w:t>10</w:t>
        </w:r>
        <w:r>
          <w:rPr>
            <w:noProof/>
            <w:webHidden/>
          </w:rPr>
          <w:fldChar w:fldCharType="end"/>
        </w:r>
      </w:hyperlink>
    </w:p>
    <w:p w:rsidR="003E1FC4" w:rsidRDefault="003E1FC4">
      <w:pPr>
        <w:pStyle w:val="TOC3"/>
        <w:rPr>
          <w:rFonts w:asciiTheme="minorHAnsi" w:eastAsiaTheme="minorEastAsia" w:hAnsiTheme="minorHAnsi" w:cstheme="minorBidi"/>
          <w:noProof/>
          <w:lang w:eastAsia="en-AU"/>
        </w:rPr>
      </w:pPr>
      <w:hyperlink w:anchor="_Toc371598174" w:history="1">
        <w:r w:rsidRPr="00755B1A">
          <w:rPr>
            <w:rStyle w:val="Hyperlink"/>
            <w:noProof/>
          </w:rPr>
          <w:t>Pharmacokinetics</w:t>
        </w:r>
        <w:r>
          <w:rPr>
            <w:noProof/>
            <w:webHidden/>
          </w:rPr>
          <w:tab/>
        </w:r>
        <w:r>
          <w:rPr>
            <w:noProof/>
            <w:webHidden/>
          </w:rPr>
          <w:fldChar w:fldCharType="begin"/>
        </w:r>
        <w:r>
          <w:rPr>
            <w:noProof/>
            <w:webHidden/>
          </w:rPr>
          <w:instrText xml:space="preserve"> PAGEREF _Toc371598174 \h </w:instrText>
        </w:r>
        <w:r>
          <w:rPr>
            <w:noProof/>
            <w:webHidden/>
          </w:rPr>
        </w:r>
        <w:r>
          <w:rPr>
            <w:noProof/>
            <w:webHidden/>
          </w:rPr>
          <w:fldChar w:fldCharType="separate"/>
        </w:r>
        <w:r>
          <w:rPr>
            <w:noProof/>
            <w:webHidden/>
          </w:rPr>
          <w:t>11</w:t>
        </w:r>
        <w:r>
          <w:rPr>
            <w:noProof/>
            <w:webHidden/>
          </w:rPr>
          <w:fldChar w:fldCharType="end"/>
        </w:r>
      </w:hyperlink>
    </w:p>
    <w:p w:rsidR="003E1FC4" w:rsidRDefault="003E1FC4">
      <w:pPr>
        <w:pStyle w:val="TOC3"/>
        <w:rPr>
          <w:rFonts w:asciiTheme="minorHAnsi" w:eastAsiaTheme="minorEastAsia" w:hAnsiTheme="minorHAnsi" w:cstheme="minorBidi"/>
          <w:noProof/>
          <w:lang w:eastAsia="en-AU"/>
        </w:rPr>
      </w:pPr>
      <w:hyperlink w:anchor="_Toc371598175" w:history="1">
        <w:r w:rsidRPr="00755B1A">
          <w:rPr>
            <w:rStyle w:val="Hyperlink"/>
            <w:noProof/>
          </w:rPr>
          <w:t>Toxicology</w:t>
        </w:r>
        <w:r>
          <w:rPr>
            <w:noProof/>
            <w:webHidden/>
          </w:rPr>
          <w:tab/>
        </w:r>
        <w:r>
          <w:rPr>
            <w:noProof/>
            <w:webHidden/>
          </w:rPr>
          <w:fldChar w:fldCharType="begin"/>
        </w:r>
        <w:r>
          <w:rPr>
            <w:noProof/>
            <w:webHidden/>
          </w:rPr>
          <w:instrText xml:space="preserve"> PAGEREF _Toc371598175 \h </w:instrText>
        </w:r>
        <w:r>
          <w:rPr>
            <w:noProof/>
            <w:webHidden/>
          </w:rPr>
        </w:r>
        <w:r>
          <w:rPr>
            <w:noProof/>
            <w:webHidden/>
          </w:rPr>
          <w:fldChar w:fldCharType="separate"/>
        </w:r>
        <w:r>
          <w:rPr>
            <w:noProof/>
            <w:webHidden/>
          </w:rPr>
          <w:t>11</w:t>
        </w:r>
        <w:r>
          <w:rPr>
            <w:noProof/>
            <w:webHidden/>
          </w:rPr>
          <w:fldChar w:fldCharType="end"/>
        </w:r>
      </w:hyperlink>
    </w:p>
    <w:p w:rsidR="003E1FC4" w:rsidRDefault="003E1FC4">
      <w:pPr>
        <w:pStyle w:val="TOC3"/>
        <w:rPr>
          <w:rFonts w:asciiTheme="minorHAnsi" w:eastAsiaTheme="minorEastAsia" w:hAnsiTheme="minorHAnsi" w:cstheme="minorBidi"/>
          <w:noProof/>
          <w:lang w:eastAsia="en-AU"/>
        </w:rPr>
      </w:pPr>
      <w:hyperlink w:anchor="_Toc371598176" w:history="1">
        <w:r w:rsidRPr="00755B1A">
          <w:rPr>
            <w:rStyle w:val="Hyperlink"/>
            <w:noProof/>
          </w:rPr>
          <w:t>Nonclinical summary and conclusions</w:t>
        </w:r>
        <w:r>
          <w:rPr>
            <w:noProof/>
            <w:webHidden/>
          </w:rPr>
          <w:tab/>
        </w:r>
        <w:r>
          <w:rPr>
            <w:noProof/>
            <w:webHidden/>
          </w:rPr>
          <w:fldChar w:fldCharType="begin"/>
        </w:r>
        <w:r>
          <w:rPr>
            <w:noProof/>
            <w:webHidden/>
          </w:rPr>
          <w:instrText xml:space="preserve"> PAGEREF _Toc371598176 \h </w:instrText>
        </w:r>
        <w:r>
          <w:rPr>
            <w:noProof/>
            <w:webHidden/>
          </w:rPr>
        </w:r>
        <w:r>
          <w:rPr>
            <w:noProof/>
            <w:webHidden/>
          </w:rPr>
          <w:fldChar w:fldCharType="separate"/>
        </w:r>
        <w:r>
          <w:rPr>
            <w:noProof/>
            <w:webHidden/>
          </w:rPr>
          <w:t>14</w:t>
        </w:r>
        <w:r>
          <w:rPr>
            <w:noProof/>
            <w:webHidden/>
          </w:rPr>
          <w:fldChar w:fldCharType="end"/>
        </w:r>
      </w:hyperlink>
    </w:p>
    <w:p w:rsidR="003E1FC4" w:rsidRDefault="003E1FC4">
      <w:pPr>
        <w:pStyle w:val="TOC2"/>
        <w:rPr>
          <w:rFonts w:asciiTheme="minorHAnsi" w:eastAsiaTheme="minorEastAsia" w:hAnsiTheme="minorHAnsi" w:cstheme="minorBidi"/>
          <w:b w:val="0"/>
          <w:noProof/>
          <w:sz w:val="22"/>
          <w:lang w:eastAsia="en-AU"/>
        </w:rPr>
      </w:pPr>
      <w:hyperlink w:anchor="_Toc371598177" w:history="1">
        <w:r w:rsidRPr="00755B1A">
          <w:rPr>
            <w:rStyle w:val="Hyperlink"/>
            <w:noProof/>
          </w:rPr>
          <w:t>IV. Clinical findings</w:t>
        </w:r>
        <w:r>
          <w:rPr>
            <w:noProof/>
            <w:webHidden/>
          </w:rPr>
          <w:tab/>
        </w:r>
        <w:r>
          <w:rPr>
            <w:noProof/>
            <w:webHidden/>
          </w:rPr>
          <w:fldChar w:fldCharType="begin"/>
        </w:r>
        <w:r>
          <w:rPr>
            <w:noProof/>
            <w:webHidden/>
          </w:rPr>
          <w:instrText xml:space="preserve"> PAGEREF _Toc371598177 \h </w:instrText>
        </w:r>
        <w:r>
          <w:rPr>
            <w:noProof/>
            <w:webHidden/>
          </w:rPr>
        </w:r>
        <w:r>
          <w:rPr>
            <w:noProof/>
            <w:webHidden/>
          </w:rPr>
          <w:fldChar w:fldCharType="separate"/>
        </w:r>
        <w:r>
          <w:rPr>
            <w:noProof/>
            <w:webHidden/>
          </w:rPr>
          <w:t>15</w:t>
        </w:r>
        <w:r>
          <w:rPr>
            <w:noProof/>
            <w:webHidden/>
          </w:rPr>
          <w:fldChar w:fldCharType="end"/>
        </w:r>
      </w:hyperlink>
    </w:p>
    <w:p w:rsidR="003E1FC4" w:rsidRDefault="003E1FC4">
      <w:pPr>
        <w:pStyle w:val="TOC3"/>
        <w:rPr>
          <w:rFonts w:asciiTheme="minorHAnsi" w:eastAsiaTheme="minorEastAsia" w:hAnsiTheme="minorHAnsi" w:cstheme="minorBidi"/>
          <w:noProof/>
          <w:lang w:eastAsia="en-AU"/>
        </w:rPr>
      </w:pPr>
      <w:hyperlink w:anchor="_Toc371598178" w:history="1">
        <w:r w:rsidRPr="00755B1A">
          <w:rPr>
            <w:rStyle w:val="Hyperlink"/>
            <w:noProof/>
          </w:rPr>
          <w:t>Introduction</w:t>
        </w:r>
        <w:r>
          <w:rPr>
            <w:noProof/>
            <w:webHidden/>
          </w:rPr>
          <w:tab/>
        </w:r>
        <w:r>
          <w:rPr>
            <w:noProof/>
            <w:webHidden/>
          </w:rPr>
          <w:fldChar w:fldCharType="begin"/>
        </w:r>
        <w:r>
          <w:rPr>
            <w:noProof/>
            <w:webHidden/>
          </w:rPr>
          <w:instrText xml:space="preserve"> PAGEREF _Toc371598178 \h </w:instrText>
        </w:r>
        <w:r>
          <w:rPr>
            <w:noProof/>
            <w:webHidden/>
          </w:rPr>
        </w:r>
        <w:r>
          <w:rPr>
            <w:noProof/>
            <w:webHidden/>
          </w:rPr>
          <w:fldChar w:fldCharType="separate"/>
        </w:r>
        <w:r>
          <w:rPr>
            <w:noProof/>
            <w:webHidden/>
          </w:rPr>
          <w:t>15</w:t>
        </w:r>
        <w:r>
          <w:rPr>
            <w:noProof/>
            <w:webHidden/>
          </w:rPr>
          <w:fldChar w:fldCharType="end"/>
        </w:r>
      </w:hyperlink>
    </w:p>
    <w:p w:rsidR="003E1FC4" w:rsidRDefault="003E1FC4">
      <w:pPr>
        <w:pStyle w:val="TOC3"/>
        <w:rPr>
          <w:rFonts w:asciiTheme="minorHAnsi" w:eastAsiaTheme="minorEastAsia" w:hAnsiTheme="minorHAnsi" w:cstheme="minorBidi"/>
          <w:noProof/>
          <w:lang w:eastAsia="en-AU"/>
        </w:rPr>
      </w:pPr>
      <w:hyperlink w:anchor="_Toc371598179" w:history="1">
        <w:r w:rsidRPr="00755B1A">
          <w:rPr>
            <w:rStyle w:val="Hyperlink"/>
            <w:noProof/>
          </w:rPr>
          <w:t>Pharmacokinetics</w:t>
        </w:r>
        <w:r>
          <w:rPr>
            <w:noProof/>
            <w:webHidden/>
          </w:rPr>
          <w:tab/>
        </w:r>
        <w:r>
          <w:rPr>
            <w:noProof/>
            <w:webHidden/>
          </w:rPr>
          <w:fldChar w:fldCharType="begin"/>
        </w:r>
        <w:r>
          <w:rPr>
            <w:noProof/>
            <w:webHidden/>
          </w:rPr>
          <w:instrText xml:space="preserve"> PAGEREF _Toc371598179 \h </w:instrText>
        </w:r>
        <w:r>
          <w:rPr>
            <w:noProof/>
            <w:webHidden/>
          </w:rPr>
        </w:r>
        <w:r>
          <w:rPr>
            <w:noProof/>
            <w:webHidden/>
          </w:rPr>
          <w:fldChar w:fldCharType="separate"/>
        </w:r>
        <w:r>
          <w:rPr>
            <w:noProof/>
            <w:webHidden/>
          </w:rPr>
          <w:t>15</w:t>
        </w:r>
        <w:r>
          <w:rPr>
            <w:noProof/>
            <w:webHidden/>
          </w:rPr>
          <w:fldChar w:fldCharType="end"/>
        </w:r>
      </w:hyperlink>
    </w:p>
    <w:p w:rsidR="003E1FC4" w:rsidRDefault="003E1FC4">
      <w:pPr>
        <w:pStyle w:val="TOC3"/>
        <w:rPr>
          <w:rFonts w:asciiTheme="minorHAnsi" w:eastAsiaTheme="minorEastAsia" w:hAnsiTheme="minorHAnsi" w:cstheme="minorBidi"/>
          <w:noProof/>
          <w:lang w:eastAsia="en-AU"/>
        </w:rPr>
      </w:pPr>
      <w:hyperlink w:anchor="_Toc371598180" w:history="1">
        <w:r w:rsidRPr="00755B1A">
          <w:rPr>
            <w:rStyle w:val="Hyperlink"/>
            <w:noProof/>
          </w:rPr>
          <w:t>Pharmacodynamics</w:t>
        </w:r>
        <w:r>
          <w:rPr>
            <w:noProof/>
            <w:webHidden/>
          </w:rPr>
          <w:tab/>
        </w:r>
        <w:r>
          <w:rPr>
            <w:noProof/>
            <w:webHidden/>
          </w:rPr>
          <w:fldChar w:fldCharType="begin"/>
        </w:r>
        <w:r>
          <w:rPr>
            <w:noProof/>
            <w:webHidden/>
          </w:rPr>
          <w:instrText xml:space="preserve"> PAGEREF _Toc371598180 \h </w:instrText>
        </w:r>
        <w:r>
          <w:rPr>
            <w:noProof/>
            <w:webHidden/>
          </w:rPr>
        </w:r>
        <w:r>
          <w:rPr>
            <w:noProof/>
            <w:webHidden/>
          </w:rPr>
          <w:fldChar w:fldCharType="separate"/>
        </w:r>
        <w:r>
          <w:rPr>
            <w:noProof/>
            <w:webHidden/>
          </w:rPr>
          <w:t>16</w:t>
        </w:r>
        <w:r>
          <w:rPr>
            <w:noProof/>
            <w:webHidden/>
          </w:rPr>
          <w:fldChar w:fldCharType="end"/>
        </w:r>
      </w:hyperlink>
    </w:p>
    <w:p w:rsidR="003E1FC4" w:rsidRDefault="003E1FC4">
      <w:pPr>
        <w:pStyle w:val="TOC3"/>
        <w:rPr>
          <w:rFonts w:asciiTheme="minorHAnsi" w:eastAsiaTheme="minorEastAsia" w:hAnsiTheme="minorHAnsi" w:cstheme="minorBidi"/>
          <w:noProof/>
          <w:lang w:eastAsia="en-AU"/>
        </w:rPr>
      </w:pPr>
      <w:hyperlink w:anchor="_Toc371598181" w:history="1">
        <w:r w:rsidRPr="00755B1A">
          <w:rPr>
            <w:rStyle w:val="Hyperlink"/>
            <w:noProof/>
          </w:rPr>
          <w:t>Efficacy</w:t>
        </w:r>
        <w:r>
          <w:rPr>
            <w:noProof/>
            <w:webHidden/>
          </w:rPr>
          <w:tab/>
        </w:r>
        <w:r>
          <w:rPr>
            <w:noProof/>
            <w:webHidden/>
          </w:rPr>
          <w:fldChar w:fldCharType="begin"/>
        </w:r>
        <w:r>
          <w:rPr>
            <w:noProof/>
            <w:webHidden/>
          </w:rPr>
          <w:instrText xml:space="preserve"> PAGEREF _Toc371598181 \h </w:instrText>
        </w:r>
        <w:r>
          <w:rPr>
            <w:noProof/>
            <w:webHidden/>
          </w:rPr>
        </w:r>
        <w:r>
          <w:rPr>
            <w:noProof/>
            <w:webHidden/>
          </w:rPr>
          <w:fldChar w:fldCharType="separate"/>
        </w:r>
        <w:r>
          <w:rPr>
            <w:noProof/>
            <w:webHidden/>
          </w:rPr>
          <w:t>16</w:t>
        </w:r>
        <w:r>
          <w:rPr>
            <w:noProof/>
            <w:webHidden/>
          </w:rPr>
          <w:fldChar w:fldCharType="end"/>
        </w:r>
      </w:hyperlink>
    </w:p>
    <w:p w:rsidR="003E1FC4" w:rsidRDefault="003E1FC4">
      <w:pPr>
        <w:pStyle w:val="TOC3"/>
        <w:rPr>
          <w:rFonts w:asciiTheme="minorHAnsi" w:eastAsiaTheme="minorEastAsia" w:hAnsiTheme="minorHAnsi" w:cstheme="minorBidi"/>
          <w:noProof/>
          <w:lang w:eastAsia="en-AU"/>
        </w:rPr>
      </w:pPr>
      <w:hyperlink w:anchor="_Toc371598182" w:history="1">
        <w:r w:rsidRPr="00755B1A">
          <w:rPr>
            <w:rStyle w:val="Hyperlink"/>
            <w:noProof/>
          </w:rPr>
          <w:t>Safety</w:t>
        </w:r>
        <w:r>
          <w:rPr>
            <w:noProof/>
            <w:webHidden/>
          </w:rPr>
          <w:tab/>
        </w:r>
        <w:r>
          <w:rPr>
            <w:noProof/>
            <w:webHidden/>
          </w:rPr>
          <w:fldChar w:fldCharType="begin"/>
        </w:r>
        <w:r>
          <w:rPr>
            <w:noProof/>
            <w:webHidden/>
          </w:rPr>
          <w:instrText xml:space="preserve"> PAGEREF _Toc371598182 \h </w:instrText>
        </w:r>
        <w:r>
          <w:rPr>
            <w:noProof/>
            <w:webHidden/>
          </w:rPr>
        </w:r>
        <w:r>
          <w:rPr>
            <w:noProof/>
            <w:webHidden/>
          </w:rPr>
          <w:fldChar w:fldCharType="separate"/>
        </w:r>
        <w:r>
          <w:rPr>
            <w:noProof/>
            <w:webHidden/>
          </w:rPr>
          <w:t>19</w:t>
        </w:r>
        <w:r>
          <w:rPr>
            <w:noProof/>
            <w:webHidden/>
          </w:rPr>
          <w:fldChar w:fldCharType="end"/>
        </w:r>
      </w:hyperlink>
    </w:p>
    <w:p w:rsidR="003E1FC4" w:rsidRDefault="003E1FC4">
      <w:pPr>
        <w:pStyle w:val="TOC3"/>
        <w:rPr>
          <w:rFonts w:asciiTheme="minorHAnsi" w:eastAsiaTheme="minorEastAsia" w:hAnsiTheme="minorHAnsi" w:cstheme="minorBidi"/>
          <w:noProof/>
          <w:lang w:eastAsia="en-AU"/>
        </w:rPr>
      </w:pPr>
      <w:hyperlink w:anchor="_Toc371598183" w:history="1">
        <w:r w:rsidRPr="00755B1A">
          <w:rPr>
            <w:rStyle w:val="Hyperlink"/>
            <w:noProof/>
          </w:rPr>
          <w:t>List of questions</w:t>
        </w:r>
        <w:r>
          <w:rPr>
            <w:noProof/>
            <w:webHidden/>
          </w:rPr>
          <w:tab/>
        </w:r>
        <w:r>
          <w:rPr>
            <w:noProof/>
            <w:webHidden/>
          </w:rPr>
          <w:fldChar w:fldCharType="begin"/>
        </w:r>
        <w:r>
          <w:rPr>
            <w:noProof/>
            <w:webHidden/>
          </w:rPr>
          <w:instrText xml:space="preserve"> PAGEREF _Toc371598183 \h </w:instrText>
        </w:r>
        <w:r>
          <w:rPr>
            <w:noProof/>
            <w:webHidden/>
          </w:rPr>
        </w:r>
        <w:r>
          <w:rPr>
            <w:noProof/>
            <w:webHidden/>
          </w:rPr>
          <w:fldChar w:fldCharType="separate"/>
        </w:r>
        <w:r>
          <w:rPr>
            <w:noProof/>
            <w:webHidden/>
          </w:rPr>
          <w:t>19</w:t>
        </w:r>
        <w:r>
          <w:rPr>
            <w:noProof/>
            <w:webHidden/>
          </w:rPr>
          <w:fldChar w:fldCharType="end"/>
        </w:r>
      </w:hyperlink>
    </w:p>
    <w:p w:rsidR="003E1FC4" w:rsidRDefault="003E1FC4">
      <w:pPr>
        <w:pStyle w:val="TOC3"/>
        <w:rPr>
          <w:rFonts w:asciiTheme="minorHAnsi" w:eastAsiaTheme="minorEastAsia" w:hAnsiTheme="minorHAnsi" w:cstheme="minorBidi"/>
          <w:noProof/>
          <w:lang w:eastAsia="en-AU"/>
        </w:rPr>
      </w:pPr>
      <w:hyperlink w:anchor="_Toc371598184" w:history="1">
        <w:r w:rsidRPr="00755B1A">
          <w:rPr>
            <w:rStyle w:val="Hyperlink"/>
            <w:noProof/>
          </w:rPr>
          <w:t>Clinical summary and conclusions</w:t>
        </w:r>
        <w:r>
          <w:rPr>
            <w:noProof/>
            <w:webHidden/>
          </w:rPr>
          <w:tab/>
        </w:r>
        <w:r>
          <w:rPr>
            <w:noProof/>
            <w:webHidden/>
          </w:rPr>
          <w:fldChar w:fldCharType="begin"/>
        </w:r>
        <w:r>
          <w:rPr>
            <w:noProof/>
            <w:webHidden/>
          </w:rPr>
          <w:instrText xml:space="preserve"> PAGEREF _Toc371598184 \h </w:instrText>
        </w:r>
        <w:r>
          <w:rPr>
            <w:noProof/>
            <w:webHidden/>
          </w:rPr>
        </w:r>
        <w:r>
          <w:rPr>
            <w:noProof/>
            <w:webHidden/>
          </w:rPr>
          <w:fldChar w:fldCharType="separate"/>
        </w:r>
        <w:r>
          <w:rPr>
            <w:noProof/>
            <w:webHidden/>
          </w:rPr>
          <w:t>19</w:t>
        </w:r>
        <w:r>
          <w:rPr>
            <w:noProof/>
            <w:webHidden/>
          </w:rPr>
          <w:fldChar w:fldCharType="end"/>
        </w:r>
      </w:hyperlink>
    </w:p>
    <w:p w:rsidR="003E1FC4" w:rsidRDefault="003E1FC4">
      <w:pPr>
        <w:pStyle w:val="TOC2"/>
        <w:rPr>
          <w:rFonts w:asciiTheme="minorHAnsi" w:eastAsiaTheme="minorEastAsia" w:hAnsiTheme="minorHAnsi" w:cstheme="minorBidi"/>
          <w:b w:val="0"/>
          <w:noProof/>
          <w:sz w:val="22"/>
          <w:lang w:eastAsia="en-AU"/>
        </w:rPr>
      </w:pPr>
      <w:hyperlink w:anchor="_Toc371598185" w:history="1">
        <w:r w:rsidRPr="00755B1A">
          <w:rPr>
            <w:rStyle w:val="Hyperlink"/>
            <w:noProof/>
          </w:rPr>
          <w:t>V. Pharmacovigilance findings</w:t>
        </w:r>
        <w:r>
          <w:rPr>
            <w:noProof/>
            <w:webHidden/>
          </w:rPr>
          <w:tab/>
        </w:r>
        <w:r>
          <w:rPr>
            <w:noProof/>
            <w:webHidden/>
          </w:rPr>
          <w:fldChar w:fldCharType="begin"/>
        </w:r>
        <w:r>
          <w:rPr>
            <w:noProof/>
            <w:webHidden/>
          </w:rPr>
          <w:instrText xml:space="preserve"> PAGEREF _Toc371598185 \h </w:instrText>
        </w:r>
        <w:r>
          <w:rPr>
            <w:noProof/>
            <w:webHidden/>
          </w:rPr>
        </w:r>
        <w:r>
          <w:rPr>
            <w:noProof/>
            <w:webHidden/>
          </w:rPr>
          <w:fldChar w:fldCharType="separate"/>
        </w:r>
        <w:r>
          <w:rPr>
            <w:noProof/>
            <w:webHidden/>
          </w:rPr>
          <w:t>21</w:t>
        </w:r>
        <w:r>
          <w:rPr>
            <w:noProof/>
            <w:webHidden/>
          </w:rPr>
          <w:fldChar w:fldCharType="end"/>
        </w:r>
      </w:hyperlink>
    </w:p>
    <w:p w:rsidR="003E1FC4" w:rsidRDefault="003E1FC4">
      <w:pPr>
        <w:pStyle w:val="TOC3"/>
        <w:rPr>
          <w:rFonts w:asciiTheme="minorHAnsi" w:eastAsiaTheme="minorEastAsia" w:hAnsiTheme="minorHAnsi" w:cstheme="minorBidi"/>
          <w:noProof/>
          <w:lang w:eastAsia="en-AU"/>
        </w:rPr>
      </w:pPr>
      <w:hyperlink w:anchor="_Toc371598186" w:history="1">
        <w:r w:rsidRPr="00755B1A">
          <w:rPr>
            <w:rStyle w:val="Hyperlink"/>
            <w:noProof/>
            <w:lang w:eastAsia="en-AU"/>
          </w:rPr>
          <w:t xml:space="preserve">Risk </w:t>
        </w:r>
        <w:r w:rsidRPr="00755B1A">
          <w:rPr>
            <w:rStyle w:val="Hyperlink"/>
            <w:noProof/>
          </w:rPr>
          <w:t>management</w:t>
        </w:r>
        <w:r w:rsidRPr="00755B1A">
          <w:rPr>
            <w:rStyle w:val="Hyperlink"/>
            <w:noProof/>
            <w:lang w:eastAsia="en-AU"/>
          </w:rPr>
          <w:t xml:space="preserve"> plan</w:t>
        </w:r>
        <w:r>
          <w:rPr>
            <w:noProof/>
            <w:webHidden/>
          </w:rPr>
          <w:tab/>
        </w:r>
        <w:r>
          <w:rPr>
            <w:noProof/>
            <w:webHidden/>
          </w:rPr>
          <w:fldChar w:fldCharType="begin"/>
        </w:r>
        <w:r>
          <w:rPr>
            <w:noProof/>
            <w:webHidden/>
          </w:rPr>
          <w:instrText xml:space="preserve"> PAGEREF _Toc371598186 \h </w:instrText>
        </w:r>
        <w:r>
          <w:rPr>
            <w:noProof/>
            <w:webHidden/>
          </w:rPr>
        </w:r>
        <w:r>
          <w:rPr>
            <w:noProof/>
            <w:webHidden/>
          </w:rPr>
          <w:fldChar w:fldCharType="separate"/>
        </w:r>
        <w:r>
          <w:rPr>
            <w:noProof/>
            <w:webHidden/>
          </w:rPr>
          <w:t>21</w:t>
        </w:r>
        <w:r>
          <w:rPr>
            <w:noProof/>
            <w:webHidden/>
          </w:rPr>
          <w:fldChar w:fldCharType="end"/>
        </w:r>
      </w:hyperlink>
    </w:p>
    <w:p w:rsidR="003E1FC4" w:rsidRDefault="003E1FC4">
      <w:pPr>
        <w:pStyle w:val="TOC2"/>
        <w:rPr>
          <w:rFonts w:asciiTheme="minorHAnsi" w:eastAsiaTheme="minorEastAsia" w:hAnsiTheme="minorHAnsi" w:cstheme="minorBidi"/>
          <w:b w:val="0"/>
          <w:noProof/>
          <w:sz w:val="22"/>
          <w:lang w:eastAsia="en-AU"/>
        </w:rPr>
      </w:pPr>
      <w:hyperlink w:anchor="_Toc371598187" w:history="1">
        <w:r w:rsidRPr="00755B1A">
          <w:rPr>
            <w:rStyle w:val="Hyperlink"/>
            <w:noProof/>
          </w:rPr>
          <w:t>VI. Overall conclusion and risk/benefit assessment</w:t>
        </w:r>
        <w:r>
          <w:rPr>
            <w:noProof/>
            <w:webHidden/>
          </w:rPr>
          <w:tab/>
        </w:r>
        <w:r>
          <w:rPr>
            <w:noProof/>
            <w:webHidden/>
          </w:rPr>
          <w:fldChar w:fldCharType="begin"/>
        </w:r>
        <w:r>
          <w:rPr>
            <w:noProof/>
            <w:webHidden/>
          </w:rPr>
          <w:instrText xml:space="preserve"> PAGEREF _Toc371598187 \h </w:instrText>
        </w:r>
        <w:r>
          <w:rPr>
            <w:noProof/>
            <w:webHidden/>
          </w:rPr>
        </w:r>
        <w:r>
          <w:rPr>
            <w:noProof/>
            <w:webHidden/>
          </w:rPr>
          <w:fldChar w:fldCharType="separate"/>
        </w:r>
        <w:r>
          <w:rPr>
            <w:noProof/>
            <w:webHidden/>
          </w:rPr>
          <w:t>26</w:t>
        </w:r>
        <w:r>
          <w:rPr>
            <w:noProof/>
            <w:webHidden/>
          </w:rPr>
          <w:fldChar w:fldCharType="end"/>
        </w:r>
      </w:hyperlink>
    </w:p>
    <w:p w:rsidR="003E1FC4" w:rsidRDefault="003E1FC4">
      <w:pPr>
        <w:pStyle w:val="TOC3"/>
        <w:rPr>
          <w:rFonts w:asciiTheme="minorHAnsi" w:eastAsiaTheme="minorEastAsia" w:hAnsiTheme="minorHAnsi" w:cstheme="minorBidi"/>
          <w:noProof/>
          <w:lang w:eastAsia="en-AU"/>
        </w:rPr>
      </w:pPr>
      <w:hyperlink w:anchor="_Toc371598188" w:history="1">
        <w:r w:rsidRPr="00755B1A">
          <w:rPr>
            <w:rStyle w:val="Hyperlink"/>
            <w:noProof/>
          </w:rPr>
          <w:t>Quality</w:t>
        </w:r>
        <w:r>
          <w:rPr>
            <w:noProof/>
            <w:webHidden/>
          </w:rPr>
          <w:tab/>
        </w:r>
        <w:r>
          <w:rPr>
            <w:noProof/>
            <w:webHidden/>
          </w:rPr>
          <w:fldChar w:fldCharType="begin"/>
        </w:r>
        <w:r>
          <w:rPr>
            <w:noProof/>
            <w:webHidden/>
          </w:rPr>
          <w:instrText xml:space="preserve"> PAGEREF _Toc371598188 \h </w:instrText>
        </w:r>
        <w:r>
          <w:rPr>
            <w:noProof/>
            <w:webHidden/>
          </w:rPr>
        </w:r>
        <w:r>
          <w:rPr>
            <w:noProof/>
            <w:webHidden/>
          </w:rPr>
          <w:fldChar w:fldCharType="separate"/>
        </w:r>
        <w:r>
          <w:rPr>
            <w:noProof/>
            <w:webHidden/>
          </w:rPr>
          <w:t>26</w:t>
        </w:r>
        <w:r>
          <w:rPr>
            <w:noProof/>
            <w:webHidden/>
          </w:rPr>
          <w:fldChar w:fldCharType="end"/>
        </w:r>
      </w:hyperlink>
    </w:p>
    <w:p w:rsidR="003E1FC4" w:rsidRDefault="003E1FC4">
      <w:pPr>
        <w:pStyle w:val="TOC3"/>
        <w:rPr>
          <w:rFonts w:asciiTheme="minorHAnsi" w:eastAsiaTheme="minorEastAsia" w:hAnsiTheme="minorHAnsi" w:cstheme="minorBidi"/>
          <w:noProof/>
          <w:lang w:eastAsia="en-AU"/>
        </w:rPr>
      </w:pPr>
      <w:hyperlink w:anchor="_Toc371598189" w:history="1">
        <w:r w:rsidRPr="00755B1A">
          <w:rPr>
            <w:rStyle w:val="Hyperlink"/>
            <w:noProof/>
          </w:rPr>
          <w:t>Nonclinical</w:t>
        </w:r>
        <w:r>
          <w:rPr>
            <w:noProof/>
            <w:webHidden/>
          </w:rPr>
          <w:tab/>
        </w:r>
        <w:r>
          <w:rPr>
            <w:noProof/>
            <w:webHidden/>
          </w:rPr>
          <w:fldChar w:fldCharType="begin"/>
        </w:r>
        <w:r>
          <w:rPr>
            <w:noProof/>
            <w:webHidden/>
          </w:rPr>
          <w:instrText xml:space="preserve"> PAGEREF _Toc371598189 \h </w:instrText>
        </w:r>
        <w:r>
          <w:rPr>
            <w:noProof/>
            <w:webHidden/>
          </w:rPr>
        </w:r>
        <w:r>
          <w:rPr>
            <w:noProof/>
            <w:webHidden/>
          </w:rPr>
          <w:fldChar w:fldCharType="separate"/>
        </w:r>
        <w:r>
          <w:rPr>
            <w:noProof/>
            <w:webHidden/>
          </w:rPr>
          <w:t>26</w:t>
        </w:r>
        <w:r>
          <w:rPr>
            <w:noProof/>
            <w:webHidden/>
          </w:rPr>
          <w:fldChar w:fldCharType="end"/>
        </w:r>
      </w:hyperlink>
    </w:p>
    <w:p w:rsidR="003E1FC4" w:rsidRDefault="003E1FC4">
      <w:pPr>
        <w:pStyle w:val="TOC3"/>
        <w:rPr>
          <w:rFonts w:asciiTheme="minorHAnsi" w:eastAsiaTheme="minorEastAsia" w:hAnsiTheme="minorHAnsi" w:cstheme="minorBidi"/>
          <w:noProof/>
          <w:lang w:eastAsia="en-AU"/>
        </w:rPr>
      </w:pPr>
      <w:hyperlink w:anchor="_Toc371598190" w:history="1">
        <w:r w:rsidRPr="00755B1A">
          <w:rPr>
            <w:rStyle w:val="Hyperlink"/>
            <w:noProof/>
          </w:rPr>
          <w:t>Clinical</w:t>
        </w:r>
        <w:r>
          <w:rPr>
            <w:noProof/>
            <w:webHidden/>
          </w:rPr>
          <w:tab/>
        </w:r>
        <w:r>
          <w:rPr>
            <w:noProof/>
            <w:webHidden/>
          </w:rPr>
          <w:fldChar w:fldCharType="begin"/>
        </w:r>
        <w:r>
          <w:rPr>
            <w:noProof/>
            <w:webHidden/>
          </w:rPr>
          <w:instrText xml:space="preserve"> PAGEREF _Toc371598190 \h </w:instrText>
        </w:r>
        <w:r>
          <w:rPr>
            <w:noProof/>
            <w:webHidden/>
          </w:rPr>
        </w:r>
        <w:r>
          <w:rPr>
            <w:noProof/>
            <w:webHidden/>
          </w:rPr>
          <w:fldChar w:fldCharType="separate"/>
        </w:r>
        <w:r>
          <w:rPr>
            <w:noProof/>
            <w:webHidden/>
          </w:rPr>
          <w:t>27</w:t>
        </w:r>
        <w:r>
          <w:rPr>
            <w:noProof/>
            <w:webHidden/>
          </w:rPr>
          <w:fldChar w:fldCharType="end"/>
        </w:r>
      </w:hyperlink>
    </w:p>
    <w:p w:rsidR="003E1FC4" w:rsidRDefault="003E1FC4">
      <w:pPr>
        <w:pStyle w:val="TOC3"/>
        <w:rPr>
          <w:rFonts w:asciiTheme="minorHAnsi" w:eastAsiaTheme="minorEastAsia" w:hAnsiTheme="minorHAnsi" w:cstheme="minorBidi"/>
          <w:noProof/>
          <w:lang w:eastAsia="en-AU"/>
        </w:rPr>
      </w:pPr>
      <w:hyperlink w:anchor="_Toc371598191" w:history="1">
        <w:r w:rsidRPr="00755B1A">
          <w:rPr>
            <w:rStyle w:val="Hyperlink"/>
            <w:noProof/>
            <w:lang w:eastAsia="en-AU"/>
          </w:rPr>
          <w:t xml:space="preserve">Risk </w:t>
        </w:r>
        <w:r w:rsidRPr="00755B1A">
          <w:rPr>
            <w:rStyle w:val="Hyperlink"/>
            <w:noProof/>
          </w:rPr>
          <w:t>management</w:t>
        </w:r>
        <w:r w:rsidRPr="00755B1A">
          <w:rPr>
            <w:rStyle w:val="Hyperlink"/>
            <w:noProof/>
            <w:lang w:eastAsia="en-AU"/>
          </w:rPr>
          <w:t xml:space="preserve"> plan</w:t>
        </w:r>
        <w:r>
          <w:rPr>
            <w:noProof/>
            <w:webHidden/>
          </w:rPr>
          <w:tab/>
        </w:r>
        <w:r>
          <w:rPr>
            <w:noProof/>
            <w:webHidden/>
          </w:rPr>
          <w:fldChar w:fldCharType="begin"/>
        </w:r>
        <w:r>
          <w:rPr>
            <w:noProof/>
            <w:webHidden/>
          </w:rPr>
          <w:instrText xml:space="preserve"> PAGEREF _Toc371598191 \h </w:instrText>
        </w:r>
        <w:r>
          <w:rPr>
            <w:noProof/>
            <w:webHidden/>
          </w:rPr>
        </w:r>
        <w:r>
          <w:rPr>
            <w:noProof/>
            <w:webHidden/>
          </w:rPr>
          <w:fldChar w:fldCharType="separate"/>
        </w:r>
        <w:r>
          <w:rPr>
            <w:noProof/>
            <w:webHidden/>
          </w:rPr>
          <w:t>28</w:t>
        </w:r>
        <w:r>
          <w:rPr>
            <w:noProof/>
            <w:webHidden/>
          </w:rPr>
          <w:fldChar w:fldCharType="end"/>
        </w:r>
      </w:hyperlink>
    </w:p>
    <w:p w:rsidR="003E1FC4" w:rsidRDefault="003E1FC4">
      <w:pPr>
        <w:pStyle w:val="TOC3"/>
        <w:rPr>
          <w:rFonts w:asciiTheme="minorHAnsi" w:eastAsiaTheme="minorEastAsia" w:hAnsiTheme="minorHAnsi" w:cstheme="minorBidi"/>
          <w:noProof/>
          <w:lang w:eastAsia="en-AU"/>
        </w:rPr>
      </w:pPr>
      <w:hyperlink w:anchor="_Toc371598192" w:history="1">
        <w:r w:rsidRPr="00755B1A">
          <w:rPr>
            <w:rStyle w:val="Hyperlink"/>
            <w:noProof/>
          </w:rPr>
          <w:t>Risk-benefit analysis</w:t>
        </w:r>
        <w:r>
          <w:rPr>
            <w:noProof/>
            <w:webHidden/>
          </w:rPr>
          <w:tab/>
        </w:r>
        <w:r>
          <w:rPr>
            <w:noProof/>
            <w:webHidden/>
          </w:rPr>
          <w:fldChar w:fldCharType="begin"/>
        </w:r>
        <w:r>
          <w:rPr>
            <w:noProof/>
            <w:webHidden/>
          </w:rPr>
          <w:instrText xml:space="preserve"> PAGEREF _Toc371598192 \h </w:instrText>
        </w:r>
        <w:r>
          <w:rPr>
            <w:noProof/>
            <w:webHidden/>
          </w:rPr>
        </w:r>
        <w:r>
          <w:rPr>
            <w:noProof/>
            <w:webHidden/>
          </w:rPr>
          <w:fldChar w:fldCharType="separate"/>
        </w:r>
        <w:r>
          <w:rPr>
            <w:noProof/>
            <w:webHidden/>
          </w:rPr>
          <w:t>28</w:t>
        </w:r>
        <w:r>
          <w:rPr>
            <w:noProof/>
            <w:webHidden/>
          </w:rPr>
          <w:fldChar w:fldCharType="end"/>
        </w:r>
      </w:hyperlink>
    </w:p>
    <w:p w:rsidR="003E1FC4" w:rsidRDefault="003E1FC4">
      <w:pPr>
        <w:pStyle w:val="TOC3"/>
        <w:rPr>
          <w:rFonts w:asciiTheme="minorHAnsi" w:eastAsiaTheme="minorEastAsia" w:hAnsiTheme="minorHAnsi" w:cstheme="minorBidi"/>
          <w:noProof/>
          <w:lang w:eastAsia="en-AU"/>
        </w:rPr>
      </w:pPr>
      <w:hyperlink w:anchor="_Toc371598193" w:history="1">
        <w:r w:rsidRPr="00755B1A">
          <w:rPr>
            <w:rStyle w:val="Hyperlink"/>
            <w:noProof/>
          </w:rPr>
          <w:t>Outcome</w:t>
        </w:r>
        <w:r>
          <w:rPr>
            <w:noProof/>
            <w:webHidden/>
          </w:rPr>
          <w:tab/>
        </w:r>
        <w:r>
          <w:rPr>
            <w:noProof/>
            <w:webHidden/>
          </w:rPr>
          <w:fldChar w:fldCharType="begin"/>
        </w:r>
        <w:r>
          <w:rPr>
            <w:noProof/>
            <w:webHidden/>
          </w:rPr>
          <w:instrText xml:space="preserve"> PAGEREF _Toc371598193 \h </w:instrText>
        </w:r>
        <w:r>
          <w:rPr>
            <w:noProof/>
            <w:webHidden/>
          </w:rPr>
        </w:r>
        <w:r>
          <w:rPr>
            <w:noProof/>
            <w:webHidden/>
          </w:rPr>
          <w:fldChar w:fldCharType="separate"/>
        </w:r>
        <w:r>
          <w:rPr>
            <w:noProof/>
            <w:webHidden/>
          </w:rPr>
          <w:t>35</w:t>
        </w:r>
        <w:r>
          <w:rPr>
            <w:noProof/>
            <w:webHidden/>
          </w:rPr>
          <w:fldChar w:fldCharType="end"/>
        </w:r>
      </w:hyperlink>
    </w:p>
    <w:p w:rsidR="003E1FC4" w:rsidRDefault="003E1FC4">
      <w:pPr>
        <w:pStyle w:val="TOC2"/>
        <w:rPr>
          <w:rFonts w:asciiTheme="minorHAnsi" w:eastAsiaTheme="minorEastAsia" w:hAnsiTheme="minorHAnsi" w:cstheme="minorBidi"/>
          <w:b w:val="0"/>
          <w:noProof/>
          <w:sz w:val="22"/>
          <w:lang w:eastAsia="en-AU"/>
        </w:rPr>
      </w:pPr>
      <w:hyperlink w:anchor="_Toc371598194" w:history="1">
        <w:r w:rsidRPr="00755B1A">
          <w:rPr>
            <w:rStyle w:val="Hyperlink"/>
            <w:noProof/>
          </w:rPr>
          <w:t>Attachment 1. Product Information</w:t>
        </w:r>
        <w:r>
          <w:rPr>
            <w:noProof/>
            <w:webHidden/>
          </w:rPr>
          <w:tab/>
        </w:r>
        <w:r>
          <w:rPr>
            <w:noProof/>
            <w:webHidden/>
          </w:rPr>
          <w:fldChar w:fldCharType="begin"/>
        </w:r>
        <w:r>
          <w:rPr>
            <w:noProof/>
            <w:webHidden/>
          </w:rPr>
          <w:instrText xml:space="preserve"> PAGEREF _Toc371598194 \h </w:instrText>
        </w:r>
        <w:r>
          <w:rPr>
            <w:noProof/>
            <w:webHidden/>
          </w:rPr>
        </w:r>
        <w:r>
          <w:rPr>
            <w:noProof/>
            <w:webHidden/>
          </w:rPr>
          <w:fldChar w:fldCharType="separate"/>
        </w:r>
        <w:r>
          <w:rPr>
            <w:noProof/>
            <w:webHidden/>
          </w:rPr>
          <w:t>35</w:t>
        </w:r>
        <w:r>
          <w:rPr>
            <w:noProof/>
            <w:webHidden/>
          </w:rPr>
          <w:fldChar w:fldCharType="end"/>
        </w:r>
      </w:hyperlink>
    </w:p>
    <w:p w:rsidR="003E1FC4" w:rsidRDefault="003E1FC4">
      <w:pPr>
        <w:pStyle w:val="TOC2"/>
        <w:rPr>
          <w:rFonts w:asciiTheme="minorHAnsi" w:eastAsiaTheme="minorEastAsia" w:hAnsiTheme="minorHAnsi" w:cstheme="minorBidi"/>
          <w:b w:val="0"/>
          <w:noProof/>
          <w:sz w:val="22"/>
          <w:lang w:eastAsia="en-AU"/>
        </w:rPr>
      </w:pPr>
      <w:hyperlink w:anchor="_Toc371598195" w:history="1">
        <w:r w:rsidRPr="00755B1A">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_Toc371598195 \h </w:instrText>
        </w:r>
        <w:r>
          <w:rPr>
            <w:noProof/>
            <w:webHidden/>
          </w:rPr>
        </w:r>
        <w:r>
          <w:rPr>
            <w:noProof/>
            <w:webHidden/>
          </w:rPr>
          <w:fldChar w:fldCharType="separate"/>
        </w:r>
        <w:r>
          <w:rPr>
            <w:noProof/>
            <w:webHidden/>
          </w:rPr>
          <w:t>35</w:t>
        </w:r>
        <w:r>
          <w:rPr>
            <w:noProof/>
            <w:webHidden/>
          </w:rPr>
          <w:fldChar w:fldCharType="end"/>
        </w:r>
      </w:hyperlink>
    </w:p>
    <w:p w:rsidR="008E7846" w:rsidRDefault="00FB4F6A" w:rsidP="003E1FC4">
      <w:pPr>
        <w:pStyle w:val="Heading2"/>
      </w:pPr>
      <w:r w:rsidRPr="0057345A">
        <w:rPr>
          <w:sz w:val="20"/>
          <w:szCs w:val="20"/>
        </w:rPr>
        <w:fldChar w:fldCharType="end"/>
      </w:r>
      <w:bookmarkStart w:id="2" w:name="_Toc314842482"/>
      <w:r w:rsidR="00215387">
        <w:br w:type="page"/>
      </w:r>
      <w:bookmarkStart w:id="3" w:name="_Toc371598160"/>
      <w:r w:rsidR="00F53C07">
        <w:lastRenderedPageBreak/>
        <w:t>I.</w:t>
      </w:r>
      <w:r w:rsidR="008E7846">
        <w:t xml:space="preserve"> Introduction to product submission</w:t>
      </w:r>
      <w:bookmarkEnd w:id="0"/>
      <w:bookmarkEnd w:id="2"/>
      <w:bookmarkEnd w:id="3"/>
    </w:p>
    <w:p w:rsidR="008E7846" w:rsidRDefault="008E7846" w:rsidP="008E7846">
      <w:pPr>
        <w:pStyle w:val="Heading3"/>
        <w:rPr>
          <w:lang w:eastAsia="en-AU"/>
        </w:rPr>
      </w:pPr>
      <w:bookmarkStart w:id="4" w:name="_Toc247691502"/>
      <w:bookmarkStart w:id="5" w:name="_Toc314842483"/>
      <w:bookmarkStart w:id="6" w:name="_Toc371598161"/>
      <w:r>
        <w:rPr>
          <w:lang w:eastAsia="en-AU"/>
        </w:rPr>
        <w:t>Submission details</w:t>
      </w:r>
      <w:bookmarkEnd w:id="4"/>
      <w:bookmarkEnd w:id="5"/>
      <w:bookmarkEnd w:id="6"/>
    </w:p>
    <w:tbl>
      <w:tblPr>
        <w:tblW w:w="9497" w:type="dxa"/>
        <w:tblInd w:w="108" w:type="dxa"/>
        <w:tblLook w:val="01E0"/>
      </w:tblPr>
      <w:tblGrid>
        <w:gridCol w:w="2907"/>
        <w:gridCol w:w="6307"/>
        <w:gridCol w:w="283"/>
      </w:tblGrid>
      <w:tr w:rsidR="008E7846" w:rsidRPr="003D1E62" w:rsidTr="00296143">
        <w:trPr>
          <w:trHeight w:hRule="exact" w:val="454"/>
        </w:trPr>
        <w:tc>
          <w:tcPr>
            <w:tcW w:w="2907" w:type="dxa"/>
          </w:tcPr>
          <w:p w:rsidR="008E7846" w:rsidRPr="003D1E62" w:rsidRDefault="008E7846" w:rsidP="008B7101">
            <w:pPr>
              <w:rPr>
                <w:i/>
              </w:rPr>
            </w:pPr>
            <w:r w:rsidRPr="003D1E62">
              <w:rPr>
                <w:i/>
              </w:rPr>
              <w:t xml:space="preserve">Type of </w:t>
            </w:r>
            <w:r w:rsidR="008B7101">
              <w:rPr>
                <w:i/>
              </w:rPr>
              <w:t>s</w:t>
            </w:r>
            <w:r w:rsidRPr="003D1E62">
              <w:rPr>
                <w:i/>
              </w:rPr>
              <w:t>ubmission</w:t>
            </w:r>
            <w:r w:rsidR="008B7101">
              <w:rPr>
                <w:i/>
              </w:rPr>
              <w:t>:</w:t>
            </w:r>
          </w:p>
        </w:tc>
        <w:tc>
          <w:tcPr>
            <w:tcW w:w="6590" w:type="dxa"/>
            <w:gridSpan w:val="2"/>
          </w:tcPr>
          <w:p w:rsidR="008E7846" w:rsidRPr="003D1E62" w:rsidRDefault="00D0449B" w:rsidP="00D3148B">
            <w:r w:rsidRPr="00D0449B">
              <w:t xml:space="preserve">New </w:t>
            </w:r>
            <w:r w:rsidR="00D3148B">
              <w:t xml:space="preserve">fixed </w:t>
            </w:r>
            <w:r w:rsidR="00151AB9">
              <w:t xml:space="preserve">dose </w:t>
            </w:r>
            <w:r w:rsidRPr="00D0449B">
              <w:t>combination</w:t>
            </w:r>
          </w:p>
        </w:tc>
      </w:tr>
      <w:tr w:rsidR="008E7846" w:rsidRPr="003D1E62" w:rsidTr="00296143">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8E7846" w:rsidP="00D0449B">
            <w:r w:rsidRPr="003D1E62">
              <w:t>Approved</w:t>
            </w:r>
          </w:p>
        </w:tc>
      </w:tr>
      <w:tr w:rsidR="008E7846" w:rsidRPr="003D1E62" w:rsidTr="00296143">
        <w:trPr>
          <w:trHeight w:hRule="exact" w:val="454"/>
        </w:trPr>
        <w:tc>
          <w:tcPr>
            <w:tcW w:w="2907" w:type="dxa"/>
          </w:tcPr>
          <w:p w:rsidR="008E7846" w:rsidRPr="003D1E62" w:rsidRDefault="008E7846" w:rsidP="008B7101">
            <w:pPr>
              <w:rPr>
                <w:i/>
              </w:rPr>
            </w:pPr>
            <w:r w:rsidRPr="003D1E62">
              <w:rPr>
                <w:i/>
              </w:rPr>
              <w:t xml:space="preserve">Date of </w:t>
            </w:r>
            <w:r w:rsidR="008B7101">
              <w:rPr>
                <w:i/>
              </w:rPr>
              <w:t>d</w:t>
            </w:r>
            <w:r w:rsidRPr="003D1E62">
              <w:rPr>
                <w:i/>
              </w:rPr>
              <w:t>ecision:</w:t>
            </w:r>
          </w:p>
        </w:tc>
        <w:tc>
          <w:tcPr>
            <w:tcW w:w="6590" w:type="dxa"/>
            <w:gridSpan w:val="2"/>
          </w:tcPr>
          <w:p w:rsidR="008E7846" w:rsidRPr="003D1E62" w:rsidRDefault="00CB7638" w:rsidP="003D1E62">
            <w:r>
              <w:t>1 May 2013</w:t>
            </w:r>
          </w:p>
        </w:tc>
      </w:tr>
      <w:tr w:rsidR="008E7846" w:rsidRPr="00487162" w:rsidTr="00296143">
        <w:trPr>
          <w:gridAfter w:val="1"/>
          <w:wAfter w:w="283" w:type="dxa"/>
        </w:trPr>
        <w:tc>
          <w:tcPr>
            <w:tcW w:w="2907" w:type="dxa"/>
          </w:tcPr>
          <w:p w:rsidR="008E7846" w:rsidRPr="00487162" w:rsidRDefault="008E7846" w:rsidP="008B7101">
            <w:pPr>
              <w:rPr>
                <w:i/>
              </w:rPr>
            </w:pPr>
            <w:r w:rsidRPr="00487162">
              <w:rPr>
                <w:i/>
              </w:rPr>
              <w:t>Active ingredients:</w:t>
            </w:r>
          </w:p>
        </w:tc>
        <w:tc>
          <w:tcPr>
            <w:tcW w:w="6307" w:type="dxa"/>
          </w:tcPr>
          <w:p w:rsidR="008E7846" w:rsidRPr="00487162" w:rsidRDefault="00E97C9F" w:rsidP="00E45619">
            <w:proofErr w:type="spellStart"/>
            <w:r w:rsidRPr="00E97C9F">
              <w:t>Saxagliptin</w:t>
            </w:r>
            <w:proofErr w:type="spellEnd"/>
            <w:r w:rsidRPr="00E97C9F">
              <w:t xml:space="preserve"> / </w:t>
            </w:r>
            <w:proofErr w:type="spellStart"/>
            <w:r w:rsidRPr="00E97C9F">
              <w:t>metformin</w:t>
            </w:r>
            <w:proofErr w:type="spellEnd"/>
            <w:r w:rsidRPr="00E97C9F">
              <w:t xml:space="preserve"> hydrochloride</w:t>
            </w:r>
          </w:p>
        </w:tc>
      </w:tr>
      <w:tr w:rsidR="008E7846" w:rsidRPr="00487162" w:rsidTr="00296143">
        <w:trPr>
          <w:gridAfter w:val="1"/>
          <w:wAfter w:w="283" w:type="dxa"/>
        </w:trPr>
        <w:tc>
          <w:tcPr>
            <w:tcW w:w="2907" w:type="dxa"/>
          </w:tcPr>
          <w:p w:rsidR="008E7846" w:rsidRPr="00487162" w:rsidRDefault="008B7101" w:rsidP="008B7101">
            <w:pPr>
              <w:rPr>
                <w:i/>
              </w:rPr>
            </w:pPr>
            <w:r>
              <w:rPr>
                <w:i/>
              </w:rPr>
              <w:t>Product n</w:t>
            </w:r>
            <w:r w:rsidR="008E7846" w:rsidRPr="00487162">
              <w:rPr>
                <w:i/>
              </w:rPr>
              <w:t>ame:</w:t>
            </w:r>
          </w:p>
        </w:tc>
        <w:tc>
          <w:tcPr>
            <w:tcW w:w="6307" w:type="dxa"/>
          </w:tcPr>
          <w:p w:rsidR="008E7846" w:rsidRPr="00487162" w:rsidRDefault="0056165E" w:rsidP="00E45619">
            <w:proofErr w:type="spellStart"/>
            <w:r>
              <w:t>Kombiglyze</w:t>
            </w:r>
            <w:proofErr w:type="spellEnd"/>
          </w:p>
        </w:tc>
      </w:tr>
      <w:tr w:rsidR="008E7846" w:rsidRPr="00487162" w:rsidTr="00296143">
        <w:trPr>
          <w:gridAfter w:val="1"/>
          <w:wAfter w:w="283" w:type="dxa"/>
        </w:trPr>
        <w:tc>
          <w:tcPr>
            <w:tcW w:w="2907" w:type="dxa"/>
          </w:tcPr>
          <w:p w:rsidR="008E7846" w:rsidRPr="00487162" w:rsidRDefault="008B7101" w:rsidP="00E45619">
            <w:pPr>
              <w:rPr>
                <w:i/>
              </w:rPr>
            </w:pPr>
            <w:r>
              <w:rPr>
                <w:i/>
              </w:rPr>
              <w:t>Sponsor’s name and a</w:t>
            </w:r>
            <w:r w:rsidR="008E7846" w:rsidRPr="00487162">
              <w:rPr>
                <w:i/>
              </w:rPr>
              <w:t>ddress:</w:t>
            </w:r>
          </w:p>
        </w:tc>
        <w:tc>
          <w:tcPr>
            <w:tcW w:w="6307" w:type="dxa"/>
          </w:tcPr>
          <w:p w:rsidR="008E7846" w:rsidRDefault="009E4C86" w:rsidP="00E45619">
            <w:r w:rsidRPr="009E4C86">
              <w:t>Bristol-Myers Squibb Australia Pty Ltd</w:t>
            </w:r>
          </w:p>
          <w:p w:rsidR="006A520E" w:rsidRDefault="006A520E" w:rsidP="00E45619">
            <w:r>
              <w:t>Level 2, 4 Nexus Court</w:t>
            </w:r>
          </w:p>
          <w:p w:rsidR="009E4C86" w:rsidRPr="00487162" w:rsidRDefault="006A520E" w:rsidP="00E45619">
            <w:r>
              <w:t>Mulgrave VIC</w:t>
            </w:r>
            <w:r w:rsidRPr="006A520E">
              <w:t xml:space="preserve"> 3170</w:t>
            </w:r>
          </w:p>
        </w:tc>
      </w:tr>
      <w:tr w:rsidR="008E7846" w:rsidRPr="00487162" w:rsidTr="00296143">
        <w:trPr>
          <w:gridAfter w:val="1"/>
          <w:wAfter w:w="283" w:type="dxa"/>
        </w:trPr>
        <w:tc>
          <w:tcPr>
            <w:tcW w:w="2907" w:type="dxa"/>
          </w:tcPr>
          <w:p w:rsidR="008E7846" w:rsidRPr="00487162" w:rsidRDefault="008B7101" w:rsidP="008B7101">
            <w:pPr>
              <w:rPr>
                <w:i/>
              </w:rPr>
            </w:pPr>
            <w:r>
              <w:rPr>
                <w:i/>
              </w:rPr>
              <w:t>Dose form</w:t>
            </w:r>
            <w:r w:rsidR="008E7846" w:rsidRPr="00487162">
              <w:rPr>
                <w:i/>
              </w:rPr>
              <w:t>:</w:t>
            </w:r>
          </w:p>
        </w:tc>
        <w:tc>
          <w:tcPr>
            <w:tcW w:w="6307" w:type="dxa"/>
          </w:tcPr>
          <w:p w:rsidR="008E7846" w:rsidRPr="00D91CE4" w:rsidRDefault="00D91CE4" w:rsidP="00E45619">
            <w:r w:rsidRPr="00D91CE4">
              <w:t>Film coated tablets</w:t>
            </w:r>
          </w:p>
        </w:tc>
      </w:tr>
      <w:tr w:rsidR="008E7846" w:rsidRPr="00487162" w:rsidTr="00296143">
        <w:trPr>
          <w:gridAfter w:val="1"/>
          <w:wAfter w:w="283" w:type="dxa"/>
        </w:trPr>
        <w:tc>
          <w:tcPr>
            <w:tcW w:w="2907" w:type="dxa"/>
          </w:tcPr>
          <w:p w:rsidR="008E7846" w:rsidRPr="00487162" w:rsidRDefault="008E7846" w:rsidP="008B7101">
            <w:pPr>
              <w:rPr>
                <w:i/>
              </w:rPr>
            </w:pPr>
            <w:r w:rsidRPr="00487162">
              <w:rPr>
                <w:i/>
              </w:rPr>
              <w:t>Strengths:</w:t>
            </w:r>
          </w:p>
        </w:tc>
        <w:tc>
          <w:tcPr>
            <w:tcW w:w="6307" w:type="dxa"/>
          </w:tcPr>
          <w:p w:rsidR="00D91CE4" w:rsidRDefault="00D91CE4" w:rsidP="00E45619">
            <w:proofErr w:type="spellStart"/>
            <w:r>
              <w:t>Saxagliptin</w:t>
            </w:r>
            <w:proofErr w:type="spellEnd"/>
            <w:r>
              <w:rPr>
                <w:rStyle w:val="FootnoteReference"/>
              </w:rPr>
              <w:footnoteReference w:id="1"/>
            </w:r>
            <w:r w:rsidRPr="00D91CE4">
              <w:t>/</w:t>
            </w:r>
            <w:proofErr w:type="spellStart"/>
            <w:r w:rsidRPr="00D91CE4">
              <w:t>metformin</w:t>
            </w:r>
            <w:proofErr w:type="spellEnd"/>
            <w:r w:rsidRPr="00D91CE4">
              <w:t xml:space="preserve"> hydrochloride</w:t>
            </w:r>
          </w:p>
          <w:p w:rsidR="008E7846" w:rsidRPr="00487162" w:rsidRDefault="00D91CE4" w:rsidP="00E45619">
            <w:r w:rsidRPr="00D91CE4">
              <w:t>2.5/500 mg, 2.5/850 mg and 2.5/1000 mg</w:t>
            </w:r>
          </w:p>
        </w:tc>
      </w:tr>
      <w:tr w:rsidR="008E7846" w:rsidRPr="00487162" w:rsidTr="00296143">
        <w:trPr>
          <w:gridAfter w:val="1"/>
          <w:wAfter w:w="283" w:type="dxa"/>
        </w:trPr>
        <w:tc>
          <w:tcPr>
            <w:tcW w:w="2907" w:type="dxa"/>
          </w:tcPr>
          <w:p w:rsidR="008E7846" w:rsidRPr="00487162" w:rsidRDefault="008E7846" w:rsidP="008B7101">
            <w:pPr>
              <w:rPr>
                <w:i/>
              </w:rPr>
            </w:pPr>
            <w:r w:rsidRPr="00487162">
              <w:rPr>
                <w:i/>
              </w:rPr>
              <w:t>Containers:</w:t>
            </w:r>
          </w:p>
        </w:tc>
        <w:tc>
          <w:tcPr>
            <w:tcW w:w="6307" w:type="dxa"/>
          </w:tcPr>
          <w:p w:rsidR="008E7846" w:rsidRPr="00487162" w:rsidRDefault="00C3085D" w:rsidP="00E45619">
            <w:r>
              <w:t>Blisters (PA/Al/PVC/</w:t>
            </w:r>
            <w:r w:rsidR="005D682E" w:rsidRPr="005D682E">
              <w:t>Al)</w:t>
            </w:r>
          </w:p>
        </w:tc>
      </w:tr>
      <w:tr w:rsidR="008E7846" w:rsidRPr="00487162" w:rsidTr="00296143">
        <w:trPr>
          <w:gridAfter w:val="1"/>
          <w:wAfter w:w="283" w:type="dxa"/>
        </w:trPr>
        <w:tc>
          <w:tcPr>
            <w:tcW w:w="2907" w:type="dxa"/>
          </w:tcPr>
          <w:p w:rsidR="008E7846" w:rsidRPr="00487162" w:rsidRDefault="008B7101" w:rsidP="00E45619">
            <w:pPr>
              <w:rPr>
                <w:i/>
              </w:rPr>
            </w:pPr>
            <w:r>
              <w:rPr>
                <w:i/>
              </w:rPr>
              <w:t>Pack sizes</w:t>
            </w:r>
            <w:r w:rsidR="008E7846" w:rsidRPr="00487162">
              <w:rPr>
                <w:i/>
              </w:rPr>
              <w:t>:</w:t>
            </w:r>
          </w:p>
        </w:tc>
        <w:tc>
          <w:tcPr>
            <w:tcW w:w="6307" w:type="dxa"/>
          </w:tcPr>
          <w:p w:rsidR="008E7846" w:rsidRPr="00487162" w:rsidRDefault="00C3085D" w:rsidP="00E45619">
            <w:r w:rsidRPr="00C3085D">
              <w:t>Blister packs containing 14 and 56 tablets</w:t>
            </w:r>
          </w:p>
        </w:tc>
      </w:tr>
      <w:tr w:rsidR="008E7846" w:rsidRPr="00487162" w:rsidTr="00296143">
        <w:trPr>
          <w:gridAfter w:val="1"/>
          <w:wAfter w:w="283" w:type="dxa"/>
        </w:trPr>
        <w:tc>
          <w:tcPr>
            <w:tcW w:w="2907" w:type="dxa"/>
          </w:tcPr>
          <w:p w:rsidR="008E7846" w:rsidRPr="00487162" w:rsidRDefault="008B7101" w:rsidP="00E45619">
            <w:pPr>
              <w:rPr>
                <w:i/>
              </w:rPr>
            </w:pPr>
            <w:r>
              <w:rPr>
                <w:i/>
              </w:rPr>
              <w:t>Approved t</w:t>
            </w:r>
            <w:r w:rsidR="008E7846" w:rsidRPr="00487162">
              <w:rPr>
                <w:i/>
              </w:rPr>
              <w:t>herapeutic use:</w:t>
            </w:r>
          </w:p>
        </w:tc>
        <w:tc>
          <w:tcPr>
            <w:tcW w:w="6307" w:type="dxa"/>
          </w:tcPr>
          <w:p w:rsidR="008E7846" w:rsidRPr="00487162" w:rsidRDefault="004B2B14" w:rsidP="00E45619">
            <w:pPr>
              <w:rPr>
                <w:rFonts w:eastAsia="MS Mincho"/>
                <w:lang w:eastAsia="ja-JP"/>
              </w:rPr>
            </w:pPr>
            <w:proofErr w:type="spellStart"/>
            <w:r>
              <w:t>Kombiglyze</w:t>
            </w:r>
            <w:proofErr w:type="spellEnd"/>
            <w:r>
              <w:t xml:space="preserve"> is indicated as an adjunct to diet and exercise to improve </w:t>
            </w:r>
            <w:proofErr w:type="spellStart"/>
            <w:r>
              <w:t>glycaemic</w:t>
            </w:r>
            <w:proofErr w:type="spellEnd"/>
            <w:r>
              <w:t xml:space="preserve"> control in adults with type 2 diabetes mellitus when treatment with both </w:t>
            </w:r>
            <w:proofErr w:type="spellStart"/>
            <w:r>
              <w:t>saxagliptin</w:t>
            </w:r>
            <w:proofErr w:type="spellEnd"/>
            <w:r>
              <w:t xml:space="preserve"> and </w:t>
            </w:r>
            <w:proofErr w:type="spellStart"/>
            <w:r>
              <w:t>metformin</w:t>
            </w:r>
            <w:proofErr w:type="spellEnd"/>
            <w:r>
              <w:t xml:space="preserve"> is appropriate.</w:t>
            </w:r>
          </w:p>
        </w:tc>
      </w:tr>
      <w:tr w:rsidR="008E7846" w:rsidRPr="00487162" w:rsidTr="00296143">
        <w:trPr>
          <w:gridAfter w:val="1"/>
          <w:wAfter w:w="283" w:type="dxa"/>
        </w:trPr>
        <w:tc>
          <w:tcPr>
            <w:tcW w:w="2907" w:type="dxa"/>
          </w:tcPr>
          <w:p w:rsidR="008E7846" w:rsidRPr="00487162" w:rsidRDefault="008B7101" w:rsidP="008B7101">
            <w:pPr>
              <w:rPr>
                <w:i/>
              </w:rPr>
            </w:pPr>
            <w:r>
              <w:rPr>
                <w:i/>
              </w:rPr>
              <w:t>Route</w:t>
            </w:r>
            <w:r w:rsidR="008E7846" w:rsidRPr="00487162">
              <w:rPr>
                <w:i/>
              </w:rPr>
              <w:t xml:space="preserve"> of administration:</w:t>
            </w:r>
          </w:p>
        </w:tc>
        <w:tc>
          <w:tcPr>
            <w:tcW w:w="6307" w:type="dxa"/>
          </w:tcPr>
          <w:p w:rsidR="008E7846" w:rsidRPr="00487162" w:rsidRDefault="00D3148B" w:rsidP="00E45619">
            <w:r>
              <w:t>Oral</w:t>
            </w:r>
          </w:p>
        </w:tc>
      </w:tr>
      <w:tr w:rsidR="008E7846" w:rsidRPr="00487162" w:rsidTr="00296143">
        <w:trPr>
          <w:gridAfter w:val="1"/>
          <w:wAfter w:w="283" w:type="dxa"/>
        </w:trPr>
        <w:tc>
          <w:tcPr>
            <w:tcW w:w="2907" w:type="dxa"/>
          </w:tcPr>
          <w:p w:rsidR="008E7846" w:rsidRPr="00487162" w:rsidRDefault="008E7846" w:rsidP="00E45619">
            <w:pPr>
              <w:rPr>
                <w:i/>
              </w:rPr>
            </w:pPr>
            <w:r w:rsidRPr="00487162">
              <w:rPr>
                <w:i/>
              </w:rPr>
              <w:t>Dosage:</w:t>
            </w:r>
          </w:p>
        </w:tc>
        <w:tc>
          <w:tcPr>
            <w:tcW w:w="6307" w:type="dxa"/>
          </w:tcPr>
          <w:p w:rsidR="008E7846" w:rsidRPr="00487162" w:rsidRDefault="00D3148B" w:rsidP="00E45619">
            <w:r>
              <w:t>Twice daily with meals</w:t>
            </w:r>
            <w:r w:rsidR="00087FFC">
              <w:t xml:space="preserve">, </w:t>
            </w:r>
            <w:r w:rsidR="00087FFC" w:rsidRPr="00087FFC">
              <w:t>so as to yield a total daily dose of 5</w:t>
            </w:r>
            <w:r w:rsidR="00087FFC">
              <w:t xml:space="preserve"> </w:t>
            </w:r>
            <w:r w:rsidR="00087FFC" w:rsidRPr="00087FFC">
              <w:t xml:space="preserve">mg </w:t>
            </w:r>
            <w:proofErr w:type="spellStart"/>
            <w:r w:rsidR="00087FFC" w:rsidRPr="00087FFC">
              <w:t>saxagliptin</w:t>
            </w:r>
            <w:proofErr w:type="spellEnd"/>
          </w:p>
        </w:tc>
      </w:tr>
      <w:tr w:rsidR="008E7846" w:rsidRPr="00487162" w:rsidTr="00296143">
        <w:trPr>
          <w:gridAfter w:val="1"/>
          <w:wAfter w:w="283" w:type="dxa"/>
        </w:trPr>
        <w:tc>
          <w:tcPr>
            <w:tcW w:w="2907" w:type="dxa"/>
          </w:tcPr>
          <w:p w:rsidR="008E7846" w:rsidRPr="00487162" w:rsidRDefault="008E7846" w:rsidP="008B7101">
            <w:pPr>
              <w:rPr>
                <w:i/>
              </w:rPr>
            </w:pPr>
            <w:r w:rsidRPr="00487162">
              <w:rPr>
                <w:i/>
              </w:rPr>
              <w:t xml:space="preserve">ARTG </w:t>
            </w:r>
            <w:r w:rsidR="008B7101">
              <w:rPr>
                <w:i/>
              </w:rPr>
              <w:t>number</w:t>
            </w:r>
            <w:r w:rsidRPr="00487162">
              <w:rPr>
                <w:i/>
              </w:rPr>
              <w:t>s</w:t>
            </w:r>
            <w:r w:rsidR="005F67D2">
              <w:rPr>
                <w:i/>
              </w:rPr>
              <w:t>:</w:t>
            </w:r>
          </w:p>
        </w:tc>
        <w:tc>
          <w:tcPr>
            <w:tcW w:w="6307" w:type="dxa"/>
          </w:tcPr>
          <w:p w:rsidR="008E7846" w:rsidRPr="00487162" w:rsidRDefault="00296143" w:rsidP="00E45619">
            <w:r>
              <w:t>AUST R 196044 (</w:t>
            </w:r>
            <w:r w:rsidRPr="00D91CE4">
              <w:t>2.5/1000 mg</w:t>
            </w:r>
            <w:r>
              <w:t xml:space="preserve">), </w:t>
            </w:r>
            <w:r w:rsidR="004949CE">
              <w:t>AUST R 196045</w:t>
            </w:r>
            <w:r>
              <w:t xml:space="preserve"> (</w:t>
            </w:r>
            <w:r w:rsidRPr="00D91CE4">
              <w:t>2.5/500 mg</w:t>
            </w:r>
            <w:r>
              <w:t>)</w:t>
            </w:r>
            <w:r w:rsidR="004949CE">
              <w:t>, AUST R 196046</w:t>
            </w:r>
            <w:r>
              <w:t xml:space="preserve"> (</w:t>
            </w:r>
            <w:r w:rsidRPr="00D91CE4">
              <w:t>2.5/850 mg</w:t>
            </w:r>
            <w:r>
              <w:t>)</w:t>
            </w:r>
          </w:p>
        </w:tc>
      </w:tr>
    </w:tbl>
    <w:p w:rsidR="008E7846" w:rsidRDefault="008E7846" w:rsidP="008E7846">
      <w:pPr>
        <w:pStyle w:val="Heading3"/>
      </w:pPr>
      <w:bookmarkStart w:id="7" w:name="_Toc247691503"/>
      <w:bookmarkStart w:id="8" w:name="_Toc314842484"/>
      <w:bookmarkStart w:id="9" w:name="_Toc371598162"/>
      <w:r>
        <w:t>Product background</w:t>
      </w:r>
      <w:bookmarkEnd w:id="7"/>
      <w:bookmarkEnd w:id="8"/>
      <w:bookmarkEnd w:id="9"/>
    </w:p>
    <w:p w:rsidR="002B7703" w:rsidRDefault="00F44CE6" w:rsidP="00BE77C9">
      <w:r w:rsidRPr="00E74882">
        <w:t xml:space="preserve">This </w:t>
      </w:r>
      <w:proofErr w:type="spellStart"/>
      <w:r w:rsidRPr="00E74882">
        <w:t>AusPAR</w:t>
      </w:r>
      <w:proofErr w:type="spellEnd"/>
      <w:r w:rsidRPr="00E74882">
        <w:t xml:space="preserve"> describes an application by the sponsor, </w:t>
      </w:r>
      <w:r>
        <w:t xml:space="preserve">Bristol-Myers Squibb Australia Pty Ltd, </w:t>
      </w:r>
      <w:r w:rsidR="003130F0" w:rsidRPr="003130F0">
        <w:t>to register a new fixed dose combination (FDC) film</w:t>
      </w:r>
      <w:r w:rsidR="002B7703">
        <w:t xml:space="preserve"> </w:t>
      </w:r>
      <w:r w:rsidR="003130F0" w:rsidRPr="003130F0">
        <w:t xml:space="preserve">coated oral tablets containing immediate release </w:t>
      </w:r>
      <w:proofErr w:type="spellStart"/>
      <w:r w:rsidR="003130F0" w:rsidRPr="003130F0">
        <w:t>saxagliptin</w:t>
      </w:r>
      <w:proofErr w:type="spellEnd"/>
      <w:r w:rsidR="003130F0" w:rsidRPr="003130F0">
        <w:t>/</w:t>
      </w:r>
      <w:proofErr w:type="spellStart"/>
      <w:r w:rsidR="003130F0" w:rsidRPr="003130F0">
        <w:t>metformin</w:t>
      </w:r>
      <w:proofErr w:type="spellEnd"/>
      <w:r w:rsidR="003130F0" w:rsidRPr="003130F0">
        <w:t xml:space="preserve"> hydrochloride in three strengths 2</w:t>
      </w:r>
      <w:r w:rsidR="002B7703">
        <w:t xml:space="preserve">.5/500, 2.5/850 and 2.5/1000 mg. </w:t>
      </w:r>
      <w:r w:rsidR="002B7703" w:rsidRPr="002B7703">
        <w:t xml:space="preserve">The proposed indication for </w:t>
      </w:r>
      <w:proofErr w:type="spellStart"/>
      <w:r w:rsidR="002B7703">
        <w:t>Kombiglyze</w:t>
      </w:r>
      <w:proofErr w:type="spellEnd"/>
      <w:r w:rsidR="002B7703">
        <w:t xml:space="preserve"> is</w:t>
      </w:r>
    </w:p>
    <w:p w:rsidR="002B7703" w:rsidRPr="00BE77C9" w:rsidRDefault="002B7703" w:rsidP="00BE77C9">
      <w:pPr>
        <w:ind w:left="720"/>
        <w:rPr>
          <w:i/>
        </w:rPr>
      </w:pPr>
      <w:r w:rsidRPr="00BE77C9">
        <w:rPr>
          <w:i/>
        </w:rPr>
        <w:t xml:space="preserve">as an adjunct to diet and exercise to improve </w:t>
      </w:r>
      <w:proofErr w:type="spellStart"/>
      <w:r w:rsidRPr="00BE77C9">
        <w:rPr>
          <w:i/>
        </w:rPr>
        <w:t>glycaemic</w:t>
      </w:r>
      <w:proofErr w:type="spellEnd"/>
      <w:r w:rsidRPr="00BE77C9">
        <w:rPr>
          <w:i/>
        </w:rPr>
        <w:t xml:space="preserve"> control in adults with type 2 diabetes mellitus when treatment with both </w:t>
      </w:r>
      <w:proofErr w:type="spellStart"/>
      <w:r w:rsidRPr="00BE77C9">
        <w:rPr>
          <w:i/>
        </w:rPr>
        <w:t>saxaglipti</w:t>
      </w:r>
      <w:r w:rsidR="00BE77C9">
        <w:rPr>
          <w:i/>
        </w:rPr>
        <w:t>n</w:t>
      </w:r>
      <w:proofErr w:type="spellEnd"/>
      <w:r w:rsidR="00BE77C9">
        <w:rPr>
          <w:i/>
        </w:rPr>
        <w:t xml:space="preserve"> and </w:t>
      </w:r>
      <w:proofErr w:type="spellStart"/>
      <w:r w:rsidR="00BE77C9">
        <w:rPr>
          <w:i/>
        </w:rPr>
        <w:t>metformin</w:t>
      </w:r>
      <w:proofErr w:type="spellEnd"/>
      <w:r w:rsidR="00BE77C9">
        <w:rPr>
          <w:i/>
        </w:rPr>
        <w:t xml:space="preserve"> is appropriate.</w:t>
      </w:r>
    </w:p>
    <w:p w:rsidR="002B7703" w:rsidRPr="002B7703" w:rsidRDefault="002B7703" w:rsidP="00BE77C9">
      <w:proofErr w:type="spellStart"/>
      <w:r>
        <w:lastRenderedPageBreak/>
        <w:t>Kombiglyze</w:t>
      </w:r>
      <w:proofErr w:type="spellEnd"/>
      <w:r w:rsidRPr="002B7703">
        <w:t xml:space="preserve"> is for twice daily administration to yield a total daily dose of 5</w:t>
      </w:r>
      <w:r>
        <w:t xml:space="preserve"> </w:t>
      </w:r>
      <w:r w:rsidRPr="002B7703">
        <w:t xml:space="preserve">mg </w:t>
      </w:r>
      <w:proofErr w:type="spellStart"/>
      <w:r w:rsidRPr="002B7703">
        <w:t>saxagliptin</w:t>
      </w:r>
      <w:r w:rsidR="00B43EA5">
        <w:t>,the</w:t>
      </w:r>
      <w:proofErr w:type="spellEnd"/>
      <w:r w:rsidR="00B43EA5">
        <w:t xml:space="preserve"> </w:t>
      </w:r>
      <w:r w:rsidRPr="002B7703">
        <w:t xml:space="preserve">same as that approved for </w:t>
      </w:r>
      <w:proofErr w:type="spellStart"/>
      <w:r w:rsidRPr="002B7703">
        <w:t>saxagliptin</w:t>
      </w:r>
      <w:proofErr w:type="spellEnd"/>
      <w:r w:rsidRPr="002B7703">
        <w:t xml:space="preserve"> mono</w:t>
      </w:r>
      <w:r>
        <w:t xml:space="preserve"> </w:t>
      </w:r>
      <w:r w:rsidRPr="002B7703">
        <w:t xml:space="preserve">product </w:t>
      </w:r>
      <w:r w:rsidR="00B43EA5">
        <w:t xml:space="preserve">although the latter </w:t>
      </w:r>
      <w:r w:rsidRPr="002B7703">
        <w:t xml:space="preserve">is approved for once daily administration. The appropriate FDC strength is selected to achieve the correct </w:t>
      </w:r>
      <w:proofErr w:type="spellStart"/>
      <w:r w:rsidRPr="002B7703">
        <w:t>metformin</w:t>
      </w:r>
      <w:proofErr w:type="spellEnd"/>
      <w:r w:rsidRPr="002B7703">
        <w:t xml:space="preserve"> dose for an individual patient. For patients inadequately controlled on a maximum tolerated dose of </w:t>
      </w:r>
      <w:proofErr w:type="spellStart"/>
      <w:r w:rsidRPr="002B7703">
        <w:t>metformin</w:t>
      </w:r>
      <w:proofErr w:type="spellEnd"/>
      <w:r w:rsidRPr="002B7703">
        <w:t xml:space="preserve"> </w:t>
      </w:r>
      <w:proofErr w:type="spellStart"/>
      <w:r w:rsidRPr="002B7703">
        <w:t>monotherapy</w:t>
      </w:r>
      <w:proofErr w:type="spellEnd"/>
      <w:r w:rsidRPr="002B7703">
        <w:t xml:space="preserve">, various strength(s) of FDC can be selected to achieve </w:t>
      </w:r>
      <w:r w:rsidR="00B43EA5">
        <w:t xml:space="preserve">a </w:t>
      </w:r>
      <w:proofErr w:type="spellStart"/>
      <w:r w:rsidRPr="002B7703">
        <w:t>metformin</w:t>
      </w:r>
      <w:proofErr w:type="spellEnd"/>
      <w:r w:rsidRPr="002B7703">
        <w:t xml:space="preserve"> 1000-2000</w:t>
      </w:r>
      <w:r w:rsidR="002508D2">
        <w:t xml:space="preserve"> </w:t>
      </w:r>
      <w:r w:rsidRPr="002B7703">
        <w:t>mg daily dose range. For patients switching from co</w:t>
      </w:r>
      <w:r>
        <w:t xml:space="preserve"> </w:t>
      </w:r>
      <w:r w:rsidRPr="002B7703">
        <w:t xml:space="preserve">administration of </w:t>
      </w:r>
      <w:proofErr w:type="spellStart"/>
      <w:r w:rsidRPr="002B7703">
        <w:t>saxagliptin</w:t>
      </w:r>
      <w:proofErr w:type="spellEnd"/>
      <w:r w:rsidRPr="002B7703">
        <w:t xml:space="preserve"> and </w:t>
      </w:r>
      <w:proofErr w:type="spellStart"/>
      <w:r w:rsidRPr="002B7703">
        <w:t>metformin</w:t>
      </w:r>
      <w:proofErr w:type="spellEnd"/>
      <w:r w:rsidRPr="002B7703">
        <w:t xml:space="preserve">, </w:t>
      </w:r>
      <w:proofErr w:type="spellStart"/>
      <w:r>
        <w:t>Kombiglyze</w:t>
      </w:r>
      <w:proofErr w:type="spellEnd"/>
      <w:r w:rsidRPr="002B7703">
        <w:t xml:space="preserve"> is to be initiated at the doses already being taken. For patients taking </w:t>
      </w:r>
      <w:proofErr w:type="spellStart"/>
      <w:r>
        <w:t>Kombiglyze</w:t>
      </w:r>
      <w:proofErr w:type="spellEnd"/>
      <w:r w:rsidRPr="002B7703">
        <w:t xml:space="preserve"> as initial combination therapy, the recommendation is</w:t>
      </w:r>
      <w:r w:rsidR="00B43EA5">
        <w:t xml:space="preserve"> for an</w:t>
      </w:r>
      <w:r w:rsidRPr="002B7703">
        <w:t xml:space="preserve"> initial dose of 2.5/500 mg twice daily with subsequent titration to 2.5/850 </w:t>
      </w:r>
      <w:r w:rsidR="00624023">
        <w:t xml:space="preserve">mg </w:t>
      </w:r>
      <w:r w:rsidRPr="002B7703">
        <w:t xml:space="preserve">or 2.5/1000 mg as required. </w:t>
      </w:r>
    </w:p>
    <w:p w:rsidR="002B7703" w:rsidRPr="002B7703" w:rsidRDefault="002B7703" w:rsidP="00BE77C9">
      <w:proofErr w:type="spellStart"/>
      <w:r w:rsidRPr="002B7703">
        <w:t>Saxagliptin</w:t>
      </w:r>
      <w:proofErr w:type="spellEnd"/>
      <w:r w:rsidRPr="002B7703">
        <w:t xml:space="preserve"> is a </w:t>
      </w:r>
      <w:proofErr w:type="spellStart"/>
      <w:r w:rsidR="00E84651" w:rsidRPr="00F31145">
        <w:t>d</w:t>
      </w:r>
      <w:r w:rsidR="00E84651">
        <w:t>ipeptidyl</w:t>
      </w:r>
      <w:proofErr w:type="spellEnd"/>
      <w:r w:rsidR="00E84651">
        <w:t xml:space="preserve"> peptidase-4 (</w:t>
      </w:r>
      <w:r w:rsidRPr="002B7703">
        <w:t>DPP-4</w:t>
      </w:r>
      <w:r w:rsidR="00E84651">
        <w:t>)</w:t>
      </w:r>
      <w:r w:rsidRPr="002B7703">
        <w:t xml:space="preserve"> inhibitor and </w:t>
      </w:r>
      <w:proofErr w:type="spellStart"/>
      <w:r w:rsidRPr="002B7703">
        <w:t>metformin</w:t>
      </w:r>
      <w:proofErr w:type="spellEnd"/>
      <w:r w:rsidRPr="002B7703">
        <w:t xml:space="preserve"> is a </w:t>
      </w:r>
      <w:proofErr w:type="spellStart"/>
      <w:r w:rsidRPr="002B7703">
        <w:t>biguanide</w:t>
      </w:r>
      <w:proofErr w:type="spellEnd"/>
      <w:r w:rsidRPr="002B7703">
        <w:t xml:space="preserve">. Both are approved for the treatment of type 2 diabetes mellitus (T2DM). </w:t>
      </w:r>
    </w:p>
    <w:p w:rsidR="008E7846" w:rsidRPr="003F31A2" w:rsidRDefault="00386150" w:rsidP="00BE77C9">
      <w:pPr>
        <w:pStyle w:val="Heading3"/>
      </w:pPr>
      <w:bookmarkStart w:id="10" w:name="_Toc314842485"/>
      <w:bookmarkStart w:id="11" w:name="_Toc247691504"/>
      <w:bookmarkStart w:id="12" w:name="_Toc371598163"/>
      <w:r w:rsidRPr="00BE77C9">
        <w:t>Regulatory</w:t>
      </w:r>
      <w:r>
        <w:t xml:space="preserve"> s</w:t>
      </w:r>
      <w:r w:rsidR="008E7846">
        <w:t>tatus</w:t>
      </w:r>
      <w:bookmarkEnd w:id="10"/>
      <w:bookmarkEnd w:id="12"/>
      <w:r w:rsidR="008E7846">
        <w:t xml:space="preserve"> </w:t>
      </w:r>
      <w:bookmarkEnd w:id="11"/>
    </w:p>
    <w:p w:rsidR="00965615" w:rsidRDefault="00965615" w:rsidP="00BE77C9">
      <w:proofErr w:type="spellStart"/>
      <w:r w:rsidRPr="002B7703">
        <w:t>Saxagliptin</w:t>
      </w:r>
      <w:proofErr w:type="spellEnd"/>
      <w:r w:rsidRPr="002B7703">
        <w:t xml:space="preserve"> is currently approved in Australia both as add</w:t>
      </w:r>
      <w:r w:rsidR="00F51BFE">
        <w:t xml:space="preserve"> </w:t>
      </w:r>
      <w:r w:rsidRPr="002B7703">
        <w:t>on and as initial combination therapy. As add</w:t>
      </w:r>
      <w:r w:rsidR="00F51BFE">
        <w:t xml:space="preserve"> </w:t>
      </w:r>
      <w:r w:rsidRPr="002B7703">
        <w:t>on</w:t>
      </w:r>
      <w:r w:rsidR="00B43EA5">
        <w:t xml:space="preserve"> therapy</w:t>
      </w:r>
      <w:r w:rsidRPr="002B7703">
        <w:t xml:space="preserve"> it is approved for use with </w:t>
      </w:r>
      <w:proofErr w:type="spellStart"/>
      <w:r w:rsidRPr="002B7703">
        <w:t>metformin</w:t>
      </w:r>
      <w:proofErr w:type="spellEnd"/>
      <w:r w:rsidRPr="002B7703">
        <w:t xml:space="preserve">, a sulfonylurea, or a </w:t>
      </w:r>
      <w:proofErr w:type="spellStart"/>
      <w:r w:rsidRPr="002B7703">
        <w:t>thiazolidinedione</w:t>
      </w:r>
      <w:proofErr w:type="spellEnd"/>
      <w:r w:rsidRPr="002B7703">
        <w:t xml:space="preserve"> (dual combination). As initial therapy</w:t>
      </w:r>
      <w:r w:rsidR="002508D2">
        <w:t>,</w:t>
      </w:r>
      <w:r w:rsidRPr="002B7703">
        <w:t xml:space="preserve"> it is approved for use with </w:t>
      </w:r>
      <w:proofErr w:type="spellStart"/>
      <w:r w:rsidRPr="002B7703">
        <w:t>metformin</w:t>
      </w:r>
      <w:proofErr w:type="spellEnd"/>
      <w:r w:rsidRPr="002B7703">
        <w:t xml:space="preserve"> (dual therapy). As add</w:t>
      </w:r>
      <w:r w:rsidR="00F51BFE">
        <w:t xml:space="preserve"> </w:t>
      </w:r>
      <w:r w:rsidRPr="002B7703">
        <w:t>on</w:t>
      </w:r>
      <w:r w:rsidR="007C3B1C">
        <w:t xml:space="preserve"> therapy</w:t>
      </w:r>
      <w:r w:rsidRPr="002B7703">
        <w:t xml:space="preserve"> it is also approved for use with basal or premixed insulin with (triple therapy) or without </w:t>
      </w:r>
      <w:proofErr w:type="spellStart"/>
      <w:r w:rsidRPr="002B7703">
        <w:t>metformin</w:t>
      </w:r>
      <w:proofErr w:type="spellEnd"/>
      <w:r w:rsidRPr="002B7703">
        <w:t xml:space="preserve"> (dual therapy). It has not been investigated in clinical situations where bolus/b</w:t>
      </w:r>
      <w:r w:rsidR="00FB62E6">
        <w:t>asal insulin regimens are used.</w:t>
      </w:r>
    </w:p>
    <w:p w:rsidR="00FB62E6" w:rsidRDefault="00D5000A" w:rsidP="00965615">
      <w:r>
        <w:t>Table 1 shows the l</w:t>
      </w:r>
      <w:r w:rsidR="00FB62E6" w:rsidRPr="00FB62E6">
        <w:t>ist of countries in</w:t>
      </w:r>
      <w:r w:rsidR="000D673E">
        <w:t xml:space="preserve"> which a similar </w:t>
      </w:r>
      <w:proofErr w:type="spellStart"/>
      <w:r w:rsidR="000D673E" w:rsidRPr="00FB62E6">
        <w:t>Kombiglyze</w:t>
      </w:r>
      <w:proofErr w:type="spellEnd"/>
      <w:r w:rsidR="000D673E">
        <w:t xml:space="preserve"> application </w:t>
      </w:r>
      <w:r w:rsidR="00FB62E6" w:rsidRPr="00FB62E6">
        <w:t>has been submitted</w:t>
      </w:r>
      <w:r w:rsidR="00493957">
        <w:t xml:space="preserve"> at the time of the current application.</w:t>
      </w:r>
    </w:p>
    <w:p w:rsidR="00F51BFE" w:rsidRDefault="00F51BFE" w:rsidP="00BE77C9">
      <w:pPr>
        <w:pStyle w:val="TableTitle"/>
        <w:rPr>
          <w:lang w:val="en-GB"/>
        </w:rPr>
      </w:pPr>
      <w:r>
        <w:t>Table 1:</w:t>
      </w:r>
      <w:r w:rsidRPr="004C5C28">
        <w:t xml:space="preserve"> </w:t>
      </w:r>
      <w:r w:rsidR="00B30538">
        <w:t xml:space="preserve">Submission and approval status – </w:t>
      </w:r>
      <w:proofErr w:type="spellStart"/>
      <w:r w:rsidR="00FB62E6" w:rsidRPr="00FB62E6">
        <w:t>Kombiglyze</w:t>
      </w:r>
      <w:proofErr w:type="spellEnd"/>
      <w:r w:rsidR="00FB62E6" w:rsidRPr="00FB62E6">
        <w:t xml:space="preserve"> (</w:t>
      </w:r>
      <w:proofErr w:type="spellStart"/>
      <w:r w:rsidR="00FB62E6" w:rsidRPr="00FB62E6">
        <w:t>saxagliptin</w:t>
      </w:r>
      <w:proofErr w:type="spellEnd"/>
      <w:r w:rsidR="00FB62E6" w:rsidRPr="00FB62E6">
        <w:t>/</w:t>
      </w:r>
      <w:proofErr w:type="spellStart"/>
      <w:r w:rsidR="00FB62E6" w:rsidRPr="00FB62E6">
        <w:t>metformin</w:t>
      </w:r>
      <w:proofErr w:type="spellEnd"/>
      <w:r w:rsidR="00FB62E6" w:rsidRPr="00FB62E6">
        <w:t>)</w:t>
      </w:r>
      <w:r>
        <w:t>.</w:t>
      </w:r>
    </w:p>
    <w:p w:rsidR="003E1FC4" w:rsidRDefault="00D47E1A" w:rsidP="003E1FC4">
      <w:pPr>
        <w:jc w:val="center"/>
      </w:pPr>
      <w:r>
        <w:rPr>
          <w:noProof/>
          <w:lang w:eastAsia="en-AU"/>
        </w:rPr>
        <w:drawing>
          <wp:inline distT="0" distB="0" distL="0" distR="0">
            <wp:extent cx="4505325" cy="3514725"/>
            <wp:effectExtent l="19050" t="0" r="9525" b="0"/>
            <wp:docPr id="2" name="Picture 2" descr="Table showing submission and approval status - Kombigly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
                    <pic:cNvPicPr>
                      <a:picLocks noChangeAspect="1" noChangeArrowheads="1"/>
                    </pic:cNvPicPr>
                  </pic:nvPicPr>
                  <pic:blipFill>
                    <a:blip r:embed="rId13" cstate="print"/>
                    <a:srcRect/>
                    <a:stretch>
                      <a:fillRect/>
                    </a:stretch>
                  </pic:blipFill>
                  <pic:spPr bwMode="auto">
                    <a:xfrm>
                      <a:off x="0" y="0"/>
                      <a:ext cx="4505325" cy="3514725"/>
                    </a:xfrm>
                    <a:prstGeom prst="rect">
                      <a:avLst/>
                    </a:prstGeom>
                    <a:noFill/>
                    <a:ln w="9525">
                      <a:noFill/>
                      <a:miter lim="800000"/>
                      <a:headEnd/>
                      <a:tailEnd/>
                    </a:ln>
                  </pic:spPr>
                </pic:pic>
              </a:graphicData>
            </a:graphic>
          </wp:inline>
        </w:drawing>
      </w:r>
    </w:p>
    <w:p w:rsidR="00B30538" w:rsidRDefault="00B30538" w:rsidP="003E1FC4">
      <w:pPr>
        <w:pStyle w:val="TableTitle"/>
        <w:rPr>
          <w:lang w:val="en-GB"/>
        </w:rPr>
      </w:pPr>
      <w:r>
        <w:lastRenderedPageBreak/>
        <w:t>Table 1 (continued):</w:t>
      </w:r>
      <w:r w:rsidRPr="004C5C28">
        <w:t xml:space="preserve"> </w:t>
      </w:r>
      <w:r>
        <w:t xml:space="preserve">Submission and approval status – </w:t>
      </w:r>
      <w:proofErr w:type="spellStart"/>
      <w:r w:rsidRPr="00FB62E6">
        <w:t>Kombiglyze</w:t>
      </w:r>
      <w:proofErr w:type="spellEnd"/>
      <w:r w:rsidRPr="00FB62E6">
        <w:t xml:space="preserve"> (</w:t>
      </w:r>
      <w:proofErr w:type="spellStart"/>
      <w:r w:rsidRPr="00FB62E6">
        <w:t>saxagliptin</w:t>
      </w:r>
      <w:proofErr w:type="spellEnd"/>
      <w:r w:rsidRPr="00FB62E6">
        <w:t>/</w:t>
      </w:r>
      <w:proofErr w:type="spellStart"/>
      <w:r w:rsidRPr="00FB62E6">
        <w:t>metformin</w:t>
      </w:r>
      <w:proofErr w:type="spellEnd"/>
      <w:r w:rsidRPr="00FB62E6">
        <w:t>)</w:t>
      </w:r>
      <w:r>
        <w:t>.</w:t>
      </w:r>
    </w:p>
    <w:p w:rsidR="00B30538" w:rsidRPr="002B7703" w:rsidRDefault="00D47E1A" w:rsidP="003E1FC4">
      <w:pPr>
        <w:jc w:val="center"/>
      </w:pPr>
      <w:r>
        <w:rPr>
          <w:noProof/>
          <w:lang w:eastAsia="en-AU"/>
        </w:rPr>
        <w:drawing>
          <wp:inline distT="0" distB="0" distL="0" distR="0">
            <wp:extent cx="4533900" cy="4572000"/>
            <wp:effectExtent l="19050" t="0" r="0" b="0"/>
            <wp:docPr id="3" name="Picture 3" descr="Continued table showing submission and approval status - Kombigly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2"/>
                    <pic:cNvPicPr>
                      <a:picLocks noChangeAspect="1" noChangeArrowheads="1"/>
                    </pic:cNvPicPr>
                  </pic:nvPicPr>
                  <pic:blipFill>
                    <a:blip r:embed="rId14" cstate="print"/>
                    <a:srcRect/>
                    <a:stretch>
                      <a:fillRect/>
                    </a:stretch>
                  </pic:blipFill>
                  <pic:spPr bwMode="auto">
                    <a:xfrm>
                      <a:off x="0" y="0"/>
                      <a:ext cx="4533900" cy="4572000"/>
                    </a:xfrm>
                    <a:prstGeom prst="rect">
                      <a:avLst/>
                    </a:prstGeom>
                    <a:noFill/>
                    <a:ln w="9525">
                      <a:noFill/>
                      <a:miter lim="800000"/>
                      <a:headEnd/>
                      <a:tailEnd/>
                    </a:ln>
                  </pic:spPr>
                </pic:pic>
              </a:graphicData>
            </a:graphic>
          </wp:inline>
        </w:drawing>
      </w:r>
      <w:r>
        <w:rPr>
          <w:noProof/>
          <w:lang w:eastAsia="en-AU"/>
        </w:rPr>
        <w:drawing>
          <wp:inline distT="0" distB="0" distL="0" distR="0">
            <wp:extent cx="4343400" cy="1000125"/>
            <wp:effectExtent l="19050" t="0" r="0" b="0"/>
            <wp:docPr id="4" name="Picture 4" descr="Continued table showing submission and approval status - Kombigly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3"/>
                    <pic:cNvPicPr>
                      <a:picLocks noChangeAspect="1" noChangeArrowheads="1"/>
                    </pic:cNvPicPr>
                  </pic:nvPicPr>
                  <pic:blipFill>
                    <a:blip r:embed="rId15" cstate="print"/>
                    <a:srcRect/>
                    <a:stretch>
                      <a:fillRect/>
                    </a:stretch>
                  </pic:blipFill>
                  <pic:spPr bwMode="auto">
                    <a:xfrm>
                      <a:off x="0" y="0"/>
                      <a:ext cx="4343400" cy="1000125"/>
                    </a:xfrm>
                    <a:prstGeom prst="rect">
                      <a:avLst/>
                    </a:prstGeom>
                    <a:noFill/>
                    <a:ln w="9525">
                      <a:noFill/>
                      <a:miter lim="800000"/>
                      <a:headEnd/>
                      <a:tailEnd/>
                    </a:ln>
                  </pic:spPr>
                </pic:pic>
              </a:graphicData>
            </a:graphic>
          </wp:inline>
        </w:drawing>
      </w:r>
      <w:r>
        <w:rPr>
          <w:noProof/>
          <w:lang w:eastAsia="en-AU"/>
        </w:rPr>
        <w:drawing>
          <wp:inline distT="0" distB="0" distL="0" distR="0">
            <wp:extent cx="4410075" cy="2619375"/>
            <wp:effectExtent l="19050" t="0" r="9525" b="0"/>
            <wp:docPr id="5" name="Picture 5" descr="Continued table showing submission and approval status - Kombigly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4"/>
                    <pic:cNvPicPr>
                      <a:picLocks noChangeAspect="1" noChangeArrowheads="1"/>
                    </pic:cNvPicPr>
                  </pic:nvPicPr>
                  <pic:blipFill>
                    <a:blip r:embed="rId16" cstate="print"/>
                    <a:srcRect/>
                    <a:stretch>
                      <a:fillRect/>
                    </a:stretch>
                  </pic:blipFill>
                  <pic:spPr bwMode="auto">
                    <a:xfrm>
                      <a:off x="0" y="0"/>
                      <a:ext cx="4410075" cy="2619375"/>
                    </a:xfrm>
                    <a:prstGeom prst="rect">
                      <a:avLst/>
                    </a:prstGeom>
                    <a:noFill/>
                    <a:ln w="9525">
                      <a:noFill/>
                      <a:miter lim="800000"/>
                      <a:headEnd/>
                      <a:tailEnd/>
                    </a:ln>
                  </pic:spPr>
                </pic:pic>
              </a:graphicData>
            </a:graphic>
          </wp:inline>
        </w:drawing>
      </w:r>
    </w:p>
    <w:p w:rsidR="008E7846" w:rsidRDefault="008E7846" w:rsidP="00BE77C9">
      <w:pPr>
        <w:pStyle w:val="Heading3"/>
      </w:pPr>
      <w:bookmarkStart w:id="13" w:name="_Toc247691505"/>
      <w:bookmarkStart w:id="14" w:name="_Toc314842486"/>
      <w:bookmarkStart w:id="15" w:name="_Toc371598164"/>
      <w:r w:rsidRPr="00BE77C9">
        <w:lastRenderedPageBreak/>
        <w:t>Product</w:t>
      </w:r>
      <w:r>
        <w:t xml:space="preserve"> Information</w:t>
      </w:r>
      <w:bookmarkEnd w:id="13"/>
      <w:bookmarkEnd w:id="14"/>
      <w:bookmarkEnd w:id="15"/>
    </w:p>
    <w:p w:rsidR="008E7846" w:rsidRDefault="008E7846" w:rsidP="00BE77C9">
      <w:r>
        <w:t xml:space="preserve">The approved Product Information (PI) current at the time this </w:t>
      </w:r>
      <w:proofErr w:type="spellStart"/>
      <w:r>
        <w:t>AusPAR</w:t>
      </w:r>
      <w:proofErr w:type="spellEnd"/>
      <w:r>
        <w:t xml:space="preserve"> was prepared can be found as Attachment 1.</w:t>
      </w:r>
      <w:bookmarkStart w:id="16" w:name="_Toc247691506"/>
      <w:bookmarkStart w:id="17" w:name="_Toc314842487"/>
    </w:p>
    <w:p w:rsidR="008E7846" w:rsidRPr="003602A9" w:rsidRDefault="008E7846" w:rsidP="00BE77C9">
      <w:pPr>
        <w:pStyle w:val="Heading2"/>
      </w:pPr>
      <w:bookmarkStart w:id="18" w:name="_Toc371598165"/>
      <w:r>
        <w:t xml:space="preserve">II. </w:t>
      </w:r>
      <w:r w:rsidRPr="00BE77C9">
        <w:t>Quality</w:t>
      </w:r>
      <w:bookmarkEnd w:id="1"/>
      <w:r>
        <w:t xml:space="preserve"> findings</w:t>
      </w:r>
      <w:bookmarkEnd w:id="16"/>
      <w:bookmarkEnd w:id="17"/>
      <w:bookmarkEnd w:id="18"/>
    </w:p>
    <w:p w:rsidR="008E7846" w:rsidRDefault="008E7846" w:rsidP="00BE77C9">
      <w:pPr>
        <w:pStyle w:val="Heading3"/>
      </w:pPr>
      <w:bookmarkStart w:id="19" w:name="_Toc247691507"/>
      <w:bookmarkStart w:id="20" w:name="_Toc314842488"/>
      <w:bookmarkStart w:id="21" w:name="_Toc371598166"/>
      <w:r w:rsidRPr="008751DC">
        <w:t xml:space="preserve">Drug </w:t>
      </w:r>
      <w:r w:rsidRPr="00BE77C9">
        <w:t>substance</w:t>
      </w:r>
      <w:r>
        <w:t xml:space="preserve"> (active ingredient)</w:t>
      </w:r>
      <w:bookmarkEnd w:id="19"/>
      <w:bookmarkEnd w:id="20"/>
      <w:bookmarkEnd w:id="21"/>
    </w:p>
    <w:p w:rsidR="00AF7105" w:rsidRPr="0064175C" w:rsidRDefault="00AF7105" w:rsidP="00BE77C9">
      <w:pPr>
        <w:pStyle w:val="Heading4"/>
      </w:pPr>
      <w:proofErr w:type="spellStart"/>
      <w:r w:rsidRPr="00BE77C9">
        <w:t>Saxagliptin</w:t>
      </w:r>
      <w:proofErr w:type="spellEnd"/>
    </w:p>
    <w:p w:rsidR="00E34082" w:rsidRPr="00CA2DF0" w:rsidRDefault="00AF7105" w:rsidP="00BE77C9">
      <w:r w:rsidRPr="00CA2DF0">
        <w:t xml:space="preserve">The </w:t>
      </w:r>
      <w:proofErr w:type="spellStart"/>
      <w:r w:rsidRPr="00CA2DF0">
        <w:t>saxagliptin</w:t>
      </w:r>
      <w:proofErr w:type="spellEnd"/>
      <w:r w:rsidRPr="00CA2DF0">
        <w:t xml:space="preserve"> is isolated as the monohydrate (Figure 1). It is manufactured by chemical synthesis and has four </w:t>
      </w:r>
      <w:proofErr w:type="spellStart"/>
      <w:r w:rsidRPr="00CA2DF0">
        <w:t>chiral</w:t>
      </w:r>
      <w:proofErr w:type="spellEnd"/>
      <w:r w:rsidRPr="00CA2DF0">
        <w:t xml:space="preserve"> centres. Only one polymorph is known. The aqueous solubility of the drug substance is pH dependent and ranges from freely soluble (pH 0.7-6.6), though soluble (pH 6.7-7.7) to sparingly soluble (pH 7.8 and above). According to the Biopharmaceutical Classification System (BCS), </w:t>
      </w:r>
      <w:proofErr w:type="spellStart"/>
      <w:r w:rsidRPr="00CA2DF0">
        <w:t>saxagliptin</w:t>
      </w:r>
      <w:proofErr w:type="spellEnd"/>
      <w:r w:rsidRPr="00CA2DF0">
        <w:t xml:space="preserve"> is considered highly soluble. However</w:t>
      </w:r>
      <w:r w:rsidR="00003638">
        <w:t>,</w:t>
      </w:r>
      <w:r w:rsidRPr="00CA2DF0">
        <w:t xml:space="preserve"> due to its low permeability (75% is absorbed and the oral systemic bioavailability in only ~ 50% compared to intravenous administration), it is classified as BCS </w:t>
      </w:r>
      <w:r w:rsidR="00E34082" w:rsidRPr="00CA2DF0">
        <w:t xml:space="preserve">Class 3. </w:t>
      </w:r>
    </w:p>
    <w:p w:rsidR="00CA2DF0" w:rsidRPr="00BE77C9" w:rsidRDefault="002E0867" w:rsidP="00BE77C9">
      <w:pPr>
        <w:pStyle w:val="FigureTitle"/>
      </w:pPr>
      <w:r w:rsidRPr="00BE77C9">
        <w:t xml:space="preserve">Figure </w:t>
      </w:r>
      <w:r w:rsidR="00CA2DF0" w:rsidRPr="00BE77C9">
        <w:t xml:space="preserve">1: </w:t>
      </w:r>
      <w:r w:rsidR="00D87990" w:rsidRPr="00BE77C9">
        <w:t xml:space="preserve">Structure of </w:t>
      </w:r>
      <w:proofErr w:type="spellStart"/>
      <w:r w:rsidR="00D87990" w:rsidRPr="00BE77C9">
        <w:t>saxagliptin</w:t>
      </w:r>
      <w:proofErr w:type="spellEnd"/>
      <w:r w:rsidR="00CA2DF0" w:rsidRPr="00BE77C9">
        <w:t>.</w:t>
      </w:r>
    </w:p>
    <w:p w:rsidR="00CA2DF0" w:rsidRDefault="00D47E1A" w:rsidP="003D40B3">
      <w:pPr>
        <w:jc w:val="center"/>
      </w:pPr>
      <w:r>
        <w:rPr>
          <w:noProof/>
          <w:lang w:eastAsia="en-AU"/>
        </w:rPr>
        <w:drawing>
          <wp:inline distT="0" distB="0" distL="0" distR="0">
            <wp:extent cx="1562100" cy="1114425"/>
            <wp:effectExtent l="19050" t="0" r="0" b="0"/>
            <wp:docPr id="6" name="Picture 6" descr="Figure showing the structure of saxaglip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1"/>
                    <pic:cNvPicPr>
                      <a:picLocks noChangeAspect="1" noChangeArrowheads="1"/>
                    </pic:cNvPicPr>
                  </pic:nvPicPr>
                  <pic:blipFill>
                    <a:blip r:embed="rId17" cstate="print"/>
                    <a:srcRect/>
                    <a:stretch>
                      <a:fillRect/>
                    </a:stretch>
                  </pic:blipFill>
                  <pic:spPr bwMode="auto">
                    <a:xfrm>
                      <a:off x="0" y="0"/>
                      <a:ext cx="1562100" cy="1114425"/>
                    </a:xfrm>
                    <a:prstGeom prst="rect">
                      <a:avLst/>
                    </a:prstGeom>
                    <a:noFill/>
                    <a:ln w="9525">
                      <a:noFill/>
                      <a:miter lim="800000"/>
                      <a:headEnd/>
                      <a:tailEnd/>
                    </a:ln>
                  </pic:spPr>
                </pic:pic>
              </a:graphicData>
            </a:graphic>
          </wp:inline>
        </w:drawing>
      </w:r>
    </w:p>
    <w:p w:rsidR="00AF7105" w:rsidRPr="00BD67B0" w:rsidRDefault="00AF7105" w:rsidP="00BE77C9">
      <w:r w:rsidRPr="00BD67B0">
        <w:t xml:space="preserve">The </w:t>
      </w:r>
      <w:proofErr w:type="spellStart"/>
      <w:r w:rsidRPr="00BD67B0">
        <w:t>saxagliptin</w:t>
      </w:r>
      <w:proofErr w:type="spellEnd"/>
      <w:r w:rsidRPr="00BD67B0">
        <w:t xml:space="preserve"> monohydrate used in the proposed products is manufactured and controlled in the same manner as the </w:t>
      </w:r>
      <w:proofErr w:type="spellStart"/>
      <w:r w:rsidRPr="00BD67B0">
        <w:t>saxagliptin</w:t>
      </w:r>
      <w:proofErr w:type="spellEnd"/>
      <w:r w:rsidRPr="00BD67B0">
        <w:t xml:space="preserve"> monohydrate used in the registered </w:t>
      </w:r>
      <w:r w:rsidR="00003638">
        <w:t>‘</w:t>
      </w:r>
      <w:proofErr w:type="spellStart"/>
      <w:r w:rsidR="00D55D2E">
        <w:t>Onglyza</w:t>
      </w:r>
      <w:proofErr w:type="spellEnd"/>
      <w:r w:rsidR="00003638">
        <w:t>’</w:t>
      </w:r>
      <w:r w:rsidRPr="00BD67B0">
        <w:t xml:space="preserve"> tablets.</w:t>
      </w:r>
    </w:p>
    <w:p w:rsidR="00500D90" w:rsidRPr="00BD67B0" w:rsidRDefault="00500D90" w:rsidP="00BE77C9">
      <w:pPr>
        <w:pStyle w:val="Heading4"/>
      </w:pPr>
      <w:proofErr w:type="spellStart"/>
      <w:r w:rsidRPr="00BD67B0">
        <w:t>Metformin</w:t>
      </w:r>
      <w:proofErr w:type="spellEnd"/>
      <w:r w:rsidRPr="00BD67B0">
        <w:t xml:space="preserve"> </w:t>
      </w:r>
      <w:r w:rsidRPr="00BE77C9">
        <w:t>hydrochloride</w:t>
      </w:r>
    </w:p>
    <w:p w:rsidR="00500D90" w:rsidRPr="00500D90" w:rsidRDefault="00500D90" w:rsidP="00BE77C9">
      <w:proofErr w:type="spellStart"/>
      <w:r w:rsidRPr="00500D90">
        <w:t>Metformin</w:t>
      </w:r>
      <w:proofErr w:type="spellEnd"/>
      <w:r w:rsidRPr="00500D90">
        <w:t xml:space="preserve"> hydroch</w:t>
      </w:r>
      <w:r w:rsidR="00003638">
        <w:t>loride (Figure 2) is a white/</w:t>
      </w:r>
      <w:r w:rsidRPr="00500D90">
        <w:t>off</w:t>
      </w:r>
      <w:r w:rsidR="00003638">
        <w:t xml:space="preserve"> </w:t>
      </w:r>
      <w:r w:rsidRPr="00500D90">
        <w:t>white powder that is freely soluble in water.</w:t>
      </w:r>
      <w:r w:rsidR="003C7F36">
        <w:t xml:space="preserve"> </w:t>
      </w:r>
      <w:r w:rsidRPr="00500D90">
        <w:t xml:space="preserve">It has no </w:t>
      </w:r>
      <w:proofErr w:type="spellStart"/>
      <w:r w:rsidRPr="00500D90">
        <w:t>chiral</w:t>
      </w:r>
      <w:proofErr w:type="spellEnd"/>
      <w:r w:rsidRPr="00500D90">
        <w:t xml:space="preserve"> centres and no polymorphic forms of the drug substance are known.</w:t>
      </w:r>
      <w:r w:rsidR="003C7F36">
        <w:t xml:space="preserve"> </w:t>
      </w:r>
      <w:r w:rsidRPr="00500D90">
        <w:t>It is added to the tablets as a pre</w:t>
      </w:r>
      <w:r w:rsidR="001A42C5">
        <w:t xml:space="preserve"> </w:t>
      </w:r>
      <w:r w:rsidRPr="00500D90">
        <w:t xml:space="preserve">mix with 0.5% magnesium </w:t>
      </w:r>
      <w:proofErr w:type="spellStart"/>
      <w:r w:rsidRPr="00500D90">
        <w:t>stearate</w:t>
      </w:r>
      <w:proofErr w:type="spellEnd"/>
      <w:r w:rsidRPr="00500D90">
        <w:t>.</w:t>
      </w:r>
    </w:p>
    <w:p w:rsidR="00500D90" w:rsidRPr="00BE77C9" w:rsidRDefault="00500D90" w:rsidP="00BE77C9">
      <w:pPr>
        <w:pStyle w:val="FigureTitle"/>
      </w:pPr>
      <w:r w:rsidRPr="00BE77C9">
        <w:t xml:space="preserve">Figure </w:t>
      </w:r>
      <w:r w:rsidR="00630876" w:rsidRPr="00BE77C9">
        <w:t>2</w:t>
      </w:r>
      <w:r w:rsidRPr="00BE77C9">
        <w:t xml:space="preserve">: Structure of </w:t>
      </w:r>
      <w:proofErr w:type="spellStart"/>
      <w:r w:rsidRPr="00BE77C9">
        <w:t>metformin</w:t>
      </w:r>
      <w:proofErr w:type="spellEnd"/>
      <w:r w:rsidRPr="00BE77C9">
        <w:t xml:space="preserve"> hydrochloride.</w:t>
      </w:r>
    </w:p>
    <w:p w:rsidR="00500D90" w:rsidRDefault="00D47E1A" w:rsidP="00500D90">
      <w:pPr>
        <w:pStyle w:val="FigureTitle"/>
        <w:jc w:val="center"/>
        <w:rPr>
          <w:lang w:val="en-GB"/>
        </w:rPr>
      </w:pPr>
      <w:r>
        <w:rPr>
          <w:noProof/>
          <w:lang w:eastAsia="en-AU"/>
        </w:rPr>
        <w:drawing>
          <wp:inline distT="0" distB="0" distL="0" distR="0">
            <wp:extent cx="1943100" cy="742950"/>
            <wp:effectExtent l="19050" t="0" r="0" b="0"/>
            <wp:docPr id="7" name="Picture 7" descr="Figure showing the structure of metformin hydrochlo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2"/>
                    <pic:cNvPicPr>
                      <a:picLocks noChangeAspect="1" noChangeArrowheads="1"/>
                    </pic:cNvPicPr>
                  </pic:nvPicPr>
                  <pic:blipFill>
                    <a:blip r:embed="rId18" cstate="print"/>
                    <a:srcRect/>
                    <a:stretch>
                      <a:fillRect/>
                    </a:stretch>
                  </pic:blipFill>
                  <pic:spPr bwMode="auto">
                    <a:xfrm>
                      <a:off x="0" y="0"/>
                      <a:ext cx="1943100" cy="742950"/>
                    </a:xfrm>
                    <a:prstGeom prst="rect">
                      <a:avLst/>
                    </a:prstGeom>
                    <a:noFill/>
                    <a:ln w="9525">
                      <a:noFill/>
                      <a:miter lim="800000"/>
                      <a:headEnd/>
                      <a:tailEnd/>
                    </a:ln>
                  </pic:spPr>
                </pic:pic>
              </a:graphicData>
            </a:graphic>
          </wp:inline>
        </w:drawing>
      </w:r>
    </w:p>
    <w:p w:rsidR="00500D90" w:rsidRPr="00500D90" w:rsidRDefault="00500D90" w:rsidP="00BE77C9">
      <w:r w:rsidRPr="00500D90">
        <w:t xml:space="preserve">The chemistry and manufacturing control of the </w:t>
      </w:r>
      <w:proofErr w:type="spellStart"/>
      <w:r w:rsidRPr="00500D90">
        <w:t>metformin</w:t>
      </w:r>
      <w:proofErr w:type="spellEnd"/>
      <w:r w:rsidRPr="00500D90">
        <w:t xml:space="preserve"> hydrochloride and the pre</w:t>
      </w:r>
      <w:r w:rsidR="007B4DF2">
        <w:t xml:space="preserve"> </w:t>
      </w:r>
      <w:r w:rsidRPr="00500D90">
        <w:t xml:space="preserve">mix are covered by a drug master file and are acceptable. </w:t>
      </w:r>
    </w:p>
    <w:p w:rsidR="008E7846" w:rsidRDefault="008E7846" w:rsidP="00BE77C9">
      <w:pPr>
        <w:pStyle w:val="Heading3"/>
      </w:pPr>
      <w:bookmarkStart w:id="22" w:name="_Toc247691508"/>
      <w:bookmarkStart w:id="23" w:name="_Toc314842490"/>
      <w:bookmarkStart w:id="24" w:name="_Toc371598167"/>
      <w:r w:rsidRPr="008751DC">
        <w:t xml:space="preserve">Drug </w:t>
      </w:r>
      <w:r>
        <w:t>p</w:t>
      </w:r>
      <w:r w:rsidRPr="008751DC">
        <w:t>roduct</w:t>
      </w:r>
      <w:bookmarkEnd w:id="22"/>
      <w:bookmarkEnd w:id="23"/>
      <w:bookmarkEnd w:id="24"/>
    </w:p>
    <w:p w:rsidR="004E2AB6" w:rsidRPr="004E2AB6" w:rsidRDefault="004E2AB6" w:rsidP="00BE77C9">
      <w:r w:rsidRPr="004E2AB6">
        <w:t>The proposed tablets are produced as unscored, film</w:t>
      </w:r>
      <w:r w:rsidR="007B4DF2">
        <w:t xml:space="preserve"> </w:t>
      </w:r>
      <w:r w:rsidRPr="004E2AB6">
        <w:t>coated, immediate release products in which the strengths are distinguished by their differing colours, sizes and markings.</w:t>
      </w:r>
      <w:r w:rsidR="003C7F36">
        <w:t xml:space="preserve"> </w:t>
      </w:r>
    </w:p>
    <w:p w:rsidR="004E2AB6" w:rsidRDefault="004E2AB6" w:rsidP="001D1004">
      <w:r>
        <w:lastRenderedPageBreak/>
        <w:t xml:space="preserve">Similar to the </w:t>
      </w:r>
      <w:r w:rsidR="007B4DF2">
        <w:t>‘</w:t>
      </w:r>
      <w:proofErr w:type="spellStart"/>
      <w:r>
        <w:t>Onglyza</w:t>
      </w:r>
      <w:proofErr w:type="spellEnd"/>
      <w:r w:rsidR="007B4DF2">
        <w:t>’</w:t>
      </w:r>
      <w:r w:rsidRPr="004E2AB6">
        <w:t xml:space="preserve"> tablet</w:t>
      </w:r>
      <w:r w:rsidR="001D1004">
        <w:t>s</w:t>
      </w:r>
      <w:r w:rsidRPr="004E2AB6">
        <w:t xml:space="preserve">, </w:t>
      </w:r>
      <w:proofErr w:type="spellStart"/>
      <w:r w:rsidR="001D1004">
        <w:t>Kombiglyze</w:t>
      </w:r>
      <w:proofErr w:type="spellEnd"/>
      <w:r w:rsidR="001D1004">
        <w:t xml:space="preserve"> tablets</w:t>
      </w:r>
      <w:r w:rsidR="007C3B1C">
        <w:t xml:space="preserve"> </w:t>
      </w:r>
      <w:r w:rsidRPr="004E2AB6">
        <w:t xml:space="preserve">contain a core and an active coat containing the </w:t>
      </w:r>
      <w:proofErr w:type="spellStart"/>
      <w:r w:rsidRPr="004E2AB6">
        <w:t>saxagliptin</w:t>
      </w:r>
      <w:proofErr w:type="spellEnd"/>
      <w:r w:rsidRPr="004E2AB6">
        <w:t>. However</w:t>
      </w:r>
      <w:r w:rsidR="002E4969">
        <w:t>,</w:t>
      </w:r>
      <w:r w:rsidRPr="004E2AB6">
        <w:t xml:space="preserve"> in this case the core is not inert but contain</w:t>
      </w:r>
      <w:r w:rsidR="001D1004">
        <w:t>s</w:t>
      </w:r>
      <w:r w:rsidRPr="004E2AB6">
        <w:t xml:space="preserve"> </w:t>
      </w:r>
      <w:proofErr w:type="spellStart"/>
      <w:r w:rsidRPr="004E2AB6">
        <w:t>metformin</w:t>
      </w:r>
      <w:proofErr w:type="spellEnd"/>
      <w:r w:rsidRPr="004E2AB6">
        <w:t xml:space="preserve"> hydrochloride</w:t>
      </w:r>
      <w:r w:rsidR="001D1004">
        <w:t>.</w:t>
      </w:r>
    </w:p>
    <w:p w:rsidR="00DC2846" w:rsidRPr="00DC2846" w:rsidRDefault="00DC2846" w:rsidP="00BE77C9">
      <w:r w:rsidRPr="00DC2846">
        <w:t>The specifications of the tablets include tests and limits that adequately control</w:t>
      </w:r>
      <w:r w:rsidR="007C3B1C">
        <w:t xml:space="preserve"> the</w:t>
      </w:r>
      <w:r w:rsidRPr="00DC2846">
        <w:t xml:space="preserve"> appearance and assays</w:t>
      </w:r>
      <w:r w:rsidR="001D1004">
        <w:t xml:space="preserve"> </w:t>
      </w:r>
      <w:r w:rsidRPr="00DC2846">
        <w:t xml:space="preserve">at release and at expiry for </w:t>
      </w:r>
      <w:proofErr w:type="spellStart"/>
      <w:r w:rsidRPr="00DC2846">
        <w:t>saxagliptin</w:t>
      </w:r>
      <w:proofErr w:type="spellEnd"/>
      <w:r w:rsidR="001D1004">
        <w:t xml:space="preserve"> </w:t>
      </w:r>
      <w:r w:rsidRPr="00DC2846">
        <w:t>and</w:t>
      </w:r>
      <w:r w:rsidR="001D1004">
        <w:t xml:space="preserve"> </w:t>
      </w:r>
      <w:proofErr w:type="spellStart"/>
      <w:r w:rsidRPr="00DC2846">
        <w:t>metformin</w:t>
      </w:r>
      <w:proofErr w:type="spellEnd"/>
      <w:r w:rsidRPr="00DC2846">
        <w:t xml:space="preserve"> hydrochloride. The expiry limits for </w:t>
      </w:r>
      <w:proofErr w:type="spellStart"/>
      <w:r w:rsidRPr="00DC2846">
        <w:t>degradants</w:t>
      </w:r>
      <w:proofErr w:type="spellEnd"/>
      <w:r w:rsidRPr="00DC2846">
        <w:t xml:space="preserve"> comply with </w:t>
      </w:r>
      <w:r w:rsidR="005A0DB0" w:rsidRPr="005A0DB0">
        <w:t xml:space="preserve">International Conference on Harmonisation </w:t>
      </w:r>
      <w:r w:rsidR="005A0DB0">
        <w:t>(</w:t>
      </w:r>
      <w:r w:rsidRPr="00DC2846">
        <w:t>ICH</w:t>
      </w:r>
      <w:r w:rsidR="005A0DB0">
        <w:t>)</w:t>
      </w:r>
      <w:r w:rsidRPr="00DC2846">
        <w:t xml:space="preserve"> guidance and associated monographs and</w:t>
      </w:r>
      <w:r w:rsidR="007C3B1C">
        <w:t>,</w:t>
      </w:r>
      <w:r w:rsidRPr="00DC2846">
        <w:t xml:space="preserve"> where necessary</w:t>
      </w:r>
      <w:r w:rsidR="007C3B1C">
        <w:t>,</w:t>
      </w:r>
      <w:r w:rsidRPr="00DC2846">
        <w:t xml:space="preserve"> tighter release limits have been set to allow for changes on storage.</w:t>
      </w:r>
      <w:r w:rsidR="003C7F36">
        <w:t xml:space="preserve"> </w:t>
      </w:r>
      <w:r w:rsidRPr="00DC2846">
        <w:t>In addition,</w:t>
      </w:r>
      <w:r w:rsidR="00607790">
        <w:t xml:space="preserve"> </w:t>
      </w:r>
      <w:r w:rsidRPr="00DC2846">
        <w:t>dissolution</w:t>
      </w:r>
      <w:r w:rsidR="007C3B1C">
        <w:t xml:space="preserve"> </w:t>
      </w:r>
      <w:r w:rsidR="00607790">
        <w:t xml:space="preserve">studies </w:t>
      </w:r>
      <w:r w:rsidRPr="00DC2846">
        <w:t xml:space="preserve">of </w:t>
      </w:r>
      <w:proofErr w:type="spellStart"/>
      <w:r w:rsidRPr="00DC2846">
        <w:t>saxagliptin</w:t>
      </w:r>
      <w:proofErr w:type="spellEnd"/>
      <w:r w:rsidR="007C3B1C">
        <w:t xml:space="preserve"> </w:t>
      </w:r>
      <w:r w:rsidR="00607790">
        <w:t xml:space="preserve">and </w:t>
      </w:r>
      <w:proofErr w:type="spellStart"/>
      <w:r w:rsidRPr="00DC2846">
        <w:t>metformin</w:t>
      </w:r>
      <w:proofErr w:type="spellEnd"/>
      <w:r w:rsidRPr="00DC2846">
        <w:t xml:space="preserve"> hydrochloride</w:t>
      </w:r>
      <w:r w:rsidR="00607790">
        <w:t xml:space="preserve"> were submitted</w:t>
      </w:r>
    </w:p>
    <w:p w:rsidR="00DC2846" w:rsidRPr="00DC2846" w:rsidRDefault="00DC2846" w:rsidP="00BE77C9">
      <w:r w:rsidRPr="00DC2846">
        <w:t>Stability data was provided to support a shelf life of 24 months when stored below 25</w:t>
      </w:r>
      <w:r w:rsidRPr="00DC2846">
        <w:sym w:font="Symbol" w:char="F0B0"/>
      </w:r>
      <w:r w:rsidRPr="00DC2846">
        <w:t>C. No additional storage conditions are required.</w:t>
      </w:r>
      <w:r w:rsidR="003C7F36">
        <w:t xml:space="preserve"> </w:t>
      </w:r>
    </w:p>
    <w:p w:rsidR="008E7846" w:rsidRDefault="008E7846" w:rsidP="00BE77C9">
      <w:pPr>
        <w:pStyle w:val="Heading3"/>
      </w:pPr>
      <w:bookmarkStart w:id="25" w:name="_Toc314842491"/>
      <w:bookmarkStart w:id="26" w:name="_Toc371598168"/>
      <w:proofErr w:type="spellStart"/>
      <w:r w:rsidRPr="00BE77C9">
        <w:t>Biopharmaceutics</w:t>
      </w:r>
      <w:bookmarkEnd w:id="25"/>
      <w:bookmarkEnd w:id="26"/>
      <w:proofErr w:type="spellEnd"/>
    </w:p>
    <w:p w:rsidR="00DC2846" w:rsidRPr="00DC2846" w:rsidRDefault="00DC2846" w:rsidP="00BE77C9">
      <w:r w:rsidRPr="00DC2846">
        <w:t xml:space="preserve">The pivotal clinical efficacy studies were performed with </w:t>
      </w:r>
      <w:proofErr w:type="spellStart"/>
      <w:r w:rsidR="00F06559">
        <w:t>monother</w:t>
      </w:r>
      <w:r w:rsidRPr="00DC2846">
        <w:t>apy</w:t>
      </w:r>
      <w:proofErr w:type="spellEnd"/>
      <w:r w:rsidRPr="00DC2846">
        <w:t xml:space="preserve"> tablets given concomitantly. As such bioequivalence data showing equivalence of the p</w:t>
      </w:r>
      <w:r w:rsidR="00F06559">
        <w:t xml:space="preserve">roposed </w:t>
      </w:r>
      <w:r w:rsidRPr="00DC2846">
        <w:t xml:space="preserve">FDC tablets to the </w:t>
      </w:r>
      <w:proofErr w:type="spellStart"/>
      <w:r w:rsidR="00F06559">
        <w:t>monother</w:t>
      </w:r>
      <w:r w:rsidRPr="00DC2846">
        <w:t>apies</w:t>
      </w:r>
      <w:proofErr w:type="spellEnd"/>
      <w:r w:rsidRPr="00DC2846">
        <w:t xml:space="preserve"> given concomitantly are required. </w:t>
      </w:r>
    </w:p>
    <w:p w:rsidR="00DC2846" w:rsidRPr="00DC2846" w:rsidRDefault="00DC2846" w:rsidP="00BE77C9">
      <w:r w:rsidRPr="00DC2846">
        <w:t xml:space="preserve">The 2.5 mg </w:t>
      </w:r>
      <w:proofErr w:type="spellStart"/>
      <w:r w:rsidRPr="00DC2846">
        <w:t>saxagliptin</w:t>
      </w:r>
      <w:proofErr w:type="spellEnd"/>
      <w:r w:rsidRPr="00DC2846">
        <w:t xml:space="preserve"> </w:t>
      </w:r>
      <w:proofErr w:type="spellStart"/>
      <w:r w:rsidR="00F06559">
        <w:t>monother</w:t>
      </w:r>
      <w:r w:rsidRPr="00DC2846">
        <w:t>apy</w:t>
      </w:r>
      <w:proofErr w:type="spellEnd"/>
      <w:r w:rsidRPr="00DC2846">
        <w:t xml:space="preserve"> tablet is not registered in Australia (only a 5 mg tablet is registered, and this is taken daily as opposed to twice daily for the FDC tablets). Therefore</w:t>
      </w:r>
      <w:r w:rsidR="00F06559">
        <w:t>,</w:t>
      </w:r>
      <w:r w:rsidRPr="00DC2846">
        <w:t xml:space="preserve"> data linking the two strengths is required. </w:t>
      </w:r>
    </w:p>
    <w:p w:rsidR="00DC2846" w:rsidRPr="00DC2846" w:rsidRDefault="00DC2846" w:rsidP="00BE77C9">
      <w:r w:rsidRPr="00DC2846">
        <w:t xml:space="preserve">The </w:t>
      </w:r>
      <w:proofErr w:type="spellStart"/>
      <w:r w:rsidR="00F06559">
        <w:t>monother</w:t>
      </w:r>
      <w:r w:rsidRPr="00DC2846">
        <w:t>apy</w:t>
      </w:r>
      <w:proofErr w:type="spellEnd"/>
      <w:r w:rsidRPr="00DC2846">
        <w:t xml:space="preserve"> </w:t>
      </w:r>
      <w:proofErr w:type="spellStart"/>
      <w:r w:rsidRPr="00DC2846">
        <w:t>metformin</w:t>
      </w:r>
      <w:proofErr w:type="spellEnd"/>
      <w:r w:rsidRPr="00DC2846">
        <w:t xml:space="preserve"> tablets used in the clinical and bioavailability studies were not those registered in Australia (US </w:t>
      </w:r>
      <w:proofErr w:type="spellStart"/>
      <w:r w:rsidR="002E4969">
        <w:t>Glucophage</w:t>
      </w:r>
      <w:proofErr w:type="spellEnd"/>
      <w:r w:rsidR="002E4969">
        <w:t xml:space="preserve"> </w:t>
      </w:r>
      <w:r w:rsidRPr="00DC2846">
        <w:t>was used)</w:t>
      </w:r>
      <w:r w:rsidR="007C3B1C">
        <w:t>. A</w:t>
      </w:r>
      <w:r w:rsidRPr="00DC2846">
        <w:t xml:space="preserve"> study linking the tablets used and the Australia tablets is required. </w:t>
      </w:r>
    </w:p>
    <w:p w:rsidR="00DC2846" w:rsidRPr="00DC2846" w:rsidRDefault="00DC2846" w:rsidP="00BE77C9">
      <w:r w:rsidRPr="00DC2846">
        <w:t>Finally</w:t>
      </w:r>
      <w:r w:rsidR="00F06559">
        <w:t>,</w:t>
      </w:r>
      <w:r w:rsidRPr="00DC2846">
        <w:t xml:space="preserve"> studies determining whether there are any pharmacokinetic interactions between </w:t>
      </w:r>
      <w:proofErr w:type="spellStart"/>
      <w:r w:rsidRPr="00DC2846">
        <w:t>saxagliptin</w:t>
      </w:r>
      <w:proofErr w:type="spellEnd"/>
      <w:r w:rsidRPr="00DC2846">
        <w:t xml:space="preserve"> and </w:t>
      </w:r>
      <w:proofErr w:type="spellStart"/>
      <w:r w:rsidRPr="00DC2846">
        <w:t>metformin</w:t>
      </w:r>
      <w:proofErr w:type="spellEnd"/>
      <w:r w:rsidRPr="00DC2846">
        <w:t xml:space="preserve"> are required.</w:t>
      </w:r>
    </w:p>
    <w:p w:rsidR="00DC2846" w:rsidRPr="00DC2846" w:rsidRDefault="00DC2846" w:rsidP="00BE77C9">
      <w:pPr>
        <w:pStyle w:val="ListBullet"/>
      </w:pPr>
      <w:r w:rsidRPr="00DC2846">
        <w:t xml:space="preserve">Study CV181081 compared the proposed </w:t>
      </w:r>
      <w:r w:rsidRPr="002E4969">
        <w:rPr>
          <w:b/>
        </w:rPr>
        <w:t>2.5/500</w:t>
      </w:r>
      <w:r w:rsidRPr="00DC2846">
        <w:t xml:space="preserve"> FDC tablets to the relevant</w:t>
      </w:r>
      <w:r w:rsidR="00F06559">
        <w:t xml:space="preserve"> </w:t>
      </w:r>
      <w:proofErr w:type="spellStart"/>
      <w:r w:rsidR="00F06559" w:rsidRPr="00BE77C9">
        <w:t>monother</w:t>
      </w:r>
      <w:r w:rsidRPr="00BE77C9">
        <w:t>apy</w:t>
      </w:r>
      <w:proofErr w:type="spellEnd"/>
      <w:r w:rsidRPr="00DC2846">
        <w:t xml:space="preserve"> tablets used in the clinical studies given </w:t>
      </w:r>
      <w:r w:rsidR="00432AC9">
        <w:t xml:space="preserve">concomitantly. The results </w:t>
      </w:r>
      <w:r w:rsidRPr="00DC2846">
        <w:t xml:space="preserve">showed bioequivalence of both </w:t>
      </w:r>
      <w:proofErr w:type="spellStart"/>
      <w:r w:rsidRPr="00DC2846">
        <w:t>saxagliptin</w:t>
      </w:r>
      <w:proofErr w:type="spellEnd"/>
      <w:r w:rsidRPr="00DC2846">
        <w:t xml:space="preserve"> and </w:t>
      </w:r>
      <w:proofErr w:type="spellStart"/>
      <w:r w:rsidRPr="00DC2846">
        <w:t>metformin</w:t>
      </w:r>
      <w:proofErr w:type="spellEnd"/>
      <w:r w:rsidRPr="00DC2846">
        <w:t xml:space="preserve"> under both fasting and fed (standard breakfast) conditions.</w:t>
      </w:r>
    </w:p>
    <w:p w:rsidR="00DC2846" w:rsidRPr="002E4969" w:rsidRDefault="00DC2846" w:rsidP="00BE77C9">
      <w:pPr>
        <w:pStyle w:val="ListBullet2"/>
      </w:pPr>
      <w:r w:rsidRPr="002E4969">
        <w:t xml:space="preserve">However, although the study did not calculate food effect, the </w:t>
      </w:r>
      <w:r w:rsidR="00F06559">
        <w:t>c</w:t>
      </w:r>
      <w:r w:rsidRPr="002E4969">
        <w:t xml:space="preserve">linical Delegate was asked to note the </w:t>
      </w:r>
      <w:r w:rsidRPr="00BE77C9">
        <w:t>changes</w:t>
      </w:r>
      <w:r w:rsidRPr="002E4969">
        <w:t xml:space="preserve"> observed with food are not the same as those cited in the PI and it should be considered if the figures in the PI require amending. </w:t>
      </w:r>
    </w:p>
    <w:p w:rsidR="00DC2846" w:rsidRPr="00DC2846" w:rsidRDefault="00DC2846" w:rsidP="00BE77C9">
      <w:pPr>
        <w:pStyle w:val="ListBullet"/>
      </w:pPr>
      <w:r w:rsidRPr="00DC2846">
        <w:t xml:space="preserve">Study CV181092 compared the proposed </w:t>
      </w:r>
      <w:r w:rsidRPr="002E4969">
        <w:rPr>
          <w:b/>
        </w:rPr>
        <w:t>2.5/1000</w:t>
      </w:r>
      <w:r w:rsidRPr="00DC2846">
        <w:t xml:space="preserve"> FDC tablets to the relevant </w:t>
      </w:r>
      <w:proofErr w:type="spellStart"/>
      <w:r w:rsidR="00F06559" w:rsidRPr="00BE77C9">
        <w:t>monother</w:t>
      </w:r>
      <w:r w:rsidRPr="00BE77C9">
        <w:t>apy</w:t>
      </w:r>
      <w:proofErr w:type="spellEnd"/>
      <w:r w:rsidRPr="00DC2846">
        <w:t xml:space="preserve"> tablets used in the clinical studies given </w:t>
      </w:r>
      <w:r w:rsidR="00F06559">
        <w:t xml:space="preserve">concomitantly. The results </w:t>
      </w:r>
      <w:r w:rsidRPr="00DC2846">
        <w:t xml:space="preserve">showed bioequivalence of both </w:t>
      </w:r>
      <w:proofErr w:type="spellStart"/>
      <w:r w:rsidRPr="00DC2846">
        <w:t>saxagliptin</w:t>
      </w:r>
      <w:proofErr w:type="spellEnd"/>
      <w:r w:rsidRPr="00DC2846">
        <w:t xml:space="preserve"> and </w:t>
      </w:r>
      <w:proofErr w:type="spellStart"/>
      <w:r w:rsidRPr="00DC2846">
        <w:t>metformin</w:t>
      </w:r>
      <w:proofErr w:type="spellEnd"/>
      <w:r w:rsidRPr="00DC2846">
        <w:t xml:space="preserve"> under both fasting and fed (standard breakfast) conditions.</w:t>
      </w:r>
    </w:p>
    <w:p w:rsidR="00DC2846" w:rsidRPr="002E4969" w:rsidRDefault="00DC2846" w:rsidP="00BE77C9">
      <w:pPr>
        <w:pStyle w:val="ListBullet2"/>
      </w:pPr>
      <w:r w:rsidRPr="002E4969">
        <w:t xml:space="preserve">Similar to </w:t>
      </w:r>
      <w:r w:rsidR="00F06559">
        <w:t>S</w:t>
      </w:r>
      <w:r w:rsidRPr="002E4969">
        <w:t xml:space="preserve">tudy CV181081, although the study did not calculate food effect, the </w:t>
      </w:r>
      <w:r w:rsidR="00F06559">
        <w:t>c</w:t>
      </w:r>
      <w:r w:rsidRPr="002E4969">
        <w:t>linical Delegate was asked to note the changes observed with food are not the same as those cited in the PI and it should be considered if the figures in the PI require amending.</w:t>
      </w:r>
    </w:p>
    <w:p w:rsidR="00DC2846" w:rsidRPr="00DC2846" w:rsidRDefault="00DC2846" w:rsidP="00BE77C9">
      <w:pPr>
        <w:pStyle w:val="ListBullet"/>
      </w:pPr>
      <w:r w:rsidRPr="00DC2846">
        <w:t xml:space="preserve">Study CV181152 compared the 2.5 mg </w:t>
      </w:r>
      <w:proofErr w:type="spellStart"/>
      <w:r w:rsidRPr="00DC2846">
        <w:t>saxagliptin</w:t>
      </w:r>
      <w:proofErr w:type="spellEnd"/>
      <w:r w:rsidRPr="00DC2846">
        <w:t xml:space="preserve"> tablets used in the clinical efficacy and bioequivalence studies to a 5 mg </w:t>
      </w:r>
      <w:proofErr w:type="spellStart"/>
      <w:r w:rsidRPr="00DC2846">
        <w:t>saxagliptin</w:t>
      </w:r>
      <w:proofErr w:type="spellEnd"/>
      <w:r w:rsidRPr="00DC2846">
        <w:t xml:space="preserve"> tablets that was similar</w:t>
      </w:r>
      <w:r w:rsidR="007C3B1C">
        <w:t>,</w:t>
      </w:r>
      <w:r w:rsidR="007C3B1C" w:rsidRPr="007C3B1C">
        <w:t xml:space="preserve"> </w:t>
      </w:r>
      <w:r w:rsidR="007C3B1C" w:rsidRPr="00DC2846">
        <w:t>apart from film coat and printing</w:t>
      </w:r>
      <w:r w:rsidR="007C3B1C">
        <w:t>,</w:t>
      </w:r>
      <w:r w:rsidRPr="00DC2846">
        <w:t xml:space="preserve"> to the 5 mg </w:t>
      </w:r>
      <w:proofErr w:type="spellStart"/>
      <w:r w:rsidRPr="00DC2846">
        <w:t>O</w:t>
      </w:r>
      <w:r w:rsidR="005B73CB">
        <w:t>nglyza</w:t>
      </w:r>
      <w:proofErr w:type="spellEnd"/>
      <w:r w:rsidRPr="00DC2846">
        <w:t xml:space="preserve"> tablet registered. This was a multiple dose study with the 2.5 mg tablets given twice daily and the 5 mg tablet given daily. </w:t>
      </w:r>
      <w:r w:rsidR="007C3B1C">
        <w:t>T</w:t>
      </w:r>
      <w:r w:rsidRPr="00DC2846">
        <w:t>his stu</w:t>
      </w:r>
      <w:r w:rsidR="00CE1BE4">
        <w:t xml:space="preserve">dy </w:t>
      </w:r>
      <w:r w:rsidR="007C3B1C">
        <w:t>was accepted as</w:t>
      </w:r>
      <w:r w:rsidR="00CE1BE4">
        <w:t xml:space="preserve"> relevant and the results </w:t>
      </w:r>
      <w:r w:rsidRPr="00DC2846">
        <w:t>showed bioequivalence of AUC</w:t>
      </w:r>
      <w:r w:rsidRPr="007E23F8">
        <w:rPr>
          <w:vertAlign w:val="subscript"/>
        </w:rPr>
        <w:t xml:space="preserve">0-24 </w:t>
      </w:r>
      <w:r w:rsidR="00A9098E">
        <w:t>(a</w:t>
      </w:r>
      <w:r w:rsidR="00A9098E" w:rsidRPr="00A9098E">
        <w:t>rea under the plasma concentration-tim</w:t>
      </w:r>
      <w:r w:rsidR="00A9098E">
        <w:t>e curve in the first 24 h) f</w:t>
      </w:r>
      <w:r w:rsidRPr="00DC2846">
        <w:t xml:space="preserve">or both </w:t>
      </w:r>
      <w:proofErr w:type="spellStart"/>
      <w:r w:rsidRPr="00DC2846">
        <w:t>saxagliptin</w:t>
      </w:r>
      <w:proofErr w:type="spellEnd"/>
      <w:r w:rsidRPr="00DC2846">
        <w:t xml:space="preserve"> and 5-hydroxysaxagliptin (the major metabolite of </w:t>
      </w:r>
      <w:proofErr w:type="spellStart"/>
      <w:r w:rsidRPr="00DC2846">
        <w:t>saxagliptin</w:t>
      </w:r>
      <w:proofErr w:type="spellEnd"/>
      <w:r w:rsidRPr="00DC2846">
        <w:t>).</w:t>
      </w:r>
      <w:r w:rsidR="003C7F36">
        <w:t xml:space="preserve"> </w:t>
      </w:r>
    </w:p>
    <w:p w:rsidR="00DC2846" w:rsidRPr="00DC2846" w:rsidRDefault="00DC2846" w:rsidP="00BE77C9">
      <w:pPr>
        <w:pStyle w:val="ListBullet"/>
      </w:pPr>
      <w:r w:rsidRPr="00DC2846">
        <w:t xml:space="preserve">Study CV181120 compared the 500 mg and </w:t>
      </w:r>
      <w:r w:rsidRPr="00BE77C9">
        <w:t>1000</w:t>
      </w:r>
      <w:r w:rsidRPr="00DC2846">
        <w:t xml:space="preserve"> mg US </w:t>
      </w:r>
      <w:proofErr w:type="spellStart"/>
      <w:r w:rsidR="007E23F8">
        <w:t>Glucophage</w:t>
      </w:r>
      <w:proofErr w:type="spellEnd"/>
      <w:r w:rsidRPr="00DC2846">
        <w:t xml:space="preserve"> </w:t>
      </w:r>
      <w:proofErr w:type="spellStart"/>
      <w:r w:rsidRPr="00DC2846">
        <w:t>metformin</w:t>
      </w:r>
      <w:proofErr w:type="spellEnd"/>
      <w:r w:rsidRPr="00DC2846">
        <w:t xml:space="preserve"> hydrochloride tablets used in the clinical efficacy and bioequivalence studies to the </w:t>
      </w:r>
      <w:r w:rsidRPr="00DC2846">
        <w:lastRenderedPageBreak/>
        <w:t xml:space="preserve">500 mg and 1000 mg </w:t>
      </w:r>
      <w:proofErr w:type="spellStart"/>
      <w:r w:rsidRPr="00DC2846">
        <w:t>D</w:t>
      </w:r>
      <w:r w:rsidR="00961AAD">
        <w:t>iabex</w:t>
      </w:r>
      <w:proofErr w:type="spellEnd"/>
      <w:r w:rsidRPr="00DC2846">
        <w:t xml:space="preserve"> </w:t>
      </w:r>
      <w:proofErr w:type="spellStart"/>
      <w:r w:rsidRPr="00DC2846">
        <w:t>metformin</w:t>
      </w:r>
      <w:proofErr w:type="spellEnd"/>
      <w:r w:rsidRPr="00DC2846">
        <w:t xml:space="preserve"> hydrochloride tablets marketed in Australia by </w:t>
      </w:r>
      <w:proofErr w:type="spellStart"/>
      <w:r w:rsidRPr="00DC2846">
        <w:t>Alphapharm</w:t>
      </w:r>
      <w:proofErr w:type="spellEnd"/>
      <w:r w:rsidRPr="00DC2846">
        <w:t xml:space="preserve"> Pty Ltd under fed conditions.</w:t>
      </w:r>
      <w:r w:rsidR="007E23F8">
        <w:t xml:space="preserve"> The results </w:t>
      </w:r>
      <w:r w:rsidRPr="00DC2846">
        <w:t xml:space="preserve">showed bioequivalence of both strengths. </w:t>
      </w:r>
    </w:p>
    <w:p w:rsidR="00DC2846" w:rsidRPr="00DC2846" w:rsidRDefault="00DC2846" w:rsidP="00BE77C9">
      <w:pPr>
        <w:pStyle w:val="ListBullet"/>
      </w:pPr>
      <w:r w:rsidRPr="00DC2846">
        <w:t xml:space="preserve">The above studies all used appropriately validated test methods to determine the levels of the </w:t>
      </w:r>
      <w:proofErr w:type="spellStart"/>
      <w:r w:rsidRPr="00DC2846">
        <w:t>analytes</w:t>
      </w:r>
      <w:proofErr w:type="spellEnd"/>
      <w:r w:rsidRPr="00DC2846">
        <w:t xml:space="preserve"> in plasma.</w:t>
      </w:r>
    </w:p>
    <w:p w:rsidR="00DC2846" w:rsidRPr="00DC2846" w:rsidRDefault="00DC2846" w:rsidP="00BE77C9">
      <w:pPr>
        <w:pStyle w:val="ListBullet"/>
      </w:pPr>
      <w:r w:rsidRPr="00DC2846">
        <w:t xml:space="preserve">A justification was provided for not performing a bioequivalence study comparing the proposed </w:t>
      </w:r>
      <w:r w:rsidRPr="002E4969">
        <w:rPr>
          <w:b/>
        </w:rPr>
        <w:t>2.5/850</w:t>
      </w:r>
      <w:r w:rsidRPr="00DC2846">
        <w:t xml:space="preserve"> FDC to the relevant </w:t>
      </w:r>
      <w:proofErr w:type="spellStart"/>
      <w:r w:rsidRPr="00BE77C9">
        <w:t>monotherapy</w:t>
      </w:r>
      <w:proofErr w:type="spellEnd"/>
      <w:r w:rsidRPr="00DC2846">
        <w:t xml:space="preserve"> tablets used in the clinical studies given concomitantly. The chemistry and quality aspects of this justification were acceptable with all strengths having similar dissolution profiles at pH 2, 4.5 and 6.8.</w:t>
      </w:r>
    </w:p>
    <w:p w:rsidR="00DC2846" w:rsidRPr="00DC2846" w:rsidRDefault="00DC2846" w:rsidP="00BE77C9">
      <w:pPr>
        <w:pStyle w:val="ListBullet"/>
      </w:pPr>
      <w:r w:rsidRPr="00DC2846">
        <w:t>Finally</w:t>
      </w:r>
      <w:r w:rsidR="00A9098E">
        <w:t>,</w:t>
      </w:r>
      <w:r w:rsidRPr="00DC2846">
        <w:t xml:space="preserve"> the company referred to </w:t>
      </w:r>
      <w:r w:rsidR="00906505">
        <w:t>S</w:t>
      </w:r>
      <w:r w:rsidRPr="00DC2846">
        <w:t xml:space="preserve">tudy CV181017 which was provided in the submission to register the </w:t>
      </w:r>
      <w:proofErr w:type="spellStart"/>
      <w:r w:rsidR="00906505" w:rsidRPr="00DC2846">
        <w:t>O</w:t>
      </w:r>
      <w:r w:rsidR="00906505">
        <w:t>nglyza</w:t>
      </w:r>
      <w:proofErr w:type="spellEnd"/>
      <w:r w:rsidRPr="00DC2846">
        <w:t xml:space="preserve"> 5 mg tablets. This </w:t>
      </w:r>
      <w:r w:rsidRPr="00BE77C9">
        <w:t>investigated</w:t>
      </w:r>
      <w:r w:rsidRPr="00DC2846">
        <w:t xml:space="preserve"> the pharmacokinetic interactions between </w:t>
      </w:r>
      <w:proofErr w:type="spellStart"/>
      <w:r w:rsidRPr="00DC2846">
        <w:t>saxagliptin</w:t>
      </w:r>
      <w:proofErr w:type="spellEnd"/>
      <w:r w:rsidRPr="00DC2846">
        <w:t xml:space="preserve"> and </w:t>
      </w:r>
      <w:proofErr w:type="spellStart"/>
      <w:r w:rsidRPr="00DC2846">
        <w:t>metformin</w:t>
      </w:r>
      <w:proofErr w:type="spellEnd"/>
      <w:r w:rsidRPr="00DC2846">
        <w:t xml:space="preserve"> and concluded there “is no clinically meaning drug interaction”.</w:t>
      </w:r>
      <w:r w:rsidR="003C7F36">
        <w:t xml:space="preserve"> </w:t>
      </w:r>
    </w:p>
    <w:p w:rsidR="008E7846" w:rsidRDefault="008E7846" w:rsidP="00BE77C9">
      <w:pPr>
        <w:pStyle w:val="Heading3"/>
      </w:pPr>
      <w:bookmarkStart w:id="27" w:name="_Toc314842492"/>
      <w:bookmarkStart w:id="28" w:name="_Toc371598169"/>
      <w:r>
        <w:t xml:space="preserve">Advisory committee </w:t>
      </w:r>
      <w:r w:rsidRPr="00BE77C9">
        <w:t>considerations</w:t>
      </w:r>
      <w:bookmarkEnd w:id="27"/>
      <w:bookmarkEnd w:id="28"/>
    </w:p>
    <w:p w:rsidR="002E4969" w:rsidRPr="002E4969" w:rsidRDefault="002E4969" w:rsidP="00BE77C9">
      <w:r w:rsidRPr="002E4969">
        <w:t>Given there were no biopharmaceutical issues during evaluation</w:t>
      </w:r>
      <w:r>
        <w:t>,</w:t>
      </w:r>
      <w:r w:rsidRPr="002E4969">
        <w:t xml:space="preserve"> this application was not referred to</w:t>
      </w:r>
      <w:r>
        <w:t xml:space="preserve"> the Pharmaceutical Sub </w:t>
      </w:r>
      <w:r w:rsidRPr="002E4969">
        <w:t>Committee for consideration.</w:t>
      </w:r>
      <w:r w:rsidR="003C7F36">
        <w:t xml:space="preserve"> </w:t>
      </w:r>
    </w:p>
    <w:p w:rsidR="008E7846" w:rsidRPr="008751DC" w:rsidRDefault="008E7846" w:rsidP="00BE77C9">
      <w:pPr>
        <w:pStyle w:val="Heading3"/>
      </w:pPr>
      <w:bookmarkStart w:id="29" w:name="_Toc247691509"/>
      <w:bookmarkStart w:id="30" w:name="_Toc314842493"/>
      <w:bookmarkStart w:id="31" w:name="_Toc371598170"/>
      <w:r>
        <w:t>Quality s</w:t>
      </w:r>
      <w:r w:rsidRPr="008751DC">
        <w:t>ummary</w:t>
      </w:r>
      <w:r>
        <w:t xml:space="preserve"> and </w:t>
      </w:r>
      <w:r w:rsidRPr="00BE77C9">
        <w:t>conclusions</w:t>
      </w:r>
      <w:bookmarkEnd w:id="29"/>
      <w:bookmarkEnd w:id="30"/>
      <w:bookmarkEnd w:id="31"/>
    </w:p>
    <w:p w:rsidR="002E4969" w:rsidRPr="002264AE" w:rsidRDefault="002E4969" w:rsidP="00BE77C9">
      <w:r w:rsidRPr="002264AE">
        <w:t>Registration is recommended with respect to chemistry and quality control.</w:t>
      </w:r>
    </w:p>
    <w:p w:rsidR="002E4969" w:rsidRPr="002264AE" w:rsidRDefault="002E4969" w:rsidP="00BE77C9">
      <w:r w:rsidRPr="002264AE">
        <w:t xml:space="preserve">With respect to </w:t>
      </w:r>
      <w:proofErr w:type="spellStart"/>
      <w:r w:rsidRPr="002264AE">
        <w:t>biopharmaceutics</w:t>
      </w:r>
      <w:proofErr w:type="spellEnd"/>
      <w:r w:rsidRPr="002264AE">
        <w:t xml:space="preserve">, appropriate studies were provided and the only issue </w:t>
      </w:r>
      <w:r w:rsidR="0083302D">
        <w:t>was</w:t>
      </w:r>
      <w:r w:rsidRPr="002264AE">
        <w:t xml:space="preserve"> whether the statements in the PI on the effect of food might require some amendment.</w:t>
      </w:r>
      <w:r w:rsidR="003C7F36">
        <w:t xml:space="preserve"> </w:t>
      </w:r>
    </w:p>
    <w:p w:rsidR="008E7846" w:rsidRDefault="008E7846" w:rsidP="00BE77C9">
      <w:pPr>
        <w:pStyle w:val="Heading2"/>
      </w:pPr>
      <w:bookmarkStart w:id="32" w:name="_Toc196046439"/>
      <w:bookmarkStart w:id="33" w:name="_Toc247691510"/>
      <w:bookmarkStart w:id="34" w:name="_Toc314842494"/>
      <w:bookmarkStart w:id="35" w:name="_Toc371598171"/>
      <w:r>
        <w:t>III. Nonclinical</w:t>
      </w:r>
      <w:bookmarkEnd w:id="32"/>
      <w:r>
        <w:t xml:space="preserve"> </w:t>
      </w:r>
      <w:r w:rsidRPr="00BE77C9">
        <w:t>findings</w:t>
      </w:r>
      <w:bookmarkEnd w:id="33"/>
      <w:bookmarkEnd w:id="34"/>
      <w:bookmarkEnd w:id="35"/>
    </w:p>
    <w:p w:rsidR="008E7846" w:rsidRDefault="008E7846" w:rsidP="00BE77C9">
      <w:pPr>
        <w:pStyle w:val="Heading3"/>
      </w:pPr>
      <w:bookmarkStart w:id="36" w:name="_Toc247691511"/>
      <w:bookmarkStart w:id="37" w:name="_Toc314842495"/>
      <w:bookmarkStart w:id="38" w:name="_Toc371598172"/>
      <w:r w:rsidRPr="00BE77C9">
        <w:t>Introduction</w:t>
      </w:r>
      <w:bookmarkEnd w:id="36"/>
      <w:bookmarkEnd w:id="37"/>
      <w:bookmarkEnd w:id="38"/>
    </w:p>
    <w:p w:rsidR="007B1F36" w:rsidRPr="007B1F36" w:rsidRDefault="007B1F36" w:rsidP="00BE77C9">
      <w:r w:rsidRPr="007B1F36">
        <w:t>Bristol-Myers Squibb Australia Pty Ltd has applied to r</w:t>
      </w:r>
      <w:r w:rsidR="00637114">
        <w:t xml:space="preserve">egister </w:t>
      </w:r>
      <w:proofErr w:type="spellStart"/>
      <w:r w:rsidR="00637114">
        <w:t>Kombiglyze</w:t>
      </w:r>
      <w:proofErr w:type="spellEnd"/>
      <w:r w:rsidR="00637114">
        <w:t>, a new FDC</w:t>
      </w:r>
      <w:r w:rsidRPr="007B1F36">
        <w:t xml:space="preserve"> of the anti</w:t>
      </w:r>
      <w:r w:rsidR="00910070">
        <w:t xml:space="preserve"> </w:t>
      </w:r>
      <w:r w:rsidRPr="007B1F36">
        <w:t>hyperglycaemic agents</w:t>
      </w:r>
      <w:r w:rsidR="0083302D">
        <w:t xml:space="preserve"> consisting of</w:t>
      </w:r>
      <w:r w:rsidRPr="007B1F36">
        <w:t xml:space="preserve"> </w:t>
      </w:r>
      <w:proofErr w:type="spellStart"/>
      <w:r w:rsidRPr="007B1F36">
        <w:t>saxaglipt</w:t>
      </w:r>
      <w:r w:rsidR="00B63418">
        <w:t>in</w:t>
      </w:r>
      <w:proofErr w:type="spellEnd"/>
      <w:r w:rsidR="00B63418">
        <w:t xml:space="preserve"> and </w:t>
      </w:r>
      <w:proofErr w:type="spellStart"/>
      <w:r w:rsidR="00B63418">
        <w:t>metformin</w:t>
      </w:r>
      <w:proofErr w:type="spellEnd"/>
      <w:r w:rsidR="00B63418">
        <w:t xml:space="preserve"> hydrochloride (immediate release)</w:t>
      </w:r>
      <w:r w:rsidRPr="007B1F36">
        <w:t xml:space="preserve">, for the treatment of </w:t>
      </w:r>
      <w:r w:rsidR="00B63418">
        <w:t>T2DM</w:t>
      </w:r>
      <w:r w:rsidRPr="007B1F36">
        <w:t xml:space="preserve"> in adults. </w:t>
      </w:r>
      <w:proofErr w:type="spellStart"/>
      <w:r w:rsidRPr="007B1F36">
        <w:t>Saxagliptin</w:t>
      </w:r>
      <w:proofErr w:type="spellEnd"/>
      <w:r w:rsidRPr="007B1F36">
        <w:t xml:space="preserve"> (as </w:t>
      </w:r>
      <w:proofErr w:type="spellStart"/>
      <w:r w:rsidRPr="007B1F36">
        <w:t>Onglyza</w:t>
      </w:r>
      <w:proofErr w:type="spellEnd"/>
      <w:r w:rsidRPr="007B1F36">
        <w:t xml:space="preserve">) is currently approved for use in free combination with </w:t>
      </w:r>
      <w:proofErr w:type="spellStart"/>
      <w:r w:rsidRPr="007B1F36">
        <w:t>metformin</w:t>
      </w:r>
      <w:proofErr w:type="spellEnd"/>
      <w:r w:rsidRPr="007B1F36">
        <w:t xml:space="preserve"> for a similar indication. Three strengths of tablets are proposed: 2.5/500, 2.5/850 and 2.5/1000 mg </w:t>
      </w:r>
      <w:proofErr w:type="spellStart"/>
      <w:r w:rsidRPr="007B1F36">
        <w:t>saxagliptin</w:t>
      </w:r>
      <w:proofErr w:type="spellEnd"/>
      <w:r w:rsidRPr="007B1F36">
        <w:t>/</w:t>
      </w:r>
      <w:proofErr w:type="spellStart"/>
      <w:r w:rsidRPr="007B1F36">
        <w:t>metformin</w:t>
      </w:r>
      <w:proofErr w:type="spellEnd"/>
      <w:r w:rsidRPr="007B1F36">
        <w:t xml:space="preserve"> hydrochloride, with one tablet to be taken twice daily. The maximum daily doses of </w:t>
      </w:r>
      <w:proofErr w:type="spellStart"/>
      <w:r w:rsidRPr="007B1F36">
        <w:t>saxagliptin</w:t>
      </w:r>
      <w:proofErr w:type="spellEnd"/>
      <w:r w:rsidRPr="007B1F36">
        <w:t xml:space="preserve"> (5 mg) and </w:t>
      </w:r>
      <w:proofErr w:type="spellStart"/>
      <w:r w:rsidRPr="007B1F36">
        <w:t>metformin</w:t>
      </w:r>
      <w:proofErr w:type="spellEnd"/>
      <w:r w:rsidRPr="007B1F36">
        <w:t xml:space="preserve"> hydrochloride (2000 mg) provided by </w:t>
      </w:r>
      <w:proofErr w:type="spellStart"/>
      <w:r w:rsidRPr="007B1F36">
        <w:t>Kombiglyze</w:t>
      </w:r>
      <w:proofErr w:type="spellEnd"/>
      <w:r w:rsidRPr="007B1F36">
        <w:t xml:space="preserve"> are currently approved for the individual components. While </w:t>
      </w:r>
      <w:proofErr w:type="spellStart"/>
      <w:r w:rsidRPr="007B1F36">
        <w:t>metformin</w:t>
      </w:r>
      <w:proofErr w:type="spellEnd"/>
      <w:r w:rsidRPr="007B1F36">
        <w:t xml:space="preserve"> hydrochloride is currently registered for twice daily dosing, </w:t>
      </w:r>
      <w:proofErr w:type="spellStart"/>
      <w:r w:rsidRPr="007B1F36">
        <w:t>saxagliptin</w:t>
      </w:r>
      <w:proofErr w:type="spellEnd"/>
      <w:r w:rsidRPr="007B1F36">
        <w:t xml:space="preserve"> is only registered as a once daily treatment. This </w:t>
      </w:r>
      <w:r w:rsidR="00EE3046">
        <w:t>is unlikely to alter the toxicology</w:t>
      </w:r>
      <w:r w:rsidRPr="007B1F36">
        <w:t xml:space="preserve"> assessment of </w:t>
      </w:r>
      <w:proofErr w:type="spellStart"/>
      <w:r w:rsidRPr="007B1F36">
        <w:t>saxagliptin</w:t>
      </w:r>
      <w:proofErr w:type="spellEnd"/>
      <w:r w:rsidRPr="007B1F36">
        <w:t xml:space="preserve"> made previously (see </w:t>
      </w:r>
      <w:r w:rsidRPr="007B1F36">
        <w:rPr>
          <w:i/>
        </w:rPr>
        <w:t>Toxicology</w:t>
      </w:r>
      <w:r w:rsidR="001C7D99">
        <w:t xml:space="preserve">, </w:t>
      </w:r>
      <w:r w:rsidRPr="007B1F36">
        <w:t>below).</w:t>
      </w:r>
    </w:p>
    <w:p w:rsidR="007B1F36" w:rsidRPr="007B1F36" w:rsidRDefault="00EE3046" w:rsidP="00BE77C9">
      <w:r>
        <w:t>The nonclinical submission</w:t>
      </w:r>
      <w:r w:rsidR="007B1F36" w:rsidRPr="007B1F36">
        <w:t xml:space="preserve"> contained studies investigating the single</w:t>
      </w:r>
      <w:r w:rsidR="00C3447B">
        <w:t xml:space="preserve"> </w:t>
      </w:r>
      <w:r w:rsidR="007B1F36" w:rsidRPr="007B1F36">
        <w:t>dose toxicity, repeat</w:t>
      </w:r>
      <w:r w:rsidR="00C3447B">
        <w:t xml:space="preserve"> </w:t>
      </w:r>
      <w:r w:rsidR="007B1F36" w:rsidRPr="007B1F36">
        <w:t xml:space="preserve">dose toxicity and </w:t>
      </w:r>
      <w:proofErr w:type="spellStart"/>
      <w:r w:rsidR="007B1F36" w:rsidRPr="007B1F36">
        <w:t>embryof</w:t>
      </w:r>
      <w:r w:rsidR="00F3759D">
        <w:t>o</w:t>
      </w:r>
      <w:r w:rsidR="007B1F36" w:rsidRPr="007B1F36">
        <w:t>etal</w:t>
      </w:r>
      <w:proofErr w:type="spellEnd"/>
      <w:r w:rsidR="007B1F36" w:rsidRPr="007B1F36">
        <w:t xml:space="preserve"> toxicity of the combination</w:t>
      </w:r>
      <w:r w:rsidR="0083302D">
        <w:t>. A</w:t>
      </w:r>
      <w:r w:rsidR="007B1F36" w:rsidRPr="007B1F36">
        <w:t xml:space="preserve">ll studies included supportive </w:t>
      </w:r>
      <w:proofErr w:type="spellStart"/>
      <w:r w:rsidR="007B1F36" w:rsidRPr="007B1F36">
        <w:t>toxicokinetic</w:t>
      </w:r>
      <w:proofErr w:type="spellEnd"/>
      <w:r w:rsidR="007B1F36" w:rsidRPr="007B1F36">
        <w:t xml:space="preserve"> data. The pivotal repeat</w:t>
      </w:r>
      <w:r w:rsidR="00C3447B">
        <w:t xml:space="preserve"> </w:t>
      </w:r>
      <w:r w:rsidR="007B1F36" w:rsidRPr="007B1F36">
        <w:t>dose toxicity and reproductive toxicity studies were conducted under</w:t>
      </w:r>
      <w:r w:rsidR="00103A5D">
        <w:t xml:space="preserve"> Good Laboratory Practice (</w:t>
      </w:r>
      <w:r w:rsidR="007B1F36" w:rsidRPr="007B1F36">
        <w:t>GLP</w:t>
      </w:r>
      <w:r w:rsidR="00103A5D">
        <w:t>)</w:t>
      </w:r>
      <w:r w:rsidR="007B1F36" w:rsidRPr="007B1F36">
        <w:t xml:space="preserve"> conditions.</w:t>
      </w:r>
    </w:p>
    <w:p w:rsidR="008E7846" w:rsidRDefault="008E7846" w:rsidP="00BE77C9">
      <w:pPr>
        <w:pStyle w:val="Heading3"/>
      </w:pPr>
      <w:bookmarkStart w:id="39" w:name="_Toc247691512"/>
      <w:bookmarkStart w:id="40" w:name="_Toc314842496"/>
      <w:bookmarkStart w:id="41" w:name="_Toc371598173"/>
      <w:r w:rsidRPr="00BE77C9">
        <w:t>Pharmacology</w:t>
      </w:r>
      <w:bookmarkEnd w:id="39"/>
      <w:bookmarkEnd w:id="40"/>
      <w:bookmarkEnd w:id="41"/>
    </w:p>
    <w:p w:rsidR="00DE0DC9" w:rsidRPr="00DE0DC9" w:rsidRDefault="00DE0DC9" w:rsidP="00BE77C9">
      <w:r w:rsidRPr="00DE0DC9">
        <w:t xml:space="preserve">No nonclinical efficacy studies with the proposed combination </w:t>
      </w:r>
      <w:r w:rsidR="0083302D">
        <w:t>had</w:t>
      </w:r>
      <w:r w:rsidR="0083302D" w:rsidRPr="00DE0DC9">
        <w:t xml:space="preserve"> </w:t>
      </w:r>
      <w:r w:rsidRPr="00DE0DC9">
        <w:t>been conducted.</w:t>
      </w:r>
    </w:p>
    <w:p w:rsidR="008E7846" w:rsidRDefault="008E7846" w:rsidP="00BE77C9">
      <w:pPr>
        <w:pStyle w:val="Heading3"/>
      </w:pPr>
      <w:bookmarkStart w:id="42" w:name="_Toc247691513"/>
      <w:bookmarkStart w:id="43" w:name="_Toc314842497"/>
      <w:bookmarkStart w:id="44" w:name="_Toc371598174"/>
      <w:r w:rsidRPr="00BE77C9">
        <w:lastRenderedPageBreak/>
        <w:t>Pharmacokinetics</w:t>
      </w:r>
      <w:bookmarkEnd w:id="42"/>
      <w:bookmarkEnd w:id="43"/>
      <w:bookmarkEnd w:id="44"/>
    </w:p>
    <w:p w:rsidR="008E7846" w:rsidRPr="005A6F7F" w:rsidRDefault="00DE0DC9" w:rsidP="00BE77C9">
      <w:r w:rsidRPr="00735A80">
        <w:t xml:space="preserve">No </w:t>
      </w:r>
      <w:r>
        <w:t xml:space="preserve">obvious </w:t>
      </w:r>
      <w:r w:rsidRPr="00735A80">
        <w:t xml:space="preserve">pharmacokinetic interaction between </w:t>
      </w:r>
      <w:proofErr w:type="spellStart"/>
      <w:r w:rsidRPr="00735A80">
        <w:t>saxagliptin</w:t>
      </w:r>
      <w:proofErr w:type="spellEnd"/>
      <w:r w:rsidRPr="00735A80">
        <w:t xml:space="preserve"> and </w:t>
      </w:r>
      <w:proofErr w:type="spellStart"/>
      <w:r w:rsidRPr="00735A80">
        <w:t>metformin</w:t>
      </w:r>
      <w:proofErr w:type="spellEnd"/>
      <w:r w:rsidRPr="00735A80">
        <w:t xml:space="preserve"> was apparent</w:t>
      </w:r>
      <w:r w:rsidR="0083302D">
        <w:t xml:space="preserve"> in studies</w:t>
      </w:r>
      <w:r w:rsidRPr="00735A80">
        <w:t xml:space="preserve"> in dogs or pregnant rabbits. In pregnant rats, the plasma AUC for </w:t>
      </w:r>
      <w:proofErr w:type="spellStart"/>
      <w:r w:rsidRPr="00735A80">
        <w:t>saxagliptin’s</w:t>
      </w:r>
      <w:proofErr w:type="spellEnd"/>
      <w:r w:rsidRPr="00735A80">
        <w:t xml:space="preserve"> active metabolite (BMS</w:t>
      </w:r>
      <w:r w:rsidRPr="00735A80">
        <w:noBreakHyphen/>
        <w:t>510849</w:t>
      </w:r>
      <w:r>
        <w:t xml:space="preserve"> [=</w:t>
      </w:r>
      <w:r w:rsidRPr="00DE5E08">
        <w:rPr>
          <w:w w:val="50"/>
        </w:rPr>
        <w:t> </w:t>
      </w:r>
      <w:r>
        <w:t xml:space="preserve">5-hydroxy </w:t>
      </w:r>
      <w:proofErr w:type="spellStart"/>
      <w:r>
        <w:t>saxagliptin</w:t>
      </w:r>
      <w:proofErr w:type="spellEnd"/>
      <w:r>
        <w:t>]</w:t>
      </w:r>
      <w:r w:rsidRPr="00735A80">
        <w:t xml:space="preserve">; </w:t>
      </w:r>
      <w:r w:rsidR="00E26B61">
        <w:t xml:space="preserve">was </w:t>
      </w:r>
      <w:r w:rsidR="00901909">
        <w:t xml:space="preserve">approximately </w:t>
      </w:r>
      <w:r w:rsidRPr="00735A80">
        <w:t>2</w:t>
      </w:r>
      <w:r w:rsidR="009270FF">
        <w:t xml:space="preserve"> </w:t>
      </w:r>
      <w:r w:rsidRPr="00735A80">
        <w:t>fold less potent than its parent)</w:t>
      </w:r>
      <w:r w:rsidR="00E26B61">
        <w:t xml:space="preserve">and </w:t>
      </w:r>
      <w:r w:rsidRPr="00735A80">
        <w:t>was increased by ~50% with co</w:t>
      </w:r>
      <w:r w:rsidR="00493778">
        <w:t xml:space="preserve"> </w:t>
      </w:r>
      <w:r w:rsidRPr="00735A80">
        <w:t xml:space="preserve">administration of </w:t>
      </w:r>
      <w:proofErr w:type="spellStart"/>
      <w:r w:rsidRPr="00735A80">
        <w:t>metformin</w:t>
      </w:r>
      <w:proofErr w:type="spellEnd"/>
      <w:r w:rsidR="00E26B61">
        <w:t>. The</w:t>
      </w:r>
      <w:r w:rsidRPr="00735A80">
        <w:t xml:space="preserve"> peak plasma levels for </w:t>
      </w:r>
      <w:proofErr w:type="spellStart"/>
      <w:r w:rsidRPr="00735A80">
        <w:t>saxagliptin</w:t>
      </w:r>
      <w:proofErr w:type="spellEnd"/>
      <w:r w:rsidRPr="00735A80">
        <w:t xml:space="preserve"> and BMS</w:t>
      </w:r>
      <w:r w:rsidRPr="00735A80">
        <w:noBreakHyphen/>
        <w:t>510849 were reduced (by 70 and 46%, respectively)</w:t>
      </w:r>
      <w:r w:rsidR="00E26B61">
        <w:t xml:space="preserve">. </w:t>
      </w:r>
      <w:proofErr w:type="spellStart"/>
      <w:r w:rsidR="00E26B61">
        <w:t>M</w:t>
      </w:r>
      <w:r w:rsidRPr="00735A80">
        <w:t>etformin</w:t>
      </w:r>
      <w:proofErr w:type="spellEnd"/>
      <w:r w:rsidRPr="00735A80">
        <w:t xml:space="preserve"> kinetics were unaffected and the </w:t>
      </w:r>
      <w:proofErr w:type="spellStart"/>
      <w:r w:rsidRPr="00735A80">
        <w:t>saxagliptin</w:t>
      </w:r>
      <w:proofErr w:type="spellEnd"/>
      <w:r w:rsidRPr="00735A80">
        <w:t xml:space="preserve"> AUC was not significantly altered in the </w:t>
      </w:r>
      <w:r w:rsidR="00E26B61">
        <w:t xml:space="preserve">above </w:t>
      </w:r>
      <w:r w:rsidRPr="00735A80">
        <w:t xml:space="preserve">species. For humans, the current approved </w:t>
      </w:r>
      <w:r w:rsidR="00F3759D">
        <w:t xml:space="preserve">PI document for </w:t>
      </w:r>
      <w:proofErr w:type="spellStart"/>
      <w:r w:rsidR="00F3759D">
        <w:t>Onglyza</w:t>
      </w:r>
      <w:proofErr w:type="spellEnd"/>
      <w:r w:rsidR="00F3759D">
        <w:t xml:space="preserve"> states that co </w:t>
      </w:r>
      <w:r w:rsidRPr="00735A80">
        <w:t xml:space="preserve">administration of a single dose of </w:t>
      </w:r>
      <w:proofErr w:type="spellStart"/>
      <w:r w:rsidRPr="00735A80">
        <w:t>saxagliptin</w:t>
      </w:r>
      <w:proofErr w:type="spellEnd"/>
      <w:r w:rsidRPr="00735A80">
        <w:t xml:space="preserve"> (100 mg) and </w:t>
      </w:r>
      <w:proofErr w:type="spellStart"/>
      <w:r w:rsidRPr="00735A80">
        <w:t>metformin</w:t>
      </w:r>
      <w:proofErr w:type="spellEnd"/>
      <w:r w:rsidRPr="00735A80">
        <w:t xml:space="preserve"> (1000 mg) did not alter the pharmacokinetics of </w:t>
      </w:r>
      <w:proofErr w:type="spellStart"/>
      <w:r w:rsidRPr="00735A80">
        <w:t>metformin</w:t>
      </w:r>
      <w:proofErr w:type="spellEnd"/>
      <w:r w:rsidRPr="00735A80">
        <w:t xml:space="preserve"> or the AUC for </w:t>
      </w:r>
      <w:proofErr w:type="spellStart"/>
      <w:r w:rsidRPr="00735A80">
        <w:t>saxagliptin</w:t>
      </w:r>
      <w:proofErr w:type="spellEnd"/>
      <w:r w:rsidRPr="00735A80">
        <w:t xml:space="preserve"> but did reduce the </w:t>
      </w:r>
      <w:proofErr w:type="spellStart"/>
      <w:r w:rsidRPr="00735A80">
        <w:t>saxagliptin</w:t>
      </w:r>
      <w:proofErr w:type="spellEnd"/>
      <w:r w:rsidRPr="00735A80">
        <w:t xml:space="preserve"> </w:t>
      </w:r>
      <w:proofErr w:type="spellStart"/>
      <w:r w:rsidRPr="00735A80">
        <w:t>C</w:t>
      </w:r>
      <w:r w:rsidRPr="00735A80">
        <w:rPr>
          <w:vertAlign w:val="subscript"/>
        </w:rPr>
        <w:t>max</w:t>
      </w:r>
      <w:proofErr w:type="spellEnd"/>
      <w:r w:rsidRPr="00735A80">
        <w:t xml:space="preserve"> (</w:t>
      </w:r>
      <w:r w:rsidR="00910070">
        <w:t>peak</w:t>
      </w:r>
      <w:r w:rsidR="00910070" w:rsidRPr="00910070">
        <w:t xml:space="preserve"> plasma drug concentration</w:t>
      </w:r>
      <w:r w:rsidR="009270FF">
        <w:t>)</w:t>
      </w:r>
      <w:r w:rsidR="00910070">
        <w:t xml:space="preserve"> </w:t>
      </w:r>
      <w:r w:rsidR="009270FF">
        <w:t>by 21%</w:t>
      </w:r>
      <w:r w:rsidRPr="00735A80">
        <w:t xml:space="preserve">. The Summary of Clinical Pharmacology contained in the original </w:t>
      </w:r>
      <w:proofErr w:type="spellStart"/>
      <w:r w:rsidRPr="00735A80">
        <w:t>saxaglip</w:t>
      </w:r>
      <w:r>
        <w:t>tin</w:t>
      </w:r>
      <w:proofErr w:type="spellEnd"/>
      <w:r>
        <w:t xml:space="preserve"> application</w:t>
      </w:r>
      <w:r w:rsidRPr="00735A80">
        <w:t xml:space="preserve"> additionally notes that the pharmacokinetics of BMS</w:t>
      </w:r>
      <w:r w:rsidRPr="00735A80">
        <w:noBreakHyphen/>
        <w:t>510849 were unaltered with co</w:t>
      </w:r>
      <w:r w:rsidR="000E0649">
        <w:t xml:space="preserve"> </w:t>
      </w:r>
      <w:r w:rsidRPr="00735A80">
        <w:t xml:space="preserve">administration of </w:t>
      </w:r>
      <w:proofErr w:type="spellStart"/>
      <w:r w:rsidRPr="00735A80">
        <w:t>metformin</w:t>
      </w:r>
      <w:proofErr w:type="spellEnd"/>
      <w:r>
        <w:t>.</w:t>
      </w:r>
    </w:p>
    <w:p w:rsidR="008E7846" w:rsidRDefault="008E7846" w:rsidP="00BE77C9">
      <w:pPr>
        <w:pStyle w:val="Heading3"/>
      </w:pPr>
      <w:bookmarkStart w:id="45" w:name="_Toc247691514"/>
      <w:bookmarkStart w:id="46" w:name="_Toc314842498"/>
      <w:bookmarkStart w:id="47" w:name="_Toc371598175"/>
      <w:r w:rsidRPr="00BE77C9">
        <w:t>Toxicology</w:t>
      </w:r>
      <w:bookmarkEnd w:id="45"/>
      <w:bookmarkEnd w:id="46"/>
      <w:bookmarkEnd w:id="47"/>
    </w:p>
    <w:p w:rsidR="00DE0DC9" w:rsidRPr="00DE0DC9" w:rsidRDefault="00DE0DC9" w:rsidP="00BE77C9">
      <w:pPr>
        <w:pStyle w:val="Heading4"/>
      </w:pPr>
      <w:bookmarkStart w:id="48" w:name="_Toc294861727"/>
      <w:r w:rsidRPr="00DE0DC9">
        <w:t xml:space="preserve">Acute </w:t>
      </w:r>
      <w:r w:rsidRPr="00BE77C9">
        <w:t>toxicity</w:t>
      </w:r>
      <w:bookmarkEnd w:id="48"/>
    </w:p>
    <w:p w:rsidR="00DE0DC9" w:rsidRPr="00DE0DC9" w:rsidRDefault="00DE0DC9" w:rsidP="00BE77C9">
      <w:r w:rsidRPr="00DE0DC9">
        <w:t>A single</w:t>
      </w:r>
      <w:r w:rsidR="009270FF">
        <w:t xml:space="preserve"> </w:t>
      </w:r>
      <w:r w:rsidRPr="00DE0DC9">
        <w:t>dose oral toxicity study in dogs rev</w:t>
      </w:r>
      <w:r w:rsidR="009270FF">
        <w:t>ealed gastrointestinal effects</w:t>
      </w:r>
      <w:r w:rsidR="00E26B61">
        <w:t xml:space="preserve"> manifested by</w:t>
      </w:r>
      <w:r w:rsidRPr="00DE0DC9">
        <w:t xml:space="preserve"> unformed faeces containing mucous and/or blood at higher doses with </w:t>
      </w:r>
      <w:proofErr w:type="spellStart"/>
      <w:r w:rsidRPr="00DE0DC9">
        <w:t>saxagliptin</w:t>
      </w:r>
      <w:proofErr w:type="spellEnd"/>
      <w:r w:rsidRPr="00DE0DC9">
        <w:t xml:space="preserve"> and </w:t>
      </w:r>
      <w:proofErr w:type="spellStart"/>
      <w:r w:rsidRPr="00DE0DC9">
        <w:t>metformin</w:t>
      </w:r>
      <w:proofErr w:type="spellEnd"/>
      <w:r w:rsidRPr="00DE0DC9">
        <w:t xml:space="preserve"> alone or in combination (</w:t>
      </w:r>
      <w:r w:rsidR="009270FF">
        <w:t>≥</w:t>
      </w:r>
      <w:r w:rsidRPr="00DE0DC9">
        <w:t xml:space="preserve">5 mg/kg </w:t>
      </w:r>
      <w:proofErr w:type="spellStart"/>
      <w:r w:rsidRPr="00DE0DC9">
        <w:t>saxagliptin</w:t>
      </w:r>
      <w:proofErr w:type="spellEnd"/>
      <w:r w:rsidRPr="00DE0DC9">
        <w:t xml:space="preserve">; ≥10 mg/kg </w:t>
      </w:r>
      <w:proofErr w:type="spellStart"/>
      <w:r w:rsidRPr="00DE0DC9">
        <w:t>metformin</w:t>
      </w:r>
      <w:proofErr w:type="spellEnd"/>
      <w:r w:rsidRPr="00DE0DC9">
        <w:t xml:space="preserve">). Such faecal effects have been reported previously for each agent, and </w:t>
      </w:r>
      <w:r w:rsidR="00E26B61">
        <w:t xml:space="preserve">the effect </w:t>
      </w:r>
      <w:r w:rsidRPr="00DE0DC9">
        <w:t>did not appear to be exacerbated with the combination. No deaths occurred. The study was not conducted according to GLP (but was adequately documented  and conducted in an established laboratory), employed a post</w:t>
      </w:r>
      <w:r w:rsidR="0002027B">
        <w:t xml:space="preserve"> </w:t>
      </w:r>
      <w:r w:rsidRPr="00DE0DC9">
        <w:t>dose observation period far sho</w:t>
      </w:r>
      <w:r w:rsidR="003E10A3">
        <w:t xml:space="preserve">rter than recommended (24 h compared with </w:t>
      </w:r>
      <w:r w:rsidRPr="00DE0DC9">
        <w:t>14 days in the relevant guideline [3BS1a]) and</w:t>
      </w:r>
      <w:r w:rsidR="00E26B61">
        <w:t xml:space="preserve"> the</w:t>
      </w:r>
      <w:r w:rsidRPr="00DE0DC9">
        <w:t xml:space="preserve"> animals were not subjected to necropsy (recommended for all animals). These deficiencies are compensated for by the pivotal repeat</w:t>
      </w:r>
      <w:r w:rsidR="003E10A3">
        <w:t xml:space="preserve"> </w:t>
      </w:r>
      <w:r w:rsidRPr="00DE0DC9">
        <w:t xml:space="preserve">dose </w:t>
      </w:r>
      <w:r w:rsidR="003E10A3">
        <w:t>toxicity study</w:t>
      </w:r>
      <w:r w:rsidRPr="00DE0DC9">
        <w:t>.</w:t>
      </w:r>
    </w:p>
    <w:p w:rsidR="00DE0DC9" w:rsidRPr="00DE0DC9" w:rsidRDefault="00DE0DC9" w:rsidP="00BE77C9">
      <w:pPr>
        <w:pStyle w:val="Heading5"/>
      </w:pPr>
      <w:bookmarkStart w:id="49" w:name="_Toc294861728"/>
      <w:r w:rsidRPr="00DE0DC9">
        <w:t xml:space="preserve">Repeat-dose </w:t>
      </w:r>
      <w:r w:rsidRPr="00BE77C9">
        <w:t>toxicity</w:t>
      </w:r>
      <w:bookmarkEnd w:id="49"/>
    </w:p>
    <w:p w:rsidR="00DE0DC9" w:rsidRPr="0057345A" w:rsidRDefault="00DE0DC9" w:rsidP="00BE77C9">
      <w:r w:rsidRPr="00DE0DC9">
        <w:t>A 3</w:t>
      </w:r>
      <w:r w:rsidR="003E10A3">
        <w:t xml:space="preserve"> </w:t>
      </w:r>
      <w:r w:rsidRPr="00DE0DC9">
        <w:t>month repeat</w:t>
      </w:r>
      <w:r w:rsidR="003E10A3">
        <w:t xml:space="preserve"> </w:t>
      </w:r>
      <w:r w:rsidRPr="00DE0DC9">
        <w:t>dose study with the combina</w:t>
      </w:r>
      <w:r w:rsidR="00982AEE">
        <w:t>tion was conducted in dogs</w:t>
      </w:r>
      <w:r w:rsidR="00964C5C">
        <w:t>. A</w:t>
      </w:r>
      <w:r w:rsidR="00982AEE">
        <w:t xml:space="preserve"> 2 </w:t>
      </w:r>
      <w:r w:rsidRPr="00DE0DC9">
        <w:t>week pilot study (non</w:t>
      </w:r>
      <w:r w:rsidR="003E10A3">
        <w:t xml:space="preserve"> </w:t>
      </w:r>
      <w:r w:rsidRPr="00DE0DC9">
        <w:t xml:space="preserve">GLP and with no necropsy) was also conducted in the species. The duration of the pivotal study and the use of a single species </w:t>
      </w:r>
      <w:r w:rsidR="009E6000">
        <w:t>are</w:t>
      </w:r>
      <w:r w:rsidR="009E6000" w:rsidRPr="00DE0DC9">
        <w:t xml:space="preserve"> </w:t>
      </w:r>
      <w:r w:rsidRPr="00DE0DC9">
        <w:t xml:space="preserve">consistent with the </w:t>
      </w:r>
      <w:r w:rsidR="008A4D58">
        <w:t xml:space="preserve">relevant </w:t>
      </w:r>
      <w:r w:rsidRPr="00DE0DC9">
        <w:t xml:space="preserve">EU </w:t>
      </w:r>
      <w:r w:rsidR="008A4D58">
        <w:t>g</w:t>
      </w:r>
      <w:r w:rsidRPr="00DE0DC9">
        <w:t>uideline</w:t>
      </w:r>
      <w:r w:rsidR="008A4D58">
        <w:t>.</w:t>
      </w:r>
      <w:r w:rsidR="0002027B">
        <w:rPr>
          <w:rStyle w:val="FootnoteReference"/>
        </w:rPr>
        <w:footnoteReference w:id="2"/>
      </w:r>
      <w:r w:rsidRPr="00DE0DC9">
        <w:t xml:space="preserve"> The dog is considered to be an acceptable species based on pharmacokinetic considerations and it </w:t>
      </w:r>
      <w:r w:rsidR="009E6000">
        <w:t xml:space="preserve">had </w:t>
      </w:r>
      <w:r w:rsidR="004653A8">
        <w:t xml:space="preserve">been used for the pivotal non </w:t>
      </w:r>
      <w:r w:rsidRPr="00DE0DC9">
        <w:t>rodent repeat</w:t>
      </w:r>
      <w:r w:rsidR="005E7BCB">
        <w:t xml:space="preserve"> </w:t>
      </w:r>
      <w:r w:rsidRPr="00DE0DC9">
        <w:t xml:space="preserve">dose toxicity study for </w:t>
      </w:r>
      <w:proofErr w:type="spellStart"/>
      <w:r w:rsidRPr="00DE0DC9">
        <w:t>saxagliptin</w:t>
      </w:r>
      <w:proofErr w:type="spellEnd"/>
      <w:r w:rsidRPr="00DE0DC9">
        <w:t xml:space="preserve"> conducted previous</w:t>
      </w:r>
      <w:r w:rsidR="00E01119">
        <w:t>ly. While the route (oral administration [PO]</w:t>
      </w:r>
      <w:r w:rsidRPr="00DE0DC9">
        <w:t>) was used the proposed clinical dosing regimen (twice daily) was not</w:t>
      </w:r>
      <w:r w:rsidR="009E6000">
        <w:t>. The</w:t>
      </w:r>
      <w:r w:rsidRPr="00DE0DC9">
        <w:t xml:space="preserve"> animals </w:t>
      </w:r>
      <w:r w:rsidR="009E6000" w:rsidRPr="00DE0DC9">
        <w:t>w</w:t>
      </w:r>
      <w:r w:rsidR="009E6000">
        <w:t>ere dosed</w:t>
      </w:r>
      <w:r w:rsidR="009E6000" w:rsidRPr="00DE0DC9">
        <w:t xml:space="preserve"> </w:t>
      </w:r>
      <w:r w:rsidRPr="00DE0DC9">
        <w:t>once daily instead. This is not expected to alter the interpretation of the results as the clinic</w:t>
      </w:r>
      <w:r w:rsidR="00D92CD2">
        <w:t xml:space="preserve">al dosing regimen of 2.5 mg twice daily (BID) </w:t>
      </w:r>
      <w:proofErr w:type="spellStart"/>
      <w:r w:rsidRPr="00DE0DC9">
        <w:t>saxagliptin</w:t>
      </w:r>
      <w:proofErr w:type="spellEnd"/>
      <w:r w:rsidRPr="00DE0DC9">
        <w:t xml:space="preserve"> was reported to be bioequivalent to 5 mg/day in terms of plasma AUC (</w:t>
      </w:r>
      <w:r w:rsidR="005E7BCB">
        <w:t>Study CV181152</w:t>
      </w:r>
      <w:r w:rsidRPr="00DE0DC9">
        <w:t xml:space="preserve">), and once daily animal dosing with </w:t>
      </w:r>
      <w:proofErr w:type="spellStart"/>
      <w:r w:rsidRPr="00DE0DC9">
        <w:t>metformin</w:t>
      </w:r>
      <w:proofErr w:type="spellEnd"/>
      <w:r w:rsidRPr="00DE0DC9">
        <w:t xml:space="preserve"> has been used to support twice daily clinical dosing. The </w:t>
      </w:r>
      <w:proofErr w:type="spellStart"/>
      <w:r w:rsidRPr="00DE0DC9">
        <w:t>saxaglip</w:t>
      </w:r>
      <w:r w:rsidRPr="0057345A">
        <w:t>tin</w:t>
      </w:r>
      <w:proofErr w:type="spellEnd"/>
      <w:r w:rsidRPr="0057345A">
        <w:t>/</w:t>
      </w:r>
      <w:proofErr w:type="spellStart"/>
      <w:r w:rsidRPr="0057345A">
        <w:t>metformin</w:t>
      </w:r>
      <w:proofErr w:type="spellEnd"/>
      <w:r w:rsidRPr="0057345A">
        <w:t xml:space="preserve"> dose ratios</w:t>
      </w:r>
      <w:r w:rsidR="00377E6C" w:rsidRPr="0057345A">
        <w:t xml:space="preserve"> used in the studies</w:t>
      </w:r>
      <w:r w:rsidR="009E6000" w:rsidRPr="0057345A">
        <w:t xml:space="preserve"> in dogs</w:t>
      </w:r>
      <w:r w:rsidR="00377E6C" w:rsidRPr="0057345A">
        <w:t xml:space="preserve"> (1:4-</w:t>
      </w:r>
      <w:r w:rsidRPr="0057345A">
        <w:t>1:20) differ markedly from those propo</w:t>
      </w:r>
      <w:r w:rsidR="00897BCF" w:rsidRPr="0057345A">
        <w:t>sed clinically (1:200-</w:t>
      </w:r>
      <w:r w:rsidR="005E7BCB" w:rsidRPr="0057345A">
        <w:t>1:400)</w:t>
      </w:r>
      <w:r w:rsidRPr="0057345A">
        <w:t>.</w:t>
      </w:r>
      <w:r w:rsidR="005E7BCB" w:rsidRPr="0057345A">
        <w:rPr>
          <w:rStyle w:val="FootnoteReference"/>
        </w:rPr>
        <w:footnoteReference w:id="3"/>
      </w:r>
      <w:r w:rsidRPr="0057345A">
        <w:t xml:space="preserve"> Given the dominant contribution of </w:t>
      </w:r>
      <w:proofErr w:type="spellStart"/>
      <w:r w:rsidRPr="0057345A">
        <w:t>metformin</w:t>
      </w:r>
      <w:proofErr w:type="spellEnd"/>
      <w:r w:rsidRPr="0057345A">
        <w:t xml:space="preserve"> to toxicity, and to more closely match the </w:t>
      </w:r>
      <w:proofErr w:type="spellStart"/>
      <w:r w:rsidRPr="0057345A">
        <w:t>saxagliptin:metformin</w:t>
      </w:r>
      <w:proofErr w:type="spellEnd"/>
      <w:r w:rsidRPr="0057345A">
        <w:t xml:space="preserve"> exposure ratio in humans, some such deviation is warranted, although probably not to such a great extent. Parallel </w:t>
      </w:r>
      <w:r w:rsidR="00C81CBB" w:rsidRPr="0057345A">
        <w:t xml:space="preserve">groups receiving only a </w:t>
      </w:r>
      <w:r w:rsidRPr="0057345A">
        <w:t>single</w:t>
      </w:r>
      <w:r w:rsidR="00897BCF" w:rsidRPr="0057345A">
        <w:t xml:space="preserve"> </w:t>
      </w:r>
      <w:r w:rsidRPr="0057345A">
        <w:t>agent were included in the studies.</w:t>
      </w:r>
    </w:p>
    <w:p w:rsidR="00DE0DC9" w:rsidRPr="00DE0DC9" w:rsidRDefault="00DE0DC9" w:rsidP="00BE77C9">
      <w:pPr>
        <w:pStyle w:val="Heading5"/>
      </w:pPr>
      <w:r w:rsidRPr="0057345A">
        <w:lastRenderedPageBreak/>
        <w:t xml:space="preserve">Relative </w:t>
      </w:r>
      <w:r w:rsidRPr="00BE77C9">
        <w:t>exposure</w:t>
      </w:r>
    </w:p>
    <w:p w:rsidR="00DE0DC9" w:rsidRDefault="00DE0DC9" w:rsidP="00BE77C9">
      <w:r w:rsidRPr="00DE0DC9">
        <w:t xml:space="preserve">Exposure ratios for </w:t>
      </w:r>
      <w:proofErr w:type="spellStart"/>
      <w:r w:rsidRPr="00DE0DC9">
        <w:t>saxagliptin</w:t>
      </w:r>
      <w:proofErr w:type="spellEnd"/>
      <w:r w:rsidRPr="00DE0DC9">
        <w:t xml:space="preserve">, its active metabolite and </w:t>
      </w:r>
      <w:proofErr w:type="spellStart"/>
      <w:r w:rsidRPr="00DE0DC9">
        <w:t>metformin</w:t>
      </w:r>
      <w:proofErr w:type="spellEnd"/>
      <w:r w:rsidRPr="00DE0DC9">
        <w:t xml:space="preserve"> (calculated as animal:</w:t>
      </w:r>
      <w:r w:rsidR="00BA34B1">
        <w:t xml:space="preserve"> </w:t>
      </w:r>
      <w:r w:rsidRPr="00DE0DC9">
        <w:t>human plasma</w:t>
      </w:r>
      <w:r w:rsidR="002735CF">
        <w:t xml:space="preserve"> AUC) achieved in the pivotal 3 </w:t>
      </w:r>
      <w:r w:rsidRPr="00DE0DC9">
        <w:t xml:space="preserve">month study </w:t>
      </w:r>
      <w:r w:rsidR="00E1111C">
        <w:t>are shown in Table 2</w:t>
      </w:r>
      <w:r w:rsidRPr="00DE0DC9">
        <w:t xml:space="preserve">. No human AUC values following twice daily dosing with 2.5/1000 mg </w:t>
      </w:r>
      <w:proofErr w:type="spellStart"/>
      <w:r w:rsidRPr="00DE0DC9">
        <w:t>saxagliptin</w:t>
      </w:r>
      <w:proofErr w:type="spellEnd"/>
      <w:r w:rsidRPr="00DE0DC9">
        <w:t>/</w:t>
      </w:r>
      <w:proofErr w:type="spellStart"/>
      <w:r w:rsidRPr="00DE0DC9">
        <w:t>metformin</w:t>
      </w:r>
      <w:proofErr w:type="spellEnd"/>
      <w:r w:rsidRPr="00DE0DC9">
        <w:t xml:space="preserve"> hydrochloride </w:t>
      </w:r>
      <w:r w:rsidR="005E7523">
        <w:t>FDC</w:t>
      </w:r>
      <w:r w:rsidRPr="00DE0DC9">
        <w:t xml:space="preserve"> tablets appear to</w:t>
      </w:r>
      <w:r w:rsidR="005E7523">
        <w:t xml:space="preserve"> have been provided</w:t>
      </w:r>
      <w:r w:rsidRPr="00DE0DC9">
        <w:t xml:space="preserve">. Data for the individual components administered once daily </w:t>
      </w:r>
      <w:r w:rsidR="009B008D">
        <w:t>had</w:t>
      </w:r>
      <w:r w:rsidR="009B008D" w:rsidRPr="00DE0DC9">
        <w:t xml:space="preserve"> </w:t>
      </w:r>
      <w:r w:rsidRPr="00DE0DC9">
        <w:t xml:space="preserve">been used for the calculations on the basis of bioequivalence (between </w:t>
      </w:r>
      <w:r w:rsidR="005E7523">
        <w:t>once daily [</w:t>
      </w:r>
      <w:r w:rsidRPr="00DE0DC9">
        <w:t>QD</w:t>
      </w:r>
      <w:r w:rsidR="005E7523">
        <w:t>]</w:t>
      </w:r>
      <w:r w:rsidRPr="00DE0DC9">
        <w:t xml:space="preserve"> and </w:t>
      </w:r>
      <w:r w:rsidR="005E7523">
        <w:t>twice daily [</w:t>
      </w:r>
      <w:r w:rsidRPr="00DE0DC9">
        <w:t>BID</w:t>
      </w:r>
      <w:r w:rsidR="005E7523">
        <w:t>]</w:t>
      </w:r>
      <w:r w:rsidRPr="00DE0DC9">
        <w:t xml:space="preserve"> dosing at the same daily dose) and the absence of pharmacokinetic interactions between the pair (as reported in the Product Information for </w:t>
      </w:r>
      <w:proofErr w:type="spellStart"/>
      <w:r w:rsidRPr="00DE0DC9">
        <w:t>Onglyza</w:t>
      </w:r>
      <w:proofErr w:type="spellEnd"/>
      <w:r w:rsidRPr="00DE0DC9">
        <w:t xml:space="preserve">). High multiples of exposure to </w:t>
      </w:r>
      <w:proofErr w:type="spellStart"/>
      <w:r w:rsidRPr="00DE0DC9">
        <w:t>saxagliptin</w:t>
      </w:r>
      <w:proofErr w:type="spellEnd"/>
      <w:r w:rsidRPr="00DE0DC9">
        <w:t xml:space="preserve"> and its active metabolite but not </w:t>
      </w:r>
      <w:proofErr w:type="spellStart"/>
      <w:r w:rsidRPr="00DE0DC9">
        <w:t>metformin</w:t>
      </w:r>
      <w:proofErr w:type="spellEnd"/>
      <w:r w:rsidRPr="00DE0DC9">
        <w:t xml:space="preserve"> were obtained at the maximum doses tested.</w:t>
      </w:r>
    </w:p>
    <w:p w:rsidR="00846718" w:rsidRDefault="00846718" w:rsidP="00BE77C9">
      <w:pPr>
        <w:pStyle w:val="TableTitle"/>
        <w:rPr>
          <w:lang w:val="en-GB"/>
        </w:rPr>
      </w:pPr>
      <w:r>
        <w:t>Table 2:</w:t>
      </w:r>
      <w:r w:rsidRPr="004C5C28">
        <w:t xml:space="preserve"> </w:t>
      </w:r>
      <w:r w:rsidRPr="00DE0DC9">
        <w:t>Relative exposure in the pivotal repeat-dose toxicity study</w:t>
      </w:r>
      <w:r>
        <w:t>.</w:t>
      </w:r>
    </w:p>
    <w:p w:rsidR="00DE0DC9" w:rsidRDefault="00D47E1A" w:rsidP="006B3DE9">
      <w:pPr>
        <w:jc w:val="center"/>
      </w:pPr>
      <w:r>
        <w:rPr>
          <w:noProof/>
          <w:lang w:eastAsia="en-AU"/>
        </w:rPr>
        <w:drawing>
          <wp:inline distT="0" distB="0" distL="0" distR="0">
            <wp:extent cx="5400675" cy="2066925"/>
            <wp:effectExtent l="19050" t="0" r="9525" b="0"/>
            <wp:docPr id="8" name="Picture 8" descr="Table showing relative exposure in the pivotal repeat dose toxicity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1"/>
                    <pic:cNvPicPr>
                      <a:picLocks noChangeAspect="1" noChangeArrowheads="1"/>
                    </pic:cNvPicPr>
                  </pic:nvPicPr>
                  <pic:blipFill>
                    <a:blip r:embed="rId19" cstate="print"/>
                    <a:srcRect/>
                    <a:stretch>
                      <a:fillRect/>
                    </a:stretch>
                  </pic:blipFill>
                  <pic:spPr bwMode="auto">
                    <a:xfrm>
                      <a:off x="0" y="0"/>
                      <a:ext cx="5400675" cy="2066925"/>
                    </a:xfrm>
                    <a:prstGeom prst="rect">
                      <a:avLst/>
                    </a:prstGeom>
                    <a:noFill/>
                    <a:ln w="9525">
                      <a:noFill/>
                      <a:miter lim="800000"/>
                      <a:headEnd/>
                      <a:tailEnd/>
                    </a:ln>
                  </pic:spPr>
                </pic:pic>
              </a:graphicData>
            </a:graphic>
          </wp:inline>
        </w:drawing>
      </w:r>
    </w:p>
    <w:p w:rsidR="00846718" w:rsidRPr="007454BB" w:rsidRDefault="00846718" w:rsidP="00BE77C9">
      <w:pPr>
        <w:pStyle w:val="TableDescription"/>
      </w:pPr>
      <w:r w:rsidRPr="002160D4">
        <w:rPr>
          <w:vertAlign w:val="superscript"/>
        </w:rPr>
        <w:t>#</w:t>
      </w:r>
      <w:r w:rsidRPr="002160D4">
        <w:rPr>
          <w:w w:val="66"/>
        </w:rPr>
        <w:t xml:space="preserve"> </w:t>
      </w:r>
      <w:r>
        <w:t xml:space="preserve">expressed in terms of </w:t>
      </w:r>
      <w:proofErr w:type="spellStart"/>
      <w:r>
        <w:t>metformin</w:t>
      </w:r>
      <w:proofErr w:type="spellEnd"/>
      <w:r>
        <w:t xml:space="preserve"> hydrochloride (other doses are expressed in terms of</w:t>
      </w:r>
      <w:r w:rsidR="006B3DE9">
        <w:t xml:space="preserve"> </w:t>
      </w:r>
      <w:proofErr w:type="spellStart"/>
      <w:r w:rsidR="006B3DE9">
        <w:t>saxagliptin</w:t>
      </w:r>
      <w:proofErr w:type="spellEnd"/>
      <w:r w:rsidR="006B3DE9">
        <w:t xml:space="preserve"> or </w:t>
      </w:r>
      <w:proofErr w:type="spellStart"/>
      <w:r w:rsidR="006B3DE9">
        <w:t>metformin</w:t>
      </w:r>
      <w:proofErr w:type="spellEnd"/>
      <w:r w:rsidR="006B3DE9">
        <w:t xml:space="preserve"> base)</w:t>
      </w:r>
      <w:r>
        <w:br/>
      </w:r>
      <w:r w:rsidRPr="00A77785">
        <w:rPr>
          <w:i/>
          <w:vertAlign w:val="superscript"/>
        </w:rPr>
        <w:t>a</w:t>
      </w:r>
      <w:r w:rsidRPr="00A77785">
        <w:rPr>
          <w:w w:val="66"/>
        </w:rPr>
        <w:t xml:space="preserve"> </w:t>
      </w:r>
      <w:r>
        <w:t>data obtained in Clinical Study CV181002 with administration at 5 mg QD</w:t>
      </w:r>
      <w:r w:rsidRPr="005F4C27">
        <w:t xml:space="preserve"> </w:t>
      </w:r>
      <w:r w:rsidRPr="005F4C27">
        <w:rPr>
          <w:rFonts w:ascii="Symbol" w:hAnsi="Symbol"/>
        </w:rPr>
        <w:t></w:t>
      </w:r>
      <w:r w:rsidRPr="005F4C27">
        <w:t xml:space="preserve"> 14 days</w:t>
      </w:r>
      <w:r>
        <w:br/>
      </w:r>
      <w:r>
        <w:rPr>
          <w:i/>
          <w:vertAlign w:val="superscript"/>
        </w:rPr>
        <w:t>b</w:t>
      </w:r>
      <w:r w:rsidRPr="00A77785">
        <w:rPr>
          <w:w w:val="66"/>
        </w:rPr>
        <w:t xml:space="preserve"> </w:t>
      </w:r>
      <w:r w:rsidR="002735CF">
        <w:t xml:space="preserve">Timmins P, et al. </w:t>
      </w:r>
      <w:r>
        <w:t xml:space="preserve">(2005) Steady-state pharmacokinetics of a novel extended-release </w:t>
      </w:r>
      <w:proofErr w:type="spellStart"/>
      <w:r>
        <w:t>metformin</w:t>
      </w:r>
      <w:proofErr w:type="spellEnd"/>
      <w:r>
        <w:t xml:space="preserve"> formulation. </w:t>
      </w:r>
      <w:proofErr w:type="spellStart"/>
      <w:r>
        <w:rPr>
          <w:i/>
        </w:rPr>
        <w:t>Clin</w:t>
      </w:r>
      <w:proofErr w:type="spellEnd"/>
      <w:r>
        <w:rPr>
          <w:i/>
        </w:rPr>
        <w:t xml:space="preserve">. </w:t>
      </w:r>
      <w:proofErr w:type="spellStart"/>
      <w:r>
        <w:rPr>
          <w:i/>
        </w:rPr>
        <w:t>Pharmacokinet</w:t>
      </w:r>
      <w:proofErr w:type="spellEnd"/>
      <w:r>
        <w:rPr>
          <w:i/>
        </w:rPr>
        <w:t>.</w:t>
      </w:r>
      <w:r w:rsidRPr="001E123F">
        <w:rPr>
          <w:i/>
        </w:rPr>
        <w:t xml:space="preserve"> </w:t>
      </w:r>
      <w:r w:rsidRPr="001E123F">
        <w:t>44:</w:t>
      </w:r>
      <w:r w:rsidRPr="001E123F">
        <w:rPr>
          <w:w w:val="50"/>
        </w:rPr>
        <w:t> </w:t>
      </w:r>
      <w:r>
        <w:t xml:space="preserve">721-729. (While a value of 20544 </w:t>
      </w:r>
      <w:proofErr w:type="spellStart"/>
      <w:r>
        <w:t>ng·h</w:t>
      </w:r>
      <w:proofErr w:type="spellEnd"/>
      <w:r>
        <w:t>/</w:t>
      </w:r>
      <w:proofErr w:type="spellStart"/>
      <w:r>
        <w:t>mL</w:t>
      </w:r>
      <w:proofErr w:type="spellEnd"/>
      <w:r>
        <w:t xml:space="preserve"> is reported for 1000 mg BID administrat</w:t>
      </w:r>
      <w:r w:rsidR="002735CF">
        <w:t xml:space="preserve">ion of the immediate </w:t>
      </w:r>
      <w:r>
        <w:t>release form, a lower</w:t>
      </w:r>
      <w:r w:rsidRPr="00DE5E08">
        <w:rPr>
          <w:w w:val="50"/>
        </w:rPr>
        <w:t> </w:t>
      </w:r>
      <w:r>
        <w:t>-</w:t>
      </w:r>
      <w:r w:rsidR="003C7F36">
        <w:t xml:space="preserve"> </w:t>
      </w:r>
      <w:r>
        <w:t>but essentially equivalent</w:t>
      </w:r>
      <w:r w:rsidRPr="00DE5E08">
        <w:rPr>
          <w:w w:val="50"/>
        </w:rPr>
        <w:t> </w:t>
      </w:r>
      <w:r>
        <w:t>-</w:t>
      </w:r>
      <w:r w:rsidRPr="00DE5E08">
        <w:rPr>
          <w:w w:val="50"/>
        </w:rPr>
        <w:t> </w:t>
      </w:r>
      <w:r>
        <w:t>value for 2000 mg QD</w:t>
      </w:r>
      <w:r w:rsidR="002735CF">
        <w:t xml:space="preserve"> administration of the extended </w:t>
      </w:r>
      <w:r>
        <w:t>release form has been used as a conservative measure.)</w:t>
      </w:r>
    </w:p>
    <w:p w:rsidR="00DE0DC9" w:rsidRPr="00DE0DC9" w:rsidRDefault="00DE0DC9" w:rsidP="00734145">
      <w:pPr>
        <w:pStyle w:val="Heading5"/>
      </w:pPr>
      <w:r w:rsidRPr="00DE0DC9">
        <w:t xml:space="preserve">Major </w:t>
      </w:r>
      <w:r w:rsidRPr="00734145">
        <w:t>findings</w:t>
      </w:r>
    </w:p>
    <w:p w:rsidR="00DE0DC9" w:rsidRPr="00DE0DC9" w:rsidRDefault="00DE0DC9" w:rsidP="00734145">
      <w:r w:rsidRPr="00DE0DC9">
        <w:t>Treatment</w:t>
      </w:r>
      <w:r w:rsidR="002735CF">
        <w:t xml:space="preserve"> </w:t>
      </w:r>
      <w:r w:rsidRPr="00DE0DC9">
        <w:t xml:space="preserve">related findings in the pivotal study were limited to inhibition of body weight gain (attributed to </w:t>
      </w:r>
      <w:proofErr w:type="spellStart"/>
      <w:r w:rsidRPr="00DE0DC9">
        <w:t>metformin</w:t>
      </w:r>
      <w:proofErr w:type="spellEnd"/>
      <w:r w:rsidRPr="00DE0DC9">
        <w:t xml:space="preserve">) and various clinical signs, comprising faecal changes (soft/liquid/red and presence of </w:t>
      </w:r>
      <w:proofErr w:type="spellStart"/>
      <w:r w:rsidRPr="00DE0DC9">
        <w:t>mucoid</w:t>
      </w:r>
      <w:proofErr w:type="spellEnd"/>
      <w:r w:rsidRPr="00DE0DC9">
        <w:t xml:space="preserve"> material; across all groups), clear eye discharge (attributed to </w:t>
      </w:r>
      <w:proofErr w:type="spellStart"/>
      <w:r w:rsidRPr="00DE0DC9">
        <w:t>saxagliptin</w:t>
      </w:r>
      <w:proofErr w:type="spellEnd"/>
      <w:r w:rsidRPr="00DE0DC9">
        <w:t xml:space="preserve">), salivation and sporadic/transient tremors/shivers (attributed to </w:t>
      </w:r>
      <w:proofErr w:type="spellStart"/>
      <w:r w:rsidRPr="00DE0DC9">
        <w:t>metformin</w:t>
      </w:r>
      <w:proofErr w:type="spellEnd"/>
      <w:r w:rsidRPr="00DE0DC9">
        <w:t>). The combination produced no novel or exacerbated toxicity with one exception. Co</w:t>
      </w:r>
      <w:r w:rsidR="00897BCF">
        <w:t xml:space="preserve"> </w:t>
      </w:r>
      <w:r w:rsidRPr="00DE0DC9">
        <w:t xml:space="preserve">administration of 5 mg/kg/day </w:t>
      </w:r>
      <w:proofErr w:type="spellStart"/>
      <w:r w:rsidRPr="00DE0DC9">
        <w:t>saxagliptin</w:t>
      </w:r>
      <w:proofErr w:type="spellEnd"/>
      <w:r w:rsidRPr="00DE0DC9">
        <w:t xml:space="preserve"> with </w:t>
      </w:r>
      <w:proofErr w:type="spellStart"/>
      <w:r w:rsidRPr="00DE0DC9">
        <w:t>metformin</w:t>
      </w:r>
      <w:proofErr w:type="spellEnd"/>
      <w:r w:rsidRPr="00DE0DC9">
        <w:t xml:space="preserve"> (20 mg/kg/day) was seen to increase the incidence of tremors/shivers. The finding was not associated with hypoglycaemia and</w:t>
      </w:r>
      <w:r w:rsidR="002735CF">
        <w:t xml:space="preserve"> occurred at a low incidence (1-</w:t>
      </w:r>
      <w:r w:rsidRPr="00DE0DC9">
        <w:t>4 observations/dog over 3 months)</w:t>
      </w:r>
      <w:r w:rsidR="009B008D">
        <w:t>.</w:t>
      </w:r>
      <w:r w:rsidRPr="00DE0DC9">
        <w:t xml:space="preserve"> </w:t>
      </w:r>
      <w:r w:rsidR="009B008D">
        <w:t>It</w:t>
      </w:r>
      <w:r w:rsidR="009B008D" w:rsidRPr="00DE0DC9">
        <w:t xml:space="preserve"> </w:t>
      </w:r>
      <w:r w:rsidRPr="00DE0DC9">
        <w:t>was attributed to a behavioural change rather than a neurological effect. At 1 mg/kg/day (relative exposure, 9), co</w:t>
      </w:r>
      <w:r w:rsidR="002735CF">
        <w:t xml:space="preserve"> </w:t>
      </w:r>
      <w:r w:rsidRPr="00DE0DC9">
        <w:t xml:space="preserve">administration of </w:t>
      </w:r>
      <w:proofErr w:type="spellStart"/>
      <w:r w:rsidRPr="00DE0DC9">
        <w:t>saxagliptin</w:t>
      </w:r>
      <w:proofErr w:type="spellEnd"/>
      <w:r w:rsidRPr="00DE0DC9">
        <w:t xml:space="preserve"> had no effect on the incidence of </w:t>
      </w:r>
      <w:proofErr w:type="spellStart"/>
      <w:r w:rsidRPr="00DE0DC9">
        <w:t>metformin</w:t>
      </w:r>
      <w:proofErr w:type="spellEnd"/>
      <w:r w:rsidR="002735CF">
        <w:t xml:space="preserve"> </w:t>
      </w:r>
      <w:r w:rsidRPr="00DE0DC9">
        <w:t>induced tremors/shivers.</w:t>
      </w:r>
    </w:p>
    <w:p w:rsidR="00DE0DC9" w:rsidRPr="00DE0DC9" w:rsidRDefault="00DE0DC9" w:rsidP="00734145">
      <w:pPr>
        <w:pStyle w:val="Heading4"/>
      </w:pPr>
      <w:r w:rsidRPr="00DE0DC9">
        <w:t xml:space="preserve">Reproductive </w:t>
      </w:r>
      <w:r w:rsidRPr="00734145">
        <w:t>toxicity</w:t>
      </w:r>
    </w:p>
    <w:p w:rsidR="00DE0DC9" w:rsidRPr="00DE0DC9" w:rsidRDefault="00DE0DC9" w:rsidP="00734145">
      <w:proofErr w:type="spellStart"/>
      <w:r w:rsidRPr="00DE0DC9">
        <w:t>Embryof</w:t>
      </w:r>
      <w:r>
        <w:t>o</w:t>
      </w:r>
      <w:r w:rsidRPr="00DE0DC9">
        <w:t>etal</w:t>
      </w:r>
      <w:proofErr w:type="spellEnd"/>
      <w:r w:rsidRPr="00DE0DC9">
        <w:t xml:space="preserve"> development studies were conducted with the combination in rats and rabbits</w:t>
      </w:r>
      <w:r w:rsidR="00CC2113">
        <w:t xml:space="preserve"> (Table 3)</w:t>
      </w:r>
      <w:r w:rsidRPr="00DE0DC9">
        <w:t>. Parallel single</w:t>
      </w:r>
      <w:r w:rsidR="00CC2113">
        <w:t xml:space="preserve"> </w:t>
      </w:r>
      <w:r w:rsidRPr="00DE0DC9">
        <w:t xml:space="preserve">agent control groups were not included in an initial rat study, but were in a second study in the species and in the rabbit study. As in the general toxicity studies, the clinical dose ratios were not used. </w:t>
      </w:r>
      <w:proofErr w:type="spellStart"/>
      <w:r w:rsidRPr="00DE0DC9">
        <w:t>Animal:human</w:t>
      </w:r>
      <w:proofErr w:type="spellEnd"/>
      <w:r w:rsidRPr="00DE0DC9">
        <w:t xml:space="preserve"> exposure ratios are tabulated below. High multiples of the human AUC were achieved for </w:t>
      </w:r>
      <w:proofErr w:type="spellStart"/>
      <w:r w:rsidRPr="00DE0DC9">
        <w:t>saxagliptin</w:t>
      </w:r>
      <w:proofErr w:type="spellEnd"/>
      <w:r w:rsidRPr="00DE0DC9">
        <w:t xml:space="preserve"> in both species, and for </w:t>
      </w:r>
      <w:r w:rsidR="0057345A">
        <w:t xml:space="preserve">the </w:t>
      </w:r>
      <w:r w:rsidRPr="00DE0DC9">
        <w:t xml:space="preserve">active metabolite </w:t>
      </w:r>
      <w:r w:rsidR="0057345A">
        <w:t xml:space="preserve">of </w:t>
      </w:r>
      <w:proofErr w:type="spellStart"/>
      <w:r w:rsidR="0057345A" w:rsidRPr="00DE0DC9">
        <w:t>saxagliptin</w:t>
      </w:r>
      <w:proofErr w:type="spellEnd"/>
      <w:r w:rsidR="0057345A" w:rsidRPr="00DE0DC9">
        <w:t xml:space="preserve"> </w:t>
      </w:r>
      <w:r w:rsidRPr="00DE0DC9">
        <w:t xml:space="preserve">in rabbits. Exposure multiples for </w:t>
      </w:r>
      <w:r w:rsidRPr="00DE0DC9">
        <w:lastRenderedPageBreak/>
        <w:t xml:space="preserve">BMS-510849 and </w:t>
      </w:r>
      <w:proofErr w:type="spellStart"/>
      <w:r w:rsidRPr="00DE0DC9">
        <w:t>metformin</w:t>
      </w:r>
      <w:proofErr w:type="spellEnd"/>
      <w:r w:rsidRPr="00DE0DC9">
        <w:t xml:space="preserve"> were more modest in rats, and exposure to </w:t>
      </w:r>
      <w:proofErr w:type="spellStart"/>
      <w:r w:rsidRPr="00DE0DC9">
        <w:t>metformin</w:t>
      </w:r>
      <w:proofErr w:type="spellEnd"/>
      <w:r w:rsidRPr="00DE0DC9">
        <w:t xml:space="preserve"> was roughly equivalent to the anticipated maximum clinical level in rabbits.</w:t>
      </w:r>
    </w:p>
    <w:p w:rsidR="00846718" w:rsidRDefault="00846718" w:rsidP="00734145">
      <w:pPr>
        <w:pStyle w:val="TableTitle"/>
        <w:rPr>
          <w:lang w:val="en-GB"/>
        </w:rPr>
      </w:pPr>
      <w:r>
        <w:t>Table 3:</w:t>
      </w:r>
      <w:r w:rsidRPr="004C5C28">
        <w:t xml:space="preserve"> </w:t>
      </w:r>
      <w:r w:rsidR="006B3DE9" w:rsidRPr="006B3DE9">
        <w:t xml:space="preserve">Relative exposure in </w:t>
      </w:r>
      <w:proofErr w:type="spellStart"/>
      <w:r w:rsidR="006B3DE9" w:rsidRPr="006B3DE9">
        <w:t>embryof</w:t>
      </w:r>
      <w:r w:rsidR="006B3DE9">
        <w:t>o</w:t>
      </w:r>
      <w:r w:rsidR="006B3DE9" w:rsidRPr="006B3DE9">
        <w:t>etal</w:t>
      </w:r>
      <w:proofErr w:type="spellEnd"/>
      <w:r w:rsidR="006B3DE9" w:rsidRPr="006B3DE9">
        <w:t xml:space="preserve"> development studies</w:t>
      </w:r>
      <w:r>
        <w:t>.</w:t>
      </w:r>
    </w:p>
    <w:p w:rsidR="00DE0DC9" w:rsidRDefault="00D47E1A" w:rsidP="00D33312">
      <w:pPr>
        <w:jc w:val="center"/>
      </w:pPr>
      <w:r>
        <w:rPr>
          <w:noProof/>
          <w:lang w:eastAsia="en-AU"/>
        </w:rPr>
        <w:drawing>
          <wp:inline distT="0" distB="0" distL="0" distR="0">
            <wp:extent cx="5400675" cy="2924175"/>
            <wp:effectExtent l="19050" t="0" r="9525" b="0"/>
            <wp:docPr id="9" name="Picture 9" descr="Table showing relative exposure in embryofoetal development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1"/>
                    <pic:cNvPicPr>
                      <a:picLocks noChangeAspect="1" noChangeArrowheads="1"/>
                    </pic:cNvPicPr>
                  </pic:nvPicPr>
                  <pic:blipFill>
                    <a:blip r:embed="rId20" cstate="print"/>
                    <a:srcRect/>
                    <a:stretch>
                      <a:fillRect/>
                    </a:stretch>
                  </pic:blipFill>
                  <pic:spPr bwMode="auto">
                    <a:xfrm>
                      <a:off x="0" y="0"/>
                      <a:ext cx="5400675" cy="2924175"/>
                    </a:xfrm>
                    <a:prstGeom prst="rect">
                      <a:avLst/>
                    </a:prstGeom>
                    <a:noFill/>
                    <a:ln w="9525">
                      <a:noFill/>
                      <a:miter lim="800000"/>
                      <a:headEnd/>
                      <a:tailEnd/>
                    </a:ln>
                  </pic:spPr>
                </pic:pic>
              </a:graphicData>
            </a:graphic>
          </wp:inline>
        </w:drawing>
      </w:r>
    </w:p>
    <w:p w:rsidR="00A92BB6" w:rsidRPr="00DE0DC9" w:rsidRDefault="00A92BB6" w:rsidP="00734145">
      <w:pPr>
        <w:pStyle w:val="TableDescription"/>
      </w:pPr>
      <w:r w:rsidRPr="002160D4">
        <w:rPr>
          <w:vertAlign w:val="superscript"/>
        </w:rPr>
        <w:t>#</w:t>
      </w:r>
      <w:r w:rsidRPr="002160D4">
        <w:rPr>
          <w:w w:val="66"/>
        </w:rPr>
        <w:t xml:space="preserve"> </w:t>
      </w:r>
      <w:r>
        <w:t xml:space="preserve">expressed in terms of </w:t>
      </w:r>
      <w:proofErr w:type="spellStart"/>
      <w:r>
        <w:t>metformin</w:t>
      </w:r>
      <w:proofErr w:type="spellEnd"/>
      <w:r>
        <w:t xml:space="preserve"> hydrochloride (other doses are expressed in terms of </w:t>
      </w:r>
      <w:proofErr w:type="spellStart"/>
      <w:r>
        <w:t>saxagliptin</w:t>
      </w:r>
      <w:proofErr w:type="spellEnd"/>
      <w:r>
        <w:t xml:space="preserve"> or </w:t>
      </w:r>
      <w:proofErr w:type="spellStart"/>
      <w:r>
        <w:t>metformin</w:t>
      </w:r>
      <w:proofErr w:type="spellEnd"/>
      <w:r>
        <w:t xml:space="preserve"> base)</w:t>
      </w:r>
      <w:r>
        <w:br/>
      </w:r>
      <w:r w:rsidRPr="00A77785">
        <w:rPr>
          <w:i/>
          <w:vertAlign w:val="superscript"/>
        </w:rPr>
        <w:t>a</w:t>
      </w:r>
      <w:r w:rsidRPr="00A77785">
        <w:rPr>
          <w:w w:val="66"/>
        </w:rPr>
        <w:t xml:space="preserve"> </w:t>
      </w:r>
      <w:r>
        <w:t>data obtained in Clinical Study CV181002 with administration at 5 mg QD</w:t>
      </w:r>
      <w:r w:rsidRPr="005F4C27">
        <w:t xml:space="preserve"> </w:t>
      </w:r>
      <w:r w:rsidRPr="005F4C27">
        <w:rPr>
          <w:rFonts w:ascii="Symbol" w:hAnsi="Symbol"/>
        </w:rPr>
        <w:t></w:t>
      </w:r>
      <w:r w:rsidRPr="005F4C27">
        <w:t xml:space="preserve"> 14 days </w:t>
      </w:r>
      <w:r>
        <w:br/>
      </w:r>
      <w:r>
        <w:rPr>
          <w:i/>
          <w:vertAlign w:val="superscript"/>
        </w:rPr>
        <w:t>b</w:t>
      </w:r>
      <w:r w:rsidRPr="00A77785">
        <w:rPr>
          <w:w w:val="66"/>
        </w:rPr>
        <w:t xml:space="preserve"> </w:t>
      </w:r>
      <w:r w:rsidR="00427E7F">
        <w:t xml:space="preserve">Timmins P, et al. (2005) Steady-state pharmacokinetics of a novel extended-release </w:t>
      </w:r>
      <w:proofErr w:type="spellStart"/>
      <w:r w:rsidR="00427E7F">
        <w:t>metformin</w:t>
      </w:r>
      <w:proofErr w:type="spellEnd"/>
      <w:r w:rsidR="00427E7F">
        <w:t xml:space="preserve"> formulation. </w:t>
      </w:r>
      <w:proofErr w:type="spellStart"/>
      <w:r w:rsidR="00427E7F">
        <w:rPr>
          <w:i/>
        </w:rPr>
        <w:t>Clin</w:t>
      </w:r>
      <w:proofErr w:type="spellEnd"/>
      <w:r w:rsidR="00427E7F">
        <w:rPr>
          <w:i/>
        </w:rPr>
        <w:t xml:space="preserve">. </w:t>
      </w:r>
      <w:proofErr w:type="spellStart"/>
      <w:r w:rsidR="00427E7F">
        <w:rPr>
          <w:i/>
        </w:rPr>
        <w:t>Pharmacokinet</w:t>
      </w:r>
      <w:proofErr w:type="spellEnd"/>
      <w:r w:rsidR="00427E7F">
        <w:rPr>
          <w:i/>
        </w:rPr>
        <w:t>.</w:t>
      </w:r>
      <w:r w:rsidR="00427E7F" w:rsidRPr="001E123F">
        <w:rPr>
          <w:i/>
        </w:rPr>
        <w:t xml:space="preserve"> </w:t>
      </w:r>
      <w:r w:rsidR="00427E7F" w:rsidRPr="001E123F">
        <w:t>44:</w:t>
      </w:r>
      <w:r w:rsidR="00427E7F" w:rsidRPr="001E123F">
        <w:rPr>
          <w:w w:val="50"/>
        </w:rPr>
        <w:t> </w:t>
      </w:r>
      <w:r w:rsidR="00427E7F">
        <w:t xml:space="preserve">721-729. (While a value of 20544 </w:t>
      </w:r>
      <w:proofErr w:type="spellStart"/>
      <w:r w:rsidR="00427E7F">
        <w:t>ng·h</w:t>
      </w:r>
      <w:proofErr w:type="spellEnd"/>
      <w:r w:rsidR="00427E7F">
        <w:t>/</w:t>
      </w:r>
      <w:proofErr w:type="spellStart"/>
      <w:r w:rsidR="00427E7F">
        <w:t>mL</w:t>
      </w:r>
      <w:proofErr w:type="spellEnd"/>
      <w:r w:rsidR="00427E7F">
        <w:t xml:space="preserve"> is reported for 1000 mg BID administration of the immediate release form, a lower</w:t>
      </w:r>
      <w:r w:rsidR="00427E7F" w:rsidRPr="00DE5E08">
        <w:rPr>
          <w:w w:val="50"/>
        </w:rPr>
        <w:t> </w:t>
      </w:r>
      <w:r w:rsidR="00427E7F">
        <w:t>- but essentially equivalent</w:t>
      </w:r>
      <w:r w:rsidR="00427E7F" w:rsidRPr="00DE5E08">
        <w:rPr>
          <w:w w:val="50"/>
        </w:rPr>
        <w:t> </w:t>
      </w:r>
      <w:r w:rsidR="00427E7F">
        <w:t>-</w:t>
      </w:r>
      <w:r w:rsidR="00427E7F" w:rsidRPr="00DE5E08">
        <w:rPr>
          <w:w w:val="50"/>
        </w:rPr>
        <w:t> </w:t>
      </w:r>
      <w:r w:rsidR="00427E7F">
        <w:t>value for 2000 mg QD administration of the extended release form has been used as a conservative measure.)</w:t>
      </w:r>
    </w:p>
    <w:p w:rsidR="00A13D18" w:rsidRPr="00A13D18" w:rsidRDefault="00A13D18" w:rsidP="00734145">
      <w:bookmarkStart w:id="50" w:name="_Toc247691515"/>
      <w:bookmarkStart w:id="51" w:name="_Toc314842499"/>
      <w:r w:rsidRPr="00A13D18">
        <w:t>Two f</w:t>
      </w:r>
      <w:r>
        <w:t>o</w:t>
      </w:r>
      <w:r w:rsidRPr="00A13D18">
        <w:t xml:space="preserve">etuses </w:t>
      </w:r>
      <w:r w:rsidR="009B008D">
        <w:t>in</w:t>
      </w:r>
      <w:r w:rsidRPr="00A13D18">
        <w:t xml:space="preserve"> rats treated at 25/200 mg/kg/day </w:t>
      </w:r>
      <w:proofErr w:type="spellStart"/>
      <w:r w:rsidRPr="00A13D18">
        <w:t>saxagliptin</w:t>
      </w:r>
      <w:proofErr w:type="spellEnd"/>
      <w:r w:rsidRPr="00A13D18">
        <w:t>/</w:t>
      </w:r>
      <w:proofErr w:type="spellStart"/>
      <w:r w:rsidRPr="00A13D18">
        <w:t>metformin</w:t>
      </w:r>
      <w:proofErr w:type="spellEnd"/>
      <w:r w:rsidRPr="00A13D18">
        <w:t xml:space="preserve"> displayed </w:t>
      </w:r>
      <w:proofErr w:type="spellStart"/>
      <w:r w:rsidRPr="00A13D18">
        <w:t>craniorachischisis</w:t>
      </w:r>
      <w:proofErr w:type="spellEnd"/>
      <w:r w:rsidRPr="00A13D18">
        <w:t xml:space="preserve"> in an initial </w:t>
      </w:r>
      <w:proofErr w:type="spellStart"/>
      <w:r w:rsidRPr="00A13D18">
        <w:t>embryof</w:t>
      </w:r>
      <w:r>
        <w:t>o</w:t>
      </w:r>
      <w:r w:rsidRPr="00A13D18">
        <w:t>etal</w:t>
      </w:r>
      <w:proofErr w:type="spellEnd"/>
      <w:r w:rsidRPr="00A13D18">
        <w:t xml:space="preserve"> development study. However, the cases were from a single litter</w:t>
      </w:r>
      <w:r w:rsidR="009B008D">
        <w:t>. The</w:t>
      </w:r>
      <w:r w:rsidRPr="00A13D18">
        <w:t xml:space="preserve"> observed incidence</w:t>
      </w:r>
      <w:r w:rsidR="009B008D">
        <w:t xml:space="preserve"> for all animals</w:t>
      </w:r>
      <w:r w:rsidRPr="00A13D18">
        <w:t xml:space="preserve"> was within the historical control range for the laboratory and the finding was not confirmed in a subsequent study in rats (involving treatment at 25/600 mg/kg/day </w:t>
      </w:r>
      <w:proofErr w:type="spellStart"/>
      <w:r w:rsidRPr="00A13D18">
        <w:t>saxagliptin</w:t>
      </w:r>
      <w:proofErr w:type="spellEnd"/>
      <w:r w:rsidRPr="00A13D18">
        <w:t>/</w:t>
      </w:r>
      <w:proofErr w:type="spellStart"/>
      <w:r w:rsidRPr="00A13D18">
        <w:t>metformin</w:t>
      </w:r>
      <w:proofErr w:type="spellEnd"/>
      <w:r w:rsidRPr="00A13D18">
        <w:t>). Other findings in the initial rat study</w:t>
      </w:r>
      <w:r w:rsidR="009B008D">
        <w:t>, a</w:t>
      </w:r>
      <w:r w:rsidRPr="00A13D18">
        <w:t> low incidences of digital malformations (</w:t>
      </w:r>
      <w:proofErr w:type="spellStart"/>
      <w:r w:rsidRPr="00A13D18">
        <w:t>ectrodactyly</w:t>
      </w:r>
      <w:proofErr w:type="spellEnd"/>
      <w:r w:rsidRPr="00A13D18">
        <w:t xml:space="preserve"> and </w:t>
      </w:r>
      <w:proofErr w:type="spellStart"/>
      <w:r w:rsidRPr="00A13D18">
        <w:t>brachydactyly</w:t>
      </w:r>
      <w:proofErr w:type="spellEnd"/>
      <w:r w:rsidRPr="00A13D18">
        <w:t>), absent renal papilla(e) in kidneys, and forelimb flexure [a</w:t>
      </w:r>
      <w:r w:rsidR="00427E7F">
        <w:t>gain affecting single litters]</w:t>
      </w:r>
      <w:r w:rsidRPr="00A13D18">
        <w:t> were also not confirmed in the second study</w:t>
      </w:r>
      <w:r w:rsidR="004558F9">
        <w:t xml:space="preserve"> conducted in rats</w:t>
      </w:r>
      <w:r w:rsidRPr="00A13D18">
        <w:t xml:space="preserve"> despite greater exposure to </w:t>
      </w:r>
      <w:proofErr w:type="spellStart"/>
      <w:r w:rsidRPr="00A13D18">
        <w:t>saxagliptin</w:t>
      </w:r>
      <w:proofErr w:type="spellEnd"/>
      <w:r w:rsidRPr="00A13D18">
        <w:t xml:space="preserve"> and </w:t>
      </w:r>
      <w:proofErr w:type="spellStart"/>
      <w:r w:rsidRPr="00A13D18">
        <w:t>metformin</w:t>
      </w:r>
      <w:proofErr w:type="spellEnd"/>
      <w:r w:rsidRPr="00A13D18">
        <w:t xml:space="preserve"> and the use of larger numbers of animals per group. </w:t>
      </w:r>
      <w:proofErr w:type="spellStart"/>
      <w:r w:rsidRPr="00A13D18">
        <w:t>Embryof</w:t>
      </w:r>
      <w:r>
        <w:t>o</w:t>
      </w:r>
      <w:r w:rsidRPr="00A13D18">
        <w:t>etal</w:t>
      </w:r>
      <w:proofErr w:type="spellEnd"/>
      <w:r w:rsidRPr="00A13D18">
        <w:t xml:space="preserve"> findings in the second study</w:t>
      </w:r>
      <w:r w:rsidR="004558F9">
        <w:t xml:space="preserve"> in rats</w:t>
      </w:r>
      <w:r w:rsidRPr="00A13D18">
        <w:t xml:space="preserve"> were limited to an increase in the incidence of wavy ribs with treatment at 25/600 mg/kg/day </w:t>
      </w:r>
      <w:proofErr w:type="spellStart"/>
      <w:r w:rsidRPr="00A13D18">
        <w:t>saxagliptin</w:t>
      </w:r>
      <w:proofErr w:type="spellEnd"/>
      <w:r w:rsidRPr="00A13D18">
        <w:t>/</w:t>
      </w:r>
      <w:proofErr w:type="spellStart"/>
      <w:r w:rsidRPr="00A13D18">
        <w:t>metformin</w:t>
      </w:r>
      <w:proofErr w:type="spellEnd"/>
      <w:r w:rsidRPr="00A13D18">
        <w:t xml:space="preserve"> (3.3%) and with </w:t>
      </w:r>
      <w:proofErr w:type="spellStart"/>
      <w:r w:rsidRPr="00A13D18">
        <w:t>metformin</w:t>
      </w:r>
      <w:proofErr w:type="spellEnd"/>
      <w:r w:rsidRPr="00A13D18">
        <w:t xml:space="preserve"> alone at 600 mg/kg/day (2.0%) which exceeded the historical control range (≤1.4%). This occurred in the context of maternal toxicity (significant suppression of maternal body weight gain).</w:t>
      </w:r>
    </w:p>
    <w:p w:rsidR="00A13D18" w:rsidRPr="00A13D18" w:rsidRDefault="00A13D18" w:rsidP="00734145">
      <w:r w:rsidRPr="00A13D18">
        <w:t xml:space="preserve">In rabbits, administration of 40/50 mg/kg/day </w:t>
      </w:r>
      <w:proofErr w:type="spellStart"/>
      <w:r w:rsidRPr="00A13D18">
        <w:t>saxagliptin</w:t>
      </w:r>
      <w:proofErr w:type="spellEnd"/>
      <w:r w:rsidRPr="00A13D18">
        <w:t>/</w:t>
      </w:r>
      <w:proofErr w:type="spellStart"/>
      <w:r w:rsidRPr="00A13D18">
        <w:t>metformin</w:t>
      </w:r>
      <w:proofErr w:type="spellEnd"/>
      <w:r w:rsidRPr="00A13D18">
        <w:t xml:space="preserve"> was poorly tolerated, resulting in death, </w:t>
      </w:r>
      <w:proofErr w:type="spellStart"/>
      <w:r w:rsidRPr="00A13D18">
        <w:t>moribundity</w:t>
      </w:r>
      <w:proofErr w:type="spellEnd"/>
      <w:r w:rsidRPr="00A13D18">
        <w:t xml:space="preserve"> and abortion in 12/30 dams. In contrast, there was only a single death among dams treated with the same dose of </w:t>
      </w:r>
      <w:proofErr w:type="spellStart"/>
      <w:r w:rsidRPr="00A13D18">
        <w:t>metformin</w:t>
      </w:r>
      <w:proofErr w:type="spellEnd"/>
      <w:r w:rsidRPr="00A13D18">
        <w:t xml:space="preserve"> alone, and none with </w:t>
      </w:r>
      <w:proofErr w:type="spellStart"/>
      <w:r w:rsidRPr="00A13D18">
        <w:t>saxagliptin</w:t>
      </w:r>
      <w:proofErr w:type="spellEnd"/>
      <w:r w:rsidRPr="00A13D18">
        <w:t xml:space="preserve"> alone. Similarly, maternal bodyweight gain was unaffected in the single</w:t>
      </w:r>
      <w:r w:rsidR="000C4696">
        <w:t xml:space="preserve"> </w:t>
      </w:r>
      <w:r w:rsidRPr="00A13D18">
        <w:t xml:space="preserve">agent groups but was markedly suppressed with combination treatment (although not in those combination animals that survived to scheduled termination). While </w:t>
      </w:r>
      <w:proofErr w:type="spellStart"/>
      <w:r w:rsidRPr="00A13D18">
        <w:t>metformin</w:t>
      </w:r>
      <w:proofErr w:type="spellEnd"/>
      <w:r w:rsidR="000C4696">
        <w:t xml:space="preserve"> </w:t>
      </w:r>
      <w:r w:rsidRPr="00A13D18">
        <w:t xml:space="preserve">induced lactic acidosis may have contributed to the deaths, the increase in toxicity apparent in the combination group was not associated with increased exposure to </w:t>
      </w:r>
      <w:proofErr w:type="spellStart"/>
      <w:r w:rsidRPr="00A13D18">
        <w:t>metformin</w:t>
      </w:r>
      <w:proofErr w:type="spellEnd"/>
      <w:r w:rsidRPr="00A13D18">
        <w:t xml:space="preserve">. No adverse effects on </w:t>
      </w:r>
      <w:proofErr w:type="spellStart"/>
      <w:r w:rsidRPr="00A13D18">
        <w:t>embryof</w:t>
      </w:r>
      <w:r w:rsidR="000C4696">
        <w:t>o</w:t>
      </w:r>
      <w:r w:rsidRPr="00A13D18">
        <w:t>etal</w:t>
      </w:r>
      <w:proofErr w:type="spellEnd"/>
      <w:r w:rsidRPr="00A13D18">
        <w:t xml:space="preserve"> development were noted for </w:t>
      </w:r>
      <w:proofErr w:type="spellStart"/>
      <w:r w:rsidRPr="00A13D18">
        <w:t>saxagliptin</w:t>
      </w:r>
      <w:proofErr w:type="spellEnd"/>
      <w:r w:rsidRPr="00A13D18">
        <w:t xml:space="preserve"> or </w:t>
      </w:r>
      <w:proofErr w:type="spellStart"/>
      <w:r w:rsidRPr="00A13D18">
        <w:t>metformin</w:t>
      </w:r>
      <w:proofErr w:type="spellEnd"/>
      <w:r w:rsidRPr="00A13D18">
        <w:t xml:space="preserve"> alone, but treatment with the two drugs in combination was associated with a </w:t>
      </w:r>
      <w:r w:rsidRPr="00A13D18">
        <w:lastRenderedPageBreak/>
        <w:t>significant reduction in mean f</w:t>
      </w:r>
      <w:r w:rsidR="000C4696">
        <w:t>oetal weight (7% lower compared with</w:t>
      </w:r>
      <w:r w:rsidRPr="00A13D18">
        <w:t xml:space="preserve"> controls), cases of incompletely ossified pubis and an increased incidence of incomplete ossification of the hyoid.</w:t>
      </w:r>
    </w:p>
    <w:p w:rsidR="00A13D18" w:rsidRPr="00A13D18" w:rsidRDefault="00A13D18" w:rsidP="00734145">
      <w:pPr>
        <w:pStyle w:val="Heading5"/>
      </w:pPr>
      <w:r w:rsidRPr="00A13D18">
        <w:t xml:space="preserve">Pregnancy </w:t>
      </w:r>
      <w:r w:rsidRPr="00734145">
        <w:t>classification</w:t>
      </w:r>
    </w:p>
    <w:p w:rsidR="00A13D18" w:rsidRPr="00A13D18" w:rsidRDefault="00A13D18" w:rsidP="00734145">
      <w:r w:rsidRPr="00A13D18">
        <w:t xml:space="preserve">The </w:t>
      </w:r>
      <w:r w:rsidR="00AC1315">
        <w:t>s</w:t>
      </w:r>
      <w:r w:rsidRPr="00A13D18">
        <w:t xml:space="preserve">ponsor has proposed Category C. This matches the current pregnancy category for </w:t>
      </w:r>
      <w:proofErr w:type="spellStart"/>
      <w:r w:rsidRPr="00A13D18">
        <w:t>metformin</w:t>
      </w:r>
      <w:proofErr w:type="spellEnd"/>
      <w:r w:rsidRPr="00A13D18">
        <w:t xml:space="preserve"> (as well as other existing combinations of </w:t>
      </w:r>
      <w:proofErr w:type="spellStart"/>
      <w:r w:rsidRPr="00A13D18">
        <w:t>metformin</w:t>
      </w:r>
      <w:proofErr w:type="spellEnd"/>
      <w:r w:rsidRPr="00A13D18">
        <w:t xml:space="preserve"> with a DPP</w:t>
      </w:r>
      <w:r w:rsidRPr="00A13D18">
        <w:noBreakHyphen/>
        <w:t xml:space="preserve">4 inhibitor; </w:t>
      </w:r>
      <w:proofErr w:type="spellStart"/>
      <w:r w:rsidRPr="00A13D18">
        <w:t>saxagliptin</w:t>
      </w:r>
      <w:proofErr w:type="spellEnd"/>
      <w:r w:rsidRPr="00A13D18">
        <w:t xml:space="preserve"> itself is B3) and is considered appropriate.</w:t>
      </w:r>
    </w:p>
    <w:p w:rsidR="00A13D18" w:rsidRPr="00A13D18" w:rsidRDefault="00A13D18" w:rsidP="00734145">
      <w:pPr>
        <w:pStyle w:val="Heading4"/>
      </w:pPr>
      <w:r w:rsidRPr="00A13D18">
        <w:t xml:space="preserve">Paediatric </w:t>
      </w:r>
      <w:r w:rsidRPr="00734145">
        <w:t>use</w:t>
      </w:r>
    </w:p>
    <w:p w:rsidR="00A13D18" w:rsidRPr="00A13D18" w:rsidRDefault="00A13D18" w:rsidP="00734145">
      <w:proofErr w:type="spellStart"/>
      <w:r w:rsidRPr="00A13D18">
        <w:t>Kombiglyze</w:t>
      </w:r>
      <w:proofErr w:type="spellEnd"/>
      <w:r w:rsidRPr="00A13D18">
        <w:t xml:space="preserve"> is not proposed for paediatric use and no specific studies in juvenile animals were submitted.</w:t>
      </w:r>
    </w:p>
    <w:p w:rsidR="008E7846" w:rsidRDefault="008E7846" w:rsidP="00734145">
      <w:pPr>
        <w:pStyle w:val="Heading3"/>
      </w:pPr>
      <w:bookmarkStart w:id="52" w:name="_Toc371598176"/>
      <w:r>
        <w:t xml:space="preserve">Nonclinical summary and </w:t>
      </w:r>
      <w:r w:rsidRPr="00734145">
        <w:t>conclusions</w:t>
      </w:r>
      <w:bookmarkEnd w:id="50"/>
      <w:bookmarkEnd w:id="51"/>
      <w:bookmarkEnd w:id="52"/>
    </w:p>
    <w:p w:rsidR="002E4969" w:rsidRPr="002E4969" w:rsidRDefault="00553F02" w:rsidP="00734145">
      <w:pPr>
        <w:pStyle w:val="ListBullet"/>
      </w:pPr>
      <w:r>
        <w:t>The nonclinical submission</w:t>
      </w:r>
      <w:r w:rsidR="002E4969" w:rsidRPr="002E4969">
        <w:t xml:space="preserve"> contained studies investigating the single</w:t>
      </w:r>
      <w:r w:rsidR="003538CF">
        <w:t xml:space="preserve"> </w:t>
      </w:r>
      <w:r w:rsidR="002E4969" w:rsidRPr="002E4969">
        <w:t>dose toxicity, repeat</w:t>
      </w:r>
      <w:r w:rsidR="003538CF">
        <w:t xml:space="preserve"> </w:t>
      </w:r>
      <w:r w:rsidR="002E4969" w:rsidRPr="002E4969">
        <w:t xml:space="preserve">dose toxicity and </w:t>
      </w:r>
      <w:proofErr w:type="spellStart"/>
      <w:r w:rsidR="002E4969" w:rsidRPr="002E4969">
        <w:t>embryof</w:t>
      </w:r>
      <w:r>
        <w:t>o</w:t>
      </w:r>
      <w:r w:rsidR="002E4969" w:rsidRPr="002E4969">
        <w:t>etal</w:t>
      </w:r>
      <w:proofErr w:type="spellEnd"/>
      <w:r w:rsidR="002E4969" w:rsidRPr="002E4969">
        <w:t xml:space="preserve"> toxicity of the combination. No nonclinical efficacy studies with the proposed combination have been conducted.</w:t>
      </w:r>
    </w:p>
    <w:p w:rsidR="002E4969" w:rsidRPr="002E4969" w:rsidRDefault="002E4969" w:rsidP="00734145">
      <w:pPr>
        <w:pStyle w:val="ListBullet"/>
      </w:pPr>
      <w:proofErr w:type="spellStart"/>
      <w:r w:rsidRPr="002E4969">
        <w:t>Toxicokinetic</w:t>
      </w:r>
      <w:proofErr w:type="spellEnd"/>
      <w:r w:rsidRPr="002E4969">
        <w:t xml:space="preserve"> data obtained in dogs, pregnant rats and pregnant rabbits showed a pharmacokinetic interaction between </w:t>
      </w:r>
      <w:proofErr w:type="spellStart"/>
      <w:r w:rsidRPr="002E4969">
        <w:t>saxagliptin</w:t>
      </w:r>
      <w:proofErr w:type="spellEnd"/>
      <w:r w:rsidRPr="002E4969">
        <w:t xml:space="preserve"> and </w:t>
      </w:r>
      <w:proofErr w:type="spellStart"/>
      <w:r w:rsidRPr="002E4969">
        <w:t>metformin</w:t>
      </w:r>
      <w:proofErr w:type="spellEnd"/>
      <w:r w:rsidRPr="002E4969">
        <w:t xml:space="preserve"> in the rat only</w:t>
      </w:r>
      <w:r w:rsidR="004558F9">
        <w:t xml:space="preserve"> with</w:t>
      </w:r>
      <w:r w:rsidRPr="002E4969">
        <w:t xml:space="preserve"> an increase in the plasma AUC for </w:t>
      </w:r>
      <w:r w:rsidR="0057345A">
        <w:t xml:space="preserve">the </w:t>
      </w:r>
      <w:r w:rsidR="0057345A" w:rsidRPr="002E4969">
        <w:t xml:space="preserve">active metabolite (BMS-510849 by ~50%) </w:t>
      </w:r>
      <w:r w:rsidR="0057345A">
        <w:t xml:space="preserve">of </w:t>
      </w:r>
      <w:proofErr w:type="spellStart"/>
      <w:r w:rsidRPr="002E4969">
        <w:t>saxagliptin</w:t>
      </w:r>
      <w:proofErr w:type="spellEnd"/>
      <w:r w:rsidR="0057345A">
        <w:t xml:space="preserve"> </w:t>
      </w:r>
      <w:r w:rsidRPr="002E4969">
        <w:t xml:space="preserve">and decreases in the </w:t>
      </w:r>
      <w:proofErr w:type="spellStart"/>
      <w:r w:rsidRPr="002E4969">
        <w:t>C</w:t>
      </w:r>
      <w:r w:rsidRPr="003538CF">
        <w:rPr>
          <w:vertAlign w:val="subscript"/>
        </w:rPr>
        <w:t>max</w:t>
      </w:r>
      <w:proofErr w:type="spellEnd"/>
      <w:r w:rsidRPr="002E4969">
        <w:t xml:space="preserve"> for </w:t>
      </w:r>
      <w:proofErr w:type="spellStart"/>
      <w:r w:rsidRPr="002E4969">
        <w:t>saxagliptin</w:t>
      </w:r>
      <w:proofErr w:type="spellEnd"/>
      <w:r w:rsidRPr="002E4969">
        <w:t xml:space="preserve"> and its active metabolite. In humans, the pharmacokinetic interaction between </w:t>
      </w:r>
      <w:proofErr w:type="spellStart"/>
      <w:r w:rsidRPr="002E4969">
        <w:t>saxagliptin</w:t>
      </w:r>
      <w:proofErr w:type="spellEnd"/>
      <w:r w:rsidRPr="002E4969">
        <w:t xml:space="preserve"> and </w:t>
      </w:r>
      <w:proofErr w:type="spellStart"/>
      <w:r w:rsidRPr="002E4969">
        <w:t>metformin</w:t>
      </w:r>
      <w:proofErr w:type="spellEnd"/>
      <w:r w:rsidRPr="002E4969">
        <w:t xml:space="preserve"> is reported to be limited to a reduction in the </w:t>
      </w:r>
      <w:proofErr w:type="spellStart"/>
      <w:r w:rsidRPr="002E4969">
        <w:t>saxagliptin</w:t>
      </w:r>
      <w:proofErr w:type="spellEnd"/>
      <w:r w:rsidRPr="002E4969">
        <w:t xml:space="preserve"> </w:t>
      </w:r>
      <w:proofErr w:type="spellStart"/>
      <w:r w:rsidRPr="002E4969">
        <w:t>C</w:t>
      </w:r>
      <w:r w:rsidRPr="003538CF">
        <w:rPr>
          <w:vertAlign w:val="subscript"/>
        </w:rPr>
        <w:t>max</w:t>
      </w:r>
      <w:proofErr w:type="spellEnd"/>
      <w:r w:rsidRPr="002E4969">
        <w:t xml:space="preserve"> (by 21%).</w:t>
      </w:r>
    </w:p>
    <w:p w:rsidR="002E4969" w:rsidRPr="002E4969" w:rsidRDefault="002E4969" w:rsidP="00734145">
      <w:pPr>
        <w:pStyle w:val="ListBullet"/>
      </w:pPr>
      <w:r w:rsidRPr="002E4969">
        <w:t>In the pivotal repeat</w:t>
      </w:r>
      <w:r w:rsidR="003538CF">
        <w:t xml:space="preserve"> </w:t>
      </w:r>
      <w:r w:rsidRPr="002E4969">
        <w:t>dose toxicity study, co</w:t>
      </w:r>
      <w:r w:rsidR="003538CF">
        <w:t xml:space="preserve"> </w:t>
      </w:r>
      <w:r w:rsidRPr="002E4969">
        <w:t xml:space="preserve">treatment with </w:t>
      </w:r>
      <w:proofErr w:type="spellStart"/>
      <w:r w:rsidRPr="002E4969">
        <w:t>saxagliptin</w:t>
      </w:r>
      <w:proofErr w:type="spellEnd"/>
      <w:r w:rsidRPr="002E4969">
        <w:t xml:space="preserve"> and </w:t>
      </w:r>
      <w:proofErr w:type="spellStart"/>
      <w:r w:rsidRPr="002E4969">
        <w:t>metformin</w:t>
      </w:r>
      <w:proofErr w:type="spellEnd"/>
      <w:r w:rsidRPr="002E4969">
        <w:t xml:space="preserve"> for 90 days in dogs produced no novel or exacerbated toxicity </w:t>
      </w:r>
      <w:r w:rsidR="004558F9">
        <w:t>compared to</w:t>
      </w:r>
      <w:r w:rsidRPr="002E4969">
        <w:t xml:space="preserve"> the single agents except for an increase in the incidence of tremors/</w:t>
      </w:r>
      <w:r w:rsidRPr="00734145">
        <w:t>shivers</w:t>
      </w:r>
      <w:r w:rsidRPr="002E4969">
        <w:t xml:space="preserve"> (observed at 5/20 mg/kg/day </w:t>
      </w:r>
      <w:proofErr w:type="spellStart"/>
      <w:r w:rsidRPr="002E4969">
        <w:t>saxagliptin</w:t>
      </w:r>
      <w:proofErr w:type="spellEnd"/>
      <w:r w:rsidRPr="002E4969">
        <w:t>/</w:t>
      </w:r>
      <w:proofErr w:type="spellStart"/>
      <w:r w:rsidRPr="002E4969">
        <w:t>metformin</w:t>
      </w:r>
      <w:proofErr w:type="spellEnd"/>
      <w:r w:rsidRPr="002E4969">
        <w:t xml:space="preserve">). This finding is considered to reflect a behavioural change in the animals rather than a neurological effect, and not to be associated with hypoglycaemia. The incidence of </w:t>
      </w:r>
      <w:proofErr w:type="spellStart"/>
      <w:r w:rsidRPr="002E4969">
        <w:t>metformin</w:t>
      </w:r>
      <w:proofErr w:type="spellEnd"/>
      <w:r w:rsidR="003538CF">
        <w:t xml:space="preserve"> </w:t>
      </w:r>
      <w:r w:rsidRPr="002E4969">
        <w:t>induced tremors/shivers was unaffected with co</w:t>
      </w:r>
      <w:r w:rsidR="00F32616">
        <w:t xml:space="preserve"> </w:t>
      </w:r>
      <w:r w:rsidRPr="002E4969">
        <w:t xml:space="preserve">administration of </w:t>
      </w:r>
      <w:proofErr w:type="spellStart"/>
      <w:r w:rsidRPr="002E4969">
        <w:t>saxagliptin</w:t>
      </w:r>
      <w:proofErr w:type="spellEnd"/>
      <w:r w:rsidRPr="002E4969">
        <w:t xml:space="preserve"> at 1 mg/kg/day (yielding 9</w:t>
      </w:r>
      <w:r w:rsidR="00F32616">
        <w:t xml:space="preserve"> </w:t>
      </w:r>
      <w:r w:rsidRPr="002E4969">
        <w:t>times the human AUC).</w:t>
      </w:r>
    </w:p>
    <w:p w:rsidR="002E4969" w:rsidRPr="002E4969" w:rsidRDefault="002E4969" w:rsidP="00734145">
      <w:pPr>
        <w:pStyle w:val="ListBullet"/>
      </w:pPr>
      <w:r w:rsidRPr="002E4969">
        <w:t>Treatment with the combination was associated with an increase in the incidence of wavy ribs in the f</w:t>
      </w:r>
      <w:r w:rsidR="00553F02">
        <w:t>o</w:t>
      </w:r>
      <w:r w:rsidRPr="002E4969">
        <w:t xml:space="preserve">etuses of treated rats (the finding </w:t>
      </w:r>
      <w:r w:rsidRPr="00734145">
        <w:t>occurring</w:t>
      </w:r>
      <w:r w:rsidRPr="002E4969">
        <w:t xml:space="preserve"> in conjunction with significant suppression of maternal body weight gain). In rabbits, the combination was poorly tolerated in comparison with the single agents, causing death, </w:t>
      </w:r>
      <w:proofErr w:type="spellStart"/>
      <w:r w:rsidRPr="002E4969">
        <w:t>moribundity</w:t>
      </w:r>
      <w:proofErr w:type="spellEnd"/>
      <w:r w:rsidRPr="002E4969">
        <w:t xml:space="preserve"> and abortion; mean f</w:t>
      </w:r>
      <w:r w:rsidR="00553F02">
        <w:t>o</w:t>
      </w:r>
      <w:r w:rsidRPr="002E4969">
        <w:t>etal weight was reduced and ossification of the pubis and hyoid was impaired. No treatment</w:t>
      </w:r>
      <w:r w:rsidR="00345761">
        <w:t xml:space="preserve"> </w:t>
      </w:r>
      <w:r w:rsidRPr="002E4969">
        <w:t xml:space="preserve">related </w:t>
      </w:r>
      <w:proofErr w:type="spellStart"/>
      <w:r w:rsidRPr="002E4969">
        <w:t>teratogenicity</w:t>
      </w:r>
      <w:proofErr w:type="spellEnd"/>
      <w:r w:rsidRPr="002E4969">
        <w:t xml:space="preserve"> was observed in either species.</w:t>
      </w:r>
    </w:p>
    <w:p w:rsidR="008E7846" w:rsidRPr="002E4969" w:rsidRDefault="002E4969" w:rsidP="00734145">
      <w:pPr>
        <w:pStyle w:val="ListBullet"/>
      </w:pPr>
      <w:r w:rsidRPr="002E4969">
        <w:t xml:space="preserve">There are no nonclinical objections to the </w:t>
      </w:r>
      <w:r w:rsidRPr="00734145">
        <w:t>registration</w:t>
      </w:r>
      <w:r w:rsidRPr="002E4969">
        <w:t xml:space="preserve"> of </w:t>
      </w:r>
      <w:proofErr w:type="spellStart"/>
      <w:r w:rsidRPr="002E4969">
        <w:t>Kombiglyze</w:t>
      </w:r>
      <w:proofErr w:type="spellEnd"/>
      <w:r w:rsidRPr="002E4969">
        <w:t>.</w:t>
      </w:r>
      <w:r w:rsidR="00367770">
        <w:rPr>
          <w:rStyle w:val="FootnoteReference"/>
        </w:rPr>
        <w:footnoteReference w:id="4"/>
      </w:r>
      <w:r w:rsidRPr="002E4969">
        <w:t xml:space="preserve"> </w:t>
      </w:r>
      <w:r w:rsidR="00367770">
        <w:t>Amendments to the PI were also recommended.</w:t>
      </w:r>
      <w:r w:rsidRPr="002E4969">
        <w:t xml:space="preserve">. The Nonclinical Safety Specification of the Risk Management Plan </w:t>
      </w:r>
      <w:r w:rsidR="00345761">
        <w:t xml:space="preserve">(RMP) </w:t>
      </w:r>
      <w:r w:rsidRPr="002E4969">
        <w:t>should be amended as directed</w:t>
      </w:r>
      <w:r>
        <w:t>.</w:t>
      </w:r>
    </w:p>
    <w:p w:rsidR="008E7846" w:rsidRPr="00254787" w:rsidRDefault="008E7846" w:rsidP="00734145">
      <w:pPr>
        <w:pStyle w:val="Heading2"/>
      </w:pPr>
      <w:bookmarkStart w:id="53" w:name="_Toc196046462"/>
      <w:bookmarkStart w:id="54" w:name="_Toc247691516"/>
      <w:bookmarkStart w:id="55" w:name="_Toc314842500"/>
      <w:bookmarkStart w:id="56" w:name="_Toc163441353"/>
      <w:bookmarkStart w:id="57" w:name="_Toc163441348"/>
      <w:bookmarkStart w:id="58" w:name="_Toc371598177"/>
      <w:r>
        <w:lastRenderedPageBreak/>
        <w:t xml:space="preserve">IV. </w:t>
      </w:r>
      <w:r w:rsidRPr="00254787">
        <w:t>Clinical</w:t>
      </w:r>
      <w:bookmarkEnd w:id="53"/>
      <w:r>
        <w:t xml:space="preserve"> </w:t>
      </w:r>
      <w:r w:rsidR="003A7F6C">
        <w:t>f</w:t>
      </w:r>
      <w:r>
        <w:t>indings</w:t>
      </w:r>
      <w:bookmarkEnd w:id="54"/>
      <w:bookmarkEnd w:id="55"/>
      <w:bookmarkEnd w:id="58"/>
    </w:p>
    <w:p w:rsidR="00C80137" w:rsidRPr="00964C5C" w:rsidRDefault="00C80137" w:rsidP="00734145">
      <w:bookmarkStart w:id="59" w:name="_Toc196046463"/>
      <w:r w:rsidRPr="00964C5C">
        <w:t>A summary of the clinical findings is presented in this section. Further details of these clinical findings can be found in Attachment 2.</w:t>
      </w:r>
    </w:p>
    <w:p w:rsidR="008E7846" w:rsidRDefault="008E7846" w:rsidP="00734145">
      <w:pPr>
        <w:pStyle w:val="Heading3"/>
      </w:pPr>
      <w:bookmarkStart w:id="60" w:name="_Toc247691517"/>
      <w:bookmarkStart w:id="61" w:name="_Toc314842501"/>
      <w:bookmarkStart w:id="62" w:name="_Toc371598178"/>
      <w:r w:rsidRPr="00734145">
        <w:t>Introduction</w:t>
      </w:r>
      <w:bookmarkEnd w:id="59"/>
      <w:bookmarkEnd w:id="60"/>
      <w:bookmarkEnd w:id="61"/>
      <w:bookmarkEnd w:id="62"/>
    </w:p>
    <w:p w:rsidR="005379AE" w:rsidRPr="005379AE" w:rsidRDefault="005379AE" w:rsidP="00734145">
      <w:r w:rsidRPr="005379AE">
        <w:t xml:space="preserve">The dossier is </w:t>
      </w:r>
      <w:r w:rsidR="00172464">
        <w:t>well presented.</w:t>
      </w:r>
      <w:r w:rsidRPr="005379AE">
        <w:t xml:space="preserve"> It is extensive and relies heavily on data which has previously been submitted to TGA to support the use of </w:t>
      </w:r>
      <w:proofErr w:type="spellStart"/>
      <w:r w:rsidRPr="005379AE">
        <w:t>saxagliptin</w:t>
      </w:r>
      <w:proofErr w:type="spellEnd"/>
      <w:r w:rsidRPr="005379AE">
        <w:t xml:space="preserve"> in combination with </w:t>
      </w:r>
      <w:proofErr w:type="spellStart"/>
      <w:r w:rsidRPr="005379AE">
        <w:t>metformin</w:t>
      </w:r>
      <w:proofErr w:type="spellEnd"/>
      <w:r w:rsidRPr="005379AE">
        <w:t xml:space="preserve">, but does include some newly submitted studies to support </w:t>
      </w:r>
      <w:r w:rsidR="00172464">
        <w:t xml:space="preserve">this dual combination therapy. </w:t>
      </w:r>
      <w:r w:rsidRPr="005379AE">
        <w:t>It does not include any efficacy/safety studies using the FDC product itself.</w:t>
      </w:r>
      <w:r w:rsidR="003C7F36">
        <w:t xml:space="preserve"> </w:t>
      </w:r>
      <w:r w:rsidRPr="005379AE">
        <w:t xml:space="preserve">Studies involving administration of the FDC are restricted to those conducted in healthy subjects to establish bioequivalence of the product with its component substances </w:t>
      </w:r>
      <w:proofErr w:type="spellStart"/>
      <w:r w:rsidRPr="005379AE">
        <w:t>saxagliptin</w:t>
      </w:r>
      <w:proofErr w:type="spellEnd"/>
      <w:r w:rsidRPr="005379AE">
        <w:t xml:space="preserve"> and </w:t>
      </w:r>
      <w:proofErr w:type="spellStart"/>
      <w:r w:rsidRPr="005379AE">
        <w:t>metformin</w:t>
      </w:r>
      <w:proofErr w:type="spellEnd"/>
      <w:r w:rsidRPr="005379AE">
        <w:t xml:space="preserve"> administered as separate tablets.</w:t>
      </w:r>
      <w:r w:rsidR="00172464">
        <w:t xml:space="preserve"> </w:t>
      </w:r>
      <w:proofErr w:type="spellStart"/>
      <w:r w:rsidRPr="005379AE">
        <w:t>Pharmacodynamic</w:t>
      </w:r>
      <w:proofErr w:type="spellEnd"/>
      <w:r w:rsidRPr="005379AE">
        <w:t xml:space="preserve"> data are also included to provide justification for the novel twice daily </w:t>
      </w:r>
      <w:proofErr w:type="spellStart"/>
      <w:r w:rsidRPr="005379AE">
        <w:t>saxagliptin</w:t>
      </w:r>
      <w:proofErr w:type="spellEnd"/>
      <w:r w:rsidRPr="005379AE">
        <w:t xml:space="preserve"> dosing regimen as outlined above.</w:t>
      </w:r>
      <w:r w:rsidR="00172464">
        <w:t xml:space="preserve"> </w:t>
      </w:r>
      <w:r w:rsidRPr="005379AE">
        <w:t xml:space="preserve">While the application letter and summary documents do not identify any component of the dossier as pivotal, the study providing this </w:t>
      </w:r>
      <w:proofErr w:type="spellStart"/>
      <w:r w:rsidRPr="005379AE">
        <w:t>pharmacodynamic</w:t>
      </w:r>
      <w:proofErr w:type="spellEnd"/>
      <w:r w:rsidRPr="005379AE">
        <w:t xml:space="preserve"> data (CV181152) is regarded as such by this evaluation as the single obvious change imposed by use of the </w:t>
      </w:r>
      <w:proofErr w:type="spellStart"/>
      <w:r w:rsidRPr="005379AE">
        <w:t>Kombiglyze</w:t>
      </w:r>
      <w:proofErr w:type="spellEnd"/>
      <w:r w:rsidRPr="005379AE">
        <w:t xml:space="preserve"> FDC is the change in </w:t>
      </w:r>
      <w:proofErr w:type="spellStart"/>
      <w:r w:rsidRPr="005379AE">
        <w:t>saxagliptin</w:t>
      </w:r>
      <w:proofErr w:type="spellEnd"/>
      <w:r w:rsidRPr="005379AE">
        <w:t xml:space="preserve"> dosing from once to twice daily.</w:t>
      </w:r>
    </w:p>
    <w:p w:rsidR="005379AE" w:rsidRPr="005379AE" w:rsidRDefault="005379AE" w:rsidP="00734145">
      <w:r w:rsidRPr="005379AE">
        <w:t>The submission contained the following clinical information:</w:t>
      </w:r>
    </w:p>
    <w:p w:rsidR="005379AE" w:rsidRPr="00734145" w:rsidRDefault="005379AE" w:rsidP="00734145">
      <w:pPr>
        <w:pStyle w:val="ListBullet"/>
      </w:pPr>
      <w:r w:rsidRPr="00734145">
        <w:t>6 clinical pharmacology studies, including 5 that provide pharmacokinetic data and 1 that provides</w:t>
      </w:r>
      <w:r w:rsidR="00172464" w:rsidRPr="00734145">
        <w:t xml:space="preserve"> </w:t>
      </w:r>
      <w:proofErr w:type="spellStart"/>
      <w:r w:rsidR="00172464" w:rsidRPr="00734145">
        <w:t>pharmacodynamic</w:t>
      </w:r>
      <w:proofErr w:type="spellEnd"/>
      <w:r w:rsidR="00172464" w:rsidRPr="00734145">
        <w:t xml:space="preserve"> data;</w:t>
      </w:r>
    </w:p>
    <w:p w:rsidR="005379AE" w:rsidRPr="00734145" w:rsidRDefault="005379AE" w:rsidP="00734145">
      <w:pPr>
        <w:pStyle w:val="ListBullet"/>
      </w:pPr>
      <w:r w:rsidRPr="00734145">
        <w:t xml:space="preserve">1 efficacy/safety study (CV181057) regarded by this evaluation as pivotal, as it supports the only aspect of </w:t>
      </w:r>
      <w:proofErr w:type="spellStart"/>
      <w:r w:rsidRPr="00734145">
        <w:t>saxagliptin</w:t>
      </w:r>
      <w:proofErr w:type="spellEnd"/>
      <w:r w:rsidRPr="00734145">
        <w:t>/</w:t>
      </w:r>
      <w:proofErr w:type="spellStart"/>
      <w:r w:rsidRPr="00734145">
        <w:t>metformin</w:t>
      </w:r>
      <w:proofErr w:type="spellEnd"/>
      <w:r w:rsidRPr="00734145">
        <w:t xml:space="preserve"> dual combination therapy included in the application which is not yet approved, th</w:t>
      </w:r>
      <w:r w:rsidR="00172464" w:rsidRPr="00734145">
        <w:t>at of use together with insulin;</w:t>
      </w:r>
    </w:p>
    <w:p w:rsidR="005379AE" w:rsidRPr="00734145" w:rsidRDefault="005379AE" w:rsidP="00734145">
      <w:pPr>
        <w:pStyle w:val="ListBullet"/>
      </w:pPr>
      <w:r w:rsidRPr="00734145">
        <w:t>7 other efficacy/safety studies</w:t>
      </w:r>
      <w:r w:rsidR="00172464" w:rsidRPr="00734145">
        <w:t>.</w:t>
      </w:r>
    </w:p>
    <w:p w:rsidR="008E7846" w:rsidRPr="00254787" w:rsidRDefault="008E7846" w:rsidP="00734145">
      <w:pPr>
        <w:pStyle w:val="Heading3"/>
      </w:pPr>
      <w:bookmarkStart w:id="63" w:name="_Toc196046464"/>
      <w:bookmarkStart w:id="64" w:name="_Toc247691518"/>
      <w:bookmarkStart w:id="65" w:name="_Toc314842502"/>
      <w:bookmarkStart w:id="66" w:name="_Toc371598179"/>
      <w:r w:rsidRPr="00734145">
        <w:t>Pharmacokinetics</w:t>
      </w:r>
      <w:bookmarkEnd w:id="56"/>
      <w:bookmarkEnd w:id="63"/>
      <w:bookmarkEnd w:id="64"/>
      <w:bookmarkEnd w:id="65"/>
      <w:bookmarkEnd w:id="66"/>
    </w:p>
    <w:p w:rsidR="00265F7A" w:rsidRPr="00C05DC5" w:rsidRDefault="00265F7A" w:rsidP="00734145">
      <w:pPr>
        <w:pStyle w:val="Heading4"/>
      </w:pPr>
      <w:bookmarkStart w:id="67" w:name="_Toc241374296"/>
      <w:bookmarkStart w:id="68" w:name="_Ref269982040"/>
      <w:bookmarkStart w:id="69" w:name="_Ref271018704"/>
      <w:bookmarkStart w:id="70" w:name="_Ref271018755"/>
      <w:bookmarkStart w:id="71" w:name="_Toc272414635"/>
      <w:bookmarkStart w:id="72" w:name="_Toc290846258"/>
      <w:bookmarkStart w:id="73" w:name="_Toc335386018"/>
      <w:r w:rsidRPr="00C05DC5">
        <w:t xml:space="preserve">Evaluator’s </w:t>
      </w:r>
      <w:r w:rsidRPr="00734145">
        <w:t>overall</w:t>
      </w:r>
      <w:r w:rsidRPr="00C05DC5">
        <w:t xml:space="preserve"> conclusions on pharmacokinetics</w:t>
      </w:r>
      <w:bookmarkEnd w:id="67"/>
      <w:bookmarkEnd w:id="68"/>
      <w:bookmarkEnd w:id="69"/>
      <w:bookmarkEnd w:id="70"/>
      <w:bookmarkEnd w:id="71"/>
      <w:bookmarkEnd w:id="72"/>
      <w:bookmarkEnd w:id="73"/>
    </w:p>
    <w:p w:rsidR="00734145" w:rsidRDefault="006D3476" w:rsidP="00734145">
      <w:r w:rsidRPr="006D3476">
        <w:t xml:space="preserve">The bioequivalence studies show robust evidence of close equivalence between the applicant FDC product and its component substances </w:t>
      </w:r>
      <w:proofErr w:type="spellStart"/>
      <w:r w:rsidRPr="006D3476">
        <w:t>saxagliptin</w:t>
      </w:r>
      <w:proofErr w:type="spellEnd"/>
      <w:r w:rsidRPr="006D3476">
        <w:t xml:space="preserve"> and </w:t>
      </w:r>
      <w:proofErr w:type="spellStart"/>
      <w:r w:rsidRPr="006D3476">
        <w:t>metformin</w:t>
      </w:r>
      <w:proofErr w:type="spellEnd"/>
      <w:r w:rsidRPr="006D3476">
        <w:t xml:space="preserve"> administered together as separate tablets.</w:t>
      </w:r>
      <w:r>
        <w:t xml:space="preserve"> </w:t>
      </w:r>
      <w:r w:rsidRPr="006D3476">
        <w:t>Study CV181120 bridges these findings to products whic</w:t>
      </w:r>
      <w:r>
        <w:t xml:space="preserve">h are registered in Australia. </w:t>
      </w:r>
      <w:r w:rsidRPr="006D3476">
        <w:t xml:space="preserve">Overall, these findings are strongly supportive of the product as being equivalent to dual combination of </w:t>
      </w:r>
      <w:proofErr w:type="spellStart"/>
      <w:r w:rsidRPr="006D3476">
        <w:t>saxagliptin</w:t>
      </w:r>
      <w:proofErr w:type="spellEnd"/>
      <w:r w:rsidRPr="006D3476">
        <w:t xml:space="preserve"> and </w:t>
      </w:r>
      <w:proofErr w:type="spellStart"/>
      <w:r w:rsidRPr="006D3476">
        <w:t>metformin</w:t>
      </w:r>
      <w:proofErr w:type="spellEnd"/>
      <w:r w:rsidRPr="006D3476">
        <w:t xml:space="preserve"> administered separa</w:t>
      </w:r>
      <w:r>
        <w:t>tely in a twice</w:t>
      </w:r>
      <w:r w:rsidR="00863CC0">
        <w:t xml:space="preserve"> </w:t>
      </w:r>
      <w:r>
        <w:t xml:space="preserve">daily regimen. </w:t>
      </w:r>
      <w:r w:rsidRPr="006D3476">
        <w:t xml:space="preserve">Study CV181152 shows that daily exposure to </w:t>
      </w:r>
      <w:proofErr w:type="spellStart"/>
      <w:r w:rsidRPr="006D3476">
        <w:t>saxagliptin</w:t>
      </w:r>
      <w:proofErr w:type="spellEnd"/>
      <w:r w:rsidRPr="006D3476">
        <w:t xml:space="preserve"> is unaffected by the change from a once</w:t>
      </w:r>
      <w:r w:rsidR="00092669">
        <w:t xml:space="preserve"> </w:t>
      </w:r>
      <w:r w:rsidRPr="006D3476">
        <w:t>daily to twice</w:t>
      </w:r>
      <w:r w:rsidR="00092669">
        <w:t xml:space="preserve"> </w:t>
      </w:r>
      <w:r w:rsidRPr="006D3476">
        <w:t xml:space="preserve">daily administration regimen but leaves open the question as to whether its </w:t>
      </w:r>
      <w:proofErr w:type="spellStart"/>
      <w:r w:rsidRPr="006D3476">
        <w:t>pharmacodynamic</w:t>
      </w:r>
      <w:proofErr w:type="spellEnd"/>
      <w:r w:rsidRPr="006D3476">
        <w:t xml:space="preserve"> action, and hence its efficacy, might be altered as a result of the marked change in diurnal distribution of </w:t>
      </w:r>
      <w:proofErr w:type="spellStart"/>
      <w:r w:rsidRPr="006D3476">
        <w:t>saxagliptin</w:t>
      </w:r>
      <w:proofErr w:type="spellEnd"/>
      <w:r w:rsidRPr="006D3476">
        <w:t xml:space="preserve"> exposure seen with the twice</w:t>
      </w:r>
      <w:r w:rsidR="00092669">
        <w:t xml:space="preserve"> </w:t>
      </w:r>
      <w:r w:rsidRPr="006D3476">
        <w:t>daily regimen (</w:t>
      </w:r>
      <w:r>
        <w:t>Figure 4</w:t>
      </w:r>
      <w:r w:rsidRPr="006D3476">
        <w:t>).</w:t>
      </w:r>
    </w:p>
    <w:p w:rsidR="006D3476" w:rsidRDefault="006D3476" w:rsidP="003E1FC4">
      <w:pPr>
        <w:pStyle w:val="FigureTitle"/>
        <w:keepNext/>
        <w:rPr>
          <w:lang w:val="en-GB"/>
        </w:rPr>
      </w:pPr>
      <w:r>
        <w:lastRenderedPageBreak/>
        <w:t>Figure 4:</w:t>
      </w:r>
      <w:r w:rsidRPr="004C5C28">
        <w:t xml:space="preserve"> </w:t>
      </w:r>
      <w:r>
        <w:t>T</w:t>
      </w:r>
      <w:r w:rsidRPr="006D3476">
        <w:t xml:space="preserve">ime-concentration curves for the two treatments </w:t>
      </w:r>
      <w:r>
        <w:t xml:space="preserve">(open squares: once </w:t>
      </w:r>
      <w:r w:rsidRPr="006D3476">
        <w:t>daily treatment; closed squares: twice daily</w:t>
      </w:r>
      <w:r>
        <w:t>).</w:t>
      </w:r>
    </w:p>
    <w:p w:rsidR="006D3476" w:rsidRPr="006D3476" w:rsidRDefault="00D47E1A" w:rsidP="006D3476">
      <w:pPr>
        <w:jc w:val="center"/>
      </w:pPr>
      <w:r>
        <w:rPr>
          <w:noProof/>
          <w:lang w:eastAsia="en-AU"/>
        </w:rPr>
        <w:drawing>
          <wp:inline distT="0" distB="0" distL="0" distR="0">
            <wp:extent cx="4038600" cy="1895475"/>
            <wp:effectExtent l="19050" t="0" r="0" b="0"/>
            <wp:docPr id="10" name="Picture 10" descr="Graph showing time-concentration curves for the two treat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1"/>
                    <pic:cNvPicPr>
                      <a:picLocks noChangeAspect="1" noChangeArrowheads="1"/>
                    </pic:cNvPicPr>
                  </pic:nvPicPr>
                  <pic:blipFill>
                    <a:blip r:embed="rId21" cstate="print"/>
                    <a:srcRect/>
                    <a:stretch>
                      <a:fillRect/>
                    </a:stretch>
                  </pic:blipFill>
                  <pic:spPr bwMode="auto">
                    <a:xfrm>
                      <a:off x="0" y="0"/>
                      <a:ext cx="4038600" cy="1895475"/>
                    </a:xfrm>
                    <a:prstGeom prst="rect">
                      <a:avLst/>
                    </a:prstGeom>
                    <a:noFill/>
                    <a:ln w="9525">
                      <a:noFill/>
                      <a:miter lim="800000"/>
                      <a:headEnd/>
                      <a:tailEnd/>
                    </a:ln>
                  </pic:spPr>
                </pic:pic>
              </a:graphicData>
            </a:graphic>
          </wp:inline>
        </w:drawing>
      </w:r>
    </w:p>
    <w:p w:rsidR="006D3476" w:rsidRPr="006D3476" w:rsidRDefault="006D3476" w:rsidP="00734145">
      <w:r w:rsidRPr="006D3476">
        <w:t>The food effect appears to be of no clinical significance, applies to the two component drugs whether administered separately or in combination, and is therefore not critical to the evaluation of the FDC.</w:t>
      </w:r>
      <w:r w:rsidR="003C7F36">
        <w:t xml:space="preserve"> </w:t>
      </w:r>
      <w:r w:rsidR="00FE1F4D">
        <w:t>Likewise, the pharmacokinetic</w:t>
      </w:r>
      <w:r w:rsidRPr="006D3476">
        <w:t xml:space="preserve"> interactions with respect to </w:t>
      </w:r>
      <w:proofErr w:type="spellStart"/>
      <w:r w:rsidRPr="006D3476">
        <w:t>saxagliptin</w:t>
      </w:r>
      <w:proofErr w:type="spellEnd"/>
      <w:r w:rsidRPr="006D3476">
        <w:t xml:space="preserve"> are noted, are described in the draft PI, but are not specific to the FDC.</w:t>
      </w:r>
    </w:p>
    <w:p w:rsidR="008E7846" w:rsidRDefault="008E7846" w:rsidP="00734145">
      <w:pPr>
        <w:pStyle w:val="Heading3"/>
      </w:pPr>
      <w:bookmarkStart w:id="74" w:name="_Toc196046481"/>
      <w:bookmarkStart w:id="75" w:name="_Toc247691520"/>
      <w:bookmarkStart w:id="76" w:name="_Toc314842503"/>
      <w:bookmarkStart w:id="77" w:name="_Toc371598180"/>
      <w:proofErr w:type="spellStart"/>
      <w:r w:rsidRPr="00734145">
        <w:t>Pharmacodynamics</w:t>
      </w:r>
      <w:bookmarkEnd w:id="57"/>
      <w:bookmarkEnd w:id="74"/>
      <w:bookmarkEnd w:id="75"/>
      <w:bookmarkEnd w:id="76"/>
      <w:bookmarkEnd w:id="77"/>
      <w:proofErr w:type="spellEnd"/>
    </w:p>
    <w:p w:rsidR="00265F7A" w:rsidRPr="00C05DC5" w:rsidRDefault="00265F7A" w:rsidP="00734145">
      <w:pPr>
        <w:pStyle w:val="Heading4"/>
      </w:pPr>
      <w:bookmarkStart w:id="78" w:name="_Ref269983272"/>
      <w:bookmarkStart w:id="79" w:name="_Toc272414648"/>
      <w:bookmarkStart w:id="80" w:name="_Toc290846270"/>
      <w:bookmarkStart w:id="81" w:name="_Toc335386029"/>
      <w:r w:rsidRPr="00C05DC5">
        <w:t xml:space="preserve">Evaluator’s overall conclusions on </w:t>
      </w:r>
      <w:proofErr w:type="spellStart"/>
      <w:r w:rsidRPr="00C05DC5">
        <w:t>pharmacodynamics</w:t>
      </w:r>
      <w:bookmarkEnd w:id="78"/>
      <w:bookmarkEnd w:id="79"/>
      <w:bookmarkEnd w:id="80"/>
      <w:bookmarkEnd w:id="81"/>
      <w:proofErr w:type="spellEnd"/>
    </w:p>
    <w:p w:rsidR="00265F7A" w:rsidRPr="00265F7A" w:rsidRDefault="00265F7A" w:rsidP="00734145">
      <w:r w:rsidRPr="00265F7A">
        <w:t xml:space="preserve">The </w:t>
      </w:r>
      <w:proofErr w:type="spellStart"/>
      <w:r w:rsidRPr="00265F7A">
        <w:t>pharmacodynamic</w:t>
      </w:r>
      <w:proofErr w:type="spellEnd"/>
      <w:r w:rsidRPr="00265F7A">
        <w:t xml:space="preserve"> response to the </w:t>
      </w:r>
      <w:proofErr w:type="spellStart"/>
      <w:r w:rsidRPr="00265F7A">
        <w:t>saxagliptin</w:t>
      </w:r>
      <w:proofErr w:type="spellEnd"/>
      <w:r w:rsidRPr="00265F7A">
        <w:t xml:space="preserve"> component of the FDC is not altered, in healthy adults, by the change from once</w:t>
      </w:r>
      <w:r w:rsidR="004841CA">
        <w:t xml:space="preserve"> </w:t>
      </w:r>
      <w:r w:rsidRPr="00265F7A">
        <w:t>daily 5 mg administration in the morning to the 2.5 mg twice daily dosing of the FDC product. No similar study has been conducted in the target population (T2DM patients), but it is not felt likely that findings in relation to timing of these responses would be any different from those in healthy adults.</w:t>
      </w:r>
      <w:r w:rsidR="003C7F36">
        <w:t xml:space="preserve"> </w:t>
      </w:r>
      <w:r w:rsidRPr="00265F7A">
        <w:t xml:space="preserve">Response as measured by total DPP-4 inhibition and resultant enhancement of </w:t>
      </w:r>
      <w:r w:rsidR="00BD0940">
        <w:t>GLP-1 secretion over the 24 h</w:t>
      </w:r>
      <w:r w:rsidRPr="00265F7A">
        <w:t xml:space="preserve"> dosing interval is unchanged.</w:t>
      </w:r>
      <w:r w:rsidR="003C7F36">
        <w:t xml:space="preserve"> </w:t>
      </w:r>
      <w:r w:rsidRPr="00265F7A">
        <w:t>There is subtle evidence, statistically unconfirmed and not claimed by the sponsor, that DPP-4 inhibition is more r</w:t>
      </w:r>
      <w:r w:rsidR="00B26788">
        <w:t>eliably maintained over 24 h</w:t>
      </w:r>
      <w:r w:rsidRPr="00265F7A">
        <w:t xml:space="preserve"> with the twice</w:t>
      </w:r>
      <w:r w:rsidR="00B26788">
        <w:t xml:space="preserve"> </w:t>
      </w:r>
      <w:r w:rsidRPr="00265F7A">
        <w:t>daily regimen.</w:t>
      </w:r>
      <w:r w:rsidR="003C7F36">
        <w:t xml:space="preserve"> </w:t>
      </w:r>
      <w:r w:rsidRPr="00265F7A">
        <w:t xml:space="preserve">This does not appear to be of a degree which would impact significantly on the therapeutic use of the product; if anything, such effect would most likely be beneficial, although there is no specific evidence on this point, as the application does not contain a study which directly compares </w:t>
      </w:r>
      <w:proofErr w:type="spellStart"/>
      <w:r w:rsidRPr="00265F7A">
        <w:t>glycaemic</w:t>
      </w:r>
      <w:proofErr w:type="spellEnd"/>
      <w:r w:rsidRPr="00265F7A">
        <w:t xml:space="preserve"> </w:t>
      </w:r>
      <w:r w:rsidR="00B26788">
        <w:t xml:space="preserve">efficacy of the once and twice </w:t>
      </w:r>
      <w:r w:rsidRPr="00265F7A">
        <w:t>daily treatment regimens.</w:t>
      </w:r>
    </w:p>
    <w:p w:rsidR="008E7846" w:rsidRPr="00254787" w:rsidRDefault="008E7846" w:rsidP="00734145">
      <w:pPr>
        <w:pStyle w:val="Heading3"/>
      </w:pPr>
      <w:bookmarkStart w:id="82" w:name="_Toc163441372"/>
      <w:bookmarkStart w:id="83" w:name="_Toc196046485"/>
      <w:bookmarkStart w:id="84" w:name="_Toc247691521"/>
      <w:bookmarkStart w:id="85" w:name="_Toc314842504"/>
      <w:bookmarkStart w:id="86" w:name="_Toc371598181"/>
      <w:r w:rsidRPr="00734145">
        <w:t>Efficacy</w:t>
      </w:r>
      <w:bookmarkEnd w:id="82"/>
      <w:bookmarkEnd w:id="83"/>
      <w:bookmarkEnd w:id="84"/>
      <w:bookmarkEnd w:id="85"/>
      <w:bookmarkEnd w:id="86"/>
    </w:p>
    <w:p w:rsidR="00F14797" w:rsidRDefault="00F14797" w:rsidP="00734145">
      <w:bookmarkStart w:id="87" w:name="_Toc333524000"/>
      <w:bookmarkStart w:id="88" w:name="_Toc334068558"/>
      <w:bookmarkStart w:id="89" w:name="_Toc335386032"/>
      <w:bookmarkStart w:id="90" w:name="_Toc184439992"/>
      <w:bookmarkStart w:id="91" w:name="_Toc184440279"/>
      <w:bookmarkStart w:id="92" w:name="_Toc184444657"/>
      <w:bookmarkStart w:id="93" w:name="_Toc196046487"/>
      <w:r w:rsidRPr="00F14797">
        <w:t>The claimed indica</w:t>
      </w:r>
      <w:r>
        <w:t xml:space="preserve">tion for the </w:t>
      </w:r>
      <w:proofErr w:type="spellStart"/>
      <w:r>
        <w:t>Kombiglyze</w:t>
      </w:r>
      <w:proofErr w:type="spellEnd"/>
      <w:r>
        <w:t xml:space="preserve"> FDC is:</w:t>
      </w:r>
    </w:p>
    <w:p w:rsidR="00F14797" w:rsidRPr="00734145" w:rsidRDefault="00F14797" w:rsidP="00734145">
      <w:pPr>
        <w:ind w:left="720"/>
        <w:rPr>
          <w:i/>
        </w:rPr>
      </w:pPr>
      <w:r w:rsidRPr="00734145">
        <w:rPr>
          <w:i/>
        </w:rPr>
        <w:t xml:space="preserve">as an adjunct to diet and exercise to improve </w:t>
      </w:r>
      <w:proofErr w:type="spellStart"/>
      <w:r w:rsidRPr="00734145">
        <w:rPr>
          <w:i/>
        </w:rPr>
        <w:t>glycemic</w:t>
      </w:r>
      <w:proofErr w:type="spellEnd"/>
      <w:r w:rsidRPr="00734145">
        <w:rPr>
          <w:i/>
        </w:rPr>
        <w:t xml:space="preserve"> control in adults with type 2 diabetes mellitus when treatment with both </w:t>
      </w:r>
      <w:proofErr w:type="spellStart"/>
      <w:r w:rsidRPr="00734145">
        <w:rPr>
          <w:i/>
        </w:rPr>
        <w:t>saxagliptin</w:t>
      </w:r>
      <w:proofErr w:type="spellEnd"/>
      <w:r w:rsidRPr="00734145">
        <w:rPr>
          <w:i/>
        </w:rPr>
        <w:t xml:space="preserve"> and </w:t>
      </w:r>
      <w:proofErr w:type="spellStart"/>
      <w:r w:rsidRPr="00734145">
        <w:rPr>
          <w:i/>
        </w:rPr>
        <w:t>metformin</w:t>
      </w:r>
      <w:proofErr w:type="spellEnd"/>
      <w:r w:rsidRPr="00734145">
        <w:rPr>
          <w:i/>
        </w:rPr>
        <w:t xml:space="preserve"> is appropriate.</w:t>
      </w:r>
      <w:bookmarkEnd w:id="87"/>
      <w:bookmarkEnd w:id="88"/>
      <w:bookmarkEnd w:id="89"/>
    </w:p>
    <w:p w:rsidR="00F14797" w:rsidRPr="00F14797" w:rsidRDefault="00F14797" w:rsidP="00734145">
      <w:bookmarkStart w:id="94" w:name="_Toc333524001"/>
      <w:bookmarkStart w:id="95" w:name="_Toc334068559"/>
      <w:bookmarkStart w:id="96" w:name="_Toc335386033"/>
      <w:r w:rsidRPr="00F14797">
        <w:t xml:space="preserve">Of the efficacy/safety studies included with the application, none strictly fits the definition of a pivotal study as none was conducted using the applicant product </w:t>
      </w:r>
      <w:proofErr w:type="spellStart"/>
      <w:r w:rsidRPr="00F14797">
        <w:t>Kombiglyze</w:t>
      </w:r>
      <w:proofErr w:type="spellEnd"/>
      <w:r w:rsidRPr="00F14797">
        <w:t>.</w:t>
      </w:r>
      <w:r w:rsidR="003C7F36">
        <w:t xml:space="preserve"> </w:t>
      </w:r>
      <w:r w:rsidRPr="00F14797">
        <w:t xml:space="preserve">The efficacy studies submitted bear upon various aspects of the therapeutic use of </w:t>
      </w:r>
      <w:proofErr w:type="spellStart"/>
      <w:r w:rsidRPr="00F14797">
        <w:t>saxagliptin</w:t>
      </w:r>
      <w:proofErr w:type="spellEnd"/>
      <w:r w:rsidRPr="00F14797">
        <w:t xml:space="preserve"> and </w:t>
      </w:r>
      <w:proofErr w:type="spellStart"/>
      <w:r w:rsidRPr="00F14797">
        <w:t>metformin</w:t>
      </w:r>
      <w:proofErr w:type="spellEnd"/>
      <w:r w:rsidRPr="00F14797">
        <w:t xml:space="preserve"> in dual combination therapy as separate formulations.</w:t>
      </w:r>
      <w:r w:rsidR="003C7F36">
        <w:t xml:space="preserve"> </w:t>
      </w:r>
      <w:r w:rsidRPr="00F14797">
        <w:t>Of these eight studies, together with their long</w:t>
      </w:r>
      <w:r w:rsidR="00204238">
        <w:t xml:space="preserve"> term extensions and </w:t>
      </w:r>
      <w:r w:rsidR="00204238" w:rsidRPr="00204238">
        <w:t xml:space="preserve">International System of Units </w:t>
      </w:r>
      <w:r w:rsidR="00204238">
        <w:t xml:space="preserve">(SI) </w:t>
      </w:r>
      <w:r w:rsidRPr="00F14797">
        <w:t xml:space="preserve">compliant versions constituting a total of 14 reports altogether, the one most critical to the application is </w:t>
      </w:r>
      <w:r w:rsidR="00A33E29">
        <w:t>S</w:t>
      </w:r>
      <w:r w:rsidRPr="00F14797">
        <w:t>tudy CV</w:t>
      </w:r>
      <w:r w:rsidR="00A33E29">
        <w:t xml:space="preserve"> </w:t>
      </w:r>
      <w:r w:rsidRPr="00F14797">
        <w:t>181080, in which a twice</w:t>
      </w:r>
      <w:r w:rsidR="00204238">
        <w:t xml:space="preserve"> </w:t>
      </w:r>
      <w:r w:rsidRPr="00F14797">
        <w:t xml:space="preserve">daily dose of </w:t>
      </w:r>
      <w:proofErr w:type="spellStart"/>
      <w:r w:rsidRPr="00F14797">
        <w:t>saxagliptin</w:t>
      </w:r>
      <w:proofErr w:type="spellEnd"/>
      <w:r w:rsidRPr="00F14797">
        <w:t xml:space="preserve"> was employed.</w:t>
      </w:r>
      <w:r w:rsidR="003C7F36">
        <w:t xml:space="preserve"> </w:t>
      </w:r>
      <w:r w:rsidRPr="00F14797">
        <w:t>This has therefore been included as a pivotal efficacy study for the purpose of this report together with the long</w:t>
      </w:r>
      <w:r w:rsidR="00204238">
        <w:t xml:space="preserve"> </w:t>
      </w:r>
      <w:r w:rsidRPr="00F14797">
        <w:t xml:space="preserve">term extension of </w:t>
      </w:r>
      <w:r w:rsidR="00A33E29">
        <w:t>S</w:t>
      </w:r>
      <w:r w:rsidRPr="00F14797">
        <w:t>tudy CV 181057 which was</w:t>
      </w:r>
      <w:r w:rsidR="00204238">
        <w:t xml:space="preserve"> previously </w:t>
      </w:r>
      <w:r w:rsidR="00204238">
        <w:lastRenderedPageBreak/>
        <w:t>evaluated in the clinical evaluation report</w:t>
      </w:r>
      <w:r w:rsidRPr="00F14797">
        <w:t xml:space="preserve"> as the pivotal study with reference use of insulin with </w:t>
      </w:r>
      <w:proofErr w:type="spellStart"/>
      <w:r w:rsidRPr="00F14797">
        <w:t>saxagliptin</w:t>
      </w:r>
      <w:proofErr w:type="spellEnd"/>
      <w:r w:rsidRPr="00F14797">
        <w:t xml:space="preserve">, with or without </w:t>
      </w:r>
      <w:proofErr w:type="spellStart"/>
      <w:r w:rsidRPr="00F14797">
        <w:t>metformin</w:t>
      </w:r>
      <w:proofErr w:type="spellEnd"/>
      <w:r w:rsidRPr="00F14797">
        <w:t>.</w:t>
      </w:r>
      <w:bookmarkEnd w:id="94"/>
      <w:bookmarkEnd w:id="95"/>
      <w:bookmarkEnd w:id="96"/>
    </w:p>
    <w:p w:rsidR="00A06996" w:rsidRPr="00A06996" w:rsidRDefault="00A06996" w:rsidP="00A06996">
      <w:pPr>
        <w:pStyle w:val="Heading4"/>
      </w:pPr>
      <w:bookmarkStart w:id="97" w:name="_Ref271126605"/>
      <w:bookmarkStart w:id="98" w:name="_Toc272414657"/>
      <w:bookmarkStart w:id="99" w:name="_Toc290846282"/>
      <w:bookmarkStart w:id="100" w:name="_Ref334971229"/>
      <w:bookmarkStart w:id="101" w:name="_Ref335050021"/>
      <w:bookmarkStart w:id="102" w:name="_Toc335386047"/>
      <w:r w:rsidRPr="00A06996">
        <w:t>Evaluator’s conclusions on cl</w:t>
      </w:r>
      <w:r w:rsidRPr="00734145">
        <w:t>i</w:t>
      </w:r>
      <w:r w:rsidRPr="00A06996">
        <w:t xml:space="preserve">nical efficacy for </w:t>
      </w:r>
      <w:bookmarkEnd w:id="97"/>
      <w:bookmarkEnd w:id="98"/>
      <w:bookmarkEnd w:id="99"/>
      <w:r w:rsidRPr="00A06996">
        <w:t>the proposed indication</w:t>
      </w:r>
      <w:bookmarkEnd w:id="100"/>
      <w:bookmarkEnd w:id="101"/>
      <w:bookmarkEnd w:id="102"/>
    </w:p>
    <w:p w:rsidR="0086532B" w:rsidRDefault="0086532B" w:rsidP="00734145">
      <w:r>
        <w:t>The full proposed indication is</w:t>
      </w:r>
    </w:p>
    <w:p w:rsidR="0086532B" w:rsidRPr="00734145" w:rsidRDefault="00A06996" w:rsidP="00734145">
      <w:pPr>
        <w:ind w:left="720"/>
        <w:rPr>
          <w:i/>
        </w:rPr>
      </w:pPr>
      <w:r w:rsidRPr="00734145">
        <w:rPr>
          <w:i/>
        </w:rPr>
        <w:t xml:space="preserve">"as an adjunct to diet and exercise to improve </w:t>
      </w:r>
      <w:proofErr w:type="spellStart"/>
      <w:r w:rsidRPr="00734145">
        <w:rPr>
          <w:i/>
        </w:rPr>
        <w:t>glycemic</w:t>
      </w:r>
      <w:proofErr w:type="spellEnd"/>
      <w:r w:rsidRPr="00734145">
        <w:rPr>
          <w:i/>
        </w:rPr>
        <w:t xml:space="preserve"> control in adults with type 2 diabetes mellitus when treatment with both </w:t>
      </w:r>
      <w:proofErr w:type="spellStart"/>
      <w:r w:rsidRPr="00734145">
        <w:rPr>
          <w:i/>
        </w:rPr>
        <w:t>saxagliptin</w:t>
      </w:r>
      <w:proofErr w:type="spellEnd"/>
      <w:r w:rsidRPr="00734145">
        <w:rPr>
          <w:i/>
        </w:rPr>
        <w:t xml:space="preserve"> and </w:t>
      </w:r>
      <w:proofErr w:type="spellStart"/>
      <w:r w:rsidRPr="00734145">
        <w:rPr>
          <w:i/>
        </w:rPr>
        <w:t>metformin</w:t>
      </w:r>
      <w:proofErr w:type="spellEnd"/>
      <w:r w:rsidRPr="00734145">
        <w:rPr>
          <w:i/>
        </w:rPr>
        <w:t xml:space="preserve"> is appropriate</w:t>
      </w:r>
      <w:r w:rsidR="0086532B" w:rsidRPr="00734145">
        <w:rPr>
          <w:i/>
        </w:rPr>
        <w:t>".</w:t>
      </w:r>
    </w:p>
    <w:p w:rsidR="00A06996" w:rsidRPr="00A06996" w:rsidRDefault="00A06996" w:rsidP="00734145">
      <w:r w:rsidRPr="00A06996">
        <w:t xml:space="preserve">Accordingly, conclusions to be drawn about the efficacy of the </w:t>
      </w:r>
      <w:proofErr w:type="spellStart"/>
      <w:r w:rsidRPr="00A06996">
        <w:t>saxagliptin</w:t>
      </w:r>
      <w:proofErr w:type="spellEnd"/>
      <w:r w:rsidRPr="00A06996">
        <w:t>/</w:t>
      </w:r>
      <w:proofErr w:type="spellStart"/>
      <w:r w:rsidRPr="00A06996">
        <w:t>metformin</w:t>
      </w:r>
      <w:proofErr w:type="spellEnd"/>
      <w:r w:rsidRPr="00A06996">
        <w:t xml:space="preserve"> FDC must comply with the primacy of lifestyle measures (diet and exercise) in any treatment algorithm for T2DM.</w:t>
      </w:r>
    </w:p>
    <w:p w:rsidR="00A06996" w:rsidRPr="00A06996" w:rsidRDefault="00A06996" w:rsidP="00734145">
      <w:r w:rsidRPr="00A06996">
        <w:t>There are</w:t>
      </w:r>
      <w:r w:rsidR="000456B2">
        <w:t xml:space="preserve"> two aspects to be considered. First</w:t>
      </w:r>
      <w:r w:rsidRPr="00A06996">
        <w:t xml:space="preserve">, and certainly the main brief of this evaluation, is the question of whether </w:t>
      </w:r>
      <w:proofErr w:type="spellStart"/>
      <w:r w:rsidRPr="00A06996">
        <w:t>Kombiglyze</w:t>
      </w:r>
      <w:proofErr w:type="spellEnd"/>
      <w:r w:rsidRPr="00A06996">
        <w:t xml:space="preserve"> is efficacious as a substitute for </w:t>
      </w:r>
      <w:proofErr w:type="spellStart"/>
      <w:r w:rsidRPr="00A06996">
        <w:t>saxagliptin</w:t>
      </w:r>
      <w:proofErr w:type="spellEnd"/>
      <w:r w:rsidRPr="00A06996">
        <w:t xml:space="preserve"> and </w:t>
      </w:r>
      <w:proofErr w:type="spellStart"/>
      <w:r w:rsidRPr="00A06996">
        <w:t>metformin</w:t>
      </w:r>
      <w:proofErr w:type="spellEnd"/>
      <w:r w:rsidRPr="00A06996">
        <w:t xml:space="preserve"> </w:t>
      </w:r>
      <w:proofErr w:type="spellStart"/>
      <w:r w:rsidRPr="00A06996">
        <w:t>coadministered</w:t>
      </w:r>
      <w:proofErr w:type="spellEnd"/>
      <w:r w:rsidRPr="00A06996">
        <w:t xml:space="preserve"> as separate products whenever their use is appropriate; most obviously</w:t>
      </w:r>
      <w:r w:rsidR="006B125D">
        <w:t xml:space="preserve"> this is</w:t>
      </w:r>
      <w:r w:rsidRPr="00A06996">
        <w:t xml:space="preserve"> when the patient is already being effectively treated with both drugs.</w:t>
      </w:r>
      <w:r w:rsidR="003C7F36">
        <w:t xml:space="preserve"> </w:t>
      </w:r>
      <w:r w:rsidRPr="00A06996">
        <w:t xml:space="preserve">This latter situation is what meets the definition of a </w:t>
      </w:r>
      <w:r w:rsidRPr="0086532B">
        <w:rPr>
          <w:i/>
        </w:rPr>
        <w:t>substitution indication</w:t>
      </w:r>
      <w:r w:rsidR="000C6CDA">
        <w:t xml:space="preserve"> in the relevant EM</w:t>
      </w:r>
      <w:r w:rsidRPr="00A06996">
        <w:t>A/TGA guideline</w:t>
      </w:r>
      <w:r w:rsidR="00AF22F7">
        <w:t>.</w:t>
      </w:r>
      <w:r w:rsidR="00AF22F7">
        <w:rPr>
          <w:rStyle w:val="FootnoteReference"/>
        </w:rPr>
        <w:footnoteReference w:id="5"/>
      </w:r>
      <w:r w:rsidR="00D85847">
        <w:t xml:space="preserve"> </w:t>
      </w:r>
      <w:r w:rsidRPr="00A06996">
        <w:t xml:space="preserve">A secondary consideration is the range of circumstances when this dual combination therapy, in the form of the FDC </w:t>
      </w:r>
      <w:proofErr w:type="spellStart"/>
      <w:r w:rsidRPr="00A06996">
        <w:t>Kombiglyze</w:t>
      </w:r>
      <w:proofErr w:type="spellEnd"/>
      <w:r w:rsidRPr="00A06996">
        <w:t>, is appropriate.</w:t>
      </w:r>
    </w:p>
    <w:p w:rsidR="00A06996" w:rsidRPr="00A06996" w:rsidRDefault="00A06996" w:rsidP="00734145">
      <w:r w:rsidRPr="00A06996">
        <w:t xml:space="preserve">The first of these issues is addressed by the </w:t>
      </w:r>
      <w:r w:rsidR="001B10AF">
        <w:t xml:space="preserve">pharmacokinetic and </w:t>
      </w:r>
      <w:proofErr w:type="spellStart"/>
      <w:r w:rsidR="001B10AF">
        <w:t>pharmacodynamic</w:t>
      </w:r>
      <w:proofErr w:type="spellEnd"/>
      <w:r w:rsidR="001B10AF">
        <w:t xml:space="preserve"> </w:t>
      </w:r>
      <w:r w:rsidRPr="00A06996">
        <w:t xml:space="preserve">data summarised in </w:t>
      </w:r>
      <w:r w:rsidR="000456B2">
        <w:t xml:space="preserve">the clinical evaluation report. </w:t>
      </w:r>
      <w:r w:rsidRPr="00A06996">
        <w:t xml:space="preserve">The bioequivalence studies </w:t>
      </w:r>
      <w:r w:rsidR="00A93062">
        <w:t>are</w:t>
      </w:r>
      <w:r w:rsidRPr="00A06996">
        <w:t xml:space="preserve"> sufficient to justify the substitution indication, along with the PD data in </w:t>
      </w:r>
      <w:r w:rsidR="00A93062">
        <w:t>S</w:t>
      </w:r>
      <w:r w:rsidRPr="00A06996">
        <w:t xml:space="preserve">tudy CV 181152 which shows that the twice-daily dosing of </w:t>
      </w:r>
      <w:proofErr w:type="spellStart"/>
      <w:r w:rsidRPr="00A06996">
        <w:t>saxagliptin</w:t>
      </w:r>
      <w:proofErr w:type="spellEnd"/>
      <w:r w:rsidRPr="00A06996">
        <w:t xml:space="preserve"> implicit in the use of the product should not affect its efficacy.</w:t>
      </w:r>
      <w:r w:rsidR="003C7F36">
        <w:t xml:space="preserve"> </w:t>
      </w:r>
      <w:r w:rsidRPr="00A06996">
        <w:t xml:space="preserve">This is further supported by </w:t>
      </w:r>
      <w:r w:rsidR="00A93062">
        <w:t>S</w:t>
      </w:r>
      <w:r w:rsidRPr="00A06996">
        <w:t xml:space="preserve">tudy CV 181080, as summarised above, which also used a twice-daily dose of </w:t>
      </w:r>
      <w:proofErr w:type="spellStart"/>
      <w:r w:rsidRPr="00A06996">
        <w:t>saxagliptin</w:t>
      </w:r>
      <w:proofErr w:type="spellEnd"/>
      <w:r w:rsidRPr="00A06996">
        <w:t xml:space="preserve"> as opposed to the once daily dose approved for </w:t>
      </w:r>
      <w:proofErr w:type="spellStart"/>
      <w:r w:rsidRPr="00A06996">
        <w:t>saxagliptin</w:t>
      </w:r>
      <w:proofErr w:type="spellEnd"/>
      <w:r w:rsidRPr="00A06996">
        <w:t xml:space="preserve"> given alone.</w:t>
      </w:r>
      <w:r w:rsidR="003C7F36">
        <w:t xml:space="preserve"> </w:t>
      </w:r>
      <w:r w:rsidRPr="00A06996">
        <w:t>The use of such data for justification of a FDC is compliant with the relevant TGA guideline</w:t>
      </w:r>
      <w:r w:rsidR="00AF22F7">
        <w:t>.</w:t>
      </w:r>
      <w:r w:rsidR="00AF22F7">
        <w:rPr>
          <w:rStyle w:val="FootnoteReference"/>
        </w:rPr>
        <w:footnoteReference w:id="6"/>
      </w:r>
      <w:r w:rsidRPr="00A06996">
        <w:t xml:space="preserve"> It is therefore concluded that </w:t>
      </w:r>
      <w:proofErr w:type="spellStart"/>
      <w:r w:rsidRPr="006C15D7">
        <w:rPr>
          <w:i/>
        </w:rPr>
        <w:t>Kombiglyze</w:t>
      </w:r>
      <w:proofErr w:type="spellEnd"/>
      <w:r w:rsidRPr="006C15D7">
        <w:rPr>
          <w:i/>
        </w:rPr>
        <w:t xml:space="preserve"> is an effective substitution product for </w:t>
      </w:r>
      <w:proofErr w:type="spellStart"/>
      <w:r w:rsidRPr="006C15D7">
        <w:rPr>
          <w:i/>
        </w:rPr>
        <w:t>saxagliptin</w:t>
      </w:r>
      <w:proofErr w:type="spellEnd"/>
      <w:r w:rsidRPr="006C15D7">
        <w:rPr>
          <w:i/>
        </w:rPr>
        <w:t xml:space="preserve"> and </w:t>
      </w:r>
      <w:proofErr w:type="spellStart"/>
      <w:r w:rsidRPr="006C15D7">
        <w:rPr>
          <w:i/>
        </w:rPr>
        <w:t>metformin</w:t>
      </w:r>
      <w:proofErr w:type="spellEnd"/>
      <w:r w:rsidRPr="006C15D7">
        <w:rPr>
          <w:i/>
        </w:rPr>
        <w:t xml:space="preserve"> in combination when the combined use of these two drugs is indicated</w:t>
      </w:r>
      <w:r w:rsidRPr="00A06996">
        <w:t>.</w:t>
      </w:r>
      <w:r w:rsidR="003C7F36">
        <w:t xml:space="preserve"> </w:t>
      </w:r>
    </w:p>
    <w:p w:rsidR="00A06996" w:rsidRPr="00A06996" w:rsidRDefault="00A06996" w:rsidP="00734145">
      <w:r w:rsidRPr="00A06996">
        <w:t>The guideline on determining efficacy of FDC</w:t>
      </w:r>
      <w:r w:rsidR="00C7590C">
        <w:rPr>
          <w:rStyle w:val="FootnoteReference"/>
        </w:rPr>
        <w:footnoteReference w:id="7"/>
      </w:r>
      <w:r w:rsidR="00C7590C">
        <w:t xml:space="preserve"> </w:t>
      </w:r>
      <w:r w:rsidRPr="00A06996">
        <w:t>draws a distinction between the situation of</w:t>
      </w:r>
      <w:r w:rsidR="006B125D">
        <w:t>,</w:t>
      </w:r>
      <w:r w:rsidRPr="00A06996">
        <w:t xml:space="preserve"> on the one hand</w:t>
      </w:r>
      <w:r w:rsidR="006B125D">
        <w:t>,</w:t>
      </w:r>
      <w:r w:rsidRPr="00A06996">
        <w:t xml:space="preserve"> substituting the use of the FDC for the separately administered products when the use of the two together, either as add</w:t>
      </w:r>
      <w:r w:rsidR="00C7590C">
        <w:t xml:space="preserve"> </w:t>
      </w:r>
      <w:r w:rsidRPr="00A06996">
        <w:t>on or initial combination therapy, is justified by clinical evidence; and on the other, substituting the use of the FDC in the situation where the specific patient is already receiving the two drugs, which as mentioned above is the definition of a substitution indication in the guideline.</w:t>
      </w:r>
      <w:r w:rsidR="003C7F36">
        <w:t xml:space="preserve"> </w:t>
      </w:r>
      <w:r w:rsidRPr="00A06996">
        <w:t xml:space="preserve">The evidence submitted with this application would support efficacy in either of these situations, and it is therefore felt that the phrasing of the indication as </w:t>
      </w:r>
      <w:r w:rsidR="006C15D7">
        <w:rPr>
          <w:i/>
        </w:rPr>
        <w:t>"…</w:t>
      </w:r>
      <w:r w:rsidRPr="006C15D7">
        <w:rPr>
          <w:i/>
        </w:rPr>
        <w:t xml:space="preserve">when treatment with both </w:t>
      </w:r>
      <w:proofErr w:type="spellStart"/>
      <w:r w:rsidRPr="006C15D7">
        <w:rPr>
          <w:i/>
        </w:rPr>
        <w:t>saxagliptin</w:t>
      </w:r>
      <w:proofErr w:type="spellEnd"/>
      <w:r w:rsidRPr="006C15D7">
        <w:rPr>
          <w:i/>
        </w:rPr>
        <w:t xml:space="preserve"> and </w:t>
      </w:r>
      <w:proofErr w:type="spellStart"/>
      <w:r w:rsidRPr="006C15D7">
        <w:rPr>
          <w:i/>
        </w:rPr>
        <w:t>metformin</w:t>
      </w:r>
      <w:proofErr w:type="spellEnd"/>
      <w:r w:rsidRPr="006C15D7">
        <w:rPr>
          <w:i/>
        </w:rPr>
        <w:t xml:space="preserve"> is appropriate"</w:t>
      </w:r>
      <w:r w:rsidRPr="00A06996">
        <w:t xml:space="preserve"> is acceptable.</w:t>
      </w:r>
    </w:p>
    <w:p w:rsidR="00A06996" w:rsidRPr="00A06996" w:rsidRDefault="00A06996" w:rsidP="00734145">
      <w:r w:rsidRPr="00A06996">
        <w:lastRenderedPageBreak/>
        <w:t>The second issue, that of when the product should be used within the spectrum of management options available for T2DM, has a number of potential options:</w:t>
      </w:r>
    </w:p>
    <w:p w:rsidR="00A06996" w:rsidRPr="00A06996" w:rsidRDefault="00A06996" w:rsidP="00734145">
      <w:pPr>
        <w:pStyle w:val="ListBullet"/>
      </w:pPr>
      <w:r w:rsidRPr="00A06996">
        <w:t>Add</w:t>
      </w:r>
      <w:r w:rsidR="00AF22F7">
        <w:t xml:space="preserve"> on combination, that is,</w:t>
      </w:r>
      <w:r w:rsidRPr="00A06996">
        <w:t xml:space="preserve"> the use of the FDC when a patient is already taking </w:t>
      </w:r>
      <w:proofErr w:type="spellStart"/>
      <w:r w:rsidRPr="00A06996">
        <w:t>metformin</w:t>
      </w:r>
      <w:proofErr w:type="spellEnd"/>
      <w:r w:rsidRPr="00A06996">
        <w:t xml:space="preserve"> and the criteria for addition of </w:t>
      </w:r>
      <w:proofErr w:type="spellStart"/>
      <w:r w:rsidRPr="00A06996">
        <w:t>saxagliptin</w:t>
      </w:r>
      <w:proofErr w:type="spellEnd"/>
      <w:r w:rsidRPr="00A06996">
        <w:t xml:space="preserve"> are met: this is covered by the existing approved </w:t>
      </w:r>
      <w:r w:rsidRPr="00734145">
        <w:t>indication</w:t>
      </w:r>
      <w:r w:rsidRPr="00A06996">
        <w:t xml:space="preserve"> for </w:t>
      </w:r>
      <w:proofErr w:type="spellStart"/>
      <w:r w:rsidRPr="00A06996">
        <w:t>saxagliptin</w:t>
      </w:r>
      <w:proofErr w:type="spellEnd"/>
      <w:r w:rsidRPr="00A06996">
        <w:t xml:space="preserve"> (</w:t>
      </w:r>
      <w:proofErr w:type="spellStart"/>
      <w:r w:rsidRPr="00A06996">
        <w:t>Onglyza</w:t>
      </w:r>
      <w:proofErr w:type="spellEnd"/>
      <w:r w:rsidRPr="00A06996">
        <w:t>).</w:t>
      </w:r>
    </w:p>
    <w:p w:rsidR="00A06996" w:rsidRPr="00A06996" w:rsidRDefault="00A06996" w:rsidP="00734145">
      <w:pPr>
        <w:pStyle w:val="ListBullet"/>
      </w:pPr>
      <w:r w:rsidRPr="00A06996">
        <w:t xml:space="preserve">The use of the FDC as initial pharmacotherapy when lifestyle measures have failed: again, this is covered by the existing indication for </w:t>
      </w:r>
      <w:proofErr w:type="spellStart"/>
      <w:r w:rsidRPr="00A06996">
        <w:t>saxagliptin</w:t>
      </w:r>
      <w:proofErr w:type="spellEnd"/>
      <w:r w:rsidRPr="00A06996">
        <w:t xml:space="preserve"> which allows initial combination therapy in appropriate circumstances, the example given being "high initial </w:t>
      </w:r>
      <w:proofErr w:type="spellStart"/>
      <w:r w:rsidR="0096285A">
        <w:t>glycosylated</w:t>
      </w:r>
      <w:proofErr w:type="spellEnd"/>
      <w:r w:rsidR="0096285A">
        <w:t xml:space="preserve"> </w:t>
      </w:r>
      <w:proofErr w:type="spellStart"/>
      <w:r w:rsidR="0096285A">
        <w:t>hemoglobin</w:t>
      </w:r>
      <w:proofErr w:type="spellEnd"/>
      <w:r w:rsidR="0096285A">
        <w:t xml:space="preserve"> (</w:t>
      </w:r>
      <w:r w:rsidRPr="00A06996">
        <w:t>HbA1c</w:t>
      </w:r>
      <w:r w:rsidR="0096285A">
        <w:t>)</w:t>
      </w:r>
      <w:r w:rsidRPr="00A06996">
        <w:t xml:space="preserve"> levels and poor prospects for response to </w:t>
      </w:r>
      <w:proofErr w:type="spellStart"/>
      <w:r w:rsidRPr="00A06996">
        <w:t>monotherapy</w:t>
      </w:r>
      <w:proofErr w:type="spellEnd"/>
      <w:r w:rsidRPr="00A06996">
        <w:t>".</w:t>
      </w:r>
      <w:r w:rsidR="003C7F36">
        <w:t xml:space="preserve"> </w:t>
      </w:r>
      <w:r w:rsidRPr="00A06996">
        <w:t>The supportive efficacy/safety studies summarised above give further support for the use of the FDC as initial dual combination therapy as well as for add</w:t>
      </w:r>
      <w:r w:rsidR="00AF22F7">
        <w:t xml:space="preserve"> </w:t>
      </w:r>
      <w:r w:rsidRPr="00A06996">
        <w:t>on combination.</w:t>
      </w:r>
    </w:p>
    <w:p w:rsidR="00A06996" w:rsidRPr="00A06996" w:rsidRDefault="00A06996" w:rsidP="00734145">
      <w:pPr>
        <w:pStyle w:val="ListBullet"/>
      </w:pPr>
      <w:r w:rsidRPr="00A06996">
        <w:t>Use of the product in combination</w:t>
      </w:r>
      <w:r w:rsidR="00AF22F7">
        <w:t xml:space="preserve"> </w:t>
      </w:r>
      <w:r w:rsidR="00AF22F7" w:rsidRPr="00734145">
        <w:t>with</w:t>
      </w:r>
      <w:r w:rsidR="00AF22F7">
        <w:t xml:space="preserve"> other oral therapies, for example,</w:t>
      </w:r>
      <w:r w:rsidRPr="00A06996">
        <w:t xml:space="preserve"> </w:t>
      </w:r>
      <w:proofErr w:type="spellStart"/>
      <w:r w:rsidRPr="00A06996">
        <w:t>sulphonylureas</w:t>
      </w:r>
      <w:proofErr w:type="spellEnd"/>
      <w:r w:rsidRPr="00A06996">
        <w:t xml:space="preserve"> or </w:t>
      </w:r>
      <w:proofErr w:type="spellStart"/>
      <w:r w:rsidRPr="00A06996">
        <w:t>thiazolidinediones</w:t>
      </w:r>
      <w:proofErr w:type="spellEnd"/>
      <w:r w:rsidRPr="00A06996">
        <w:t>.</w:t>
      </w:r>
      <w:r w:rsidR="003C7F36">
        <w:t xml:space="preserve"> </w:t>
      </w:r>
      <w:r w:rsidRPr="00A06996">
        <w:t>The sponsor’s letter makes it clear that</w:t>
      </w:r>
      <w:r w:rsidR="00FD3717">
        <w:t xml:space="preserve"> such use (‘triple oral therapy’</w:t>
      </w:r>
      <w:r w:rsidRPr="00A06996">
        <w:t>) is not part of the application.</w:t>
      </w:r>
    </w:p>
    <w:p w:rsidR="00A06996" w:rsidRPr="00A06996" w:rsidRDefault="00A06996" w:rsidP="00734145">
      <w:pPr>
        <w:pStyle w:val="ListBullet"/>
      </w:pPr>
      <w:r w:rsidRPr="00A06996">
        <w:t>Use of the product in combination with insulin.</w:t>
      </w:r>
      <w:r w:rsidR="003C7F36">
        <w:t xml:space="preserve"> </w:t>
      </w:r>
      <w:r w:rsidRPr="00A06996">
        <w:t xml:space="preserve">This is the only area of the application in which there is some uncertainty regarding </w:t>
      </w:r>
      <w:r w:rsidRPr="00734145">
        <w:t>efficacy</w:t>
      </w:r>
      <w:r w:rsidRPr="00A06996">
        <w:t>.</w:t>
      </w:r>
      <w:r w:rsidR="003C7F36">
        <w:t xml:space="preserve"> </w:t>
      </w:r>
      <w:r w:rsidRPr="00A06996">
        <w:t xml:space="preserve">As indicated above, the </w:t>
      </w:r>
      <w:r w:rsidR="00A63398">
        <w:rPr>
          <w:bCs/>
        </w:rPr>
        <w:t>Advisory Committee on Prescription Medicines (</w:t>
      </w:r>
      <w:r w:rsidRPr="00A06996">
        <w:t>ACPM</w:t>
      </w:r>
      <w:r w:rsidR="00A63398">
        <w:t>)</w:t>
      </w:r>
      <w:r w:rsidRPr="00A06996">
        <w:t xml:space="preserve"> has recommended rejection of an application for the use of </w:t>
      </w:r>
      <w:proofErr w:type="spellStart"/>
      <w:r w:rsidRPr="00A06996">
        <w:t>saxagliptin</w:t>
      </w:r>
      <w:proofErr w:type="spellEnd"/>
      <w:r w:rsidRPr="00A06996">
        <w:t xml:space="preserve"> (</w:t>
      </w:r>
      <w:proofErr w:type="spellStart"/>
      <w:r w:rsidRPr="00A06996">
        <w:t>Onglyza</w:t>
      </w:r>
      <w:proofErr w:type="spellEnd"/>
      <w:r w:rsidRPr="00A06996">
        <w:t>) in combination with insulin, from which it would follow that use of the FDC with insulin would be contraindicated.</w:t>
      </w:r>
      <w:r w:rsidR="003C7F36">
        <w:t xml:space="preserve"> </w:t>
      </w:r>
      <w:r w:rsidRPr="00A06996">
        <w:t xml:space="preserve">However, one of the reasons for ACPM rejecting the application was the absence of clinical data beyond 24 weeks of use in its pivotal </w:t>
      </w:r>
      <w:r w:rsidR="00C74B70">
        <w:t>S</w:t>
      </w:r>
      <w:r w:rsidRPr="00A06996">
        <w:t>tudy CV 181057.</w:t>
      </w:r>
      <w:r w:rsidR="003C7F36">
        <w:t xml:space="preserve"> </w:t>
      </w:r>
      <w:r w:rsidRPr="00A06996">
        <w:t>The current submission for the FDC includes the long</w:t>
      </w:r>
      <w:r w:rsidR="00C74B70">
        <w:t xml:space="preserve"> </w:t>
      </w:r>
      <w:r w:rsidRPr="00A06996">
        <w:t>term extension report for this study.</w:t>
      </w:r>
      <w:r w:rsidR="003C7F36">
        <w:t xml:space="preserve"> </w:t>
      </w:r>
      <w:r w:rsidRPr="00A06996">
        <w:t xml:space="preserve">As outlined above, the 52 week data do indicate maintenance of benefit from </w:t>
      </w:r>
      <w:proofErr w:type="spellStart"/>
      <w:r w:rsidRPr="00A06996">
        <w:t>saxagliptin</w:t>
      </w:r>
      <w:proofErr w:type="spellEnd"/>
      <w:r w:rsidRPr="00A06996">
        <w:t xml:space="preserve"> versus placebo with no sign of the quantum of benefit diminishing between 24 and 52 weeks.</w:t>
      </w:r>
      <w:r w:rsidR="003C7F36">
        <w:t xml:space="preserve"> </w:t>
      </w:r>
      <w:r w:rsidRPr="00A06996">
        <w:t xml:space="preserve">The evidence of efficacy is similar whether or not </w:t>
      </w:r>
      <w:proofErr w:type="spellStart"/>
      <w:r w:rsidRPr="00A06996">
        <w:t>metformin</w:t>
      </w:r>
      <w:proofErr w:type="spellEnd"/>
      <w:r w:rsidRPr="00A06996">
        <w:t xml:space="preserve"> was also being given.</w:t>
      </w:r>
      <w:r w:rsidR="003C7F36">
        <w:t xml:space="preserve"> </w:t>
      </w:r>
      <w:r w:rsidRPr="00A06996">
        <w:t xml:space="preserve">Overall, the conclusion of this evaluation is that there is evidence of benefit from a combination of </w:t>
      </w:r>
      <w:proofErr w:type="spellStart"/>
      <w:r w:rsidRPr="00A06996">
        <w:t>saxagliptin</w:t>
      </w:r>
      <w:proofErr w:type="spellEnd"/>
      <w:r w:rsidRPr="00A06996">
        <w:t xml:space="preserve"> and </w:t>
      </w:r>
      <w:proofErr w:type="spellStart"/>
      <w:r w:rsidRPr="00A06996">
        <w:t>metformin</w:t>
      </w:r>
      <w:proofErr w:type="spellEnd"/>
      <w:r w:rsidRPr="00A06996">
        <w:t xml:space="preserve"> given together with insulin, but that the degree of effect is relatively small (0.37% change in HbA1c), and the robustness of the finding is not compelling in view of the possibility that insulin adjustment may have been more intensive in the </w:t>
      </w:r>
      <w:proofErr w:type="spellStart"/>
      <w:r w:rsidRPr="00A06996">
        <w:t>saxagliptin</w:t>
      </w:r>
      <w:proofErr w:type="spellEnd"/>
      <w:r w:rsidRPr="00A06996">
        <w:t xml:space="preserve"> than the placebo group.</w:t>
      </w:r>
      <w:r w:rsidR="003C7F36">
        <w:t xml:space="preserve"> </w:t>
      </w:r>
      <w:r w:rsidRPr="00A06996">
        <w:t>It should also be noted that</w:t>
      </w:r>
      <w:r w:rsidR="006C15D7">
        <w:t xml:space="preserve"> </w:t>
      </w:r>
      <w:r w:rsidR="00C74B70">
        <w:t xml:space="preserve">Study </w:t>
      </w:r>
      <w:r w:rsidRPr="00A06996">
        <w:t>CV181057 is the single pivotal study supporting this indication.</w:t>
      </w:r>
    </w:p>
    <w:p w:rsidR="00A06996" w:rsidRPr="00A06996" w:rsidRDefault="00A06996" w:rsidP="00734145">
      <w:pPr>
        <w:pStyle w:val="ListBullet"/>
      </w:pPr>
      <w:r w:rsidRPr="00A06996">
        <w:t xml:space="preserve">Finally, a point of importance with regard to all of the above options is that the data submitted with this and previous related </w:t>
      </w:r>
      <w:r w:rsidRPr="00734145">
        <w:t>applications</w:t>
      </w:r>
      <w:r w:rsidRPr="00A06996">
        <w:t xml:space="preserve"> is only supportive of the addition of </w:t>
      </w:r>
      <w:proofErr w:type="spellStart"/>
      <w:r w:rsidRPr="00A06996">
        <w:t>saxagliptin</w:t>
      </w:r>
      <w:proofErr w:type="spellEnd"/>
      <w:r w:rsidRPr="00A06996">
        <w:t xml:space="preserve"> to existing </w:t>
      </w:r>
      <w:proofErr w:type="spellStart"/>
      <w:r w:rsidRPr="00A06996">
        <w:t>metformin</w:t>
      </w:r>
      <w:proofErr w:type="spellEnd"/>
      <w:r w:rsidRPr="00A06996">
        <w:t xml:space="preserve"> therapy; and of the addition of </w:t>
      </w:r>
      <w:proofErr w:type="spellStart"/>
      <w:r w:rsidRPr="00A06996">
        <w:t>saxagliptin</w:t>
      </w:r>
      <w:proofErr w:type="spellEnd"/>
      <w:r w:rsidRPr="00A06996">
        <w:t xml:space="preserve">, with or without </w:t>
      </w:r>
      <w:proofErr w:type="spellStart"/>
      <w:r w:rsidRPr="00A06996">
        <w:t>metformin</w:t>
      </w:r>
      <w:proofErr w:type="spellEnd"/>
      <w:r w:rsidR="00D65973">
        <w:t xml:space="preserve">, to existing insulin therapy. </w:t>
      </w:r>
      <w:r w:rsidRPr="00A06996">
        <w:t xml:space="preserve">There are no studies supporting the addition of </w:t>
      </w:r>
      <w:proofErr w:type="spellStart"/>
      <w:r w:rsidRPr="00A06996">
        <w:t>metformin</w:t>
      </w:r>
      <w:proofErr w:type="spellEnd"/>
      <w:r w:rsidRPr="00A06996">
        <w:t xml:space="preserve">, or commencement of the FDC, in patients who fail on </w:t>
      </w:r>
      <w:proofErr w:type="spellStart"/>
      <w:r w:rsidRPr="00A06996">
        <w:t>saxagliptin</w:t>
      </w:r>
      <w:proofErr w:type="spellEnd"/>
      <w:r w:rsidRPr="00A06996">
        <w:t xml:space="preserve"> </w:t>
      </w:r>
      <w:proofErr w:type="spellStart"/>
      <w:r w:rsidRPr="00A06996">
        <w:t>monotherapy</w:t>
      </w:r>
      <w:proofErr w:type="spellEnd"/>
      <w:r w:rsidRPr="00A06996">
        <w:t>, although that would be a most unl</w:t>
      </w:r>
      <w:r w:rsidR="00D65973">
        <w:t xml:space="preserve">ikely therapeutic proposition. </w:t>
      </w:r>
      <w:r w:rsidRPr="00A06996">
        <w:t xml:space="preserve">A more plausible scenario, likely to be considered by clinicians, would be that of adding insulin in patients who fail on </w:t>
      </w:r>
      <w:proofErr w:type="spellStart"/>
      <w:r w:rsidRPr="00A06996">
        <w:t>saxagliptin</w:t>
      </w:r>
      <w:proofErr w:type="spellEnd"/>
      <w:r w:rsidRPr="00A06996">
        <w:t xml:space="preserve"> with or without </w:t>
      </w:r>
      <w:proofErr w:type="spellStart"/>
      <w:r w:rsidRPr="00A06996">
        <w:t>metformin</w:t>
      </w:r>
      <w:proofErr w:type="spellEnd"/>
      <w:r w:rsidRPr="00A06996">
        <w:t>, or in the context of this application, on the FDC.</w:t>
      </w:r>
      <w:r w:rsidR="003C7F36">
        <w:t xml:space="preserve"> </w:t>
      </w:r>
      <w:r w:rsidRPr="00A06996">
        <w:t>This use is</w:t>
      </w:r>
      <w:r w:rsidR="00D65973">
        <w:t xml:space="preserve"> not supported by the data. </w:t>
      </w:r>
      <w:r w:rsidRPr="00A06996">
        <w:t xml:space="preserve">The wording of the proposed indication as </w:t>
      </w:r>
      <w:r w:rsidR="00D65973">
        <w:t>"…</w:t>
      </w:r>
      <w:r w:rsidRPr="00A06996">
        <w:t xml:space="preserve">when treatment with both </w:t>
      </w:r>
      <w:proofErr w:type="spellStart"/>
      <w:r w:rsidRPr="00A06996">
        <w:t>saxagliptin</w:t>
      </w:r>
      <w:proofErr w:type="spellEnd"/>
      <w:r w:rsidRPr="00A06996">
        <w:t xml:space="preserve"> and </w:t>
      </w:r>
      <w:proofErr w:type="spellStart"/>
      <w:r w:rsidRPr="00A06996">
        <w:t>metformin</w:t>
      </w:r>
      <w:proofErr w:type="spellEnd"/>
      <w:r w:rsidRPr="00A06996">
        <w:t xml:space="preserve"> is appropriate" must take account of this hierar</w:t>
      </w:r>
      <w:r w:rsidR="00D65973">
        <w:t xml:space="preserve">chy of treatment combinations. </w:t>
      </w:r>
      <w:r w:rsidRPr="00A06996">
        <w:t xml:space="preserve">In practical terms, this means that a patient on the combination of </w:t>
      </w:r>
      <w:proofErr w:type="spellStart"/>
      <w:r w:rsidRPr="00A06996">
        <w:t>saxagliptin</w:t>
      </w:r>
      <w:proofErr w:type="spellEnd"/>
      <w:r w:rsidRPr="00A06996">
        <w:t xml:space="preserve"> and </w:t>
      </w:r>
      <w:proofErr w:type="spellStart"/>
      <w:r w:rsidRPr="00A06996">
        <w:t>metformin</w:t>
      </w:r>
      <w:proofErr w:type="spellEnd"/>
      <w:r w:rsidRPr="00A06996">
        <w:t xml:space="preserve"> who develops failure of </w:t>
      </w:r>
      <w:proofErr w:type="spellStart"/>
      <w:r w:rsidRPr="00A06996">
        <w:t>glycaemic</w:t>
      </w:r>
      <w:proofErr w:type="spellEnd"/>
      <w:r w:rsidRPr="00A06996">
        <w:t xml:space="preserve"> control and is being considered for insulin therapy should cease </w:t>
      </w:r>
      <w:proofErr w:type="spellStart"/>
      <w:r w:rsidRPr="00A06996">
        <w:t>saxagliptin</w:t>
      </w:r>
      <w:proofErr w:type="spellEnd"/>
      <w:r w:rsidRPr="00A06996">
        <w:t xml:space="preserve"> before insulin is introduced.</w:t>
      </w:r>
      <w:r w:rsidR="003C7F36">
        <w:t xml:space="preserve"> </w:t>
      </w:r>
      <w:r w:rsidRPr="00A06996">
        <w:t xml:space="preserve">Should </w:t>
      </w:r>
      <w:proofErr w:type="spellStart"/>
      <w:r w:rsidRPr="00A06996">
        <w:t>glycaemic</w:t>
      </w:r>
      <w:proofErr w:type="spellEnd"/>
      <w:r w:rsidRPr="00A06996">
        <w:t xml:space="preserve"> failure persist despite insulin, reintroduction of </w:t>
      </w:r>
      <w:proofErr w:type="spellStart"/>
      <w:r w:rsidRPr="00A06996">
        <w:t>saxagliptin</w:t>
      </w:r>
      <w:proofErr w:type="spellEnd"/>
      <w:r w:rsidRPr="00A06996">
        <w:t xml:space="preserve"> could then be considered on the basis of the submitted evidence.</w:t>
      </w:r>
    </w:p>
    <w:p w:rsidR="00A06996" w:rsidRPr="00A06996" w:rsidRDefault="00A06996" w:rsidP="00734145">
      <w:r w:rsidRPr="00A06996">
        <w:t xml:space="preserve">It is concluded that efficacy of </w:t>
      </w:r>
      <w:proofErr w:type="spellStart"/>
      <w:r w:rsidRPr="00A06996">
        <w:t>saxagliptin</w:t>
      </w:r>
      <w:proofErr w:type="spellEnd"/>
      <w:r w:rsidRPr="00A06996">
        <w:t xml:space="preserve"> and </w:t>
      </w:r>
      <w:proofErr w:type="spellStart"/>
      <w:r w:rsidRPr="00A06996">
        <w:t>metformin</w:t>
      </w:r>
      <w:proofErr w:type="spellEnd"/>
      <w:r w:rsidRPr="00A06996">
        <w:t xml:space="preserve"> in the form of </w:t>
      </w:r>
      <w:proofErr w:type="spellStart"/>
      <w:r w:rsidRPr="00A06996">
        <w:t>Kombiglyze</w:t>
      </w:r>
      <w:proofErr w:type="spellEnd"/>
      <w:r w:rsidRPr="00A06996">
        <w:t xml:space="preserve"> is confirmed in those therapeutic situations for which approved indications already exist.</w:t>
      </w:r>
      <w:r w:rsidR="003C7F36">
        <w:t xml:space="preserve"> </w:t>
      </w:r>
      <w:r w:rsidRPr="00A06996">
        <w:t xml:space="preserve">With regard to use with insulin, efficacy of the combination of </w:t>
      </w:r>
      <w:proofErr w:type="spellStart"/>
      <w:r w:rsidRPr="00A06996">
        <w:t>saxagliptin</w:t>
      </w:r>
      <w:proofErr w:type="spellEnd"/>
      <w:r w:rsidRPr="00A06996">
        <w:t xml:space="preserve"> and </w:t>
      </w:r>
      <w:proofErr w:type="spellStart"/>
      <w:r w:rsidRPr="00A06996">
        <w:t>metformin</w:t>
      </w:r>
      <w:proofErr w:type="spellEnd"/>
      <w:r w:rsidRPr="00A06996">
        <w:t xml:space="preserve"> </w:t>
      </w:r>
      <w:r w:rsidRPr="00A06996">
        <w:lastRenderedPageBreak/>
        <w:t>as add</w:t>
      </w:r>
      <w:r w:rsidR="00C74B70">
        <w:t xml:space="preserve"> </w:t>
      </w:r>
      <w:r w:rsidRPr="00A06996">
        <w:t>on therapy is demonstrated, but the level of evidence for this is marginal in the context of the relevant guideline for basing conclusions regarding effi</w:t>
      </w:r>
      <w:r w:rsidR="00FB7753">
        <w:t>cacy on a single pivotal study</w:t>
      </w:r>
      <w:r w:rsidRPr="00A06996">
        <w:t>.</w:t>
      </w:r>
      <w:r w:rsidR="00FB7753">
        <w:rPr>
          <w:rStyle w:val="FootnoteReference"/>
        </w:rPr>
        <w:footnoteReference w:id="8"/>
      </w:r>
    </w:p>
    <w:p w:rsidR="008E7846" w:rsidRPr="002E238E" w:rsidRDefault="008E7846" w:rsidP="00734145">
      <w:pPr>
        <w:pStyle w:val="Heading3"/>
      </w:pPr>
      <w:bookmarkStart w:id="103" w:name="_Toc163441378"/>
      <w:bookmarkStart w:id="104" w:name="_Toc196046495"/>
      <w:bookmarkStart w:id="105" w:name="_Toc247691522"/>
      <w:bookmarkStart w:id="106" w:name="_Toc314842505"/>
      <w:bookmarkStart w:id="107" w:name="_Toc371598182"/>
      <w:bookmarkEnd w:id="90"/>
      <w:bookmarkEnd w:id="91"/>
      <w:bookmarkEnd w:id="92"/>
      <w:bookmarkEnd w:id="93"/>
      <w:r w:rsidRPr="00734145">
        <w:t>Safety</w:t>
      </w:r>
      <w:bookmarkEnd w:id="103"/>
      <w:bookmarkEnd w:id="104"/>
      <w:bookmarkEnd w:id="105"/>
      <w:bookmarkEnd w:id="106"/>
      <w:bookmarkEnd w:id="107"/>
    </w:p>
    <w:p w:rsidR="000456B2" w:rsidRPr="000456B2" w:rsidRDefault="000456B2" w:rsidP="00734145">
      <w:pPr>
        <w:pStyle w:val="Heading4"/>
      </w:pPr>
      <w:bookmarkStart w:id="108" w:name="_Toc241374328"/>
      <w:bookmarkStart w:id="109" w:name="_Toc272414691"/>
      <w:bookmarkStart w:id="110" w:name="_Toc290846329"/>
      <w:bookmarkStart w:id="111" w:name="_Ref334960986"/>
      <w:bookmarkStart w:id="112" w:name="_Ref335278404"/>
      <w:bookmarkStart w:id="113" w:name="_Ref335369042"/>
      <w:bookmarkStart w:id="114" w:name="_Toc335386065"/>
      <w:bookmarkStart w:id="115" w:name="_Toc184440288"/>
      <w:bookmarkStart w:id="116" w:name="_Toc184444666"/>
      <w:bookmarkStart w:id="117" w:name="_Toc196046496"/>
      <w:r w:rsidRPr="000456B2">
        <w:t xml:space="preserve">Evaluator’s overall conclusions on </w:t>
      </w:r>
      <w:r w:rsidRPr="00734145">
        <w:t>clinical</w:t>
      </w:r>
      <w:r w:rsidRPr="000456B2">
        <w:t xml:space="preserve"> safety</w:t>
      </w:r>
      <w:bookmarkEnd w:id="108"/>
      <w:bookmarkEnd w:id="109"/>
      <w:bookmarkEnd w:id="110"/>
      <w:bookmarkEnd w:id="111"/>
      <w:bookmarkEnd w:id="112"/>
      <w:bookmarkEnd w:id="113"/>
      <w:bookmarkEnd w:id="114"/>
    </w:p>
    <w:p w:rsidR="000456B2" w:rsidRPr="000456B2" w:rsidRDefault="000456B2" w:rsidP="00734145">
      <w:r w:rsidRPr="000456B2">
        <w:t xml:space="preserve">The profile of adverse events related to immunological function including hypersensitivity reactions, minor infections and effects on lymphocyte count, collectively a class effect of DPP-4 inhibitors, remains evident in this submission but there is no evidence of an increase in incidence or severity of these phenomena with longer term administration of </w:t>
      </w:r>
      <w:proofErr w:type="spellStart"/>
      <w:r w:rsidRPr="000456B2">
        <w:t>saxagliptin</w:t>
      </w:r>
      <w:proofErr w:type="spellEnd"/>
      <w:r w:rsidRPr="000456B2">
        <w:t>, up to 4 years in one study, or of the appearance of any qualitatively different adverse effects.</w:t>
      </w:r>
      <w:r w:rsidR="003C7F36">
        <w:t xml:space="preserve"> </w:t>
      </w:r>
      <w:r w:rsidRPr="000456B2">
        <w:t xml:space="preserve">There appear to be no safety issues specific to the combination of </w:t>
      </w:r>
      <w:proofErr w:type="spellStart"/>
      <w:r w:rsidRPr="000456B2">
        <w:t>saxagliptin</w:t>
      </w:r>
      <w:proofErr w:type="spellEnd"/>
      <w:r w:rsidRPr="000456B2">
        <w:t xml:space="preserve"> with </w:t>
      </w:r>
      <w:proofErr w:type="spellStart"/>
      <w:r w:rsidRPr="000456B2">
        <w:t>metformin</w:t>
      </w:r>
      <w:proofErr w:type="spellEnd"/>
      <w:r w:rsidRPr="000456B2">
        <w:t>.</w:t>
      </w:r>
      <w:r w:rsidR="003C7F36">
        <w:t xml:space="preserve"> </w:t>
      </w:r>
      <w:r w:rsidRPr="000456B2">
        <w:t xml:space="preserve">Hypoglycaemia is not a safety issue of concern for the </w:t>
      </w:r>
      <w:proofErr w:type="spellStart"/>
      <w:r w:rsidRPr="000456B2">
        <w:t>saxagliptin</w:t>
      </w:r>
      <w:proofErr w:type="spellEnd"/>
      <w:r w:rsidRPr="000456B2">
        <w:t>/</w:t>
      </w:r>
      <w:proofErr w:type="spellStart"/>
      <w:r w:rsidRPr="000456B2">
        <w:t>metformin</w:t>
      </w:r>
      <w:proofErr w:type="spellEnd"/>
      <w:r w:rsidRPr="000456B2">
        <w:t xml:space="preserve"> combination either on its own or when used in combination with insulin, and is clearly less common with the </w:t>
      </w:r>
      <w:proofErr w:type="spellStart"/>
      <w:r w:rsidRPr="000456B2">
        <w:t>saxagliptin</w:t>
      </w:r>
      <w:proofErr w:type="spellEnd"/>
      <w:r w:rsidRPr="000456B2">
        <w:t>/</w:t>
      </w:r>
      <w:proofErr w:type="spellStart"/>
      <w:r w:rsidRPr="000456B2">
        <w:t>metformin</w:t>
      </w:r>
      <w:proofErr w:type="spellEnd"/>
      <w:r w:rsidRPr="000456B2">
        <w:t xml:space="preserve"> combination than with the alternative commonly used dual combination of </w:t>
      </w:r>
      <w:proofErr w:type="spellStart"/>
      <w:r w:rsidRPr="000456B2">
        <w:t>sulphonylurea</w:t>
      </w:r>
      <w:proofErr w:type="spellEnd"/>
      <w:r w:rsidRPr="000456B2">
        <w:t xml:space="preserve"> and </w:t>
      </w:r>
      <w:proofErr w:type="spellStart"/>
      <w:r w:rsidRPr="000456B2">
        <w:t>metformin</w:t>
      </w:r>
      <w:proofErr w:type="spellEnd"/>
      <w:r w:rsidRPr="000456B2">
        <w:t>.</w:t>
      </w:r>
    </w:p>
    <w:p w:rsidR="008E7846" w:rsidRDefault="008E7846" w:rsidP="00734145">
      <w:pPr>
        <w:pStyle w:val="Heading3"/>
      </w:pPr>
      <w:bookmarkStart w:id="118" w:name="_Toc255919423"/>
      <w:bookmarkStart w:id="119" w:name="_Toc241374329"/>
      <w:bookmarkStart w:id="120" w:name="_Toc270320087"/>
      <w:bookmarkStart w:id="121" w:name="_Toc314842506"/>
      <w:bookmarkStart w:id="122" w:name="_Toc163441387"/>
      <w:bookmarkStart w:id="123" w:name="_Toc371598183"/>
      <w:bookmarkEnd w:id="115"/>
      <w:bookmarkEnd w:id="116"/>
      <w:bookmarkEnd w:id="117"/>
      <w:r>
        <w:t xml:space="preserve">List of </w:t>
      </w:r>
      <w:r w:rsidRPr="00734145">
        <w:t>questions</w:t>
      </w:r>
      <w:bookmarkEnd w:id="118"/>
      <w:bookmarkEnd w:id="119"/>
      <w:bookmarkEnd w:id="120"/>
      <w:bookmarkEnd w:id="121"/>
      <w:bookmarkEnd w:id="123"/>
    </w:p>
    <w:p w:rsidR="00DC0720" w:rsidRPr="00DC0720" w:rsidRDefault="00DC0720" w:rsidP="00734145">
      <w:bookmarkStart w:id="124" w:name="_Toc247691523"/>
      <w:bookmarkStart w:id="125" w:name="_Toc314842507"/>
      <w:bookmarkStart w:id="126" w:name="_Toc184440295"/>
      <w:bookmarkStart w:id="127" w:name="_Toc184444673"/>
      <w:bookmarkStart w:id="128" w:name="_Toc196046503"/>
      <w:bookmarkEnd w:id="122"/>
      <w:r w:rsidRPr="00DC0720">
        <w:t>No questions.</w:t>
      </w:r>
    </w:p>
    <w:p w:rsidR="008E7846" w:rsidRPr="006E137C" w:rsidRDefault="008E7846" w:rsidP="00734145">
      <w:pPr>
        <w:pStyle w:val="Heading3"/>
      </w:pPr>
      <w:bookmarkStart w:id="129" w:name="_Toc371598184"/>
      <w:r>
        <w:t xml:space="preserve">Clinical summary and </w:t>
      </w:r>
      <w:r w:rsidRPr="00734145">
        <w:t>conclusions</w:t>
      </w:r>
      <w:bookmarkEnd w:id="124"/>
      <w:bookmarkEnd w:id="125"/>
      <w:bookmarkEnd w:id="129"/>
    </w:p>
    <w:p w:rsidR="00DC0720" w:rsidRDefault="00DC0720" w:rsidP="00734145">
      <w:pPr>
        <w:pStyle w:val="Heading4"/>
      </w:pPr>
      <w:bookmarkStart w:id="130" w:name="_Toc196046504"/>
      <w:bookmarkStart w:id="131" w:name="_Toc163441390"/>
      <w:bookmarkEnd w:id="126"/>
      <w:bookmarkEnd w:id="127"/>
      <w:bookmarkEnd w:id="128"/>
      <w:r>
        <w:t xml:space="preserve">First round benefit-risk </w:t>
      </w:r>
      <w:r w:rsidRPr="00734145">
        <w:t>assessment</w:t>
      </w:r>
    </w:p>
    <w:p w:rsidR="00DC0720" w:rsidRPr="00D65973" w:rsidRDefault="006C20C4" w:rsidP="00734145">
      <w:r>
        <w:t>The sponsor's global RMP</w:t>
      </w:r>
      <w:r w:rsidR="00DC0720" w:rsidRPr="00D65973">
        <w:t>; an addendum is also included indicating that no risk management activities relating to the FDC are proposed specifically for Australia.</w:t>
      </w:r>
    </w:p>
    <w:p w:rsidR="00DC0720" w:rsidRPr="00D65973" w:rsidRDefault="00DC0720" w:rsidP="00734145">
      <w:r w:rsidRPr="00D65973">
        <w:t xml:space="preserve">In the following discussion, distinction is drawn between the benefits and risks of dual combination </w:t>
      </w:r>
      <w:proofErr w:type="spellStart"/>
      <w:r w:rsidRPr="00D65973">
        <w:t>saxagliptin</w:t>
      </w:r>
      <w:proofErr w:type="spellEnd"/>
      <w:r w:rsidRPr="00D65973">
        <w:t>/</w:t>
      </w:r>
      <w:proofErr w:type="spellStart"/>
      <w:r w:rsidRPr="00D65973">
        <w:t>metformin</w:t>
      </w:r>
      <w:proofErr w:type="spellEnd"/>
      <w:r w:rsidRPr="00D65973">
        <w:t xml:space="preserve"> therapy, and of the fixed combination tablet itself.</w:t>
      </w:r>
      <w:r w:rsidR="003C7F36">
        <w:t xml:space="preserve"> </w:t>
      </w:r>
      <w:r w:rsidRPr="00D65973">
        <w:t>The former have already been assessed and taken into account in the existing approval of this dual combination therapy except that the issue of use with insulin, at least from the point of view of this evaluation, remains unresolved.</w:t>
      </w:r>
    </w:p>
    <w:p w:rsidR="00DC0720" w:rsidRPr="00C05DC5" w:rsidRDefault="00DC0720" w:rsidP="00734145">
      <w:pPr>
        <w:pStyle w:val="Heading5"/>
      </w:pPr>
      <w:bookmarkStart w:id="132" w:name="_Toc236802592"/>
      <w:bookmarkStart w:id="133" w:name="_Toc241374331"/>
      <w:bookmarkStart w:id="134" w:name="_Ref272160836"/>
      <w:bookmarkStart w:id="135" w:name="_Toc272414693"/>
      <w:bookmarkStart w:id="136" w:name="_Toc290846331"/>
      <w:bookmarkStart w:id="137" w:name="_Toc335386067"/>
      <w:r w:rsidRPr="00C05DC5">
        <w:t xml:space="preserve">First round </w:t>
      </w:r>
      <w:r w:rsidRPr="00734145">
        <w:t>assessment</w:t>
      </w:r>
      <w:r w:rsidRPr="00C05DC5">
        <w:t xml:space="preserve"> of benefits</w:t>
      </w:r>
      <w:bookmarkEnd w:id="132"/>
      <w:bookmarkEnd w:id="133"/>
      <w:bookmarkEnd w:id="134"/>
      <w:bookmarkEnd w:id="135"/>
      <w:bookmarkEnd w:id="136"/>
      <w:bookmarkEnd w:id="137"/>
    </w:p>
    <w:p w:rsidR="00DC0720" w:rsidRPr="00D65973" w:rsidRDefault="00DC0720" w:rsidP="00734145">
      <w:r w:rsidRPr="00D65973">
        <w:rPr>
          <w:b/>
        </w:rPr>
        <w:t>Dual combination therapy</w:t>
      </w:r>
      <w:r w:rsidRPr="00D65973">
        <w:t xml:space="preserve"> with </w:t>
      </w:r>
      <w:proofErr w:type="spellStart"/>
      <w:r w:rsidRPr="00D65973">
        <w:t>saxagliptin</w:t>
      </w:r>
      <w:proofErr w:type="spellEnd"/>
      <w:r w:rsidRPr="00D65973">
        <w:t xml:space="preserve"> and </w:t>
      </w:r>
      <w:proofErr w:type="spellStart"/>
      <w:r w:rsidRPr="00D65973">
        <w:t>metformin</w:t>
      </w:r>
      <w:proofErr w:type="spellEnd"/>
      <w:r w:rsidRPr="00D65973">
        <w:t xml:space="preserve"> has been shown in previous submissions to be beneficial, as assessed by improvements in HbA1c, in the management of T2DM either in the setting of add</w:t>
      </w:r>
      <w:r w:rsidR="008461F5">
        <w:t xml:space="preserve"> </w:t>
      </w:r>
      <w:r w:rsidRPr="00D65973">
        <w:t>on therapy or initial combination therapy.</w:t>
      </w:r>
      <w:r w:rsidR="003C7F36">
        <w:t xml:space="preserve"> </w:t>
      </w:r>
      <w:r w:rsidRPr="00D65973">
        <w:t>Evidence of this benefit is reinforced in the present submission, although remaining restricted to HbA1c improvement as opposed to long</w:t>
      </w:r>
      <w:r w:rsidR="00071FC1">
        <w:t xml:space="preserve"> </w:t>
      </w:r>
      <w:r w:rsidRPr="00D65973">
        <w:t>term clinical outcomes.</w:t>
      </w:r>
      <w:r w:rsidR="003C7F36">
        <w:t xml:space="preserve"> </w:t>
      </w:r>
      <w:r w:rsidRPr="00D65973">
        <w:t>Benefit of the combination therapy when used together with insulin is also demonstrated, but both the quantum of benefit obtained and the level of supporting evidence are of lesser degree.</w:t>
      </w:r>
    </w:p>
    <w:p w:rsidR="00DC0720" w:rsidRPr="00D65973" w:rsidRDefault="00DC0720" w:rsidP="00734145">
      <w:r w:rsidRPr="00D65973">
        <w:rPr>
          <w:b/>
        </w:rPr>
        <w:t>The FDC tablet</w:t>
      </w:r>
      <w:r w:rsidRPr="00D65973">
        <w:t xml:space="preserve"> is proposed, as stated in t</w:t>
      </w:r>
      <w:r w:rsidR="00EC3BC0">
        <w:t>he letter of application, as a “convenient alternative”</w:t>
      </w:r>
      <w:r w:rsidRPr="00D65973">
        <w:t xml:space="preserve"> to separate administration of </w:t>
      </w:r>
      <w:proofErr w:type="spellStart"/>
      <w:r w:rsidRPr="00D65973">
        <w:t>saxagliptin</w:t>
      </w:r>
      <w:proofErr w:type="spellEnd"/>
      <w:r w:rsidRPr="00D65973">
        <w:t xml:space="preserve"> and </w:t>
      </w:r>
      <w:proofErr w:type="spellStart"/>
      <w:r w:rsidRPr="00D65973">
        <w:t>metformin</w:t>
      </w:r>
      <w:proofErr w:type="spellEnd"/>
      <w:r w:rsidRPr="00D65973">
        <w:t>.</w:t>
      </w:r>
      <w:r w:rsidR="003C7F36">
        <w:t xml:space="preserve"> </w:t>
      </w:r>
      <w:r w:rsidRPr="00D65973">
        <w:t>This is a plausible proposition, but not supported by any evidence of clinical benefit.</w:t>
      </w:r>
      <w:r w:rsidR="003C7F36">
        <w:t xml:space="preserve"> </w:t>
      </w:r>
      <w:r w:rsidRPr="00D65973">
        <w:t>The suggestion that compliance is improved by use of the FDC is hypothetical rather than proven.</w:t>
      </w:r>
      <w:r w:rsidR="003C7F36">
        <w:t xml:space="preserve"> </w:t>
      </w:r>
      <w:r w:rsidRPr="00D65973">
        <w:t xml:space="preserve">It does </w:t>
      </w:r>
      <w:r w:rsidRPr="00D65973">
        <w:lastRenderedPageBreak/>
        <w:t>involve a twice daily dosing schedule, whereas each component drug taken separately is available as a once daily preparation, although at different times of the day with existing recommendations (</w:t>
      </w:r>
      <w:proofErr w:type="spellStart"/>
      <w:r w:rsidRPr="00D65973">
        <w:t>saxagliptin</w:t>
      </w:r>
      <w:proofErr w:type="spellEnd"/>
      <w:r w:rsidRPr="00D65973">
        <w:t xml:space="preserve"> in the morning, </w:t>
      </w:r>
      <w:proofErr w:type="spellStart"/>
      <w:r w:rsidRPr="00D65973">
        <w:t>metformin</w:t>
      </w:r>
      <w:proofErr w:type="spellEnd"/>
      <w:r w:rsidRPr="00D65973">
        <w:t xml:space="preserve"> XR in the evening).</w:t>
      </w:r>
      <w:r w:rsidR="003C7F36">
        <w:t xml:space="preserve"> </w:t>
      </w:r>
      <w:r w:rsidRPr="00D65973">
        <w:t>The postulated benefit with regard to compliance therefore appears marginal.</w:t>
      </w:r>
      <w:r w:rsidR="003C7F36">
        <w:t xml:space="preserve"> </w:t>
      </w:r>
      <w:r w:rsidRPr="00D65973">
        <w:t>There might be a financial cost benefit to the consumer in a single preparation, depending on funding and subsidy arrangements.</w:t>
      </w:r>
    </w:p>
    <w:p w:rsidR="00DC0720" w:rsidRPr="00C05DC5" w:rsidRDefault="00DC0720" w:rsidP="00734145">
      <w:pPr>
        <w:pStyle w:val="Heading5"/>
      </w:pPr>
      <w:bookmarkStart w:id="138" w:name="_Toc236802596"/>
      <w:bookmarkStart w:id="139" w:name="_Toc241374334"/>
      <w:bookmarkStart w:id="140" w:name="_Ref272160964"/>
      <w:bookmarkStart w:id="141" w:name="_Toc272414694"/>
      <w:bookmarkStart w:id="142" w:name="_Toc290846332"/>
      <w:bookmarkStart w:id="143" w:name="_Toc335386068"/>
      <w:r w:rsidRPr="00C05DC5">
        <w:t xml:space="preserve">First round assessment </w:t>
      </w:r>
      <w:r w:rsidRPr="00734145">
        <w:t>of</w:t>
      </w:r>
      <w:r w:rsidRPr="00C05DC5">
        <w:t xml:space="preserve"> risks</w:t>
      </w:r>
      <w:bookmarkEnd w:id="138"/>
      <w:bookmarkEnd w:id="139"/>
      <w:bookmarkEnd w:id="140"/>
      <w:bookmarkEnd w:id="141"/>
      <w:bookmarkEnd w:id="142"/>
      <w:bookmarkEnd w:id="143"/>
    </w:p>
    <w:p w:rsidR="00DC0720" w:rsidRPr="00D65973" w:rsidRDefault="00DC0720" w:rsidP="00734145">
      <w:r w:rsidRPr="00D65973">
        <w:t xml:space="preserve">The risks of dual combination therapy with </w:t>
      </w:r>
      <w:proofErr w:type="spellStart"/>
      <w:r w:rsidRPr="00D65973">
        <w:t>saxagliptin</w:t>
      </w:r>
      <w:proofErr w:type="spellEnd"/>
      <w:r w:rsidRPr="00D65973">
        <w:t xml:space="preserve"> and </w:t>
      </w:r>
      <w:proofErr w:type="spellStart"/>
      <w:r w:rsidRPr="00D65973">
        <w:t>metformin</w:t>
      </w:r>
      <w:proofErr w:type="spellEnd"/>
      <w:r w:rsidRPr="00D65973">
        <w:t xml:space="preserve"> in the proposed usage consist of the adverse effect profile of the two drugs added together.</w:t>
      </w:r>
      <w:r w:rsidR="003C7F36">
        <w:t xml:space="preserve"> </w:t>
      </w:r>
      <w:r w:rsidRPr="00D65973">
        <w:t xml:space="preserve">As </w:t>
      </w:r>
      <w:proofErr w:type="spellStart"/>
      <w:r w:rsidRPr="00D65973">
        <w:t>metformin</w:t>
      </w:r>
      <w:proofErr w:type="spellEnd"/>
      <w:r w:rsidRPr="00D65973">
        <w:t xml:space="preserve"> is used as initial pharmacotherapy for virtually all T2DM patients unless contraindicated or not tolerated, its risk profile is not a determining factor in this equation.</w:t>
      </w:r>
      <w:r w:rsidR="003C7F36">
        <w:t xml:space="preserve"> </w:t>
      </w:r>
      <w:r w:rsidRPr="00D65973">
        <w:t xml:space="preserve">With regard to </w:t>
      </w:r>
      <w:proofErr w:type="spellStart"/>
      <w:r w:rsidRPr="00D65973">
        <w:t>saxagliptin</w:t>
      </w:r>
      <w:proofErr w:type="spellEnd"/>
      <w:r w:rsidRPr="00D65973">
        <w:t>, the class effect of adverse effects as described remains a consideration.</w:t>
      </w:r>
    </w:p>
    <w:p w:rsidR="00DC0720" w:rsidRPr="00D65973" w:rsidRDefault="00DC0720" w:rsidP="00734145">
      <w:r w:rsidRPr="00D65973">
        <w:t>No specific risks are seen to apply to the fixed dosage combination tablet.</w:t>
      </w:r>
    </w:p>
    <w:p w:rsidR="00DC0720" w:rsidRPr="00C05DC5" w:rsidRDefault="00DC0720" w:rsidP="00734145">
      <w:pPr>
        <w:pStyle w:val="Heading5"/>
      </w:pPr>
      <w:bookmarkStart w:id="144" w:name="_Toc236802597"/>
      <w:bookmarkStart w:id="145" w:name="_Toc241374335"/>
      <w:bookmarkStart w:id="146" w:name="_Toc272414695"/>
      <w:bookmarkStart w:id="147" w:name="_Toc290846333"/>
      <w:bookmarkStart w:id="148" w:name="_Toc335386069"/>
      <w:r w:rsidRPr="00C05DC5">
        <w:t>First round assessment of benefit-risk balance</w:t>
      </w:r>
      <w:bookmarkEnd w:id="144"/>
      <w:bookmarkEnd w:id="145"/>
      <w:bookmarkEnd w:id="146"/>
      <w:bookmarkEnd w:id="147"/>
      <w:bookmarkEnd w:id="148"/>
    </w:p>
    <w:p w:rsidR="00DC0720" w:rsidRPr="00D65973" w:rsidRDefault="00DC0720" w:rsidP="00734145">
      <w:r w:rsidRPr="00D65973">
        <w:t xml:space="preserve">The benefit-risk balance of dual combination therapy with </w:t>
      </w:r>
      <w:proofErr w:type="spellStart"/>
      <w:r w:rsidRPr="00D65973">
        <w:t>saxagliptin</w:t>
      </w:r>
      <w:proofErr w:type="spellEnd"/>
      <w:r w:rsidRPr="00D65973">
        <w:t xml:space="preserve"> and </w:t>
      </w:r>
      <w:proofErr w:type="spellStart"/>
      <w:r w:rsidRPr="00D65973">
        <w:t>metformin</w:t>
      </w:r>
      <w:proofErr w:type="spellEnd"/>
      <w:r w:rsidRPr="00D65973">
        <w:t xml:space="preserve">, either in the setting of adding </w:t>
      </w:r>
      <w:proofErr w:type="spellStart"/>
      <w:r w:rsidRPr="00D65973">
        <w:t>saxagliptin</w:t>
      </w:r>
      <w:proofErr w:type="spellEnd"/>
      <w:r w:rsidRPr="00D65973">
        <w:t xml:space="preserve"> to existing </w:t>
      </w:r>
      <w:proofErr w:type="spellStart"/>
      <w:r w:rsidRPr="00D65973">
        <w:t>metformin</w:t>
      </w:r>
      <w:proofErr w:type="spellEnd"/>
      <w:r w:rsidRPr="00D65973">
        <w:t xml:space="preserve"> therapy, or as initial combination therapy, is favourable.</w:t>
      </w:r>
    </w:p>
    <w:p w:rsidR="00DC0720" w:rsidRPr="00D65973" w:rsidRDefault="00DC0720" w:rsidP="00734145">
      <w:r w:rsidRPr="00D65973">
        <w:t xml:space="preserve">The benefit-risk balance of dual combination therapy with </w:t>
      </w:r>
      <w:proofErr w:type="spellStart"/>
      <w:r w:rsidRPr="00D65973">
        <w:t>saxagliptin</w:t>
      </w:r>
      <w:proofErr w:type="spellEnd"/>
      <w:r w:rsidRPr="00D65973">
        <w:t xml:space="preserve"> and </w:t>
      </w:r>
      <w:proofErr w:type="spellStart"/>
      <w:r w:rsidRPr="00D65973">
        <w:t>metformin</w:t>
      </w:r>
      <w:proofErr w:type="spellEnd"/>
      <w:r w:rsidRPr="00D65973">
        <w:t xml:space="preserve"> given together with insulin is not favourable on current evidence; the possibility that the demonstrated level of benefit could be obtained by intensification of insulin therapy, without exposing the patient to the inherent risks associated with </w:t>
      </w:r>
      <w:proofErr w:type="spellStart"/>
      <w:r w:rsidRPr="00D65973">
        <w:t>saxagliptin</w:t>
      </w:r>
      <w:proofErr w:type="spellEnd"/>
      <w:r w:rsidRPr="00D65973">
        <w:t xml:space="preserve"> as a DPP-4 inhibitor, has not been excluded.</w:t>
      </w:r>
    </w:p>
    <w:p w:rsidR="00DC0720" w:rsidRPr="00D65973" w:rsidRDefault="00DC0720" w:rsidP="00734145">
      <w:r w:rsidRPr="00D65973">
        <w:t>The benefit-risk balance of the FDC tablet as a form of giving this therapy is neutral to slightly favourable, and the above conclusions can therefore be applied to its use.</w:t>
      </w:r>
    </w:p>
    <w:p w:rsidR="00DC0720" w:rsidRDefault="00DC0720" w:rsidP="00DC0720">
      <w:pPr>
        <w:pStyle w:val="Heading4"/>
      </w:pPr>
      <w:r>
        <w:t>First round recommendation regarding authorisation</w:t>
      </w:r>
    </w:p>
    <w:p w:rsidR="00DC0720" w:rsidRPr="008F6F9C" w:rsidRDefault="00DC0720" w:rsidP="00734145">
      <w:r w:rsidRPr="008F6F9C">
        <w:t xml:space="preserve">It is recommended that </w:t>
      </w:r>
      <w:r w:rsidRPr="008F6F9C">
        <w:rPr>
          <w:b/>
        </w:rPr>
        <w:t xml:space="preserve">the application for all three dosage forms of the </w:t>
      </w:r>
      <w:proofErr w:type="spellStart"/>
      <w:r w:rsidRPr="008F6F9C">
        <w:rPr>
          <w:b/>
        </w:rPr>
        <w:t>saxagliptin</w:t>
      </w:r>
      <w:proofErr w:type="spellEnd"/>
      <w:r w:rsidRPr="008F6F9C">
        <w:rPr>
          <w:b/>
        </w:rPr>
        <w:t xml:space="preserve"> and </w:t>
      </w:r>
      <w:proofErr w:type="spellStart"/>
      <w:r w:rsidRPr="008F6F9C">
        <w:rPr>
          <w:b/>
        </w:rPr>
        <w:t>metformin</w:t>
      </w:r>
      <w:proofErr w:type="spellEnd"/>
      <w:r w:rsidRPr="008F6F9C">
        <w:rPr>
          <w:b/>
        </w:rPr>
        <w:t xml:space="preserve"> FDC (</w:t>
      </w:r>
      <w:proofErr w:type="spellStart"/>
      <w:r w:rsidRPr="008F6F9C">
        <w:rPr>
          <w:b/>
        </w:rPr>
        <w:t>Kombiglyze</w:t>
      </w:r>
      <w:proofErr w:type="spellEnd"/>
      <w:r w:rsidRPr="008F6F9C">
        <w:rPr>
          <w:b/>
        </w:rPr>
        <w:t>) be approved</w:t>
      </w:r>
      <w:r>
        <w:t xml:space="preserve">. </w:t>
      </w:r>
      <w:r w:rsidRPr="008F6F9C">
        <w:t xml:space="preserve">This recommendation applies only to the existing approved indications for use of </w:t>
      </w:r>
      <w:proofErr w:type="spellStart"/>
      <w:r w:rsidRPr="008F6F9C">
        <w:t>saxagliptin</w:t>
      </w:r>
      <w:proofErr w:type="spellEnd"/>
      <w:r w:rsidRPr="008F6F9C">
        <w:t xml:space="preserve"> with </w:t>
      </w:r>
      <w:proofErr w:type="spellStart"/>
      <w:r w:rsidRPr="008F6F9C">
        <w:t>metformin</w:t>
      </w:r>
      <w:proofErr w:type="spellEnd"/>
      <w:r w:rsidRPr="008F6F9C">
        <w:t>, and does not extend to use of the product with insulin.</w:t>
      </w:r>
    </w:p>
    <w:p w:rsidR="00DC0720" w:rsidRPr="008F6F9C" w:rsidRDefault="00DC0720" w:rsidP="00734145">
      <w:r w:rsidRPr="008F6F9C">
        <w:t xml:space="preserve">It should be noted that none of the data reviewed by this evaluation included the proposed 2.5 mg </w:t>
      </w:r>
      <w:proofErr w:type="spellStart"/>
      <w:r w:rsidRPr="008F6F9C">
        <w:t>saxagliptin</w:t>
      </w:r>
      <w:proofErr w:type="spellEnd"/>
      <w:r w:rsidRPr="008F6F9C">
        <w:t xml:space="preserve">/850 mg </w:t>
      </w:r>
      <w:proofErr w:type="spellStart"/>
      <w:r w:rsidRPr="008F6F9C">
        <w:t>metformin</w:t>
      </w:r>
      <w:proofErr w:type="spellEnd"/>
      <w:r w:rsidRPr="008F6F9C">
        <w:t xml:space="preserve"> tablets, or doses of 850 mg </w:t>
      </w:r>
      <w:proofErr w:type="spellStart"/>
      <w:r w:rsidRPr="008F6F9C">
        <w:t>metformin</w:t>
      </w:r>
      <w:proofErr w:type="spellEnd"/>
      <w:r w:rsidRPr="008F6F9C">
        <w:t>.</w:t>
      </w:r>
      <w:r w:rsidR="003C7F36">
        <w:t xml:space="preserve"> </w:t>
      </w:r>
      <w:r w:rsidRPr="008F6F9C">
        <w:t xml:space="preserve">Application for a </w:t>
      </w:r>
      <w:proofErr w:type="spellStart"/>
      <w:r w:rsidRPr="008F6F9C">
        <w:t>biowaiver</w:t>
      </w:r>
      <w:proofErr w:type="spellEnd"/>
      <w:r w:rsidRPr="008F6F9C">
        <w:t xml:space="preserve"> for this strength is included in the biopharmaceutical summary.</w:t>
      </w:r>
      <w:r w:rsidR="003C7F36">
        <w:t xml:space="preserve"> </w:t>
      </w:r>
      <w:r w:rsidRPr="008F6F9C">
        <w:t xml:space="preserve">While assessment of the pharmaceutical data is beyond the expertise of this evaluator, the application appears reasonable and only involves changes in the </w:t>
      </w:r>
      <w:proofErr w:type="spellStart"/>
      <w:r w:rsidRPr="008F6F9C">
        <w:t>m</w:t>
      </w:r>
      <w:r w:rsidR="00EC3BC0">
        <w:t>etformin</w:t>
      </w:r>
      <w:proofErr w:type="spellEnd"/>
      <w:r w:rsidR="00EC3BC0">
        <w:t xml:space="preserve"> dosage, which is among</w:t>
      </w:r>
      <w:r w:rsidRPr="008F6F9C">
        <w:t xml:space="preserve"> the range commonly employed in clinical practice at present.</w:t>
      </w:r>
      <w:r w:rsidR="003C7F36">
        <w:t xml:space="preserve"> </w:t>
      </w:r>
      <w:r w:rsidRPr="008F6F9C">
        <w:t xml:space="preserve">Inclusion of the three strengths improves the capacity for </w:t>
      </w:r>
      <w:proofErr w:type="spellStart"/>
      <w:r w:rsidRPr="008F6F9C">
        <w:t>metformin</w:t>
      </w:r>
      <w:proofErr w:type="spellEnd"/>
      <w:r w:rsidRPr="008F6F9C">
        <w:t xml:space="preserve"> dosage titration using the FDC.</w:t>
      </w:r>
    </w:p>
    <w:p w:rsidR="00DC0720" w:rsidRPr="008F6F9C" w:rsidRDefault="00DC0720" w:rsidP="00734145">
      <w:r w:rsidRPr="008F6F9C">
        <w:t xml:space="preserve">With regard to the question of use with insulin, it should be noted that this evaluation has only considered use of dual combination therapy with </w:t>
      </w:r>
      <w:proofErr w:type="spellStart"/>
      <w:r w:rsidRPr="008F6F9C">
        <w:t>saxagliptin</w:t>
      </w:r>
      <w:proofErr w:type="spellEnd"/>
      <w:r w:rsidRPr="008F6F9C">
        <w:t xml:space="preserve"> and </w:t>
      </w:r>
      <w:proofErr w:type="spellStart"/>
      <w:r w:rsidRPr="008F6F9C">
        <w:t>metformin</w:t>
      </w:r>
      <w:proofErr w:type="spellEnd"/>
      <w:r w:rsidRPr="008F6F9C">
        <w:t xml:space="preserve"> together with insulin.</w:t>
      </w:r>
      <w:r w:rsidR="003C7F36">
        <w:t xml:space="preserve"> </w:t>
      </w:r>
      <w:r w:rsidRPr="008F6F9C">
        <w:t xml:space="preserve">No data regarding use of </w:t>
      </w:r>
      <w:proofErr w:type="spellStart"/>
      <w:r w:rsidRPr="008F6F9C">
        <w:t>saxagliptin</w:t>
      </w:r>
      <w:proofErr w:type="spellEnd"/>
      <w:r w:rsidRPr="008F6F9C">
        <w:t xml:space="preserve"> alone with insulin has been reviewed.</w:t>
      </w:r>
      <w:r w:rsidR="003C7F36">
        <w:t xml:space="preserve"> </w:t>
      </w:r>
      <w:r w:rsidRPr="008F6F9C">
        <w:t>It is acknowledged that either of these indications could be reconsidered with further supporting evidence.</w:t>
      </w:r>
    </w:p>
    <w:p w:rsidR="008E7846" w:rsidRPr="00E41208" w:rsidRDefault="008E7846" w:rsidP="00734145">
      <w:pPr>
        <w:pStyle w:val="Heading2"/>
      </w:pPr>
      <w:bookmarkStart w:id="149" w:name="_Toc247691524"/>
      <w:bookmarkStart w:id="150" w:name="_Toc314842508"/>
      <w:bookmarkStart w:id="151" w:name="_Toc371598185"/>
      <w:r w:rsidRPr="00E41208">
        <w:lastRenderedPageBreak/>
        <w:t xml:space="preserve">V. </w:t>
      </w:r>
      <w:proofErr w:type="spellStart"/>
      <w:r w:rsidRPr="00734145">
        <w:t>Pharmacovigilance</w:t>
      </w:r>
      <w:proofErr w:type="spellEnd"/>
      <w:r w:rsidRPr="00E41208">
        <w:t xml:space="preserve"> </w:t>
      </w:r>
      <w:r>
        <w:t>f</w:t>
      </w:r>
      <w:r w:rsidRPr="00E41208">
        <w:t>indings</w:t>
      </w:r>
      <w:bookmarkEnd w:id="149"/>
      <w:bookmarkEnd w:id="150"/>
      <w:bookmarkEnd w:id="151"/>
    </w:p>
    <w:p w:rsidR="008E7846" w:rsidRDefault="00386150" w:rsidP="00734145">
      <w:pPr>
        <w:pStyle w:val="Heading3"/>
        <w:rPr>
          <w:lang w:eastAsia="en-AU"/>
        </w:rPr>
      </w:pPr>
      <w:bookmarkStart w:id="152" w:name="_Toc247691526"/>
      <w:bookmarkStart w:id="153" w:name="_Toc314842509"/>
      <w:bookmarkStart w:id="154" w:name="_Toc371598186"/>
      <w:r>
        <w:rPr>
          <w:lang w:eastAsia="en-AU"/>
        </w:rPr>
        <w:t xml:space="preserve">Risk </w:t>
      </w:r>
      <w:r w:rsidRPr="00734145">
        <w:t>m</w:t>
      </w:r>
      <w:r w:rsidR="008E7846" w:rsidRPr="00734145">
        <w:t>anagement</w:t>
      </w:r>
      <w:r w:rsidR="008E7846">
        <w:rPr>
          <w:lang w:eastAsia="en-AU"/>
        </w:rPr>
        <w:t xml:space="preserve"> </w:t>
      </w:r>
      <w:r>
        <w:rPr>
          <w:lang w:eastAsia="en-AU"/>
        </w:rPr>
        <w:t>p</w:t>
      </w:r>
      <w:r w:rsidR="008E7846">
        <w:rPr>
          <w:lang w:eastAsia="en-AU"/>
        </w:rPr>
        <w:t>lan</w:t>
      </w:r>
      <w:bookmarkEnd w:id="152"/>
      <w:bookmarkEnd w:id="153"/>
      <w:bookmarkEnd w:id="154"/>
    </w:p>
    <w:p w:rsidR="00F56505" w:rsidRDefault="002F6B9B" w:rsidP="00734145">
      <w:pPr>
        <w:rPr>
          <w:lang w:eastAsia="en-AU"/>
        </w:rPr>
      </w:pPr>
      <w:r>
        <w:rPr>
          <w:lang w:eastAsia="en-AU"/>
        </w:rPr>
        <w:t>The sponsor submitted a Risk Management Plan (RMP) which was reviewed by the TGA’s Office of Product Review (OPR).</w:t>
      </w:r>
    </w:p>
    <w:p w:rsidR="00F56505" w:rsidRDefault="00F56505" w:rsidP="00734145">
      <w:pPr>
        <w:rPr>
          <w:lang w:eastAsia="en-AU"/>
        </w:rPr>
      </w:pPr>
      <w:r>
        <w:rPr>
          <w:lang w:eastAsia="en-AU"/>
        </w:rPr>
        <w:t xml:space="preserve">Table 4 shows a summary of the </w:t>
      </w:r>
      <w:proofErr w:type="spellStart"/>
      <w:r>
        <w:rPr>
          <w:lang w:eastAsia="en-AU"/>
        </w:rPr>
        <w:t>Kombiglyze</w:t>
      </w:r>
      <w:proofErr w:type="spellEnd"/>
      <w:r>
        <w:rPr>
          <w:lang w:eastAsia="en-AU"/>
        </w:rPr>
        <w:t xml:space="preserve"> RMP.</w:t>
      </w:r>
    </w:p>
    <w:p w:rsidR="00F56505" w:rsidRDefault="00F56505" w:rsidP="00734145">
      <w:pPr>
        <w:pStyle w:val="TableTitle"/>
        <w:rPr>
          <w:lang w:val="en-GB"/>
        </w:rPr>
      </w:pPr>
      <w:r>
        <w:t>Table 4:</w:t>
      </w:r>
      <w:r w:rsidRPr="004C5C28">
        <w:t xml:space="preserve"> </w:t>
      </w:r>
      <w:r>
        <w:t xml:space="preserve">Summary of </w:t>
      </w:r>
      <w:proofErr w:type="spellStart"/>
      <w:r>
        <w:t>Kombiglyze</w:t>
      </w:r>
      <w:proofErr w:type="spellEnd"/>
      <w:r>
        <w:t xml:space="preserve"> RMP.</w:t>
      </w:r>
    </w:p>
    <w:p w:rsidR="009E04DD" w:rsidRDefault="00D47E1A" w:rsidP="003E1FC4">
      <w:pPr>
        <w:pStyle w:val="TableTitle"/>
        <w:rPr>
          <w:lang w:val="en-GB"/>
        </w:rPr>
      </w:pPr>
      <w:r>
        <w:rPr>
          <w:noProof/>
          <w:lang w:eastAsia="en-AU"/>
        </w:rPr>
        <w:drawing>
          <wp:inline distT="0" distB="0" distL="0" distR="0">
            <wp:extent cx="5400675" cy="2847975"/>
            <wp:effectExtent l="19050" t="0" r="9525" b="0"/>
            <wp:docPr id="11" name="Picture 11" descr="Table showing summary of Kombiglyze R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1"/>
                    <pic:cNvPicPr>
                      <a:picLocks noChangeAspect="1" noChangeArrowheads="1"/>
                    </pic:cNvPicPr>
                  </pic:nvPicPr>
                  <pic:blipFill>
                    <a:blip r:embed="rId22" cstate="print"/>
                    <a:srcRect/>
                    <a:stretch>
                      <a:fillRect/>
                    </a:stretch>
                  </pic:blipFill>
                  <pic:spPr bwMode="auto">
                    <a:xfrm>
                      <a:off x="0" y="0"/>
                      <a:ext cx="5400675" cy="2847975"/>
                    </a:xfrm>
                    <a:prstGeom prst="rect">
                      <a:avLst/>
                    </a:prstGeom>
                    <a:noFill/>
                    <a:ln w="9525">
                      <a:noFill/>
                      <a:miter lim="800000"/>
                      <a:headEnd/>
                      <a:tailEnd/>
                    </a:ln>
                  </pic:spPr>
                </pic:pic>
              </a:graphicData>
            </a:graphic>
          </wp:inline>
        </w:drawing>
      </w:r>
      <w:r>
        <w:rPr>
          <w:noProof/>
          <w:lang w:eastAsia="en-AU"/>
        </w:rPr>
        <w:drawing>
          <wp:inline distT="0" distB="0" distL="0" distR="0">
            <wp:extent cx="5391150" cy="2543175"/>
            <wp:effectExtent l="19050" t="0" r="0" b="0"/>
            <wp:docPr id="12" name="Picture 12" descr="Continued table showing summary of Kombiglyze R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2"/>
                    <pic:cNvPicPr>
                      <a:picLocks noChangeAspect="1" noChangeArrowheads="1"/>
                    </pic:cNvPicPr>
                  </pic:nvPicPr>
                  <pic:blipFill>
                    <a:blip r:embed="rId23" cstate="print"/>
                    <a:srcRect/>
                    <a:stretch>
                      <a:fillRect/>
                    </a:stretch>
                  </pic:blipFill>
                  <pic:spPr bwMode="auto">
                    <a:xfrm>
                      <a:off x="0" y="0"/>
                      <a:ext cx="5391150" cy="2543175"/>
                    </a:xfrm>
                    <a:prstGeom prst="rect">
                      <a:avLst/>
                    </a:prstGeom>
                    <a:noFill/>
                    <a:ln w="9525">
                      <a:noFill/>
                      <a:miter lim="800000"/>
                      <a:headEnd/>
                      <a:tailEnd/>
                    </a:ln>
                  </pic:spPr>
                </pic:pic>
              </a:graphicData>
            </a:graphic>
          </wp:inline>
        </w:drawing>
      </w:r>
      <w:r w:rsidR="009E04DD">
        <w:br w:type="page"/>
      </w:r>
      <w:r w:rsidR="009E04DD">
        <w:lastRenderedPageBreak/>
        <w:t>Table 4 (continued):</w:t>
      </w:r>
      <w:r w:rsidR="009E04DD" w:rsidRPr="004C5C28">
        <w:t xml:space="preserve"> </w:t>
      </w:r>
      <w:r w:rsidR="009E04DD">
        <w:t xml:space="preserve">Summary of </w:t>
      </w:r>
      <w:proofErr w:type="spellStart"/>
      <w:r w:rsidR="009E04DD">
        <w:t>Kombiglyze</w:t>
      </w:r>
      <w:proofErr w:type="spellEnd"/>
      <w:r w:rsidR="009E04DD">
        <w:t xml:space="preserve"> RMP.</w:t>
      </w:r>
    </w:p>
    <w:p w:rsidR="00734145" w:rsidRDefault="00D47E1A" w:rsidP="003E1FC4">
      <w:pPr>
        <w:jc w:val="center"/>
        <w:rPr>
          <w:lang w:eastAsia="en-AU"/>
        </w:rPr>
      </w:pPr>
      <w:r>
        <w:rPr>
          <w:noProof/>
          <w:lang w:eastAsia="en-AU"/>
        </w:rPr>
        <w:drawing>
          <wp:inline distT="0" distB="0" distL="0" distR="0">
            <wp:extent cx="5391150" cy="2857500"/>
            <wp:effectExtent l="19050" t="0" r="0" b="0"/>
            <wp:docPr id="13" name="Picture 13" descr="Continued table showing summary of Kombiglyze R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1"/>
                    <pic:cNvPicPr>
                      <a:picLocks noChangeAspect="1" noChangeArrowheads="1"/>
                    </pic:cNvPicPr>
                  </pic:nvPicPr>
                  <pic:blipFill>
                    <a:blip r:embed="rId24" cstate="print"/>
                    <a:srcRect/>
                    <a:stretch>
                      <a:fillRect/>
                    </a:stretch>
                  </pic:blipFill>
                  <pic:spPr bwMode="auto">
                    <a:xfrm>
                      <a:off x="0" y="0"/>
                      <a:ext cx="5391150" cy="2857500"/>
                    </a:xfrm>
                    <a:prstGeom prst="rect">
                      <a:avLst/>
                    </a:prstGeom>
                    <a:noFill/>
                    <a:ln w="9525">
                      <a:noFill/>
                      <a:miter lim="800000"/>
                      <a:headEnd/>
                      <a:tailEnd/>
                    </a:ln>
                  </pic:spPr>
                </pic:pic>
              </a:graphicData>
            </a:graphic>
          </wp:inline>
        </w:drawing>
      </w:r>
      <w:r>
        <w:rPr>
          <w:noProof/>
          <w:lang w:eastAsia="en-AU"/>
        </w:rPr>
        <w:drawing>
          <wp:inline distT="0" distB="0" distL="0" distR="0">
            <wp:extent cx="5391150" cy="2085975"/>
            <wp:effectExtent l="19050" t="0" r="0" b="0"/>
            <wp:docPr id="14" name="Picture 14" descr="Continued table showing summary of Kombiglyze R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2"/>
                    <pic:cNvPicPr>
                      <a:picLocks noChangeAspect="1" noChangeArrowheads="1"/>
                    </pic:cNvPicPr>
                  </pic:nvPicPr>
                  <pic:blipFill>
                    <a:blip r:embed="rId25" cstate="print"/>
                    <a:srcRect/>
                    <a:stretch>
                      <a:fillRect/>
                    </a:stretch>
                  </pic:blipFill>
                  <pic:spPr bwMode="auto">
                    <a:xfrm>
                      <a:off x="0" y="0"/>
                      <a:ext cx="5391150" cy="2085975"/>
                    </a:xfrm>
                    <a:prstGeom prst="rect">
                      <a:avLst/>
                    </a:prstGeom>
                    <a:noFill/>
                    <a:ln w="9525">
                      <a:noFill/>
                      <a:miter lim="800000"/>
                      <a:headEnd/>
                      <a:tailEnd/>
                    </a:ln>
                  </pic:spPr>
                </pic:pic>
              </a:graphicData>
            </a:graphic>
          </wp:inline>
        </w:drawing>
      </w:r>
      <w:r>
        <w:rPr>
          <w:noProof/>
          <w:lang w:eastAsia="en-AU"/>
        </w:rPr>
        <w:drawing>
          <wp:inline distT="0" distB="0" distL="0" distR="0">
            <wp:extent cx="5391150" cy="762000"/>
            <wp:effectExtent l="19050" t="0" r="0" b="0"/>
            <wp:docPr id="15" name="Picture 15" descr="Continued table showing summary of Kombiglyze R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3"/>
                    <pic:cNvPicPr>
                      <a:picLocks noChangeAspect="1" noChangeArrowheads="1"/>
                    </pic:cNvPicPr>
                  </pic:nvPicPr>
                  <pic:blipFill>
                    <a:blip r:embed="rId26" cstate="print"/>
                    <a:srcRect/>
                    <a:stretch>
                      <a:fillRect/>
                    </a:stretch>
                  </pic:blipFill>
                  <pic:spPr bwMode="auto">
                    <a:xfrm>
                      <a:off x="0" y="0"/>
                      <a:ext cx="5391150" cy="762000"/>
                    </a:xfrm>
                    <a:prstGeom prst="rect">
                      <a:avLst/>
                    </a:prstGeom>
                    <a:noFill/>
                    <a:ln w="9525">
                      <a:noFill/>
                      <a:miter lim="800000"/>
                      <a:headEnd/>
                      <a:tailEnd/>
                    </a:ln>
                  </pic:spPr>
                </pic:pic>
              </a:graphicData>
            </a:graphic>
          </wp:inline>
        </w:drawing>
      </w:r>
    </w:p>
    <w:p w:rsidR="00734145" w:rsidRDefault="00F56505" w:rsidP="00734145">
      <w:pPr>
        <w:rPr>
          <w:lang w:eastAsia="en-AU"/>
        </w:rPr>
      </w:pPr>
      <w:r>
        <w:rPr>
          <w:lang w:eastAsia="en-AU"/>
        </w:rPr>
        <w:t>Table 5 summarises the TGA’s evaluation of the RMP and the sponsor’s responses to the issues raised by the OPR.</w:t>
      </w:r>
    </w:p>
    <w:p w:rsidR="002F6B9B" w:rsidRDefault="002F6B9B" w:rsidP="00734145">
      <w:pPr>
        <w:pStyle w:val="TableTitle"/>
        <w:rPr>
          <w:lang w:val="en-GB"/>
        </w:rPr>
      </w:pPr>
      <w:r>
        <w:lastRenderedPageBreak/>
        <w:t xml:space="preserve">Table </w:t>
      </w:r>
      <w:r w:rsidR="00F56505">
        <w:t>5</w:t>
      </w:r>
      <w:r>
        <w:t>:</w:t>
      </w:r>
      <w:r w:rsidRPr="004C5C28">
        <w:t xml:space="preserve"> </w:t>
      </w:r>
      <w:r w:rsidRPr="002F6B9B">
        <w:t xml:space="preserve">Reconciliation of issues outlined in the </w:t>
      </w:r>
      <w:proofErr w:type="spellStart"/>
      <w:r w:rsidR="00EB1001">
        <w:t>Kombiglyze</w:t>
      </w:r>
      <w:proofErr w:type="spellEnd"/>
      <w:r w:rsidR="00EB1001">
        <w:t xml:space="preserve"> </w:t>
      </w:r>
      <w:r w:rsidRPr="002F6B9B">
        <w:t>RMP evaluation report</w:t>
      </w:r>
      <w:r>
        <w:t>.</w:t>
      </w:r>
    </w:p>
    <w:p w:rsidR="00165447" w:rsidRDefault="00D47E1A" w:rsidP="003E1FC4">
      <w:pPr>
        <w:pStyle w:val="TableTitle"/>
        <w:rPr>
          <w:lang w:val="en-GB"/>
        </w:rPr>
      </w:pPr>
      <w:r>
        <w:rPr>
          <w:noProof/>
          <w:lang w:eastAsia="en-AU"/>
        </w:rPr>
        <w:drawing>
          <wp:inline distT="0" distB="0" distL="0" distR="0">
            <wp:extent cx="5419725" cy="2924175"/>
            <wp:effectExtent l="19050" t="0" r="9525" b="0"/>
            <wp:docPr id="16" name="Picture 16" descr="Table showing reconciliation of issues outlined in the Kombiglyze RMP evaluat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
                    <pic:cNvPicPr>
                      <a:picLocks noChangeAspect="1" noChangeArrowheads="1"/>
                    </pic:cNvPicPr>
                  </pic:nvPicPr>
                  <pic:blipFill>
                    <a:blip r:embed="rId27" cstate="print"/>
                    <a:srcRect/>
                    <a:stretch>
                      <a:fillRect/>
                    </a:stretch>
                  </pic:blipFill>
                  <pic:spPr bwMode="auto">
                    <a:xfrm>
                      <a:off x="0" y="0"/>
                      <a:ext cx="5419725" cy="2924175"/>
                    </a:xfrm>
                    <a:prstGeom prst="rect">
                      <a:avLst/>
                    </a:prstGeom>
                    <a:noFill/>
                    <a:ln w="9525">
                      <a:noFill/>
                      <a:miter lim="800000"/>
                      <a:headEnd/>
                      <a:tailEnd/>
                    </a:ln>
                  </pic:spPr>
                </pic:pic>
              </a:graphicData>
            </a:graphic>
          </wp:inline>
        </w:drawing>
      </w:r>
      <w:r>
        <w:rPr>
          <w:noProof/>
          <w:lang w:eastAsia="en-AU"/>
        </w:rPr>
        <w:drawing>
          <wp:inline distT="0" distB="0" distL="0" distR="0">
            <wp:extent cx="5429250" cy="3409950"/>
            <wp:effectExtent l="19050" t="0" r="0" b="0"/>
            <wp:docPr id="17" name="Picture 17" descr="Continued table showing reconciliation of issues outlined in the Kombiglyze RMP evaluat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2"/>
                    <pic:cNvPicPr>
                      <a:picLocks noChangeAspect="1" noChangeArrowheads="1"/>
                    </pic:cNvPicPr>
                  </pic:nvPicPr>
                  <pic:blipFill>
                    <a:blip r:embed="rId28" cstate="print"/>
                    <a:srcRect/>
                    <a:stretch>
                      <a:fillRect/>
                    </a:stretch>
                  </pic:blipFill>
                  <pic:spPr bwMode="auto">
                    <a:xfrm>
                      <a:off x="0" y="0"/>
                      <a:ext cx="5429250" cy="3409950"/>
                    </a:xfrm>
                    <a:prstGeom prst="rect">
                      <a:avLst/>
                    </a:prstGeom>
                    <a:noFill/>
                    <a:ln w="9525">
                      <a:noFill/>
                      <a:miter lim="800000"/>
                      <a:headEnd/>
                      <a:tailEnd/>
                    </a:ln>
                  </pic:spPr>
                </pic:pic>
              </a:graphicData>
            </a:graphic>
          </wp:inline>
        </w:drawing>
      </w:r>
      <w:r w:rsidR="005F4066">
        <w:br w:type="page"/>
      </w:r>
      <w:r w:rsidR="00165447">
        <w:lastRenderedPageBreak/>
        <w:t xml:space="preserve">Table </w:t>
      </w:r>
      <w:r w:rsidR="00F56505">
        <w:t>5</w:t>
      </w:r>
      <w:r w:rsidR="00165447">
        <w:t xml:space="preserve"> (continued):</w:t>
      </w:r>
      <w:r w:rsidR="00165447" w:rsidRPr="004C5C28">
        <w:t xml:space="preserve"> </w:t>
      </w:r>
      <w:r w:rsidR="00165447" w:rsidRPr="002F6B9B">
        <w:t xml:space="preserve">Reconciliation of issues outlined in the </w:t>
      </w:r>
      <w:proofErr w:type="spellStart"/>
      <w:r w:rsidR="00EB1001">
        <w:t>Kombiglyze</w:t>
      </w:r>
      <w:proofErr w:type="spellEnd"/>
      <w:r w:rsidR="00EB1001" w:rsidRPr="002F6B9B">
        <w:t xml:space="preserve"> </w:t>
      </w:r>
      <w:r w:rsidR="00165447" w:rsidRPr="002F6B9B">
        <w:t>RMP evaluation report</w:t>
      </w:r>
      <w:r w:rsidR="00165447">
        <w:t>.</w:t>
      </w:r>
    </w:p>
    <w:p w:rsidR="005F4066" w:rsidRDefault="00D47E1A" w:rsidP="003E1FC4">
      <w:pPr>
        <w:pStyle w:val="TableTitle"/>
        <w:rPr>
          <w:lang w:val="en-GB"/>
        </w:rPr>
      </w:pPr>
      <w:r>
        <w:rPr>
          <w:noProof/>
          <w:lang w:eastAsia="en-AU"/>
        </w:rPr>
        <w:drawing>
          <wp:inline distT="0" distB="0" distL="0" distR="0">
            <wp:extent cx="5419725" cy="3495675"/>
            <wp:effectExtent l="19050" t="0" r="9525" b="0"/>
            <wp:docPr id="18" name="Picture 18" descr="Continued table showing reconciliation of issues outlined in the Kombiglyze RMP evaluat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3"/>
                    <pic:cNvPicPr>
                      <a:picLocks noChangeAspect="1" noChangeArrowheads="1"/>
                    </pic:cNvPicPr>
                  </pic:nvPicPr>
                  <pic:blipFill>
                    <a:blip r:embed="rId29" cstate="print"/>
                    <a:srcRect/>
                    <a:stretch>
                      <a:fillRect/>
                    </a:stretch>
                  </pic:blipFill>
                  <pic:spPr bwMode="auto">
                    <a:xfrm>
                      <a:off x="0" y="0"/>
                      <a:ext cx="5419725" cy="3495675"/>
                    </a:xfrm>
                    <a:prstGeom prst="rect">
                      <a:avLst/>
                    </a:prstGeom>
                    <a:noFill/>
                    <a:ln w="9525">
                      <a:noFill/>
                      <a:miter lim="800000"/>
                      <a:headEnd/>
                      <a:tailEnd/>
                    </a:ln>
                  </pic:spPr>
                </pic:pic>
              </a:graphicData>
            </a:graphic>
          </wp:inline>
        </w:drawing>
      </w:r>
      <w:r>
        <w:rPr>
          <w:noProof/>
          <w:lang w:eastAsia="en-AU"/>
        </w:rPr>
        <w:drawing>
          <wp:inline distT="0" distB="0" distL="0" distR="0">
            <wp:extent cx="5410200" cy="3486150"/>
            <wp:effectExtent l="19050" t="0" r="0" b="0"/>
            <wp:docPr id="19" name="Picture 19" descr="Continued table showing reconciliation of issues outlined in the Kombiglyze RMP evaluat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4"/>
                    <pic:cNvPicPr>
                      <a:picLocks noChangeAspect="1" noChangeArrowheads="1"/>
                    </pic:cNvPicPr>
                  </pic:nvPicPr>
                  <pic:blipFill>
                    <a:blip r:embed="rId30" cstate="print"/>
                    <a:srcRect/>
                    <a:stretch>
                      <a:fillRect/>
                    </a:stretch>
                  </pic:blipFill>
                  <pic:spPr bwMode="auto">
                    <a:xfrm>
                      <a:off x="0" y="0"/>
                      <a:ext cx="5410200" cy="3486150"/>
                    </a:xfrm>
                    <a:prstGeom prst="rect">
                      <a:avLst/>
                    </a:prstGeom>
                    <a:noFill/>
                    <a:ln w="9525">
                      <a:noFill/>
                      <a:miter lim="800000"/>
                      <a:headEnd/>
                      <a:tailEnd/>
                    </a:ln>
                  </pic:spPr>
                </pic:pic>
              </a:graphicData>
            </a:graphic>
          </wp:inline>
        </w:drawing>
      </w:r>
      <w:r w:rsidR="005F4066">
        <w:br w:type="page"/>
      </w:r>
      <w:r w:rsidR="005F4066">
        <w:lastRenderedPageBreak/>
        <w:t xml:space="preserve">Table </w:t>
      </w:r>
      <w:r w:rsidR="00F56505">
        <w:t>5</w:t>
      </w:r>
      <w:r w:rsidR="005F4066">
        <w:t xml:space="preserve"> (continued):</w:t>
      </w:r>
      <w:r w:rsidR="005F4066" w:rsidRPr="004C5C28">
        <w:t xml:space="preserve"> </w:t>
      </w:r>
      <w:r w:rsidR="005F4066" w:rsidRPr="002F6B9B">
        <w:t xml:space="preserve">Reconciliation of issues outlined in the </w:t>
      </w:r>
      <w:proofErr w:type="spellStart"/>
      <w:r w:rsidR="00EB1001">
        <w:t>Kombiglyze</w:t>
      </w:r>
      <w:proofErr w:type="spellEnd"/>
      <w:r w:rsidR="00EB1001" w:rsidRPr="002F6B9B">
        <w:t xml:space="preserve"> </w:t>
      </w:r>
      <w:r w:rsidR="005F4066" w:rsidRPr="002F6B9B">
        <w:t>RMP evaluation report</w:t>
      </w:r>
      <w:r w:rsidR="005F4066">
        <w:t>.</w:t>
      </w:r>
    </w:p>
    <w:p w:rsidR="008C79BB" w:rsidRDefault="00D47E1A" w:rsidP="003E1FC4">
      <w:pPr>
        <w:jc w:val="center"/>
        <w:rPr>
          <w:lang w:eastAsia="en-AU"/>
        </w:rPr>
      </w:pPr>
      <w:r>
        <w:rPr>
          <w:noProof/>
          <w:lang w:eastAsia="en-AU"/>
        </w:rPr>
        <w:drawing>
          <wp:inline distT="0" distB="0" distL="0" distR="0">
            <wp:extent cx="5124450" cy="3238500"/>
            <wp:effectExtent l="19050" t="0" r="0" b="0"/>
            <wp:docPr id="20" name="Picture 20" descr="Continued table showing reconciliation of issues outlined in the Kombiglyze RMP evaluat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5"/>
                    <pic:cNvPicPr>
                      <a:picLocks noChangeAspect="1" noChangeArrowheads="1"/>
                    </pic:cNvPicPr>
                  </pic:nvPicPr>
                  <pic:blipFill>
                    <a:blip r:embed="rId31" cstate="print"/>
                    <a:srcRect/>
                    <a:stretch>
                      <a:fillRect/>
                    </a:stretch>
                  </pic:blipFill>
                  <pic:spPr bwMode="auto">
                    <a:xfrm>
                      <a:off x="0" y="0"/>
                      <a:ext cx="5124450" cy="3238500"/>
                    </a:xfrm>
                    <a:prstGeom prst="rect">
                      <a:avLst/>
                    </a:prstGeom>
                    <a:noFill/>
                    <a:ln w="9525">
                      <a:noFill/>
                      <a:miter lim="800000"/>
                      <a:headEnd/>
                      <a:tailEnd/>
                    </a:ln>
                  </pic:spPr>
                </pic:pic>
              </a:graphicData>
            </a:graphic>
          </wp:inline>
        </w:drawing>
      </w:r>
      <w:r>
        <w:rPr>
          <w:noProof/>
          <w:lang w:eastAsia="en-AU"/>
        </w:rPr>
        <w:drawing>
          <wp:inline distT="0" distB="0" distL="0" distR="0">
            <wp:extent cx="5153025" cy="3238500"/>
            <wp:effectExtent l="19050" t="0" r="9525" b="0"/>
            <wp:docPr id="21" name="Picture 21" descr="Continued table showing reconciliation of issues outlined in the Kombiglyze RMP evaluat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6"/>
                    <pic:cNvPicPr>
                      <a:picLocks noChangeAspect="1" noChangeArrowheads="1"/>
                    </pic:cNvPicPr>
                  </pic:nvPicPr>
                  <pic:blipFill>
                    <a:blip r:embed="rId32" cstate="print"/>
                    <a:srcRect/>
                    <a:stretch>
                      <a:fillRect/>
                    </a:stretch>
                  </pic:blipFill>
                  <pic:spPr bwMode="auto">
                    <a:xfrm>
                      <a:off x="0" y="0"/>
                      <a:ext cx="5153025" cy="3238500"/>
                    </a:xfrm>
                    <a:prstGeom prst="rect">
                      <a:avLst/>
                    </a:prstGeom>
                    <a:noFill/>
                    <a:ln w="9525">
                      <a:noFill/>
                      <a:miter lim="800000"/>
                      <a:headEnd/>
                      <a:tailEnd/>
                    </a:ln>
                  </pic:spPr>
                </pic:pic>
              </a:graphicData>
            </a:graphic>
          </wp:inline>
        </w:drawing>
      </w:r>
      <w:r>
        <w:rPr>
          <w:noProof/>
          <w:lang w:eastAsia="en-AU"/>
        </w:rPr>
        <w:drawing>
          <wp:inline distT="0" distB="0" distL="0" distR="0">
            <wp:extent cx="5133975" cy="1752600"/>
            <wp:effectExtent l="19050" t="0" r="9525" b="0"/>
            <wp:docPr id="22" name="Picture 22" descr="Continued table showing reconciliation of issues outlined in the Kombiglyze RMP evaluat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7"/>
                    <pic:cNvPicPr>
                      <a:picLocks noChangeAspect="1" noChangeArrowheads="1"/>
                    </pic:cNvPicPr>
                  </pic:nvPicPr>
                  <pic:blipFill>
                    <a:blip r:embed="rId33" cstate="print"/>
                    <a:srcRect/>
                    <a:stretch>
                      <a:fillRect/>
                    </a:stretch>
                  </pic:blipFill>
                  <pic:spPr bwMode="auto">
                    <a:xfrm>
                      <a:off x="0" y="0"/>
                      <a:ext cx="5133975" cy="1752600"/>
                    </a:xfrm>
                    <a:prstGeom prst="rect">
                      <a:avLst/>
                    </a:prstGeom>
                    <a:noFill/>
                    <a:ln w="9525">
                      <a:noFill/>
                      <a:miter lim="800000"/>
                      <a:headEnd/>
                      <a:tailEnd/>
                    </a:ln>
                  </pic:spPr>
                </pic:pic>
              </a:graphicData>
            </a:graphic>
          </wp:inline>
        </w:drawing>
      </w:r>
    </w:p>
    <w:p w:rsidR="00CC20D5" w:rsidRPr="00CC20D5" w:rsidRDefault="00CC20D5" w:rsidP="00E85125">
      <w:pPr>
        <w:pStyle w:val="Heading4"/>
      </w:pPr>
      <w:r w:rsidRPr="00CC20D5">
        <w:lastRenderedPageBreak/>
        <w:t>Suggested wording for conditions of registration</w:t>
      </w:r>
    </w:p>
    <w:p w:rsidR="00CC20D5" w:rsidRPr="00CC20D5" w:rsidRDefault="00CC20D5" w:rsidP="00E85125">
      <w:pPr>
        <w:pStyle w:val="Heading5"/>
      </w:pPr>
      <w:r w:rsidRPr="00E85125">
        <w:t>RMP</w:t>
      </w:r>
    </w:p>
    <w:p w:rsidR="00CC20D5" w:rsidRPr="00CC20D5" w:rsidRDefault="00CC20D5" w:rsidP="00E85125">
      <w:r w:rsidRPr="00CC20D5">
        <w:t>Implement EU-</w:t>
      </w:r>
      <w:r w:rsidR="005815A9">
        <w:t>RMP Version 2 (dated 8 December 2011</w:t>
      </w:r>
      <w:r w:rsidRPr="00CC20D5">
        <w:t>), and Australian Risk Minim</w:t>
      </w:r>
      <w:r w:rsidR="005815A9">
        <w:t xml:space="preserve">isation Activities (dated 26 March </w:t>
      </w:r>
      <w:r w:rsidRPr="00CC20D5">
        <w:t>2012),</w:t>
      </w:r>
      <w:r w:rsidR="00705D8A">
        <w:rPr>
          <w:rStyle w:val="FootnoteReference"/>
        </w:rPr>
        <w:footnoteReference w:id="9"/>
      </w:r>
      <w:r w:rsidRPr="00CC20D5">
        <w:t xml:space="preserve"> and any future updates as a condition of registration.</w:t>
      </w:r>
    </w:p>
    <w:p w:rsidR="00CC20D5" w:rsidRPr="00CC20D5" w:rsidRDefault="001F6ED2" w:rsidP="00E85125">
      <w:pPr>
        <w:pStyle w:val="Heading5"/>
      </w:pPr>
      <w:r>
        <w:t>Periodic Safety Update Reports (</w:t>
      </w:r>
      <w:r w:rsidRPr="00E85125">
        <w:t>PSURs</w:t>
      </w:r>
      <w:r>
        <w:t>)</w:t>
      </w:r>
    </w:p>
    <w:p w:rsidR="00CC20D5" w:rsidRPr="00CC20D5" w:rsidRDefault="00CC20D5" w:rsidP="00E85125">
      <w:r w:rsidRPr="00CC20D5">
        <w:t xml:space="preserve">Post marketing reports are to be provided in line with the current published list of EU reference dates and frequency until the period covered by such reports is not less than three years from the date of this approval letter. The reports are to meet the requirements in accordance with ICH E2C (R2) guideline on Periodic Benefit-Risk Evaluation Reports and Module VII of the EMA Guideline on Good </w:t>
      </w:r>
      <w:proofErr w:type="spellStart"/>
      <w:r w:rsidRPr="00CC20D5">
        <w:t>Pharmacovigilance</w:t>
      </w:r>
      <w:proofErr w:type="spellEnd"/>
      <w:r w:rsidRPr="00CC20D5">
        <w:t xml:space="preserve"> (GPV) Practices relating to PSURs</w:t>
      </w:r>
      <w:r w:rsidR="00A5684D">
        <w:t xml:space="preserve">. </w:t>
      </w:r>
      <w:r w:rsidRPr="00CC20D5">
        <w:t>Submission of the report must be within the 70 days of the data lock point for PSURs covering intervals up to and including 12 months and within 90 days of the data lock point for PSURs covering int</w:t>
      </w:r>
      <w:r w:rsidR="00A5684D">
        <w:t xml:space="preserve">ervals in excess of 12 months. </w:t>
      </w:r>
      <w:r w:rsidRPr="00CC20D5">
        <w:t>The su</w:t>
      </w:r>
      <w:r w:rsidR="001F6ED2">
        <w:t>bmission may be made up of two PSURs</w:t>
      </w:r>
      <w:r w:rsidRPr="00CC20D5">
        <w:t xml:space="preserve"> each covering six months.</w:t>
      </w:r>
      <w:r w:rsidR="003C7F36">
        <w:t xml:space="preserve"> </w:t>
      </w:r>
    </w:p>
    <w:p w:rsidR="008E7846" w:rsidRPr="00792A32" w:rsidRDefault="008E7846" w:rsidP="00E85125">
      <w:pPr>
        <w:pStyle w:val="Heading2"/>
      </w:pPr>
      <w:bookmarkStart w:id="155" w:name="_Toc247691527"/>
      <w:bookmarkStart w:id="156" w:name="_Toc314842510"/>
      <w:bookmarkStart w:id="157" w:name="_Toc371598187"/>
      <w:r>
        <w:t xml:space="preserve">VI. </w:t>
      </w:r>
      <w:r w:rsidRPr="00792A32">
        <w:t xml:space="preserve">Overall </w:t>
      </w:r>
      <w:r>
        <w:t>c</w:t>
      </w:r>
      <w:r w:rsidRPr="00792A32">
        <w:t xml:space="preserve">onclusion </w:t>
      </w:r>
      <w:r w:rsidRPr="00E85125">
        <w:t>and</w:t>
      </w:r>
      <w:r w:rsidRPr="00792A32">
        <w:t xml:space="preserve"> </w:t>
      </w:r>
      <w:r>
        <w:t>r</w:t>
      </w:r>
      <w:r w:rsidRPr="00792A32">
        <w:t>isk/</w:t>
      </w:r>
      <w:r>
        <w:t>b</w:t>
      </w:r>
      <w:r w:rsidRPr="00792A32">
        <w:t xml:space="preserve">enefit </w:t>
      </w:r>
      <w:r>
        <w:t>a</w:t>
      </w:r>
      <w:r w:rsidRPr="00792A32">
        <w:t>ssessment</w:t>
      </w:r>
      <w:bookmarkEnd w:id="130"/>
      <w:bookmarkEnd w:id="155"/>
      <w:bookmarkEnd w:id="156"/>
      <w:bookmarkEnd w:id="157"/>
    </w:p>
    <w:p w:rsidR="008E7846" w:rsidRDefault="008E7846" w:rsidP="00E85125">
      <w:bookmarkStart w:id="158"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E85125">
      <w:pPr>
        <w:pStyle w:val="Heading3"/>
      </w:pPr>
      <w:bookmarkStart w:id="159" w:name="_Toc314842511"/>
      <w:bookmarkStart w:id="160" w:name="_Toc371598188"/>
      <w:r w:rsidRPr="00E85125">
        <w:t>Quality</w:t>
      </w:r>
      <w:bookmarkEnd w:id="158"/>
      <w:bookmarkEnd w:id="159"/>
      <w:bookmarkEnd w:id="160"/>
    </w:p>
    <w:p w:rsidR="001C06E0" w:rsidRPr="001C06E0" w:rsidRDefault="005C0459" w:rsidP="00E85125">
      <w:r w:rsidRPr="005C0459">
        <w:t>The two active substances are not mixed together within the tablet</w:t>
      </w:r>
      <w:r w:rsidR="00AA1756">
        <w:t xml:space="preserve">. </w:t>
      </w:r>
      <w:proofErr w:type="spellStart"/>
      <w:r w:rsidR="00AA1756">
        <w:t>Kombiglyze</w:t>
      </w:r>
      <w:proofErr w:type="spellEnd"/>
      <w:r w:rsidR="00AA1756">
        <w:t xml:space="preserve"> tablets</w:t>
      </w:r>
      <w:r>
        <w:t xml:space="preserve"> consist of an inner </w:t>
      </w:r>
      <w:proofErr w:type="spellStart"/>
      <w:r>
        <w:t>metformin</w:t>
      </w:r>
      <w:proofErr w:type="spellEnd"/>
      <w:r>
        <w:t xml:space="preserve"> core </w:t>
      </w:r>
      <w:r w:rsidR="00AA1756">
        <w:t>which is covered by</w:t>
      </w:r>
      <w:r>
        <w:t xml:space="preserve"> an active coating of </w:t>
      </w:r>
      <w:proofErr w:type="spellStart"/>
      <w:r w:rsidRPr="005C0459">
        <w:t>saxagliptin</w:t>
      </w:r>
      <w:proofErr w:type="spellEnd"/>
      <w:r w:rsidR="001C06E0" w:rsidRPr="001C06E0">
        <w:t xml:space="preserve">. The manufacturing details are considered satisfactory. </w:t>
      </w:r>
    </w:p>
    <w:p w:rsidR="001C06E0" w:rsidRPr="00E85125" w:rsidRDefault="001C06E0" w:rsidP="00E85125">
      <w:pPr>
        <w:pStyle w:val="ListBullet"/>
      </w:pPr>
      <w:r w:rsidRPr="00E85125">
        <w:t xml:space="preserve">In Australia, the </w:t>
      </w:r>
      <w:proofErr w:type="spellStart"/>
      <w:r w:rsidRPr="00E85125">
        <w:t>saxagliptin</w:t>
      </w:r>
      <w:proofErr w:type="spellEnd"/>
      <w:r w:rsidRPr="00E85125">
        <w:t xml:space="preserve"> 5 mg tablet is registered. The 2.5 mg </w:t>
      </w:r>
      <w:proofErr w:type="spellStart"/>
      <w:r w:rsidRPr="00E85125">
        <w:t>saxagliptin</w:t>
      </w:r>
      <w:proofErr w:type="spellEnd"/>
      <w:r w:rsidRPr="00E85125">
        <w:t xml:space="preserve"> tablet used in clinical studies is not registered in here. </w:t>
      </w:r>
    </w:p>
    <w:p w:rsidR="001C06E0" w:rsidRPr="00E85125" w:rsidRDefault="001C06E0" w:rsidP="00E85125">
      <w:pPr>
        <w:pStyle w:val="ListBullet"/>
      </w:pPr>
      <w:r w:rsidRPr="00E85125">
        <w:t xml:space="preserve">The </w:t>
      </w:r>
      <w:proofErr w:type="spellStart"/>
      <w:r w:rsidRPr="00E85125">
        <w:t>metformin</w:t>
      </w:r>
      <w:proofErr w:type="spellEnd"/>
      <w:r w:rsidRPr="00E85125">
        <w:t xml:space="preserve"> tablets used in clinical and bioavailability studies were the US registered product. </w:t>
      </w:r>
    </w:p>
    <w:p w:rsidR="001C06E0" w:rsidRPr="001C06E0" w:rsidRDefault="001C06E0" w:rsidP="00E85125">
      <w:r w:rsidRPr="001C06E0">
        <w:t xml:space="preserve">Appropriate bioequivalence studies linking the study drugs with the Australia registered products were provided and are considered satisfactory. </w:t>
      </w:r>
    </w:p>
    <w:p w:rsidR="001C06E0" w:rsidRPr="001C06E0" w:rsidRDefault="001C06E0" w:rsidP="00E85125">
      <w:r w:rsidRPr="001C06E0">
        <w:t xml:space="preserve">The company referred to an earlier </w:t>
      </w:r>
      <w:r>
        <w:t>S</w:t>
      </w:r>
      <w:r w:rsidRPr="001C06E0">
        <w:t>tudy CV</w:t>
      </w:r>
      <w:r>
        <w:t xml:space="preserve"> </w:t>
      </w:r>
      <w:r w:rsidRPr="001C06E0">
        <w:t xml:space="preserve">181017 in the submission to register </w:t>
      </w:r>
      <w:proofErr w:type="spellStart"/>
      <w:r w:rsidRPr="001C06E0">
        <w:t>saxagliptin</w:t>
      </w:r>
      <w:proofErr w:type="spellEnd"/>
      <w:r w:rsidRPr="001C06E0">
        <w:t xml:space="preserve"> (</w:t>
      </w:r>
      <w:proofErr w:type="spellStart"/>
      <w:r w:rsidRPr="001C06E0">
        <w:t>O</w:t>
      </w:r>
      <w:r w:rsidR="00BD0CA2">
        <w:t>nglyza</w:t>
      </w:r>
      <w:proofErr w:type="spellEnd"/>
      <w:r w:rsidRPr="001C06E0">
        <w:t>) 5</w:t>
      </w:r>
      <w:r w:rsidR="004F0AAE">
        <w:t xml:space="preserve"> </w:t>
      </w:r>
      <w:r w:rsidRPr="001C06E0">
        <w:t xml:space="preserve">mg tablets to establish lack of clinically meaningful drug interactions between these two active agents. </w:t>
      </w:r>
    </w:p>
    <w:p w:rsidR="001C06E0" w:rsidRPr="001C06E0" w:rsidRDefault="001C06E0" w:rsidP="00E85125">
      <w:r w:rsidRPr="001C06E0">
        <w:t>This submission of FDC was not ref</w:t>
      </w:r>
      <w:r w:rsidR="00024946">
        <w:t>erred to the Pharmaceu</w:t>
      </w:r>
      <w:r w:rsidR="00772BC1">
        <w:t>tical Subc</w:t>
      </w:r>
      <w:r w:rsidRPr="001C06E0">
        <w:t>ommittee. The PCE recommends registration with respect to chemistry and quality control</w:t>
      </w:r>
      <w:r w:rsidR="00772BC1">
        <w:t>.</w:t>
      </w:r>
    </w:p>
    <w:p w:rsidR="008E7846" w:rsidRDefault="008E7846" w:rsidP="00E85125">
      <w:pPr>
        <w:pStyle w:val="Heading3"/>
      </w:pPr>
      <w:bookmarkStart w:id="161" w:name="_Toc314842512"/>
      <w:bookmarkStart w:id="162" w:name="_Toc371598189"/>
      <w:r w:rsidRPr="00E85125">
        <w:t>Nonclinical</w:t>
      </w:r>
      <w:bookmarkEnd w:id="161"/>
      <w:bookmarkEnd w:id="162"/>
    </w:p>
    <w:p w:rsidR="00E937B1" w:rsidRPr="00E937B1" w:rsidRDefault="00E937B1" w:rsidP="00E85125">
      <w:r w:rsidRPr="00E937B1">
        <w:t>The toxicology dossier included studies single</w:t>
      </w:r>
      <w:r w:rsidR="003658D2">
        <w:t xml:space="preserve"> </w:t>
      </w:r>
      <w:r w:rsidRPr="00E937B1">
        <w:t>dose toxicity, repeat</w:t>
      </w:r>
      <w:r w:rsidR="003658D2">
        <w:t xml:space="preserve"> dose and </w:t>
      </w:r>
      <w:proofErr w:type="spellStart"/>
      <w:r w:rsidR="003658D2">
        <w:t>embryo</w:t>
      </w:r>
      <w:r w:rsidRPr="00E937B1">
        <w:t>foetal</w:t>
      </w:r>
      <w:proofErr w:type="spellEnd"/>
      <w:r w:rsidRPr="00E937B1">
        <w:t xml:space="preserve"> toxicity studies using the combination. </w:t>
      </w:r>
    </w:p>
    <w:p w:rsidR="00E937B1" w:rsidRPr="00E937B1" w:rsidRDefault="00E937B1" w:rsidP="00E85125">
      <w:r w:rsidRPr="00E937B1">
        <w:t xml:space="preserve">Data obtained in dogs, pregnant rats and pregnant rabbits showed pharmacokinetic interaction between </w:t>
      </w:r>
      <w:proofErr w:type="spellStart"/>
      <w:r w:rsidRPr="00E937B1">
        <w:t>saxa</w:t>
      </w:r>
      <w:r w:rsidR="00EB5318">
        <w:t>gliptin</w:t>
      </w:r>
      <w:proofErr w:type="spellEnd"/>
      <w:r w:rsidR="00EB5318">
        <w:t xml:space="preserve"> and </w:t>
      </w:r>
      <w:proofErr w:type="spellStart"/>
      <w:r w:rsidR="00EB5318">
        <w:t>metformin</w:t>
      </w:r>
      <w:proofErr w:type="spellEnd"/>
      <w:r w:rsidR="00EB5318">
        <w:t xml:space="preserve"> in rats – </w:t>
      </w:r>
      <w:r w:rsidRPr="00E937B1">
        <w:t xml:space="preserve">an increase in plasma AUC for the active metabolite of </w:t>
      </w:r>
      <w:proofErr w:type="spellStart"/>
      <w:r w:rsidRPr="00E937B1">
        <w:t>saxagliptin</w:t>
      </w:r>
      <w:proofErr w:type="spellEnd"/>
      <w:r w:rsidRPr="00E937B1">
        <w:t xml:space="preserve"> (BMS-510849) and decrease in </w:t>
      </w:r>
      <w:proofErr w:type="spellStart"/>
      <w:r w:rsidRPr="00E937B1">
        <w:t>C</w:t>
      </w:r>
      <w:r w:rsidRPr="00E937B1">
        <w:rPr>
          <w:vertAlign w:val="subscript"/>
        </w:rPr>
        <w:t>max</w:t>
      </w:r>
      <w:proofErr w:type="spellEnd"/>
      <w:r w:rsidRPr="00E937B1">
        <w:t xml:space="preserve">. The evaluators </w:t>
      </w:r>
      <w:r w:rsidRPr="00E937B1">
        <w:lastRenderedPageBreak/>
        <w:t xml:space="preserve">comment that in humans, the pharmacokinetic interaction between </w:t>
      </w:r>
      <w:proofErr w:type="spellStart"/>
      <w:r w:rsidRPr="00E937B1">
        <w:t>saxagliptin</w:t>
      </w:r>
      <w:proofErr w:type="spellEnd"/>
      <w:r w:rsidRPr="00E937B1">
        <w:t xml:space="preserve"> and </w:t>
      </w:r>
      <w:proofErr w:type="spellStart"/>
      <w:r w:rsidRPr="00E937B1">
        <w:t>metformin</w:t>
      </w:r>
      <w:proofErr w:type="spellEnd"/>
      <w:r w:rsidRPr="00E937B1">
        <w:t xml:space="preserve"> is limited to a reduction in the </w:t>
      </w:r>
      <w:proofErr w:type="spellStart"/>
      <w:r w:rsidRPr="00E937B1">
        <w:t>saxagliptin</w:t>
      </w:r>
      <w:proofErr w:type="spellEnd"/>
      <w:r w:rsidRPr="00E937B1">
        <w:t xml:space="preserve"> </w:t>
      </w:r>
      <w:proofErr w:type="spellStart"/>
      <w:r w:rsidRPr="00E937B1">
        <w:t>C</w:t>
      </w:r>
      <w:r w:rsidRPr="00E937B1">
        <w:rPr>
          <w:vertAlign w:val="subscript"/>
        </w:rPr>
        <w:t>max</w:t>
      </w:r>
      <w:proofErr w:type="spellEnd"/>
      <w:r w:rsidRPr="00E937B1">
        <w:t xml:space="preserve">. </w:t>
      </w:r>
    </w:p>
    <w:p w:rsidR="00E937B1" w:rsidRPr="00E937B1" w:rsidRDefault="00E937B1" w:rsidP="00A158F5">
      <w:r w:rsidRPr="00E937B1">
        <w:t>In repeat</w:t>
      </w:r>
      <w:r w:rsidR="008A4FC3">
        <w:t xml:space="preserve"> </w:t>
      </w:r>
      <w:r w:rsidRPr="00E937B1">
        <w:t>dose toxicity study, co</w:t>
      </w:r>
      <w:r w:rsidR="008A4FC3">
        <w:t xml:space="preserve"> </w:t>
      </w:r>
      <w:r w:rsidRPr="00E937B1">
        <w:t xml:space="preserve">administration of </w:t>
      </w:r>
      <w:proofErr w:type="spellStart"/>
      <w:r w:rsidRPr="00E937B1">
        <w:t>saxagliptin</w:t>
      </w:r>
      <w:proofErr w:type="spellEnd"/>
      <w:r w:rsidRPr="00E937B1">
        <w:t xml:space="preserve"> and </w:t>
      </w:r>
      <w:proofErr w:type="spellStart"/>
      <w:r w:rsidRPr="00E937B1">
        <w:t>metformin</w:t>
      </w:r>
      <w:proofErr w:type="spellEnd"/>
      <w:r w:rsidRPr="00E937B1">
        <w:t xml:space="preserve"> for 90 days in dogs produced no novel or exacerbated toxicity compared to single agents except for an increase in the incidence of tremors/shivers (observed at 5/20 mg/kg/day </w:t>
      </w:r>
      <w:proofErr w:type="spellStart"/>
      <w:r w:rsidRPr="00E937B1">
        <w:t>saxagliptin</w:t>
      </w:r>
      <w:proofErr w:type="spellEnd"/>
      <w:r w:rsidRPr="00E937B1">
        <w:t>/</w:t>
      </w:r>
      <w:proofErr w:type="spellStart"/>
      <w:r w:rsidRPr="00E937B1">
        <w:t>metformin</w:t>
      </w:r>
      <w:proofErr w:type="spellEnd"/>
      <w:r w:rsidRPr="00E937B1">
        <w:t xml:space="preserve">). This finding was considered a behavioural effect rather than a neurological effect or manifestation of hypoglycaemia. </w:t>
      </w:r>
    </w:p>
    <w:p w:rsidR="00E937B1" w:rsidRPr="00E937B1" w:rsidRDefault="00E937B1" w:rsidP="00A158F5">
      <w:r w:rsidRPr="00E937B1">
        <w:t xml:space="preserve">Treatment with the combination was associated with an increase in incidence of wavy ribs in foetuses of treated rats. The finding occurred in conjunction with significant suppression of maternal body weight gain. </w:t>
      </w:r>
    </w:p>
    <w:p w:rsidR="00E937B1" w:rsidRPr="00E937B1" w:rsidRDefault="00E937B1" w:rsidP="00A158F5">
      <w:r w:rsidRPr="00E937B1">
        <w:t xml:space="preserve">In pregnant rabbits, the combination was poorly tolerated in comparison with the single agents causing death, moribund state and abortion. Mean foetal weight was reduced and ossification of the pubis and hyoid was impaired. </w:t>
      </w:r>
    </w:p>
    <w:p w:rsidR="00E937B1" w:rsidRPr="00E937B1" w:rsidRDefault="00E937B1" w:rsidP="00A158F5">
      <w:r w:rsidRPr="00E937B1">
        <w:t>No treatment</w:t>
      </w:r>
      <w:r w:rsidR="005101A6">
        <w:t xml:space="preserve"> </w:t>
      </w:r>
      <w:r w:rsidRPr="00E937B1">
        <w:t xml:space="preserve">related </w:t>
      </w:r>
      <w:proofErr w:type="spellStart"/>
      <w:r w:rsidRPr="00E937B1">
        <w:t>teratogenicity</w:t>
      </w:r>
      <w:proofErr w:type="spellEnd"/>
      <w:r w:rsidRPr="00E937B1">
        <w:t xml:space="preserve"> was observed in either species (rat, rabbit). </w:t>
      </w:r>
    </w:p>
    <w:p w:rsidR="00E937B1" w:rsidRPr="00E937B1" w:rsidRDefault="005101A6" w:rsidP="00A158F5">
      <w:r>
        <w:t>The non</w:t>
      </w:r>
      <w:r w:rsidR="00E937B1" w:rsidRPr="00E937B1">
        <w:t xml:space="preserve">clinical evaluators were further contacted in relation to the effect seen in pregnant rabbits and report species related sensitivity to </w:t>
      </w:r>
      <w:proofErr w:type="spellStart"/>
      <w:r w:rsidR="00E937B1" w:rsidRPr="00E937B1">
        <w:t>metformin</w:t>
      </w:r>
      <w:proofErr w:type="spellEnd"/>
      <w:r w:rsidR="00E937B1" w:rsidRPr="00E937B1">
        <w:t xml:space="preserve"> not relevant to human use. </w:t>
      </w:r>
    </w:p>
    <w:p w:rsidR="00E937B1" w:rsidRPr="00E937B1" w:rsidRDefault="00EB5318" w:rsidP="00A158F5">
      <w:r>
        <w:t>B</w:t>
      </w:r>
      <w:r w:rsidR="00E937B1" w:rsidRPr="00E937B1">
        <w:t xml:space="preserve">oth </w:t>
      </w:r>
      <w:proofErr w:type="spellStart"/>
      <w:r w:rsidR="00E937B1" w:rsidRPr="00E937B1">
        <w:t>saxagliptin</w:t>
      </w:r>
      <w:proofErr w:type="spellEnd"/>
      <w:r w:rsidR="00E937B1" w:rsidRPr="00E937B1">
        <w:t xml:space="preserve"> and </w:t>
      </w:r>
      <w:proofErr w:type="spellStart"/>
      <w:r w:rsidR="00E937B1" w:rsidRPr="00E937B1">
        <w:t>metformin</w:t>
      </w:r>
      <w:proofErr w:type="spellEnd"/>
      <w:r w:rsidR="00E937B1" w:rsidRPr="00E937B1">
        <w:t xml:space="preserve"> combined use is currently approved. Consequently</w:t>
      </w:r>
      <w:r>
        <w:t>,</w:t>
      </w:r>
      <w:r w:rsidR="00E937B1" w:rsidRPr="00E937B1">
        <w:t xml:space="preserve"> there are no nonclinical objections to the registration of </w:t>
      </w:r>
      <w:proofErr w:type="spellStart"/>
      <w:r w:rsidR="007E35FF">
        <w:t>Kom</w:t>
      </w:r>
      <w:r w:rsidR="00E937B1">
        <w:t>biglyze</w:t>
      </w:r>
      <w:proofErr w:type="spellEnd"/>
      <w:r w:rsidR="00E937B1" w:rsidRPr="00E937B1">
        <w:t>.</w:t>
      </w:r>
    </w:p>
    <w:p w:rsidR="008E7846" w:rsidRDefault="008E7846" w:rsidP="00A158F5">
      <w:pPr>
        <w:pStyle w:val="Heading3"/>
      </w:pPr>
      <w:bookmarkStart w:id="163" w:name="_Toc247691530"/>
      <w:bookmarkStart w:id="164" w:name="_Toc314842513"/>
      <w:bookmarkStart w:id="165" w:name="_Toc371598190"/>
      <w:r w:rsidRPr="00A158F5">
        <w:t>Clinical</w:t>
      </w:r>
      <w:bookmarkEnd w:id="163"/>
      <w:bookmarkEnd w:id="164"/>
      <w:bookmarkEnd w:id="165"/>
    </w:p>
    <w:p w:rsidR="003D34E0" w:rsidRPr="003D34E0" w:rsidRDefault="003D34E0" w:rsidP="00A158F5">
      <w:r w:rsidRPr="003D34E0">
        <w:t>The clinical dossier con</w:t>
      </w:r>
      <w:r w:rsidR="00EB5318">
        <w:t xml:space="preserve">sisted of 5 pharmacokinetic, 1 </w:t>
      </w:r>
      <w:proofErr w:type="spellStart"/>
      <w:r w:rsidR="00EB5318">
        <w:t>pharmacodynamic</w:t>
      </w:r>
      <w:proofErr w:type="spellEnd"/>
      <w:r w:rsidR="00EB5318">
        <w:t>,</w:t>
      </w:r>
      <w:r w:rsidRPr="003D34E0">
        <w:t xml:space="preserve"> and 8 efficacy studies. The clinical efficacy studies were performe</w:t>
      </w:r>
      <w:r>
        <w:t xml:space="preserve">d with free combination of mono </w:t>
      </w:r>
      <w:r w:rsidRPr="003D34E0">
        <w:t xml:space="preserve">agents given concomitantly. </w:t>
      </w:r>
    </w:p>
    <w:p w:rsidR="003D34E0" w:rsidRPr="003D34E0" w:rsidRDefault="00EE5EEF" w:rsidP="00A158F5">
      <w:pPr>
        <w:pStyle w:val="Heading4"/>
      </w:pPr>
      <w:r w:rsidRPr="00A158F5">
        <w:t>E</w:t>
      </w:r>
      <w:r w:rsidR="003D34E0" w:rsidRPr="00A158F5">
        <w:t>fficacy</w:t>
      </w:r>
      <w:r w:rsidR="003D34E0" w:rsidRPr="003D34E0">
        <w:t xml:space="preserve"> </w:t>
      </w:r>
    </w:p>
    <w:p w:rsidR="003D34E0" w:rsidRPr="003D34E0" w:rsidRDefault="00EB5318" w:rsidP="00A158F5">
      <w:r>
        <w:t xml:space="preserve">The use of </w:t>
      </w:r>
      <w:proofErr w:type="spellStart"/>
      <w:r>
        <w:t>m</w:t>
      </w:r>
      <w:r w:rsidR="003D34E0" w:rsidRPr="003D34E0">
        <w:t>etformin</w:t>
      </w:r>
      <w:proofErr w:type="spellEnd"/>
      <w:r w:rsidR="003D34E0" w:rsidRPr="003D34E0">
        <w:t>/</w:t>
      </w:r>
      <w:proofErr w:type="spellStart"/>
      <w:r w:rsidR="003D34E0" w:rsidRPr="003D34E0">
        <w:t>saxagliptin</w:t>
      </w:r>
      <w:proofErr w:type="spellEnd"/>
      <w:r w:rsidR="003D34E0" w:rsidRPr="003D34E0">
        <w:t xml:space="preserve"> co</w:t>
      </w:r>
      <w:r>
        <w:t xml:space="preserve"> </w:t>
      </w:r>
      <w:r w:rsidR="003D34E0" w:rsidRPr="003D34E0">
        <w:t>administration is supported based on previously evaluated studies (</w:t>
      </w:r>
      <w:r>
        <w:t>S</w:t>
      </w:r>
      <w:r w:rsidR="003D34E0" w:rsidRPr="003D34E0">
        <w:t>tudy 181014 as add</w:t>
      </w:r>
      <w:r>
        <w:t xml:space="preserve"> </w:t>
      </w:r>
      <w:r w:rsidR="003D34E0" w:rsidRPr="003D34E0">
        <w:t xml:space="preserve">on therapy and </w:t>
      </w:r>
      <w:r>
        <w:t>S</w:t>
      </w:r>
      <w:r w:rsidR="003D34E0" w:rsidRPr="003D34E0">
        <w:t xml:space="preserve">tudy 181039 as initial therapy). Both uses are currently approved in Australia. In addition, longer term efficacy data are now available. </w:t>
      </w:r>
      <w:r w:rsidR="00003B93">
        <w:t>However, note</w:t>
      </w:r>
      <w:r w:rsidR="003D34E0" w:rsidRPr="003D34E0">
        <w:t xml:space="preserve"> that these studies do not involve 2.5</w:t>
      </w:r>
      <w:r w:rsidR="00840616">
        <w:t xml:space="preserve"> </w:t>
      </w:r>
      <w:r w:rsidR="003D34E0" w:rsidRPr="003D34E0">
        <w:t xml:space="preserve">mg </w:t>
      </w:r>
      <w:proofErr w:type="spellStart"/>
      <w:r w:rsidR="003D34E0" w:rsidRPr="003D34E0">
        <w:t>saxagliptin</w:t>
      </w:r>
      <w:proofErr w:type="spellEnd"/>
      <w:r w:rsidR="003D34E0" w:rsidRPr="003D34E0">
        <w:t xml:space="preserve"> twice daily dosing. </w:t>
      </w:r>
    </w:p>
    <w:p w:rsidR="003D34E0" w:rsidRPr="003D34E0" w:rsidRDefault="003D34E0" w:rsidP="00A158F5">
      <w:r w:rsidRPr="003D34E0">
        <w:t>The dossier also included active</w:t>
      </w:r>
      <w:r w:rsidR="00003B93">
        <w:t xml:space="preserve"> </w:t>
      </w:r>
      <w:r w:rsidRPr="003D34E0">
        <w:t>controlled studies (</w:t>
      </w:r>
      <w:r w:rsidR="00003B93">
        <w:t>S</w:t>
      </w:r>
      <w:r w:rsidRPr="003D34E0">
        <w:t xml:space="preserve">tudy 181054 comparing </w:t>
      </w:r>
      <w:proofErr w:type="spellStart"/>
      <w:r w:rsidRPr="003D34E0">
        <w:t>metformin</w:t>
      </w:r>
      <w:proofErr w:type="spellEnd"/>
      <w:r w:rsidRPr="003D34E0">
        <w:t>/</w:t>
      </w:r>
      <w:proofErr w:type="spellStart"/>
      <w:r w:rsidRPr="003D34E0">
        <w:t>saxagliptin</w:t>
      </w:r>
      <w:proofErr w:type="spellEnd"/>
      <w:r w:rsidRPr="003D34E0">
        <w:t xml:space="preserve"> use against </w:t>
      </w:r>
      <w:proofErr w:type="spellStart"/>
      <w:r w:rsidRPr="003D34E0">
        <w:t>metformin</w:t>
      </w:r>
      <w:proofErr w:type="spellEnd"/>
      <w:r w:rsidRPr="003D34E0">
        <w:t>/</w:t>
      </w:r>
      <w:proofErr w:type="spellStart"/>
      <w:r w:rsidRPr="003D34E0">
        <w:t>glipizide</w:t>
      </w:r>
      <w:proofErr w:type="spellEnd"/>
      <w:r w:rsidRPr="003D34E0">
        <w:t xml:space="preserve"> sulfonylurea [longer term data available; this study is being included in the PI] and </w:t>
      </w:r>
      <w:r w:rsidR="00003B93">
        <w:t>S</w:t>
      </w:r>
      <w:r w:rsidRPr="003D34E0">
        <w:t xml:space="preserve">tudy 181056 comparing </w:t>
      </w:r>
      <w:proofErr w:type="spellStart"/>
      <w:r w:rsidRPr="003D34E0">
        <w:t>metformin</w:t>
      </w:r>
      <w:proofErr w:type="spellEnd"/>
      <w:r w:rsidRPr="003D34E0">
        <w:t>/</w:t>
      </w:r>
      <w:proofErr w:type="spellStart"/>
      <w:r w:rsidRPr="003D34E0">
        <w:t>saxagliptin</w:t>
      </w:r>
      <w:proofErr w:type="spellEnd"/>
      <w:r w:rsidRPr="003D34E0">
        <w:t xml:space="preserve"> against </w:t>
      </w:r>
      <w:proofErr w:type="spellStart"/>
      <w:r w:rsidRPr="003D34E0">
        <w:t>metformin</w:t>
      </w:r>
      <w:proofErr w:type="spellEnd"/>
      <w:r w:rsidRPr="003D34E0">
        <w:t>/</w:t>
      </w:r>
      <w:proofErr w:type="spellStart"/>
      <w:r w:rsidRPr="003D34E0">
        <w:t>sitagliptin</w:t>
      </w:r>
      <w:proofErr w:type="spellEnd"/>
      <w:r w:rsidRPr="003D34E0">
        <w:t xml:space="preserve"> in an 18 weeks study). </w:t>
      </w:r>
    </w:p>
    <w:p w:rsidR="003D34E0" w:rsidRPr="003D34E0" w:rsidRDefault="003D34E0" w:rsidP="00A158F5">
      <w:r w:rsidRPr="003D34E0">
        <w:t xml:space="preserve">The </w:t>
      </w:r>
      <w:r w:rsidR="00003B93">
        <w:t>S</w:t>
      </w:r>
      <w:r w:rsidRPr="003D34E0">
        <w:t xml:space="preserve">tudy 181057 investigated </w:t>
      </w:r>
      <w:proofErr w:type="spellStart"/>
      <w:r w:rsidRPr="003D34E0">
        <w:t>saxagliptin</w:t>
      </w:r>
      <w:proofErr w:type="spellEnd"/>
      <w:r w:rsidRPr="003D34E0">
        <w:t xml:space="preserve"> use with basal insulin and included 52 weeks. The use with basal insulin (with or without </w:t>
      </w:r>
      <w:proofErr w:type="spellStart"/>
      <w:r w:rsidRPr="003D34E0">
        <w:t>metformin</w:t>
      </w:r>
      <w:proofErr w:type="spellEnd"/>
      <w:r w:rsidRPr="003D34E0">
        <w:t xml:space="preserve">) is now approved in Australia. This is therefore no longer regarded as an issue. </w:t>
      </w:r>
    </w:p>
    <w:p w:rsidR="003D34E0" w:rsidRPr="003D34E0" w:rsidRDefault="003D34E0" w:rsidP="00A158F5">
      <w:r w:rsidRPr="003D34E0">
        <w:t xml:space="preserve">The treatment effect generally observed with respect to the primary outcome (HbA1C) with the use of </w:t>
      </w:r>
      <w:proofErr w:type="spellStart"/>
      <w:r w:rsidRPr="003D34E0">
        <w:t>metformin</w:t>
      </w:r>
      <w:proofErr w:type="spellEnd"/>
      <w:r w:rsidRPr="003D34E0">
        <w:t>/</w:t>
      </w:r>
      <w:proofErr w:type="spellStart"/>
      <w:r w:rsidRPr="003D34E0">
        <w:t>saxagliptin</w:t>
      </w:r>
      <w:proofErr w:type="spellEnd"/>
      <w:r w:rsidRPr="003D34E0">
        <w:t xml:space="preserve"> combination was modest but sustained and clinically meaningful. </w:t>
      </w:r>
    </w:p>
    <w:p w:rsidR="003D34E0" w:rsidRPr="003D34E0" w:rsidRDefault="00003B93" w:rsidP="00A158F5">
      <w:r>
        <w:t>S</w:t>
      </w:r>
      <w:r w:rsidR="003D34E0" w:rsidRPr="003D34E0">
        <w:t xml:space="preserve">tudy 181038 of </w:t>
      </w:r>
      <w:proofErr w:type="spellStart"/>
      <w:r w:rsidR="003D34E0" w:rsidRPr="003D34E0">
        <w:t>saxagliptin</w:t>
      </w:r>
      <w:proofErr w:type="spellEnd"/>
      <w:r w:rsidR="003D34E0" w:rsidRPr="003D34E0">
        <w:t xml:space="preserve"> use in naïve patients with </w:t>
      </w:r>
      <w:proofErr w:type="spellStart"/>
      <w:r w:rsidR="003D34E0" w:rsidRPr="003D34E0">
        <w:t>metformin</w:t>
      </w:r>
      <w:proofErr w:type="spellEnd"/>
      <w:r w:rsidR="003D34E0" w:rsidRPr="003D34E0">
        <w:t xml:space="preserve"> as rescue medication and </w:t>
      </w:r>
      <w:r>
        <w:t>S</w:t>
      </w:r>
      <w:r w:rsidR="003D34E0" w:rsidRPr="003D34E0">
        <w:t xml:space="preserve">tudy 181066 using sustained release </w:t>
      </w:r>
      <w:proofErr w:type="spellStart"/>
      <w:r w:rsidR="003D34E0" w:rsidRPr="003D34E0">
        <w:t>metformin</w:t>
      </w:r>
      <w:proofErr w:type="spellEnd"/>
      <w:r w:rsidR="003D34E0" w:rsidRPr="003D34E0">
        <w:t xml:space="preserve"> and </w:t>
      </w:r>
      <w:proofErr w:type="spellStart"/>
      <w:r w:rsidR="003D34E0" w:rsidRPr="003D34E0">
        <w:t>saxagliptin</w:t>
      </w:r>
      <w:proofErr w:type="spellEnd"/>
      <w:r w:rsidR="003D34E0" w:rsidRPr="003D34E0">
        <w:t xml:space="preserve"> 5</w:t>
      </w:r>
      <w:r>
        <w:t xml:space="preserve"> </w:t>
      </w:r>
      <w:r w:rsidR="003D34E0" w:rsidRPr="003D34E0">
        <w:t xml:space="preserve">mg are only marginally relevant to this submission. </w:t>
      </w:r>
    </w:p>
    <w:p w:rsidR="003D34E0" w:rsidRDefault="0050286D" w:rsidP="00A158F5">
      <w:r>
        <w:t>This brings to attention S</w:t>
      </w:r>
      <w:r w:rsidR="003D34E0" w:rsidRPr="003D34E0">
        <w:t>tudy 181080. This small (</w:t>
      </w:r>
      <w:r>
        <w:t>n</w:t>
      </w:r>
      <w:r w:rsidR="003D34E0" w:rsidRPr="003D34E0">
        <w:t xml:space="preserve"> = 160), short (12 weeks), double blind study can be considered pivotal to this submission as this was the only study in which 2.5</w:t>
      </w:r>
      <w:r w:rsidR="005F03B8">
        <w:t xml:space="preserve"> </w:t>
      </w:r>
      <w:r w:rsidR="003D34E0" w:rsidRPr="003D34E0">
        <w:t xml:space="preserve">mg twice daily </w:t>
      </w:r>
      <w:proofErr w:type="spellStart"/>
      <w:r w:rsidR="003D34E0" w:rsidRPr="003D34E0">
        <w:t>saxagliptin</w:t>
      </w:r>
      <w:proofErr w:type="spellEnd"/>
      <w:r w:rsidR="003D34E0" w:rsidRPr="003D34E0">
        <w:t xml:space="preserve"> dosing was investigated. </w:t>
      </w:r>
      <w:proofErr w:type="spellStart"/>
      <w:r w:rsidR="003D34E0" w:rsidRPr="003D34E0">
        <w:t>Metformin</w:t>
      </w:r>
      <w:proofErr w:type="spellEnd"/>
      <w:r w:rsidR="003D34E0" w:rsidRPr="003D34E0">
        <w:t xml:space="preserve"> was also given twice daily. The </w:t>
      </w:r>
      <w:r w:rsidR="003D34E0">
        <w:t xml:space="preserve">12 week results were </w:t>
      </w:r>
      <w:r w:rsidR="005F03B8">
        <w:t>as shown in Table 6</w:t>
      </w:r>
      <w:r w:rsidR="003D34E0">
        <w:t>.</w:t>
      </w:r>
    </w:p>
    <w:p w:rsidR="003D34E0" w:rsidRDefault="003D34E0" w:rsidP="00A158F5">
      <w:pPr>
        <w:pStyle w:val="TableTitle"/>
        <w:rPr>
          <w:lang w:val="en-GB"/>
        </w:rPr>
      </w:pPr>
      <w:r>
        <w:lastRenderedPageBreak/>
        <w:t xml:space="preserve">Table </w:t>
      </w:r>
      <w:r w:rsidR="00EB1001">
        <w:t>6</w:t>
      </w:r>
      <w:r>
        <w:t>:</w:t>
      </w:r>
      <w:r w:rsidRPr="004C5C28">
        <w:t xml:space="preserve"> </w:t>
      </w:r>
      <w:r w:rsidR="0050286D">
        <w:t xml:space="preserve">12 week results from </w:t>
      </w:r>
      <w:r w:rsidR="00A158F5">
        <w:t>s</w:t>
      </w:r>
      <w:r w:rsidR="0050286D">
        <w:t>tudy 181080</w:t>
      </w:r>
      <w:r>
        <w:t>.</w:t>
      </w:r>
    </w:p>
    <w:p w:rsidR="003D34E0" w:rsidRDefault="00D47E1A" w:rsidP="00C1776D">
      <w:pPr>
        <w:jc w:val="center"/>
      </w:pPr>
      <w:r>
        <w:rPr>
          <w:noProof/>
          <w:lang w:eastAsia="en-AU"/>
        </w:rPr>
        <w:drawing>
          <wp:inline distT="0" distB="0" distL="0" distR="0">
            <wp:extent cx="5095875" cy="1400175"/>
            <wp:effectExtent l="19050" t="0" r="9525" b="0"/>
            <wp:docPr id="23" name="Picture 23" descr="Table showing 12 week results from study 18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1"/>
                    <pic:cNvPicPr>
                      <a:picLocks noChangeAspect="1" noChangeArrowheads="1"/>
                    </pic:cNvPicPr>
                  </pic:nvPicPr>
                  <pic:blipFill>
                    <a:blip r:embed="rId34" cstate="print"/>
                    <a:srcRect/>
                    <a:stretch>
                      <a:fillRect/>
                    </a:stretch>
                  </pic:blipFill>
                  <pic:spPr bwMode="auto">
                    <a:xfrm>
                      <a:off x="0" y="0"/>
                      <a:ext cx="5095875" cy="1400175"/>
                    </a:xfrm>
                    <a:prstGeom prst="rect">
                      <a:avLst/>
                    </a:prstGeom>
                    <a:noFill/>
                    <a:ln w="9525">
                      <a:noFill/>
                      <a:miter lim="800000"/>
                      <a:headEnd/>
                      <a:tailEnd/>
                    </a:ln>
                  </pic:spPr>
                </pic:pic>
              </a:graphicData>
            </a:graphic>
          </wp:inline>
        </w:drawing>
      </w:r>
    </w:p>
    <w:p w:rsidR="00EE5EEF" w:rsidRPr="00EE5EEF" w:rsidRDefault="00EE5EEF" w:rsidP="00A158F5">
      <w:r w:rsidRPr="00EE5EEF">
        <w:t xml:space="preserve">The results of this study along with </w:t>
      </w:r>
      <w:r w:rsidR="005F03B8">
        <w:t xml:space="preserve">the </w:t>
      </w:r>
      <w:proofErr w:type="spellStart"/>
      <w:r w:rsidR="005F03B8">
        <w:t>pharmacodynamic</w:t>
      </w:r>
      <w:proofErr w:type="spellEnd"/>
      <w:r w:rsidR="005F03B8">
        <w:t xml:space="preserve"> Study 181152</w:t>
      </w:r>
      <w:r w:rsidRPr="00EE5EEF">
        <w:t xml:space="preserve"> support the use of 2.5</w:t>
      </w:r>
      <w:r>
        <w:t xml:space="preserve"> </w:t>
      </w:r>
      <w:r w:rsidRPr="00EE5EEF">
        <w:t>mg twice</w:t>
      </w:r>
      <w:r w:rsidR="00667D16">
        <w:t xml:space="preserve"> </w:t>
      </w:r>
      <w:r w:rsidRPr="00EE5EEF">
        <w:t xml:space="preserve">daily dose of </w:t>
      </w:r>
      <w:proofErr w:type="spellStart"/>
      <w:r w:rsidRPr="00EE5EEF">
        <w:t>saxagliptin</w:t>
      </w:r>
      <w:proofErr w:type="spellEnd"/>
      <w:r w:rsidRPr="00EE5EEF">
        <w:t xml:space="preserve"> as opposed to 5</w:t>
      </w:r>
      <w:r>
        <w:t xml:space="preserve"> </w:t>
      </w:r>
      <w:r w:rsidRPr="00EE5EEF">
        <w:t xml:space="preserve">mg once daily dosing approved for </w:t>
      </w:r>
      <w:r>
        <w:t>the</w:t>
      </w:r>
      <w:r w:rsidR="00667D16">
        <w:t xml:space="preserve"> </w:t>
      </w:r>
      <w:proofErr w:type="spellStart"/>
      <w:r w:rsidR="00667D16">
        <w:t>saxagliptin</w:t>
      </w:r>
      <w:proofErr w:type="spellEnd"/>
      <w:r w:rsidR="00667D16">
        <w:t xml:space="preserve"> mono </w:t>
      </w:r>
      <w:r w:rsidRPr="00EE5EEF">
        <w:t xml:space="preserve">product. </w:t>
      </w:r>
    </w:p>
    <w:p w:rsidR="00EE5EEF" w:rsidRPr="00EE5EEF" w:rsidRDefault="00EE5EEF" w:rsidP="00A158F5">
      <w:pPr>
        <w:pStyle w:val="Heading4"/>
      </w:pPr>
      <w:r w:rsidRPr="00A158F5">
        <w:t>Safety</w:t>
      </w:r>
      <w:r w:rsidRPr="00EE5EEF">
        <w:t xml:space="preserve"> </w:t>
      </w:r>
    </w:p>
    <w:p w:rsidR="00C1776D" w:rsidRDefault="00EE5EEF" w:rsidP="00A158F5">
      <w:r w:rsidRPr="00EE5EEF">
        <w:t xml:space="preserve">There appear to be no safety issues specific to the </w:t>
      </w:r>
      <w:proofErr w:type="spellStart"/>
      <w:r w:rsidRPr="00EE5EEF">
        <w:t>metformin</w:t>
      </w:r>
      <w:proofErr w:type="spellEnd"/>
      <w:r w:rsidRPr="00EE5EEF">
        <w:t>/</w:t>
      </w:r>
      <w:proofErr w:type="spellStart"/>
      <w:r w:rsidRPr="00EE5EEF">
        <w:t>saxagliptin</w:t>
      </w:r>
      <w:proofErr w:type="spellEnd"/>
      <w:r w:rsidRPr="00EE5EEF">
        <w:t xml:space="preserve"> combination. Please also see the RMP evaluation and comments below.</w:t>
      </w:r>
    </w:p>
    <w:p w:rsidR="008E7846" w:rsidRDefault="00386150" w:rsidP="00A158F5">
      <w:pPr>
        <w:pStyle w:val="Heading3"/>
        <w:rPr>
          <w:lang w:eastAsia="en-AU"/>
        </w:rPr>
      </w:pPr>
      <w:bookmarkStart w:id="166" w:name="_Toc314842514"/>
      <w:bookmarkStart w:id="167" w:name="_Toc371598191"/>
      <w:r>
        <w:rPr>
          <w:lang w:eastAsia="en-AU"/>
        </w:rPr>
        <w:t xml:space="preserve">Risk </w:t>
      </w:r>
      <w:r w:rsidRPr="00A158F5">
        <w:t>m</w:t>
      </w:r>
      <w:r w:rsidR="008E7846" w:rsidRPr="00A158F5">
        <w:t>anagement</w:t>
      </w:r>
      <w:r w:rsidR="008E7846">
        <w:rPr>
          <w:lang w:eastAsia="en-AU"/>
        </w:rPr>
        <w:t xml:space="preserve"> </w:t>
      </w:r>
      <w:r>
        <w:rPr>
          <w:lang w:eastAsia="en-AU"/>
        </w:rPr>
        <w:t>p</w:t>
      </w:r>
      <w:r w:rsidR="008E7846">
        <w:rPr>
          <w:lang w:eastAsia="en-AU"/>
        </w:rPr>
        <w:t>lan</w:t>
      </w:r>
      <w:bookmarkEnd w:id="166"/>
      <w:bookmarkEnd w:id="167"/>
    </w:p>
    <w:p w:rsidR="001A402A" w:rsidRPr="001A402A" w:rsidRDefault="001A402A" w:rsidP="00A158F5">
      <w:r w:rsidRPr="001A402A">
        <w:t xml:space="preserve">The </w:t>
      </w:r>
      <w:r w:rsidR="000B170A">
        <w:t>OPR</w:t>
      </w:r>
      <w:r w:rsidRPr="001A402A">
        <w:t xml:space="preserve"> recommends approval subject to adoption of the RMP. The evaluation noted acute renal and liver injury as of ongoing safety concern. Based on evaluation of sponsor’s response to the RMP evaluation, the provision of </w:t>
      </w:r>
      <w:r w:rsidR="00F9689A">
        <w:t>S</w:t>
      </w:r>
      <w:r w:rsidRPr="001A402A">
        <w:t>tudies CV181157 and CV181100 as post</w:t>
      </w:r>
      <w:r w:rsidR="00F74CEA">
        <w:t xml:space="preserve"> </w:t>
      </w:r>
      <w:r w:rsidRPr="001A402A">
        <w:t>marketing condition of registration is supported in res</w:t>
      </w:r>
      <w:r w:rsidR="00B95D26">
        <w:t>pect of these identified risks.</w:t>
      </w:r>
    </w:p>
    <w:p w:rsidR="001A402A" w:rsidRPr="001A402A" w:rsidRDefault="001A402A" w:rsidP="00A158F5">
      <w:r w:rsidRPr="001A402A">
        <w:t>The RMP evaluators also recommend that ‘immediate</w:t>
      </w:r>
      <w:r w:rsidR="00F74CEA">
        <w:t xml:space="preserve"> </w:t>
      </w:r>
      <w:r w:rsidRPr="001A402A">
        <w:t xml:space="preserve">release’ be printed on the carton and foil to avoid medication errors. This is supported. </w:t>
      </w:r>
    </w:p>
    <w:p w:rsidR="001A402A" w:rsidRDefault="001A402A" w:rsidP="00A158F5">
      <w:r w:rsidRPr="001A402A">
        <w:t>The recommendations with respect to PI are also supported.</w:t>
      </w:r>
    </w:p>
    <w:p w:rsidR="001A402A" w:rsidRPr="001A402A" w:rsidRDefault="001A402A" w:rsidP="00A158F5">
      <w:r w:rsidRPr="001A402A">
        <w:t>The ‘Dosage and Administration’ section should include a statement that the drug should be taken with meals. This is also supported.</w:t>
      </w:r>
    </w:p>
    <w:p w:rsidR="008E7846" w:rsidRDefault="00AA0ED0" w:rsidP="00A158F5">
      <w:pPr>
        <w:pStyle w:val="Heading3"/>
      </w:pPr>
      <w:bookmarkStart w:id="168" w:name="_Toc247691531"/>
      <w:bookmarkStart w:id="169" w:name="_Toc314842515"/>
      <w:bookmarkStart w:id="170" w:name="_Toc196046505"/>
      <w:bookmarkStart w:id="171" w:name="_Toc196046949"/>
      <w:bookmarkStart w:id="172" w:name="_Toc371598192"/>
      <w:r>
        <w:t xml:space="preserve">Risk-benefit </w:t>
      </w:r>
      <w:r w:rsidRPr="00A158F5">
        <w:t>a</w:t>
      </w:r>
      <w:r w:rsidR="008E7846" w:rsidRPr="00A158F5">
        <w:t>nalysis</w:t>
      </w:r>
      <w:bookmarkEnd w:id="168"/>
      <w:bookmarkEnd w:id="169"/>
      <w:bookmarkEnd w:id="172"/>
    </w:p>
    <w:p w:rsidR="008E7846" w:rsidRDefault="008E7846" w:rsidP="00A158F5">
      <w:pPr>
        <w:pStyle w:val="Heading4"/>
      </w:pPr>
      <w:r>
        <w:t xml:space="preserve">Delegate </w:t>
      </w:r>
      <w:r w:rsidR="00ED3CAD" w:rsidRPr="00A158F5">
        <w:t>c</w:t>
      </w:r>
      <w:r w:rsidRPr="00A158F5">
        <w:t>onsiderations</w:t>
      </w:r>
    </w:p>
    <w:p w:rsidR="001A402A" w:rsidRDefault="001A402A" w:rsidP="00A158F5">
      <w:pPr>
        <w:pStyle w:val="Heading5"/>
      </w:pPr>
      <w:r w:rsidRPr="00A158F5">
        <w:t>Conclusion</w:t>
      </w:r>
    </w:p>
    <w:p w:rsidR="001A402A" w:rsidRPr="001A402A" w:rsidRDefault="001A402A" w:rsidP="00A158F5">
      <w:r w:rsidRPr="001A402A">
        <w:t xml:space="preserve">Overall, the data package supports registration of </w:t>
      </w:r>
      <w:proofErr w:type="spellStart"/>
      <w:r w:rsidR="003C7FEF">
        <w:t>Kombiglyze</w:t>
      </w:r>
      <w:proofErr w:type="spellEnd"/>
      <w:r w:rsidRPr="001A402A">
        <w:t xml:space="preserve"> fixed d</w:t>
      </w:r>
      <w:r w:rsidR="003C7FEF">
        <w:t>ose combination tablets in the three</w:t>
      </w:r>
      <w:r w:rsidRPr="001A402A">
        <w:t xml:space="preserve"> strengths (</w:t>
      </w:r>
      <w:proofErr w:type="spellStart"/>
      <w:r w:rsidRPr="001A402A">
        <w:t>saxagliptin</w:t>
      </w:r>
      <w:proofErr w:type="spellEnd"/>
      <w:r w:rsidRPr="001A402A">
        <w:t>/</w:t>
      </w:r>
      <w:proofErr w:type="spellStart"/>
      <w:r w:rsidRPr="001A402A">
        <w:t>metformin</w:t>
      </w:r>
      <w:proofErr w:type="spellEnd"/>
      <w:r w:rsidRPr="001A402A">
        <w:t xml:space="preserve"> 2.5/500, 2.5/850 and</w:t>
      </w:r>
      <w:r w:rsidR="00763CB6">
        <w:t xml:space="preserve"> 2.5/1000 mg) for the indication</w:t>
      </w:r>
      <w:r w:rsidRPr="001A402A">
        <w:t xml:space="preserve">: </w:t>
      </w:r>
    </w:p>
    <w:p w:rsidR="001A402A" w:rsidRPr="00A158F5" w:rsidRDefault="001A402A" w:rsidP="00A158F5">
      <w:pPr>
        <w:ind w:left="720"/>
        <w:rPr>
          <w:i/>
        </w:rPr>
      </w:pPr>
      <w:r w:rsidRPr="00A158F5">
        <w:rPr>
          <w:i/>
        </w:rPr>
        <w:t xml:space="preserve">“As an adjunct to diet and exercise to improve </w:t>
      </w:r>
      <w:proofErr w:type="spellStart"/>
      <w:r w:rsidRPr="00A158F5">
        <w:rPr>
          <w:i/>
        </w:rPr>
        <w:t>glycaemic</w:t>
      </w:r>
      <w:proofErr w:type="spellEnd"/>
      <w:r w:rsidRPr="00A158F5">
        <w:rPr>
          <w:i/>
        </w:rPr>
        <w:t xml:space="preserve"> control in adults with type 2 diabetes mellitus when treatment with both </w:t>
      </w:r>
      <w:proofErr w:type="spellStart"/>
      <w:r w:rsidRPr="00A158F5">
        <w:rPr>
          <w:i/>
        </w:rPr>
        <w:t>saxagliptin</w:t>
      </w:r>
      <w:proofErr w:type="spellEnd"/>
      <w:r w:rsidRPr="00A158F5">
        <w:rPr>
          <w:i/>
        </w:rPr>
        <w:t xml:space="preserve"> and </w:t>
      </w:r>
      <w:proofErr w:type="spellStart"/>
      <w:r w:rsidRPr="00A158F5">
        <w:rPr>
          <w:i/>
        </w:rPr>
        <w:t>metformin</w:t>
      </w:r>
      <w:proofErr w:type="spellEnd"/>
      <w:r w:rsidRPr="00A158F5">
        <w:rPr>
          <w:i/>
        </w:rPr>
        <w:t xml:space="preserve"> is appropriate.”</w:t>
      </w:r>
    </w:p>
    <w:p w:rsidR="001A402A" w:rsidRPr="001A402A" w:rsidRDefault="001A402A" w:rsidP="00A158F5">
      <w:r w:rsidRPr="001A402A">
        <w:t xml:space="preserve">The proposed doing instructions are also supported. </w:t>
      </w:r>
    </w:p>
    <w:p w:rsidR="001A402A" w:rsidRPr="001A402A" w:rsidRDefault="001A402A" w:rsidP="00A158F5">
      <w:r w:rsidRPr="001A402A">
        <w:t xml:space="preserve">The sponsor is also asked to provide updated PI (using initial PI included at the time of submission as the base document) incorporating all recommendations from various evaluation areas of the TGA or annotated comments where a recommendation is not implemented. </w:t>
      </w:r>
    </w:p>
    <w:p w:rsidR="001A402A" w:rsidRPr="001A402A" w:rsidRDefault="001A402A" w:rsidP="00A158F5">
      <w:r w:rsidRPr="001A402A">
        <w:t xml:space="preserve">Furthermore, in clinical trials section immediately following the statement that </w:t>
      </w:r>
      <w:proofErr w:type="spellStart"/>
      <w:r w:rsidR="00E41BCB">
        <w:t>Kombiglyze</w:t>
      </w:r>
      <w:proofErr w:type="spellEnd"/>
      <w:r w:rsidR="00E41BCB">
        <w:t xml:space="preserve"> </w:t>
      </w:r>
      <w:r w:rsidRPr="001A402A">
        <w:t xml:space="preserve">has not been studied in clinical trials, a description of the </w:t>
      </w:r>
      <w:r w:rsidR="00E41BCB">
        <w:t>S</w:t>
      </w:r>
      <w:r w:rsidRPr="001A402A">
        <w:t xml:space="preserve">tudy 181080 </w:t>
      </w:r>
      <w:r w:rsidRPr="001A402A">
        <w:lastRenderedPageBreak/>
        <w:t>should be included noting that the use of 2.5</w:t>
      </w:r>
      <w:r w:rsidR="00E41BCB">
        <w:t xml:space="preserve"> </w:t>
      </w:r>
      <w:r w:rsidRPr="001A402A">
        <w:t xml:space="preserve">mg </w:t>
      </w:r>
      <w:proofErr w:type="spellStart"/>
      <w:r w:rsidRPr="001A402A">
        <w:t>saxagliptin</w:t>
      </w:r>
      <w:proofErr w:type="spellEnd"/>
      <w:r w:rsidRPr="001A402A">
        <w:t xml:space="preserve"> dosing is limited this study and that twice daily and once daily dosing have not been directly compared in an efficacy study. </w:t>
      </w:r>
    </w:p>
    <w:p w:rsidR="001A402A" w:rsidRPr="001A402A" w:rsidRDefault="001A402A" w:rsidP="00A158F5">
      <w:r w:rsidRPr="001A402A">
        <w:t xml:space="preserve">It is also recommended that results of the bioequivalence studies in tabular format be included in the Pharmacokinetic section of the PI. </w:t>
      </w:r>
    </w:p>
    <w:p w:rsidR="001A402A" w:rsidRPr="001A402A" w:rsidRDefault="001A402A" w:rsidP="00A158F5">
      <w:r w:rsidRPr="001A402A">
        <w:t xml:space="preserve">The source of </w:t>
      </w:r>
      <w:proofErr w:type="spellStart"/>
      <w:r w:rsidRPr="001A402A">
        <w:t>metformin</w:t>
      </w:r>
      <w:proofErr w:type="spellEnd"/>
      <w:r w:rsidRPr="001A402A">
        <w:t xml:space="preserve"> pharmacokinetic data in children and adolescents on page 8 of the proposed PI is not clear and is not relevant to this FDC and should be removed. </w:t>
      </w:r>
    </w:p>
    <w:p w:rsidR="001A402A" w:rsidRDefault="001A402A" w:rsidP="00A158F5">
      <w:r w:rsidRPr="001A402A">
        <w:t>The sponsor is also reques</w:t>
      </w:r>
      <w:r w:rsidR="00B95D26">
        <w:t xml:space="preserve">ted to include a </w:t>
      </w:r>
      <w:r w:rsidR="00A63398">
        <w:t>Consumer Medicine Information (</w:t>
      </w:r>
      <w:r w:rsidR="00B95D26">
        <w:t>CMI</w:t>
      </w:r>
      <w:r w:rsidR="00A63398">
        <w:t>)</w:t>
      </w:r>
      <w:r w:rsidR="00B95D26">
        <w:t xml:space="preserve"> in its pre </w:t>
      </w:r>
      <w:r w:rsidRPr="001A402A">
        <w:t>ACPM response.</w:t>
      </w:r>
    </w:p>
    <w:p w:rsidR="001A402A" w:rsidRDefault="001A402A" w:rsidP="00A158F5">
      <w:pPr>
        <w:pStyle w:val="Heading5"/>
      </w:pPr>
      <w:r>
        <w:t xml:space="preserve">Request for ACPM </w:t>
      </w:r>
      <w:r w:rsidRPr="00A158F5">
        <w:t>advice</w:t>
      </w:r>
    </w:p>
    <w:p w:rsidR="007532F3" w:rsidRPr="007532F3" w:rsidRDefault="007532F3" w:rsidP="00A158F5">
      <w:r w:rsidRPr="007532F3">
        <w:t xml:space="preserve">In addition to the advice on overall adequacy of the data package and advice on any issue on which the ACPM may wish to comment, the </w:t>
      </w:r>
      <w:r w:rsidR="002A4F85">
        <w:t>ACPM</w:t>
      </w:r>
      <w:r w:rsidRPr="007532F3">
        <w:t xml:space="preserve"> </w:t>
      </w:r>
      <w:r w:rsidR="00021676">
        <w:t>was</w:t>
      </w:r>
      <w:r w:rsidR="00021676" w:rsidRPr="007532F3">
        <w:t xml:space="preserve"> </w:t>
      </w:r>
      <w:r w:rsidRPr="007532F3">
        <w:t xml:space="preserve">asked advice with respect to the following: </w:t>
      </w:r>
    </w:p>
    <w:p w:rsidR="007532F3" w:rsidRPr="007532F3" w:rsidRDefault="007532F3" w:rsidP="00A158F5">
      <w:pPr>
        <w:pStyle w:val="ListBullet"/>
      </w:pPr>
      <w:r w:rsidRPr="007532F3">
        <w:t xml:space="preserve">The indication as proposed above is consistent with the current approval of </w:t>
      </w:r>
      <w:proofErr w:type="spellStart"/>
      <w:r w:rsidRPr="007532F3">
        <w:t>saxagliptin</w:t>
      </w:r>
      <w:proofErr w:type="spellEnd"/>
      <w:r w:rsidRPr="007532F3">
        <w:t xml:space="preserve"> mono</w:t>
      </w:r>
      <w:r w:rsidR="00DA60E8">
        <w:t xml:space="preserve"> </w:t>
      </w:r>
      <w:r w:rsidRPr="007532F3">
        <w:t xml:space="preserve">product and as well as the additional data in the present submission. </w:t>
      </w:r>
    </w:p>
    <w:p w:rsidR="007532F3" w:rsidRPr="007532F3" w:rsidRDefault="007532F3" w:rsidP="00E3032E">
      <w:pPr>
        <w:pStyle w:val="ListBullet"/>
        <w:numPr>
          <w:ilvl w:val="0"/>
          <w:numId w:val="0"/>
        </w:numPr>
        <w:ind w:left="360"/>
      </w:pPr>
      <w:r w:rsidRPr="007532F3">
        <w:t xml:space="preserve">Does the </w:t>
      </w:r>
      <w:r w:rsidR="00E82777">
        <w:t>ACPM</w:t>
      </w:r>
      <w:r w:rsidRPr="007532F3">
        <w:t xml:space="preserve"> consider it appropriate that an explicit statement be included that use in a wider spect</w:t>
      </w:r>
      <w:r w:rsidR="00E82777">
        <w:t xml:space="preserve">rum, that is, </w:t>
      </w:r>
      <w:r w:rsidRPr="007532F3">
        <w:t>triple combination (except basal insulin/</w:t>
      </w:r>
      <w:proofErr w:type="spellStart"/>
      <w:r w:rsidRPr="007532F3">
        <w:t>metformin</w:t>
      </w:r>
      <w:proofErr w:type="spellEnd"/>
      <w:r w:rsidRPr="007532F3">
        <w:t>/</w:t>
      </w:r>
      <w:proofErr w:type="spellStart"/>
      <w:r w:rsidRPr="007532F3">
        <w:t>saxagliptin</w:t>
      </w:r>
      <w:proofErr w:type="spellEnd"/>
      <w:r w:rsidRPr="007532F3">
        <w:t xml:space="preserve">) is not intended? </w:t>
      </w:r>
    </w:p>
    <w:p w:rsidR="007532F3" w:rsidRPr="007532F3" w:rsidRDefault="007532F3" w:rsidP="00A158F5">
      <w:pPr>
        <w:pStyle w:val="ListBullet"/>
      </w:pPr>
      <w:r w:rsidRPr="007532F3">
        <w:t>With respect t</w:t>
      </w:r>
      <w:r w:rsidR="00B95D26">
        <w:t xml:space="preserve">o use with intermediate or long </w:t>
      </w:r>
      <w:r w:rsidRPr="007532F3">
        <w:t>acting (basal) insulin or premixed insulin, the app</w:t>
      </w:r>
      <w:r w:rsidR="00B95D26">
        <w:t xml:space="preserve">roval for </w:t>
      </w:r>
      <w:proofErr w:type="spellStart"/>
      <w:r w:rsidR="00B95D26">
        <w:t>saxagliptin</w:t>
      </w:r>
      <w:proofErr w:type="spellEnd"/>
      <w:r w:rsidR="00B95D26">
        <w:t xml:space="preserve"> mono </w:t>
      </w:r>
      <w:r w:rsidRPr="007532F3">
        <w:t>product includes a qualifying statement with the</w:t>
      </w:r>
      <w:r w:rsidR="00B95D26">
        <w:t xml:space="preserve"> indication that use with short </w:t>
      </w:r>
      <w:r w:rsidRPr="007532F3">
        <w:t>acting insulin (</w:t>
      </w:r>
      <w:proofErr w:type="spellStart"/>
      <w:r w:rsidRPr="007532F3">
        <w:t>bolus:basal</w:t>
      </w:r>
      <w:proofErr w:type="spellEnd"/>
      <w:r w:rsidRPr="007532F3">
        <w:t xml:space="preserve"> regimen) was not studied. For the FDC this information is included in the clinical trials section within the description of the relevant clinical trial. </w:t>
      </w:r>
    </w:p>
    <w:p w:rsidR="007532F3" w:rsidRPr="007532F3" w:rsidRDefault="007532F3" w:rsidP="00E3032E">
      <w:pPr>
        <w:pStyle w:val="ListBullet"/>
        <w:numPr>
          <w:ilvl w:val="0"/>
          <w:numId w:val="0"/>
        </w:numPr>
        <w:ind w:left="360"/>
      </w:pPr>
      <w:r w:rsidRPr="007532F3">
        <w:t xml:space="preserve">Does the </w:t>
      </w:r>
      <w:r w:rsidR="005C3D88">
        <w:t>ACPM</w:t>
      </w:r>
      <w:r w:rsidRPr="007532F3">
        <w:t xml:space="preserve"> consider this as sufficient risk control strategy in relation to this aspect of use? </w:t>
      </w:r>
    </w:p>
    <w:p w:rsidR="007532F3" w:rsidRPr="007532F3" w:rsidRDefault="007532F3" w:rsidP="00A158F5">
      <w:pPr>
        <w:pStyle w:val="ListBullet"/>
      </w:pPr>
      <w:r w:rsidRPr="007532F3">
        <w:t xml:space="preserve">The use of this FDC involves a change from the existing approved dosage of </w:t>
      </w:r>
      <w:proofErr w:type="spellStart"/>
      <w:r w:rsidRPr="007532F3">
        <w:t>saxagliptin</w:t>
      </w:r>
      <w:proofErr w:type="spellEnd"/>
      <w:r w:rsidRPr="007532F3">
        <w:t xml:space="preserve"> (</w:t>
      </w:r>
      <w:proofErr w:type="spellStart"/>
      <w:r w:rsidRPr="007532F3">
        <w:t>O</w:t>
      </w:r>
      <w:r w:rsidR="005C3D88">
        <w:t>nglyza</w:t>
      </w:r>
      <w:proofErr w:type="spellEnd"/>
      <w:r w:rsidRPr="007532F3">
        <w:t xml:space="preserve">) 5mg once daily in the morning in dual combination with </w:t>
      </w:r>
      <w:proofErr w:type="spellStart"/>
      <w:r w:rsidRPr="007532F3">
        <w:t>metformin</w:t>
      </w:r>
      <w:proofErr w:type="spellEnd"/>
      <w:r w:rsidRPr="007532F3">
        <w:t xml:space="preserve"> (in any dosage form) to a regimen of 2.5</w:t>
      </w:r>
      <w:r w:rsidR="005C3D88">
        <w:t xml:space="preserve"> </w:t>
      </w:r>
      <w:r w:rsidRPr="007532F3">
        <w:t xml:space="preserve">mg twice daily in fixed combination with </w:t>
      </w:r>
      <w:proofErr w:type="spellStart"/>
      <w:r w:rsidRPr="007532F3">
        <w:t>metformin</w:t>
      </w:r>
      <w:proofErr w:type="spellEnd"/>
      <w:r w:rsidRPr="007532F3">
        <w:t xml:space="preserve"> (500, 850 or 1000 mg twice daily). In healthy </w:t>
      </w:r>
      <w:r w:rsidRPr="00A158F5">
        <w:t>adults</w:t>
      </w:r>
      <w:r w:rsidRPr="007532F3">
        <w:t xml:space="preserve">, the </w:t>
      </w:r>
      <w:proofErr w:type="spellStart"/>
      <w:r w:rsidRPr="007532F3">
        <w:t>pharmacodynamic</w:t>
      </w:r>
      <w:proofErr w:type="spellEnd"/>
      <w:r w:rsidRPr="007532F3">
        <w:t xml:space="preserve"> (study CV181152) response to </w:t>
      </w:r>
      <w:proofErr w:type="spellStart"/>
      <w:r w:rsidRPr="007532F3">
        <w:t>saxagliptin</w:t>
      </w:r>
      <w:proofErr w:type="spellEnd"/>
      <w:r w:rsidRPr="007532F3">
        <w:t xml:space="preserve"> was not altered by change from once daily 5</w:t>
      </w:r>
      <w:r w:rsidR="005C3D88">
        <w:t xml:space="preserve"> </w:t>
      </w:r>
      <w:r w:rsidRPr="007532F3">
        <w:t>mg dosing in the morning to 2.5</w:t>
      </w:r>
      <w:r w:rsidR="005C3D88">
        <w:t xml:space="preserve"> </w:t>
      </w:r>
      <w:r w:rsidRPr="007532F3">
        <w:t>mg twice daily dosing of the FDC. This is further supported by a 12 week, placebo</w:t>
      </w:r>
      <w:r w:rsidR="005C3D88">
        <w:t xml:space="preserve"> </w:t>
      </w:r>
      <w:r w:rsidRPr="007532F3">
        <w:t>controlled, clinical efficacy study (181080). Note the submission did not include a study directly comparing once (5</w:t>
      </w:r>
      <w:r w:rsidR="005C3D88">
        <w:t xml:space="preserve"> </w:t>
      </w:r>
      <w:r w:rsidRPr="007532F3">
        <w:t>mg) and twice daily (2.5</w:t>
      </w:r>
      <w:r w:rsidR="005C3D88">
        <w:t xml:space="preserve"> </w:t>
      </w:r>
      <w:r w:rsidRPr="007532F3">
        <w:t>mg) treatment regimens. In terms of clinical management, it is expected that lower dose 2.5</w:t>
      </w:r>
      <w:r w:rsidR="005C3D88">
        <w:t xml:space="preserve"> </w:t>
      </w:r>
      <w:r w:rsidRPr="007532F3">
        <w:t xml:space="preserve">mg combination with a range of </w:t>
      </w:r>
      <w:proofErr w:type="spellStart"/>
      <w:r w:rsidRPr="007532F3">
        <w:t>metformin</w:t>
      </w:r>
      <w:proofErr w:type="spellEnd"/>
      <w:r w:rsidRPr="007532F3">
        <w:t xml:space="preserve"> doses will be found useful. </w:t>
      </w:r>
    </w:p>
    <w:p w:rsidR="007532F3" w:rsidRPr="007532F3" w:rsidRDefault="007532F3" w:rsidP="00E3032E">
      <w:pPr>
        <w:pStyle w:val="ListBullet"/>
        <w:numPr>
          <w:ilvl w:val="0"/>
          <w:numId w:val="0"/>
        </w:numPr>
        <w:ind w:left="360"/>
      </w:pPr>
      <w:r w:rsidRPr="007532F3">
        <w:t>The ACPM is requested to provide advice on the clinical rationale and the adequacy of data supporting the use of 2.5</w:t>
      </w:r>
      <w:r w:rsidR="005C3D88">
        <w:t xml:space="preserve"> </w:t>
      </w:r>
      <w:r w:rsidRPr="007532F3">
        <w:t xml:space="preserve">mg twice daily dosing of </w:t>
      </w:r>
      <w:proofErr w:type="spellStart"/>
      <w:r w:rsidRPr="007532F3">
        <w:t>saxagliptin</w:t>
      </w:r>
      <w:proofErr w:type="spellEnd"/>
      <w:r w:rsidRPr="007532F3">
        <w:t xml:space="preserve"> in fixed combination with </w:t>
      </w:r>
      <w:proofErr w:type="spellStart"/>
      <w:r w:rsidRPr="007532F3">
        <w:t>metformin</w:t>
      </w:r>
      <w:proofErr w:type="spellEnd"/>
      <w:r w:rsidRPr="007532F3">
        <w:t xml:space="preserve"> as opposed to 5</w:t>
      </w:r>
      <w:r w:rsidR="005C3D88">
        <w:t xml:space="preserve"> </w:t>
      </w:r>
      <w:r w:rsidRPr="007532F3">
        <w:t>mg once daily dosing approved for the mono</w:t>
      </w:r>
      <w:r w:rsidR="005C3D88">
        <w:t xml:space="preserve"> </w:t>
      </w:r>
      <w:r w:rsidRPr="007532F3">
        <w:t xml:space="preserve">product. </w:t>
      </w:r>
    </w:p>
    <w:p w:rsidR="007532F3" w:rsidRPr="007532F3" w:rsidRDefault="007532F3" w:rsidP="00E3032E">
      <w:pPr>
        <w:pStyle w:val="ListBullet"/>
        <w:numPr>
          <w:ilvl w:val="0"/>
          <w:numId w:val="0"/>
        </w:numPr>
        <w:ind w:left="360"/>
      </w:pPr>
      <w:r w:rsidRPr="007532F3">
        <w:t xml:space="preserve">The sponsor is also asked to inform whether any clinical efficacy studies comparing once and twice daily </w:t>
      </w:r>
      <w:proofErr w:type="spellStart"/>
      <w:r w:rsidRPr="007532F3">
        <w:t>saxagliptin</w:t>
      </w:r>
      <w:proofErr w:type="spellEnd"/>
      <w:r w:rsidRPr="007532F3">
        <w:t xml:space="preserve"> dosing have been performed. If available, these will need review before decision and finalisation of this submission. </w:t>
      </w:r>
    </w:p>
    <w:p w:rsidR="007532F3" w:rsidRPr="007532F3" w:rsidRDefault="005C3D88" w:rsidP="00A158F5">
      <w:pPr>
        <w:pStyle w:val="ListBullet"/>
      </w:pPr>
      <w:r>
        <w:t>As discussed in the clinical evaluation report</w:t>
      </w:r>
      <w:r w:rsidR="007532F3" w:rsidRPr="007532F3">
        <w:t xml:space="preserve">, the data support addition of </w:t>
      </w:r>
      <w:proofErr w:type="spellStart"/>
      <w:r w:rsidR="007532F3" w:rsidRPr="007532F3">
        <w:t>saxagliptin</w:t>
      </w:r>
      <w:proofErr w:type="spellEnd"/>
      <w:r w:rsidR="007532F3" w:rsidRPr="007532F3">
        <w:t xml:space="preserve"> to existing </w:t>
      </w:r>
      <w:proofErr w:type="spellStart"/>
      <w:r w:rsidR="007532F3" w:rsidRPr="007532F3">
        <w:t>metformin</w:t>
      </w:r>
      <w:proofErr w:type="spellEnd"/>
      <w:r w:rsidR="007532F3" w:rsidRPr="007532F3">
        <w:t xml:space="preserve"> therapy and </w:t>
      </w:r>
      <w:proofErr w:type="spellStart"/>
      <w:r w:rsidR="007532F3" w:rsidRPr="00A158F5">
        <w:t>saxagliptin</w:t>
      </w:r>
      <w:proofErr w:type="spellEnd"/>
      <w:r w:rsidR="007532F3" w:rsidRPr="007532F3">
        <w:t xml:space="preserve"> (with or without </w:t>
      </w:r>
      <w:proofErr w:type="spellStart"/>
      <w:r w:rsidR="007532F3" w:rsidRPr="007532F3">
        <w:t>metformin</w:t>
      </w:r>
      <w:proofErr w:type="spellEnd"/>
      <w:r w:rsidR="007532F3" w:rsidRPr="007532F3">
        <w:t xml:space="preserve">) to existing basal insulin. Initial use of </w:t>
      </w:r>
      <w:proofErr w:type="spellStart"/>
      <w:r w:rsidR="007532F3" w:rsidRPr="007532F3">
        <w:t>saxagliptin</w:t>
      </w:r>
      <w:proofErr w:type="spellEnd"/>
      <w:r w:rsidR="007532F3" w:rsidRPr="007532F3">
        <w:t xml:space="preserve"> as </w:t>
      </w:r>
      <w:r w:rsidR="00257D1D">
        <w:t xml:space="preserve">a </w:t>
      </w:r>
      <w:r w:rsidR="007532F3" w:rsidRPr="007532F3">
        <w:t xml:space="preserve">single agent is not approved. A clinical scenario may be that of starting insulin in patients who fail on this FDC. This would not be supported by the data in this submission implying that FDC should be ceased before insulin is introduced. In the event of insufficient control on insulin, the FDC may be </w:t>
      </w:r>
      <w:r w:rsidR="007532F3" w:rsidRPr="007532F3">
        <w:lastRenderedPageBreak/>
        <w:t>reintroduced. This issue of hierarchy of treatment i</w:t>
      </w:r>
      <w:r w:rsidR="00A14CBB">
        <w:t xml:space="preserve">s common to submissions of anti </w:t>
      </w:r>
      <w:r w:rsidR="007532F3" w:rsidRPr="007532F3">
        <w:t xml:space="preserve">diabetic agents and the general approach is that such instructions be left to the relevant clinical management guidelines. </w:t>
      </w:r>
    </w:p>
    <w:p w:rsidR="007532F3" w:rsidRPr="007532F3" w:rsidRDefault="007532F3" w:rsidP="00E3032E">
      <w:pPr>
        <w:pStyle w:val="ListBullet"/>
        <w:numPr>
          <w:ilvl w:val="0"/>
          <w:numId w:val="0"/>
        </w:numPr>
        <w:ind w:left="360"/>
      </w:pPr>
      <w:r w:rsidRPr="007532F3">
        <w:t xml:space="preserve">The ACPM is requested to provide advice regarding instruction for hierarchy of treatment in the PI. </w:t>
      </w:r>
    </w:p>
    <w:p w:rsidR="007532F3" w:rsidRPr="007532F3" w:rsidRDefault="007532F3" w:rsidP="00A158F5">
      <w:pPr>
        <w:pStyle w:val="ListBullet"/>
      </w:pPr>
      <w:r w:rsidRPr="007532F3">
        <w:t>The RMP evaluators have raised the issue of medication errors and recommended alternative name or addition of immediate</w:t>
      </w:r>
      <w:r w:rsidR="00A14CBB">
        <w:t xml:space="preserve"> release on the product label (carton and </w:t>
      </w:r>
      <w:r w:rsidRPr="007532F3">
        <w:t xml:space="preserve">foil). The latter recommendation is supported. Note </w:t>
      </w:r>
      <w:r w:rsidR="006520EA">
        <w:t xml:space="preserve">that </w:t>
      </w:r>
      <w:r w:rsidRPr="007532F3">
        <w:t xml:space="preserve">a submission to register fixed dose combination of immediate release </w:t>
      </w:r>
      <w:proofErr w:type="spellStart"/>
      <w:r w:rsidRPr="007532F3">
        <w:t>saxagliptin</w:t>
      </w:r>
      <w:proofErr w:type="spellEnd"/>
      <w:r w:rsidRPr="007532F3">
        <w:t xml:space="preserve"> (5</w:t>
      </w:r>
      <w:r>
        <w:t xml:space="preserve"> </w:t>
      </w:r>
      <w:r w:rsidRPr="007532F3">
        <w:t xml:space="preserve">mg) with sustained release </w:t>
      </w:r>
      <w:proofErr w:type="spellStart"/>
      <w:r w:rsidRPr="007532F3">
        <w:t>metformin</w:t>
      </w:r>
      <w:proofErr w:type="spellEnd"/>
      <w:r w:rsidRPr="007532F3">
        <w:t xml:space="preserve"> (500, 850, 1000 mg) is currently under review. </w:t>
      </w:r>
    </w:p>
    <w:p w:rsidR="008E7846" w:rsidRDefault="008E7846" w:rsidP="00A158F5">
      <w:pPr>
        <w:pStyle w:val="Heading4"/>
      </w:pPr>
      <w:r>
        <w:t xml:space="preserve">Response from </w:t>
      </w:r>
      <w:r w:rsidRPr="00A158F5">
        <w:t>Sponsor</w:t>
      </w:r>
    </w:p>
    <w:p w:rsidR="00B95D26" w:rsidRDefault="00B95D26" w:rsidP="00A158F5">
      <w:pPr>
        <w:pStyle w:val="Heading5"/>
      </w:pPr>
      <w:r w:rsidRPr="00A158F5">
        <w:t>Introduction</w:t>
      </w:r>
    </w:p>
    <w:p w:rsidR="00B95D26" w:rsidRDefault="00B95D26" w:rsidP="00A158F5">
      <w:r w:rsidRPr="00B95D26">
        <w:t xml:space="preserve">The </w:t>
      </w:r>
      <w:r w:rsidR="00A218FB">
        <w:t>s</w:t>
      </w:r>
      <w:r w:rsidRPr="00B95D26">
        <w:t xml:space="preserve">ponsor acknowledges the recommendation of the </w:t>
      </w:r>
      <w:r w:rsidR="00A958D7">
        <w:t>c</w:t>
      </w:r>
      <w:r w:rsidRPr="00B95D26">
        <w:t xml:space="preserve">linical </w:t>
      </w:r>
      <w:r w:rsidR="00A958D7">
        <w:t>e</w:t>
      </w:r>
      <w:r w:rsidRPr="00B95D26">
        <w:t>valuator and the Delegate that the submission package supports regist</w:t>
      </w:r>
      <w:r w:rsidR="001C7D99">
        <w:t xml:space="preserve">ration of the </w:t>
      </w:r>
      <w:proofErr w:type="spellStart"/>
      <w:r w:rsidR="001C7D99">
        <w:t>Kombiglyze</w:t>
      </w:r>
      <w:proofErr w:type="spellEnd"/>
      <w:r w:rsidR="001C7D99">
        <w:t xml:space="preserve"> FDC</w:t>
      </w:r>
      <w:r w:rsidRPr="00B95D26">
        <w:t xml:space="preserve"> as an adjunct to diet and exercise to improve </w:t>
      </w:r>
      <w:proofErr w:type="spellStart"/>
      <w:r w:rsidRPr="00B95D26">
        <w:t>glycaemic</w:t>
      </w:r>
      <w:proofErr w:type="spellEnd"/>
      <w:r w:rsidRPr="00B95D26">
        <w:t xml:space="preserve"> control in adults with </w:t>
      </w:r>
      <w:r w:rsidR="001C7D99">
        <w:t>T2DM</w:t>
      </w:r>
      <w:r w:rsidRPr="00B95D26">
        <w:t xml:space="preserve"> when treatment with both </w:t>
      </w:r>
      <w:proofErr w:type="spellStart"/>
      <w:r w:rsidRPr="00B95D26">
        <w:t>saxagliptin</w:t>
      </w:r>
      <w:proofErr w:type="spellEnd"/>
      <w:r w:rsidRPr="00B95D26">
        <w:t xml:space="preserve"> and </w:t>
      </w:r>
      <w:proofErr w:type="spellStart"/>
      <w:r w:rsidRPr="00B95D26">
        <w:t>metformin</w:t>
      </w:r>
      <w:proofErr w:type="spellEnd"/>
      <w:r w:rsidRPr="00B95D26">
        <w:t xml:space="preserve"> is appropriate. The </w:t>
      </w:r>
      <w:r w:rsidR="00240EA7">
        <w:t>s</w:t>
      </w:r>
      <w:r w:rsidRPr="00B95D26">
        <w:t xml:space="preserve">ponsor also </w:t>
      </w:r>
      <w:r w:rsidR="00021676" w:rsidRPr="00B95D26">
        <w:t>note</w:t>
      </w:r>
      <w:r w:rsidR="00021676">
        <w:t>d</w:t>
      </w:r>
      <w:r w:rsidR="00021676" w:rsidRPr="00B95D26">
        <w:t xml:space="preserve"> </w:t>
      </w:r>
      <w:r w:rsidRPr="00B95D26">
        <w:t xml:space="preserve">the endorsement of the </w:t>
      </w:r>
      <w:r w:rsidR="00240EA7">
        <w:t>OPR</w:t>
      </w:r>
      <w:r w:rsidRPr="00B95D26">
        <w:t xml:space="preserve"> for a satisfactory </w:t>
      </w:r>
      <w:r w:rsidR="00240EA7">
        <w:t>RMP</w:t>
      </w:r>
      <w:r w:rsidRPr="00B95D26">
        <w:t xml:space="preserve"> submitted with this application. The </w:t>
      </w:r>
      <w:r w:rsidR="00240EA7">
        <w:t>s</w:t>
      </w:r>
      <w:r w:rsidRPr="00B95D26">
        <w:t xml:space="preserve">ponsor </w:t>
      </w:r>
      <w:r w:rsidR="00021676">
        <w:t>sought</w:t>
      </w:r>
      <w:r w:rsidR="00021676" w:rsidRPr="00B95D26">
        <w:t xml:space="preserve"> </w:t>
      </w:r>
      <w:r w:rsidRPr="00B95D26">
        <w:t xml:space="preserve">to take </w:t>
      </w:r>
      <w:r w:rsidR="00021676" w:rsidRPr="00B95D26">
        <w:t>th</w:t>
      </w:r>
      <w:r w:rsidR="00021676">
        <w:t>e</w:t>
      </w:r>
      <w:r w:rsidR="00021676" w:rsidRPr="00B95D26">
        <w:t xml:space="preserve"> </w:t>
      </w:r>
      <w:r w:rsidRPr="00B95D26">
        <w:t>opportunity to provide additional comments in relation to the Delegate’s specific request for ACPM advice.</w:t>
      </w:r>
    </w:p>
    <w:p w:rsidR="00B95D26" w:rsidRDefault="00B95D26" w:rsidP="00A158F5">
      <w:pPr>
        <w:pStyle w:val="Heading5"/>
      </w:pPr>
      <w:r w:rsidRPr="00B95D26">
        <w:t>Appropriate utilisation</w:t>
      </w:r>
      <w:r>
        <w:t xml:space="preserve"> of the FDC (</w:t>
      </w:r>
      <w:r w:rsidR="00A158F5">
        <w:t>r</w:t>
      </w:r>
      <w:r w:rsidRPr="00A158F5">
        <w:t>equests</w:t>
      </w:r>
      <w:r>
        <w:t xml:space="preserve"> 1 and 2)</w:t>
      </w:r>
    </w:p>
    <w:p w:rsidR="00B95D26" w:rsidRPr="00B95D26" w:rsidRDefault="00B95D26" w:rsidP="00A158F5">
      <w:r w:rsidRPr="00B95D26">
        <w:t xml:space="preserve">The Delegate noted that the proposed indication is consistent with the current approval of the </w:t>
      </w:r>
      <w:proofErr w:type="spellStart"/>
      <w:r w:rsidRPr="00B95D26">
        <w:t>saxagliptin</w:t>
      </w:r>
      <w:proofErr w:type="spellEnd"/>
      <w:r w:rsidRPr="00B95D26">
        <w:t xml:space="preserve"> mono</w:t>
      </w:r>
      <w:r w:rsidR="00860BD0">
        <w:t xml:space="preserve"> </w:t>
      </w:r>
      <w:r w:rsidRPr="00B95D26">
        <w:t xml:space="preserve">product as well as the additional data in the present submission. With respect to the question as to whether it would be appropriate to include an explicit statement that use in a wider spectrum is not intended, the </w:t>
      </w:r>
      <w:r w:rsidR="00E50C91">
        <w:t>s</w:t>
      </w:r>
      <w:r w:rsidRPr="00B95D26">
        <w:t xml:space="preserve">ponsor considers that the proposed </w:t>
      </w:r>
      <w:proofErr w:type="spellStart"/>
      <w:r w:rsidRPr="00B95D26">
        <w:t>Kombiglyze</w:t>
      </w:r>
      <w:proofErr w:type="spellEnd"/>
      <w:r w:rsidRPr="00B95D26">
        <w:t xml:space="preserve"> </w:t>
      </w:r>
      <w:r w:rsidR="00E50C91">
        <w:t>PI</w:t>
      </w:r>
      <w:r w:rsidRPr="00B95D26">
        <w:t xml:space="preserve"> provides adequate guidance to the prescriber regarding the suitable use of the FDC of </w:t>
      </w:r>
      <w:proofErr w:type="spellStart"/>
      <w:r w:rsidRPr="00B95D26">
        <w:t>saxagliptin</w:t>
      </w:r>
      <w:proofErr w:type="spellEnd"/>
      <w:r w:rsidRPr="00B95D26">
        <w:t xml:space="preserve"> and </w:t>
      </w:r>
      <w:proofErr w:type="spellStart"/>
      <w:r w:rsidRPr="00B95D26">
        <w:t>metformin</w:t>
      </w:r>
      <w:proofErr w:type="spellEnd"/>
      <w:r w:rsidRPr="00B95D26">
        <w:t xml:space="preserve">. The proposed PI summarises data from clinical trials supporting the proposed use consistent with the approved </w:t>
      </w:r>
      <w:proofErr w:type="spellStart"/>
      <w:r w:rsidRPr="00B95D26">
        <w:t>saxagliptin</w:t>
      </w:r>
      <w:proofErr w:type="spellEnd"/>
      <w:r w:rsidRPr="00B95D26">
        <w:t xml:space="preserve"> mono</w:t>
      </w:r>
      <w:r w:rsidR="00D86451">
        <w:t xml:space="preserve"> </w:t>
      </w:r>
      <w:r w:rsidRPr="00B95D26">
        <w:t xml:space="preserve">product PI while excluding data from clinical trials where the FDC is not suitable for use, such as </w:t>
      </w:r>
      <w:proofErr w:type="spellStart"/>
      <w:r w:rsidRPr="00B95D26">
        <w:t>saxagliptin</w:t>
      </w:r>
      <w:proofErr w:type="spellEnd"/>
      <w:r w:rsidRPr="00B95D26">
        <w:t xml:space="preserve"> as add</w:t>
      </w:r>
      <w:r w:rsidR="00E50C91">
        <w:t xml:space="preserve"> </w:t>
      </w:r>
      <w:r w:rsidRPr="00B95D26">
        <w:t xml:space="preserve">on therapy to a sulfonylurea (SU) or a </w:t>
      </w:r>
      <w:proofErr w:type="spellStart"/>
      <w:r w:rsidRPr="00B95D26">
        <w:t>thiazolidinedione</w:t>
      </w:r>
      <w:proofErr w:type="spellEnd"/>
      <w:r w:rsidRPr="00B95D26">
        <w:t xml:space="preserve">. Furthermore, given the lack of approval for combination use of </w:t>
      </w:r>
      <w:proofErr w:type="spellStart"/>
      <w:r w:rsidRPr="00B95D26">
        <w:t>saxaglipitin</w:t>
      </w:r>
      <w:proofErr w:type="spellEnd"/>
      <w:r w:rsidRPr="00B95D26">
        <w:t xml:space="preserve"> as triple therapy with another anti</w:t>
      </w:r>
      <w:r w:rsidR="00D86451">
        <w:t xml:space="preserve"> </w:t>
      </w:r>
      <w:r w:rsidRPr="00B95D26">
        <w:t xml:space="preserve">diabetic medication such as a SU, the </w:t>
      </w:r>
      <w:r w:rsidR="00C14D4F">
        <w:t>s</w:t>
      </w:r>
      <w:r w:rsidRPr="00B95D26">
        <w:t xml:space="preserve">ponsor believes it unlikely that physicians unfamiliar with </w:t>
      </w:r>
      <w:proofErr w:type="spellStart"/>
      <w:r w:rsidRPr="00B95D26">
        <w:t>saxagliptin</w:t>
      </w:r>
      <w:proofErr w:type="spellEnd"/>
      <w:r w:rsidRPr="00B95D26">
        <w:t xml:space="preserve"> and its combined use with </w:t>
      </w:r>
      <w:proofErr w:type="spellStart"/>
      <w:r w:rsidRPr="00B95D26">
        <w:t>metformin</w:t>
      </w:r>
      <w:proofErr w:type="spellEnd"/>
      <w:r w:rsidRPr="00B95D26">
        <w:t xml:space="preserve"> would use the FDC in combination with another anti</w:t>
      </w:r>
      <w:r w:rsidR="00C14D4F">
        <w:t xml:space="preserve"> </w:t>
      </w:r>
      <w:r w:rsidRPr="00B95D26">
        <w:t xml:space="preserve">diabetic medication. </w:t>
      </w:r>
    </w:p>
    <w:p w:rsidR="00C14D4F" w:rsidRDefault="00E50C91" w:rsidP="00A158F5">
      <w:r>
        <w:t xml:space="preserve">The Delegate noted the PI for the </w:t>
      </w:r>
      <w:proofErr w:type="spellStart"/>
      <w:r>
        <w:t>saxagliptin</w:t>
      </w:r>
      <w:proofErr w:type="spellEnd"/>
      <w:r>
        <w:t xml:space="preserve"> mono </w:t>
      </w:r>
      <w:r w:rsidR="00B95D26" w:rsidRPr="00B95D26">
        <w:t>product includes a qualifying statement with the</w:t>
      </w:r>
      <w:r>
        <w:t xml:space="preserve"> indication that use with short </w:t>
      </w:r>
      <w:r w:rsidR="00B95D26" w:rsidRPr="00B95D26">
        <w:t>acting insulin (</w:t>
      </w:r>
      <w:proofErr w:type="spellStart"/>
      <w:r w:rsidR="00B95D26" w:rsidRPr="00B95D26">
        <w:t>bolus:basal</w:t>
      </w:r>
      <w:proofErr w:type="spellEnd"/>
      <w:r w:rsidR="00B95D26" w:rsidRPr="00B95D26">
        <w:t xml:space="preserve"> regimen) was not studied and that this information is included in the Clinical Trials section of the PI for the </w:t>
      </w:r>
      <w:proofErr w:type="spellStart"/>
      <w:r w:rsidR="00B95D26" w:rsidRPr="00B95D26">
        <w:t>Kombiglyze</w:t>
      </w:r>
      <w:proofErr w:type="spellEnd"/>
      <w:r w:rsidR="00B95D26" w:rsidRPr="00B95D26">
        <w:t xml:space="preserve"> FDC. With respect to the Delegate’s comment whether this action provides sufficient risk control in relation to this aspect of use, the </w:t>
      </w:r>
      <w:r w:rsidR="00C14D4F">
        <w:t>s</w:t>
      </w:r>
      <w:r w:rsidR="00B95D26" w:rsidRPr="00B95D26">
        <w:t xml:space="preserve">ponsor proposes that the </w:t>
      </w:r>
      <w:r w:rsidR="00C14D4F">
        <w:t>‘</w:t>
      </w:r>
      <w:r w:rsidR="00B95D26" w:rsidRPr="00B95D26">
        <w:t>Dosage and Administration</w:t>
      </w:r>
      <w:r w:rsidR="00C14D4F">
        <w:t>’</w:t>
      </w:r>
      <w:r w:rsidR="00B95D26" w:rsidRPr="00B95D26">
        <w:t xml:space="preserve"> section of the PI for the FDC be amended to contain specific dosing instructions for patients with inadequate </w:t>
      </w:r>
      <w:proofErr w:type="spellStart"/>
      <w:r w:rsidR="00B95D26" w:rsidRPr="00B95D26">
        <w:t>glycaemic</w:t>
      </w:r>
      <w:proofErr w:type="spellEnd"/>
      <w:r w:rsidR="00B95D26" w:rsidRPr="00B95D26">
        <w:t xml:space="preserve"> control obtained with premixed or basal insulin with </w:t>
      </w:r>
      <w:proofErr w:type="spellStart"/>
      <w:r w:rsidR="00B95D26" w:rsidRPr="00B95D26">
        <w:t>metformin</w:t>
      </w:r>
      <w:proofErr w:type="spellEnd"/>
      <w:r w:rsidR="00B95D26" w:rsidRPr="00B95D26">
        <w:t xml:space="preserve"> and also to i</w:t>
      </w:r>
      <w:r w:rsidR="00C14D4F">
        <w:t>nclude the following statement:</w:t>
      </w:r>
    </w:p>
    <w:p w:rsidR="00C14D4F" w:rsidRPr="00A158F5" w:rsidRDefault="00B95D26" w:rsidP="00A158F5">
      <w:pPr>
        <w:ind w:left="720"/>
        <w:rPr>
          <w:i/>
        </w:rPr>
      </w:pPr>
      <w:r w:rsidRPr="00A158F5">
        <w:rPr>
          <w:i/>
        </w:rPr>
        <w:t>“</w:t>
      </w:r>
      <w:proofErr w:type="spellStart"/>
      <w:r w:rsidRPr="00A158F5">
        <w:rPr>
          <w:i/>
        </w:rPr>
        <w:t>Kombiglyze</w:t>
      </w:r>
      <w:proofErr w:type="spellEnd"/>
      <w:r w:rsidRPr="00A158F5">
        <w:rPr>
          <w:i/>
        </w:rPr>
        <w:t xml:space="preserve"> has not been studied in a regimen combining intermediate or long-acting insulin with mealtime bolus doses of short acting insulin (</w:t>
      </w:r>
      <w:proofErr w:type="spellStart"/>
      <w:r w:rsidRPr="00A158F5">
        <w:rPr>
          <w:i/>
        </w:rPr>
        <w:t>basal:bolus</w:t>
      </w:r>
      <w:proofErr w:type="spellEnd"/>
      <w:r w:rsidRPr="00A158F5">
        <w:rPr>
          <w:i/>
        </w:rPr>
        <w:t xml:space="preserve"> regimens), and its efficacy in this con</w:t>
      </w:r>
      <w:r w:rsidR="00C14D4F" w:rsidRPr="00A158F5">
        <w:rPr>
          <w:i/>
        </w:rPr>
        <w:t>text has not been established.”</w:t>
      </w:r>
    </w:p>
    <w:p w:rsidR="00B95D26" w:rsidRPr="00B95D26" w:rsidRDefault="00B95D26" w:rsidP="00A158F5">
      <w:r w:rsidRPr="00B95D26">
        <w:t xml:space="preserve">The </w:t>
      </w:r>
      <w:r w:rsidR="00C14D4F">
        <w:t>s</w:t>
      </w:r>
      <w:r w:rsidRPr="00B95D26">
        <w:t xml:space="preserve">ponsor considers that these revisions to the </w:t>
      </w:r>
      <w:r w:rsidR="00C14D4F">
        <w:t>‘</w:t>
      </w:r>
      <w:r w:rsidRPr="00B95D26">
        <w:t>Dosage and Administration</w:t>
      </w:r>
      <w:r w:rsidR="00C14D4F">
        <w:t>’</w:t>
      </w:r>
      <w:r w:rsidRPr="00B95D26">
        <w:t xml:space="preserve"> section, along with the addition of the summary of add</w:t>
      </w:r>
      <w:r w:rsidR="00C14D4F">
        <w:t xml:space="preserve"> </w:t>
      </w:r>
      <w:r w:rsidRPr="00B95D26">
        <w:t xml:space="preserve">on combination therapy with insulin (with or without </w:t>
      </w:r>
      <w:proofErr w:type="spellStart"/>
      <w:r w:rsidRPr="00B95D26">
        <w:t>metformin</w:t>
      </w:r>
      <w:proofErr w:type="spellEnd"/>
      <w:r w:rsidRPr="00B95D26">
        <w:t xml:space="preserve">) in the Clinical Trials section of the PI, provide sufficient risk control to ensure the appropriate </w:t>
      </w:r>
      <w:r w:rsidR="00C14D4F">
        <w:t>use of the FDC with insulin (that is,</w:t>
      </w:r>
      <w:r w:rsidRPr="00B95D26">
        <w:t xml:space="preserve"> premixed and basal insulin). </w:t>
      </w:r>
    </w:p>
    <w:p w:rsidR="00B95D26" w:rsidRDefault="00B95D26" w:rsidP="00A158F5">
      <w:r w:rsidRPr="00B95D26">
        <w:lastRenderedPageBreak/>
        <w:t xml:space="preserve">The </w:t>
      </w:r>
      <w:r w:rsidR="00C14D4F">
        <w:t>‘</w:t>
      </w:r>
      <w:r w:rsidRPr="00B95D26">
        <w:t>Dosage and Administration</w:t>
      </w:r>
      <w:r w:rsidR="00C14D4F">
        <w:t>’</w:t>
      </w:r>
      <w:r w:rsidRPr="00B95D26">
        <w:t xml:space="preserve"> section of the PI will also include dosing instructions for the FDC in all approved indications for concomitant administration of </w:t>
      </w:r>
      <w:proofErr w:type="spellStart"/>
      <w:r w:rsidRPr="00B95D26">
        <w:t>saxagliptin</w:t>
      </w:r>
      <w:proofErr w:type="spellEnd"/>
      <w:r w:rsidRPr="00B95D26">
        <w:t xml:space="preserve"> and </w:t>
      </w:r>
      <w:proofErr w:type="spellStart"/>
      <w:r w:rsidRPr="00B95D26">
        <w:t>metformin</w:t>
      </w:r>
      <w:proofErr w:type="spellEnd"/>
      <w:r w:rsidRPr="00B95D26">
        <w:t xml:space="preserve">. Consequently, the </w:t>
      </w:r>
      <w:r w:rsidR="00C14D4F">
        <w:t>s</w:t>
      </w:r>
      <w:r w:rsidRPr="00B95D26">
        <w:t xml:space="preserve">ponsor considers that the PI is appropriate and requires no additional statements to prevent use of the FDC in a wider setting than intended. A copy of the amended PI is included as part of the </w:t>
      </w:r>
      <w:r w:rsidR="00C14D4F">
        <w:t>p</w:t>
      </w:r>
      <w:r w:rsidRPr="00B95D26">
        <w:t>re</w:t>
      </w:r>
      <w:r w:rsidR="00C14D4F">
        <w:t xml:space="preserve"> </w:t>
      </w:r>
      <w:r w:rsidRPr="00B95D26">
        <w:t>ACPM response</w:t>
      </w:r>
      <w:r>
        <w:t>.</w:t>
      </w:r>
    </w:p>
    <w:p w:rsidR="00B95D26" w:rsidRDefault="00374115" w:rsidP="00A158F5">
      <w:pPr>
        <w:pStyle w:val="Heading5"/>
      </w:pPr>
      <w:proofErr w:type="spellStart"/>
      <w:r>
        <w:t>Saxagliptin</w:t>
      </w:r>
      <w:proofErr w:type="spellEnd"/>
      <w:r>
        <w:t xml:space="preserve"> 2.5 mg BID versus</w:t>
      </w:r>
      <w:r w:rsidR="00A158F5">
        <w:t xml:space="preserve"> 5 mg QD dosing (r</w:t>
      </w:r>
      <w:r w:rsidR="00B95D26">
        <w:t>equest 3)</w:t>
      </w:r>
    </w:p>
    <w:p w:rsidR="00B95D26" w:rsidRPr="00B95D26" w:rsidRDefault="00B95D26" w:rsidP="00A158F5">
      <w:r w:rsidRPr="00B95D26">
        <w:t xml:space="preserve">The Delegate requested that the </w:t>
      </w:r>
      <w:r w:rsidR="00AE6CE9">
        <w:t>s</w:t>
      </w:r>
      <w:r w:rsidRPr="00B95D26">
        <w:t xml:space="preserve">ponsor identify any clinical efficacy studies comparing the </w:t>
      </w:r>
      <w:proofErr w:type="spellStart"/>
      <w:r w:rsidRPr="00B95D26">
        <w:t>saxagliptin</w:t>
      </w:r>
      <w:proofErr w:type="spellEnd"/>
      <w:r w:rsidRPr="00B95D26">
        <w:t xml:space="preserve"> 2.5 mg BID and 5 mg QD dosing regimens. The </w:t>
      </w:r>
      <w:r w:rsidR="00AE6CE9">
        <w:t>s</w:t>
      </w:r>
      <w:r w:rsidRPr="00B95D26">
        <w:t>ponsor confirms that there are no head</w:t>
      </w:r>
      <w:r w:rsidR="00AE6CE9">
        <w:t xml:space="preserve"> </w:t>
      </w:r>
      <w:r w:rsidRPr="00B95D26">
        <w:t>to</w:t>
      </w:r>
      <w:r w:rsidR="00AE6CE9">
        <w:t xml:space="preserve"> </w:t>
      </w:r>
      <w:r w:rsidRPr="00B95D26">
        <w:t>head clinical ef</w:t>
      </w:r>
      <w:r w:rsidR="00AE6CE9">
        <w:t>ficacy studies comparing these two</w:t>
      </w:r>
      <w:r w:rsidRPr="00B95D26">
        <w:t xml:space="preserve"> dosing regimens but believes Study CV181152 to be an acceptable alternative. </w:t>
      </w:r>
    </w:p>
    <w:p w:rsidR="00B95D26" w:rsidRDefault="00B95D26" w:rsidP="00A158F5">
      <w:r w:rsidRPr="00B95D26">
        <w:t xml:space="preserve">The </w:t>
      </w:r>
      <w:r w:rsidR="000B641C">
        <w:t>s</w:t>
      </w:r>
      <w:r w:rsidRPr="00B95D26">
        <w:t xml:space="preserve">ponsor undertook the formal bioequivalence </w:t>
      </w:r>
      <w:r w:rsidR="000B641C">
        <w:t>S</w:t>
      </w:r>
      <w:r w:rsidRPr="00B95D26">
        <w:t xml:space="preserve">tudy CV181152 to confirm the comparability of the </w:t>
      </w:r>
      <w:proofErr w:type="spellStart"/>
      <w:r w:rsidRPr="00B95D26">
        <w:t>saxagliptin</w:t>
      </w:r>
      <w:proofErr w:type="spellEnd"/>
      <w:r w:rsidRPr="00B95D26">
        <w:t xml:space="preserve"> 2.5 mg BID and 5 mg QD regimens. Pharmacokinetic results confirmed that the daily </w:t>
      </w:r>
      <w:r w:rsidR="000B641C">
        <w:t>steady-state exposure (AUC</w:t>
      </w:r>
      <w:r w:rsidR="000B641C" w:rsidRPr="000B641C">
        <w:rPr>
          <w:vertAlign w:val="subscript"/>
        </w:rPr>
        <w:t>0-24</w:t>
      </w:r>
      <w:r w:rsidR="000B641C">
        <w:t>)</w:t>
      </w:r>
      <w:r w:rsidRPr="00B95D26">
        <w:t xml:space="preserve"> of </w:t>
      </w:r>
      <w:proofErr w:type="spellStart"/>
      <w:r w:rsidRPr="00B95D26">
        <w:t>saxagliptin</w:t>
      </w:r>
      <w:proofErr w:type="spellEnd"/>
      <w:r w:rsidRPr="00B95D26">
        <w:t xml:space="preserve"> after administration of 2.5 mg BID was bioequivalent to that after administration of the 5 mg QD dose. Additionally, </w:t>
      </w:r>
      <w:proofErr w:type="spellStart"/>
      <w:r w:rsidRPr="00B95D26">
        <w:t>pharmacodynamic</w:t>
      </w:r>
      <w:proofErr w:type="spellEnd"/>
      <w:r w:rsidRPr="00B95D26">
        <w:t xml:space="preserve"> results showed that inhibi</w:t>
      </w:r>
      <w:r w:rsidR="007F5BB5">
        <w:t xml:space="preserve">tion of </w:t>
      </w:r>
      <w:r w:rsidRPr="00B95D26">
        <w:t>DPP</w:t>
      </w:r>
      <w:r w:rsidR="007F5BB5">
        <w:t>-</w:t>
      </w:r>
      <w:r w:rsidRPr="00B95D26">
        <w:t xml:space="preserve">4 activity by the 2.5 mg BID </w:t>
      </w:r>
      <w:proofErr w:type="spellStart"/>
      <w:r w:rsidRPr="00B95D26">
        <w:t>saxagliptin</w:t>
      </w:r>
      <w:proofErr w:type="spellEnd"/>
      <w:r w:rsidRPr="00B95D26">
        <w:t xml:space="preserve"> dose was equivalent to that of the 5 mg QD </w:t>
      </w:r>
      <w:proofErr w:type="spellStart"/>
      <w:r w:rsidRPr="00B95D26">
        <w:t>saxagliptin</w:t>
      </w:r>
      <w:proofErr w:type="spellEnd"/>
      <w:r w:rsidRPr="00B95D26">
        <w:t xml:space="preserve"> dose, resulting in equivalent elevations of post</w:t>
      </w:r>
      <w:r w:rsidR="007F5BB5">
        <w:t xml:space="preserve"> </w:t>
      </w:r>
      <w:proofErr w:type="spellStart"/>
      <w:r w:rsidRPr="00B95D26">
        <w:t>prandial</w:t>
      </w:r>
      <w:proofErr w:type="spellEnd"/>
      <w:r w:rsidRPr="00B95D26">
        <w:t xml:space="preserve"> plasma intact glucagon</w:t>
      </w:r>
      <w:r w:rsidR="007F5BB5">
        <w:t xml:space="preserve"> </w:t>
      </w:r>
      <w:r w:rsidRPr="00B95D26">
        <w:t>like peptide-1 (</w:t>
      </w:r>
      <w:r w:rsidR="007F5BB5">
        <w:t>i</w:t>
      </w:r>
      <w:r w:rsidRPr="00B95D26">
        <w:t>GLP-1) activity for both regimens. The effects of 2.5 mg BID and 5 mg QD on DPP</w:t>
      </w:r>
      <w:r w:rsidR="007F5BB5">
        <w:t>-</w:t>
      </w:r>
      <w:r w:rsidRPr="00B95D26">
        <w:t>4 and iGLP-1 activity were comparable. Results for inhibition of DPP</w:t>
      </w:r>
      <w:r w:rsidR="007F5BB5">
        <w:t>-</w:t>
      </w:r>
      <w:r w:rsidRPr="00B95D26">
        <w:t>4 act</w:t>
      </w:r>
      <w:r>
        <w:t>ivity are reproduced in Figure 5.</w:t>
      </w:r>
    </w:p>
    <w:p w:rsidR="00B95D26" w:rsidRPr="00A158F5" w:rsidRDefault="00B95D26" w:rsidP="00A158F5">
      <w:pPr>
        <w:pStyle w:val="FigureTitle"/>
      </w:pPr>
      <w:r w:rsidRPr="00A158F5">
        <w:t>Figure 5: Percentage of DPP4 inhibition over time.</w:t>
      </w:r>
    </w:p>
    <w:p w:rsidR="00B95D26" w:rsidRDefault="00D47E1A" w:rsidP="000F5776">
      <w:pPr>
        <w:jc w:val="center"/>
      </w:pPr>
      <w:r>
        <w:rPr>
          <w:noProof/>
          <w:lang w:eastAsia="en-AU"/>
        </w:rPr>
        <w:drawing>
          <wp:inline distT="0" distB="0" distL="0" distR="0">
            <wp:extent cx="3524250" cy="1714500"/>
            <wp:effectExtent l="19050" t="0" r="0" b="0"/>
            <wp:docPr id="24" name="Picture 24" descr="Figure showing percentage of DPP4 inhibition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1"/>
                    <pic:cNvPicPr>
                      <a:picLocks noChangeAspect="1" noChangeArrowheads="1"/>
                    </pic:cNvPicPr>
                  </pic:nvPicPr>
                  <pic:blipFill>
                    <a:blip r:embed="rId35" cstate="print"/>
                    <a:srcRect/>
                    <a:stretch>
                      <a:fillRect/>
                    </a:stretch>
                  </pic:blipFill>
                  <pic:spPr bwMode="auto">
                    <a:xfrm>
                      <a:off x="0" y="0"/>
                      <a:ext cx="3524250" cy="1714500"/>
                    </a:xfrm>
                    <a:prstGeom prst="rect">
                      <a:avLst/>
                    </a:prstGeom>
                    <a:noFill/>
                    <a:ln w="9525">
                      <a:noFill/>
                      <a:miter lim="800000"/>
                      <a:headEnd/>
                      <a:tailEnd/>
                    </a:ln>
                  </pic:spPr>
                </pic:pic>
              </a:graphicData>
            </a:graphic>
          </wp:inline>
        </w:drawing>
      </w:r>
    </w:p>
    <w:p w:rsidR="000F5776" w:rsidRPr="000F5776" w:rsidRDefault="000F5776" w:rsidP="00A158F5">
      <w:pPr>
        <w:pStyle w:val="TableDescription"/>
        <w:spacing w:before="0" w:after="0"/>
      </w:pPr>
      <w:r w:rsidRPr="000F5776">
        <w:t xml:space="preserve">BID twice daily; DPP4 </w:t>
      </w:r>
      <w:proofErr w:type="spellStart"/>
      <w:r w:rsidRPr="000F5776">
        <w:t>dipeptidyl</w:t>
      </w:r>
      <w:proofErr w:type="spellEnd"/>
      <w:r w:rsidRPr="000F5776">
        <w:t xml:space="preserve"> peptidase 4; QD once daily. </w:t>
      </w:r>
    </w:p>
    <w:p w:rsidR="000F5776" w:rsidRPr="000F5776" w:rsidRDefault="000F5776" w:rsidP="00A158F5">
      <w:pPr>
        <w:pStyle w:val="TableDescription"/>
        <w:spacing w:before="0" w:after="0"/>
      </w:pPr>
      <w:r w:rsidRPr="000F5776">
        <w:t xml:space="preserve">Treatment A: 5 mg </w:t>
      </w:r>
      <w:proofErr w:type="spellStart"/>
      <w:r w:rsidRPr="000F5776">
        <w:t>saxagliptin</w:t>
      </w:r>
      <w:proofErr w:type="spellEnd"/>
      <w:r w:rsidRPr="000F5776">
        <w:t xml:space="preserve"> tablet administered QD for 7 days. </w:t>
      </w:r>
    </w:p>
    <w:p w:rsidR="000F5776" w:rsidRPr="000F5776" w:rsidRDefault="000F5776" w:rsidP="00A158F5">
      <w:pPr>
        <w:pStyle w:val="TableDescription"/>
        <w:spacing w:before="0" w:after="0"/>
      </w:pPr>
      <w:r w:rsidRPr="000F5776">
        <w:t xml:space="preserve">Treatment B: 2.5 mg </w:t>
      </w:r>
      <w:proofErr w:type="spellStart"/>
      <w:r w:rsidRPr="000F5776">
        <w:t>saxagliptin</w:t>
      </w:r>
      <w:proofErr w:type="spellEnd"/>
      <w:r w:rsidRPr="000F5776">
        <w:t xml:space="preserve"> tablet administered BID for 7 days. </w:t>
      </w:r>
    </w:p>
    <w:p w:rsidR="000F5776" w:rsidRPr="000F5776" w:rsidRDefault="000F5776" w:rsidP="00A158F5">
      <w:pPr>
        <w:pStyle w:val="TableDescription"/>
        <w:spacing w:before="0"/>
      </w:pPr>
      <w:r w:rsidRPr="000F5776">
        <w:t>The percentage of DPP4 inhibition was determined over 24 hours after drug administration on the morning of Day 7.</w:t>
      </w:r>
    </w:p>
    <w:p w:rsidR="00F51816" w:rsidRDefault="0068482B" w:rsidP="00A158F5">
      <w:r>
        <w:t>The findings of the TGA’s</w:t>
      </w:r>
      <w:r w:rsidRPr="0068482B">
        <w:t xml:space="preserve"> </w:t>
      </w:r>
      <w:r w:rsidR="000A57FF">
        <w:t>c</w:t>
      </w:r>
      <w:r w:rsidRPr="0068482B">
        <w:t xml:space="preserve">linical </w:t>
      </w:r>
      <w:r w:rsidR="000A57FF">
        <w:t>e</w:t>
      </w:r>
      <w:r w:rsidRPr="0068482B">
        <w:t xml:space="preserve">valuation </w:t>
      </w:r>
      <w:r w:rsidR="000A57FF">
        <w:t xml:space="preserve">report </w:t>
      </w:r>
      <w:r w:rsidRPr="0068482B">
        <w:t xml:space="preserve">support Study CV181152 in demonstrating the equivalence of </w:t>
      </w:r>
      <w:proofErr w:type="spellStart"/>
      <w:r w:rsidRPr="0068482B">
        <w:t>saxagliptin</w:t>
      </w:r>
      <w:proofErr w:type="spellEnd"/>
      <w:r w:rsidRPr="0068482B">
        <w:t xml:space="preserve"> 5 mg QD + </w:t>
      </w:r>
      <w:proofErr w:type="spellStart"/>
      <w:r w:rsidRPr="0068482B">
        <w:t>metformin</w:t>
      </w:r>
      <w:proofErr w:type="spellEnd"/>
      <w:r w:rsidRPr="0068482B">
        <w:t xml:space="preserve"> to </w:t>
      </w:r>
      <w:proofErr w:type="spellStart"/>
      <w:r w:rsidRPr="0068482B">
        <w:t>saxagliptin</w:t>
      </w:r>
      <w:proofErr w:type="spellEnd"/>
      <w:r w:rsidRPr="0068482B">
        <w:t xml:space="preserve"> </w:t>
      </w:r>
      <w:r w:rsidR="00F51816">
        <w:t xml:space="preserve">2.5 mg BID + </w:t>
      </w:r>
      <w:proofErr w:type="spellStart"/>
      <w:r w:rsidR="00F51816">
        <w:t>metformin</w:t>
      </w:r>
      <w:proofErr w:type="spellEnd"/>
      <w:r w:rsidR="00F51816">
        <w:t>, stating</w:t>
      </w:r>
    </w:p>
    <w:p w:rsidR="00F51816" w:rsidRPr="00A158F5" w:rsidRDefault="0068482B" w:rsidP="00A158F5">
      <w:pPr>
        <w:ind w:left="720"/>
        <w:rPr>
          <w:i/>
        </w:rPr>
      </w:pPr>
      <w:r w:rsidRPr="00A158F5">
        <w:rPr>
          <w:i/>
        </w:rPr>
        <w:t xml:space="preserve">“The </w:t>
      </w:r>
      <w:proofErr w:type="spellStart"/>
      <w:r w:rsidRPr="00A158F5">
        <w:rPr>
          <w:i/>
        </w:rPr>
        <w:t>pharmacodynamic</w:t>
      </w:r>
      <w:proofErr w:type="spellEnd"/>
      <w:r w:rsidRPr="00A158F5">
        <w:rPr>
          <w:i/>
        </w:rPr>
        <w:t xml:space="preserve"> response to the </w:t>
      </w:r>
      <w:proofErr w:type="spellStart"/>
      <w:r w:rsidRPr="00A158F5">
        <w:rPr>
          <w:i/>
        </w:rPr>
        <w:t>saxagliptin</w:t>
      </w:r>
      <w:proofErr w:type="spellEnd"/>
      <w:r w:rsidRPr="00A158F5">
        <w:rPr>
          <w:i/>
        </w:rPr>
        <w:t xml:space="preserve"> component of the FDC is not altered, in healthy adults, by the change from onc</w:t>
      </w:r>
      <w:r w:rsidR="000A57FF" w:rsidRPr="00A158F5">
        <w:rPr>
          <w:i/>
        </w:rPr>
        <w:t xml:space="preserve">e </w:t>
      </w:r>
      <w:r w:rsidRPr="00A158F5">
        <w:rPr>
          <w:i/>
        </w:rPr>
        <w:t>daily 5 mg administration in the morning to the 2.5 mg twice daily dosing of th</w:t>
      </w:r>
      <w:r w:rsidR="00F51816" w:rsidRPr="00A158F5">
        <w:rPr>
          <w:i/>
        </w:rPr>
        <w:t>e FDC product”</w:t>
      </w:r>
    </w:p>
    <w:p w:rsidR="00F51816" w:rsidRDefault="00F51816" w:rsidP="00A158F5">
      <w:r>
        <w:t>and that</w:t>
      </w:r>
    </w:p>
    <w:p w:rsidR="00F51816" w:rsidRPr="00A158F5" w:rsidRDefault="0068482B" w:rsidP="00A158F5">
      <w:pPr>
        <w:ind w:left="720"/>
        <w:rPr>
          <w:i/>
        </w:rPr>
      </w:pPr>
      <w:r w:rsidRPr="00A158F5">
        <w:rPr>
          <w:i/>
        </w:rPr>
        <w:t>“Response as measured by total DPP-4 inhibition and resultant enhancement of GLP-1 secretion over the 24 hou</w:t>
      </w:r>
      <w:r w:rsidR="00F51816" w:rsidRPr="00A158F5">
        <w:rPr>
          <w:i/>
        </w:rPr>
        <w:t>r dosing interval is unchanged”.</w:t>
      </w:r>
    </w:p>
    <w:p w:rsidR="008D235E" w:rsidRDefault="0068482B" w:rsidP="00A158F5">
      <w:r w:rsidRPr="0068482B">
        <w:t>Concerning the transferability of the results from healthy adults examined in Study CV181152 to the target pat</w:t>
      </w:r>
      <w:r w:rsidR="000A57FF">
        <w:t>ient population, the clinical evaluation report</w:t>
      </w:r>
      <w:r w:rsidR="008D235E">
        <w:t xml:space="preserve"> states</w:t>
      </w:r>
    </w:p>
    <w:p w:rsidR="0068482B" w:rsidRPr="00A158F5" w:rsidRDefault="0068482B" w:rsidP="00A158F5">
      <w:pPr>
        <w:ind w:left="720"/>
        <w:rPr>
          <w:i/>
        </w:rPr>
      </w:pPr>
      <w:r w:rsidRPr="00A158F5">
        <w:rPr>
          <w:i/>
        </w:rPr>
        <w:lastRenderedPageBreak/>
        <w:t>“Although demonstrated in healthy adults, it is reasonable to extrapolate this comparison of the once and twice</w:t>
      </w:r>
      <w:r w:rsidR="000A57FF" w:rsidRPr="00A158F5">
        <w:rPr>
          <w:i/>
        </w:rPr>
        <w:t xml:space="preserve"> </w:t>
      </w:r>
      <w:r w:rsidRPr="00A158F5">
        <w:rPr>
          <w:i/>
        </w:rPr>
        <w:t>daily regimens to the</w:t>
      </w:r>
      <w:r w:rsidR="00F51816" w:rsidRPr="00A158F5">
        <w:rPr>
          <w:i/>
        </w:rPr>
        <w:t xml:space="preserve"> therapeutic situation in T2DM”</w:t>
      </w:r>
      <w:r w:rsidRPr="00A158F5">
        <w:rPr>
          <w:i/>
        </w:rPr>
        <w:t xml:space="preserve">. </w:t>
      </w:r>
    </w:p>
    <w:p w:rsidR="008D235E" w:rsidRDefault="0068482B" w:rsidP="00A158F5">
      <w:r w:rsidRPr="0068482B">
        <w:t xml:space="preserve">The results from Study CV181152 are supported by the results of Study CV181080, which achieved its primary objective of demonstrating that the 2.5 mg BID regimen of </w:t>
      </w:r>
      <w:proofErr w:type="spellStart"/>
      <w:r w:rsidRPr="0068482B">
        <w:t>saxagliptin</w:t>
      </w:r>
      <w:proofErr w:type="spellEnd"/>
      <w:r w:rsidRPr="0068482B">
        <w:t xml:space="preserve"> produced a statistically significant reduction in HbA1c compared to placebo. This result was noted by the </w:t>
      </w:r>
      <w:r w:rsidR="0096285A">
        <w:t>c</w:t>
      </w:r>
      <w:r w:rsidRPr="0068482B">
        <w:t xml:space="preserve">linical </w:t>
      </w:r>
      <w:r w:rsidR="0096285A">
        <w:t>e</w:t>
      </w:r>
      <w:r w:rsidRPr="0068482B">
        <w:t>valuator who</w:t>
      </w:r>
      <w:r w:rsidR="008D235E">
        <w:t xml:space="preserve"> states that</w:t>
      </w:r>
    </w:p>
    <w:p w:rsidR="008D235E" w:rsidRPr="00A158F5" w:rsidRDefault="0068482B" w:rsidP="00A158F5">
      <w:pPr>
        <w:ind w:left="720"/>
        <w:rPr>
          <w:i/>
        </w:rPr>
      </w:pPr>
      <w:r w:rsidRPr="00A158F5">
        <w:rPr>
          <w:i/>
        </w:rPr>
        <w:t xml:space="preserve">“the submission provides adequate evidence (Study 080) that there is an additional effect compared to </w:t>
      </w:r>
      <w:proofErr w:type="spellStart"/>
      <w:r w:rsidRPr="00A158F5">
        <w:rPr>
          <w:i/>
        </w:rPr>
        <w:t>metformin</w:t>
      </w:r>
      <w:proofErr w:type="spellEnd"/>
      <w:r w:rsidRPr="00A158F5">
        <w:rPr>
          <w:i/>
        </w:rPr>
        <w:t xml:space="preserve"> alone, </w:t>
      </w:r>
      <w:r w:rsidR="00F51816" w:rsidRPr="00A158F5">
        <w:rPr>
          <w:i/>
        </w:rPr>
        <w:t>in terms of reduction of HbA1c”</w:t>
      </w:r>
      <w:r w:rsidR="008D235E" w:rsidRPr="00A158F5">
        <w:rPr>
          <w:i/>
        </w:rPr>
        <w:t>.</w:t>
      </w:r>
    </w:p>
    <w:p w:rsidR="0068482B" w:rsidRPr="0068482B" w:rsidRDefault="0068482B" w:rsidP="00A158F5">
      <w:r w:rsidRPr="0068482B">
        <w:t xml:space="preserve">While the magnitude of the placebo response was higher than anticipated, the change from baseline in HbA1c in Study CV181080 (-0.56%) was similar to that at Week 12 in other randomised controlled trials with </w:t>
      </w:r>
      <w:proofErr w:type="spellStart"/>
      <w:r w:rsidRPr="0068482B">
        <w:t>saxagliptin</w:t>
      </w:r>
      <w:proofErr w:type="spellEnd"/>
      <w:r w:rsidRPr="0068482B">
        <w:t xml:space="preserve"> as add-on to </w:t>
      </w:r>
      <w:proofErr w:type="spellStart"/>
      <w:r w:rsidRPr="0068482B">
        <w:t>metformin</w:t>
      </w:r>
      <w:proofErr w:type="spellEnd"/>
      <w:r w:rsidRPr="0068482B">
        <w:t xml:space="preserve"> (-0.74 in Study CV181014 [dose</w:t>
      </w:r>
      <w:r w:rsidR="002A31A1">
        <w:t xml:space="preserve"> </w:t>
      </w:r>
      <w:r w:rsidRPr="0068482B">
        <w:t>ranging trial], -0.61 in Study D1680C00001 [head</w:t>
      </w:r>
      <w:r w:rsidR="002A31A1">
        <w:t xml:space="preserve"> </w:t>
      </w:r>
      <w:r w:rsidRPr="0068482B">
        <w:t>to</w:t>
      </w:r>
      <w:r w:rsidR="002A31A1">
        <w:t xml:space="preserve"> </w:t>
      </w:r>
      <w:r w:rsidRPr="0068482B">
        <w:t>he</w:t>
      </w:r>
      <w:r w:rsidR="002A31A1">
        <w:t xml:space="preserve">ad versus </w:t>
      </w:r>
      <w:proofErr w:type="spellStart"/>
      <w:r w:rsidRPr="0068482B">
        <w:t>glipizide</w:t>
      </w:r>
      <w:proofErr w:type="spellEnd"/>
      <w:r w:rsidRPr="0068482B">
        <w:t xml:space="preserve"> trial], and -0.46 in Stu</w:t>
      </w:r>
      <w:r w:rsidR="002A31A1">
        <w:t>dy D1680C00002 [head to head versus</w:t>
      </w:r>
      <w:r w:rsidRPr="0068482B">
        <w:t xml:space="preserve"> </w:t>
      </w:r>
      <w:proofErr w:type="spellStart"/>
      <w:r w:rsidRPr="0068482B">
        <w:t>sitagliptin</w:t>
      </w:r>
      <w:proofErr w:type="spellEnd"/>
      <w:r w:rsidRPr="0068482B">
        <w:t xml:space="preserve"> trial]. Furthermore, treatment with </w:t>
      </w:r>
      <w:proofErr w:type="spellStart"/>
      <w:r w:rsidRPr="0068482B">
        <w:t>saxagliptin</w:t>
      </w:r>
      <w:proofErr w:type="spellEnd"/>
      <w:r w:rsidRPr="0068482B">
        <w:t xml:space="preserve"> 2.5 mg BID was also clinically relevant, as the percentage of individuals achieving an HbA1c &lt;7% in Study CV181080 (39%) was similar to that in Studies CV81014, Study D1680C00001, and Study D1680C00002 (33% to 44%). </w:t>
      </w:r>
    </w:p>
    <w:p w:rsidR="0068482B" w:rsidRPr="0068482B" w:rsidRDefault="0068482B" w:rsidP="00A158F5">
      <w:r w:rsidRPr="0068482B">
        <w:t xml:space="preserve">The </w:t>
      </w:r>
      <w:r w:rsidR="00F51816">
        <w:t>s</w:t>
      </w:r>
      <w:r w:rsidRPr="0068482B">
        <w:t xml:space="preserve">ponsor considers that the results of Study CV181152, supported by the results of Study CV181080, provide evidence that there will be no difference in clinical practice between the efficacy and safety of </w:t>
      </w:r>
      <w:proofErr w:type="spellStart"/>
      <w:r w:rsidRPr="0068482B">
        <w:t>saxagliptin</w:t>
      </w:r>
      <w:proofErr w:type="spellEnd"/>
      <w:r w:rsidRPr="0068482B">
        <w:t xml:space="preserve"> 2.5 mg BID + </w:t>
      </w:r>
      <w:proofErr w:type="spellStart"/>
      <w:r w:rsidRPr="0068482B">
        <w:t>metformin</w:t>
      </w:r>
      <w:proofErr w:type="spellEnd"/>
      <w:r w:rsidRPr="0068482B">
        <w:t xml:space="preserve"> compared to </w:t>
      </w:r>
      <w:proofErr w:type="spellStart"/>
      <w:r w:rsidRPr="0068482B">
        <w:t>saxagliptin</w:t>
      </w:r>
      <w:proofErr w:type="spellEnd"/>
      <w:r w:rsidRPr="0068482B">
        <w:t xml:space="preserve"> 5 mg QD + </w:t>
      </w:r>
      <w:proofErr w:type="spellStart"/>
      <w:r w:rsidRPr="0068482B">
        <w:t>metformin</w:t>
      </w:r>
      <w:proofErr w:type="spellEnd"/>
      <w:r w:rsidRPr="0068482B">
        <w:t>.</w:t>
      </w:r>
    </w:p>
    <w:p w:rsidR="00374115" w:rsidRDefault="008D235E" w:rsidP="00A158F5">
      <w:pPr>
        <w:pStyle w:val="Heading5"/>
      </w:pPr>
      <w:r w:rsidRPr="00A158F5">
        <w:t>Hier</w:t>
      </w:r>
      <w:r w:rsidR="00374115" w:rsidRPr="00A158F5">
        <w:t>archy</w:t>
      </w:r>
      <w:r w:rsidR="00374115">
        <w:t xml:space="preserve"> of treatment (</w:t>
      </w:r>
      <w:r w:rsidR="00A158F5">
        <w:t>r</w:t>
      </w:r>
      <w:r w:rsidR="00374115">
        <w:t>equest 4)</w:t>
      </w:r>
    </w:p>
    <w:p w:rsidR="008D235E" w:rsidRPr="008D235E" w:rsidRDefault="00B25801" w:rsidP="00A158F5">
      <w:r>
        <w:t xml:space="preserve">The Delegate noted </w:t>
      </w:r>
      <w:r w:rsidR="008D235E" w:rsidRPr="008D235E">
        <w:t>the issue of hierarchy of treatment is common to submissions of anti</w:t>
      </w:r>
      <w:r w:rsidR="009F22FB">
        <w:t xml:space="preserve"> </w:t>
      </w:r>
      <w:r w:rsidR="008D235E" w:rsidRPr="008D235E">
        <w:t xml:space="preserve">diabetic agents and the general approach is that such instructions be left to the relevant clinical management guidelines. The </w:t>
      </w:r>
      <w:r w:rsidR="00B86EA9">
        <w:t xml:space="preserve">sponsor believes that there are two </w:t>
      </w:r>
      <w:r w:rsidR="008D235E" w:rsidRPr="008D235E">
        <w:t xml:space="preserve">aspects that need be considered in relation to the Delegate’s request. </w:t>
      </w:r>
    </w:p>
    <w:p w:rsidR="008D51B6" w:rsidRDefault="00361749" w:rsidP="00A158F5">
      <w:pPr>
        <w:pStyle w:val="Heading6"/>
      </w:pPr>
      <w:r>
        <w:t>PI</w:t>
      </w:r>
      <w:r w:rsidR="008D51B6">
        <w:t xml:space="preserve"> versus </w:t>
      </w:r>
      <w:r w:rsidR="00A158F5" w:rsidRPr="00A158F5">
        <w:t>c</w:t>
      </w:r>
      <w:r w:rsidR="008D51B6" w:rsidRPr="00A158F5">
        <w:t>linical</w:t>
      </w:r>
      <w:r w:rsidR="008D51B6">
        <w:t xml:space="preserve"> </w:t>
      </w:r>
      <w:r w:rsidR="00A158F5">
        <w:t>g</w:t>
      </w:r>
      <w:r w:rsidR="008D51B6">
        <w:t>uidelines</w:t>
      </w:r>
    </w:p>
    <w:p w:rsidR="008D235E" w:rsidRPr="008D235E" w:rsidRDefault="008D235E" w:rsidP="00A158F5">
      <w:r w:rsidRPr="008D235E">
        <w:t xml:space="preserve">The </w:t>
      </w:r>
      <w:r w:rsidR="004A36B4">
        <w:t>s</w:t>
      </w:r>
      <w:r w:rsidRPr="008D235E">
        <w:t xml:space="preserve">ponsor has concerns that the introduction of specific instructions included in the </w:t>
      </w:r>
      <w:proofErr w:type="spellStart"/>
      <w:r w:rsidRPr="008D235E">
        <w:t>Kombiglyze</w:t>
      </w:r>
      <w:proofErr w:type="spellEnd"/>
      <w:r w:rsidRPr="008D235E">
        <w:t xml:space="preserve"> PI may cause confusion should the provided information be contrary to clinical guidelines. Clinical management guidelines are developed over time and evolve as experience with a disease state and therapeutic options are evaluated and assessed with the benefit of experience gained outside the context of a clinical trial setting. Any specific instructions regarding the hierarchy of treatment in the </w:t>
      </w:r>
      <w:proofErr w:type="spellStart"/>
      <w:r w:rsidRPr="008D235E">
        <w:t>Kombiglyze</w:t>
      </w:r>
      <w:proofErr w:type="spellEnd"/>
      <w:r w:rsidRPr="008D235E">
        <w:t xml:space="preserve"> PI could become obsolete and even contrary to best clinical practice. Consequently, the </w:t>
      </w:r>
      <w:r w:rsidR="004A36B4">
        <w:t>s</w:t>
      </w:r>
      <w:r w:rsidRPr="008D235E">
        <w:t xml:space="preserve">ponsor considers that the information provided in the </w:t>
      </w:r>
      <w:r w:rsidR="00F6064C">
        <w:t>‘</w:t>
      </w:r>
      <w:r w:rsidRPr="008D235E">
        <w:t>Clinical Trials</w:t>
      </w:r>
      <w:r w:rsidR="00F6064C">
        <w:t>’</w:t>
      </w:r>
      <w:r w:rsidRPr="008D235E">
        <w:t xml:space="preserve"> and </w:t>
      </w:r>
      <w:r w:rsidR="00F6064C">
        <w:t>‘</w:t>
      </w:r>
      <w:r w:rsidRPr="008D235E">
        <w:t>Dosage and Administration</w:t>
      </w:r>
      <w:r w:rsidR="00F6064C">
        <w:t>’</w:t>
      </w:r>
      <w:r w:rsidRPr="008D235E">
        <w:t xml:space="preserve"> sections of the </w:t>
      </w:r>
      <w:proofErr w:type="spellStart"/>
      <w:r w:rsidRPr="008D235E">
        <w:t>Kombiglyze</w:t>
      </w:r>
      <w:proofErr w:type="spellEnd"/>
      <w:r w:rsidRPr="008D235E">
        <w:t xml:space="preserve"> PI is adequate for ensuring the safe and appropriate use of the FDC in combination with insulin. </w:t>
      </w:r>
    </w:p>
    <w:p w:rsidR="008D51B6" w:rsidRDefault="008D235E" w:rsidP="00A158F5">
      <w:pPr>
        <w:pStyle w:val="Heading6"/>
      </w:pPr>
      <w:r w:rsidRPr="008D235E">
        <w:t xml:space="preserve">Clinical </w:t>
      </w:r>
      <w:r w:rsidR="00A158F5">
        <w:t>t</w:t>
      </w:r>
      <w:r w:rsidRPr="008D235E">
        <w:t>ria</w:t>
      </w:r>
      <w:r w:rsidR="008D51B6">
        <w:t>l</w:t>
      </w:r>
      <w:r w:rsidR="00A158F5">
        <w:t xml:space="preserve"> d</w:t>
      </w:r>
      <w:r w:rsidR="008D51B6">
        <w:t xml:space="preserve">esign versus </w:t>
      </w:r>
      <w:r w:rsidR="00A158F5">
        <w:t>c</w:t>
      </w:r>
      <w:r w:rsidR="008D51B6">
        <w:t>linical</w:t>
      </w:r>
      <w:r w:rsidR="00A158F5">
        <w:t xml:space="preserve"> </w:t>
      </w:r>
      <w:r w:rsidR="00A158F5" w:rsidRPr="00A158F5">
        <w:t>p</w:t>
      </w:r>
      <w:r w:rsidR="008D51B6" w:rsidRPr="00A158F5">
        <w:t>ractice</w:t>
      </w:r>
    </w:p>
    <w:p w:rsidR="0064212B" w:rsidRDefault="008D235E" w:rsidP="00A158F5">
      <w:r w:rsidRPr="008D235E">
        <w:t xml:space="preserve">The Delegate suggested that the design of the trial conducted using </w:t>
      </w:r>
      <w:proofErr w:type="spellStart"/>
      <w:r w:rsidRPr="008D235E">
        <w:t>saxagliptin</w:t>
      </w:r>
      <w:proofErr w:type="spellEnd"/>
      <w:r w:rsidRPr="008D235E">
        <w:t xml:space="preserve"> and </w:t>
      </w:r>
      <w:proofErr w:type="spellStart"/>
      <w:r w:rsidRPr="008D235E">
        <w:t>metformin</w:t>
      </w:r>
      <w:proofErr w:type="spellEnd"/>
      <w:r w:rsidRPr="008D235E">
        <w:t xml:space="preserve"> with insulin does not necessarily support the addition of insulin to the treatment regimen in patients having insufficient control with the FDC alone. However, the design of the trial assessing the use with insulin is in com</w:t>
      </w:r>
      <w:r w:rsidR="00F6064C">
        <w:t>pliance with EU</w:t>
      </w:r>
      <w:r w:rsidRPr="008D235E">
        <w:t xml:space="preserve"> guidance currently adopted by TGA. This guideline</w:t>
      </w:r>
      <w:r w:rsidR="004A36B4">
        <w:rPr>
          <w:rStyle w:val="FootnoteReference"/>
        </w:rPr>
        <w:footnoteReference w:id="10"/>
      </w:r>
      <w:r w:rsidRPr="008D235E">
        <w:t xml:space="preserve"> </w:t>
      </w:r>
      <w:r w:rsidR="0064212B">
        <w:t>states</w:t>
      </w:r>
      <w:r w:rsidR="004A36B4">
        <w:t>:</w:t>
      </w:r>
    </w:p>
    <w:p w:rsidR="0064212B" w:rsidRPr="00A158F5" w:rsidRDefault="008D235E" w:rsidP="00A158F5">
      <w:pPr>
        <w:ind w:left="720"/>
        <w:rPr>
          <w:i/>
        </w:rPr>
      </w:pPr>
      <w:r w:rsidRPr="00A158F5">
        <w:rPr>
          <w:i/>
        </w:rPr>
        <w:lastRenderedPageBreak/>
        <w:t xml:space="preserve">“Regarding </w:t>
      </w:r>
      <w:r w:rsidRPr="00A158F5">
        <w:rPr>
          <w:b/>
          <w:i/>
        </w:rPr>
        <w:t>combination with insulin</w:t>
      </w:r>
      <w:r w:rsidR="0064212B" w:rsidRPr="00A158F5">
        <w:rPr>
          <w:i/>
        </w:rPr>
        <w:t xml:space="preserve">, </w:t>
      </w:r>
      <w:r w:rsidRPr="00A158F5">
        <w:rPr>
          <w:i/>
        </w:rPr>
        <w:t xml:space="preserve">efficacy on </w:t>
      </w:r>
      <w:proofErr w:type="spellStart"/>
      <w:r w:rsidRPr="00A158F5">
        <w:rPr>
          <w:i/>
        </w:rPr>
        <w:t>glycaemic</w:t>
      </w:r>
      <w:proofErr w:type="spellEnd"/>
      <w:r w:rsidR="00F6064C" w:rsidRPr="00A158F5">
        <w:rPr>
          <w:i/>
        </w:rPr>
        <w:t xml:space="preserve"> control should be documented </w:t>
      </w:r>
      <w:proofErr w:type="spellStart"/>
      <w:r w:rsidR="00F6064C" w:rsidRPr="00A158F5">
        <w:rPr>
          <w:i/>
        </w:rPr>
        <w:t>vs</w:t>
      </w:r>
      <w:proofErr w:type="spellEnd"/>
      <w:r w:rsidR="00F6064C" w:rsidRPr="00A158F5">
        <w:rPr>
          <w:i/>
        </w:rPr>
        <w:t xml:space="preserve"> placebo, </w:t>
      </w:r>
      <w:proofErr w:type="spellStart"/>
      <w:r w:rsidR="00F6064C" w:rsidRPr="00A158F5">
        <w:rPr>
          <w:i/>
        </w:rPr>
        <w:t>ie</w:t>
      </w:r>
      <w:proofErr w:type="spellEnd"/>
      <w:r w:rsidR="00F6064C" w:rsidRPr="00A158F5">
        <w:rPr>
          <w:i/>
        </w:rPr>
        <w:t>.</w:t>
      </w:r>
      <w:r w:rsidRPr="00A158F5">
        <w:rPr>
          <w:i/>
        </w:rPr>
        <w:t xml:space="preserve"> insulin alone. Studies should be carried out in patients already treated with insulin for a time sufficient ensure that HbA1c levels are stable before the test drug is added to insulin (</w:t>
      </w:r>
      <w:proofErr w:type="spellStart"/>
      <w:r w:rsidRPr="00A158F5">
        <w:rPr>
          <w:i/>
        </w:rPr>
        <w:t>ie</w:t>
      </w:r>
      <w:proofErr w:type="spellEnd"/>
      <w:r w:rsidR="00F6064C" w:rsidRPr="00A158F5">
        <w:rPr>
          <w:i/>
        </w:rPr>
        <w:t>.</w:t>
      </w:r>
      <w:r w:rsidRPr="00A158F5">
        <w:rPr>
          <w:i/>
        </w:rPr>
        <w:t xml:space="preserve"> at least 2-3 months). The insulin dose will be maintained unchanged as far as possible during the double</w:t>
      </w:r>
      <w:r w:rsidR="00F6064C" w:rsidRPr="00A158F5">
        <w:rPr>
          <w:i/>
        </w:rPr>
        <w:t xml:space="preserve"> </w:t>
      </w:r>
      <w:r w:rsidRPr="00A158F5">
        <w:rPr>
          <w:i/>
        </w:rPr>
        <w:t>blind period (unless necessary for safety reasons), and the efficacy will primarily be evaluated on the evolution of HbA1c.</w:t>
      </w:r>
      <w:r w:rsidR="0064212B" w:rsidRPr="00A158F5">
        <w:rPr>
          <w:i/>
        </w:rPr>
        <w:t>”</w:t>
      </w:r>
    </w:p>
    <w:p w:rsidR="0064212B" w:rsidRDefault="008D235E" w:rsidP="00A158F5">
      <w:r w:rsidRPr="008D235E">
        <w:t>Th</w:t>
      </w:r>
      <w:r w:rsidR="0064212B">
        <w:t>e guideline further states that</w:t>
      </w:r>
    </w:p>
    <w:p w:rsidR="008D235E" w:rsidRPr="00A158F5" w:rsidRDefault="008D235E" w:rsidP="00A158F5">
      <w:pPr>
        <w:ind w:left="720"/>
        <w:rPr>
          <w:i/>
        </w:rPr>
      </w:pPr>
      <w:r w:rsidRPr="00A158F5">
        <w:rPr>
          <w:i/>
        </w:rPr>
        <w:t xml:space="preserve">“A comparative evaluation versus the combination of insulin plus an oral </w:t>
      </w:r>
      <w:proofErr w:type="spellStart"/>
      <w:r w:rsidRPr="00A158F5">
        <w:rPr>
          <w:i/>
        </w:rPr>
        <w:t>antidiabetic</w:t>
      </w:r>
      <w:proofErr w:type="spellEnd"/>
      <w:r w:rsidRPr="00A158F5">
        <w:rPr>
          <w:i/>
        </w:rPr>
        <w:t xml:space="preserve"> currently licensed in this indication may be required.” </w:t>
      </w:r>
    </w:p>
    <w:p w:rsidR="008D235E" w:rsidRPr="008D235E" w:rsidRDefault="008D235E" w:rsidP="00A158F5">
      <w:r w:rsidRPr="008D235E">
        <w:t xml:space="preserve">The </w:t>
      </w:r>
      <w:r w:rsidR="00F6064C">
        <w:t>s</w:t>
      </w:r>
      <w:r w:rsidRPr="008D235E">
        <w:t xml:space="preserve">ponsor agrees that in a strict interpretation of the study design guidance for the investigation to determine the efficacy and safety of </w:t>
      </w:r>
      <w:proofErr w:type="spellStart"/>
      <w:r w:rsidRPr="008D235E">
        <w:t>saxagliptin</w:t>
      </w:r>
      <w:proofErr w:type="spellEnd"/>
      <w:r w:rsidRPr="008D235E">
        <w:t xml:space="preserve"> and </w:t>
      </w:r>
      <w:proofErr w:type="spellStart"/>
      <w:r w:rsidRPr="008D235E">
        <w:t>metformin</w:t>
      </w:r>
      <w:proofErr w:type="spellEnd"/>
      <w:r w:rsidRPr="008D235E">
        <w:t xml:space="preserve"> in combination with insulin, the use of the FDC as add</w:t>
      </w:r>
      <w:r w:rsidR="00827906">
        <w:t xml:space="preserve"> </w:t>
      </w:r>
      <w:r w:rsidRPr="008D235E">
        <w:t>on to insulin is problematic given usual clinical practice/hierarchy of treatment. However, in recognition of the difficulties in conducting trials of other agents in patients requiring insulin, the current (but not TGA adopted) EU guideline</w:t>
      </w:r>
      <w:r w:rsidR="00827906">
        <w:rPr>
          <w:rStyle w:val="FootnoteReference"/>
        </w:rPr>
        <w:footnoteReference w:id="11"/>
      </w:r>
      <w:r w:rsidR="00827906">
        <w:t xml:space="preserve"> </w:t>
      </w:r>
      <w:r w:rsidRPr="008D235E">
        <w:t xml:space="preserve">proposes a trial design consistent with Study CV181057 conducted by the </w:t>
      </w:r>
      <w:r w:rsidR="00827906">
        <w:t>s</w:t>
      </w:r>
      <w:r w:rsidRPr="008D235E">
        <w:t xml:space="preserve">ponsor and which is considered appropriate for supporting an indication of ‘combination with insulin’. In view of the current TGA adopted EU guideline and the approach described in the revised document (although not yet adopted by TGA), the </w:t>
      </w:r>
      <w:r w:rsidR="00A656FB">
        <w:t>s</w:t>
      </w:r>
      <w:r w:rsidRPr="008D235E">
        <w:t xml:space="preserve">ponsor considers that a general ‘in combination’ indication is supported by the trial conducted. Consequently, the trial conducted would appear to address the Delegate’s concern regarding the hierarchy for utilisation of the FDC with insulin, and therefore specific clinical guidance need not be set out in the PI document. </w:t>
      </w:r>
    </w:p>
    <w:p w:rsidR="008D235E" w:rsidRPr="00A158F5" w:rsidRDefault="008D235E" w:rsidP="00A158F5">
      <w:pPr>
        <w:ind w:left="720"/>
        <w:rPr>
          <w:i/>
        </w:rPr>
      </w:pPr>
      <w:r w:rsidRPr="00A158F5">
        <w:rPr>
          <w:i/>
        </w:rPr>
        <w:t>“Combination therapy of glucose</w:t>
      </w:r>
      <w:r w:rsidR="00A656FB" w:rsidRPr="00A158F5">
        <w:rPr>
          <w:i/>
        </w:rPr>
        <w:t xml:space="preserve"> </w:t>
      </w:r>
      <w:r w:rsidRPr="00A158F5">
        <w:rPr>
          <w:i/>
        </w:rPr>
        <w:t>lowering agents with insulin may occur in different clinical situations and patient populations. Most frequently, insulin therapy is introduced in patients inadequately controlled on other glucose lowering agents. In this case, some or all of the previous agents may be discontinued and insulin is initiated. Less frequently, patients already receiving insulin may benefit from adding another glucose</w:t>
      </w:r>
      <w:r w:rsidR="00A656FB" w:rsidRPr="00A158F5">
        <w:rPr>
          <w:i/>
        </w:rPr>
        <w:t xml:space="preserve"> </w:t>
      </w:r>
      <w:r w:rsidRPr="00A158F5">
        <w:rPr>
          <w:i/>
        </w:rPr>
        <w:t xml:space="preserve">lowering agent. Reasons for such consideration may be frequent and especially severe hypoglycaemic events preventing the desired level of </w:t>
      </w:r>
      <w:proofErr w:type="spellStart"/>
      <w:r w:rsidRPr="00A158F5">
        <w:rPr>
          <w:i/>
        </w:rPr>
        <w:t>glycaemic</w:t>
      </w:r>
      <w:proofErr w:type="spellEnd"/>
      <w:r w:rsidRPr="00A158F5">
        <w:rPr>
          <w:i/>
        </w:rPr>
        <w:t xml:space="preserve"> control or insulin</w:t>
      </w:r>
      <w:r w:rsidR="00A656FB" w:rsidRPr="00A158F5">
        <w:rPr>
          <w:i/>
        </w:rPr>
        <w:t xml:space="preserve"> </w:t>
      </w:r>
      <w:r w:rsidRPr="00A158F5">
        <w:rPr>
          <w:i/>
        </w:rPr>
        <w:t xml:space="preserve">induced weight gain in already obese patients. Overall, the most frequently used combination is insulin plus </w:t>
      </w:r>
      <w:proofErr w:type="spellStart"/>
      <w:r w:rsidRPr="00A158F5">
        <w:rPr>
          <w:i/>
        </w:rPr>
        <w:t>metformin</w:t>
      </w:r>
      <w:proofErr w:type="spellEnd"/>
      <w:r w:rsidRPr="00A158F5">
        <w:rPr>
          <w:i/>
        </w:rPr>
        <w:t xml:space="preserve">. </w:t>
      </w:r>
    </w:p>
    <w:p w:rsidR="008D235E" w:rsidRPr="00A158F5" w:rsidRDefault="008D235E" w:rsidP="00A158F5">
      <w:pPr>
        <w:ind w:left="720"/>
        <w:rPr>
          <w:i/>
        </w:rPr>
      </w:pPr>
      <w:r w:rsidRPr="00A158F5">
        <w:rPr>
          <w:i/>
        </w:rPr>
        <w:t xml:space="preserve">Even though a study in which insulin is initiated in patients not reaching </w:t>
      </w:r>
      <w:proofErr w:type="spellStart"/>
      <w:r w:rsidRPr="00A158F5">
        <w:rPr>
          <w:i/>
        </w:rPr>
        <w:t>glycaemic</w:t>
      </w:r>
      <w:proofErr w:type="spellEnd"/>
      <w:r w:rsidRPr="00A158F5">
        <w:rPr>
          <w:i/>
        </w:rPr>
        <w:t xml:space="preserve"> control with the test agent (alone or in combination with another glucose</w:t>
      </w:r>
      <w:r w:rsidR="00A656FB" w:rsidRPr="00A158F5">
        <w:rPr>
          <w:i/>
        </w:rPr>
        <w:t xml:space="preserve"> </w:t>
      </w:r>
      <w:r w:rsidRPr="00A158F5">
        <w:rPr>
          <w:i/>
        </w:rPr>
        <w:t xml:space="preserve">lowering agent, most likely </w:t>
      </w:r>
      <w:proofErr w:type="spellStart"/>
      <w:r w:rsidRPr="00A158F5">
        <w:rPr>
          <w:i/>
        </w:rPr>
        <w:t>metformin</w:t>
      </w:r>
      <w:proofErr w:type="spellEnd"/>
      <w:r w:rsidRPr="00A158F5">
        <w:rPr>
          <w:i/>
        </w:rPr>
        <w:t>) would reflect the most common clinical scenario, it is not expected to provide relevant data on the effect of the test drug in this setting. However, relevant safety information on the combined use of the test agent and insulin may be gained from such a study and</w:t>
      </w:r>
      <w:r w:rsidR="001F433E" w:rsidRPr="00A158F5">
        <w:rPr>
          <w:i/>
        </w:rPr>
        <w:t xml:space="preserve"> may be reflected in the PI</w:t>
      </w:r>
      <w:r w:rsidRPr="00A158F5">
        <w:rPr>
          <w:i/>
        </w:rPr>
        <w:t xml:space="preserve">. </w:t>
      </w:r>
    </w:p>
    <w:p w:rsidR="008D235E" w:rsidRPr="00A158F5" w:rsidRDefault="008D235E" w:rsidP="00A158F5">
      <w:pPr>
        <w:ind w:left="720"/>
        <w:rPr>
          <w:i/>
        </w:rPr>
      </w:pPr>
      <w:r w:rsidRPr="00A158F5">
        <w:rPr>
          <w:i/>
        </w:rPr>
        <w:t>For appropriate evaluation of both safety and efficacy of the test compound in combination with insulin, the test agent should be added in patients with type 2 diabetes inadequately controlled on a reasonable dose of insulin as single therapy or in c</w:t>
      </w:r>
      <w:r w:rsidR="00A656FB" w:rsidRPr="00A158F5">
        <w:rPr>
          <w:i/>
        </w:rPr>
        <w:t xml:space="preserve">ombination with another glucose </w:t>
      </w:r>
      <w:r w:rsidRPr="00A158F5">
        <w:rPr>
          <w:i/>
        </w:rPr>
        <w:t xml:space="preserve">lowering agent, typically </w:t>
      </w:r>
      <w:proofErr w:type="spellStart"/>
      <w:r w:rsidRPr="00A158F5">
        <w:rPr>
          <w:i/>
        </w:rPr>
        <w:t>metformin</w:t>
      </w:r>
      <w:proofErr w:type="spellEnd"/>
      <w:r w:rsidRPr="00A158F5">
        <w:rPr>
          <w:i/>
        </w:rPr>
        <w:t xml:space="preserve"> or both, if stratified. Treatment groups should be balanced with r</w:t>
      </w:r>
      <w:r w:rsidR="00A656FB" w:rsidRPr="00A158F5">
        <w:rPr>
          <w:i/>
        </w:rPr>
        <w:t>espect to insulin regimens (for</w:t>
      </w:r>
      <w:r w:rsidR="00A656FB">
        <w:t xml:space="preserve"> </w:t>
      </w:r>
      <w:r w:rsidR="00A656FB" w:rsidRPr="00A158F5">
        <w:rPr>
          <w:i/>
        </w:rPr>
        <w:t>example,</w:t>
      </w:r>
      <w:r w:rsidRPr="00A158F5">
        <w:rPr>
          <w:i/>
        </w:rPr>
        <w:t xml:space="preserve"> basal only v</w:t>
      </w:r>
      <w:r w:rsidR="00A656FB" w:rsidRPr="00A158F5">
        <w:rPr>
          <w:i/>
        </w:rPr>
        <w:t xml:space="preserve">ersus basal </w:t>
      </w:r>
      <w:r w:rsidRPr="00A158F5">
        <w:rPr>
          <w:i/>
        </w:rPr>
        <w:t xml:space="preserve">bolus regimen). In order to support a general claim “combination therapy with insulin”, the study population should represent a wide range of BMI and include a substantial percentage of patients with long </w:t>
      </w:r>
      <w:r w:rsidR="00A656FB" w:rsidRPr="00A158F5">
        <w:rPr>
          <w:i/>
        </w:rPr>
        <w:t xml:space="preserve">diabetes </w:t>
      </w:r>
      <w:r w:rsidR="00A656FB" w:rsidRPr="00A158F5">
        <w:rPr>
          <w:i/>
        </w:rPr>
        <w:lastRenderedPageBreak/>
        <w:t>duration (for example</w:t>
      </w:r>
      <w:r w:rsidRPr="00A158F5">
        <w:rPr>
          <w:i/>
        </w:rPr>
        <w:t xml:space="preserve"> ≥ 10 year) and elderly patients to adequately refle</w:t>
      </w:r>
      <w:r w:rsidR="00A656FB" w:rsidRPr="00A158F5">
        <w:rPr>
          <w:i/>
        </w:rPr>
        <w:t>ct the whole target population.”</w:t>
      </w:r>
    </w:p>
    <w:p w:rsidR="008D235E" w:rsidRPr="008D235E" w:rsidRDefault="008D235E" w:rsidP="00A158F5">
      <w:r w:rsidRPr="008D235E">
        <w:t xml:space="preserve">The </w:t>
      </w:r>
      <w:r w:rsidR="00FC0C93">
        <w:t>s</w:t>
      </w:r>
      <w:r w:rsidRPr="008D235E">
        <w:t xml:space="preserve">ponsor considers that the information provided in the </w:t>
      </w:r>
      <w:r w:rsidR="001F433E">
        <w:t>‘</w:t>
      </w:r>
      <w:r w:rsidRPr="008D235E">
        <w:t>Clinical Trials</w:t>
      </w:r>
      <w:r w:rsidR="001F433E">
        <w:t>’</w:t>
      </w:r>
      <w:r w:rsidRPr="008D235E">
        <w:t xml:space="preserve"> and </w:t>
      </w:r>
      <w:r w:rsidR="001F433E">
        <w:t>‘</w:t>
      </w:r>
      <w:r w:rsidRPr="008D235E">
        <w:t>Dosage and Administration</w:t>
      </w:r>
      <w:r w:rsidR="001F433E">
        <w:t>’</w:t>
      </w:r>
      <w:r w:rsidRPr="008D235E">
        <w:t xml:space="preserve"> sections of the </w:t>
      </w:r>
      <w:proofErr w:type="spellStart"/>
      <w:r w:rsidRPr="008D235E">
        <w:t>Kombiglyze</w:t>
      </w:r>
      <w:proofErr w:type="spellEnd"/>
      <w:r w:rsidRPr="008D235E">
        <w:t xml:space="preserve"> PI is adequate for ensuring the safe and appropriate use of the FDC in combination with insulin. </w:t>
      </w:r>
    </w:p>
    <w:p w:rsidR="008D235E" w:rsidRDefault="008D235E" w:rsidP="00A158F5">
      <w:pPr>
        <w:pStyle w:val="Heading5"/>
      </w:pPr>
      <w:r w:rsidRPr="00A158F5">
        <w:t>Amendments</w:t>
      </w:r>
      <w:r>
        <w:t xml:space="preserve"> to carton labels (</w:t>
      </w:r>
      <w:r w:rsidR="00A158F5">
        <w:t>r</w:t>
      </w:r>
      <w:r>
        <w:t>equest 5)</w:t>
      </w:r>
    </w:p>
    <w:p w:rsidR="008D235E" w:rsidRPr="008D235E" w:rsidRDefault="008D235E" w:rsidP="00A158F5">
      <w:r w:rsidRPr="008D235E">
        <w:t xml:space="preserve">The Delegate noted that RMP evaluators raised the issue of medication errors and recommended an alternative name or the addition of ‘immediate release’ on the product label. The </w:t>
      </w:r>
      <w:r w:rsidR="00357F47">
        <w:t>s</w:t>
      </w:r>
      <w:r w:rsidRPr="008D235E">
        <w:t>ponsor considers that the potential for medication errors is minimal; therefore, the addition of a proposed trade name or ‘immediate release’ to the product label (carton and foil) is not necessary. The RMP evaluator also raised concerns of potential confusion with the product proposed for registration in Australia with products registered in other jurisdictions (</w:t>
      </w:r>
      <w:proofErr w:type="spellStart"/>
      <w:r w:rsidRPr="008D235E">
        <w:t>Komboglyze</w:t>
      </w:r>
      <w:proofErr w:type="spellEnd"/>
      <w:r w:rsidRPr="008D235E">
        <w:t xml:space="preserve"> in Europe and Canada, </w:t>
      </w:r>
      <w:proofErr w:type="spellStart"/>
      <w:r w:rsidRPr="008D235E">
        <w:t>Kombiglyze</w:t>
      </w:r>
      <w:proofErr w:type="spellEnd"/>
      <w:r w:rsidRPr="008D235E">
        <w:t xml:space="preserve"> XR in the </w:t>
      </w:r>
      <w:r w:rsidR="001F433E">
        <w:t>US</w:t>
      </w:r>
      <w:r w:rsidRPr="008D235E">
        <w:t xml:space="preserve">). The </w:t>
      </w:r>
      <w:r w:rsidR="00B4287C">
        <w:t>s</w:t>
      </w:r>
      <w:r w:rsidRPr="008D235E">
        <w:t xml:space="preserve">ponsor considers the probability of any such errors to be extremely low, and the trade name proposed is suitable for use when considered in the context of the trade names of other products registered for use in Australia. </w:t>
      </w:r>
    </w:p>
    <w:p w:rsidR="008D235E" w:rsidRPr="008D235E" w:rsidRDefault="008D235E" w:rsidP="00A158F5">
      <w:r w:rsidRPr="008D235E">
        <w:t xml:space="preserve">The </w:t>
      </w:r>
      <w:r w:rsidR="00B4287C">
        <w:t>s</w:t>
      </w:r>
      <w:r w:rsidRPr="008D235E">
        <w:t>ponsor also considers the request for the inclusion of ‘immediate release’ on the carton to be inconsistent with the TGA requirements outlined in Therapeutic Goods Order No. 69 “General requirements for labels for medicines” (TGO 69) (April 2009) and the “Best practice guideline on prescription medicine labelling” (January 2011). The TGO 69 requirement for the labelling of products is to include the ‘name of the dosage form’ as a word or words denoting the usual name of the dosage form, in this instance ‘tablets’ as per the Australian Approved Names List. Differentiation of dosage forms is usually reserved for tablets that exhibit certain characteristic such as dispersible, enteric</w:t>
      </w:r>
      <w:r w:rsidR="00725598">
        <w:t xml:space="preserve"> </w:t>
      </w:r>
      <w:r w:rsidRPr="008D235E">
        <w:t xml:space="preserve">coated, modified release formulations using the appropriate term from the Australian Approved Names List. However, there is no Australian approved term for ‘immediate release’ tablets other than tablets. </w:t>
      </w:r>
    </w:p>
    <w:p w:rsidR="008D235E" w:rsidRPr="008D235E" w:rsidRDefault="008D235E" w:rsidP="00A158F5">
      <w:r w:rsidRPr="008D235E">
        <w:t xml:space="preserve">The </w:t>
      </w:r>
      <w:r w:rsidR="00FC0C93">
        <w:t>s</w:t>
      </w:r>
      <w:r w:rsidRPr="008D235E">
        <w:t xml:space="preserve">ponsor acknowledges that an application is currently under review by TGA for a modified release formulation of </w:t>
      </w:r>
      <w:proofErr w:type="spellStart"/>
      <w:r w:rsidRPr="008D235E">
        <w:t>saxagliptin</w:t>
      </w:r>
      <w:proofErr w:type="spellEnd"/>
      <w:r w:rsidRPr="008D235E">
        <w:t xml:space="preserve"> and </w:t>
      </w:r>
      <w:proofErr w:type="spellStart"/>
      <w:r w:rsidRPr="008D235E">
        <w:t>metformin</w:t>
      </w:r>
      <w:proofErr w:type="spellEnd"/>
      <w:r w:rsidRPr="008D235E">
        <w:t xml:space="preserve"> with the currently proposed trade name of </w:t>
      </w:r>
      <w:proofErr w:type="spellStart"/>
      <w:r w:rsidRPr="008D235E">
        <w:t>Kombiglyze</w:t>
      </w:r>
      <w:proofErr w:type="spellEnd"/>
      <w:r w:rsidRPr="008D235E">
        <w:t xml:space="preserve"> XR. Given that the </w:t>
      </w:r>
      <w:proofErr w:type="spellStart"/>
      <w:r w:rsidRPr="008D235E">
        <w:t>Kombiglyze</w:t>
      </w:r>
      <w:proofErr w:type="spellEnd"/>
      <w:r w:rsidRPr="008D235E">
        <w:t xml:space="preserve"> XR application is under review, the </w:t>
      </w:r>
      <w:r w:rsidR="00FC0C93">
        <w:t>s</w:t>
      </w:r>
      <w:r w:rsidRPr="008D235E">
        <w:t xml:space="preserve">ponsor believes that the proposal to include ‘immediate release’ on the label has the potential to cause confusion in the absence of a modified release formulation, as per the usual practice of TGA to differentiate by use of a term such as ‘modified release’ as described above. </w:t>
      </w:r>
    </w:p>
    <w:p w:rsidR="008D235E" w:rsidRDefault="008D235E" w:rsidP="00A158F5">
      <w:pPr>
        <w:pStyle w:val="Heading5"/>
      </w:pPr>
      <w:r w:rsidRPr="00A158F5">
        <w:t>Conclusion</w:t>
      </w:r>
    </w:p>
    <w:p w:rsidR="008D235E" w:rsidRPr="008D235E" w:rsidRDefault="008D235E" w:rsidP="00A158F5">
      <w:r w:rsidRPr="008D235E">
        <w:t xml:space="preserve">The </w:t>
      </w:r>
      <w:r>
        <w:t>s</w:t>
      </w:r>
      <w:r w:rsidRPr="008D235E">
        <w:t xml:space="preserve">ponsor notes the recommendations of the Clinical Evaluator and Delegate that the submission supports registration of the proposed FDC of </w:t>
      </w:r>
      <w:proofErr w:type="spellStart"/>
      <w:r w:rsidRPr="008D235E">
        <w:t>saxagliptin</w:t>
      </w:r>
      <w:proofErr w:type="spellEnd"/>
      <w:r w:rsidRPr="008D235E">
        <w:t xml:space="preserve"> and </w:t>
      </w:r>
      <w:proofErr w:type="spellStart"/>
      <w:r w:rsidRPr="008D235E">
        <w:t>metformin</w:t>
      </w:r>
      <w:proofErr w:type="spellEnd"/>
      <w:r w:rsidRPr="008D235E">
        <w:t xml:space="preserve">, and considers that the proposed Indication and PI provide appropriate guidance to ensure the safe and appropriate use of </w:t>
      </w:r>
      <w:proofErr w:type="spellStart"/>
      <w:r w:rsidRPr="008D235E">
        <w:t>Kombiglyze</w:t>
      </w:r>
      <w:proofErr w:type="spellEnd"/>
      <w:r w:rsidRPr="008D235E">
        <w:t>.</w:t>
      </w:r>
    </w:p>
    <w:p w:rsidR="008E7846" w:rsidRDefault="008E7846" w:rsidP="00A158F5">
      <w:pPr>
        <w:pStyle w:val="Heading4"/>
      </w:pPr>
      <w:r>
        <w:t xml:space="preserve">Advisory </w:t>
      </w:r>
      <w:r w:rsidRPr="00A158F5">
        <w:t>Committee</w:t>
      </w:r>
      <w:r>
        <w:t xml:space="preserve"> </w:t>
      </w:r>
      <w:r w:rsidR="00A158F5">
        <w:t>c</w:t>
      </w:r>
      <w:r>
        <w:t>onsiderations</w:t>
      </w:r>
    </w:p>
    <w:p w:rsidR="008E7846" w:rsidRDefault="00A63398" w:rsidP="00A158F5">
      <w:r>
        <w:t xml:space="preserve">The </w:t>
      </w:r>
      <w:r w:rsidR="008E7846" w:rsidRPr="001C5DFC">
        <w:t>AC</w:t>
      </w:r>
      <w:r w:rsidR="00203923">
        <w:t>PM</w:t>
      </w:r>
      <w:r w:rsidR="008E7846">
        <w:t xml:space="preserve">, </w:t>
      </w:r>
      <w:r w:rsidR="00817356">
        <w:t>taking into account the submitted evidence of efficacy, safety and quality, agreed with the Delegate and considered these products to have an overall positive benefit-risk profile for the indication as proposed</w:t>
      </w:r>
      <w:r w:rsidR="008E7846">
        <w:t>:</w:t>
      </w:r>
    </w:p>
    <w:p w:rsidR="00817356" w:rsidRPr="00A158F5" w:rsidRDefault="00817356" w:rsidP="00A158F5">
      <w:pPr>
        <w:ind w:left="720"/>
        <w:rPr>
          <w:i/>
        </w:rPr>
      </w:pPr>
      <w:r w:rsidRPr="00A158F5">
        <w:rPr>
          <w:i/>
        </w:rPr>
        <w:t xml:space="preserve">As an adjunct to diet and exercise to improve </w:t>
      </w:r>
      <w:proofErr w:type="spellStart"/>
      <w:r w:rsidR="00D41613" w:rsidRPr="00A158F5">
        <w:rPr>
          <w:i/>
        </w:rPr>
        <w:t>glycaemic</w:t>
      </w:r>
      <w:proofErr w:type="spellEnd"/>
      <w:r w:rsidR="00D41613" w:rsidRPr="00A158F5">
        <w:rPr>
          <w:i/>
        </w:rPr>
        <w:t xml:space="preserve"> control in adults with type 2 diabetes mellitus when treatment with both </w:t>
      </w:r>
      <w:proofErr w:type="spellStart"/>
      <w:r w:rsidR="00D41613" w:rsidRPr="00A158F5">
        <w:rPr>
          <w:i/>
        </w:rPr>
        <w:t>saxagliptin</w:t>
      </w:r>
      <w:proofErr w:type="spellEnd"/>
      <w:r w:rsidR="00D41613" w:rsidRPr="00A158F5">
        <w:rPr>
          <w:i/>
        </w:rPr>
        <w:t xml:space="preserve"> and </w:t>
      </w:r>
      <w:proofErr w:type="spellStart"/>
      <w:r w:rsidR="00D41613" w:rsidRPr="00A158F5">
        <w:rPr>
          <w:i/>
        </w:rPr>
        <w:t>metformin</w:t>
      </w:r>
      <w:proofErr w:type="spellEnd"/>
      <w:r w:rsidR="00D41613" w:rsidRPr="00A158F5">
        <w:rPr>
          <w:i/>
        </w:rPr>
        <w:t xml:space="preserve"> is appropriate.</w:t>
      </w:r>
    </w:p>
    <w:p w:rsidR="00D41613" w:rsidRDefault="00D41613" w:rsidP="00A158F5">
      <w:r>
        <w:t>The proposed dosing instructions are also supported.</w:t>
      </w:r>
    </w:p>
    <w:p w:rsidR="00D41613" w:rsidRDefault="00F86AF6" w:rsidP="00A158F5">
      <w:pPr>
        <w:pStyle w:val="Heading5"/>
      </w:pPr>
      <w:r>
        <w:lastRenderedPageBreak/>
        <w:t>Proposed amendments to the PI/CMI</w:t>
      </w:r>
    </w:p>
    <w:p w:rsidR="00F86AF6" w:rsidRDefault="00F86AF6" w:rsidP="00A158F5">
      <w:r>
        <w:t>The ACPM agreed with the Delegate to the proposed amendme</w:t>
      </w:r>
      <w:r w:rsidR="00A63398">
        <w:t xml:space="preserve">nts to the </w:t>
      </w:r>
      <w:r>
        <w:t>PI and CMI and specifically advised on the inclusion of the following:</w:t>
      </w:r>
    </w:p>
    <w:p w:rsidR="00F86AF6" w:rsidRDefault="00F86AF6" w:rsidP="00A158F5">
      <w:pPr>
        <w:pStyle w:val="ListBullet"/>
      </w:pPr>
      <w:r>
        <w:t xml:space="preserve">a statement in </w:t>
      </w:r>
      <w:r w:rsidRPr="00A656FB">
        <w:t xml:space="preserve">the </w:t>
      </w:r>
      <w:r w:rsidR="00A656FB">
        <w:t>‘</w:t>
      </w:r>
      <w:r w:rsidRPr="00A656FB">
        <w:t>Precautions</w:t>
      </w:r>
      <w:r w:rsidR="00A656FB">
        <w:t>’</w:t>
      </w:r>
      <w:r w:rsidRPr="00A656FB">
        <w:t xml:space="preserve"> and </w:t>
      </w:r>
      <w:r w:rsidR="00A656FB">
        <w:t>‘</w:t>
      </w:r>
      <w:r w:rsidRPr="00A656FB">
        <w:t>Contraindications</w:t>
      </w:r>
      <w:r w:rsidR="00A656FB">
        <w:t>’</w:t>
      </w:r>
      <w:r w:rsidRPr="00A656FB">
        <w:t xml:space="preserve"> section of</w:t>
      </w:r>
      <w:r>
        <w:t xml:space="preserve"> the PI clarify the renal function contraindication which is not in line with Australian Prescriber advice, standard clinical practice, or international guidelines.</w:t>
      </w:r>
    </w:p>
    <w:p w:rsidR="00F86AF6" w:rsidRPr="00A322B3" w:rsidRDefault="00F86AF6" w:rsidP="00A158F5">
      <w:r>
        <w:t>The ACPM advised that the implementation by the sponsor of the recommendations outlined above to the satisfaction of the TGA, in addition to the evidence of efficacy and safety provided would support the safe and effective use of these products.</w:t>
      </w:r>
    </w:p>
    <w:p w:rsidR="008E7846" w:rsidRPr="002E238E" w:rsidRDefault="008E7846" w:rsidP="00A158F5">
      <w:pPr>
        <w:pStyle w:val="Heading3"/>
      </w:pPr>
      <w:bookmarkStart w:id="173" w:name="_Toc247691532"/>
      <w:bookmarkStart w:id="174" w:name="_Toc314842516"/>
      <w:bookmarkStart w:id="175" w:name="_Toc371598193"/>
      <w:bookmarkEnd w:id="131"/>
      <w:bookmarkEnd w:id="170"/>
      <w:bookmarkEnd w:id="171"/>
      <w:r w:rsidRPr="00A158F5">
        <w:t>Outcome</w:t>
      </w:r>
      <w:bookmarkEnd w:id="173"/>
      <w:bookmarkEnd w:id="174"/>
      <w:bookmarkEnd w:id="175"/>
    </w:p>
    <w:p w:rsidR="00120E4E" w:rsidRDefault="008E7846" w:rsidP="00A158F5">
      <w:r>
        <w:t>Based on a review of quality, safety and efficacy, T</w:t>
      </w:r>
      <w:r w:rsidR="00120E4E">
        <w:t>GA approved the registration of:</w:t>
      </w:r>
    </w:p>
    <w:p w:rsidR="00120E4E" w:rsidRDefault="00296143" w:rsidP="00A158F5">
      <w:pPr>
        <w:pStyle w:val="ListBullet"/>
      </w:pPr>
      <w:proofErr w:type="spellStart"/>
      <w:r w:rsidRPr="00D823DA">
        <w:rPr>
          <w:b/>
        </w:rPr>
        <w:t>Kombiglyze</w:t>
      </w:r>
      <w:proofErr w:type="spellEnd"/>
      <w:r w:rsidRPr="00D823DA">
        <w:rPr>
          <w:b/>
        </w:rPr>
        <w:t xml:space="preserve"> 2.5/1000</w:t>
      </w:r>
      <w:r>
        <w:t xml:space="preserve"> </w:t>
      </w:r>
      <w:proofErr w:type="spellStart"/>
      <w:r>
        <w:t>saxagliptin</w:t>
      </w:r>
      <w:proofErr w:type="spellEnd"/>
      <w:r>
        <w:t xml:space="preserve"> (as hydrochloride)/</w:t>
      </w:r>
      <w:proofErr w:type="spellStart"/>
      <w:r w:rsidRPr="00A158F5">
        <w:t>metformin</w:t>
      </w:r>
      <w:proofErr w:type="spellEnd"/>
      <w:r>
        <w:t xml:space="preserve"> hydrochloride 2.5 mg/1000 mg immediate-release film-coated tablet blister</w:t>
      </w:r>
    </w:p>
    <w:p w:rsidR="00D823DA" w:rsidRDefault="00D823DA" w:rsidP="00A158F5">
      <w:pPr>
        <w:pStyle w:val="ListBullet"/>
      </w:pPr>
      <w:proofErr w:type="spellStart"/>
      <w:r w:rsidRPr="00D823DA">
        <w:rPr>
          <w:b/>
        </w:rPr>
        <w:t>Kombiglyze</w:t>
      </w:r>
      <w:proofErr w:type="spellEnd"/>
      <w:r w:rsidRPr="00D823DA">
        <w:rPr>
          <w:b/>
        </w:rPr>
        <w:t xml:space="preserve"> 2.5/500</w:t>
      </w:r>
      <w:r>
        <w:t xml:space="preserve"> </w:t>
      </w:r>
      <w:proofErr w:type="spellStart"/>
      <w:r>
        <w:t>saxagliptin</w:t>
      </w:r>
      <w:proofErr w:type="spellEnd"/>
      <w:r>
        <w:t xml:space="preserve"> (as hydrochloride)/</w:t>
      </w:r>
      <w:proofErr w:type="spellStart"/>
      <w:r>
        <w:t>metformin</w:t>
      </w:r>
      <w:proofErr w:type="spellEnd"/>
      <w:r>
        <w:t xml:space="preserve"> </w:t>
      </w:r>
      <w:r w:rsidRPr="00A158F5">
        <w:t>hydrochloride</w:t>
      </w:r>
      <w:r>
        <w:t xml:space="preserve"> 2.5 mg/500 mg immediate-release film-coated tablet blister</w:t>
      </w:r>
    </w:p>
    <w:p w:rsidR="00D823DA" w:rsidRDefault="00D823DA" w:rsidP="00A158F5">
      <w:pPr>
        <w:pStyle w:val="ListBullet"/>
      </w:pPr>
      <w:proofErr w:type="spellStart"/>
      <w:r w:rsidRPr="00D823DA">
        <w:rPr>
          <w:b/>
        </w:rPr>
        <w:t>Kombiglyze</w:t>
      </w:r>
      <w:proofErr w:type="spellEnd"/>
      <w:r w:rsidRPr="00D823DA">
        <w:rPr>
          <w:b/>
        </w:rPr>
        <w:t xml:space="preserve"> 2.5/850</w:t>
      </w:r>
      <w:r>
        <w:t xml:space="preserve"> </w:t>
      </w:r>
      <w:proofErr w:type="spellStart"/>
      <w:r>
        <w:t>saxagliptin</w:t>
      </w:r>
      <w:proofErr w:type="spellEnd"/>
      <w:r>
        <w:t xml:space="preserve"> (as hydrochloride)/</w:t>
      </w:r>
      <w:proofErr w:type="spellStart"/>
      <w:r>
        <w:t>metformin</w:t>
      </w:r>
      <w:proofErr w:type="spellEnd"/>
      <w:r>
        <w:t xml:space="preserve"> </w:t>
      </w:r>
      <w:r w:rsidRPr="00A158F5">
        <w:t>hydrochloride</w:t>
      </w:r>
      <w:r>
        <w:t xml:space="preserve"> 2.5 mg/850 mg immediate-release film-coated tablet blister</w:t>
      </w:r>
    </w:p>
    <w:p w:rsidR="008E7846" w:rsidRDefault="008E7846" w:rsidP="00A158F5">
      <w:r>
        <w:t>indicated for:</w:t>
      </w:r>
    </w:p>
    <w:p w:rsidR="00120E4E" w:rsidRPr="00A158F5" w:rsidRDefault="00120E4E" w:rsidP="00A158F5">
      <w:pPr>
        <w:ind w:left="720"/>
        <w:rPr>
          <w:i/>
        </w:rPr>
      </w:pPr>
      <w:proofErr w:type="spellStart"/>
      <w:r w:rsidRPr="00A158F5">
        <w:rPr>
          <w:i/>
        </w:rPr>
        <w:t>Kombiglyze</w:t>
      </w:r>
      <w:proofErr w:type="spellEnd"/>
      <w:r w:rsidRPr="00A158F5">
        <w:rPr>
          <w:i/>
        </w:rPr>
        <w:t xml:space="preserve"> is indicated as an adjunct to diet and exercise to improve </w:t>
      </w:r>
      <w:proofErr w:type="spellStart"/>
      <w:r w:rsidRPr="00A158F5">
        <w:rPr>
          <w:i/>
        </w:rPr>
        <w:t>glycaemic</w:t>
      </w:r>
      <w:proofErr w:type="spellEnd"/>
      <w:r w:rsidRPr="00A158F5">
        <w:rPr>
          <w:i/>
        </w:rPr>
        <w:t xml:space="preserve"> control in adults with type 2 diabetes mellitus when treatment with both </w:t>
      </w:r>
      <w:proofErr w:type="spellStart"/>
      <w:r w:rsidRPr="00A158F5">
        <w:rPr>
          <w:i/>
        </w:rPr>
        <w:t>saxagliptin</w:t>
      </w:r>
      <w:proofErr w:type="spellEnd"/>
      <w:r w:rsidRPr="00A158F5">
        <w:rPr>
          <w:i/>
        </w:rPr>
        <w:t xml:space="preserve"> and </w:t>
      </w:r>
      <w:proofErr w:type="spellStart"/>
      <w:r w:rsidRPr="00A158F5">
        <w:rPr>
          <w:i/>
        </w:rPr>
        <w:t>metformin</w:t>
      </w:r>
      <w:proofErr w:type="spellEnd"/>
      <w:r w:rsidRPr="00A158F5">
        <w:rPr>
          <w:i/>
        </w:rPr>
        <w:t xml:space="preserve"> is appropriate.</w:t>
      </w:r>
    </w:p>
    <w:p w:rsidR="00120E4E" w:rsidRPr="0090249C" w:rsidRDefault="00120E4E" w:rsidP="00A158F5">
      <w:pPr>
        <w:pStyle w:val="Heading4"/>
      </w:pPr>
      <w:r w:rsidRPr="0090249C">
        <w:t>Specific conditions of registration appl</w:t>
      </w:r>
      <w:r>
        <w:t xml:space="preserve">ying to </w:t>
      </w:r>
      <w:r w:rsidRPr="00A158F5">
        <w:t>these</w:t>
      </w:r>
      <w:r>
        <w:t xml:space="preserve"> therapeutic goods</w:t>
      </w:r>
    </w:p>
    <w:p w:rsidR="00120E4E" w:rsidRDefault="00120E4E" w:rsidP="00A158F5">
      <w:r>
        <w:t xml:space="preserve">1. The implementation in Australia of the </w:t>
      </w:r>
      <w:proofErr w:type="spellStart"/>
      <w:r w:rsidR="008C559A">
        <w:t>Kombiglyze</w:t>
      </w:r>
      <w:proofErr w:type="spellEnd"/>
      <w:r w:rsidR="008C559A">
        <w:t xml:space="preserve"> (</w:t>
      </w:r>
      <w:proofErr w:type="spellStart"/>
      <w:r w:rsidR="008C559A">
        <w:t>saxagliptin</w:t>
      </w:r>
      <w:proofErr w:type="spellEnd"/>
      <w:r w:rsidR="008C559A">
        <w:t>/</w:t>
      </w:r>
      <w:proofErr w:type="spellStart"/>
      <w:r w:rsidR="008C559A">
        <w:t>metformin</w:t>
      </w:r>
      <w:proofErr w:type="spellEnd"/>
      <w:r w:rsidR="008C559A">
        <w:t>) 2.5 mg/500 mg, 2.5 mg/850 mg and 2.5 mg/1000 mg tablets RMP</w:t>
      </w:r>
      <w:r w:rsidR="00877D80">
        <w:t>,</w:t>
      </w:r>
      <w:r w:rsidR="008C559A">
        <w:t xml:space="preserve"> identified as EU-RMP Version 2 (dated 8 December 2011) and Australian Risk Management Activities (dated 26 March 2012), and any subsequent revisions as agreed with the TGA and its OPR</w:t>
      </w:r>
      <w:r>
        <w:t>.</w:t>
      </w:r>
    </w:p>
    <w:p w:rsidR="008E7846" w:rsidRDefault="004022FC" w:rsidP="00A158F5">
      <w:pPr>
        <w:pStyle w:val="Heading2"/>
      </w:pPr>
      <w:bookmarkStart w:id="176" w:name="_Toc247691533"/>
      <w:bookmarkStart w:id="177" w:name="_Toc314842517"/>
      <w:bookmarkStart w:id="178" w:name="_Toc371598194"/>
      <w:r>
        <w:t xml:space="preserve">Attachment 1. </w:t>
      </w:r>
      <w:r w:rsidR="008E7846" w:rsidRPr="00A158F5">
        <w:t>Product</w:t>
      </w:r>
      <w:r w:rsidR="008E7846">
        <w:t xml:space="preserve"> </w:t>
      </w:r>
      <w:r w:rsidR="00AA0ED0">
        <w:t>I</w:t>
      </w:r>
      <w:r w:rsidR="008E7846">
        <w:t>nformation</w:t>
      </w:r>
      <w:bookmarkEnd w:id="176"/>
      <w:bookmarkEnd w:id="177"/>
      <w:bookmarkEnd w:id="178"/>
    </w:p>
    <w:p w:rsidR="00C80137" w:rsidRDefault="00C80137" w:rsidP="00EB1A42">
      <w:pPr>
        <w:rPr>
          <w:color w:val="000000"/>
          <w:lang w:eastAsia="en-AU"/>
        </w:rPr>
      </w:pPr>
      <w:r w:rsidRPr="0037352E">
        <w:t xml:space="preserve">The Product Information approved at the time this </w:t>
      </w:r>
      <w:proofErr w:type="spellStart"/>
      <w:r w:rsidRPr="0037352E">
        <w:t>AusPAR</w:t>
      </w:r>
      <w:proofErr w:type="spellEnd"/>
      <w:r w:rsidRPr="0037352E">
        <w:t xml:space="preserve"> was published</w:t>
      </w:r>
      <w:r>
        <w:t xml:space="preserve"> is at Attachment 1</w:t>
      </w:r>
      <w:r w:rsidRPr="0037352E">
        <w:t xml:space="preserve">. For the </w:t>
      </w:r>
      <w:r>
        <w:t>most recent</w:t>
      </w:r>
      <w:r w:rsidRPr="0037352E">
        <w:t xml:space="preserve"> Product Information please refer to the TGA website at</w:t>
      </w:r>
      <w:r w:rsidR="008F6943">
        <w:t xml:space="preserve"> &lt;</w:t>
      </w:r>
      <w:hyperlink r:id="rId36" w:history="1">
        <w:r w:rsidR="00722B57" w:rsidRPr="00625A6E">
          <w:rPr>
            <w:rStyle w:val="Hyperlink"/>
          </w:rPr>
          <w:t>http://www.tga.gov.au/hp/information-medicines-pi.htm</w:t>
        </w:r>
      </w:hyperlink>
      <w:hyperlink w:history="1"/>
      <w:r w:rsidR="008F6943">
        <w:rPr>
          <w:color w:val="000000"/>
          <w:lang w:eastAsia="en-AU"/>
        </w:rPr>
        <w:t>&gt;.</w:t>
      </w:r>
    </w:p>
    <w:p w:rsidR="00C80137" w:rsidRPr="001D043B" w:rsidRDefault="004022FC" w:rsidP="00EB1A42">
      <w:pPr>
        <w:pStyle w:val="Heading2"/>
        <w:sectPr w:rsidR="00C80137" w:rsidRPr="001D043B" w:rsidSect="00B452CE">
          <w:headerReference w:type="even" r:id="rId37"/>
          <w:headerReference w:type="default" r:id="rId38"/>
          <w:footerReference w:type="default" r:id="rId39"/>
          <w:headerReference w:type="first" r:id="rId40"/>
          <w:footerReference w:type="first" r:id="rId41"/>
          <w:pgSz w:w="11906" w:h="16838" w:code="9"/>
          <w:pgMar w:top="834" w:right="1701" w:bottom="1191" w:left="1701" w:header="907" w:footer="216" w:gutter="0"/>
          <w:cols w:space="708"/>
          <w:docGrid w:linePitch="360"/>
        </w:sectPr>
      </w:pPr>
      <w:bookmarkStart w:id="179" w:name="_Toc371598195"/>
      <w:r>
        <w:rPr>
          <w:lang w:eastAsia="en-AU"/>
        </w:rPr>
        <w:t xml:space="preserve">Attachment 2. </w:t>
      </w:r>
      <w:r w:rsidR="00C80137">
        <w:rPr>
          <w:lang w:eastAsia="en-AU"/>
        </w:rPr>
        <w:t>Extract from the Clinical Evaluation Report</w:t>
      </w:r>
      <w:bookmarkEnd w:id="179"/>
      <w:r w:rsidR="00AD0083">
        <w:rPr>
          <w:lang w:eastAsia="ja-JP"/>
        </w:rPr>
        <w:t xml:space="preserve"> </w:t>
      </w:r>
    </w:p>
    <w:p w:rsidR="00774E1D" w:rsidRPr="008A5E0B" w:rsidRDefault="00774E1D" w:rsidP="009F6F2A"/>
    <w:sectPr w:rsidR="00774E1D" w:rsidRPr="008A5E0B" w:rsidSect="004C239D">
      <w:headerReference w:type="even" r:id="rId42"/>
      <w:headerReference w:type="default" r:id="rId43"/>
      <w:footerReference w:type="default" r:id="rId44"/>
      <w:headerReference w:type="first" r:id="rId45"/>
      <w:footerReference w:type="first" r:id="rId46"/>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77C9" w:rsidRDefault="00BE77C9" w:rsidP="00C40A36">
      <w:pPr>
        <w:spacing w:after="0"/>
      </w:pPr>
      <w:r>
        <w:separator/>
      </w:r>
    </w:p>
  </w:endnote>
  <w:endnote w:type="continuationSeparator" w:id="0">
    <w:p w:rsidR="00BE77C9" w:rsidRDefault="00BE77C9"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BE77C9" w:rsidRPr="00487162" w:rsidTr="0053625B">
      <w:trPr>
        <w:trHeight w:val="269"/>
      </w:trPr>
      <w:tc>
        <w:tcPr>
          <w:tcW w:w="7938" w:type="dxa"/>
          <w:tcMar>
            <w:top w:w="142" w:type="dxa"/>
            <w:bottom w:w="0" w:type="dxa"/>
          </w:tcMar>
        </w:tcPr>
        <w:p w:rsidR="00BE77C9" w:rsidRPr="00487162" w:rsidRDefault="00BE77C9" w:rsidP="0057345A">
          <w:pPr>
            <w:pStyle w:val="Footer"/>
          </w:pPr>
          <w:proofErr w:type="spellStart"/>
          <w:r w:rsidRPr="00487162">
            <w:t>AusPAR</w:t>
          </w:r>
          <w:proofErr w:type="spellEnd"/>
          <w:r w:rsidRPr="00487162">
            <w:t xml:space="preserve"> </w:t>
          </w:r>
          <w:proofErr w:type="spellStart"/>
          <w:r w:rsidR="007E610E" w:rsidRPr="007E610E">
            <w:t>Saxagliptin</w:t>
          </w:r>
          <w:proofErr w:type="spellEnd"/>
          <w:r w:rsidR="007E610E" w:rsidRPr="007E610E">
            <w:t xml:space="preserve"> / </w:t>
          </w:r>
          <w:proofErr w:type="spellStart"/>
          <w:r w:rsidR="007E610E" w:rsidRPr="007E610E">
            <w:t>metformin</w:t>
          </w:r>
          <w:proofErr w:type="spellEnd"/>
          <w:r w:rsidR="007E610E" w:rsidRPr="007E610E">
            <w:t xml:space="preserve"> hydrochloride</w:t>
          </w:r>
          <w:r>
            <w:t xml:space="preserve"> </w:t>
          </w:r>
          <w:r w:rsidRPr="009F4225">
            <w:t>Bristol-Myers Squibb Australia Pty Ltd</w:t>
          </w:r>
          <w:r w:rsidRPr="00487162">
            <w:t xml:space="preserve"> </w:t>
          </w:r>
          <w:r w:rsidRPr="009F4225">
            <w:t>PM-2012-00296-3-5</w:t>
          </w:r>
          <w:r>
            <w:br/>
            <w:t>Final 15 October 2013</w:t>
          </w:r>
        </w:p>
      </w:tc>
      <w:tc>
        <w:tcPr>
          <w:tcW w:w="923" w:type="dxa"/>
          <w:tcMar>
            <w:top w:w="142" w:type="dxa"/>
            <w:bottom w:w="0" w:type="dxa"/>
          </w:tcMar>
        </w:tcPr>
        <w:p w:rsidR="00BE77C9" w:rsidRPr="00487162" w:rsidRDefault="00BE77C9" w:rsidP="00D855D4">
          <w:pPr>
            <w:pStyle w:val="Footer"/>
            <w:jc w:val="right"/>
          </w:pPr>
          <w:r w:rsidRPr="00487162">
            <w:t xml:space="preserve">Page </w:t>
          </w:r>
          <w:r>
            <w:t>2</w:t>
          </w:r>
          <w:r w:rsidRPr="00487162">
            <w:t xml:space="preserve"> of </w:t>
          </w:r>
          <w:fldSimple w:instr=" NUMPAGES  \* Arabic ">
            <w:r w:rsidR="003E1FC4">
              <w:rPr>
                <w:noProof/>
              </w:rPr>
              <w:t>36</w:t>
            </w:r>
          </w:fldSimple>
        </w:p>
      </w:tc>
    </w:tr>
  </w:tbl>
  <w:p w:rsidR="00BE77C9" w:rsidRDefault="00BE77C9" w:rsidP="003D1E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931" w:type="dxa"/>
      <w:tblBorders>
        <w:top w:val="single" w:sz="4" w:space="0" w:color="auto"/>
      </w:tblBorders>
      <w:tblLayout w:type="fixed"/>
      <w:tblCellMar>
        <w:top w:w="170" w:type="dxa"/>
        <w:left w:w="0" w:type="dxa"/>
        <w:bottom w:w="170" w:type="dxa"/>
        <w:right w:w="0" w:type="dxa"/>
      </w:tblCellMar>
      <w:tblLook w:val="04A0"/>
    </w:tblPr>
    <w:tblGrid>
      <w:gridCol w:w="7797"/>
      <w:gridCol w:w="1134"/>
    </w:tblGrid>
    <w:tr w:rsidR="00BE77C9" w:rsidRPr="00487162" w:rsidTr="007E610E">
      <w:trPr>
        <w:trHeight w:val="269"/>
      </w:trPr>
      <w:tc>
        <w:tcPr>
          <w:tcW w:w="7797" w:type="dxa"/>
          <w:tcMar>
            <w:top w:w="142" w:type="dxa"/>
            <w:bottom w:w="0" w:type="dxa"/>
          </w:tcMar>
        </w:tcPr>
        <w:p w:rsidR="00BE77C9" w:rsidRPr="00487162" w:rsidRDefault="00BE77C9" w:rsidP="0057345A">
          <w:pPr>
            <w:pStyle w:val="Footer"/>
          </w:pPr>
          <w:proofErr w:type="spellStart"/>
          <w:r w:rsidRPr="00487162">
            <w:t>AusPAR</w:t>
          </w:r>
          <w:proofErr w:type="spellEnd"/>
          <w:r w:rsidRPr="00487162">
            <w:t xml:space="preserve"> </w:t>
          </w:r>
          <w:proofErr w:type="spellStart"/>
          <w:r w:rsidR="007E610E" w:rsidRPr="007E610E">
            <w:t>Saxagliptin</w:t>
          </w:r>
          <w:proofErr w:type="spellEnd"/>
          <w:r w:rsidR="007E610E" w:rsidRPr="007E610E">
            <w:t xml:space="preserve"> / </w:t>
          </w:r>
          <w:proofErr w:type="spellStart"/>
          <w:r w:rsidR="007E610E" w:rsidRPr="007E610E">
            <w:t>metformin</w:t>
          </w:r>
          <w:proofErr w:type="spellEnd"/>
          <w:r w:rsidR="007E610E" w:rsidRPr="007E610E">
            <w:t xml:space="preserve"> hydrochloride</w:t>
          </w:r>
          <w:r w:rsidR="00B97DEA">
            <w:t xml:space="preserve"> </w:t>
          </w:r>
          <w:r w:rsidRPr="009F4225">
            <w:t>Bristol-Myers Squibb Australia Pty Ltd</w:t>
          </w:r>
          <w:r w:rsidRPr="00487162">
            <w:t xml:space="preserve"> </w:t>
          </w:r>
          <w:r w:rsidRPr="009F4225">
            <w:t>PM-2012-00296-3-5</w:t>
          </w:r>
          <w:r>
            <w:br/>
            <w:t>Final 15 October 2013</w:t>
          </w:r>
        </w:p>
      </w:tc>
      <w:tc>
        <w:tcPr>
          <w:tcW w:w="1134" w:type="dxa"/>
          <w:tcMar>
            <w:top w:w="142" w:type="dxa"/>
            <w:bottom w:w="0" w:type="dxa"/>
          </w:tcMar>
        </w:tcPr>
        <w:p w:rsidR="00BE77C9" w:rsidRPr="00487162" w:rsidRDefault="00BE77C9" w:rsidP="008B7101">
          <w:pPr>
            <w:pStyle w:val="Footer"/>
            <w:jc w:val="right"/>
          </w:pPr>
          <w:r w:rsidRPr="00487162">
            <w:t xml:space="preserve">Page </w:t>
          </w:r>
          <w:fldSimple w:instr="PAGE">
            <w:r w:rsidR="003E1FC4">
              <w:rPr>
                <w:noProof/>
              </w:rPr>
              <w:t>35</w:t>
            </w:r>
          </w:fldSimple>
          <w:r w:rsidRPr="00487162">
            <w:t xml:space="preserve"> of </w:t>
          </w:r>
          <w:fldSimple w:instr=" NUMPAGES  \* Arabic ">
            <w:r w:rsidR="003E1FC4">
              <w:rPr>
                <w:noProof/>
              </w:rPr>
              <w:t>36</w:t>
            </w:r>
          </w:fldSimple>
        </w:p>
      </w:tc>
    </w:tr>
  </w:tbl>
  <w:p w:rsidR="00BE77C9" w:rsidRDefault="00BE77C9"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BE77C9" w:rsidRPr="00487162" w:rsidTr="00E45619">
      <w:trPr>
        <w:trHeight w:val="269"/>
      </w:trPr>
      <w:tc>
        <w:tcPr>
          <w:tcW w:w="4519" w:type="dxa"/>
          <w:tcBorders>
            <w:top w:val="single" w:sz="4" w:space="0" w:color="auto"/>
          </w:tcBorders>
          <w:tcMar>
            <w:top w:w="142" w:type="dxa"/>
            <w:bottom w:w="0" w:type="dxa"/>
          </w:tcMar>
        </w:tcPr>
        <w:p w:rsidR="00BE77C9" w:rsidRPr="00487162" w:rsidRDefault="00BE77C9" w:rsidP="00FE1DEE">
          <w:pPr>
            <w:pStyle w:val="Footer"/>
          </w:pPr>
          <w:r w:rsidRPr="00487162">
            <w:t>Document title, Part #, Section # - Section title</w:t>
          </w:r>
        </w:p>
        <w:p w:rsidR="00BE77C9" w:rsidRPr="00487162" w:rsidRDefault="00BE77C9" w:rsidP="00FE1DEE">
          <w:pPr>
            <w:pStyle w:val="Footer"/>
          </w:pPr>
          <w:r w:rsidRPr="00487162">
            <w:t>V1.0 October 2010</w:t>
          </w:r>
        </w:p>
      </w:tc>
      <w:tc>
        <w:tcPr>
          <w:tcW w:w="4342" w:type="dxa"/>
          <w:tcBorders>
            <w:top w:val="single" w:sz="4" w:space="0" w:color="auto"/>
          </w:tcBorders>
          <w:tcMar>
            <w:top w:w="142" w:type="dxa"/>
            <w:bottom w:w="0" w:type="dxa"/>
          </w:tcMar>
        </w:tcPr>
        <w:p w:rsidR="00BE77C9" w:rsidRPr="00487162" w:rsidRDefault="00BE77C9"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6</w:t>
            </w:r>
          </w:fldSimple>
        </w:p>
      </w:tc>
    </w:tr>
  </w:tbl>
  <w:p w:rsidR="00BE77C9" w:rsidRDefault="00BE77C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75" w:type="dxa"/>
      <w:tblInd w:w="-284" w:type="dxa"/>
      <w:tblLayout w:type="fixed"/>
      <w:tblCellMar>
        <w:left w:w="0" w:type="dxa"/>
        <w:right w:w="0" w:type="dxa"/>
      </w:tblCellMar>
      <w:tblLook w:val="04A0"/>
    </w:tblPr>
    <w:tblGrid>
      <w:gridCol w:w="9175"/>
    </w:tblGrid>
    <w:tr w:rsidR="00BE77C9" w:rsidRPr="00487162" w:rsidTr="00E45619">
      <w:trPr>
        <w:trHeight w:hRule="exact" w:val="704"/>
      </w:trPr>
      <w:tc>
        <w:tcPr>
          <w:tcW w:w="9175" w:type="dxa"/>
        </w:tcPr>
        <w:p w:rsidR="00BE77C9" w:rsidRPr="00487162" w:rsidRDefault="00BE77C9" w:rsidP="008E7846">
          <w:pPr>
            <w:pStyle w:val="TGASignoff"/>
          </w:pPr>
          <w:r w:rsidRPr="00487162">
            <w:t>Therapeutic Goods Administration</w:t>
          </w:r>
        </w:p>
      </w:tc>
    </w:tr>
    <w:tr w:rsidR="00BE77C9" w:rsidRPr="00487162" w:rsidTr="00E45619">
      <w:trPr>
        <w:trHeight w:val="1221"/>
      </w:trPr>
      <w:tc>
        <w:tcPr>
          <w:tcW w:w="9175" w:type="dxa"/>
          <w:tcMar>
            <w:top w:w="28" w:type="dxa"/>
          </w:tcMar>
        </w:tcPr>
        <w:p w:rsidR="00BE77C9" w:rsidRPr="00487162" w:rsidRDefault="00BE77C9" w:rsidP="00E45619">
          <w:pPr>
            <w:pStyle w:val="Address"/>
          </w:pPr>
          <w:r w:rsidRPr="00487162">
            <w:t>PO Box 100 Woden ACT 2606 Australia</w:t>
          </w:r>
        </w:p>
        <w:p w:rsidR="00BE77C9" w:rsidRPr="00487162" w:rsidRDefault="00BE77C9" w:rsidP="00E45619">
          <w:pPr>
            <w:pStyle w:val="Address"/>
          </w:pPr>
          <w:r w:rsidRPr="00487162">
            <w:t xml:space="preserve">Email: </w:t>
          </w:r>
          <w:hyperlink r:id="rId1" w:history="1">
            <w:r w:rsidRPr="004C239D">
              <w:rPr>
                <w:rStyle w:val="Hyperlink"/>
              </w:rPr>
              <w:t>info@tga.gov.au</w:t>
            </w:r>
          </w:hyperlink>
          <w:r>
            <w:t xml:space="preserve"> </w:t>
          </w:r>
          <w:r w:rsidRPr="00487162">
            <w:t>Phone: 1800 020 653</w:t>
          </w:r>
          <w:r>
            <w:t xml:space="preserve"> </w:t>
          </w:r>
          <w:r w:rsidRPr="00487162">
            <w:t>Fax: 02 6232 8605</w:t>
          </w:r>
        </w:p>
        <w:p w:rsidR="00BE77C9" w:rsidRPr="004C239D" w:rsidRDefault="00FB4F6A" w:rsidP="004C239D">
          <w:pPr>
            <w:pStyle w:val="Address"/>
            <w:spacing w:line="260" w:lineRule="atLeast"/>
            <w:rPr>
              <w:b/>
              <w:color w:val="0000FF"/>
              <w:u w:val="single"/>
            </w:rPr>
          </w:pPr>
          <w:hyperlink r:id="rId2" w:history="1">
            <w:r w:rsidR="00BE77C9" w:rsidRPr="00607888">
              <w:rPr>
                <w:rStyle w:val="Hyperlink"/>
                <w:b/>
              </w:rPr>
              <w:t>http://www.tga.gov.au</w:t>
            </w:r>
          </w:hyperlink>
        </w:p>
      </w:tc>
    </w:tr>
  </w:tbl>
  <w:p w:rsidR="00BE77C9" w:rsidRDefault="00BE77C9" w:rsidP="008E7846">
    <w:pPr>
      <w:pStyle w:val="Notes"/>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BE77C9" w:rsidTr="0010601F">
      <w:trPr>
        <w:trHeight w:val="108"/>
      </w:trPr>
      <w:tc>
        <w:tcPr>
          <w:tcW w:w="8875" w:type="dxa"/>
          <w:gridSpan w:val="2"/>
          <w:tcBorders>
            <w:bottom w:val="single" w:sz="4" w:space="0" w:color="auto"/>
          </w:tcBorders>
          <w:tcMar>
            <w:right w:w="284" w:type="dxa"/>
          </w:tcMar>
        </w:tcPr>
        <w:p w:rsidR="00BE77C9" w:rsidRDefault="00BE77C9" w:rsidP="006E08B3">
          <w:pPr>
            <w:pStyle w:val="Heading3"/>
          </w:pPr>
          <w:r>
            <w:t>Copyright</w:t>
          </w:r>
        </w:p>
        <w:p w:rsidR="00BE77C9" w:rsidRDefault="00BE77C9" w:rsidP="006E08B3">
          <w:r>
            <w:rPr>
              <w:rFonts w:cs="Arial"/>
            </w:rPr>
            <w:t>©</w:t>
          </w:r>
          <w:r>
            <w:t xml:space="preserve"> Commonwealth of Australia [add year]</w:t>
          </w:r>
        </w:p>
        <w:p w:rsidR="00BE77C9" w:rsidRDefault="00BE77C9" w:rsidP="006E08B3"/>
        <w:p w:rsidR="00BE77C9" w:rsidRDefault="00BE77C9"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BE77C9" w:rsidRDefault="00BE77C9" w:rsidP="006E08B3"/>
        <w:p w:rsidR="00BE77C9" w:rsidRDefault="00BE77C9" w:rsidP="006E08B3">
          <w:pPr>
            <w:pStyle w:val="Heading3"/>
          </w:pPr>
          <w:r>
            <w:t>Confidentiality</w:t>
          </w:r>
        </w:p>
        <w:p w:rsidR="00BE77C9" w:rsidRDefault="00BE77C9"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BE77C9" w:rsidRDefault="00BE77C9" w:rsidP="006E08B3"/>
        <w:p w:rsidR="00BE77C9" w:rsidRDefault="00BE77C9" w:rsidP="006E08B3">
          <w:r>
            <w:t>For submission made by individuals, all personal details, other than your name, will be removed from your submission before it is published on the TGA’s Internet site.</w:t>
          </w:r>
        </w:p>
        <w:p w:rsidR="00BE77C9" w:rsidRDefault="00BE77C9" w:rsidP="006E08B3"/>
        <w:p w:rsidR="00BE77C9" w:rsidRDefault="00BE77C9"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BE77C9" w:rsidTr="0010601F">
      <w:trPr>
        <w:trHeight w:val="417"/>
      </w:trPr>
      <w:tc>
        <w:tcPr>
          <w:tcW w:w="4519" w:type="dxa"/>
          <w:tcBorders>
            <w:top w:val="single" w:sz="4" w:space="0" w:color="auto"/>
          </w:tcBorders>
          <w:tcMar>
            <w:top w:w="142" w:type="dxa"/>
            <w:bottom w:w="0" w:type="dxa"/>
          </w:tcMar>
        </w:tcPr>
        <w:p w:rsidR="00BE77C9" w:rsidRDefault="00BE77C9" w:rsidP="006E08B3">
          <w:r>
            <w:t>Document title, Part #, Section # - Section title</w:t>
          </w:r>
        </w:p>
        <w:p w:rsidR="00BE77C9" w:rsidRDefault="00BE77C9" w:rsidP="006E08B3">
          <w:r>
            <w:t>V1.0 October 2010</w:t>
          </w:r>
        </w:p>
      </w:tc>
      <w:tc>
        <w:tcPr>
          <w:tcW w:w="4356" w:type="dxa"/>
          <w:tcBorders>
            <w:top w:val="single" w:sz="4" w:space="0" w:color="auto"/>
          </w:tcBorders>
          <w:tcMar>
            <w:top w:w="142" w:type="dxa"/>
            <w:bottom w:w="0" w:type="dxa"/>
          </w:tcMar>
        </w:tcPr>
        <w:p w:rsidR="00BE77C9" w:rsidRDefault="00BE77C9" w:rsidP="006E08B3">
          <w:pPr>
            <w:jc w:val="right"/>
          </w:pPr>
          <w:r>
            <w:t xml:space="preserve">Page </w:t>
          </w:r>
          <w:fldSimple w:instr=" PAGE   \* MERGEFORMAT ">
            <w:r>
              <w:rPr>
                <w:noProof/>
              </w:rPr>
              <w:t>1</w:t>
            </w:r>
          </w:fldSimple>
          <w:r>
            <w:t xml:space="preserve"> of </w:t>
          </w:r>
          <w:fldSimple w:instr=" NUMPAGES  \* Arabic ">
            <w:r>
              <w:rPr>
                <w:noProof/>
              </w:rPr>
              <w:t>6</w:t>
            </w:r>
          </w:fldSimple>
          <w:r>
            <w:t xml:space="preserve"> </w:t>
          </w:r>
        </w:p>
      </w:tc>
    </w:tr>
  </w:tbl>
  <w:p w:rsidR="00BE77C9" w:rsidRDefault="00BE77C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77C9" w:rsidRDefault="00BE77C9" w:rsidP="00C40A36">
      <w:pPr>
        <w:spacing w:after="0"/>
      </w:pPr>
      <w:r>
        <w:separator/>
      </w:r>
    </w:p>
  </w:footnote>
  <w:footnote w:type="continuationSeparator" w:id="0">
    <w:p w:rsidR="00BE77C9" w:rsidRDefault="00BE77C9" w:rsidP="00C40A36">
      <w:pPr>
        <w:spacing w:after="0"/>
      </w:pPr>
      <w:r>
        <w:continuationSeparator/>
      </w:r>
    </w:p>
  </w:footnote>
  <w:footnote w:id="1">
    <w:p w:rsidR="00BE77C9" w:rsidRPr="00BE77C9" w:rsidRDefault="00BE77C9" w:rsidP="00BE77C9">
      <w:pPr>
        <w:pStyle w:val="FootnoteText"/>
      </w:pPr>
      <w:r w:rsidRPr="00BE77C9">
        <w:rPr>
          <w:rStyle w:val="FootnoteReference"/>
        </w:rPr>
        <w:footnoteRef/>
      </w:r>
      <w:r w:rsidRPr="00BE77C9">
        <w:t xml:space="preserve"> </w:t>
      </w:r>
      <w:proofErr w:type="spellStart"/>
      <w:r w:rsidRPr="00BE77C9">
        <w:t>Saxagliptin</w:t>
      </w:r>
      <w:proofErr w:type="spellEnd"/>
      <w:r w:rsidRPr="00BE77C9">
        <w:t xml:space="preserve"> is present as </w:t>
      </w:r>
      <w:proofErr w:type="spellStart"/>
      <w:r w:rsidRPr="00BE77C9">
        <w:t>saxagliptin</w:t>
      </w:r>
      <w:proofErr w:type="spellEnd"/>
      <w:r w:rsidRPr="00BE77C9">
        <w:t xml:space="preserve"> hydrochloride which is formed in situ.</w:t>
      </w:r>
    </w:p>
  </w:footnote>
  <w:footnote w:id="2">
    <w:p w:rsidR="00BE77C9" w:rsidRPr="00BE77C9" w:rsidRDefault="00BE77C9" w:rsidP="00BE77C9">
      <w:pPr>
        <w:pStyle w:val="FootnoteText"/>
      </w:pPr>
      <w:r w:rsidRPr="00BE77C9">
        <w:rPr>
          <w:rStyle w:val="FootnoteReference"/>
        </w:rPr>
        <w:footnoteRef/>
      </w:r>
      <w:r w:rsidRPr="00BE77C9">
        <w:t xml:space="preserve"> European Medicines Agency, “Committee for Medicinal Products for Human Use (CHMP): Guideline on the Non-Clinical Development of Fixed Combinations of Medicinal Products (CHMP/EMEA/CHMP/SWP/258498/2005)”, 13 October 2005, Web, accessed 10 September 2013 &lt;www.ema.europa.eu/docs/en_GB/document_library/Scientific_guideline/2009/10/WC500003975.pdf&gt;.</w:t>
      </w:r>
    </w:p>
  </w:footnote>
  <w:footnote w:id="3">
    <w:p w:rsidR="00BE77C9" w:rsidRPr="00BE77C9" w:rsidRDefault="00BE77C9" w:rsidP="00BE77C9">
      <w:pPr>
        <w:pStyle w:val="FootnoteText"/>
      </w:pPr>
      <w:r w:rsidRPr="00BE77C9">
        <w:rPr>
          <w:rStyle w:val="FootnoteReference"/>
        </w:rPr>
        <w:footnoteRef/>
      </w:r>
      <w:r w:rsidRPr="00BE77C9">
        <w:t xml:space="preserve"> Note also that the </w:t>
      </w:r>
      <w:proofErr w:type="spellStart"/>
      <w:r w:rsidRPr="00BE77C9">
        <w:t>metformin</w:t>
      </w:r>
      <w:proofErr w:type="spellEnd"/>
      <w:r w:rsidRPr="00BE77C9">
        <w:t xml:space="preserve"> doses are in terms of base for animals and the hydrochloride salt for humans.</w:t>
      </w:r>
    </w:p>
  </w:footnote>
  <w:footnote w:id="4">
    <w:p w:rsidR="00BE77C9" w:rsidRPr="00734145" w:rsidRDefault="00BE77C9" w:rsidP="00734145">
      <w:pPr>
        <w:pStyle w:val="FootnoteText"/>
      </w:pPr>
      <w:r w:rsidRPr="00734145">
        <w:rPr>
          <w:rStyle w:val="FootnoteReference"/>
        </w:rPr>
        <w:footnoteRef/>
      </w:r>
      <w:r w:rsidRPr="00734145">
        <w:t xml:space="preserve"> </w:t>
      </w:r>
      <w:proofErr w:type="spellStart"/>
      <w:r w:rsidRPr="00734145">
        <w:t>Kombiglyze</w:t>
      </w:r>
      <w:proofErr w:type="spellEnd"/>
      <w:r w:rsidRPr="00734145">
        <w:t xml:space="preserve"> has the following Use in pregnancy statement in the PI: Category C. There are no adequate and well-controlled studies of </w:t>
      </w:r>
      <w:proofErr w:type="spellStart"/>
      <w:r w:rsidRPr="00734145">
        <w:t>Kombiglyze</w:t>
      </w:r>
      <w:proofErr w:type="spellEnd"/>
      <w:r w:rsidRPr="00734145">
        <w:t xml:space="preserve"> XR or its individual components in pregnant women. Because animal reproduction studies are not always predictive of human response, </w:t>
      </w:r>
      <w:proofErr w:type="spellStart"/>
      <w:r w:rsidRPr="00734145">
        <w:t>Kombiglyze</w:t>
      </w:r>
      <w:proofErr w:type="spellEnd"/>
      <w:r w:rsidRPr="00734145">
        <w:t xml:space="preserve"> XR, like other </w:t>
      </w:r>
      <w:proofErr w:type="spellStart"/>
      <w:r w:rsidRPr="00734145">
        <w:t>antidiabetic</w:t>
      </w:r>
      <w:proofErr w:type="spellEnd"/>
      <w:r w:rsidRPr="00734145">
        <w:t xml:space="preserve"> medications, should be used during pregnancy only if clearly needed. Refer to PI (Attachment 1) for further details.</w:t>
      </w:r>
    </w:p>
  </w:footnote>
  <w:footnote w:id="5">
    <w:p w:rsidR="00BE77C9" w:rsidRPr="00734145" w:rsidRDefault="00BE77C9" w:rsidP="00734145">
      <w:pPr>
        <w:pStyle w:val="FootnoteText"/>
      </w:pPr>
      <w:r w:rsidRPr="00734145">
        <w:rPr>
          <w:rStyle w:val="FootnoteReference"/>
        </w:rPr>
        <w:footnoteRef/>
      </w:r>
      <w:r w:rsidRPr="00734145">
        <w:t xml:space="preserve"> European Medicines Agency, “Committee for Medicinal Products for Human Use (CHMP): Guideline on Clinical Development of Fixed Combination Medicinal Products (CHMP/EWP/240/95 Rev. 1)”, 19 February 2009, Web, accessed 10 September 2013 &lt;www.ema.europa.eu/docs/en_GB/ </w:t>
      </w:r>
      <w:proofErr w:type="spellStart"/>
      <w:r w:rsidRPr="00734145">
        <w:t>document_library</w:t>
      </w:r>
      <w:proofErr w:type="spellEnd"/>
      <w:r w:rsidRPr="00734145">
        <w:t>/</w:t>
      </w:r>
      <w:proofErr w:type="spellStart"/>
      <w:r w:rsidRPr="00734145">
        <w:t>Scientific_guideline</w:t>
      </w:r>
      <w:proofErr w:type="spellEnd"/>
      <w:r w:rsidRPr="00734145">
        <w:t>/2009/09/WC500003686.pdf&gt;.</w:t>
      </w:r>
    </w:p>
  </w:footnote>
  <w:footnote w:id="6">
    <w:p w:rsidR="00BE77C9" w:rsidRPr="00734145" w:rsidRDefault="00BE77C9" w:rsidP="00734145">
      <w:pPr>
        <w:pStyle w:val="FootnoteText"/>
      </w:pPr>
      <w:r w:rsidRPr="00734145">
        <w:rPr>
          <w:rStyle w:val="FootnoteReference"/>
        </w:rPr>
        <w:footnoteRef/>
      </w:r>
      <w:r w:rsidRPr="00734145">
        <w:t xml:space="preserve"> European Medicines Agency, “Committee for Medicinal Products for Human Use (CHMP): Guideline on Clinical Development of Fixed Combination Medicinal Products (CHMP/EWP/240/95 Rev. 1)”, 19 February 2009, Web, accessed 10 September 2013 &lt;www.ema.europa.eu/docs/en_GB/ </w:t>
      </w:r>
      <w:proofErr w:type="spellStart"/>
      <w:r w:rsidRPr="00734145">
        <w:t>document_library</w:t>
      </w:r>
      <w:proofErr w:type="spellEnd"/>
      <w:r w:rsidRPr="00734145">
        <w:t>/</w:t>
      </w:r>
      <w:proofErr w:type="spellStart"/>
      <w:r w:rsidRPr="00734145">
        <w:t>Scientific_guideline</w:t>
      </w:r>
      <w:proofErr w:type="spellEnd"/>
      <w:r w:rsidRPr="00734145">
        <w:t>/2009/09/WC500003686.pdf&gt;.</w:t>
      </w:r>
    </w:p>
  </w:footnote>
  <w:footnote w:id="7">
    <w:p w:rsidR="00BE77C9" w:rsidRPr="00734145" w:rsidRDefault="00BE77C9" w:rsidP="00734145">
      <w:pPr>
        <w:pStyle w:val="FootnoteText"/>
      </w:pPr>
      <w:r w:rsidRPr="00734145">
        <w:rPr>
          <w:rStyle w:val="FootnoteReference"/>
        </w:rPr>
        <w:footnoteRef/>
      </w:r>
      <w:r w:rsidRPr="00734145">
        <w:t xml:space="preserve"> European Medicines Agency, “Committee for Medicinal Products for Human Use (CHMP): Guideline on Clinical Development of Fixed Combination Medicinal Products (CHMP/EWP/240/95 Rev. 1)”, 19 February 2009, Web, accessed 10 September 2013 &lt;www.ema.europa.eu/docs/en_GB/ </w:t>
      </w:r>
      <w:proofErr w:type="spellStart"/>
      <w:r w:rsidRPr="00734145">
        <w:t>document_library</w:t>
      </w:r>
      <w:proofErr w:type="spellEnd"/>
      <w:r w:rsidRPr="00734145">
        <w:t>/</w:t>
      </w:r>
      <w:proofErr w:type="spellStart"/>
      <w:r w:rsidRPr="00734145">
        <w:t>Scientific_guideline</w:t>
      </w:r>
      <w:proofErr w:type="spellEnd"/>
      <w:r w:rsidRPr="00734145">
        <w:t>/2009/09/WC500003686.pdf&gt;.</w:t>
      </w:r>
    </w:p>
  </w:footnote>
  <w:footnote w:id="8">
    <w:p w:rsidR="00BE77C9" w:rsidRPr="00734145" w:rsidRDefault="00BE77C9" w:rsidP="00734145">
      <w:pPr>
        <w:pStyle w:val="FootnoteText"/>
      </w:pPr>
      <w:r w:rsidRPr="00734145">
        <w:rPr>
          <w:rStyle w:val="FootnoteReference"/>
        </w:rPr>
        <w:footnoteRef/>
      </w:r>
      <w:r w:rsidRPr="00734145">
        <w:t xml:space="preserve"> European Medicines Agency, “Committee for Proprietary Medicinal Products (CPMP): Points to Consider on Application with 1. Meta-Analyses; 2. One Pivotal Study (CPMP/EWP/2330/99)”, 31 May 2001, Web, accessed 10 September 2013 &lt;www.ema.europa.eu/docs/en_GB/ </w:t>
      </w:r>
      <w:proofErr w:type="spellStart"/>
      <w:r w:rsidRPr="00734145">
        <w:t>document_library</w:t>
      </w:r>
      <w:proofErr w:type="spellEnd"/>
      <w:r w:rsidRPr="00734145">
        <w:t>/</w:t>
      </w:r>
      <w:proofErr w:type="spellStart"/>
      <w:r w:rsidRPr="00734145">
        <w:t>Scientific_guideline</w:t>
      </w:r>
      <w:proofErr w:type="spellEnd"/>
      <w:r w:rsidRPr="00734145">
        <w:t>/2009/09/WC500003657.pdf&gt;.</w:t>
      </w:r>
    </w:p>
  </w:footnote>
  <w:footnote w:id="9">
    <w:p w:rsidR="00BE77C9" w:rsidRPr="00E85125" w:rsidRDefault="00BE77C9" w:rsidP="00E85125">
      <w:pPr>
        <w:pStyle w:val="FootnoteText"/>
      </w:pPr>
      <w:r w:rsidRPr="00E85125">
        <w:rPr>
          <w:rStyle w:val="FootnoteReference"/>
        </w:rPr>
        <w:footnoteRef/>
      </w:r>
      <w:r w:rsidRPr="00E85125">
        <w:t xml:space="preserve"> The Australian Risk Minimisation Activities state that risk minimisation activities for </w:t>
      </w:r>
      <w:proofErr w:type="spellStart"/>
      <w:r w:rsidRPr="00E85125">
        <w:t>Saxagliptin</w:t>
      </w:r>
      <w:proofErr w:type="spellEnd"/>
      <w:r w:rsidRPr="00E85125">
        <w:t xml:space="preserve"> and </w:t>
      </w:r>
      <w:proofErr w:type="spellStart"/>
      <w:r w:rsidRPr="00E85125">
        <w:t>Metformin</w:t>
      </w:r>
      <w:proofErr w:type="spellEnd"/>
      <w:r w:rsidRPr="00E85125">
        <w:t xml:space="preserve"> </w:t>
      </w:r>
      <w:proofErr w:type="spellStart"/>
      <w:r w:rsidRPr="00E85125">
        <w:t>HCl</w:t>
      </w:r>
      <w:proofErr w:type="spellEnd"/>
      <w:r w:rsidRPr="00E85125">
        <w:t xml:space="preserve"> FDC will be conducted in accordance with the Global RMP and that there are no additional risk minimisation activities specific for Australia.</w:t>
      </w:r>
    </w:p>
  </w:footnote>
  <w:footnote w:id="10">
    <w:p w:rsidR="00BE77C9" w:rsidRPr="00A158F5" w:rsidRDefault="00BE77C9" w:rsidP="00A158F5">
      <w:pPr>
        <w:pStyle w:val="FootnoteText"/>
      </w:pPr>
      <w:r w:rsidRPr="00A158F5">
        <w:rPr>
          <w:vertAlign w:val="superscript"/>
        </w:rPr>
        <w:footnoteRef/>
      </w:r>
      <w:r w:rsidRPr="00A158F5">
        <w:t xml:space="preserve"> European Medicines Agency, “Committee for Proprietary Medicinal Products (CPMP): Note for Guidance on Clinical Investigation of Medicinal Products in the Treatment of Diabetes Mellitus (CPMP/EWP/1080/00)”,</w:t>
      </w:r>
      <w:r w:rsidRPr="00322BA0">
        <w:t xml:space="preserve"> </w:t>
      </w:r>
      <w:r>
        <w:t xml:space="preserve">30 </w:t>
      </w:r>
      <w:r w:rsidRPr="00A158F5">
        <w:t>May 2002, Web, accessed 10 September 2013 &lt;www.ema.europa.eu/ docs/en_GB/document_library/Scientific_guideline/2009/09/WC500003262.pdf&gt;.</w:t>
      </w:r>
    </w:p>
  </w:footnote>
  <w:footnote w:id="11">
    <w:p w:rsidR="00BE77C9" w:rsidRPr="00A158F5" w:rsidRDefault="00BE77C9" w:rsidP="00A158F5">
      <w:pPr>
        <w:pStyle w:val="FootnoteText"/>
      </w:pPr>
      <w:r w:rsidRPr="00A158F5">
        <w:rPr>
          <w:rStyle w:val="FootnoteReference"/>
        </w:rPr>
        <w:footnoteRef/>
      </w:r>
      <w:r w:rsidRPr="00A158F5">
        <w:t xml:space="preserve"> European Medicines Agency, “Committee for Medicinal Products for Human Use (CHMP): Guideline on clinical investigation of medicinal products in the treatment or prevention of diabetes mellitus (CPMP/EWP/1080/00 Rev. 1)”, 14 May 2012, Web, accessed 10 September 2013 &lt;www.ema.europa.eu/docs/en_GB/document_library/Scientific_guideline/2012/06/WC500129256.pdf&gt;.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7C9" w:rsidRDefault="00BE77C9"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7C9" w:rsidRDefault="007E610E">
    <w:pPr>
      <w:rPr>
        <w:noProof/>
        <w:lang w:eastAsia="en-AU"/>
      </w:rPr>
    </w:pPr>
    <w:r w:rsidRPr="007E610E">
      <w:rPr>
        <w:noProof/>
        <w:lang w:eastAsia="en-AU"/>
      </w:rPr>
      <w:drawing>
        <wp:anchor distT="0" distB="0" distL="114300" distR="114300" simplePos="0" relativeHeight="251659264" behindDoc="1" locked="0" layoutInCell="1" allowOverlap="1">
          <wp:simplePos x="0" y="0"/>
          <wp:positionH relativeFrom="column">
            <wp:posOffset>-1089660</wp:posOffset>
          </wp:positionH>
          <wp:positionV relativeFrom="paragraph">
            <wp:posOffset>-585470</wp:posOffset>
          </wp:positionV>
          <wp:extent cx="7572375" cy="10706100"/>
          <wp:effectExtent l="19050" t="0" r="9525" b="0"/>
          <wp:wrapNone/>
          <wp:docPr id="26"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herapeutic Goods Administration"/>
                  <pic:cNvPicPr>
                    <a:picLocks noChangeAspect="1" noChangeArrowheads="1"/>
                  </pic:cNvPicPr>
                </pic:nvPicPr>
                <pic:blipFill>
                  <a:blip r:embed="rId1" cstate="print"/>
                  <a:srcRect/>
                  <a:stretch>
                    <a:fillRect/>
                  </a:stretch>
                </pic:blipFill>
                <pic:spPr bwMode="auto">
                  <a:xfrm>
                    <a:off x="0" y="0"/>
                    <a:ext cx="7572375" cy="10706100"/>
                  </a:xfrm>
                  <a:prstGeom prst="rect">
                    <a:avLst/>
                  </a:prstGeom>
                  <a:noFill/>
                  <a:ln w="9525">
                    <a:noFill/>
                    <a:miter lim="800000"/>
                    <a:headEnd/>
                    <a:tailEnd/>
                  </a:ln>
                </pic:spPr>
              </pic:pic>
            </a:graphicData>
          </a:graphic>
        </wp:anchor>
      </w:drawing>
    </w:r>
  </w:p>
  <w:p w:rsidR="00BE77C9" w:rsidRDefault="00BE77C9" w:rsidP="00593AD1">
    <w:pPr>
      <w:pStyle w:val="HeaderNoLine"/>
    </w:pPr>
    <w:r>
      <w:rPr>
        <w:noProof/>
        <w:lang w:eastAsia="en-AU"/>
      </w:rPr>
      <w:drawing>
        <wp:inline distT="0" distB="0" distL="0" distR="0">
          <wp:extent cx="5400675" cy="7639050"/>
          <wp:effectExtent l="1905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srcRect/>
                  <a:stretch>
                    <a:fillRect/>
                  </a:stretch>
                </pic:blipFill>
                <pic:spPr bwMode="auto">
                  <a:xfrm>
                    <a:off x="0" y="0"/>
                    <a:ext cx="5400675" cy="7639050"/>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7C9" w:rsidRDefault="00BE77C9">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7C9" w:rsidRDefault="00BE77C9">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7C9" w:rsidRDefault="00BE77C9">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7C9" w:rsidRDefault="00BE77C9">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7C9" w:rsidRDefault="00BE77C9" w:rsidP="004C239D">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7C9" w:rsidRDefault="00BE77C9" w:rsidP="006E08B3">
    <w:r>
      <w:t>Therapeutic Goods Administration</w:t>
    </w:r>
  </w:p>
  <w:p w:rsidR="00BE77C9" w:rsidRDefault="00BE77C9"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6CC662A"/>
    <w:lvl w:ilvl="0">
      <w:start w:val="1"/>
      <w:numFmt w:val="decimal"/>
      <w:lvlText w:val="%1."/>
      <w:lvlJc w:val="left"/>
      <w:pPr>
        <w:tabs>
          <w:tab w:val="num" w:pos="1492"/>
        </w:tabs>
        <w:ind w:left="1492" w:hanging="360"/>
      </w:pPr>
    </w:lvl>
  </w:abstractNum>
  <w:abstractNum w:abstractNumId="1">
    <w:nsid w:val="FFFFFF7D"/>
    <w:multiLevelType w:val="singleLevel"/>
    <w:tmpl w:val="FF16AF48"/>
    <w:lvl w:ilvl="0">
      <w:start w:val="1"/>
      <w:numFmt w:val="decimal"/>
      <w:lvlText w:val="%1."/>
      <w:lvlJc w:val="left"/>
      <w:pPr>
        <w:tabs>
          <w:tab w:val="num" w:pos="1209"/>
        </w:tabs>
        <w:ind w:left="1209" w:hanging="360"/>
      </w:pPr>
    </w:lvl>
  </w:abstractNum>
  <w:abstractNum w:abstractNumId="2">
    <w:nsid w:val="FFFFFF7E"/>
    <w:multiLevelType w:val="singleLevel"/>
    <w:tmpl w:val="871251F0"/>
    <w:lvl w:ilvl="0">
      <w:start w:val="1"/>
      <w:numFmt w:val="decimal"/>
      <w:lvlText w:val="%1."/>
      <w:lvlJc w:val="left"/>
      <w:pPr>
        <w:tabs>
          <w:tab w:val="num" w:pos="926"/>
        </w:tabs>
        <w:ind w:left="926" w:hanging="360"/>
      </w:pPr>
    </w:lvl>
  </w:abstractNum>
  <w:abstractNum w:abstractNumId="3">
    <w:nsid w:val="FFFFFF7F"/>
    <w:multiLevelType w:val="singleLevel"/>
    <w:tmpl w:val="08109954"/>
    <w:lvl w:ilvl="0">
      <w:start w:val="1"/>
      <w:numFmt w:val="decimal"/>
      <w:lvlText w:val="%1."/>
      <w:lvlJc w:val="left"/>
      <w:pPr>
        <w:tabs>
          <w:tab w:val="num" w:pos="643"/>
        </w:tabs>
        <w:ind w:left="643" w:hanging="360"/>
      </w:pPr>
    </w:lvl>
  </w:abstractNum>
  <w:abstractNum w:abstractNumId="4">
    <w:nsid w:val="FFFFFF80"/>
    <w:multiLevelType w:val="singleLevel"/>
    <w:tmpl w:val="0FD6F2C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7465D4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8">
    <w:nsid w:val="FFFFFF88"/>
    <w:multiLevelType w:val="singleLevel"/>
    <w:tmpl w:val="211479EC"/>
    <w:lvl w:ilvl="0">
      <w:start w:val="1"/>
      <w:numFmt w:val="decimal"/>
      <w:lvlText w:val="%1."/>
      <w:lvlJc w:val="left"/>
      <w:pPr>
        <w:tabs>
          <w:tab w:val="num" w:pos="360"/>
        </w:tabs>
        <w:ind w:left="360" w:hanging="360"/>
      </w:pPr>
    </w:lvl>
  </w:abstractNum>
  <w:abstractNum w:abstractNumId="9">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8320B0A"/>
    <w:lvl w:ilvl="0">
      <w:numFmt w:val="bullet"/>
      <w:lvlText w:val="*"/>
      <w:lvlJc w:val="left"/>
    </w:lvl>
  </w:abstractNum>
  <w:abstractNum w:abstractNumId="11">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nsid w:val="1EFD0A2F"/>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hint="default"/>
      </w:rPr>
    </w:lvl>
    <w:lvl w:ilvl="1" w:tplc="0C090003">
      <w:start w:val="1"/>
      <w:numFmt w:val="bullet"/>
      <w:lvlText w:val="o"/>
      <w:lvlJc w:val="left"/>
      <w:pPr>
        <w:tabs>
          <w:tab w:val="num" w:pos="1724"/>
        </w:tabs>
        <w:ind w:left="1724" w:hanging="360"/>
      </w:pPr>
      <w:rPr>
        <w:rFonts w:ascii="Courier New" w:hAnsi="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15">
    <w:nsid w:val="39CC01B9"/>
    <w:multiLevelType w:val="hybridMultilevel"/>
    <w:tmpl w:val="3CC23B3C"/>
    <w:lvl w:ilvl="0" w:tplc="3F24B358">
      <w:start w:val="1"/>
      <w:numFmt w:val="bullet"/>
      <w:lvlText w:val=""/>
      <w:lvlJc w:val="left"/>
      <w:pPr>
        <w:tabs>
          <w:tab w:val="num" w:pos="680"/>
        </w:tabs>
        <w:ind w:left="680" w:hanging="340"/>
      </w:pPr>
      <w:rPr>
        <w:rFonts w:ascii="Symbol" w:hAnsi="Symbol" w:hint="default"/>
        <w:color w:val="auto"/>
        <w:sz w:val="20"/>
      </w:rPr>
    </w:lvl>
    <w:lvl w:ilvl="1" w:tplc="151C4FB0">
      <w:start w:val="1"/>
      <w:numFmt w:val="bullet"/>
      <w:lvlText w:val=""/>
      <w:lvlJc w:val="left"/>
      <w:pPr>
        <w:tabs>
          <w:tab w:val="num" w:pos="1440"/>
        </w:tabs>
        <w:ind w:left="1440" w:hanging="360"/>
      </w:pPr>
      <w:rPr>
        <w:rFonts w:ascii="Symbol" w:hAnsi="Symbol"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start w:val="1"/>
      <w:numFmt w:val="bullet"/>
      <w:lvlText w:val="o"/>
      <w:lvlJc w:val="left"/>
      <w:pPr>
        <w:tabs>
          <w:tab w:val="num" w:pos="1724"/>
        </w:tabs>
        <w:ind w:left="1724" w:hanging="360"/>
      </w:pPr>
      <w:rPr>
        <w:rFonts w:ascii="Courier New" w:hAnsi="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17">
    <w:nsid w:val="489B15D7"/>
    <w:multiLevelType w:val="hybridMultilevel"/>
    <w:tmpl w:val="3D2E60CC"/>
    <w:lvl w:ilvl="0" w:tplc="04CEB5FC">
      <w:start w:val="1"/>
      <w:numFmt w:val="bullet"/>
      <w:pStyle w:val="Bulletpoint"/>
      <w:lvlText w:val=""/>
      <w:lvlJc w:val="left"/>
      <w:pPr>
        <w:tabs>
          <w:tab w:val="num" w:pos="511"/>
        </w:tabs>
        <w:ind w:left="511"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6AAF0C05"/>
    <w:multiLevelType w:val="hybridMultilevel"/>
    <w:tmpl w:val="05A843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12"/>
  </w:num>
  <w:num w:numId="4">
    <w:abstractNumId w:val="12"/>
  </w:num>
  <w:num w:numId="5">
    <w:abstractNumId w:val="6"/>
  </w:num>
  <w:num w:numId="6">
    <w:abstractNumId w:val="12"/>
  </w:num>
  <w:num w:numId="7">
    <w:abstractNumId w:val="12"/>
  </w:num>
  <w:num w:numId="8">
    <w:abstractNumId w:val="11"/>
  </w:num>
  <w:num w:numId="9">
    <w:abstractNumId w:val="11"/>
  </w:num>
  <w:num w:numId="10">
    <w:abstractNumId w:val="11"/>
  </w:num>
  <w:num w:numId="11">
    <w:abstractNumId w:val="11"/>
  </w:num>
  <w:num w:numId="12">
    <w:abstractNumId w:val="10"/>
    <w:lvlOverride w:ilvl="0">
      <w:lvl w:ilvl="0">
        <w:numFmt w:val="bullet"/>
        <w:lvlText w:val="•"/>
        <w:legacy w:legacy="1" w:legacySpace="0" w:legacyIndent="0"/>
        <w:lvlJc w:val="left"/>
        <w:rPr>
          <w:rFonts w:ascii="Helv" w:hAnsi="Helv" w:hint="default"/>
        </w:rPr>
      </w:lvl>
    </w:lvlOverride>
  </w:num>
  <w:num w:numId="13">
    <w:abstractNumId w:val="12"/>
  </w:num>
  <w:num w:numId="14">
    <w:abstractNumId w:val="12"/>
  </w:num>
  <w:num w:numId="15">
    <w:abstractNumId w:val="12"/>
  </w:num>
  <w:num w:numId="16">
    <w:abstractNumId w:val="11"/>
  </w:num>
  <w:num w:numId="17">
    <w:abstractNumId w:val="11"/>
  </w:num>
  <w:num w:numId="18">
    <w:abstractNumId w:val="11"/>
  </w:num>
  <w:num w:numId="19">
    <w:abstractNumId w:val="12"/>
  </w:num>
  <w:num w:numId="20">
    <w:abstractNumId w:val="12"/>
  </w:num>
  <w:num w:numId="21">
    <w:abstractNumId w:val="12"/>
  </w:num>
  <w:num w:numId="22">
    <w:abstractNumId w:val="11"/>
  </w:num>
  <w:num w:numId="23">
    <w:abstractNumId w:val="11"/>
  </w:num>
  <w:num w:numId="24">
    <w:abstractNumId w:val="11"/>
  </w:num>
  <w:num w:numId="25">
    <w:abstractNumId w:val="1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1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5"/>
  </w:num>
  <w:num w:numId="28">
    <w:abstractNumId w:val="17"/>
  </w:num>
  <w:num w:numId="29">
    <w:abstractNumId w:val="13"/>
  </w:num>
  <w:num w:numId="30">
    <w:abstractNumId w:val="14"/>
  </w:num>
  <w:num w:numId="31">
    <w:abstractNumId w:val="16"/>
  </w:num>
  <w:num w:numId="32">
    <w:abstractNumId w:val="18"/>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attachedTemplate r:id="rId1"/>
  <w:stylePaneFormatFilter w:val="1004"/>
  <w:stylePaneSortMethod w:val="0000"/>
  <w:defaultTabStop w:val="720"/>
  <w:drawingGridHorizontalSpacing w:val="110"/>
  <w:displayHorizontalDrawingGridEvery w:val="2"/>
  <w:characterSpacingControl w:val="doNotCompress"/>
  <w:hdrShapeDefaults>
    <o:shapedefaults v:ext="edit" spidmax="59393">
      <o:colormenu v:ext="edit" fillcolor="none [3206]"/>
    </o:shapedefaults>
  </w:hdrShapeDefaults>
  <w:footnotePr>
    <w:footnote w:id="-1"/>
    <w:footnote w:id="0"/>
  </w:footnotePr>
  <w:endnotePr>
    <w:endnote w:id="-1"/>
    <w:endnote w:id="0"/>
  </w:endnotePr>
  <w:compat/>
  <w:rsids>
    <w:rsidRoot w:val="000871C1"/>
    <w:rsid w:val="00002031"/>
    <w:rsid w:val="00003638"/>
    <w:rsid w:val="00003B93"/>
    <w:rsid w:val="00004734"/>
    <w:rsid w:val="00006B22"/>
    <w:rsid w:val="000123DA"/>
    <w:rsid w:val="0001276A"/>
    <w:rsid w:val="0002027B"/>
    <w:rsid w:val="000211C2"/>
    <w:rsid w:val="00021676"/>
    <w:rsid w:val="000246AE"/>
    <w:rsid w:val="00024946"/>
    <w:rsid w:val="00025C67"/>
    <w:rsid w:val="00026DE2"/>
    <w:rsid w:val="00033FEF"/>
    <w:rsid w:val="00036D42"/>
    <w:rsid w:val="0004564C"/>
    <w:rsid w:val="000456B2"/>
    <w:rsid w:val="0005559E"/>
    <w:rsid w:val="00071FC1"/>
    <w:rsid w:val="00077775"/>
    <w:rsid w:val="000871C1"/>
    <w:rsid w:val="00087FFC"/>
    <w:rsid w:val="00090471"/>
    <w:rsid w:val="00092669"/>
    <w:rsid w:val="000950D1"/>
    <w:rsid w:val="00096AA7"/>
    <w:rsid w:val="000A3AED"/>
    <w:rsid w:val="000A52CB"/>
    <w:rsid w:val="000A57FF"/>
    <w:rsid w:val="000A6471"/>
    <w:rsid w:val="000B170A"/>
    <w:rsid w:val="000B32F6"/>
    <w:rsid w:val="000B3532"/>
    <w:rsid w:val="000B3A75"/>
    <w:rsid w:val="000B641C"/>
    <w:rsid w:val="000C18AF"/>
    <w:rsid w:val="000C4696"/>
    <w:rsid w:val="000C690F"/>
    <w:rsid w:val="000C6CDA"/>
    <w:rsid w:val="000C6D74"/>
    <w:rsid w:val="000D1295"/>
    <w:rsid w:val="000D391B"/>
    <w:rsid w:val="000D3D6D"/>
    <w:rsid w:val="000D4FC7"/>
    <w:rsid w:val="000D673E"/>
    <w:rsid w:val="000E0649"/>
    <w:rsid w:val="000E352B"/>
    <w:rsid w:val="000E44E2"/>
    <w:rsid w:val="000E7520"/>
    <w:rsid w:val="000F4869"/>
    <w:rsid w:val="000F5776"/>
    <w:rsid w:val="000F5B42"/>
    <w:rsid w:val="000F6593"/>
    <w:rsid w:val="000F6E6F"/>
    <w:rsid w:val="00103A5D"/>
    <w:rsid w:val="0010601F"/>
    <w:rsid w:val="0010788A"/>
    <w:rsid w:val="00107A31"/>
    <w:rsid w:val="00110EA5"/>
    <w:rsid w:val="00112F56"/>
    <w:rsid w:val="001131C0"/>
    <w:rsid w:val="00115505"/>
    <w:rsid w:val="00120E4E"/>
    <w:rsid w:val="00124CEE"/>
    <w:rsid w:val="00125318"/>
    <w:rsid w:val="001305A2"/>
    <w:rsid w:val="00133238"/>
    <w:rsid w:val="00133DCA"/>
    <w:rsid w:val="00141700"/>
    <w:rsid w:val="0014197B"/>
    <w:rsid w:val="001447CD"/>
    <w:rsid w:val="001516B1"/>
    <w:rsid w:val="00151AB9"/>
    <w:rsid w:val="00154EBB"/>
    <w:rsid w:val="00156316"/>
    <w:rsid w:val="001628B4"/>
    <w:rsid w:val="00162D14"/>
    <w:rsid w:val="00165389"/>
    <w:rsid w:val="00165447"/>
    <w:rsid w:val="00172464"/>
    <w:rsid w:val="0017693F"/>
    <w:rsid w:val="0018110E"/>
    <w:rsid w:val="00181684"/>
    <w:rsid w:val="001843C6"/>
    <w:rsid w:val="001850E0"/>
    <w:rsid w:val="001A2158"/>
    <w:rsid w:val="001A2646"/>
    <w:rsid w:val="001A402A"/>
    <w:rsid w:val="001A42C5"/>
    <w:rsid w:val="001A525F"/>
    <w:rsid w:val="001B09F9"/>
    <w:rsid w:val="001B10AF"/>
    <w:rsid w:val="001B6448"/>
    <w:rsid w:val="001C06E0"/>
    <w:rsid w:val="001C7D99"/>
    <w:rsid w:val="001D1004"/>
    <w:rsid w:val="001E07CF"/>
    <w:rsid w:val="001E59F1"/>
    <w:rsid w:val="001F433E"/>
    <w:rsid w:val="001F49EB"/>
    <w:rsid w:val="001F57BA"/>
    <w:rsid w:val="001F6CBA"/>
    <w:rsid w:val="001F6ED2"/>
    <w:rsid w:val="00200E20"/>
    <w:rsid w:val="00201D4E"/>
    <w:rsid w:val="00203923"/>
    <w:rsid w:val="00204238"/>
    <w:rsid w:val="002076C9"/>
    <w:rsid w:val="00215387"/>
    <w:rsid w:val="00220B8A"/>
    <w:rsid w:val="002257F3"/>
    <w:rsid w:val="00233456"/>
    <w:rsid w:val="002339A5"/>
    <w:rsid w:val="00237608"/>
    <w:rsid w:val="00240EA7"/>
    <w:rsid w:val="002508D2"/>
    <w:rsid w:val="00257848"/>
    <w:rsid w:val="00257D1D"/>
    <w:rsid w:val="00265F7A"/>
    <w:rsid w:val="0027084A"/>
    <w:rsid w:val="002735CF"/>
    <w:rsid w:val="00276EDD"/>
    <w:rsid w:val="00286434"/>
    <w:rsid w:val="00286C59"/>
    <w:rsid w:val="00291957"/>
    <w:rsid w:val="002942D1"/>
    <w:rsid w:val="0029501A"/>
    <w:rsid w:val="00296143"/>
    <w:rsid w:val="002A31A1"/>
    <w:rsid w:val="002A4F85"/>
    <w:rsid w:val="002A6A86"/>
    <w:rsid w:val="002B1638"/>
    <w:rsid w:val="002B298A"/>
    <w:rsid w:val="002B2AEA"/>
    <w:rsid w:val="002B7703"/>
    <w:rsid w:val="002E0867"/>
    <w:rsid w:val="002E4969"/>
    <w:rsid w:val="002E4C9A"/>
    <w:rsid w:val="002F11F8"/>
    <w:rsid w:val="002F3F56"/>
    <w:rsid w:val="002F44B5"/>
    <w:rsid w:val="002F6B9B"/>
    <w:rsid w:val="00311AC0"/>
    <w:rsid w:val="003130F0"/>
    <w:rsid w:val="0032583B"/>
    <w:rsid w:val="00327883"/>
    <w:rsid w:val="00335504"/>
    <w:rsid w:val="00340494"/>
    <w:rsid w:val="00345761"/>
    <w:rsid w:val="003521E8"/>
    <w:rsid w:val="003538CF"/>
    <w:rsid w:val="00357F47"/>
    <w:rsid w:val="00361749"/>
    <w:rsid w:val="003658D2"/>
    <w:rsid w:val="00367770"/>
    <w:rsid w:val="003728F3"/>
    <w:rsid w:val="00374115"/>
    <w:rsid w:val="0037496E"/>
    <w:rsid w:val="00377E6C"/>
    <w:rsid w:val="00386150"/>
    <w:rsid w:val="003874CE"/>
    <w:rsid w:val="00390900"/>
    <w:rsid w:val="00391C2C"/>
    <w:rsid w:val="003A7F6C"/>
    <w:rsid w:val="003B4D60"/>
    <w:rsid w:val="003B708F"/>
    <w:rsid w:val="003B7E39"/>
    <w:rsid w:val="003C1B50"/>
    <w:rsid w:val="003C36C9"/>
    <w:rsid w:val="003C58DC"/>
    <w:rsid w:val="003C7F36"/>
    <w:rsid w:val="003C7FEF"/>
    <w:rsid w:val="003D1E62"/>
    <w:rsid w:val="003D34E0"/>
    <w:rsid w:val="003D40B3"/>
    <w:rsid w:val="003E10A3"/>
    <w:rsid w:val="003E1FC4"/>
    <w:rsid w:val="003E2486"/>
    <w:rsid w:val="003E3208"/>
    <w:rsid w:val="003F0B04"/>
    <w:rsid w:val="0040134E"/>
    <w:rsid w:val="004022FC"/>
    <w:rsid w:val="004139F1"/>
    <w:rsid w:val="00424142"/>
    <w:rsid w:val="00427E7F"/>
    <w:rsid w:val="00432AC9"/>
    <w:rsid w:val="0043568E"/>
    <w:rsid w:val="00440A2D"/>
    <w:rsid w:val="004558F9"/>
    <w:rsid w:val="004564A7"/>
    <w:rsid w:val="004617BF"/>
    <w:rsid w:val="00463658"/>
    <w:rsid w:val="004653A8"/>
    <w:rsid w:val="004722CC"/>
    <w:rsid w:val="004841CA"/>
    <w:rsid w:val="004936E4"/>
    <w:rsid w:val="00493778"/>
    <w:rsid w:val="00493957"/>
    <w:rsid w:val="004949CE"/>
    <w:rsid w:val="00494E60"/>
    <w:rsid w:val="00497487"/>
    <w:rsid w:val="004A36B4"/>
    <w:rsid w:val="004A6BAB"/>
    <w:rsid w:val="004B2B14"/>
    <w:rsid w:val="004B7B76"/>
    <w:rsid w:val="004C239D"/>
    <w:rsid w:val="004C2DCA"/>
    <w:rsid w:val="004D4C6F"/>
    <w:rsid w:val="004E2AB6"/>
    <w:rsid w:val="004F0975"/>
    <w:rsid w:val="004F0AAE"/>
    <w:rsid w:val="004F0F38"/>
    <w:rsid w:val="00500D90"/>
    <w:rsid w:val="00501921"/>
    <w:rsid w:val="0050286D"/>
    <w:rsid w:val="005101A6"/>
    <w:rsid w:val="00530354"/>
    <w:rsid w:val="0053625B"/>
    <w:rsid w:val="005379AE"/>
    <w:rsid w:val="005434C6"/>
    <w:rsid w:val="00543B39"/>
    <w:rsid w:val="00550096"/>
    <w:rsid w:val="00553F02"/>
    <w:rsid w:val="00557FF9"/>
    <w:rsid w:val="0056165E"/>
    <w:rsid w:val="0057055A"/>
    <w:rsid w:val="0057345A"/>
    <w:rsid w:val="00576378"/>
    <w:rsid w:val="00577130"/>
    <w:rsid w:val="00577945"/>
    <w:rsid w:val="00577E38"/>
    <w:rsid w:val="005815A9"/>
    <w:rsid w:val="00583A0E"/>
    <w:rsid w:val="00585322"/>
    <w:rsid w:val="005857C6"/>
    <w:rsid w:val="00590003"/>
    <w:rsid w:val="00592F6E"/>
    <w:rsid w:val="00593AD1"/>
    <w:rsid w:val="005A0DB0"/>
    <w:rsid w:val="005A68B6"/>
    <w:rsid w:val="005A6F7F"/>
    <w:rsid w:val="005B73CB"/>
    <w:rsid w:val="005C0459"/>
    <w:rsid w:val="005C3D88"/>
    <w:rsid w:val="005C5570"/>
    <w:rsid w:val="005C68E5"/>
    <w:rsid w:val="005C79A4"/>
    <w:rsid w:val="005D0ACC"/>
    <w:rsid w:val="005D5442"/>
    <w:rsid w:val="005D682E"/>
    <w:rsid w:val="005E7523"/>
    <w:rsid w:val="005E7BCB"/>
    <w:rsid w:val="005F03B8"/>
    <w:rsid w:val="005F4066"/>
    <w:rsid w:val="005F67D2"/>
    <w:rsid w:val="00603F32"/>
    <w:rsid w:val="00607790"/>
    <w:rsid w:val="00624023"/>
    <w:rsid w:val="00625A6E"/>
    <w:rsid w:val="00630876"/>
    <w:rsid w:val="00632398"/>
    <w:rsid w:val="00635BA2"/>
    <w:rsid w:val="00637114"/>
    <w:rsid w:val="00640FC3"/>
    <w:rsid w:val="00642020"/>
    <w:rsid w:val="0064212B"/>
    <w:rsid w:val="006520EA"/>
    <w:rsid w:val="0065337B"/>
    <w:rsid w:val="0065419D"/>
    <w:rsid w:val="00654C08"/>
    <w:rsid w:val="00656FED"/>
    <w:rsid w:val="006604D8"/>
    <w:rsid w:val="00660B6B"/>
    <w:rsid w:val="00664A5B"/>
    <w:rsid w:val="00667D16"/>
    <w:rsid w:val="006741A5"/>
    <w:rsid w:val="006763D2"/>
    <w:rsid w:val="00680C08"/>
    <w:rsid w:val="0068482B"/>
    <w:rsid w:val="006931B1"/>
    <w:rsid w:val="00697663"/>
    <w:rsid w:val="006A15C0"/>
    <w:rsid w:val="006A4EB1"/>
    <w:rsid w:val="006A520E"/>
    <w:rsid w:val="006B125D"/>
    <w:rsid w:val="006B3DE9"/>
    <w:rsid w:val="006C15D7"/>
    <w:rsid w:val="006C20C4"/>
    <w:rsid w:val="006C3E2A"/>
    <w:rsid w:val="006C642F"/>
    <w:rsid w:val="006C6C67"/>
    <w:rsid w:val="006D03E5"/>
    <w:rsid w:val="006D3476"/>
    <w:rsid w:val="006D5D3E"/>
    <w:rsid w:val="006E08B3"/>
    <w:rsid w:val="006F17AC"/>
    <w:rsid w:val="006F2332"/>
    <w:rsid w:val="006F572E"/>
    <w:rsid w:val="007022B7"/>
    <w:rsid w:val="007046D6"/>
    <w:rsid w:val="00705D8A"/>
    <w:rsid w:val="00705DB0"/>
    <w:rsid w:val="00722B57"/>
    <w:rsid w:val="00725598"/>
    <w:rsid w:val="00734145"/>
    <w:rsid w:val="0074253D"/>
    <w:rsid w:val="0074429B"/>
    <w:rsid w:val="007532F3"/>
    <w:rsid w:val="007615BC"/>
    <w:rsid w:val="00762F05"/>
    <w:rsid w:val="00763A7D"/>
    <w:rsid w:val="00763CB6"/>
    <w:rsid w:val="007652FF"/>
    <w:rsid w:val="00770EF1"/>
    <w:rsid w:val="00772BC1"/>
    <w:rsid w:val="00773EF7"/>
    <w:rsid w:val="00774E1D"/>
    <w:rsid w:val="0077675A"/>
    <w:rsid w:val="00780355"/>
    <w:rsid w:val="00785721"/>
    <w:rsid w:val="0078784F"/>
    <w:rsid w:val="00793A59"/>
    <w:rsid w:val="007A5A8D"/>
    <w:rsid w:val="007B1F36"/>
    <w:rsid w:val="007B4DF2"/>
    <w:rsid w:val="007B6E9F"/>
    <w:rsid w:val="007C1216"/>
    <w:rsid w:val="007C1AF7"/>
    <w:rsid w:val="007C27FA"/>
    <w:rsid w:val="007C3B1C"/>
    <w:rsid w:val="007E23F8"/>
    <w:rsid w:val="007E35FF"/>
    <w:rsid w:val="007E610E"/>
    <w:rsid w:val="007F5BB5"/>
    <w:rsid w:val="00805D27"/>
    <w:rsid w:val="00817356"/>
    <w:rsid w:val="00821776"/>
    <w:rsid w:val="00827906"/>
    <w:rsid w:val="008321F5"/>
    <w:rsid w:val="00832369"/>
    <w:rsid w:val="0083302D"/>
    <w:rsid w:val="00834660"/>
    <w:rsid w:val="00836BC2"/>
    <w:rsid w:val="00840616"/>
    <w:rsid w:val="008461F5"/>
    <w:rsid w:val="00846718"/>
    <w:rsid w:val="0085641B"/>
    <w:rsid w:val="00857136"/>
    <w:rsid w:val="00860BD0"/>
    <w:rsid w:val="00863CC0"/>
    <w:rsid w:val="0086532B"/>
    <w:rsid w:val="00877D80"/>
    <w:rsid w:val="008842CC"/>
    <w:rsid w:val="00885B11"/>
    <w:rsid w:val="00886D15"/>
    <w:rsid w:val="00887DD8"/>
    <w:rsid w:val="008919C7"/>
    <w:rsid w:val="00892D59"/>
    <w:rsid w:val="00896018"/>
    <w:rsid w:val="008960DD"/>
    <w:rsid w:val="0089635C"/>
    <w:rsid w:val="00897BCF"/>
    <w:rsid w:val="008A2B9D"/>
    <w:rsid w:val="008A4D58"/>
    <w:rsid w:val="008A4FC3"/>
    <w:rsid w:val="008A5E0B"/>
    <w:rsid w:val="008A6D59"/>
    <w:rsid w:val="008B4B03"/>
    <w:rsid w:val="008B4FD0"/>
    <w:rsid w:val="008B596F"/>
    <w:rsid w:val="008B7101"/>
    <w:rsid w:val="008C159F"/>
    <w:rsid w:val="008C1623"/>
    <w:rsid w:val="008C1850"/>
    <w:rsid w:val="008C51A9"/>
    <w:rsid w:val="008C559A"/>
    <w:rsid w:val="008C79BB"/>
    <w:rsid w:val="008D235E"/>
    <w:rsid w:val="008D51B6"/>
    <w:rsid w:val="008E7846"/>
    <w:rsid w:val="008F1CCC"/>
    <w:rsid w:val="008F2967"/>
    <w:rsid w:val="008F6943"/>
    <w:rsid w:val="008F6F9C"/>
    <w:rsid w:val="00901909"/>
    <w:rsid w:val="00902A21"/>
    <w:rsid w:val="00906505"/>
    <w:rsid w:val="00907DEE"/>
    <w:rsid w:val="00910070"/>
    <w:rsid w:val="0091247A"/>
    <w:rsid w:val="00920330"/>
    <w:rsid w:val="009219D7"/>
    <w:rsid w:val="00922D53"/>
    <w:rsid w:val="00923B70"/>
    <w:rsid w:val="00924482"/>
    <w:rsid w:val="009270FF"/>
    <w:rsid w:val="00930237"/>
    <w:rsid w:val="00946EA5"/>
    <w:rsid w:val="00951FFF"/>
    <w:rsid w:val="00961AAD"/>
    <w:rsid w:val="0096285A"/>
    <w:rsid w:val="00963C08"/>
    <w:rsid w:val="00964C5C"/>
    <w:rsid w:val="00965615"/>
    <w:rsid w:val="00982AEE"/>
    <w:rsid w:val="0098585A"/>
    <w:rsid w:val="009A4CED"/>
    <w:rsid w:val="009A690D"/>
    <w:rsid w:val="009B008D"/>
    <w:rsid w:val="009B1D12"/>
    <w:rsid w:val="009B416B"/>
    <w:rsid w:val="009C4BD5"/>
    <w:rsid w:val="009D7B77"/>
    <w:rsid w:val="009E04DD"/>
    <w:rsid w:val="009E0BB0"/>
    <w:rsid w:val="009E3FBB"/>
    <w:rsid w:val="009E4C86"/>
    <w:rsid w:val="009E6000"/>
    <w:rsid w:val="009F22FB"/>
    <w:rsid w:val="009F4225"/>
    <w:rsid w:val="009F6F2A"/>
    <w:rsid w:val="00A05F14"/>
    <w:rsid w:val="00A06996"/>
    <w:rsid w:val="00A102E4"/>
    <w:rsid w:val="00A12C42"/>
    <w:rsid w:val="00A13D18"/>
    <w:rsid w:val="00A14CBB"/>
    <w:rsid w:val="00A14DF7"/>
    <w:rsid w:val="00A158F5"/>
    <w:rsid w:val="00A218FB"/>
    <w:rsid w:val="00A3246D"/>
    <w:rsid w:val="00A33E29"/>
    <w:rsid w:val="00A36FA7"/>
    <w:rsid w:val="00A475B7"/>
    <w:rsid w:val="00A47AF7"/>
    <w:rsid w:val="00A47C3E"/>
    <w:rsid w:val="00A50226"/>
    <w:rsid w:val="00A5684D"/>
    <w:rsid w:val="00A60BAD"/>
    <w:rsid w:val="00A63398"/>
    <w:rsid w:val="00A656FB"/>
    <w:rsid w:val="00A73EA3"/>
    <w:rsid w:val="00A777EC"/>
    <w:rsid w:val="00A84E36"/>
    <w:rsid w:val="00A87F59"/>
    <w:rsid w:val="00A9098E"/>
    <w:rsid w:val="00A92BB6"/>
    <w:rsid w:val="00A93062"/>
    <w:rsid w:val="00A958D7"/>
    <w:rsid w:val="00A964D1"/>
    <w:rsid w:val="00AA0ED0"/>
    <w:rsid w:val="00AA1756"/>
    <w:rsid w:val="00AA31C4"/>
    <w:rsid w:val="00AC1315"/>
    <w:rsid w:val="00AC2B40"/>
    <w:rsid w:val="00AC2BB2"/>
    <w:rsid w:val="00AC2C3C"/>
    <w:rsid w:val="00AC512D"/>
    <w:rsid w:val="00AD0083"/>
    <w:rsid w:val="00AE65EB"/>
    <w:rsid w:val="00AE67A7"/>
    <w:rsid w:val="00AE6CE9"/>
    <w:rsid w:val="00AF1D94"/>
    <w:rsid w:val="00AF22F7"/>
    <w:rsid w:val="00AF60C5"/>
    <w:rsid w:val="00AF7105"/>
    <w:rsid w:val="00B009C6"/>
    <w:rsid w:val="00B01548"/>
    <w:rsid w:val="00B03C29"/>
    <w:rsid w:val="00B15C15"/>
    <w:rsid w:val="00B21D29"/>
    <w:rsid w:val="00B25034"/>
    <w:rsid w:val="00B25801"/>
    <w:rsid w:val="00B26788"/>
    <w:rsid w:val="00B30538"/>
    <w:rsid w:val="00B33588"/>
    <w:rsid w:val="00B33863"/>
    <w:rsid w:val="00B37D17"/>
    <w:rsid w:val="00B4175E"/>
    <w:rsid w:val="00B4287C"/>
    <w:rsid w:val="00B43EA5"/>
    <w:rsid w:val="00B452CE"/>
    <w:rsid w:val="00B54C25"/>
    <w:rsid w:val="00B63418"/>
    <w:rsid w:val="00B76B91"/>
    <w:rsid w:val="00B77EB1"/>
    <w:rsid w:val="00B811C6"/>
    <w:rsid w:val="00B855B0"/>
    <w:rsid w:val="00B86EA9"/>
    <w:rsid w:val="00B9129B"/>
    <w:rsid w:val="00B92E08"/>
    <w:rsid w:val="00B95D26"/>
    <w:rsid w:val="00B97DEA"/>
    <w:rsid w:val="00BA34B1"/>
    <w:rsid w:val="00BC622A"/>
    <w:rsid w:val="00BD0940"/>
    <w:rsid w:val="00BD0CA2"/>
    <w:rsid w:val="00BE0A78"/>
    <w:rsid w:val="00BE77C9"/>
    <w:rsid w:val="00BE79F0"/>
    <w:rsid w:val="00BF046D"/>
    <w:rsid w:val="00BF1190"/>
    <w:rsid w:val="00BF5D04"/>
    <w:rsid w:val="00C1164D"/>
    <w:rsid w:val="00C14D4F"/>
    <w:rsid w:val="00C16861"/>
    <w:rsid w:val="00C1776D"/>
    <w:rsid w:val="00C3085D"/>
    <w:rsid w:val="00C32381"/>
    <w:rsid w:val="00C34235"/>
    <w:rsid w:val="00C3447B"/>
    <w:rsid w:val="00C36E49"/>
    <w:rsid w:val="00C404A6"/>
    <w:rsid w:val="00C40A36"/>
    <w:rsid w:val="00C44419"/>
    <w:rsid w:val="00C45E7B"/>
    <w:rsid w:val="00C471B1"/>
    <w:rsid w:val="00C6316B"/>
    <w:rsid w:val="00C634A9"/>
    <w:rsid w:val="00C64586"/>
    <w:rsid w:val="00C70D53"/>
    <w:rsid w:val="00C73D0B"/>
    <w:rsid w:val="00C74B70"/>
    <w:rsid w:val="00C7590C"/>
    <w:rsid w:val="00C772FF"/>
    <w:rsid w:val="00C80137"/>
    <w:rsid w:val="00C801AF"/>
    <w:rsid w:val="00C80256"/>
    <w:rsid w:val="00C81CBB"/>
    <w:rsid w:val="00CA2DF0"/>
    <w:rsid w:val="00CB6BC0"/>
    <w:rsid w:val="00CB7638"/>
    <w:rsid w:val="00CC1B7C"/>
    <w:rsid w:val="00CC20D5"/>
    <w:rsid w:val="00CC2113"/>
    <w:rsid w:val="00CC727F"/>
    <w:rsid w:val="00CD2BE2"/>
    <w:rsid w:val="00CE1BE4"/>
    <w:rsid w:val="00CE2A4F"/>
    <w:rsid w:val="00CE491F"/>
    <w:rsid w:val="00CF15C3"/>
    <w:rsid w:val="00CF2B6F"/>
    <w:rsid w:val="00CF3B16"/>
    <w:rsid w:val="00CF3CA6"/>
    <w:rsid w:val="00CF58B6"/>
    <w:rsid w:val="00D017ED"/>
    <w:rsid w:val="00D040D3"/>
    <w:rsid w:val="00D0449B"/>
    <w:rsid w:val="00D04C65"/>
    <w:rsid w:val="00D224FE"/>
    <w:rsid w:val="00D26EBA"/>
    <w:rsid w:val="00D3148B"/>
    <w:rsid w:val="00D33312"/>
    <w:rsid w:val="00D41613"/>
    <w:rsid w:val="00D47E1A"/>
    <w:rsid w:val="00D5000A"/>
    <w:rsid w:val="00D55D2E"/>
    <w:rsid w:val="00D6493E"/>
    <w:rsid w:val="00D65973"/>
    <w:rsid w:val="00D7301E"/>
    <w:rsid w:val="00D823DA"/>
    <w:rsid w:val="00D83AE1"/>
    <w:rsid w:val="00D855D4"/>
    <w:rsid w:val="00D85847"/>
    <w:rsid w:val="00D86451"/>
    <w:rsid w:val="00D87990"/>
    <w:rsid w:val="00D91CE4"/>
    <w:rsid w:val="00D92CD2"/>
    <w:rsid w:val="00D93466"/>
    <w:rsid w:val="00DA1124"/>
    <w:rsid w:val="00DA60E8"/>
    <w:rsid w:val="00DB75B7"/>
    <w:rsid w:val="00DC0720"/>
    <w:rsid w:val="00DC2846"/>
    <w:rsid w:val="00DC6E02"/>
    <w:rsid w:val="00DE02AE"/>
    <w:rsid w:val="00DE0DC9"/>
    <w:rsid w:val="00DE7C54"/>
    <w:rsid w:val="00DF1D7F"/>
    <w:rsid w:val="00DF4BE4"/>
    <w:rsid w:val="00E01119"/>
    <w:rsid w:val="00E02FB4"/>
    <w:rsid w:val="00E1111C"/>
    <w:rsid w:val="00E1323F"/>
    <w:rsid w:val="00E20571"/>
    <w:rsid w:val="00E235F7"/>
    <w:rsid w:val="00E23659"/>
    <w:rsid w:val="00E239D4"/>
    <w:rsid w:val="00E26130"/>
    <w:rsid w:val="00E26B61"/>
    <w:rsid w:val="00E3032E"/>
    <w:rsid w:val="00E34082"/>
    <w:rsid w:val="00E40B22"/>
    <w:rsid w:val="00E41BCB"/>
    <w:rsid w:val="00E41FBB"/>
    <w:rsid w:val="00E45619"/>
    <w:rsid w:val="00E4588F"/>
    <w:rsid w:val="00E46DA3"/>
    <w:rsid w:val="00E50C91"/>
    <w:rsid w:val="00E51BB1"/>
    <w:rsid w:val="00E624A5"/>
    <w:rsid w:val="00E670EC"/>
    <w:rsid w:val="00E7344E"/>
    <w:rsid w:val="00E82777"/>
    <w:rsid w:val="00E84651"/>
    <w:rsid w:val="00E85125"/>
    <w:rsid w:val="00E937B1"/>
    <w:rsid w:val="00E97C9F"/>
    <w:rsid w:val="00EB0798"/>
    <w:rsid w:val="00EB1001"/>
    <w:rsid w:val="00EB1A42"/>
    <w:rsid w:val="00EB2BD8"/>
    <w:rsid w:val="00EB40AD"/>
    <w:rsid w:val="00EB5318"/>
    <w:rsid w:val="00EB586E"/>
    <w:rsid w:val="00EB5FC8"/>
    <w:rsid w:val="00EC3BC0"/>
    <w:rsid w:val="00ED3CAD"/>
    <w:rsid w:val="00ED5A41"/>
    <w:rsid w:val="00EE1DE8"/>
    <w:rsid w:val="00EE3046"/>
    <w:rsid w:val="00EE5EEF"/>
    <w:rsid w:val="00F033EC"/>
    <w:rsid w:val="00F04F68"/>
    <w:rsid w:val="00F06559"/>
    <w:rsid w:val="00F12670"/>
    <w:rsid w:val="00F14797"/>
    <w:rsid w:val="00F14B27"/>
    <w:rsid w:val="00F3148D"/>
    <w:rsid w:val="00F325C5"/>
    <w:rsid w:val="00F32616"/>
    <w:rsid w:val="00F32FE0"/>
    <w:rsid w:val="00F35298"/>
    <w:rsid w:val="00F3759D"/>
    <w:rsid w:val="00F44CE6"/>
    <w:rsid w:val="00F47333"/>
    <w:rsid w:val="00F47E37"/>
    <w:rsid w:val="00F51816"/>
    <w:rsid w:val="00F51BFE"/>
    <w:rsid w:val="00F53C07"/>
    <w:rsid w:val="00F54B65"/>
    <w:rsid w:val="00F56505"/>
    <w:rsid w:val="00F6064C"/>
    <w:rsid w:val="00F640B6"/>
    <w:rsid w:val="00F74CEA"/>
    <w:rsid w:val="00F80E40"/>
    <w:rsid w:val="00F848D9"/>
    <w:rsid w:val="00F86AF6"/>
    <w:rsid w:val="00F92C15"/>
    <w:rsid w:val="00F9689A"/>
    <w:rsid w:val="00FA5B82"/>
    <w:rsid w:val="00FA639E"/>
    <w:rsid w:val="00FB4F6A"/>
    <w:rsid w:val="00FB62E6"/>
    <w:rsid w:val="00FB7753"/>
    <w:rsid w:val="00FC0C93"/>
    <w:rsid w:val="00FC25E4"/>
    <w:rsid w:val="00FC46EF"/>
    <w:rsid w:val="00FC4EF7"/>
    <w:rsid w:val="00FD3717"/>
    <w:rsid w:val="00FE1DEE"/>
    <w:rsid w:val="00FE1F4D"/>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9393">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footer" w:semiHidden="0" w:unhideWhenUsed="0"/>
    <w:lsdException w:name="caption" w:semiHidden="0" w:uiPriority="35" w:unhideWhenUsed="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Outline List 1"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E1FC4"/>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Arial" w:eastAsia="Times New Roman" w:hAnsi="Arial" w:cs="Arial"/>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basedOn w:val="DefaultParagraphFont"/>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paragraph" w:styleId="FootnoteText">
    <w:name w:val="footnote text"/>
    <w:basedOn w:val="Normal"/>
    <w:link w:val="FootnoteTextChar"/>
    <w:uiPriority w:val="99"/>
    <w:unhideWhenUsed/>
    <w:rsid w:val="003E1FC4"/>
    <w:pPr>
      <w:spacing w:before="0" w:after="0" w:line="240" w:lineRule="auto"/>
    </w:pPr>
    <w:rPr>
      <w:sz w:val="18"/>
      <w:szCs w:val="20"/>
    </w:rPr>
  </w:style>
  <w:style w:type="character" w:customStyle="1" w:styleId="FootnoteTextChar">
    <w:name w:val="Footnote Text Char"/>
    <w:basedOn w:val="DefaultParagraphFont"/>
    <w:link w:val="FootnoteText"/>
    <w:uiPriority w:val="99"/>
    <w:rsid w:val="003E1FC4"/>
    <w:rPr>
      <w:sz w:val="18"/>
      <w:lang w:eastAsia="en-US"/>
    </w:rPr>
  </w:style>
  <w:style w:type="character" w:styleId="FootnoteReference">
    <w:name w:val="footnote reference"/>
    <w:basedOn w:val="DefaultParagraphFont"/>
    <w:uiPriority w:val="99"/>
    <w:semiHidden/>
    <w:unhideWhenUsed/>
    <w:rsid w:val="00D91CE4"/>
    <w:rPr>
      <w:vertAlign w:val="superscript"/>
    </w:rPr>
  </w:style>
  <w:style w:type="paragraph" w:customStyle="1" w:styleId="Default">
    <w:name w:val="Default"/>
    <w:rsid w:val="003130F0"/>
    <w:pPr>
      <w:autoSpaceDE w:val="0"/>
      <w:autoSpaceDN w:val="0"/>
      <w:adjustRightInd w:val="0"/>
    </w:pPr>
    <w:rPr>
      <w:rFonts w:ascii="Times New Roman" w:hAnsi="Times New Roman"/>
      <w:color w:val="000000"/>
      <w:sz w:val="24"/>
      <w:szCs w:val="24"/>
    </w:rPr>
  </w:style>
  <w:style w:type="paragraph" w:styleId="ListParagraph">
    <w:name w:val="List Paragraph"/>
    <w:basedOn w:val="Normal"/>
    <w:uiPriority w:val="34"/>
    <w:qFormat/>
    <w:rsid w:val="00DC2846"/>
    <w:pPr>
      <w:spacing w:before="60" w:after="60" w:line="240" w:lineRule="auto"/>
      <w:ind w:left="720"/>
    </w:pPr>
    <w:rPr>
      <w:rFonts w:ascii="Times New Roman" w:eastAsia="Times New Roman" w:hAnsi="Times New Roman"/>
      <w:sz w:val="24"/>
      <w:szCs w:val="20"/>
    </w:rPr>
  </w:style>
  <w:style w:type="paragraph" w:customStyle="1" w:styleId="Bulletpoint">
    <w:name w:val="Bullet point"/>
    <w:basedOn w:val="Normal"/>
    <w:rsid w:val="002E4969"/>
    <w:pPr>
      <w:numPr>
        <w:numId w:val="28"/>
      </w:numPr>
      <w:tabs>
        <w:tab w:val="left" w:pos="397"/>
      </w:tabs>
      <w:spacing w:before="0" w:after="180" w:line="252" w:lineRule="auto"/>
    </w:pPr>
    <w:rPr>
      <w:rFonts w:eastAsia="Times New Roman"/>
      <w:snapToGrid w:val="0"/>
      <w:kern w:val="16"/>
      <w:sz w:val="23"/>
      <w:szCs w:val="24"/>
    </w:rPr>
  </w:style>
  <w:style w:type="paragraph" w:customStyle="1" w:styleId="Standard">
    <w:name w:val="Standard"/>
    <w:basedOn w:val="Normal"/>
    <w:link w:val="StandardChar"/>
    <w:rsid w:val="007B1F36"/>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7B1F36"/>
    <w:rPr>
      <w:rFonts w:eastAsia="Times New Roman"/>
      <w:snapToGrid w:val="0"/>
      <w:kern w:val="16"/>
      <w:sz w:val="23"/>
      <w:szCs w:val="24"/>
      <w:lang w:eastAsia="en-US"/>
    </w:rPr>
  </w:style>
  <w:style w:type="paragraph" w:customStyle="1" w:styleId="WhiteSpace">
    <w:name w:val="White Space"/>
    <w:basedOn w:val="Standard"/>
    <w:link w:val="WhiteSpaceChar"/>
    <w:uiPriority w:val="99"/>
    <w:rsid w:val="00DE0DC9"/>
    <w:pPr>
      <w:spacing w:after="0"/>
    </w:pPr>
    <w:rPr>
      <w:sz w:val="16"/>
      <w:szCs w:val="16"/>
    </w:rPr>
  </w:style>
  <w:style w:type="paragraph" w:customStyle="1" w:styleId="AssessmentSubsection">
    <w:name w:val="Assessment Subsection"/>
    <w:basedOn w:val="Standard"/>
    <w:next w:val="Standard"/>
    <w:rsid w:val="00DE0DC9"/>
    <w:pPr>
      <w:keepNext/>
      <w:spacing w:after="110"/>
      <w:outlineLvl w:val="2"/>
    </w:pPr>
    <w:rPr>
      <w:b/>
      <w:i/>
    </w:rPr>
  </w:style>
  <w:style w:type="character" w:customStyle="1" w:styleId="WhiteSpaceChar">
    <w:name w:val="White Space Char"/>
    <w:basedOn w:val="DefaultParagraphFont"/>
    <w:link w:val="WhiteSpace"/>
    <w:uiPriority w:val="99"/>
    <w:rsid w:val="00DE0DC9"/>
    <w:rPr>
      <w:rFonts w:eastAsia="Times New Roman"/>
      <w:snapToGrid w:val="0"/>
      <w:kern w:val="16"/>
      <w:sz w:val="16"/>
      <w:szCs w:val="16"/>
      <w:lang w:eastAsia="en-US"/>
    </w:rPr>
  </w:style>
  <w:style w:type="paragraph" w:customStyle="1" w:styleId="AssessmentSubsection2">
    <w:name w:val="Assessment Subsection 2"/>
    <w:basedOn w:val="AssessmentSubsection"/>
    <w:next w:val="Standard"/>
    <w:rsid w:val="00DE0DC9"/>
    <w:pPr>
      <w:outlineLvl w:val="3"/>
    </w:pPr>
    <w:rPr>
      <w:b w:val="0"/>
    </w:rPr>
  </w:style>
  <w:style w:type="paragraph" w:customStyle="1" w:styleId="TableCaption">
    <w:name w:val="Table Caption"/>
    <w:basedOn w:val="Standard"/>
    <w:next w:val="Standard"/>
    <w:link w:val="TableCaptionChar"/>
    <w:uiPriority w:val="99"/>
    <w:rsid w:val="00846718"/>
    <w:pPr>
      <w:spacing w:before="60" w:after="440" w:line="215" w:lineRule="exact"/>
      <w:ind w:left="170"/>
    </w:pPr>
    <w:rPr>
      <w:sz w:val="18"/>
      <w:szCs w:val="19"/>
    </w:rPr>
  </w:style>
  <w:style w:type="character" w:customStyle="1" w:styleId="TableCaptionChar">
    <w:name w:val="Table Caption Char"/>
    <w:basedOn w:val="DefaultParagraphFont"/>
    <w:link w:val="TableCaption"/>
    <w:uiPriority w:val="99"/>
    <w:rsid w:val="00846718"/>
    <w:rPr>
      <w:rFonts w:eastAsia="Times New Roman"/>
      <w:snapToGrid w:val="0"/>
      <w:kern w:val="16"/>
      <w:sz w:val="18"/>
      <w:szCs w:val="19"/>
      <w:lang w:eastAsia="en-US"/>
    </w:rPr>
  </w:style>
  <w:style w:type="numbering" w:styleId="1ai">
    <w:name w:val="Outline List 1"/>
    <w:basedOn w:val="NoList"/>
    <w:semiHidden/>
    <w:rsid w:val="00846718"/>
    <w:pPr>
      <w:numPr>
        <w:numId w:val="29"/>
      </w:numPr>
    </w:pPr>
  </w:style>
  <w:style w:type="paragraph" w:customStyle="1" w:styleId="Bullet1">
    <w:name w:val="Bullet 1"/>
    <w:basedOn w:val="Normal"/>
    <w:link w:val="Bullet1Char"/>
    <w:rsid w:val="005379AE"/>
    <w:pPr>
      <w:numPr>
        <w:numId w:val="30"/>
      </w:numPr>
      <w:spacing w:after="0" w:line="240" w:lineRule="auto"/>
    </w:pPr>
    <w:rPr>
      <w:rFonts w:eastAsia="Times New Roman"/>
      <w:kern w:val="24"/>
      <w:szCs w:val="24"/>
      <w:lang w:eastAsia="en-AU"/>
    </w:rPr>
  </w:style>
  <w:style w:type="paragraph" w:customStyle="1" w:styleId="Bullet2">
    <w:name w:val="Bullet 2"/>
    <w:basedOn w:val="Bullet1"/>
    <w:rsid w:val="005379AE"/>
    <w:pPr>
      <w:numPr>
        <w:numId w:val="31"/>
      </w:numPr>
      <w:tabs>
        <w:tab w:val="clear" w:pos="567"/>
      </w:tabs>
      <w:ind w:left="360" w:hanging="360"/>
    </w:pPr>
  </w:style>
  <w:style w:type="character" w:customStyle="1" w:styleId="Bullet1Char">
    <w:name w:val="Bullet 1 Char"/>
    <w:basedOn w:val="DefaultParagraphFont"/>
    <w:link w:val="Bullet1"/>
    <w:rsid w:val="005379AE"/>
    <w:rPr>
      <w:rFonts w:eastAsia="Times New Roman"/>
      <w:kern w:val="24"/>
      <w:sz w:val="22"/>
      <w:szCs w:val="24"/>
    </w:rPr>
  </w:style>
  <w:style w:type="paragraph" w:styleId="EndnoteText">
    <w:name w:val="endnote text"/>
    <w:basedOn w:val="Normal"/>
    <w:link w:val="EndnoteTextChar"/>
    <w:semiHidden/>
    <w:rsid w:val="00A0699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A06996"/>
    <w:rPr>
      <w:rFonts w:eastAsia="Times New Roman"/>
      <w:kern w:val="16"/>
    </w:rPr>
  </w:style>
  <w:style w:type="character" w:styleId="EndnoteReference">
    <w:name w:val="endnote reference"/>
    <w:basedOn w:val="DefaultParagraphFont"/>
    <w:semiHidden/>
    <w:rsid w:val="00A06996"/>
    <w:rPr>
      <w:vertAlign w:val="baseline"/>
    </w:rPr>
  </w:style>
  <w:style w:type="character" w:styleId="CommentReference">
    <w:name w:val="annotation reference"/>
    <w:basedOn w:val="DefaultParagraphFont"/>
    <w:uiPriority w:val="99"/>
    <w:semiHidden/>
    <w:unhideWhenUsed/>
    <w:rsid w:val="004A6BAB"/>
    <w:rPr>
      <w:sz w:val="16"/>
      <w:szCs w:val="16"/>
    </w:rPr>
  </w:style>
  <w:style w:type="paragraph" w:styleId="CommentText">
    <w:name w:val="annotation text"/>
    <w:basedOn w:val="Normal"/>
    <w:link w:val="CommentTextChar"/>
    <w:uiPriority w:val="99"/>
    <w:semiHidden/>
    <w:unhideWhenUsed/>
    <w:rsid w:val="004A6BAB"/>
    <w:rPr>
      <w:sz w:val="20"/>
      <w:szCs w:val="20"/>
    </w:rPr>
  </w:style>
  <w:style w:type="character" w:customStyle="1" w:styleId="CommentTextChar">
    <w:name w:val="Comment Text Char"/>
    <w:basedOn w:val="DefaultParagraphFont"/>
    <w:link w:val="CommentText"/>
    <w:uiPriority w:val="99"/>
    <w:semiHidden/>
    <w:rsid w:val="004A6BAB"/>
    <w:rPr>
      <w:lang w:eastAsia="en-US"/>
    </w:rPr>
  </w:style>
  <w:style w:type="paragraph" w:styleId="CommentSubject">
    <w:name w:val="annotation subject"/>
    <w:basedOn w:val="CommentText"/>
    <w:next w:val="CommentText"/>
    <w:link w:val="CommentSubjectChar"/>
    <w:uiPriority w:val="99"/>
    <w:semiHidden/>
    <w:unhideWhenUsed/>
    <w:rsid w:val="004A6BAB"/>
    <w:rPr>
      <w:b/>
      <w:bCs/>
    </w:rPr>
  </w:style>
  <w:style w:type="character" w:customStyle="1" w:styleId="CommentSubjectChar">
    <w:name w:val="Comment Subject Char"/>
    <w:basedOn w:val="CommentTextChar"/>
    <w:link w:val="CommentSubject"/>
    <w:uiPriority w:val="99"/>
    <w:semiHidden/>
    <w:rsid w:val="004A6BAB"/>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eader" Target="header6.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eader" Target="header4.xml"/><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eader" Target="header3.xml"/><Relationship Id="rId40" Type="http://schemas.openxmlformats.org/officeDocument/2006/relationships/header" Target="header5.xml"/><Relationship Id="rId45"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www.tga.gov.au/hp/information-medicines-pi.htm" TargetMode="Externa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eader" Target="header7.xml"/><Relationship Id="rId48" Type="http://schemas.openxmlformats.org/officeDocument/2006/relationships/theme" Target="theme/theme1.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Temp\notes333BDF\AusPA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93403F-8D66-4AB9-81A4-B3004219D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AusPAR template.DOTX</Template>
  <TotalTime>51</TotalTime>
  <Pages>36</Pages>
  <Words>11941</Words>
  <Characters>66398</Characters>
  <Application>Microsoft Office Word</Application>
  <DocSecurity>0</DocSecurity>
  <Lines>1070</Lines>
  <Paragraphs>333</Paragraphs>
  <ScaleCrop>false</ScaleCrop>
  <HeadingPairs>
    <vt:vector size="2" baseType="variant">
      <vt:variant>
        <vt:lpstr>Title</vt:lpstr>
      </vt:variant>
      <vt:variant>
        <vt:i4>1</vt:i4>
      </vt:variant>
    </vt:vector>
  </HeadingPairs>
  <TitlesOfParts>
    <vt:vector size="1" baseType="lpstr">
      <vt:lpstr>Australian public assessment for Saxagliptin / metformin hydrochloride</vt:lpstr>
    </vt:vector>
  </TitlesOfParts>
  <Company>Department of Health Therapeutic Goods Administration</Company>
  <LinksUpToDate>false</LinksUpToDate>
  <CharactersWithSpaces>78006</CharactersWithSpaces>
  <SharedDoc>false</SharedDoc>
  <HLinks>
    <vt:vector size="246" baseType="variant">
      <vt:variant>
        <vt:i4>5701660</vt:i4>
      </vt:variant>
      <vt:variant>
        <vt:i4>225</vt:i4>
      </vt:variant>
      <vt:variant>
        <vt:i4>0</vt:i4>
      </vt:variant>
      <vt:variant>
        <vt:i4>5</vt:i4>
      </vt:variant>
      <vt:variant>
        <vt:lpwstr>http://www.tga.gov.au/hp/information-medicines-pi.htm</vt:lpwstr>
      </vt:variant>
      <vt:variant>
        <vt:lpwstr/>
      </vt:variant>
      <vt:variant>
        <vt:i4>1376311</vt:i4>
      </vt:variant>
      <vt:variant>
        <vt:i4>218</vt:i4>
      </vt:variant>
      <vt:variant>
        <vt:i4>0</vt:i4>
      </vt:variant>
      <vt:variant>
        <vt:i4>5</vt:i4>
      </vt:variant>
      <vt:variant>
        <vt:lpwstr/>
      </vt:variant>
      <vt:variant>
        <vt:lpwstr>_Toc366602207</vt:lpwstr>
      </vt:variant>
      <vt:variant>
        <vt:i4>1376311</vt:i4>
      </vt:variant>
      <vt:variant>
        <vt:i4>212</vt:i4>
      </vt:variant>
      <vt:variant>
        <vt:i4>0</vt:i4>
      </vt:variant>
      <vt:variant>
        <vt:i4>5</vt:i4>
      </vt:variant>
      <vt:variant>
        <vt:lpwstr/>
      </vt:variant>
      <vt:variant>
        <vt:lpwstr>_Toc366602206</vt:lpwstr>
      </vt:variant>
      <vt:variant>
        <vt:i4>1376311</vt:i4>
      </vt:variant>
      <vt:variant>
        <vt:i4>206</vt:i4>
      </vt:variant>
      <vt:variant>
        <vt:i4>0</vt:i4>
      </vt:variant>
      <vt:variant>
        <vt:i4>5</vt:i4>
      </vt:variant>
      <vt:variant>
        <vt:lpwstr/>
      </vt:variant>
      <vt:variant>
        <vt:lpwstr>_Toc366602205</vt:lpwstr>
      </vt:variant>
      <vt:variant>
        <vt:i4>1376311</vt:i4>
      </vt:variant>
      <vt:variant>
        <vt:i4>200</vt:i4>
      </vt:variant>
      <vt:variant>
        <vt:i4>0</vt:i4>
      </vt:variant>
      <vt:variant>
        <vt:i4>5</vt:i4>
      </vt:variant>
      <vt:variant>
        <vt:lpwstr/>
      </vt:variant>
      <vt:variant>
        <vt:lpwstr>_Toc366602204</vt:lpwstr>
      </vt:variant>
      <vt:variant>
        <vt:i4>1376311</vt:i4>
      </vt:variant>
      <vt:variant>
        <vt:i4>194</vt:i4>
      </vt:variant>
      <vt:variant>
        <vt:i4>0</vt:i4>
      </vt:variant>
      <vt:variant>
        <vt:i4>5</vt:i4>
      </vt:variant>
      <vt:variant>
        <vt:lpwstr/>
      </vt:variant>
      <vt:variant>
        <vt:lpwstr>_Toc366602203</vt:lpwstr>
      </vt:variant>
      <vt:variant>
        <vt:i4>1376311</vt:i4>
      </vt:variant>
      <vt:variant>
        <vt:i4>188</vt:i4>
      </vt:variant>
      <vt:variant>
        <vt:i4>0</vt:i4>
      </vt:variant>
      <vt:variant>
        <vt:i4>5</vt:i4>
      </vt:variant>
      <vt:variant>
        <vt:lpwstr/>
      </vt:variant>
      <vt:variant>
        <vt:lpwstr>_Toc366602202</vt:lpwstr>
      </vt:variant>
      <vt:variant>
        <vt:i4>1376311</vt:i4>
      </vt:variant>
      <vt:variant>
        <vt:i4>182</vt:i4>
      </vt:variant>
      <vt:variant>
        <vt:i4>0</vt:i4>
      </vt:variant>
      <vt:variant>
        <vt:i4>5</vt:i4>
      </vt:variant>
      <vt:variant>
        <vt:lpwstr/>
      </vt:variant>
      <vt:variant>
        <vt:lpwstr>_Toc366602201</vt:lpwstr>
      </vt:variant>
      <vt:variant>
        <vt:i4>1376311</vt:i4>
      </vt:variant>
      <vt:variant>
        <vt:i4>176</vt:i4>
      </vt:variant>
      <vt:variant>
        <vt:i4>0</vt:i4>
      </vt:variant>
      <vt:variant>
        <vt:i4>5</vt:i4>
      </vt:variant>
      <vt:variant>
        <vt:lpwstr/>
      </vt:variant>
      <vt:variant>
        <vt:lpwstr>_Toc366602200</vt:lpwstr>
      </vt:variant>
      <vt:variant>
        <vt:i4>1835060</vt:i4>
      </vt:variant>
      <vt:variant>
        <vt:i4>170</vt:i4>
      </vt:variant>
      <vt:variant>
        <vt:i4>0</vt:i4>
      </vt:variant>
      <vt:variant>
        <vt:i4>5</vt:i4>
      </vt:variant>
      <vt:variant>
        <vt:lpwstr/>
      </vt:variant>
      <vt:variant>
        <vt:lpwstr>_Toc366602199</vt:lpwstr>
      </vt:variant>
      <vt:variant>
        <vt:i4>1835060</vt:i4>
      </vt:variant>
      <vt:variant>
        <vt:i4>164</vt:i4>
      </vt:variant>
      <vt:variant>
        <vt:i4>0</vt:i4>
      </vt:variant>
      <vt:variant>
        <vt:i4>5</vt:i4>
      </vt:variant>
      <vt:variant>
        <vt:lpwstr/>
      </vt:variant>
      <vt:variant>
        <vt:lpwstr>_Toc366602198</vt:lpwstr>
      </vt:variant>
      <vt:variant>
        <vt:i4>1835060</vt:i4>
      </vt:variant>
      <vt:variant>
        <vt:i4>158</vt:i4>
      </vt:variant>
      <vt:variant>
        <vt:i4>0</vt:i4>
      </vt:variant>
      <vt:variant>
        <vt:i4>5</vt:i4>
      </vt:variant>
      <vt:variant>
        <vt:lpwstr/>
      </vt:variant>
      <vt:variant>
        <vt:lpwstr>_Toc366602197</vt:lpwstr>
      </vt:variant>
      <vt:variant>
        <vt:i4>1835060</vt:i4>
      </vt:variant>
      <vt:variant>
        <vt:i4>152</vt:i4>
      </vt:variant>
      <vt:variant>
        <vt:i4>0</vt:i4>
      </vt:variant>
      <vt:variant>
        <vt:i4>5</vt:i4>
      </vt:variant>
      <vt:variant>
        <vt:lpwstr/>
      </vt:variant>
      <vt:variant>
        <vt:lpwstr>_Toc366602196</vt:lpwstr>
      </vt:variant>
      <vt:variant>
        <vt:i4>1835060</vt:i4>
      </vt:variant>
      <vt:variant>
        <vt:i4>146</vt:i4>
      </vt:variant>
      <vt:variant>
        <vt:i4>0</vt:i4>
      </vt:variant>
      <vt:variant>
        <vt:i4>5</vt:i4>
      </vt:variant>
      <vt:variant>
        <vt:lpwstr/>
      </vt:variant>
      <vt:variant>
        <vt:lpwstr>_Toc366602195</vt:lpwstr>
      </vt:variant>
      <vt:variant>
        <vt:i4>1835060</vt:i4>
      </vt:variant>
      <vt:variant>
        <vt:i4>140</vt:i4>
      </vt:variant>
      <vt:variant>
        <vt:i4>0</vt:i4>
      </vt:variant>
      <vt:variant>
        <vt:i4>5</vt:i4>
      </vt:variant>
      <vt:variant>
        <vt:lpwstr/>
      </vt:variant>
      <vt:variant>
        <vt:lpwstr>_Toc366602194</vt:lpwstr>
      </vt:variant>
      <vt:variant>
        <vt:i4>1835060</vt:i4>
      </vt:variant>
      <vt:variant>
        <vt:i4>134</vt:i4>
      </vt:variant>
      <vt:variant>
        <vt:i4>0</vt:i4>
      </vt:variant>
      <vt:variant>
        <vt:i4>5</vt:i4>
      </vt:variant>
      <vt:variant>
        <vt:lpwstr/>
      </vt:variant>
      <vt:variant>
        <vt:lpwstr>_Toc366602193</vt:lpwstr>
      </vt:variant>
      <vt:variant>
        <vt:i4>1835060</vt:i4>
      </vt:variant>
      <vt:variant>
        <vt:i4>128</vt:i4>
      </vt:variant>
      <vt:variant>
        <vt:i4>0</vt:i4>
      </vt:variant>
      <vt:variant>
        <vt:i4>5</vt:i4>
      </vt:variant>
      <vt:variant>
        <vt:lpwstr/>
      </vt:variant>
      <vt:variant>
        <vt:lpwstr>_Toc366602192</vt:lpwstr>
      </vt:variant>
      <vt:variant>
        <vt:i4>1835060</vt:i4>
      </vt:variant>
      <vt:variant>
        <vt:i4>122</vt:i4>
      </vt:variant>
      <vt:variant>
        <vt:i4>0</vt:i4>
      </vt:variant>
      <vt:variant>
        <vt:i4>5</vt:i4>
      </vt:variant>
      <vt:variant>
        <vt:lpwstr/>
      </vt:variant>
      <vt:variant>
        <vt:lpwstr>_Toc366602191</vt:lpwstr>
      </vt:variant>
      <vt:variant>
        <vt:i4>1835060</vt:i4>
      </vt:variant>
      <vt:variant>
        <vt:i4>116</vt:i4>
      </vt:variant>
      <vt:variant>
        <vt:i4>0</vt:i4>
      </vt:variant>
      <vt:variant>
        <vt:i4>5</vt:i4>
      </vt:variant>
      <vt:variant>
        <vt:lpwstr/>
      </vt:variant>
      <vt:variant>
        <vt:lpwstr>_Toc366602190</vt:lpwstr>
      </vt:variant>
      <vt:variant>
        <vt:i4>1900596</vt:i4>
      </vt:variant>
      <vt:variant>
        <vt:i4>110</vt:i4>
      </vt:variant>
      <vt:variant>
        <vt:i4>0</vt:i4>
      </vt:variant>
      <vt:variant>
        <vt:i4>5</vt:i4>
      </vt:variant>
      <vt:variant>
        <vt:lpwstr/>
      </vt:variant>
      <vt:variant>
        <vt:lpwstr>_Toc366602189</vt:lpwstr>
      </vt:variant>
      <vt:variant>
        <vt:i4>1900596</vt:i4>
      </vt:variant>
      <vt:variant>
        <vt:i4>104</vt:i4>
      </vt:variant>
      <vt:variant>
        <vt:i4>0</vt:i4>
      </vt:variant>
      <vt:variant>
        <vt:i4>5</vt:i4>
      </vt:variant>
      <vt:variant>
        <vt:lpwstr/>
      </vt:variant>
      <vt:variant>
        <vt:lpwstr>_Toc366602188</vt:lpwstr>
      </vt:variant>
      <vt:variant>
        <vt:i4>1900596</vt:i4>
      </vt:variant>
      <vt:variant>
        <vt:i4>98</vt:i4>
      </vt:variant>
      <vt:variant>
        <vt:i4>0</vt:i4>
      </vt:variant>
      <vt:variant>
        <vt:i4>5</vt:i4>
      </vt:variant>
      <vt:variant>
        <vt:lpwstr/>
      </vt:variant>
      <vt:variant>
        <vt:lpwstr>_Toc366602187</vt:lpwstr>
      </vt:variant>
      <vt:variant>
        <vt:i4>1900596</vt:i4>
      </vt:variant>
      <vt:variant>
        <vt:i4>92</vt:i4>
      </vt:variant>
      <vt:variant>
        <vt:i4>0</vt:i4>
      </vt:variant>
      <vt:variant>
        <vt:i4>5</vt:i4>
      </vt:variant>
      <vt:variant>
        <vt:lpwstr/>
      </vt:variant>
      <vt:variant>
        <vt:lpwstr>_Toc366602186</vt:lpwstr>
      </vt:variant>
      <vt:variant>
        <vt:i4>1900596</vt:i4>
      </vt:variant>
      <vt:variant>
        <vt:i4>86</vt:i4>
      </vt:variant>
      <vt:variant>
        <vt:i4>0</vt:i4>
      </vt:variant>
      <vt:variant>
        <vt:i4>5</vt:i4>
      </vt:variant>
      <vt:variant>
        <vt:lpwstr/>
      </vt:variant>
      <vt:variant>
        <vt:lpwstr>_Toc366602185</vt:lpwstr>
      </vt:variant>
      <vt:variant>
        <vt:i4>1900596</vt:i4>
      </vt:variant>
      <vt:variant>
        <vt:i4>80</vt:i4>
      </vt:variant>
      <vt:variant>
        <vt:i4>0</vt:i4>
      </vt:variant>
      <vt:variant>
        <vt:i4>5</vt:i4>
      </vt:variant>
      <vt:variant>
        <vt:lpwstr/>
      </vt:variant>
      <vt:variant>
        <vt:lpwstr>_Toc366602184</vt:lpwstr>
      </vt:variant>
      <vt:variant>
        <vt:i4>1900596</vt:i4>
      </vt:variant>
      <vt:variant>
        <vt:i4>74</vt:i4>
      </vt:variant>
      <vt:variant>
        <vt:i4>0</vt:i4>
      </vt:variant>
      <vt:variant>
        <vt:i4>5</vt:i4>
      </vt:variant>
      <vt:variant>
        <vt:lpwstr/>
      </vt:variant>
      <vt:variant>
        <vt:lpwstr>_Toc366602183</vt:lpwstr>
      </vt:variant>
      <vt:variant>
        <vt:i4>1900596</vt:i4>
      </vt:variant>
      <vt:variant>
        <vt:i4>68</vt:i4>
      </vt:variant>
      <vt:variant>
        <vt:i4>0</vt:i4>
      </vt:variant>
      <vt:variant>
        <vt:i4>5</vt:i4>
      </vt:variant>
      <vt:variant>
        <vt:lpwstr/>
      </vt:variant>
      <vt:variant>
        <vt:lpwstr>_Toc366602182</vt:lpwstr>
      </vt:variant>
      <vt:variant>
        <vt:i4>1900596</vt:i4>
      </vt:variant>
      <vt:variant>
        <vt:i4>62</vt:i4>
      </vt:variant>
      <vt:variant>
        <vt:i4>0</vt:i4>
      </vt:variant>
      <vt:variant>
        <vt:i4>5</vt:i4>
      </vt:variant>
      <vt:variant>
        <vt:lpwstr/>
      </vt:variant>
      <vt:variant>
        <vt:lpwstr>_Toc366602181</vt:lpwstr>
      </vt:variant>
      <vt:variant>
        <vt:i4>1900596</vt:i4>
      </vt:variant>
      <vt:variant>
        <vt:i4>56</vt:i4>
      </vt:variant>
      <vt:variant>
        <vt:i4>0</vt:i4>
      </vt:variant>
      <vt:variant>
        <vt:i4>5</vt:i4>
      </vt:variant>
      <vt:variant>
        <vt:lpwstr/>
      </vt:variant>
      <vt:variant>
        <vt:lpwstr>_Toc366602180</vt:lpwstr>
      </vt:variant>
      <vt:variant>
        <vt:i4>1179700</vt:i4>
      </vt:variant>
      <vt:variant>
        <vt:i4>50</vt:i4>
      </vt:variant>
      <vt:variant>
        <vt:i4>0</vt:i4>
      </vt:variant>
      <vt:variant>
        <vt:i4>5</vt:i4>
      </vt:variant>
      <vt:variant>
        <vt:lpwstr/>
      </vt:variant>
      <vt:variant>
        <vt:lpwstr>_Toc366602179</vt:lpwstr>
      </vt:variant>
      <vt:variant>
        <vt:i4>1179700</vt:i4>
      </vt:variant>
      <vt:variant>
        <vt:i4>44</vt:i4>
      </vt:variant>
      <vt:variant>
        <vt:i4>0</vt:i4>
      </vt:variant>
      <vt:variant>
        <vt:i4>5</vt:i4>
      </vt:variant>
      <vt:variant>
        <vt:lpwstr/>
      </vt:variant>
      <vt:variant>
        <vt:lpwstr>_Toc366602178</vt:lpwstr>
      </vt:variant>
      <vt:variant>
        <vt:i4>1179700</vt:i4>
      </vt:variant>
      <vt:variant>
        <vt:i4>38</vt:i4>
      </vt:variant>
      <vt:variant>
        <vt:i4>0</vt:i4>
      </vt:variant>
      <vt:variant>
        <vt:i4>5</vt:i4>
      </vt:variant>
      <vt:variant>
        <vt:lpwstr/>
      </vt:variant>
      <vt:variant>
        <vt:lpwstr>_Toc366602177</vt:lpwstr>
      </vt:variant>
      <vt:variant>
        <vt:i4>1179700</vt:i4>
      </vt:variant>
      <vt:variant>
        <vt:i4>32</vt:i4>
      </vt:variant>
      <vt:variant>
        <vt:i4>0</vt:i4>
      </vt:variant>
      <vt:variant>
        <vt:i4>5</vt:i4>
      </vt:variant>
      <vt:variant>
        <vt:lpwstr/>
      </vt:variant>
      <vt:variant>
        <vt:lpwstr>_Toc366602176</vt:lpwstr>
      </vt:variant>
      <vt:variant>
        <vt:i4>1179700</vt:i4>
      </vt:variant>
      <vt:variant>
        <vt:i4>26</vt:i4>
      </vt:variant>
      <vt:variant>
        <vt:i4>0</vt:i4>
      </vt:variant>
      <vt:variant>
        <vt:i4>5</vt:i4>
      </vt:variant>
      <vt:variant>
        <vt:lpwstr/>
      </vt:variant>
      <vt:variant>
        <vt:lpwstr>_Toc366602175</vt:lpwstr>
      </vt:variant>
      <vt:variant>
        <vt:i4>1179700</vt:i4>
      </vt:variant>
      <vt:variant>
        <vt:i4>20</vt:i4>
      </vt:variant>
      <vt:variant>
        <vt:i4>0</vt:i4>
      </vt:variant>
      <vt:variant>
        <vt:i4>5</vt:i4>
      </vt:variant>
      <vt:variant>
        <vt:lpwstr/>
      </vt:variant>
      <vt:variant>
        <vt:lpwstr>_Toc366602174</vt:lpwstr>
      </vt:variant>
      <vt:variant>
        <vt:i4>1179700</vt:i4>
      </vt:variant>
      <vt:variant>
        <vt:i4>14</vt:i4>
      </vt:variant>
      <vt:variant>
        <vt:i4>0</vt:i4>
      </vt:variant>
      <vt:variant>
        <vt:i4>5</vt:i4>
      </vt:variant>
      <vt:variant>
        <vt:lpwstr/>
      </vt:variant>
      <vt:variant>
        <vt:lpwstr>_Toc366602173</vt:lpwstr>
      </vt:variant>
      <vt:variant>
        <vt:i4>1179700</vt:i4>
      </vt:variant>
      <vt:variant>
        <vt:i4>8</vt:i4>
      </vt:variant>
      <vt:variant>
        <vt:i4>0</vt:i4>
      </vt:variant>
      <vt:variant>
        <vt:i4>5</vt:i4>
      </vt:variant>
      <vt:variant>
        <vt:lpwstr/>
      </vt:variant>
      <vt:variant>
        <vt:lpwstr>_Toc366602172</vt:lpwstr>
      </vt:variant>
      <vt:variant>
        <vt:i4>6291548</vt:i4>
      </vt:variant>
      <vt:variant>
        <vt:i4>3</vt:i4>
      </vt:variant>
      <vt:variant>
        <vt:i4>0</vt:i4>
      </vt:variant>
      <vt:variant>
        <vt:i4>5</vt:i4>
      </vt:variant>
      <vt:variant>
        <vt:lpwstr>mailto:tga.copyright@tga.gov.au</vt:lpwstr>
      </vt:variant>
      <vt:variant>
        <vt:lpwstr/>
      </vt:variant>
      <vt:variant>
        <vt:i4>983067</vt:i4>
      </vt:variant>
      <vt:variant>
        <vt:i4>0</vt:i4>
      </vt:variant>
      <vt:variant>
        <vt:i4>0</vt:i4>
      </vt:variant>
      <vt:variant>
        <vt:i4>5</vt:i4>
      </vt:variant>
      <vt:variant>
        <vt:lpwstr>http://ww.tga.gov.au/</vt:lpwstr>
      </vt:variant>
      <vt:variant>
        <vt:lpwstr/>
      </vt:variant>
      <vt:variant>
        <vt:i4>6357037</vt:i4>
      </vt:variant>
      <vt:variant>
        <vt:i4>18</vt:i4>
      </vt:variant>
      <vt:variant>
        <vt:i4>0</vt:i4>
      </vt:variant>
      <vt:variant>
        <vt:i4>5</vt:i4>
      </vt:variant>
      <vt:variant>
        <vt:lpwstr>http://www.tga.gov.au/</vt:lpwstr>
      </vt:variant>
      <vt:variant>
        <vt:lpwstr/>
      </vt:variant>
      <vt:variant>
        <vt:i4>5242926</vt:i4>
      </vt:variant>
      <vt:variant>
        <vt:i4>15</vt:i4>
      </vt:variant>
      <vt:variant>
        <vt:i4>0</vt:i4>
      </vt:variant>
      <vt:variant>
        <vt:i4>5</vt:i4>
      </vt:variant>
      <vt:variant>
        <vt:lpwstr>mailto:info@tga.gov.au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Saxagliptin / metformin hydrochloride</dc:title>
  <dc:subject>prescription medicine regulation</dc:subject>
  <dc:creator>Therapeutic Goods Administration</dc:creator>
  <cp:keywords>auspar, prescription, medicine, assessment, regulation, australia, saxaglipton, metformin, hydrochloride, Bristol, Myers, Squibb, Kombiglyze</cp:keywords>
  <cp:lastModifiedBy>dixonj</cp:lastModifiedBy>
  <cp:revision>14</cp:revision>
  <cp:lastPrinted>2013-10-15T00:16:00Z</cp:lastPrinted>
  <dcterms:created xsi:type="dcterms:W3CDTF">2013-11-06T00:13:00Z</dcterms:created>
  <dcterms:modified xsi:type="dcterms:W3CDTF">2013-11-07T03:38:00Z</dcterms:modified>
  <cp:category>External publication</cp:category>
</cp:coreProperties>
</file>