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52941FC" w14:textId="77777777" w:rsidTr="00BF1190">
        <w:trPr>
          <w:trHeight w:val="1863"/>
        </w:trPr>
        <w:tc>
          <w:tcPr>
            <w:tcW w:w="3652" w:type="dxa"/>
            <w:tcBorders>
              <w:top w:val="nil"/>
              <w:left w:val="nil"/>
              <w:bottom w:val="nil"/>
              <w:right w:val="nil"/>
            </w:tcBorders>
          </w:tcPr>
          <w:p w14:paraId="4A5760CC" w14:textId="1262EEB1" w:rsidR="008E7846" w:rsidRPr="00096AA7" w:rsidRDefault="00E33D09" w:rsidP="00096AA7">
            <w:pPr>
              <w:rPr>
                <w:rFonts w:ascii="Arial" w:hAnsi="Arial" w:cs="Arial"/>
                <w:b/>
                <w:color w:val="002C47"/>
                <w:sz w:val="36"/>
                <w:szCs w:val="36"/>
              </w:rPr>
            </w:pPr>
            <w:r>
              <w:rPr>
                <w:rFonts w:ascii="Arial" w:hAnsi="Arial" w:cs="Arial"/>
                <w:b/>
                <w:color w:val="002C47"/>
                <w:sz w:val="36"/>
                <w:szCs w:val="36"/>
              </w:rPr>
              <w:t>Ju</w:t>
            </w:r>
            <w:r w:rsidR="001B12D9">
              <w:rPr>
                <w:rFonts w:ascii="Arial" w:hAnsi="Arial" w:cs="Arial"/>
                <w:b/>
                <w:color w:val="002C47"/>
                <w:sz w:val="36"/>
                <w:szCs w:val="36"/>
              </w:rPr>
              <w:t>ly</w:t>
            </w:r>
            <w:r w:rsidR="00C346AB">
              <w:rPr>
                <w:rFonts w:ascii="Arial" w:hAnsi="Arial" w:cs="Arial"/>
                <w:b/>
                <w:color w:val="002C47"/>
                <w:sz w:val="36"/>
                <w:szCs w:val="36"/>
              </w:rPr>
              <w:t xml:space="preserve"> </w:t>
            </w:r>
            <w:r w:rsidR="004D784C">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F0B9236" w14:textId="77777777" w:rsidTr="0032583B">
        <w:trPr>
          <w:trHeight w:val="868"/>
        </w:trPr>
        <w:tc>
          <w:tcPr>
            <w:tcW w:w="9079" w:type="dxa"/>
          </w:tcPr>
          <w:p w14:paraId="6AD52C26" w14:textId="77777777" w:rsidR="0032583B" w:rsidRPr="00A964D1" w:rsidRDefault="0032583B" w:rsidP="004D784C">
            <w:pPr>
              <w:pStyle w:val="Title"/>
              <w:rPr>
                <w:color w:val="FFFFFF" w:themeColor="background1"/>
              </w:rPr>
            </w:pPr>
            <w:r w:rsidRPr="00A964D1">
              <w:rPr>
                <w:color w:val="FFFFFF" w:themeColor="background1"/>
              </w:rPr>
              <w:t>Australia</w:t>
            </w:r>
            <w:r w:rsidR="004D784C">
              <w:rPr>
                <w:color w:val="FFFFFF" w:themeColor="background1"/>
              </w:rPr>
              <w:t xml:space="preserve">n Public Assessment Report for </w:t>
            </w:r>
            <w:proofErr w:type="spellStart"/>
            <w:r w:rsidR="004D784C">
              <w:rPr>
                <w:color w:val="FFFFFF" w:themeColor="background1"/>
              </w:rPr>
              <w:t>S</w:t>
            </w:r>
            <w:r w:rsidR="004D784C" w:rsidRPr="004D784C">
              <w:rPr>
                <w:color w:val="FFFFFF" w:themeColor="background1"/>
              </w:rPr>
              <w:t>atralizumab</w:t>
            </w:r>
            <w:proofErr w:type="spellEnd"/>
          </w:p>
        </w:tc>
      </w:tr>
      <w:tr w:rsidR="0032583B" w:rsidRPr="00B64760" w14:paraId="52EA3102" w14:textId="77777777" w:rsidTr="0032583B">
        <w:tc>
          <w:tcPr>
            <w:tcW w:w="9079" w:type="dxa"/>
          </w:tcPr>
          <w:p w14:paraId="49F4E461" w14:textId="77777777" w:rsidR="0032583B" w:rsidRPr="008E7846" w:rsidRDefault="0032583B" w:rsidP="00460036">
            <w:pPr>
              <w:pStyle w:val="Subtitle"/>
              <w:rPr>
                <w:color w:val="FFFFFF" w:themeColor="background1"/>
              </w:rPr>
            </w:pPr>
            <w:r w:rsidRPr="008E7846">
              <w:rPr>
                <w:color w:val="FFFFFF" w:themeColor="background1"/>
              </w:rPr>
              <w:t xml:space="preserve">Proprietary Product Name: </w:t>
            </w:r>
            <w:proofErr w:type="spellStart"/>
            <w:r w:rsidR="004D784C" w:rsidRPr="004D784C">
              <w:rPr>
                <w:color w:val="FFFFFF" w:themeColor="background1"/>
              </w:rPr>
              <w:t>E</w:t>
            </w:r>
            <w:r w:rsidR="004D784C">
              <w:rPr>
                <w:color w:val="FFFFFF" w:themeColor="background1"/>
              </w:rPr>
              <w:t>nspryng</w:t>
            </w:r>
            <w:proofErr w:type="spellEnd"/>
          </w:p>
        </w:tc>
      </w:tr>
      <w:tr w:rsidR="0032583B" w:rsidRPr="00B64760" w14:paraId="72080E6E" w14:textId="77777777" w:rsidTr="0032583B">
        <w:trPr>
          <w:trHeight w:val="486"/>
        </w:trPr>
        <w:tc>
          <w:tcPr>
            <w:tcW w:w="9079" w:type="dxa"/>
          </w:tcPr>
          <w:p w14:paraId="7D66F669" w14:textId="77777777" w:rsidR="0032583B" w:rsidRPr="008E7846" w:rsidRDefault="004D784C" w:rsidP="004D784C">
            <w:pPr>
              <w:pStyle w:val="Subtitle"/>
              <w:rPr>
                <w:color w:val="FFFFFF" w:themeColor="background1"/>
              </w:rPr>
            </w:pPr>
            <w:r>
              <w:rPr>
                <w:color w:val="FFFFFF" w:themeColor="background1"/>
              </w:rPr>
              <w:t>Sponsor: Roche Products Pty Ltd</w:t>
            </w:r>
          </w:p>
        </w:tc>
      </w:tr>
    </w:tbl>
    <w:p w14:paraId="3A1E8E91" w14:textId="77777777" w:rsidR="008E7846" w:rsidRPr="0085156D" w:rsidRDefault="008E7846" w:rsidP="0085156D">
      <w:r w:rsidRPr="0085156D">
        <w:br w:type="page"/>
      </w:r>
    </w:p>
    <w:p w14:paraId="41502D36" w14:textId="77777777" w:rsidR="008E7846" w:rsidRPr="001F6CBA" w:rsidRDefault="008E7846" w:rsidP="008E7846">
      <w:pPr>
        <w:pStyle w:val="NonTOCHeading2"/>
      </w:pPr>
      <w:r w:rsidRPr="001F6CBA">
        <w:lastRenderedPageBreak/>
        <w:t>About the Therapeutic Goods Administration (TGA)</w:t>
      </w:r>
    </w:p>
    <w:p w14:paraId="3BE356F8" w14:textId="77777777" w:rsidR="008E7846" w:rsidRDefault="008E7846" w:rsidP="009F40AB">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B8C4695" w14:textId="77777777" w:rsidR="008E7846" w:rsidRDefault="00C80137" w:rsidP="009F40A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w:t>
      </w:r>
      <w:proofErr w:type="gramStart"/>
      <w:r w:rsidR="008E7846">
        <w:t>safety</w:t>
      </w:r>
      <w:proofErr w:type="gramEnd"/>
      <w:r w:rsidR="008E7846">
        <w:t xml:space="preserve"> and efficacy (performance) when necessary.</w:t>
      </w:r>
    </w:p>
    <w:p w14:paraId="6F7C777A" w14:textId="77777777" w:rsidR="008E7846" w:rsidRDefault="008E7846" w:rsidP="009F40A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150069C0" w14:textId="77777777" w:rsidR="008E7846" w:rsidRDefault="008E7846" w:rsidP="009F40A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4BE5A9EA" w14:textId="0FA5CA6E" w:rsidR="00441C3F" w:rsidRDefault="008E7846" w:rsidP="009F40AB">
      <w:pPr>
        <w:pStyle w:val="ListBullet"/>
        <w:numPr>
          <w:ilvl w:val="0"/>
          <w:numId w:val="1"/>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4B45491" w14:textId="77777777" w:rsidR="008E7846" w:rsidRDefault="008E7846" w:rsidP="00875A6B">
      <w:pPr>
        <w:pStyle w:val="NonTOCHeading2"/>
      </w:pPr>
      <w:r>
        <w:t xml:space="preserve">About </w:t>
      </w:r>
      <w:proofErr w:type="spellStart"/>
      <w:r>
        <w:t>AusPARs</w:t>
      </w:r>
      <w:proofErr w:type="spellEnd"/>
    </w:p>
    <w:p w14:paraId="551D215B" w14:textId="77777777" w:rsidR="008E7846" w:rsidRDefault="008E7846" w:rsidP="009F40AB">
      <w:pPr>
        <w:pStyle w:val="ListBullet"/>
        <w:numPr>
          <w:ilvl w:val="0"/>
          <w:numId w:val="1"/>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5995825D" w14:textId="77777777" w:rsidR="008E7846" w:rsidRDefault="008E7846" w:rsidP="009F40AB">
      <w:pPr>
        <w:pStyle w:val="ListBullet"/>
        <w:numPr>
          <w:ilvl w:val="0"/>
          <w:numId w:val="1"/>
        </w:numPr>
        <w:ind w:left="357" w:hanging="357"/>
      </w:pPr>
      <w:proofErr w:type="spellStart"/>
      <w:r>
        <w:t>AusPARs</w:t>
      </w:r>
      <w:proofErr w:type="spellEnd"/>
      <w:r>
        <w:t xml:space="preserve"> are prepared and published by the TGA.</w:t>
      </w:r>
    </w:p>
    <w:p w14:paraId="57B70F9D" w14:textId="77777777" w:rsidR="008E7846" w:rsidRDefault="008E7846" w:rsidP="009F40AB">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w:t>
      </w:r>
      <w:proofErr w:type="gramStart"/>
      <w:r>
        <w:t>variations</w:t>
      </w:r>
      <w:proofErr w:type="gramEnd"/>
      <w:r>
        <w:t xml:space="preserve"> and extensions of indications.</w:t>
      </w:r>
    </w:p>
    <w:p w14:paraId="24DECE1B" w14:textId="77777777" w:rsidR="008E7846" w:rsidRDefault="008E7846" w:rsidP="009F40AB">
      <w:pPr>
        <w:pStyle w:val="ListBullet"/>
        <w:numPr>
          <w:ilvl w:val="0"/>
          <w:numId w:val="1"/>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1295B402" w14:textId="77777777" w:rsidR="00B452CE" w:rsidRDefault="008E7846" w:rsidP="009F40AB">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14276E2C" w14:textId="77777777" w:rsidR="00924482" w:rsidRPr="00DF1D7F" w:rsidRDefault="00924482" w:rsidP="00F54B65">
      <w:pPr>
        <w:pStyle w:val="LegalSubheading"/>
        <w:spacing w:before="3120"/>
      </w:pPr>
      <w:r w:rsidRPr="00DF1D7F">
        <w:t>Copyright</w:t>
      </w:r>
    </w:p>
    <w:p w14:paraId="47BA3F5D" w14:textId="6653A0F2"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4F1DA129"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EBC7B96" w14:textId="77777777" w:rsidR="0089635C" w:rsidRPr="0089635C" w:rsidRDefault="0089635C" w:rsidP="0010788A">
          <w:pPr>
            <w:pStyle w:val="Contents"/>
          </w:pPr>
          <w:r w:rsidRPr="0010788A">
            <w:t>Contents</w:t>
          </w:r>
        </w:p>
        <w:p w14:paraId="009DF8BA" w14:textId="0BEF1DED" w:rsidR="009340CF"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7162687" w:history="1">
            <w:r w:rsidR="009340CF" w:rsidRPr="00F840D5">
              <w:rPr>
                <w:rStyle w:val="Hyperlink"/>
                <w:noProof/>
              </w:rPr>
              <w:t>List of abbreviations</w:t>
            </w:r>
            <w:r w:rsidR="009340CF">
              <w:rPr>
                <w:noProof/>
                <w:webHidden/>
              </w:rPr>
              <w:tab/>
            </w:r>
            <w:r w:rsidR="009340CF">
              <w:rPr>
                <w:noProof/>
                <w:webHidden/>
              </w:rPr>
              <w:fldChar w:fldCharType="begin"/>
            </w:r>
            <w:r w:rsidR="009340CF">
              <w:rPr>
                <w:noProof/>
                <w:webHidden/>
              </w:rPr>
              <w:instrText xml:space="preserve"> PAGEREF _Toc77162687 \h </w:instrText>
            </w:r>
            <w:r w:rsidR="009340CF">
              <w:rPr>
                <w:noProof/>
                <w:webHidden/>
              </w:rPr>
            </w:r>
            <w:r w:rsidR="009340CF">
              <w:rPr>
                <w:noProof/>
                <w:webHidden/>
              </w:rPr>
              <w:fldChar w:fldCharType="separate"/>
            </w:r>
            <w:r w:rsidR="009340CF">
              <w:rPr>
                <w:noProof/>
                <w:webHidden/>
              </w:rPr>
              <w:t>4</w:t>
            </w:r>
            <w:r w:rsidR="009340CF">
              <w:rPr>
                <w:noProof/>
                <w:webHidden/>
              </w:rPr>
              <w:fldChar w:fldCharType="end"/>
            </w:r>
          </w:hyperlink>
        </w:p>
        <w:p w14:paraId="475BA3A1" w14:textId="783118A5" w:rsidR="009340CF" w:rsidRDefault="00A64481">
          <w:pPr>
            <w:pStyle w:val="TOC1"/>
            <w:rPr>
              <w:rFonts w:asciiTheme="minorHAnsi" w:eastAsiaTheme="minorEastAsia" w:hAnsiTheme="minorHAnsi" w:cstheme="minorBidi"/>
              <w:b w:val="0"/>
              <w:noProof/>
              <w:sz w:val="22"/>
              <w:lang w:eastAsia="en-AU"/>
            </w:rPr>
          </w:pPr>
          <w:hyperlink w:anchor="_Toc77162688" w:history="1">
            <w:r w:rsidR="009340CF" w:rsidRPr="00F840D5">
              <w:rPr>
                <w:rStyle w:val="Hyperlink"/>
                <w:noProof/>
              </w:rPr>
              <w:t>I. Introduction to product submission</w:t>
            </w:r>
            <w:r w:rsidR="009340CF">
              <w:rPr>
                <w:noProof/>
                <w:webHidden/>
              </w:rPr>
              <w:tab/>
            </w:r>
            <w:r w:rsidR="009340CF">
              <w:rPr>
                <w:noProof/>
                <w:webHidden/>
              </w:rPr>
              <w:fldChar w:fldCharType="begin"/>
            </w:r>
            <w:r w:rsidR="009340CF">
              <w:rPr>
                <w:noProof/>
                <w:webHidden/>
              </w:rPr>
              <w:instrText xml:space="preserve"> PAGEREF _Toc77162688 \h </w:instrText>
            </w:r>
            <w:r w:rsidR="009340CF">
              <w:rPr>
                <w:noProof/>
                <w:webHidden/>
              </w:rPr>
            </w:r>
            <w:r w:rsidR="009340CF">
              <w:rPr>
                <w:noProof/>
                <w:webHidden/>
              </w:rPr>
              <w:fldChar w:fldCharType="separate"/>
            </w:r>
            <w:r w:rsidR="009340CF">
              <w:rPr>
                <w:noProof/>
                <w:webHidden/>
              </w:rPr>
              <w:t>7</w:t>
            </w:r>
            <w:r w:rsidR="009340CF">
              <w:rPr>
                <w:noProof/>
                <w:webHidden/>
              </w:rPr>
              <w:fldChar w:fldCharType="end"/>
            </w:r>
          </w:hyperlink>
        </w:p>
        <w:p w14:paraId="21A129D6" w14:textId="3BD37E53" w:rsidR="009340CF" w:rsidRDefault="00A64481">
          <w:pPr>
            <w:pStyle w:val="TOC2"/>
            <w:rPr>
              <w:rFonts w:asciiTheme="minorHAnsi" w:eastAsiaTheme="minorEastAsia" w:hAnsiTheme="minorHAnsi" w:cstheme="minorBidi"/>
              <w:b w:val="0"/>
              <w:noProof/>
              <w:sz w:val="22"/>
              <w:lang w:eastAsia="en-AU"/>
            </w:rPr>
          </w:pPr>
          <w:hyperlink w:anchor="_Toc77162689" w:history="1">
            <w:r w:rsidR="009340CF" w:rsidRPr="00F840D5">
              <w:rPr>
                <w:rStyle w:val="Hyperlink"/>
                <w:noProof/>
                <w:lang w:eastAsia="en-AU"/>
              </w:rPr>
              <w:t>Submission details</w:t>
            </w:r>
            <w:r w:rsidR="009340CF">
              <w:rPr>
                <w:noProof/>
                <w:webHidden/>
              </w:rPr>
              <w:tab/>
            </w:r>
            <w:r w:rsidR="009340CF">
              <w:rPr>
                <w:noProof/>
                <w:webHidden/>
              </w:rPr>
              <w:fldChar w:fldCharType="begin"/>
            </w:r>
            <w:r w:rsidR="009340CF">
              <w:rPr>
                <w:noProof/>
                <w:webHidden/>
              </w:rPr>
              <w:instrText xml:space="preserve"> PAGEREF _Toc77162689 \h </w:instrText>
            </w:r>
            <w:r w:rsidR="009340CF">
              <w:rPr>
                <w:noProof/>
                <w:webHidden/>
              </w:rPr>
            </w:r>
            <w:r w:rsidR="009340CF">
              <w:rPr>
                <w:noProof/>
                <w:webHidden/>
              </w:rPr>
              <w:fldChar w:fldCharType="separate"/>
            </w:r>
            <w:r w:rsidR="009340CF">
              <w:rPr>
                <w:noProof/>
                <w:webHidden/>
              </w:rPr>
              <w:t>7</w:t>
            </w:r>
            <w:r w:rsidR="009340CF">
              <w:rPr>
                <w:noProof/>
                <w:webHidden/>
              </w:rPr>
              <w:fldChar w:fldCharType="end"/>
            </w:r>
          </w:hyperlink>
        </w:p>
        <w:p w14:paraId="3ECECD96" w14:textId="594F716A" w:rsidR="009340CF" w:rsidRDefault="00A64481">
          <w:pPr>
            <w:pStyle w:val="TOC2"/>
            <w:rPr>
              <w:rFonts w:asciiTheme="minorHAnsi" w:eastAsiaTheme="minorEastAsia" w:hAnsiTheme="minorHAnsi" w:cstheme="minorBidi"/>
              <w:b w:val="0"/>
              <w:noProof/>
              <w:sz w:val="22"/>
              <w:lang w:eastAsia="en-AU"/>
            </w:rPr>
          </w:pPr>
          <w:hyperlink w:anchor="_Toc77162690" w:history="1">
            <w:r w:rsidR="009340CF" w:rsidRPr="00F840D5">
              <w:rPr>
                <w:rStyle w:val="Hyperlink"/>
                <w:noProof/>
              </w:rPr>
              <w:t>Product background</w:t>
            </w:r>
            <w:r w:rsidR="009340CF">
              <w:rPr>
                <w:noProof/>
                <w:webHidden/>
              </w:rPr>
              <w:tab/>
            </w:r>
            <w:r w:rsidR="009340CF">
              <w:rPr>
                <w:noProof/>
                <w:webHidden/>
              </w:rPr>
              <w:fldChar w:fldCharType="begin"/>
            </w:r>
            <w:r w:rsidR="009340CF">
              <w:rPr>
                <w:noProof/>
                <w:webHidden/>
              </w:rPr>
              <w:instrText xml:space="preserve"> PAGEREF _Toc77162690 \h </w:instrText>
            </w:r>
            <w:r w:rsidR="009340CF">
              <w:rPr>
                <w:noProof/>
                <w:webHidden/>
              </w:rPr>
            </w:r>
            <w:r w:rsidR="009340CF">
              <w:rPr>
                <w:noProof/>
                <w:webHidden/>
              </w:rPr>
              <w:fldChar w:fldCharType="separate"/>
            </w:r>
            <w:r w:rsidR="009340CF">
              <w:rPr>
                <w:noProof/>
                <w:webHidden/>
              </w:rPr>
              <w:t>8</w:t>
            </w:r>
            <w:r w:rsidR="009340CF">
              <w:rPr>
                <w:noProof/>
                <w:webHidden/>
              </w:rPr>
              <w:fldChar w:fldCharType="end"/>
            </w:r>
          </w:hyperlink>
        </w:p>
        <w:p w14:paraId="1EB1BAFA" w14:textId="1DB6F146" w:rsidR="009340CF" w:rsidRDefault="00A64481">
          <w:pPr>
            <w:pStyle w:val="TOC2"/>
            <w:rPr>
              <w:rFonts w:asciiTheme="minorHAnsi" w:eastAsiaTheme="minorEastAsia" w:hAnsiTheme="minorHAnsi" w:cstheme="minorBidi"/>
              <w:b w:val="0"/>
              <w:noProof/>
              <w:sz w:val="22"/>
              <w:lang w:eastAsia="en-AU"/>
            </w:rPr>
          </w:pPr>
          <w:hyperlink w:anchor="_Toc77162691" w:history="1">
            <w:r w:rsidR="009340CF" w:rsidRPr="00F840D5">
              <w:rPr>
                <w:rStyle w:val="Hyperlink"/>
                <w:noProof/>
              </w:rPr>
              <w:t>Regulatory status</w:t>
            </w:r>
            <w:r w:rsidR="009340CF">
              <w:rPr>
                <w:noProof/>
                <w:webHidden/>
              </w:rPr>
              <w:tab/>
            </w:r>
            <w:r w:rsidR="009340CF">
              <w:rPr>
                <w:noProof/>
                <w:webHidden/>
              </w:rPr>
              <w:fldChar w:fldCharType="begin"/>
            </w:r>
            <w:r w:rsidR="009340CF">
              <w:rPr>
                <w:noProof/>
                <w:webHidden/>
              </w:rPr>
              <w:instrText xml:space="preserve"> PAGEREF _Toc77162691 \h </w:instrText>
            </w:r>
            <w:r w:rsidR="009340CF">
              <w:rPr>
                <w:noProof/>
                <w:webHidden/>
              </w:rPr>
            </w:r>
            <w:r w:rsidR="009340CF">
              <w:rPr>
                <w:noProof/>
                <w:webHidden/>
              </w:rPr>
              <w:fldChar w:fldCharType="separate"/>
            </w:r>
            <w:r w:rsidR="009340CF">
              <w:rPr>
                <w:noProof/>
                <w:webHidden/>
              </w:rPr>
              <w:t>10</w:t>
            </w:r>
            <w:r w:rsidR="009340CF">
              <w:rPr>
                <w:noProof/>
                <w:webHidden/>
              </w:rPr>
              <w:fldChar w:fldCharType="end"/>
            </w:r>
          </w:hyperlink>
        </w:p>
        <w:p w14:paraId="235EC73D" w14:textId="2F7371C6" w:rsidR="009340CF" w:rsidRDefault="00A64481">
          <w:pPr>
            <w:pStyle w:val="TOC2"/>
            <w:rPr>
              <w:rFonts w:asciiTheme="minorHAnsi" w:eastAsiaTheme="minorEastAsia" w:hAnsiTheme="minorHAnsi" w:cstheme="minorBidi"/>
              <w:b w:val="0"/>
              <w:noProof/>
              <w:sz w:val="22"/>
              <w:lang w:eastAsia="en-AU"/>
            </w:rPr>
          </w:pPr>
          <w:hyperlink w:anchor="_Toc77162692" w:history="1">
            <w:r w:rsidR="009340CF" w:rsidRPr="00F840D5">
              <w:rPr>
                <w:rStyle w:val="Hyperlink"/>
                <w:noProof/>
              </w:rPr>
              <w:t>Product Information</w:t>
            </w:r>
            <w:r w:rsidR="009340CF">
              <w:rPr>
                <w:noProof/>
                <w:webHidden/>
              </w:rPr>
              <w:tab/>
            </w:r>
            <w:r w:rsidR="009340CF">
              <w:rPr>
                <w:noProof/>
                <w:webHidden/>
              </w:rPr>
              <w:fldChar w:fldCharType="begin"/>
            </w:r>
            <w:r w:rsidR="009340CF">
              <w:rPr>
                <w:noProof/>
                <w:webHidden/>
              </w:rPr>
              <w:instrText xml:space="preserve"> PAGEREF _Toc77162692 \h </w:instrText>
            </w:r>
            <w:r w:rsidR="009340CF">
              <w:rPr>
                <w:noProof/>
                <w:webHidden/>
              </w:rPr>
            </w:r>
            <w:r w:rsidR="009340CF">
              <w:rPr>
                <w:noProof/>
                <w:webHidden/>
              </w:rPr>
              <w:fldChar w:fldCharType="separate"/>
            </w:r>
            <w:r w:rsidR="009340CF">
              <w:rPr>
                <w:noProof/>
                <w:webHidden/>
              </w:rPr>
              <w:t>12</w:t>
            </w:r>
            <w:r w:rsidR="009340CF">
              <w:rPr>
                <w:noProof/>
                <w:webHidden/>
              </w:rPr>
              <w:fldChar w:fldCharType="end"/>
            </w:r>
          </w:hyperlink>
        </w:p>
        <w:p w14:paraId="060E2E67" w14:textId="35B6AD46" w:rsidR="009340CF" w:rsidRDefault="00A64481">
          <w:pPr>
            <w:pStyle w:val="TOC1"/>
            <w:rPr>
              <w:rFonts w:asciiTheme="minorHAnsi" w:eastAsiaTheme="minorEastAsia" w:hAnsiTheme="minorHAnsi" w:cstheme="minorBidi"/>
              <w:b w:val="0"/>
              <w:noProof/>
              <w:sz w:val="22"/>
              <w:lang w:eastAsia="en-AU"/>
            </w:rPr>
          </w:pPr>
          <w:hyperlink w:anchor="_Toc77162693" w:history="1">
            <w:r w:rsidR="009340CF" w:rsidRPr="00F840D5">
              <w:rPr>
                <w:rStyle w:val="Hyperlink"/>
                <w:noProof/>
              </w:rPr>
              <w:t>II. Registration timeline</w:t>
            </w:r>
            <w:r w:rsidR="009340CF">
              <w:rPr>
                <w:noProof/>
                <w:webHidden/>
              </w:rPr>
              <w:tab/>
            </w:r>
            <w:r w:rsidR="009340CF">
              <w:rPr>
                <w:noProof/>
                <w:webHidden/>
              </w:rPr>
              <w:fldChar w:fldCharType="begin"/>
            </w:r>
            <w:r w:rsidR="009340CF">
              <w:rPr>
                <w:noProof/>
                <w:webHidden/>
              </w:rPr>
              <w:instrText xml:space="preserve"> PAGEREF _Toc77162693 \h </w:instrText>
            </w:r>
            <w:r w:rsidR="009340CF">
              <w:rPr>
                <w:noProof/>
                <w:webHidden/>
              </w:rPr>
            </w:r>
            <w:r w:rsidR="009340CF">
              <w:rPr>
                <w:noProof/>
                <w:webHidden/>
              </w:rPr>
              <w:fldChar w:fldCharType="separate"/>
            </w:r>
            <w:r w:rsidR="009340CF">
              <w:rPr>
                <w:noProof/>
                <w:webHidden/>
              </w:rPr>
              <w:t>12</w:t>
            </w:r>
            <w:r w:rsidR="009340CF">
              <w:rPr>
                <w:noProof/>
                <w:webHidden/>
              </w:rPr>
              <w:fldChar w:fldCharType="end"/>
            </w:r>
          </w:hyperlink>
        </w:p>
        <w:p w14:paraId="6916E495" w14:textId="3A3E724D" w:rsidR="009340CF" w:rsidRDefault="00A64481">
          <w:pPr>
            <w:pStyle w:val="TOC1"/>
            <w:rPr>
              <w:rFonts w:asciiTheme="minorHAnsi" w:eastAsiaTheme="minorEastAsia" w:hAnsiTheme="minorHAnsi" w:cstheme="minorBidi"/>
              <w:b w:val="0"/>
              <w:noProof/>
              <w:sz w:val="22"/>
              <w:lang w:eastAsia="en-AU"/>
            </w:rPr>
          </w:pPr>
          <w:hyperlink w:anchor="_Toc77162694" w:history="1">
            <w:r w:rsidR="009340CF" w:rsidRPr="00F840D5">
              <w:rPr>
                <w:rStyle w:val="Hyperlink"/>
                <w:noProof/>
              </w:rPr>
              <w:t>III. Submission overview and risk/benefit assessment</w:t>
            </w:r>
            <w:r w:rsidR="009340CF">
              <w:rPr>
                <w:noProof/>
                <w:webHidden/>
              </w:rPr>
              <w:tab/>
            </w:r>
            <w:r w:rsidR="009340CF">
              <w:rPr>
                <w:noProof/>
                <w:webHidden/>
              </w:rPr>
              <w:fldChar w:fldCharType="begin"/>
            </w:r>
            <w:r w:rsidR="009340CF">
              <w:rPr>
                <w:noProof/>
                <w:webHidden/>
              </w:rPr>
              <w:instrText xml:space="preserve"> PAGEREF _Toc77162694 \h </w:instrText>
            </w:r>
            <w:r w:rsidR="009340CF">
              <w:rPr>
                <w:noProof/>
                <w:webHidden/>
              </w:rPr>
            </w:r>
            <w:r w:rsidR="009340CF">
              <w:rPr>
                <w:noProof/>
                <w:webHidden/>
              </w:rPr>
              <w:fldChar w:fldCharType="separate"/>
            </w:r>
            <w:r w:rsidR="009340CF">
              <w:rPr>
                <w:noProof/>
                <w:webHidden/>
              </w:rPr>
              <w:t>13</w:t>
            </w:r>
            <w:r w:rsidR="009340CF">
              <w:rPr>
                <w:noProof/>
                <w:webHidden/>
              </w:rPr>
              <w:fldChar w:fldCharType="end"/>
            </w:r>
          </w:hyperlink>
        </w:p>
        <w:p w14:paraId="2E4C06B1" w14:textId="20EA6A42" w:rsidR="009340CF" w:rsidRDefault="00A64481">
          <w:pPr>
            <w:pStyle w:val="TOC2"/>
            <w:rPr>
              <w:rFonts w:asciiTheme="minorHAnsi" w:eastAsiaTheme="minorEastAsia" w:hAnsiTheme="minorHAnsi" w:cstheme="minorBidi"/>
              <w:b w:val="0"/>
              <w:noProof/>
              <w:sz w:val="22"/>
              <w:lang w:eastAsia="en-AU"/>
            </w:rPr>
          </w:pPr>
          <w:hyperlink w:anchor="_Toc77162695" w:history="1">
            <w:r w:rsidR="009340CF" w:rsidRPr="00F840D5">
              <w:rPr>
                <w:rStyle w:val="Hyperlink"/>
                <w:noProof/>
              </w:rPr>
              <w:t>Quality</w:t>
            </w:r>
            <w:r w:rsidR="009340CF">
              <w:rPr>
                <w:noProof/>
                <w:webHidden/>
              </w:rPr>
              <w:tab/>
            </w:r>
            <w:r w:rsidR="009340CF">
              <w:rPr>
                <w:noProof/>
                <w:webHidden/>
              </w:rPr>
              <w:fldChar w:fldCharType="begin"/>
            </w:r>
            <w:r w:rsidR="009340CF">
              <w:rPr>
                <w:noProof/>
                <w:webHidden/>
              </w:rPr>
              <w:instrText xml:space="preserve"> PAGEREF _Toc77162695 \h </w:instrText>
            </w:r>
            <w:r w:rsidR="009340CF">
              <w:rPr>
                <w:noProof/>
                <w:webHidden/>
              </w:rPr>
            </w:r>
            <w:r w:rsidR="009340CF">
              <w:rPr>
                <w:noProof/>
                <w:webHidden/>
              </w:rPr>
              <w:fldChar w:fldCharType="separate"/>
            </w:r>
            <w:r w:rsidR="009340CF">
              <w:rPr>
                <w:noProof/>
                <w:webHidden/>
              </w:rPr>
              <w:t>13</w:t>
            </w:r>
            <w:r w:rsidR="009340CF">
              <w:rPr>
                <w:noProof/>
                <w:webHidden/>
              </w:rPr>
              <w:fldChar w:fldCharType="end"/>
            </w:r>
          </w:hyperlink>
        </w:p>
        <w:p w14:paraId="35A9709E" w14:textId="7B40DF10" w:rsidR="009340CF" w:rsidRDefault="00A64481">
          <w:pPr>
            <w:pStyle w:val="TOC2"/>
            <w:rPr>
              <w:rFonts w:asciiTheme="minorHAnsi" w:eastAsiaTheme="minorEastAsia" w:hAnsiTheme="minorHAnsi" w:cstheme="minorBidi"/>
              <w:b w:val="0"/>
              <w:noProof/>
              <w:sz w:val="22"/>
              <w:lang w:eastAsia="en-AU"/>
            </w:rPr>
          </w:pPr>
          <w:hyperlink w:anchor="_Toc77162696" w:history="1">
            <w:r w:rsidR="009340CF" w:rsidRPr="00F840D5">
              <w:rPr>
                <w:rStyle w:val="Hyperlink"/>
                <w:noProof/>
              </w:rPr>
              <w:t>Nonclinical</w:t>
            </w:r>
            <w:r w:rsidR="009340CF">
              <w:rPr>
                <w:noProof/>
                <w:webHidden/>
              </w:rPr>
              <w:tab/>
            </w:r>
            <w:r w:rsidR="009340CF">
              <w:rPr>
                <w:noProof/>
                <w:webHidden/>
              </w:rPr>
              <w:fldChar w:fldCharType="begin"/>
            </w:r>
            <w:r w:rsidR="009340CF">
              <w:rPr>
                <w:noProof/>
                <w:webHidden/>
              </w:rPr>
              <w:instrText xml:space="preserve"> PAGEREF _Toc77162696 \h </w:instrText>
            </w:r>
            <w:r w:rsidR="009340CF">
              <w:rPr>
                <w:noProof/>
                <w:webHidden/>
              </w:rPr>
            </w:r>
            <w:r w:rsidR="009340CF">
              <w:rPr>
                <w:noProof/>
                <w:webHidden/>
              </w:rPr>
              <w:fldChar w:fldCharType="separate"/>
            </w:r>
            <w:r w:rsidR="009340CF">
              <w:rPr>
                <w:noProof/>
                <w:webHidden/>
              </w:rPr>
              <w:t>14</w:t>
            </w:r>
            <w:r w:rsidR="009340CF">
              <w:rPr>
                <w:noProof/>
                <w:webHidden/>
              </w:rPr>
              <w:fldChar w:fldCharType="end"/>
            </w:r>
          </w:hyperlink>
        </w:p>
        <w:p w14:paraId="40523FB4" w14:textId="1746FCD0" w:rsidR="009340CF" w:rsidRDefault="00A64481">
          <w:pPr>
            <w:pStyle w:val="TOC2"/>
            <w:rPr>
              <w:rFonts w:asciiTheme="minorHAnsi" w:eastAsiaTheme="minorEastAsia" w:hAnsiTheme="minorHAnsi" w:cstheme="minorBidi"/>
              <w:b w:val="0"/>
              <w:noProof/>
              <w:sz w:val="22"/>
              <w:lang w:eastAsia="en-AU"/>
            </w:rPr>
          </w:pPr>
          <w:hyperlink w:anchor="_Toc77162697" w:history="1">
            <w:r w:rsidR="009340CF" w:rsidRPr="00F840D5">
              <w:rPr>
                <w:rStyle w:val="Hyperlink"/>
                <w:noProof/>
              </w:rPr>
              <w:t>Clinical</w:t>
            </w:r>
            <w:r w:rsidR="009340CF">
              <w:rPr>
                <w:noProof/>
                <w:webHidden/>
              </w:rPr>
              <w:tab/>
            </w:r>
            <w:r w:rsidR="009340CF">
              <w:rPr>
                <w:noProof/>
                <w:webHidden/>
              </w:rPr>
              <w:fldChar w:fldCharType="begin"/>
            </w:r>
            <w:r w:rsidR="009340CF">
              <w:rPr>
                <w:noProof/>
                <w:webHidden/>
              </w:rPr>
              <w:instrText xml:space="preserve"> PAGEREF _Toc77162697 \h </w:instrText>
            </w:r>
            <w:r w:rsidR="009340CF">
              <w:rPr>
                <w:noProof/>
                <w:webHidden/>
              </w:rPr>
            </w:r>
            <w:r w:rsidR="009340CF">
              <w:rPr>
                <w:noProof/>
                <w:webHidden/>
              </w:rPr>
              <w:fldChar w:fldCharType="separate"/>
            </w:r>
            <w:r w:rsidR="009340CF">
              <w:rPr>
                <w:noProof/>
                <w:webHidden/>
              </w:rPr>
              <w:t>15</w:t>
            </w:r>
            <w:r w:rsidR="009340CF">
              <w:rPr>
                <w:noProof/>
                <w:webHidden/>
              </w:rPr>
              <w:fldChar w:fldCharType="end"/>
            </w:r>
          </w:hyperlink>
        </w:p>
        <w:p w14:paraId="2E62C238" w14:textId="2D96666E" w:rsidR="009340CF" w:rsidRDefault="00A64481">
          <w:pPr>
            <w:pStyle w:val="TOC2"/>
            <w:rPr>
              <w:rFonts w:asciiTheme="minorHAnsi" w:eastAsiaTheme="minorEastAsia" w:hAnsiTheme="minorHAnsi" w:cstheme="minorBidi"/>
              <w:b w:val="0"/>
              <w:noProof/>
              <w:sz w:val="22"/>
              <w:lang w:eastAsia="en-AU"/>
            </w:rPr>
          </w:pPr>
          <w:hyperlink w:anchor="_Toc77162698" w:history="1">
            <w:r w:rsidR="009340CF" w:rsidRPr="00F840D5">
              <w:rPr>
                <w:rStyle w:val="Hyperlink"/>
                <w:noProof/>
                <w:lang w:eastAsia="en-AU"/>
              </w:rPr>
              <w:t>Risk management plan</w:t>
            </w:r>
            <w:r w:rsidR="009340CF">
              <w:rPr>
                <w:noProof/>
                <w:webHidden/>
              </w:rPr>
              <w:tab/>
            </w:r>
            <w:r w:rsidR="009340CF">
              <w:rPr>
                <w:noProof/>
                <w:webHidden/>
              </w:rPr>
              <w:fldChar w:fldCharType="begin"/>
            </w:r>
            <w:r w:rsidR="009340CF">
              <w:rPr>
                <w:noProof/>
                <w:webHidden/>
              </w:rPr>
              <w:instrText xml:space="preserve"> PAGEREF _Toc77162698 \h </w:instrText>
            </w:r>
            <w:r w:rsidR="009340CF">
              <w:rPr>
                <w:noProof/>
                <w:webHidden/>
              </w:rPr>
            </w:r>
            <w:r w:rsidR="009340CF">
              <w:rPr>
                <w:noProof/>
                <w:webHidden/>
              </w:rPr>
              <w:fldChar w:fldCharType="separate"/>
            </w:r>
            <w:r w:rsidR="009340CF">
              <w:rPr>
                <w:noProof/>
                <w:webHidden/>
              </w:rPr>
              <w:t>38</w:t>
            </w:r>
            <w:r w:rsidR="009340CF">
              <w:rPr>
                <w:noProof/>
                <w:webHidden/>
              </w:rPr>
              <w:fldChar w:fldCharType="end"/>
            </w:r>
          </w:hyperlink>
        </w:p>
        <w:p w14:paraId="1DC1B26A" w14:textId="4E847C5C" w:rsidR="009340CF" w:rsidRDefault="00A64481">
          <w:pPr>
            <w:pStyle w:val="TOC2"/>
            <w:rPr>
              <w:rFonts w:asciiTheme="minorHAnsi" w:eastAsiaTheme="minorEastAsia" w:hAnsiTheme="minorHAnsi" w:cstheme="minorBidi"/>
              <w:b w:val="0"/>
              <w:noProof/>
              <w:sz w:val="22"/>
              <w:lang w:eastAsia="en-AU"/>
            </w:rPr>
          </w:pPr>
          <w:hyperlink w:anchor="_Toc77162699" w:history="1">
            <w:r w:rsidR="009340CF" w:rsidRPr="00F840D5">
              <w:rPr>
                <w:rStyle w:val="Hyperlink"/>
                <w:noProof/>
              </w:rPr>
              <w:t>Risk-benefit analysis</w:t>
            </w:r>
            <w:r w:rsidR="009340CF">
              <w:rPr>
                <w:noProof/>
                <w:webHidden/>
              </w:rPr>
              <w:tab/>
            </w:r>
            <w:r w:rsidR="009340CF">
              <w:rPr>
                <w:noProof/>
                <w:webHidden/>
              </w:rPr>
              <w:fldChar w:fldCharType="begin"/>
            </w:r>
            <w:r w:rsidR="009340CF">
              <w:rPr>
                <w:noProof/>
                <w:webHidden/>
              </w:rPr>
              <w:instrText xml:space="preserve"> PAGEREF _Toc77162699 \h </w:instrText>
            </w:r>
            <w:r w:rsidR="009340CF">
              <w:rPr>
                <w:noProof/>
                <w:webHidden/>
              </w:rPr>
            </w:r>
            <w:r w:rsidR="009340CF">
              <w:rPr>
                <w:noProof/>
                <w:webHidden/>
              </w:rPr>
              <w:fldChar w:fldCharType="separate"/>
            </w:r>
            <w:r w:rsidR="009340CF">
              <w:rPr>
                <w:noProof/>
                <w:webHidden/>
              </w:rPr>
              <w:t>41</w:t>
            </w:r>
            <w:r w:rsidR="009340CF">
              <w:rPr>
                <w:noProof/>
                <w:webHidden/>
              </w:rPr>
              <w:fldChar w:fldCharType="end"/>
            </w:r>
          </w:hyperlink>
        </w:p>
        <w:p w14:paraId="2AE65EB5" w14:textId="728499DD" w:rsidR="009340CF" w:rsidRDefault="00A64481">
          <w:pPr>
            <w:pStyle w:val="TOC2"/>
            <w:rPr>
              <w:rFonts w:asciiTheme="minorHAnsi" w:eastAsiaTheme="minorEastAsia" w:hAnsiTheme="minorHAnsi" w:cstheme="minorBidi"/>
              <w:b w:val="0"/>
              <w:noProof/>
              <w:sz w:val="22"/>
              <w:lang w:eastAsia="en-AU"/>
            </w:rPr>
          </w:pPr>
          <w:hyperlink w:anchor="_Toc77162700" w:history="1">
            <w:r w:rsidR="009340CF" w:rsidRPr="00F840D5">
              <w:rPr>
                <w:rStyle w:val="Hyperlink"/>
                <w:noProof/>
              </w:rPr>
              <w:t>Outcome</w:t>
            </w:r>
            <w:r w:rsidR="009340CF">
              <w:rPr>
                <w:noProof/>
                <w:webHidden/>
              </w:rPr>
              <w:tab/>
            </w:r>
            <w:r w:rsidR="009340CF">
              <w:rPr>
                <w:noProof/>
                <w:webHidden/>
              </w:rPr>
              <w:fldChar w:fldCharType="begin"/>
            </w:r>
            <w:r w:rsidR="009340CF">
              <w:rPr>
                <w:noProof/>
                <w:webHidden/>
              </w:rPr>
              <w:instrText xml:space="preserve"> PAGEREF _Toc77162700 \h </w:instrText>
            </w:r>
            <w:r w:rsidR="009340CF">
              <w:rPr>
                <w:noProof/>
                <w:webHidden/>
              </w:rPr>
            </w:r>
            <w:r w:rsidR="009340CF">
              <w:rPr>
                <w:noProof/>
                <w:webHidden/>
              </w:rPr>
              <w:fldChar w:fldCharType="separate"/>
            </w:r>
            <w:r w:rsidR="009340CF">
              <w:rPr>
                <w:noProof/>
                <w:webHidden/>
              </w:rPr>
              <w:t>44</w:t>
            </w:r>
            <w:r w:rsidR="009340CF">
              <w:rPr>
                <w:noProof/>
                <w:webHidden/>
              </w:rPr>
              <w:fldChar w:fldCharType="end"/>
            </w:r>
          </w:hyperlink>
        </w:p>
        <w:p w14:paraId="62CC0331" w14:textId="5E213127" w:rsidR="009340CF" w:rsidRDefault="00A64481">
          <w:pPr>
            <w:pStyle w:val="TOC1"/>
            <w:rPr>
              <w:rFonts w:asciiTheme="minorHAnsi" w:eastAsiaTheme="minorEastAsia" w:hAnsiTheme="minorHAnsi" w:cstheme="minorBidi"/>
              <w:b w:val="0"/>
              <w:noProof/>
              <w:sz w:val="22"/>
              <w:lang w:eastAsia="en-AU"/>
            </w:rPr>
          </w:pPr>
          <w:hyperlink w:anchor="_Toc77162701" w:history="1">
            <w:r w:rsidR="009340CF" w:rsidRPr="00F840D5">
              <w:rPr>
                <w:rStyle w:val="Hyperlink"/>
                <w:noProof/>
              </w:rPr>
              <w:t>Attachment 1. Product Information</w:t>
            </w:r>
            <w:r w:rsidR="009340CF">
              <w:rPr>
                <w:noProof/>
                <w:webHidden/>
              </w:rPr>
              <w:tab/>
            </w:r>
            <w:r w:rsidR="009340CF">
              <w:rPr>
                <w:noProof/>
                <w:webHidden/>
              </w:rPr>
              <w:fldChar w:fldCharType="begin"/>
            </w:r>
            <w:r w:rsidR="009340CF">
              <w:rPr>
                <w:noProof/>
                <w:webHidden/>
              </w:rPr>
              <w:instrText xml:space="preserve"> PAGEREF _Toc77162701 \h </w:instrText>
            </w:r>
            <w:r w:rsidR="009340CF">
              <w:rPr>
                <w:noProof/>
                <w:webHidden/>
              </w:rPr>
            </w:r>
            <w:r w:rsidR="009340CF">
              <w:rPr>
                <w:noProof/>
                <w:webHidden/>
              </w:rPr>
              <w:fldChar w:fldCharType="separate"/>
            </w:r>
            <w:r w:rsidR="009340CF">
              <w:rPr>
                <w:noProof/>
                <w:webHidden/>
              </w:rPr>
              <w:t>45</w:t>
            </w:r>
            <w:r w:rsidR="009340CF">
              <w:rPr>
                <w:noProof/>
                <w:webHidden/>
              </w:rPr>
              <w:fldChar w:fldCharType="end"/>
            </w:r>
          </w:hyperlink>
        </w:p>
        <w:p w14:paraId="0B61BD63" w14:textId="45D111A0" w:rsidR="003A7F6C" w:rsidRPr="00B811C6" w:rsidRDefault="00C525A2" w:rsidP="00B811C6">
          <w:pPr>
            <w:pStyle w:val="TOC2"/>
          </w:pPr>
          <w:r>
            <w:fldChar w:fldCharType="end"/>
          </w:r>
        </w:p>
      </w:sdtContent>
    </w:sdt>
    <w:bookmarkStart w:id="3" w:name="_Toc314842482" w:displacedByCustomXml="prev"/>
    <w:p w14:paraId="3FAB3EBB" w14:textId="77777777" w:rsidR="00FD119B" w:rsidRDefault="00FD119B">
      <w:pPr>
        <w:spacing w:before="0" w:after="200" w:line="0" w:lineRule="auto"/>
      </w:pPr>
      <w:r>
        <w:br w:type="page"/>
      </w:r>
    </w:p>
    <w:p w14:paraId="27925584" w14:textId="77777777" w:rsidR="00C52E24" w:rsidRPr="00C52E24" w:rsidRDefault="00324E45" w:rsidP="00DA3ACD">
      <w:pPr>
        <w:pStyle w:val="Heading2"/>
      </w:pPr>
      <w:bookmarkStart w:id="4" w:name="_Toc351716269"/>
      <w:bookmarkStart w:id="5" w:name="_Toc351718881"/>
      <w:bookmarkStart w:id="6" w:name="_Toc355338616"/>
      <w:bookmarkStart w:id="7" w:name="_Toc356306144"/>
      <w:bookmarkStart w:id="8" w:name="_Toc77162687"/>
      <w:r>
        <w:lastRenderedPageBreak/>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3"/>
        <w:gridCol w:w="6691"/>
      </w:tblGrid>
      <w:tr w:rsidR="002E7487" w:rsidRPr="00FD119B" w14:paraId="5A0DEC77" w14:textId="77777777" w:rsidTr="00901104">
        <w:trPr>
          <w:cnfStyle w:val="100000000000" w:firstRow="1" w:lastRow="0" w:firstColumn="0" w:lastColumn="0" w:oddVBand="0" w:evenVBand="0" w:oddHBand="0" w:evenHBand="0" w:firstRowFirstColumn="0" w:firstRowLastColumn="0" w:lastRowFirstColumn="0" w:lastRowLastColumn="0"/>
        </w:trPr>
        <w:tc>
          <w:tcPr>
            <w:tcW w:w="1803" w:type="dxa"/>
            <w:tcBorders>
              <w:top w:val="single" w:sz="4" w:space="0" w:color="auto"/>
              <w:left w:val="single" w:sz="4" w:space="0" w:color="auto"/>
              <w:bottom w:val="single" w:sz="4" w:space="0" w:color="auto"/>
              <w:right w:val="single" w:sz="4" w:space="0" w:color="auto"/>
            </w:tcBorders>
          </w:tcPr>
          <w:p w14:paraId="33E76AAB" w14:textId="77777777" w:rsidR="002E7487" w:rsidRPr="00FD119B" w:rsidRDefault="002E7487" w:rsidP="00901104">
            <w:pPr>
              <w:keepNext w:val="0"/>
              <w:ind w:left="144" w:right="0"/>
              <w:rPr>
                <w:szCs w:val="22"/>
                <w:lang w:eastAsia="en-US"/>
              </w:rPr>
            </w:pPr>
            <w:r w:rsidRPr="00FD119B">
              <w:rPr>
                <w:szCs w:val="22"/>
                <w:lang w:eastAsia="en-US"/>
              </w:rPr>
              <w:t>Abbreviation</w:t>
            </w:r>
          </w:p>
        </w:tc>
        <w:tc>
          <w:tcPr>
            <w:tcW w:w="6691" w:type="dxa"/>
            <w:tcBorders>
              <w:top w:val="single" w:sz="4" w:space="0" w:color="auto"/>
              <w:left w:val="single" w:sz="4" w:space="0" w:color="auto"/>
              <w:bottom w:val="single" w:sz="4" w:space="0" w:color="auto"/>
              <w:right w:val="single" w:sz="4" w:space="0" w:color="auto"/>
            </w:tcBorders>
          </w:tcPr>
          <w:p w14:paraId="4FF3E10F" w14:textId="77777777" w:rsidR="002E7487" w:rsidRPr="00FD119B" w:rsidRDefault="002E7487" w:rsidP="00901104">
            <w:pPr>
              <w:keepNext w:val="0"/>
              <w:ind w:left="144" w:right="0"/>
              <w:rPr>
                <w:szCs w:val="22"/>
                <w:lang w:eastAsia="en-US"/>
              </w:rPr>
            </w:pPr>
            <w:r w:rsidRPr="00FD119B">
              <w:rPr>
                <w:szCs w:val="22"/>
                <w:lang w:eastAsia="en-US"/>
              </w:rPr>
              <w:t>Meaning</w:t>
            </w:r>
          </w:p>
        </w:tc>
      </w:tr>
      <w:tr w:rsidR="002E7487" w:rsidRPr="00FD119B" w14:paraId="4F16F710" w14:textId="77777777" w:rsidTr="00901104">
        <w:tc>
          <w:tcPr>
            <w:tcW w:w="1803" w:type="dxa"/>
            <w:tcBorders>
              <w:top w:val="single" w:sz="4" w:space="0" w:color="auto"/>
            </w:tcBorders>
          </w:tcPr>
          <w:p w14:paraId="63358046" w14:textId="77777777" w:rsidR="002E7487" w:rsidRPr="00FD119B" w:rsidRDefault="002E7487" w:rsidP="00901104">
            <w:pPr>
              <w:ind w:left="144" w:right="0"/>
            </w:pPr>
            <w:r>
              <w:t>ACM</w:t>
            </w:r>
          </w:p>
        </w:tc>
        <w:tc>
          <w:tcPr>
            <w:tcW w:w="6691" w:type="dxa"/>
            <w:tcBorders>
              <w:top w:val="single" w:sz="4" w:space="0" w:color="auto"/>
            </w:tcBorders>
          </w:tcPr>
          <w:p w14:paraId="1686DE9D" w14:textId="77777777" w:rsidR="002E7487" w:rsidRPr="00FD119B" w:rsidRDefault="002E7487" w:rsidP="00901104">
            <w:pPr>
              <w:ind w:left="144" w:right="0"/>
            </w:pPr>
            <w:r w:rsidRPr="00460036">
              <w:t>Advisory Committee on Medicines</w:t>
            </w:r>
          </w:p>
        </w:tc>
      </w:tr>
      <w:tr w:rsidR="002E7487" w:rsidRPr="00FD119B" w14:paraId="51B94331" w14:textId="77777777" w:rsidTr="00901104">
        <w:tc>
          <w:tcPr>
            <w:tcW w:w="1803" w:type="dxa"/>
          </w:tcPr>
          <w:p w14:paraId="3F110C56" w14:textId="77777777" w:rsidR="002E7487" w:rsidRDefault="002E7487" w:rsidP="00901104">
            <w:pPr>
              <w:ind w:left="144"/>
            </w:pPr>
            <w:r>
              <w:t>ADA</w:t>
            </w:r>
          </w:p>
        </w:tc>
        <w:tc>
          <w:tcPr>
            <w:tcW w:w="6691" w:type="dxa"/>
          </w:tcPr>
          <w:p w14:paraId="0C130BD3" w14:textId="77777777" w:rsidR="002E7487" w:rsidRDefault="002E7487" w:rsidP="00901104">
            <w:pPr>
              <w:ind w:left="144"/>
            </w:pPr>
            <w:r>
              <w:t>Anti-drug antibody</w:t>
            </w:r>
          </w:p>
        </w:tc>
      </w:tr>
      <w:tr w:rsidR="002E7487" w:rsidRPr="00FD119B" w14:paraId="3AEE5388" w14:textId="77777777" w:rsidTr="00901104">
        <w:tc>
          <w:tcPr>
            <w:tcW w:w="1803" w:type="dxa"/>
          </w:tcPr>
          <w:p w14:paraId="4B5388B7" w14:textId="77777777" w:rsidR="002E7487" w:rsidRDefault="002E7487" w:rsidP="00901104">
            <w:pPr>
              <w:ind w:left="144"/>
            </w:pPr>
            <w:r>
              <w:t>ADR</w:t>
            </w:r>
          </w:p>
        </w:tc>
        <w:tc>
          <w:tcPr>
            <w:tcW w:w="6691" w:type="dxa"/>
          </w:tcPr>
          <w:p w14:paraId="5EB0AD1E" w14:textId="77777777" w:rsidR="002E7487" w:rsidRDefault="002E7487" w:rsidP="00901104">
            <w:pPr>
              <w:ind w:left="144"/>
            </w:pPr>
            <w:r>
              <w:t>Adverse drug reaction</w:t>
            </w:r>
          </w:p>
        </w:tc>
      </w:tr>
      <w:tr w:rsidR="002E7487" w:rsidRPr="00FD119B" w14:paraId="3DE827BD" w14:textId="77777777" w:rsidTr="00901104">
        <w:tc>
          <w:tcPr>
            <w:tcW w:w="1803" w:type="dxa"/>
          </w:tcPr>
          <w:p w14:paraId="64075701" w14:textId="77777777" w:rsidR="002E7487" w:rsidRDefault="002E7487" w:rsidP="00901104">
            <w:pPr>
              <w:ind w:left="144"/>
            </w:pPr>
            <w:r>
              <w:t>AE</w:t>
            </w:r>
          </w:p>
        </w:tc>
        <w:tc>
          <w:tcPr>
            <w:tcW w:w="6691" w:type="dxa"/>
          </w:tcPr>
          <w:p w14:paraId="08A1AFF6" w14:textId="77777777" w:rsidR="002E7487" w:rsidRDefault="002E7487" w:rsidP="00901104">
            <w:pPr>
              <w:ind w:left="144"/>
            </w:pPr>
            <w:r>
              <w:t>Adverse event</w:t>
            </w:r>
          </w:p>
        </w:tc>
      </w:tr>
      <w:tr w:rsidR="002E7487" w:rsidRPr="00FD119B" w14:paraId="3E3EF95D" w14:textId="77777777" w:rsidTr="00901104">
        <w:tc>
          <w:tcPr>
            <w:tcW w:w="1803" w:type="dxa"/>
          </w:tcPr>
          <w:p w14:paraId="0E49606B" w14:textId="77777777" w:rsidR="002E7487" w:rsidRDefault="002E7487" w:rsidP="00901104">
            <w:pPr>
              <w:ind w:left="144"/>
            </w:pPr>
            <w:r>
              <w:t>AQP4</w:t>
            </w:r>
          </w:p>
        </w:tc>
        <w:tc>
          <w:tcPr>
            <w:tcW w:w="6691" w:type="dxa"/>
          </w:tcPr>
          <w:p w14:paraId="3004ABC9" w14:textId="77777777" w:rsidR="002E7487" w:rsidRPr="00460036" w:rsidRDefault="002E7487" w:rsidP="00901104">
            <w:pPr>
              <w:ind w:left="144"/>
            </w:pPr>
            <w:r>
              <w:t>Anti-aquaporin 4 antibody</w:t>
            </w:r>
          </w:p>
        </w:tc>
      </w:tr>
      <w:tr w:rsidR="002E7487" w:rsidRPr="00FD119B" w14:paraId="140D1060" w14:textId="77777777" w:rsidTr="00901104">
        <w:tc>
          <w:tcPr>
            <w:tcW w:w="1803" w:type="dxa"/>
          </w:tcPr>
          <w:p w14:paraId="10F1393C" w14:textId="77777777" w:rsidR="002E7487" w:rsidRDefault="002E7487" w:rsidP="00901104">
            <w:pPr>
              <w:ind w:left="144"/>
            </w:pPr>
            <w:r>
              <w:t>ARGPM</w:t>
            </w:r>
          </w:p>
        </w:tc>
        <w:tc>
          <w:tcPr>
            <w:tcW w:w="6691" w:type="dxa"/>
          </w:tcPr>
          <w:p w14:paraId="112D5B1D" w14:textId="77777777" w:rsidR="002E7487" w:rsidRDefault="002E7487" w:rsidP="00901104">
            <w:pPr>
              <w:ind w:left="144"/>
            </w:pPr>
            <w:r>
              <w:t>Australian Regulatory Guidelines for Prescription Medicines</w:t>
            </w:r>
          </w:p>
        </w:tc>
      </w:tr>
      <w:tr w:rsidR="002E7487" w:rsidRPr="00FD119B" w14:paraId="0AAD9DDF" w14:textId="77777777" w:rsidTr="00901104">
        <w:tc>
          <w:tcPr>
            <w:tcW w:w="1803" w:type="dxa"/>
          </w:tcPr>
          <w:p w14:paraId="5439E620" w14:textId="77777777" w:rsidR="002E7487" w:rsidRDefault="002E7487" w:rsidP="00901104">
            <w:pPr>
              <w:ind w:left="144"/>
            </w:pPr>
            <w:r>
              <w:t>ARR</w:t>
            </w:r>
          </w:p>
        </w:tc>
        <w:tc>
          <w:tcPr>
            <w:tcW w:w="6691" w:type="dxa"/>
          </w:tcPr>
          <w:p w14:paraId="4C3E3CC1" w14:textId="77777777" w:rsidR="002E7487" w:rsidRDefault="002E7487" w:rsidP="00901104">
            <w:pPr>
              <w:ind w:left="144"/>
            </w:pPr>
            <w:r>
              <w:t>Annualised relapsed rate</w:t>
            </w:r>
          </w:p>
        </w:tc>
      </w:tr>
      <w:tr w:rsidR="002E7487" w:rsidRPr="00FD119B" w14:paraId="6E19859A" w14:textId="77777777" w:rsidTr="00901104">
        <w:tc>
          <w:tcPr>
            <w:tcW w:w="1803" w:type="dxa"/>
          </w:tcPr>
          <w:p w14:paraId="418E1AC0" w14:textId="77777777" w:rsidR="002E7487" w:rsidRPr="00FD119B" w:rsidRDefault="002E7487" w:rsidP="00901104">
            <w:pPr>
              <w:ind w:left="144" w:right="0"/>
            </w:pPr>
            <w:r>
              <w:t>ARTG</w:t>
            </w:r>
          </w:p>
        </w:tc>
        <w:tc>
          <w:tcPr>
            <w:tcW w:w="6691" w:type="dxa"/>
          </w:tcPr>
          <w:p w14:paraId="03A50E12" w14:textId="77777777" w:rsidR="002E7487" w:rsidRPr="00FD119B" w:rsidRDefault="002E7487" w:rsidP="00901104">
            <w:pPr>
              <w:ind w:left="144" w:right="0"/>
            </w:pPr>
            <w:r w:rsidRPr="00460036">
              <w:t>Australian Register of Therapeutic Goods</w:t>
            </w:r>
          </w:p>
        </w:tc>
      </w:tr>
      <w:tr w:rsidR="002E7487" w:rsidRPr="00FD119B" w14:paraId="7309A15F" w14:textId="77777777" w:rsidTr="00901104">
        <w:tc>
          <w:tcPr>
            <w:tcW w:w="1803" w:type="dxa"/>
          </w:tcPr>
          <w:p w14:paraId="64276692" w14:textId="77777777" w:rsidR="002E7487" w:rsidRDefault="002E7487" w:rsidP="00901104">
            <w:pPr>
              <w:ind w:left="144"/>
            </w:pPr>
            <w:r>
              <w:t>AUC</w:t>
            </w:r>
          </w:p>
        </w:tc>
        <w:tc>
          <w:tcPr>
            <w:tcW w:w="6691" w:type="dxa"/>
          </w:tcPr>
          <w:p w14:paraId="5696D22B" w14:textId="2EA3854B" w:rsidR="002E7487" w:rsidRDefault="002E7487" w:rsidP="00901104">
            <w:pPr>
              <w:ind w:left="144"/>
            </w:pPr>
            <w:r>
              <w:t xml:space="preserve">Area under </w:t>
            </w:r>
            <w:r w:rsidR="001B12D9">
              <w:t xml:space="preserve">the </w:t>
            </w:r>
            <w:r>
              <w:t>concentration</w:t>
            </w:r>
            <w:r w:rsidR="001B12D9">
              <w:t xml:space="preserve"> versus</w:t>
            </w:r>
            <w:r>
              <w:t xml:space="preserve"> time curve</w:t>
            </w:r>
          </w:p>
        </w:tc>
      </w:tr>
      <w:tr w:rsidR="002E7487" w:rsidRPr="00FD119B" w14:paraId="56CC0704" w14:textId="77777777" w:rsidTr="00901104">
        <w:tc>
          <w:tcPr>
            <w:tcW w:w="1803" w:type="dxa"/>
          </w:tcPr>
          <w:p w14:paraId="5380ACFA" w14:textId="77777777" w:rsidR="002E7487" w:rsidRDefault="002E7487" w:rsidP="00901104">
            <w:pPr>
              <w:ind w:left="144"/>
            </w:pPr>
            <w:proofErr w:type="spellStart"/>
            <w:r>
              <w:t>AusPAR</w:t>
            </w:r>
            <w:proofErr w:type="spellEnd"/>
          </w:p>
        </w:tc>
        <w:tc>
          <w:tcPr>
            <w:tcW w:w="6691" w:type="dxa"/>
          </w:tcPr>
          <w:p w14:paraId="0A78C937" w14:textId="77777777" w:rsidR="002E7487" w:rsidRPr="00460036" w:rsidRDefault="002E7487" w:rsidP="00901104">
            <w:pPr>
              <w:ind w:left="144"/>
            </w:pPr>
            <w:r>
              <w:t>Australian Public Assessment Report</w:t>
            </w:r>
          </w:p>
        </w:tc>
      </w:tr>
      <w:tr w:rsidR="002E7487" w:rsidRPr="00FD119B" w14:paraId="5804B0D8" w14:textId="77777777" w:rsidTr="00901104">
        <w:tc>
          <w:tcPr>
            <w:tcW w:w="1803" w:type="dxa"/>
          </w:tcPr>
          <w:p w14:paraId="6C35FB98" w14:textId="77777777" w:rsidR="002E7487" w:rsidRDefault="002E7487" w:rsidP="00901104">
            <w:pPr>
              <w:ind w:left="144"/>
            </w:pPr>
            <w:r>
              <w:t>AZA</w:t>
            </w:r>
          </w:p>
        </w:tc>
        <w:tc>
          <w:tcPr>
            <w:tcW w:w="6691" w:type="dxa"/>
          </w:tcPr>
          <w:p w14:paraId="6E01D992" w14:textId="77777777" w:rsidR="002E7487" w:rsidRPr="00460036" w:rsidRDefault="002E7487" w:rsidP="00901104">
            <w:pPr>
              <w:ind w:left="144"/>
            </w:pPr>
            <w:r>
              <w:t>Azathioprine</w:t>
            </w:r>
          </w:p>
        </w:tc>
      </w:tr>
      <w:tr w:rsidR="002E7487" w:rsidRPr="00FD119B" w14:paraId="5A8F161A" w14:textId="77777777" w:rsidTr="00901104">
        <w:tc>
          <w:tcPr>
            <w:tcW w:w="1803" w:type="dxa"/>
          </w:tcPr>
          <w:p w14:paraId="47014395" w14:textId="77777777" w:rsidR="002E7487" w:rsidRDefault="002E7487" w:rsidP="00901104">
            <w:pPr>
              <w:ind w:left="144"/>
            </w:pPr>
            <w:r>
              <w:t>BBB</w:t>
            </w:r>
          </w:p>
        </w:tc>
        <w:tc>
          <w:tcPr>
            <w:tcW w:w="6691" w:type="dxa"/>
          </w:tcPr>
          <w:p w14:paraId="168A814D" w14:textId="77777777" w:rsidR="002E7487" w:rsidRDefault="002E7487" w:rsidP="00901104">
            <w:pPr>
              <w:ind w:left="144"/>
            </w:pPr>
            <w:r>
              <w:t>Blood brain barrier</w:t>
            </w:r>
          </w:p>
        </w:tc>
      </w:tr>
      <w:tr w:rsidR="002E7487" w:rsidRPr="00FD119B" w14:paraId="59216C16" w14:textId="77777777" w:rsidTr="00901104">
        <w:tc>
          <w:tcPr>
            <w:tcW w:w="1803" w:type="dxa"/>
          </w:tcPr>
          <w:p w14:paraId="3E4FC6F3" w14:textId="77777777" w:rsidR="002E7487" w:rsidRDefault="002E7487" w:rsidP="00901104">
            <w:pPr>
              <w:ind w:left="144"/>
            </w:pPr>
            <w:r>
              <w:t>BW</w:t>
            </w:r>
          </w:p>
        </w:tc>
        <w:tc>
          <w:tcPr>
            <w:tcW w:w="6691" w:type="dxa"/>
          </w:tcPr>
          <w:p w14:paraId="15903A83" w14:textId="77777777" w:rsidR="002E7487" w:rsidRDefault="002E7487" w:rsidP="00901104">
            <w:pPr>
              <w:ind w:left="144"/>
            </w:pPr>
            <w:r>
              <w:t>Body weight</w:t>
            </w:r>
          </w:p>
        </w:tc>
      </w:tr>
      <w:tr w:rsidR="002E7487" w:rsidRPr="00FD119B" w14:paraId="48558484" w14:textId="77777777" w:rsidTr="00901104">
        <w:tc>
          <w:tcPr>
            <w:tcW w:w="1803" w:type="dxa"/>
          </w:tcPr>
          <w:p w14:paraId="723C602E" w14:textId="77777777" w:rsidR="002E7487" w:rsidRDefault="002E7487" w:rsidP="00901104">
            <w:pPr>
              <w:ind w:left="144"/>
            </w:pPr>
            <w:r>
              <w:t>CEC</w:t>
            </w:r>
          </w:p>
        </w:tc>
        <w:tc>
          <w:tcPr>
            <w:tcW w:w="6691" w:type="dxa"/>
          </w:tcPr>
          <w:p w14:paraId="1142BCE6" w14:textId="77777777" w:rsidR="002E7487" w:rsidRDefault="002E7487" w:rsidP="00901104">
            <w:pPr>
              <w:ind w:left="144"/>
            </w:pPr>
            <w:r>
              <w:t>Clinical endpoint committee</w:t>
            </w:r>
          </w:p>
        </w:tc>
      </w:tr>
      <w:tr w:rsidR="002E7487" w:rsidRPr="00FD119B" w14:paraId="52173341" w14:textId="77777777" w:rsidTr="00901104">
        <w:tc>
          <w:tcPr>
            <w:tcW w:w="1803" w:type="dxa"/>
          </w:tcPr>
          <w:p w14:paraId="13C9A84D" w14:textId="77777777" w:rsidR="002E7487" w:rsidRDefault="002E7487" w:rsidP="00901104">
            <w:pPr>
              <w:ind w:left="144"/>
            </w:pPr>
            <w:r>
              <w:t>CHO</w:t>
            </w:r>
          </w:p>
        </w:tc>
        <w:tc>
          <w:tcPr>
            <w:tcW w:w="6691" w:type="dxa"/>
          </w:tcPr>
          <w:p w14:paraId="3A4A5E7A" w14:textId="77777777" w:rsidR="002E7487" w:rsidRDefault="002E7487" w:rsidP="00901104">
            <w:pPr>
              <w:ind w:left="144"/>
            </w:pPr>
            <w:r w:rsidRPr="006969B3">
              <w:t>Chinese hamster ovary</w:t>
            </w:r>
          </w:p>
        </w:tc>
      </w:tr>
      <w:tr w:rsidR="002E7487" w:rsidRPr="00FD119B" w14:paraId="6EA143D4" w14:textId="77777777" w:rsidTr="00901104">
        <w:tc>
          <w:tcPr>
            <w:tcW w:w="1803" w:type="dxa"/>
          </w:tcPr>
          <w:p w14:paraId="5F1622A6" w14:textId="77777777" w:rsidR="002E7487" w:rsidRDefault="002E7487" w:rsidP="00901104">
            <w:pPr>
              <w:ind w:left="144"/>
            </w:pPr>
            <w:r>
              <w:t>CI</w:t>
            </w:r>
          </w:p>
        </w:tc>
        <w:tc>
          <w:tcPr>
            <w:tcW w:w="6691" w:type="dxa"/>
          </w:tcPr>
          <w:p w14:paraId="6F3C1291" w14:textId="77777777" w:rsidR="002E7487" w:rsidRDefault="002E7487" w:rsidP="00901104">
            <w:pPr>
              <w:ind w:left="144"/>
            </w:pPr>
            <w:r>
              <w:t>Confidence interval</w:t>
            </w:r>
          </w:p>
        </w:tc>
      </w:tr>
      <w:tr w:rsidR="002E7487" w:rsidRPr="00FD119B" w14:paraId="0EB342EC" w14:textId="77777777" w:rsidTr="00901104">
        <w:tc>
          <w:tcPr>
            <w:tcW w:w="1803" w:type="dxa"/>
          </w:tcPr>
          <w:p w14:paraId="3BB3FF4C" w14:textId="77777777" w:rsidR="002E7487" w:rsidRDefault="002E7487" w:rsidP="00901104">
            <w:pPr>
              <w:ind w:left="144"/>
            </w:pPr>
            <w:proofErr w:type="spellStart"/>
            <w:r>
              <w:t>C</w:t>
            </w:r>
            <w:r w:rsidRPr="004431CC">
              <w:rPr>
                <w:vertAlign w:val="subscript"/>
              </w:rPr>
              <w:t>max</w:t>
            </w:r>
            <w:proofErr w:type="spellEnd"/>
          </w:p>
        </w:tc>
        <w:tc>
          <w:tcPr>
            <w:tcW w:w="6691" w:type="dxa"/>
          </w:tcPr>
          <w:p w14:paraId="0355D404" w14:textId="77777777" w:rsidR="002E7487" w:rsidRDefault="002E7487" w:rsidP="00901104">
            <w:pPr>
              <w:ind w:left="144"/>
            </w:pPr>
            <w:r>
              <w:t>Maximum concentration</w:t>
            </w:r>
          </w:p>
        </w:tc>
      </w:tr>
      <w:tr w:rsidR="002E7487" w:rsidRPr="00FD119B" w14:paraId="2A532A55" w14:textId="77777777" w:rsidTr="00901104">
        <w:tc>
          <w:tcPr>
            <w:tcW w:w="1803" w:type="dxa"/>
          </w:tcPr>
          <w:p w14:paraId="0E1B0452" w14:textId="77777777" w:rsidR="002E7487" w:rsidRDefault="002E7487" w:rsidP="00901104">
            <w:pPr>
              <w:ind w:left="144"/>
            </w:pPr>
            <w:r>
              <w:t>CNS</w:t>
            </w:r>
          </w:p>
        </w:tc>
        <w:tc>
          <w:tcPr>
            <w:tcW w:w="6691" w:type="dxa"/>
          </w:tcPr>
          <w:p w14:paraId="3D817430" w14:textId="77777777" w:rsidR="002E7487" w:rsidRDefault="002E7487" w:rsidP="00901104">
            <w:pPr>
              <w:ind w:left="144"/>
            </w:pPr>
            <w:r>
              <w:t>Central nervous system</w:t>
            </w:r>
          </w:p>
        </w:tc>
      </w:tr>
      <w:tr w:rsidR="002E7487" w:rsidRPr="00FD119B" w14:paraId="1894F29B" w14:textId="77777777" w:rsidTr="00901104">
        <w:tc>
          <w:tcPr>
            <w:tcW w:w="1803" w:type="dxa"/>
          </w:tcPr>
          <w:p w14:paraId="538BD100" w14:textId="77777777" w:rsidR="002E7487" w:rsidRDefault="002E7487" w:rsidP="00901104">
            <w:pPr>
              <w:ind w:left="144"/>
            </w:pPr>
            <w:r>
              <w:t>CPD</w:t>
            </w:r>
          </w:p>
        </w:tc>
        <w:tc>
          <w:tcPr>
            <w:tcW w:w="6691" w:type="dxa"/>
          </w:tcPr>
          <w:p w14:paraId="35DDC9D6" w14:textId="77777777" w:rsidR="002E7487" w:rsidRDefault="002E7487" w:rsidP="00901104">
            <w:pPr>
              <w:ind w:left="144"/>
            </w:pPr>
            <w:r>
              <w:t>Certified Product Details</w:t>
            </w:r>
          </w:p>
        </w:tc>
      </w:tr>
      <w:tr w:rsidR="002E7487" w:rsidRPr="00FD119B" w14:paraId="4CE5CBFC" w14:textId="77777777" w:rsidTr="00901104">
        <w:tc>
          <w:tcPr>
            <w:tcW w:w="1803" w:type="dxa"/>
          </w:tcPr>
          <w:p w14:paraId="252BF250" w14:textId="77777777" w:rsidR="002E7487" w:rsidRDefault="002E7487" w:rsidP="00901104">
            <w:pPr>
              <w:ind w:left="144"/>
            </w:pPr>
            <w:r>
              <w:t>CSF</w:t>
            </w:r>
          </w:p>
        </w:tc>
        <w:tc>
          <w:tcPr>
            <w:tcW w:w="6691" w:type="dxa"/>
          </w:tcPr>
          <w:p w14:paraId="21FB9DEA" w14:textId="77777777" w:rsidR="002E7487" w:rsidRDefault="002E7487" w:rsidP="00901104">
            <w:pPr>
              <w:ind w:left="144"/>
            </w:pPr>
            <w:r>
              <w:rPr>
                <w:rFonts w:eastAsiaTheme="minorHAnsi" w:cs="Arial"/>
                <w:color w:val="000000"/>
              </w:rPr>
              <w:t xml:space="preserve">Cerebrospinal </w:t>
            </w:r>
            <w:r w:rsidRPr="0038485F">
              <w:rPr>
                <w:rFonts w:eastAsiaTheme="minorHAnsi" w:cs="Arial"/>
              </w:rPr>
              <w:t>fluid</w:t>
            </w:r>
          </w:p>
        </w:tc>
      </w:tr>
      <w:tr w:rsidR="002E7487" w:rsidRPr="00FD119B" w14:paraId="4A70DAF7" w14:textId="77777777" w:rsidTr="00901104">
        <w:tc>
          <w:tcPr>
            <w:tcW w:w="1803" w:type="dxa"/>
          </w:tcPr>
          <w:p w14:paraId="26CF624F" w14:textId="77777777" w:rsidR="002E7487" w:rsidRDefault="002E7487" w:rsidP="00901104">
            <w:pPr>
              <w:ind w:left="144"/>
            </w:pPr>
            <w:proofErr w:type="spellStart"/>
            <w:r>
              <w:t>C</w:t>
            </w:r>
            <w:r w:rsidRPr="004431CC">
              <w:rPr>
                <w:vertAlign w:val="subscript"/>
              </w:rPr>
              <w:t>trough</w:t>
            </w:r>
            <w:proofErr w:type="spellEnd"/>
          </w:p>
        </w:tc>
        <w:tc>
          <w:tcPr>
            <w:tcW w:w="6691" w:type="dxa"/>
          </w:tcPr>
          <w:p w14:paraId="7CFB296B" w14:textId="77777777" w:rsidR="002E7487" w:rsidRDefault="002E7487" w:rsidP="00901104">
            <w:pPr>
              <w:ind w:left="144"/>
            </w:pPr>
            <w:r>
              <w:t>T</w:t>
            </w:r>
            <w:r w:rsidRPr="004431CC">
              <w:t>rough concentration</w:t>
            </w:r>
          </w:p>
        </w:tc>
      </w:tr>
      <w:tr w:rsidR="002E7487" w:rsidRPr="00FD119B" w14:paraId="5905D644" w14:textId="77777777" w:rsidTr="00901104">
        <w:tc>
          <w:tcPr>
            <w:tcW w:w="1803" w:type="dxa"/>
          </w:tcPr>
          <w:p w14:paraId="668D218D" w14:textId="77777777" w:rsidR="002E7487" w:rsidRDefault="002E7487" w:rsidP="00901104">
            <w:pPr>
              <w:ind w:left="144"/>
            </w:pPr>
            <w:r>
              <w:t>DBP</w:t>
            </w:r>
          </w:p>
        </w:tc>
        <w:tc>
          <w:tcPr>
            <w:tcW w:w="6691" w:type="dxa"/>
          </w:tcPr>
          <w:p w14:paraId="4F4D06AC" w14:textId="77777777" w:rsidR="002E7487" w:rsidRDefault="002E7487" w:rsidP="00901104">
            <w:pPr>
              <w:ind w:left="144"/>
            </w:pPr>
            <w:r>
              <w:t>Double blind period</w:t>
            </w:r>
          </w:p>
        </w:tc>
      </w:tr>
      <w:tr w:rsidR="002E7487" w:rsidRPr="00FD119B" w14:paraId="6C7D50B6" w14:textId="77777777" w:rsidTr="00901104">
        <w:tc>
          <w:tcPr>
            <w:tcW w:w="1803" w:type="dxa"/>
          </w:tcPr>
          <w:p w14:paraId="4FF9CA1D" w14:textId="77777777" w:rsidR="002E7487" w:rsidRDefault="002E7487" w:rsidP="00901104">
            <w:pPr>
              <w:ind w:left="144"/>
            </w:pPr>
            <w:r>
              <w:t>EDSS</w:t>
            </w:r>
          </w:p>
        </w:tc>
        <w:tc>
          <w:tcPr>
            <w:tcW w:w="6691" w:type="dxa"/>
          </w:tcPr>
          <w:p w14:paraId="3CCBAB74" w14:textId="77777777" w:rsidR="002E7487" w:rsidRDefault="002E7487" w:rsidP="00901104">
            <w:pPr>
              <w:ind w:left="144"/>
            </w:pPr>
            <w:r>
              <w:t>Expanded Disability Status Scale</w:t>
            </w:r>
          </w:p>
        </w:tc>
      </w:tr>
      <w:tr w:rsidR="002E7487" w:rsidRPr="00FD119B" w14:paraId="60C10E98" w14:textId="77777777" w:rsidTr="00901104">
        <w:tc>
          <w:tcPr>
            <w:tcW w:w="1803" w:type="dxa"/>
          </w:tcPr>
          <w:p w14:paraId="1E8E5293" w14:textId="77777777" w:rsidR="002E7487" w:rsidRDefault="002E7487" w:rsidP="00901104">
            <w:pPr>
              <w:ind w:left="144"/>
            </w:pPr>
            <w:r>
              <w:t>EMA</w:t>
            </w:r>
          </w:p>
        </w:tc>
        <w:tc>
          <w:tcPr>
            <w:tcW w:w="6691" w:type="dxa"/>
          </w:tcPr>
          <w:p w14:paraId="5502A000" w14:textId="30A973A6" w:rsidR="002E7487" w:rsidRDefault="002E7487" w:rsidP="00901104">
            <w:pPr>
              <w:ind w:left="144"/>
            </w:pPr>
            <w:r w:rsidRPr="004A40DF">
              <w:t>European Medicines Agency</w:t>
            </w:r>
            <w:r w:rsidR="001B12D9">
              <w:t xml:space="preserve"> (European Union)</w:t>
            </w:r>
          </w:p>
        </w:tc>
      </w:tr>
      <w:tr w:rsidR="002E7487" w:rsidRPr="00FD119B" w14:paraId="0EE9DCF8" w14:textId="77777777" w:rsidTr="00901104">
        <w:tc>
          <w:tcPr>
            <w:tcW w:w="1803" w:type="dxa"/>
          </w:tcPr>
          <w:p w14:paraId="6959BAF4" w14:textId="77777777" w:rsidR="002E7487" w:rsidRDefault="002E7487" w:rsidP="00901104">
            <w:pPr>
              <w:ind w:left="144"/>
            </w:pPr>
            <w:r>
              <w:t>EU</w:t>
            </w:r>
          </w:p>
        </w:tc>
        <w:tc>
          <w:tcPr>
            <w:tcW w:w="6691" w:type="dxa"/>
          </w:tcPr>
          <w:p w14:paraId="32660566" w14:textId="77777777" w:rsidR="002E7487" w:rsidRDefault="002E7487" w:rsidP="00901104">
            <w:pPr>
              <w:ind w:left="144"/>
            </w:pPr>
            <w:r>
              <w:t>European Union</w:t>
            </w:r>
          </w:p>
        </w:tc>
      </w:tr>
      <w:tr w:rsidR="002E7487" w:rsidRPr="00FD119B" w14:paraId="37D10907" w14:textId="77777777" w:rsidTr="00901104">
        <w:tc>
          <w:tcPr>
            <w:tcW w:w="1803" w:type="dxa"/>
          </w:tcPr>
          <w:p w14:paraId="3CCED170" w14:textId="77777777" w:rsidR="002E7487" w:rsidRDefault="002E7487" w:rsidP="00901104">
            <w:pPr>
              <w:ind w:left="144"/>
            </w:pPr>
            <w:proofErr w:type="spellStart"/>
            <w:r>
              <w:lastRenderedPageBreak/>
              <w:t>FcRn</w:t>
            </w:r>
            <w:proofErr w:type="spellEnd"/>
          </w:p>
        </w:tc>
        <w:tc>
          <w:tcPr>
            <w:tcW w:w="6691" w:type="dxa"/>
          </w:tcPr>
          <w:p w14:paraId="65458A21" w14:textId="6BF60572" w:rsidR="002E7487" w:rsidRDefault="001B12D9" w:rsidP="00901104">
            <w:pPr>
              <w:ind w:left="144"/>
            </w:pPr>
            <w:r>
              <w:t>N</w:t>
            </w:r>
            <w:r w:rsidR="002E7487">
              <w:t>eonatal Fc receptor</w:t>
            </w:r>
          </w:p>
        </w:tc>
      </w:tr>
      <w:tr w:rsidR="002E7487" w:rsidRPr="00FD119B" w14:paraId="4A013A58" w14:textId="77777777" w:rsidTr="00901104">
        <w:tc>
          <w:tcPr>
            <w:tcW w:w="1803" w:type="dxa"/>
          </w:tcPr>
          <w:p w14:paraId="695420BD" w14:textId="77777777" w:rsidR="002E7487" w:rsidRDefault="002E7487" w:rsidP="00901104">
            <w:pPr>
              <w:ind w:left="144"/>
            </w:pPr>
            <w:r>
              <w:t>FDA</w:t>
            </w:r>
          </w:p>
        </w:tc>
        <w:tc>
          <w:tcPr>
            <w:tcW w:w="6691" w:type="dxa"/>
          </w:tcPr>
          <w:p w14:paraId="5B78F2A3" w14:textId="583BCC3E" w:rsidR="002E7487" w:rsidRDefault="002E7487" w:rsidP="00901104">
            <w:pPr>
              <w:ind w:left="144"/>
            </w:pPr>
            <w:r w:rsidRPr="00524F7A">
              <w:t>Food and Drug Administration</w:t>
            </w:r>
            <w:r>
              <w:t xml:space="preserve"> (</w:t>
            </w:r>
            <w:r w:rsidR="001B12D9">
              <w:t xml:space="preserve">United States of </w:t>
            </w:r>
            <w:proofErr w:type="spellStart"/>
            <w:r w:rsidR="001B12D9">
              <w:t>Amerca</w:t>
            </w:r>
            <w:proofErr w:type="spellEnd"/>
            <w:r w:rsidR="001B12D9">
              <w:t>)</w:t>
            </w:r>
          </w:p>
        </w:tc>
      </w:tr>
      <w:tr w:rsidR="002E7487" w:rsidRPr="00FD119B" w14:paraId="6606FA04" w14:textId="77777777" w:rsidTr="00901104">
        <w:tc>
          <w:tcPr>
            <w:tcW w:w="1803" w:type="dxa"/>
          </w:tcPr>
          <w:p w14:paraId="2C2827B9" w14:textId="77777777" w:rsidR="002E7487" w:rsidRDefault="002E7487" w:rsidP="00901104">
            <w:pPr>
              <w:ind w:left="144"/>
            </w:pPr>
            <w:r>
              <w:t>FSS</w:t>
            </w:r>
          </w:p>
        </w:tc>
        <w:tc>
          <w:tcPr>
            <w:tcW w:w="6691" w:type="dxa"/>
          </w:tcPr>
          <w:p w14:paraId="1B88B150" w14:textId="5B328B49" w:rsidR="002E7487" w:rsidRDefault="002E7487" w:rsidP="00901104">
            <w:pPr>
              <w:ind w:left="144"/>
            </w:pPr>
            <w:r w:rsidRPr="00D57377">
              <w:t xml:space="preserve">Functional </w:t>
            </w:r>
            <w:r w:rsidR="001B12D9">
              <w:t>s</w:t>
            </w:r>
            <w:r w:rsidRPr="00D57377">
              <w:t xml:space="preserve">ystems </w:t>
            </w:r>
            <w:r w:rsidR="001B12D9">
              <w:t>s</w:t>
            </w:r>
            <w:r w:rsidRPr="00D57377">
              <w:t>core</w:t>
            </w:r>
          </w:p>
        </w:tc>
      </w:tr>
      <w:tr w:rsidR="002E7487" w:rsidRPr="00FD119B" w14:paraId="201F45C5" w14:textId="77777777" w:rsidTr="00901104">
        <w:tc>
          <w:tcPr>
            <w:tcW w:w="1803" w:type="dxa"/>
          </w:tcPr>
          <w:p w14:paraId="34B24EE2" w14:textId="77777777" w:rsidR="002E7487" w:rsidRDefault="002E7487" w:rsidP="00901104">
            <w:pPr>
              <w:ind w:left="144"/>
            </w:pPr>
            <w:r>
              <w:t>HR</w:t>
            </w:r>
          </w:p>
        </w:tc>
        <w:tc>
          <w:tcPr>
            <w:tcW w:w="6691" w:type="dxa"/>
          </w:tcPr>
          <w:p w14:paraId="37890F5D" w14:textId="77777777" w:rsidR="002E7487" w:rsidRDefault="002E7487" w:rsidP="00901104">
            <w:pPr>
              <w:ind w:left="144"/>
            </w:pPr>
            <w:r>
              <w:t>Hazard ratio</w:t>
            </w:r>
          </w:p>
        </w:tc>
      </w:tr>
      <w:tr w:rsidR="002E7487" w:rsidRPr="00FD119B" w14:paraId="6864A389" w14:textId="77777777" w:rsidTr="00901104">
        <w:tc>
          <w:tcPr>
            <w:tcW w:w="1803" w:type="dxa"/>
          </w:tcPr>
          <w:p w14:paraId="6AC44804" w14:textId="77777777" w:rsidR="002E7487" w:rsidRDefault="002E7487" w:rsidP="00901104">
            <w:pPr>
              <w:ind w:left="144"/>
            </w:pPr>
            <w:r>
              <w:t>IgG2</w:t>
            </w:r>
          </w:p>
        </w:tc>
        <w:tc>
          <w:tcPr>
            <w:tcW w:w="6691" w:type="dxa"/>
          </w:tcPr>
          <w:p w14:paraId="070BBD2A" w14:textId="77777777" w:rsidR="002E7487" w:rsidRPr="00460036" w:rsidRDefault="002E7487" w:rsidP="00901104">
            <w:pPr>
              <w:ind w:left="144"/>
            </w:pPr>
            <w:r>
              <w:t>Immunoglobulin G2</w:t>
            </w:r>
          </w:p>
        </w:tc>
      </w:tr>
      <w:tr w:rsidR="002E7487" w:rsidRPr="00FD119B" w14:paraId="5A71D6FE" w14:textId="77777777" w:rsidTr="00901104">
        <w:tc>
          <w:tcPr>
            <w:tcW w:w="1803" w:type="dxa"/>
          </w:tcPr>
          <w:p w14:paraId="77E2B035" w14:textId="77777777" w:rsidR="002E7487" w:rsidRDefault="002E7487" w:rsidP="00901104">
            <w:pPr>
              <w:ind w:left="144"/>
            </w:pPr>
            <w:r>
              <w:t>IL-6</w:t>
            </w:r>
          </w:p>
        </w:tc>
        <w:tc>
          <w:tcPr>
            <w:tcW w:w="6691" w:type="dxa"/>
          </w:tcPr>
          <w:p w14:paraId="4E8EE19B" w14:textId="77777777" w:rsidR="002E7487" w:rsidRPr="00460036" w:rsidRDefault="002E7487" w:rsidP="00901104">
            <w:pPr>
              <w:ind w:left="144"/>
            </w:pPr>
            <w:r>
              <w:t>Interleukin-6</w:t>
            </w:r>
          </w:p>
        </w:tc>
      </w:tr>
      <w:tr w:rsidR="002E7487" w:rsidRPr="00FD119B" w14:paraId="315E7129" w14:textId="77777777" w:rsidTr="00901104">
        <w:tc>
          <w:tcPr>
            <w:tcW w:w="1803" w:type="dxa"/>
          </w:tcPr>
          <w:p w14:paraId="5C51A663" w14:textId="77777777" w:rsidR="002E7487" w:rsidRDefault="002E7487" w:rsidP="00901104">
            <w:pPr>
              <w:ind w:left="144"/>
            </w:pPr>
            <w:r>
              <w:t>IL-6R</w:t>
            </w:r>
          </w:p>
        </w:tc>
        <w:tc>
          <w:tcPr>
            <w:tcW w:w="6691" w:type="dxa"/>
          </w:tcPr>
          <w:p w14:paraId="4369152E" w14:textId="77777777" w:rsidR="002E7487" w:rsidRDefault="002E7487" w:rsidP="00901104">
            <w:pPr>
              <w:ind w:left="144"/>
            </w:pPr>
            <w:r>
              <w:t>Interleukin-6 receptor</w:t>
            </w:r>
          </w:p>
        </w:tc>
      </w:tr>
      <w:tr w:rsidR="002E7487" w:rsidRPr="00FD119B" w14:paraId="6BEFE100" w14:textId="77777777" w:rsidTr="00901104">
        <w:tc>
          <w:tcPr>
            <w:tcW w:w="1803" w:type="dxa"/>
          </w:tcPr>
          <w:p w14:paraId="0F27F782" w14:textId="77777777" w:rsidR="002E7487" w:rsidRDefault="002E7487" w:rsidP="00901104">
            <w:pPr>
              <w:ind w:left="144"/>
            </w:pPr>
            <w:r>
              <w:t>ILD</w:t>
            </w:r>
          </w:p>
        </w:tc>
        <w:tc>
          <w:tcPr>
            <w:tcW w:w="6691" w:type="dxa"/>
          </w:tcPr>
          <w:p w14:paraId="0B4EDFE4" w14:textId="77777777" w:rsidR="002E7487" w:rsidRDefault="002E7487" w:rsidP="00901104">
            <w:pPr>
              <w:ind w:left="144"/>
            </w:pPr>
            <w:r>
              <w:t>Interstitial lung disease</w:t>
            </w:r>
          </w:p>
        </w:tc>
      </w:tr>
      <w:tr w:rsidR="002E7487" w:rsidRPr="00FD119B" w14:paraId="28001121" w14:textId="77777777" w:rsidTr="00901104">
        <w:tc>
          <w:tcPr>
            <w:tcW w:w="1803" w:type="dxa"/>
          </w:tcPr>
          <w:p w14:paraId="6C97BF86" w14:textId="77777777" w:rsidR="002E7487" w:rsidRDefault="002E7487" w:rsidP="00901104">
            <w:pPr>
              <w:ind w:left="144"/>
            </w:pPr>
            <w:r>
              <w:t>IRR</w:t>
            </w:r>
          </w:p>
        </w:tc>
        <w:tc>
          <w:tcPr>
            <w:tcW w:w="6691" w:type="dxa"/>
          </w:tcPr>
          <w:p w14:paraId="149B61B5" w14:textId="77777777" w:rsidR="002E7487" w:rsidRDefault="002E7487" w:rsidP="00901104">
            <w:pPr>
              <w:ind w:left="144"/>
            </w:pPr>
            <w:r>
              <w:rPr>
                <w:lang w:eastAsia="ja-JP"/>
              </w:rPr>
              <w:t>Injection</w:t>
            </w:r>
            <w:r w:rsidRPr="00C02267">
              <w:rPr>
                <w:lang w:eastAsia="ja-JP"/>
              </w:rPr>
              <w:t xml:space="preserve"> related reaction</w:t>
            </w:r>
          </w:p>
        </w:tc>
      </w:tr>
      <w:tr w:rsidR="002E7487" w:rsidRPr="00FD119B" w14:paraId="7710672F" w14:textId="77777777" w:rsidTr="00901104">
        <w:tc>
          <w:tcPr>
            <w:tcW w:w="1803" w:type="dxa"/>
          </w:tcPr>
          <w:p w14:paraId="259DF78E" w14:textId="77777777" w:rsidR="002E7487" w:rsidRDefault="002E7487" w:rsidP="00901104">
            <w:pPr>
              <w:ind w:left="144"/>
            </w:pPr>
            <w:r>
              <w:t>IST</w:t>
            </w:r>
          </w:p>
        </w:tc>
        <w:tc>
          <w:tcPr>
            <w:tcW w:w="6691" w:type="dxa"/>
          </w:tcPr>
          <w:p w14:paraId="382ED0E3" w14:textId="77777777" w:rsidR="002E7487" w:rsidRPr="00460036" w:rsidRDefault="002E7487" w:rsidP="00901104">
            <w:pPr>
              <w:ind w:left="144"/>
            </w:pPr>
            <w:r>
              <w:t>Immunosuppressive therapy</w:t>
            </w:r>
          </w:p>
        </w:tc>
      </w:tr>
      <w:tr w:rsidR="002E7487" w:rsidRPr="00FD119B" w14:paraId="58A76FBB" w14:textId="77777777" w:rsidTr="00901104">
        <w:tc>
          <w:tcPr>
            <w:tcW w:w="1803" w:type="dxa"/>
          </w:tcPr>
          <w:p w14:paraId="4B53644B" w14:textId="77777777" w:rsidR="002E7487" w:rsidRDefault="002E7487" w:rsidP="00901104">
            <w:pPr>
              <w:ind w:left="144"/>
            </w:pPr>
            <w:r>
              <w:t>ITT</w:t>
            </w:r>
          </w:p>
        </w:tc>
        <w:tc>
          <w:tcPr>
            <w:tcW w:w="6691" w:type="dxa"/>
          </w:tcPr>
          <w:p w14:paraId="593B7294" w14:textId="77777777" w:rsidR="002E7487" w:rsidRDefault="002E7487" w:rsidP="00901104">
            <w:pPr>
              <w:ind w:left="144"/>
            </w:pPr>
            <w:r>
              <w:t>Intent to treat</w:t>
            </w:r>
          </w:p>
        </w:tc>
      </w:tr>
      <w:tr w:rsidR="002E7487" w:rsidRPr="00FD119B" w14:paraId="7680B68E" w14:textId="77777777" w:rsidTr="00901104">
        <w:tc>
          <w:tcPr>
            <w:tcW w:w="1803" w:type="dxa"/>
          </w:tcPr>
          <w:p w14:paraId="2A763C37" w14:textId="77777777" w:rsidR="002E7487" w:rsidRDefault="002E7487" w:rsidP="00901104">
            <w:pPr>
              <w:ind w:left="144"/>
            </w:pPr>
            <w:r>
              <w:t>IV</w:t>
            </w:r>
          </w:p>
        </w:tc>
        <w:tc>
          <w:tcPr>
            <w:tcW w:w="6691" w:type="dxa"/>
          </w:tcPr>
          <w:p w14:paraId="14F0D74F" w14:textId="77777777" w:rsidR="002E7487" w:rsidRDefault="002E7487" w:rsidP="00901104">
            <w:pPr>
              <w:ind w:left="144"/>
            </w:pPr>
            <w:r>
              <w:t>Intravenous</w:t>
            </w:r>
          </w:p>
        </w:tc>
      </w:tr>
      <w:tr w:rsidR="002E7487" w:rsidRPr="00FD119B" w14:paraId="65010C43" w14:textId="77777777" w:rsidTr="00901104">
        <w:tc>
          <w:tcPr>
            <w:tcW w:w="1803" w:type="dxa"/>
          </w:tcPr>
          <w:p w14:paraId="42E86304" w14:textId="77777777" w:rsidR="002E7487" w:rsidRDefault="002E7487" w:rsidP="00901104">
            <w:pPr>
              <w:ind w:left="144"/>
            </w:pPr>
            <w:proofErr w:type="spellStart"/>
            <w:r>
              <w:t>IxRS</w:t>
            </w:r>
            <w:proofErr w:type="spellEnd"/>
          </w:p>
        </w:tc>
        <w:tc>
          <w:tcPr>
            <w:tcW w:w="6691" w:type="dxa"/>
          </w:tcPr>
          <w:p w14:paraId="682B6CFD" w14:textId="77777777" w:rsidR="002E7487" w:rsidRDefault="002E7487" w:rsidP="00901104">
            <w:pPr>
              <w:ind w:left="144"/>
            </w:pPr>
            <w:r>
              <w:t>Interactive Web Response and Voice Response System</w:t>
            </w:r>
          </w:p>
        </w:tc>
      </w:tr>
      <w:tr w:rsidR="002E7487" w:rsidRPr="00FD119B" w14:paraId="09088C37" w14:textId="77777777" w:rsidTr="00901104">
        <w:tc>
          <w:tcPr>
            <w:tcW w:w="1803" w:type="dxa"/>
          </w:tcPr>
          <w:p w14:paraId="744044D2" w14:textId="77777777" w:rsidR="002E7487" w:rsidRDefault="002E7487" w:rsidP="00901104">
            <w:pPr>
              <w:ind w:left="144"/>
            </w:pPr>
            <w:r>
              <w:t>LLOQ</w:t>
            </w:r>
          </w:p>
        </w:tc>
        <w:tc>
          <w:tcPr>
            <w:tcW w:w="6691" w:type="dxa"/>
          </w:tcPr>
          <w:p w14:paraId="609D2E5D" w14:textId="77777777" w:rsidR="002E7487" w:rsidRDefault="002E7487" w:rsidP="00901104">
            <w:pPr>
              <w:ind w:left="144"/>
            </w:pPr>
            <w:r>
              <w:t>L</w:t>
            </w:r>
            <w:r w:rsidRPr="004431CC">
              <w:t>ower limit of quantitation</w:t>
            </w:r>
          </w:p>
        </w:tc>
      </w:tr>
      <w:tr w:rsidR="002E7487" w:rsidRPr="00FD119B" w14:paraId="02015BCB" w14:textId="77777777" w:rsidTr="00901104">
        <w:tc>
          <w:tcPr>
            <w:tcW w:w="1803" w:type="dxa"/>
          </w:tcPr>
          <w:p w14:paraId="27F7D912" w14:textId="77777777" w:rsidR="002E7487" w:rsidRDefault="002E7487" w:rsidP="00901104">
            <w:pPr>
              <w:ind w:left="144"/>
            </w:pPr>
            <w:proofErr w:type="spellStart"/>
            <w:r>
              <w:t>mAb</w:t>
            </w:r>
            <w:proofErr w:type="spellEnd"/>
          </w:p>
        </w:tc>
        <w:tc>
          <w:tcPr>
            <w:tcW w:w="6691" w:type="dxa"/>
          </w:tcPr>
          <w:p w14:paraId="6A4F5F21" w14:textId="77777777" w:rsidR="002E7487" w:rsidRPr="00460036" w:rsidRDefault="002E7487" w:rsidP="00901104">
            <w:pPr>
              <w:ind w:left="144"/>
            </w:pPr>
            <w:r>
              <w:t>Monoclonal antibody</w:t>
            </w:r>
          </w:p>
        </w:tc>
      </w:tr>
      <w:tr w:rsidR="002E7487" w:rsidRPr="00FD119B" w14:paraId="0917AFD1" w14:textId="77777777" w:rsidTr="00901104">
        <w:tc>
          <w:tcPr>
            <w:tcW w:w="1803" w:type="dxa"/>
          </w:tcPr>
          <w:p w14:paraId="092B3651" w14:textId="77777777" w:rsidR="002E7487" w:rsidRDefault="002E7487" w:rsidP="00901104">
            <w:pPr>
              <w:ind w:left="144"/>
            </w:pPr>
            <w:r>
              <w:t>MMF</w:t>
            </w:r>
          </w:p>
        </w:tc>
        <w:tc>
          <w:tcPr>
            <w:tcW w:w="6691" w:type="dxa"/>
          </w:tcPr>
          <w:p w14:paraId="59CF846A" w14:textId="77777777" w:rsidR="002E7487" w:rsidRPr="00460036" w:rsidRDefault="002E7487" w:rsidP="00901104">
            <w:pPr>
              <w:ind w:left="144"/>
            </w:pPr>
            <w:r>
              <w:t>Mycophenolate mofetil</w:t>
            </w:r>
          </w:p>
        </w:tc>
      </w:tr>
      <w:tr w:rsidR="002E7487" w:rsidRPr="00FD119B" w14:paraId="79EA1255" w14:textId="77777777" w:rsidTr="00901104">
        <w:tc>
          <w:tcPr>
            <w:tcW w:w="1803" w:type="dxa"/>
          </w:tcPr>
          <w:p w14:paraId="6CC09CE5" w14:textId="77777777" w:rsidR="002E7487" w:rsidRDefault="002E7487" w:rsidP="00901104">
            <w:pPr>
              <w:ind w:left="144"/>
            </w:pPr>
            <w:r>
              <w:t>MRI</w:t>
            </w:r>
          </w:p>
        </w:tc>
        <w:tc>
          <w:tcPr>
            <w:tcW w:w="6691" w:type="dxa"/>
          </w:tcPr>
          <w:p w14:paraId="344FF155" w14:textId="77777777" w:rsidR="002E7487" w:rsidRDefault="002E7487" w:rsidP="00901104">
            <w:pPr>
              <w:ind w:left="144"/>
            </w:pPr>
            <w:r w:rsidRPr="00302723">
              <w:t>Magnetic resonance imaging</w:t>
            </w:r>
          </w:p>
        </w:tc>
      </w:tr>
      <w:tr w:rsidR="002E7487" w:rsidRPr="00FD119B" w14:paraId="372CBEE5" w14:textId="77777777" w:rsidTr="00901104">
        <w:tc>
          <w:tcPr>
            <w:tcW w:w="1803" w:type="dxa"/>
          </w:tcPr>
          <w:p w14:paraId="23CE3985" w14:textId="77777777" w:rsidR="002E7487" w:rsidRDefault="002E7487" w:rsidP="00901104">
            <w:pPr>
              <w:ind w:left="144"/>
            </w:pPr>
            <w:proofErr w:type="spellStart"/>
            <w:r>
              <w:t>NAb</w:t>
            </w:r>
            <w:proofErr w:type="spellEnd"/>
          </w:p>
        </w:tc>
        <w:tc>
          <w:tcPr>
            <w:tcW w:w="6691" w:type="dxa"/>
          </w:tcPr>
          <w:p w14:paraId="398179DC" w14:textId="77777777" w:rsidR="002E7487" w:rsidRDefault="002E7487" w:rsidP="00901104">
            <w:pPr>
              <w:tabs>
                <w:tab w:val="left" w:pos="1828"/>
              </w:tabs>
              <w:ind w:left="144"/>
            </w:pPr>
            <w:r>
              <w:t>Neutralising antibody</w:t>
            </w:r>
          </w:p>
        </w:tc>
      </w:tr>
      <w:tr w:rsidR="002E7487" w:rsidRPr="00FD119B" w14:paraId="01C1901F" w14:textId="77777777" w:rsidTr="00901104">
        <w:tc>
          <w:tcPr>
            <w:tcW w:w="1803" w:type="dxa"/>
          </w:tcPr>
          <w:p w14:paraId="4AA42617" w14:textId="77777777" w:rsidR="002E7487" w:rsidRDefault="002E7487" w:rsidP="00901104">
            <w:pPr>
              <w:ind w:left="144"/>
            </w:pPr>
            <w:r>
              <w:t>NMO</w:t>
            </w:r>
          </w:p>
        </w:tc>
        <w:tc>
          <w:tcPr>
            <w:tcW w:w="6691" w:type="dxa"/>
          </w:tcPr>
          <w:p w14:paraId="16562476" w14:textId="77777777" w:rsidR="002E7487" w:rsidRDefault="002E7487" w:rsidP="00901104">
            <w:pPr>
              <w:ind w:left="144"/>
            </w:pPr>
            <w:r>
              <w:t xml:space="preserve">Neuromyelitis </w:t>
            </w:r>
            <w:proofErr w:type="spellStart"/>
            <w:r>
              <w:t>optica</w:t>
            </w:r>
            <w:proofErr w:type="spellEnd"/>
          </w:p>
        </w:tc>
      </w:tr>
      <w:tr w:rsidR="002E7487" w:rsidRPr="00FD119B" w14:paraId="1C7D2813" w14:textId="77777777" w:rsidTr="00901104">
        <w:tc>
          <w:tcPr>
            <w:tcW w:w="1803" w:type="dxa"/>
          </w:tcPr>
          <w:p w14:paraId="79C2B326" w14:textId="77777777" w:rsidR="002E7487" w:rsidRDefault="002E7487" w:rsidP="00901104">
            <w:pPr>
              <w:ind w:left="144"/>
            </w:pPr>
            <w:r>
              <w:t>NMOSD</w:t>
            </w:r>
          </w:p>
        </w:tc>
        <w:tc>
          <w:tcPr>
            <w:tcW w:w="6691" w:type="dxa"/>
          </w:tcPr>
          <w:p w14:paraId="3D5FBA5C" w14:textId="77777777" w:rsidR="002E7487" w:rsidRPr="00460036" w:rsidRDefault="002E7487" w:rsidP="00901104">
            <w:pPr>
              <w:ind w:left="144"/>
            </w:pPr>
            <w:r>
              <w:t>N</w:t>
            </w:r>
            <w:r w:rsidRPr="00D20B71">
              <w:t xml:space="preserve">euromyelitis </w:t>
            </w:r>
            <w:proofErr w:type="spellStart"/>
            <w:r w:rsidRPr="00D20B71">
              <w:t>optica</w:t>
            </w:r>
            <w:proofErr w:type="spellEnd"/>
            <w:r w:rsidRPr="00D20B71">
              <w:t xml:space="preserve"> spectrum disorders</w:t>
            </w:r>
          </w:p>
        </w:tc>
      </w:tr>
      <w:tr w:rsidR="002E7487" w:rsidRPr="00FD119B" w14:paraId="7BFD7A38" w14:textId="77777777" w:rsidTr="00901104">
        <w:tc>
          <w:tcPr>
            <w:tcW w:w="1803" w:type="dxa"/>
          </w:tcPr>
          <w:p w14:paraId="087733C7" w14:textId="77777777" w:rsidR="002E7487" w:rsidRDefault="002E7487" w:rsidP="00901104">
            <w:pPr>
              <w:ind w:left="144"/>
            </w:pPr>
            <w:r>
              <w:t>OC</w:t>
            </w:r>
          </w:p>
        </w:tc>
        <w:tc>
          <w:tcPr>
            <w:tcW w:w="6691" w:type="dxa"/>
          </w:tcPr>
          <w:p w14:paraId="600A08B9" w14:textId="77777777" w:rsidR="002E7487" w:rsidRPr="00460036" w:rsidRDefault="002E7487" w:rsidP="00901104">
            <w:pPr>
              <w:ind w:left="144"/>
            </w:pPr>
            <w:r>
              <w:t>Oral corticosteroids</w:t>
            </w:r>
          </w:p>
        </w:tc>
      </w:tr>
      <w:tr w:rsidR="002E7487" w:rsidRPr="00FD119B" w14:paraId="20E1707A" w14:textId="77777777" w:rsidTr="00901104">
        <w:tc>
          <w:tcPr>
            <w:tcW w:w="1803" w:type="dxa"/>
          </w:tcPr>
          <w:p w14:paraId="4646AE74" w14:textId="77777777" w:rsidR="002E7487" w:rsidRDefault="002E7487" w:rsidP="00901104">
            <w:pPr>
              <w:ind w:left="144"/>
            </w:pPr>
            <w:r>
              <w:t>OLP</w:t>
            </w:r>
          </w:p>
        </w:tc>
        <w:tc>
          <w:tcPr>
            <w:tcW w:w="6691" w:type="dxa"/>
          </w:tcPr>
          <w:p w14:paraId="209F7893" w14:textId="77777777" w:rsidR="002E7487" w:rsidRDefault="002E7487" w:rsidP="00901104">
            <w:pPr>
              <w:ind w:left="144"/>
            </w:pPr>
            <w:r>
              <w:t>Open label period</w:t>
            </w:r>
          </w:p>
        </w:tc>
      </w:tr>
      <w:tr w:rsidR="002E7487" w:rsidRPr="00FD119B" w14:paraId="75866216" w14:textId="77777777" w:rsidTr="00901104">
        <w:tc>
          <w:tcPr>
            <w:tcW w:w="1803" w:type="dxa"/>
          </w:tcPr>
          <w:p w14:paraId="03A4C055" w14:textId="77777777" w:rsidR="002E7487" w:rsidRDefault="002E7487" w:rsidP="00901104">
            <w:pPr>
              <w:ind w:left="144"/>
            </w:pPr>
            <w:r>
              <w:t>ON</w:t>
            </w:r>
          </w:p>
        </w:tc>
        <w:tc>
          <w:tcPr>
            <w:tcW w:w="6691" w:type="dxa"/>
          </w:tcPr>
          <w:p w14:paraId="62731F58" w14:textId="77777777" w:rsidR="002E7487" w:rsidRDefault="002E7487" w:rsidP="00901104">
            <w:pPr>
              <w:ind w:left="144"/>
            </w:pPr>
            <w:r>
              <w:t>Optic neuritis</w:t>
            </w:r>
          </w:p>
        </w:tc>
      </w:tr>
      <w:tr w:rsidR="002E7487" w:rsidRPr="00FD119B" w14:paraId="391A2CF9" w14:textId="77777777" w:rsidTr="00901104">
        <w:tc>
          <w:tcPr>
            <w:tcW w:w="1803" w:type="dxa"/>
          </w:tcPr>
          <w:p w14:paraId="3F6DCE25" w14:textId="77777777" w:rsidR="002E7487" w:rsidRDefault="002E7487" w:rsidP="00901104">
            <w:pPr>
              <w:ind w:left="144"/>
            </w:pPr>
            <w:r>
              <w:t>PD</w:t>
            </w:r>
          </w:p>
        </w:tc>
        <w:tc>
          <w:tcPr>
            <w:tcW w:w="6691" w:type="dxa"/>
          </w:tcPr>
          <w:p w14:paraId="728A277F" w14:textId="231898FB" w:rsidR="002E7487" w:rsidRDefault="002E7487" w:rsidP="00901104">
            <w:pPr>
              <w:ind w:left="144"/>
            </w:pPr>
            <w:r>
              <w:t>Pharmacodynamic</w:t>
            </w:r>
            <w:r w:rsidR="001B12D9">
              <w:t>(</w:t>
            </w:r>
            <w:r>
              <w:t>s</w:t>
            </w:r>
            <w:r w:rsidR="001B12D9">
              <w:t>)</w:t>
            </w:r>
          </w:p>
        </w:tc>
      </w:tr>
      <w:tr w:rsidR="002E7487" w:rsidRPr="00FD119B" w14:paraId="14B766D9" w14:textId="77777777" w:rsidTr="00901104">
        <w:tc>
          <w:tcPr>
            <w:tcW w:w="1803" w:type="dxa"/>
          </w:tcPr>
          <w:p w14:paraId="3C3C0D6C" w14:textId="77777777" w:rsidR="002E7487" w:rsidRDefault="002E7487" w:rsidP="00901104">
            <w:pPr>
              <w:ind w:left="144"/>
            </w:pPr>
            <w:r>
              <w:t>PDR</w:t>
            </w:r>
          </w:p>
        </w:tc>
        <w:tc>
          <w:tcPr>
            <w:tcW w:w="6691" w:type="dxa"/>
          </w:tcPr>
          <w:p w14:paraId="66DBAE37" w14:textId="77777777" w:rsidR="002E7487" w:rsidRDefault="002E7487" w:rsidP="00901104">
            <w:pPr>
              <w:ind w:left="144"/>
            </w:pPr>
            <w:r>
              <w:t>Protocol defined relapse</w:t>
            </w:r>
          </w:p>
        </w:tc>
      </w:tr>
      <w:tr w:rsidR="002E7487" w:rsidRPr="00FD119B" w14:paraId="3C34746D" w14:textId="77777777" w:rsidTr="00901104">
        <w:tc>
          <w:tcPr>
            <w:tcW w:w="1803" w:type="dxa"/>
          </w:tcPr>
          <w:p w14:paraId="5AF157C4" w14:textId="77777777" w:rsidR="002E7487" w:rsidRDefault="002E7487" w:rsidP="00901104">
            <w:pPr>
              <w:ind w:left="144"/>
            </w:pPr>
            <w:r>
              <w:t>PFS</w:t>
            </w:r>
          </w:p>
        </w:tc>
        <w:tc>
          <w:tcPr>
            <w:tcW w:w="6691" w:type="dxa"/>
          </w:tcPr>
          <w:p w14:paraId="77C0D83C" w14:textId="77777777" w:rsidR="002E7487" w:rsidRDefault="002E7487" w:rsidP="00901104">
            <w:pPr>
              <w:ind w:left="144"/>
            </w:pPr>
            <w:r>
              <w:t>Pre-filled syringe</w:t>
            </w:r>
          </w:p>
        </w:tc>
      </w:tr>
      <w:tr w:rsidR="002E7487" w:rsidRPr="00FD119B" w14:paraId="58ADC91F" w14:textId="77777777" w:rsidTr="00901104">
        <w:tc>
          <w:tcPr>
            <w:tcW w:w="1803" w:type="dxa"/>
          </w:tcPr>
          <w:p w14:paraId="4363528A" w14:textId="77777777" w:rsidR="002E7487" w:rsidRDefault="002E7487" w:rsidP="00901104">
            <w:pPr>
              <w:ind w:left="144"/>
            </w:pPr>
            <w:r>
              <w:lastRenderedPageBreak/>
              <w:t>PI</w:t>
            </w:r>
          </w:p>
        </w:tc>
        <w:tc>
          <w:tcPr>
            <w:tcW w:w="6691" w:type="dxa"/>
          </w:tcPr>
          <w:p w14:paraId="546242E9" w14:textId="77777777" w:rsidR="002E7487" w:rsidRDefault="002E7487" w:rsidP="00901104">
            <w:pPr>
              <w:ind w:left="144"/>
            </w:pPr>
            <w:r>
              <w:t>Product Information</w:t>
            </w:r>
          </w:p>
        </w:tc>
      </w:tr>
      <w:tr w:rsidR="002E7487" w:rsidRPr="00FD119B" w14:paraId="72EB50D0" w14:textId="77777777" w:rsidTr="00901104">
        <w:tc>
          <w:tcPr>
            <w:tcW w:w="1803" w:type="dxa"/>
          </w:tcPr>
          <w:p w14:paraId="1E099A5B" w14:textId="77777777" w:rsidR="002E7487" w:rsidRDefault="002E7487" w:rsidP="00901104">
            <w:pPr>
              <w:ind w:left="144"/>
            </w:pPr>
            <w:r>
              <w:t>PIP</w:t>
            </w:r>
          </w:p>
        </w:tc>
        <w:tc>
          <w:tcPr>
            <w:tcW w:w="6691" w:type="dxa"/>
          </w:tcPr>
          <w:p w14:paraId="717364B4" w14:textId="77777777" w:rsidR="002E7487" w:rsidRDefault="002E7487" w:rsidP="00901104">
            <w:pPr>
              <w:ind w:left="144"/>
            </w:pPr>
            <w:r>
              <w:t>Per intent protocol</w:t>
            </w:r>
          </w:p>
        </w:tc>
      </w:tr>
      <w:tr w:rsidR="002E7487" w:rsidRPr="00FD119B" w14:paraId="680DABF0" w14:textId="77777777" w:rsidTr="00901104">
        <w:tc>
          <w:tcPr>
            <w:tcW w:w="1803" w:type="dxa"/>
          </w:tcPr>
          <w:p w14:paraId="48882C7B" w14:textId="77777777" w:rsidR="002E7487" w:rsidRDefault="002E7487" w:rsidP="00901104">
            <w:pPr>
              <w:ind w:left="144"/>
            </w:pPr>
            <w:r>
              <w:t>PK</w:t>
            </w:r>
          </w:p>
        </w:tc>
        <w:tc>
          <w:tcPr>
            <w:tcW w:w="6691" w:type="dxa"/>
          </w:tcPr>
          <w:p w14:paraId="2B1F3A55" w14:textId="2FEB1873" w:rsidR="002E7487" w:rsidRDefault="002E7487" w:rsidP="00901104">
            <w:pPr>
              <w:ind w:left="144"/>
            </w:pPr>
            <w:r>
              <w:t>Pharmacokinetic</w:t>
            </w:r>
            <w:r w:rsidR="001B12D9">
              <w:t>(</w:t>
            </w:r>
            <w:r>
              <w:t>s</w:t>
            </w:r>
            <w:r w:rsidR="001B12D9">
              <w:t>)</w:t>
            </w:r>
          </w:p>
        </w:tc>
      </w:tr>
      <w:tr w:rsidR="002E7487" w:rsidRPr="00FD119B" w14:paraId="47BABFEA" w14:textId="77777777" w:rsidTr="00901104">
        <w:tc>
          <w:tcPr>
            <w:tcW w:w="1803" w:type="dxa"/>
          </w:tcPr>
          <w:p w14:paraId="6F8A06F4" w14:textId="77777777" w:rsidR="002E7487" w:rsidRDefault="002E7487" w:rsidP="00901104">
            <w:pPr>
              <w:ind w:left="144"/>
            </w:pPr>
            <w:proofErr w:type="spellStart"/>
            <w:r>
              <w:t>PopPK</w:t>
            </w:r>
            <w:proofErr w:type="spellEnd"/>
          </w:p>
        </w:tc>
        <w:tc>
          <w:tcPr>
            <w:tcW w:w="6691" w:type="dxa"/>
          </w:tcPr>
          <w:p w14:paraId="1D39A6A5" w14:textId="3D164F34" w:rsidR="002E7487" w:rsidRDefault="002E7487" w:rsidP="00901104">
            <w:pPr>
              <w:ind w:left="144"/>
            </w:pPr>
            <w:r>
              <w:t xml:space="preserve">Population </w:t>
            </w:r>
            <w:r w:rsidR="001B12D9">
              <w:t>pharmacokinetic(s)</w:t>
            </w:r>
          </w:p>
        </w:tc>
      </w:tr>
      <w:tr w:rsidR="002E7487" w:rsidRPr="00FD119B" w14:paraId="60CA4EF6" w14:textId="77777777" w:rsidTr="00901104">
        <w:tc>
          <w:tcPr>
            <w:tcW w:w="1803" w:type="dxa"/>
          </w:tcPr>
          <w:p w14:paraId="09C1D832" w14:textId="77777777" w:rsidR="002E7487" w:rsidRDefault="002E7487" w:rsidP="00901104">
            <w:pPr>
              <w:ind w:left="144"/>
            </w:pPr>
            <w:r>
              <w:t>PT</w:t>
            </w:r>
          </w:p>
        </w:tc>
        <w:tc>
          <w:tcPr>
            <w:tcW w:w="6691" w:type="dxa"/>
          </w:tcPr>
          <w:p w14:paraId="6C8FB973" w14:textId="77777777" w:rsidR="002E7487" w:rsidRDefault="002E7487" w:rsidP="00901104">
            <w:pPr>
              <w:ind w:left="144"/>
            </w:pPr>
            <w:r>
              <w:t>Preferred Term</w:t>
            </w:r>
          </w:p>
        </w:tc>
      </w:tr>
      <w:tr w:rsidR="002E7487" w:rsidRPr="00FD119B" w14:paraId="5A36B656" w14:textId="77777777" w:rsidTr="00901104">
        <w:tc>
          <w:tcPr>
            <w:tcW w:w="1803" w:type="dxa"/>
          </w:tcPr>
          <w:p w14:paraId="4C4419A5" w14:textId="77777777" w:rsidR="002E7487" w:rsidRDefault="002E7487" w:rsidP="00901104">
            <w:pPr>
              <w:ind w:left="144"/>
            </w:pPr>
            <w:r>
              <w:t>PY</w:t>
            </w:r>
          </w:p>
        </w:tc>
        <w:tc>
          <w:tcPr>
            <w:tcW w:w="6691" w:type="dxa"/>
          </w:tcPr>
          <w:p w14:paraId="6B98A675" w14:textId="77777777" w:rsidR="002E7487" w:rsidRDefault="002E7487" w:rsidP="00901104">
            <w:pPr>
              <w:ind w:left="144"/>
              <w:rPr>
                <w:lang w:eastAsia="ja-JP"/>
              </w:rPr>
            </w:pPr>
            <w:r>
              <w:rPr>
                <w:lang w:eastAsia="ja-JP"/>
              </w:rPr>
              <w:t>Patient-Year</w:t>
            </w:r>
          </w:p>
        </w:tc>
      </w:tr>
      <w:tr w:rsidR="002E7487" w:rsidRPr="00FD119B" w14:paraId="41AAE795" w14:textId="77777777" w:rsidTr="00901104">
        <w:tc>
          <w:tcPr>
            <w:tcW w:w="1803" w:type="dxa"/>
          </w:tcPr>
          <w:p w14:paraId="7FFDE75E" w14:textId="77777777" w:rsidR="002E7487" w:rsidRDefault="002E7487" w:rsidP="00901104">
            <w:pPr>
              <w:ind w:left="144"/>
            </w:pPr>
            <w:r>
              <w:t>RO</w:t>
            </w:r>
          </w:p>
        </w:tc>
        <w:tc>
          <w:tcPr>
            <w:tcW w:w="6691" w:type="dxa"/>
          </w:tcPr>
          <w:p w14:paraId="4AA1F117" w14:textId="77777777" w:rsidR="002E7487" w:rsidRDefault="002E7487" w:rsidP="00901104">
            <w:pPr>
              <w:ind w:left="144"/>
            </w:pPr>
            <w:r>
              <w:t>Receptor occupancy</w:t>
            </w:r>
          </w:p>
        </w:tc>
      </w:tr>
      <w:tr w:rsidR="002E7487" w:rsidRPr="00FD119B" w14:paraId="6DA4B081" w14:textId="77777777" w:rsidTr="00901104">
        <w:tc>
          <w:tcPr>
            <w:tcW w:w="1803" w:type="dxa"/>
          </w:tcPr>
          <w:p w14:paraId="54830C01" w14:textId="77777777" w:rsidR="002E7487" w:rsidRDefault="002E7487" w:rsidP="00901104">
            <w:pPr>
              <w:ind w:left="144"/>
            </w:pPr>
            <w:r w:rsidRPr="000418F9">
              <w:rPr>
                <w:lang w:eastAsia="ja-JP"/>
              </w:rPr>
              <w:t>SAE</w:t>
            </w:r>
          </w:p>
        </w:tc>
        <w:tc>
          <w:tcPr>
            <w:tcW w:w="6691" w:type="dxa"/>
          </w:tcPr>
          <w:p w14:paraId="42706A24" w14:textId="77777777" w:rsidR="002E7487" w:rsidRDefault="002E7487" w:rsidP="00901104">
            <w:pPr>
              <w:ind w:left="144"/>
              <w:rPr>
                <w:lang w:eastAsia="ja-JP"/>
              </w:rPr>
            </w:pPr>
            <w:r>
              <w:rPr>
                <w:lang w:eastAsia="ja-JP"/>
              </w:rPr>
              <w:t>Serious adverse event</w:t>
            </w:r>
          </w:p>
        </w:tc>
      </w:tr>
      <w:tr w:rsidR="002E7487" w:rsidRPr="00FD119B" w14:paraId="6487DBA7" w14:textId="77777777" w:rsidTr="00901104">
        <w:tc>
          <w:tcPr>
            <w:tcW w:w="1803" w:type="dxa"/>
          </w:tcPr>
          <w:p w14:paraId="6214455D" w14:textId="77777777" w:rsidR="002E7487" w:rsidRDefault="002E7487" w:rsidP="00901104">
            <w:pPr>
              <w:ind w:left="144"/>
            </w:pPr>
            <w:r>
              <w:t>SC</w:t>
            </w:r>
          </w:p>
        </w:tc>
        <w:tc>
          <w:tcPr>
            <w:tcW w:w="6691" w:type="dxa"/>
          </w:tcPr>
          <w:p w14:paraId="3EB5EE68" w14:textId="77777777" w:rsidR="002E7487" w:rsidRPr="00460036" w:rsidRDefault="002E7487" w:rsidP="00901104">
            <w:pPr>
              <w:ind w:left="144"/>
            </w:pPr>
            <w:r>
              <w:t>Subcutaneous</w:t>
            </w:r>
          </w:p>
        </w:tc>
      </w:tr>
      <w:tr w:rsidR="002E7487" w:rsidRPr="00FD119B" w14:paraId="77A044BC" w14:textId="77777777" w:rsidTr="00901104">
        <w:tc>
          <w:tcPr>
            <w:tcW w:w="1803" w:type="dxa"/>
          </w:tcPr>
          <w:p w14:paraId="4B0287A2" w14:textId="77777777" w:rsidR="002E7487" w:rsidRDefault="002E7487" w:rsidP="00901104">
            <w:pPr>
              <w:ind w:left="144"/>
            </w:pPr>
            <w:r>
              <w:t>sIL-6R</w:t>
            </w:r>
          </w:p>
        </w:tc>
        <w:tc>
          <w:tcPr>
            <w:tcW w:w="6691" w:type="dxa"/>
          </w:tcPr>
          <w:p w14:paraId="3B1A3642" w14:textId="77777777" w:rsidR="002E7487" w:rsidRDefault="002E7487" w:rsidP="00901104">
            <w:pPr>
              <w:ind w:left="144"/>
            </w:pPr>
            <w:r>
              <w:t>S</w:t>
            </w:r>
            <w:r w:rsidRPr="00331E92">
              <w:t>erum soluble</w:t>
            </w:r>
            <w:r>
              <w:t xml:space="preserve"> interleukin-6 receptor</w:t>
            </w:r>
          </w:p>
        </w:tc>
      </w:tr>
      <w:tr w:rsidR="002E7487" w:rsidRPr="00FD119B" w14:paraId="75828FF8" w14:textId="77777777" w:rsidTr="00901104">
        <w:tc>
          <w:tcPr>
            <w:tcW w:w="1803" w:type="dxa"/>
          </w:tcPr>
          <w:p w14:paraId="5A79DA6E" w14:textId="77777777" w:rsidR="002E7487" w:rsidRDefault="002E7487" w:rsidP="00901104">
            <w:pPr>
              <w:ind w:left="144"/>
            </w:pPr>
            <w:r>
              <w:t>SJS</w:t>
            </w:r>
          </w:p>
        </w:tc>
        <w:tc>
          <w:tcPr>
            <w:tcW w:w="6691" w:type="dxa"/>
          </w:tcPr>
          <w:p w14:paraId="0FBD8ACD" w14:textId="77777777" w:rsidR="002E7487" w:rsidRDefault="002E7487" w:rsidP="00901104">
            <w:pPr>
              <w:ind w:left="144"/>
            </w:pPr>
            <w:r>
              <w:t>Stevens-Johnson syndrome</w:t>
            </w:r>
          </w:p>
        </w:tc>
      </w:tr>
      <w:tr w:rsidR="002E7487" w:rsidRPr="00FD119B" w14:paraId="5CF82EB1" w14:textId="77777777" w:rsidTr="00901104">
        <w:tc>
          <w:tcPr>
            <w:tcW w:w="1803" w:type="dxa"/>
          </w:tcPr>
          <w:p w14:paraId="2CDA1175" w14:textId="77777777" w:rsidR="002E7487" w:rsidRDefault="002E7487" w:rsidP="00901104">
            <w:pPr>
              <w:ind w:left="144"/>
            </w:pPr>
            <w:r>
              <w:t>SOC</w:t>
            </w:r>
          </w:p>
        </w:tc>
        <w:tc>
          <w:tcPr>
            <w:tcW w:w="6691" w:type="dxa"/>
          </w:tcPr>
          <w:p w14:paraId="44DC92CA" w14:textId="77777777" w:rsidR="002E7487" w:rsidRDefault="002E7487" w:rsidP="00901104">
            <w:pPr>
              <w:ind w:left="144"/>
            </w:pPr>
            <w:r>
              <w:t>System Organ Class</w:t>
            </w:r>
          </w:p>
        </w:tc>
      </w:tr>
      <w:tr w:rsidR="002E7487" w:rsidRPr="00FD119B" w14:paraId="1DF87085" w14:textId="77777777" w:rsidTr="00901104">
        <w:tc>
          <w:tcPr>
            <w:tcW w:w="1803" w:type="dxa"/>
          </w:tcPr>
          <w:p w14:paraId="382417F0" w14:textId="77777777" w:rsidR="002E7487" w:rsidRDefault="002E7487" w:rsidP="00901104">
            <w:pPr>
              <w:ind w:left="144"/>
            </w:pPr>
            <w:r>
              <w:t>TFR</w:t>
            </w:r>
          </w:p>
        </w:tc>
        <w:tc>
          <w:tcPr>
            <w:tcW w:w="6691" w:type="dxa"/>
          </w:tcPr>
          <w:p w14:paraId="5BB731A5" w14:textId="77777777" w:rsidR="002E7487" w:rsidRDefault="002E7487" w:rsidP="00901104">
            <w:pPr>
              <w:ind w:left="144"/>
            </w:pPr>
            <w:r>
              <w:t xml:space="preserve">Time to first </w:t>
            </w:r>
            <w:r w:rsidRPr="00524F7A">
              <w:t>relapse</w:t>
            </w:r>
          </w:p>
        </w:tc>
      </w:tr>
      <w:tr w:rsidR="002E7487" w:rsidRPr="00FD119B" w14:paraId="51152A16" w14:textId="77777777" w:rsidTr="00901104">
        <w:tc>
          <w:tcPr>
            <w:tcW w:w="1803" w:type="dxa"/>
          </w:tcPr>
          <w:p w14:paraId="5F014F2B" w14:textId="77777777" w:rsidR="002E7487" w:rsidRDefault="002E7487" w:rsidP="00901104">
            <w:pPr>
              <w:ind w:left="144"/>
            </w:pPr>
            <w:r>
              <w:t>TGA</w:t>
            </w:r>
          </w:p>
        </w:tc>
        <w:tc>
          <w:tcPr>
            <w:tcW w:w="6691" w:type="dxa"/>
          </w:tcPr>
          <w:p w14:paraId="50470EF2" w14:textId="77777777" w:rsidR="002E7487" w:rsidRPr="00460036" w:rsidRDefault="002E7487" w:rsidP="00901104">
            <w:pPr>
              <w:ind w:left="144"/>
            </w:pPr>
            <w:r>
              <w:t>Therapeutic Goods Administration</w:t>
            </w:r>
          </w:p>
        </w:tc>
      </w:tr>
      <w:tr w:rsidR="002E7487" w:rsidRPr="00FD119B" w14:paraId="06A49C37" w14:textId="77777777" w:rsidTr="00901104">
        <w:tc>
          <w:tcPr>
            <w:tcW w:w="1803" w:type="dxa"/>
          </w:tcPr>
          <w:p w14:paraId="33FC7578" w14:textId="77777777" w:rsidR="002E7487" w:rsidRDefault="002E7487" w:rsidP="00901104">
            <w:pPr>
              <w:ind w:left="144"/>
            </w:pPr>
            <w:r>
              <w:t>US(A)</w:t>
            </w:r>
          </w:p>
        </w:tc>
        <w:tc>
          <w:tcPr>
            <w:tcW w:w="6691" w:type="dxa"/>
          </w:tcPr>
          <w:p w14:paraId="77335083" w14:textId="77777777" w:rsidR="002E7487" w:rsidRDefault="002E7487" w:rsidP="00901104">
            <w:pPr>
              <w:ind w:left="144"/>
            </w:pPr>
            <w:r>
              <w:t>United States (of America)</w:t>
            </w:r>
          </w:p>
        </w:tc>
      </w:tr>
      <w:tr w:rsidR="002E7487" w:rsidRPr="00FD119B" w14:paraId="69087C35" w14:textId="77777777" w:rsidTr="00901104">
        <w:tc>
          <w:tcPr>
            <w:tcW w:w="1803" w:type="dxa"/>
          </w:tcPr>
          <w:p w14:paraId="7409AFBC" w14:textId="77777777" w:rsidR="002E7487" w:rsidRDefault="002E7487" w:rsidP="00901104">
            <w:pPr>
              <w:ind w:left="144"/>
            </w:pPr>
            <w:r>
              <w:t>UTI</w:t>
            </w:r>
          </w:p>
        </w:tc>
        <w:tc>
          <w:tcPr>
            <w:tcW w:w="6691" w:type="dxa"/>
          </w:tcPr>
          <w:p w14:paraId="32A7C39F" w14:textId="77777777" w:rsidR="002E7487" w:rsidRDefault="002E7487" w:rsidP="00901104">
            <w:pPr>
              <w:ind w:left="144"/>
              <w:rPr>
                <w:lang w:eastAsia="ja-JP"/>
              </w:rPr>
            </w:pPr>
            <w:r>
              <w:rPr>
                <w:rFonts w:eastAsiaTheme="minorHAnsi" w:cs="TimesNewRoman"/>
              </w:rPr>
              <w:t>U</w:t>
            </w:r>
            <w:r w:rsidRPr="00C02267">
              <w:rPr>
                <w:rFonts w:eastAsiaTheme="minorHAnsi" w:cs="TimesNewRoman"/>
              </w:rPr>
              <w:t>rinary tract infection</w:t>
            </w:r>
          </w:p>
        </w:tc>
      </w:tr>
      <w:tr w:rsidR="002E7487" w:rsidRPr="00FD119B" w14:paraId="1C7B0BE7" w14:textId="77777777" w:rsidTr="00901104">
        <w:tc>
          <w:tcPr>
            <w:tcW w:w="1803" w:type="dxa"/>
          </w:tcPr>
          <w:p w14:paraId="0591E81B" w14:textId="77777777" w:rsidR="002E7487" w:rsidRDefault="002E7487" w:rsidP="00901104">
            <w:pPr>
              <w:ind w:left="144"/>
            </w:pPr>
            <w:r>
              <w:t>VAS</w:t>
            </w:r>
          </w:p>
        </w:tc>
        <w:tc>
          <w:tcPr>
            <w:tcW w:w="6691" w:type="dxa"/>
          </w:tcPr>
          <w:p w14:paraId="49820809" w14:textId="77777777" w:rsidR="002E7487" w:rsidRDefault="002E7487" w:rsidP="00901104">
            <w:pPr>
              <w:ind w:left="144"/>
            </w:pPr>
            <w:r>
              <w:t>Visual analogue score</w:t>
            </w:r>
          </w:p>
        </w:tc>
      </w:tr>
      <w:tr w:rsidR="002E7487" w:rsidRPr="00FD119B" w14:paraId="1C5309FD" w14:textId="77777777" w:rsidTr="00901104">
        <w:tc>
          <w:tcPr>
            <w:tcW w:w="1803" w:type="dxa"/>
          </w:tcPr>
          <w:p w14:paraId="37844D19" w14:textId="77777777" w:rsidR="002E7487" w:rsidRDefault="002E7487" w:rsidP="00901104">
            <w:pPr>
              <w:ind w:left="144"/>
            </w:pPr>
            <w:r>
              <w:t>WBC</w:t>
            </w:r>
          </w:p>
        </w:tc>
        <w:tc>
          <w:tcPr>
            <w:tcW w:w="6691" w:type="dxa"/>
          </w:tcPr>
          <w:p w14:paraId="698E8A0D" w14:textId="77777777" w:rsidR="002E7487" w:rsidRDefault="002E7487" w:rsidP="00901104">
            <w:pPr>
              <w:ind w:left="144"/>
            </w:pPr>
            <w:r>
              <w:t>White blood cell</w:t>
            </w:r>
          </w:p>
        </w:tc>
      </w:tr>
    </w:tbl>
    <w:p w14:paraId="38B2ECA7" w14:textId="77777777" w:rsidR="00FD119B" w:rsidRDefault="00FD119B" w:rsidP="00FD119B"/>
    <w:p w14:paraId="432D8FEB"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5F70EA0" w14:textId="77777777" w:rsidR="008E7846" w:rsidRDefault="00F53C07" w:rsidP="008E7846">
      <w:pPr>
        <w:pStyle w:val="Heading2"/>
      </w:pPr>
      <w:bookmarkStart w:id="9" w:name="_Toc77162688"/>
      <w:r>
        <w:lastRenderedPageBreak/>
        <w:t>I.</w:t>
      </w:r>
      <w:r w:rsidR="008E7846">
        <w:t xml:space="preserve"> Introduction to product submission</w:t>
      </w:r>
      <w:bookmarkEnd w:id="1"/>
      <w:bookmarkEnd w:id="3"/>
      <w:bookmarkEnd w:id="9"/>
    </w:p>
    <w:p w14:paraId="31F8EB50" w14:textId="77777777" w:rsidR="008E7846" w:rsidRDefault="008E7846" w:rsidP="008E7846">
      <w:pPr>
        <w:pStyle w:val="Heading3"/>
        <w:rPr>
          <w:lang w:eastAsia="en-AU"/>
        </w:rPr>
      </w:pPr>
      <w:bookmarkStart w:id="10" w:name="_Toc247691502"/>
      <w:bookmarkStart w:id="11" w:name="_Toc314842483"/>
      <w:bookmarkStart w:id="12" w:name="_Toc7716268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6CC56912" w14:textId="77777777" w:rsidTr="003735BC">
        <w:tc>
          <w:tcPr>
            <w:tcW w:w="2907" w:type="dxa"/>
          </w:tcPr>
          <w:p w14:paraId="35683813"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7A3C0CD6" w14:textId="77777777" w:rsidR="008E7846" w:rsidRPr="003D1E62" w:rsidRDefault="008E7846" w:rsidP="001B5C90">
            <w:bookmarkStart w:id="13" w:name="_Hlk80613992"/>
            <w:r w:rsidRPr="003D1E62">
              <w:t xml:space="preserve">New </w:t>
            </w:r>
            <w:r w:rsidR="005B5130">
              <w:t>biological</w:t>
            </w:r>
            <w:r w:rsidRPr="003D1E62">
              <w:t xml:space="preserve"> </w:t>
            </w:r>
            <w:r w:rsidR="001B5C90">
              <w:t>e</w:t>
            </w:r>
            <w:r w:rsidR="005B5130">
              <w:t>ntity</w:t>
            </w:r>
            <w:bookmarkEnd w:id="13"/>
          </w:p>
        </w:tc>
      </w:tr>
      <w:tr w:rsidR="00460036" w:rsidRPr="003D1E62" w14:paraId="3092C7E0" w14:textId="77777777" w:rsidTr="003735BC">
        <w:tc>
          <w:tcPr>
            <w:tcW w:w="2907" w:type="dxa"/>
          </w:tcPr>
          <w:p w14:paraId="6C5CD724" w14:textId="77777777" w:rsidR="00460036" w:rsidRPr="003D1E62" w:rsidRDefault="00854237" w:rsidP="003D1E62">
            <w:pPr>
              <w:rPr>
                <w:i/>
              </w:rPr>
            </w:pPr>
            <w:r>
              <w:rPr>
                <w:i/>
              </w:rPr>
              <w:t>Product name</w:t>
            </w:r>
            <w:r w:rsidR="00460036" w:rsidRPr="00460036">
              <w:rPr>
                <w:i/>
              </w:rPr>
              <w:t>:</w:t>
            </w:r>
          </w:p>
        </w:tc>
        <w:tc>
          <w:tcPr>
            <w:tcW w:w="6307" w:type="dxa"/>
          </w:tcPr>
          <w:p w14:paraId="40B666CE" w14:textId="77777777" w:rsidR="00460036" w:rsidRPr="003D1E62" w:rsidRDefault="005B5130" w:rsidP="001B5C90">
            <w:proofErr w:type="spellStart"/>
            <w:r>
              <w:t>Enspryng</w:t>
            </w:r>
            <w:proofErr w:type="spellEnd"/>
          </w:p>
        </w:tc>
      </w:tr>
      <w:tr w:rsidR="00460036" w:rsidRPr="003D1E62" w14:paraId="059E483A" w14:textId="77777777" w:rsidTr="003735BC">
        <w:tc>
          <w:tcPr>
            <w:tcW w:w="2907" w:type="dxa"/>
          </w:tcPr>
          <w:p w14:paraId="0A0AAA74" w14:textId="77777777" w:rsidR="00460036" w:rsidRPr="003D1E62" w:rsidRDefault="00854237" w:rsidP="003D1E62">
            <w:pPr>
              <w:rPr>
                <w:i/>
              </w:rPr>
            </w:pPr>
            <w:r>
              <w:rPr>
                <w:i/>
              </w:rPr>
              <w:t>Active ingredient</w:t>
            </w:r>
            <w:r w:rsidR="00460036" w:rsidRPr="00460036">
              <w:rPr>
                <w:i/>
              </w:rPr>
              <w:t>:</w:t>
            </w:r>
          </w:p>
        </w:tc>
        <w:tc>
          <w:tcPr>
            <w:tcW w:w="6307" w:type="dxa"/>
          </w:tcPr>
          <w:p w14:paraId="5639E1F5" w14:textId="77777777" w:rsidR="00460036" w:rsidRPr="003D1E62" w:rsidRDefault="005B5130" w:rsidP="001B5C90">
            <w:proofErr w:type="spellStart"/>
            <w:r w:rsidRPr="005B5130">
              <w:t>Satralizumab</w:t>
            </w:r>
            <w:proofErr w:type="spellEnd"/>
          </w:p>
        </w:tc>
      </w:tr>
      <w:tr w:rsidR="008E7846" w:rsidRPr="003D1E62" w14:paraId="70C2019C" w14:textId="77777777" w:rsidTr="003735BC">
        <w:tc>
          <w:tcPr>
            <w:tcW w:w="2907" w:type="dxa"/>
          </w:tcPr>
          <w:p w14:paraId="244592D8" w14:textId="77777777" w:rsidR="008E7846" w:rsidRPr="003D1E62" w:rsidRDefault="008E7846" w:rsidP="003D1E62">
            <w:r w:rsidRPr="003D1E62">
              <w:rPr>
                <w:i/>
              </w:rPr>
              <w:t>Decision</w:t>
            </w:r>
            <w:r w:rsidRPr="003D1E62">
              <w:t>:</w:t>
            </w:r>
          </w:p>
        </w:tc>
        <w:tc>
          <w:tcPr>
            <w:tcW w:w="6307" w:type="dxa"/>
          </w:tcPr>
          <w:p w14:paraId="1C1F1DAC" w14:textId="77777777" w:rsidR="008E7846" w:rsidRPr="003D1E62" w:rsidRDefault="005B5130" w:rsidP="005B5130">
            <w:r>
              <w:t>Approved</w:t>
            </w:r>
          </w:p>
        </w:tc>
      </w:tr>
      <w:tr w:rsidR="008E7846" w:rsidRPr="003D1E62" w14:paraId="59ABD6C1" w14:textId="77777777" w:rsidTr="003735BC">
        <w:tc>
          <w:tcPr>
            <w:tcW w:w="2907" w:type="dxa"/>
          </w:tcPr>
          <w:p w14:paraId="5DC4AB5E"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CEF0BFD" w14:textId="77777777" w:rsidR="008E7846" w:rsidRPr="003D1E62" w:rsidRDefault="005B5130" w:rsidP="001B5C90">
            <w:r>
              <w:t>13 November 2020</w:t>
            </w:r>
          </w:p>
        </w:tc>
      </w:tr>
      <w:tr w:rsidR="00ED2922" w:rsidRPr="003D1E62" w14:paraId="3B85AF7D" w14:textId="77777777" w:rsidTr="003735BC">
        <w:tc>
          <w:tcPr>
            <w:tcW w:w="2907" w:type="dxa"/>
          </w:tcPr>
          <w:p w14:paraId="305A8EE5" w14:textId="77777777" w:rsidR="00ED2922" w:rsidRPr="00441C3F" w:rsidRDefault="00ED2922" w:rsidP="001B5C90">
            <w:pPr>
              <w:rPr>
                <w:i/>
              </w:rPr>
            </w:pPr>
            <w:r w:rsidRPr="00441C3F">
              <w:rPr>
                <w:i/>
              </w:rPr>
              <w:t>Date of entry onto ARTG</w:t>
            </w:r>
            <w:r w:rsidR="00500337">
              <w:rPr>
                <w:i/>
              </w:rPr>
              <w:t>:</w:t>
            </w:r>
          </w:p>
        </w:tc>
        <w:tc>
          <w:tcPr>
            <w:tcW w:w="6307" w:type="dxa"/>
          </w:tcPr>
          <w:p w14:paraId="1D28A66F" w14:textId="77777777" w:rsidR="00ED2922" w:rsidRPr="00441C3F" w:rsidRDefault="005B5130" w:rsidP="00D153D8">
            <w:pPr>
              <w:rPr>
                <w:i/>
              </w:rPr>
            </w:pPr>
            <w:r>
              <w:t>17 November 2020</w:t>
            </w:r>
          </w:p>
        </w:tc>
      </w:tr>
      <w:tr w:rsidR="00500337" w:rsidRPr="003D1E62" w14:paraId="0839763D" w14:textId="77777777" w:rsidTr="003735BC">
        <w:tc>
          <w:tcPr>
            <w:tcW w:w="2907" w:type="dxa"/>
          </w:tcPr>
          <w:p w14:paraId="12AA2CF9" w14:textId="77777777" w:rsidR="00500337" w:rsidRPr="00441C3F" w:rsidRDefault="005B5130" w:rsidP="001B5C90">
            <w:pPr>
              <w:rPr>
                <w:i/>
              </w:rPr>
            </w:pPr>
            <w:r>
              <w:rPr>
                <w:i/>
              </w:rPr>
              <w:t>ARTG number</w:t>
            </w:r>
            <w:r w:rsidR="00500337">
              <w:rPr>
                <w:i/>
              </w:rPr>
              <w:t>:</w:t>
            </w:r>
          </w:p>
        </w:tc>
        <w:tc>
          <w:tcPr>
            <w:tcW w:w="6307" w:type="dxa"/>
          </w:tcPr>
          <w:p w14:paraId="258C08C7" w14:textId="77777777" w:rsidR="00500337" w:rsidRPr="00441C3F" w:rsidRDefault="005B5130" w:rsidP="00EC463D">
            <w:r>
              <w:t>326047</w:t>
            </w:r>
          </w:p>
        </w:tc>
      </w:tr>
      <w:tr w:rsidR="003735BC" w:rsidRPr="003D1E62" w14:paraId="72804039" w14:textId="77777777" w:rsidTr="003735BC">
        <w:tc>
          <w:tcPr>
            <w:tcW w:w="2907" w:type="dxa"/>
          </w:tcPr>
          <w:p w14:paraId="1F79C1A0"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1D05EB32" w14:textId="77777777" w:rsidR="003735BC" w:rsidRDefault="005B5130" w:rsidP="003735BC">
            <w:r>
              <w:t>Yes</w:t>
            </w:r>
          </w:p>
          <w:p w14:paraId="071CAF5D" w14:textId="77777777" w:rsidR="003735BC" w:rsidRPr="00487162" w:rsidRDefault="003735BC" w:rsidP="003735BC">
            <w:r>
              <w:t xml:space="preserve">This product will remain in the scheme for 5 years, starting on the date the product is first supplied in </w:t>
            </w:r>
            <w:r w:rsidR="005B5130">
              <w:t>Australia</w:t>
            </w:r>
          </w:p>
        </w:tc>
      </w:tr>
      <w:tr w:rsidR="008E7846" w:rsidRPr="00487162" w14:paraId="0AE43789" w14:textId="77777777" w:rsidTr="00BF1190">
        <w:tc>
          <w:tcPr>
            <w:tcW w:w="2907" w:type="dxa"/>
          </w:tcPr>
          <w:p w14:paraId="7A20A202"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50F42DBF" w14:textId="77777777" w:rsidR="008E7846" w:rsidRPr="005B5130" w:rsidRDefault="005B5130" w:rsidP="005B5130">
            <w:r w:rsidRPr="005B5130">
              <w:t>Roche Products Pty Limited</w:t>
            </w:r>
          </w:p>
          <w:p w14:paraId="29F94218" w14:textId="77777777" w:rsidR="001B12D9" w:rsidRDefault="005B5130" w:rsidP="005B5130">
            <w:r w:rsidRPr="005B5130">
              <w:t>Level 8, 30 – 34 Hickson Road,</w:t>
            </w:r>
          </w:p>
          <w:p w14:paraId="428BDE84" w14:textId="7A533485" w:rsidR="005B5130" w:rsidRPr="00487162" w:rsidRDefault="005B5130" w:rsidP="005B5130">
            <w:r w:rsidRPr="005B5130">
              <w:t>Sydney</w:t>
            </w:r>
            <w:r w:rsidR="001B12D9">
              <w:t>,</w:t>
            </w:r>
            <w:r w:rsidRPr="005B5130">
              <w:t xml:space="preserve"> NSW</w:t>
            </w:r>
            <w:r w:rsidR="001B12D9">
              <w:t>,</w:t>
            </w:r>
            <w:r w:rsidRPr="005B5130">
              <w:t xml:space="preserve"> 2000</w:t>
            </w:r>
          </w:p>
        </w:tc>
      </w:tr>
      <w:tr w:rsidR="008E7846" w:rsidRPr="00487162" w14:paraId="495A3E90" w14:textId="77777777" w:rsidTr="00BF1190">
        <w:tc>
          <w:tcPr>
            <w:tcW w:w="2907" w:type="dxa"/>
          </w:tcPr>
          <w:p w14:paraId="7033447B" w14:textId="77777777" w:rsidR="008E7846" w:rsidRPr="00487162" w:rsidRDefault="005B5130" w:rsidP="00E45619">
            <w:pPr>
              <w:rPr>
                <w:i/>
              </w:rPr>
            </w:pPr>
            <w:r>
              <w:rPr>
                <w:i/>
              </w:rPr>
              <w:t>Dose form</w:t>
            </w:r>
            <w:r w:rsidR="001B5C90">
              <w:rPr>
                <w:i/>
              </w:rPr>
              <w:t>:</w:t>
            </w:r>
          </w:p>
        </w:tc>
        <w:tc>
          <w:tcPr>
            <w:tcW w:w="6307" w:type="dxa"/>
          </w:tcPr>
          <w:p w14:paraId="79D707FC" w14:textId="77777777" w:rsidR="008E7846" w:rsidRPr="00487162" w:rsidRDefault="005B5130" w:rsidP="00E45619">
            <w:r>
              <w:t>Solution for injection</w:t>
            </w:r>
          </w:p>
        </w:tc>
      </w:tr>
      <w:tr w:rsidR="008E7846" w:rsidRPr="00487162" w14:paraId="60998371" w14:textId="77777777" w:rsidTr="00BF1190">
        <w:tc>
          <w:tcPr>
            <w:tcW w:w="2907" w:type="dxa"/>
          </w:tcPr>
          <w:p w14:paraId="261F096F" w14:textId="77777777" w:rsidR="008E7846" w:rsidRPr="00487162" w:rsidRDefault="005B5130" w:rsidP="00E45619">
            <w:pPr>
              <w:rPr>
                <w:i/>
              </w:rPr>
            </w:pPr>
            <w:r>
              <w:rPr>
                <w:i/>
              </w:rPr>
              <w:t>Strength</w:t>
            </w:r>
            <w:r w:rsidR="00324E45">
              <w:rPr>
                <w:i/>
              </w:rPr>
              <w:t>:</w:t>
            </w:r>
          </w:p>
        </w:tc>
        <w:tc>
          <w:tcPr>
            <w:tcW w:w="6307" w:type="dxa"/>
          </w:tcPr>
          <w:p w14:paraId="0FB9A91D" w14:textId="77777777" w:rsidR="008E7846" w:rsidRPr="00487162" w:rsidRDefault="005B5130" w:rsidP="00E45619">
            <w:r>
              <w:t>120 mg/mL</w:t>
            </w:r>
          </w:p>
        </w:tc>
      </w:tr>
      <w:tr w:rsidR="008E7846" w:rsidRPr="00487162" w14:paraId="0E44DA9E" w14:textId="77777777" w:rsidTr="00BF1190">
        <w:tc>
          <w:tcPr>
            <w:tcW w:w="2907" w:type="dxa"/>
          </w:tcPr>
          <w:p w14:paraId="7C5471F2" w14:textId="77777777" w:rsidR="008E7846" w:rsidRPr="00487162" w:rsidRDefault="005B5130" w:rsidP="00E45619">
            <w:pPr>
              <w:rPr>
                <w:i/>
              </w:rPr>
            </w:pPr>
            <w:r>
              <w:rPr>
                <w:i/>
              </w:rPr>
              <w:t>Container</w:t>
            </w:r>
            <w:r w:rsidR="008E7846" w:rsidRPr="00487162">
              <w:rPr>
                <w:i/>
              </w:rPr>
              <w:t>:</w:t>
            </w:r>
          </w:p>
        </w:tc>
        <w:tc>
          <w:tcPr>
            <w:tcW w:w="6307" w:type="dxa"/>
          </w:tcPr>
          <w:p w14:paraId="4EA44055" w14:textId="77777777" w:rsidR="008E7846" w:rsidRPr="00487162" w:rsidRDefault="005B5130" w:rsidP="00E45619">
            <w:r>
              <w:t>Pre-filled syringe</w:t>
            </w:r>
          </w:p>
        </w:tc>
      </w:tr>
      <w:tr w:rsidR="008E7846" w:rsidRPr="00487162" w14:paraId="2A6D77BE" w14:textId="77777777" w:rsidTr="00BF1190">
        <w:tc>
          <w:tcPr>
            <w:tcW w:w="2907" w:type="dxa"/>
          </w:tcPr>
          <w:p w14:paraId="02839BCB" w14:textId="77777777" w:rsidR="008E7846" w:rsidRPr="00487162" w:rsidRDefault="008E7846" w:rsidP="00E45619">
            <w:pPr>
              <w:rPr>
                <w:i/>
              </w:rPr>
            </w:pPr>
            <w:r w:rsidRPr="00487162">
              <w:rPr>
                <w:i/>
              </w:rPr>
              <w:t xml:space="preserve">Pack </w:t>
            </w:r>
            <w:r w:rsidR="005B5130">
              <w:rPr>
                <w:i/>
              </w:rPr>
              <w:t>size</w:t>
            </w:r>
            <w:r w:rsidRPr="00487162">
              <w:rPr>
                <w:i/>
              </w:rPr>
              <w:t>:</w:t>
            </w:r>
          </w:p>
        </w:tc>
        <w:tc>
          <w:tcPr>
            <w:tcW w:w="6307" w:type="dxa"/>
          </w:tcPr>
          <w:p w14:paraId="0DFC7DA9" w14:textId="77777777" w:rsidR="008E7846" w:rsidRPr="00487162" w:rsidRDefault="005B5130" w:rsidP="00E45619">
            <w:r>
              <w:t>One</w:t>
            </w:r>
          </w:p>
        </w:tc>
      </w:tr>
      <w:tr w:rsidR="008E7846" w:rsidRPr="00487162" w14:paraId="6B4184AD" w14:textId="77777777" w:rsidTr="00BF1190">
        <w:tc>
          <w:tcPr>
            <w:tcW w:w="2907" w:type="dxa"/>
          </w:tcPr>
          <w:p w14:paraId="4497791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20DECC9" w14:textId="77777777" w:rsidR="008E7846" w:rsidRPr="005B5130" w:rsidRDefault="005B5130" w:rsidP="005B5130">
            <w:pPr>
              <w:rPr>
                <w:i/>
              </w:rPr>
            </w:pPr>
            <w:proofErr w:type="spellStart"/>
            <w:r w:rsidRPr="005B5130">
              <w:rPr>
                <w:i/>
              </w:rPr>
              <w:t>Enspryng</w:t>
            </w:r>
            <w:proofErr w:type="spellEnd"/>
            <w:r w:rsidRPr="005B5130">
              <w:rPr>
                <w:i/>
              </w:rPr>
              <w:t xml:space="preserve"> is indicated as monotherapy or in combination with immunosuppressive therapy (IST) for the treatment of adults with neuromyelitis </w:t>
            </w:r>
            <w:proofErr w:type="spellStart"/>
            <w:r w:rsidRPr="005B5130">
              <w:rPr>
                <w:i/>
              </w:rPr>
              <w:t>optica</w:t>
            </w:r>
            <w:proofErr w:type="spellEnd"/>
            <w:r w:rsidRPr="005B5130">
              <w:rPr>
                <w:i/>
              </w:rPr>
              <w:t xml:space="preserve"> spectrum disorders (NMOSD) who have an anti-aquaporin 4 antibody (AQP4)-IgG (also termed NMO-IgG) positive status.</w:t>
            </w:r>
          </w:p>
        </w:tc>
      </w:tr>
      <w:tr w:rsidR="008E7846" w:rsidRPr="00487162" w14:paraId="5FDAA9D0" w14:textId="77777777" w:rsidTr="00BF1190">
        <w:tc>
          <w:tcPr>
            <w:tcW w:w="2907" w:type="dxa"/>
          </w:tcPr>
          <w:p w14:paraId="4B8BE0C1" w14:textId="77777777" w:rsidR="008E7846" w:rsidRPr="00487162" w:rsidRDefault="005B5130" w:rsidP="00E45619">
            <w:pPr>
              <w:rPr>
                <w:i/>
              </w:rPr>
            </w:pPr>
            <w:r>
              <w:rPr>
                <w:i/>
              </w:rPr>
              <w:t>Route</w:t>
            </w:r>
            <w:r w:rsidR="008E7846" w:rsidRPr="00487162">
              <w:rPr>
                <w:i/>
              </w:rPr>
              <w:t xml:space="preserve"> of administration:</w:t>
            </w:r>
          </w:p>
        </w:tc>
        <w:tc>
          <w:tcPr>
            <w:tcW w:w="6307" w:type="dxa"/>
          </w:tcPr>
          <w:p w14:paraId="503A18EA" w14:textId="77777777" w:rsidR="008E7846" w:rsidRPr="00487162" w:rsidRDefault="005B5130" w:rsidP="00E45619">
            <w:r>
              <w:t>S</w:t>
            </w:r>
            <w:r w:rsidRPr="005B5130">
              <w:t>ubcutaneous</w:t>
            </w:r>
            <w:r>
              <w:t xml:space="preserve"> injection</w:t>
            </w:r>
          </w:p>
        </w:tc>
      </w:tr>
      <w:tr w:rsidR="008E7846" w:rsidRPr="00487162" w14:paraId="6E22C218" w14:textId="77777777" w:rsidTr="00BF1190">
        <w:tc>
          <w:tcPr>
            <w:tcW w:w="2907" w:type="dxa"/>
          </w:tcPr>
          <w:p w14:paraId="62B1847A" w14:textId="77777777" w:rsidR="008E7846" w:rsidRPr="00487162" w:rsidRDefault="008E7846" w:rsidP="00E45619">
            <w:pPr>
              <w:rPr>
                <w:i/>
              </w:rPr>
            </w:pPr>
            <w:r w:rsidRPr="00487162">
              <w:rPr>
                <w:i/>
              </w:rPr>
              <w:t>Dosage:</w:t>
            </w:r>
          </w:p>
        </w:tc>
        <w:tc>
          <w:tcPr>
            <w:tcW w:w="6307" w:type="dxa"/>
          </w:tcPr>
          <w:p w14:paraId="4F341615" w14:textId="6328B031" w:rsidR="00D70195" w:rsidRDefault="00D70195" w:rsidP="00D70195">
            <w:r>
              <w:t xml:space="preserve">Treatment should be initiated under the supervision of a physician experienced in the treatment of </w:t>
            </w:r>
            <w:r w:rsidR="001B12D9" w:rsidRPr="001B12D9">
              <w:t xml:space="preserve">neuromyelitis </w:t>
            </w:r>
            <w:proofErr w:type="spellStart"/>
            <w:r w:rsidR="001B12D9" w:rsidRPr="001B12D9">
              <w:t>optica</w:t>
            </w:r>
            <w:proofErr w:type="spellEnd"/>
            <w:r w:rsidR="001B12D9" w:rsidRPr="001B12D9">
              <w:t xml:space="preserve"> spectrum disorders</w:t>
            </w:r>
            <w:r>
              <w:t>.</w:t>
            </w:r>
          </w:p>
          <w:p w14:paraId="1C4014B3" w14:textId="3F925683" w:rsidR="00D70195" w:rsidRDefault="00D70195" w:rsidP="00D70195">
            <w:proofErr w:type="spellStart"/>
            <w:r>
              <w:t>Enspryng</w:t>
            </w:r>
            <w:proofErr w:type="spellEnd"/>
            <w:r>
              <w:t xml:space="preserve"> </w:t>
            </w:r>
            <w:r w:rsidR="001B12D9">
              <w:t>(</w:t>
            </w:r>
            <w:proofErr w:type="spellStart"/>
            <w:r w:rsidR="001B12D9">
              <w:t>s</w:t>
            </w:r>
            <w:r w:rsidR="001B12D9" w:rsidRPr="005B5130">
              <w:t>atralizumab</w:t>
            </w:r>
            <w:proofErr w:type="spellEnd"/>
            <w:r w:rsidR="001B12D9">
              <w:t xml:space="preserve">) </w:t>
            </w:r>
            <w:r>
              <w:t xml:space="preserve">may be used as monotherapy or in combination with immunosuppressive therapy (IST) such as oral </w:t>
            </w:r>
            <w:r>
              <w:lastRenderedPageBreak/>
              <w:t>corticosteroids (OCs), azathioprine (AZA), or mycophenolate mofetil (MMF).</w:t>
            </w:r>
          </w:p>
          <w:p w14:paraId="6166CE2C" w14:textId="77777777" w:rsidR="00D70195" w:rsidRPr="00793049" w:rsidRDefault="00D70195" w:rsidP="00D70195">
            <w:pPr>
              <w:rPr>
                <w:i/>
              </w:rPr>
            </w:pPr>
            <w:r w:rsidRPr="00793049">
              <w:rPr>
                <w:i/>
              </w:rPr>
              <w:t>Loading dose</w:t>
            </w:r>
          </w:p>
          <w:p w14:paraId="40006233" w14:textId="7E111BE5" w:rsidR="00D70195" w:rsidRDefault="00D70195" w:rsidP="00D70195">
            <w:r>
              <w:t xml:space="preserve">The recommended loading dose of </w:t>
            </w:r>
            <w:proofErr w:type="spellStart"/>
            <w:r>
              <w:t>Enspryng</w:t>
            </w:r>
            <w:proofErr w:type="spellEnd"/>
            <w:r w:rsidR="001B12D9">
              <w:t xml:space="preserve"> (</w:t>
            </w:r>
            <w:proofErr w:type="spellStart"/>
            <w:r w:rsidR="001B12D9">
              <w:t>s</w:t>
            </w:r>
            <w:r w:rsidR="001B12D9" w:rsidRPr="005B5130">
              <w:t>atralizumab</w:t>
            </w:r>
            <w:proofErr w:type="spellEnd"/>
            <w:r w:rsidR="001B12D9">
              <w:t>)</w:t>
            </w:r>
            <w:r>
              <w:t xml:space="preserve"> is 120 mg by subcutaneous injection (SC) every 2 weeks (first dose at </w:t>
            </w:r>
            <w:r w:rsidR="001B12D9">
              <w:t>W</w:t>
            </w:r>
            <w:r>
              <w:t xml:space="preserve">eek 0, second dose at </w:t>
            </w:r>
            <w:r w:rsidR="001B12D9">
              <w:t>W</w:t>
            </w:r>
            <w:r>
              <w:t xml:space="preserve">eek 2 and third dose at </w:t>
            </w:r>
            <w:r w:rsidR="00F46ADC">
              <w:t>W</w:t>
            </w:r>
            <w:r>
              <w:t>eek 4) for the first three administrations.</w:t>
            </w:r>
          </w:p>
          <w:p w14:paraId="69C40DCD" w14:textId="77777777" w:rsidR="00D70195" w:rsidRPr="00793049" w:rsidRDefault="00D70195" w:rsidP="00D70195">
            <w:pPr>
              <w:rPr>
                <w:i/>
              </w:rPr>
            </w:pPr>
            <w:r w:rsidRPr="00793049">
              <w:rPr>
                <w:i/>
              </w:rPr>
              <w:t>Maintenance dose</w:t>
            </w:r>
          </w:p>
          <w:p w14:paraId="2152520F" w14:textId="6CF994F5" w:rsidR="00460036" w:rsidRPr="00487162" w:rsidRDefault="00D70195" w:rsidP="00D70195">
            <w:r>
              <w:t>The recommended maintenance dose is 120 mg SC every 4</w:t>
            </w:r>
            <w:r w:rsidR="00F46ADC">
              <w:t> </w:t>
            </w:r>
            <w:r>
              <w:t>weeks.</w:t>
            </w:r>
            <w:r w:rsidR="00854237">
              <w:t xml:space="preserve"> </w:t>
            </w:r>
            <w:r w:rsidR="00460036" w:rsidRPr="00460036">
              <w:t>For further information regarding dosage, refer to the Product Information.</w:t>
            </w:r>
          </w:p>
        </w:tc>
      </w:tr>
      <w:tr w:rsidR="00460036" w:rsidRPr="00487162" w14:paraId="73354129" w14:textId="77777777" w:rsidTr="00BF1190">
        <w:tc>
          <w:tcPr>
            <w:tcW w:w="2907" w:type="dxa"/>
          </w:tcPr>
          <w:p w14:paraId="467CF8D9" w14:textId="77777777" w:rsidR="00460036" w:rsidRPr="00487162" w:rsidRDefault="00460036" w:rsidP="00E45619">
            <w:pPr>
              <w:rPr>
                <w:i/>
              </w:rPr>
            </w:pPr>
            <w:r w:rsidRPr="00460036">
              <w:rPr>
                <w:i/>
              </w:rPr>
              <w:lastRenderedPageBreak/>
              <w:t>Pregnancy category</w:t>
            </w:r>
            <w:r>
              <w:rPr>
                <w:i/>
              </w:rPr>
              <w:t>:</w:t>
            </w:r>
          </w:p>
        </w:tc>
        <w:tc>
          <w:tcPr>
            <w:tcW w:w="6307" w:type="dxa"/>
          </w:tcPr>
          <w:p w14:paraId="4363667D" w14:textId="77777777" w:rsidR="00D70195" w:rsidRPr="00745FA9" w:rsidRDefault="00D70195" w:rsidP="00D70195">
            <w:r w:rsidRPr="00745FA9">
              <w:t>C</w:t>
            </w:r>
          </w:p>
          <w:p w14:paraId="575F9217" w14:textId="77777777" w:rsidR="00D70195" w:rsidRPr="00745FA9" w:rsidRDefault="00D70195" w:rsidP="00D70195">
            <w:r w:rsidRPr="00745FA9">
              <w:t xml:space="preserve">Drugs which, owing to their pharmacological effects, have </w:t>
            </w:r>
            <w:proofErr w:type="gramStart"/>
            <w:r w:rsidRPr="00745FA9">
              <w:t>caused</w:t>
            </w:r>
            <w:proofErr w:type="gramEnd"/>
            <w:r w:rsidRPr="00745FA9">
              <w:t xml:space="preserve"> or may be suspected of causing, harmful effects on the human </w:t>
            </w:r>
            <w:proofErr w:type="spellStart"/>
            <w:r w:rsidRPr="00745FA9">
              <w:t>fetus</w:t>
            </w:r>
            <w:proofErr w:type="spellEnd"/>
            <w:r w:rsidRPr="00745FA9">
              <w:t xml:space="preserve"> or neonate without causing malformations. These effects may be reversible. Accompanying texts should be consulted for further details.</w:t>
            </w:r>
          </w:p>
          <w:p w14:paraId="08745D8B"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D70195">
              <w:t>ces in your State or Territory.</w:t>
            </w:r>
          </w:p>
        </w:tc>
      </w:tr>
    </w:tbl>
    <w:p w14:paraId="5D11AD6A" w14:textId="77777777" w:rsidR="008E7846" w:rsidRDefault="008E7846" w:rsidP="008E7846">
      <w:pPr>
        <w:pStyle w:val="Heading3"/>
      </w:pPr>
      <w:bookmarkStart w:id="14" w:name="_Toc247691503"/>
      <w:bookmarkStart w:id="15" w:name="_Toc314842484"/>
      <w:bookmarkStart w:id="16" w:name="_Toc77162690"/>
      <w:r>
        <w:t>Product background</w:t>
      </w:r>
      <w:bookmarkEnd w:id="14"/>
      <w:bookmarkEnd w:id="15"/>
      <w:bookmarkEnd w:id="16"/>
    </w:p>
    <w:p w14:paraId="0A36AE87" w14:textId="20445BDF" w:rsidR="000F465D" w:rsidRDefault="00250271" w:rsidP="00250271">
      <w:r w:rsidRPr="00250271">
        <w:t xml:space="preserve">This </w:t>
      </w:r>
      <w:proofErr w:type="spellStart"/>
      <w:r w:rsidRPr="00250271">
        <w:t>AusPA</w:t>
      </w:r>
      <w:r w:rsidR="000F465D">
        <w:t>R</w:t>
      </w:r>
      <w:proofErr w:type="spellEnd"/>
      <w:r w:rsidR="000F465D">
        <w:t xml:space="preserve"> describes the application by Roche Products Pty Ltd</w:t>
      </w:r>
      <w:r w:rsidRPr="00250271">
        <w:t xml:space="preserve"> (the sponsor) to register </w:t>
      </w:r>
      <w:proofErr w:type="spellStart"/>
      <w:r w:rsidR="000F465D" w:rsidRPr="004D784C">
        <w:t>E</w:t>
      </w:r>
      <w:r w:rsidR="000F465D">
        <w:t>nspryng</w:t>
      </w:r>
      <w:proofErr w:type="spellEnd"/>
      <w:r w:rsidR="000F465D">
        <w:t xml:space="preserve"> (</w:t>
      </w:r>
      <w:proofErr w:type="spellStart"/>
      <w:r w:rsidR="000F465D" w:rsidRPr="004D784C">
        <w:t>satralizumab</w:t>
      </w:r>
      <w:proofErr w:type="spellEnd"/>
      <w:r w:rsidRPr="00250271">
        <w:t xml:space="preserve">) </w:t>
      </w:r>
      <w:r w:rsidR="000F465D">
        <w:t>120</w:t>
      </w:r>
      <w:r w:rsidR="00854237">
        <w:t xml:space="preserve"> </w:t>
      </w:r>
      <w:r w:rsidR="000F465D">
        <w:t xml:space="preserve">mg/mL, solution for </w:t>
      </w:r>
      <w:r w:rsidR="00F46ADC">
        <w:t xml:space="preserve">subcutaneous </w:t>
      </w:r>
      <w:r w:rsidR="000F465D">
        <w:t>injection</w:t>
      </w:r>
      <w:r w:rsidRPr="00250271">
        <w:t xml:space="preserve"> for the following proposed indication</w:t>
      </w:r>
      <w:r w:rsidR="000F465D">
        <w:t>:</w:t>
      </w:r>
    </w:p>
    <w:p w14:paraId="6ED21D8C" w14:textId="77777777" w:rsidR="000F465D" w:rsidRPr="000F465D" w:rsidRDefault="000F465D" w:rsidP="000F465D">
      <w:pPr>
        <w:ind w:left="720"/>
        <w:rPr>
          <w:i/>
        </w:rPr>
      </w:pPr>
      <w:proofErr w:type="spellStart"/>
      <w:r w:rsidRPr="000F465D">
        <w:rPr>
          <w:i/>
        </w:rPr>
        <w:t>Enspryng</w:t>
      </w:r>
      <w:proofErr w:type="spellEnd"/>
      <w:r w:rsidRPr="000F465D">
        <w:rPr>
          <w:i/>
        </w:rPr>
        <w:t xml:space="preserve"> is indicated as monotherapy or in combination with immunosuppressive therapy (IST) for the treatment of adult and adolescent patients from 12 years of age with neuromyelitis </w:t>
      </w:r>
      <w:proofErr w:type="spellStart"/>
      <w:r w:rsidRPr="000F465D">
        <w:rPr>
          <w:i/>
        </w:rPr>
        <w:t>optica</w:t>
      </w:r>
      <w:proofErr w:type="spellEnd"/>
      <w:r w:rsidRPr="000F465D">
        <w:rPr>
          <w:i/>
        </w:rPr>
        <w:t xml:space="preserve"> spectrum disorders (NMOSD).</w:t>
      </w:r>
    </w:p>
    <w:p w14:paraId="0DC48005" w14:textId="2DEC16BC" w:rsidR="000F465D" w:rsidRDefault="00633E12" w:rsidP="00250271">
      <w:pPr>
        <w:pStyle w:val="Instructions"/>
        <w:rPr>
          <w:i w:val="0"/>
          <w:color w:val="auto"/>
        </w:rPr>
      </w:pPr>
      <w:proofErr w:type="spellStart"/>
      <w:r>
        <w:rPr>
          <w:i w:val="0"/>
          <w:color w:val="auto"/>
        </w:rPr>
        <w:t>Satralizumab</w:t>
      </w:r>
      <w:proofErr w:type="spellEnd"/>
      <w:r w:rsidR="000F465D" w:rsidRPr="000F465D">
        <w:rPr>
          <w:i w:val="0"/>
          <w:color w:val="auto"/>
        </w:rPr>
        <w:t xml:space="preserve"> is a first in class recombinant humanised engineered immunoglobulin G2 (IgG2) monoclonal antibody (</w:t>
      </w:r>
      <w:proofErr w:type="spellStart"/>
      <w:r w:rsidR="000F465D" w:rsidRPr="000F465D">
        <w:rPr>
          <w:i w:val="0"/>
          <w:color w:val="auto"/>
        </w:rPr>
        <w:t>mAb</w:t>
      </w:r>
      <w:proofErr w:type="spellEnd"/>
      <w:r w:rsidR="000F465D" w:rsidRPr="000F465D">
        <w:rPr>
          <w:i w:val="0"/>
          <w:color w:val="auto"/>
        </w:rPr>
        <w:t>), derived via genetic modification in a non-human species (Chinese hamster ovary cells). The IgG2</w:t>
      </w:r>
      <w:r w:rsidR="00854237">
        <w:rPr>
          <w:i w:val="0"/>
          <w:color w:val="auto"/>
        </w:rPr>
        <w:t xml:space="preserve"> </w:t>
      </w:r>
      <w:proofErr w:type="spellStart"/>
      <w:r w:rsidR="000F465D" w:rsidRPr="000F465D">
        <w:rPr>
          <w:i w:val="0"/>
          <w:color w:val="auto"/>
        </w:rPr>
        <w:t>mAb</w:t>
      </w:r>
      <w:proofErr w:type="spellEnd"/>
      <w:r w:rsidR="000F465D" w:rsidRPr="000F465D">
        <w:rPr>
          <w:i w:val="0"/>
          <w:color w:val="auto"/>
        </w:rPr>
        <w:t xml:space="preserve"> targets the human interleukin-6 receptor (IL-6R) and blocks interleukin-6 (IL-6) from binding to both membrane-bound and serum</w:t>
      </w:r>
      <w:r w:rsidR="00E930D4">
        <w:rPr>
          <w:i w:val="0"/>
          <w:color w:val="auto"/>
        </w:rPr>
        <w:noBreakHyphen/>
      </w:r>
      <w:r w:rsidR="000F465D" w:rsidRPr="000F465D">
        <w:rPr>
          <w:i w:val="0"/>
          <w:color w:val="auto"/>
        </w:rPr>
        <w:t>soluble IL-6R (sIL-6R) sites, thereby inhibiting IL-6 signalling</w:t>
      </w:r>
      <w:r w:rsidR="00E930D4">
        <w:rPr>
          <w:i w:val="0"/>
          <w:color w:val="auto"/>
        </w:rPr>
        <w:t xml:space="preserve"> pathways</w:t>
      </w:r>
      <w:r w:rsidR="000F465D" w:rsidRPr="000F465D">
        <w:rPr>
          <w:i w:val="0"/>
          <w:color w:val="auto"/>
        </w:rPr>
        <w:t xml:space="preserve">. </w:t>
      </w:r>
      <w:proofErr w:type="spellStart"/>
      <w:r w:rsidR="000F465D" w:rsidRPr="000F465D">
        <w:rPr>
          <w:i w:val="0"/>
          <w:color w:val="auto"/>
        </w:rPr>
        <w:t>Satralizumab</w:t>
      </w:r>
      <w:proofErr w:type="spellEnd"/>
      <w:r w:rsidR="000F465D" w:rsidRPr="000F465D">
        <w:rPr>
          <w:i w:val="0"/>
          <w:color w:val="auto"/>
        </w:rPr>
        <w:t xml:space="preserve"> is therefore a humanised anti-human IL-6R monoclonal antibody</w:t>
      </w:r>
      <w:r>
        <w:rPr>
          <w:i w:val="0"/>
          <w:color w:val="auto"/>
        </w:rPr>
        <w:t>.</w:t>
      </w:r>
    </w:p>
    <w:p w14:paraId="7F294584" w14:textId="0E2668C7" w:rsidR="00E930D4" w:rsidRPr="00E930D4" w:rsidRDefault="00E930D4" w:rsidP="00901104">
      <w:r>
        <w:t xml:space="preserve">The mechanisms of the actions of </w:t>
      </w:r>
      <w:proofErr w:type="spellStart"/>
      <w:r>
        <w:t>satralizumab</w:t>
      </w:r>
      <w:proofErr w:type="spellEnd"/>
      <w:r w:rsidR="00A85E50">
        <w:t>, and the downstream consequences, are summarised in Figure 1, below.</w:t>
      </w:r>
    </w:p>
    <w:p w14:paraId="466FF28B" w14:textId="674D4365" w:rsidR="00633E12" w:rsidRDefault="00633E12" w:rsidP="00633E12">
      <w:pPr>
        <w:pStyle w:val="TableTitle"/>
      </w:pPr>
      <w:r w:rsidRPr="00633E12">
        <w:lastRenderedPageBreak/>
        <w:t xml:space="preserve">Figure </w:t>
      </w:r>
      <w:fldSimple w:instr=" SEQ Figure \* ARABIC ">
        <w:r w:rsidR="009340CF">
          <w:rPr>
            <w:noProof/>
          </w:rPr>
          <w:t>1</w:t>
        </w:r>
      </w:fldSimple>
      <w:r>
        <w:t xml:space="preserve">: Mechanism of </w:t>
      </w:r>
      <w:proofErr w:type="spellStart"/>
      <w:r>
        <w:t>satralizumab</w:t>
      </w:r>
      <w:proofErr w:type="spellEnd"/>
    </w:p>
    <w:p w14:paraId="4FB89736" w14:textId="7DF76094" w:rsidR="00633E12" w:rsidRDefault="00633E12" w:rsidP="00A64481">
      <w:r>
        <w:rPr>
          <w:rStyle w:val="style1"/>
          <w:noProof/>
          <w:lang w:eastAsia="en-AU"/>
        </w:rPr>
        <w:drawing>
          <wp:inline distT="0" distB="0" distL="0" distR="0" wp14:anchorId="1BC7D053" wp14:editId="0BD8246D">
            <wp:extent cx="3871974" cy="2288912"/>
            <wp:effectExtent l="0" t="0" r="0" b="0"/>
            <wp:docPr id="4280" name="Picture 4280" descr="Mechanism of satrali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 name="Picture 4280" descr="Mechanism of satralizuma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0953" cy="2347424"/>
                    </a:xfrm>
                    <a:prstGeom prst="rect">
                      <a:avLst/>
                    </a:prstGeom>
                    <a:noFill/>
                    <a:ln>
                      <a:noFill/>
                    </a:ln>
                  </pic:spPr>
                </pic:pic>
              </a:graphicData>
            </a:graphic>
          </wp:inline>
        </w:drawing>
      </w:r>
    </w:p>
    <w:p w14:paraId="1640FE17" w14:textId="6CA23E64" w:rsidR="00A85E50" w:rsidRDefault="00A85E50" w:rsidP="00901104">
      <w:pPr>
        <w:pStyle w:val="FigureDescription"/>
      </w:pPr>
      <w:proofErr w:type="spellStart"/>
      <w:r>
        <w:t>Satralizumab</w:t>
      </w:r>
      <w:proofErr w:type="spellEnd"/>
      <w:r>
        <w:t xml:space="preserve"> is a humanised anti-interleukin 6 receptor monoclonal recycling antibody. The inhibition of downstream IL-6 receptor signalling has effects on both the periphery, including reduced inflammation and reduced auto-anti</w:t>
      </w:r>
      <w:r w:rsidR="009370D7">
        <w:t>-</w:t>
      </w:r>
      <w:r>
        <w:t xml:space="preserve">aquaporin 4+ </w:t>
      </w:r>
      <w:r w:rsidR="009370D7">
        <w:t>(AQP4+) production; and in the central nervous system (CNS), the reduced inflammation is believed to lower blood-brain barrier permeability and subsequent astrocytic damage from inflammatory mediators.</w:t>
      </w:r>
    </w:p>
    <w:p w14:paraId="778DCEDA" w14:textId="220DE4FE" w:rsidR="00D072E5" w:rsidRDefault="00D072E5" w:rsidP="00D072E5">
      <w:r>
        <w:t xml:space="preserve">Neuromyelitis </w:t>
      </w:r>
      <w:proofErr w:type="spellStart"/>
      <w:r>
        <w:t>optica</w:t>
      </w:r>
      <w:proofErr w:type="spellEnd"/>
      <w:r>
        <w:t xml:space="preserve"> (NMO) and neuromyelitis </w:t>
      </w:r>
      <w:proofErr w:type="spellStart"/>
      <w:r>
        <w:t>optica</w:t>
      </w:r>
      <w:proofErr w:type="spellEnd"/>
      <w:r>
        <w:t xml:space="preserve"> spectrum disorder (NMOSD, also </w:t>
      </w:r>
      <w:r w:rsidR="009370D7">
        <w:t xml:space="preserve">sometimes </w:t>
      </w:r>
      <w:r>
        <w:t xml:space="preserve">known as </w:t>
      </w:r>
      <w:proofErr w:type="spellStart"/>
      <w:r>
        <w:t>Devic</w:t>
      </w:r>
      <w:r w:rsidR="009370D7">
        <w:t>’s</w:t>
      </w:r>
      <w:proofErr w:type="spellEnd"/>
      <w:r>
        <w:t xml:space="preserve"> </w:t>
      </w:r>
      <w:r w:rsidR="009370D7">
        <w:t>d</w:t>
      </w:r>
      <w:r>
        <w:t>isease) are rare, potentially life-threatening inflammatory disorders of the central nervous system (CNS). They are characterised by severe, immune-mediated demyelination and axonal damage that predominantly target the spinal cord and optic nerve.</w:t>
      </w:r>
    </w:p>
    <w:p w14:paraId="1645720A" w14:textId="7F0E8E07" w:rsidR="00D072E5" w:rsidRPr="00497700" w:rsidRDefault="00D072E5" w:rsidP="00D072E5">
      <w:pPr>
        <w:rPr>
          <w:rFonts w:eastAsiaTheme="minorHAnsi" w:cs="Arial"/>
          <w:color w:val="000000"/>
        </w:rPr>
      </w:pPr>
      <w:r w:rsidRPr="009A5957">
        <w:rPr>
          <w:rFonts w:eastAsiaTheme="minorHAnsi" w:cs="Arial"/>
        </w:rPr>
        <w:t>IL-6 is a cytokine that play</w:t>
      </w:r>
      <w:r>
        <w:rPr>
          <w:rFonts w:eastAsiaTheme="minorHAnsi" w:cs="Arial"/>
        </w:rPr>
        <w:t>s</w:t>
      </w:r>
      <w:r w:rsidRPr="009A5957">
        <w:rPr>
          <w:rFonts w:eastAsiaTheme="minorHAnsi" w:cs="Arial"/>
        </w:rPr>
        <w:t xml:space="preserve"> a key role in the immun</w:t>
      </w:r>
      <w:r>
        <w:rPr>
          <w:rFonts w:eastAsiaTheme="minorHAnsi" w:cs="Arial"/>
        </w:rPr>
        <w:t>o</w:t>
      </w:r>
      <w:r w:rsidRPr="009A5957">
        <w:rPr>
          <w:rFonts w:eastAsiaTheme="minorHAnsi" w:cs="Arial"/>
        </w:rPr>
        <w:t xml:space="preserve">-pathogenesis of </w:t>
      </w:r>
      <w:r w:rsidRPr="009E4D6F">
        <w:rPr>
          <w:rFonts w:eastAsiaTheme="minorHAnsi" w:cs="Arial"/>
        </w:rPr>
        <w:t>b</w:t>
      </w:r>
      <w:r w:rsidRPr="009E4D6F">
        <w:t xml:space="preserve">oth </w:t>
      </w:r>
      <w:r w:rsidRPr="009E4D6F">
        <w:rPr>
          <w:rFonts w:eastAsiaTheme="minorHAnsi" w:cs="Arial"/>
        </w:rPr>
        <w:t>NMO and NMOSD</w:t>
      </w:r>
      <w:r>
        <w:t>. For a start, i</w:t>
      </w:r>
      <w:r w:rsidRPr="00340BA3">
        <w:rPr>
          <w:rFonts w:eastAsiaTheme="minorHAnsi" w:cs="Arial"/>
          <w:color w:val="000000"/>
        </w:rPr>
        <w:t xml:space="preserve">ncreased levels of IL-6 </w:t>
      </w:r>
      <w:r>
        <w:rPr>
          <w:rFonts w:eastAsiaTheme="minorHAnsi" w:cs="Arial"/>
          <w:color w:val="000000"/>
        </w:rPr>
        <w:t xml:space="preserve">are found in both NMO and NMOSD </w:t>
      </w:r>
      <w:r w:rsidRPr="00340BA3">
        <w:rPr>
          <w:rFonts w:eastAsiaTheme="minorHAnsi" w:cs="Arial"/>
          <w:color w:val="000000"/>
        </w:rPr>
        <w:t>patients’</w:t>
      </w:r>
      <w:r>
        <w:rPr>
          <w:rFonts w:eastAsiaTheme="minorHAnsi" w:cs="Arial"/>
          <w:color w:val="000000"/>
        </w:rPr>
        <w:t xml:space="preserve"> </w:t>
      </w:r>
      <w:r w:rsidRPr="00340BA3">
        <w:rPr>
          <w:rFonts w:eastAsiaTheme="minorHAnsi" w:cs="Arial"/>
          <w:color w:val="000000"/>
        </w:rPr>
        <w:t>serum and</w:t>
      </w:r>
      <w:r>
        <w:rPr>
          <w:rFonts w:eastAsiaTheme="minorHAnsi" w:cs="Arial"/>
          <w:color w:val="000000"/>
        </w:rPr>
        <w:t xml:space="preserve"> cerebrospinal </w:t>
      </w:r>
      <w:r w:rsidRPr="0038485F">
        <w:rPr>
          <w:rFonts w:eastAsiaTheme="minorHAnsi" w:cs="Arial"/>
        </w:rPr>
        <w:t>fluid (CSF) du</w:t>
      </w:r>
      <w:r w:rsidRPr="00340BA3">
        <w:rPr>
          <w:rFonts w:eastAsiaTheme="minorHAnsi" w:cs="Arial"/>
          <w:color w:val="000000"/>
        </w:rPr>
        <w:t xml:space="preserve">ring episodes of disease </w:t>
      </w:r>
      <w:r>
        <w:rPr>
          <w:rFonts w:eastAsiaTheme="minorHAnsi" w:cs="Arial"/>
          <w:color w:val="000000"/>
        </w:rPr>
        <w:t>severity and activity (that is</w:t>
      </w:r>
      <w:r w:rsidR="009370D7">
        <w:rPr>
          <w:rFonts w:eastAsiaTheme="minorHAnsi" w:cs="Arial"/>
          <w:color w:val="000000"/>
        </w:rPr>
        <w:t>,</w:t>
      </w:r>
      <w:r w:rsidRPr="00340BA3">
        <w:rPr>
          <w:rFonts w:eastAsiaTheme="minorHAnsi" w:cs="Arial"/>
          <w:color w:val="000000"/>
        </w:rPr>
        <w:t xml:space="preserve"> relapses)</w:t>
      </w:r>
      <w:r>
        <w:rPr>
          <w:rFonts w:eastAsiaTheme="minorHAnsi" w:cs="Arial"/>
          <w:color w:val="000000"/>
        </w:rPr>
        <w:t>.</w:t>
      </w:r>
      <w:r w:rsidRPr="00340BA3">
        <w:rPr>
          <w:rFonts w:eastAsiaTheme="minorHAnsi" w:cs="Arial"/>
          <w:color w:val="000000"/>
        </w:rPr>
        <w:t xml:space="preserve"> </w:t>
      </w:r>
      <w:r>
        <w:rPr>
          <w:rFonts w:eastAsiaTheme="minorHAnsi" w:cs="Arial"/>
          <w:color w:val="000000"/>
        </w:rPr>
        <w:t xml:space="preserve">IL-6 also functions to </w:t>
      </w:r>
      <w:r w:rsidRPr="00340BA3">
        <w:rPr>
          <w:rFonts w:eastAsiaTheme="minorHAnsi" w:cs="Arial"/>
          <w:color w:val="000000"/>
        </w:rPr>
        <w:t>increase blood-brain</w:t>
      </w:r>
      <w:r>
        <w:rPr>
          <w:rFonts w:eastAsiaTheme="minorHAnsi" w:cs="Arial"/>
          <w:color w:val="000000"/>
        </w:rPr>
        <w:t xml:space="preserve"> </w:t>
      </w:r>
      <w:r w:rsidRPr="00340BA3">
        <w:rPr>
          <w:rFonts w:eastAsiaTheme="minorHAnsi" w:cs="Arial"/>
          <w:color w:val="000000"/>
        </w:rPr>
        <w:t xml:space="preserve">barrier (BBB) permeability, thereby facilitating CNS </w:t>
      </w:r>
      <w:r>
        <w:rPr>
          <w:rFonts w:eastAsiaTheme="minorHAnsi" w:cs="Arial"/>
          <w:color w:val="000000"/>
        </w:rPr>
        <w:t xml:space="preserve">tissue </w:t>
      </w:r>
      <w:r w:rsidRPr="00340BA3">
        <w:rPr>
          <w:rFonts w:eastAsiaTheme="minorHAnsi" w:cs="Arial"/>
          <w:color w:val="000000"/>
        </w:rPr>
        <w:t>penetration of white blood cells (such</w:t>
      </w:r>
      <w:r>
        <w:rPr>
          <w:rFonts w:eastAsiaTheme="minorHAnsi" w:cs="Arial"/>
          <w:color w:val="000000"/>
        </w:rPr>
        <w:t xml:space="preserve"> </w:t>
      </w:r>
      <w:r w:rsidRPr="00340BA3">
        <w:rPr>
          <w:rFonts w:eastAsiaTheme="minorHAnsi" w:cs="Arial"/>
          <w:color w:val="000000"/>
        </w:rPr>
        <w:t>as n</w:t>
      </w:r>
      <w:r w:rsidR="00CF271D">
        <w:rPr>
          <w:rFonts w:eastAsiaTheme="minorHAnsi" w:cs="Arial"/>
          <w:color w:val="000000"/>
        </w:rPr>
        <w:t>eutrophils) and autoantibodies.</w:t>
      </w:r>
    </w:p>
    <w:p w14:paraId="0134B264" w14:textId="7A7CA572" w:rsidR="0025325E" w:rsidRDefault="00CF271D" w:rsidP="0025325E">
      <w:r>
        <w:rPr>
          <w:rFonts w:asciiTheme="minorHAnsi" w:hAnsiTheme="minorHAnsi" w:cs="Arial"/>
          <w:bCs/>
          <w:shd w:val="clear" w:color="auto" w:fill="FFFFFF"/>
        </w:rPr>
        <w:t>Aquaporin-4 (</w:t>
      </w:r>
      <w:r w:rsidR="00D072E5" w:rsidRPr="00526CFF">
        <w:rPr>
          <w:rFonts w:asciiTheme="minorHAnsi" w:hAnsiTheme="minorHAnsi" w:cs="Arial"/>
          <w:bCs/>
          <w:shd w:val="clear" w:color="auto" w:fill="FFFFFF"/>
        </w:rPr>
        <w:t>AQP4</w:t>
      </w:r>
      <w:r>
        <w:rPr>
          <w:rFonts w:asciiTheme="minorHAnsi" w:hAnsiTheme="minorHAnsi" w:cs="Arial"/>
          <w:bCs/>
          <w:shd w:val="clear" w:color="auto" w:fill="FFFFFF"/>
        </w:rPr>
        <w:t>)</w:t>
      </w:r>
      <w:r w:rsidR="00D072E5" w:rsidRPr="00D448BD">
        <w:rPr>
          <w:rFonts w:asciiTheme="minorHAnsi" w:hAnsiTheme="minorHAnsi" w:cs="Arial"/>
          <w:bCs/>
          <w:shd w:val="clear" w:color="auto" w:fill="FFFFFF"/>
        </w:rPr>
        <w:t>,</w:t>
      </w:r>
      <w:r>
        <w:rPr>
          <w:rFonts w:asciiTheme="minorHAnsi" w:hAnsiTheme="minorHAnsi" w:cs="Arial"/>
          <w:shd w:val="clear" w:color="auto" w:fill="FFFFFF"/>
        </w:rPr>
        <w:t xml:space="preserve"> </w:t>
      </w:r>
      <w:r w:rsidR="00D072E5" w:rsidRPr="00D448BD">
        <w:rPr>
          <w:rFonts w:asciiTheme="minorHAnsi" w:hAnsiTheme="minorHAnsi" w:cs="Arial"/>
          <w:shd w:val="clear" w:color="auto" w:fill="FFFFFF"/>
        </w:rPr>
        <w:t>is a water chan</w:t>
      </w:r>
      <w:r>
        <w:rPr>
          <w:rFonts w:asciiTheme="minorHAnsi" w:hAnsiTheme="minorHAnsi" w:cs="Arial"/>
          <w:shd w:val="clear" w:color="auto" w:fill="FFFFFF"/>
        </w:rPr>
        <w:t xml:space="preserve">nel protein encoded by the AQP4 </w:t>
      </w:r>
      <w:hyperlink r:id="rId17" w:tooltip="Gene" w:history="1">
        <w:r w:rsidR="00D072E5" w:rsidRPr="00497700">
          <w:rPr>
            <w:rStyle w:val="Hyperlink"/>
            <w:rFonts w:asciiTheme="minorHAnsi" w:hAnsiTheme="minorHAnsi" w:cs="Arial"/>
            <w:color w:val="auto"/>
            <w:u w:val="none"/>
            <w:shd w:val="clear" w:color="auto" w:fill="FFFFFF"/>
          </w:rPr>
          <w:t>gene</w:t>
        </w:r>
      </w:hyperlink>
      <w:r>
        <w:rPr>
          <w:rFonts w:asciiTheme="minorHAnsi" w:hAnsiTheme="minorHAnsi" w:cs="Arial"/>
          <w:shd w:val="clear" w:color="auto" w:fill="FFFFFF"/>
        </w:rPr>
        <w:t xml:space="preserve"> in humans. AQP4 belongs to the </w:t>
      </w:r>
      <w:hyperlink r:id="rId18" w:tooltip="Aquaporin" w:history="1">
        <w:r w:rsidR="00D072E5" w:rsidRPr="00D448BD">
          <w:rPr>
            <w:rStyle w:val="Hyperlink"/>
            <w:rFonts w:asciiTheme="minorHAnsi" w:hAnsiTheme="minorHAnsi" w:cs="Arial"/>
            <w:color w:val="auto"/>
            <w:u w:val="none"/>
            <w:shd w:val="clear" w:color="auto" w:fill="FFFFFF"/>
          </w:rPr>
          <w:t>aquaporin</w:t>
        </w:r>
      </w:hyperlink>
      <w:r>
        <w:rPr>
          <w:rFonts w:asciiTheme="minorHAnsi" w:hAnsiTheme="minorHAnsi" w:cs="Arial"/>
          <w:shd w:val="clear" w:color="auto" w:fill="FFFFFF"/>
        </w:rPr>
        <w:t xml:space="preserve"> family of </w:t>
      </w:r>
      <w:hyperlink r:id="rId19" w:tooltip="Integral membrane protein" w:history="1">
        <w:r w:rsidR="00D072E5" w:rsidRPr="00D448BD">
          <w:rPr>
            <w:rStyle w:val="Hyperlink"/>
            <w:rFonts w:asciiTheme="minorHAnsi" w:hAnsiTheme="minorHAnsi" w:cs="Arial"/>
            <w:color w:val="auto"/>
            <w:u w:val="none"/>
            <w:shd w:val="clear" w:color="auto" w:fill="FFFFFF"/>
          </w:rPr>
          <w:t>integral membrane proteins</w:t>
        </w:r>
      </w:hyperlink>
      <w:r w:rsidR="00D072E5">
        <w:rPr>
          <w:rStyle w:val="Hyperlink"/>
          <w:rFonts w:asciiTheme="minorHAnsi" w:hAnsiTheme="minorHAnsi" w:cs="Arial"/>
          <w:color w:val="auto"/>
          <w:u w:val="none"/>
          <w:shd w:val="clear" w:color="auto" w:fill="FFFFFF"/>
        </w:rPr>
        <w:t xml:space="preserve"> (</w:t>
      </w:r>
      <w:r w:rsidR="00D072E5" w:rsidRPr="004A5566">
        <w:rPr>
          <w:rFonts w:asciiTheme="minorHAnsi" w:hAnsiTheme="minorHAnsi" w:cs="Arial"/>
          <w:i/>
          <w:shd w:val="clear" w:color="auto" w:fill="FFFFFF"/>
        </w:rPr>
        <w:t>AQP1, 3, 4, 5, 8, 9, and 11</w:t>
      </w:r>
      <w:r w:rsidR="00D072E5">
        <w:rPr>
          <w:rFonts w:asciiTheme="minorHAnsi" w:hAnsiTheme="minorHAnsi" w:cs="Arial"/>
          <w:shd w:val="clear" w:color="auto" w:fill="FFFFFF"/>
        </w:rPr>
        <w:t>)</w:t>
      </w:r>
      <w:r>
        <w:rPr>
          <w:rFonts w:asciiTheme="minorHAnsi" w:hAnsiTheme="minorHAnsi" w:cs="Arial"/>
          <w:shd w:val="clear" w:color="auto" w:fill="FFFFFF"/>
        </w:rPr>
        <w:t xml:space="preserve"> </w:t>
      </w:r>
      <w:r w:rsidR="00D072E5" w:rsidRPr="00D448BD">
        <w:rPr>
          <w:rFonts w:asciiTheme="minorHAnsi" w:hAnsiTheme="minorHAnsi" w:cs="Arial"/>
          <w:shd w:val="clear" w:color="auto" w:fill="FFFFFF"/>
        </w:rPr>
        <w:t>that conduc</w:t>
      </w:r>
      <w:r>
        <w:rPr>
          <w:rFonts w:asciiTheme="minorHAnsi" w:hAnsiTheme="minorHAnsi" w:cs="Arial"/>
          <w:shd w:val="clear" w:color="auto" w:fill="FFFFFF"/>
        </w:rPr>
        <w:t xml:space="preserve">t water through the </w:t>
      </w:r>
      <w:hyperlink r:id="rId20" w:tooltip="Cell membrane" w:history="1">
        <w:r w:rsidR="00D072E5" w:rsidRPr="00D448BD">
          <w:rPr>
            <w:rStyle w:val="Hyperlink"/>
            <w:rFonts w:asciiTheme="minorHAnsi" w:hAnsiTheme="minorHAnsi" w:cs="Arial"/>
            <w:color w:val="auto"/>
            <w:u w:val="none"/>
            <w:shd w:val="clear" w:color="auto" w:fill="FFFFFF"/>
          </w:rPr>
          <w:t>cell membrane</w:t>
        </w:r>
      </w:hyperlink>
      <w:r w:rsidR="00D072E5" w:rsidRPr="00D448BD">
        <w:rPr>
          <w:rFonts w:asciiTheme="minorHAnsi" w:hAnsiTheme="minorHAnsi" w:cs="Arial"/>
          <w:shd w:val="clear" w:color="auto" w:fill="FFFFFF"/>
        </w:rPr>
        <w:t>.</w:t>
      </w:r>
      <w:r w:rsidR="00D072E5">
        <w:rPr>
          <w:rFonts w:asciiTheme="minorHAnsi" w:hAnsiTheme="minorHAnsi" w:cs="Arial"/>
          <w:shd w:val="clear" w:color="auto" w:fill="FFFFFF"/>
        </w:rPr>
        <w:t xml:space="preserve"> </w:t>
      </w:r>
      <w:r w:rsidR="00D072E5" w:rsidRPr="00D448BD">
        <w:rPr>
          <w:rFonts w:asciiTheme="minorHAnsi" w:hAnsiTheme="minorHAnsi" w:cs="Arial"/>
          <w:shd w:val="clear" w:color="auto" w:fill="FFFFFF"/>
        </w:rPr>
        <w:t>In the CNS</w:t>
      </w:r>
      <w:r w:rsidR="00D072E5">
        <w:rPr>
          <w:rFonts w:asciiTheme="minorHAnsi" w:hAnsiTheme="minorHAnsi" w:cs="Arial"/>
          <w:shd w:val="clear" w:color="auto" w:fill="FFFFFF"/>
        </w:rPr>
        <w:t xml:space="preserve"> tissue</w:t>
      </w:r>
      <w:r w:rsidR="00D072E5" w:rsidRPr="00D448BD">
        <w:rPr>
          <w:rFonts w:asciiTheme="minorHAnsi" w:hAnsiTheme="minorHAnsi" w:cs="Arial"/>
          <w:shd w:val="clear" w:color="auto" w:fill="FFFFFF"/>
        </w:rPr>
        <w:t xml:space="preserve">, AQP4 is the most prevalent aquaporin channel, specifically </w:t>
      </w:r>
      <w:r w:rsidR="00D072E5" w:rsidRPr="00497700">
        <w:rPr>
          <w:rFonts w:asciiTheme="minorHAnsi" w:hAnsiTheme="minorHAnsi" w:cs="Arial"/>
          <w:shd w:val="clear" w:color="auto" w:fill="FFFFFF"/>
        </w:rPr>
        <w:t xml:space="preserve">located at the </w:t>
      </w:r>
      <w:proofErr w:type="spellStart"/>
      <w:r w:rsidR="00D072E5">
        <w:rPr>
          <w:rFonts w:asciiTheme="minorHAnsi" w:hAnsiTheme="minorHAnsi" w:cs="Arial"/>
          <w:shd w:val="clear" w:color="auto" w:fill="FFFFFF"/>
        </w:rPr>
        <w:t>perimicrovessel</w:t>
      </w:r>
      <w:proofErr w:type="spellEnd"/>
      <w:r w:rsidR="00D072E5">
        <w:rPr>
          <w:rFonts w:asciiTheme="minorHAnsi" w:hAnsiTheme="minorHAnsi" w:cs="Arial"/>
          <w:shd w:val="clear" w:color="auto" w:fill="FFFFFF"/>
        </w:rPr>
        <w:t xml:space="preserve"> </w:t>
      </w:r>
      <w:hyperlink r:id="rId21" w:tooltip="Astrocyte" w:history="1">
        <w:r w:rsidR="00D072E5" w:rsidRPr="00497700">
          <w:rPr>
            <w:rStyle w:val="Hyperlink"/>
            <w:rFonts w:asciiTheme="minorHAnsi" w:hAnsiTheme="minorHAnsi" w:cs="Arial"/>
            <w:color w:val="auto"/>
            <w:u w:val="none"/>
            <w:shd w:val="clear" w:color="auto" w:fill="FFFFFF"/>
          </w:rPr>
          <w:t>astrocyte</w:t>
        </w:r>
      </w:hyperlink>
      <w:r w:rsidR="00D072E5">
        <w:rPr>
          <w:rFonts w:asciiTheme="minorHAnsi" w:hAnsiTheme="minorHAnsi" w:cs="Arial"/>
          <w:shd w:val="clear" w:color="auto" w:fill="FFFFFF"/>
        </w:rPr>
        <w:t xml:space="preserve"> </w:t>
      </w:r>
      <w:r w:rsidR="00D072E5" w:rsidRPr="00497700">
        <w:rPr>
          <w:rFonts w:asciiTheme="minorHAnsi" w:hAnsiTheme="minorHAnsi" w:cs="Arial"/>
          <w:shd w:val="clear" w:color="auto" w:fill="FFFFFF"/>
        </w:rPr>
        <w:t>foot processes</w:t>
      </w:r>
      <w:r w:rsidR="00D072E5" w:rsidRPr="00497700">
        <w:rPr>
          <w:rFonts w:ascii="Calibri" w:hAnsi="Calibri"/>
        </w:rPr>
        <w:t xml:space="preserve"> </w:t>
      </w:r>
      <w:r w:rsidR="00D072E5" w:rsidRPr="00497700">
        <w:rPr>
          <w:rFonts w:asciiTheme="minorHAnsi" w:hAnsiTheme="minorHAnsi"/>
        </w:rPr>
        <w:t>at the BBB</w:t>
      </w:r>
      <w:r>
        <w:rPr>
          <w:rFonts w:asciiTheme="minorHAnsi" w:hAnsiTheme="minorHAnsi" w:cs="Arial"/>
          <w:shd w:val="clear" w:color="auto" w:fill="FFFFFF"/>
        </w:rPr>
        <w:t>, spinal cord and optic n</w:t>
      </w:r>
      <w:r w:rsidR="00D072E5" w:rsidRPr="00497700">
        <w:rPr>
          <w:rFonts w:asciiTheme="minorHAnsi" w:hAnsiTheme="minorHAnsi" w:cs="Arial"/>
          <w:shd w:val="clear" w:color="auto" w:fill="FFFFFF"/>
        </w:rPr>
        <w:t xml:space="preserve">erve. When </w:t>
      </w:r>
      <w:r w:rsidR="0025325E" w:rsidRPr="00497700">
        <w:rPr>
          <w:rFonts w:asciiTheme="minorHAnsi" w:hAnsiTheme="minorHAnsi" w:cs="Arial"/>
          <w:shd w:val="clear" w:color="auto" w:fill="FFFFFF"/>
        </w:rPr>
        <w:t>activated, this</w:t>
      </w:r>
      <w:r w:rsidR="00D072E5" w:rsidRPr="00497700">
        <w:rPr>
          <w:rFonts w:asciiTheme="minorHAnsi" w:hAnsiTheme="minorHAnsi" w:cs="Arial"/>
          <w:shd w:val="clear" w:color="auto" w:fill="FFFFFF"/>
        </w:rPr>
        <w:t xml:space="preserve"> channel commonly </w:t>
      </w:r>
      <w:r>
        <w:rPr>
          <w:rFonts w:asciiTheme="minorHAnsi" w:hAnsiTheme="minorHAnsi" w:cs="Arial"/>
          <w:shd w:val="clear" w:color="auto" w:fill="FFFFFF"/>
        </w:rPr>
        <w:t xml:space="preserve">facilitates water movement near </w:t>
      </w:r>
      <w:hyperlink r:id="rId22" w:tooltip="Cerebrospinal fluid" w:history="1">
        <w:r w:rsidR="00D072E5" w:rsidRPr="00497700">
          <w:rPr>
            <w:rStyle w:val="Hyperlink"/>
            <w:rFonts w:asciiTheme="minorHAnsi" w:hAnsiTheme="minorHAnsi" w:cs="Arial"/>
            <w:color w:val="auto"/>
            <w:u w:val="none"/>
            <w:shd w:val="clear" w:color="auto" w:fill="FFFFFF"/>
          </w:rPr>
          <w:t>cerebrospinal fluid</w:t>
        </w:r>
      </w:hyperlink>
      <w:r>
        <w:rPr>
          <w:rFonts w:asciiTheme="minorHAnsi" w:hAnsiTheme="minorHAnsi" w:cs="Arial"/>
          <w:shd w:val="clear" w:color="auto" w:fill="FFFFFF"/>
        </w:rPr>
        <w:t xml:space="preserve"> </w:t>
      </w:r>
      <w:r w:rsidR="00D072E5" w:rsidRPr="00497700">
        <w:rPr>
          <w:rFonts w:asciiTheme="minorHAnsi" w:hAnsiTheme="minorHAnsi" w:cs="Arial"/>
          <w:shd w:val="clear" w:color="auto" w:fill="FFFFFF"/>
        </w:rPr>
        <w:t xml:space="preserve">and vasculature </w:t>
      </w:r>
      <w:r w:rsidR="00D072E5" w:rsidRPr="00497700">
        <w:t>and in some cases, small solutes across the membrane. AQP4 is involved in CNS tissue water balance, neuro-excitation, astrocyte migration and neuroinflammation stability.</w:t>
      </w:r>
      <w:r w:rsidR="0025325E" w:rsidRPr="0025325E">
        <w:t xml:space="preserve"> </w:t>
      </w:r>
      <w:r w:rsidR="0025325E" w:rsidRPr="00675B9F">
        <w:t>The presence of anti-AQP4 antibodies (</w:t>
      </w:r>
      <w:r w:rsidR="0025325E" w:rsidRPr="00497700">
        <w:t>anti-AQP4-IgG positive</w:t>
      </w:r>
      <w:r w:rsidR="0025325E" w:rsidRPr="00675B9F">
        <w:t>) in the systemic blood is associated with the main pathogenesis of</w:t>
      </w:r>
      <w:r w:rsidR="0025325E">
        <w:t xml:space="preserve"> </w:t>
      </w:r>
      <w:r w:rsidR="0025325E" w:rsidRPr="00631931">
        <w:t>NMO</w:t>
      </w:r>
      <w:r w:rsidR="0025325E">
        <w:t xml:space="preserve"> and </w:t>
      </w:r>
      <w:r w:rsidR="0025325E" w:rsidRPr="00497700">
        <w:t>NMOSD</w:t>
      </w:r>
      <w:r w:rsidR="0025325E" w:rsidRPr="00217489">
        <w:t>.</w:t>
      </w:r>
      <w:r w:rsidR="0025325E" w:rsidRPr="0025325E">
        <w:t xml:space="preserve"> </w:t>
      </w:r>
      <w:r w:rsidR="0025325E">
        <w:t>Anti-</w:t>
      </w:r>
      <w:r w:rsidR="0025325E" w:rsidRPr="00675B9F">
        <w:t>AQP4-IgG can penetrate the BBB and react with AQP4 in astrocyte fee</w:t>
      </w:r>
      <w:r w:rsidR="0025325E">
        <w:t>t</w:t>
      </w:r>
      <w:r w:rsidR="0025325E" w:rsidRPr="00675B9F">
        <w:t>, along with the recruitment and activation of complement, to produce complement</w:t>
      </w:r>
      <w:r>
        <w:t xml:space="preserve"> dependent </w:t>
      </w:r>
      <w:r w:rsidR="0025325E" w:rsidRPr="00675B9F">
        <w:t>cytotoxicity. In addition, eﬀector cells, such as natural killer cells, ar</w:t>
      </w:r>
      <w:r>
        <w:t xml:space="preserve">e activated and induce antibody </w:t>
      </w:r>
      <w:r w:rsidR="0025325E" w:rsidRPr="00675B9F">
        <w:t>dependent cytotoxicity, which triggers astrocyte damage. Comp</w:t>
      </w:r>
      <w:r>
        <w:t xml:space="preserve">lement activation and astrocyte </w:t>
      </w:r>
      <w:r w:rsidR="0025325E" w:rsidRPr="00675B9F">
        <w:t xml:space="preserve">derived cytokines attract inﬂammatory cells including eosinophils, neutrophils, and macrophages, giving rise to further BBB </w:t>
      </w:r>
      <w:proofErr w:type="gramStart"/>
      <w:r w:rsidR="0025325E" w:rsidRPr="00675B9F">
        <w:t>damage</w:t>
      </w:r>
      <w:proofErr w:type="gramEnd"/>
      <w:r w:rsidR="0025325E" w:rsidRPr="00675B9F">
        <w:t xml:space="preserve"> and thus enhancing the entry of </w:t>
      </w:r>
      <w:r>
        <w:t>anti-AQP4-IgG into the CNS.</w:t>
      </w:r>
    </w:p>
    <w:p w14:paraId="5DAC681D" w14:textId="7E458628" w:rsidR="0025325E" w:rsidRPr="00675B9F" w:rsidRDefault="0025325E" w:rsidP="0025325E">
      <w:r w:rsidRPr="00675B9F">
        <w:rPr>
          <w:rFonts w:asciiTheme="minorHAnsi" w:hAnsiTheme="minorHAnsi"/>
        </w:rPr>
        <w:t>Furthermore, inﬂammatory cell degranulation and astrocyte damage induce secondary injury of oligodendrocytes, resulting in accelerated myelin sheath loss, axonal injury, and a</w:t>
      </w:r>
      <w:r>
        <w:rPr>
          <w:rFonts w:asciiTheme="minorHAnsi" w:hAnsiTheme="minorHAnsi"/>
        </w:rPr>
        <w:t>ssociated neurological deﬁcits.</w:t>
      </w:r>
      <w:r>
        <w:t xml:space="preserve"> </w:t>
      </w:r>
      <w:r w:rsidRPr="00675B9F">
        <w:t>Accordingly</w:t>
      </w:r>
      <w:r w:rsidRPr="00497700">
        <w:t>, anti-AQP4-IgG positive</w:t>
      </w:r>
      <w:r>
        <w:t xml:space="preserve"> </w:t>
      </w:r>
      <w:r w:rsidRPr="00A476D7">
        <w:t>NMO</w:t>
      </w:r>
      <w:r>
        <w:t xml:space="preserve"> and generally NMOSD are</w:t>
      </w:r>
      <w:r w:rsidRPr="00675B9F">
        <w:t xml:space="preserve"> characteri</w:t>
      </w:r>
      <w:r w:rsidR="009370D7">
        <w:t>s</w:t>
      </w:r>
      <w:r w:rsidRPr="00675B9F">
        <w:t xml:space="preserve">ed by pathological changes </w:t>
      </w:r>
      <w:r>
        <w:t xml:space="preserve">which </w:t>
      </w:r>
      <w:r w:rsidRPr="00675B9F">
        <w:t>includ</w:t>
      </w:r>
      <w:r>
        <w:t>e</w:t>
      </w:r>
      <w:r w:rsidRPr="00675B9F">
        <w:t xml:space="preserve"> loss of astrocytic AQP4 and the myelin sheath, axonal injury, perivascular deposition of </w:t>
      </w:r>
      <w:r>
        <w:t>anti-</w:t>
      </w:r>
      <w:r w:rsidRPr="00675B9F">
        <w:t xml:space="preserve">AQP4-IgG and </w:t>
      </w:r>
      <w:r w:rsidRPr="00675B9F">
        <w:lastRenderedPageBreak/>
        <w:t>activated complement components, macrophage accumulation, and inﬂammatory</w:t>
      </w:r>
      <w:r>
        <w:t xml:space="preserve"> inﬁltration with granulocytes.</w:t>
      </w:r>
    </w:p>
    <w:p w14:paraId="3A230CCF" w14:textId="6F546AA6" w:rsidR="0025325E" w:rsidRDefault="0025325E" w:rsidP="0025325E">
      <w:r w:rsidRPr="00675B9F">
        <w:t xml:space="preserve">A </w:t>
      </w:r>
      <w:proofErr w:type="spellStart"/>
      <w:r w:rsidRPr="00675B9F">
        <w:t>plasmablast</w:t>
      </w:r>
      <w:proofErr w:type="spellEnd"/>
      <w:r w:rsidRPr="00675B9F">
        <w:t xml:space="preserve"> B cell subset (</w:t>
      </w:r>
      <w:r w:rsidR="00534B73">
        <w:t xml:space="preserve">phenotype: </w:t>
      </w:r>
      <w:r w:rsidRPr="00675B9F">
        <w:t>CD19</w:t>
      </w:r>
      <w:r w:rsidRPr="00497700">
        <w:rPr>
          <w:vertAlign w:val="superscript"/>
        </w:rPr>
        <w:t>int</w:t>
      </w:r>
      <w:r w:rsidRPr="00675B9F">
        <w:t>CD27</w:t>
      </w:r>
      <w:r w:rsidRPr="00497700">
        <w:rPr>
          <w:vertAlign w:val="superscript"/>
        </w:rPr>
        <w:t>hi</w:t>
      </w:r>
      <w:r w:rsidR="00534B73">
        <w:rPr>
          <w:vertAlign w:val="superscript"/>
        </w:rPr>
        <w:t>gh</w:t>
      </w:r>
      <w:r w:rsidRPr="00675B9F">
        <w:t>CD38</w:t>
      </w:r>
      <w:r w:rsidRPr="00497700">
        <w:rPr>
          <w:vertAlign w:val="superscript"/>
        </w:rPr>
        <w:t>hi</w:t>
      </w:r>
      <w:r w:rsidR="00534B73">
        <w:rPr>
          <w:vertAlign w:val="superscript"/>
        </w:rPr>
        <w:t>gh</w:t>
      </w:r>
      <w:r w:rsidRPr="00675B9F">
        <w:t>CD180</w:t>
      </w:r>
      <w:r w:rsidRPr="00497700">
        <w:rPr>
          <w:vertAlign w:val="superscript"/>
        </w:rPr>
        <w:t>-</w:t>
      </w:r>
      <w:r w:rsidR="00CF271D">
        <w:t xml:space="preserve"> </w:t>
      </w:r>
      <w:r w:rsidRPr="00675B9F">
        <w:t>and CD20</w:t>
      </w:r>
      <w:r w:rsidRPr="00497700">
        <w:rPr>
          <w:vertAlign w:val="superscript"/>
        </w:rPr>
        <w:t>-</w:t>
      </w:r>
      <w:r w:rsidRPr="00675B9F">
        <w:t>) was identified to be associated with the production of anti-AQP4 antibodies.</w:t>
      </w:r>
      <w:r w:rsidR="00534B73">
        <w:rPr>
          <w:rStyle w:val="FootnoteReference"/>
        </w:rPr>
        <w:footnoteReference w:id="2"/>
      </w:r>
      <w:r w:rsidRPr="00675B9F">
        <w:t xml:space="preserve"> The survival</w:t>
      </w:r>
      <w:r>
        <w:t xml:space="preserve"> activity </w:t>
      </w:r>
      <w:r w:rsidRPr="00675B9F">
        <w:t xml:space="preserve">of this B cell subset was promoted by IL-6. This finding suggests a pivotal role for IL-6-dependent B-cell subpopulation in the pathogenesis of </w:t>
      </w:r>
      <w:r w:rsidRPr="00497700">
        <w:t>anti-AQP4-IgG positive</w:t>
      </w:r>
      <w:r>
        <w:t xml:space="preserve"> </w:t>
      </w:r>
      <w:r w:rsidRPr="00A476D7">
        <w:t>NMO</w:t>
      </w:r>
      <w:r>
        <w:t xml:space="preserve"> and generally NMOSD.</w:t>
      </w:r>
    </w:p>
    <w:p w14:paraId="6DAF3232" w14:textId="77777777" w:rsidR="0025325E" w:rsidRDefault="0025325E" w:rsidP="0025325E">
      <w:pPr>
        <w:rPr>
          <w:rFonts w:eastAsiaTheme="minorHAnsi" w:cs="Arial"/>
          <w:color w:val="000000"/>
        </w:rPr>
      </w:pPr>
      <w:r w:rsidRPr="006E7724">
        <w:rPr>
          <w:rFonts w:eastAsiaTheme="minorHAnsi" w:cs="Arial"/>
          <w:color w:val="000000"/>
        </w:rPr>
        <w:t>However, while some IL-6 functions can be directly linked to the</w:t>
      </w:r>
      <w:r>
        <w:rPr>
          <w:rFonts w:eastAsiaTheme="minorHAnsi" w:cs="Arial"/>
          <w:color w:val="000000"/>
        </w:rPr>
        <w:t xml:space="preserve"> presence of </w:t>
      </w:r>
      <w:r w:rsidRPr="006E7724">
        <w:rPr>
          <w:rFonts w:eastAsiaTheme="minorHAnsi" w:cs="Arial"/>
          <w:color w:val="000000"/>
        </w:rPr>
        <w:t>relevan</w:t>
      </w:r>
      <w:r>
        <w:rPr>
          <w:rFonts w:eastAsiaTheme="minorHAnsi" w:cs="Arial"/>
          <w:color w:val="000000"/>
        </w:rPr>
        <w:t>t autoantibodies production that is anti-</w:t>
      </w:r>
      <w:r w:rsidRPr="006E7724">
        <w:rPr>
          <w:rFonts w:eastAsiaTheme="minorHAnsi" w:cs="Arial"/>
          <w:color w:val="000000"/>
        </w:rPr>
        <w:t>AQP4-IgG, other IL-</w:t>
      </w:r>
      <w:r w:rsidRPr="00497700">
        <w:rPr>
          <w:rFonts w:eastAsiaTheme="minorHAnsi" w:cs="Arial"/>
        </w:rPr>
        <w:t xml:space="preserve">6 damaging </w:t>
      </w:r>
      <w:r w:rsidRPr="006E7724">
        <w:rPr>
          <w:rFonts w:eastAsiaTheme="minorHAnsi" w:cs="Arial"/>
          <w:color w:val="000000"/>
        </w:rPr>
        <w:t xml:space="preserve">functions </w:t>
      </w:r>
      <w:r>
        <w:rPr>
          <w:rFonts w:eastAsiaTheme="minorHAnsi" w:cs="Arial"/>
          <w:color w:val="000000"/>
        </w:rPr>
        <w:t xml:space="preserve">could be </w:t>
      </w:r>
      <w:r w:rsidR="00CF271D">
        <w:rPr>
          <w:rFonts w:eastAsiaTheme="minorHAnsi" w:cs="Arial"/>
          <w:color w:val="000000"/>
        </w:rPr>
        <w:t xml:space="preserve">autoantibodies </w:t>
      </w:r>
      <w:r w:rsidRPr="006E7724">
        <w:rPr>
          <w:rFonts w:eastAsiaTheme="minorHAnsi" w:cs="Arial"/>
          <w:color w:val="000000"/>
        </w:rPr>
        <w:t>production independent</w:t>
      </w:r>
      <w:r>
        <w:rPr>
          <w:rFonts w:eastAsiaTheme="minorHAnsi" w:cs="Arial"/>
          <w:color w:val="000000"/>
        </w:rPr>
        <w:t>, as mentioned above</w:t>
      </w:r>
      <w:r w:rsidRPr="00332E40">
        <w:rPr>
          <w:rFonts w:eastAsiaTheme="minorHAnsi" w:cs="Arial"/>
          <w:color w:val="000000"/>
        </w:rPr>
        <w:t xml:space="preserve">. </w:t>
      </w:r>
      <w:r>
        <w:rPr>
          <w:rFonts w:eastAsiaTheme="minorHAnsi" w:cs="Arial"/>
          <w:color w:val="000000"/>
        </w:rPr>
        <w:t xml:space="preserve">As previously alluded to, </w:t>
      </w:r>
      <w:proofErr w:type="spellStart"/>
      <w:r w:rsidR="00B842FA">
        <w:rPr>
          <w:rFonts w:eastAsiaTheme="minorHAnsi" w:cs="Arial"/>
          <w:color w:val="000000"/>
        </w:rPr>
        <w:t>s</w:t>
      </w:r>
      <w:r w:rsidR="00B842FA" w:rsidRPr="00B842FA">
        <w:rPr>
          <w:rFonts w:eastAsiaTheme="minorHAnsi" w:cs="Arial"/>
          <w:color w:val="000000"/>
        </w:rPr>
        <w:t>atralizumab</w:t>
      </w:r>
      <w:proofErr w:type="spellEnd"/>
      <w:r w:rsidRPr="00332E40">
        <w:rPr>
          <w:rFonts w:eastAsiaTheme="minorHAnsi" w:cs="Arial"/>
          <w:color w:val="000000"/>
        </w:rPr>
        <w:t xml:space="preserve"> was studied in both </w:t>
      </w:r>
      <w:r>
        <w:rPr>
          <w:rFonts w:eastAsiaTheme="minorHAnsi" w:cs="Arial"/>
          <w:color w:val="000000"/>
        </w:rPr>
        <w:t>anti-</w:t>
      </w:r>
      <w:r w:rsidRPr="00332E40">
        <w:rPr>
          <w:rFonts w:eastAsiaTheme="minorHAnsi" w:cs="Arial"/>
          <w:color w:val="000000"/>
        </w:rPr>
        <w:t>AQP4-IgG seropositive and seronegative NMO</w:t>
      </w:r>
      <w:r>
        <w:rPr>
          <w:rFonts w:eastAsiaTheme="minorHAnsi" w:cs="Arial"/>
          <w:color w:val="000000"/>
        </w:rPr>
        <w:t xml:space="preserve"> patients</w:t>
      </w:r>
      <w:r w:rsidRPr="00332E40">
        <w:rPr>
          <w:rFonts w:eastAsiaTheme="minorHAnsi" w:cs="Arial"/>
          <w:color w:val="000000"/>
        </w:rPr>
        <w:t xml:space="preserve"> and </w:t>
      </w:r>
      <w:r>
        <w:rPr>
          <w:rFonts w:eastAsiaTheme="minorHAnsi" w:cs="Arial"/>
          <w:color w:val="000000"/>
        </w:rPr>
        <w:t xml:space="preserve">by </w:t>
      </w:r>
      <w:r w:rsidRPr="00F526CA">
        <w:rPr>
          <w:rFonts w:eastAsiaTheme="minorHAnsi" w:cs="Arial"/>
          <w:color w:val="000000"/>
        </w:rPr>
        <w:t>inclusion criteria</w:t>
      </w:r>
      <w:r>
        <w:rPr>
          <w:rFonts w:eastAsiaTheme="minorHAnsi" w:cs="Arial"/>
          <w:color w:val="000000"/>
        </w:rPr>
        <w:t xml:space="preserve">, in only anti-AQP4-IgG seropositive </w:t>
      </w:r>
      <w:r w:rsidRPr="00332E40">
        <w:rPr>
          <w:rFonts w:eastAsiaTheme="minorHAnsi" w:cs="Arial"/>
          <w:color w:val="000000"/>
        </w:rPr>
        <w:t>NMOSD patients.</w:t>
      </w:r>
    </w:p>
    <w:p w14:paraId="75258F90" w14:textId="77777777" w:rsidR="00D072E5" w:rsidRDefault="0025325E" w:rsidP="00633E12">
      <w:r w:rsidRPr="0027178C">
        <w:rPr>
          <w:rFonts w:eastAsiaTheme="minorHAnsi" w:cs="Arial"/>
          <w:color w:val="000000"/>
        </w:rPr>
        <w:t xml:space="preserve">A beneficial effect of IL-6R blockade in </w:t>
      </w:r>
      <w:r w:rsidRPr="00F526CA">
        <w:t>anti-AQP4-IgG positive</w:t>
      </w:r>
      <w:r>
        <w:t xml:space="preserve"> </w:t>
      </w:r>
      <w:r w:rsidRPr="00A476D7">
        <w:t>NMO</w:t>
      </w:r>
      <w:r>
        <w:t xml:space="preserve"> and generally NMOSD </w:t>
      </w:r>
      <w:r w:rsidRPr="0027178C">
        <w:rPr>
          <w:rFonts w:eastAsiaTheme="minorHAnsi" w:cs="Arial"/>
          <w:color w:val="000000"/>
        </w:rPr>
        <w:t>has been suggest</w:t>
      </w:r>
      <w:r>
        <w:rPr>
          <w:rFonts w:eastAsiaTheme="minorHAnsi" w:cs="Arial"/>
          <w:color w:val="000000"/>
        </w:rPr>
        <w:t>ed in several small open label</w:t>
      </w:r>
      <w:r w:rsidRPr="0027178C">
        <w:rPr>
          <w:rFonts w:eastAsiaTheme="minorHAnsi" w:cs="Arial"/>
          <w:color w:val="000000"/>
        </w:rPr>
        <w:t xml:space="preserve"> studies. </w:t>
      </w:r>
      <w:proofErr w:type="spellStart"/>
      <w:r w:rsidR="00B842FA" w:rsidRPr="00B842FA">
        <w:rPr>
          <w:rFonts w:eastAsiaTheme="minorHAnsi" w:cs="Arial"/>
          <w:color w:val="000000"/>
        </w:rPr>
        <w:t>Satralizumab</w:t>
      </w:r>
      <w:proofErr w:type="spellEnd"/>
      <w:r w:rsidRPr="0027178C">
        <w:rPr>
          <w:rFonts w:eastAsiaTheme="minorHAnsi" w:cs="Arial"/>
          <w:color w:val="000000"/>
        </w:rPr>
        <w:t xml:space="preserve"> specifically targets the</w:t>
      </w:r>
      <w:r w:rsidRPr="0027178C">
        <w:rPr>
          <w:rStyle w:val="style1"/>
        </w:rPr>
        <w:t xml:space="preserve"> human IL-6R</w:t>
      </w:r>
      <w:r>
        <w:rPr>
          <w:rStyle w:val="style1"/>
        </w:rPr>
        <w:t xml:space="preserve"> sites</w:t>
      </w:r>
      <w:r w:rsidRPr="0027178C">
        <w:rPr>
          <w:rStyle w:val="style1"/>
        </w:rPr>
        <w:t xml:space="preserve"> and blocks IL-6 from binding to both membrane-bound and soluble IL-6R sites, thereby inhibiting IL-6 signalling.</w:t>
      </w:r>
    </w:p>
    <w:p w14:paraId="3D017AA1" w14:textId="795F5746" w:rsidR="00633E12" w:rsidRDefault="00633E12" w:rsidP="00633E12">
      <w:proofErr w:type="spellStart"/>
      <w:r>
        <w:t>Satralizumab</w:t>
      </w:r>
      <w:proofErr w:type="spellEnd"/>
      <w:r>
        <w:t xml:space="preserve"> has no current therapeutic indic</w:t>
      </w:r>
      <w:r w:rsidR="00D072E5">
        <w:t xml:space="preserve">ation on the </w:t>
      </w:r>
      <w:r w:rsidR="00534B73">
        <w:t>Australian Register of Therapeutic Goods (</w:t>
      </w:r>
      <w:r w:rsidR="00D072E5">
        <w:t>ARTG</w:t>
      </w:r>
      <w:r w:rsidR="00534B73">
        <w:t>)</w:t>
      </w:r>
      <w:r w:rsidR="00D072E5">
        <w:t xml:space="preserve"> in Australia. </w:t>
      </w:r>
      <w:r>
        <w:t xml:space="preserve">There are currently no approved treatments for NMO and NMOSD, </w:t>
      </w:r>
      <w:r w:rsidR="00C13F31">
        <w:t>n</w:t>
      </w:r>
      <w:r>
        <w:t>either</w:t>
      </w:r>
      <w:r w:rsidR="00C13F31">
        <w:t xml:space="preserve"> in</w:t>
      </w:r>
      <w:r>
        <w:t xml:space="preserve"> Australia </w:t>
      </w:r>
      <w:r w:rsidR="00C13F31">
        <w:t>n</w:t>
      </w:r>
      <w:r>
        <w:t xml:space="preserve">or </w:t>
      </w:r>
      <w:r w:rsidR="00C13F31">
        <w:t xml:space="preserve">in </w:t>
      </w:r>
      <w:r>
        <w:t>the European Union (EU).</w:t>
      </w:r>
    </w:p>
    <w:p w14:paraId="7CCA3AF1" w14:textId="17E93EBB" w:rsidR="00633E12" w:rsidRDefault="00633E12" w:rsidP="00633E12">
      <w:r>
        <w:t>Acute relapses are typically treated with high dose corticosteroids, followed by gradual tapering or plasmapheresis.</w:t>
      </w:r>
    </w:p>
    <w:p w14:paraId="75442230" w14:textId="3033CFAD" w:rsidR="00633E12" w:rsidRPr="00633E12" w:rsidRDefault="00633E12" w:rsidP="00633E12">
      <w:r>
        <w:t xml:space="preserve">Relapse prevention is the paramount treatment objective in both NMO and NMOSD, which are currently treated with off-label </w:t>
      </w:r>
      <w:r w:rsidR="00534B73">
        <w:t>i</w:t>
      </w:r>
      <w:r>
        <w:t>mmuno-</w:t>
      </w:r>
      <w:r w:rsidR="00534B73">
        <w:t>s</w:t>
      </w:r>
      <w:r>
        <w:t xml:space="preserve">uppressive </w:t>
      </w:r>
      <w:r w:rsidR="00C13F31">
        <w:t>t</w:t>
      </w:r>
      <w:r>
        <w:t>herapies (IST) such as azathioprine (AZA), mycophenolate mofetil (MMF) and rituximab, based on experience from small uncontrolled trials, case series or case reports. However, no randomised controlled trials have been reported that have established the efficacy and safety of these unappro</w:t>
      </w:r>
      <w:r w:rsidR="003451F3">
        <w:t>ved therapies in NMO and NMOSD.</w:t>
      </w:r>
    </w:p>
    <w:p w14:paraId="51E08858" w14:textId="77777777" w:rsidR="008E7846" w:rsidRPr="003F31A2" w:rsidRDefault="00386150" w:rsidP="008E7846">
      <w:pPr>
        <w:pStyle w:val="Heading3"/>
      </w:pPr>
      <w:bookmarkStart w:id="17" w:name="_Toc314842485"/>
      <w:bookmarkStart w:id="18" w:name="_Toc247691504"/>
      <w:bookmarkStart w:id="19" w:name="_Toc77162691"/>
      <w:r>
        <w:t>Regulatory s</w:t>
      </w:r>
      <w:r w:rsidR="008E7846">
        <w:t>tatus</w:t>
      </w:r>
      <w:bookmarkEnd w:id="17"/>
      <w:bookmarkEnd w:id="18"/>
      <w:bookmarkEnd w:id="19"/>
    </w:p>
    <w:p w14:paraId="2DDB6A04" w14:textId="77777777" w:rsidR="00940A89" w:rsidRDefault="00006FAB" w:rsidP="00940A89">
      <w:bookmarkStart w:id="20" w:name="_Toc247691505"/>
      <w:bookmarkStart w:id="21" w:name="_Toc314842486"/>
      <w:r w:rsidRPr="00006FAB">
        <w:t>This produ</w:t>
      </w:r>
      <w:r w:rsidR="00DE12C3">
        <w:t xml:space="preserve">ct is considered a new </w:t>
      </w:r>
      <w:r w:rsidRPr="00006FAB">
        <w:t>biological entity for Australian regulatory purposes.</w:t>
      </w:r>
    </w:p>
    <w:p w14:paraId="557EF152" w14:textId="77777777" w:rsidR="00006FAB" w:rsidRDefault="00006FAB" w:rsidP="00006FAB">
      <w:r>
        <w:t>At the time the TGA considered this application, a similar</w:t>
      </w:r>
      <w:r w:rsidR="00AD2A2D">
        <w:t xml:space="preserve"> application had been approved in United States of America (USA) on 14 August 2020, Switzerland on 13 July 2020, Canada on 1 June 2020 and Japan on 29 June 2020. </w:t>
      </w:r>
      <w:proofErr w:type="spellStart"/>
      <w:r w:rsidR="00AD2A2D">
        <w:t>Enspryng</w:t>
      </w:r>
      <w:proofErr w:type="spellEnd"/>
      <w:r w:rsidR="00AD2A2D">
        <w:t xml:space="preserve"> </w:t>
      </w:r>
      <w:r>
        <w:t>was under consideration in</w:t>
      </w:r>
      <w:r w:rsidR="00CF271D">
        <w:t xml:space="preserve"> EU</w:t>
      </w:r>
      <w:r w:rsidR="00AD2A2D">
        <w:t xml:space="preserve"> and Singapore.</w:t>
      </w:r>
    </w:p>
    <w:p w14:paraId="01FCB6C7" w14:textId="7515643B" w:rsidR="00324E45" w:rsidRPr="00F0146F" w:rsidRDefault="00324E45" w:rsidP="00324E45">
      <w:pPr>
        <w:pStyle w:val="TableTitle"/>
      </w:pPr>
      <w:r>
        <w:t xml:space="preserve">Table </w:t>
      </w:r>
      <w:fldSimple w:instr=" SEQ Table \* ARABIC ">
        <w:r w:rsidR="009340CF">
          <w:rPr>
            <w:noProof/>
          </w:rPr>
          <w:t>1</w:t>
        </w:r>
      </w:fldSimple>
      <w:r>
        <w:t>: International regulatory status</w:t>
      </w:r>
    </w:p>
    <w:tbl>
      <w:tblPr>
        <w:tblStyle w:val="TableTGAblue"/>
        <w:tblW w:w="0" w:type="auto"/>
        <w:tblLook w:val="04A0" w:firstRow="1" w:lastRow="0" w:firstColumn="1" w:lastColumn="0" w:noHBand="0" w:noVBand="1"/>
      </w:tblPr>
      <w:tblGrid>
        <w:gridCol w:w="2068"/>
        <w:gridCol w:w="1755"/>
        <w:gridCol w:w="2126"/>
        <w:gridCol w:w="2545"/>
      </w:tblGrid>
      <w:tr w:rsidR="00B805DE" w:rsidRPr="00541008" w14:paraId="23A220D2" w14:textId="77777777" w:rsidTr="00A64481">
        <w:trPr>
          <w:cnfStyle w:val="100000000000" w:firstRow="1" w:lastRow="0" w:firstColumn="0" w:lastColumn="0" w:oddVBand="0" w:evenVBand="0" w:oddHBand="0" w:evenHBand="0" w:firstRowFirstColumn="0" w:firstRowLastColumn="0" w:lastRowFirstColumn="0" w:lastRowLastColumn="0"/>
        </w:trPr>
        <w:tc>
          <w:tcPr>
            <w:tcW w:w="2068" w:type="dxa"/>
            <w:tcBorders>
              <w:top w:val="single" w:sz="4" w:space="0" w:color="auto"/>
              <w:left w:val="single" w:sz="4" w:space="0" w:color="auto"/>
              <w:bottom w:val="single" w:sz="4" w:space="0" w:color="auto"/>
              <w:right w:val="single" w:sz="4" w:space="0" w:color="auto"/>
            </w:tcBorders>
          </w:tcPr>
          <w:p w14:paraId="56FC978E" w14:textId="77777777" w:rsidR="00006FAB" w:rsidRPr="00901104" w:rsidRDefault="00006FAB" w:rsidP="00006FAB">
            <w:pPr>
              <w:ind w:left="0" w:right="0"/>
              <w:rPr>
                <w:sz w:val="20"/>
                <w:szCs w:val="20"/>
              </w:rPr>
            </w:pPr>
            <w:r w:rsidRPr="00901104">
              <w:rPr>
                <w:sz w:val="20"/>
                <w:szCs w:val="20"/>
              </w:rPr>
              <w:t>Region</w:t>
            </w:r>
          </w:p>
        </w:tc>
        <w:tc>
          <w:tcPr>
            <w:tcW w:w="1755" w:type="dxa"/>
            <w:tcBorders>
              <w:top w:val="single" w:sz="4" w:space="0" w:color="auto"/>
              <w:left w:val="single" w:sz="4" w:space="0" w:color="auto"/>
              <w:bottom w:val="single" w:sz="4" w:space="0" w:color="auto"/>
              <w:right w:val="single" w:sz="4" w:space="0" w:color="auto"/>
            </w:tcBorders>
          </w:tcPr>
          <w:p w14:paraId="334F0352" w14:textId="77777777" w:rsidR="00006FAB" w:rsidRPr="00901104" w:rsidRDefault="00006FAB" w:rsidP="00006FAB">
            <w:pPr>
              <w:ind w:left="0" w:right="0"/>
              <w:rPr>
                <w:sz w:val="20"/>
                <w:szCs w:val="20"/>
              </w:rPr>
            </w:pPr>
            <w:r w:rsidRPr="00901104">
              <w:rPr>
                <w:sz w:val="20"/>
                <w:szCs w:val="20"/>
              </w:rPr>
              <w:t>Submission date</w:t>
            </w:r>
          </w:p>
        </w:tc>
        <w:tc>
          <w:tcPr>
            <w:tcW w:w="2126" w:type="dxa"/>
            <w:tcBorders>
              <w:top w:val="single" w:sz="4" w:space="0" w:color="auto"/>
              <w:left w:val="single" w:sz="4" w:space="0" w:color="auto"/>
              <w:bottom w:val="single" w:sz="4" w:space="0" w:color="auto"/>
              <w:right w:val="single" w:sz="4" w:space="0" w:color="auto"/>
            </w:tcBorders>
          </w:tcPr>
          <w:p w14:paraId="793F3E5F" w14:textId="77777777" w:rsidR="00006FAB" w:rsidRPr="00901104" w:rsidRDefault="00006FAB" w:rsidP="00006FAB">
            <w:pPr>
              <w:ind w:left="0" w:right="0"/>
              <w:rPr>
                <w:sz w:val="20"/>
                <w:szCs w:val="20"/>
              </w:rPr>
            </w:pPr>
            <w:r w:rsidRPr="00901104">
              <w:rPr>
                <w:sz w:val="20"/>
                <w:szCs w:val="20"/>
              </w:rPr>
              <w:t>Status</w:t>
            </w:r>
          </w:p>
        </w:tc>
        <w:tc>
          <w:tcPr>
            <w:tcW w:w="2545" w:type="dxa"/>
            <w:tcBorders>
              <w:top w:val="single" w:sz="4" w:space="0" w:color="auto"/>
              <w:left w:val="single" w:sz="4" w:space="0" w:color="auto"/>
              <w:bottom w:val="single" w:sz="4" w:space="0" w:color="auto"/>
              <w:right w:val="single" w:sz="4" w:space="0" w:color="auto"/>
            </w:tcBorders>
          </w:tcPr>
          <w:p w14:paraId="0A48BDB3" w14:textId="77777777" w:rsidR="00006FAB" w:rsidRPr="00901104" w:rsidRDefault="00006FAB" w:rsidP="00006FAB">
            <w:pPr>
              <w:ind w:left="0" w:right="0"/>
              <w:rPr>
                <w:sz w:val="20"/>
                <w:szCs w:val="20"/>
              </w:rPr>
            </w:pPr>
            <w:r w:rsidRPr="00901104">
              <w:rPr>
                <w:sz w:val="20"/>
                <w:szCs w:val="20"/>
              </w:rPr>
              <w:t>Approved indications</w:t>
            </w:r>
          </w:p>
        </w:tc>
      </w:tr>
      <w:tr w:rsidR="00B805DE" w:rsidRPr="00541008" w14:paraId="2AD88C2E" w14:textId="77777777" w:rsidTr="00A64481">
        <w:tc>
          <w:tcPr>
            <w:tcW w:w="2068" w:type="dxa"/>
            <w:tcBorders>
              <w:top w:val="single" w:sz="4" w:space="0" w:color="auto"/>
            </w:tcBorders>
          </w:tcPr>
          <w:p w14:paraId="1DD1D2E3" w14:textId="77777777" w:rsidR="00006FAB" w:rsidRPr="00901104" w:rsidRDefault="007C07D4" w:rsidP="00006FAB">
            <w:pPr>
              <w:ind w:left="0" w:right="0"/>
              <w:rPr>
                <w:sz w:val="20"/>
                <w:szCs w:val="20"/>
              </w:rPr>
            </w:pPr>
            <w:r w:rsidRPr="00901104">
              <w:rPr>
                <w:sz w:val="20"/>
                <w:szCs w:val="20"/>
              </w:rPr>
              <w:t>European Union</w:t>
            </w:r>
          </w:p>
          <w:p w14:paraId="15940398" w14:textId="77777777" w:rsidR="007C07D4" w:rsidRPr="00901104" w:rsidRDefault="007C07D4" w:rsidP="00006FAB">
            <w:pPr>
              <w:ind w:left="0" w:right="0"/>
              <w:rPr>
                <w:sz w:val="20"/>
                <w:szCs w:val="20"/>
              </w:rPr>
            </w:pPr>
            <w:r w:rsidRPr="00901104">
              <w:rPr>
                <w:sz w:val="20"/>
                <w:szCs w:val="20"/>
              </w:rPr>
              <w:t>Centralised procedure via</w:t>
            </w:r>
          </w:p>
          <w:p w14:paraId="6A5A8960" w14:textId="77777777" w:rsidR="007C07D4" w:rsidRPr="00901104" w:rsidRDefault="007C07D4" w:rsidP="007C07D4">
            <w:pPr>
              <w:ind w:left="0"/>
              <w:rPr>
                <w:sz w:val="20"/>
                <w:szCs w:val="20"/>
              </w:rPr>
            </w:pPr>
            <w:r w:rsidRPr="00901104">
              <w:rPr>
                <w:sz w:val="20"/>
                <w:szCs w:val="20"/>
              </w:rPr>
              <w:t>Rapporteur: Sweden</w:t>
            </w:r>
          </w:p>
          <w:p w14:paraId="2E5519B1" w14:textId="77777777" w:rsidR="007C07D4" w:rsidRPr="00901104" w:rsidRDefault="007C07D4" w:rsidP="007C07D4">
            <w:pPr>
              <w:ind w:left="0" w:right="0"/>
              <w:rPr>
                <w:sz w:val="20"/>
                <w:szCs w:val="20"/>
              </w:rPr>
            </w:pPr>
            <w:r w:rsidRPr="00901104">
              <w:rPr>
                <w:sz w:val="20"/>
                <w:szCs w:val="20"/>
              </w:rPr>
              <w:t>Co-rapporteur: Spain</w:t>
            </w:r>
          </w:p>
        </w:tc>
        <w:tc>
          <w:tcPr>
            <w:tcW w:w="1755" w:type="dxa"/>
            <w:tcBorders>
              <w:top w:val="single" w:sz="4" w:space="0" w:color="auto"/>
            </w:tcBorders>
          </w:tcPr>
          <w:p w14:paraId="11C771C5" w14:textId="77777777" w:rsidR="00006FAB" w:rsidRPr="00901104" w:rsidRDefault="007C07D4" w:rsidP="00006FAB">
            <w:pPr>
              <w:ind w:left="0" w:right="0"/>
              <w:rPr>
                <w:sz w:val="20"/>
                <w:szCs w:val="20"/>
              </w:rPr>
            </w:pPr>
            <w:r w:rsidRPr="00901104">
              <w:rPr>
                <w:sz w:val="20"/>
                <w:szCs w:val="20"/>
              </w:rPr>
              <w:t>20 August 2019</w:t>
            </w:r>
          </w:p>
        </w:tc>
        <w:tc>
          <w:tcPr>
            <w:tcW w:w="2126" w:type="dxa"/>
            <w:tcBorders>
              <w:top w:val="single" w:sz="4" w:space="0" w:color="auto"/>
            </w:tcBorders>
          </w:tcPr>
          <w:p w14:paraId="2B645D92" w14:textId="77777777" w:rsidR="00006FAB" w:rsidRPr="00901104" w:rsidRDefault="007C07D4" w:rsidP="007C07D4">
            <w:pPr>
              <w:ind w:left="0" w:right="0"/>
              <w:rPr>
                <w:sz w:val="20"/>
                <w:szCs w:val="20"/>
              </w:rPr>
            </w:pPr>
            <w:r w:rsidRPr="00901104">
              <w:rPr>
                <w:sz w:val="20"/>
                <w:szCs w:val="20"/>
              </w:rPr>
              <w:t>Under consideration</w:t>
            </w:r>
          </w:p>
        </w:tc>
        <w:tc>
          <w:tcPr>
            <w:tcW w:w="2545" w:type="dxa"/>
            <w:tcBorders>
              <w:top w:val="single" w:sz="4" w:space="0" w:color="auto"/>
            </w:tcBorders>
          </w:tcPr>
          <w:p w14:paraId="44667D0F" w14:textId="77777777" w:rsidR="00006FAB" w:rsidRPr="00901104" w:rsidRDefault="007C07D4" w:rsidP="00006FAB">
            <w:pPr>
              <w:ind w:left="0" w:right="0"/>
              <w:rPr>
                <w:sz w:val="20"/>
                <w:szCs w:val="20"/>
              </w:rPr>
            </w:pPr>
            <w:r w:rsidRPr="00901104">
              <w:rPr>
                <w:sz w:val="20"/>
                <w:szCs w:val="20"/>
              </w:rPr>
              <w:t>Under consideration</w:t>
            </w:r>
          </w:p>
        </w:tc>
      </w:tr>
      <w:tr w:rsidR="00B805DE" w:rsidRPr="00541008" w14:paraId="34816B2A" w14:textId="77777777" w:rsidTr="00A64481">
        <w:tc>
          <w:tcPr>
            <w:tcW w:w="2068" w:type="dxa"/>
          </w:tcPr>
          <w:p w14:paraId="5086917C" w14:textId="77777777" w:rsidR="00006FAB" w:rsidRPr="00901104" w:rsidRDefault="007C07D4" w:rsidP="00006FAB">
            <w:pPr>
              <w:ind w:left="0" w:right="0"/>
              <w:rPr>
                <w:sz w:val="20"/>
                <w:szCs w:val="20"/>
              </w:rPr>
            </w:pPr>
            <w:r w:rsidRPr="00901104">
              <w:rPr>
                <w:sz w:val="20"/>
                <w:szCs w:val="20"/>
              </w:rPr>
              <w:lastRenderedPageBreak/>
              <w:t>United States of America</w:t>
            </w:r>
          </w:p>
        </w:tc>
        <w:tc>
          <w:tcPr>
            <w:tcW w:w="1755" w:type="dxa"/>
          </w:tcPr>
          <w:p w14:paraId="5588148B" w14:textId="77777777" w:rsidR="00006FAB" w:rsidRPr="00901104" w:rsidRDefault="007C07D4" w:rsidP="00006FAB">
            <w:pPr>
              <w:ind w:left="0" w:right="0"/>
              <w:rPr>
                <w:sz w:val="20"/>
                <w:szCs w:val="20"/>
              </w:rPr>
            </w:pPr>
            <w:r w:rsidRPr="00901104">
              <w:rPr>
                <w:sz w:val="20"/>
                <w:szCs w:val="20"/>
              </w:rPr>
              <w:t>15 August 2019</w:t>
            </w:r>
          </w:p>
        </w:tc>
        <w:tc>
          <w:tcPr>
            <w:tcW w:w="2126" w:type="dxa"/>
          </w:tcPr>
          <w:p w14:paraId="6088F1CF" w14:textId="3BA7A3EC" w:rsidR="00006FAB" w:rsidRPr="00901104" w:rsidRDefault="00B805DE" w:rsidP="00006FAB">
            <w:pPr>
              <w:ind w:left="0" w:right="0"/>
              <w:rPr>
                <w:sz w:val="20"/>
                <w:szCs w:val="20"/>
              </w:rPr>
            </w:pPr>
            <w:r w:rsidRPr="00901104">
              <w:rPr>
                <w:sz w:val="20"/>
                <w:szCs w:val="20"/>
              </w:rPr>
              <w:t xml:space="preserve">Approved </w:t>
            </w:r>
            <w:r w:rsidR="007C07D4" w:rsidRPr="00901104">
              <w:rPr>
                <w:sz w:val="20"/>
                <w:szCs w:val="20"/>
              </w:rPr>
              <w:t>14</w:t>
            </w:r>
            <w:r w:rsidR="00541008">
              <w:rPr>
                <w:sz w:val="20"/>
                <w:szCs w:val="20"/>
              </w:rPr>
              <w:t> </w:t>
            </w:r>
            <w:r w:rsidR="007C07D4" w:rsidRPr="00901104">
              <w:rPr>
                <w:sz w:val="20"/>
                <w:szCs w:val="20"/>
              </w:rPr>
              <w:t>August 2020</w:t>
            </w:r>
          </w:p>
        </w:tc>
        <w:tc>
          <w:tcPr>
            <w:tcW w:w="2545" w:type="dxa"/>
          </w:tcPr>
          <w:p w14:paraId="00B17FD3" w14:textId="29487000" w:rsidR="00006FAB" w:rsidRPr="00901104" w:rsidRDefault="00DB3A65" w:rsidP="007C07D4">
            <w:pPr>
              <w:ind w:left="0"/>
              <w:rPr>
                <w:i/>
                <w:sz w:val="20"/>
                <w:szCs w:val="20"/>
              </w:rPr>
            </w:pPr>
            <w:proofErr w:type="spellStart"/>
            <w:r w:rsidRPr="00901104">
              <w:rPr>
                <w:i/>
                <w:sz w:val="20"/>
                <w:szCs w:val="20"/>
              </w:rPr>
              <w:t>Enspryng</w:t>
            </w:r>
            <w:proofErr w:type="spellEnd"/>
            <w:r w:rsidR="007C07D4" w:rsidRPr="00901104">
              <w:rPr>
                <w:i/>
                <w:sz w:val="20"/>
                <w:szCs w:val="20"/>
              </w:rPr>
              <w:t xml:space="preserve"> is indicated for the treatment of neuromyelitis </w:t>
            </w:r>
            <w:proofErr w:type="spellStart"/>
            <w:r w:rsidR="007C07D4" w:rsidRPr="00901104">
              <w:rPr>
                <w:i/>
                <w:sz w:val="20"/>
                <w:szCs w:val="20"/>
              </w:rPr>
              <w:t>optica</w:t>
            </w:r>
            <w:proofErr w:type="spellEnd"/>
            <w:r w:rsidR="007C07D4" w:rsidRPr="00901104">
              <w:rPr>
                <w:i/>
                <w:sz w:val="20"/>
                <w:szCs w:val="20"/>
              </w:rPr>
              <w:t xml:space="preserve"> spectrum disorder (NMOSD) in adult patients who are anti-aquaporin-4 (AQP4) antibody positive</w:t>
            </w:r>
          </w:p>
        </w:tc>
      </w:tr>
      <w:tr w:rsidR="00B805DE" w:rsidRPr="00541008" w14:paraId="6EA5C02D" w14:textId="77777777" w:rsidTr="00A64481">
        <w:tc>
          <w:tcPr>
            <w:tcW w:w="2068" w:type="dxa"/>
          </w:tcPr>
          <w:p w14:paraId="63F8F5DC" w14:textId="77777777" w:rsidR="007C07D4" w:rsidRPr="00901104" w:rsidRDefault="007C07D4" w:rsidP="007C07D4">
            <w:pPr>
              <w:ind w:left="0"/>
              <w:rPr>
                <w:sz w:val="20"/>
                <w:szCs w:val="20"/>
              </w:rPr>
            </w:pPr>
            <w:r w:rsidRPr="00901104">
              <w:rPr>
                <w:sz w:val="20"/>
                <w:szCs w:val="20"/>
              </w:rPr>
              <w:t>Switzerland</w:t>
            </w:r>
          </w:p>
        </w:tc>
        <w:tc>
          <w:tcPr>
            <w:tcW w:w="1755" w:type="dxa"/>
          </w:tcPr>
          <w:p w14:paraId="60FCE8D3" w14:textId="77777777" w:rsidR="007C07D4" w:rsidRPr="00901104" w:rsidRDefault="007C07D4" w:rsidP="007C07D4">
            <w:pPr>
              <w:ind w:left="0"/>
              <w:rPr>
                <w:sz w:val="20"/>
                <w:szCs w:val="20"/>
              </w:rPr>
            </w:pPr>
            <w:r w:rsidRPr="00901104">
              <w:rPr>
                <w:sz w:val="20"/>
                <w:szCs w:val="20"/>
              </w:rPr>
              <w:t>25 October 2019</w:t>
            </w:r>
          </w:p>
        </w:tc>
        <w:tc>
          <w:tcPr>
            <w:tcW w:w="2126" w:type="dxa"/>
          </w:tcPr>
          <w:p w14:paraId="617CDE63" w14:textId="5AFD6C9E" w:rsidR="007C07D4" w:rsidRPr="00901104" w:rsidRDefault="00B805DE" w:rsidP="007C07D4">
            <w:pPr>
              <w:ind w:left="0"/>
              <w:rPr>
                <w:sz w:val="20"/>
                <w:szCs w:val="20"/>
              </w:rPr>
            </w:pPr>
            <w:r w:rsidRPr="00901104">
              <w:rPr>
                <w:sz w:val="20"/>
                <w:szCs w:val="20"/>
              </w:rPr>
              <w:t>Approved 13</w:t>
            </w:r>
            <w:r w:rsidR="00541008">
              <w:rPr>
                <w:sz w:val="20"/>
                <w:szCs w:val="20"/>
              </w:rPr>
              <w:t> </w:t>
            </w:r>
            <w:r w:rsidRPr="00901104">
              <w:rPr>
                <w:sz w:val="20"/>
                <w:szCs w:val="20"/>
              </w:rPr>
              <w:t>July 2020</w:t>
            </w:r>
          </w:p>
        </w:tc>
        <w:tc>
          <w:tcPr>
            <w:tcW w:w="2545" w:type="dxa"/>
          </w:tcPr>
          <w:p w14:paraId="0E6C5FD9" w14:textId="77777777" w:rsidR="007C07D4" w:rsidRPr="00901104" w:rsidRDefault="00B805DE" w:rsidP="00B805DE">
            <w:pPr>
              <w:ind w:left="0"/>
              <w:rPr>
                <w:i/>
                <w:sz w:val="20"/>
                <w:szCs w:val="20"/>
              </w:rPr>
            </w:pPr>
            <w:proofErr w:type="spellStart"/>
            <w:r w:rsidRPr="00901104">
              <w:rPr>
                <w:i/>
                <w:sz w:val="20"/>
                <w:szCs w:val="20"/>
              </w:rPr>
              <w:t>Enspryng</w:t>
            </w:r>
            <w:proofErr w:type="spellEnd"/>
            <w:r w:rsidRPr="00901104">
              <w:rPr>
                <w:i/>
                <w:sz w:val="20"/>
                <w:szCs w:val="20"/>
              </w:rPr>
              <w:t xml:space="preserve"> is used as a monotherapy or in combination with immunosuppressive therapy (IST) for the treatment of neuromyelitis </w:t>
            </w:r>
            <w:proofErr w:type="spellStart"/>
            <w:r w:rsidRPr="00901104">
              <w:rPr>
                <w:i/>
                <w:sz w:val="20"/>
                <w:szCs w:val="20"/>
              </w:rPr>
              <w:t>optica</w:t>
            </w:r>
            <w:proofErr w:type="spellEnd"/>
            <w:r w:rsidRPr="00901104">
              <w:rPr>
                <w:i/>
                <w:sz w:val="20"/>
                <w:szCs w:val="20"/>
              </w:rPr>
              <w:t xml:space="preserve"> spectrum</w:t>
            </w:r>
            <w:r w:rsidR="00061D3B" w:rsidRPr="00901104">
              <w:rPr>
                <w:i/>
                <w:sz w:val="20"/>
                <w:szCs w:val="20"/>
              </w:rPr>
              <w:t xml:space="preserve"> </w:t>
            </w:r>
            <w:r w:rsidRPr="00901104">
              <w:rPr>
                <w:i/>
                <w:sz w:val="20"/>
                <w:szCs w:val="20"/>
              </w:rPr>
              <w:t xml:space="preserve">disorders (NMOSD) in adult and adolescents in whom aquaporin-4 </w:t>
            </w:r>
            <w:proofErr w:type="spellStart"/>
            <w:r w:rsidRPr="00901104">
              <w:rPr>
                <w:i/>
                <w:sz w:val="20"/>
                <w:szCs w:val="20"/>
              </w:rPr>
              <w:t>lgG</w:t>
            </w:r>
            <w:proofErr w:type="spellEnd"/>
            <w:r w:rsidRPr="00901104">
              <w:rPr>
                <w:i/>
                <w:sz w:val="20"/>
                <w:szCs w:val="20"/>
              </w:rPr>
              <w:t xml:space="preserve"> antibodies are detected (that is who are AQP4 </w:t>
            </w:r>
            <w:proofErr w:type="spellStart"/>
            <w:r w:rsidRPr="00901104">
              <w:rPr>
                <w:i/>
                <w:sz w:val="20"/>
                <w:szCs w:val="20"/>
              </w:rPr>
              <w:t>lgG</w:t>
            </w:r>
            <w:proofErr w:type="spellEnd"/>
            <w:r w:rsidRPr="00901104">
              <w:rPr>
                <w:i/>
                <w:sz w:val="20"/>
                <w:szCs w:val="20"/>
              </w:rPr>
              <w:t xml:space="preserve"> seropositive).</w:t>
            </w:r>
          </w:p>
        </w:tc>
      </w:tr>
      <w:tr w:rsidR="007C07D4" w:rsidRPr="00541008" w14:paraId="464DAE43" w14:textId="77777777" w:rsidTr="00A64481">
        <w:tc>
          <w:tcPr>
            <w:tcW w:w="2068" w:type="dxa"/>
          </w:tcPr>
          <w:p w14:paraId="67CA6EF6" w14:textId="77777777" w:rsidR="007C07D4" w:rsidRPr="00901104" w:rsidRDefault="00B805DE" w:rsidP="00B805DE">
            <w:pPr>
              <w:ind w:left="0"/>
              <w:rPr>
                <w:sz w:val="20"/>
                <w:szCs w:val="20"/>
              </w:rPr>
            </w:pPr>
            <w:r w:rsidRPr="00901104">
              <w:rPr>
                <w:sz w:val="20"/>
                <w:szCs w:val="20"/>
              </w:rPr>
              <w:t>Canada</w:t>
            </w:r>
          </w:p>
        </w:tc>
        <w:tc>
          <w:tcPr>
            <w:tcW w:w="1755" w:type="dxa"/>
          </w:tcPr>
          <w:p w14:paraId="5C0FD3DE" w14:textId="77777777" w:rsidR="007C07D4" w:rsidRPr="00901104" w:rsidRDefault="00B805DE" w:rsidP="00B805DE">
            <w:pPr>
              <w:ind w:left="0"/>
              <w:rPr>
                <w:sz w:val="20"/>
                <w:szCs w:val="20"/>
              </w:rPr>
            </w:pPr>
            <w:r w:rsidRPr="00901104">
              <w:rPr>
                <w:sz w:val="20"/>
                <w:szCs w:val="20"/>
              </w:rPr>
              <w:t>15 November 2019</w:t>
            </w:r>
          </w:p>
        </w:tc>
        <w:tc>
          <w:tcPr>
            <w:tcW w:w="2126" w:type="dxa"/>
          </w:tcPr>
          <w:p w14:paraId="663FD931" w14:textId="00CD3054" w:rsidR="007C07D4" w:rsidRPr="00901104" w:rsidRDefault="00B805DE" w:rsidP="00B805DE">
            <w:pPr>
              <w:ind w:left="0"/>
              <w:rPr>
                <w:sz w:val="20"/>
                <w:szCs w:val="20"/>
              </w:rPr>
            </w:pPr>
            <w:r w:rsidRPr="00901104">
              <w:rPr>
                <w:sz w:val="20"/>
                <w:szCs w:val="20"/>
              </w:rPr>
              <w:t>Approved 1</w:t>
            </w:r>
            <w:r w:rsidR="00541008">
              <w:rPr>
                <w:sz w:val="20"/>
                <w:szCs w:val="20"/>
              </w:rPr>
              <w:t> </w:t>
            </w:r>
            <w:r w:rsidRPr="00901104">
              <w:rPr>
                <w:sz w:val="20"/>
                <w:szCs w:val="20"/>
              </w:rPr>
              <w:t>June</w:t>
            </w:r>
            <w:r w:rsidR="00541008">
              <w:rPr>
                <w:sz w:val="20"/>
                <w:szCs w:val="20"/>
              </w:rPr>
              <w:t> </w:t>
            </w:r>
            <w:r w:rsidRPr="00901104">
              <w:rPr>
                <w:sz w:val="20"/>
                <w:szCs w:val="20"/>
              </w:rPr>
              <w:t>2020</w:t>
            </w:r>
          </w:p>
        </w:tc>
        <w:tc>
          <w:tcPr>
            <w:tcW w:w="2545" w:type="dxa"/>
          </w:tcPr>
          <w:p w14:paraId="3A7C1C12" w14:textId="77777777" w:rsidR="007C07D4" w:rsidRPr="00901104" w:rsidRDefault="00B805DE" w:rsidP="00B805DE">
            <w:pPr>
              <w:ind w:left="0"/>
              <w:rPr>
                <w:i/>
                <w:sz w:val="20"/>
                <w:szCs w:val="20"/>
              </w:rPr>
            </w:pPr>
            <w:proofErr w:type="spellStart"/>
            <w:r w:rsidRPr="00901104">
              <w:rPr>
                <w:i/>
                <w:sz w:val="20"/>
                <w:szCs w:val="20"/>
              </w:rPr>
              <w:t>Enspryng</w:t>
            </w:r>
            <w:proofErr w:type="spellEnd"/>
            <w:r w:rsidRPr="00901104">
              <w:rPr>
                <w:i/>
                <w:sz w:val="20"/>
                <w:szCs w:val="20"/>
              </w:rPr>
              <w:t xml:space="preserve"> (</w:t>
            </w:r>
            <w:proofErr w:type="spellStart"/>
            <w:r w:rsidRPr="00901104">
              <w:rPr>
                <w:i/>
                <w:sz w:val="20"/>
                <w:szCs w:val="20"/>
              </w:rPr>
              <w:t>satralizumab</w:t>
            </w:r>
            <w:proofErr w:type="spellEnd"/>
            <w:r w:rsidRPr="00901104">
              <w:rPr>
                <w:i/>
                <w:sz w:val="20"/>
                <w:szCs w:val="20"/>
              </w:rPr>
              <w:t xml:space="preserve">) is indicated as monotherapy or in combination with immunosuppressive therapy (IST) for the treatment of neuromyelitis </w:t>
            </w:r>
            <w:proofErr w:type="spellStart"/>
            <w:r w:rsidRPr="00901104">
              <w:rPr>
                <w:i/>
                <w:sz w:val="20"/>
                <w:szCs w:val="20"/>
              </w:rPr>
              <w:t>optica</w:t>
            </w:r>
            <w:proofErr w:type="spellEnd"/>
            <w:r w:rsidRPr="00901104">
              <w:rPr>
                <w:i/>
                <w:sz w:val="20"/>
                <w:szCs w:val="20"/>
              </w:rPr>
              <w:t xml:space="preserve"> spectrum disorders (NMOSD) in adult and adolescent patients who are anti-aquaporin 4 (AQP4) seropositive. </w:t>
            </w:r>
            <w:proofErr w:type="spellStart"/>
            <w:r w:rsidRPr="00901104">
              <w:rPr>
                <w:i/>
                <w:sz w:val="20"/>
                <w:szCs w:val="20"/>
              </w:rPr>
              <w:t>Enspryng</w:t>
            </w:r>
            <w:proofErr w:type="spellEnd"/>
            <w:r w:rsidRPr="00901104">
              <w:rPr>
                <w:i/>
                <w:sz w:val="20"/>
                <w:szCs w:val="20"/>
              </w:rPr>
              <w:t xml:space="preserve"> is not intended for acute treatment of an NMOSD relapse.</w:t>
            </w:r>
          </w:p>
        </w:tc>
      </w:tr>
      <w:tr w:rsidR="007C07D4" w:rsidRPr="00541008" w14:paraId="4BB79A6F" w14:textId="77777777" w:rsidTr="00A64481">
        <w:tc>
          <w:tcPr>
            <w:tcW w:w="2068" w:type="dxa"/>
          </w:tcPr>
          <w:p w14:paraId="2D23245F" w14:textId="77777777" w:rsidR="007C07D4" w:rsidRPr="00901104" w:rsidRDefault="00B805DE" w:rsidP="00B805DE">
            <w:pPr>
              <w:ind w:left="0"/>
              <w:rPr>
                <w:sz w:val="20"/>
                <w:szCs w:val="20"/>
              </w:rPr>
            </w:pPr>
            <w:r w:rsidRPr="00901104">
              <w:rPr>
                <w:sz w:val="20"/>
                <w:szCs w:val="20"/>
              </w:rPr>
              <w:t>Singapore</w:t>
            </w:r>
          </w:p>
        </w:tc>
        <w:tc>
          <w:tcPr>
            <w:tcW w:w="1755" w:type="dxa"/>
          </w:tcPr>
          <w:p w14:paraId="383716CC" w14:textId="77777777" w:rsidR="007C07D4" w:rsidRPr="00901104" w:rsidRDefault="00B805DE" w:rsidP="00B805DE">
            <w:pPr>
              <w:ind w:left="0"/>
              <w:rPr>
                <w:sz w:val="20"/>
                <w:szCs w:val="20"/>
              </w:rPr>
            </w:pPr>
            <w:r w:rsidRPr="00901104">
              <w:rPr>
                <w:sz w:val="20"/>
                <w:szCs w:val="20"/>
              </w:rPr>
              <w:t>9 September 2020</w:t>
            </w:r>
          </w:p>
        </w:tc>
        <w:tc>
          <w:tcPr>
            <w:tcW w:w="2126" w:type="dxa"/>
          </w:tcPr>
          <w:p w14:paraId="3472521F" w14:textId="77777777" w:rsidR="007C07D4" w:rsidRPr="00901104" w:rsidRDefault="00B805DE" w:rsidP="00B805DE">
            <w:pPr>
              <w:ind w:left="0"/>
              <w:rPr>
                <w:sz w:val="20"/>
                <w:szCs w:val="20"/>
              </w:rPr>
            </w:pPr>
            <w:r w:rsidRPr="00901104">
              <w:rPr>
                <w:sz w:val="20"/>
                <w:szCs w:val="20"/>
              </w:rPr>
              <w:t>Under consideration</w:t>
            </w:r>
          </w:p>
        </w:tc>
        <w:tc>
          <w:tcPr>
            <w:tcW w:w="2545" w:type="dxa"/>
          </w:tcPr>
          <w:p w14:paraId="20C54A14" w14:textId="77777777" w:rsidR="007C07D4" w:rsidRPr="00901104" w:rsidRDefault="00B805DE" w:rsidP="00B805DE">
            <w:pPr>
              <w:ind w:left="0"/>
              <w:rPr>
                <w:sz w:val="20"/>
                <w:szCs w:val="20"/>
              </w:rPr>
            </w:pPr>
            <w:r w:rsidRPr="00901104">
              <w:rPr>
                <w:sz w:val="20"/>
                <w:szCs w:val="20"/>
              </w:rPr>
              <w:t>Under consideration</w:t>
            </w:r>
          </w:p>
        </w:tc>
      </w:tr>
      <w:tr w:rsidR="00B805DE" w:rsidRPr="00541008" w14:paraId="1D0C0DCC" w14:textId="77777777" w:rsidTr="00A64481">
        <w:tc>
          <w:tcPr>
            <w:tcW w:w="2068" w:type="dxa"/>
          </w:tcPr>
          <w:p w14:paraId="5DAC84DD" w14:textId="77777777" w:rsidR="007C07D4" w:rsidRPr="00901104" w:rsidRDefault="00B805DE" w:rsidP="00B805DE">
            <w:pPr>
              <w:ind w:left="0"/>
              <w:rPr>
                <w:sz w:val="20"/>
                <w:szCs w:val="20"/>
              </w:rPr>
            </w:pPr>
            <w:r w:rsidRPr="00901104">
              <w:rPr>
                <w:sz w:val="20"/>
                <w:szCs w:val="20"/>
              </w:rPr>
              <w:t>Japan</w:t>
            </w:r>
          </w:p>
        </w:tc>
        <w:tc>
          <w:tcPr>
            <w:tcW w:w="1755" w:type="dxa"/>
          </w:tcPr>
          <w:p w14:paraId="3E720BBF" w14:textId="77777777" w:rsidR="007C07D4" w:rsidRPr="00901104" w:rsidRDefault="00B805DE" w:rsidP="00B805DE">
            <w:pPr>
              <w:ind w:left="0"/>
              <w:rPr>
                <w:sz w:val="20"/>
                <w:szCs w:val="20"/>
              </w:rPr>
            </w:pPr>
            <w:r w:rsidRPr="00901104">
              <w:rPr>
                <w:sz w:val="20"/>
                <w:szCs w:val="20"/>
              </w:rPr>
              <w:t>8 November 2019</w:t>
            </w:r>
          </w:p>
        </w:tc>
        <w:tc>
          <w:tcPr>
            <w:tcW w:w="2126" w:type="dxa"/>
          </w:tcPr>
          <w:p w14:paraId="383962B9" w14:textId="5AC3B5B8" w:rsidR="007C07D4" w:rsidRPr="00901104" w:rsidRDefault="00B805DE" w:rsidP="00B805DE">
            <w:pPr>
              <w:ind w:left="0"/>
              <w:rPr>
                <w:sz w:val="20"/>
                <w:szCs w:val="20"/>
              </w:rPr>
            </w:pPr>
            <w:r w:rsidRPr="00901104">
              <w:rPr>
                <w:sz w:val="20"/>
                <w:szCs w:val="20"/>
              </w:rPr>
              <w:t>Approved 29</w:t>
            </w:r>
            <w:r w:rsidR="00541008">
              <w:rPr>
                <w:sz w:val="20"/>
                <w:szCs w:val="20"/>
              </w:rPr>
              <w:t> </w:t>
            </w:r>
            <w:r w:rsidRPr="00901104">
              <w:rPr>
                <w:sz w:val="20"/>
                <w:szCs w:val="20"/>
              </w:rPr>
              <w:t>June 2020</w:t>
            </w:r>
          </w:p>
        </w:tc>
        <w:tc>
          <w:tcPr>
            <w:tcW w:w="2545" w:type="dxa"/>
          </w:tcPr>
          <w:p w14:paraId="0C8D1FDD" w14:textId="77777777" w:rsidR="007C07D4" w:rsidRPr="00901104" w:rsidRDefault="00B805DE" w:rsidP="00B805DE">
            <w:pPr>
              <w:ind w:left="0"/>
              <w:rPr>
                <w:i/>
                <w:sz w:val="20"/>
                <w:szCs w:val="20"/>
              </w:rPr>
            </w:pPr>
            <w:proofErr w:type="spellStart"/>
            <w:r w:rsidRPr="00901104">
              <w:rPr>
                <w:i/>
                <w:sz w:val="20"/>
                <w:szCs w:val="20"/>
              </w:rPr>
              <w:t>Enspryng</w:t>
            </w:r>
            <w:proofErr w:type="spellEnd"/>
            <w:r w:rsidRPr="00901104">
              <w:rPr>
                <w:i/>
                <w:sz w:val="20"/>
                <w:szCs w:val="20"/>
              </w:rPr>
              <w:t xml:space="preserve"> is indicated in prevention of relapses of neuromyelitis </w:t>
            </w:r>
            <w:proofErr w:type="spellStart"/>
            <w:r w:rsidRPr="00901104">
              <w:rPr>
                <w:i/>
                <w:sz w:val="20"/>
                <w:szCs w:val="20"/>
              </w:rPr>
              <w:t>optica</w:t>
            </w:r>
            <w:proofErr w:type="spellEnd"/>
            <w:r w:rsidRPr="00901104">
              <w:rPr>
                <w:i/>
                <w:sz w:val="20"/>
                <w:szCs w:val="20"/>
              </w:rPr>
              <w:t xml:space="preserve"> spectrum disorders (NMOSD), including neuromyelitis </w:t>
            </w:r>
            <w:proofErr w:type="spellStart"/>
            <w:r w:rsidRPr="00901104">
              <w:rPr>
                <w:i/>
                <w:sz w:val="20"/>
                <w:szCs w:val="20"/>
              </w:rPr>
              <w:t>optica</w:t>
            </w:r>
            <w:proofErr w:type="spellEnd"/>
            <w:r w:rsidRPr="00901104">
              <w:rPr>
                <w:i/>
                <w:sz w:val="20"/>
                <w:szCs w:val="20"/>
              </w:rPr>
              <w:t xml:space="preserve"> (NMO) to patients who are positive for anti-AQP4 antibodies.</w:t>
            </w:r>
          </w:p>
        </w:tc>
      </w:tr>
    </w:tbl>
    <w:p w14:paraId="7279FA89" w14:textId="77777777" w:rsidR="008E7846" w:rsidRDefault="008E7846" w:rsidP="00940A89">
      <w:pPr>
        <w:pStyle w:val="Heading3"/>
      </w:pPr>
      <w:bookmarkStart w:id="22" w:name="_Toc77162692"/>
      <w:r>
        <w:lastRenderedPageBreak/>
        <w:t>Product Information</w:t>
      </w:r>
      <w:bookmarkEnd w:id="20"/>
      <w:bookmarkEnd w:id="21"/>
      <w:bookmarkEnd w:id="22"/>
    </w:p>
    <w:p w14:paraId="4C8D5926" w14:textId="112D6320"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23" w:history="1">
        <w:r w:rsidR="00441C3F" w:rsidRPr="00441C3F">
          <w:rPr>
            <w:rStyle w:val="Hyperlink"/>
          </w:rPr>
          <w:t>https://www.tga.gov.au/product-information-pi</w:t>
        </w:r>
      </w:hyperlink>
      <w:r w:rsidR="00441C3F">
        <w:t>&gt;</w:t>
      </w:r>
      <w:r w:rsidR="00940A89" w:rsidRPr="00940A89">
        <w:t>.</w:t>
      </w:r>
    </w:p>
    <w:p w14:paraId="65A1D88D" w14:textId="77777777" w:rsidR="00500337" w:rsidRDefault="00500337" w:rsidP="00500337">
      <w:pPr>
        <w:pStyle w:val="Heading2"/>
      </w:pPr>
      <w:bookmarkStart w:id="25" w:name="_Toc504480011"/>
      <w:bookmarkStart w:id="26" w:name="_Toc77162693"/>
      <w:r>
        <w:t>II. Registration timeline</w:t>
      </w:r>
      <w:bookmarkEnd w:id="25"/>
      <w:bookmarkEnd w:id="26"/>
    </w:p>
    <w:p w14:paraId="0CFD7995" w14:textId="77777777" w:rsidR="00500337" w:rsidRDefault="00500337" w:rsidP="00500337">
      <w:r>
        <w:t xml:space="preserve">The following table captures the key steps and dates for this </w:t>
      </w:r>
      <w:proofErr w:type="gramStart"/>
      <w:r>
        <w:t>application</w:t>
      </w:r>
      <w:proofErr w:type="gramEnd"/>
      <w:r>
        <w:t xml:space="preserve"> and which are detailed and discussed in this </w:t>
      </w:r>
      <w:proofErr w:type="spellStart"/>
      <w:r>
        <w:t>AusPAR</w:t>
      </w:r>
      <w:proofErr w:type="spellEnd"/>
      <w:r>
        <w:t>.</w:t>
      </w:r>
    </w:p>
    <w:p w14:paraId="732E133B" w14:textId="77777777" w:rsidR="00500337" w:rsidRPr="00377BD4" w:rsidRDefault="006A58A8" w:rsidP="00DF5459">
      <w:pPr>
        <w:pStyle w:val="TableTitle"/>
      </w:pPr>
      <w:r w:rsidRPr="006A58A8">
        <w:t xml:space="preserve">Table </w:t>
      </w:r>
      <w:r w:rsidR="00324E45">
        <w:t>2</w:t>
      </w:r>
      <w:r w:rsidR="00006FAB">
        <w:t>:</w:t>
      </w:r>
      <w:r w:rsidRPr="006A58A8">
        <w:t xml:space="preserve"> Timeline for Submission PM-20</w:t>
      </w:r>
      <w:r w:rsidR="00DF5459">
        <w:t>19-04752-1-1</w:t>
      </w:r>
    </w:p>
    <w:tbl>
      <w:tblPr>
        <w:tblStyle w:val="TableTGAblue"/>
        <w:tblW w:w="0" w:type="auto"/>
        <w:tblLook w:val="04A0" w:firstRow="1" w:lastRow="0" w:firstColumn="1" w:lastColumn="0" w:noHBand="0" w:noVBand="1"/>
      </w:tblPr>
      <w:tblGrid>
        <w:gridCol w:w="5524"/>
        <w:gridCol w:w="2970"/>
      </w:tblGrid>
      <w:tr w:rsidR="00500337" w14:paraId="5F33DFDD" w14:textId="77777777" w:rsidTr="00A64481">
        <w:trPr>
          <w:cnfStyle w:val="100000000000" w:firstRow="1" w:lastRow="0" w:firstColumn="0" w:lastColumn="0" w:oddVBand="0" w:evenVBand="0" w:oddHBand="0" w:evenHBand="0" w:firstRowFirstColumn="0" w:firstRowLastColumn="0" w:lastRowFirstColumn="0" w:lastRowLastColumn="0"/>
          <w:cantSplit/>
        </w:trPr>
        <w:tc>
          <w:tcPr>
            <w:tcW w:w="5524" w:type="dxa"/>
            <w:tcBorders>
              <w:top w:val="single" w:sz="4" w:space="0" w:color="auto"/>
              <w:left w:val="single" w:sz="4" w:space="0" w:color="auto"/>
              <w:bottom w:val="single" w:sz="4" w:space="0" w:color="auto"/>
              <w:right w:val="single" w:sz="4" w:space="0" w:color="auto"/>
            </w:tcBorders>
          </w:tcPr>
          <w:p w14:paraId="49A4B0EC" w14:textId="77777777" w:rsidR="00500337" w:rsidRDefault="00500337" w:rsidP="00500337">
            <w:pPr>
              <w:ind w:left="0" w:right="0"/>
            </w:pPr>
            <w:r>
              <w:t>Description</w:t>
            </w:r>
          </w:p>
        </w:tc>
        <w:tc>
          <w:tcPr>
            <w:tcW w:w="2970" w:type="dxa"/>
            <w:tcBorders>
              <w:top w:val="single" w:sz="4" w:space="0" w:color="auto"/>
              <w:left w:val="single" w:sz="4" w:space="0" w:color="auto"/>
              <w:bottom w:val="single" w:sz="4" w:space="0" w:color="auto"/>
              <w:right w:val="single" w:sz="4" w:space="0" w:color="auto"/>
            </w:tcBorders>
          </w:tcPr>
          <w:p w14:paraId="4E243C8E" w14:textId="77777777" w:rsidR="00500337" w:rsidRDefault="00500337" w:rsidP="00500337">
            <w:pPr>
              <w:ind w:left="0" w:right="0"/>
            </w:pPr>
            <w:r>
              <w:t>Date</w:t>
            </w:r>
          </w:p>
        </w:tc>
      </w:tr>
      <w:tr w:rsidR="00500337" w14:paraId="3B905207" w14:textId="77777777" w:rsidTr="00A64481">
        <w:tc>
          <w:tcPr>
            <w:tcW w:w="5524" w:type="dxa"/>
            <w:tcBorders>
              <w:top w:val="single" w:sz="4" w:space="0" w:color="auto"/>
            </w:tcBorders>
          </w:tcPr>
          <w:p w14:paraId="641FF7AD" w14:textId="77777777" w:rsidR="00500337" w:rsidRDefault="00500337" w:rsidP="00500337">
            <w:pPr>
              <w:ind w:left="0" w:right="0"/>
            </w:pPr>
            <w:r>
              <w:t>Submission dossier accepted and first round evaluation commenced</w:t>
            </w:r>
          </w:p>
        </w:tc>
        <w:tc>
          <w:tcPr>
            <w:tcW w:w="2970" w:type="dxa"/>
            <w:tcBorders>
              <w:top w:val="single" w:sz="4" w:space="0" w:color="auto"/>
            </w:tcBorders>
          </w:tcPr>
          <w:p w14:paraId="396D923F" w14:textId="77777777" w:rsidR="00500337" w:rsidRDefault="00DF5459" w:rsidP="00500337">
            <w:pPr>
              <w:ind w:left="0" w:right="0"/>
            </w:pPr>
            <w:r w:rsidRPr="00061D3B">
              <w:t>2 December 2019</w:t>
            </w:r>
          </w:p>
        </w:tc>
      </w:tr>
      <w:tr w:rsidR="00500337" w14:paraId="58C2EBEF" w14:textId="77777777" w:rsidTr="00A64481">
        <w:tc>
          <w:tcPr>
            <w:tcW w:w="5524" w:type="dxa"/>
          </w:tcPr>
          <w:p w14:paraId="2AA7B9E6" w14:textId="77777777" w:rsidR="00500337" w:rsidRDefault="00500337" w:rsidP="00500337">
            <w:pPr>
              <w:ind w:left="0" w:right="0"/>
            </w:pPr>
            <w:r>
              <w:t>First round evaluation completed</w:t>
            </w:r>
          </w:p>
        </w:tc>
        <w:tc>
          <w:tcPr>
            <w:tcW w:w="2970" w:type="dxa"/>
          </w:tcPr>
          <w:p w14:paraId="7F9380D8" w14:textId="77777777" w:rsidR="00500337" w:rsidRDefault="00DF5459" w:rsidP="00500337">
            <w:pPr>
              <w:ind w:left="0" w:right="0"/>
            </w:pPr>
            <w:r>
              <w:t>3 June 2020</w:t>
            </w:r>
          </w:p>
        </w:tc>
      </w:tr>
      <w:tr w:rsidR="00500337" w14:paraId="2F7968DA" w14:textId="77777777" w:rsidTr="00A64481">
        <w:tc>
          <w:tcPr>
            <w:tcW w:w="5524" w:type="dxa"/>
          </w:tcPr>
          <w:p w14:paraId="48E20744" w14:textId="77777777" w:rsidR="00500337" w:rsidRDefault="00500337" w:rsidP="00500337">
            <w:pPr>
              <w:ind w:left="0" w:right="0"/>
            </w:pPr>
            <w:r>
              <w:t>Sponsor provides responses on questions raised in first round evaluation</w:t>
            </w:r>
          </w:p>
        </w:tc>
        <w:tc>
          <w:tcPr>
            <w:tcW w:w="2970" w:type="dxa"/>
          </w:tcPr>
          <w:p w14:paraId="223D9492" w14:textId="77777777" w:rsidR="00500337" w:rsidRDefault="00DF5459" w:rsidP="00500337">
            <w:pPr>
              <w:ind w:left="0" w:right="0"/>
            </w:pPr>
            <w:r>
              <w:t>26 June 2020</w:t>
            </w:r>
          </w:p>
        </w:tc>
      </w:tr>
      <w:tr w:rsidR="00500337" w14:paraId="047B6263" w14:textId="77777777" w:rsidTr="00A64481">
        <w:tc>
          <w:tcPr>
            <w:tcW w:w="5524" w:type="dxa"/>
          </w:tcPr>
          <w:p w14:paraId="5FB8356E" w14:textId="77777777" w:rsidR="00500337" w:rsidRDefault="00500337" w:rsidP="00500337">
            <w:pPr>
              <w:ind w:left="0" w:right="0"/>
            </w:pPr>
            <w:r>
              <w:t>Second round evaluation completed</w:t>
            </w:r>
          </w:p>
        </w:tc>
        <w:tc>
          <w:tcPr>
            <w:tcW w:w="2970" w:type="dxa"/>
          </w:tcPr>
          <w:p w14:paraId="38E6ACAE" w14:textId="77777777" w:rsidR="00500337" w:rsidRDefault="00DF5459" w:rsidP="00500337">
            <w:pPr>
              <w:ind w:left="0" w:right="0"/>
            </w:pPr>
            <w:r w:rsidRPr="00061D3B">
              <w:t>24 July 2020</w:t>
            </w:r>
          </w:p>
        </w:tc>
      </w:tr>
      <w:tr w:rsidR="00500337" w14:paraId="62D78ECE" w14:textId="77777777" w:rsidTr="00A64481">
        <w:tc>
          <w:tcPr>
            <w:tcW w:w="5524" w:type="dxa"/>
          </w:tcPr>
          <w:p w14:paraId="0C7A14E8" w14:textId="77777777" w:rsidR="00500337" w:rsidRDefault="00324E45" w:rsidP="00DF5459">
            <w:pPr>
              <w:ind w:left="0" w:right="0"/>
            </w:pPr>
            <w:r>
              <w:t xml:space="preserve">Delegate’s Overall benefit-risk assessment </w:t>
            </w:r>
            <w:r w:rsidRPr="00DF5459">
              <w:rPr>
                <w:color w:val="auto"/>
              </w:rPr>
              <w:t>and request</w:t>
            </w:r>
            <w:r w:rsidR="00DF5459" w:rsidRPr="00DF5459">
              <w:rPr>
                <w:color w:val="auto"/>
              </w:rPr>
              <w:t xml:space="preserve"> for Advisory Committee advice</w:t>
            </w:r>
          </w:p>
        </w:tc>
        <w:tc>
          <w:tcPr>
            <w:tcW w:w="2970" w:type="dxa"/>
          </w:tcPr>
          <w:p w14:paraId="4280D0D0" w14:textId="77777777" w:rsidR="00500337" w:rsidRDefault="00DF5459" w:rsidP="00500337">
            <w:pPr>
              <w:ind w:left="0" w:right="0"/>
            </w:pPr>
            <w:r>
              <w:t>1 September 2020</w:t>
            </w:r>
          </w:p>
        </w:tc>
      </w:tr>
      <w:tr w:rsidR="00500337" w14:paraId="06C50CC6" w14:textId="77777777" w:rsidTr="00A64481">
        <w:tc>
          <w:tcPr>
            <w:tcW w:w="5524" w:type="dxa"/>
          </w:tcPr>
          <w:p w14:paraId="028E6D79" w14:textId="77777777" w:rsidR="00500337" w:rsidRDefault="00500337" w:rsidP="00500337">
            <w:pPr>
              <w:ind w:left="0" w:right="0"/>
            </w:pPr>
            <w:r>
              <w:t>Sponsor’s pre-Advisory Committee response</w:t>
            </w:r>
          </w:p>
        </w:tc>
        <w:tc>
          <w:tcPr>
            <w:tcW w:w="2970" w:type="dxa"/>
          </w:tcPr>
          <w:p w14:paraId="2D0A7F5E" w14:textId="77777777" w:rsidR="00500337" w:rsidRDefault="00DE12C3" w:rsidP="00500337">
            <w:pPr>
              <w:ind w:left="0" w:right="0"/>
            </w:pPr>
            <w:r>
              <w:t>14 September 2020</w:t>
            </w:r>
          </w:p>
        </w:tc>
      </w:tr>
      <w:tr w:rsidR="00500337" w14:paraId="1E163E26" w14:textId="77777777" w:rsidTr="00A64481">
        <w:tc>
          <w:tcPr>
            <w:tcW w:w="5524" w:type="dxa"/>
          </w:tcPr>
          <w:p w14:paraId="5087C751" w14:textId="77777777" w:rsidR="00500337" w:rsidRDefault="00500337" w:rsidP="00500337">
            <w:pPr>
              <w:ind w:left="0" w:right="0"/>
            </w:pPr>
            <w:r>
              <w:t>Advisory Committee meeting</w:t>
            </w:r>
          </w:p>
        </w:tc>
        <w:tc>
          <w:tcPr>
            <w:tcW w:w="2970" w:type="dxa"/>
          </w:tcPr>
          <w:p w14:paraId="03F661E5" w14:textId="77777777" w:rsidR="00500337" w:rsidRDefault="00DF5459" w:rsidP="00500337">
            <w:pPr>
              <w:ind w:left="0" w:right="0"/>
            </w:pPr>
            <w:r>
              <w:t>1 and 2 October 2020</w:t>
            </w:r>
          </w:p>
        </w:tc>
      </w:tr>
      <w:tr w:rsidR="00500337" w14:paraId="58D86269" w14:textId="77777777" w:rsidTr="00A64481">
        <w:tc>
          <w:tcPr>
            <w:tcW w:w="5524" w:type="dxa"/>
          </w:tcPr>
          <w:p w14:paraId="565AF4DF" w14:textId="77777777" w:rsidR="00500337" w:rsidRDefault="00500337" w:rsidP="00500337">
            <w:pPr>
              <w:ind w:left="0" w:right="0"/>
            </w:pPr>
            <w:r>
              <w:t>Registration decision (Outcome)</w:t>
            </w:r>
          </w:p>
        </w:tc>
        <w:tc>
          <w:tcPr>
            <w:tcW w:w="2970" w:type="dxa"/>
          </w:tcPr>
          <w:p w14:paraId="7A70EA45" w14:textId="77777777" w:rsidR="00500337" w:rsidRDefault="00DF5459" w:rsidP="00500337">
            <w:pPr>
              <w:ind w:left="0" w:right="0"/>
            </w:pPr>
            <w:r>
              <w:t>13 November 2020</w:t>
            </w:r>
          </w:p>
        </w:tc>
      </w:tr>
      <w:tr w:rsidR="00500337" w14:paraId="68A88493" w14:textId="77777777" w:rsidTr="00A64481">
        <w:tc>
          <w:tcPr>
            <w:tcW w:w="5524" w:type="dxa"/>
          </w:tcPr>
          <w:p w14:paraId="00442E0A" w14:textId="77777777" w:rsidR="00500337" w:rsidRDefault="00500337" w:rsidP="00500337">
            <w:pPr>
              <w:ind w:left="0" w:right="0"/>
            </w:pPr>
            <w:r>
              <w:t xml:space="preserve">Completion of administrative activities and registration on </w:t>
            </w:r>
            <w:r w:rsidR="00006FAB">
              <w:t xml:space="preserve">the </w:t>
            </w:r>
            <w:r>
              <w:t>ARTG</w:t>
            </w:r>
          </w:p>
        </w:tc>
        <w:tc>
          <w:tcPr>
            <w:tcW w:w="2970" w:type="dxa"/>
          </w:tcPr>
          <w:p w14:paraId="52A6EB95" w14:textId="77777777" w:rsidR="00500337" w:rsidRDefault="00DF5459" w:rsidP="00500337">
            <w:pPr>
              <w:ind w:left="0" w:right="0"/>
            </w:pPr>
            <w:r>
              <w:t>17 November 2020</w:t>
            </w:r>
          </w:p>
        </w:tc>
      </w:tr>
      <w:tr w:rsidR="00500337" w14:paraId="236E10BE" w14:textId="77777777" w:rsidTr="00A64481">
        <w:tc>
          <w:tcPr>
            <w:tcW w:w="5524" w:type="dxa"/>
          </w:tcPr>
          <w:p w14:paraId="23F2F4A3" w14:textId="77777777" w:rsidR="00500337" w:rsidRDefault="00500337" w:rsidP="00500337">
            <w:pPr>
              <w:ind w:left="0" w:right="0"/>
            </w:pPr>
            <w:r>
              <w:t>Number of working days from submission dossier acceptance to registration decision*</w:t>
            </w:r>
          </w:p>
        </w:tc>
        <w:tc>
          <w:tcPr>
            <w:tcW w:w="2970" w:type="dxa"/>
          </w:tcPr>
          <w:p w14:paraId="3A9FE702" w14:textId="77777777" w:rsidR="00500337" w:rsidRDefault="00DF5459" w:rsidP="00500337">
            <w:pPr>
              <w:ind w:left="0" w:right="0"/>
            </w:pPr>
            <w:r>
              <w:t>219</w:t>
            </w:r>
          </w:p>
        </w:tc>
      </w:tr>
    </w:tbl>
    <w:p w14:paraId="50851AC5"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1D60D7ED" w14:textId="77777777" w:rsidR="008E7846" w:rsidRPr="00792A32" w:rsidRDefault="00456765" w:rsidP="008E7846">
      <w:pPr>
        <w:pStyle w:val="Heading2"/>
      </w:pPr>
      <w:bookmarkStart w:id="27" w:name="_Toc196046504"/>
      <w:bookmarkStart w:id="28" w:name="_Toc247691527"/>
      <w:bookmarkStart w:id="29" w:name="_Toc314842510"/>
      <w:bookmarkStart w:id="30" w:name="_Toc77162694"/>
      <w:bookmarkStart w:id="31" w:name="_Toc163441390"/>
      <w:bookmarkEnd w:id="2"/>
      <w:bookmarkEnd w:id="23"/>
      <w:bookmarkEnd w:id="24"/>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0"/>
    </w:p>
    <w:p w14:paraId="27486934" w14:textId="77777777" w:rsidR="00006FAB" w:rsidRDefault="00006FAB" w:rsidP="00006FAB">
      <w:bookmarkStart w:id="32" w:name="_Toc247691528"/>
      <w:r>
        <w:t>The submission was summarised in the following Delegate’s overview and recommendations.</w:t>
      </w:r>
    </w:p>
    <w:p w14:paraId="1FF8BC05" w14:textId="77777777" w:rsidR="008E7846" w:rsidRDefault="008E7846" w:rsidP="008E7846">
      <w:pPr>
        <w:pStyle w:val="Heading3"/>
      </w:pPr>
      <w:bookmarkStart w:id="33" w:name="_Toc314842511"/>
      <w:bookmarkStart w:id="34" w:name="_Toc77162695"/>
      <w:r>
        <w:t>Quality</w:t>
      </w:r>
      <w:bookmarkEnd w:id="32"/>
      <w:bookmarkEnd w:id="33"/>
      <w:bookmarkEnd w:id="34"/>
    </w:p>
    <w:p w14:paraId="2451D446" w14:textId="36A87A68" w:rsidR="00006FAB" w:rsidRDefault="005E4E1F" w:rsidP="006969B3">
      <w:r w:rsidRPr="00313AC6">
        <w:t xml:space="preserve">There are no objections on quality grounds to the approval of </w:t>
      </w:r>
      <w:proofErr w:type="spellStart"/>
      <w:r w:rsidR="00400317">
        <w:t>satralizumab</w:t>
      </w:r>
      <w:proofErr w:type="spellEnd"/>
      <w:r w:rsidR="00400317">
        <w:t xml:space="preserve"> (</w:t>
      </w:r>
      <w:proofErr w:type="spellStart"/>
      <w:r w:rsidRPr="00561507">
        <w:t>E</w:t>
      </w:r>
      <w:r>
        <w:t>nspryng</w:t>
      </w:r>
      <w:proofErr w:type="spellEnd"/>
      <w:r w:rsidR="00400317">
        <w:t>)</w:t>
      </w:r>
      <w:r>
        <w:t>.</w:t>
      </w:r>
    </w:p>
    <w:p w14:paraId="338148EA" w14:textId="6490D9F0" w:rsidR="006969B3" w:rsidRPr="00F96A4D" w:rsidRDefault="006969B3" w:rsidP="00DB3A65">
      <w:pPr>
        <w:rPr>
          <w:lang w:val="en-GB"/>
        </w:rPr>
      </w:pPr>
      <w:proofErr w:type="spellStart"/>
      <w:r w:rsidRPr="006969B3">
        <w:t>Satralizumab</w:t>
      </w:r>
      <w:proofErr w:type="spellEnd"/>
      <w:r w:rsidRPr="006969B3">
        <w:t xml:space="preserve"> is a recombinant humanized monoclonal antibody base</w:t>
      </w:r>
      <w:r w:rsidR="00CF271D">
        <w:t>d on a human IgG2</w:t>
      </w:r>
      <w:r w:rsidRPr="006969B3">
        <w:t xml:space="preserve"> framework containing heavy chain V</w:t>
      </w:r>
      <w:r w:rsidRPr="006969B3">
        <w:rPr>
          <w:vertAlign w:val="subscript"/>
        </w:rPr>
        <w:t>H</w:t>
      </w:r>
      <w:r w:rsidRPr="006969B3">
        <w:t xml:space="preserve"> and light chain </w:t>
      </w:r>
      <w:proofErr w:type="spellStart"/>
      <w:r w:rsidRPr="006969B3">
        <w:t>V</w:t>
      </w:r>
      <w:r w:rsidRPr="006969B3">
        <w:rPr>
          <w:vertAlign w:val="subscript"/>
        </w:rPr>
        <w:t>κ</w:t>
      </w:r>
      <w:proofErr w:type="spellEnd"/>
      <w:r w:rsidRPr="006969B3">
        <w:rPr>
          <w:vertAlign w:val="subscript"/>
        </w:rPr>
        <w:t xml:space="preserve"> </w:t>
      </w:r>
      <w:r w:rsidRPr="006969B3">
        <w:t xml:space="preserve">subgroup sequences. </w:t>
      </w:r>
      <w:proofErr w:type="spellStart"/>
      <w:r w:rsidRPr="006969B3">
        <w:t>Satralizumab</w:t>
      </w:r>
      <w:proofErr w:type="spellEnd"/>
      <w:r w:rsidRPr="006969B3">
        <w:t xml:space="preserve"> was designed by humanization and further amino acid substitutions to </w:t>
      </w:r>
      <w:r w:rsidRPr="006969B3">
        <w:lastRenderedPageBreak/>
        <w:t>improve some functional properties such as pH-dependent binding to its antigen (IL-6R) and binding to neonatal Fc receptor (</w:t>
      </w:r>
      <w:proofErr w:type="spellStart"/>
      <w:r w:rsidRPr="006969B3">
        <w:t>FcRn</w:t>
      </w:r>
      <w:proofErr w:type="spellEnd"/>
      <w:r w:rsidRPr="006969B3">
        <w:t>). The recombinant humanized monoclonal antibody is produced in Chinese hamster ovary (CHO) cells and consists of two heavy chains (443 amino acid residues each), and two light chains (214 amino acid residues each). The mouse-derived</w:t>
      </w:r>
      <w:r>
        <w:t xml:space="preserve"> </w:t>
      </w:r>
      <w:r w:rsidRPr="00DE6962">
        <w:rPr>
          <w:lang w:val="en-GB"/>
        </w:rPr>
        <w:t xml:space="preserve">amino acid sequences that remained in </w:t>
      </w:r>
      <w:r>
        <w:rPr>
          <w:lang w:val="en-GB"/>
        </w:rPr>
        <w:t xml:space="preserve">the framework region have been </w:t>
      </w:r>
      <w:r w:rsidRPr="00DE6962">
        <w:rPr>
          <w:lang w:val="en-GB"/>
        </w:rPr>
        <w:t>replaced by huma</w:t>
      </w:r>
      <w:r>
        <w:rPr>
          <w:lang w:val="en-GB"/>
        </w:rPr>
        <w:t xml:space="preserve">n antibody amino acid sequences. The structure </w:t>
      </w:r>
      <w:r w:rsidR="00CA1E31">
        <w:rPr>
          <w:lang w:val="en-GB"/>
        </w:rPr>
        <w:t xml:space="preserve">and amino acid sequence </w:t>
      </w:r>
      <w:r>
        <w:rPr>
          <w:lang w:val="en-GB"/>
        </w:rPr>
        <w:t xml:space="preserve">of the </w:t>
      </w:r>
      <w:proofErr w:type="spellStart"/>
      <w:r w:rsidRPr="006969B3">
        <w:t>satralizumab</w:t>
      </w:r>
      <w:proofErr w:type="spellEnd"/>
      <w:r w:rsidR="0066259F">
        <w:rPr>
          <w:lang w:val="en-GB"/>
        </w:rPr>
        <w:t xml:space="preserve"> are</w:t>
      </w:r>
      <w:r>
        <w:rPr>
          <w:lang w:val="en-GB"/>
        </w:rPr>
        <w:t xml:space="preserve"> shown in</w:t>
      </w:r>
      <w:r w:rsidR="00113832">
        <w:rPr>
          <w:lang w:val="en-GB"/>
        </w:rPr>
        <w:t xml:space="preserve">, </w:t>
      </w:r>
      <w:r w:rsidR="0066259F">
        <w:rPr>
          <w:lang w:val="en-GB"/>
        </w:rPr>
        <w:fldChar w:fldCharType="begin"/>
      </w:r>
      <w:r w:rsidR="0066259F">
        <w:rPr>
          <w:lang w:val="en-GB"/>
        </w:rPr>
        <w:instrText xml:space="preserve"> REF _Ref72837490 \h </w:instrText>
      </w:r>
      <w:r w:rsidR="0066259F">
        <w:rPr>
          <w:lang w:val="en-GB"/>
        </w:rPr>
      </w:r>
      <w:r w:rsidR="0066259F">
        <w:rPr>
          <w:lang w:val="en-GB"/>
        </w:rPr>
        <w:fldChar w:fldCharType="separate"/>
      </w:r>
      <w:r w:rsidR="009340CF" w:rsidRPr="00CA1E31">
        <w:t xml:space="preserve">Figure </w:t>
      </w:r>
      <w:r w:rsidR="009340CF">
        <w:rPr>
          <w:noProof/>
        </w:rPr>
        <w:t>2</w:t>
      </w:r>
      <w:r w:rsidR="0066259F">
        <w:rPr>
          <w:lang w:val="en-GB"/>
        </w:rPr>
        <w:fldChar w:fldCharType="end"/>
      </w:r>
      <w:r w:rsidR="00400317">
        <w:rPr>
          <w:lang w:val="en-GB"/>
        </w:rPr>
        <w:t xml:space="preserve"> </w:t>
      </w:r>
      <w:r w:rsidR="0066259F">
        <w:rPr>
          <w:lang w:val="en-GB"/>
        </w:rPr>
        <w:t xml:space="preserve">and </w:t>
      </w:r>
      <w:r w:rsidR="0066259F">
        <w:rPr>
          <w:lang w:val="en-GB"/>
        </w:rPr>
        <w:fldChar w:fldCharType="begin"/>
      </w:r>
      <w:r w:rsidR="0066259F">
        <w:rPr>
          <w:lang w:val="en-GB"/>
        </w:rPr>
        <w:instrText xml:space="preserve"> REF _Ref72837492 \h </w:instrText>
      </w:r>
      <w:r w:rsidR="0066259F">
        <w:rPr>
          <w:lang w:val="en-GB"/>
        </w:rPr>
      </w:r>
      <w:r w:rsidR="0066259F">
        <w:rPr>
          <w:lang w:val="en-GB"/>
        </w:rPr>
        <w:fldChar w:fldCharType="separate"/>
      </w:r>
      <w:r w:rsidR="009340CF" w:rsidRPr="0066259F">
        <w:t xml:space="preserve">Figure </w:t>
      </w:r>
      <w:r w:rsidR="009340CF">
        <w:rPr>
          <w:noProof/>
        </w:rPr>
        <w:t>3</w:t>
      </w:r>
      <w:r w:rsidR="0066259F">
        <w:rPr>
          <w:lang w:val="en-GB"/>
        </w:rPr>
        <w:fldChar w:fldCharType="end"/>
      </w:r>
      <w:r w:rsidR="00CA1E31">
        <w:rPr>
          <w:lang w:val="en-GB"/>
        </w:rPr>
        <w:t xml:space="preserve"> respectively.</w:t>
      </w:r>
    </w:p>
    <w:p w14:paraId="339EC4A3" w14:textId="6AE762C3" w:rsidR="00CA1E31" w:rsidRDefault="00CA1E31" w:rsidP="00F96A4D">
      <w:pPr>
        <w:pStyle w:val="FigureTitle"/>
      </w:pPr>
      <w:bookmarkStart w:id="35" w:name="_Ref72837490"/>
      <w:r w:rsidRPr="00CA1E31">
        <w:t xml:space="preserve">Figure </w:t>
      </w:r>
      <w:fldSimple w:instr=" SEQ Figure \* ARABIC ">
        <w:r w:rsidR="009340CF">
          <w:rPr>
            <w:noProof/>
          </w:rPr>
          <w:t>2</w:t>
        </w:r>
      </w:fldSimple>
      <w:bookmarkEnd w:id="35"/>
      <w:r>
        <w:t xml:space="preserve">: Amino sequence for light chain of </w:t>
      </w:r>
      <w:proofErr w:type="spellStart"/>
      <w:r>
        <w:t>satralizumab</w:t>
      </w:r>
      <w:proofErr w:type="spellEnd"/>
    </w:p>
    <w:p w14:paraId="6A34942A" w14:textId="7D1D2426" w:rsidR="00DB3A65" w:rsidRDefault="00DB3A65" w:rsidP="00113832">
      <w:pPr>
        <w:pStyle w:val="TableDescription"/>
      </w:pPr>
      <w:r>
        <w:rPr>
          <w:b/>
          <w:noProof/>
          <w:color w:val="000000"/>
          <w:lang w:eastAsia="en-AU"/>
        </w:rPr>
        <w:drawing>
          <wp:inline distT="114300" distB="114300" distL="114300" distR="114300" wp14:anchorId="6200C328" wp14:editId="119B9AB7">
            <wp:extent cx="5394384" cy="657860"/>
            <wp:effectExtent l="0" t="0" r="0" b="8890"/>
            <wp:docPr id="457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24"/>
                    <a:srcRect t="20228"/>
                    <a:stretch/>
                  </pic:blipFill>
                  <pic:spPr bwMode="auto">
                    <a:xfrm>
                      <a:off x="0" y="0"/>
                      <a:ext cx="5399730" cy="658512"/>
                    </a:xfrm>
                    <a:prstGeom prst="rect">
                      <a:avLst/>
                    </a:prstGeom>
                    <a:ln>
                      <a:noFill/>
                    </a:ln>
                    <a:extLst>
                      <a:ext uri="{53640926-AAD7-44D8-BBD7-CCE9431645EC}">
                        <a14:shadowObscured xmlns:a14="http://schemas.microsoft.com/office/drawing/2010/main"/>
                      </a:ext>
                    </a:extLst>
                  </pic:spPr>
                </pic:pic>
              </a:graphicData>
            </a:graphic>
          </wp:inline>
        </w:drawing>
      </w:r>
    </w:p>
    <w:p w14:paraId="6CEA5E2B" w14:textId="77777777" w:rsidR="00113832" w:rsidRDefault="00113832" w:rsidP="00113832">
      <w:pPr>
        <w:pStyle w:val="TableDescription"/>
      </w:pPr>
      <w:r>
        <w:t>The calculated molecular mass of the light chain is 23,185 Da (cysteine residues are in the reduced form).</w:t>
      </w:r>
    </w:p>
    <w:p w14:paraId="42763927" w14:textId="189AA744" w:rsidR="0066259F" w:rsidRDefault="00113832" w:rsidP="00F96A4D">
      <w:pPr>
        <w:pStyle w:val="FigureTitle"/>
      </w:pPr>
      <w:bookmarkStart w:id="36" w:name="_Ref72837492"/>
      <w:r w:rsidRPr="0066259F">
        <w:t xml:space="preserve">Figure </w:t>
      </w:r>
      <w:fldSimple w:instr=" SEQ Figure \* ARABIC ">
        <w:r w:rsidR="009340CF">
          <w:rPr>
            <w:noProof/>
          </w:rPr>
          <w:t>3</w:t>
        </w:r>
      </w:fldSimple>
      <w:bookmarkEnd w:id="36"/>
      <w:r>
        <w:t xml:space="preserve">: Amino acid sequence for heavy chain of </w:t>
      </w:r>
      <w:proofErr w:type="spellStart"/>
      <w:r>
        <w:t>satrali</w:t>
      </w:r>
      <w:r w:rsidR="00F96A4D">
        <w:t>zumab</w:t>
      </w:r>
      <w:proofErr w:type="spellEnd"/>
    </w:p>
    <w:p w14:paraId="5ED180B4" w14:textId="4C983B3A" w:rsidR="00DB3A65" w:rsidRDefault="00DB3A65" w:rsidP="0066259F">
      <w:pPr>
        <w:pStyle w:val="TableDescription"/>
      </w:pPr>
      <w:r>
        <w:rPr>
          <w:b/>
          <w:noProof/>
          <w:color w:val="000000"/>
          <w:lang w:eastAsia="en-AU"/>
        </w:rPr>
        <w:drawing>
          <wp:inline distT="114300" distB="114300" distL="114300" distR="114300" wp14:anchorId="0725053A" wp14:editId="4B368045">
            <wp:extent cx="5399405" cy="1357654"/>
            <wp:effectExtent l="0" t="0" r="0" b="0"/>
            <wp:docPr id="457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25"/>
                    <a:srcRect t="10910"/>
                    <a:stretch/>
                  </pic:blipFill>
                  <pic:spPr bwMode="auto">
                    <a:xfrm>
                      <a:off x="0" y="0"/>
                      <a:ext cx="5399730" cy="1357736"/>
                    </a:xfrm>
                    <a:prstGeom prst="rect">
                      <a:avLst/>
                    </a:prstGeom>
                    <a:ln>
                      <a:noFill/>
                    </a:ln>
                    <a:extLst>
                      <a:ext uri="{53640926-AAD7-44D8-BBD7-CCE9431645EC}">
                        <a14:shadowObscured xmlns:a14="http://schemas.microsoft.com/office/drawing/2010/main"/>
                      </a:ext>
                    </a:extLst>
                  </pic:spPr>
                </pic:pic>
              </a:graphicData>
            </a:graphic>
          </wp:inline>
        </w:drawing>
      </w:r>
    </w:p>
    <w:p w14:paraId="4C7B5972" w14:textId="03AE1845" w:rsidR="0066259F" w:rsidRDefault="0066259F" w:rsidP="0066259F">
      <w:pPr>
        <w:pStyle w:val="TableDescription"/>
      </w:pPr>
      <w:r>
        <w:t>The calculated molecular mass of heavy chain with carbohydrate is 49,966 Da.</w:t>
      </w:r>
    </w:p>
    <w:p w14:paraId="33234C46" w14:textId="77777777" w:rsidR="0066259F" w:rsidRDefault="0066259F" w:rsidP="0066259F">
      <w:pPr>
        <w:pStyle w:val="TableDescription"/>
      </w:pPr>
      <w:r>
        <w:t>The glycosylation site at Asn295 is shown as N (position 297 according to generic Eu numbering system.</w:t>
      </w:r>
      <w:r>
        <w:rPr>
          <w:rStyle w:val="FootnoteReference"/>
        </w:rPr>
        <w:footnoteReference w:id="3"/>
      </w:r>
    </w:p>
    <w:p w14:paraId="4ED66336" w14:textId="77777777" w:rsidR="005E4E1F" w:rsidRDefault="005E4E1F" w:rsidP="006969B3">
      <w:pPr>
        <w:pStyle w:val="Heading4"/>
      </w:pPr>
      <w:r>
        <w:t>Propo</w:t>
      </w:r>
      <w:r w:rsidR="006969B3">
        <w:t>sed conditions of registration</w:t>
      </w:r>
    </w:p>
    <w:p w14:paraId="11A8DE92" w14:textId="0E4A7CD1" w:rsidR="005E4E1F" w:rsidRDefault="005E4E1F" w:rsidP="005E4E1F">
      <w:r>
        <w:t xml:space="preserve">Laboratory testing </w:t>
      </w:r>
      <w:r w:rsidR="00400317">
        <w:t>and</w:t>
      </w:r>
      <w:r>
        <w:t xml:space="preserve"> compliance with</w:t>
      </w:r>
      <w:r w:rsidR="000A069B">
        <w:t xml:space="preserve"> Certified Product Details</w:t>
      </w:r>
      <w:r w:rsidR="00400317">
        <w:t>:</w:t>
      </w:r>
    </w:p>
    <w:p w14:paraId="166F3340" w14:textId="77777777" w:rsidR="005E4E1F" w:rsidRPr="00F96A4D" w:rsidRDefault="005E4E1F" w:rsidP="005E4E1F">
      <w:pPr>
        <w:rPr>
          <w:i/>
        </w:rPr>
      </w:pPr>
      <w:r w:rsidRPr="00F96A4D">
        <w:rPr>
          <w:i/>
        </w:rPr>
        <w:t xml:space="preserve">All batches of </w:t>
      </w:r>
      <w:proofErr w:type="spellStart"/>
      <w:r w:rsidRPr="00F96A4D">
        <w:rPr>
          <w:i/>
        </w:rPr>
        <w:t>E</w:t>
      </w:r>
      <w:r w:rsidR="006969B3" w:rsidRPr="00F96A4D">
        <w:rPr>
          <w:i/>
        </w:rPr>
        <w:t>nspryng</w:t>
      </w:r>
      <w:proofErr w:type="spellEnd"/>
      <w:r w:rsidRPr="00F96A4D">
        <w:rPr>
          <w:i/>
        </w:rPr>
        <w:t xml:space="preserve"> supplied in Australia must comply with the product details and specifications approved during evaluation and detailed in the Certified Product Details (CPD).</w:t>
      </w:r>
    </w:p>
    <w:p w14:paraId="430DD82B" w14:textId="77777777" w:rsidR="005E4E1F" w:rsidRPr="00F96A4D" w:rsidRDefault="000A069B" w:rsidP="005E4E1F">
      <w:pPr>
        <w:rPr>
          <w:i/>
        </w:rPr>
      </w:pPr>
      <w:r w:rsidRPr="00F96A4D">
        <w:rPr>
          <w:i/>
        </w:rPr>
        <w:t>When requested by the TGA, the s</w:t>
      </w:r>
      <w:r w:rsidR="005E4E1F" w:rsidRPr="00F96A4D">
        <w:rPr>
          <w:i/>
        </w:rPr>
        <w:t>ponsor should be prepared to provide product samples, specified reference materials and documentary evidence to enable the TGA to con</w:t>
      </w:r>
      <w:r w:rsidRPr="00F96A4D">
        <w:rPr>
          <w:i/>
        </w:rPr>
        <w:t>duct laboratory testing on the p</w:t>
      </w:r>
      <w:r w:rsidR="005E4E1F" w:rsidRPr="00F96A4D">
        <w:rPr>
          <w:i/>
        </w:rPr>
        <w:t>roduct. Outcomes of laboratory testing are published biannually in the TGA Database of Laboratory Testing Results http://www.tga.gov.au/ws-labs-index and periodically in test</w:t>
      </w:r>
      <w:r w:rsidR="006969B3" w:rsidRPr="00F96A4D">
        <w:rPr>
          <w:i/>
        </w:rPr>
        <w:t>ing reports on the TGA website.</w:t>
      </w:r>
    </w:p>
    <w:p w14:paraId="052AD320" w14:textId="77777777" w:rsidR="005E4E1F" w:rsidRDefault="005E4E1F" w:rsidP="005E4E1F">
      <w:r>
        <w:t>Certified Product Details</w:t>
      </w:r>
    </w:p>
    <w:p w14:paraId="56F21C82" w14:textId="77777777" w:rsidR="005E4E1F" w:rsidRPr="00F96A4D" w:rsidRDefault="000A069B" w:rsidP="005E4E1F">
      <w:pPr>
        <w:rPr>
          <w:i/>
        </w:rPr>
      </w:pPr>
      <w:r w:rsidRPr="00F96A4D">
        <w:rPr>
          <w:i/>
        </w:rPr>
        <w:t>The CPD</w:t>
      </w:r>
      <w:r w:rsidR="005E4E1F" w:rsidRPr="00F96A4D">
        <w:rPr>
          <w:i/>
        </w:rPr>
        <w:t>,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w:t>
      </w:r>
      <w:r w:rsidR="006969B3" w:rsidRPr="00F96A4D">
        <w:rPr>
          <w:i/>
        </w:rPr>
        <w:t>sessable change.</w:t>
      </w:r>
    </w:p>
    <w:p w14:paraId="213C95AC" w14:textId="77777777" w:rsidR="008E7846" w:rsidRDefault="008E7846" w:rsidP="008E7846">
      <w:pPr>
        <w:pStyle w:val="Heading3"/>
      </w:pPr>
      <w:bookmarkStart w:id="37" w:name="_Toc314842512"/>
      <w:bookmarkStart w:id="38" w:name="_Toc77162696"/>
      <w:r>
        <w:lastRenderedPageBreak/>
        <w:t>Nonclinical</w:t>
      </w:r>
      <w:bookmarkEnd w:id="37"/>
      <w:bookmarkEnd w:id="38"/>
    </w:p>
    <w:p w14:paraId="2C46B749" w14:textId="59FA05C8" w:rsidR="00700236" w:rsidRDefault="00700236" w:rsidP="00700236">
      <w:r>
        <w:t>The overall quality of the nonclinical dossier was high. All pivotal safety-related studies were Good Lab</w:t>
      </w:r>
      <w:r w:rsidR="00400317">
        <w:t>oratory</w:t>
      </w:r>
      <w:r>
        <w:t xml:space="preserve"> Practice</w:t>
      </w:r>
      <w:r w:rsidR="00400317">
        <w:t xml:space="preserve"> guidance</w:t>
      </w:r>
      <w:r>
        <w:t xml:space="preserve"> compliant.</w:t>
      </w:r>
    </w:p>
    <w:p w14:paraId="2FF23028" w14:textId="5C89AE98" w:rsidR="00700236" w:rsidRDefault="00700236" w:rsidP="00700236">
      <w:r w:rsidRPr="00004F62">
        <w:rPr>
          <w:i/>
        </w:rPr>
        <w:t>In vitro</w:t>
      </w:r>
      <w:r w:rsidRPr="00004F62">
        <w:t xml:space="preserve">, </w:t>
      </w:r>
      <w:proofErr w:type="spellStart"/>
      <w:r w:rsidRPr="00004F62">
        <w:t>satralizumab</w:t>
      </w:r>
      <w:proofErr w:type="spellEnd"/>
      <w:r>
        <w:t xml:space="preserve"> bound to human and cynomolgu</w:t>
      </w:r>
      <w:r w:rsidR="00004F62">
        <w:t>s monkey (but not rat or mouse) IL</w:t>
      </w:r>
      <w:r w:rsidR="004D4455">
        <w:noBreakHyphen/>
      </w:r>
      <w:r w:rsidR="00004F62">
        <w:t>6R</w:t>
      </w:r>
      <w:r>
        <w:t xml:space="preserve"> with nanomolar affinity and inhibited both IL-6R classical (membrane-bound) signalling and trans-signalling (soluble IL-6R). </w:t>
      </w:r>
      <w:proofErr w:type="spellStart"/>
      <w:r>
        <w:t>Satralizumab</w:t>
      </w:r>
      <w:proofErr w:type="spellEnd"/>
      <w:r>
        <w:t xml:space="preserve"> also inhibited antibody production in human </w:t>
      </w:r>
      <w:proofErr w:type="spellStart"/>
      <w:r>
        <w:t>plasmablasts</w:t>
      </w:r>
      <w:proofErr w:type="spellEnd"/>
      <w:r>
        <w:t xml:space="preserve"> (potential mechanism contributing to NMOSD pathophysiology). </w:t>
      </w:r>
      <w:r w:rsidRPr="00700236">
        <w:rPr>
          <w:i/>
        </w:rPr>
        <w:t>In vivo</w:t>
      </w:r>
      <w:r>
        <w:t xml:space="preserve">, </w:t>
      </w:r>
      <w:proofErr w:type="spellStart"/>
      <w:r>
        <w:t>satralizumab</w:t>
      </w:r>
      <w:proofErr w:type="spellEnd"/>
      <w:r>
        <w:t xml:space="preserve"> inhibited IL-6-stimulated plasma C-reactive protein production and suppressed free sIL-6R levels. There was no direct </w:t>
      </w:r>
      <w:r w:rsidRPr="00700236">
        <w:rPr>
          <w:i/>
        </w:rPr>
        <w:t>in vivo</w:t>
      </w:r>
      <w:r>
        <w:t xml:space="preserve"> evidence in </w:t>
      </w:r>
      <w:r w:rsidR="004D4455">
        <w:t xml:space="preserve">the </w:t>
      </w:r>
      <w:r>
        <w:t>sponsor</w:t>
      </w:r>
      <w:r w:rsidR="004D4455">
        <w:t>’s</w:t>
      </w:r>
      <w:r>
        <w:t xml:space="preserve"> submitted dossier to support the proposed indication.</w:t>
      </w:r>
    </w:p>
    <w:p w14:paraId="792E30B1" w14:textId="77777777" w:rsidR="00700236" w:rsidRDefault="00700236" w:rsidP="00700236">
      <w:r>
        <w:t xml:space="preserve">No off-target sites were identified in a panel of human tissues. </w:t>
      </w:r>
      <w:proofErr w:type="spellStart"/>
      <w:r>
        <w:t>Satralizumab</w:t>
      </w:r>
      <w:proofErr w:type="spellEnd"/>
      <w:r>
        <w:t xml:space="preserve"> is not expected to induce complem</w:t>
      </w:r>
      <w:r w:rsidR="00004F62">
        <w:t>ent-dependent cytotoxicity</w:t>
      </w:r>
      <w:r>
        <w:t xml:space="preserve"> or antibody-dependent cellular cytoto</w:t>
      </w:r>
      <w:r w:rsidR="00004F62">
        <w:t>xicity</w:t>
      </w:r>
      <w:r>
        <w:t>.</w:t>
      </w:r>
    </w:p>
    <w:p w14:paraId="7C0EDF0C" w14:textId="77777777" w:rsidR="00700236" w:rsidRDefault="00700236" w:rsidP="00700236">
      <w:r>
        <w:t xml:space="preserve">Examination of safety pharmacology (incorporated into general repeat-dose toxicity studies) revealed no effects of </w:t>
      </w:r>
      <w:proofErr w:type="spellStart"/>
      <w:r>
        <w:t>satralizumab</w:t>
      </w:r>
      <w:proofErr w:type="spellEnd"/>
      <w:r>
        <w:t xml:space="preserve"> on CNS or respiratory function, or on </w:t>
      </w:r>
      <w:r w:rsidR="00004F62" w:rsidRPr="00004F62">
        <w:t>electrocardiogram</w:t>
      </w:r>
      <w:r>
        <w:t xml:space="preserve"> parameters in monkeys. Thus, no adverse effects on the cardiovascular, </w:t>
      </w:r>
      <w:proofErr w:type="gramStart"/>
      <w:r>
        <w:t>respiratory</w:t>
      </w:r>
      <w:proofErr w:type="gramEnd"/>
      <w:r>
        <w:t xml:space="preserve"> and central nervous systems are predicted during clinical use.</w:t>
      </w:r>
    </w:p>
    <w:p w14:paraId="618FCD2A" w14:textId="77777777" w:rsidR="00700236" w:rsidRDefault="00700236" w:rsidP="00700236">
      <w:r>
        <w:t xml:space="preserve">The pharmacokinetics (PK) of </w:t>
      </w:r>
      <w:proofErr w:type="spellStart"/>
      <w:r>
        <w:t>satralizumab</w:t>
      </w:r>
      <w:proofErr w:type="spellEnd"/>
      <w:r>
        <w:t xml:space="preserve"> in monkeys and human subjects was generally consistent with the protein nature of the drug: long half-lives and limited distribution.</w:t>
      </w:r>
    </w:p>
    <w:p w14:paraId="64BE9D32" w14:textId="77777777" w:rsidR="00700236" w:rsidRDefault="00700236" w:rsidP="00700236">
      <w:r>
        <w:t>Repeat-dose toxicity studies by the SC route were conducte</w:t>
      </w:r>
      <w:r w:rsidR="00004F62">
        <w:t>d in cynomolgus monkeys (up to six</w:t>
      </w:r>
      <w:r>
        <w:t xml:space="preserve"> months). The studies were adequately conducted, achieving high relative exposures. No target organs for toxicity were identified. Blood IL-6 levels were increased in treated animals.</w:t>
      </w:r>
    </w:p>
    <w:p w14:paraId="7FA1784D" w14:textId="158EFD1F" w:rsidR="00700236" w:rsidRDefault="00700236" w:rsidP="00700236">
      <w:r>
        <w:t xml:space="preserve">No genotoxicity studies were conducted. Given the protein nature of the drug this is considered acceptable. No carcinogenicity studies were conducted. No proliferative lesions were seen in the repeat-dose toxicity study. However, a risk of malignancy secondary to the immunomodulatory functions of </w:t>
      </w:r>
      <w:proofErr w:type="spellStart"/>
      <w:r>
        <w:t>satralizumab</w:t>
      </w:r>
      <w:proofErr w:type="spellEnd"/>
      <w:r>
        <w:t xml:space="preserve"> cannot be discounted. This risk is expected to be similar to other IL-6R </w:t>
      </w:r>
      <w:proofErr w:type="gramStart"/>
      <w:r>
        <w:t>antibod</w:t>
      </w:r>
      <w:r w:rsidR="004D4455">
        <w:t>y based</w:t>
      </w:r>
      <w:proofErr w:type="gramEnd"/>
      <w:r w:rsidR="004D4455">
        <w:t xml:space="preserve"> drugs</w:t>
      </w:r>
      <w:r>
        <w:t>.</w:t>
      </w:r>
    </w:p>
    <w:p w14:paraId="70912CD0" w14:textId="77777777" w:rsidR="00700236" w:rsidRDefault="00700236" w:rsidP="00700236">
      <w:r>
        <w:t xml:space="preserve">No adverse effects on surrogate male or female fertility endpoints were seen at high </w:t>
      </w:r>
      <w:proofErr w:type="spellStart"/>
      <w:r>
        <w:t>satralizumab</w:t>
      </w:r>
      <w:proofErr w:type="spellEnd"/>
      <w:r>
        <w:t xml:space="preserve"> exposures in the pivotal repeat-dose toxicity study. The concentration of </w:t>
      </w:r>
      <w:proofErr w:type="spellStart"/>
      <w:r>
        <w:t>satralizumab</w:t>
      </w:r>
      <w:proofErr w:type="spellEnd"/>
      <w:r>
        <w:t xml:space="preserve"> in milk was very low in lactating monkeys. </w:t>
      </w:r>
      <w:proofErr w:type="spellStart"/>
      <w:r>
        <w:t>Satralizumab</w:t>
      </w:r>
      <w:proofErr w:type="spellEnd"/>
      <w:r>
        <w:t xml:space="preserve"> crosses the blood-placenta barrier and given the long half-life, infants will be exposed for part of the first year of life. However, in an enhanced pre/postnatal study in monkeys, no adverse embryofetal or postnatal effects were evident. The only notable effects were a significant increase in circulating IL-6 levels and a slight impairment of the T-cell dependent antibody responses in infants following maternal exposure. These effects are a pharmacological consequence of blocked IL-6R. A reversible effect on immunocompetence may be seen in infants exposed to </w:t>
      </w:r>
      <w:proofErr w:type="spellStart"/>
      <w:r>
        <w:t>satralizumab</w:t>
      </w:r>
      <w:proofErr w:type="spellEnd"/>
      <w:r>
        <w:t xml:space="preserve"> during the last stages of pregnancy.</w:t>
      </w:r>
    </w:p>
    <w:p w14:paraId="0C7117BC" w14:textId="77777777" w:rsidR="00700236" w:rsidRDefault="00700236" w:rsidP="00700236">
      <w:r>
        <w:t xml:space="preserve">There were no notable injection site reactions in monkeys following SC administration of </w:t>
      </w:r>
      <w:proofErr w:type="spellStart"/>
      <w:r>
        <w:t>satralizumab</w:t>
      </w:r>
      <w:proofErr w:type="spellEnd"/>
      <w:r>
        <w:t>.</w:t>
      </w:r>
    </w:p>
    <w:p w14:paraId="69A837A0" w14:textId="77777777" w:rsidR="00700236" w:rsidRDefault="00700236" w:rsidP="00700236">
      <w:proofErr w:type="spellStart"/>
      <w:r>
        <w:t>Satralizumab</w:t>
      </w:r>
      <w:proofErr w:type="spellEnd"/>
      <w:r>
        <w:t xml:space="preserve"> was immunogenic in cynomolgus monkeys and some anti-drug antibodies (ADA)-positive animals showed neutralising activity, with a consequential reduction in </w:t>
      </w:r>
      <w:proofErr w:type="spellStart"/>
      <w:r>
        <w:t>satralizumab</w:t>
      </w:r>
      <w:proofErr w:type="spellEnd"/>
      <w:r>
        <w:t xml:space="preserve"> exposures. Therefore, ADAs in patients may result in reduced </w:t>
      </w:r>
      <w:proofErr w:type="spellStart"/>
      <w:r>
        <w:t>satralizumab</w:t>
      </w:r>
      <w:proofErr w:type="spellEnd"/>
      <w:r>
        <w:t xml:space="preserve"> exposures and possibly reduced efficacy.</w:t>
      </w:r>
    </w:p>
    <w:p w14:paraId="756AD508" w14:textId="77777777" w:rsidR="00700236" w:rsidRDefault="00700236" w:rsidP="00700236">
      <w:r>
        <w:t xml:space="preserve">There was no effect on lymphocyte populations or cytokine levels, excluding IL-6 levels, or organs of the immune system in repeat-dose toxicity studies. Some impairment of T-cell dependent antibody responses was seen in infant monkeys following maternal exposure to </w:t>
      </w:r>
      <w:proofErr w:type="spellStart"/>
      <w:r>
        <w:t>satralizumab</w:t>
      </w:r>
      <w:proofErr w:type="spellEnd"/>
      <w:r>
        <w:t xml:space="preserve"> during gestation. Based on its mechanism of action, an effect on immunocompetence may be seen in patients.</w:t>
      </w:r>
    </w:p>
    <w:p w14:paraId="1E7B80EE" w14:textId="77777777" w:rsidR="00700236" w:rsidRDefault="00700236" w:rsidP="00700236">
      <w:r>
        <w:lastRenderedPageBreak/>
        <w:t>There are no issues of concern with the excipients used in the proposed formulation as all of them are currently used in other registered injectable products.</w:t>
      </w:r>
    </w:p>
    <w:p w14:paraId="030DE908" w14:textId="638600DB" w:rsidR="00EB3F53" w:rsidRDefault="00EB3F53" w:rsidP="00700236">
      <w:r w:rsidRPr="00EB3F53">
        <w:t>The Pregnancy category should be revised from B1</w:t>
      </w:r>
      <w:r w:rsidR="004D4455">
        <w:t>;</w:t>
      </w:r>
      <w:r w:rsidR="004D4455">
        <w:rPr>
          <w:rStyle w:val="FootnoteReference"/>
        </w:rPr>
        <w:footnoteReference w:id="4"/>
      </w:r>
      <w:r w:rsidRPr="00EB3F53">
        <w:t xml:space="preserve"> to C.</w:t>
      </w:r>
      <w:r w:rsidR="004D4455">
        <w:rPr>
          <w:rStyle w:val="FootnoteReference"/>
        </w:rPr>
        <w:footnoteReference w:id="5"/>
      </w:r>
    </w:p>
    <w:p w14:paraId="47B17EB8" w14:textId="77777777" w:rsidR="002E044B" w:rsidRDefault="002E044B" w:rsidP="00700236">
      <w:r w:rsidRPr="006E3A0C">
        <w:t xml:space="preserve">There are no nonclinical objections to the registration of </w:t>
      </w:r>
      <w:proofErr w:type="spellStart"/>
      <w:r w:rsidRPr="006E3A0C">
        <w:t>satralizumab</w:t>
      </w:r>
      <w:proofErr w:type="spellEnd"/>
    </w:p>
    <w:p w14:paraId="7F573621" w14:textId="77777777" w:rsidR="008E7846" w:rsidRDefault="008E7846" w:rsidP="008E7846">
      <w:pPr>
        <w:pStyle w:val="Heading3"/>
      </w:pPr>
      <w:bookmarkStart w:id="39" w:name="_Toc247691530"/>
      <w:bookmarkStart w:id="40" w:name="_Toc314842513"/>
      <w:bookmarkStart w:id="41" w:name="_Toc77162697"/>
      <w:r>
        <w:t>Clinical</w:t>
      </w:r>
      <w:bookmarkEnd w:id="39"/>
      <w:bookmarkEnd w:id="40"/>
      <w:bookmarkEnd w:id="41"/>
    </w:p>
    <w:p w14:paraId="4FC4864D" w14:textId="77777777" w:rsidR="00EB3F53" w:rsidRDefault="00EB3F53" w:rsidP="00EB3F53">
      <w:bookmarkStart w:id="42" w:name="_Toc314842514"/>
      <w:r>
        <w:t>The clinical dossier contains:</w:t>
      </w:r>
    </w:p>
    <w:p w14:paraId="41610A9E" w14:textId="77777777" w:rsidR="00EB3F53" w:rsidRDefault="00EB3F53" w:rsidP="00EB3F53">
      <w:pPr>
        <w:pStyle w:val="ListBullet"/>
      </w:pPr>
      <w:r>
        <w:t>Two Phase I clinical pharmacology studies</w:t>
      </w:r>
      <w:r w:rsidR="007B5576">
        <w:t>, SA-001JP and SA-105JP</w:t>
      </w:r>
    </w:p>
    <w:p w14:paraId="42E136A6" w14:textId="77777777" w:rsidR="00EB3F53" w:rsidRDefault="00EB3F53" w:rsidP="00EB3F53">
      <w:pPr>
        <w:pStyle w:val="ListBullet"/>
      </w:pPr>
      <w:r>
        <w:t xml:space="preserve">Two population </w:t>
      </w:r>
      <w:r w:rsidR="00004F62">
        <w:t>pharmaco</w:t>
      </w:r>
      <w:r>
        <w:t>kinetics</w:t>
      </w:r>
      <w:r w:rsidR="0081641E">
        <w:t xml:space="preserve"> (</w:t>
      </w:r>
      <w:proofErr w:type="spellStart"/>
      <w:r w:rsidR="0081641E">
        <w:t>P</w:t>
      </w:r>
      <w:r w:rsidR="00637AEF">
        <w:t>op</w:t>
      </w:r>
      <w:r>
        <w:t>PK</w:t>
      </w:r>
      <w:proofErr w:type="spellEnd"/>
      <w:r>
        <w:t>) reports</w:t>
      </w:r>
    </w:p>
    <w:p w14:paraId="54FA63AF" w14:textId="77777777" w:rsidR="00EB3F53" w:rsidRDefault="00EB3F53" w:rsidP="00EB3F53">
      <w:pPr>
        <w:pStyle w:val="ListBullet"/>
      </w:pPr>
      <w:r>
        <w:t>Two pivotal efficacy/safety Phase III studies, BN40898 and BN40900</w:t>
      </w:r>
    </w:p>
    <w:p w14:paraId="24CF0133" w14:textId="77777777" w:rsidR="00EB3F53" w:rsidRDefault="00EB3F53" w:rsidP="00EB3F53">
      <w:pPr>
        <w:pStyle w:val="ListBullet"/>
      </w:pPr>
      <w:r>
        <w:t>One paediatric investigation report</w:t>
      </w:r>
    </w:p>
    <w:p w14:paraId="346DC616" w14:textId="77777777" w:rsidR="00EB3F53" w:rsidRDefault="00EB3F53" w:rsidP="00EB3F53">
      <w:pPr>
        <w:pStyle w:val="ListBullet"/>
      </w:pPr>
      <w:r>
        <w:t>One bias assessment report</w:t>
      </w:r>
    </w:p>
    <w:p w14:paraId="72551B8C" w14:textId="77777777" w:rsidR="00EB3F53" w:rsidRDefault="00EB3F53" w:rsidP="00EB3F53">
      <w:pPr>
        <w:pStyle w:val="ListBullet"/>
      </w:pPr>
      <w:r>
        <w:t>Eighty literature references</w:t>
      </w:r>
    </w:p>
    <w:p w14:paraId="460EB6BB" w14:textId="77777777" w:rsidR="00B542D2" w:rsidRDefault="00B542D2" w:rsidP="00625F5D">
      <w:pPr>
        <w:pStyle w:val="Heading4"/>
      </w:pPr>
      <w:r>
        <w:t>Pharmacology</w:t>
      </w:r>
    </w:p>
    <w:p w14:paraId="3D84FAED" w14:textId="77777777" w:rsidR="00625F5D" w:rsidRDefault="00625F5D" w:rsidP="00B542D2">
      <w:pPr>
        <w:pStyle w:val="Heading5"/>
      </w:pPr>
      <w:r>
        <w:t>Pharmacokinetics</w:t>
      </w:r>
    </w:p>
    <w:p w14:paraId="319B2B84" w14:textId="6CDC0838" w:rsidR="007B5576" w:rsidRDefault="007B5576" w:rsidP="007B5576">
      <w:pPr>
        <w:rPr>
          <w:lang w:eastAsia="ja-JP"/>
        </w:rPr>
      </w:pPr>
      <w:r>
        <w:rPr>
          <w:lang w:eastAsia="ja-JP"/>
        </w:rPr>
        <w:t xml:space="preserve">Other than two Japanese Phase </w:t>
      </w:r>
      <w:r w:rsidR="004D4455">
        <w:rPr>
          <w:lang w:eastAsia="ja-JP"/>
        </w:rPr>
        <w:t>I</w:t>
      </w:r>
      <w:r>
        <w:rPr>
          <w:lang w:eastAsia="ja-JP"/>
        </w:rPr>
        <w:t xml:space="preserve"> </w:t>
      </w:r>
      <w:r w:rsidR="004D4455">
        <w:rPr>
          <w:lang w:eastAsia="ja-JP"/>
        </w:rPr>
        <w:t>s</w:t>
      </w:r>
      <w:r>
        <w:rPr>
          <w:lang w:eastAsia="ja-JP"/>
        </w:rPr>
        <w:t>tudies (</w:t>
      </w:r>
      <w:r w:rsidR="004D4455">
        <w:rPr>
          <w:lang w:eastAsia="ja-JP"/>
        </w:rPr>
        <w:t xml:space="preserve">Studies </w:t>
      </w:r>
      <w:r>
        <w:rPr>
          <w:lang w:eastAsia="ja-JP"/>
        </w:rPr>
        <w:t>SA-001JP and SA-105JP), which had been translated into English, much of the PK data in adults, and all the PK data in adolescents (</w:t>
      </w:r>
      <w:r w:rsidRPr="0081641E">
        <w:rPr>
          <w:lang w:eastAsia="ja-JP"/>
        </w:rPr>
        <w:t>aged 12 to 17</w:t>
      </w:r>
      <w:r w:rsidR="0081641E" w:rsidRPr="0081641E">
        <w:rPr>
          <w:lang w:eastAsia="ja-JP"/>
        </w:rPr>
        <w:t xml:space="preserve"> years old</w:t>
      </w:r>
      <w:r w:rsidRPr="0081641E">
        <w:rPr>
          <w:lang w:eastAsia="ja-JP"/>
        </w:rPr>
        <w:t>, inclusive</w:t>
      </w:r>
      <w:r>
        <w:rPr>
          <w:lang w:eastAsia="ja-JP"/>
        </w:rPr>
        <w:t xml:space="preserve">), were derived </w:t>
      </w:r>
      <w:r w:rsidRPr="00515277">
        <w:rPr>
          <w:lang w:eastAsia="ja-JP"/>
        </w:rPr>
        <w:t xml:space="preserve">from </w:t>
      </w:r>
      <w:r w:rsidR="004D4455">
        <w:rPr>
          <w:lang w:eastAsia="ja-JP"/>
        </w:rPr>
        <w:t>population pharmacokinetic (</w:t>
      </w:r>
      <w:proofErr w:type="spellStart"/>
      <w:r w:rsidRPr="00515277">
        <w:rPr>
          <w:lang w:eastAsia="ja-JP"/>
        </w:rPr>
        <w:t>PopPK</w:t>
      </w:r>
      <w:proofErr w:type="spellEnd"/>
      <w:r w:rsidR="004D4455">
        <w:rPr>
          <w:lang w:eastAsia="ja-JP"/>
        </w:rPr>
        <w:t>)</w:t>
      </w:r>
      <w:r w:rsidRPr="00515277">
        <w:rPr>
          <w:lang w:eastAsia="ja-JP"/>
        </w:rPr>
        <w:t xml:space="preserve"> analyses</w:t>
      </w:r>
      <w:r>
        <w:rPr>
          <w:lang w:eastAsia="ja-JP"/>
        </w:rPr>
        <w:t xml:space="preserve"> that used sparse PK data from two P</w:t>
      </w:r>
      <w:r w:rsidRPr="00515277">
        <w:rPr>
          <w:lang w:eastAsia="ja-JP"/>
        </w:rPr>
        <w:t>hase III clinical trials (</w:t>
      </w:r>
      <w:r w:rsidR="004D4455">
        <w:rPr>
          <w:lang w:eastAsia="ja-JP"/>
        </w:rPr>
        <w:t xml:space="preserve">Studies </w:t>
      </w:r>
      <w:r w:rsidRPr="00515277">
        <w:rPr>
          <w:lang w:eastAsia="ja-JP"/>
        </w:rPr>
        <w:t>BN40898 and BN40900).</w:t>
      </w:r>
    </w:p>
    <w:p w14:paraId="28E1437E" w14:textId="342E0ADD" w:rsidR="007B5576" w:rsidRPr="00515277" w:rsidRDefault="007B5576" w:rsidP="007B5576">
      <w:pPr>
        <w:pStyle w:val="TableTitle"/>
        <w:rPr>
          <w:lang w:eastAsia="ja-JP"/>
        </w:rPr>
      </w:pPr>
      <w:r w:rsidRPr="007B5576">
        <w:lastRenderedPageBreak/>
        <w:t xml:space="preserve">Table </w:t>
      </w:r>
      <w:fldSimple w:instr=" SEQ Table \* ARABIC ">
        <w:r w:rsidR="009340CF">
          <w:rPr>
            <w:noProof/>
          </w:rPr>
          <w:t>2</w:t>
        </w:r>
      </w:fldSimple>
      <w:r>
        <w:t>: Submitted pharmacokinetic studies</w:t>
      </w:r>
    </w:p>
    <w:tbl>
      <w:tblPr>
        <w:tblStyle w:val="TableTGAblue"/>
        <w:tblW w:w="5000" w:type="pct"/>
        <w:tblLook w:val="04A0" w:firstRow="1" w:lastRow="0" w:firstColumn="1" w:lastColumn="0" w:noHBand="0" w:noVBand="1"/>
      </w:tblPr>
      <w:tblGrid>
        <w:gridCol w:w="2281"/>
        <w:gridCol w:w="3646"/>
        <w:gridCol w:w="1795"/>
        <w:gridCol w:w="762"/>
      </w:tblGrid>
      <w:tr w:rsidR="00D01A36" w:rsidRPr="00C37A1D" w14:paraId="64D56DA5" w14:textId="77777777" w:rsidTr="00453D9B">
        <w:trPr>
          <w:cnfStyle w:val="100000000000" w:firstRow="1" w:lastRow="0" w:firstColumn="0" w:lastColumn="0" w:oddVBand="0" w:evenVBand="0" w:oddHBand="0" w:evenHBand="0" w:firstRowFirstColumn="0" w:firstRowLastColumn="0" w:lastRowFirstColumn="0" w:lastRowLastColumn="0"/>
        </w:trPr>
        <w:tc>
          <w:tcPr>
            <w:tcW w:w="1344" w:type="pct"/>
          </w:tcPr>
          <w:p w14:paraId="64E6F8C3" w14:textId="77777777" w:rsidR="00D01A36" w:rsidRPr="00C37A1D" w:rsidRDefault="00D01A36" w:rsidP="00713B15">
            <w:pPr>
              <w:pStyle w:val="Tabletext"/>
              <w:rPr>
                <w:b w:val="0"/>
              </w:rPr>
            </w:pPr>
            <w:r w:rsidRPr="00C37A1D">
              <w:t>PK topic</w:t>
            </w:r>
          </w:p>
        </w:tc>
        <w:tc>
          <w:tcPr>
            <w:tcW w:w="2148" w:type="pct"/>
          </w:tcPr>
          <w:p w14:paraId="0BE22F54" w14:textId="77777777" w:rsidR="00D01A36" w:rsidRPr="00C37A1D" w:rsidRDefault="00D01A36" w:rsidP="00713B15">
            <w:pPr>
              <w:pStyle w:val="Tabletext"/>
              <w:rPr>
                <w:b w:val="0"/>
              </w:rPr>
            </w:pPr>
            <w:r w:rsidRPr="00C37A1D">
              <w:t>Subtopic</w:t>
            </w:r>
          </w:p>
        </w:tc>
        <w:tc>
          <w:tcPr>
            <w:tcW w:w="1058" w:type="pct"/>
          </w:tcPr>
          <w:p w14:paraId="7F3E5EDC" w14:textId="77777777" w:rsidR="00D01A36" w:rsidRPr="00C37A1D" w:rsidRDefault="00D01A36" w:rsidP="00713B15">
            <w:pPr>
              <w:pStyle w:val="Tabletext"/>
              <w:rPr>
                <w:b w:val="0"/>
              </w:rPr>
            </w:pPr>
            <w:r w:rsidRPr="00C37A1D">
              <w:t>Study ID</w:t>
            </w:r>
          </w:p>
        </w:tc>
        <w:tc>
          <w:tcPr>
            <w:tcW w:w="449" w:type="pct"/>
          </w:tcPr>
          <w:p w14:paraId="16CA2AB7" w14:textId="77777777" w:rsidR="00D01A36" w:rsidRPr="00C37A1D" w:rsidRDefault="00D01A36" w:rsidP="00713B15">
            <w:pPr>
              <w:pStyle w:val="Tabletext"/>
              <w:jc w:val="center"/>
              <w:rPr>
                <w:b w:val="0"/>
              </w:rPr>
            </w:pPr>
            <w:r w:rsidRPr="00C37A1D">
              <w:t>*</w:t>
            </w:r>
          </w:p>
        </w:tc>
      </w:tr>
      <w:tr w:rsidR="00D01A36" w:rsidRPr="00C37A1D" w14:paraId="087B1179" w14:textId="77777777" w:rsidTr="00453D9B">
        <w:tc>
          <w:tcPr>
            <w:tcW w:w="1344" w:type="pct"/>
            <w:vMerge w:val="restart"/>
          </w:tcPr>
          <w:p w14:paraId="6ADC3180" w14:textId="77777777" w:rsidR="00D01A36" w:rsidRPr="00D01A36" w:rsidRDefault="00D01A36" w:rsidP="00713B15">
            <w:pPr>
              <w:pStyle w:val="Tabletext"/>
              <w:keepNext/>
            </w:pPr>
            <w:r w:rsidRPr="00D01A36">
              <w:t>PK in healthy adults</w:t>
            </w:r>
          </w:p>
        </w:tc>
        <w:tc>
          <w:tcPr>
            <w:tcW w:w="2148" w:type="pct"/>
          </w:tcPr>
          <w:p w14:paraId="1C63DE2F" w14:textId="77777777" w:rsidR="00D01A36" w:rsidRDefault="00D01A36" w:rsidP="00713B15">
            <w:pPr>
              <w:pStyle w:val="Tabletext"/>
              <w:keepNext/>
            </w:pPr>
            <w:r>
              <w:t>General PK</w:t>
            </w:r>
          </w:p>
          <w:p w14:paraId="3E4F6D18" w14:textId="77777777" w:rsidR="00D01A36" w:rsidRPr="00C37A1D" w:rsidRDefault="00D01A36" w:rsidP="00713B15">
            <w:pPr>
              <w:pStyle w:val="Tabletext"/>
              <w:keepNext/>
            </w:pPr>
            <w:r w:rsidRPr="00C37A1D">
              <w:t xml:space="preserve">Single </w:t>
            </w:r>
            <w:r>
              <w:t xml:space="preserve">ascending </w:t>
            </w:r>
            <w:r w:rsidRPr="00C37A1D">
              <w:t>dose</w:t>
            </w:r>
          </w:p>
        </w:tc>
        <w:tc>
          <w:tcPr>
            <w:tcW w:w="1058" w:type="pct"/>
          </w:tcPr>
          <w:p w14:paraId="0818F828" w14:textId="77777777" w:rsidR="00D01A36" w:rsidRPr="00C37A1D" w:rsidRDefault="00D01A36" w:rsidP="00713B15">
            <w:pPr>
              <w:pStyle w:val="Tabletext"/>
              <w:keepNext/>
            </w:pPr>
            <w:r>
              <w:t>SA-001JP</w:t>
            </w:r>
          </w:p>
        </w:tc>
        <w:tc>
          <w:tcPr>
            <w:tcW w:w="449" w:type="pct"/>
          </w:tcPr>
          <w:p w14:paraId="40F4C01E" w14:textId="77777777" w:rsidR="00D01A36" w:rsidRPr="00C37A1D" w:rsidRDefault="00D01A36" w:rsidP="00713B15">
            <w:pPr>
              <w:pStyle w:val="Tabletext"/>
              <w:keepNext/>
              <w:jc w:val="center"/>
            </w:pPr>
            <w:r>
              <w:t>*</w:t>
            </w:r>
          </w:p>
        </w:tc>
      </w:tr>
      <w:tr w:rsidR="00D01A36" w:rsidRPr="00C37A1D" w14:paraId="7C334E0D" w14:textId="77777777" w:rsidTr="00453D9B">
        <w:tc>
          <w:tcPr>
            <w:tcW w:w="1344" w:type="pct"/>
            <w:vMerge/>
          </w:tcPr>
          <w:p w14:paraId="745A08E0" w14:textId="77777777" w:rsidR="00D01A36" w:rsidRPr="00D01A36" w:rsidRDefault="00D01A36" w:rsidP="00713B15">
            <w:pPr>
              <w:pStyle w:val="Tabletext"/>
              <w:keepNext/>
            </w:pPr>
          </w:p>
        </w:tc>
        <w:tc>
          <w:tcPr>
            <w:tcW w:w="2148" w:type="pct"/>
          </w:tcPr>
          <w:p w14:paraId="3D1362E0" w14:textId="77777777" w:rsidR="00D01A36" w:rsidRPr="00C37A1D" w:rsidRDefault="00D01A36" w:rsidP="00713B15">
            <w:pPr>
              <w:pStyle w:val="Tabletext"/>
              <w:keepNext/>
              <w:tabs>
                <w:tab w:val="left" w:pos="1447"/>
              </w:tabs>
            </w:pPr>
            <w:r w:rsidRPr="00C37A1D">
              <w:t>Multi-dose</w:t>
            </w:r>
          </w:p>
        </w:tc>
        <w:tc>
          <w:tcPr>
            <w:tcW w:w="1058" w:type="pct"/>
          </w:tcPr>
          <w:p w14:paraId="2BC4FBA0" w14:textId="77777777" w:rsidR="00D01A36" w:rsidRPr="00C37A1D" w:rsidRDefault="00D01A36" w:rsidP="00713B15">
            <w:pPr>
              <w:pStyle w:val="Tabletext"/>
              <w:keepNext/>
            </w:pPr>
            <w:r>
              <w:t>No studies</w:t>
            </w:r>
          </w:p>
        </w:tc>
        <w:tc>
          <w:tcPr>
            <w:tcW w:w="449" w:type="pct"/>
          </w:tcPr>
          <w:p w14:paraId="3EF5F135" w14:textId="77777777" w:rsidR="00D01A36" w:rsidRPr="00C37A1D" w:rsidRDefault="00D01A36" w:rsidP="00713B15">
            <w:pPr>
              <w:pStyle w:val="Tabletext"/>
              <w:keepNext/>
              <w:jc w:val="center"/>
            </w:pPr>
          </w:p>
        </w:tc>
      </w:tr>
      <w:tr w:rsidR="00D01A36" w:rsidRPr="00C37A1D" w14:paraId="205F1DC3" w14:textId="77777777" w:rsidTr="00453D9B">
        <w:tc>
          <w:tcPr>
            <w:tcW w:w="1344" w:type="pct"/>
            <w:vMerge w:val="restart"/>
          </w:tcPr>
          <w:p w14:paraId="574633B8" w14:textId="77777777" w:rsidR="00D01A36" w:rsidRPr="00D01A36" w:rsidRDefault="00D01A36" w:rsidP="00713B15">
            <w:pPr>
              <w:pStyle w:val="Tabletext"/>
              <w:keepNext/>
            </w:pPr>
            <w:r w:rsidRPr="00D01A36">
              <w:t>PK in special populations</w:t>
            </w:r>
          </w:p>
        </w:tc>
        <w:tc>
          <w:tcPr>
            <w:tcW w:w="2148" w:type="pct"/>
          </w:tcPr>
          <w:p w14:paraId="3B3B025F" w14:textId="77777777" w:rsidR="00D01A36" w:rsidRPr="00C37A1D" w:rsidRDefault="00D01A36" w:rsidP="00713B15">
            <w:pPr>
              <w:pStyle w:val="Tabletext"/>
              <w:keepNext/>
              <w:tabs>
                <w:tab w:val="left" w:pos="1877"/>
              </w:tabs>
            </w:pPr>
            <w:r>
              <w:t>Target population</w:t>
            </w:r>
          </w:p>
        </w:tc>
        <w:tc>
          <w:tcPr>
            <w:tcW w:w="1058" w:type="pct"/>
          </w:tcPr>
          <w:p w14:paraId="61D6B8E5" w14:textId="77777777" w:rsidR="00D01A36" w:rsidRPr="00C37A1D" w:rsidRDefault="00D01A36" w:rsidP="00713B15">
            <w:pPr>
              <w:pStyle w:val="Tabletext"/>
              <w:keepNext/>
            </w:pPr>
            <w:proofErr w:type="spellStart"/>
            <w:r>
              <w:t>PopPK</w:t>
            </w:r>
            <w:proofErr w:type="spellEnd"/>
          </w:p>
        </w:tc>
        <w:tc>
          <w:tcPr>
            <w:tcW w:w="449" w:type="pct"/>
          </w:tcPr>
          <w:p w14:paraId="058026DA" w14:textId="77777777" w:rsidR="00D01A36" w:rsidRPr="00C37A1D" w:rsidRDefault="00D01A36" w:rsidP="00713B15">
            <w:pPr>
              <w:pStyle w:val="Tabletext"/>
              <w:keepNext/>
              <w:jc w:val="center"/>
            </w:pPr>
          </w:p>
        </w:tc>
      </w:tr>
      <w:tr w:rsidR="00D01A36" w:rsidRPr="00C37A1D" w14:paraId="58405182" w14:textId="77777777" w:rsidTr="00453D9B">
        <w:tc>
          <w:tcPr>
            <w:tcW w:w="1344" w:type="pct"/>
            <w:vMerge/>
          </w:tcPr>
          <w:p w14:paraId="7C058DE4" w14:textId="77777777" w:rsidR="00D01A36" w:rsidRPr="00D01A36" w:rsidRDefault="00D01A36" w:rsidP="00713B15">
            <w:pPr>
              <w:pStyle w:val="Tabletext"/>
              <w:keepNext/>
            </w:pPr>
          </w:p>
        </w:tc>
        <w:tc>
          <w:tcPr>
            <w:tcW w:w="2148" w:type="pct"/>
          </w:tcPr>
          <w:p w14:paraId="7C214BAD" w14:textId="77777777" w:rsidR="00D01A36" w:rsidRPr="00C37A1D" w:rsidRDefault="00D01A36" w:rsidP="00713B15">
            <w:pPr>
              <w:pStyle w:val="Tabletext"/>
              <w:keepNext/>
            </w:pPr>
            <w:r w:rsidRPr="00C37A1D">
              <w:t>Hepatic impairment</w:t>
            </w:r>
          </w:p>
        </w:tc>
        <w:tc>
          <w:tcPr>
            <w:tcW w:w="1058" w:type="pct"/>
          </w:tcPr>
          <w:p w14:paraId="246122C3" w14:textId="77777777" w:rsidR="00D01A36" w:rsidRPr="00C37A1D" w:rsidRDefault="00D01A36" w:rsidP="00713B15">
            <w:pPr>
              <w:pStyle w:val="Tabletext"/>
              <w:keepNext/>
            </w:pPr>
            <w:r>
              <w:t>No studies</w:t>
            </w:r>
          </w:p>
        </w:tc>
        <w:tc>
          <w:tcPr>
            <w:tcW w:w="449" w:type="pct"/>
          </w:tcPr>
          <w:p w14:paraId="3D7F5082" w14:textId="77777777" w:rsidR="00D01A36" w:rsidRPr="00C37A1D" w:rsidRDefault="00D01A36" w:rsidP="00713B15">
            <w:pPr>
              <w:pStyle w:val="Tabletext"/>
              <w:keepNext/>
              <w:jc w:val="center"/>
            </w:pPr>
          </w:p>
        </w:tc>
      </w:tr>
      <w:tr w:rsidR="00D01A36" w:rsidRPr="00C37A1D" w14:paraId="0D80AB09" w14:textId="77777777" w:rsidTr="00453D9B">
        <w:tc>
          <w:tcPr>
            <w:tcW w:w="1344" w:type="pct"/>
            <w:vMerge/>
          </w:tcPr>
          <w:p w14:paraId="3683D09A" w14:textId="77777777" w:rsidR="00D01A36" w:rsidRPr="00D01A36" w:rsidRDefault="00D01A36" w:rsidP="00713B15">
            <w:pPr>
              <w:pStyle w:val="Tabletext"/>
              <w:keepNext/>
            </w:pPr>
          </w:p>
        </w:tc>
        <w:tc>
          <w:tcPr>
            <w:tcW w:w="2148" w:type="pct"/>
          </w:tcPr>
          <w:p w14:paraId="79E67EC1" w14:textId="77777777" w:rsidR="00D01A36" w:rsidRPr="00C37A1D" w:rsidRDefault="00D01A36" w:rsidP="00713B15">
            <w:pPr>
              <w:pStyle w:val="Tabletext"/>
              <w:keepNext/>
            </w:pPr>
            <w:r w:rsidRPr="00C37A1D">
              <w:t>Renal impairment</w:t>
            </w:r>
            <w:r>
              <w:t xml:space="preserve"> (mild)</w:t>
            </w:r>
          </w:p>
        </w:tc>
        <w:tc>
          <w:tcPr>
            <w:tcW w:w="1058" w:type="pct"/>
          </w:tcPr>
          <w:p w14:paraId="1A99B803" w14:textId="77777777" w:rsidR="00D01A36" w:rsidRPr="00C37A1D" w:rsidRDefault="00D01A36" w:rsidP="00713B15">
            <w:pPr>
              <w:pStyle w:val="Tabletext"/>
              <w:keepNext/>
            </w:pPr>
            <w:proofErr w:type="spellStart"/>
            <w:r>
              <w:t>PopPK</w:t>
            </w:r>
            <w:proofErr w:type="spellEnd"/>
          </w:p>
        </w:tc>
        <w:tc>
          <w:tcPr>
            <w:tcW w:w="449" w:type="pct"/>
          </w:tcPr>
          <w:p w14:paraId="16351559" w14:textId="77777777" w:rsidR="00D01A36" w:rsidRPr="00C37A1D" w:rsidRDefault="00D01A36" w:rsidP="00713B15">
            <w:pPr>
              <w:pStyle w:val="Tabletext"/>
              <w:keepNext/>
              <w:jc w:val="center"/>
            </w:pPr>
          </w:p>
        </w:tc>
      </w:tr>
      <w:tr w:rsidR="00D01A36" w:rsidRPr="00C37A1D" w14:paraId="5BCEE35C" w14:textId="77777777" w:rsidTr="00453D9B">
        <w:tc>
          <w:tcPr>
            <w:tcW w:w="1344" w:type="pct"/>
            <w:vMerge/>
          </w:tcPr>
          <w:p w14:paraId="1C2E387C" w14:textId="77777777" w:rsidR="00D01A36" w:rsidRPr="00D01A36" w:rsidRDefault="00D01A36" w:rsidP="00713B15">
            <w:pPr>
              <w:pStyle w:val="Tabletext"/>
              <w:keepNext/>
            </w:pPr>
          </w:p>
        </w:tc>
        <w:tc>
          <w:tcPr>
            <w:tcW w:w="2148" w:type="pct"/>
          </w:tcPr>
          <w:p w14:paraId="3439BA13" w14:textId="77777777" w:rsidR="00D01A36" w:rsidRPr="00C37A1D" w:rsidRDefault="00D01A36" w:rsidP="00713B15">
            <w:pPr>
              <w:pStyle w:val="Tabletext"/>
              <w:keepNext/>
            </w:pPr>
            <w:r>
              <w:t>A</w:t>
            </w:r>
            <w:r w:rsidRPr="00C37A1D">
              <w:t>dolescents</w:t>
            </w:r>
            <w:r w:rsidR="0081641E">
              <w:t xml:space="preserve"> (12 to </w:t>
            </w:r>
            <w:r>
              <w:t>17 years</w:t>
            </w:r>
            <w:r w:rsidR="0081641E">
              <w:t xml:space="preserve"> old</w:t>
            </w:r>
            <w:r>
              <w:t>, inclusive)</w:t>
            </w:r>
          </w:p>
        </w:tc>
        <w:tc>
          <w:tcPr>
            <w:tcW w:w="1058" w:type="pct"/>
          </w:tcPr>
          <w:p w14:paraId="25A43A41" w14:textId="77777777" w:rsidR="00D01A36" w:rsidRPr="00C37A1D" w:rsidRDefault="00D01A36" w:rsidP="00713B15">
            <w:pPr>
              <w:pStyle w:val="Tabletext"/>
              <w:keepNext/>
            </w:pPr>
            <w:proofErr w:type="spellStart"/>
            <w:r>
              <w:t>PopPK</w:t>
            </w:r>
            <w:proofErr w:type="spellEnd"/>
          </w:p>
        </w:tc>
        <w:tc>
          <w:tcPr>
            <w:tcW w:w="449" w:type="pct"/>
          </w:tcPr>
          <w:p w14:paraId="285B90CD" w14:textId="77777777" w:rsidR="00D01A36" w:rsidRPr="00C37A1D" w:rsidRDefault="00D01A36" w:rsidP="00713B15">
            <w:pPr>
              <w:pStyle w:val="Tabletext"/>
              <w:keepNext/>
              <w:jc w:val="center"/>
            </w:pPr>
          </w:p>
        </w:tc>
      </w:tr>
      <w:tr w:rsidR="00D01A36" w:rsidRPr="00C37A1D" w14:paraId="620DE1C1" w14:textId="77777777" w:rsidTr="00453D9B">
        <w:tc>
          <w:tcPr>
            <w:tcW w:w="1344" w:type="pct"/>
            <w:vMerge/>
          </w:tcPr>
          <w:p w14:paraId="2AF526ED" w14:textId="77777777" w:rsidR="00D01A36" w:rsidRPr="00D01A36" w:rsidRDefault="00D01A36" w:rsidP="00713B15">
            <w:pPr>
              <w:pStyle w:val="Tabletext"/>
              <w:keepNext/>
            </w:pPr>
          </w:p>
        </w:tc>
        <w:tc>
          <w:tcPr>
            <w:tcW w:w="2148" w:type="pct"/>
          </w:tcPr>
          <w:p w14:paraId="19E31829" w14:textId="77777777" w:rsidR="00D01A36" w:rsidRPr="00D01A36" w:rsidRDefault="00D01A36" w:rsidP="00713B15">
            <w:pPr>
              <w:pStyle w:val="Tabletext"/>
              <w:keepNext/>
            </w:pPr>
            <w:r w:rsidRPr="00D01A36">
              <w:t>RA (multiple ascending dose)</w:t>
            </w:r>
          </w:p>
        </w:tc>
        <w:tc>
          <w:tcPr>
            <w:tcW w:w="1058" w:type="pct"/>
          </w:tcPr>
          <w:p w14:paraId="38228A01" w14:textId="77777777" w:rsidR="00D01A36" w:rsidRPr="00D01A36" w:rsidRDefault="00D01A36" w:rsidP="00713B15">
            <w:pPr>
              <w:pStyle w:val="Tabletext"/>
              <w:keepNext/>
            </w:pPr>
            <w:r w:rsidRPr="00D01A36">
              <w:rPr>
                <w:color w:val="auto"/>
              </w:rPr>
              <w:t>SA-105JP</w:t>
            </w:r>
          </w:p>
        </w:tc>
        <w:tc>
          <w:tcPr>
            <w:tcW w:w="449" w:type="pct"/>
          </w:tcPr>
          <w:p w14:paraId="2015092E" w14:textId="77777777" w:rsidR="00D01A36" w:rsidRPr="00C37A1D" w:rsidRDefault="00D01A36" w:rsidP="00713B15">
            <w:pPr>
              <w:pStyle w:val="Tabletext"/>
              <w:keepNext/>
              <w:jc w:val="center"/>
            </w:pPr>
            <w:r>
              <w:t>*</w:t>
            </w:r>
          </w:p>
        </w:tc>
      </w:tr>
      <w:tr w:rsidR="00D01A36" w:rsidRPr="00C37A1D" w14:paraId="199EEBBD" w14:textId="77777777" w:rsidTr="00453D9B">
        <w:tc>
          <w:tcPr>
            <w:tcW w:w="1344" w:type="pct"/>
            <w:vMerge w:val="restart"/>
          </w:tcPr>
          <w:p w14:paraId="499AA438" w14:textId="77777777" w:rsidR="00D01A36" w:rsidRPr="00D01A36" w:rsidRDefault="00D01A36" w:rsidP="00713B15">
            <w:pPr>
              <w:pStyle w:val="Tabletext"/>
              <w:keepNext/>
            </w:pPr>
            <w:r w:rsidRPr="00D01A36">
              <w:t>Gender/genetic related PK</w:t>
            </w:r>
          </w:p>
        </w:tc>
        <w:tc>
          <w:tcPr>
            <w:tcW w:w="2148" w:type="pct"/>
          </w:tcPr>
          <w:p w14:paraId="4C9AE2E4" w14:textId="77777777" w:rsidR="00D01A36" w:rsidRPr="00C37A1D" w:rsidRDefault="00D01A36" w:rsidP="00713B15">
            <w:pPr>
              <w:pStyle w:val="Tabletext"/>
              <w:keepNext/>
            </w:pPr>
            <w:r>
              <w:t xml:space="preserve">Males </w:t>
            </w:r>
            <w:r w:rsidR="00246728">
              <w:t>versus</w:t>
            </w:r>
            <w:r>
              <w:t xml:space="preserve"> </w:t>
            </w:r>
            <w:r w:rsidRPr="00C37A1D">
              <w:t>females</w:t>
            </w:r>
          </w:p>
        </w:tc>
        <w:tc>
          <w:tcPr>
            <w:tcW w:w="1058" w:type="pct"/>
          </w:tcPr>
          <w:p w14:paraId="6CFF29E7" w14:textId="77777777" w:rsidR="00D01A36" w:rsidRPr="00C37A1D" w:rsidRDefault="00D01A36" w:rsidP="00713B15">
            <w:pPr>
              <w:pStyle w:val="Tabletext"/>
              <w:keepNext/>
            </w:pPr>
            <w:proofErr w:type="spellStart"/>
            <w:r>
              <w:t>PopPK</w:t>
            </w:r>
            <w:proofErr w:type="spellEnd"/>
          </w:p>
        </w:tc>
        <w:tc>
          <w:tcPr>
            <w:tcW w:w="449" w:type="pct"/>
          </w:tcPr>
          <w:p w14:paraId="13F78466" w14:textId="77777777" w:rsidR="00D01A36" w:rsidRPr="00C37A1D" w:rsidRDefault="00D01A36" w:rsidP="00713B15">
            <w:pPr>
              <w:pStyle w:val="Tabletext"/>
              <w:keepNext/>
              <w:jc w:val="center"/>
            </w:pPr>
          </w:p>
        </w:tc>
      </w:tr>
      <w:tr w:rsidR="00D01A36" w:rsidRPr="00C37A1D" w14:paraId="3ABB951D" w14:textId="77777777" w:rsidTr="00453D9B">
        <w:tc>
          <w:tcPr>
            <w:tcW w:w="1344" w:type="pct"/>
            <w:vMerge/>
          </w:tcPr>
          <w:p w14:paraId="00C66B5C" w14:textId="77777777" w:rsidR="00D01A36" w:rsidRPr="00D01A36" w:rsidRDefault="00D01A36" w:rsidP="00713B15">
            <w:pPr>
              <w:pStyle w:val="Tabletext"/>
              <w:keepNext/>
            </w:pPr>
          </w:p>
        </w:tc>
        <w:tc>
          <w:tcPr>
            <w:tcW w:w="2148" w:type="pct"/>
          </w:tcPr>
          <w:p w14:paraId="571156A7" w14:textId="77777777" w:rsidR="00D01A36" w:rsidRPr="003A0FE8" w:rsidRDefault="00D01A36" w:rsidP="00713B15">
            <w:pPr>
              <w:pStyle w:val="Tabletext"/>
              <w:keepNext/>
              <w:rPr>
                <w:color w:val="auto"/>
              </w:rPr>
            </w:pPr>
            <w:r w:rsidRPr="003A0FE8">
              <w:rPr>
                <w:color w:val="auto"/>
              </w:rPr>
              <w:t xml:space="preserve">Effect of race (Japanese </w:t>
            </w:r>
            <w:r w:rsidR="00246728">
              <w:rPr>
                <w:color w:val="auto"/>
              </w:rPr>
              <w:t>versus</w:t>
            </w:r>
            <w:r w:rsidRPr="003A0FE8">
              <w:rPr>
                <w:color w:val="auto"/>
              </w:rPr>
              <w:t xml:space="preserve"> Caucasian)</w:t>
            </w:r>
          </w:p>
        </w:tc>
        <w:tc>
          <w:tcPr>
            <w:tcW w:w="1058" w:type="pct"/>
          </w:tcPr>
          <w:p w14:paraId="4F362148" w14:textId="77777777" w:rsidR="00D01A36" w:rsidRPr="003A0FE8" w:rsidRDefault="00D01A36" w:rsidP="00713B15">
            <w:pPr>
              <w:pStyle w:val="Tabletext"/>
              <w:keepNext/>
              <w:rPr>
                <w:color w:val="auto"/>
              </w:rPr>
            </w:pPr>
            <w:r w:rsidRPr="003A0FE8">
              <w:rPr>
                <w:color w:val="auto"/>
              </w:rPr>
              <w:t>SA-001JP</w:t>
            </w:r>
          </w:p>
        </w:tc>
        <w:tc>
          <w:tcPr>
            <w:tcW w:w="449" w:type="pct"/>
          </w:tcPr>
          <w:p w14:paraId="6AA79993" w14:textId="77777777" w:rsidR="00D01A36" w:rsidRPr="003A0FE8" w:rsidRDefault="00D01A36" w:rsidP="00713B15">
            <w:pPr>
              <w:pStyle w:val="Tabletext"/>
              <w:keepNext/>
              <w:jc w:val="center"/>
              <w:rPr>
                <w:color w:val="auto"/>
              </w:rPr>
            </w:pPr>
            <w:r w:rsidRPr="003A0FE8">
              <w:rPr>
                <w:color w:val="auto"/>
              </w:rPr>
              <w:t>*</w:t>
            </w:r>
          </w:p>
        </w:tc>
      </w:tr>
      <w:tr w:rsidR="00D01A36" w:rsidRPr="00C37A1D" w14:paraId="0875A1DC" w14:textId="77777777" w:rsidTr="00453D9B">
        <w:tc>
          <w:tcPr>
            <w:tcW w:w="1344" w:type="pct"/>
          </w:tcPr>
          <w:p w14:paraId="495444EA" w14:textId="77777777" w:rsidR="00D01A36" w:rsidRPr="00D01A36" w:rsidRDefault="00D01A36" w:rsidP="00713B15">
            <w:pPr>
              <w:pStyle w:val="Tabletext"/>
              <w:keepNext/>
            </w:pPr>
            <w:r w:rsidRPr="00D01A36">
              <w:t>PK interactions</w:t>
            </w:r>
          </w:p>
        </w:tc>
        <w:tc>
          <w:tcPr>
            <w:tcW w:w="2148" w:type="pct"/>
          </w:tcPr>
          <w:p w14:paraId="40E49482" w14:textId="77777777" w:rsidR="00D01A36" w:rsidRPr="00C37A1D" w:rsidRDefault="00D01A36" w:rsidP="00713B15">
            <w:pPr>
              <w:pStyle w:val="Tabletext"/>
              <w:keepNext/>
            </w:pPr>
          </w:p>
        </w:tc>
        <w:tc>
          <w:tcPr>
            <w:tcW w:w="1058" w:type="pct"/>
          </w:tcPr>
          <w:p w14:paraId="1C220E5A" w14:textId="77777777" w:rsidR="00D01A36" w:rsidRPr="00C37A1D" w:rsidRDefault="00D01A36" w:rsidP="00713B15">
            <w:pPr>
              <w:pStyle w:val="Tabletext"/>
              <w:keepNext/>
            </w:pPr>
            <w:r>
              <w:t>No studies</w:t>
            </w:r>
          </w:p>
        </w:tc>
        <w:tc>
          <w:tcPr>
            <w:tcW w:w="449" w:type="pct"/>
          </w:tcPr>
          <w:p w14:paraId="618D6557" w14:textId="77777777" w:rsidR="00D01A36" w:rsidRPr="00C37A1D" w:rsidRDefault="00D01A36" w:rsidP="00713B15">
            <w:pPr>
              <w:pStyle w:val="Tabletext"/>
              <w:keepNext/>
              <w:jc w:val="center"/>
            </w:pPr>
          </w:p>
        </w:tc>
      </w:tr>
      <w:tr w:rsidR="00D01A36" w:rsidRPr="00C37A1D" w14:paraId="0EA7831B" w14:textId="77777777" w:rsidTr="00453D9B">
        <w:tc>
          <w:tcPr>
            <w:tcW w:w="1344" w:type="pct"/>
          </w:tcPr>
          <w:p w14:paraId="23CF33F0" w14:textId="77777777" w:rsidR="00D01A36" w:rsidRPr="00D01A36" w:rsidRDefault="00D01A36" w:rsidP="00713B15">
            <w:pPr>
              <w:pStyle w:val="Tabletext"/>
              <w:keepNext/>
            </w:pPr>
            <w:r w:rsidRPr="00D01A36">
              <w:t>Population PK analyses</w:t>
            </w:r>
          </w:p>
        </w:tc>
        <w:tc>
          <w:tcPr>
            <w:tcW w:w="2148" w:type="pct"/>
          </w:tcPr>
          <w:p w14:paraId="5F084ECF" w14:textId="77777777" w:rsidR="00D01A36" w:rsidRPr="001C2887" w:rsidRDefault="00D01A36" w:rsidP="00713B15">
            <w:pPr>
              <w:pStyle w:val="Tabletext"/>
              <w:keepNext/>
              <w:rPr>
                <w:color w:val="auto"/>
              </w:rPr>
            </w:pPr>
            <w:r w:rsidRPr="001C2887">
              <w:rPr>
                <w:color w:val="auto"/>
              </w:rPr>
              <w:t>Healthy subjects/target population (adults and adolescents aged 12-17)</w:t>
            </w:r>
          </w:p>
        </w:tc>
        <w:tc>
          <w:tcPr>
            <w:tcW w:w="1058" w:type="pct"/>
          </w:tcPr>
          <w:p w14:paraId="5CC4461F" w14:textId="77777777" w:rsidR="00D01A36" w:rsidRDefault="00D01A36" w:rsidP="00713B15">
            <w:pPr>
              <w:pStyle w:val="Tabletext"/>
              <w:keepNext/>
              <w:rPr>
                <w:color w:val="auto"/>
              </w:rPr>
            </w:pPr>
            <w:r w:rsidRPr="001C2887">
              <w:rPr>
                <w:color w:val="auto"/>
              </w:rPr>
              <w:t>1094498</w:t>
            </w:r>
          </w:p>
          <w:p w14:paraId="70C2F4D1" w14:textId="77777777" w:rsidR="00D01A36" w:rsidRPr="00D01A36" w:rsidRDefault="00D01A36" w:rsidP="00713B15">
            <w:pPr>
              <w:pStyle w:val="Tabletext"/>
              <w:keepNext/>
              <w:rPr>
                <w:color w:val="auto"/>
              </w:rPr>
            </w:pPr>
            <w:r w:rsidRPr="00D01A36">
              <w:rPr>
                <w:color w:val="auto"/>
              </w:rPr>
              <w:t>1093049**</w:t>
            </w:r>
          </w:p>
        </w:tc>
        <w:tc>
          <w:tcPr>
            <w:tcW w:w="449" w:type="pct"/>
          </w:tcPr>
          <w:p w14:paraId="0236E2CD" w14:textId="77777777" w:rsidR="00D01A36" w:rsidRPr="00C37A1D" w:rsidRDefault="00D01A36" w:rsidP="00713B15">
            <w:pPr>
              <w:pStyle w:val="Tabletext"/>
              <w:keepNext/>
              <w:jc w:val="center"/>
            </w:pPr>
            <w:r>
              <w:t>*</w:t>
            </w:r>
          </w:p>
        </w:tc>
      </w:tr>
    </w:tbl>
    <w:p w14:paraId="6C6C3064" w14:textId="34327F4D" w:rsidR="000406DD" w:rsidRDefault="000406DD" w:rsidP="00D01A36">
      <w:pPr>
        <w:pStyle w:val="TableDescription"/>
      </w:pPr>
      <w:r>
        <w:t xml:space="preserve">PK = pharmacokinetics; </w:t>
      </w:r>
      <w:proofErr w:type="spellStart"/>
      <w:r>
        <w:t>PopPK</w:t>
      </w:r>
      <w:proofErr w:type="spellEnd"/>
      <w:r>
        <w:t xml:space="preserve"> = population pharmacokinetics; RA = rheumatoid arthritis</w:t>
      </w:r>
    </w:p>
    <w:p w14:paraId="4B5D51DE" w14:textId="70BBB719" w:rsidR="00D01A36" w:rsidRPr="00D1531B" w:rsidRDefault="00D01A36" w:rsidP="00D01A36">
      <w:pPr>
        <w:pStyle w:val="TableDescription"/>
      </w:pPr>
      <w:r w:rsidRPr="00D1531B">
        <w:t xml:space="preserve">* </w:t>
      </w:r>
      <w:r w:rsidRPr="00FE25B5">
        <w:t>Indicates the primary PK aim of the study.</w:t>
      </w:r>
    </w:p>
    <w:p w14:paraId="561A7ED3" w14:textId="77777777" w:rsidR="00D01A36" w:rsidRPr="00515277" w:rsidRDefault="00D01A36" w:rsidP="00D01A36">
      <w:pPr>
        <w:pStyle w:val="TableDescription"/>
      </w:pPr>
      <w:r w:rsidRPr="00D1531B">
        <w:t xml:space="preserve">** A </w:t>
      </w:r>
      <w:r>
        <w:t>summary of r</w:t>
      </w:r>
      <w:r w:rsidRPr="00D1531B">
        <w:t>eport</w:t>
      </w:r>
      <w:r w:rsidR="00453D9B">
        <w:t xml:space="preserve"> Study</w:t>
      </w:r>
      <w:r w:rsidRPr="00D1531B">
        <w:t xml:space="preserve"> 1093049 is not included in </w:t>
      </w:r>
      <w:r>
        <w:t>the summary of PK studies,</w:t>
      </w:r>
      <w:r w:rsidRPr="00D1531B">
        <w:t xml:space="preserve"> since this </w:t>
      </w:r>
      <w:proofErr w:type="spellStart"/>
      <w:r w:rsidRPr="00D1531B">
        <w:t>PopPK</w:t>
      </w:r>
      <w:proofErr w:type="spellEnd"/>
      <w:r w:rsidRPr="00D1531B">
        <w:t xml:space="preserve"> analys</w:t>
      </w:r>
      <w:r>
        <w:t>e</w:t>
      </w:r>
      <w:r w:rsidRPr="00D1531B">
        <w:t xml:space="preserve">s </w:t>
      </w:r>
      <w:r>
        <w:t xml:space="preserve">section </w:t>
      </w:r>
      <w:r w:rsidRPr="00D1531B">
        <w:t xml:space="preserve">initially included subjects with </w:t>
      </w:r>
      <w:r w:rsidR="0081641E" w:rsidRPr="0081641E">
        <w:t>rheumatoid arthritis</w:t>
      </w:r>
      <w:r w:rsidRPr="00515277">
        <w:t xml:space="preserve"> from </w:t>
      </w:r>
      <w:r w:rsidR="00453D9B">
        <w:t xml:space="preserve">Study </w:t>
      </w:r>
      <w:r w:rsidRPr="00515277">
        <w:t>SA-105JP, which were later excluded due to differences in PK from subjects with NMO and NMOSD. In addition, subject data from</w:t>
      </w:r>
      <w:r w:rsidR="00453D9B">
        <w:t xml:space="preserve"> Study</w:t>
      </w:r>
      <w:r w:rsidRPr="00515277">
        <w:t xml:space="preserve"> BN40900 were not included in thi</w:t>
      </w:r>
      <w:r w:rsidR="00453D9B">
        <w:t xml:space="preserve">s </w:t>
      </w:r>
      <w:proofErr w:type="spellStart"/>
      <w:r w:rsidR="00453D9B">
        <w:t>PopPK</w:t>
      </w:r>
      <w:proofErr w:type="spellEnd"/>
      <w:r w:rsidR="00453D9B">
        <w:t xml:space="preserve"> analysis. In contrast, r</w:t>
      </w:r>
      <w:r w:rsidRPr="00515277">
        <w:t xml:space="preserve">eport </w:t>
      </w:r>
      <w:r w:rsidR="00453D9B">
        <w:t xml:space="preserve">from Study </w:t>
      </w:r>
      <w:r w:rsidRPr="00515277">
        <w:t>1094498 included data from SA</w:t>
      </w:r>
      <w:r w:rsidR="00453D9B">
        <w:t>-001JP and sparse PK data from S</w:t>
      </w:r>
      <w:r w:rsidRPr="00515277">
        <w:t>tudies BN40900 and BN40898.</w:t>
      </w:r>
    </w:p>
    <w:p w14:paraId="518041F0" w14:textId="77777777" w:rsidR="00D01A36" w:rsidRDefault="00D01A36" w:rsidP="00D01A36">
      <w:pPr>
        <w:pStyle w:val="TableDescription"/>
      </w:pPr>
      <w:r w:rsidRPr="00515277">
        <w:t>There were no PK studies that had their results excluded from consideration.</w:t>
      </w:r>
    </w:p>
    <w:p w14:paraId="406E737F" w14:textId="77777777" w:rsidR="00713B15" w:rsidRPr="00713B15" w:rsidRDefault="00713B15" w:rsidP="00B542D2">
      <w:pPr>
        <w:pStyle w:val="Heading6"/>
      </w:pPr>
      <w:r w:rsidRPr="00713B15">
        <w:t>Pharmacokinetics according to age</w:t>
      </w:r>
    </w:p>
    <w:p w14:paraId="6851AAC6" w14:textId="77777777" w:rsidR="00713B15" w:rsidRDefault="00713B15" w:rsidP="00713B15">
      <w:r>
        <w:t xml:space="preserve">No Phase I studies were undertaken in the target population. The </w:t>
      </w:r>
      <w:proofErr w:type="spellStart"/>
      <w:r>
        <w:t>PopPK</w:t>
      </w:r>
      <w:proofErr w:type="spellEnd"/>
      <w:r>
        <w:t xml:space="preserve"> analyses included adult and adolescent subjects (aged 12 to 17 years</w:t>
      </w:r>
      <w:r w:rsidR="0081641E">
        <w:t xml:space="preserve"> old</w:t>
      </w:r>
      <w:r>
        <w:t>, inclusive) with NMO and NMOSD.</w:t>
      </w:r>
    </w:p>
    <w:p w14:paraId="20114D64" w14:textId="154A1938" w:rsidR="00713B15" w:rsidRDefault="00713B15" w:rsidP="00713B15">
      <w:pPr>
        <w:rPr>
          <w:lang w:eastAsia="ja-JP"/>
        </w:rPr>
      </w:pPr>
      <w:r>
        <w:rPr>
          <w:lang w:eastAsia="ja-JP"/>
        </w:rPr>
        <w:t>PK in adolescent subjects (aged 12 to 17 years</w:t>
      </w:r>
      <w:r w:rsidR="0081641E">
        <w:rPr>
          <w:lang w:eastAsia="ja-JP"/>
        </w:rPr>
        <w:t xml:space="preserve"> old</w:t>
      </w:r>
      <w:r>
        <w:rPr>
          <w:lang w:eastAsia="ja-JP"/>
        </w:rPr>
        <w:t xml:space="preserve">, inclusive) and PK in elderly subjects (aged 65 years and older) were evaluated in the </w:t>
      </w:r>
      <w:proofErr w:type="spellStart"/>
      <w:r>
        <w:rPr>
          <w:lang w:eastAsia="ja-JP"/>
        </w:rPr>
        <w:t>PopPK</w:t>
      </w:r>
      <w:proofErr w:type="spellEnd"/>
      <w:r>
        <w:rPr>
          <w:lang w:eastAsia="ja-JP"/>
        </w:rPr>
        <w:t xml:space="preserve"> analysis and were determined to be generally consistent with the PK in adults aged 18 to 64 years</w:t>
      </w:r>
      <w:r w:rsidR="0081641E">
        <w:rPr>
          <w:lang w:eastAsia="ja-JP"/>
        </w:rPr>
        <w:t xml:space="preserve"> old</w:t>
      </w:r>
      <w:r>
        <w:rPr>
          <w:lang w:eastAsia="ja-JP"/>
        </w:rPr>
        <w:t xml:space="preserve">, inclusive. Exposure for mean </w:t>
      </w:r>
      <w:r w:rsidR="0081641E">
        <w:rPr>
          <w:lang w:eastAsia="ja-JP"/>
        </w:rPr>
        <w:t>trough concentration (</w:t>
      </w:r>
      <w:proofErr w:type="spellStart"/>
      <w:r>
        <w:rPr>
          <w:lang w:eastAsia="ja-JP"/>
        </w:rPr>
        <w:t>C</w:t>
      </w:r>
      <w:r w:rsidRPr="00E93BA4">
        <w:rPr>
          <w:vertAlign w:val="subscript"/>
          <w:lang w:eastAsia="ja-JP"/>
        </w:rPr>
        <w:t>trough</w:t>
      </w:r>
      <w:proofErr w:type="spellEnd"/>
      <w:r w:rsidR="0081641E">
        <w:rPr>
          <w:lang w:eastAsia="ja-JP"/>
        </w:rPr>
        <w:t>)</w:t>
      </w:r>
      <w:r>
        <w:rPr>
          <w:lang w:eastAsia="ja-JP"/>
        </w:rPr>
        <w:t xml:space="preserve">, </w:t>
      </w:r>
      <w:r w:rsidR="0081641E">
        <w:rPr>
          <w:lang w:eastAsia="ja-JP"/>
        </w:rPr>
        <w:t>maximum concentration (</w:t>
      </w:r>
      <w:proofErr w:type="spellStart"/>
      <w:r>
        <w:rPr>
          <w:lang w:eastAsia="ja-JP"/>
        </w:rPr>
        <w:t>C</w:t>
      </w:r>
      <w:r w:rsidRPr="00E93BA4">
        <w:rPr>
          <w:vertAlign w:val="subscript"/>
          <w:lang w:eastAsia="ja-JP"/>
        </w:rPr>
        <w:t>max</w:t>
      </w:r>
      <w:proofErr w:type="spellEnd"/>
      <w:r w:rsidR="0081641E">
        <w:rPr>
          <w:lang w:eastAsia="ja-JP"/>
        </w:rPr>
        <w:t>)</w:t>
      </w:r>
      <w:r w:rsidRPr="00E93BA4">
        <w:rPr>
          <w:vertAlign w:val="subscript"/>
          <w:lang w:eastAsia="ja-JP"/>
        </w:rPr>
        <w:t xml:space="preserve"> </w:t>
      </w:r>
      <w:r>
        <w:rPr>
          <w:lang w:eastAsia="ja-JP"/>
        </w:rPr>
        <w:t xml:space="preserve">and </w:t>
      </w:r>
      <w:r w:rsidR="0081641E">
        <w:rPr>
          <w:lang w:eastAsia="ja-JP"/>
        </w:rPr>
        <w:t>area under concentration</w:t>
      </w:r>
      <w:r w:rsidR="004D4455">
        <w:rPr>
          <w:lang w:eastAsia="ja-JP"/>
        </w:rPr>
        <w:t xml:space="preserve"> versus</w:t>
      </w:r>
      <w:r w:rsidR="0081641E">
        <w:rPr>
          <w:lang w:eastAsia="ja-JP"/>
        </w:rPr>
        <w:t xml:space="preserve"> time curve (</w:t>
      </w:r>
      <w:r>
        <w:rPr>
          <w:lang w:eastAsia="ja-JP"/>
        </w:rPr>
        <w:t>AUC</w:t>
      </w:r>
      <w:r w:rsidR="0081641E">
        <w:rPr>
          <w:lang w:eastAsia="ja-JP"/>
        </w:rPr>
        <w:t>)</w:t>
      </w:r>
      <w:r>
        <w:rPr>
          <w:lang w:eastAsia="ja-JP"/>
        </w:rPr>
        <w:t xml:space="preserve"> was lower in the adolescent population versus the adult population by 33.8%, 27.6% and 29.7%, respectively, in Study BN40898. These results were consistent </w:t>
      </w:r>
      <w:r w:rsidRPr="005A7588">
        <w:rPr>
          <w:lang w:eastAsia="ja-JP"/>
        </w:rPr>
        <w:t xml:space="preserve">with the difference in mean </w:t>
      </w:r>
      <w:r w:rsidR="0081641E">
        <w:rPr>
          <w:lang w:eastAsia="ja-JP"/>
        </w:rPr>
        <w:t>body weight (</w:t>
      </w:r>
      <w:r w:rsidRPr="005A7588">
        <w:rPr>
          <w:lang w:eastAsia="ja-JP"/>
        </w:rPr>
        <w:t>BW</w:t>
      </w:r>
      <w:r w:rsidR="0081641E">
        <w:rPr>
          <w:lang w:eastAsia="ja-JP"/>
        </w:rPr>
        <w:t>) between adolescents (79.3 </w:t>
      </w:r>
      <w:r w:rsidRPr="005A7588">
        <w:rPr>
          <w:lang w:eastAsia="ja-JP"/>
        </w:rPr>
        <w:t>kg) and adults (61.5 kg)</w:t>
      </w:r>
      <w:r>
        <w:rPr>
          <w:lang w:eastAsia="ja-JP"/>
        </w:rPr>
        <w:t>, in which there</w:t>
      </w:r>
      <w:r w:rsidRPr="005A7588">
        <w:rPr>
          <w:lang w:eastAsia="ja-JP"/>
        </w:rPr>
        <w:t xml:space="preserve"> </w:t>
      </w:r>
      <w:r>
        <w:rPr>
          <w:lang w:eastAsia="ja-JP"/>
        </w:rPr>
        <w:t>appears to be an inverse relationship between BW and exposure.</w:t>
      </w:r>
    </w:p>
    <w:p w14:paraId="52D2B88A" w14:textId="77777777" w:rsidR="00713B15" w:rsidRDefault="0081641E" w:rsidP="00B542D2">
      <w:pPr>
        <w:pStyle w:val="Heading6"/>
        <w:rPr>
          <w:lang w:eastAsia="ja-JP"/>
        </w:rPr>
      </w:pPr>
      <w:r>
        <w:rPr>
          <w:lang w:eastAsia="ja-JP"/>
        </w:rPr>
        <w:lastRenderedPageBreak/>
        <w:t>Pharmacokinetics according to anti-drug antibody</w:t>
      </w:r>
      <w:r w:rsidR="00713B15">
        <w:rPr>
          <w:lang w:eastAsia="ja-JP"/>
        </w:rPr>
        <w:t xml:space="preserve"> status</w:t>
      </w:r>
    </w:p>
    <w:p w14:paraId="78FE5D59" w14:textId="426938EB" w:rsidR="00713B15" w:rsidRDefault="00713B15" w:rsidP="00713B15">
      <w:pPr>
        <w:rPr>
          <w:rFonts w:eastAsia="TimesNewRoman,Bold" w:cs="TimesNewRoman"/>
          <w:lang w:val="en-GB"/>
        </w:rPr>
      </w:pPr>
      <w:r>
        <w:t>In Study SA-001JP, 54.2% (n = 39) of healthy adults developed anti-</w:t>
      </w:r>
      <w:proofErr w:type="spellStart"/>
      <w:r w:rsidR="00B842FA">
        <w:t>satralizumab</w:t>
      </w:r>
      <w:proofErr w:type="spellEnd"/>
      <w:r>
        <w:t xml:space="preserve"> antibodies, irrespective of race status (Japanese or Caucasian), route of administration (SC or intravenous (IV)) or </w:t>
      </w:r>
      <w:proofErr w:type="spellStart"/>
      <w:r w:rsidR="00B842FA">
        <w:t>satralizumab</w:t>
      </w:r>
      <w:proofErr w:type="spellEnd"/>
      <w:r>
        <w:t xml:space="preserve"> dose (30 mg to 240 mg).</w:t>
      </w:r>
      <w:r w:rsidRPr="00EF159C">
        <w:rPr>
          <w:rFonts w:eastAsia="TimesNewRoman,Bold" w:cs="TimesNewRoman"/>
          <w:lang w:val="en-GB"/>
        </w:rPr>
        <w:t xml:space="preserve"> </w:t>
      </w:r>
      <w:r w:rsidRPr="00CC5C2B">
        <w:rPr>
          <w:rFonts w:eastAsia="TimesNewRoman,Bold" w:cs="TimesNewRoman"/>
          <w:lang w:val="en-GB"/>
        </w:rPr>
        <w:t xml:space="preserve">No significant differences in the time course of serum </w:t>
      </w:r>
      <w:bookmarkStart w:id="43" w:name="_Hlk28782397"/>
      <w:proofErr w:type="spellStart"/>
      <w:r w:rsidR="00B842FA">
        <w:t>satralizumab</w:t>
      </w:r>
      <w:proofErr w:type="spellEnd"/>
      <w:r>
        <w:t xml:space="preserve"> </w:t>
      </w:r>
      <w:bookmarkEnd w:id="43"/>
      <w:r w:rsidRPr="00CC5C2B">
        <w:rPr>
          <w:rFonts w:eastAsia="TimesNewRoman,Bold" w:cs="TimesNewRoman"/>
          <w:lang w:val="en-GB"/>
        </w:rPr>
        <w:t xml:space="preserve">concentrations of subjects who tested negative or positive for </w:t>
      </w:r>
      <w:r>
        <w:rPr>
          <w:rFonts w:eastAsia="TimesNewRoman,Bold" w:cs="TimesNewRoman"/>
          <w:lang w:val="en-GB"/>
        </w:rPr>
        <w:t>ADAs were reported</w:t>
      </w:r>
      <w:r w:rsidRPr="00CC5C2B">
        <w:rPr>
          <w:rFonts w:eastAsia="TimesNewRoman,Bold" w:cs="TimesNewRoman"/>
          <w:lang w:val="en-GB"/>
        </w:rPr>
        <w:t xml:space="preserve">. </w:t>
      </w:r>
      <w:r w:rsidRPr="00E93BA4">
        <w:rPr>
          <w:rFonts w:eastAsia="TimesNewRoman,Bold" w:cs="TimesNewRoman"/>
          <w:lang w:val="en-GB"/>
        </w:rPr>
        <w:t xml:space="preserve">In </w:t>
      </w:r>
      <w:r>
        <w:rPr>
          <w:rFonts w:eastAsia="TimesNewRoman,Bold" w:cs="TimesNewRoman"/>
          <w:lang w:val="en-GB"/>
        </w:rPr>
        <w:t>Study SA-105JP</w:t>
      </w:r>
      <w:r w:rsidRPr="00E93BA4">
        <w:rPr>
          <w:rFonts w:eastAsia="TimesNewRoman,Bold" w:cs="TimesNewRoman"/>
          <w:lang w:val="en-GB"/>
        </w:rPr>
        <w:t xml:space="preserve">, </w:t>
      </w:r>
      <w:r>
        <w:rPr>
          <w:rFonts w:eastAsia="TimesNewRoman,Bold" w:cs="TimesNewRoman"/>
          <w:lang w:val="en-GB"/>
        </w:rPr>
        <w:t>ADAs</w:t>
      </w:r>
      <w:r w:rsidRPr="00E93BA4">
        <w:rPr>
          <w:rFonts w:eastAsia="TimesNewRoman,Bold" w:cs="TimesNewRoman"/>
          <w:lang w:val="en-GB"/>
        </w:rPr>
        <w:t xml:space="preserve"> were detected in </w:t>
      </w:r>
      <w:r>
        <w:rPr>
          <w:rFonts w:eastAsia="TimesNewRoman,Bold" w:cs="TimesNewRoman"/>
          <w:lang w:val="en-GB"/>
        </w:rPr>
        <w:t xml:space="preserve">6.1% (n = </w:t>
      </w:r>
      <w:r w:rsidRPr="00E93BA4">
        <w:rPr>
          <w:rFonts w:eastAsia="TimesNewRoman,Bold" w:cs="TimesNewRoman"/>
          <w:lang w:val="en-GB"/>
        </w:rPr>
        <w:t>2</w:t>
      </w:r>
      <w:r>
        <w:rPr>
          <w:rFonts w:eastAsia="TimesNewRoman,Bold" w:cs="TimesNewRoman"/>
          <w:lang w:val="en-GB"/>
        </w:rPr>
        <w:t xml:space="preserve">; 1 tested </w:t>
      </w:r>
      <w:r w:rsidR="00B704BA">
        <w:rPr>
          <w:rFonts w:eastAsia="TimesNewRoman,Bold" w:cs="TimesNewRoman"/>
          <w:lang w:val="en-GB"/>
        </w:rPr>
        <w:t>immunoglobulin E (</w:t>
      </w:r>
      <w:proofErr w:type="spellStart"/>
      <w:r>
        <w:rPr>
          <w:rFonts w:eastAsia="TimesNewRoman,Bold" w:cs="TimesNewRoman"/>
          <w:lang w:val="en-GB"/>
        </w:rPr>
        <w:t>IgE</w:t>
      </w:r>
      <w:proofErr w:type="spellEnd"/>
      <w:r w:rsidR="00B704BA">
        <w:rPr>
          <w:rFonts w:eastAsia="TimesNewRoman,Bold" w:cs="TimesNewRoman"/>
          <w:lang w:val="en-GB"/>
        </w:rPr>
        <w:t>)</w:t>
      </w:r>
      <w:r>
        <w:rPr>
          <w:rFonts w:eastAsia="TimesNewRoman,Bold" w:cs="TimesNewRoman"/>
          <w:lang w:val="en-GB"/>
        </w:rPr>
        <w:t xml:space="preserve"> positive)</w:t>
      </w:r>
      <w:r w:rsidRPr="00E93BA4">
        <w:rPr>
          <w:rFonts w:eastAsia="TimesNewRoman,Bold" w:cs="TimesNewRoman"/>
          <w:lang w:val="en-GB"/>
        </w:rPr>
        <w:t xml:space="preserve"> </w:t>
      </w:r>
      <w:r>
        <w:rPr>
          <w:rFonts w:eastAsia="TimesNewRoman,Bold" w:cs="TimesNewRoman"/>
          <w:lang w:val="en-GB"/>
        </w:rPr>
        <w:t xml:space="preserve">of </w:t>
      </w:r>
      <w:r w:rsidRPr="00E93BA4">
        <w:rPr>
          <w:rFonts w:eastAsia="TimesNewRoman,Bold" w:cs="TimesNewRoman"/>
          <w:lang w:val="en-GB"/>
        </w:rPr>
        <w:t xml:space="preserve">subjects. Serum </w:t>
      </w:r>
      <w:proofErr w:type="spellStart"/>
      <w:r w:rsidR="00B842FA">
        <w:t>satralizumab</w:t>
      </w:r>
      <w:proofErr w:type="spellEnd"/>
      <w:r w:rsidRPr="00E93BA4">
        <w:t xml:space="preserve"> </w:t>
      </w:r>
      <w:r w:rsidRPr="00E93BA4">
        <w:rPr>
          <w:rFonts w:eastAsia="TimesNewRoman,Bold" w:cs="TimesNewRoman"/>
          <w:lang w:val="en-GB"/>
        </w:rPr>
        <w:t xml:space="preserve">concentrations decreased below the </w:t>
      </w:r>
      <w:r w:rsidR="0081641E" w:rsidRPr="0081641E">
        <w:rPr>
          <w:rFonts w:eastAsia="TimesNewRoman,Bold" w:cs="TimesNewRoman"/>
          <w:lang w:val="en-GB"/>
        </w:rPr>
        <w:t xml:space="preserve">lower limit of quantitation </w:t>
      </w:r>
      <w:r w:rsidR="0081641E">
        <w:rPr>
          <w:rFonts w:eastAsia="TimesNewRoman,Bold" w:cs="TimesNewRoman"/>
          <w:lang w:val="en-GB"/>
        </w:rPr>
        <w:t>(</w:t>
      </w:r>
      <w:r w:rsidRPr="00E93BA4">
        <w:rPr>
          <w:rFonts w:eastAsia="TimesNewRoman,Bold" w:cs="TimesNewRoman"/>
          <w:lang w:val="en-GB"/>
        </w:rPr>
        <w:t>LLOQ</w:t>
      </w:r>
      <w:r w:rsidR="0081641E">
        <w:rPr>
          <w:rFonts w:eastAsia="TimesNewRoman,Bold" w:cs="TimesNewRoman"/>
          <w:lang w:val="en-GB"/>
        </w:rPr>
        <w:t>)</w:t>
      </w:r>
      <w:r w:rsidRPr="00E93BA4">
        <w:rPr>
          <w:rFonts w:eastAsia="TimesNewRoman,Bold" w:cs="TimesNewRoman"/>
          <w:lang w:val="en-GB"/>
        </w:rPr>
        <w:t xml:space="preserve"> after </w:t>
      </w:r>
      <w:r>
        <w:rPr>
          <w:rFonts w:eastAsia="TimesNewRoman,Bold" w:cs="TimesNewRoman"/>
          <w:lang w:val="en-GB"/>
        </w:rPr>
        <w:t>ADAs</w:t>
      </w:r>
      <w:r w:rsidRPr="00E93BA4">
        <w:rPr>
          <w:rFonts w:eastAsia="TimesNewRoman,Bold" w:cs="TimesNewRoman"/>
          <w:lang w:val="en-GB"/>
        </w:rPr>
        <w:t xml:space="preserve"> were detected in the extension period.</w:t>
      </w:r>
    </w:p>
    <w:p w14:paraId="515009A8" w14:textId="77777777" w:rsidR="00713B15" w:rsidRPr="00184097" w:rsidRDefault="00713B15" w:rsidP="00713B15">
      <w:pPr>
        <w:autoSpaceDE w:val="0"/>
        <w:autoSpaceDN w:val="0"/>
        <w:adjustRightInd w:val="0"/>
        <w:rPr>
          <w:rFonts w:eastAsiaTheme="minorHAnsi" w:cs="Arial"/>
        </w:rPr>
      </w:pPr>
      <w:r w:rsidRPr="00184097">
        <w:rPr>
          <w:lang w:eastAsia="ja-JP"/>
        </w:rPr>
        <w:t xml:space="preserve">In the </w:t>
      </w:r>
      <w:proofErr w:type="spellStart"/>
      <w:r w:rsidRPr="00184097">
        <w:rPr>
          <w:lang w:eastAsia="ja-JP"/>
        </w:rPr>
        <w:t>PopPK</w:t>
      </w:r>
      <w:proofErr w:type="spellEnd"/>
      <w:r w:rsidRPr="00184097">
        <w:rPr>
          <w:lang w:eastAsia="ja-JP"/>
        </w:rPr>
        <w:t xml:space="preserve"> analysis,</w:t>
      </w:r>
      <w:r w:rsidRPr="00184097">
        <w:rPr>
          <w:rFonts w:eastAsiaTheme="minorHAnsi" w:cs="Arial"/>
        </w:rPr>
        <w:t xml:space="preserve"> </w:t>
      </w:r>
      <w:r>
        <w:rPr>
          <w:rFonts w:eastAsiaTheme="minorHAnsi" w:cs="Arial"/>
        </w:rPr>
        <w:t>NMO and NMOSD subjects</w:t>
      </w:r>
      <w:r w:rsidR="0081641E">
        <w:rPr>
          <w:rFonts w:eastAsiaTheme="minorHAnsi" w:cs="Arial"/>
        </w:rPr>
        <w:t xml:space="preserve"> in the P</w:t>
      </w:r>
      <w:r w:rsidRPr="00184097">
        <w:rPr>
          <w:rFonts w:eastAsiaTheme="minorHAnsi" w:cs="Arial"/>
        </w:rPr>
        <w:t xml:space="preserve">hase III studies </w:t>
      </w:r>
      <w:r>
        <w:rPr>
          <w:rFonts w:eastAsiaTheme="minorHAnsi" w:cs="Arial"/>
        </w:rPr>
        <w:t>who had</w:t>
      </w:r>
      <w:r w:rsidRPr="00184097">
        <w:rPr>
          <w:rFonts w:eastAsiaTheme="minorHAnsi" w:cs="Arial"/>
        </w:rPr>
        <w:t xml:space="preserve"> at least one </w:t>
      </w:r>
      <w:r>
        <w:rPr>
          <w:rFonts w:eastAsiaTheme="minorHAnsi" w:cs="Arial"/>
        </w:rPr>
        <w:t xml:space="preserve">available </w:t>
      </w:r>
      <w:r w:rsidRPr="00184097">
        <w:rPr>
          <w:rFonts w:eastAsiaTheme="minorHAnsi" w:cs="Arial"/>
        </w:rPr>
        <w:t>ADA sample result</w:t>
      </w:r>
      <w:r>
        <w:rPr>
          <w:rFonts w:eastAsiaTheme="minorHAnsi" w:cs="Arial"/>
        </w:rPr>
        <w:t xml:space="preserve"> (</w:t>
      </w:r>
      <w:r w:rsidRPr="00184097">
        <w:rPr>
          <w:rFonts w:eastAsiaTheme="minorHAnsi" w:cs="Arial"/>
        </w:rPr>
        <w:t>39%</w:t>
      </w:r>
      <w:r w:rsidR="00B727AD">
        <w:rPr>
          <w:rFonts w:eastAsiaTheme="minorHAnsi" w:cs="Arial"/>
        </w:rPr>
        <w:t xml:space="preserve"> (</w:t>
      </w:r>
      <w:r w:rsidRPr="00184097">
        <w:rPr>
          <w:rFonts w:eastAsiaTheme="minorHAnsi" w:cs="Arial"/>
        </w:rPr>
        <w:t>n = 25</w:t>
      </w:r>
      <w:r w:rsidR="00B727AD">
        <w:rPr>
          <w:rFonts w:eastAsiaTheme="minorHAnsi" w:cs="Arial"/>
        </w:rPr>
        <w:t>)</w:t>
      </w:r>
      <w:r w:rsidRPr="00184097">
        <w:rPr>
          <w:rFonts w:eastAsiaTheme="minorHAnsi" w:cs="Arial"/>
        </w:rPr>
        <w:t xml:space="preserve"> in BN40898</w:t>
      </w:r>
      <w:r>
        <w:rPr>
          <w:rFonts w:eastAsiaTheme="minorHAnsi" w:cs="Arial"/>
        </w:rPr>
        <w:t xml:space="preserve"> </w:t>
      </w:r>
      <w:r w:rsidRPr="00184097">
        <w:rPr>
          <w:rFonts w:eastAsiaTheme="minorHAnsi" w:cs="Arial"/>
        </w:rPr>
        <w:t>and 56%</w:t>
      </w:r>
      <w:r w:rsidR="00B727AD">
        <w:rPr>
          <w:rFonts w:eastAsiaTheme="minorHAnsi" w:cs="Arial"/>
        </w:rPr>
        <w:t xml:space="preserve"> (</w:t>
      </w:r>
      <w:r w:rsidRPr="00184097">
        <w:rPr>
          <w:rFonts w:eastAsiaTheme="minorHAnsi" w:cs="Arial"/>
        </w:rPr>
        <w:t>n = 45</w:t>
      </w:r>
      <w:r w:rsidR="00B727AD">
        <w:rPr>
          <w:rFonts w:eastAsiaTheme="minorHAnsi" w:cs="Arial"/>
        </w:rPr>
        <w:t>)</w:t>
      </w:r>
      <w:r w:rsidRPr="00184097">
        <w:rPr>
          <w:rFonts w:eastAsiaTheme="minorHAnsi" w:cs="Arial"/>
        </w:rPr>
        <w:t xml:space="preserve"> in </w:t>
      </w:r>
      <w:r w:rsidR="0081641E">
        <w:rPr>
          <w:rFonts w:eastAsiaTheme="minorHAnsi" w:cs="Arial"/>
        </w:rPr>
        <w:t>Study </w:t>
      </w:r>
      <w:r w:rsidRPr="00184097">
        <w:rPr>
          <w:rFonts w:eastAsiaTheme="minorHAnsi" w:cs="Arial"/>
        </w:rPr>
        <w:t>BN40900</w:t>
      </w:r>
      <w:r>
        <w:rPr>
          <w:rFonts w:eastAsiaTheme="minorHAnsi" w:cs="Arial"/>
        </w:rPr>
        <w:t>),</w:t>
      </w:r>
      <w:r w:rsidR="0081641E">
        <w:rPr>
          <w:rFonts w:eastAsiaTheme="minorHAnsi" w:cs="Arial"/>
        </w:rPr>
        <w:t xml:space="preserve"> demonstrated treatment </w:t>
      </w:r>
      <w:r w:rsidRPr="00184097">
        <w:rPr>
          <w:rFonts w:eastAsiaTheme="minorHAnsi" w:cs="Arial"/>
        </w:rPr>
        <w:t>induced persistent ADAs up to</w:t>
      </w:r>
      <w:r>
        <w:rPr>
          <w:rFonts w:eastAsiaTheme="minorHAnsi" w:cs="Arial"/>
        </w:rPr>
        <w:t xml:space="preserve"> the</w:t>
      </w:r>
      <w:r w:rsidRPr="00184097">
        <w:rPr>
          <w:rFonts w:eastAsiaTheme="minorHAnsi" w:cs="Arial"/>
        </w:rPr>
        <w:t xml:space="preserve"> </w:t>
      </w:r>
      <w:r w:rsidR="0081641E">
        <w:rPr>
          <w:rFonts w:eastAsiaTheme="minorHAnsi" w:cs="Arial"/>
        </w:rPr>
        <w:t xml:space="preserve">clinical </w:t>
      </w:r>
      <w:proofErr w:type="spellStart"/>
      <w:r w:rsidR="0081641E">
        <w:rPr>
          <w:rFonts w:eastAsiaTheme="minorHAnsi" w:cs="Arial"/>
        </w:rPr>
        <w:t>cutoff</w:t>
      </w:r>
      <w:proofErr w:type="spellEnd"/>
      <w:r w:rsidR="0081641E">
        <w:rPr>
          <w:rFonts w:eastAsiaTheme="minorHAnsi" w:cs="Arial"/>
        </w:rPr>
        <w:t xml:space="preserve"> date</w:t>
      </w:r>
      <w:r w:rsidRPr="00184097">
        <w:rPr>
          <w:rFonts w:eastAsiaTheme="minorHAnsi" w:cs="Arial"/>
        </w:rPr>
        <w:t>.</w:t>
      </w:r>
      <w:r>
        <w:rPr>
          <w:rFonts w:eastAsiaTheme="minorHAnsi" w:cs="Arial"/>
        </w:rPr>
        <w:t xml:space="preserve"> S</w:t>
      </w:r>
      <w:r w:rsidRPr="00DB718A">
        <w:rPr>
          <w:rFonts w:eastAsiaTheme="minorHAnsi" w:cs="Arial"/>
          <w:color w:val="000000"/>
        </w:rPr>
        <w:t xml:space="preserve">imilar incidence was noted in paediatric </w:t>
      </w:r>
      <w:r>
        <w:rPr>
          <w:rFonts w:eastAsiaTheme="minorHAnsi" w:cs="Arial"/>
          <w:color w:val="000000"/>
        </w:rPr>
        <w:t xml:space="preserve">subjects in </w:t>
      </w:r>
      <w:r w:rsidR="00B727AD">
        <w:rPr>
          <w:rFonts w:eastAsiaTheme="minorHAnsi" w:cs="Arial"/>
          <w:color w:val="000000"/>
        </w:rPr>
        <w:t xml:space="preserve">Study </w:t>
      </w:r>
      <w:r>
        <w:rPr>
          <w:rFonts w:eastAsiaTheme="minorHAnsi" w:cs="Arial"/>
          <w:color w:val="000000"/>
        </w:rPr>
        <w:t>BN40898</w:t>
      </w:r>
      <w:r w:rsidRPr="00D77D66">
        <w:rPr>
          <w:rFonts w:eastAsiaTheme="minorHAnsi" w:cs="Arial"/>
        </w:rPr>
        <w:t xml:space="preserve">, with 71.4% (n = 5) adolescents </w:t>
      </w:r>
      <w:r w:rsidRPr="00DB718A">
        <w:rPr>
          <w:rFonts w:eastAsiaTheme="minorHAnsi" w:cs="Arial"/>
          <w:color w:val="000000"/>
        </w:rPr>
        <w:t xml:space="preserve">being ADA positive at </w:t>
      </w:r>
      <w:r w:rsidRPr="00E93BA4">
        <w:rPr>
          <w:rFonts w:eastAsiaTheme="minorHAnsi" w:cs="Arial"/>
        </w:rPr>
        <w:t>some time.</w:t>
      </w:r>
      <w:r>
        <w:rPr>
          <w:rFonts w:eastAsiaTheme="minorHAnsi" w:cs="Arial"/>
        </w:rPr>
        <w:t xml:space="preserve"> </w:t>
      </w:r>
      <w:r w:rsidRPr="00E93BA4">
        <w:rPr>
          <w:rFonts w:eastAsiaTheme="minorHAnsi" w:cs="Arial"/>
        </w:rPr>
        <w:t xml:space="preserve">Incidence of ADAs showed similar results for the vial and </w:t>
      </w:r>
      <w:r w:rsidR="00820C3F">
        <w:rPr>
          <w:rFonts w:eastAsiaTheme="minorHAnsi" w:cs="Arial"/>
        </w:rPr>
        <w:t>pre-filled syringe (</w:t>
      </w:r>
      <w:r w:rsidRPr="00E93BA4">
        <w:rPr>
          <w:rFonts w:eastAsiaTheme="minorHAnsi" w:cs="Arial"/>
        </w:rPr>
        <w:t>PFS</w:t>
      </w:r>
      <w:r w:rsidR="00820C3F">
        <w:rPr>
          <w:rFonts w:eastAsiaTheme="minorHAnsi" w:cs="Arial"/>
        </w:rPr>
        <w:t>)</w:t>
      </w:r>
      <w:r w:rsidRPr="00E93BA4">
        <w:rPr>
          <w:rFonts w:eastAsiaTheme="minorHAnsi" w:cs="Arial"/>
        </w:rPr>
        <w:t xml:space="preserve"> formulations.</w:t>
      </w:r>
      <w:r>
        <w:rPr>
          <w:rFonts w:eastAsiaTheme="minorHAnsi" w:cs="Arial"/>
        </w:rPr>
        <w:t xml:space="preserve"> ADAs were found with higher incidence in subjects </w:t>
      </w:r>
      <w:r w:rsidR="00B727AD">
        <w:rPr>
          <w:rFonts w:eastAsiaTheme="minorHAnsi" w:cs="Arial"/>
        </w:rPr>
        <w:t xml:space="preserve">with higher BW (that is </w:t>
      </w:r>
      <w:r>
        <w:rPr>
          <w:rFonts w:eastAsiaTheme="minorHAnsi" w:cs="Arial"/>
        </w:rPr>
        <w:t xml:space="preserve">lower exposure). ADAs led to </w:t>
      </w:r>
      <w:r w:rsidRPr="00184097">
        <w:rPr>
          <w:rFonts w:eastAsiaTheme="minorHAnsi" w:cs="Arial"/>
        </w:rPr>
        <w:t>lower</w:t>
      </w:r>
      <w:r>
        <w:rPr>
          <w:rFonts w:eastAsiaTheme="minorHAnsi" w:cs="Arial"/>
        </w:rPr>
        <w:t xml:space="preserve"> (13%)</w:t>
      </w:r>
      <w:r w:rsidRPr="00184097">
        <w:rPr>
          <w:rFonts w:eastAsiaTheme="minorHAnsi" w:cs="Arial"/>
        </w:rPr>
        <w:t xml:space="preserve"> SC bioavailability at all timepoints and an increase</w:t>
      </w:r>
      <w:r w:rsidRPr="00DC565D">
        <w:rPr>
          <w:rFonts w:eastAsiaTheme="minorHAnsi" w:cs="Arial"/>
        </w:rPr>
        <w:t xml:space="preserve"> </w:t>
      </w:r>
      <w:r>
        <w:rPr>
          <w:rFonts w:eastAsiaTheme="minorHAnsi" w:cs="Arial"/>
        </w:rPr>
        <w:t>(approx</w:t>
      </w:r>
      <w:r w:rsidR="00820C3F">
        <w:rPr>
          <w:rFonts w:eastAsiaTheme="minorHAnsi" w:cs="Arial"/>
        </w:rPr>
        <w:t>imately</w:t>
      </w:r>
      <w:r>
        <w:rPr>
          <w:rFonts w:eastAsiaTheme="minorHAnsi" w:cs="Arial"/>
        </w:rPr>
        <w:t xml:space="preserve"> </w:t>
      </w:r>
      <w:r w:rsidRPr="00184097">
        <w:rPr>
          <w:rFonts w:eastAsiaTheme="minorHAnsi" w:cs="Arial"/>
        </w:rPr>
        <w:t>20%</w:t>
      </w:r>
      <w:r>
        <w:rPr>
          <w:rFonts w:eastAsiaTheme="minorHAnsi" w:cs="Arial"/>
        </w:rPr>
        <w:t>)</w:t>
      </w:r>
      <w:r w:rsidRPr="00184097">
        <w:rPr>
          <w:rFonts w:eastAsiaTheme="minorHAnsi" w:cs="Arial"/>
        </w:rPr>
        <w:t xml:space="preserve"> in total clearance.</w:t>
      </w:r>
    </w:p>
    <w:p w14:paraId="068F4249" w14:textId="77777777" w:rsidR="00713B15" w:rsidRPr="00184097" w:rsidRDefault="00820C3F" w:rsidP="00713B15">
      <w:pPr>
        <w:autoSpaceDE w:val="0"/>
        <w:autoSpaceDN w:val="0"/>
        <w:adjustRightInd w:val="0"/>
        <w:rPr>
          <w:rFonts w:eastAsiaTheme="minorHAnsi" w:cs="Arial"/>
        </w:rPr>
      </w:pPr>
      <w:r>
        <w:rPr>
          <w:rFonts w:eastAsiaTheme="minorHAnsi" w:cs="Arial"/>
        </w:rPr>
        <w:t xml:space="preserve">Model </w:t>
      </w:r>
      <w:r w:rsidR="00713B15" w:rsidRPr="00184097">
        <w:rPr>
          <w:rFonts w:eastAsiaTheme="minorHAnsi" w:cs="Arial"/>
        </w:rPr>
        <w:t xml:space="preserve">predictions </w:t>
      </w:r>
      <w:r w:rsidR="00713B15">
        <w:rPr>
          <w:rFonts w:eastAsiaTheme="minorHAnsi" w:cs="Arial"/>
        </w:rPr>
        <w:t xml:space="preserve">following 120 mg SC </w:t>
      </w:r>
      <w:proofErr w:type="spellStart"/>
      <w:r w:rsidR="00B842FA">
        <w:rPr>
          <w:rFonts w:eastAsiaTheme="minorHAnsi" w:cs="Arial"/>
        </w:rPr>
        <w:t>satralizumab</w:t>
      </w:r>
      <w:proofErr w:type="spellEnd"/>
      <w:r>
        <w:rPr>
          <w:rFonts w:eastAsiaTheme="minorHAnsi" w:cs="Arial"/>
        </w:rPr>
        <w:t xml:space="preserve"> four </w:t>
      </w:r>
      <w:r w:rsidR="00713B15">
        <w:rPr>
          <w:rFonts w:eastAsiaTheme="minorHAnsi" w:cs="Arial"/>
        </w:rPr>
        <w:t xml:space="preserve">weekly dosing, at steady-state, </w:t>
      </w:r>
      <w:r w:rsidR="00713B15" w:rsidRPr="00184097">
        <w:rPr>
          <w:rFonts w:eastAsiaTheme="minorHAnsi" w:cs="Arial"/>
        </w:rPr>
        <w:t>indicate</w:t>
      </w:r>
      <w:r w:rsidR="00713B15">
        <w:rPr>
          <w:rFonts w:eastAsiaTheme="minorHAnsi" w:cs="Arial"/>
        </w:rPr>
        <w:t>d</w:t>
      </w:r>
      <w:r w:rsidR="00713B15" w:rsidRPr="00184097">
        <w:rPr>
          <w:rFonts w:eastAsiaTheme="minorHAnsi" w:cs="Arial"/>
        </w:rPr>
        <w:t xml:space="preserve"> high median IL-6R occupancy (RO) in ADA</w:t>
      </w:r>
      <w:r w:rsidR="00713B15">
        <w:rPr>
          <w:rFonts w:eastAsiaTheme="minorHAnsi" w:cs="Arial"/>
        </w:rPr>
        <w:t>-</w:t>
      </w:r>
      <w:r w:rsidR="00713B15" w:rsidRPr="00184097">
        <w:rPr>
          <w:rFonts w:eastAsiaTheme="minorHAnsi" w:cs="Arial"/>
        </w:rPr>
        <w:t xml:space="preserve">positive </w:t>
      </w:r>
      <w:r w:rsidR="00713B15">
        <w:rPr>
          <w:rFonts w:eastAsiaTheme="minorHAnsi" w:cs="Arial"/>
        </w:rPr>
        <w:t>subjects</w:t>
      </w:r>
      <w:r w:rsidR="00713B15" w:rsidRPr="00184097">
        <w:rPr>
          <w:rFonts w:eastAsiaTheme="minorHAnsi" w:cs="Arial"/>
        </w:rPr>
        <w:t xml:space="preserve">, close to 100% at peak, and maintained at </w:t>
      </w:r>
      <w:r w:rsidR="00C33C22">
        <w:rPr>
          <w:rFonts w:eastAsiaTheme="minorHAnsi" w:cs="Arial"/>
        </w:rPr>
        <w:t>approximately</w:t>
      </w:r>
      <w:r w:rsidR="00713B15" w:rsidRPr="00184097">
        <w:rPr>
          <w:rFonts w:eastAsiaTheme="minorHAnsi" w:cs="Arial"/>
        </w:rPr>
        <w:t xml:space="preserve"> 95% at trough</w:t>
      </w:r>
      <w:r w:rsidR="00713B15">
        <w:rPr>
          <w:rFonts w:eastAsiaTheme="minorHAnsi" w:cs="Arial"/>
        </w:rPr>
        <w:t xml:space="preserve"> </w:t>
      </w:r>
      <w:r w:rsidR="00246728">
        <w:rPr>
          <w:rFonts w:eastAsiaTheme="minorHAnsi" w:cs="Arial"/>
        </w:rPr>
        <w:t>versus</w:t>
      </w:r>
      <w:r w:rsidR="00713B15">
        <w:rPr>
          <w:rFonts w:eastAsiaTheme="minorHAnsi" w:cs="Arial"/>
        </w:rPr>
        <w:t xml:space="preserve"> </w:t>
      </w:r>
      <w:r w:rsidR="00713B15" w:rsidRPr="00184097">
        <w:rPr>
          <w:rFonts w:eastAsiaTheme="minorHAnsi" w:cs="Arial"/>
        </w:rPr>
        <w:t xml:space="preserve">ADA-negative </w:t>
      </w:r>
      <w:r w:rsidR="00713B15">
        <w:rPr>
          <w:rFonts w:eastAsiaTheme="minorHAnsi" w:cs="Arial"/>
        </w:rPr>
        <w:t>subjects</w:t>
      </w:r>
      <w:r w:rsidR="00713B15" w:rsidRPr="00184097">
        <w:rPr>
          <w:rFonts w:eastAsiaTheme="minorHAnsi" w:cs="Arial"/>
        </w:rPr>
        <w:t xml:space="preserve"> who maintained values close to 100% throughout the dose interval</w:t>
      </w:r>
      <w:r w:rsidR="00713B15">
        <w:rPr>
          <w:rFonts w:eastAsiaTheme="minorHAnsi" w:cs="Arial"/>
        </w:rPr>
        <w:t>. These findings indicated that there was high saturation of the nonlinear elimination pathway during the whole dosing period.</w:t>
      </w:r>
    </w:p>
    <w:p w14:paraId="40EE8C3D" w14:textId="77777777" w:rsidR="00713B15" w:rsidRPr="00515277" w:rsidRDefault="00B727AD" w:rsidP="00B542D2">
      <w:pPr>
        <w:pStyle w:val="Heading6"/>
      </w:pPr>
      <w:r>
        <w:t>Conclusions on pharma</w:t>
      </w:r>
      <w:r w:rsidR="00E84BD8">
        <w:t>co</w:t>
      </w:r>
      <w:r>
        <w:t>kinetics</w:t>
      </w:r>
    </w:p>
    <w:p w14:paraId="1A86CFF6" w14:textId="77777777" w:rsidR="00637AEF" w:rsidRDefault="00637AEF" w:rsidP="00637AEF">
      <w:r>
        <w:t>Model-estimated PK parameters, such as half-life, time to steady state and volume of distribution were generally consistent with the results from designated PK studies.</w:t>
      </w:r>
    </w:p>
    <w:p w14:paraId="40E4D500" w14:textId="77777777" w:rsidR="00637AEF" w:rsidRDefault="00637AEF" w:rsidP="00637AEF">
      <w:r>
        <w:t xml:space="preserve">The key assumptions in the development of the final </w:t>
      </w:r>
      <w:proofErr w:type="spellStart"/>
      <w:r>
        <w:t>PopPK</w:t>
      </w:r>
      <w:proofErr w:type="spellEnd"/>
      <w:r>
        <w:t xml:space="preserve"> model appeared to be reasonable and the sponsor’s conclusions appeared to be supported by the data. No dose-adjustment is necessary based on sex, race, mild renal </w:t>
      </w:r>
      <w:proofErr w:type="gramStart"/>
      <w:r>
        <w:t>impairment</w:t>
      </w:r>
      <w:proofErr w:type="gramEnd"/>
      <w:r>
        <w:t xml:space="preserve"> or formulation (vial versus </w:t>
      </w:r>
      <w:r w:rsidR="00820C3F">
        <w:t>PFS</w:t>
      </w:r>
      <w:r>
        <w:t>)</w:t>
      </w:r>
    </w:p>
    <w:p w14:paraId="25CC4987" w14:textId="22DEE19A" w:rsidR="00637AEF" w:rsidRDefault="00637AEF" w:rsidP="00637AEF">
      <w:r>
        <w:t>Correlations between higher body weight, lower exposure and higher probability of developing ADAs were observed in adults and adolescents.</w:t>
      </w:r>
      <w:r w:rsidR="00F96A4D">
        <w:t xml:space="preserve"> </w:t>
      </w:r>
      <w:r w:rsidR="00E9697B">
        <w:t>This may have implication for efficacy and safety.</w:t>
      </w:r>
      <w:r>
        <w:t xml:space="preserve"> Also, a greater proportion of adolescents (71.4%) developed ADAs compared with all pooled adult (approximately 52%) subjects across the double blind and open label aspects of each Phase III study. However, this finding should be interpreted with caution, given the small number of adolescent sub</w:t>
      </w:r>
      <w:r w:rsidR="00820C3F">
        <w:t>jects who participated in Study </w:t>
      </w:r>
      <w:r>
        <w:t>BN40898.</w:t>
      </w:r>
    </w:p>
    <w:p w14:paraId="292D826E" w14:textId="77777777" w:rsidR="00637AEF" w:rsidRDefault="00637AEF" w:rsidP="00637AEF">
      <w:r>
        <w:t>PK parameters were generally consistent with tocilizumab (an IL6 inhibitor) except for linear clearance, which was in the lower range (as designed through protein engineering)</w:t>
      </w:r>
      <w:r w:rsidR="00582EEA">
        <w:t>.</w:t>
      </w:r>
    </w:p>
    <w:p w14:paraId="51F18D40" w14:textId="77777777" w:rsidR="00E84BD8" w:rsidRDefault="001A1E56" w:rsidP="00B542D2">
      <w:pPr>
        <w:pStyle w:val="Heading6"/>
      </w:pPr>
      <w:r>
        <w:t>Conditions of approval</w:t>
      </w:r>
    </w:p>
    <w:p w14:paraId="3AC4C18B" w14:textId="77777777" w:rsidR="001A1E56" w:rsidRDefault="001A1E56" w:rsidP="001A1E56">
      <w:r>
        <w:t>The Delegate had recommended the following as condition of approval.</w:t>
      </w:r>
    </w:p>
    <w:p w14:paraId="2941BD8D" w14:textId="77777777" w:rsidR="001A1E56" w:rsidRDefault="001A1E56" w:rsidP="001A1E56">
      <w:r>
        <w:t>The sponsor undertaking to:</w:t>
      </w:r>
    </w:p>
    <w:p w14:paraId="5A118BB5" w14:textId="30864965" w:rsidR="001A1E56" w:rsidRDefault="00B704BA" w:rsidP="001A1E56">
      <w:pPr>
        <w:pStyle w:val="ListBullet"/>
      </w:pPr>
      <w:r>
        <w:t xml:space="preserve">have </w:t>
      </w:r>
      <w:r w:rsidR="001A1E56">
        <w:t>closer examination of the statistical power of the studies to elucidate the sub-group analyses for efficacy per weight;</w:t>
      </w:r>
      <w:r>
        <w:t xml:space="preserve"> and</w:t>
      </w:r>
    </w:p>
    <w:p w14:paraId="6E299583" w14:textId="26AE75C0" w:rsidR="00E84BD8" w:rsidRDefault="00B704BA" w:rsidP="00637AEF">
      <w:pPr>
        <w:pStyle w:val="ListBullet"/>
      </w:pPr>
      <w:r>
        <w:t>to c</w:t>
      </w:r>
      <w:r w:rsidR="001A1E56">
        <w:t xml:space="preserve">arry out exploration of the optimal receptor occupancy related to therapeutic efficacy, </w:t>
      </w:r>
      <w:proofErr w:type="gramStart"/>
      <w:r w:rsidR="001A1E56">
        <w:t>so as to</w:t>
      </w:r>
      <w:proofErr w:type="gramEnd"/>
      <w:r w:rsidR="001A1E56">
        <w:t xml:space="preserve"> inform whether exposures in certain weight groups is more than required for the chosen dosage regimen.</w:t>
      </w:r>
    </w:p>
    <w:p w14:paraId="4C59BEF8" w14:textId="442394EF" w:rsidR="0089375B" w:rsidRDefault="0089375B" w:rsidP="00B542D2">
      <w:pPr>
        <w:pStyle w:val="Heading5"/>
      </w:pPr>
      <w:r>
        <w:lastRenderedPageBreak/>
        <w:t>Pharmacodynamic</w:t>
      </w:r>
      <w:r w:rsidR="00B704BA">
        <w:t>s</w:t>
      </w:r>
    </w:p>
    <w:p w14:paraId="2A001E04" w14:textId="72B5C8F0" w:rsidR="0089375B" w:rsidRDefault="0089375B" w:rsidP="0089375B">
      <w:r>
        <w:t xml:space="preserve">The submitted </w:t>
      </w:r>
      <w:r w:rsidR="00B704BA">
        <w:t>p</w:t>
      </w:r>
      <w:r w:rsidR="00820C3F">
        <w:t>harmacodynamic (</w:t>
      </w:r>
      <w:r>
        <w:t>PD</w:t>
      </w:r>
      <w:r w:rsidR="00820C3F">
        <w:t>)</w:t>
      </w:r>
      <w:r>
        <w:t xml:space="preserve"> s</w:t>
      </w:r>
      <w:r w:rsidR="00B542D2">
        <w:t xml:space="preserve">tudies are summarised in </w:t>
      </w:r>
      <w:r w:rsidR="00B542D2">
        <w:fldChar w:fldCharType="begin"/>
      </w:r>
      <w:r w:rsidR="00B542D2">
        <w:instrText xml:space="preserve"> REF _Ref72920480 \h </w:instrText>
      </w:r>
      <w:r w:rsidR="00B542D2">
        <w:fldChar w:fldCharType="separate"/>
      </w:r>
      <w:r w:rsidR="009340CF" w:rsidRPr="0089375B">
        <w:t xml:space="preserve">Table </w:t>
      </w:r>
      <w:r w:rsidR="009340CF">
        <w:rPr>
          <w:noProof/>
        </w:rPr>
        <w:t>3</w:t>
      </w:r>
      <w:r w:rsidR="00B542D2">
        <w:fldChar w:fldCharType="end"/>
      </w:r>
      <w:r>
        <w:t>. Since much PD data in this app</w:t>
      </w:r>
      <w:r w:rsidR="00B542D2">
        <w:t>lication were derived from the P</w:t>
      </w:r>
      <w:r>
        <w:t>hase III studies in NMO and NMOSD (</w:t>
      </w:r>
      <w:r w:rsidR="00B542D2">
        <w:t>Study BN40900 and BN40898).</w:t>
      </w:r>
    </w:p>
    <w:p w14:paraId="618C44D6" w14:textId="60E45A85" w:rsidR="0089375B" w:rsidRDefault="0089375B" w:rsidP="0089375B">
      <w:pPr>
        <w:pStyle w:val="TableTitle"/>
      </w:pPr>
      <w:bookmarkStart w:id="44" w:name="_Ref72920480"/>
      <w:r w:rsidRPr="0089375B">
        <w:t xml:space="preserve">Table </w:t>
      </w:r>
      <w:fldSimple w:instr=" SEQ Table \* ARABIC ">
        <w:r w:rsidR="009340CF">
          <w:rPr>
            <w:noProof/>
          </w:rPr>
          <w:t>3</w:t>
        </w:r>
      </w:fldSimple>
      <w:bookmarkEnd w:id="44"/>
      <w:r>
        <w:t>: Studies providing pharmacodynamics information</w:t>
      </w:r>
    </w:p>
    <w:tbl>
      <w:tblPr>
        <w:tblStyle w:val="TableTGAblue"/>
        <w:tblW w:w="5000" w:type="pct"/>
        <w:tblLook w:val="04A0" w:firstRow="1" w:lastRow="0" w:firstColumn="1" w:lastColumn="0" w:noHBand="0" w:noVBand="1"/>
      </w:tblPr>
      <w:tblGrid>
        <w:gridCol w:w="2386"/>
        <w:gridCol w:w="2879"/>
        <w:gridCol w:w="2576"/>
        <w:gridCol w:w="643"/>
      </w:tblGrid>
      <w:tr w:rsidR="0089375B" w:rsidRPr="00C37A1D" w14:paraId="44CA5A21" w14:textId="77777777" w:rsidTr="0089375B">
        <w:trPr>
          <w:cnfStyle w:val="100000000000" w:firstRow="1" w:lastRow="0" w:firstColumn="0" w:lastColumn="0" w:oddVBand="0" w:evenVBand="0" w:oddHBand="0" w:evenHBand="0" w:firstRowFirstColumn="0" w:firstRowLastColumn="0" w:lastRowFirstColumn="0" w:lastRowLastColumn="0"/>
        </w:trPr>
        <w:tc>
          <w:tcPr>
            <w:tcW w:w="1407" w:type="pct"/>
            <w:tcBorders>
              <w:bottom w:val="single" w:sz="4" w:space="0" w:color="auto"/>
            </w:tcBorders>
          </w:tcPr>
          <w:p w14:paraId="5D39A739" w14:textId="77777777" w:rsidR="0089375B" w:rsidRPr="00C37A1D" w:rsidRDefault="0089375B" w:rsidP="00D34923">
            <w:pPr>
              <w:pStyle w:val="Tabletext"/>
              <w:rPr>
                <w:b w:val="0"/>
              </w:rPr>
            </w:pPr>
            <w:r w:rsidRPr="00C37A1D">
              <w:t>PD Topic</w:t>
            </w:r>
          </w:p>
        </w:tc>
        <w:tc>
          <w:tcPr>
            <w:tcW w:w="1697" w:type="pct"/>
          </w:tcPr>
          <w:p w14:paraId="07D11B9D" w14:textId="77777777" w:rsidR="0089375B" w:rsidRPr="00C37A1D" w:rsidRDefault="0089375B" w:rsidP="00D34923">
            <w:pPr>
              <w:pStyle w:val="Tabletext"/>
              <w:rPr>
                <w:b w:val="0"/>
              </w:rPr>
            </w:pPr>
            <w:r w:rsidRPr="00C37A1D">
              <w:t>Subtopic</w:t>
            </w:r>
          </w:p>
        </w:tc>
        <w:tc>
          <w:tcPr>
            <w:tcW w:w="1518" w:type="pct"/>
          </w:tcPr>
          <w:p w14:paraId="7C1D0AB5" w14:textId="77777777" w:rsidR="0089375B" w:rsidRPr="00C37A1D" w:rsidRDefault="0089375B" w:rsidP="00D34923">
            <w:pPr>
              <w:pStyle w:val="Tabletext"/>
              <w:rPr>
                <w:b w:val="0"/>
              </w:rPr>
            </w:pPr>
            <w:r w:rsidRPr="00C37A1D">
              <w:t>Study ID</w:t>
            </w:r>
          </w:p>
        </w:tc>
        <w:tc>
          <w:tcPr>
            <w:tcW w:w="379" w:type="pct"/>
          </w:tcPr>
          <w:p w14:paraId="0130B632" w14:textId="77777777" w:rsidR="0089375B" w:rsidRPr="00C37A1D" w:rsidRDefault="0089375B" w:rsidP="00D34923">
            <w:pPr>
              <w:pStyle w:val="Tabletext"/>
              <w:rPr>
                <w:b w:val="0"/>
              </w:rPr>
            </w:pPr>
            <w:r w:rsidRPr="00C37A1D">
              <w:t>*</w:t>
            </w:r>
          </w:p>
        </w:tc>
      </w:tr>
      <w:tr w:rsidR="0089375B" w:rsidRPr="00C37A1D" w14:paraId="54CCDFEE" w14:textId="77777777" w:rsidTr="0089375B">
        <w:tc>
          <w:tcPr>
            <w:tcW w:w="1407" w:type="pct"/>
            <w:tcBorders>
              <w:top w:val="single" w:sz="4" w:space="0" w:color="auto"/>
              <w:left w:val="single" w:sz="4" w:space="0" w:color="auto"/>
              <w:bottom w:val="nil"/>
              <w:right w:val="single" w:sz="4" w:space="0" w:color="auto"/>
            </w:tcBorders>
          </w:tcPr>
          <w:p w14:paraId="21F08626" w14:textId="77777777" w:rsidR="0089375B" w:rsidRPr="0089375B" w:rsidRDefault="0089375B" w:rsidP="00D34923">
            <w:pPr>
              <w:pStyle w:val="Tabletext"/>
              <w:keepNext/>
            </w:pPr>
            <w:r w:rsidRPr="0089375B">
              <w:t>Primary Pharmacology</w:t>
            </w:r>
          </w:p>
        </w:tc>
        <w:tc>
          <w:tcPr>
            <w:tcW w:w="1697" w:type="pct"/>
            <w:tcBorders>
              <w:left w:val="single" w:sz="4" w:space="0" w:color="auto"/>
            </w:tcBorders>
          </w:tcPr>
          <w:p w14:paraId="23571CCC" w14:textId="77777777" w:rsidR="0089375B" w:rsidRPr="00C37A1D" w:rsidRDefault="0089375B" w:rsidP="00D34923">
            <w:pPr>
              <w:pStyle w:val="Tabletext"/>
              <w:keepNext/>
            </w:pPr>
            <w:r w:rsidRPr="00C37A1D">
              <w:t xml:space="preserve">Effect on </w:t>
            </w:r>
            <w:r>
              <w:t>serum IL-6</w:t>
            </w:r>
          </w:p>
        </w:tc>
        <w:tc>
          <w:tcPr>
            <w:tcW w:w="1518" w:type="pct"/>
          </w:tcPr>
          <w:p w14:paraId="5FF89267" w14:textId="77777777" w:rsidR="0089375B" w:rsidRDefault="0089375B" w:rsidP="00D34923">
            <w:pPr>
              <w:pStyle w:val="Tabletext"/>
              <w:keepNext/>
            </w:pPr>
            <w:r>
              <w:t>SA-001JP</w:t>
            </w:r>
          </w:p>
          <w:p w14:paraId="5E156085" w14:textId="77777777" w:rsidR="0089375B" w:rsidRPr="00C37A1D" w:rsidRDefault="0089375B" w:rsidP="00D34923">
            <w:pPr>
              <w:pStyle w:val="Tabletext"/>
              <w:keepNext/>
            </w:pPr>
            <w:r>
              <w:t>SA-105JP</w:t>
            </w:r>
          </w:p>
        </w:tc>
        <w:tc>
          <w:tcPr>
            <w:tcW w:w="379" w:type="pct"/>
          </w:tcPr>
          <w:p w14:paraId="7524A5C1" w14:textId="77777777" w:rsidR="0089375B" w:rsidRDefault="0089375B" w:rsidP="00D34923">
            <w:pPr>
              <w:pStyle w:val="Tabletext"/>
              <w:keepNext/>
              <w:jc w:val="center"/>
            </w:pPr>
            <w:r>
              <w:t>*</w:t>
            </w:r>
          </w:p>
          <w:p w14:paraId="19F7DC58" w14:textId="77777777" w:rsidR="0089375B" w:rsidRPr="00C37A1D" w:rsidRDefault="0089375B" w:rsidP="00D34923">
            <w:pPr>
              <w:pStyle w:val="Tabletext"/>
              <w:keepNext/>
              <w:jc w:val="center"/>
            </w:pPr>
            <w:r>
              <w:t>*</w:t>
            </w:r>
          </w:p>
        </w:tc>
      </w:tr>
      <w:tr w:rsidR="0089375B" w:rsidRPr="00C37A1D" w14:paraId="7F39FAE9" w14:textId="77777777" w:rsidTr="0089375B">
        <w:tc>
          <w:tcPr>
            <w:tcW w:w="1407" w:type="pct"/>
            <w:tcBorders>
              <w:top w:val="nil"/>
              <w:left w:val="single" w:sz="4" w:space="0" w:color="auto"/>
              <w:bottom w:val="single" w:sz="4" w:space="0" w:color="auto"/>
              <w:right w:val="single" w:sz="4" w:space="0" w:color="auto"/>
            </w:tcBorders>
          </w:tcPr>
          <w:p w14:paraId="52B77DA2" w14:textId="77777777" w:rsidR="0089375B" w:rsidRPr="0089375B" w:rsidRDefault="0089375B" w:rsidP="00D34923">
            <w:pPr>
              <w:pStyle w:val="Tabletext"/>
              <w:keepNext/>
            </w:pPr>
          </w:p>
        </w:tc>
        <w:tc>
          <w:tcPr>
            <w:tcW w:w="1697" w:type="pct"/>
            <w:tcBorders>
              <w:left w:val="single" w:sz="4" w:space="0" w:color="auto"/>
            </w:tcBorders>
          </w:tcPr>
          <w:p w14:paraId="645B9753" w14:textId="77777777" w:rsidR="0089375B" w:rsidRPr="00C37A1D" w:rsidRDefault="0089375B" w:rsidP="00D34923">
            <w:pPr>
              <w:pStyle w:val="Tabletext"/>
              <w:keepNext/>
            </w:pPr>
            <w:r w:rsidRPr="00C37A1D">
              <w:t xml:space="preserve">Effect on </w:t>
            </w:r>
            <w:r>
              <w:t>serum sIL-R6</w:t>
            </w:r>
          </w:p>
        </w:tc>
        <w:tc>
          <w:tcPr>
            <w:tcW w:w="1518" w:type="pct"/>
          </w:tcPr>
          <w:p w14:paraId="28C94570" w14:textId="77777777" w:rsidR="0089375B" w:rsidRDefault="0089375B" w:rsidP="00D34923">
            <w:pPr>
              <w:pStyle w:val="Tabletext"/>
              <w:keepNext/>
            </w:pPr>
            <w:r>
              <w:t>SA-001JP</w:t>
            </w:r>
          </w:p>
          <w:p w14:paraId="4C799DF2" w14:textId="77777777" w:rsidR="0089375B" w:rsidRDefault="0089375B" w:rsidP="00D34923">
            <w:pPr>
              <w:pStyle w:val="Tabletext"/>
              <w:keepNext/>
            </w:pPr>
            <w:r>
              <w:t>SA-105JP</w:t>
            </w:r>
          </w:p>
        </w:tc>
        <w:tc>
          <w:tcPr>
            <w:tcW w:w="379" w:type="pct"/>
          </w:tcPr>
          <w:p w14:paraId="70AD38F5" w14:textId="77777777" w:rsidR="0089375B" w:rsidRDefault="0089375B" w:rsidP="00D34923">
            <w:pPr>
              <w:pStyle w:val="Tabletext"/>
              <w:keepNext/>
              <w:jc w:val="center"/>
            </w:pPr>
            <w:r>
              <w:t>*</w:t>
            </w:r>
          </w:p>
          <w:p w14:paraId="406F0C5C" w14:textId="77777777" w:rsidR="0089375B" w:rsidRPr="00C37A1D" w:rsidRDefault="0089375B" w:rsidP="00D34923">
            <w:pPr>
              <w:pStyle w:val="Tabletext"/>
              <w:keepNext/>
              <w:jc w:val="center"/>
            </w:pPr>
            <w:r>
              <w:t>*</w:t>
            </w:r>
          </w:p>
        </w:tc>
      </w:tr>
      <w:tr w:rsidR="0089375B" w:rsidRPr="00C37A1D" w14:paraId="4727BB59" w14:textId="77777777" w:rsidTr="0089375B">
        <w:tc>
          <w:tcPr>
            <w:tcW w:w="1407" w:type="pct"/>
            <w:tcBorders>
              <w:top w:val="single" w:sz="4" w:space="0" w:color="auto"/>
              <w:left w:val="single" w:sz="4" w:space="0" w:color="auto"/>
              <w:bottom w:val="nil"/>
              <w:right w:val="single" w:sz="4" w:space="0" w:color="auto"/>
            </w:tcBorders>
          </w:tcPr>
          <w:p w14:paraId="6E5BC683" w14:textId="77777777" w:rsidR="0089375B" w:rsidRPr="0089375B" w:rsidRDefault="0089375B" w:rsidP="00D34923">
            <w:pPr>
              <w:pStyle w:val="Tabletext"/>
              <w:keepNext/>
            </w:pPr>
            <w:r w:rsidRPr="0089375B">
              <w:t>Secondary Pharmacology</w:t>
            </w:r>
          </w:p>
        </w:tc>
        <w:tc>
          <w:tcPr>
            <w:tcW w:w="1697" w:type="pct"/>
            <w:tcBorders>
              <w:left w:val="single" w:sz="4" w:space="0" w:color="auto"/>
            </w:tcBorders>
          </w:tcPr>
          <w:p w14:paraId="51DB71D2" w14:textId="77777777" w:rsidR="0089375B" w:rsidRPr="00C37A1D" w:rsidRDefault="0089375B" w:rsidP="00D34923">
            <w:pPr>
              <w:pStyle w:val="Tabletext"/>
              <w:keepNext/>
            </w:pPr>
            <w:r w:rsidRPr="00C37A1D">
              <w:t xml:space="preserve">Effect on </w:t>
            </w:r>
            <w:r>
              <w:t>QT interval</w:t>
            </w:r>
          </w:p>
        </w:tc>
        <w:tc>
          <w:tcPr>
            <w:tcW w:w="1518" w:type="pct"/>
          </w:tcPr>
          <w:p w14:paraId="6AAA6439" w14:textId="77777777" w:rsidR="0089375B" w:rsidRPr="00C37A1D" w:rsidRDefault="0089375B" w:rsidP="00D34923">
            <w:pPr>
              <w:pStyle w:val="Tabletext"/>
              <w:keepNext/>
            </w:pPr>
            <w:r>
              <w:t>Pop PD</w:t>
            </w:r>
          </w:p>
        </w:tc>
        <w:tc>
          <w:tcPr>
            <w:tcW w:w="379" w:type="pct"/>
          </w:tcPr>
          <w:p w14:paraId="25D3BDDE" w14:textId="77777777" w:rsidR="0089375B" w:rsidRPr="00C37A1D" w:rsidRDefault="0089375B" w:rsidP="00D34923">
            <w:pPr>
              <w:pStyle w:val="Tabletext"/>
              <w:keepNext/>
              <w:jc w:val="center"/>
            </w:pPr>
          </w:p>
        </w:tc>
      </w:tr>
      <w:tr w:rsidR="0089375B" w:rsidRPr="00C37A1D" w14:paraId="28A0F9F4" w14:textId="77777777" w:rsidTr="0089375B">
        <w:tc>
          <w:tcPr>
            <w:tcW w:w="1407" w:type="pct"/>
            <w:tcBorders>
              <w:top w:val="nil"/>
              <w:left w:val="single" w:sz="4" w:space="0" w:color="auto"/>
              <w:bottom w:val="nil"/>
              <w:right w:val="single" w:sz="4" w:space="0" w:color="auto"/>
            </w:tcBorders>
          </w:tcPr>
          <w:p w14:paraId="5A4B2D08" w14:textId="77777777" w:rsidR="0089375B" w:rsidRPr="0089375B" w:rsidRDefault="0089375B" w:rsidP="00D34923">
            <w:pPr>
              <w:pStyle w:val="Tabletext"/>
              <w:keepNext/>
            </w:pPr>
          </w:p>
        </w:tc>
        <w:tc>
          <w:tcPr>
            <w:tcW w:w="1697" w:type="pct"/>
            <w:tcBorders>
              <w:left w:val="single" w:sz="4" w:space="0" w:color="auto"/>
            </w:tcBorders>
          </w:tcPr>
          <w:p w14:paraId="110B74BC" w14:textId="77777777" w:rsidR="0089375B" w:rsidRPr="00C37A1D" w:rsidRDefault="0089375B" w:rsidP="00D34923">
            <w:pPr>
              <w:pStyle w:val="Tabletext"/>
              <w:keepNext/>
            </w:pPr>
            <w:r w:rsidRPr="00C37A1D">
              <w:t xml:space="preserve">Effect on </w:t>
            </w:r>
            <w:r>
              <w:t>serum CRP</w:t>
            </w:r>
          </w:p>
        </w:tc>
        <w:tc>
          <w:tcPr>
            <w:tcW w:w="1518" w:type="pct"/>
          </w:tcPr>
          <w:p w14:paraId="7F8A0831" w14:textId="77777777" w:rsidR="0089375B" w:rsidRDefault="0089375B" w:rsidP="00D34923">
            <w:pPr>
              <w:pStyle w:val="Tabletext"/>
              <w:keepNext/>
            </w:pPr>
            <w:r>
              <w:t>SA-001JP</w:t>
            </w:r>
          </w:p>
          <w:p w14:paraId="6D692CF8" w14:textId="77777777" w:rsidR="0089375B" w:rsidRPr="00C37A1D" w:rsidRDefault="0089375B" w:rsidP="00D34923">
            <w:pPr>
              <w:pStyle w:val="Tabletext"/>
              <w:keepNext/>
            </w:pPr>
            <w:r>
              <w:t>SA-105JP</w:t>
            </w:r>
          </w:p>
        </w:tc>
        <w:tc>
          <w:tcPr>
            <w:tcW w:w="379" w:type="pct"/>
          </w:tcPr>
          <w:p w14:paraId="76EF18F5" w14:textId="77777777" w:rsidR="0089375B" w:rsidRDefault="0089375B" w:rsidP="00D34923">
            <w:pPr>
              <w:pStyle w:val="Tabletext"/>
              <w:keepNext/>
              <w:jc w:val="center"/>
            </w:pPr>
            <w:r>
              <w:t>*</w:t>
            </w:r>
          </w:p>
          <w:p w14:paraId="4D9D5A60" w14:textId="77777777" w:rsidR="0089375B" w:rsidRPr="00C37A1D" w:rsidRDefault="0089375B" w:rsidP="00D34923">
            <w:pPr>
              <w:pStyle w:val="Tabletext"/>
              <w:keepNext/>
              <w:jc w:val="center"/>
            </w:pPr>
            <w:r>
              <w:t>*</w:t>
            </w:r>
          </w:p>
        </w:tc>
      </w:tr>
      <w:tr w:rsidR="0089375B" w:rsidRPr="00C37A1D" w14:paraId="4CF48C63" w14:textId="77777777" w:rsidTr="0089375B">
        <w:tc>
          <w:tcPr>
            <w:tcW w:w="1407" w:type="pct"/>
            <w:tcBorders>
              <w:top w:val="nil"/>
              <w:left w:val="single" w:sz="4" w:space="0" w:color="auto"/>
              <w:bottom w:val="nil"/>
              <w:right w:val="single" w:sz="4" w:space="0" w:color="auto"/>
            </w:tcBorders>
          </w:tcPr>
          <w:p w14:paraId="42A1E0C1" w14:textId="77777777" w:rsidR="0089375B" w:rsidRPr="0089375B" w:rsidRDefault="0089375B" w:rsidP="00D34923">
            <w:pPr>
              <w:pStyle w:val="Tabletext"/>
              <w:keepNext/>
            </w:pPr>
          </w:p>
        </w:tc>
        <w:tc>
          <w:tcPr>
            <w:tcW w:w="1697" w:type="pct"/>
            <w:tcBorders>
              <w:left w:val="single" w:sz="4" w:space="0" w:color="auto"/>
            </w:tcBorders>
          </w:tcPr>
          <w:p w14:paraId="57382128" w14:textId="77777777" w:rsidR="0089375B" w:rsidRPr="00C37A1D" w:rsidRDefault="0089375B" w:rsidP="00D34923">
            <w:pPr>
              <w:pStyle w:val="Tabletext"/>
              <w:keepNext/>
            </w:pPr>
            <w:r w:rsidRPr="00C37A1D">
              <w:t xml:space="preserve">Effect on </w:t>
            </w:r>
            <w:r>
              <w:t>serum complement (CH50, C3, C4)</w:t>
            </w:r>
          </w:p>
        </w:tc>
        <w:tc>
          <w:tcPr>
            <w:tcW w:w="1518" w:type="pct"/>
          </w:tcPr>
          <w:p w14:paraId="1F5CDB97" w14:textId="77777777" w:rsidR="0089375B" w:rsidRPr="00C37A1D" w:rsidRDefault="0089375B" w:rsidP="00D34923">
            <w:pPr>
              <w:pStyle w:val="Tabletext"/>
              <w:keepNext/>
            </w:pPr>
            <w:r>
              <w:t>SA-001JP</w:t>
            </w:r>
          </w:p>
        </w:tc>
        <w:tc>
          <w:tcPr>
            <w:tcW w:w="379" w:type="pct"/>
          </w:tcPr>
          <w:p w14:paraId="48610473" w14:textId="77777777" w:rsidR="0089375B" w:rsidRPr="00C37A1D" w:rsidRDefault="0089375B" w:rsidP="00D34923">
            <w:pPr>
              <w:pStyle w:val="Tabletext"/>
              <w:keepNext/>
              <w:jc w:val="center"/>
            </w:pPr>
            <w:r>
              <w:t>*</w:t>
            </w:r>
          </w:p>
        </w:tc>
      </w:tr>
      <w:tr w:rsidR="0089375B" w:rsidRPr="00C37A1D" w14:paraId="4EFDEFB0" w14:textId="77777777" w:rsidTr="0089375B">
        <w:tc>
          <w:tcPr>
            <w:tcW w:w="1407" w:type="pct"/>
            <w:tcBorders>
              <w:top w:val="nil"/>
              <w:left w:val="single" w:sz="4" w:space="0" w:color="auto"/>
              <w:bottom w:val="single" w:sz="4" w:space="0" w:color="auto"/>
              <w:right w:val="single" w:sz="4" w:space="0" w:color="auto"/>
            </w:tcBorders>
          </w:tcPr>
          <w:p w14:paraId="5CBA9F49" w14:textId="77777777" w:rsidR="0089375B" w:rsidRPr="0089375B" w:rsidRDefault="0089375B" w:rsidP="00D34923">
            <w:pPr>
              <w:pStyle w:val="Tabletext"/>
              <w:keepNext/>
            </w:pPr>
          </w:p>
        </w:tc>
        <w:tc>
          <w:tcPr>
            <w:tcW w:w="1697" w:type="pct"/>
            <w:tcBorders>
              <w:left w:val="single" w:sz="4" w:space="0" w:color="auto"/>
            </w:tcBorders>
          </w:tcPr>
          <w:p w14:paraId="7E7D8DE1" w14:textId="77777777" w:rsidR="0089375B" w:rsidRPr="00C37A1D" w:rsidRDefault="0089375B" w:rsidP="00D34923">
            <w:pPr>
              <w:pStyle w:val="Tabletext"/>
              <w:keepNext/>
            </w:pPr>
            <w:r w:rsidRPr="00C852DD">
              <w:rPr>
                <w:color w:val="auto"/>
              </w:rPr>
              <w:t>Effect on fibrinogen**</w:t>
            </w:r>
          </w:p>
        </w:tc>
        <w:tc>
          <w:tcPr>
            <w:tcW w:w="1518" w:type="pct"/>
          </w:tcPr>
          <w:p w14:paraId="31B8F331" w14:textId="77777777" w:rsidR="0089375B" w:rsidRDefault="0089375B" w:rsidP="00D34923">
            <w:pPr>
              <w:pStyle w:val="Tabletext"/>
              <w:keepNext/>
            </w:pPr>
          </w:p>
        </w:tc>
        <w:tc>
          <w:tcPr>
            <w:tcW w:w="379" w:type="pct"/>
          </w:tcPr>
          <w:p w14:paraId="1F565B6C" w14:textId="77777777" w:rsidR="0089375B" w:rsidRDefault="0089375B" w:rsidP="00D34923">
            <w:pPr>
              <w:pStyle w:val="Tabletext"/>
              <w:keepNext/>
              <w:jc w:val="center"/>
            </w:pPr>
          </w:p>
        </w:tc>
      </w:tr>
      <w:tr w:rsidR="0089375B" w:rsidRPr="00C37A1D" w14:paraId="356E27CE" w14:textId="77777777" w:rsidTr="0089375B">
        <w:tc>
          <w:tcPr>
            <w:tcW w:w="1407" w:type="pct"/>
            <w:vMerge w:val="restart"/>
            <w:tcBorders>
              <w:top w:val="single" w:sz="4" w:space="0" w:color="auto"/>
            </w:tcBorders>
          </w:tcPr>
          <w:p w14:paraId="7EE10847" w14:textId="77777777" w:rsidR="0089375B" w:rsidRPr="0089375B" w:rsidRDefault="0089375B" w:rsidP="00D34923">
            <w:pPr>
              <w:pStyle w:val="Tabletext"/>
              <w:keepNext/>
            </w:pPr>
            <w:r w:rsidRPr="0089375B">
              <w:t>Gender other genetic and Age-Related Differences in PD Response</w:t>
            </w:r>
          </w:p>
        </w:tc>
        <w:tc>
          <w:tcPr>
            <w:tcW w:w="1697" w:type="pct"/>
          </w:tcPr>
          <w:p w14:paraId="1A0787BA" w14:textId="77777777" w:rsidR="0089375B" w:rsidRPr="00C37A1D" w:rsidRDefault="0089375B" w:rsidP="00D34923">
            <w:pPr>
              <w:pStyle w:val="Tabletext"/>
              <w:keepNext/>
            </w:pPr>
            <w:r w:rsidRPr="00C37A1D">
              <w:t>Effect of gender</w:t>
            </w:r>
          </w:p>
        </w:tc>
        <w:tc>
          <w:tcPr>
            <w:tcW w:w="1518" w:type="pct"/>
          </w:tcPr>
          <w:p w14:paraId="2DEEAED5" w14:textId="77777777" w:rsidR="0089375B" w:rsidRPr="00C37A1D" w:rsidRDefault="0089375B" w:rsidP="00D34923">
            <w:pPr>
              <w:pStyle w:val="Tabletext"/>
              <w:keepNext/>
            </w:pPr>
            <w:r>
              <w:t>SA-105JP</w:t>
            </w:r>
          </w:p>
        </w:tc>
        <w:tc>
          <w:tcPr>
            <w:tcW w:w="379" w:type="pct"/>
          </w:tcPr>
          <w:p w14:paraId="38B5E710" w14:textId="77777777" w:rsidR="0089375B" w:rsidRPr="00C37A1D" w:rsidRDefault="0089375B" w:rsidP="00D34923">
            <w:pPr>
              <w:pStyle w:val="Tabletext"/>
              <w:keepNext/>
              <w:jc w:val="center"/>
            </w:pPr>
          </w:p>
        </w:tc>
      </w:tr>
      <w:tr w:rsidR="0089375B" w:rsidRPr="00C37A1D" w14:paraId="6100273D" w14:textId="77777777" w:rsidTr="0089375B">
        <w:tc>
          <w:tcPr>
            <w:tcW w:w="1407" w:type="pct"/>
            <w:vMerge/>
          </w:tcPr>
          <w:p w14:paraId="5DF9DF41" w14:textId="77777777" w:rsidR="0089375B" w:rsidRPr="0089375B" w:rsidRDefault="0089375B" w:rsidP="00D34923">
            <w:pPr>
              <w:pStyle w:val="Tabletext"/>
              <w:keepNext/>
            </w:pPr>
          </w:p>
        </w:tc>
        <w:tc>
          <w:tcPr>
            <w:tcW w:w="1697" w:type="pct"/>
          </w:tcPr>
          <w:p w14:paraId="55F69D26" w14:textId="77777777" w:rsidR="0089375B" w:rsidRPr="00C37A1D" w:rsidRDefault="0089375B" w:rsidP="00D34923">
            <w:pPr>
              <w:pStyle w:val="Tabletext"/>
              <w:keepNext/>
            </w:pPr>
            <w:r w:rsidRPr="00C37A1D">
              <w:t xml:space="preserve">Effect of </w:t>
            </w:r>
            <w:r>
              <w:t xml:space="preserve">race (Japanese </w:t>
            </w:r>
            <w:r w:rsidR="00246728">
              <w:t>versus</w:t>
            </w:r>
            <w:r>
              <w:t xml:space="preserve"> Caucasian)</w:t>
            </w:r>
          </w:p>
        </w:tc>
        <w:tc>
          <w:tcPr>
            <w:tcW w:w="1518" w:type="pct"/>
          </w:tcPr>
          <w:p w14:paraId="70F7A127" w14:textId="77777777" w:rsidR="0089375B" w:rsidRPr="00C37A1D" w:rsidRDefault="0089375B" w:rsidP="00D34923">
            <w:pPr>
              <w:pStyle w:val="Tabletext"/>
              <w:keepNext/>
            </w:pPr>
            <w:r>
              <w:t>SA-001JP</w:t>
            </w:r>
          </w:p>
        </w:tc>
        <w:tc>
          <w:tcPr>
            <w:tcW w:w="379" w:type="pct"/>
          </w:tcPr>
          <w:p w14:paraId="66EE5A04" w14:textId="77777777" w:rsidR="0089375B" w:rsidRPr="00C37A1D" w:rsidRDefault="0089375B" w:rsidP="00D34923">
            <w:pPr>
              <w:pStyle w:val="Tabletext"/>
              <w:keepNext/>
              <w:jc w:val="center"/>
            </w:pPr>
            <w:r>
              <w:t>*</w:t>
            </w:r>
          </w:p>
        </w:tc>
      </w:tr>
      <w:tr w:rsidR="0089375B" w:rsidRPr="00C37A1D" w14:paraId="043E5B16" w14:textId="77777777" w:rsidTr="0089375B">
        <w:tc>
          <w:tcPr>
            <w:tcW w:w="1407" w:type="pct"/>
            <w:vMerge/>
          </w:tcPr>
          <w:p w14:paraId="5DEE3C8E" w14:textId="77777777" w:rsidR="0089375B" w:rsidRPr="0089375B" w:rsidRDefault="0089375B" w:rsidP="00D34923">
            <w:pPr>
              <w:pStyle w:val="Tabletext"/>
              <w:keepNext/>
            </w:pPr>
          </w:p>
        </w:tc>
        <w:tc>
          <w:tcPr>
            <w:tcW w:w="1697" w:type="pct"/>
          </w:tcPr>
          <w:p w14:paraId="1795F4EC" w14:textId="77777777" w:rsidR="0089375B" w:rsidRPr="00C37A1D" w:rsidRDefault="0089375B" w:rsidP="00D34923">
            <w:pPr>
              <w:pStyle w:val="Tabletext"/>
              <w:keepNext/>
            </w:pPr>
            <w:r w:rsidRPr="00C37A1D">
              <w:t>Effect of age</w:t>
            </w:r>
            <w:r>
              <w:t xml:space="preserve"> (adolescence)</w:t>
            </w:r>
          </w:p>
        </w:tc>
        <w:tc>
          <w:tcPr>
            <w:tcW w:w="1518" w:type="pct"/>
          </w:tcPr>
          <w:p w14:paraId="6EE1B356" w14:textId="77777777" w:rsidR="0089375B" w:rsidRPr="00C37A1D" w:rsidRDefault="0089375B" w:rsidP="00D34923">
            <w:pPr>
              <w:pStyle w:val="Tabletext"/>
              <w:keepNext/>
            </w:pPr>
            <w:r>
              <w:t>Pop PD</w:t>
            </w:r>
          </w:p>
        </w:tc>
        <w:tc>
          <w:tcPr>
            <w:tcW w:w="379" w:type="pct"/>
          </w:tcPr>
          <w:p w14:paraId="63A9CD85" w14:textId="77777777" w:rsidR="0089375B" w:rsidRPr="00C37A1D" w:rsidRDefault="0089375B" w:rsidP="00D34923">
            <w:pPr>
              <w:pStyle w:val="Tabletext"/>
              <w:keepNext/>
              <w:jc w:val="center"/>
            </w:pPr>
          </w:p>
        </w:tc>
      </w:tr>
      <w:tr w:rsidR="0089375B" w:rsidRPr="00C37A1D" w14:paraId="4E3E14AA" w14:textId="77777777" w:rsidTr="0089375B">
        <w:tc>
          <w:tcPr>
            <w:tcW w:w="1407" w:type="pct"/>
          </w:tcPr>
          <w:p w14:paraId="67390074" w14:textId="77777777" w:rsidR="0089375B" w:rsidRPr="0089375B" w:rsidRDefault="0089375B" w:rsidP="00D34923">
            <w:pPr>
              <w:pStyle w:val="Tabletext"/>
              <w:keepNext/>
            </w:pPr>
            <w:r w:rsidRPr="0089375B">
              <w:t>PD Interactions</w:t>
            </w:r>
          </w:p>
        </w:tc>
        <w:tc>
          <w:tcPr>
            <w:tcW w:w="1697" w:type="pct"/>
          </w:tcPr>
          <w:p w14:paraId="10D35B74" w14:textId="77777777" w:rsidR="0089375B" w:rsidRPr="00C37A1D" w:rsidRDefault="0089375B" w:rsidP="00D34923">
            <w:pPr>
              <w:pStyle w:val="Tabletext"/>
              <w:keepNext/>
            </w:pPr>
          </w:p>
        </w:tc>
        <w:tc>
          <w:tcPr>
            <w:tcW w:w="1518" w:type="pct"/>
          </w:tcPr>
          <w:p w14:paraId="1768278B" w14:textId="77777777" w:rsidR="0089375B" w:rsidRPr="00C37A1D" w:rsidRDefault="0089375B" w:rsidP="00D34923">
            <w:pPr>
              <w:pStyle w:val="Tabletext"/>
              <w:keepNext/>
            </w:pPr>
            <w:r>
              <w:t>No studies</w:t>
            </w:r>
          </w:p>
        </w:tc>
        <w:tc>
          <w:tcPr>
            <w:tcW w:w="379" w:type="pct"/>
          </w:tcPr>
          <w:p w14:paraId="11C1AE08" w14:textId="77777777" w:rsidR="0089375B" w:rsidRPr="00C37A1D" w:rsidRDefault="0089375B" w:rsidP="00D34923">
            <w:pPr>
              <w:pStyle w:val="Tabletext"/>
              <w:keepNext/>
              <w:jc w:val="center"/>
            </w:pPr>
          </w:p>
        </w:tc>
      </w:tr>
      <w:tr w:rsidR="0089375B" w:rsidRPr="00C37A1D" w14:paraId="18841DE9" w14:textId="77777777" w:rsidTr="0089375B">
        <w:tc>
          <w:tcPr>
            <w:tcW w:w="1407" w:type="pct"/>
          </w:tcPr>
          <w:p w14:paraId="3EAB9A98" w14:textId="77777777" w:rsidR="0089375B" w:rsidRPr="0089375B" w:rsidRDefault="0089375B" w:rsidP="00D34923">
            <w:pPr>
              <w:pStyle w:val="Tabletext"/>
              <w:keepNext/>
            </w:pPr>
            <w:r w:rsidRPr="0089375B">
              <w:t>Population PD analyses</w:t>
            </w:r>
          </w:p>
        </w:tc>
        <w:tc>
          <w:tcPr>
            <w:tcW w:w="1697" w:type="pct"/>
          </w:tcPr>
          <w:p w14:paraId="58569514" w14:textId="77777777" w:rsidR="0089375B" w:rsidRPr="00C37A1D" w:rsidRDefault="0089375B" w:rsidP="00D34923">
            <w:pPr>
              <w:pStyle w:val="Tabletext"/>
              <w:keepNext/>
            </w:pPr>
            <w:r w:rsidRPr="001C2887">
              <w:rPr>
                <w:color w:val="auto"/>
              </w:rPr>
              <w:t>Healthy subjects/target population (adults and adolescents aged 12-17)</w:t>
            </w:r>
          </w:p>
        </w:tc>
        <w:tc>
          <w:tcPr>
            <w:tcW w:w="1518" w:type="pct"/>
          </w:tcPr>
          <w:p w14:paraId="0CA214A2" w14:textId="77777777" w:rsidR="0089375B" w:rsidRDefault="0089375B" w:rsidP="00D34923">
            <w:pPr>
              <w:pStyle w:val="Tabletext"/>
              <w:keepNext/>
              <w:rPr>
                <w:color w:val="auto"/>
              </w:rPr>
            </w:pPr>
            <w:r>
              <w:rPr>
                <w:color w:val="auto"/>
              </w:rPr>
              <w:t xml:space="preserve">Report </w:t>
            </w:r>
            <w:r w:rsidRPr="001C2887">
              <w:rPr>
                <w:color w:val="auto"/>
              </w:rPr>
              <w:t>1094498</w:t>
            </w:r>
          </w:p>
          <w:p w14:paraId="40FE41B3" w14:textId="77777777" w:rsidR="0089375B" w:rsidRPr="00C37A1D" w:rsidRDefault="0089375B" w:rsidP="00D34923">
            <w:pPr>
              <w:pStyle w:val="Tabletext"/>
              <w:keepNext/>
            </w:pPr>
          </w:p>
        </w:tc>
        <w:tc>
          <w:tcPr>
            <w:tcW w:w="379" w:type="pct"/>
          </w:tcPr>
          <w:p w14:paraId="752B485D" w14:textId="77777777" w:rsidR="0089375B" w:rsidRPr="00C37A1D" w:rsidRDefault="0089375B" w:rsidP="00D34923">
            <w:pPr>
              <w:pStyle w:val="Tabletext"/>
              <w:keepNext/>
              <w:jc w:val="center"/>
            </w:pPr>
            <w:r>
              <w:t>*</w:t>
            </w:r>
          </w:p>
        </w:tc>
      </w:tr>
    </w:tbl>
    <w:p w14:paraId="0EE06FB9" w14:textId="646DCC70" w:rsidR="000406DD" w:rsidRDefault="000406DD" w:rsidP="0089375B">
      <w:pPr>
        <w:pStyle w:val="TableDescription"/>
      </w:pPr>
      <w:r>
        <w:t>IL-6 = interleukin 6; sIL-R6 = soluble interleukin 6 receptor; CRP = C-reactive protein; PD = pharmacodynamics.</w:t>
      </w:r>
    </w:p>
    <w:p w14:paraId="1F7C2C84" w14:textId="287E4316" w:rsidR="0089375B" w:rsidRDefault="0089375B" w:rsidP="0089375B">
      <w:pPr>
        <w:pStyle w:val="TableDescription"/>
      </w:pPr>
      <w:r w:rsidRPr="00C37A1D">
        <w:t>* Indicates the primary PD aim of the study.</w:t>
      </w:r>
    </w:p>
    <w:p w14:paraId="79C4989E" w14:textId="77777777" w:rsidR="0089375B" w:rsidRPr="00C852DD" w:rsidRDefault="0089375B" w:rsidP="0089375B">
      <w:pPr>
        <w:pStyle w:val="TableDescription"/>
      </w:pPr>
      <w:r>
        <w:rPr>
          <w:rFonts w:eastAsiaTheme="minorHAnsi" w:cs="Arial"/>
          <w:color w:val="000000"/>
        </w:rPr>
        <w:t>**</w:t>
      </w:r>
      <w:r w:rsidRPr="00C852DD">
        <w:rPr>
          <w:rFonts w:eastAsiaTheme="minorHAnsi" w:cs="Arial"/>
          <w:color w:val="000000"/>
        </w:rPr>
        <w:t xml:space="preserve">Fibrinogen data </w:t>
      </w:r>
      <w:r>
        <w:rPr>
          <w:rFonts w:eastAsiaTheme="minorHAnsi" w:cs="Arial"/>
          <w:color w:val="000000"/>
        </w:rPr>
        <w:t>were</w:t>
      </w:r>
      <w:r w:rsidRPr="00C852DD">
        <w:rPr>
          <w:rFonts w:eastAsiaTheme="minorHAnsi" w:cs="Arial"/>
          <w:color w:val="000000"/>
        </w:rPr>
        <w:t xml:space="preserve"> provided to the </w:t>
      </w:r>
      <w:r>
        <w:rPr>
          <w:rFonts w:eastAsiaTheme="minorHAnsi" w:cs="Arial"/>
          <w:color w:val="000000"/>
        </w:rPr>
        <w:t xml:space="preserve">study </w:t>
      </w:r>
      <w:r w:rsidRPr="00C852DD">
        <w:rPr>
          <w:rFonts w:eastAsiaTheme="minorHAnsi" w:cs="Arial"/>
          <w:color w:val="000000"/>
        </w:rPr>
        <w:t xml:space="preserve">sites throughout the </w:t>
      </w:r>
      <w:r>
        <w:rPr>
          <w:rFonts w:eastAsiaTheme="minorHAnsi" w:cs="Arial"/>
          <w:color w:val="000000"/>
        </w:rPr>
        <w:t>DBP</w:t>
      </w:r>
      <w:r w:rsidRPr="00C852DD">
        <w:rPr>
          <w:rFonts w:eastAsiaTheme="minorHAnsi" w:cs="Arial"/>
          <w:color w:val="000000"/>
        </w:rPr>
        <w:t xml:space="preserve"> for safety reasons</w:t>
      </w:r>
      <w:r>
        <w:rPr>
          <w:rFonts w:eastAsiaTheme="minorHAnsi" w:cs="Arial"/>
          <w:color w:val="000000"/>
        </w:rPr>
        <w:t>.</w:t>
      </w:r>
    </w:p>
    <w:p w14:paraId="061FEF58" w14:textId="77777777" w:rsidR="00B542D2" w:rsidRDefault="00B542D2" w:rsidP="00B542D2">
      <w:r>
        <w:t>Conclusions on pharmacodynamics:</w:t>
      </w:r>
    </w:p>
    <w:p w14:paraId="122DC5E2" w14:textId="77777777" w:rsidR="00B542D2" w:rsidRDefault="00B542D2" w:rsidP="00B542D2">
      <w:pPr>
        <w:pStyle w:val="ListBullet"/>
      </w:pPr>
      <w:r>
        <w:t xml:space="preserve">Generally, </w:t>
      </w:r>
      <w:r w:rsidR="00820C3F">
        <w:t>PD</w:t>
      </w:r>
      <w:r>
        <w:t xml:space="preserve"> data provided in the clinical dossier were sufficiently comprehensive to support the proposed indication of </w:t>
      </w:r>
      <w:proofErr w:type="spellStart"/>
      <w:r w:rsidR="00B842FA">
        <w:t>satralizumab</w:t>
      </w:r>
      <w:proofErr w:type="spellEnd"/>
      <w:r>
        <w:t xml:space="preserve"> in adults and adolescents with NMO and NMOSD</w:t>
      </w:r>
    </w:p>
    <w:p w14:paraId="010D2A73" w14:textId="77777777" w:rsidR="00B542D2" w:rsidRDefault="00B542D2" w:rsidP="00B542D2">
      <w:pPr>
        <w:pStyle w:val="ListBullet"/>
      </w:pPr>
      <w:r>
        <w:t>There is no universally accepted PD biomarker for NMOSD and extrapolation of PD results from adults to adolescents, is regarded as supportive of efficacy and safety. In that regard, the PD responses were generally consistent between adult and adolescent subjects</w:t>
      </w:r>
    </w:p>
    <w:p w14:paraId="71222BDB" w14:textId="47CDF3D5" w:rsidR="00B542D2" w:rsidRDefault="00B542D2" w:rsidP="00B704BA">
      <w:pPr>
        <w:pStyle w:val="ListBullet"/>
      </w:pPr>
      <w:r>
        <w:lastRenderedPageBreak/>
        <w:t>Plasma concentration-effect relationships were defined for many important secondary PD effects, including effects on QT interval</w:t>
      </w:r>
      <w:r w:rsidR="00424830">
        <w:t>;</w:t>
      </w:r>
      <w:r w:rsidR="00424830">
        <w:rPr>
          <w:rStyle w:val="FootnoteReference"/>
        </w:rPr>
        <w:footnoteReference w:id="6"/>
      </w:r>
      <w:r>
        <w:t xml:space="preserve"> and dose-related </w:t>
      </w:r>
      <w:r w:rsidR="00820C3F">
        <w:t>effects on s</w:t>
      </w:r>
      <w:r w:rsidR="00424830">
        <w:t xml:space="preserve">oluble </w:t>
      </w:r>
      <w:r w:rsidR="00820C3F">
        <w:t>IL-6R</w:t>
      </w:r>
      <w:r>
        <w:t xml:space="preserve">, IL-6R, IL-6, </w:t>
      </w:r>
      <w:r w:rsidR="00B704BA" w:rsidRPr="00B704BA">
        <w:t xml:space="preserve">high-sensitivity C-reactive protein </w:t>
      </w:r>
      <w:r w:rsidR="00B704BA">
        <w:t>(</w:t>
      </w:r>
      <w:proofErr w:type="spellStart"/>
      <w:r>
        <w:t>hsCRP</w:t>
      </w:r>
      <w:proofErr w:type="spellEnd"/>
      <w:r w:rsidR="00B704BA">
        <w:t>)</w:t>
      </w:r>
      <w:r>
        <w:t xml:space="preserve"> and complement components (CH50, C3 and C4). Notwithstanding the fact that PK of </w:t>
      </w:r>
      <w:proofErr w:type="spellStart"/>
      <w:r w:rsidR="00B842FA">
        <w:t>satralizumab</w:t>
      </w:r>
      <w:proofErr w:type="spellEnd"/>
      <w:r>
        <w:t xml:space="preserve"> are nonlinear, the secondary PD effects were generally consistent with </w:t>
      </w:r>
      <w:proofErr w:type="spellStart"/>
      <w:r>
        <w:t>C</w:t>
      </w:r>
      <w:r w:rsidRPr="00820C3F">
        <w:rPr>
          <w:vertAlign w:val="subscript"/>
        </w:rPr>
        <w:t>max</w:t>
      </w:r>
      <w:proofErr w:type="spellEnd"/>
      <w:r>
        <w:t xml:space="preserve"> and total exposure (AUC)</w:t>
      </w:r>
      <w:r w:rsidR="00424830">
        <w:t>.</w:t>
      </w:r>
    </w:p>
    <w:p w14:paraId="46F96599" w14:textId="0312CDE1" w:rsidR="00B542D2" w:rsidRDefault="00B542D2" w:rsidP="00B542D2">
      <w:pPr>
        <w:pStyle w:val="ListBullet"/>
      </w:pPr>
      <w:r>
        <w:t>The predicted results fro</w:t>
      </w:r>
      <w:r w:rsidR="00820C3F">
        <w:t xml:space="preserve">m </w:t>
      </w:r>
      <w:r w:rsidR="00424830">
        <w:t>exposure-response</w:t>
      </w:r>
      <w:r w:rsidR="00820C3F" w:rsidRPr="002E7487">
        <w:t xml:space="preserve"> </w:t>
      </w:r>
      <w:r w:rsidR="00820C3F" w:rsidRPr="00F96A4D">
        <w:rPr>
          <w:i/>
        </w:rPr>
        <w:t>post hoc</w:t>
      </w:r>
      <w:r w:rsidR="00820C3F" w:rsidRPr="002E7487">
        <w:t xml:space="preserve"> analyses</w:t>
      </w:r>
      <w:r w:rsidR="00820C3F">
        <w:t xml:space="preserve"> of the P</w:t>
      </w:r>
      <w:r>
        <w:t xml:space="preserve">hase III studies, did not reveal clinically meaningful effects of </w:t>
      </w:r>
      <w:proofErr w:type="spellStart"/>
      <w:r w:rsidR="00B842FA">
        <w:t>satralizumab</w:t>
      </w:r>
      <w:proofErr w:type="spellEnd"/>
      <w:r>
        <w:t xml:space="preserve"> treatment on QT prolongation. QT analyses outcome should be interpreted with </w:t>
      </w:r>
      <w:proofErr w:type="gramStart"/>
      <w:r>
        <w:t>caution, since</w:t>
      </w:r>
      <w:proofErr w:type="gramEnd"/>
      <w:r>
        <w:t xml:space="preserve"> correction for circadian variation could not be performed properly.</w:t>
      </w:r>
    </w:p>
    <w:p w14:paraId="68BB7951" w14:textId="77777777" w:rsidR="00B542D2" w:rsidRDefault="00B542D2" w:rsidP="00B542D2">
      <w:pPr>
        <w:pStyle w:val="ListBullet"/>
      </w:pPr>
      <w:r>
        <w:t xml:space="preserve">Major anticipated clinical safety concerns, based on the claimed mechanism of action, relate to immune-related events. The following immune-related events are evaluated in </w:t>
      </w:r>
    </w:p>
    <w:p w14:paraId="7B2A175A" w14:textId="77777777" w:rsidR="00B542D2" w:rsidRDefault="00B542D2" w:rsidP="00B542D2">
      <w:pPr>
        <w:pStyle w:val="ListBullet2"/>
      </w:pPr>
      <w:r>
        <w:t xml:space="preserve">Enhanced risk of development of serious and opportunistic infections, especially in combination with </w:t>
      </w:r>
      <w:r w:rsidR="00820C3F">
        <w:t>ISTs</w:t>
      </w:r>
    </w:p>
    <w:p w14:paraId="18CECC5D" w14:textId="77777777" w:rsidR="00B542D2" w:rsidRDefault="00B542D2" w:rsidP="00B542D2">
      <w:pPr>
        <w:pStyle w:val="ListBullet2"/>
      </w:pPr>
      <w:r>
        <w:t>Enhanced risk of development of malignancies, especially in long-term combination with ISTs</w:t>
      </w:r>
    </w:p>
    <w:p w14:paraId="5082B838" w14:textId="77777777" w:rsidR="00B542D2" w:rsidRDefault="00B542D2" w:rsidP="00B542D2">
      <w:pPr>
        <w:pStyle w:val="ListBullet2"/>
      </w:pPr>
      <w:r>
        <w:t>Enhanced risk of hypersensitivity reactions, including anaphylaxis, from the development of anti-</w:t>
      </w:r>
      <w:proofErr w:type="spellStart"/>
      <w:r w:rsidR="00B842FA">
        <w:t>satralizumab</w:t>
      </w:r>
      <w:proofErr w:type="spellEnd"/>
      <w:r>
        <w:t xml:space="preserve"> antibodies.</w:t>
      </w:r>
    </w:p>
    <w:p w14:paraId="41E20B2B" w14:textId="77777777" w:rsidR="00B542D2" w:rsidRDefault="00B542D2" w:rsidP="00B542D2">
      <w:pPr>
        <w:pStyle w:val="Heading5"/>
      </w:pPr>
      <w:r>
        <w:t>Dosage selection</w:t>
      </w:r>
    </w:p>
    <w:p w14:paraId="17D34DC2" w14:textId="77777777" w:rsidR="00B364AC" w:rsidRDefault="00B364AC" w:rsidP="0089001F">
      <w:r w:rsidRPr="00B364AC">
        <w:t>Data from healthy adults (</w:t>
      </w:r>
      <w:r>
        <w:t xml:space="preserve">Study </w:t>
      </w:r>
      <w:r w:rsidRPr="00B364AC">
        <w:t xml:space="preserve">SA-001JP) showed </w:t>
      </w:r>
      <w:r>
        <w:t xml:space="preserve">that the mean increase in </w:t>
      </w:r>
      <w:r w:rsidRPr="00B364AC">
        <w:t>sIL-6R</w:t>
      </w:r>
      <w:r>
        <w:t xml:space="preserve"> </w:t>
      </w:r>
      <w:r w:rsidRPr="00B364AC">
        <w:t>stabilisation level (reflected target engagement)</w:t>
      </w:r>
      <w:r>
        <w:rPr>
          <w:i/>
        </w:rPr>
        <w:t xml:space="preserve"> </w:t>
      </w:r>
      <w:r w:rsidRPr="00B364AC">
        <w:t xml:space="preserve">and the mean decrease in serum CRP level (an inflammatory biomarker, to below the LLOQ </w:t>
      </w:r>
      <w:r w:rsidRPr="00B364AC">
        <w:rPr>
          <w:rFonts w:cs="Symbol"/>
        </w:rPr>
        <w:t xml:space="preserve">&lt; </w:t>
      </w:r>
      <w:r w:rsidRPr="00B364AC">
        <w:t xml:space="preserve">50 ng/mL) within the first 28 days, were similar between the 120 mg and 240 mg </w:t>
      </w:r>
      <w:r>
        <w:t xml:space="preserve">subcutaneous SC </w:t>
      </w:r>
      <w:proofErr w:type="spellStart"/>
      <w:r w:rsidR="00B842FA">
        <w:t>satralizumab</w:t>
      </w:r>
      <w:proofErr w:type="spellEnd"/>
      <w:r w:rsidRPr="00B364AC">
        <w:t xml:space="preserve"> doses. Lower treatment effects were observ</w:t>
      </w:r>
      <w:r>
        <w:t>ed with the 60 mg dose</w:t>
      </w:r>
      <w:r w:rsidR="00820C3F">
        <w:t xml:space="preserve"> </w:t>
      </w:r>
      <w:r>
        <w:t>regimen.</w:t>
      </w:r>
    </w:p>
    <w:p w14:paraId="205ADCDA" w14:textId="59B1576D" w:rsidR="0089001F" w:rsidRDefault="00B364AC" w:rsidP="0089001F">
      <w:r w:rsidRPr="00B364AC">
        <w:t xml:space="preserve">These findings were confirmed in subjects with </w:t>
      </w:r>
      <w:r w:rsidR="00424830">
        <w:t>rheumatoid arthritis</w:t>
      </w:r>
      <w:r w:rsidRPr="00B364AC">
        <w:t xml:space="preserve"> (</w:t>
      </w:r>
      <w:r>
        <w:t>Study SA-105JP</w:t>
      </w:r>
      <w:r w:rsidRPr="00B364AC">
        <w:t xml:space="preserve">), which demonstrated that a dose of 120 mg SC </w:t>
      </w:r>
      <w:proofErr w:type="spellStart"/>
      <w:r w:rsidR="00B842FA">
        <w:t>satralizumab</w:t>
      </w:r>
      <w:proofErr w:type="spellEnd"/>
      <w:r w:rsidRPr="00B364AC">
        <w:t xml:space="preserve"> administered as a loading dose (</w:t>
      </w:r>
      <w:r>
        <w:t>that is</w:t>
      </w:r>
      <w:r w:rsidRPr="00B364AC">
        <w:t xml:space="preserve"> 120 m</w:t>
      </w:r>
      <w:r>
        <w:t>g x 3 doses</w:t>
      </w:r>
      <w:r w:rsidR="00820C3F">
        <w:t xml:space="preserve"> at two </w:t>
      </w:r>
      <w:r>
        <w:t>week intervals</w:t>
      </w:r>
      <w:r w:rsidRPr="00B364AC">
        <w:t>), followed by a maintenanc</w:t>
      </w:r>
      <w:r w:rsidR="00820C3F">
        <w:t>e dose of 120</w:t>
      </w:r>
      <w:r w:rsidR="00424830">
        <w:t> </w:t>
      </w:r>
      <w:r w:rsidR="00820C3F">
        <w:t>mg every four</w:t>
      </w:r>
      <w:r>
        <w:t xml:space="preserve"> weeks</w:t>
      </w:r>
      <w:r w:rsidRPr="00B364AC">
        <w:t>, resulted in sustained and stable sIL-6R concentrations for the durat</w:t>
      </w:r>
      <w:r w:rsidR="00820C3F">
        <w:t xml:space="preserve">ion of treatment. Also, since </w:t>
      </w:r>
      <w:r w:rsidR="00820C3F" w:rsidRPr="00820C3F">
        <w:t>rheumatoid arthritis</w:t>
      </w:r>
      <w:r w:rsidRPr="00B364AC">
        <w:t xml:space="preserve"> subjects generally had higher circulating IL-6 levels and larger differences in baseline PD biomarkers relative to the normal range, as compared with NMO and NMOSD subjects, a dose-regimen that achieved sustained blockade in IL-6 signalling in </w:t>
      </w:r>
      <w:r w:rsidR="00424830">
        <w:t>rheumatoid arthritis</w:t>
      </w:r>
      <w:r w:rsidRPr="00B364AC">
        <w:t xml:space="preserve"> might be expected to achieve adequate suppression of IL-6 signalling in a NMO/NMOSD population.</w:t>
      </w:r>
      <w:r>
        <w:t xml:space="preserve"> </w:t>
      </w:r>
    </w:p>
    <w:p w14:paraId="58D754B6" w14:textId="77777777" w:rsidR="0089001F" w:rsidRDefault="0089001F" w:rsidP="0089001F">
      <w:r w:rsidRPr="0089001F">
        <w:t xml:space="preserve">Furthermore, the median predicted occupancy at the IL-6R in NMO and NMOSD subjects was maintained at </w:t>
      </w:r>
      <w:r w:rsidRPr="0089001F">
        <w:rPr>
          <w:rFonts w:cs="Symbol"/>
        </w:rPr>
        <w:t xml:space="preserve">&gt; </w:t>
      </w:r>
      <w:r w:rsidRPr="0089001F">
        <w:t xml:space="preserve">95% throughout the dose-interval at the proposed dose at steady-state, which is achieved by the end of the loading phase. Robust and sustained sIL-6R stabilisation and increases in IL-6 were seen to parallel the </w:t>
      </w:r>
      <w:proofErr w:type="spellStart"/>
      <w:r w:rsidR="00B842FA">
        <w:t>satralizumab</w:t>
      </w:r>
      <w:proofErr w:type="spellEnd"/>
      <w:r w:rsidRPr="0089001F">
        <w:t xml:space="preserve"> concentration-time course, which were maintained for the study duration. At median steady-state </w:t>
      </w:r>
      <w:r w:rsidR="00820C3F">
        <w:t>concentrations achieved in the P</w:t>
      </w:r>
      <w:r w:rsidRPr="0089001F">
        <w:t xml:space="preserve">hase III studies, the effective </w:t>
      </w:r>
      <w:proofErr w:type="spellStart"/>
      <w:r w:rsidR="00B842FA">
        <w:t>satralizumab</w:t>
      </w:r>
      <w:proofErr w:type="spellEnd"/>
      <w:r w:rsidR="00820C3F">
        <w:t xml:space="preserve"> half-life was approximately 30 days, based on pooled P</w:t>
      </w:r>
      <w:r w:rsidRPr="0089001F">
        <w:t xml:space="preserve">hase III data, which supported the proposed maintenance dose interval of </w:t>
      </w:r>
      <w:r w:rsidR="00820C3F">
        <w:t>every four weeks.</w:t>
      </w:r>
    </w:p>
    <w:p w14:paraId="57D9A8D3" w14:textId="553C6BEF" w:rsidR="0089001F" w:rsidRDefault="0089001F" w:rsidP="0089001F">
      <w:r>
        <w:t>However, the Delegate is of</w:t>
      </w:r>
      <w:r w:rsidR="00DB3A65">
        <w:t xml:space="preserve"> the</w:t>
      </w:r>
      <w:r>
        <w:t xml:space="preserve"> view that finding from Study SA-105JP can only have an assumptive interpretation given then variations in PK data for </w:t>
      </w:r>
      <w:r w:rsidR="00820C3F">
        <w:t>RA</w:t>
      </w:r>
      <w:r>
        <w:t xml:space="preserve"> and NMO/NMOSD patients.</w:t>
      </w:r>
    </w:p>
    <w:p w14:paraId="542E9745" w14:textId="77777777" w:rsidR="0089001F" w:rsidRDefault="0089001F" w:rsidP="0089001F">
      <w:pPr>
        <w:pStyle w:val="Heading6"/>
        <w:rPr>
          <w:rFonts w:eastAsiaTheme="minorHAnsi"/>
        </w:rPr>
      </w:pPr>
      <w:r>
        <w:rPr>
          <w:rFonts w:eastAsiaTheme="minorHAnsi"/>
        </w:rPr>
        <w:lastRenderedPageBreak/>
        <w:t>Conclusion on dosage selection</w:t>
      </w:r>
    </w:p>
    <w:p w14:paraId="1A6E0C22" w14:textId="4AC71A38" w:rsidR="0089001F" w:rsidRDefault="00820C3F" w:rsidP="0089001F">
      <w:r>
        <w:t xml:space="preserve">The proposed dose </w:t>
      </w:r>
      <w:r w:rsidR="0089001F">
        <w:t xml:space="preserve">regimen in NMO and NMOSD is 120 mg SC </w:t>
      </w:r>
      <w:proofErr w:type="spellStart"/>
      <w:r w:rsidR="00B842FA">
        <w:t>satralizumab</w:t>
      </w:r>
      <w:proofErr w:type="spellEnd"/>
      <w:r w:rsidR="0089001F">
        <w:t xml:space="preserve"> at Weeks 0, 2, and 4 as loading doses, and </w:t>
      </w:r>
      <w:r>
        <w:t>every four weeks</w:t>
      </w:r>
      <w:r w:rsidR="0089001F">
        <w:t xml:space="preserve"> thereafter. The dose regimen selected for the Phase III trials was based on the results from the Phase I studies (Studies SA-001JP and SA-105JP) and not from traditional proof-of-concept dose-finding studies.</w:t>
      </w:r>
      <w:r w:rsidR="00B842FA">
        <w:t xml:space="preserve"> </w:t>
      </w:r>
      <w:r w:rsidR="0089001F">
        <w:t xml:space="preserve">Furthermore, the Phase I studies did not include data from subjects with NMO and/or NMOSD. Instead, the sponsor confirmed the adequacy of the proposed dose-regimen in NMO and NMOSD based on results from the Phase III clinical studies, </w:t>
      </w:r>
      <w:r w:rsidR="00424830">
        <w:t xml:space="preserve">Studies </w:t>
      </w:r>
      <w:r w:rsidR="0089001F">
        <w:t xml:space="preserve">BN40898 and BN40900. This approach is considered reasonable given the non-linear PK of </w:t>
      </w:r>
      <w:proofErr w:type="spellStart"/>
      <w:r w:rsidR="00B842FA">
        <w:t>satralizumab</w:t>
      </w:r>
      <w:proofErr w:type="spellEnd"/>
      <w:r w:rsidR="0089001F">
        <w:t xml:space="preserve"> and the difficult in recruiting subjects with NMOSD into clinical trials, since it is a rare disease.</w:t>
      </w:r>
    </w:p>
    <w:p w14:paraId="0AD43492" w14:textId="77777777" w:rsidR="0089001F" w:rsidRDefault="0089001F" w:rsidP="0089001F">
      <w:pPr>
        <w:pStyle w:val="Heading4"/>
      </w:pPr>
      <w:r>
        <w:t>Efficacy</w:t>
      </w:r>
    </w:p>
    <w:p w14:paraId="09F16BB5" w14:textId="77777777" w:rsidR="0089001F" w:rsidRDefault="009413D3" w:rsidP="009413D3">
      <w:pPr>
        <w:pStyle w:val="Heading5"/>
      </w:pPr>
      <w:r>
        <w:t>Pivotal efficacy studies</w:t>
      </w:r>
    </w:p>
    <w:p w14:paraId="0DBDA7BE" w14:textId="2FFB9982" w:rsidR="009413D3" w:rsidRDefault="00424830" w:rsidP="009413D3">
      <w:pPr>
        <w:pStyle w:val="ListBullet"/>
      </w:pPr>
      <w:r>
        <w:t xml:space="preserve">Study </w:t>
      </w:r>
      <w:r w:rsidR="009413D3">
        <w:t>BN40900 (</w:t>
      </w:r>
      <w:proofErr w:type="spellStart"/>
      <w:r w:rsidR="009413D3">
        <w:t>satralizumab</w:t>
      </w:r>
      <w:proofErr w:type="spellEnd"/>
      <w:r w:rsidR="009413D3">
        <w:t xml:space="preserve"> as monotherapy; adults only); and</w:t>
      </w:r>
    </w:p>
    <w:p w14:paraId="3FD8E536" w14:textId="56827173" w:rsidR="009413D3" w:rsidRDefault="00424830" w:rsidP="009413D3">
      <w:pPr>
        <w:pStyle w:val="ListBullet"/>
      </w:pPr>
      <w:r>
        <w:t xml:space="preserve">Study </w:t>
      </w:r>
      <w:r w:rsidR="009413D3">
        <w:t>BN40898 (</w:t>
      </w:r>
      <w:proofErr w:type="spellStart"/>
      <w:r w:rsidR="009413D3">
        <w:t>satralizumab</w:t>
      </w:r>
      <w:proofErr w:type="spellEnd"/>
      <w:r w:rsidR="009413D3">
        <w:t xml:space="preserve"> as ‘add-on’ therapy; adults and adolescents).</w:t>
      </w:r>
    </w:p>
    <w:p w14:paraId="7EDE2380" w14:textId="1A7B2CFE" w:rsidR="009413D3" w:rsidRDefault="009413D3" w:rsidP="009413D3">
      <w:r>
        <w:t xml:space="preserve">Efficacy data from the Phase I </w:t>
      </w:r>
      <w:proofErr w:type="spellStart"/>
      <w:r w:rsidR="009340CF">
        <w:t>a</w:t>
      </w:r>
      <w:r>
        <w:t>study</w:t>
      </w:r>
      <w:proofErr w:type="spellEnd"/>
      <w:r>
        <w:t xml:space="preserve"> (Study SA-105JP) </w:t>
      </w:r>
      <w:r w:rsidR="00500D96">
        <w:t xml:space="preserve">in patients with rheumatoid arthritis, </w:t>
      </w:r>
      <w:r>
        <w:t xml:space="preserve">were not evaluated since the results have limited application to NMO and NMOSD, due to differences in study design, study population and efficacy endpoints. However, safety data from </w:t>
      </w:r>
      <w:r w:rsidR="00500D96">
        <w:t xml:space="preserve">Study </w:t>
      </w:r>
      <w:r>
        <w:t xml:space="preserve">SA-105JP were evaluated in </w:t>
      </w:r>
      <w:r w:rsidR="00820C3F">
        <w:rPr>
          <w:highlight w:val="yellow"/>
        </w:rPr>
        <w:fldChar w:fldCharType="begin"/>
      </w:r>
      <w:r w:rsidR="00820C3F">
        <w:instrText xml:space="preserve"> REF _Ref74753480 \h </w:instrText>
      </w:r>
      <w:r w:rsidR="00820C3F">
        <w:rPr>
          <w:highlight w:val="yellow"/>
        </w:rPr>
      </w:r>
      <w:r w:rsidR="00820C3F">
        <w:rPr>
          <w:highlight w:val="yellow"/>
        </w:rPr>
        <w:fldChar w:fldCharType="separate"/>
      </w:r>
      <w:r w:rsidR="009340CF">
        <w:t>Safety</w:t>
      </w:r>
      <w:r w:rsidR="00820C3F">
        <w:rPr>
          <w:highlight w:val="yellow"/>
        </w:rPr>
        <w:fldChar w:fldCharType="end"/>
      </w:r>
      <w:r w:rsidR="00820C3F">
        <w:t xml:space="preserve"> </w:t>
      </w:r>
      <w:r w:rsidR="00500D96">
        <w:t>section.</w:t>
      </w:r>
    </w:p>
    <w:p w14:paraId="2B04F25E" w14:textId="77777777" w:rsidR="009413D3" w:rsidRDefault="00820C3F" w:rsidP="009413D3">
      <w:pPr>
        <w:pStyle w:val="Heading6"/>
        <w:rPr>
          <w:rFonts w:eastAsiaTheme="minorHAnsi"/>
        </w:rPr>
      </w:pPr>
      <w:r>
        <w:rPr>
          <w:rFonts w:eastAsiaTheme="minorHAnsi"/>
        </w:rPr>
        <w:t xml:space="preserve">Studies </w:t>
      </w:r>
      <w:r w:rsidR="009413D3" w:rsidRPr="009413D3">
        <w:rPr>
          <w:rFonts w:eastAsiaTheme="minorHAnsi"/>
        </w:rPr>
        <w:t>BN40900 and BN40898</w:t>
      </w:r>
    </w:p>
    <w:p w14:paraId="77D2C634" w14:textId="77777777" w:rsidR="009413D3" w:rsidRDefault="009413D3" w:rsidP="009413D3">
      <w:r>
        <w:t xml:space="preserve">The two pivotal studies were evaluated together due to the similarities in study design, efficacy endpoints and </w:t>
      </w:r>
      <w:proofErr w:type="spellStart"/>
      <w:r w:rsidR="00B842FA">
        <w:t>satralizumab</w:t>
      </w:r>
      <w:proofErr w:type="spellEnd"/>
      <w:r w:rsidR="00820C3F">
        <w:t xml:space="preserve"> dose </w:t>
      </w:r>
      <w:r>
        <w:t>regimens used. Notable differences in design, conduct and/or analysis are discussed under relevant subheadings.</w:t>
      </w:r>
    </w:p>
    <w:p w14:paraId="6C0AB2B9" w14:textId="6276D9BA" w:rsidR="009413D3" w:rsidRDefault="00EB1522" w:rsidP="009413D3">
      <w:pPr>
        <w:pStyle w:val="ListBullet"/>
      </w:pPr>
      <w:r>
        <w:t xml:space="preserve">Study </w:t>
      </w:r>
      <w:r w:rsidR="009413D3">
        <w:t xml:space="preserve">BN40900: A </w:t>
      </w:r>
      <w:r w:rsidR="00500D96">
        <w:t>multicentre</w:t>
      </w:r>
      <w:r w:rsidR="009413D3">
        <w:t>, r</w:t>
      </w:r>
      <w:r w:rsidR="00B2774F">
        <w:t>andomis</w:t>
      </w:r>
      <w:r w:rsidR="009413D3">
        <w:t xml:space="preserve">ed, double-blind, placebo-controlled, Phase III study to evaluate the efficacy and safety of </w:t>
      </w:r>
      <w:proofErr w:type="spellStart"/>
      <w:r w:rsidR="009413D3">
        <w:t>satralizumab</w:t>
      </w:r>
      <w:proofErr w:type="spellEnd"/>
      <w:r w:rsidR="009413D3">
        <w:t xml:space="preserve"> as monotherapy in patients with NMO and NMOSD study</w:t>
      </w:r>
    </w:p>
    <w:p w14:paraId="71774A88" w14:textId="77777777" w:rsidR="009413D3" w:rsidRDefault="00EB1522" w:rsidP="009413D3">
      <w:pPr>
        <w:pStyle w:val="ListBullet"/>
      </w:pPr>
      <w:r>
        <w:t xml:space="preserve">Study </w:t>
      </w:r>
      <w:r w:rsidR="009413D3">
        <w:t xml:space="preserve">BN40898: A </w:t>
      </w:r>
      <w:proofErr w:type="spellStart"/>
      <w:r w:rsidR="009413D3">
        <w:t>multicenter</w:t>
      </w:r>
      <w:proofErr w:type="spellEnd"/>
      <w:r w:rsidR="009413D3">
        <w:t>, r</w:t>
      </w:r>
      <w:r w:rsidR="00B2774F">
        <w:t>andomis</w:t>
      </w:r>
      <w:r w:rsidR="009413D3">
        <w:t xml:space="preserve">ed, addition to baseline treatment, double-blind, placebo-controlled, Phase III study to evaluate the efficacy and safety of </w:t>
      </w:r>
      <w:proofErr w:type="spellStart"/>
      <w:r w:rsidR="009413D3">
        <w:t>satralizumab</w:t>
      </w:r>
      <w:proofErr w:type="spellEnd"/>
      <w:r w:rsidR="009413D3">
        <w:t xml:space="preserve"> in patients with NMO and NMOSD study</w:t>
      </w:r>
    </w:p>
    <w:p w14:paraId="08732FD5" w14:textId="77777777" w:rsidR="00B2774F" w:rsidRPr="00B2774F" w:rsidRDefault="00B2774F" w:rsidP="00B2774F">
      <w:pPr>
        <w:pStyle w:val="Heading7"/>
        <w:rPr>
          <w:sz w:val="22"/>
          <w:szCs w:val="22"/>
        </w:rPr>
      </w:pPr>
      <w:r w:rsidRPr="00B2774F">
        <w:rPr>
          <w:sz w:val="22"/>
          <w:szCs w:val="22"/>
        </w:rPr>
        <w:t>Study design</w:t>
      </w:r>
    </w:p>
    <w:p w14:paraId="45FEAB90" w14:textId="77777777" w:rsidR="00B2774F" w:rsidRDefault="00246728" w:rsidP="00B2774F">
      <w:r>
        <w:t>Each study comprised a placebo</w:t>
      </w:r>
      <w:r w:rsidR="00820C3F">
        <w:t xml:space="preserve"> </w:t>
      </w:r>
      <w:r w:rsidR="00B2774F">
        <w:t xml:space="preserve">controlled double blind period (DBP), which provided data for the primary analysis, followed by an open label period (OLP), to further characterise long-term </w:t>
      </w:r>
      <w:proofErr w:type="spellStart"/>
      <w:r w:rsidR="00B842FA">
        <w:t>satralizumab</w:t>
      </w:r>
      <w:proofErr w:type="spellEnd"/>
      <w:r w:rsidR="00B2774F">
        <w:t xml:space="preserve"> safety and efficacy</w:t>
      </w:r>
    </w:p>
    <w:p w14:paraId="56087B18" w14:textId="77777777" w:rsidR="00B2774F" w:rsidRDefault="00B2774F" w:rsidP="00B2774F">
      <w:r>
        <w:t xml:space="preserve">In </w:t>
      </w:r>
      <w:r w:rsidR="00EB1522">
        <w:t xml:space="preserve">Study </w:t>
      </w:r>
      <w:r>
        <w:t>BN40898, subjects who experienced a relapse, which was treated with rescue therapy and/or had a clinical endpoint committee (CEC) adjudicated protocol-defined relapse (PDR) or who completed the DBP, could enter the OLP.</w:t>
      </w:r>
    </w:p>
    <w:p w14:paraId="1E672202" w14:textId="77777777" w:rsidR="00B2774F" w:rsidRDefault="00B2774F" w:rsidP="00B2774F">
      <w:r>
        <w:t xml:space="preserve">In </w:t>
      </w:r>
      <w:r w:rsidR="00EB1522">
        <w:t xml:space="preserve">Study </w:t>
      </w:r>
      <w:r>
        <w:t>BN40900, only subjects who completed the DBP or experienced a CEC adjudicated PDR in the DBP could enter the OLP.</w:t>
      </w:r>
    </w:p>
    <w:p w14:paraId="75907BD8" w14:textId="77777777" w:rsidR="00B2774F" w:rsidRPr="00B2774F" w:rsidRDefault="00B2774F" w:rsidP="00B2774F">
      <w:pPr>
        <w:pStyle w:val="Heading7"/>
        <w:rPr>
          <w:rFonts w:eastAsiaTheme="minorHAnsi"/>
          <w:sz w:val="22"/>
          <w:szCs w:val="22"/>
        </w:rPr>
      </w:pPr>
      <w:r w:rsidRPr="00B2774F">
        <w:rPr>
          <w:rFonts w:eastAsiaTheme="minorHAnsi"/>
          <w:sz w:val="22"/>
          <w:szCs w:val="22"/>
        </w:rPr>
        <w:t>Primary objective</w:t>
      </w:r>
    </w:p>
    <w:p w14:paraId="42EBF47F" w14:textId="77777777" w:rsidR="00B2774F" w:rsidRDefault="00B2774F" w:rsidP="00B2774F">
      <w:pPr>
        <w:rPr>
          <w:lang w:val="en-GB"/>
        </w:rPr>
      </w:pPr>
      <w:r w:rsidRPr="00B2774F">
        <w:rPr>
          <w:lang w:val="en-GB"/>
        </w:rPr>
        <w:t>To</w:t>
      </w:r>
      <w:r>
        <w:rPr>
          <w:lang w:val="en-GB"/>
        </w:rPr>
        <w:t xml:space="preserve"> assess efficacy and safety of </w:t>
      </w:r>
      <w:proofErr w:type="spellStart"/>
      <w:r>
        <w:rPr>
          <w:lang w:val="en-GB"/>
        </w:rPr>
        <w:t>satralizumab</w:t>
      </w:r>
      <w:proofErr w:type="spellEnd"/>
      <w:r>
        <w:rPr>
          <w:lang w:val="en-GB"/>
        </w:rPr>
        <w:t xml:space="preserve"> </w:t>
      </w:r>
      <w:r w:rsidRPr="00B2774F">
        <w:rPr>
          <w:lang w:val="en-GB"/>
        </w:rPr>
        <w:t xml:space="preserve">compared with </w:t>
      </w:r>
      <w:r w:rsidR="00246728">
        <w:rPr>
          <w:lang w:val="en-GB"/>
        </w:rPr>
        <w:t>placebo</w:t>
      </w:r>
      <w:r w:rsidRPr="00B2774F">
        <w:rPr>
          <w:lang w:val="en-GB"/>
        </w:rPr>
        <w:t xml:space="preserve"> in </w:t>
      </w:r>
      <w:r>
        <w:rPr>
          <w:lang w:val="en-GB"/>
        </w:rPr>
        <w:t>subjects with NMO and NMOSD.</w:t>
      </w:r>
    </w:p>
    <w:p w14:paraId="7E5905DE" w14:textId="4A5704A3" w:rsidR="00B2774F" w:rsidRDefault="00B2774F" w:rsidP="00B2774F">
      <w:pPr>
        <w:pStyle w:val="Heading7"/>
        <w:rPr>
          <w:rFonts w:eastAsiaTheme="minorHAnsi"/>
          <w:sz w:val="22"/>
        </w:rPr>
      </w:pPr>
      <w:r w:rsidRPr="00B2774F">
        <w:rPr>
          <w:rFonts w:eastAsiaTheme="minorHAnsi"/>
          <w:sz w:val="22"/>
        </w:rPr>
        <w:t>Key inclusion criteria</w:t>
      </w:r>
    </w:p>
    <w:p w14:paraId="38431028" w14:textId="77777777" w:rsidR="00B2774F" w:rsidRDefault="00B2774F" w:rsidP="00B2774F">
      <w:pPr>
        <w:pStyle w:val="ListBullet"/>
      </w:pPr>
      <w:r>
        <w:t>Adult subjects aged ≥ 18 years with NMO or NMOSD in both studies. Study BN40898 also included adolescent subjects, aged 12 to 17 years</w:t>
      </w:r>
      <w:r w:rsidR="00EB1522">
        <w:t xml:space="preserve"> old</w:t>
      </w:r>
    </w:p>
    <w:p w14:paraId="7FCFA7C4" w14:textId="77777777" w:rsidR="00B2774F" w:rsidRDefault="00B2774F" w:rsidP="00B2774F">
      <w:pPr>
        <w:pStyle w:val="ListBullet"/>
      </w:pPr>
      <w:r>
        <w:t xml:space="preserve">Expanded Disability Status Scale (EDSS) score from 0 </w:t>
      </w:r>
      <w:r w:rsidR="00EB1522">
        <w:t>to 6.5 (inclusive) at screening</w:t>
      </w:r>
    </w:p>
    <w:p w14:paraId="5C641737" w14:textId="77777777" w:rsidR="00B2774F" w:rsidRDefault="00B2774F" w:rsidP="00B2774F">
      <w:pPr>
        <w:pStyle w:val="ListBullet"/>
      </w:pPr>
      <w:r>
        <w:lastRenderedPageBreak/>
        <w:t>Ability and willingness to provide written informed consent and to comply with the requirement of the protocol</w:t>
      </w:r>
    </w:p>
    <w:p w14:paraId="06DB937E" w14:textId="77777777" w:rsidR="00B2774F" w:rsidRDefault="00B2774F" w:rsidP="00D22CD1">
      <w:pPr>
        <w:pStyle w:val="ListBullet"/>
        <w:numPr>
          <w:ilvl w:val="0"/>
          <w:numId w:val="0"/>
        </w:numPr>
      </w:pPr>
      <w:r>
        <w:t>NMO subjects were enrolled in both studies according to the criteria.</w:t>
      </w:r>
      <w:bookmarkStart w:id="45" w:name="_Ref72934157"/>
      <w:r w:rsidR="00D22CD1">
        <w:rPr>
          <w:rStyle w:val="FootnoteReference"/>
        </w:rPr>
        <w:footnoteReference w:id="7"/>
      </w:r>
      <w:bookmarkEnd w:id="45"/>
      <w:r>
        <w:t xml:space="preserve"> Diagnosis required:</w:t>
      </w:r>
    </w:p>
    <w:p w14:paraId="30B5FB93" w14:textId="650C2C4E" w:rsidR="00B2774F" w:rsidRDefault="00500D96" w:rsidP="00D22CD1">
      <w:pPr>
        <w:pStyle w:val="ListBullet"/>
      </w:pPr>
      <w:r>
        <w:t>o</w:t>
      </w:r>
      <w:r w:rsidR="00B2774F">
        <w:t xml:space="preserve">ptic </w:t>
      </w:r>
      <w:r>
        <w:t>n</w:t>
      </w:r>
      <w:r w:rsidR="00B2774F">
        <w:t>euritis (ON</w:t>
      </w:r>
      <w:proofErr w:type="gramStart"/>
      <w:r w:rsidR="00B2774F">
        <w:t>);</w:t>
      </w:r>
      <w:proofErr w:type="gramEnd"/>
    </w:p>
    <w:p w14:paraId="50811616" w14:textId="4F10D2F4" w:rsidR="00D22CD1" w:rsidRPr="00D22CD1" w:rsidRDefault="00500D96" w:rsidP="00D22CD1">
      <w:pPr>
        <w:pStyle w:val="ListBullet"/>
      </w:pPr>
      <w:r>
        <w:rPr>
          <w:rFonts w:eastAsiaTheme="minorHAnsi"/>
        </w:rPr>
        <w:t>m</w:t>
      </w:r>
      <w:r w:rsidR="00D22CD1" w:rsidRPr="00A650AD">
        <w:rPr>
          <w:rFonts w:eastAsiaTheme="minorHAnsi"/>
          <w:color w:val="000000"/>
        </w:rPr>
        <w:t>yelitis</w:t>
      </w:r>
      <w:r>
        <w:rPr>
          <w:rFonts w:eastAsiaTheme="minorHAnsi"/>
          <w:color w:val="000000"/>
        </w:rPr>
        <w:t>/</w:t>
      </w:r>
      <w:r w:rsidR="00D22CD1" w:rsidRPr="00A650AD">
        <w:rPr>
          <w:shd w:val="clear" w:color="auto" w:fill="FFFFFF"/>
        </w:rPr>
        <w:t>inflammation of the spinal cord</w:t>
      </w:r>
      <w:r w:rsidR="00D22CD1" w:rsidRPr="00A650AD">
        <w:rPr>
          <w:rFonts w:eastAsiaTheme="minorHAnsi"/>
          <w:color w:val="000000"/>
        </w:rPr>
        <w:t xml:space="preserve"> (transverse</w:t>
      </w:r>
      <w:proofErr w:type="gramStart"/>
      <w:r w:rsidR="00D22CD1" w:rsidRPr="00A650AD">
        <w:rPr>
          <w:rFonts w:eastAsiaTheme="minorHAnsi"/>
          <w:color w:val="000000"/>
        </w:rPr>
        <w:t>);</w:t>
      </w:r>
      <w:proofErr w:type="gramEnd"/>
    </w:p>
    <w:p w14:paraId="0339221D" w14:textId="410C9EC0" w:rsidR="00D22CD1" w:rsidRDefault="00500D96" w:rsidP="00D22CD1">
      <w:pPr>
        <w:pStyle w:val="ListBullet"/>
        <w:numPr>
          <w:ilvl w:val="0"/>
          <w:numId w:val="0"/>
        </w:numPr>
      </w:pPr>
      <w:r>
        <w:t>p</w:t>
      </w:r>
      <w:r w:rsidR="00D22CD1">
        <w:t>lus a</w:t>
      </w:r>
      <w:r w:rsidR="00D22CD1" w:rsidRPr="000F0603">
        <w:t xml:space="preserve">t least </w:t>
      </w:r>
      <w:r w:rsidR="00D22CD1" w:rsidRPr="00D22CD1">
        <w:t>two out of the listed three</w:t>
      </w:r>
      <w:r w:rsidR="00D22CD1">
        <w:t xml:space="preserve"> supportive </w:t>
      </w:r>
      <w:proofErr w:type="gramStart"/>
      <w:r w:rsidR="00D22CD1">
        <w:t>criteria;</w:t>
      </w:r>
      <w:proofErr w:type="gramEnd"/>
    </w:p>
    <w:p w14:paraId="41DE5707" w14:textId="2E7BDBFA" w:rsidR="00D22CD1" w:rsidRDefault="00500D96" w:rsidP="00EB1522">
      <w:pPr>
        <w:pStyle w:val="ListBullet"/>
      </w:pPr>
      <w:r>
        <w:t>c</w:t>
      </w:r>
      <w:r w:rsidR="00D22CD1" w:rsidRPr="00F01ED4">
        <w:t xml:space="preserve">ontiguous spinal cord lesion identified on </w:t>
      </w:r>
      <w:proofErr w:type="gramStart"/>
      <w:r w:rsidR="00D22CD1" w:rsidRPr="00F01ED4">
        <w:t>an</w:t>
      </w:r>
      <w:proofErr w:type="gramEnd"/>
      <w:r w:rsidR="00D22CD1" w:rsidRPr="00F01ED4">
        <w:t xml:space="preserve"> </w:t>
      </w:r>
      <w:r w:rsidR="00EB1522">
        <w:t>m</w:t>
      </w:r>
      <w:r w:rsidR="00EB1522" w:rsidRPr="00EB1522">
        <w:t xml:space="preserve">agnetic resonance imaging </w:t>
      </w:r>
      <w:r w:rsidR="00EB1522">
        <w:t>(</w:t>
      </w:r>
      <w:r w:rsidR="00D22CD1" w:rsidRPr="00F01ED4">
        <w:t>MRI</w:t>
      </w:r>
      <w:r w:rsidR="00EB1522">
        <w:t>) scan, extending over three</w:t>
      </w:r>
      <w:r w:rsidR="00D22CD1" w:rsidRPr="00F01ED4">
        <w:t xml:space="preserve"> vertebral segments;</w:t>
      </w:r>
    </w:p>
    <w:p w14:paraId="09BD6CA2" w14:textId="071753CA" w:rsidR="00D22CD1" w:rsidRPr="00D22CD1" w:rsidRDefault="00500D96" w:rsidP="00D22CD1">
      <w:pPr>
        <w:pStyle w:val="ListBullet"/>
      </w:pPr>
      <w:r>
        <w:t>b</w:t>
      </w:r>
      <w:r w:rsidR="00D22CD1" w:rsidRPr="00D22CD1">
        <w:t xml:space="preserve">rain MRI not meeting diagnostic criteria for multiple </w:t>
      </w:r>
      <w:proofErr w:type="gramStart"/>
      <w:r w:rsidR="00D22CD1" w:rsidRPr="00D22CD1">
        <w:t>sclerosis;</w:t>
      </w:r>
      <w:proofErr w:type="gramEnd"/>
    </w:p>
    <w:p w14:paraId="42FD391A" w14:textId="77777777" w:rsidR="00D22CD1" w:rsidRPr="00D22CD1" w:rsidRDefault="00D22CD1" w:rsidP="00D22CD1">
      <w:pPr>
        <w:pStyle w:val="ListBullet"/>
      </w:pPr>
      <w:r w:rsidRPr="00D22CD1">
        <w:t>NMO-IgG (anti-AQP4 antibody) seropositive status.</w:t>
      </w:r>
    </w:p>
    <w:p w14:paraId="07846168" w14:textId="77777777" w:rsidR="00D22CD1" w:rsidRDefault="00D22CD1" w:rsidP="00D22CD1">
      <w:pPr>
        <w:pStyle w:val="ListBullet2"/>
        <w:numPr>
          <w:ilvl w:val="0"/>
          <w:numId w:val="0"/>
        </w:numPr>
      </w:pPr>
      <w:r w:rsidRPr="00D22CD1">
        <w:t>NMOSD subjects were enrolled in both studies according to</w:t>
      </w:r>
      <w:r>
        <w:t xml:space="preserve"> the</w:t>
      </w:r>
      <w:r w:rsidRPr="00D22CD1">
        <w:t xml:space="preserve"> </w:t>
      </w:r>
      <w:r>
        <w:t>criteria.</w:t>
      </w:r>
      <w:r>
        <w:rPr>
          <w:rStyle w:val="FootnoteReference"/>
        </w:rPr>
        <w:footnoteReference w:id="8"/>
      </w:r>
    </w:p>
    <w:p w14:paraId="7C9986C7" w14:textId="77777777" w:rsidR="00D22CD1" w:rsidRDefault="00D22CD1" w:rsidP="00D22CD1">
      <w:pPr>
        <w:pStyle w:val="ListBullet"/>
      </w:pPr>
      <w:r>
        <w:t xml:space="preserve">Anti-AQP4-IgG seropositive subjects who met NMO criteria only </w:t>
      </w:r>
      <w:proofErr w:type="gramStart"/>
      <w:r>
        <w:t>partially;</w:t>
      </w:r>
      <w:proofErr w:type="gramEnd"/>
    </w:p>
    <w:p w14:paraId="28D482BF" w14:textId="77777777" w:rsidR="00D22CD1" w:rsidRDefault="00D22CD1" w:rsidP="00D22CD1">
      <w:pPr>
        <w:pStyle w:val="ListBullet2"/>
      </w:pPr>
      <w:r>
        <w:t>And having either single or recurrent events of lo</w:t>
      </w:r>
      <w:r w:rsidR="00EB1522">
        <w:t>ngitudinally extensive myelitis</w:t>
      </w:r>
    </w:p>
    <w:p w14:paraId="7BA89600" w14:textId="77777777" w:rsidR="00D22CD1" w:rsidRDefault="00D22CD1" w:rsidP="00D22CD1">
      <w:pPr>
        <w:pStyle w:val="ListBullet2"/>
      </w:pPr>
      <w:r w:rsidRPr="00D22CD1">
        <w:t>or recurrent or simultaneous bilateral ON events</w:t>
      </w:r>
    </w:p>
    <w:p w14:paraId="0D8F7C2F" w14:textId="46E2B984" w:rsidR="008950EE" w:rsidRPr="008950EE" w:rsidRDefault="008950EE" w:rsidP="008950EE">
      <w:r w:rsidRPr="008950EE">
        <w:t xml:space="preserve">Subjects in </w:t>
      </w:r>
      <w:r w:rsidR="00EB1522">
        <w:t xml:space="preserve">Study </w:t>
      </w:r>
      <w:r w:rsidRPr="008950EE">
        <w:t>BN40900 required</w:t>
      </w:r>
      <w:r w:rsidR="00EB1522">
        <w:t xml:space="preserve"> clinical evidence of at least one</w:t>
      </w:r>
      <w:r w:rsidRPr="008950EE">
        <w:t xml:space="preserve"> documented attack (inclusiv</w:t>
      </w:r>
      <w:r>
        <w:t xml:space="preserve">e </w:t>
      </w:r>
      <w:r w:rsidRPr="00395186">
        <w:t xml:space="preserve">of first episode or relapse) in </w:t>
      </w:r>
      <w:r w:rsidRPr="008950EE">
        <w:t xml:space="preserve">the last 12 months prior to </w:t>
      </w:r>
      <w:proofErr w:type="gramStart"/>
      <w:r w:rsidRPr="008950EE">
        <w:t>screening, but</w:t>
      </w:r>
      <w:proofErr w:type="gramEnd"/>
      <w:r w:rsidRPr="008950EE">
        <w:t xml:space="preserve"> were not allowed to have any clinical relapse wi</w:t>
      </w:r>
      <w:r>
        <w:t xml:space="preserve">thin 30 days prior to </w:t>
      </w:r>
      <w:r w:rsidR="00500D96">
        <w:t>B</w:t>
      </w:r>
      <w:r>
        <w:t>aseline.</w:t>
      </w:r>
    </w:p>
    <w:p w14:paraId="549BC60E" w14:textId="77777777" w:rsidR="008950EE" w:rsidRDefault="008950EE" w:rsidP="008950EE">
      <w:r w:rsidRPr="008950EE">
        <w:t xml:space="preserve">Subjects in </w:t>
      </w:r>
      <w:r w:rsidR="00EB1522">
        <w:t xml:space="preserve">Study </w:t>
      </w:r>
      <w:r w:rsidRPr="008950EE">
        <w:t>BN40898 required</w:t>
      </w:r>
      <w:r w:rsidR="00EB1522">
        <w:t xml:space="preserve"> clinical evidence of at least two</w:t>
      </w:r>
      <w:r w:rsidRPr="008950EE">
        <w:t xml:space="preserve"> documented attacks</w:t>
      </w:r>
      <w:r>
        <w:t xml:space="preserve"> </w:t>
      </w:r>
      <w:r w:rsidRPr="00351EE4">
        <w:t>(inclu</w:t>
      </w:r>
      <w:r>
        <w:t xml:space="preserve">sive of </w:t>
      </w:r>
      <w:r w:rsidRPr="00351EE4">
        <w:t xml:space="preserve">first </w:t>
      </w:r>
      <w:r>
        <w:t>episode or relapse)</w:t>
      </w:r>
      <w:r w:rsidRPr="00351EE4">
        <w:t xml:space="preserve"> </w:t>
      </w:r>
      <w:r w:rsidRPr="008950EE">
        <w:t>in the last 2 years prior to screening, at least one of which had occurred in the 12 months prior to screening.</w:t>
      </w:r>
    </w:p>
    <w:p w14:paraId="7709DCA7" w14:textId="12FD6317" w:rsidR="008950EE" w:rsidRDefault="008950EE" w:rsidP="008950EE">
      <w:r>
        <w:t>The Delegate noted that the percentage of enrolled (adult) subjects who were seronegative for anti-AQP4-IgG antibodies was capped at approximately 30% of the total subjects enrolled, based on epidemiologic data. By inference, it means that anti-AQP4-IgG seronegative subjects can still otherwise meet the criteria;</w:t>
      </w:r>
      <w:r>
        <w:fldChar w:fldCharType="begin"/>
      </w:r>
      <w:r>
        <w:instrText xml:space="preserve"> NOTEREF _Ref72934157 \f \h </w:instrText>
      </w:r>
      <w:r>
        <w:fldChar w:fldCharType="separate"/>
      </w:r>
      <w:r w:rsidR="009340CF" w:rsidRPr="009340CF">
        <w:rPr>
          <w:rStyle w:val="FootnoteReference"/>
        </w:rPr>
        <w:t>7</w:t>
      </w:r>
      <w:r>
        <w:fldChar w:fldCharType="end"/>
      </w:r>
      <w:r>
        <w:t xml:space="preserve"> for NMO inclusion in Stud</w:t>
      </w:r>
      <w:r w:rsidR="00500D96">
        <w:t>ies</w:t>
      </w:r>
      <w:r>
        <w:t>BN40898</w:t>
      </w:r>
      <w:r w:rsidR="00DB3A65">
        <w:t xml:space="preserve"> and BN40900</w:t>
      </w:r>
      <w:r>
        <w:t>.</w:t>
      </w:r>
    </w:p>
    <w:p w14:paraId="5062DD24" w14:textId="77777777" w:rsidR="008950EE" w:rsidRDefault="008950EE" w:rsidP="008950EE">
      <w:r>
        <w:t>In Study BN40898, in accordance with the per intent protocol (PIP) analysis, a minimum of six adolescent subjects had to be evaluable for the primary analysis, including at least four with anti-AQP4-IgG antibody seropositive status at screening.</w:t>
      </w:r>
    </w:p>
    <w:p w14:paraId="7BCA8C42" w14:textId="77777777" w:rsidR="008950EE" w:rsidRDefault="008950EE" w:rsidP="008950EE">
      <w:pPr>
        <w:pStyle w:val="Heading7"/>
      </w:pPr>
      <w:r>
        <w:rPr>
          <w:rStyle w:val="Heading7Char"/>
        </w:rPr>
        <w:t>Key e</w:t>
      </w:r>
      <w:r w:rsidRPr="008950EE">
        <w:rPr>
          <w:rStyle w:val="Heading7Char"/>
        </w:rPr>
        <w:t>xclusion criteria</w:t>
      </w:r>
    </w:p>
    <w:p w14:paraId="2473CC8B" w14:textId="3A220B9E" w:rsidR="008950EE" w:rsidRDefault="00EB1522" w:rsidP="008950EE">
      <w:pPr>
        <w:pStyle w:val="ListBullet"/>
      </w:pPr>
      <w:r>
        <w:t>c</w:t>
      </w:r>
      <w:r w:rsidR="008950EE">
        <w:t>linical relapse onset (including first attack</w:t>
      </w:r>
      <w:r>
        <w:t xml:space="preserve">) &lt; 30 days prior to </w:t>
      </w:r>
      <w:r w:rsidR="00500D96">
        <w:t>B</w:t>
      </w:r>
      <w:r>
        <w:t>aseline (Study</w:t>
      </w:r>
      <w:r w:rsidR="00500D96">
        <w:t> </w:t>
      </w:r>
      <w:r>
        <w:t>BN40900</w:t>
      </w:r>
      <w:proofErr w:type="gramStart"/>
      <w:r>
        <w:t>)</w:t>
      </w:r>
      <w:r w:rsidR="00500D96">
        <w:t>;</w:t>
      </w:r>
      <w:proofErr w:type="gramEnd"/>
    </w:p>
    <w:p w14:paraId="097AC10C" w14:textId="62286B77" w:rsidR="008950EE" w:rsidRDefault="00EB1522" w:rsidP="008950EE">
      <w:pPr>
        <w:pStyle w:val="ListBullet"/>
      </w:pPr>
      <w:r>
        <w:t>e</w:t>
      </w:r>
      <w:r w:rsidR="008950EE">
        <w:t>vidence of a demyelinating disease or progressive</w:t>
      </w:r>
      <w:r>
        <w:t xml:space="preserve"> multifocal leukoencephalopathy</w:t>
      </w:r>
    </w:p>
    <w:p w14:paraId="454CA6F3" w14:textId="43AFAAC4" w:rsidR="008950EE" w:rsidRDefault="00EB1522" w:rsidP="008950EE">
      <w:pPr>
        <w:pStyle w:val="ListBullet"/>
      </w:pPr>
      <w:r>
        <w:t>p</w:t>
      </w:r>
      <w:r w:rsidR="008950EE">
        <w:t>revious treatment of toc</w:t>
      </w:r>
      <w:r w:rsidR="001E6E9D">
        <w:t>ilizumab within six</w:t>
      </w:r>
      <w:r>
        <w:t xml:space="preserve"> months prior to baseline</w:t>
      </w:r>
    </w:p>
    <w:p w14:paraId="28AD9DF5" w14:textId="453708AE" w:rsidR="008950EE" w:rsidRDefault="00EB1522" w:rsidP="008950EE">
      <w:pPr>
        <w:pStyle w:val="ListBullet"/>
      </w:pPr>
      <w:r>
        <w:t>s</w:t>
      </w:r>
      <w:r w:rsidR="008950EE">
        <w:t>ubjects at potential risk for g</w:t>
      </w:r>
      <w:r w:rsidR="001E6E9D">
        <w:t>astrointestinal perforation for example</w:t>
      </w:r>
      <w:r>
        <w:t xml:space="preserve"> diverticulitis</w:t>
      </w:r>
    </w:p>
    <w:p w14:paraId="27918623" w14:textId="6B54CF21" w:rsidR="008950EE" w:rsidRDefault="00EB1522" w:rsidP="008950EE">
      <w:pPr>
        <w:pStyle w:val="ListBullet"/>
      </w:pPr>
      <w:r>
        <w:t>s</w:t>
      </w:r>
      <w:r w:rsidR="008950EE">
        <w:t>ubjects with history o</w:t>
      </w:r>
      <w:r w:rsidR="001E6E9D">
        <w:t>f Stevens-Johnson syndrome (SJS</w:t>
      </w:r>
      <w:r>
        <w:t>)</w:t>
      </w:r>
    </w:p>
    <w:p w14:paraId="14D3C728" w14:textId="2F9B0F9D" w:rsidR="008950EE" w:rsidRDefault="00EB1522" w:rsidP="008950EE">
      <w:pPr>
        <w:pStyle w:val="ListBullet"/>
      </w:pPr>
      <w:r>
        <w:t>a</w:t>
      </w:r>
      <w:r w:rsidR="008950EE">
        <w:t>cti</w:t>
      </w:r>
      <w:r>
        <w:t>ve or recent suicidal ideation</w:t>
      </w:r>
    </w:p>
    <w:p w14:paraId="1B8C063A" w14:textId="6AB2BFCB" w:rsidR="008950EE" w:rsidRDefault="00EB1522" w:rsidP="008950EE">
      <w:pPr>
        <w:pStyle w:val="ListBullet"/>
      </w:pPr>
      <w:r>
        <w:t>known active infection</w:t>
      </w:r>
    </w:p>
    <w:p w14:paraId="65D7977D" w14:textId="6674ACB4" w:rsidR="008950EE" w:rsidRDefault="00EB1522" w:rsidP="008950EE">
      <w:pPr>
        <w:pStyle w:val="ListBullet"/>
      </w:pPr>
      <w:r>
        <w:t>a</w:t>
      </w:r>
      <w:r w:rsidR="008950EE">
        <w:t>ctive i</w:t>
      </w:r>
      <w:r>
        <w:t>nterstitial lung disease (ILD)</w:t>
      </w:r>
    </w:p>
    <w:p w14:paraId="1ADB8E00" w14:textId="25126D0E" w:rsidR="008950EE" w:rsidRDefault="00EB1522" w:rsidP="008950EE">
      <w:pPr>
        <w:pStyle w:val="ListBullet"/>
      </w:pPr>
      <w:r>
        <w:lastRenderedPageBreak/>
        <w:t>h</w:t>
      </w:r>
      <w:r w:rsidR="008950EE">
        <w:t xml:space="preserve">istory of malignancy (excluding excised </w:t>
      </w:r>
      <w:r w:rsidR="001E6E9D">
        <w:t>cuta</w:t>
      </w:r>
      <w:r>
        <w:t>neous basal cell carcinoma</w:t>
      </w:r>
      <w:r w:rsidR="001E6E9D">
        <w:t xml:space="preserve"> </w:t>
      </w:r>
      <w:r>
        <w:t>or squamous cell carcinoma</w:t>
      </w:r>
      <w:r w:rsidR="001E6E9D">
        <w:t>) within the last five</w:t>
      </w:r>
      <w:r w:rsidR="008950EE">
        <w:t xml:space="preserve"> years</w:t>
      </w:r>
    </w:p>
    <w:p w14:paraId="73E34594" w14:textId="704DFC1D" w:rsidR="008950EE" w:rsidRDefault="00EB1522" w:rsidP="008950EE">
      <w:pPr>
        <w:pStyle w:val="ListBullet"/>
      </w:pPr>
      <w:r>
        <w:t>h</w:t>
      </w:r>
      <w:r w:rsidR="008950EE">
        <w:t>istory of severe allergi</w:t>
      </w:r>
      <w:r>
        <w:t>c reactions to biologic agents</w:t>
      </w:r>
      <w:r w:rsidR="00500D96">
        <w:t>;</w:t>
      </w:r>
      <w:r>
        <w:t xml:space="preserve"> </w:t>
      </w:r>
      <w:r w:rsidR="008950EE">
        <w:t>and</w:t>
      </w:r>
    </w:p>
    <w:p w14:paraId="70F125B7" w14:textId="77777777" w:rsidR="008950EE" w:rsidRDefault="00EB1522" w:rsidP="008950EE">
      <w:pPr>
        <w:pStyle w:val="ListBullet"/>
      </w:pPr>
      <w:r>
        <w:t>a</w:t>
      </w:r>
      <w:r w:rsidR="008950EE">
        <w:t>bnormal</w:t>
      </w:r>
      <w:r>
        <w:t xml:space="preserve"> baseline white blood cell</w:t>
      </w:r>
      <w:r w:rsidR="008950EE">
        <w:t xml:space="preserve"> counts, </w:t>
      </w:r>
      <w:proofErr w:type="gramStart"/>
      <w:r w:rsidR="008950EE">
        <w:t>platelet</w:t>
      </w:r>
      <w:r>
        <w:t>s</w:t>
      </w:r>
      <w:proofErr w:type="gramEnd"/>
      <w:r>
        <w:t xml:space="preserve"> or liver function tests</w:t>
      </w:r>
    </w:p>
    <w:p w14:paraId="6E40CD7F" w14:textId="77777777" w:rsidR="00D34923" w:rsidRPr="00D34923" w:rsidRDefault="00D34923" w:rsidP="00D34923">
      <w:pPr>
        <w:pStyle w:val="Heading7"/>
        <w:rPr>
          <w:sz w:val="22"/>
          <w:szCs w:val="22"/>
        </w:rPr>
      </w:pPr>
      <w:r w:rsidRPr="00D34923">
        <w:rPr>
          <w:sz w:val="22"/>
          <w:szCs w:val="22"/>
        </w:rPr>
        <w:t>Study treatments</w:t>
      </w:r>
    </w:p>
    <w:p w14:paraId="47187041" w14:textId="77777777" w:rsidR="00D34923" w:rsidRDefault="00D34923" w:rsidP="00D34923">
      <w:r>
        <w:t xml:space="preserve">The same </w:t>
      </w:r>
      <w:proofErr w:type="spellStart"/>
      <w:r w:rsidR="00B842FA">
        <w:t>satralizumab</w:t>
      </w:r>
      <w:proofErr w:type="spellEnd"/>
      <w:r>
        <w:t xml:space="preserve"> dose-regimen was used in both studies: 120 mg SC at Weeks 0, 2 and 4 (loading phase) and 120 mg SC </w:t>
      </w:r>
      <w:r w:rsidR="00EB1522">
        <w:t>every four week</w:t>
      </w:r>
      <w:r>
        <w:t xml:space="preserve"> (maintenance phase) thereafter. For the complete duration of each DBP, </w:t>
      </w:r>
      <w:proofErr w:type="spellStart"/>
      <w:r w:rsidR="00B842FA">
        <w:t>satralizumab</w:t>
      </w:r>
      <w:proofErr w:type="spellEnd"/>
      <w:r>
        <w:t xml:space="preserve"> or matching </w:t>
      </w:r>
      <w:r w:rsidR="00246728">
        <w:t>placebo</w:t>
      </w:r>
      <w:r>
        <w:t xml:space="preserve"> were administered using a glass vial. In the OLP, subjects were switched to the </w:t>
      </w:r>
      <w:r w:rsidR="00EB1522">
        <w:t>PFS with n</w:t>
      </w:r>
      <w:r>
        <w:t>e</w:t>
      </w:r>
      <w:r w:rsidR="00EB1522">
        <w:t>edle safety d</w:t>
      </w:r>
      <w:r>
        <w:t xml:space="preserve">evice, either at entry to, or </w:t>
      </w:r>
      <w:proofErr w:type="gramStart"/>
      <w:r>
        <w:t>at a later time</w:t>
      </w:r>
      <w:proofErr w:type="gramEnd"/>
      <w:r>
        <w:t xml:space="preserve"> point in the OLP (for subjects already receiving </w:t>
      </w:r>
      <w:proofErr w:type="spellStart"/>
      <w:r w:rsidR="00B842FA">
        <w:t>satralizumab</w:t>
      </w:r>
      <w:proofErr w:type="spellEnd"/>
      <w:r>
        <w:t xml:space="preserve"> from vials). In Study BN40898, </w:t>
      </w:r>
      <w:proofErr w:type="spellStart"/>
      <w:r w:rsidR="00B842FA">
        <w:t>satralizumab</w:t>
      </w:r>
      <w:proofErr w:type="spellEnd"/>
      <w:r>
        <w:t xml:space="preserve"> (or </w:t>
      </w:r>
      <w:r w:rsidR="00246728">
        <w:t>placebo</w:t>
      </w:r>
      <w:r>
        <w:t>) treatment was administered in combination with pre-specified baseline ISTs (as in add-on trial).</w:t>
      </w:r>
    </w:p>
    <w:p w14:paraId="0F9755D8" w14:textId="77777777" w:rsidR="00D34923" w:rsidRDefault="00D34923" w:rsidP="00D34923">
      <w:r>
        <w:t>Permitted rescue therapy for clinical relapse in both studies included IV corticosteroids, OCs for tapering, IV immunoglobulin and/or apheresis (that is plasma exchange, also known as plasmapheresis).</w:t>
      </w:r>
    </w:p>
    <w:p w14:paraId="3BC4E5FC" w14:textId="77777777" w:rsidR="00D34923" w:rsidRDefault="00D34923" w:rsidP="00D34923">
      <w:r>
        <w:t xml:space="preserve">Across studies, stable doses of medicines for pain treatment were permitted, with dose increase or change of pain medication permitted. However, no dose increases were permitted in IST or change in IST for </w:t>
      </w:r>
      <w:r w:rsidR="00EB1522">
        <w:t>Study BN40898.</w:t>
      </w:r>
    </w:p>
    <w:p w14:paraId="0BB7B5F6" w14:textId="77777777" w:rsidR="00D34923" w:rsidRDefault="00D34923" w:rsidP="00D34923">
      <w:r>
        <w:t>Dose reduction and temporary treatment suspension of permitted medicines (including pre-specified ISTs for Study BN40898) were allowed across studies, for safety reasons only.</w:t>
      </w:r>
    </w:p>
    <w:p w14:paraId="21CC67CD" w14:textId="77777777" w:rsidR="00D34923" w:rsidRPr="00D34923" w:rsidRDefault="00D34923" w:rsidP="00D34923">
      <w:pPr>
        <w:pStyle w:val="Heading7"/>
        <w:rPr>
          <w:sz w:val="22"/>
        </w:rPr>
      </w:pPr>
      <w:r w:rsidRPr="00D34923">
        <w:rPr>
          <w:sz w:val="22"/>
        </w:rPr>
        <w:t>Randomisation and blinding methods</w:t>
      </w:r>
    </w:p>
    <w:p w14:paraId="39B6D740" w14:textId="77777777" w:rsidR="00D34923" w:rsidRDefault="00D34923" w:rsidP="00D34923">
      <w:r>
        <w:t xml:space="preserve">In Study BN40900, eligible subjects were randomised 2:1 to </w:t>
      </w:r>
      <w:proofErr w:type="spellStart"/>
      <w:r w:rsidR="00B842FA">
        <w:t>satralizumab</w:t>
      </w:r>
      <w:proofErr w:type="spellEnd"/>
      <w:r>
        <w:t xml:space="preserve"> and </w:t>
      </w:r>
      <w:r w:rsidR="00246728">
        <w:t>placebo</w:t>
      </w:r>
      <w:r>
        <w:t xml:space="preserve"> via a centralised Interactive Web Response and Voice Response System (</w:t>
      </w:r>
      <w:proofErr w:type="spellStart"/>
      <w:r>
        <w:t>IxRS</w:t>
      </w:r>
      <w:proofErr w:type="spellEnd"/>
      <w:r>
        <w:t>).</w:t>
      </w:r>
    </w:p>
    <w:p w14:paraId="366C796F" w14:textId="77777777" w:rsidR="00D34923" w:rsidRDefault="00D34923" w:rsidP="00D34923">
      <w:r>
        <w:t>Randomisation was stratified by:</w:t>
      </w:r>
    </w:p>
    <w:p w14:paraId="7A7B603A" w14:textId="77777777" w:rsidR="00D34923" w:rsidRDefault="00D34923" w:rsidP="00D34923">
      <w:pPr>
        <w:pStyle w:val="ListBullet"/>
      </w:pPr>
      <w:r>
        <w:t>baseline therapy for prevention of NMO or NMOSD relapse (B-cell lymphocyte depleting therapy, IST or others</w:t>
      </w:r>
      <w:proofErr w:type="gramStart"/>
      <w:r>
        <w:t>);</w:t>
      </w:r>
      <w:proofErr w:type="gramEnd"/>
    </w:p>
    <w:p w14:paraId="6A278728" w14:textId="62CFA7AC" w:rsidR="00D34923" w:rsidRDefault="00D34923" w:rsidP="00D34923">
      <w:pPr>
        <w:pStyle w:val="ListBullet"/>
      </w:pPr>
      <w:r>
        <w:t>the most recent attack in the last year prior to screening (</w:t>
      </w:r>
      <w:r w:rsidR="00DB3A65">
        <w:t>first attack or relapse)</w:t>
      </w:r>
      <w:r>
        <w:t>.</w:t>
      </w:r>
    </w:p>
    <w:p w14:paraId="0978ED90" w14:textId="77777777" w:rsidR="00D34923" w:rsidRDefault="00D34923" w:rsidP="00D34923">
      <w:r>
        <w:t xml:space="preserve">In contrast for Study BN40898, eligible subjects were randomised 1:1 to </w:t>
      </w:r>
      <w:proofErr w:type="spellStart"/>
      <w:r w:rsidR="00B842FA">
        <w:t>satralizumab</w:t>
      </w:r>
      <w:proofErr w:type="spellEnd"/>
      <w:r>
        <w:t xml:space="preserve"> and </w:t>
      </w:r>
      <w:r w:rsidR="00246728">
        <w:t>placebo</w:t>
      </w:r>
      <w:r w:rsidR="00F07250">
        <w:t xml:space="preserve"> via an </w:t>
      </w:r>
      <w:proofErr w:type="spellStart"/>
      <w:r w:rsidR="00F07250">
        <w:t>IxRS</w:t>
      </w:r>
      <w:proofErr w:type="spellEnd"/>
      <w:r w:rsidR="00F07250">
        <w:t>.</w:t>
      </w:r>
    </w:p>
    <w:p w14:paraId="7F3E7397" w14:textId="77777777" w:rsidR="00D34923" w:rsidRDefault="00D34923" w:rsidP="00D34923">
      <w:r>
        <w:t xml:space="preserve">Randomisation was stratified by: </w:t>
      </w:r>
    </w:p>
    <w:p w14:paraId="19E57699" w14:textId="2D6C4964" w:rsidR="00D34923" w:rsidRDefault="00EB1522" w:rsidP="00D34923">
      <w:pPr>
        <w:pStyle w:val="ListBullet"/>
      </w:pPr>
      <w:r>
        <w:t>baseline a</w:t>
      </w:r>
      <w:r w:rsidR="00D34923">
        <w:t xml:space="preserve">nnualised relapsed rate (ARR) that is ARR = 1 or ARR &gt; </w:t>
      </w:r>
      <w:proofErr w:type="gramStart"/>
      <w:r w:rsidR="00D34923">
        <w:t>1;</w:t>
      </w:r>
      <w:proofErr w:type="gramEnd"/>
    </w:p>
    <w:p w14:paraId="1303801C" w14:textId="77777777" w:rsidR="00980397" w:rsidRPr="00980397" w:rsidRDefault="00D34923" w:rsidP="00980397">
      <w:pPr>
        <w:pStyle w:val="ListBullet"/>
      </w:pPr>
      <w:r>
        <w:t>geographi</w:t>
      </w:r>
      <w:r w:rsidR="00980397">
        <w:t>cal region (Asia, Europe/other)</w:t>
      </w:r>
    </w:p>
    <w:p w14:paraId="08567250" w14:textId="7110F374" w:rsidR="00D34923" w:rsidRDefault="00D34923" w:rsidP="00D34923">
      <w:pPr>
        <w:pStyle w:val="TableTitle"/>
      </w:pPr>
      <w:r w:rsidRPr="00D34923">
        <w:lastRenderedPageBreak/>
        <w:t xml:space="preserve">Table </w:t>
      </w:r>
      <w:fldSimple w:instr=" SEQ Table \* ARABIC ">
        <w:r w:rsidR="009340CF">
          <w:rPr>
            <w:noProof/>
          </w:rPr>
          <w:t>4</w:t>
        </w:r>
      </w:fldSimple>
      <w:r>
        <w:t xml:space="preserve">: </w:t>
      </w:r>
      <w:r w:rsidRPr="00D34923">
        <w:t>S</w:t>
      </w:r>
      <w:r>
        <w:t>ummary of s</w:t>
      </w:r>
      <w:r w:rsidRPr="00D34923">
        <w:t>ubject disposition and analysis populati</w:t>
      </w:r>
      <w:r>
        <w:t>ons at clinical cut-off in P</w:t>
      </w:r>
      <w:r w:rsidRPr="00D34923">
        <w:t>hase III studies in NMO/NMOSD</w:t>
      </w:r>
    </w:p>
    <w:p w14:paraId="776C2D1E" w14:textId="7C93960E" w:rsidR="00D34923" w:rsidRDefault="00D34923" w:rsidP="00D34923">
      <w:r w:rsidRPr="004C62F6">
        <w:rPr>
          <w:noProof/>
          <w:lang w:eastAsia="en-AU"/>
        </w:rPr>
        <w:drawing>
          <wp:inline distT="0" distB="0" distL="0" distR="0" wp14:anchorId="716F1639" wp14:editId="4DB48097">
            <wp:extent cx="5056361" cy="2382446"/>
            <wp:effectExtent l="0" t="0" r="0" b="0"/>
            <wp:docPr id="4537" name="Picture 4537" descr="Summary of subject disposition and analysis populations at clinical cut-off in Phase III studies in NMO/NMO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59112" cy="2383742"/>
                    </a:xfrm>
                    <a:prstGeom prst="rect">
                      <a:avLst/>
                    </a:prstGeom>
                    <a:noFill/>
                    <a:ln>
                      <a:noFill/>
                    </a:ln>
                  </pic:spPr>
                </pic:pic>
              </a:graphicData>
            </a:graphic>
          </wp:inline>
        </w:drawing>
      </w:r>
    </w:p>
    <w:p w14:paraId="44F08591" w14:textId="1295B5B5" w:rsidR="004529C4" w:rsidRDefault="004529C4" w:rsidP="00F96A4D">
      <w:pPr>
        <w:pStyle w:val="TableDescription"/>
      </w:pPr>
      <w:r>
        <w:t xml:space="preserve">ITT = intention to treat; PP = per protocol; DBP = double blind period; PLB = placebo; SAT = </w:t>
      </w:r>
      <w:proofErr w:type="spellStart"/>
      <w:r>
        <w:t>satralizumab</w:t>
      </w:r>
      <w:proofErr w:type="spellEnd"/>
    </w:p>
    <w:p w14:paraId="0C0BD1BC" w14:textId="22A661FE" w:rsidR="00882F21" w:rsidRPr="00D57377" w:rsidRDefault="00882F21" w:rsidP="00882F21">
      <w:r>
        <w:t xml:space="preserve">In Study BN40900, 168 subjects were screened, 73 subjects fail to meet the eligibility criteria and 95 subjects were enrolled. Of the 95 subjects, 63 </w:t>
      </w:r>
      <w:proofErr w:type="gramStart"/>
      <w:r>
        <w:t>person</w:t>
      </w:r>
      <w:proofErr w:type="gramEnd"/>
      <w:r>
        <w:t xml:space="preserve"> were randomised to </w:t>
      </w:r>
      <w:proofErr w:type="spellStart"/>
      <w:r w:rsidR="00B842FA">
        <w:t>satralizumab</w:t>
      </w:r>
      <w:proofErr w:type="spellEnd"/>
      <w:r>
        <w:t xml:space="preserve"> and 32 subjects to</w:t>
      </w:r>
      <w:r w:rsidR="00EB1522">
        <w:t xml:space="preserve"> placebo up to the clinical </w:t>
      </w:r>
      <w:proofErr w:type="spellStart"/>
      <w:r w:rsidR="00EB1522">
        <w:t>cut</w:t>
      </w:r>
      <w:r>
        <w:t>off</w:t>
      </w:r>
      <w:proofErr w:type="spellEnd"/>
      <w:r>
        <w:t xml:space="preserve"> date. Regarding withdrawals, a similar % of subjects discontinued from the study in both treatment groups (n = 7 that is 7/63</w:t>
      </w:r>
      <w:r w:rsidR="004529C4">
        <w:t xml:space="preserve">, or </w:t>
      </w:r>
      <w:r>
        <w:t>11.1% and n =4 that is 4/32</w:t>
      </w:r>
      <w:r w:rsidR="004529C4">
        <w:t xml:space="preserve">, or </w:t>
      </w:r>
      <w:r>
        <w:t xml:space="preserve">12.5% respectively for </w:t>
      </w:r>
      <w:proofErr w:type="spellStart"/>
      <w:r w:rsidR="00B842FA">
        <w:t>satralizumab</w:t>
      </w:r>
      <w:proofErr w:type="spellEnd"/>
      <w:r>
        <w:t xml:space="preserve"> and </w:t>
      </w:r>
      <w:r w:rsidR="00246728">
        <w:t>placebo</w:t>
      </w:r>
      <w:r>
        <w:t xml:space="preserve">) for the DBP, if </w:t>
      </w:r>
      <w:r w:rsidRPr="00D57377">
        <w:t xml:space="preserve">the 2 </w:t>
      </w:r>
      <w:proofErr w:type="spellStart"/>
      <w:r w:rsidR="00B842FA">
        <w:t>satralizumab</w:t>
      </w:r>
      <w:proofErr w:type="spellEnd"/>
      <w:r w:rsidRPr="00D57377">
        <w:t>: 1</w:t>
      </w:r>
      <w:r w:rsidR="00246728">
        <w:t xml:space="preserve"> placebo</w:t>
      </w:r>
      <w:r w:rsidRPr="00D57377">
        <w:t xml:space="preserve"> randomisation is taken into account. Few (&lt; 2) subjects per treatment group withdrew due to AEs. In the OLP, 17.1% (n = 6) of subjects withdrew.</w:t>
      </w:r>
    </w:p>
    <w:p w14:paraId="3C79DA43" w14:textId="77777777" w:rsidR="00882F21" w:rsidRPr="00D57377" w:rsidRDefault="00882F21" w:rsidP="00882F21">
      <w:r w:rsidRPr="00D57377">
        <w:t xml:space="preserve">The Delegate noted that given the similar % of subjects who completed the DBP in both </w:t>
      </w:r>
      <w:proofErr w:type="spellStart"/>
      <w:r w:rsidR="00B842FA">
        <w:t>satralizumab</w:t>
      </w:r>
      <w:proofErr w:type="spellEnd"/>
      <w:r w:rsidR="00A8131B">
        <w:t xml:space="preserve"> (n = 18 that is 18/63 = </w:t>
      </w:r>
      <w:r w:rsidRPr="00D57377">
        <w:t xml:space="preserve">28.6 %) and </w:t>
      </w:r>
      <w:r w:rsidR="00246728">
        <w:t>placebo</w:t>
      </w:r>
      <w:r w:rsidR="00A8131B">
        <w:t xml:space="preserve"> (n = 17 that is 17/32 = </w:t>
      </w:r>
      <w:r w:rsidRPr="00D57377">
        <w:t xml:space="preserve">53.1%) for Study BN40900 and the </w:t>
      </w:r>
      <w:proofErr w:type="spellStart"/>
      <w:r w:rsidR="00B842FA">
        <w:t>satralizumab</w:t>
      </w:r>
      <w:proofErr w:type="spellEnd"/>
      <w:r w:rsidR="00B842FA">
        <w:t xml:space="preserve"> </w:t>
      </w:r>
      <w:r w:rsidRPr="00D57377">
        <w:t>2: 1</w:t>
      </w:r>
      <w:r w:rsidR="00246728">
        <w:t xml:space="preserve"> placebo</w:t>
      </w:r>
      <w:r w:rsidRPr="00D57377">
        <w:t xml:space="preserve"> randomisation in the latter. T</w:t>
      </w:r>
      <w:r w:rsidR="005B09DB" w:rsidRPr="00D57377">
        <w:t>he Delegate noted that t</w:t>
      </w:r>
      <w:r w:rsidRPr="00D57377">
        <w:t xml:space="preserve">here is suggestion for more drift out of </w:t>
      </w:r>
      <w:proofErr w:type="spellStart"/>
      <w:r w:rsidR="00B842FA">
        <w:t>satralizumab</w:t>
      </w:r>
      <w:proofErr w:type="spellEnd"/>
      <w:r w:rsidRPr="00D57377">
        <w:t xml:space="preserve"> than </w:t>
      </w:r>
      <w:r w:rsidR="00246728">
        <w:t>placebo</w:t>
      </w:r>
      <w:r w:rsidRPr="00D57377">
        <w:t xml:space="preserve"> in the DBP befor</w:t>
      </w:r>
      <w:r w:rsidR="005B09DB" w:rsidRPr="00D57377">
        <w:t xml:space="preserve">e the scheduled study duration. The Delegate has </w:t>
      </w:r>
      <w:proofErr w:type="gramStart"/>
      <w:r w:rsidR="005B09DB" w:rsidRPr="00D57377">
        <w:t>request</w:t>
      </w:r>
      <w:proofErr w:type="gramEnd"/>
      <w:r w:rsidR="005B09DB" w:rsidRPr="00D57377">
        <w:t xml:space="preserve"> the sponsor to clarify if this observation </w:t>
      </w:r>
      <w:r w:rsidRPr="00D57377">
        <w:t xml:space="preserve">is related to efficacy sequelae or some other rationale, </w:t>
      </w:r>
      <w:r w:rsidR="005B09DB" w:rsidRPr="00D57377">
        <w:t>in section ‘Questions to sponsor’ below.</w:t>
      </w:r>
    </w:p>
    <w:p w14:paraId="29B70253" w14:textId="77777777" w:rsidR="005B09DB" w:rsidRPr="00D57377" w:rsidRDefault="00482655" w:rsidP="00482655">
      <w:r w:rsidRPr="00D57377">
        <w:t xml:space="preserve">In Study BN40898, 96 subjects were screened, 12 subjects failed to meet the eligibility criteria and 83 subjects were enrolled. Of the 83 subjects, 41 subjects were randomised to </w:t>
      </w:r>
      <w:proofErr w:type="spellStart"/>
      <w:r w:rsidR="00B842FA">
        <w:t>satralizumab</w:t>
      </w:r>
      <w:proofErr w:type="spellEnd"/>
      <w:r w:rsidRPr="00D57377">
        <w:t xml:space="preserve">, while 42 subjects to </w:t>
      </w:r>
      <w:r w:rsidR="00246728">
        <w:t>placebo</w:t>
      </w:r>
      <w:r w:rsidRPr="00D57377">
        <w:t xml:space="preserve"> up to the clinical </w:t>
      </w:r>
      <w:proofErr w:type="spellStart"/>
      <w:r w:rsidRPr="00D57377">
        <w:t>cutoff</w:t>
      </w:r>
      <w:proofErr w:type="spellEnd"/>
      <w:r w:rsidRPr="00D57377">
        <w:t xml:space="preserve"> date.</w:t>
      </w:r>
      <w:r w:rsidR="00E329F8" w:rsidRPr="00D57377">
        <w:t xml:space="preserve"> Study BN40898 included seven </w:t>
      </w:r>
      <w:r w:rsidR="00A8131B">
        <w:t xml:space="preserve">adolescents at the clinical </w:t>
      </w:r>
      <w:proofErr w:type="spellStart"/>
      <w:r w:rsidR="00A8131B">
        <w:t>cut</w:t>
      </w:r>
      <w:r w:rsidR="00E329F8" w:rsidRPr="00D57377">
        <w:t>off</w:t>
      </w:r>
      <w:proofErr w:type="spellEnd"/>
      <w:r w:rsidR="00E329F8" w:rsidRPr="00D57377">
        <w:t xml:space="preserve"> date.</w:t>
      </w:r>
    </w:p>
    <w:p w14:paraId="6CE0F6A7" w14:textId="77777777" w:rsidR="00482655" w:rsidRPr="00D57377" w:rsidRDefault="00482655" w:rsidP="00482655">
      <w:r w:rsidRPr="00D57377">
        <w:t>Similarly, the Delegate noted that the number of subjects</w:t>
      </w:r>
      <w:r w:rsidR="00A8131B">
        <w:t xml:space="preserve"> who completed the DBP were n = </w:t>
      </w:r>
      <w:r w:rsidRPr="00D57377">
        <w:t xml:space="preserve">18 (43.9%) for </w:t>
      </w:r>
      <w:proofErr w:type="spellStart"/>
      <w:r w:rsidR="00B842FA">
        <w:t>satralizumab</w:t>
      </w:r>
      <w:proofErr w:type="spellEnd"/>
      <w:r w:rsidRPr="00D57377">
        <w:t xml:space="preserve"> and n = 24 (57.1%) for </w:t>
      </w:r>
      <w:r w:rsidR="00246728">
        <w:t>placebo</w:t>
      </w:r>
      <w:r w:rsidRPr="00D57377">
        <w:t xml:space="preserve"> in Study BN40898. The Delegate noted that there is suggestion for more drift out of </w:t>
      </w:r>
      <w:proofErr w:type="spellStart"/>
      <w:r w:rsidR="00B842FA">
        <w:t>satralizumab</w:t>
      </w:r>
      <w:proofErr w:type="spellEnd"/>
      <w:r w:rsidRPr="00D57377">
        <w:t xml:space="preserve"> than </w:t>
      </w:r>
      <w:r w:rsidR="00246728">
        <w:t>placebo</w:t>
      </w:r>
      <w:r w:rsidRPr="00D57377">
        <w:t xml:space="preserve"> in the DBP before the scheduled study duration. The Delegate has </w:t>
      </w:r>
      <w:proofErr w:type="gramStart"/>
      <w:r w:rsidRPr="00D57377">
        <w:t>request</w:t>
      </w:r>
      <w:proofErr w:type="gramEnd"/>
      <w:r w:rsidRPr="00D57377">
        <w:t xml:space="preserve"> the sponsor to clarify if the observation is related to efficacy sequelae or some other rationale, in section ‘Questions to sponsor’ below.</w:t>
      </w:r>
    </w:p>
    <w:p w14:paraId="0D634FF8" w14:textId="77777777" w:rsidR="00980397" w:rsidRPr="00D57377" w:rsidRDefault="00FB714C" w:rsidP="00980397">
      <w:pPr>
        <w:pStyle w:val="Heading7"/>
        <w:rPr>
          <w:sz w:val="22"/>
        </w:rPr>
      </w:pPr>
      <w:r w:rsidRPr="00D57377">
        <w:rPr>
          <w:sz w:val="22"/>
        </w:rPr>
        <w:t>E</w:t>
      </w:r>
      <w:r w:rsidR="00980397" w:rsidRPr="00D57377">
        <w:rPr>
          <w:sz w:val="22"/>
        </w:rPr>
        <w:t>ndpoint</w:t>
      </w:r>
    </w:p>
    <w:p w14:paraId="35FF94C4" w14:textId="77777777" w:rsidR="00FB714C" w:rsidRDefault="00980397" w:rsidP="00FB714C">
      <w:r w:rsidRPr="00F96A4D">
        <w:rPr>
          <w:i/>
        </w:rPr>
        <w:t>Primary endpoint</w:t>
      </w:r>
      <w:r w:rsidR="00404C90" w:rsidRPr="00F96A4D">
        <w:rPr>
          <w:i/>
        </w:rPr>
        <w:t>:</w:t>
      </w:r>
      <w:r w:rsidR="00404C90">
        <w:t xml:space="preserve"> Time to the f</w:t>
      </w:r>
      <w:r w:rsidRPr="00D57377">
        <w:t xml:space="preserve">irst </w:t>
      </w:r>
      <w:r w:rsidR="00404C90">
        <w:t>clinical endpoint c</w:t>
      </w:r>
      <w:r w:rsidR="00404C90" w:rsidRPr="00404C90">
        <w:t xml:space="preserve">ommittee </w:t>
      </w:r>
      <w:r w:rsidR="00404C90">
        <w:t>–</w:t>
      </w:r>
      <w:r w:rsidRPr="00D57377">
        <w:t>adjudic</w:t>
      </w:r>
      <w:r w:rsidR="00404C90">
        <w:t>ated protocol defined relapse during the double blinded</w:t>
      </w:r>
      <w:r w:rsidRPr="00D57377">
        <w:t xml:space="preserve"> treatment period (followed with an EDSS/Functional Systems Score (FSS)) assessment, performed within</w:t>
      </w:r>
      <w:r>
        <w:t xml:space="preserve"> seven </w:t>
      </w:r>
      <w:r w:rsidR="00FB714C">
        <w:t>days of those relapse symptoms).</w:t>
      </w:r>
    </w:p>
    <w:p w14:paraId="28FAFB78" w14:textId="77777777" w:rsidR="00980397" w:rsidRDefault="00FB714C" w:rsidP="00FB714C">
      <w:r w:rsidRPr="00F96A4D">
        <w:rPr>
          <w:i/>
        </w:rPr>
        <w:t>Key secondary endpoint:</w:t>
      </w:r>
      <w:r>
        <w:t xml:space="preserve"> Change from Baseline in visual analogue score (VAS) score for pain at Week 24.</w:t>
      </w:r>
    </w:p>
    <w:p w14:paraId="3F8E0362" w14:textId="3267A8C1" w:rsidR="00FB714C" w:rsidRDefault="00FB714C" w:rsidP="00FB714C">
      <w:r w:rsidRPr="00F96A4D">
        <w:rPr>
          <w:i/>
        </w:rPr>
        <w:lastRenderedPageBreak/>
        <w:t>Minor secondary endpoint</w:t>
      </w:r>
      <w:r w:rsidR="004529C4">
        <w:rPr>
          <w:i/>
        </w:rPr>
        <w:t>s included</w:t>
      </w:r>
      <w:r>
        <w:t>: assessed every 24 weeks from Baseline:</w:t>
      </w:r>
    </w:p>
    <w:p w14:paraId="4624A9CE" w14:textId="77777777" w:rsidR="00FB714C" w:rsidRDefault="00FB714C" w:rsidP="00FB714C">
      <w:pPr>
        <w:pStyle w:val="ListBullet"/>
      </w:pPr>
      <w:r>
        <w:t>Change in Short Form Heal</w:t>
      </w:r>
      <w:r w:rsidR="00404C90">
        <w:t xml:space="preserve">th Survey 36 Version 2 scores consists of 36 items: </w:t>
      </w:r>
      <w:proofErr w:type="spellStart"/>
      <w:r w:rsidR="00404C90">
        <w:t>eigth</w:t>
      </w:r>
      <w:proofErr w:type="spellEnd"/>
      <w:r w:rsidR="00404C90">
        <w:t xml:space="preserve"> domain scores and two</w:t>
      </w:r>
      <w:r>
        <w:t xml:space="preserve"> </w:t>
      </w:r>
      <w:proofErr w:type="gramStart"/>
      <w:r>
        <w:t>component</w:t>
      </w:r>
      <w:proofErr w:type="gramEnd"/>
      <w:r>
        <w:t xml:space="preserve"> (phys</w:t>
      </w:r>
      <w:r w:rsidR="00404C90">
        <w:t>ical and mental) summary scores</w:t>
      </w:r>
    </w:p>
    <w:p w14:paraId="07933090" w14:textId="77777777" w:rsidR="00FB714C" w:rsidRDefault="00FB714C" w:rsidP="00FB714C">
      <w:pPr>
        <w:pStyle w:val="ListBullet"/>
      </w:pPr>
      <w:r>
        <w:t>Change in EuroQol-5D 3 Level Version</w:t>
      </w:r>
      <w:r w:rsidR="00404C90">
        <w:t xml:space="preserve"> consists of a questionnaire assesses five</w:t>
      </w:r>
      <w:r>
        <w:t xml:space="preserve"> dimensions (mobility, self-care, usual activities, pain/discomfort</w:t>
      </w:r>
      <w:r w:rsidR="00404C90">
        <w:t>, and anxiety/depression) with three</w:t>
      </w:r>
      <w:r>
        <w:t xml:space="preserve"> possible responses: 1) no problems; 2) some problems; 3) severe problems. The response from each dimension is conv</w:t>
      </w:r>
      <w:r w:rsidR="00404C90">
        <w:t>erted into a single index value</w:t>
      </w:r>
    </w:p>
    <w:p w14:paraId="34BAA6EE" w14:textId="77777777" w:rsidR="00FB714C" w:rsidRDefault="00404C90" w:rsidP="00FB714C">
      <w:pPr>
        <w:pStyle w:val="ListBullet"/>
      </w:pPr>
      <w:r>
        <w:t xml:space="preserve">Change in modified Rankin Scale score is a </w:t>
      </w:r>
      <w:proofErr w:type="gramStart"/>
      <w:r>
        <w:t xml:space="preserve">seven </w:t>
      </w:r>
      <w:r w:rsidR="00FB714C">
        <w:t>point</w:t>
      </w:r>
      <w:proofErr w:type="gramEnd"/>
      <w:r w:rsidR="00FB714C">
        <w:t xml:space="preserve"> disability scale that assesses the degree of disability in persons with neurological impairment. Possible scores range from 0 (no </w:t>
      </w:r>
      <w:r>
        <w:t>symptom at all) up to 6 (death)</w:t>
      </w:r>
    </w:p>
    <w:p w14:paraId="77A2CF26" w14:textId="77777777" w:rsidR="00FB714C" w:rsidRDefault="00FB714C" w:rsidP="00FB714C">
      <w:pPr>
        <w:pStyle w:val="ListBullet"/>
      </w:pPr>
      <w:r>
        <w:t>Change</w:t>
      </w:r>
      <w:r w:rsidR="00404C90">
        <w:t xml:space="preserve"> in </w:t>
      </w:r>
      <w:proofErr w:type="spellStart"/>
      <w:r w:rsidR="00404C90">
        <w:t>Zarit</w:t>
      </w:r>
      <w:proofErr w:type="spellEnd"/>
      <w:r w:rsidR="00404C90">
        <w:t xml:space="preserve"> Burden Interview score</w:t>
      </w:r>
      <w:r>
        <w:t xml:space="preserve"> assesses caregiver burden. The 22 items ask for the strain caregivers perceive from 0 (never) to 4 (nearly always). Maximum score of 88. The higher the total score, t</w:t>
      </w:r>
      <w:r w:rsidR="00404C90">
        <w:t>he heavier the perceived burden</w:t>
      </w:r>
    </w:p>
    <w:p w14:paraId="3BF1EB14" w14:textId="77777777" w:rsidR="00FB714C" w:rsidRDefault="00404C90" w:rsidP="00FB714C">
      <w:pPr>
        <w:pStyle w:val="ListBullet"/>
      </w:pPr>
      <w:r>
        <w:t>Change in EDSS score</w:t>
      </w:r>
    </w:p>
    <w:p w14:paraId="4AD424EC" w14:textId="77777777" w:rsidR="00FB714C" w:rsidRDefault="00FB714C" w:rsidP="00FB714C">
      <w:pPr>
        <w:pStyle w:val="ListBullet"/>
      </w:pPr>
      <w:r>
        <w:t>Change in v</w:t>
      </w:r>
      <w:r w:rsidR="00404C90">
        <w:t>isual acuity (Snellen Chart), s</w:t>
      </w:r>
      <w:r>
        <w:t>ubjects were assessed monocularly, with their habitual distance glasses or contact lenses.</w:t>
      </w:r>
    </w:p>
    <w:p w14:paraId="47995696" w14:textId="77777777" w:rsidR="00FB714C" w:rsidRDefault="00404C90" w:rsidP="00FB714C">
      <w:pPr>
        <w:pStyle w:val="ListBullet"/>
      </w:pPr>
      <w:r>
        <w:t xml:space="preserve">ARR is </w:t>
      </w:r>
      <w:r w:rsidR="00FB714C">
        <w:t xml:space="preserve">total number of relapses experienced / person-years at risk for each year of the study </w:t>
      </w:r>
      <w:proofErr w:type="gramStart"/>
      <w:r w:rsidR="00FB714C">
        <w:t>period;</w:t>
      </w:r>
      <w:proofErr w:type="gramEnd"/>
    </w:p>
    <w:p w14:paraId="609BA510" w14:textId="77777777" w:rsidR="00FB714C" w:rsidRDefault="00FB714C" w:rsidP="00FB714C">
      <w:pPr>
        <w:pStyle w:val="ListBullet"/>
      </w:pPr>
      <w:r>
        <w:t>Proportion of relapse-free patients (during the DBP, OLP and entire study</w:t>
      </w:r>
      <w:proofErr w:type="gramStart"/>
      <w:r>
        <w:t>);</w:t>
      </w:r>
      <w:proofErr w:type="gramEnd"/>
    </w:p>
    <w:p w14:paraId="4E183838" w14:textId="77777777" w:rsidR="00FB714C" w:rsidRDefault="00404C90" w:rsidP="00FB714C">
      <w:pPr>
        <w:pStyle w:val="ListBullet"/>
      </w:pPr>
      <w:r>
        <w:t xml:space="preserve">Study BN40900 only: Change in </w:t>
      </w:r>
      <w:proofErr w:type="gramStart"/>
      <w:r>
        <w:t>low-contrast</w:t>
      </w:r>
      <w:proofErr w:type="gramEnd"/>
      <w:r>
        <w:t xml:space="preserve"> </w:t>
      </w:r>
      <w:proofErr w:type="spellStart"/>
      <w:r>
        <w:t>sloan</w:t>
      </w:r>
      <w:proofErr w:type="spellEnd"/>
      <w:r>
        <w:t xml:space="preserve"> letter chart </w:t>
      </w:r>
      <w:r w:rsidR="00FB714C">
        <w:t>evaluates visual function and assesses the minimum size at which individuals can recognise letters of a particular contrast level;</w:t>
      </w:r>
    </w:p>
    <w:p w14:paraId="12319B48" w14:textId="77777777" w:rsidR="00FB714C" w:rsidRDefault="00FB714C" w:rsidP="00FB714C">
      <w:pPr>
        <w:pStyle w:val="ListBullet"/>
      </w:pPr>
      <w:r>
        <w:t>Study BN40900 only</w:t>
      </w:r>
      <w:r w:rsidR="00404C90">
        <w:t xml:space="preserve">: Change in timed 25-foot walk </w:t>
      </w:r>
      <w:r>
        <w:t>assesses walking ability. The time (in seconds) it takes to walk 25 feet is measured.</w:t>
      </w:r>
    </w:p>
    <w:p w14:paraId="141ED1F4" w14:textId="77777777" w:rsidR="00E329F8" w:rsidRPr="00E329F8" w:rsidRDefault="003227B0" w:rsidP="00E329F8">
      <w:pPr>
        <w:pStyle w:val="Heading7"/>
        <w:rPr>
          <w:sz w:val="22"/>
        </w:rPr>
      </w:pPr>
      <w:r>
        <w:rPr>
          <w:sz w:val="22"/>
        </w:rPr>
        <w:t>Sample size and statistical methods</w:t>
      </w:r>
    </w:p>
    <w:p w14:paraId="7D694B56" w14:textId="7D5AC259" w:rsidR="00E329F8" w:rsidRDefault="00E329F8" w:rsidP="00E329F8">
      <w:r>
        <w:t xml:space="preserve">The sample sizes (70 in </w:t>
      </w:r>
      <w:r w:rsidR="004529C4">
        <w:t xml:space="preserve">Study </w:t>
      </w:r>
      <w:r>
        <w:t>BN40898 for 26 CEC-confirmed PDRs and 90 in</w:t>
      </w:r>
      <w:r w:rsidR="004529C4">
        <w:t xml:space="preserve"> Study</w:t>
      </w:r>
      <w:r w:rsidR="00F96A4D">
        <w:t xml:space="preserve"> BN40900</w:t>
      </w:r>
      <w:r>
        <w:t xml:space="preserve"> for 44 CEC-confirmed PDRs) were predicted to prov</w:t>
      </w:r>
      <w:r w:rsidR="00404C90">
        <w:t>ide 80% power, to maintain the T</w:t>
      </w:r>
      <w:r>
        <w:t>ype I error rate of 0.05, which assumed a 2-year drop-out rate of approx</w:t>
      </w:r>
      <w:r w:rsidR="00404C90">
        <w:t>imately</w:t>
      </w:r>
      <w:r>
        <w:t xml:space="preserve"> 10%. </w:t>
      </w:r>
    </w:p>
    <w:p w14:paraId="4B7C304E" w14:textId="77777777" w:rsidR="00E329F8" w:rsidRDefault="00E329F8" w:rsidP="00E329F8">
      <w:r>
        <w:t>In BN40900, the time</w:t>
      </w:r>
      <w:r w:rsidR="00404C90">
        <w:t xml:space="preserve"> to </w:t>
      </w:r>
      <w:r>
        <w:t xml:space="preserve">first-relapse (TFR) hazard ratio (HR) of </w:t>
      </w:r>
      <w:proofErr w:type="spellStart"/>
      <w:r w:rsidR="00B842FA">
        <w:t>satralizumab</w:t>
      </w:r>
      <w:proofErr w:type="spellEnd"/>
      <w:r>
        <w:t xml:space="preserve"> over </w:t>
      </w:r>
      <w:r w:rsidR="00246728">
        <w:t>placebo</w:t>
      </w:r>
      <w:r>
        <w:t xml:space="preserve"> was ass</w:t>
      </w:r>
      <w:r w:rsidR="00404C90">
        <w:t>umed to be 1 for the initial two</w:t>
      </w:r>
      <w:r>
        <w:t xml:space="preserve"> months from randomisation and 0.25 thereafter. The distribution of TFR in the </w:t>
      </w:r>
      <w:r w:rsidR="00246728">
        <w:t>placebo</w:t>
      </w:r>
      <w:r>
        <w:t xml:space="preserve"> group was assumed to follow an annual HR of 1.1295. In </w:t>
      </w:r>
      <w:r w:rsidR="00404C90">
        <w:t xml:space="preserve">Study </w:t>
      </w:r>
      <w:r>
        <w:t xml:space="preserve">BN40898, the TFR HR of </w:t>
      </w:r>
      <w:proofErr w:type="spellStart"/>
      <w:r w:rsidR="00B842FA">
        <w:t>satralizumab</w:t>
      </w:r>
      <w:proofErr w:type="spellEnd"/>
      <w:r>
        <w:t xml:space="preserve"> over </w:t>
      </w:r>
      <w:r w:rsidR="00246728">
        <w:t>placebo</w:t>
      </w:r>
      <w:r>
        <w:t xml:space="preserve"> was assumed to be 0.335, which was expected to result in 66.5% reduction in the risk of relapse. The distribution of TFR in the </w:t>
      </w:r>
      <w:r w:rsidR="00246728">
        <w:t>placebo</w:t>
      </w:r>
      <w:r>
        <w:t xml:space="preserve"> group was assumed to follow an annual HR of 0.4184.</w:t>
      </w:r>
    </w:p>
    <w:p w14:paraId="76560928" w14:textId="77777777" w:rsidR="00E329F8" w:rsidRDefault="00E329F8" w:rsidP="00E329F8">
      <w:r>
        <w:t xml:space="preserve">Statistical hypotheses for treatment comparisons were tested at the 5% significance level (α = 0.05), against 2-sided alternatives, for the </w:t>
      </w:r>
      <w:r w:rsidR="00404C90">
        <w:t>intent to treat (</w:t>
      </w:r>
      <w:r>
        <w:t>ITT</w:t>
      </w:r>
      <w:r w:rsidR="00404C90">
        <w:t>)</w:t>
      </w:r>
      <w:r>
        <w:t xml:space="preserve"> populations.</w:t>
      </w:r>
    </w:p>
    <w:p w14:paraId="5DAA4827" w14:textId="73C86E57" w:rsidR="00E329F8" w:rsidRDefault="00E329F8" w:rsidP="00E329F8">
      <w:r>
        <w:t xml:space="preserve">For the primary efficacy endpoint, the comparison of TFR between </w:t>
      </w:r>
      <w:proofErr w:type="spellStart"/>
      <w:r w:rsidR="00B842FA">
        <w:t>satralizumab</w:t>
      </w:r>
      <w:proofErr w:type="spellEnd"/>
      <w:r>
        <w:t xml:space="preserve"> and </w:t>
      </w:r>
      <w:r w:rsidR="00246728">
        <w:t>placebo</w:t>
      </w:r>
      <w:r>
        <w:t xml:space="preserve"> was</w:t>
      </w:r>
      <w:r w:rsidR="00404C90">
        <w:t xml:space="preserve"> performed using a stratified </w:t>
      </w:r>
      <w:proofErr w:type="gramStart"/>
      <w:r w:rsidR="00404C90">
        <w:t>two sided</w:t>
      </w:r>
      <w:proofErr w:type="gramEnd"/>
      <w:r w:rsidR="00404C90">
        <w:t xml:space="preserve"> log </w:t>
      </w:r>
      <w:r>
        <w:t>rank test. The</w:t>
      </w:r>
      <w:r w:rsidR="004529C4">
        <w:t xml:space="preserve"> US</w:t>
      </w:r>
      <w:r>
        <w:t xml:space="preserve"> </w:t>
      </w:r>
      <w:r w:rsidR="00404C90" w:rsidRPr="00524F7A">
        <w:t>Food and Drug Administration</w:t>
      </w:r>
      <w:r w:rsidR="00404C90">
        <w:t xml:space="preserve"> (FDA) </w:t>
      </w:r>
      <w:r>
        <w:t>agreed with</w:t>
      </w:r>
      <w:r w:rsidR="00404C90">
        <w:t xml:space="preserve"> the choice of analysis method.</w:t>
      </w:r>
    </w:p>
    <w:p w14:paraId="689EED7C" w14:textId="77777777" w:rsidR="00E329F8" w:rsidRDefault="00E329F8" w:rsidP="00E329F8">
      <w:r>
        <w:t>For the primary and key secondary efficacy endpoints, to control for multiplicity, a se</w:t>
      </w:r>
      <w:r w:rsidR="00C33C22">
        <w:t>rial gatekeeping methodology that is</w:t>
      </w:r>
      <w:r>
        <w:t xml:space="preserve"> a hierarchical approach was employed to control the overall significance level at 0.05:</w:t>
      </w:r>
    </w:p>
    <w:p w14:paraId="3409AEC6" w14:textId="77777777" w:rsidR="00E329F8" w:rsidRDefault="00E329F8" w:rsidP="00E329F8">
      <w:pPr>
        <w:pStyle w:val="ListBullet"/>
      </w:pPr>
      <w:r>
        <w:t xml:space="preserve">TFR based on </w:t>
      </w:r>
      <w:r w:rsidR="00F07250">
        <w:t>PDR</w:t>
      </w:r>
      <w:r>
        <w:t xml:space="preserve"> (primary endpoint</w:t>
      </w:r>
      <w:proofErr w:type="gramStart"/>
      <w:r>
        <w:t>);</w:t>
      </w:r>
      <w:proofErr w:type="gramEnd"/>
    </w:p>
    <w:p w14:paraId="7282BE04" w14:textId="77777777" w:rsidR="00E329F8" w:rsidRDefault="00E329F8" w:rsidP="00E329F8">
      <w:pPr>
        <w:pStyle w:val="ListBullet"/>
      </w:pPr>
      <w:r>
        <w:t>VAS for pain (first key secondary endpoint</w:t>
      </w:r>
      <w:proofErr w:type="gramStart"/>
      <w:r>
        <w:t>);</w:t>
      </w:r>
      <w:proofErr w:type="gramEnd"/>
    </w:p>
    <w:p w14:paraId="1CC0825C" w14:textId="77777777" w:rsidR="00E329F8" w:rsidRDefault="00E329F8" w:rsidP="00E329F8">
      <w:pPr>
        <w:pStyle w:val="ListBullet"/>
      </w:pPr>
      <w:r>
        <w:lastRenderedPageBreak/>
        <w:t xml:space="preserve">FACIT fatigue score </w:t>
      </w:r>
      <w:r w:rsidR="00F07250">
        <w:t>(second key secondary endpoint).</w:t>
      </w:r>
      <w:r w:rsidR="00F07250">
        <w:rPr>
          <w:rStyle w:val="FootnoteReference"/>
        </w:rPr>
        <w:footnoteReference w:id="9"/>
      </w:r>
    </w:p>
    <w:p w14:paraId="2055D446" w14:textId="2721A142" w:rsidR="00E329F8" w:rsidRDefault="00E329F8" w:rsidP="00E329F8">
      <w:r>
        <w:t xml:space="preserve">For the ITT populations across both studies, the baseline demographic characteristics of the </w:t>
      </w:r>
      <w:r w:rsidR="00D57377">
        <w:t xml:space="preserve">ITT populations were generally </w:t>
      </w:r>
      <w:r>
        <w:t xml:space="preserve">well balanced between </w:t>
      </w:r>
      <w:r w:rsidR="00246728">
        <w:t>placebo</w:t>
      </w:r>
      <w:r>
        <w:t xml:space="preserve"> and </w:t>
      </w:r>
      <w:proofErr w:type="spellStart"/>
      <w:r w:rsidR="00B842FA">
        <w:t>satralizumab</w:t>
      </w:r>
      <w:proofErr w:type="spellEnd"/>
      <w:r>
        <w:t xml:space="preserve"> treatment groups. ITT populations were predominantly female (86.5%) and </w:t>
      </w:r>
      <w:r w:rsidR="00E37BAF">
        <w:t>W</w:t>
      </w:r>
      <w:r>
        <w:t>hite race (58.4%).</w:t>
      </w:r>
    </w:p>
    <w:p w14:paraId="17BD3489" w14:textId="77777777" w:rsidR="00E329F8" w:rsidRDefault="00E329F8" w:rsidP="00E329F8">
      <w:r>
        <w:t xml:space="preserve">For the ITT populations across both studies, the baseline disease characteristics were generally well balanced between </w:t>
      </w:r>
      <w:r w:rsidR="00246728">
        <w:t>placebo</w:t>
      </w:r>
      <w:r>
        <w:t xml:space="preserve"> and </w:t>
      </w:r>
      <w:proofErr w:type="spellStart"/>
      <w:r w:rsidR="00B842FA">
        <w:t>satralizumab</w:t>
      </w:r>
      <w:proofErr w:type="spellEnd"/>
      <w:r>
        <w:t xml:space="preserve"> treatment groups. There were predominantly NMO subjects (74.2%) and the majority were </w:t>
      </w:r>
      <w:r w:rsidR="00D44382">
        <w:t>anti-AQP4-IgG positive</w:t>
      </w:r>
      <w:r>
        <w:t xml:space="preserve"> (66.9%; as per the entry requirement).</w:t>
      </w:r>
    </w:p>
    <w:p w14:paraId="50951A99" w14:textId="6F9B6C92" w:rsidR="00E329F8" w:rsidRDefault="00E329F8" w:rsidP="00E329F8">
      <w:r>
        <w:t xml:space="preserve">The Delegate noted that by inference, 25.8% subjects were NMOSD and all of whom, will be expected to be </w:t>
      </w:r>
      <w:r w:rsidR="00D44382">
        <w:t>anti-AQP4-IgG positive</w:t>
      </w:r>
      <w:r>
        <w:t xml:space="preserve">, as per the definition of NMOSD. 33.1% of NMO subjects were </w:t>
      </w:r>
      <w:r w:rsidR="00D44382">
        <w:t>anti-AQP4-IgG negative</w:t>
      </w:r>
      <w:r>
        <w:t xml:space="preserve">. 92.7% of the combined NMO and NMOSD subjects would therefore be expected to be </w:t>
      </w:r>
      <w:r w:rsidR="00D44382">
        <w:t>anti-AQP4-IgG positive</w:t>
      </w:r>
      <w:r>
        <w:t xml:space="preserve">. The breakdown from </w:t>
      </w:r>
      <w:r>
        <w:fldChar w:fldCharType="begin"/>
      </w:r>
      <w:r>
        <w:instrText xml:space="preserve"> REF _Ref73022178 \h </w:instrText>
      </w:r>
      <w:r>
        <w:fldChar w:fldCharType="separate"/>
      </w:r>
      <w:r w:rsidR="009340CF" w:rsidRPr="00E329F8">
        <w:t xml:space="preserve">Table </w:t>
      </w:r>
      <w:r w:rsidR="009340CF">
        <w:rPr>
          <w:noProof/>
        </w:rPr>
        <w:t>5</w:t>
      </w:r>
      <w:r>
        <w:fldChar w:fldCharType="end"/>
      </w:r>
      <w:r>
        <w:t xml:space="preserve"> in terms of treatment received anti-AQP4-IgG status, NMO and NMOSD classification.</w:t>
      </w:r>
      <w:r w:rsidR="00B22850">
        <w:t xml:space="preserve"> </w:t>
      </w:r>
      <w:r>
        <w:t xml:space="preserve">For Studies BN40900 and BN40898, there were 51 and 68 anti-AQP4-anti IgG positive adults, respectively in </w:t>
      </w:r>
      <w:r w:rsidR="00246728">
        <w:t>placebo</w:t>
      </w:r>
      <w:r>
        <w:t xml:space="preserve"> and </w:t>
      </w:r>
      <w:proofErr w:type="spellStart"/>
      <w:r w:rsidR="00B842FA">
        <w:t>satralizumab</w:t>
      </w:r>
      <w:proofErr w:type="spellEnd"/>
      <w:r>
        <w:t>. Adults with NMO were</w:t>
      </w:r>
      <w:r w:rsidR="00E37BAF">
        <w:t xml:space="preserve"> </w:t>
      </w:r>
      <w:r>
        <w:t xml:space="preserve">73 and those with NMOSD were 46. There are 23 and 36 anti-AQP4-anti IgG negative adults, respectively in in </w:t>
      </w:r>
      <w:r w:rsidR="00246728">
        <w:t>placebo</w:t>
      </w:r>
      <w:r>
        <w:t xml:space="preserve"> and </w:t>
      </w:r>
      <w:proofErr w:type="spellStart"/>
      <w:r w:rsidR="00B842FA">
        <w:t>satralizumab</w:t>
      </w:r>
      <w:proofErr w:type="spellEnd"/>
      <w:r>
        <w:t>. Adults with NMO will be 59 while those with NMOSD will be zero (based on their definitions).</w:t>
      </w:r>
    </w:p>
    <w:p w14:paraId="2B30F1AF" w14:textId="77777777" w:rsidR="00A64481" w:rsidRDefault="00E329F8" w:rsidP="00E329F8">
      <w:pPr>
        <w:pStyle w:val="TableTitle"/>
      </w:pPr>
      <w:bookmarkStart w:id="46" w:name="_Ref73022178"/>
      <w:r w:rsidRPr="00E329F8">
        <w:t xml:space="preserve">Table </w:t>
      </w:r>
      <w:fldSimple w:instr=" SEQ Table \* ARABIC ">
        <w:r w:rsidR="009340CF">
          <w:rPr>
            <w:noProof/>
          </w:rPr>
          <w:t>5</w:t>
        </w:r>
      </w:fldSimple>
      <w:bookmarkEnd w:id="46"/>
      <w:r>
        <w:t xml:space="preserve">: </w:t>
      </w:r>
      <w:r w:rsidR="002E7487">
        <w:t>Disease characteristics in the P</w:t>
      </w:r>
      <w:r w:rsidRPr="00E329F8">
        <w:t>hase III clini</w:t>
      </w:r>
      <w:r w:rsidR="002E7487">
        <w:t xml:space="preserve">cal studies (intent to treat </w:t>
      </w:r>
      <w:r>
        <w:t>population)</w:t>
      </w:r>
    </w:p>
    <w:p w14:paraId="032A4D95" w14:textId="4EEE68A2" w:rsidR="00E329F8" w:rsidRDefault="00E329F8" w:rsidP="00A64481">
      <w:r w:rsidRPr="00DE2FB4">
        <w:rPr>
          <w:noProof/>
          <w:lang w:eastAsia="en-AU"/>
        </w:rPr>
        <w:drawing>
          <wp:inline distT="0" distB="0" distL="0" distR="0" wp14:anchorId="20B612AC" wp14:editId="03F726F5">
            <wp:extent cx="4850296" cy="3736975"/>
            <wp:effectExtent l="0" t="0" r="7620" b="0"/>
            <wp:docPr id="4541" name="Picture 4541" descr="Disease characteristics in the Phase III clinical studies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2175" cy="3738423"/>
                    </a:xfrm>
                    <a:prstGeom prst="rect">
                      <a:avLst/>
                    </a:prstGeom>
                    <a:noFill/>
                    <a:ln>
                      <a:noFill/>
                    </a:ln>
                  </pic:spPr>
                </pic:pic>
              </a:graphicData>
            </a:graphic>
          </wp:inline>
        </w:drawing>
      </w:r>
    </w:p>
    <w:p w14:paraId="2BF4FF3A" w14:textId="08283898" w:rsidR="000406DD" w:rsidRDefault="000406DD" w:rsidP="00F96A4D">
      <w:pPr>
        <w:pStyle w:val="TableDescription"/>
      </w:pPr>
      <w:r>
        <w:t>PLB = placebo</w:t>
      </w:r>
      <w:r w:rsidR="00DC0623">
        <w:t xml:space="preserve">; SAT = </w:t>
      </w:r>
      <w:proofErr w:type="spellStart"/>
      <w:r w:rsidR="00DC0623">
        <w:t>satralizumab</w:t>
      </w:r>
      <w:proofErr w:type="spellEnd"/>
      <w:r w:rsidR="00DC0623">
        <w:t>; ARR =annualised relapsed rate</w:t>
      </w:r>
      <w:r>
        <w:t>; AQP4-IgG = anti-aquaporin 4 immunoglobulin (antibodies); SD = standard deviation; AZA = azathioprine; MMF =m</w:t>
      </w:r>
      <w:r w:rsidRPr="000406DD">
        <w:t>ycophenolate mofetil</w:t>
      </w:r>
      <w:r w:rsidR="00DC0623">
        <w:t>; OC = oral corticosteroids; IST = immunosuppressive therapy.</w:t>
      </w:r>
    </w:p>
    <w:p w14:paraId="08EEF31F" w14:textId="2DBF8AC9" w:rsidR="003266D7" w:rsidRDefault="00192E27" w:rsidP="003266D7">
      <w:r>
        <w:lastRenderedPageBreak/>
        <w:t>A total of seven</w:t>
      </w:r>
      <w:r w:rsidR="003266D7">
        <w:t xml:space="preserve"> adolescent subjects were included in </w:t>
      </w:r>
      <w:r>
        <w:t xml:space="preserve">Study </w:t>
      </w:r>
      <w:r w:rsidR="003266D7">
        <w:t>BN40898 (mean age 15.</w:t>
      </w:r>
      <w:r>
        <w:t>4 years, range: 13 to 17years, four were anti-</w:t>
      </w:r>
      <w:r w:rsidR="005766CB">
        <w:t>AQP4-</w:t>
      </w:r>
      <w:r w:rsidR="008C4D57">
        <w:t>IgG negative</w:t>
      </w:r>
      <w:r>
        <w:t xml:space="preserve"> and three were </w:t>
      </w:r>
      <w:r w:rsidR="00D44382">
        <w:t>anti-AQP4</w:t>
      </w:r>
      <w:r w:rsidR="00DC0623">
        <w:noBreakHyphen/>
      </w:r>
      <w:r w:rsidR="00D44382">
        <w:t>IgG positive</w:t>
      </w:r>
      <w:r>
        <w:t xml:space="preserve"> (NMOSD = 2 and </w:t>
      </w:r>
      <w:r w:rsidR="003266D7">
        <w:t>NMO</w:t>
      </w:r>
      <w:r>
        <w:t xml:space="preserve"> = 1</w:t>
      </w:r>
      <w:r w:rsidR="003266D7">
        <w:t>)) and mean bodyweight 79.3 kg (range: 47.5</w:t>
      </w:r>
      <w:r>
        <w:t xml:space="preserve"> to </w:t>
      </w:r>
      <w:r w:rsidR="003266D7">
        <w:t>140</w:t>
      </w:r>
      <w:r>
        <w:t xml:space="preserve"> </w:t>
      </w:r>
      <w:r w:rsidR="003266D7">
        <w:t xml:space="preserve">kg). The latter was higher than the mean bodyweight </w:t>
      </w:r>
      <w:r>
        <w:t xml:space="preserve">in adults (61.5 kg (range: 40.3 to </w:t>
      </w:r>
      <w:r w:rsidR="003266D7">
        <w:t>103</w:t>
      </w:r>
      <w:r>
        <w:t xml:space="preserve"> kg</w:t>
      </w:r>
      <w:r w:rsidR="003266D7">
        <w:t xml:space="preserve">)) in Study BN40898 (see </w:t>
      </w:r>
      <w:r w:rsidR="003266D7">
        <w:fldChar w:fldCharType="begin"/>
      </w:r>
      <w:r w:rsidR="003266D7">
        <w:instrText xml:space="preserve"> REF _Ref73023420 \h </w:instrText>
      </w:r>
      <w:r w:rsidR="003266D7">
        <w:fldChar w:fldCharType="separate"/>
      </w:r>
      <w:r w:rsidR="009340CF" w:rsidRPr="003266D7">
        <w:t xml:space="preserve">Table </w:t>
      </w:r>
      <w:r w:rsidR="009340CF">
        <w:rPr>
          <w:noProof/>
        </w:rPr>
        <w:t>6</w:t>
      </w:r>
      <w:r w:rsidR="003266D7">
        <w:fldChar w:fldCharType="end"/>
      </w:r>
      <w:r w:rsidR="003266D7">
        <w:t>).</w:t>
      </w:r>
    </w:p>
    <w:p w14:paraId="51F1A343" w14:textId="7AA742A5" w:rsidR="003266D7" w:rsidRDefault="00192E27" w:rsidP="003266D7">
      <w:r>
        <w:t>The B</w:t>
      </w:r>
      <w:r w:rsidR="003266D7">
        <w:t xml:space="preserve">aseline disease characteristics were similar between the adolescent and adult populations in </w:t>
      </w:r>
      <w:r>
        <w:t xml:space="preserve">Study </w:t>
      </w:r>
      <w:r w:rsidR="003266D7">
        <w:t xml:space="preserve">BN40898 for baseline ARR, EDSS score and diagnosis. However, no adolescent subjects with NMOSD received </w:t>
      </w:r>
      <w:proofErr w:type="spellStart"/>
      <w:r w:rsidR="00B842FA">
        <w:t>satralizumab</w:t>
      </w:r>
      <w:proofErr w:type="spellEnd"/>
      <w:r>
        <w:t xml:space="preserve"> treatment (only two</w:t>
      </w:r>
      <w:r w:rsidR="003266D7">
        <w:t xml:space="preserve"> subjects and, were assigned to the </w:t>
      </w:r>
      <w:r w:rsidR="00246728">
        <w:t>placebo</w:t>
      </w:r>
      <w:r w:rsidR="003266D7">
        <w:t xml:space="preserve"> group, see </w:t>
      </w:r>
      <w:r w:rsidR="003266D7">
        <w:fldChar w:fldCharType="begin"/>
      </w:r>
      <w:r w:rsidR="003266D7">
        <w:instrText xml:space="preserve"> REF _Ref73023420 \h </w:instrText>
      </w:r>
      <w:r w:rsidR="003266D7">
        <w:fldChar w:fldCharType="separate"/>
      </w:r>
      <w:r w:rsidR="009340CF" w:rsidRPr="003266D7">
        <w:t xml:space="preserve">Table </w:t>
      </w:r>
      <w:r w:rsidR="009340CF">
        <w:rPr>
          <w:noProof/>
        </w:rPr>
        <w:t>6</w:t>
      </w:r>
      <w:r w:rsidR="003266D7">
        <w:fldChar w:fldCharType="end"/>
      </w:r>
      <w:r w:rsidR="003266D7">
        <w:t>)</w:t>
      </w:r>
    </w:p>
    <w:p w14:paraId="3E11183F" w14:textId="18F37A8D" w:rsidR="003266D7" w:rsidRDefault="003266D7" w:rsidP="003266D7">
      <w:pPr>
        <w:pStyle w:val="TableTitle"/>
      </w:pPr>
      <w:bookmarkStart w:id="47" w:name="_Ref73023420"/>
      <w:r w:rsidRPr="003266D7">
        <w:t xml:space="preserve">Table </w:t>
      </w:r>
      <w:fldSimple w:instr=" SEQ Table \* ARABIC ">
        <w:r w:rsidR="009340CF">
          <w:rPr>
            <w:noProof/>
          </w:rPr>
          <w:t>6</w:t>
        </w:r>
      </w:fldSimple>
      <w:bookmarkEnd w:id="47"/>
      <w:r>
        <w:t>: The baseline disease characteristics in the adolescent subjects</w:t>
      </w:r>
    </w:p>
    <w:p w14:paraId="30DC0E6A" w14:textId="77777777" w:rsidR="003266D7" w:rsidRDefault="003266D7" w:rsidP="003266D7">
      <w:r w:rsidRPr="003266D7">
        <w:rPr>
          <w:noProof/>
          <w:lang w:eastAsia="en-AU"/>
        </w:rPr>
        <w:drawing>
          <wp:inline distT="0" distB="0" distL="0" distR="0" wp14:anchorId="3B9E29A5" wp14:editId="3DB071F6">
            <wp:extent cx="4519145" cy="2821405"/>
            <wp:effectExtent l="0" t="0" r="0" b="0"/>
            <wp:docPr id="4" name="Picture 4" descr="The baseline disease characteristics in the adolescent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27493"/>
                    <a:stretch/>
                  </pic:blipFill>
                  <pic:spPr bwMode="auto">
                    <a:xfrm>
                      <a:off x="0" y="0"/>
                      <a:ext cx="4522260" cy="2823350"/>
                    </a:xfrm>
                    <a:prstGeom prst="rect">
                      <a:avLst/>
                    </a:prstGeom>
                    <a:ln>
                      <a:noFill/>
                    </a:ln>
                    <a:extLst>
                      <a:ext uri="{53640926-AAD7-44D8-BBD7-CCE9431645EC}">
                        <a14:shadowObscured xmlns:a14="http://schemas.microsoft.com/office/drawing/2010/main"/>
                      </a:ext>
                    </a:extLst>
                  </pic:spPr>
                </pic:pic>
              </a:graphicData>
            </a:graphic>
          </wp:inline>
        </w:drawing>
      </w:r>
    </w:p>
    <w:p w14:paraId="0521D712" w14:textId="77777777" w:rsidR="003266D7" w:rsidRDefault="003266D7" w:rsidP="003266D7">
      <w:r>
        <w:t xml:space="preserve">The Delegate noted that there is no adolescent with </w:t>
      </w:r>
      <w:r w:rsidR="00D44382">
        <w:t>anti-AQP4-IgG positive</w:t>
      </w:r>
      <w:r>
        <w:t xml:space="preserve"> in NMOSD received </w:t>
      </w:r>
      <w:proofErr w:type="spellStart"/>
      <w:r w:rsidR="00B842FA">
        <w:t>satralizumab</w:t>
      </w:r>
      <w:proofErr w:type="spellEnd"/>
      <w:r>
        <w:t xml:space="preserve">. There were proportionately more adolescents (57.1%; n = 4) with </w:t>
      </w:r>
      <w:r w:rsidR="00D44382">
        <w:t>anti-AQP4-IgG negative</w:t>
      </w:r>
      <w:r>
        <w:t xml:space="preserve"> status compared with adults (31.6%; n = 24). The adult %</w:t>
      </w:r>
      <w:r w:rsidR="00192E27">
        <w:t xml:space="preserve"> </w:t>
      </w:r>
      <w:r>
        <w:t>age was</w:t>
      </w:r>
      <w:r w:rsidR="00192E27">
        <w:t xml:space="preserve"> in accordance with the agreed p</w:t>
      </w:r>
      <w:r>
        <w:t>e</w:t>
      </w:r>
      <w:r w:rsidR="00192E27">
        <w:t>r intent p</w:t>
      </w:r>
      <w:r>
        <w:t xml:space="preserve">rotocol analysis. Most (75.0%; n = 3) adolescents who were anti-AQP4-IgG negative received </w:t>
      </w:r>
      <w:proofErr w:type="spellStart"/>
      <w:r w:rsidR="00B842FA">
        <w:t>satralizumab</w:t>
      </w:r>
      <w:proofErr w:type="spellEnd"/>
      <w:r>
        <w:t xml:space="preserve"> treatment compared to the one adolescent who received </w:t>
      </w:r>
      <w:r w:rsidR="00246728">
        <w:t>placebo</w:t>
      </w:r>
      <w:r>
        <w:t xml:space="preserve"> treatment (25.0%; n = 1). In contrast, most (66.7%; n = 2) </w:t>
      </w:r>
      <w:r w:rsidR="00D44382">
        <w:t>anti-AQP4-IgG positive</w:t>
      </w:r>
      <w:r>
        <w:t xml:space="preserve"> adolescents received </w:t>
      </w:r>
      <w:r w:rsidR="00246728">
        <w:t>placebo</w:t>
      </w:r>
      <w:r>
        <w:t xml:space="preserve"> treatment compared to</w:t>
      </w:r>
      <w:r w:rsidR="00B842FA">
        <w:t xml:space="preserve"> </w:t>
      </w:r>
      <w:r>
        <w:t xml:space="preserve">the one adolescent (33.3%; n = 1) who received </w:t>
      </w:r>
      <w:proofErr w:type="spellStart"/>
      <w:r w:rsidR="00B842FA">
        <w:t>satralizumab</w:t>
      </w:r>
      <w:proofErr w:type="spellEnd"/>
      <w:r>
        <w:t>.</w:t>
      </w:r>
    </w:p>
    <w:p w14:paraId="7E4489DA" w14:textId="2563C6D6" w:rsidR="003266D7" w:rsidRDefault="003266D7" w:rsidP="003266D7">
      <w:r>
        <w:t xml:space="preserve">The </w:t>
      </w:r>
      <w:r w:rsidR="00192E27">
        <w:t>Delegate noted that out of the four</w:t>
      </w:r>
      <w:r>
        <w:t xml:space="preserve"> adolescents in the </w:t>
      </w:r>
      <w:proofErr w:type="spellStart"/>
      <w:r w:rsidR="00B842FA">
        <w:t>satralizumab</w:t>
      </w:r>
      <w:proofErr w:type="spellEnd"/>
      <w:r w:rsidR="00192E27">
        <w:t xml:space="preserve"> group, three</w:t>
      </w:r>
      <w:r>
        <w:t xml:space="preserve"> were </w:t>
      </w:r>
      <w:r w:rsidR="00D44382">
        <w:t>anti-AQP4-IgG negative</w:t>
      </w:r>
      <w:r>
        <w:t xml:space="preserve"> with NMO and one was anti- </w:t>
      </w:r>
      <w:r w:rsidR="00DB3A65">
        <w:t>A</w:t>
      </w:r>
      <w:r>
        <w:t>QP4-</w:t>
      </w:r>
      <w:r w:rsidR="008C4D57">
        <w:t>IgG positive</w:t>
      </w:r>
      <w:r>
        <w:t xml:space="preserve"> with NMO compared to the </w:t>
      </w:r>
      <w:r w:rsidR="00246728">
        <w:t>placebo</w:t>
      </w:r>
      <w:r>
        <w:t xml:space="preserve"> group, </w:t>
      </w:r>
      <w:r w:rsidR="00192E27">
        <w:t>where out of the three adolescents, two</w:t>
      </w:r>
      <w:r>
        <w:t xml:space="preserve"> were </w:t>
      </w:r>
      <w:r w:rsidR="00D44382">
        <w:t>anti-AQP4-IgG positive</w:t>
      </w:r>
      <w:r w:rsidR="00B842FA">
        <w:t xml:space="preserve"> </w:t>
      </w:r>
      <w:r>
        <w:t>with NMOSD and</w:t>
      </w:r>
      <w:r w:rsidR="00B842FA">
        <w:t xml:space="preserve"> </w:t>
      </w:r>
      <w:r>
        <w:t xml:space="preserve">one was </w:t>
      </w:r>
      <w:r w:rsidR="00D44382">
        <w:t>anti-AQP4-IgG negative</w:t>
      </w:r>
      <w:r>
        <w:t xml:space="preserve"> with NMO.</w:t>
      </w:r>
    </w:p>
    <w:p w14:paraId="266978DE" w14:textId="115E0FB1" w:rsidR="003227B0" w:rsidRDefault="003227B0" w:rsidP="003227B0">
      <w:pPr>
        <w:pStyle w:val="Heading7"/>
      </w:pPr>
      <w:r>
        <w:lastRenderedPageBreak/>
        <w:t>Result</w:t>
      </w:r>
    </w:p>
    <w:p w14:paraId="374E9C1D" w14:textId="5652BB32" w:rsidR="003227B0" w:rsidRPr="003227B0" w:rsidRDefault="003227B0" w:rsidP="003227B0">
      <w:pPr>
        <w:pStyle w:val="TableTitle"/>
      </w:pPr>
      <w:r w:rsidRPr="00192E27">
        <w:t xml:space="preserve">Table </w:t>
      </w:r>
      <w:fldSimple w:instr=" SEQ Table \* ARABIC ">
        <w:r w:rsidR="009340CF">
          <w:rPr>
            <w:noProof/>
          </w:rPr>
          <w:t>7</w:t>
        </w:r>
      </w:fldSimple>
      <w:r w:rsidRPr="00192E27">
        <w:t xml:space="preserve">: Studies BN40900 and BN40898 Time </w:t>
      </w:r>
      <w:r w:rsidR="00192E27" w:rsidRPr="00192E27">
        <w:t xml:space="preserve">to the </w:t>
      </w:r>
      <w:r w:rsidR="00DC0623">
        <w:t>f</w:t>
      </w:r>
      <w:r w:rsidR="00192E27" w:rsidRPr="00192E27">
        <w:t xml:space="preserve">irst </w:t>
      </w:r>
      <w:r w:rsidR="00DC0623">
        <w:t xml:space="preserve">clinical efficacy committee </w:t>
      </w:r>
      <w:r w:rsidR="00192E27" w:rsidRPr="00192E27">
        <w:t>adjudicated protocol defined relapse</w:t>
      </w:r>
      <w:r w:rsidRPr="00192E27">
        <w:t xml:space="preserve"> (intent to treat population)</w:t>
      </w:r>
    </w:p>
    <w:p w14:paraId="5DC7D89A" w14:textId="3E419BF4" w:rsidR="003227B0" w:rsidRDefault="003227B0" w:rsidP="003227B0">
      <w:r w:rsidRPr="00EE0FB2">
        <w:rPr>
          <w:noProof/>
          <w:lang w:eastAsia="en-AU"/>
        </w:rPr>
        <w:drawing>
          <wp:inline distT="0" distB="0" distL="0" distR="0" wp14:anchorId="3510CE19" wp14:editId="60BF65DA">
            <wp:extent cx="4571318" cy="2027583"/>
            <wp:effectExtent l="0" t="0" r="1270" b="0"/>
            <wp:docPr id="33" name="Picture 33" descr="Studies BN40900 and BN40898 Time to the First CEC adjudicated protocol defined relapse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3249" cy="2077230"/>
                    </a:xfrm>
                    <a:prstGeom prst="rect">
                      <a:avLst/>
                    </a:prstGeom>
                    <a:noFill/>
                    <a:ln>
                      <a:noFill/>
                    </a:ln>
                  </pic:spPr>
                </pic:pic>
              </a:graphicData>
            </a:graphic>
          </wp:inline>
        </w:drawing>
      </w:r>
    </w:p>
    <w:p w14:paraId="7608B4E8" w14:textId="250E7CD1" w:rsidR="00DC0623" w:rsidRDefault="00DC0623" w:rsidP="00F96A4D">
      <w:pPr>
        <w:pStyle w:val="Tabletext"/>
      </w:pPr>
      <w:r>
        <w:t xml:space="preserve">PLB = placebo; SAT = </w:t>
      </w:r>
      <w:proofErr w:type="spellStart"/>
      <w:r>
        <w:t>satralizumab</w:t>
      </w:r>
      <w:proofErr w:type="spellEnd"/>
      <w:r>
        <w:t>; PDR = protocol defined relapse</w:t>
      </w:r>
    </w:p>
    <w:p w14:paraId="56CD8481" w14:textId="77777777" w:rsidR="003227B0" w:rsidRPr="00F2448D" w:rsidRDefault="00F2448D" w:rsidP="00F2448D">
      <w:pPr>
        <w:pStyle w:val="Heading7"/>
        <w:rPr>
          <w:sz w:val="22"/>
        </w:rPr>
      </w:pPr>
      <w:r w:rsidRPr="00F2448D">
        <w:rPr>
          <w:rStyle w:val="Heading7Char"/>
          <w:sz w:val="24"/>
        </w:rPr>
        <w:t>Primary efficacy outcome</w:t>
      </w:r>
      <w:r w:rsidRPr="00F2448D">
        <w:rPr>
          <w:sz w:val="22"/>
        </w:rPr>
        <w:t>:</w:t>
      </w:r>
    </w:p>
    <w:p w14:paraId="25612CAB" w14:textId="77777777" w:rsidR="003227B0" w:rsidRDefault="003227B0" w:rsidP="003227B0">
      <w:pPr>
        <w:pStyle w:val="ListBullet"/>
      </w:pPr>
      <w:r>
        <w:t xml:space="preserve">For </w:t>
      </w:r>
      <w:proofErr w:type="spellStart"/>
      <w:r w:rsidR="00B842FA">
        <w:t>satralizumab</w:t>
      </w:r>
      <w:proofErr w:type="spellEnd"/>
      <w:r>
        <w:t xml:space="preserve"> administered as monotherapy (</w:t>
      </w:r>
      <w:r w:rsidR="00192E27">
        <w:t xml:space="preserve">Study </w:t>
      </w:r>
      <w:r>
        <w:t xml:space="preserve">BN40900), the % of subjects with an event relative to time to first PDR during the DBP was 50% in </w:t>
      </w:r>
      <w:r w:rsidR="00246728">
        <w:t>placebo</w:t>
      </w:r>
      <w:r>
        <w:t xml:space="preserve"> and 30.2% in </w:t>
      </w:r>
      <w:proofErr w:type="spellStart"/>
      <w:r w:rsidR="00B842FA">
        <w:t>satralizumab</w:t>
      </w:r>
      <w:proofErr w:type="spellEnd"/>
      <w:r>
        <w:t xml:space="preserve">. For </w:t>
      </w:r>
      <w:proofErr w:type="spellStart"/>
      <w:r w:rsidR="00B842FA">
        <w:t>satralizumab</w:t>
      </w:r>
      <w:proofErr w:type="spellEnd"/>
      <w:r w:rsidR="00192E27">
        <w:t xml:space="preserve"> administered as add </w:t>
      </w:r>
      <w:r>
        <w:t>on therapy (</w:t>
      </w:r>
      <w:r w:rsidR="00192E27">
        <w:t xml:space="preserve">Study </w:t>
      </w:r>
      <w:r>
        <w:t xml:space="preserve">BN40898), the % of subjects with an event relative to time to first PDR during the DBP was 42.9% in </w:t>
      </w:r>
      <w:r w:rsidR="00246728">
        <w:t>placebo</w:t>
      </w:r>
      <w:r>
        <w:t xml:space="preserve"> and 19.5% in </w:t>
      </w:r>
      <w:proofErr w:type="spellStart"/>
      <w:proofErr w:type="gramStart"/>
      <w:r w:rsidR="00B842FA">
        <w:t>satralizumab</w:t>
      </w:r>
      <w:proofErr w:type="spellEnd"/>
      <w:r>
        <w:t>;</w:t>
      </w:r>
      <w:proofErr w:type="gramEnd"/>
    </w:p>
    <w:p w14:paraId="1BFB73DD" w14:textId="77777777" w:rsidR="003227B0" w:rsidRDefault="003227B0" w:rsidP="003227B0">
      <w:pPr>
        <w:pStyle w:val="ListBullet"/>
      </w:pPr>
      <w:r>
        <w:t xml:space="preserve">For </w:t>
      </w:r>
      <w:proofErr w:type="spellStart"/>
      <w:r w:rsidR="00B842FA">
        <w:t>satralizumab</w:t>
      </w:r>
      <w:proofErr w:type="spellEnd"/>
      <w:r w:rsidR="00192E27">
        <w:t xml:space="preserve"> administered as monotherapy (Study BN40900) and add on therapy (Study BN40898)</w:t>
      </w:r>
      <w:r>
        <w:t xml:space="preserve">, the </w:t>
      </w:r>
      <w:proofErr w:type="spellStart"/>
      <w:r w:rsidR="00B842FA">
        <w:t>satralizumab</w:t>
      </w:r>
      <w:proofErr w:type="spellEnd"/>
      <w:r>
        <w:t>/</w:t>
      </w:r>
      <w:r w:rsidR="00246728">
        <w:t>placebo</w:t>
      </w:r>
      <w:r w:rsidR="00192E27">
        <w:t xml:space="preserve"> HRs</w:t>
      </w:r>
      <w:r>
        <w:t xml:space="preserve"> in terms of time to first PDR during the DBP, were</w:t>
      </w:r>
      <w:r w:rsidR="00D44382">
        <w:t xml:space="preserve"> respectively 0.45 and 0.38 that is</w:t>
      </w:r>
      <w:r>
        <w:t xml:space="preserve"> 55% and 62%</w:t>
      </w:r>
      <w:r w:rsidR="00B842FA">
        <w:t xml:space="preserve"> </w:t>
      </w:r>
      <w:r>
        <w:t>of</w:t>
      </w:r>
      <w:r w:rsidR="00B842FA">
        <w:t xml:space="preserve"> </w:t>
      </w:r>
      <w:r>
        <w:t>subjects</w:t>
      </w:r>
      <w:r w:rsidR="00B842FA">
        <w:t xml:space="preserve"> </w:t>
      </w:r>
      <w:r>
        <w:t xml:space="preserve">are less likely to experience a relapse event respectively in </w:t>
      </w:r>
      <w:r w:rsidR="00D44382">
        <w:t xml:space="preserve">Studies </w:t>
      </w:r>
      <w:r>
        <w:t xml:space="preserve">BN40900 and BN40898 throughout the treatment period. The latter suggests a positive </w:t>
      </w:r>
      <w:r w:rsidR="00D44382">
        <w:t>trend towards ‘add-on therapy’ as being slightly better than ‘monotherapy</w:t>
      </w:r>
      <w:proofErr w:type="gramStart"/>
      <w:r w:rsidR="00D44382">
        <w:t>’</w:t>
      </w:r>
      <w:r>
        <w:t>;</w:t>
      </w:r>
      <w:proofErr w:type="gramEnd"/>
    </w:p>
    <w:p w14:paraId="1898B3AA" w14:textId="77777777" w:rsidR="003227B0" w:rsidRDefault="003227B0" w:rsidP="003227B0">
      <w:pPr>
        <w:pStyle w:val="ListBullet"/>
      </w:pPr>
      <w:r>
        <w:t xml:space="preserve">Statistical separations, which favoured </w:t>
      </w:r>
      <w:proofErr w:type="spellStart"/>
      <w:r w:rsidR="00B842FA">
        <w:t>satralizumab</w:t>
      </w:r>
      <w:proofErr w:type="spellEnd"/>
      <w:r>
        <w:t xml:space="preserve"> treatment over that of </w:t>
      </w:r>
      <w:r w:rsidR="00246728">
        <w:t>placebo</w:t>
      </w:r>
      <w:r>
        <w:t xml:space="preserve"> were demonstrated in both studies (</w:t>
      </w:r>
      <w:r w:rsidR="00D44382">
        <w:t>p = 0.0184 in each comparison).</w:t>
      </w:r>
    </w:p>
    <w:p w14:paraId="35313416" w14:textId="77777777" w:rsidR="003227B0" w:rsidRDefault="003227B0" w:rsidP="003227B0">
      <w:pPr>
        <w:pStyle w:val="ListBullet"/>
      </w:pPr>
      <w:r>
        <w:t xml:space="preserve">The proportion of relapse-free subjects at Weeks 48 and 96 favoured </w:t>
      </w:r>
      <w:proofErr w:type="spellStart"/>
      <w:r w:rsidR="00B842FA">
        <w:t>satralizumab</w:t>
      </w:r>
      <w:proofErr w:type="spellEnd"/>
      <w:r>
        <w:t xml:space="preserve"> treatment over </w:t>
      </w:r>
      <w:r w:rsidR="00246728">
        <w:t>placebo</w:t>
      </w:r>
      <w:r>
        <w:t xml:space="preserve"> treatment, across studies. The latter demonstrated maintenance effect of </w:t>
      </w:r>
      <w:proofErr w:type="spellStart"/>
      <w:r w:rsidR="00B842FA">
        <w:t>satralizumab</w:t>
      </w:r>
      <w:proofErr w:type="spellEnd"/>
      <w:r>
        <w:t xml:space="preserve"> treatment for up to 96 weeks.</w:t>
      </w:r>
    </w:p>
    <w:p w14:paraId="3BA7F3BA" w14:textId="4E17AAC0" w:rsidR="00684AA5" w:rsidRDefault="00684AA5" w:rsidP="00684AA5">
      <w:pPr>
        <w:pStyle w:val="TableTitle"/>
      </w:pPr>
      <w:r w:rsidRPr="00684AA5">
        <w:lastRenderedPageBreak/>
        <w:t xml:space="preserve">Table </w:t>
      </w:r>
      <w:fldSimple w:instr=" SEQ Table \* ARABIC ">
        <w:r w:rsidR="009340CF">
          <w:rPr>
            <w:noProof/>
          </w:rPr>
          <w:t>8</w:t>
        </w:r>
      </w:fldSimple>
      <w:r>
        <w:t>: Study BN40900 and BN40898 Sensitivity analysis (intent to treat population)</w:t>
      </w:r>
    </w:p>
    <w:p w14:paraId="353E0834" w14:textId="65B8E188" w:rsidR="00684AA5" w:rsidRDefault="00684AA5" w:rsidP="00684AA5">
      <w:r w:rsidRPr="0043112E">
        <w:rPr>
          <w:noProof/>
          <w:lang w:eastAsia="en-AU"/>
        </w:rPr>
        <w:drawing>
          <wp:inline distT="0" distB="0" distL="0" distR="0" wp14:anchorId="29B3550E" wp14:editId="5FD2D366">
            <wp:extent cx="5348431" cy="3208329"/>
            <wp:effectExtent l="0" t="0" r="5080" b="0"/>
            <wp:docPr id="36" name="Picture 36" descr="Study BN40900 and BN40898 Sensitivity analysis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a14="http://schemas.microsoft.com/office/drawing/2010/main" val="0"/>
                        </a:ext>
                      </a:extLst>
                    </a:blip>
                    <a:srcRect b="8087"/>
                    <a:stretch/>
                  </pic:blipFill>
                  <pic:spPr bwMode="auto">
                    <a:xfrm>
                      <a:off x="0" y="0"/>
                      <a:ext cx="5375837" cy="3224769"/>
                    </a:xfrm>
                    <a:prstGeom prst="rect">
                      <a:avLst/>
                    </a:prstGeom>
                    <a:noFill/>
                    <a:ln>
                      <a:noFill/>
                    </a:ln>
                    <a:extLst>
                      <a:ext uri="{53640926-AAD7-44D8-BBD7-CCE9431645EC}">
                        <a14:shadowObscured xmlns:a14="http://schemas.microsoft.com/office/drawing/2010/main"/>
                      </a:ext>
                    </a:extLst>
                  </pic:spPr>
                </pic:pic>
              </a:graphicData>
            </a:graphic>
          </wp:inline>
        </w:drawing>
      </w:r>
    </w:p>
    <w:p w14:paraId="00B0FBEC" w14:textId="7C13D83A" w:rsidR="00DC0623" w:rsidRDefault="00DC0623" w:rsidP="00F96A4D">
      <w:pPr>
        <w:pStyle w:val="TableDescription"/>
      </w:pPr>
      <w:r>
        <w:t xml:space="preserve">ITT = intent to treat (population); PDR = protocol defined relapse; EDSS = </w:t>
      </w:r>
      <w:r w:rsidRPr="00DC0623">
        <w:t>Expanded Disability Status Scale</w:t>
      </w:r>
      <w:r w:rsidR="00EC7463">
        <w:t xml:space="preserve">; TFR = time to first </w:t>
      </w:r>
      <w:proofErr w:type="spellStart"/>
      <w:r w:rsidR="00EC7463">
        <w:t>replapse</w:t>
      </w:r>
      <w:proofErr w:type="spellEnd"/>
      <w:r w:rsidR="00EC7463">
        <w:t>; protocol defined relapse.</w:t>
      </w:r>
    </w:p>
    <w:p w14:paraId="27CD805E" w14:textId="77777777" w:rsidR="00684AA5" w:rsidRDefault="00684AA5" w:rsidP="00684AA5">
      <w:pPr>
        <w:pStyle w:val="TableDescription"/>
      </w:pPr>
      <w:r>
        <w:t>*Censored at the first start date of the following medications: relapse prevention therapy and systemic administration of steroid for other indication for more than 5 days</w:t>
      </w:r>
    </w:p>
    <w:p w14:paraId="11C268F3" w14:textId="77777777" w:rsidR="00684AA5" w:rsidRDefault="00684AA5" w:rsidP="00684AA5">
      <w:r>
        <w:t xml:space="preserve">Comparisons of the HRs for the pre-specified ITT/PP sensitivity parameters tended to favour </w:t>
      </w:r>
      <w:proofErr w:type="spellStart"/>
      <w:r w:rsidR="00B842FA">
        <w:t>satralizumab</w:t>
      </w:r>
      <w:proofErr w:type="spellEnd"/>
      <w:r>
        <w:t xml:space="preserve"> treatment compared to </w:t>
      </w:r>
      <w:r w:rsidR="00246728">
        <w:t>placebo</w:t>
      </w:r>
      <w:r>
        <w:t xml:space="preserve"> treatment, although few of those demonstrated statistical separation over </w:t>
      </w:r>
      <w:r w:rsidR="00246728">
        <w:t>placebo</w:t>
      </w:r>
      <w:r>
        <w:t>.</w:t>
      </w:r>
    </w:p>
    <w:p w14:paraId="6A40DABD" w14:textId="77777777" w:rsidR="00684AA5" w:rsidRDefault="00684AA5" w:rsidP="00684AA5">
      <w:r>
        <w:t xml:space="preserve">Some results were also inconsistent between studies for example treated clinical relapse in the </w:t>
      </w:r>
      <w:proofErr w:type="spellStart"/>
      <w:r w:rsidR="00B842FA">
        <w:t>satralizumab</w:t>
      </w:r>
      <w:proofErr w:type="spellEnd"/>
      <w:r>
        <w:t xml:space="preserve"> group demonstrated a statistically significant and clinically meaningful difference in treatment effect compared to the </w:t>
      </w:r>
      <w:r w:rsidR="00246728">
        <w:t>placebo</w:t>
      </w:r>
      <w:r>
        <w:t xml:space="preserve"> group in </w:t>
      </w:r>
      <w:r w:rsidR="00D44382">
        <w:t xml:space="preserve">Study </w:t>
      </w:r>
      <w:r>
        <w:t xml:space="preserve">BN40900 (HR 0.46: 95% </w:t>
      </w:r>
      <w:r w:rsidR="00D44382">
        <w:t>confidence interval (</w:t>
      </w:r>
      <w:r>
        <w:t>CI</w:t>
      </w:r>
      <w:r w:rsidR="00D44382">
        <w:t>)</w:t>
      </w:r>
      <w:r>
        <w:t>: 0.24, 0.88: p = 0.0158), but not in BN40898 (HR 0.62: 95% CI: 0.34, 1.14: p = 0.1236).</w:t>
      </w:r>
    </w:p>
    <w:p w14:paraId="551461CC" w14:textId="77777777" w:rsidR="00F2448D" w:rsidRPr="00F2448D" w:rsidRDefault="00F2448D" w:rsidP="00701BB6">
      <w:r w:rsidRPr="00F2448D">
        <w:t>Primary efficacy endpoint as per the subgroup analyses</w:t>
      </w:r>
    </w:p>
    <w:p w14:paraId="09F8A07C" w14:textId="77777777" w:rsidR="00F2448D" w:rsidRDefault="00F2448D" w:rsidP="00F2448D">
      <w:r>
        <w:t>The pre-specified subgroup analyses of the primary efficacy endpoint in each of the Phase III studies were generally consistent with the results of the primary efficacy analysis.</w:t>
      </w:r>
    </w:p>
    <w:p w14:paraId="22317291" w14:textId="77777777" w:rsidR="00F2448D" w:rsidRDefault="00F2448D" w:rsidP="00F2448D">
      <w:r>
        <w:t xml:space="preserve">In Study BN40900, there was a tendency to favour </w:t>
      </w:r>
      <w:proofErr w:type="spellStart"/>
      <w:r w:rsidR="00B842FA">
        <w:t>satralizumab</w:t>
      </w:r>
      <w:proofErr w:type="spellEnd"/>
      <w:r>
        <w:t xml:space="preserve"> treatment over </w:t>
      </w:r>
      <w:r w:rsidR="00246728">
        <w:t>placebo</w:t>
      </w:r>
      <w:r>
        <w:t xml:space="preserve"> treatment in all subgroups.</w:t>
      </w:r>
    </w:p>
    <w:p w14:paraId="5E04DD05" w14:textId="4A057F0B" w:rsidR="00F2448D" w:rsidRDefault="00F2448D" w:rsidP="00F2448D">
      <w:pPr>
        <w:pStyle w:val="ListBullet"/>
      </w:pPr>
      <w:r>
        <w:t xml:space="preserve">for </w:t>
      </w:r>
      <w:r w:rsidR="00D44382">
        <w:t>anti-AQP4-IgG positive</w:t>
      </w:r>
      <w:r>
        <w:t xml:space="preserve"> subjects: HR 0.26: 95% CIs: 0.11, 0.63</w:t>
      </w:r>
      <w:r w:rsidR="00EC7463">
        <w:t>;</w:t>
      </w:r>
      <w:r>
        <w:t xml:space="preserve"> p = 0.0014</w:t>
      </w:r>
    </w:p>
    <w:p w14:paraId="7B9FF96E" w14:textId="77777777" w:rsidR="00F2448D" w:rsidRDefault="00F2448D" w:rsidP="00F2448D">
      <w:pPr>
        <w:pStyle w:val="ListBullet2"/>
      </w:pPr>
      <w:r>
        <w:t>In N</w:t>
      </w:r>
      <w:r w:rsidR="00D44382">
        <w:t>MO anti-AQP4-IgG positive/NMOSD (</w:t>
      </w:r>
      <w:r>
        <w:t>by definition, all NMOSD subject</w:t>
      </w:r>
      <w:r w:rsidR="00D44382">
        <w:t>s must be anti-AQP4-IgG positive)</w:t>
      </w:r>
      <w:r>
        <w:t xml:space="preserve"> subjects at Weeks 48 and 96 respectively, 82.9% and 76.5% on </w:t>
      </w:r>
      <w:proofErr w:type="spellStart"/>
      <w:r w:rsidR="00B842FA">
        <w:t>satralizumab</w:t>
      </w:r>
      <w:proofErr w:type="spellEnd"/>
      <w:r w:rsidR="00D44382">
        <w:t xml:space="preserve"> were relapse </w:t>
      </w:r>
      <w:r>
        <w:t xml:space="preserve">free compared to 55.4% and 41.1% on </w:t>
      </w:r>
      <w:proofErr w:type="gramStart"/>
      <w:r w:rsidR="00246728">
        <w:t>placebo</w:t>
      </w:r>
      <w:r>
        <w:t>;</w:t>
      </w:r>
      <w:proofErr w:type="gramEnd"/>
    </w:p>
    <w:p w14:paraId="4330F163" w14:textId="77777777" w:rsidR="00F2448D" w:rsidRDefault="00F2448D" w:rsidP="00F2448D">
      <w:r>
        <w:t>In contrast for anti-AQP4-IgG</w:t>
      </w:r>
      <w:r w:rsidR="00D44382">
        <w:t xml:space="preserve"> </w:t>
      </w:r>
      <w:r>
        <w:t xml:space="preserve">negative subjects, there was a tendency to no </w:t>
      </w:r>
      <w:proofErr w:type="spellStart"/>
      <w:r w:rsidR="00B842FA">
        <w:t>satralizumab</w:t>
      </w:r>
      <w:proofErr w:type="spellEnd"/>
      <w:r>
        <w:t xml:space="preserve"> treatment effect (HR 0.995)</w:t>
      </w:r>
    </w:p>
    <w:p w14:paraId="47A949B1" w14:textId="77777777" w:rsidR="00F2448D" w:rsidRDefault="00F2448D" w:rsidP="00F2448D">
      <w:pPr>
        <w:pStyle w:val="ListBullet2"/>
      </w:pPr>
      <w:r>
        <w:t>anti-AQP4-IgG</w:t>
      </w:r>
      <w:r w:rsidR="00D44382">
        <w:t xml:space="preserve"> </w:t>
      </w:r>
      <w:r>
        <w:t xml:space="preserve">negative subjects (anti-AQP4 </w:t>
      </w:r>
      <w:r w:rsidR="00D44382">
        <w:t>–</w:t>
      </w:r>
      <w:r>
        <w:t>IgG</w:t>
      </w:r>
      <w:r w:rsidR="00D44382">
        <w:t xml:space="preserve"> </w:t>
      </w:r>
      <w:r>
        <w:t>negative combined with NMOSD subjects</w:t>
      </w:r>
      <w:r w:rsidR="00D44382">
        <w:t>, HR 1.192; or NMO anti-</w:t>
      </w:r>
      <w:r w:rsidR="005766CB">
        <w:t>AQP4-IgG</w:t>
      </w:r>
      <w:r w:rsidR="00D44382">
        <w:t xml:space="preserve"> </w:t>
      </w:r>
      <w:r>
        <w:t>negative status</w:t>
      </w:r>
      <w:r w:rsidR="00D44382">
        <w:t>, HR 1.250)</w:t>
      </w:r>
    </w:p>
    <w:p w14:paraId="447CE644" w14:textId="77777777" w:rsidR="00F2448D" w:rsidRDefault="00F2448D" w:rsidP="00F2448D">
      <w:r>
        <w:lastRenderedPageBreak/>
        <w:t xml:space="preserve">In Study BN40898, there was a tendency to favour </w:t>
      </w:r>
      <w:proofErr w:type="spellStart"/>
      <w:r w:rsidR="00B842FA">
        <w:t>satralizumab</w:t>
      </w:r>
      <w:proofErr w:type="spellEnd"/>
      <w:r>
        <w:t xml:space="preserve"> treatment in all subgroups, except for time to r</w:t>
      </w:r>
      <w:r w:rsidR="00D44382">
        <w:t>elapse in adolescent subjects (one</w:t>
      </w:r>
      <w:r>
        <w:t xml:space="preserve"> </w:t>
      </w:r>
      <w:proofErr w:type="spellStart"/>
      <w:r w:rsidR="00B842FA">
        <w:t>satralizumab</w:t>
      </w:r>
      <w:proofErr w:type="spellEnd"/>
      <w:r w:rsidR="00246728">
        <w:t xml:space="preserve"> group versus</w:t>
      </w:r>
      <w:r w:rsidR="00D44382">
        <w:t xml:space="preserve"> one</w:t>
      </w:r>
      <w:r>
        <w:t xml:space="preserve"> </w:t>
      </w:r>
      <w:r w:rsidR="00246728">
        <w:t>placebo</w:t>
      </w:r>
      <w:r>
        <w:t xml:space="preserve"> group), in which there were too few subjects to draw meaningful conclusions.</w:t>
      </w:r>
    </w:p>
    <w:p w14:paraId="069A85D0" w14:textId="77777777" w:rsidR="00F2448D" w:rsidRDefault="00F2448D" w:rsidP="00F2448D">
      <w:r>
        <w:t xml:space="preserve">In adults, HR was 0.362 (95% CI: 0.149, 0.878: p = 0.0192), which was consistent with the pooled </w:t>
      </w:r>
      <w:r w:rsidR="00D44382">
        <w:t xml:space="preserve">Study </w:t>
      </w:r>
      <w:r>
        <w:t>BN40898 results, as previously accounted for</w:t>
      </w:r>
    </w:p>
    <w:p w14:paraId="710C3E7F" w14:textId="322F929F" w:rsidR="00F2448D" w:rsidRDefault="00D44382" w:rsidP="00F2448D">
      <w:pPr>
        <w:pStyle w:val="ListBullet2"/>
      </w:pPr>
      <w:proofErr w:type="gramStart"/>
      <w:r>
        <w:t>Similar to</w:t>
      </w:r>
      <w:proofErr w:type="gramEnd"/>
      <w:r>
        <w:t xml:space="preserve"> S</w:t>
      </w:r>
      <w:r w:rsidR="00F2448D">
        <w:t>tudy BN40900, the strongest subgroup effect was observed for anti-AQP4-IgG</w:t>
      </w:r>
      <w:r>
        <w:t xml:space="preserve"> </w:t>
      </w:r>
      <w:r w:rsidR="00F2448D">
        <w:t xml:space="preserve">positive subjects. The risk of experiencing a PDR was reduced by 79% in </w:t>
      </w:r>
      <w:proofErr w:type="spellStart"/>
      <w:r w:rsidR="00B842FA">
        <w:t>satralizumab</w:t>
      </w:r>
      <w:proofErr w:type="spellEnd"/>
      <w:r>
        <w:t xml:space="preserve"> </w:t>
      </w:r>
      <w:r w:rsidR="00F2448D">
        <w:t>treated anti-AQP4-IgG</w:t>
      </w:r>
      <w:r>
        <w:t xml:space="preserve"> </w:t>
      </w:r>
      <w:r w:rsidR="00F2448D">
        <w:t>positive subjects, HR 0.21; 9</w:t>
      </w:r>
      <w:r>
        <w:t>5% CIs: 0.06, 0.75</w:t>
      </w:r>
      <w:r w:rsidR="00EC7463">
        <w:t>;</w:t>
      </w:r>
      <w:r>
        <w:t xml:space="preserve"> p = </w:t>
      </w:r>
      <w:proofErr w:type="gramStart"/>
      <w:r>
        <w:t>0.0086;</w:t>
      </w:r>
      <w:proofErr w:type="gramEnd"/>
    </w:p>
    <w:p w14:paraId="7DC68857" w14:textId="77777777" w:rsidR="00F2448D" w:rsidRDefault="00F2448D" w:rsidP="00F2448D">
      <w:pPr>
        <w:pStyle w:val="ListBullet2"/>
      </w:pPr>
      <w:r>
        <w:t xml:space="preserve">At Weeks 48 and 96 respectively, 91.5% of </w:t>
      </w:r>
      <w:r w:rsidR="00D44382">
        <w:t>anti-AQP4-IgG positive</w:t>
      </w:r>
      <w:r>
        <w:t xml:space="preserve"> subjects on </w:t>
      </w:r>
      <w:proofErr w:type="spellStart"/>
      <w:r w:rsidR="00B842FA">
        <w:t>satralizumab</w:t>
      </w:r>
      <w:proofErr w:type="spellEnd"/>
      <w:r>
        <w:t xml:space="preserve"> were relapse</w:t>
      </w:r>
      <w:r w:rsidR="005766CB">
        <w:t xml:space="preserve"> </w:t>
      </w:r>
      <w:r>
        <w:t xml:space="preserve">free </w:t>
      </w:r>
      <w:r w:rsidR="00246728">
        <w:t>versus</w:t>
      </w:r>
      <w:r>
        <w:t xml:space="preserve"> 59.9% and 53.3% of </w:t>
      </w:r>
      <w:r w:rsidR="00246728">
        <w:t>placebo</w:t>
      </w:r>
      <w:r w:rsidR="005766CB">
        <w:t xml:space="preserve"> </w:t>
      </w:r>
      <w:r>
        <w:t>treated anti-AQP4-IgG</w:t>
      </w:r>
      <w:r w:rsidR="00D44382">
        <w:t xml:space="preserve"> </w:t>
      </w:r>
      <w:r>
        <w:t>positive subjects with NMO/NMOSD.</w:t>
      </w:r>
    </w:p>
    <w:p w14:paraId="44697BB3" w14:textId="77777777" w:rsidR="00F2448D" w:rsidRDefault="00C47AF9" w:rsidP="00F2448D">
      <w:r>
        <w:t xml:space="preserve">The Delegate is of view that there is insufficient </w:t>
      </w:r>
      <w:r w:rsidR="00F2448D">
        <w:t>efficac</w:t>
      </w:r>
      <w:r>
        <w:t xml:space="preserve">y data to support approval for </w:t>
      </w:r>
      <w:proofErr w:type="spellStart"/>
      <w:r w:rsidR="00B842FA">
        <w:t>satralizumab</w:t>
      </w:r>
      <w:proofErr w:type="spellEnd"/>
      <w:r w:rsidR="00F2448D">
        <w:t xml:space="preserve"> in anti-</w:t>
      </w:r>
      <w:r w:rsidR="005766CB">
        <w:t>AQP4-IgG</w:t>
      </w:r>
      <w:r w:rsidR="00F2448D">
        <w:t xml:space="preserve"> positive or negative adolescents </w:t>
      </w:r>
      <w:r>
        <w:t>based on sponsor submitted dossier. There is i</w:t>
      </w:r>
      <w:r w:rsidR="00F2448D">
        <w:t xml:space="preserve">nsufficient </w:t>
      </w:r>
      <w:r>
        <w:t>adolescent numbe</w:t>
      </w:r>
      <w:r w:rsidR="00701BB6">
        <w:t>r (n</w:t>
      </w:r>
      <w:r w:rsidR="00DE015B">
        <w:t xml:space="preserve"> </w:t>
      </w:r>
      <w:r w:rsidR="00701BB6">
        <w:t>=</w:t>
      </w:r>
      <w:r w:rsidR="00DE015B">
        <w:t xml:space="preserve"> </w:t>
      </w:r>
      <w:r w:rsidR="00701BB6">
        <w:t>7)</w:t>
      </w:r>
      <w:r>
        <w:t xml:space="preserve"> to draw any conclusi</w:t>
      </w:r>
      <w:r w:rsidR="005766CB">
        <w:t>on. In addition, there is only three</w:t>
      </w:r>
      <w:r>
        <w:t xml:space="preserve"> adolescents </w:t>
      </w:r>
      <w:r w:rsidR="00F2448D">
        <w:t>wit</w:t>
      </w:r>
      <w:r>
        <w:t xml:space="preserve">h NMO anti-AQP4-IgG negative that </w:t>
      </w:r>
      <w:r w:rsidR="00F2448D">
        <w:t xml:space="preserve">received </w:t>
      </w:r>
      <w:proofErr w:type="spellStart"/>
      <w:r w:rsidR="00B842FA">
        <w:t>satralizumab</w:t>
      </w:r>
      <w:proofErr w:type="spellEnd"/>
      <w:r w:rsidR="00F2448D">
        <w:t xml:space="preserve"> an</w:t>
      </w:r>
      <w:r>
        <w:t>d one adolescent with NMO anti-</w:t>
      </w:r>
      <w:r w:rsidR="00F2448D">
        <w:t>AQP4-Ig</w:t>
      </w:r>
      <w:r>
        <w:t xml:space="preserve">G positive received </w:t>
      </w:r>
      <w:proofErr w:type="spellStart"/>
      <w:r w:rsidR="00B842FA">
        <w:t>satralizumab</w:t>
      </w:r>
      <w:proofErr w:type="spellEnd"/>
      <w:r>
        <w:t>. Concurrently,</w:t>
      </w:r>
      <w:r w:rsidR="00F2448D">
        <w:t xml:space="preserve"> </w:t>
      </w:r>
      <w:r>
        <w:t xml:space="preserve">the </w:t>
      </w:r>
      <w:r w:rsidR="00F2448D">
        <w:t>available data do not r</w:t>
      </w:r>
      <w:r>
        <w:t xml:space="preserve">obustly support the use of </w:t>
      </w:r>
      <w:proofErr w:type="spellStart"/>
      <w:r w:rsidR="00B842FA">
        <w:t>satralizumab</w:t>
      </w:r>
      <w:proofErr w:type="spellEnd"/>
      <w:r>
        <w:t xml:space="preserve"> in adults with </w:t>
      </w:r>
      <w:r w:rsidR="00F2448D">
        <w:t>NMO anti-AQP4-IgG</w:t>
      </w:r>
      <w:r>
        <w:t xml:space="preserve"> negative status. The latter is hardly </w:t>
      </w:r>
      <w:r w:rsidR="00F2448D">
        <w:t>surprising given, the pharmaco</w:t>
      </w:r>
      <w:r>
        <w:t xml:space="preserve">logical basis for the clinical </w:t>
      </w:r>
      <w:r w:rsidR="00F2448D">
        <w:t>action</w:t>
      </w:r>
      <w:r>
        <w:t xml:space="preserve">/benefit of </w:t>
      </w:r>
      <w:proofErr w:type="spellStart"/>
      <w:r w:rsidR="00B842FA">
        <w:t>satralizumab</w:t>
      </w:r>
      <w:proofErr w:type="spellEnd"/>
      <w:r>
        <w:t xml:space="preserve"> in NMO/NMOSD.</w:t>
      </w:r>
    </w:p>
    <w:p w14:paraId="1DBB52E1" w14:textId="77777777" w:rsidR="00701BB6" w:rsidRPr="00701BB6" w:rsidRDefault="00701BB6" w:rsidP="00701BB6">
      <w:pPr>
        <w:pStyle w:val="Heading7"/>
        <w:rPr>
          <w:sz w:val="22"/>
        </w:rPr>
      </w:pPr>
      <w:r w:rsidRPr="00701BB6">
        <w:rPr>
          <w:sz w:val="22"/>
        </w:rPr>
        <w:t>Secondary efficacy outcomes</w:t>
      </w:r>
    </w:p>
    <w:p w14:paraId="366734D7" w14:textId="3767B9FC" w:rsidR="00701BB6" w:rsidRDefault="00701BB6" w:rsidP="00701BB6">
      <w:r>
        <w:t>The key secondary efficacy endpoints a</w:t>
      </w:r>
      <w:r w:rsidR="005766CB">
        <w:t>ssessed</w:t>
      </w:r>
      <w:r>
        <w:t xml:space="preserve"> using the VAS score for pain and the FACIT score for fatigue, (see </w:t>
      </w:r>
      <w:r>
        <w:fldChar w:fldCharType="begin"/>
      </w:r>
      <w:r>
        <w:instrText xml:space="preserve"> REF _Ref73096031 \h </w:instrText>
      </w:r>
      <w:r>
        <w:fldChar w:fldCharType="separate"/>
      </w:r>
      <w:r w:rsidR="009340CF" w:rsidRPr="00701BB6">
        <w:t xml:space="preserve">Table </w:t>
      </w:r>
      <w:r w:rsidR="009340CF">
        <w:rPr>
          <w:noProof/>
        </w:rPr>
        <w:t>9</w:t>
      </w:r>
      <w:r>
        <w:fldChar w:fldCharType="end"/>
      </w:r>
      <w:r>
        <w:t>). Measures include change from Baseline in a) VAS score and b) FACIT score, to We</w:t>
      </w:r>
      <w:r w:rsidR="005766CB">
        <w:t>ek 24, in the Phase III studies.</w:t>
      </w:r>
    </w:p>
    <w:p w14:paraId="3062F14D" w14:textId="22AC0565" w:rsidR="00701BB6" w:rsidRDefault="00701BB6" w:rsidP="00701BB6">
      <w:pPr>
        <w:pStyle w:val="TableTitle"/>
      </w:pPr>
      <w:bookmarkStart w:id="48" w:name="_Ref73096031"/>
      <w:r w:rsidRPr="00701BB6">
        <w:t xml:space="preserve">Table </w:t>
      </w:r>
      <w:fldSimple w:instr=" SEQ Table \* ARABIC ">
        <w:r w:rsidR="009340CF">
          <w:rPr>
            <w:noProof/>
          </w:rPr>
          <w:t>9</w:t>
        </w:r>
      </w:fldSimple>
      <w:bookmarkEnd w:id="48"/>
      <w:r>
        <w:t>: Studies BN40900 and BN40898 secondary efficacy outcome</w:t>
      </w:r>
      <w:r w:rsidR="005766CB">
        <w:t xml:space="preserve"> (double blinded period, intent to treat population)</w:t>
      </w:r>
    </w:p>
    <w:p w14:paraId="5ECFDE9A" w14:textId="49C9DA6B" w:rsidR="00701BB6" w:rsidRDefault="00701BB6" w:rsidP="00701BB6">
      <w:r w:rsidRPr="00EE0FB2">
        <w:rPr>
          <w:noProof/>
          <w:lang w:eastAsia="en-AU"/>
        </w:rPr>
        <w:drawing>
          <wp:inline distT="0" distB="0" distL="0" distR="0" wp14:anchorId="3604DDAD" wp14:editId="73B905B8">
            <wp:extent cx="5400040" cy="2408417"/>
            <wp:effectExtent l="0" t="0" r="0" b="0"/>
            <wp:docPr id="35" name="Picture 35" descr="Studies BN40900 and BN40898 secondary efficacy outcome (double blinded period,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2408417"/>
                    </a:xfrm>
                    <a:prstGeom prst="rect">
                      <a:avLst/>
                    </a:prstGeom>
                    <a:noFill/>
                    <a:ln>
                      <a:noFill/>
                    </a:ln>
                  </pic:spPr>
                </pic:pic>
              </a:graphicData>
            </a:graphic>
          </wp:inline>
        </w:drawing>
      </w:r>
    </w:p>
    <w:p w14:paraId="5FCD1C80" w14:textId="71ED003F" w:rsidR="00EC7463" w:rsidRDefault="00EC7463" w:rsidP="00F96A4D">
      <w:pPr>
        <w:pStyle w:val="TableDescription"/>
      </w:pPr>
      <w:r>
        <w:t>SE = standard error; CI = confidence interval.</w:t>
      </w:r>
    </w:p>
    <w:p w14:paraId="679BACA9" w14:textId="77777777" w:rsidR="00701BB6" w:rsidRDefault="00701BB6" w:rsidP="00701BB6">
      <w:r>
        <w:t xml:space="preserve">There were no clinically meaningful differences between the </w:t>
      </w:r>
      <w:proofErr w:type="spellStart"/>
      <w:r w:rsidR="00B842FA">
        <w:t>satralizumab</w:t>
      </w:r>
      <w:proofErr w:type="spellEnd"/>
      <w:r>
        <w:t xml:space="preserve"> and </w:t>
      </w:r>
      <w:r w:rsidR="00246728">
        <w:t>placebo</w:t>
      </w:r>
      <w:r w:rsidR="008C4D57">
        <w:t xml:space="preserve"> groups in change from B</w:t>
      </w:r>
      <w:r>
        <w:t xml:space="preserve">aseline in </w:t>
      </w:r>
      <w:proofErr w:type="spellStart"/>
      <w:r>
        <w:t>mRS</w:t>
      </w:r>
      <w:proofErr w:type="spellEnd"/>
      <w:r>
        <w:t xml:space="preserve"> score, ZBI</w:t>
      </w:r>
      <w:r w:rsidR="008C4D57">
        <w:t xml:space="preserve"> score or EDSS score at each </w:t>
      </w:r>
      <w:proofErr w:type="gramStart"/>
      <w:r w:rsidR="008C4D57">
        <w:t xml:space="preserve">24 </w:t>
      </w:r>
      <w:r>
        <w:t>week</w:t>
      </w:r>
      <w:proofErr w:type="gramEnd"/>
      <w:r>
        <w:t xml:space="preserve"> interval of the DBP, in both Phase III studies. Similarly, there were no clinically meaningful differences between the two groups in utilities derived from the EQ-5D-3L scores at any time point. There were no consistent differences between the </w:t>
      </w:r>
      <w:proofErr w:type="spellStart"/>
      <w:r w:rsidR="00B842FA">
        <w:t>satralizumab</w:t>
      </w:r>
      <w:proofErr w:type="spellEnd"/>
      <w:r>
        <w:t xml:space="preserve"> and </w:t>
      </w:r>
      <w:r w:rsidR="00246728">
        <w:t>placebo</w:t>
      </w:r>
      <w:r w:rsidR="008C4D57">
        <w:t xml:space="preserve"> groups in the physical component s</w:t>
      </w:r>
      <w:r>
        <w:t xml:space="preserve">ummary or the domain scores in each study. In Study </w:t>
      </w:r>
      <w:r>
        <w:lastRenderedPageBreak/>
        <w:t>BN40900, there was a consistent trend t</w:t>
      </w:r>
      <w:r w:rsidR="008C4D57">
        <w:t>owards greater increase in the mental health component s</w:t>
      </w:r>
      <w:r>
        <w:t xml:space="preserve">ummary score in the </w:t>
      </w:r>
      <w:proofErr w:type="spellStart"/>
      <w:r w:rsidR="00B842FA">
        <w:t>satralizumab</w:t>
      </w:r>
      <w:proofErr w:type="spellEnd"/>
      <w:r>
        <w:t xml:space="preserve"> group compared to the </w:t>
      </w:r>
      <w:r w:rsidR="00246728">
        <w:t>placebo</w:t>
      </w:r>
      <w:r>
        <w:t xml:space="preserve"> group at all visits up to Week 120. In contrast, this tr</w:t>
      </w:r>
      <w:r w:rsidR="008C4D57">
        <w:t xml:space="preserve">end was not observed at each </w:t>
      </w:r>
      <w:proofErr w:type="gramStart"/>
      <w:r w:rsidR="008C4D57">
        <w:t xml:space="preserve">24 </w:t>
      </w:r>
      <w:r>
        <w:t>week</w:t>
      </w:r>
      <w:proofErr w:type="gramEnd"/>
      <w:r>
        <w:t xml:space="preserve"> interval of the DBP in Study BN40898. Across studies, changes in adjusted ARRs no</w:t>
      </w:r>
      <w:r w:rsidR="00FF4C3E">
        <w:t xml:space="preserve">minally favoured </w:t>
      </w:r>
      <w:proofErr w:type="spellStart"/>
      <w:r w:rsidR="00B842FA">
        <w:t>satralizumab</w:t>
      </w:r>
      <w:proofErr w:type="spellEnd"/>
      <w:r w:rsidR="00FF4C3E">
        <w:t xml:space="preserve"> treatment. </w:t>
      </w:r>
      <w:r>
        <w:t xml:space="preserve">In </w:t>
      </w:r>
      <w:r w:rsidR="00FF4C3E">
        <w:t xml:space="preserve">Study </w:t>
      </w:r>
      <w:r>
        <w:t>BN40900, the observed red</w:t>
      </w:r>
      <w:r w:rsidR="00FF4C3E">
        <w:t xml:space="preserve">uction in adjusted ARR (0.551) </w:t>
      </w:r>
      <w:r>
        <w:t xml:space="preserve">was 73% in the </w:t>
      </w:r>
      <w:proofErr w:type="spellStart"/>
      <w:r w:rsidR="00B842FA">
        <w:t>satralizumab</w:t>
      </w:r>
      <w:proofErr w:type="spellEnd"/>
      <w:r>
        <w:t xml:space="preserve"> group v</w:t>
      </w:r>
      <w:r w:rsidR="00FF4C3E">
        <w:t>ersu</w:t>
      </w:r>
      <w:r>
        <w:t xml:space="preserve">s the </w:t>
      </w:r>
      <w:r w:rsidR="00246728">
        <w:t>placebo</w:t>
      </w:r>
      <w:r>
        <w:t xml:space="preserve"> group (2.005) and in </w:t>
      </w:r>
      <w:r w:rsidR="00FF4C3E">
        <w:t xml:space="preserve">Study </w:t>
      </w:r>
      <w:r>
        <w:t>BN40898, the observed reduction in adjusted ARR (0.1</w:t>
      </w:r>
      <w:r w:rsidR="00FF4C3E">
        <w:t xml:space="preserve">41) was 74% in the </w:t>
      </w:r>
      <w:proofErr w:type="spellStart"/>
      <w:r w:rsidR="00B842FA">
        <w:t>satralizumab</w:t>
      </w:r>
      <w:proofErr w:type="spellEnd"/>
      <w:r w:rsidR="00FF4C3E">
        <w:t xml:space="preserve"> group versus</w:t>
      </w:r>
      <w:r>
        <w:t xml:space="preserve"> the </w:t>
      </w:r>
      <w:r w:rsidR="00246728">
        <w:t>placebo</w:t>
      </w:r>
      <w:r>
        <w:t xml:space="preserve"> group (0.538). These results generally supported the prim</w:t>
      </w:r>
      <w:r w:rsidR="00FF4C3E">
        <w:t>ary end point efficacy analyses.</w:t>
      </w:r>
    </w:p>
    <w:p w14:paraId="5A3BACC1" w14:textId="77777777" w:rsidR="00701BB6" w:rsidRDefault="00701BB6" w:rsidP="00701BB6">
      <w:r>
        <w:t xml:space="preserve">Regarding rescue therapy, the proportion of subjects who received relapse rescue therapy was higher in the </w:t>
      </w:r>
      <w:r w:rsidR="00246728">
        <w:t>placebo</w:t>
      </w:r>
      <w:r>
        <w:t xml:space="preserve"> groups (53.1% in </w:t>
      </w:r>
      <w:r w:rsidR="00FF4C3E">
        <w:t xml:space="preserve">Study </w:t>
      </w:r>
      <w:r>
        <w:t>BN40900 and 59.5% in</w:t>
      </w:r>
      <w:r w:rsidR="00FF4C3E" w:rsidRPr="00FF4C3E">
        <w:t xml:space="preserve"> </w:t>
      </w:r>
      <w:r w:rsidR="00FF4C3E">
        <w:t>Study</w:t>
      </w:r>
      <w:r>
        <w:t xml:space="preserve"> BN40898, respectively) compared to the </w:t>
      </w:r>
      <w:proofErr w:type="spellStart"/>
      <w:r w:rsidR="00B842FA">
        <w:t>satralizumab</w:t>
      </w:r>
      <w:proofErr w:type="spellEnd"/>
      <w:r>
        <w:t xml:space="preserve"> groups (33.3% in </w:t>
      </w:r>
      <w:r w:rsidR="00FF4C3E">
        <w:t xml:space="preserve">Study </w:t>
      </w:r>
      <w:r>
        <w:t xml:space="preserve">BN40900 and 43.9% in </w:t>
      </w:r>
      <w:r w:rsidR="00FF4C3E">
        <w:t xml:space="preserve">Study </w:t>
      </w:r>
      <w:r>
        <w:t>BN40898, respectively). These results were consistent with the general primary end point efficacy analysis results.</w:t>
      </w:r>
    </w:p>
    <w:p w14:paraId="3E5F4E64" w14:textId="77777777" w:rsidR="00FF4C3E" w:rsidRDefault="00701BB6" w:rsidP="00701BB6">
      <w:r>
        <w:t>Analyses performed across t</w:t>
      </w:r>
      <w:r w:rsidR="00FF4C3E">
        <w:t>rials: pooled and meta-analyses</w:t>
      </w:r>
    </w:p>
    <w:p w14:paraId="694F29D8" w14:textId="77777777" w:rsidR="00FF4C3E" w:rsidRDefault="00701BB6" w:rsidP="00701BB6">
      <w:pPr>
        <w:pStyle w:val="ListBullet"/>
      </w:pPr>
      <w:r>
        <w:t>Pooled results for the primary efficacy end</w:t>
      </w:r>
      <w:r w:rsidR="00FF4C3E">
        <w:t xml:space="preserve">point were consistent with the </w:t>
      </w:r>
      <w:r>
        <w:t>individual study results: HR 0.42 (</w:t>
      </w:r>
      <w:r w:rsidR="00FF4C3E">
        <w:t>95% CI: 0.25, 0.71: p = 0.0008).</w:t>
      </w:r>
    </w:p>
    <w:p w14:paraId="1D05234E" w14:textId="77777777" w:rsidR="00FF4C3E" w:rsidRDefault="00701BB6" w:rsidP="00701BB6">
      <w:pPr>
        <w:pStyle w:val="ListBullet"/>
      </w:pPr>
      <w:r>
        <w:t xml:space="preserve">The proportion of pooled relapse-free subjects at Week 48 (80.5% </w:t>
      </w:r>
      <w:proofErr w:type="spellStart"/>
      <w:r w:rsidR="00B842FA">
        <w:t>satralizumab</w:t>
      </w:r>
      <w:proofErr w:type="spellEnd"/>
      <w:r>
        <w:t xml:space="preserve"> group </w:t>
      </w:r>
      <w:r w:rsidR="00246728">
        <w:t>versus</w:t>
      </w:r>
      <w:r>
        <w:t xml:space="preserve"> 64.4% </w:t>
      </w:r>
      <w:r w:rsidR="00246728">
        <w:t>placebo</w:t>
      </w:r>
      <w:r>
        <w:t xml:space="preserve"> group) and Week 96 (74.2% </w:t>
      </w:r>
      <w:proofErr w:type="spellStart"/>
      <w:r w:rsidR="00B842FA">
        <w:t>satralizumab</w:t>
      </w:r>
      <w:proofErr w:type="spellEnd"/>
      <w:r>
        <w:t xml:space="preserve"> </w:t>
      </w:r>
      <w:r w:rsidR="00246728">
        <w:t>versus</w:t>
      </w:r>
      <w:r>
        <w:t xml:space="preserve"> 55.3% </w:t>
      </w:r>
      <w:r w:rsidR="00246728">
        <w:t>placebo</w:t>
      </w:r>
      <w:r>
        <w:t xml:space="preserve">) were consistent with the primary efficacy </w:t>
      </w:r>
      <w:proofErr w:type="gramStart"/>
      <w:r>
        <w:t>analysis, and</w:t>
      </w:r>
      <w:proofErr w:type="gramEnd"/>
      <w:r>
        <w:t xml:space="preserve"> demonstrated maintenance of eff</w:t>
      </w:r>
      <w:r w:rsidR="00FF4C3E">
        <w:t xml:space="preserve">ect over 96 weeks </w:t>
      </w:r>
      <w:proofErr w:type="spellStart"/>
      <w:r w:rsidR="00B842FA">
        <w:t>satralizumab</w:t>
      </w:r>
      <w:proofErr w:type="spellEnd"/>
      <w:r w:rsidR="00FF4C3E">
        <w:t xml:space="preserve"> treatment.</w:t>
      </w:r>
    </w:p>
    <w:p w14:paraId="69282706" w14:textId="77777777" w:rsidR="00FF4C3E" w:rsidRDefault="00701BB6" w:rsidP="00701BB6">
      <w:pPr>
        <w:pStyle w:val="ListBullet"/>
      </w:pPr>
      <w:r>
        <w:t xml:space="preserve">The treatment benefit of </w:t>
      </w:r>
      <w:proofErr w:type="spellStart"/>
      <w:r w:rsidR="00B842FA">
        <w:t>satralizumab</w:t>
      </w:r>
      <w:proofErr w:type="spellEnd"/>
      <w:r>
        <w:t xml:space="preserve"> was generally similar in the individual and pooled BW and BMI subgroup analyses of</w:t>
      </w:r>
      <w:r w:rsidR="00FF4C3E">
        <w:t xml:space="preserve"> the primary efficacy endpoint.</w:t>
      </w:r>
    </w:p>
    <w:p w14:paraId="446DFA27" w14:textId="77777777" w:rsidR="00FF4C3E" w:rsidRDefault="00701BB6" w:rsidP="00701BB6">
      <w:pPr>
        <w:pStyle w:val="ListBullet"/>
      </w:pPr>
      <w:r>
        <w:t xml:space="preserve">Pooled and individual study results for the primary efficacy endpoint by anti-AQP4-IgG status favoured </w:t>
      </w:r>
      <w:proofErr w:type="spellStart"/>
      <w:r w:rsidR="00B842FA">
        <w:t>satralizumab</w:t>
      </w:r>
      <w:proofErr w:type="spellEnd"/>
      <w:r>
        <w:t xml:space="preserve"> treatment in anti-AQP4-IgG</w:t>
      </w:r>
      <w:r w:rsidR="008C4D57">
        <w:t xml:space="preserve"> </w:t>
      </w:r>
      <w:proofErr w:type="spellStart"/>
      <w:r>
        <w:t>postive</w:t>
      </w:r>
      <w:proofErr w:type="spellEnd"/>
      <w:r>
        <w:t xml:space="preserve"> subjects </w:t>
      </w:r>
      <w:r w:rsidR="00246728">
        <w:t>versus</w:t>
      </w:r>
      <w:r>
        <w:t xml:space="preserve"> </w:t>
      </w:r>
      <w:r w:rsidR="00D44382">
        <w:t>anti-AQP4-IgG negative</w:t>
      </w:r>
      <w:r w:rsidR="00FF4C3E">
        <w:t xml:space="preserve"> subjects (</w:t>
      </w:r>
      <w:r>
        <w:t>HR 0.25 (</w:t>
      </w:r>
      <w:r w:rsidR="00FF4C3E">
        <w:t>95% CI: 0.12, 0.50: p &lt; 0.0001))</w:t>
      </w:r>
      <w:r>
        <w:t xml:space="preserve">. In comparison, HR was 0.97 (95% CI: 0.41, 2.33: p = 0.9540) for </w:t>
      </w:r>
      <w:r w:rsidR="00246728">
        <w:t>placebo</w:t>
      </w:r>
      <w:r>
        <w:t xml:space="preserve"> treated anti-AQP4 -IgG positive subjects </w:t>
      </w:r>
      <w:r w:rsidR="00246728">
        <w:t>versus</w:t>
      </w:r>
      <w:r>
        <w:t xml:space="preserve"> a</w:t>
      </w:r>
      <w:r w:rsidR="00FF4C3E">
        <w:t>nti-AQP4-IgG negative subjects.</w:t>
      </w:r>
    </w:p>
    <w:p w14:paraId="4A22965D" w14:textId="77777777" w:rsidR="00701BB6" w:rsidRDefault="00701BB6" w:rsidP="00701BB6">
      <w:r>
        <w:t>The subgroup results of the primary efficacy endpoint by ADA status (positive or negative) were inconsistent between individual studies. However, pooled results indicated there was a favourable treat</w:t>
      </w:r>
      <w:r w:rsidR="00FF4C3E">
        <w:t xml:space="preserve">ment effect of </w:t>
      </w:r>
      <w:proofErr w:type="spellStart"/>
      <w:r w:rsidR="00B842FA">
        <w:t>satralizumab</w:t>
      </w:r>
      <w:proofErr w:type="spellEnd"/>
      <w:r w:rsidR="00FF4C3E">
        <w:t xml:space="preserve"> treatment versus</w:t>
      </w:r>
      <w:r>
        <w:t xml:space="preserve"> </w:t>
      </w:r>
      <w:r w:rsidR="00246728">
        <w:t>placebo</w:t>
      </w:r>
      <w:r>
        <w:t xml:space="preserve"> treatment, irrespective of ADA status, albeit less favourable for ADA-positive subjects (HR 0.50) </w:t>
      </w:r>
      <w:r w:rsidR="00246728">
        <w:t>versus</w:t>
      </w:r>
      <w:r>
        <w:t xml:space="preserve"> ADA-negative subjects (HR 0.32).</w:t>
      </w:r>
    </w:p>
    <w:p w14:paraId="2BEF52B7" w14:textId="77777777" w:rsidR="00261975" w:rsidRDefault="00261975" w:rsidP="00261975">
      <w:pPr>
        <w:pStyle w:val="Heading7"/>
      </w:pPr>
      <w:r>
        <w:t>Conclusion and summary</w:t>
      </w:r>
    </w:p>
    <w:p w14:paraId="174503A9" w14:textId="77777777" w:rsidR="00261975" w:rsidRDefault="00261975" w:rsidP="00261975">
      <w:r>
        <w:t>The study design, conduct and analyses used i</w:t>
      </w:r>
      <w:r w:rsidR="006D6E50">
        <w:t xml:space="preserve">n the pivotal Phase III </w:t>
      </w:r>
      <w:proofErr w:type="gramStart"/>
      <w:r w:rsidR="006D6E50">
        <w:t xml:space="preserve">placebo </w:t>
      </w:r>
      <w:r>
        <w:t>controlled</w:t>
      </w:r>
      <w:proofErr w:type="gramEnd"/>
      <w:r>
        <w:t xml:space="preserve"> studies were generally acceptable and consistent with advice provided by the FDA and </w:t>
      </w:r>
      <w:r w:rsidR="006D6E50" w:rsidRPr="006D6E50">
        <w:t xml:space="preserve">European Medicines Agency </w:t>
      </w:r>
      <w:r w:rsidR="006D6E50">
        <w:t>(</w:t>
      </w:r>
      <w:r>
        <w:t>EMA</w:t>
      </w:r>
      <w:r w:rsidR="006D6E50">
        <w:t>)</w:t>
      </w:r>
      <w:r>
        <w:t>.</w:t>
      </w:r>
      <w:r w:rsidR="006D6E50">
        <w:t xml:space="preserve"> There was no Australian or TGA </w:t>
      </w:r>
      <w:r>
        <w:t>adopted Guideline for NMO and NMOSD.</w:t>
      </w:r>
    </w:p>
    <w:p w14:paraId="4DAA2151" w14:textId="77777777" w:rsidR="00261975" w:rsidRDefault="00261975" w:rsidP="00261975">
      <w:r>
        <w:t xml:space="preserve">The indication for </w:t>
      </w:r>
      <w:proofErr w:type="spellStart"/>
      <w:r w:rsidR="00B842FA">
        <w:t>satralizumab</w:t>
      </w:r>
      <w:proofErr w:type="spellEnd"/>
      <w:r>
        <w:t xml:space="preserve"> in subjects with NMO and NMOSD is based on</w:t>
      </w:r>
      <w:r w:rsidR="006D6E50">
        <w:t xml:space="preserve"> efficacy data from two placebo </w:t>
      </w:r>
      <w:r>
        <w:t>controlled pivotal P</w:t>
      </w:r>
      <w:r w:rsidR="006D6E50">
        <w:t>hase III clinical studies (Studies</w:t>
      </w:r>
      <w:r>
        <w:t xml:space="preserve"> BN40900 and BN40898).</w:t>
      </w:r>
    </w:p>
    <w:p w14:paraId="12CCFFBD" w14:textId="74E4BF7E" w:rsidR="00261975" w:rsidRDefault="00B842FA" w:rsidP="00261975">
      <w:proofErr w:type="spellStart"/>
      <w:r>
        <w:t>Satralizumab</w:t>
      </w:r>
      <w:proofErr w:type="spellEnd"/>
      <w:r w:rsidR="00261975">
        <w:t xml:space="preserve"> administered as monotherapy in Study BN40900 is likely to provide a more informative clinical baseline for efficacy (and </w:t>
      </w:r>
      <w:r w:rsidR="006D6E50">
        <w:t xml:space="preserve">safety) assessment than the add </w:t>
      </w:r>
      <w:r w:rsidR="00261975">
        <w:t xml:space="preserve">on study, since concomitant ISTs have potential to confound the effects of </w:t>
      </w:r>
      <w:proofErr w:type="spellStart"/>
      <w:r>
        <w:t>satralizumab</w:t>
      </w:r>
      <w:proofErr w:type="spellEnd"/>
      <w:r w:rsidR="00261975">
        <w:t xml:space="preserve">. This is reflected, in part, by inclusion of more subjects with </w:t>
      </w:r>
      <w:proofErr w:type="spellStart"/>
      <w:r>
        <w:t>satralizumab</w:t>
      </w:r>
      <w:proofErr w:type="spellEnd"/>
      <w:r w:rsidR="00261975">
        <w:t xml:space="preserve"> treatment in Study</w:t>
      </w:r>
      <w:r w:rsidR="00EC7463">
        <w:t> </w:t>
      </w:r>
      <w:r w:rsidR="00261975">
        <w:t>BN40900, to allow for absence of baseline therapies. Notwithstanding the differences in design, the magnitude and duration of the treatment effects in each study were comparable.</w:t>
      </w:r>
    </w:p>
    <w:p w14:paraId="5D7BAAEF" w14:textId="50BC2CBE" w:rsidR="00261975" w:rsidRDefault="00261975" w:rsidP="00261975">
      <w:r w:rsidRPr="00CA0440">
        <w:lastRenderedPageBreak/>
        <w:t xml:space="preserve">There were no validated endpoints to evaluate efficacy for the treatment of NMO or NMOSD at the time of the application. However, given that substantial disability can result from any relapse, and in order to reduce the potential risk associated with the use of </w:t>
      </w:r>
      <w:r w:rsidR="00246728">
        <w:t>placebo</w:t>
      </w:r>
      <w:r w:rsidRPr="00CA0440">
        <w:t xml:space="preserve">, a time-to-event outcome (that is TFR), instead of ARR, was chosen as the primary efficacy measure in both Studies BN40898 and BN40900. This was acceptable to both the FDA and </w:t>
      </w:r>
      <w:r w:rsidR="00CA0440" w:rsidRPr="00CA0440">
        <w:t>EMA. A</w:t>
      </w:r>
      <w:r w:rsidRPr="00CA0440">
        <w:t xml:space="preserve">lthough during scientific advice, the EMA stated that the analysis should be based on physician reported relapses </w:t>
      </w:r>
      <w:r w:rsidR="00CA0440" w:rsidRPr="00CA0440">
        <w:t>(or ‘clinical relapses’</w:t>
      </w:r>
      <w:r w:rsidRPr="00CA0440">
        <w:t xml:space="preserve">). </w:t>
      </w:r>
      <w:r w:rsidR="00CA0440" w:rsidRPr="00CA0440">
        <w:t>The s</w:t>
      </w:r>
      <w:r w:rsidRPr="00CA0440">
        <w:t>ponsor considered the primary analysis of CEC-adjudicated relapses ensured more consistent and independent assessment of relapses than clinical relapses. Hence, clinical relapses (and treated clinical relapses) were included as sensitivity analyses of protocol defined CEC</w:t>
      </w:r>
      <w:r w:rsidR="00EC7463">
        <w:noBreakHyphen/>
      </w:r>
      <w:r w:rsidRPr="00CA0440">
        <w:t xml:space="preserve">adjudicated relapses. </w:t>
      </w:r>
      <w:r w:rsidR="00CA0440" w:rsidRPr="00CA0440">
        <w:t>Both the Delegate and evaluator find</w:t>
      </w:r>
      <w:r w:rsidRPr="00CA0440">
        <w:t xml:space="preserve"> this approach </w:t>
      </w:r>
      <w:proofErr w:type="gramStart"/>
      <w:r w:rsidRPr="00CA0440">
        <w:t>acceptable, since</w:t>
      </w:r>
      <w:proofErr w:type="gramEnd"/>
      <w:r w:rsidRPr="00CA0440">
        <w:t xml:space="preserve"> the PDR analysis provided a more stringent measure of treatment effect than cli</w:t>
      </w:r>
      <w:r w:rsidR="00CA0440" w:rsidRPr="00CA0440">
        <w:t>nical relapse.</w:t>
      </w:r>
    </w:p>
    <w:p w14:paraId="6C597248" w14:textId="771427DF" w:rsidR="00261975" w:rsidRDefault="00261975" w:rsidP="00261975">
      <w:r>
        <w:t xml:space="preserve">Notwithstanding some notable differences in the design and population in both studies, and the relatively small numbers of subjects with NMOSD in each study, there was general agreement between studies for the primary efficacy endpoint. Statistical superiority and clinically meaningful reductions were demonstrated in the time to first relapse for </w:t>
      </w:r>
      <w:proofErr w:type="spellStart"/>
      <w:r w:rsidR="00B842FA">
        <w:t>satralizumab</w:t>
      </w:r>
      <w:proofErr w:type="spellEnd"/>
      <w:r>
        <w:t xml:space="preserve"> treatments compared to </w:t>
      </w:r>
      <w:r w:rsidR="00246728">
        <w:t>placebo</w:t>
      </w:r>
      <w:r>
        <w:t xml:space="preserve"> treatment, sustained over 96 weeks, in a broad population of NMO (mostly) and NMOSD subjects, as monotherapy (</w:t>
      </w:r>
      <w:r w:rsidR="00CA0440">
        <w:t>Study</w:t>
      </w:r>
      <w:r w:rsidR="00EC7463">
        <w:t> </w:t>
      </w:r>
      <w:r>
        <w:t>BN40900) and as adjunctive treatment with ISTs (</w:t>
      </w:r>
      <w:r w:rsidR="00CA0440">
        <w:t xml:space="preserve">Study </w:t>
      </w:r>
      <w:r>
        <w:t>BN40898). These findings were generally supported by the results from the sensitivity analyses of the primary efficacy endpoint. However, key secondary efficacy endpoints were not met in each Phase</w:t>
      </w:r>
      <w:r w:rsidR="00EC7463">
        <w:t> </w:t>
      </w:r>
      <w:r>
        <w:t xml:space="preserve">III study. Also, there were generally no clinically meaningful differences between </w:t>
      </w:r>
      <w:proofErr w:type="spellStart"/>
      <w:r w:rsidR="00B842FA">
        <w:t>satralizumab</w:t>
      </w:r>
      <w:proofErr w:type="spellEnd"/>
      <w:r>
        <w:t xml:space="preserve"> and </w:t>
      </w:r>
      <w:r w:rsidR="00246728">
        <w:t>placebo</w:t>
      </w:r>
      <w:r>
        <w:t xml:space="preserve"> treatments in the minor efficacy analyses.</w:t>
      </w:r>
    </w:p>
    <w:p w14:paraId="3E821DBB" w14:textId="77777777" w:rsidR="00261975" w:rsidRDefault="00261975" w:rsidP="00261975">
      <w:r>
        <w:t xml:space="preserve">Randomisation was stratified by first episode (first attack or relapse) within 12 months before screening in Study BN40900, to follow treatment with </w:t>
      </w:r>
      <w:proofErr w:type="spellStart"/>
      <w:r w:rsidR="00B842FA">
        <w:t>satralizumab</w:t>
      </w:r>
      <w:proofErr w:type="spellEnd"/>
      <w:r>
        <w:t xml:space="preserve"> at an earlier stage of disease than in Study BN40898 without such stratification. However, this subgroup of subjects did not appear to obtain a clinically meaningful beneficial effect from </w:t>
      </w:r>
      <w:proofErr w:type="spellStart"/>
      <w:r w:rsidR="00B842FA">
        <w:t>satralizumab</w:t>
      </w:r>
      <w:proofErr w:type="spellEnd"/>
      <w:r>
        <w:t xml:space="preserve"> treatment.</w:t>
      </w:r>
    </w:p>
    <w:p w14:paraId="20BB663A" w14:textId="77777777" w:rsidR="00261975" w:rsidRDefault="00631614" w:rsidP="00261975">
      <w:r>
        <w:t>The Delegate agrees with evaluator that t</w:t>
      </w:r>
      <w:r w:rsidR="00261975">
        <w:t>his result outcome needs t</w:t>
      </w:r>
      <w:r w:rsidR="00CA0440">
        <w:t>o be interpreted with caution, s</w:t>
      </w:r>
      <w:r w:rsidR="00261975">
        <w:t>ince the number of subjects in th</w:t>
      </w:r>
      <w:r>
        <w:t xml:space="preserve">is subgroup category was small. It </w:t>
      </w:r>
      <w:r w:rsidR="00261975">
        <w:t xml:space="preserve">may reflect a problem with diagnosis of NMO and/or </w:t>
      </w:r>
      <w:proofErr w:type="gramStart"/>
      <w:r w:rsidR="00261975">
        <w:t>NMOSD, since</w:t>
      </w:r>
      <w:proofErr w:type="gramEnd"/>
      <w:r w:rsidR="00261975">
        <w:t xml:space="preserve"> there was no international consensus on diagnosis and management of NMOSD a</w:t>
      </w:r>
      <w:r>
        <w:t xml:space="preserve">t the time of the application. It </w:t>
      </w:r>
      <w:r w:rsidR="00261975">
        <w:t xml:space="preserve">revealed furthermore, that when the sample size was increased in </w:t>
      </w:r>
      <w:r>
        <w:t xml:space="preserve">Study </w:t>
      </w:r>
      <w:r w:rsidR="00261975">
        <w:t xml:space="preserve">BN40900, with proportionately more subjects who had had a first attack being </w:t>
      </w:r>
      <w:r w:rsidR="006D6E50">
        <w:t>enrolled,</w:t>
      </w:r>
      <w:r w:rsidR="00261975">
        <w:t xml:space="preserve"> a </w:t>
      </w:r>
      <w:r w:rsidR="00261975" w:rsidRPr="00F96A4D">
        <w:rPr>
          <w:i/>
        </w:rPr>
        <w:t>post hoc</w:t>
      </w:r>
      <w:r w:rsidR="00261975">
        <w:t xml:space="preserve"> analysis did not find a clinically meaningful difference in estimation of the HRs, before and after </w:t>
      </w:r>
      <w:r>
        <w:t>protocol amendment</w:t>
      </w:r>
      <w:r w:rsidR="00261975">
        <w:t>, in</w:t>
      </w:r>
      <w:r>
        <w:t xml:space="preserve"> Study BN40900.</w:t>
      </w:r>
    </w:p>
    <w:p w14:paraId="504D89FF" w14:textId="12039D59" w:rsidR="002A4440" w:rsidRDefault="00261975" w:rsidP="00261975">
      <w:pPr>
        <w:rPr>
          <w:highlight w:val="yellow"/>
        </w:rPr>
      </w:pPr>
      <w:r w:rsidRPr="002A4440">
        <w:t>Study entry criteria, randomisation and the blinding methods used, sample size calculations and SAPs were generally acceptable. However, the selection of adolescents into either adjunc</w:t>
      </w:r>
      <w:r w:rsidR="00631614" w:rsidRPr="002A4440">
        <w:t>tive treatment S</w:t>
      </w:r>
      <w:r w:rsidRPr="002A4440">
        <w:t>tudy BN</w:t>
      </w:r>
      <w:r w:rsidR="00631614" w:rsidRPr="002A4440">
        <w:t>40898 or monotherapy treatment S</w:t>
      </w:r>
      <w:r w:rsidRPr="002A4440">
        <w:t>tudy</w:t>
      </w:r>
      <w:r w:rsidR="00EC7463">
        <w:t> </w:t>
      </w:r>
      <w:r w:rsidRPr="002A4440">
        <w:t>BN4090</w:t>
      </w:r>
      <w:r w:rsidR="001B3021">
        <w:t>0 or inclusion in a variety of paediatric investigational p</w:t>
      </w:r>
      <w:r w:rsidRPr="002A4440">
        <w:t>lan tria</w:t>
      </w:r>
      <w:r w:rsidR="001B3021">
        <w:t>l designs, is unclear from the paediatric investigational plan r</w:t>
      </w:r>
      <w:r w:rsidRPr="002A4440">
        <w:t xml:space="preserve">eport. </w:t>
      </w:r>
      <w:r w:rsidR="002A4440" w:rsidRPr="002A4440">
        <w:t>The clinical evaluator has request clarification from sponsor with regards to why adolescent subjects (aged 12 to 17 years, inclusive) were a) only recruited into the add</w:t>
      </w:r>
      <w:r w:rsidR="002A4440">
        <w:t>-on Phase III</w:t>
      </w:r>
      <w:r w:rsidR="002A4440" w:rsidRPr="002A4440">
        <w:t xml:space="preserve"> </w:t>
      </w:r>
      <w:r w:rsidR="002A4440">
        <w:t xml:space="preserve">Study </w:t>
      </w:r>
      <w:r w:rsidR="002A4440" w:rsidRPr="002A4440">
        <w:t>BN40898</w:t>
      </w:r>
      <w:r w:rsidR="002A4440">
        <w:t xml:space="preserve">, and not into the monotherapy Study </w:t>
      </w:r>
      <w:r w:rsidR="002A4440" w:rsidRPr="002A4440">
        <w:t xml:space="preserve">BN40900; and b) should be approved to receive </w:t>
      </w:r>
      <w:proofErr w:type="spellStart"/>
      <w:r w:rsidR="002A4440" w:rsidRPr="002A4440">
        <w:t>satralizumab</w:t>
      </w:r>
      <w:proofErr w:type="spellEnd"/>
      <w:r w:rsidR="002A4440" w:rsidRPr="002A4440">
        <w:t xml:space="preserve"> as monotherapy.</w:t>
      </w:r>
      <w:r w:rsidR="002A4440">
        <w:t xml:space="preserve"> The sponsor has submitted their response (not in scope of this </w:t>
      </w:r>
      <w:proofErr w:type="spellStart"/>
      <w:r w:rsidR="002A4440">
        <w:t>AusPAR</w:t>
      </w:r>
      <w:proofErr w:type="spellEnd"/>
      <w:r w:rsidR="002A4440">
        <w:t>) and the clinical evaluator agrees that sponsor response is acceptable. T</w:t>
      </w:r>
      <w:r w:rsidR="00C036A4">
        <w:t>he s</w:t>
      </w:r>
      <w:r w:rsidR="002A4440" w:rsidRPr="002A4440">
        <w:t xml:space="preserve">ponsor provided detailed justification to support the use of </w:t>
      </w:r>
      <w:proofErr w:type="spellStart"/>
      <w:r w:rsidR="002A4440" w:rsidRPr="002A4440">
        <w:t>satra</w:t>
      </w:r>
      <w:r w:rsidR="001B3021">
        <w:t>lizumab</w:t>
      </w:r>
      <w:proofErr w:type="spellEnd"/>
      <w:r w:rsidR="001B3021">
        <w:t xml:space="preserve"> as monotherapy (and add </w:t>
      </w:r>
      <w:r w:rsidR="002A4440" w:rsidRPr="002A4440">
        <w:t xml:space="preserve">on therapy) in adolescents aged 12 to 17 years, inclusive, with NMOSD, based on similar efficacy and safety profiles between adults and adolescents. In addition, the PK profiles between these age groups were similar. The justification provided is generally acceptable. There were insufficient numbers of study participants to fully assess efficacy and safety by </w:t>
      </w:r>
      <w:r w:rsidR="002A4440" w:rsidRPr="002A4440">
        <w:lastRenderedPageBreak/>
        <w:t xml:space="preserve">Anti-AQP4-IgG status in adolescents. However, from the evidence provided in the clinical dossier for adults it appears reasonable to assume that adolescent patients who are Anti-AQP4-IgG seropositive are also likely to benefit from </w:t>
      </w:r>
      <w:proofErr w:type="spellStart"/>
      <w:r w:rsidR="002A4440" w:rsidRPr="002A4440">
        <w:t>satralizumab</w:t>
      </w:r>
      <w:proofErr w:type="spellEnd"/>
      <w:r w:rsidR="002A4440" w:rsidRPr="002A4440">
        <w:t xml:space="preserve"> treatment.</w:t>
      </w:r>
    </w:p>
    <w:p w14:paraId="49B3EE0D" w14:textId="77777777" w:rsidR="001A0D9E" w:rsidRPr="00970CAA" w:rsidRDefault="001A0D9E" w:rsidP="001A0D9E">
      <w:pPr>
        <w:rPr>
          <w:lang w:eastAsia="ja-JP"/>
        </w:rPr>
      </w:pPr>
      <w:r>
        <w:t xml:space="preserve">The clinical evaluator has request further clarification from sponsor with regards to </w:t>
      </w:r>
      <w:r>
        <w:rPr>
          <w:lang w:eastAsia="ja-JP"/>
        </w:rPr>
        <w:t xml:space="preserve">comparative efficacy results between elderly subjects (aged 65 years and older) and younger adults (aged between 18 and 64 years, inclusive) for </w:t>
      </w:r>
      <w:r w:rsidRPr="00970CAA">
        <w:rPr>
          <w:rFonts w:eastAsiaTheme="minorHAnsi" w:cs="Arial"/>
        </w:rPr>
        <w:t xml:space="preserve">the primary efficacy endpoint </w:t>
      </w:r>
      <w:r>
        <w:rPr>
          <w:rFonts w:eastAsiaTheme="minorHAnsi" w:cs="Arial"/>
        </w:rPr>
        <w:t>in the Phase III clinical studies.</w:t>
      </w:r>
      <w:r w:rsidR="00EA472E" w:rsidRPr="00EA472E">
        <w:rPr>
          <w:lang w:eastAsia="ja-JP"/>
        </w:rPr>
        <w:t xml:space="preserve"> </w:t>
      </w:r>
      <w:r w:rsidR="00EA472E">
        <w:rPr>
          <w:lang w:eastAsia="ja-JP"/>
        </w:rPr>
        <w:t xml:space="preserve">The sponsor submitted further information and data (not in scope of this </w:t>
      </w:r>
      <w:proofErr w:type="spellStart"/>
      <w:r w:rsidR="00EA472E">
        <w:rPr>
          <w:lang w:eastAsia="ja-JP"/>
        </w:rPr>
        <w:t>AusPAR</w:t>
      </w:r>
      <w:proofErr w:type="spellEnd"/>
      <w:r w:rsidR="00EA472E">
        <w:rPr>
          <w:lang w:eastAsia="ja-JP"/>
        </w:rPr>
        <w:t xml:space="preserve">) and agrees that the sponsor’s response was generally acceptable. The data provided generally supported the use of </w:t>
      </w:r>
      <w:proofErr w:type="spellStart"/>
      <w:r w:rsidR="00EA472E">
        <w:rPr>
          <w:lang w:eastAsia="ja-JP"/>
        </w:rPr>
        <w:t>satralizumab</w:t>
      </w:r>
      <w:proofErr w:type="spellEnd"/>
      <w:r w:rsidR="00EA472E">
        <w:rPr>
          <w:lang w:eastAsia="ja-JP"/>
        </w:rPr>
        <w:t xml:space="preserve"> for an elderly population (aged 65 to 74 years</w:t>
      </w:r>
      <w:r w:rsidR="00C036A4">
        <w:rPr>
          <w:lang w:eastAsia="ja-JP"/>
        </w:rPr>
        <w:t xml:space="preserve"> old</w:t>
      </w:r>
      <w:r w:rsidR="00EA472E">
        <w:rPr>
          <w:lang w:eastAsia="ja-JP"/>
        </w:rPr>
        <w:t>) for the revised proposed indication, albeit the number of elderly subjects was too small to draw meaningful conclusions.</w:t>
      </w:r>
    </w:p>
    <w:p w14:paraId="16C05093" w14:textId="77777777" w:rsidR="00261975" w:rsidRDefault="00261975" w:rsidP="00261975">
      <w:r>
        <w:t>Results for the primary efficacy analysi</w:t>
      </w:r>
      <w:r w:rsidR="00EA472E">
        <w:t>s in the individual and pooled P</w:t>
      </w:r>
      <w:r>
        <w:t xml:space="preserve">hase III studies consistently demonstrated a statistically significant and clinically meaningful difference in treatment effect, which favoured </w:t>
      </w:r>
      <w:proofErr w:type="spellStart"/>
      <w:r w:rsidR="00B842FA">
        <w:t>satralizumab</w:t>
      </w:r>
      <w:proofErr w:type="spellEnd"/>
      <w:r>
        <w:t xml:space="preserve"> treatment over </w:t>
      </w:r>
      <w:r w:rsidR="00246728">
        <w:t>placebo</w:t>
      </w:r>
      <w:r>
        <w:t xml:space="preserve"> treatment, for adult subjects who were </w:t>
      </w:r>
      <w:r w:rsidR="00D44382">
        <w:t>anti-AQP4-IgG positive</w:t>
      </w:r>
      <w:r>
        <w:t>. No clinically meaningful treatment effect was apparent in subjects treat</w:t>
      </w:r>
      <w:r w:rsidR="00EA472E">
        <w:t xml:space="preserve">ed with </w:t>
      </w:r>
      <w:proofErr w:type="spellStart"/>
      <w:r w:rsidR="00B842FA">
        <w:t>satralizumab</w:t>
      </w:r>
      <w:proofErr w:type="spellEnd"/>
      <w:r w:rsidR="00EA472E">
        <w:t xml:space="preserve"> over </w:t>
      </w:r>
      <w:r w:rsidR="00246728">
        <w:t>placebo</w:t>
      </w:r>
      <w:r w:rsidR="00EA472E">
        <w:t xml:space="preserve"> in either P</w:t>
      </w:r>
      <w:r>
        <w:t xml:space="preserve">hase III study who were </w:t>
      </w:r>
      <w:r w:rsidR="00D44382">
        <w:t>anti-AQP4-IgG negative</w:t>
      </w:r>
      <w:r>
        <w:t>.</w:t>
      </w:r>
    </w:p>
    <w:p w14:paraId="6ADFE7CC" w14:textId="308DE098" w:rsidR="00261975" w:rsidRDefault="00261975" w:rsidP="00261975">
      <w:r>
        <w:t>A higher proportion of pooled ADA-positive subjects had a relapse event (30.6%) v</w:t>
      </w:r>
      <w:r w:rsidR="00EA472E">
        <w:t xml:space="preserve">ersus </w:t>
      </w:r>
      <w:r>
        <w:t xml:space="preserve">pooled ADA-negative </w:t>
      </w:r>
      <w:r w:rsidR="00EA472E">
        <w:t>subjects (19.0%), respectively.</w:t>
      </w:r>
      <w:r>
        <w:t xml:space="preserve"> </w:t>
      </w:r>
      <w:proofErr w:type="spellStart"/>
      <w:r w:rsidR="00DB3A65">
        <w:t>S</w:t>
      </w:r>
      <w:r w:rsidR="00B842FA">
        <w:t>atralizumab</w:t>
      </w:r>
      <w:proofErr w:type="spellEnd"/>
      <w:r w:rsidR="00EA472E">
        <w:t xml:space="preserve"> treated ADA-positive subjects </w:t>
      </w:r>
      <w:r>
        <w:t xml:space="preserve">experienced a 50% reduction in </w:t>
      </w:r>
      <w:r w:rsidR="00F96A4D">
        <w:t>time to</w:t>
      </w:r>
      <w:r>
        <w:t xml:space="preserve"> relapse (HR 0.50) compared with </w:t>
      </w:r>
      <w:r w:rsidR="00246728">
        <w:t>placebo</w:t>
      </w:r>
      <w:r>
        <w:t xml:space="preserve"> treatment, while </w:t>
      </w:r>
      <w:proofErr w:type="spellStart"/>
      <w:r w:rsidR="00B842FA">
        <w:t>satralizumab</w:t>
      </w:r>
      <w:proofErr w:type="spellEnd"/>
      <w:r>
        <w:t xml:space="preserve"> treated ADA-negative subjects experienced a 32% reduction in </w:t>
      </w:r>
      <w:r w:rsidR="00685DB6">
        <w:t xml:space="preserve">time to </w:t>
      </w:r>
      <w:r>
        <w:t xml:space="preserve">relapse (HR 0.32) compared with </w:t>
      </w:r>
      <w:r w:rsidR="00246728">
        <w:t>placebo</w:t>
      </w:r>
      <w:r>
        <w:t xml:space="preserve"> treatment. The latter indicated a</w:t>
      </w:r>
      <w:r w:rsidR="00DB3A65">
        <w:t xml:space="preserve"> reduction of</w:t>
      </w:r>
      <w:r>
        <w:t xml:space="preserve"> 18% </w:t>
      </w:r>
      <w:r w:rsidR="00DB3A65">
        <w:t>percentage points of relapse</w:t>
      </w:r>
      <w:r>
        <w:t xml:space="preserve"> in ADA-negative subjects compared with ADA-positive subjects</w:t>
      </w:r>
      <w:r w:rsidR="00DB3A65">
        <w:t xml:space="preserve"> </w:t>
      </w:r>
      <w:proofErr w:type="gramStart"/>
      <w:r w:rsidR="00DB3A65" w:rsidRPr="00DB3A65">
        <w:t>in refere</w:t>
      </w:r>
      <w:r w:rsidR="00F96A4D">
        <w:t>nce to</w:t>
      </w:r>
      <w:proofErr w:type="gramEnd"/>
      <w:r w:rsidR="00F96A4D">
        <w:t xml:space="preserve"> placebo treated patients</w:t>
      </w:r>
      <w:r>
        <w:t xml:space="preserve">. </w:t>
      </w:r>
      <w:r w:rsidR="00EA472E">
        <w:t>The Delegate commented that t</w:t>
      </w:r>
      <w:r>
        <w:t xml:space="preserve">he plausibility exists that the presence of ADA alone may be sufficient to account for the observed relapse rate difference in ADA-positive subjects compared to ADA-negative subjects without the need, to postulate the presence of </w:t>
      </w:r>
      <w:r w:rsidR="00C036A4">
        <w:t>neutralis</w:t>
      </w:r>
      <w:r w:rsidR="00C036A4" w:rsidRPr="00C036A4">
        <w:t>ing antibody (</w:t>
      </w:r>
      <w:proofErr w:type="spellStart"/>
      <w:r>
        <w:t>N</w:t>
      </w:r>
      <w:r w:rsidR="00C036A4">
        <w:t>A</w:t>
      </w:r>
      <w:r>
        <w:t>b</w:t>
      </w:r>
      <w:proofErr w:type="spellEnd"/>
      <w:r w:rsidR="00C036A4">
        <w:t>)</w:t>
      </w:r>
      <w:r>
        <w:t xml:space="preserve"> in ADA-positive subjects. Furthermore, based on pharmacologic principle, any </w:t>
      </w:r>
      <w:proofErr w:type="spellStart"/>
      <w:r>
        <w:t>NAb</w:t>
      </w:r>
      <w:proofErr w:type="spellEnd"/>
      <w:r>
        <w:t xml:space="preserve"> will be expected to equally affect both ADA-posi</w:t>
      </w:r>
      <w:r w:rsidR="00EA472E">
        <w:t>tive and ADA-negative subjects.</w:t>
      </w:r>
    </w:p>
    <w:p w14:paraId="2ACC797E" w14:textId="77777777" w:rsidR="00156826" w:rsidRDefault="00156826" w:rsidP="00156826">
      <w:pPr>
        <w:pStyle w:val="Heading4"/>
      </w:pPr>
      <w:bookmarkStart w:id="49" w:name="_Ref74753480"/>
      <w:r>
        <w:t>Safety</w:t>
      </w:r>
      <w:bookmarkEnd w:id="49"/>
    </w:p>
    <w:p w14:paraId="015D9E56" w14:textId="77777777" w:rsidR="00156826" w:rsidRDefault="00156826" w:rsidP="00156826">
      <w:pPr>
        <w:pStyle w:val="Heading5"/>
      </w:pPr>
      <w:r>
        <w:t>Adverse events</w:t>
      </w:r>
    </w:p>
    <w:p w14:paraId="7F8FE842" w14:textId="77777777" w:rsidR="00156826" w:rsidRDefault="00156826" w:rsidP="00156826">
      <w:pPr>
        <w:pStyle w:val="Heading6"/>
      </w:pPr>
      <w:r>
        <w:t>Integrated safety analysis</w:t>
      </w:r>
    </w:p>
    <w:p w14:paraId="4ECE33D2" w14:textId="6E202197" w:rsidR="00156826" w:rsidRDefault="00C036A4" w:rsidP="00156826">
      <w:r>
        <w:t>The System Organ C</w:t>
      </w:r>
      <w:r w:rsidR="00156826">
        <w:t xml:space="preserve">lasses (SOC) with the highest proportions of subjects reporting </w:t>
      </w:r>
      <w:r>
        <w:t>adverse events (</w:t>
      </w:r>
      <w:r w:rsidR="00156826">
        <w:t>AEs</w:t>
      </w:r>
      <w:r>
        <w:t>) in the P</w:t>
      </w:r>
      <w:r w:rsidR="00156826">
        <w:t>hase III studies were Infections and Infestations, Musculoskeletal and Connective Tissue Disorders and Gastrointestinal Disorders (</w:t>
      </w:r>
      <w:r w:rsidR="00156826">
        <w:fldChar w:fldCharType="begin"/>
      </w:r>
      <w:r w:rsidR="00156826">
        <w:instrText xml:space="preserve"> REF _Ref73534474 \h </w:instrText>
      </w:r>
      <w:r w:rsidR="00156826">
        <w:fldChar w:fldCharType="separate"/>
      </w:r>
      <w:r w:rsidR="009340CF" w:rsidRPr="00156826">
        <w:t xml:space="preserve">Table </w:t>
      </w:r>
      <w:r w:rsidR="009340CF">
        <w:rPr>
          <w:noProof/>
        </w:rPr>
        <w:t>10</w:t>
      </w:r>
      <w:r w:rsidR="00156826">
        <w:fldChar w:fldCharType="end"/>
      </w:r>
      <w:r w:rsidR="00156826">
        <w:t xml:space="preserve">). Overall AE incidence in the pooled analysis in the phase III studies was similar between the </w:t>
      </w:r>
      <w:proofErr w:type="spellStart"/>
      <w:r w:rsidR="00B842FA">
        <w:t>satralizumab</w:t>
      </w:r>
      <w:proofErr w:type="spellEnd"/>
      <w:r w:rsidR="00156826">
        <w:t xml:space="preserve"> and </w:t>
      </w:r>
      <w:r w:rsidR="00246728">
        <w:t>placebo</w:t>
      </w:r>
      <w:r w:rsidR="00156826">
        <w:t xml:space="preserve"> treatment groups.</w:t>
      </w:r>
    </w:p>
    <w:p w14:paraId="57A6F0CE" w14:textId="77777777" w:rsidR="00156826" w:rsidRDefault="00156826" w:rsidP="00156826">
      <w:r>
        <w:t xml:space="preserve">AEs reported with 5% or greater incidence with </w:t>
      </w:r>
      <w:proofErr w:type="spellStart"/>
      <w:r w:rsidR="00B842FA">
        <w:t>satralizumab</w:t>
      </w:r>
      <w:proofErr w:type="spellEnd"/>
      <w:r>
        <w:t xml:space="preserve"> treatment compared with </w:t>
      </w:r>
      <w:r w:rsidR="00246728">
        <w:t>placebo</w:t>
      </w:r>
      <w:r>
        <w:t xml:space="preserve"> treatment were: Arthralgia, headac</w:t>
      </w:r>
      <w:r w:rsidR="00C036A4">
        <w:t>he, nasopharyngitis, nausea, white blood cell</w:t>
      </w:r>
      <w:r w:rsidR="00C02267">
        <w:t xml:space="preserve"> (WBC)</w:t>
      </w:r>
      <w:r>
        <w:t xml:space="preserve"> count decreased and </w:t>
      </w:r>
      <w:proofErr w:type="spellStart"/>
      <w:r>
        <w:t>hypoaesthesia</w:t>
      </w:r>
      <w:proofErr w:type="spellEnd"/>
      <w:r>
        <w:t xml:space="preserve">. AEs reported with 5% or greater incidence with </w:t>
      </w:r>
      <w:r w:rsidR="00246728">
        <w:t>placebo</w:t>
      </w:r>
      <w:r>
        <w:t xml:space="preserve"> treatment compared with </w:t>
      </w:r>
      <w:proofErr w:type="spellStart"/>
      <w:r w:rsidR="00B842FA">
        <w:t>satralizumab</w:t>
      </w:r>
      <w:proofErr w:type="spellEnd"/>
      <w:r>
        <w:t xml:space="preserve"> treatment were: constipation and pyrexia.</w:t>
      </w:r>
    </w:p>
    <w:p w14:paraId="3A70EFCB" w14:textId="28DC1CDD" w:rsidR="00156826" w:rsidRPr="00156826" w:rsidRDefault="00156826" w:rsidP="00156826">
      <w:pPr>
        <w:pStyle w:val="TableTitle"/>
      </w:pPr>
      <w:bookmarkStart w:id="50" w:name="_Ref73534474"/>
      <w:r w:rsidRPr="00156826">
        <w:lastRenderedPageBreak/>
        <w:t xml:space="preserve">Table </w:t>
      </w:r>
      <w:fldSimple w:instr=" SEQ Table \* ARABIC ">
        <w:r w:rsidR="009340CF">
          <w:rPr>
            <w:noProof/>
          </w:rPr>
          <w:t>10</w:t>
        </w:r>
      </w:fldSimple>
      <w:bookmarkEnd w:id="50"/>
      <w:r w:rsidRPr="00156826">
        <w:t>:</w:t>
      </w:r>
      <w:r>
        <w:t xml:space="preserve"> Studies BN40900 and BN40898 </w:t>
      </w:r>
      <w:r w:rsidRPr="00156826">
        <w:t>Treatment-emergent adverse events irrespective of treatment with</w:t>
      </w:r>
      <w:r w:rsidR="002E7487">
        <w:t xml:space="preserve"> incidence ≥ 5% (pooled data; double blinded period; safety p</w:t>
      </w:r>
      <w:r w:rsidRPr="00156826">
        <w:t>opulation)</w:t>
      </w:r>
    </w:p>
    <w:p w14:paraId="19AC1A3C" w14:textId="15D79BB7" w:rsidR="00156826" w:rsidRDefault="00156826" w:rsidP="00156826">
      <w:r w:rsidRPr="00ED3E04">
        <w:rPr>
          <w:noProof/>
          <w:lang w:eastAsia="en-AU"/>
        </w:rPr>
        <w:drawing>
          <wp:inline distT="0" distB="0" distL="0" distR="0" wp14:anchorId="1C1D55D0" wp14:editId="2C71CAAE">
            <wp:extent cx="5400040" cy="6085066"/>
            <wp:effectExtent l="0" t="0" r="0" b="0"/>
            <wp:docPr id="129" name="Picture 129" descr="Studies BN40900 and BN40898 Treatment-emergent adverse events irrespective of treatment with incidence ≥ 5% (pooled data; double blinded period;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6085066"/>
                    </a:xfrm>
                    <a:prstGeom prst="rect">
                      <a:avLst/>
                    </a:prstGeom>
                    <a:noFill/>
                    <a:ln>
                      <a:noFill/>
                    </a:ln>
                  </pic:spPr>
                </pic:pic>
              </a:graphicData>
            </a:graphic>
          </wp:inline>
        </w:drawing>
      </w:r>
    </w:p>
    <w:p w14:paraId="54D95AA1" w14:textId="7087AADE" w:rsidR="00EC7463" w:rsidRDefault="00EC7463" w:rsidP="00F96A4D">
      <w:pPr>
        <w:pStyle w:val="TableDescription"/>
      </w:pPr>
      <w:r>
        <w:t>TEAE = treatment emergent adverse effect.</w:t>
      </w:r>
    </w:p>
    <w:p w14:paraId="7A774151" w14:textId="77777777" w:rsidR="00156826" w:rsidRPr="00073FEC" w:rsidRDefault="00156826" w:rsidP="003D7E2F">
      <w:pPr>
        <w:pStyle w:val="Heading6"/>
      </w:pPr>
      <w:r w:rsidRPr="00073FEC">
        <w:t>Pivotal and/or main efficacy studies</w:t>
      </w:r>
    </w:p>
    <w:p w14:paraId="4C11B23E" w14:textId="193CAB83" w:rsidR="00156826" w:rsidRPr="00944D5A" w:rsidRDefault="00156826" w:rsidP="00156826">
      <w:pPr>
        <w:rPr>
          <w:lang w:eastAsia="ja-JP"/>
        </w:rPr>
      </w:pPr>
      <w:r w:rsidRPr="00F96A4D">
        <w:rPr>
          <w:i/>
          <w:lang w:eastAsia="ja-JP"/>
        </w:rPr>
        <w:t>Study BN40900</w:t>
      </w:r>
      <w:r w:rsidRPr="00944D5A">
        <w:rPr>
          <w:lang w:eastAsia="ja-JP"/>
        </w:rPr>
        <w:t xml:space="preserve">: </w:t>
      </w:r>
      <w:r w:rsidRPr="00944D5A">
        <w:rPr>
          <w:rFonts w:eastAsiaTheme="minorHAnsi" w:cs="TimesNewRoman"/>
        </w:rPr>
        <w:t xml:space="preserve">SOCs with the highest proportions of subjects reporting AEs </w:t>
      </w:r>
      <w:r w:rsidRPr="00944D5A">
        <w:rPr>
          <w:lang w:eastAsia="ja-JP"/>
        </w:rPr>
        <w:t xml:space="preserve">were </w:t>
      </w:r>
      <w:r>
        <w:rPr>
          <w:lang w:eastAsia="ja-JP"/>
        </w:rPr>
        <w:t xml:space="preserve">generally consistent with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sidRPr="00944D5A">
        <w:rPr>
          <w:lang w:eastAsia="ja-JP"/>
        </w:rPr>
        <w:t xml:space="preserve">. In contrast, subjects in the </w:t>
      </w:r>
      <w:proofErr w:type="spellStart"/>
      <w:r w:rsidR="00B842FA">
        <w:rPr>
          <w:lang w:eastAsia="ja-JP"/>
        </w:rPr>
        <w:t>satralizumab</w:t>
      </w:r>
      <w:proofErr w:type="spellEnd"/>
      <w:r w:rsidRPr="00944D5A">
        <w:rPr>
          <w:lang w:eastAsia="ja-JP"/>
        </w:rPr>
        <w:t xml:space="preserve"> group (92.1%; n = 58) had higher overall AE incidence compared with the </w:t>
      </w:r>
      <w:r w:rsidR="00246728">
        <w:rPr>
          <w:lang w:eastAsia="ja-JP"/>
        </w:rPr>
        <w:t>placebo</w:t>
      </w:r>
      <w:r w:rsidRPr="00944D5A">
        <w:rPr>
          <w:lang w:eastAsia="ja-JP"/>
        </w:rPr>
        <w:t xml:space="preserve"> group (75.0%; n = 24).</w:t>
      </w:r>
    </w:p>
    <w:p w14:paraId="5DEFCB10" w14:textId="4F04D0B9" w:rsidR="00156826" w:rsidRPr="00944D5A" w:rsidRDefault="00156826" w:rsidP="00156826">
      <w:pPr>
        <w:rPr>
          <w:lang w:eastAsia="ja-JP"/>
        </w:rPr>
      </w:pPr>
      <w:r w:rsidRPr="00944D5A">
        <w:rPr>
          <w:rFonts w:eastAsiaTheme="minorHAnsi" w:cs="TimesNewRoman"/>
        </w:rPr>
        <w:t xml:space="preserve">AEs reported with 5% or greater incidence with </w:t>
      </w:r>
      <w:proofErr w:type="spellStart"/>
      <w:r w:rsidR="00B842FA">
        <w:rPr>
          <w:rFonts w:eastAsiaTheme="minorHAnsi" w:cs="TimesNewRoman"/>
        </w:rPr>
        <w:t>satralizumab</w:t>
      </w:r>
      <w:proofErr w:type="spellEnd"/>
      <w:r w:rsidRPr="00944D5A">
        <w:rPr>
          <w:rFonts w:eastAsiaTheme="minorHAnsi" w:cs="TimesNewRoman"/>
        </w:rPr>
        <w:t xml:space="preserve"> treatment compared with </w:t>
      </w:r>
      <w:r w:rsidR="00246728">
        <w:rPr>
          <w:rFonts w:eastAsiaTheme="minorHAnsi" w:cs="TimesNewRoman"/>
        </w:rPr>
        <w:t>placebo</w:t>
      </w:r>
      <w:r w:rsidRPr="00944D5A">
        <w:rPr>
          <w:rFonts w:eastAsiaTheme="minorHAnsi" w:cs="TimesNewRoman"/>
        </w:rPr>
        <w:t xml:space="preserve"> treatment were generally </w:t>
      </w:r>
      <w:r w:rsidR="00C02267">
        <w:rPr>
          <w:rFonts w:eastAsiaTheme="minorHAnsi" w:cs="TimesNewRoman"/>
        </w:rPr>
        <w:t>consistent with the individual Preferred T</w:t>
      </w:r>
      <w:r w:rsidRPr="00944D5A">
        <w:rPr>
          <w:rFonts w:eastAsiaTheme="minorHAnsi" w:cs="TimesNewRoman"/>
        </w:rPr>
        <w:t>erms (PTs) in</w:t>
      </w:r>
      <w:r>
        <w:rPr>
          <w:rFonts w:eastAsiaTheme="minorHAnsi" w:cs="TimesNewRoman"/>
        </w:rPr>
        <w:t xml:space="preserve"> </w:t>
      </w:r>
      <w:r>
        <w:rPr>
          <w:rFonts w:eastAsiaTheme="minorHAnsi" w:cs="TimesNewRoman"/>
        </w:rPr>
        <w:fldChar w:fldCharType="begin"/>
      </w:r>
      <w:r>
        <w:rPr>
          <w:rFonts w:eastAsiaTheme="minorHAnsi" w:cs="TimesNewRoman"/>
        </w:rPr>
        <w:instrText xml:space="preserve"> REF _Ref73534474 \h </w:instrText>
      </w:r>
      <w:r>
        <w:rPr>
          <w:rFonts w:eastAsiaTheme="minorHAnsi" w:cs="TimesNewRoman"/>
        </w:rPr>
      </w:r>
      <w:r>
        <w:rPr>
          <w:rFonts w:eastAsiaTheme="minorHAnsi" w:cs="TimesNewRoman"/>
        </w:rPr>
        <w:fldChar w:fldCharType="separate"/>
      </w:r>
      <w:r w:rsidR="009340CF" w:rsidRPr="00156826">
        <w:t xml:space="preserve">Table </w:t>
      </w:r>
      <w:r w:rsidR="009340CF">
        <w:rPr>
          <w:noProof/>
        </w:rPr>
        <w:t>10</w:t>
      </w:r>
      <w:r>
        <w:rPr>
          <w:rFonts w:eastAsiaTheme="minorHAnsi" w:cs="TimesNewRoman"/>
        </w:rPr>
        <w:fldChar w:fldCharType="end"/>
      </w:r>
      <w:r w:rsidRPr="00944D5A">
        <w:rPr>
          <w:rFonts w:eastAsiaTheme="minorHAnsi" w:cs="TimesNewRoman"/>
        </w:rPr>
        <w:t xml:space="preserve">: </w:t>
      </w:r>
      <w:r w:rsidRPr="00944D5A">
        <w:rPr>
          <w:lang w:eastAsia="ja-JP"/>
        </w:rPr>
        <w:t xml:space="preserve">arthralgia, nasopharyngitis, rash and nausea, pruritis, headache and WBC count decreased, depression, bronchitis, constipation, migraine, oedema peripheral, </w:t>
      </w:r>
      <w:r w:rsidR="00C02267">
        <w:rPr>
          <w:lang w:eastAsia="ja-JP"/>
        </w:rPr>
        <w:t>alanine a</w:t>
      </w:r>
      <w:r w:rsidR="00C02267" w:rsidRPr="00C02267">
        <w:rPr>
          <w:lang w:eastAsia="ja-JP"/>
        </w:rPr>
        <w:t xml:space="preserve">minotransferase </w:t>
      </w:r>
      <w:r w:rsidRPr="00944D5A">
        <w:rPr>
          <w:lang w:eastAsia="ja-JP"/>
        </w:rPr>
        <w:t>increased, musculoskeletal pain and musculoskeletal stiffness.</w:t>
      </w:r>
    </w:p>
    <w:p w14:paraId="534E1D25" w14:textId="7468CA1D" w:rsidR="00156826" w:rsidRPr="00944D5A" w:rsidRDefault="00156826" w:rsidP="00156826">
      <w:pPr>
        <w:rPr>
          <w:lang w:eastAsia="ja-JP"/>
        </w:rPr>
      </w:pPr>
      <w:r w:rsidRPr="00944D5A">
        <w:rPr>
          <w:rFonts w:eastAsiaTheme="minorHAnsi" w:cs="TimesNewRoman"/>
        </w:rPr>
        <w:lastRenderedPageBreak/>
        <w:t xml:space="preserve">AEs reported with 5% or greater incidence with </w:t>
      </w:r>
      <w:r w:rsidR="00246728">
        <w:rPr>
          <w:rFonts w:eastAsiaTheme="minorHAnsi" w:cs="TimesNewRoman"/>
        </w:rPr>
        <w:t>placebo</w:t>
      </w:r>
      <w:r w:rsidRPr="00944D5A">
        <w:rPr>
          <w:rFonts w:eastAsiaTheme="minorHAnsi" w:cs="TimesNewRoman"/>
        </w:rPr>
        <w:t xml:space="preserve"> treatment compared with </w:t>
      </w:r>
      <w:proofErr w:type="spellStart"/>
      <w:r w:rsidR="00B842FA">
        <w:rPr>
          <w:rFonts w:eastAsiaTheme="minorHAnsi" w:cs="TimesNewRoman"/>
        </w:rPr>
        <w:t>satralizumab</w:t>
      </w:r>
      <w:proofErr w:type="spellEnd"/>
      <w:r w:rsidRPr="00944D5A">
        <w:rPr>
          <w:rFonts w:eastAsiaTheme="minorHAnsi" w:cs="TimesNewRoman"/>
        </w:rPr>
        <w:t xml:space="preserve"> treatment were: </w:t>
      </w:r>
      <w:r w:rsidR="00C02267" w:rsidRPr="00C02267">
        <w:rPr>
          <w:rFonts w:eastAsiaTheme="minorHAnsi" w:cs="TimesNewRoman"/>
        </w:rPr>
        <w:t>urinary tract infection</w:t>
      </w:r>
      <w:r w:rsidR="00C02267">
        <w:rPr>
          <w:rFonts w:eastAsiaTheme="minorHAnsi" w:cs="TimesNewRoman"/>
        </w:rPr>
        <w:t xml:space="preserve"> (UTI)</w:t>
      </w:r>
      <w:r w:rsidRPr="00944D5A">
        <w:rPr>
          <w:lang w:eastAsia="ja-JP"/>
        </w:rPr>
        <w:t>, oral candidiasis, vision blurred and tooth abscess. These AEs were not generally consistent with those in</w:t>
      </w:r>
      <w:r>
        <w:rPr>
          <w:lang w:eastAsia="ja-JP"/>
        </w:rPr>
        <w:t xml:space="preserve">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sidRPr="00944D5A">
        <w:rPr>
          <w:lang w:eastAsia="ja-JP"/>
        </w:rPr>
        <w:t xml:space="preserve">. However, the number of AEs were too few to draw a meaningful </w:t>
      </w:r>
      <w:r>
        <w:rPr>
          <w:lang w:eastAsia="ja-JP"/>
        </w:rPr>
        <w:t xml:space="preserve">comparison with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sidRPr="00944D5A">
        <w:rPr>
          <w:lang w:eastAsia="ja-JP"/>
        </w:rPr>
        <w:t>.</w:t>
      </w:r>
    </w:p>
    <w:p w14:paraId="76C109B3" w14:textId="5B08BA60" w:rsidR="00156826" w:rsidRPr="00944D5A" w:rsidRDefault="00156826" w:rsidP="00156826">
      <w:pPr>
        <w:rPr>
          <w:lang w:eastAsia="ja-JP"/>
        </w:rPr>
      </w:pPr>
      <w:r w:rsidRPr="00F96A4D">
        <w:rPr>
          <w:i/>
          <w:lang w:eastAsia="ja-JP"/>
        </w:rPr>
        <w:t>Study BN40898</w:t>
      </w:r>
      <w:r w:rsidR="00C02267" w:rsidRPr="00F96A4D">
        <w:rPr>
          <w:i/>
          <w:lang w:eastAsia="ja-JP"/>
        </w:rPr>
        <w:t>:</w:t>
      </w:r>
      <w:r w:rsidR="00C02267">
        <w:rPr>
          <w:lang w:eastAsia="ja-JP"/>
        </w:rPr>
        <w:t xml:space="preserve"> While i</w:t>
      </w:r>
      <w:r w:rsidRPr="00944D5A">
        <w:rPr>
          <w:lang w:eastAsia="ja-JP"/>
        </w:rPr>
        <w:t>nfections a</w:t>
      </w:r>
      <w:r w:rsidR="00C02267">
        <w:rPr>
          <w:lang w:eastAsia="ja-JP"/>
        </w:rPr>
        <w:t>nd i</w:t>
      </w:r>
      <w:r w:rsidRPr="00944D5A">
        <w:rPr>
          <w:lang w:eastAsia="ja-JP"/>
        </w:rPr>
        <w:t xml:space="preserve">nfestations SOC had the highest proportion of AEs (68.3%), which was higher than in </w:t>
      </w:r>
      <w:r w:rsidR="00C02267">
        <w:rPr>
          <w:lang w:eastAsia="ja-JP"/>
        </w:rPr>
        <w:t xml:space="preserve">Study </w:t>
      </w:r>
      <w:r w:rsidRPr="00944D5A">
        <w:rPr>
          <w:lang w:eastAsia="ja-JP"/>
        </w:rPr>
        <w:t>BN40900 (54.0%) and</w:t>
      </w:r>
      <w:r>
        <w:rPr>
          <w:lang w:eastAsia="ja-JP"/>
        </w:rPr>
        <w:t xml:space="preserve">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sidR="00C02267">
        <w:rPr>
          <w:lang w:eastAsia="ja-JP"/>
        </w:rPr>
        <w:t>, investigations and blood and lymphatic s</w:t>
      </w:r>
      <w:r w:rsidRPr="00944D5A">
        <w:rPr>
          <w:lang w:eastAsia="ja-JP"/>
        </w:rPr>
        <w:t xml:space="preserve">ystems disorders SOCs had higher proportions of AEs (both 36.6%) than in </w:t>
      </w:r>
      <w:r>
        <w:rPr>
          <w:lang w:eastAsia="ja-JP"/>
        </w:rPr>
        <w:t xml:space="preserve">Study </w:t>
      </w:r>
      <w:r w:rsidRPr="00944D5A">
        <w:rPr>
          <w:lang w:eastAsia="ja-JP"/>
        </w:rPr>
        <w:t xml:space="preserve">BN40900 (23.8% and 25.4%, respectively) and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sidRPr="00944D5A">
        <w:rPr>
          <w:lang w:eastAsia="ja-JP"/>
        </w:rPr>
        <w:t>. These differences may, in part, be attributed by differences</w:t>
      </w:r>
      <w:r w:rsidR="00C02267">
        <w:rPr>
          <w:lang w:eastAsia="ja-JP"/>
        </w:rPr>
        <w:t xml:space="preserve"> in study design, including add </w:t>
      </w:r>
      <w:r w:rsidRPr="00944D5A">
        <w:rPr>
          <w:lang w:eastAsia="ja-JP"/>
        </w:rPr>
        <w:t xml:space="preserve">on </w:t>
      </w:r>
      <w:r>
        <w:rPr>
          <w:lang w:eastAsia="ja-JP"/>
        </w:rPr>
        <w:t>IST</w:t>
      </w:r>
      <w:r w:rsidRPr="00944D5A">
        <w:rPr>
          <w:lang w:eastAsia="ja-JP"/>
        </w:rPr>
        <w:t xml:space="preserve"> medicines in </w:t>
      </w:r>
      <w:r>
        <w:rPr>
          <w:lang w:eastAsia="ja-JP"/>
        </w:rPr>
        <w:t xml:space="preserve">Study </w:t>
      </w:r>
      <w:r w:rsidRPr="00944D5A">
        <w:rPr>
          <w:lang w:eastAsia="ja-JP"/>
        </w:rPr>
        <w:t xml:space="preserve">BN40898. </w:t>
      </w:r>
      <w:r w:rsidRPr="00944D5A">
        <w:rPr>
          <w:rFonts w:eastAsiaTheme="minorHAnsi" w:cs="TimesNewRoman"/>
        </w:rPr>
        <w:t xml:space="preserve">Overall AE incidence was similar between treatment groups in </w:t>
      </w:r>
      <w:r>
        <w:rPr>
          <w:rFonts w:eastAsiaTheme="minorHAnsi" w:cs="TimesNewRoman"/>
        </w:rPr>
        <w:t xml:space="preserve">Study </w:t>
      </w:r>
      <w:r w:rsidRPr="00944D5A">
        <w:rPr>
          <w:rFonts w:eastAsiaTheme="minorHAnsi" w:cs="TimesNewRoman"/>
        </w:rPr>
        <w:t xml:space="preserve">BN40898 </w:t>
      </w:r>
      <w:r w:rsidRPr="00944D5A">
        <w:rPr>
          <w:lang w:eastAsia="ja-JP"/>
        </w:rPr>
        <w:t>consistent with</w:t>
      </w:r>
      <w:r>
        <w:rPr>
          <w:lang w:eastAsia="ja-JP"/>
        </w:rPr>
        <w:t xml:space="preserve"> </w:t>
      </w:r>
      <w:r>
        <w:rPr>
          <w:lang w:eastAsia="ja-JP"/>
        </w:rPr>
        <w:fldChar w:fldCharType="begin"/>
      </w:r>
      <w:r>
        <w:rPr>
          <w:lang w:eastAsia="ja-JP"/>
        </w:rPr>
        <w:instrText xml:space="preserve"> REF _Ref73534474 \h </w:instrText>
      </w:r>
      <w:r>
        <w:rPr>
          <w:lang w:eastAsia="ja-JP"/>
        </w:rPr>
      </w:r>
      <w:r>
        <w:rPr>
          <w:lang w:eastAsia="ja-JP"/>
        </w:rPr>
        <w:fldChar w:fldCharType="separate"/>
      </w:r>
      <w:r w:rsidR="009340CF" w:rsidRPr="00156826">
        <w:t xml:space="preserve">Table </w:t>
      </w:r>
      <w:r w:rsidR="009340CF">
        <w:rPr>
          <w:noProof/>
        </w:rPr>
        <w:t>10</w:t>
      </w:r>
      <w:r>
        <w:rPr>
          <w:lang w:eastAsia="ja-JP"/>
        </w:rPr>
        <w:fldChar w:fldCharType="end"/>
      </w:r>
      <w:r>
        <w:rPr>
          <w:lang w:eastAsia="ja-JP"/>
        </w:rPr>
        <w:t>.</w:t>
      </w:r>
    </w:p>
    <w:p w14:paraId="669E227E" w14:textId="561DF3C1" w:rsidR="00156826" w:rsidRPr="00944D5A" w:rsidRDefault="00156826" w:rsidP="00156826">
      <w:pPr>
        <w:rPr>
          <w:lang w:eastAsia="ja-JP"/>
        </w:rPr>
      </w:pPr>
      <w:r w:rsidRPr="00944D5A">
        <w:rPr>
          <w:rFonts w:eastAsiaTheme="minorHAnsi" w:cs="TimesNewRoman"/>
        </w:rPr>
        <w:t xml:space="preserve">AEs reported with 5% or greater incidence with </w:t>
      </w:r>
      <w:proofErr w:type="spellStart"/>
      <w:r w:rsidR="00B842FA">
        <w:rPr>
          <w:rFonts w:eastAsiaTheme="minorHAnsi" w:cs="TimesNewRoman"/>
        </w:rPr>
        <w:t>satralizumab</w:t>
      </w:r>
      <w:proofErr w:type="spellEnd"/>
      <w:r w:rsidRPr="00944D5A">
        <w:rPr>
          <w:rFonts w:eastAsiaTheme="minorHAnsi" w:cs="TimesNewRoman"/>
        </w:rPr>
        <w:t xml:space="preserve"> treatment compared with </w:t>
      </w:r>
      <w:r w:rsidR="00246728">
        <w:rPr>
          <w:rFonts w:eastAsiaTheme="minorHAnsi" w:cs="TimesNewRoman"/>
        </w:rPr>
        <w:t>placebo</w:t>
      </w:r>
      <w:r w:rsidRPr="00944D5A">
        <w:rPr>
          <w:rFonts w:eastAsiaTheme="minorHAnsi" w:cs="TimesNewRoman"/>
        </w:rPr>
        <w:t xml:space="preserve"> treatment were generally c</w:t>
      </w:r>
      <w:r>
        <w:rPr>
          <w:rFonts w:eastAsiaTheme="minorHAnsi" w:cs="TimesNewRoman"/>
        </w:rPr>
        <w:t xml:space="preserve">onsistent with the PTs in </w:t>
      </w:r>
      <w:r>
        <w:rPr>
          <w:rFonts w:eastAsiaTheme="minorHAnsi" w:cs="TimesNewRoman"/>
        </w:rPr>
        <w:fldChar w:fldCharType="begin"/>
      </w:r>
      <w:r>
        <w:rPr>
          <w:rFonts w:eastAsiaTheme="minorHAnsi" w:cs="TimesNewRoman"/>
        </w:rPr>
        <w:instrText xml:space="preserve"> REF _Ref73534474 \h </w:instrText>
      </w:r>
      <w:r>
        <w:rPr>
          <w:rFonts w:eastAsiaTheme="minorHAnsi" w:cs="TimesNewRoman"/>
        </w:rPr>
      </w:r>
      <w:r>
        <w:rPr>
          <w:rFonts w:eastAsiaTheme="minorHAnsi" w:cs="TimesNewRoman"/>
        </w:rPr>
        <w:fldChar w:fldCharType="separate"/>
      </w:r>
      <w:r w:rsidR="009340CF" w:rsidRPr="00156826">
        <w:t xml:space="preserve">Table </w:t>
      </w:r>
      <w:r w:rsidR="009340CF">
        <w:rPr>
          <w:noProof/>
        </w:rPr>
        <w:t>10</w:t>
      </w:r>
      <w:r>
        <w:rPr>
          <w:rFonts w:eastAsiaTheme="minorHAnsi" w:cs="TimesNewRoman"/>
        </w:rPr>
        <w:fldChar w:fldCharType="end"/>
      </w:r>
      <w:r w:rsidRPr="00944D5A">
        <w:rPr>
          <w:rFonts w:eastAsiaTheme="minorHAnsi" w:cs="TimesNewRoman"/>
        </w:rPr>
        <w:t xml:space="preserve">: </w:t>
      </w:r>
      <w:r w:rsidR="00C02267">
        <w:rPr>
          <w:lang w:eastAsia="ja-JP"/>
        </w:rPr>
        <w:t xml:space="preserve">urticaria, hypertension, </w:t>
      </w:r>
      <w:r w:rsidR="00C02267" w:rsidRPr="00C02267">
        <w:rPr>
          <w:lang w:eastAsia="ja-JP"/>
        </w:rPr>
        <w:t>upper respiratory tract infection</w:t>
      </w:r>
      <w:r w:rsidRPr="00944D5A">
        <w:rPr>
          <w:lang w:eastAsia="ja-JP"/>
        </w:rPr>
        <w:t>, rhinitis</w:t>
      </w:r>
      <w:r>
        <w:rPr>
          <w:lang w:eastAsia="ja-JP"/>
        </w:rPr>
        <w:t xml:space="preserve">, </w:t>
      </w:r>
      <w:r w:rsidRPr="00944D5A">
        <w:rPr>
          <w:lang w:eastAsia="ja-JP"/>
        </w:rPr>
        <w:t>nasopharyngitis, sinusitis, gastritis, leukopen</w:t>
      </w:r>
      <w:r w:rsidR="00C02267">
        <w:rPr>
          <w:lang w:eastAsia="ja-JP"/>
        </w:rPr>
        <w:t>ia, arthralgia, headache and i</w:t>
      </w:r>
      <w:r w:rsidR="00D2644B">
        <w:rPr>
          <w:lang w:eastAsia="ja-JP"/>
        </w:rPr>
        <w:t>njection</w:t>
      </w:r>
      <w:r w:rsidR="00C02267" w:rsidRPr="00C02267">
        <w:rPr>
          <w:lang w:eastAsia="ja-JP"/>
        </w:rPr>
        <w:t xml:space="preserve"> related reaction</w:t>
      </w:r>
      <w:r w:rsidR="00C02267">
        <w:rPr>
          <w:lang w:eastAsia="ja-JP"/>
        </w:rPr>
        <w:t xml:space="preserve"> (IRR)</w:t>
      </w:r>
      <w:r w:rsidRPr="00944D5A">
        <w:rPr>
          <w:lang w:eastAsia="ja-JP"/>
        </w:rPr>
        <w:t>.</w:t>
      </w:r>
    </w:p>
    <w:p w14:paraId="5B9E2F63" w14:textId="331827E1" w:rsidR="00156826" w:rsidRDefault="00156826" w:rsidP="00156826">
      <w:pPr>
        <w:rPr>
          <w:lang w:eastAsia="ja-JP"/>
        </w:rPr>
      </w:pPr>
      <w:r w:rsidRPr="00944D5A">
        <w:rPr>
          <w:rFonts w:eastAsiaTheme="minorHAnsi" w:cs="TimesNewRoman"/>
        </w:rPr>
        <w:t xml:space="preserve">AEs reported with 5% or greater incidence with </w:t>
      </w:r>
      <w:r w:rsidR="00246728">
        <w:rPr>
          <w:rFonts w:eastAsiaTheme="minorHAnsi" w:cs="TimesNewRoman"/>
        </w:rPr>
        <w:t>placebo</w:t>
      </w:r>
      <w:r w:rsidRPr="00944D5A">
        <w:rPr>
          <w:rFonts w:eastAsiaTheme="minorHAnsi" w:cs="TimesNewRoman"/>
        </w:rPr>
        <w:t xml:space="preserve"> treatment compared with </w:t>
      </w:r>
      <w:proofErr w:type="spellStart"/>
      <w:r w:rsidR="00B842FA">
        <w:rPr>
          <w:rFonts w:eastAsiaTheme="minorHAnsi" w:cs="TimesNewRoman"/>
        </w:rPr>
        <w:t>satralizumab</w:t>
      </w:r>
      <w:proofErr w:type="spellEnd"/>
      <w:r w:rsidRPr="00944D5A">
        <w:rPr>
          <w:rFonts w:eastAsiaTheme="minorHAnsi" w:cs="TimesNewRoman"/>
        </w:rPr>
        <w:t xml:space="preserve"> treatment were </w:t>
      </w:r>
      <w:r>
        <w:rPr>
          <w:rFonts w:eastAsiaTheme="minorHAnsi" w:cs="TimesNewRoman"/>
        </w:rPr>
        <w:t xml:space="preserve">generally consistent with </w:t>
      </w:r>
      <w:r>
        <w:rPr>
          <w:rFonts w:eastAsiaTheme="minorHAnsi" w:cs="TimesNewRoman"/>
        </w:rPr>
        <w:fldChar w:fldCharType="begin"/>
      </w:r>
      <w:r>
        <w:rPr>
          <w:rFonts w:eastAsiaTheme="minorHAnsi" w:cs="TimesNewRoman"/>
        </w:rPr>
        <w:instrText xml:space="preserve"> REF _Ref73534474 \h </w:instrText>
      </w:r>
      <w:r>
        <w:rPr>
          <w:rFonts w:eastAsiaTheme="minorHAnsi" w:cs="TimesNewRoman"/>
        </w:rPr>
      </w:r>
      <w:r>
        <w:rPr>
          <w:rFonts w:eastAsiaTheme="minorHAnsi" w:cs="TimesNewRoman"/>
        </w:rPr>
        <w:fldChar w:fldCharType="separate"/>
      </w:r>
      <w:r w:rsidR="009340CF" w:rsidRPr="00156826">
        <w:t xml:space="preserve">Table </w:t>
      </w:r>
      <w:r w:rsidR="009340CF">
        <w:rPr>
          <w:noProof/>
        </w:rPr>
        <w:t>10</w:t>
      </w:r>
      <w:r>
        <w:rPr>
          <w:rFonts w:eastAsiaTheme="minorHAnsi" w:cs="TimesNewRoman"/>
        </w:rPr>
        <w:fldChar w:fldCharType="end"/>
      </w:r>
      <w:r w:rsidRPr="00944D5A">
        <w:rPr>
          <w:rFonts w:eastAsiaTheme="minorHAnsi" w:cs="TimesNewRoman"/>
        </w:rPr>
        <w:t xml:space="preserve">: </w:t>
      </w:r>
      <w:r w:rsidRPr="00944D5A">
        <w:rPr>
          <w:lang w:eastAsia="ja-JP"/>
        </w:rPr>
        <w:t xml:space="preserve">pyrexia, </w:t>
      </w:r>
      <w:proofErr w:type="gramStart"/>
      <w:r w:rsidRPr="00944D5A">
        <w:rPr>
          <w:lang w:eastAsia="ja-JP"/>
        </w:rPr>
        <w:t>influenza</w:t>
      </w:r>
      <w:proofErr w:type="gramEnd"/>
      <w:r w:rsidRPr="00944D5A">
        <w:rPr>
          <w:lang w:eastAsia="ja-JP"/>
        </w:rPr>
        <w:t xml:space="preserve"> and constipation.</w:t>
      </w:r>
    </w:p>
    <w:p w14:paraId="5E8CCD38" w14:textId="77777777" w:rsidR="003D7E2F" w:rsidRDefault="003D7E2F" w:rsidP="003D7E2F">
      <w:pPr>
        <w:pStyle w:val="Heading6"/>
        <w:rPr>
          <w:lang w:eastAsia="ja-JP"/>
        </w:rPr>
      </w:pPr>
      <w:r>
        <w:rPr>
          <w:lang w:eastAsia="ja-JP"/>
        </w:rPr>
        <w:t>Treatment related adverse events</w:t>
      </w:r>
    </w:p>
    <w:p w14:paraId="5AA9B888" w14:textId="67866254" w:rsidR="003D7E2F" w:rsidRDefault="003D7E2F" w:rsidP="003D7E2F">
      <w:pPr>
        <w:rPr>
          <w:lang w:eastAsia="ja-JP"/>
        </w:rPr>
      </w:pPr>
      <w:r>
        <w:rPr>
          <w:lang w:eastAsia="ja-JP"/>
        </w:rPr>
        <w:t>In the Phase III studies, SOCs with the highest proportions of subjects reporting adverse drug reactions (ADRs) wer</w:t>
      </w:r>
      <w:r w:rsidR="00C02267">
        <w:rPr>
          <w:lang w:eastAsia="ja-JP"/>
        </w:rPr>
        <w:t>e Infections and Infestations, blood and lymphatic system disorders and i</w:t>
      </w:r>
      <w:r>
        <w:rPr>
          <w:lang w:eastAsia="ja-JP"/>
        </w:rPr>
        <w:t>nvestigations (</w:t>
      </w:r>
      <w:r>
        <w:rPr>
          <w:lang w:eastAsia="ja-JP"/>
        </w:rPr>
        <w:fldChar w:fldCharType="begin"/>
      </w:r>
      <w:r>
        <w:rPr>
          <w:lang w:eastAsia="ja-JP"/>
        </w:rPr>
        <w:instrText xml:space="preserve"> REF _Ref73535236 \h </w:instrText>
      </w:r>
      <w:r>
        <w:rPr>
          <w:lang w:eastAsia="ja-JP"/>
        </w:rPr>
      </w:r>
      <w:r>
        <w:rPr>
          <w:lang w:eastAsia="ja-JP"/>
        </w:rPr>
        <w:fldChar w:fldCharType="separate"/>
      </w:r>
      <w:r w:rsidR="009340CF" w:rsidRPr="003D7E2F">
        <w:t xml:space="preserve">Table </w:t>
      </w:r>
      <w:r w:rsidR="009340CF">
        <w:rPr>
          <w:noProof/>
        </w:rPr>
        <w:t>11</w:t>
      </w:r>
      <w:r>
        <w:rPr>
          <w:lang w:eastAsia="ja-JP"/>
        </w:rPr>
        <w:fldChar w:fldCharType="end"/>
      </w:r>
      <w:r>
        <w:rPr>
          <w:lang w:eastAsia="ja-JP"/>
        </w:rPr>
        <w:t>).</w:t>
      </w:r>
    </w:p>
    <w:p w14:paraId="3C19156B" w14:textId="77777777" w:rsidR="003D7E2F" w:rsidRDefault="003D7E2F" w:rsidP="003D7E2F">
      <w:pPr>
        <w:rPr>
          <w:lang w:eastAsia="ja-JP"/>
        </w:rPr>
      </w:pPr>
      <w:r>
        <w:rPr>
          <w:lang w:eastAsia="ja-JP"/>
        </w:rPr>
        <w:t xml:space="preserve">In the Phase III studies, ADRs reported with ≥ 2% incidence with </w:t>
      </w:r>
      <w:proofErr w:type="spellStart"/>
      <w:r w:rsidR="00B842FA">
        <w:rPr>
          <w:lang w:eastAsia="ja-JP"/>
        </w:rPr>
        <w:t>satralizumab</w:t>
      </w:r>
      <w:proofErr w:type="spellEnd"/>
      <w:r>
        <w:rPr>
          <w:lang w:eastAsia="ja-JP"/>
        </w:rPr>
        <w:t xml:space="preserve"> treatment compared with </w:t>
      </w:r>
      <w:r w:rsidR="00246728">
        <w:rPr>
          <w:lang w:eastAsia="ja-JP"/>
        </w:rPr>
        <w:t>placebo</w:t>
      </w:r>
      <w:r>
        <w:rPr>
          <w:lang w:eastAsia="ja-JP"/>
        </w:rPr>
        <w:t xml:space="preserve"> treatment: </w:t>
      </w:r>
      <w:proofErr w:type="spellStart"/>
      <w:r>
        <w:rPr>
          <w:lang w:eastAsia="ja-JP"/>
        </w:rPr>
        <w:t>hypofibrinogenaemia</w:t>
      </w:r>
      <w:proofErr w:type="spellEnd"/>
      <w:r>
        <w:rPr>
          <w:lang w:eastAsia="ja-JP"/>
        </w:rPr>
        <w:t xml:space="preserve">, WBC count decreased, IRRs and diarrhoea. ADRs reported with ≥ 2% incidence with </w:t>
      </w:r>
      <w:r w:rsidR="00246728">
        <w:rPr>
          <w:lang w:eastAsia="ja-JP"/>
        </w:rPr>
        <w:t>placebo</w:t>
      </w:r>
      <w:r>
        <w:rPr>
          <w:lang w:eastAsia="ja-JP"/>
        </w:rPr>
        <w:t xml:space="preserve"> treatment compared with </w:t>
      </w:r>
      <w:proofErr w:type="spellStart"/>
      <w:r w:rsidR="00B842FA">
        <w:rPr>
          <w:lang w:eastAsia="ja-JP"/>
        </w:rPr>
        <w:t>satralizumab</w:t>
      </w:r>
      <w:proofErr w:type="spellEnd"/>
      <w:r>
        <w:rPr>
          <w:lang w:eastAsia="ja-JP"/>
        </w:rPr>
        <w:t xml:space="preserve"> treatment: UTI, cystitis, herpes simplex, anaemia, blood triglycerides increased, hypercholesterolaemia, </w:t>
      </w:r>
      <w:proofErr w:type="spellStart"/>
      <w:r>
        <w:rPr>
          <w:lang w:eastAsia="ja-JP"/>
        </w:rPr>
        <w:t>hypertransaminasaemia</w:t>
      </w:r>
      <w:proofErr w:type="spellEnd"/>
      <w:r>
        <w:rPr>
          <w:lang w:eastAsia="ja-JP"/>
        </w:rPr>
        <w:t xml:space="preserve"> and pyrexia.</w:t>
      </w:r>
    </w:p>
    <w:p w14:paraId="295785CF" w14:textId="0019BBD7" w:rsidR="003D7E2F" w:rsidRDefault="003D7E2F" w:rsidP="003D7E2F">
      <w:pPr>
        <w:pStyle w:val="TableTitle"/>
        <w:rPr>
          <w:lang w:eastAsia="ja-JP"/>
        </w:rPr>
      </w:pPr>
      <w:bookmarkStart w:id="51" w:name="_Ref73535236"/>
      <w:r w:rsidRPr="003D7E2F">
        <w:lastRenderedPageBreak/>
        <w:t xml:space="preserve">Table </w:t>
      </w:r>
      <w:fldSimple w:instr=" SEQ Table \* ARABIC ">
        <w:r w:rsidR="009340CF">
          <w:rPr>
            <w:noProof/>
          </w:rPr>
          <w:t>11</w:t>
        </w:r>
      </w:fldSimple>
      <w:bookmarkEnd w:id="51"/>
      <w:r w:rsidRPr="00796119">
        <w:rPr>
          <w:lang w:eastAsia="ja-JP"/>
        </w:rPr>
        <w:t xml:space="preserve">: </w:t>
      </w:r>
      <w:r>
        <w:t xml:space="preserve">Studies BN40900 and BN40898 </w:t>
      </w:r>
      <w:r w:rsidRPr="00796119">
        <w:rPr>
          <w:lang w:eastAsia="ja-JP"/>
        </w:rPr>
        <w:t xml:space="preserve">Treatment-related adverse events with incidence ≥ </w:t>
      </w:r>
      <w:r>
        <w:rPr>
          <w:lang w:eastAsia="ja-JP"/>
        </w:rPr>
        <w:t>2</w:t>
      </w:r>
      <w:r w:rsidRPr="00796119">
        <w:rPr>
          <w:lang w:eastAsia="ja-JP"/>
        </w:rPr>
        <w:t>% (pooled data</w:t>
      </w:r>
      <w:r w:rsidR="002E7487">
        <w:rPr>
          <w:lang w:eastAsia="ja-JP"/>
        </w:rPr>
        <w:t>; double blinded period; safety p</w:t>
      </w:r>
      <w:r>
        <w:rPr>
          <w:lang w:eastAsia="ja-JP"/>
        </w:rPr>
        <w:t>opulation</w:t>
      </w:r>
      <w:r w:rsidRPr="00D3050C">
        <w:rPr>
          <w:lang w:eastAsia="ja-JP"/>
        </w:rPr>
        <w:t>)</w:t>
      </w:r>
    </w:p>
    <w:p w14:paraId="1DB52B2C" w14:textId="5392C043" w:rsidR="003D7E2F" w:rsidRDefault="003D7E2F" w:rsidP="003D7E2F">
      <w:pPr>
        <w:rPr>
          <w:lang w:eastAsia="ja-JP"/>
        </w:rPr>
      </w:pPr>
      <w:r w:rsidRPr="00BE66CE">
        <w:rPr>
          <w:noProof/>
          <w:lang w:eastAsia="en-AU"/>
        </w:rPr>
        <w:drawing>
          <wp:inline distT="0" distB="0" distL="0" distR="0" wp14:anchorId="24793EF1" wp14:editId="5A707333">
            <wp:extent cx="5242942" cy="4110824"/>
            <wp:effectExtent l="0" t="0" r="0" b="4445"/>
            <wp:docPr id="22" name="Picture 22" descr="Studies BN40900 and BN40898 Treatment-related adverse events with incidence ≥ 2% (pooled data; double blinded period;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45459" cy="4112797"/>
                    </a:xfrm>
                    <a:prstGeom prst="rect">
                      <a:avLst/>
                    </a:prstGeom>
                    <a:noFill/>
                    <a:ln>
                      <a:noFill/>
                    </a:ln>
                  </pic:spPr>
                </pic:pic>
              </a:graphicData>
            </a:graphic>
          </wp:inline>
        </w:drawing>
      </w:r>
    </w:p>
    <w:p w14:paraId="3FE6AA66" w14:textId="66701BBC" w:rsidR="00E35EED" w:rsidRDefault="00E35EED" w:rsidP="00F96A4D">
      <w:pPr>
        <w:pStyle w:val="TableDescription"/>
        <w:rPr>
          <w:lang w:eastAsia="ja-JP"/>
        </w:rPr>
      </w:pPr>
      <w:r>
        <w:rPr>
          <w:lang w:eastAsia="ja-JP"/>
        </w:rPr>
        <w:t>ADR = adverse drug reaction.</w:t>
      </w:r>
    </w:p>
    <w:p w14:paraId="4A45E9B6" w14:textId="527D246C" w:rsidR="000418F9" w:rsidRDefault="000418F9" w:rsidP="000418F9">
      <w:pPr>
        <w:rPr>
          <w:lang w:eastAsia="ja-JP"/>
        </w:rPr>
      </w:pPr>
      <w:r>
        <w:rPr>
          <w:lang w:eastAsia="ja-JP"/>
        </w:rPr>
        <w:t xml:space="preserve">Subjects in the </w:t>
      </w:r>
      <w:proofErr w:type="spellStart"/>
      <w:r w:rsidR="00B842FA">
        <w:rPr>
          <w:lang w:eastAsia="ja-JP"/>
        </w:rPr>
        <w:t>satralizumab</w:t>
      </w:r>
      <w:proofErr w:type="spellEnd"/>
      <w:r>
        <w:rPr>
          <w:lang w:eastAsia="ja-JP"/>
        </w:rPr>
        <w:t xml:space="preserve"> group had similar overall ADR incidence compared with the </w:t>
      </w:r>
      <w:r w:rsidR="00246728">
        <w:rPr>
          <w:lang w:eastAsia="ja-JP"/>
        </w:rPr>
        <w:t>placebo</w:t>
      </w:r>
      <w:r>
        <w:rPr>
          <w:lang w:eastAsia="ja-JP"/>
        </w:rPr>
        <w:t xml:space="preserve"> group. SOCs with the highest proportions of subjects reporting ADRs were generally consistent with </w:t>
      </w:r>
      <w:r>
        <w:rPr>
          <w:lang w:eastAsia="ja-JP"/>
        </w:rPr>
        <w:fldChar w:fldCharType="begin"/>
      </w:r>
      <w:r>
        <w:rPr>
          <w:lang w:eastAsia="ja-JP"/>
        </w:rPr>
        <w:instrText xml:space="preserve"> REF _Ref73535236 \h </w:instrText>
      </w:r>
      <w:r>
        <w:rPr>
          <w:lang w:eastAsia="ja-JP"/>
        </w:rPr>
      </w:r>
      <w:r>
        <w:rPr>
          <w:lang w:eastAsia="ja-JP"/>
        </w:rPr>
        <w:fldChar w:fldCharType="separate"/>
      </w:r>
      <w:r w:rsidR="009340CF" w:rsidRPr="003D7E2F">
        <w:t xml:space="preserve">Table </w:t>
      </w:r>
      <w:r w:rsidR="009340CF">
        <w:rPr>
          <w:noProof/>
        </w:rPr>
        <w:t>11</w:t>
      </w:r>
      <w:r>
        <w:rPr>
          <w:lang w:eastAsia="ja-JP"/>
        </w:rPr>
        <w:fldChar w:fldCharType="end"/>
      </w:r>
      <w:r>
        <w:rPr>
          <w:lang w:eastAsia="ja-JP"/>
        </w:rPr>
        <w:t>, except in Study BN40900, the highest proportion of ADR</w:t>
      </w:r>
      <w:r w:rsidR="00C02267">
        <w:rPr>
          <w:lang w:eastAsia="ja-JP"/>
        </w:rPr>
        <w:t>s (15.6%) were reported in the injury, p</w:t>
      </w:r>
      <w:r>
        <w:rPr>
          <w:lang w:eastAsia="ja-JP"/>
        </w:rPr>
        <w:t xml:space="preserve">oisoning and procedural complications category. There were some differences between studies </w:t>
      </w:r>
      <w:proofErr w:type="gramStart"/>
      <w:r>
        <w:rPr>
          <w:lang w:eastAsia="ja-JP"/>
        </w:rPr>
        <w:t>in regards to</w:t>
      </w:r>
      <w:proofErr w:type="gramEnd"/>
      <w:r>
        <w:rPr>
          <w:lang w:eastAsia="ja-JP"/>
        </w:rPr>
        <w:t xml:space="preserve"> type and frequency of ADRs:</w:t>
      </w:r>
    </w:p>
    <w:p w14:paraId="7723C3D4" w14:textId="77777777" w:rsidR="000418F9" w:rsidRDefault="000418F9" w:rsidP="000418F9">
      <w:pPr>
        <w:pStyle w:val="ListBullet"/>
        <w:rPr>
          <w:lang w:eastAsia="ja-JP"/>
        </w:rPr>
      </w:pPr>
      <w:r>
        <w:rPr>
          <w:lang w:eastAsia="ja-JP"/>
        </w:rPr>
        <w:t xml:space="preserve">In Study BN40900, ADRs reported in ≥ 2 subjects with </w:t>
      </w:r>
      <w:proofErr w:type="spellStart"/>
      <w:r w:rsidR="00B842FA">
        <w:rPr>
          <w:lang w:eastAsia="ja-JP"/>
        </w:rPr>
        <w:t>satralizumab</w:t>
      </w:r>
      <w:proofErr w:type="spellEnd"/>
      <w:r>
        <w:rPr>
          <w:lang w:eastAsia="ja-JP"/>
        </w:rPr>
        <w:t xml:space="preserve"> treatment compared with </w:t>
      </w:r>
      <w:r w:rsidR="00246728">
        <w:rPr>
          <w:lang w:eastAsia="ja-JP"/>
        </w:rPr>
        <w:t>placebo</w:t>
      </w:r>
      <w:r>
        <w:rPr>
          <w:lang w:eastAsia="ja-JP"/>
        </w:rPr>
        <w:t xml:space="preserve"> treatment: sinusitis, </w:t>
      </w:r>
      <w:proofErr w:type="spellStart"/>
      <w:r>
        <w:rPr>
          <w:lang w:eastAsia="ja-JP"/>
        </w:rPr>
        <w:t>hypofibrinogenaemia</w:t>
      </w:r>
      <w:proofErr w:type="spellEnd"/>
      <w:r>
        <w:rPr>
          <w:lang w:eastAsia="ja-JP"/>
        </w:rPr>
        <w:t xml:space="preserve">, lymphocyte count decreased, WBC count decreased, influenza-like illness and lymphopenia and diarrhoea. ADRs reported in ≥ 2 subjects with </w:t>
      </w:r>
      <w:r w:rsidR="00246728">
        <w:rPr>
          <w:lang w:eastAsia="ja-JP"/>
        </w:rPr>
        <w:t>placebo</w:t>
      </w:r>
      <w:r>
        <w:rPr>
          <w:lang w:eastAsia="ja-JP"/>
        </w:rPr>
        <w:t xml:space="preserve"> treatment compared with </w:t>
      </w:r>
      <w:proofErr w:type="spellStart"/>
      <w:r w:rsidR="00B842FA">
        <w:rPr>
          <w:lang w:eastAsia="ja-JP"/>
        </w:rPr>
        <w:t>satralizumab</w:t>
      </w:r>
      <w:proofErr w:type="spellEnd"/>
      <w:r>
        <w:rPr>
          <w:lang w:eastAsia="ja-JP"/>
        </w:rPr>
        <w:t xml:space="preserve"> treatment: IRRs (6.1%) and UTI (4.7%); and</w:t>
      </w:r>
    </w:p>
    <w:p w14:paraId="321C9E9E" w14:textId="77777777" w:rsidR="003D7E2F" w:rsidRDefault="000418F9" w:rsidP="000418F9">
      <w:pPr>
        <w:pStyle w:val="ListBullet"/>
        <w:rPr>
          <w:lang w:eastAsia="ja-JP"/>
        </w:rPr>
      </w:pPr>
      <w:r>
        <w:rPr>
          <w:lang w:eastAsia="ja-JP"/>
        </w:rPr>
        <w:t xml:space="preserve">In Study BN40838, ADRs reported in ≥ 2 subjects with </w:t>
      </w:r>
      <w:proofErr w:type="spellStart"/>
      <w:r w:rsidR="00B842FA">
        <w:rPr>
          <w:lang w:eastAsia="ja-JP"/>
        </w:rPr>
        <w:t>satralizumab</w:t>
      </w:r>
      <w:proofErr w:type="spellEnd"/>
      <w:r>
        <w:rPr>
          <w:lang w:eastAsia="ja-JP"/>
        </w:rPr>
        <w:t xml:space="preserve"> treatment compared with </w:t>
      </w:r>
      <w:r w:rsidR="00246728">
        <w:rPr>
          <w:lang w:eastAsia="ja-JP"/>
        </w:rPr>
        <w:t>placebo</w:t>
      </w:r>
      <w:r>
        <w:rPr>
          <w:lang w:eastAsia="ja-JP"/>
        </w:rPr>
        <w:t xml:space="preserve"> treatment: IRRs (9.8%), leukopenia (5.1%), neutrophil count decreased and oropharyngeal pain (each 4.9%). ADRs reported in ≥ 2 subjects with </w:t>
      </w:r>
      <w:r w:rsidR="00246728">
        <w:rPr>
          <w:lang w:eastAsia="ja-JP"/>
        </w:rPr>
        <w:t>placebo</w:t>
      </w:r>
      <w:r>
        <w:rPr>
          <w:lang w:eastAsia="ja-JP"/>
        </w:rPr>
        <w:t xml:space="preserve"> treatment compared with </w:t>
      </w:r>
      <w:proofErr w:type="spellStart"/>
      <w:r w:rsidR="00B842FA">
        <w:rPr>
          <w:lang w:eastAsia="ja-JP"/>
        </w:rPr>
        <w:t>satralizumab</w:t>
      </w:r>
      <w:proofErr w:type="spellEnd"/>
      <w:r>
        <w:rPr>
          <w:lang w:eastAsia="ja-JP"/>
        </w:rPr>
        <w:t xml:space="preserve"> treatment: cystitis (7.1%), herpes zoster, blood triglycerides increased, pyrexia and </w:t>
      </w:r>
      <w:proofErr w:type="spellStart"/>
      <w:r>
        <w:rPr>
          <w:lang w:eastAsia="ja-JP"/>
        </w:rPr>
        <w:t>hypertransaminasaemia</w:t>
      </w:r>
      <w:proofErr w:type="spellEnd"/>
      <w:r>
        <w:rPr>
          <w:lang w:eastAsia="ja-JP"/>
        </w:rPr>
        <w:t xml:space="preserve"> (each 4.8%; n = 2); anaemia (4.7%) and hypercholesterolaemia (2.2%).</w:t>
      </w:r>
    </w:p>
    <w:p w14:paraId="0EFDDDF5" w14:textId="77777777" w:rsidR="000418F9" w:rsidRDefault="000418F9" w:rsidP="000418F9">
      <w:pPr>
        <w:pStyle w:val="Heading6"/>
        <w:rPr>
          <w:lang w:eastAsia="ja-JP"/>
        </w:rPr>
      </w:pPr>
      <w:r>
        <w:rPr>
          <w:lang w:eastAsia="ja-JP"/>
        </w:rPr>
        <w:t>Deaths and other serious adverse events</w:t>
      </w:r>
    </w:p>
    <w:p w14:paraId="3C38A937" w14:textId="77777777" w:rsidR="000418F9" w:rsidRDefault="000418F9" w:rsidP="000418F9">
      <w:pPr>
        <w:rPr>
          <w:lang w:eastAsia="ja-JP"/>
        </w:rPr>
      </w:pPr>
      <w:r w:rsidRPr="000418F9">
        <w:rPr>
          <w:lang w:eastAsia="ja-JP"/>
        </w:rPr>
        <w:t xml:space="preserve">No deaths were reported across the </w:t>
      </w:r>
      <w:proofErr w:type="spellStart"/>
      <w:r w:rsidR="00B842FA">
        <w:rPr>
          <w:lang w:eastAsia="ja-JP"/>
        </w:rPr>
        <w:t>satralizumab</w:t>
      </w:r>
      <w:proofErr w:type="spellEnd"/>
      <w:r w:rsidRPr="000418F9">
        <w:rPr>
          <w:lang w:eastAsia="ja-JP"/>
        </w:rPr>
        <w:t xml:space="preserve"> clinical development program for NMO/NMOS</w:t>
      </w:r>
      <w:r w:rsidR="00C02267">
        <w:rPr>
          <w:lang w:eastAsia="ja-JP"/>
        </w:rPr>
        <w:t>D (or in the RA study). In the Phase I and P</w:t>
      </w:r>
      <w:r w:rsidRPr="000418F9">
        <w:rPr>
          <w:lang w:eastAsia="ja-JP"/>
        </w:rPr>
        <w:t xml:space="preserve">hase III studies, incidence of ≥ 1 </w:t>
      </w:r>
      <w:r w:rsidR="00C02267" w:rsidRPr="00C02267">
        <w:rPr>
          <w:lang w:eastAsia="ja-JP"/>
        </w:rPr>
        <w:t xml:space="preserve">serious adverse events </w:t>
      </w:r>
      <w:r w:rsidR="00C02267">
        <w:rPr>
          <w:lang w:eastAsia="ja-JP"/>
        </w:rPr>
        <w:t>(</w:t>
      </w:r>
      <w:r w:rsidRPr="000418F9">
        <w:rPr>
          <w:lang w:eastAsia="ja-JP"/>
        </w:rPr>
        <w:t>SAE</w:t>
      </w:r>
      <w:r w:rsidR="00C02267">
        <w:rPr>
          <w:lang w:eastAsia="ja-JP"/>
        </w:rPr>
        <w:t>)</w:t>
      </w:r>
      <w:r w:rsidRPr="000418F9">
        <w:rPr>
          <w:lang w:eastAsia="ja-JP"/>
        </w:rPr>
        <w:t xml:space="preserve"> was generally low and similar across treatments</w:t>
      </w:r>
      <w:r>
        <w:rPr>
          <w:lang w:eastAsia="ja-JP"/>
        </w:rPr>
        <w:t>.</w:t>
      </w:r>
    </w:p>
    <w:p w14:paraId="64C07912" w14:textId="77777777" w:rsidR="000418F9" w:rsidRDefault="000418F9" w:rsidP="000418F9">
      <w:pPr>
        <w:pStyle w:val="Heading6"/>
        <w:rPr>
          <w:lang w:eastAsia="ja-JP"/>
        </w:rPr>
      </w:pPr>
      <w:r w:rsidRPr="000418F9">
        <w:rPr>
          <w:lang w:eastAsia="ja-JP"/>
        </w:rPr>
        <w:lastRenderedPageBreak/>
        <w:t>Discontinuations due to adverse events</w:t>
      </w:r>
    </w:p>
    <w:p w14:paraId="46F19C6D" w14:textId="77777777" w:rsidR="000418F9" w:rsidRDefault="000418F9" w:rsidP="000418F9">
      <w:pPr>
        <w:rPr>
          <w:lang w:eastAsia="ja-JP"/>
        </w:rPr>
      </w:pPr>
      <w:r>
        <w:rPr>
          <w:lang w:eastAsia="ja-JP"/>
        </w:rPr>
        <w:t>In both P</w:t>
      </w:r>
      <w:r w:rsidRPr="000418F9">
        <w:rPr>
          <w:lang w:eastAsia="ja-JP"/>
        </w:rPr>
        <w:t xml:space="preserve">hase III studies, few subjects discontinued from study treatment due to AEs (&lt; 5 subjects in any treatment group). The incidence of AEs that led to study drug discontinuation were generally similar between </w:t>
      </w:r>
      <w:r w:rsidR="00246728">
        <w:rPr>
          <w:lang w:eastAsia="ja-JP"/>
        </w:rPr>
        <w:t>placebo</w:t>
      </w:r>
      <w:r w:rsidRPr="000418F9">
        <w:rPr>
          <w:lang w:eastAsia="ja-JP"/>
        </w:rPr>
        <w:t xml:space="preserve"> and </w:t>
      </w:r>
      <w:proofErr w:type="spellStart"/>
      <w:r w:rsidR="00B842FA">
        <w:rPr>
          <w:lang w:eastAsia="ja-JP"/>
        </w:rPr>
        <w:t>satralizumab</w:t>
      </w:r>
      <w:proofErr w:type="spellEnd"/>
      <w:r w:rsidRPr="000418F9">
        <w:rPr>
          <w:lang w:eastAsia="ja-JP"/>
        </w:rPr>
        <w:t xml:space="preserve"> treatments, with higher numbers of subjects in both treatment groups in the add-on study (</w:t>
      </w:r>
      <w:r>
        <w:rPr>
          <w:lang w:eastAsia="ja-JP"/>
        </w:rPr>
        <w:t xml:space="preserve">Study </w:t>
      </w:r>
      <w:r w:rsidRPr="000418F9">
        <w:rPr>
          <w:lang w:eastAsia="ja-JP"/>
        </w:rPr>
        <w:t>BN40898: 11.9% v</w:t>
      </w:r>
      <w:r>
        <w:rPr>
          <w:lang w:eastAsia="ja-JP"/>
        </w:rPr>
        <w:t>ersus</w:t>
      </w:r>
      <w:r w:rsidRPr="000418F9">
        <w:rPr>
          <w:lang w:eastAsia="ja-JP"/>
        </w:rPr>
        <w:t xml:space="preserve"> 7.3%, respectively) compared to the monotherapy study (</w:t>
      </w:r>
      <w:r>
        <w:rPr>
          <w:lang w:eastAsia="ja-JP"/>
        </w:rPr>
        <w:t xml:space="preserve">Study </w:t>
      </w:r>
      <w:r w:rsidRPr="000418F9">
        <w:rPr>
          <w:lang w:eastAsia="ja-JP"/>
        </w:rPr>
        <w:t>BN40900: 3.1% v</w:t>
      </w:r>
      <w:r>
        <w:rPr>
          <w:lang w:eastAsia="ja-JP"/>
        </w:rPr>
        <w:t>ersus</w:t>
      </w:r>
      <w:r w:rsidRPr="000418F9">
        <w:rPr>
          <w:lang w:eastAsia="ja-JP"/>
        </w:rPr>
        <w:t xml:space="preserve"> 1.6%, respectively). This difference may be due, in part, to the additional IST medicines received in the add</w:t>
      </w:r>
      <w:r w:rsidR="00D2644B">
        <w:rPr>
          <w:lang w:eastAsia="ja-JP"/>
        </w:rPr>
        <w:t xml:space="preserve"> </w:t>
      </w:r>
      <w:r w:rsidRPr="000418F9">
        <w:rPr>
          <w:lang w:eastAsia="ja-JP"/>
        </w:rPr>
        <w:t>on study. Caution should be exercised in the interpretation of this finding, since the numbers of subjects with AEs that led to study drug discontinuation are too few to draw meanin</w:t>
      </w:r>
      <w:r w:rsidR="00D2644B">
        <w:rPr>
          <w:lang w:eastAsia="ja-JP"/>
        </w:rPr>
        <w:t>gful conclusions. No more than one</w:t>
      </w:r>
      <w:r w:rsidRPr="000418F9">
        <w:rPr>
          <w:lang w:eastAsia="ja-JP"/>
        </w:rPr>
        <w:t xml:space="preserve"> subject, in any treatment group, discontinued th</w:t>
      </w:r>
      <w:r>
        <w:rPr>
          <w:lang w:eastAsia="ja-JP"/>
        </w:rPr>
        <w:t>e study due an AE, in either P</w:t>
      </w:r>
      <w:r w:rsidRPr="000418F9">
        <w:rPr>
          <w:lang w:eastAsia="ja-JP"/>
        </w:rPr>
        <w:t>hase III study.</w:t>
      </w:r>
    </w:p>
    <w:p w14:paraId="3E0AE939" w14:textId="77777777" w:rsidR="000418F9" w:rsidRDefault="000418F9" w:rsidP="000418F9">
      <w:pPr>
        <w:pStyle w:val="Heading5"/>
        <w:rPr>
          <w:lang w:eastAsia="ja-JP"/>
        </w:rPr>
      </w:pPr>
      <w:r>
        <w:rPr>
          <w:lang w:eastAsia="ja-JP"/>
        </w:rPr>
        <w:t>Conclusion and safety</w:t>
      </w:r>
    </w:p>
    <w:p w14:paraId="43A21190" w14:textId="6784F92A" w:rsidR="003C7C92" w:rsidRDefault="000418F9" w:rsidP="003C7C92">
      <w:r w:rsidRPr="003C7C92">
        <w:t xml:space="preserve">The safety profile of </w:t>
      </w:r>
      <w:proofErr w:type="spellStart"/>
      <w:r w:rsidR="00B842FA">
        <w:t>satralizumab</w:t>
      </w:r>
      <w:proofErr w:type="spellEnd"/>
      <w:r w:rsidRPr="003C7C92">
        <w:t xml:space="preserve"> has been reasonably well established in a subject population of more than 200 NMO or NMOSD subjects, with total </w:t>
      </w:r>
      <w:r w:rsidRPr="005F549E">
        <w:t xml:space="preserve">cumulative exposure of 327.93 </w:t>
      </w:r>
      <w:r w:rsidR="00E35EED">
        <w:t>p</w:t>
      </w:r>
      <w:r w:rsidR="00D2644B">
        <w:t>atient-</w:t>
      </w:r>
      <w:r w:rsidR="00E35EED">
        <w:t>y</w:t>
      </w:r>
      <w:r>
        <w:t>ear</w:t>
      </w:r>
      <w:r w:rsidR="00E35EED">
        <w:t>s</w:t>
      </w:r>
      <w:r>
        <w:t xml:space="preserve"> (PY)</w:t>
      </w:r>
      <w:r w:rsidR="003C7C92">
        <w:t>.</w:t>
      </w:r>
    </w:p>
    <w:p w14:paraId="3B88A3B2" w14:textId="77777777" w:rsidR="000418F9" w:rsidRPr="003C7C92" w:rsidRDefault="000418F9" w:rsidP="003C7C92">
      <w:r w:rsidRPr="003C7C92">
        <w:t xml:space="preserve">No deaths were reported in the </w:t>
      </w:r>
      <w:proofErr w:type="spellStart"/>
      <w:r w:rsidR="00B842FA">
        <w:t>satralizumab</w:t>
      </w:r>
      <w:proofErr w:type="spellEnd"/>
      <w:r w:rsidR="00A67EA9">
        <w:t xml:space="preserve"> studies at data </w:t>
      </w:r>
      <w:proofErr w:type="spellStart"/>
      <w:r w:rsidR="00A67EA9">
        <w:t>cut</w:t>
      </w:r>
      <w:r w:rsidRPr="003C7C92">
        <w:t>off</w:t>
      </w:r>
      <w:proofErr w:type="spellEnd"/>
      <w:r w:rsidRPr="003C7C92">
        <w:t xml:space="preserve">. Overall incidence of other SAEs, severe </w:t>
      </w:r>
      <w:proofErr w:type="gramStart"/>
      <w:r w:rsidRPr="003C7C92">
        <w:t>AEs</w:t>
      </w:r>
      <w:proofErr w:type="gramEnd"/>
      <w:r w:rsidRPr="003C7C92">
        <w:t xml:space="preserve"> and AE frequencies by SOC category and PT, following </w:t>
      </w:r>
      <w:proofErr w:type="spellStart"/>
      <w:r w:rsidR="00B842FA">
        <w:t>satralizumab</w:t>
      </w:r>
      <w:proofErr w:type="spellEnd"/>
      <w:r w:rsidRPr="003C7C92">
        <w:t xml:space="preserve"> treatment, were generally low and similar to, or less than, placebo. Similarly, there were few study withdrawals due to AEs. ADRs associated with </w:t>
      </w:r>
      <w:proofErr w:type="spellStart"/>
      <w:r w:rsidR="00B842FA">
        <w:t>satralizumab</w:t>
      </w:r>
      <w:proofErr w:type="spellEnd"/>
      <w:r w:rsidRPr="003C7C92">
        <w:t xml:space="preserve"> treatment were diarrhoea</w:t>
      </w:r>
      <w:r w:rsidR="00D2644B">
        <w:t>, IRRs</w:t>
      </w:r>
      <w:r w:rsidRPr="003C7C92">
        <w:t xml:space="preserve">, decreased WBC, leukopenia and </w:t>
      </w:r>
      <w:proofErr w:type="spellStart"/>
      <w:r w:rsidRPr="003C7C92">
        <w:t>hypofibrinogenaemia</w:t>
      </w:r>
      <w:proofErr w:type="spellEnd"/>
      <w:r w:rsidR="003C7C92">
        <w:t>.</w:t>
      </w:r>
    </w:p>
    <w:p w14:paraId="03FCAA1A" w14:textId="6E323BDB" w:rsidR="000418F9" w:rsidRPr="003C7C92" w:rsidRDefault="000418F9" w:rsidP="003C7C92">
      <w:pPr>
        <w:rPr>
          <w:rFonts w:cs="TimesNewRoman"/>
        </w:rPr>
      </w:pPr>
      <w:r w:rsidRPr="003C7C92">
        <w:rPr>
          <w:rFonts w:eastAsia="TimesNewRoman,Bold" w:cs="TimesNewRoman"/>
        </w:rPr>
        <w:t>The safety profiles in adults and adolescents were generally comparable. T</w:t>
      </w:r>
      <w:r w:rsidRPr="00357214">
        <w:t xml:space="preserve">he safety of </w:t>
      </w:r>
      <w:r w:rsidR="003C7C92">
        <w:t>subjects aged 65 years and older</w:t>
      </w:r>
      <w:r w:rsidR="00DB3A65">
        <w:t xml:space="preserve"> were generally consistent with younger adults</w:t>
      </w:r>
      <w:r w:rsidR="003C7C92">
        <w:t xml:space="preserve">. </w:t>
      </w:r>
      <w:r>
        <w:t xml:space="preserve">The safety profiles </w:t>
      </w:r>
      <w:r w:rsidRPr="003C7C92">
        <w:rPr>
          <w:rFonts w:eastAsia="TimesNewRoman,Bold" w:cs="TimesNewRoman"/>
        </w:rPr>
        <w:t xml:space="preserve">of the </w:t>
      </w:r>
      <w:proofErr w:type="spellStart"/>
      <w:r w:rsidR="00B842FA">
        <w:rPr>
          <w:rFonts w:eastAsia="TimesNewRoman,Bold" w:cs="TimesNewRoman"/>
        </w:rPr>
        <w:t>satralizumab</w:t>
      </w:r>
      <w:proofErr w:type="spellEnd"/>
      <w:r w:rsidRPr="003C7C92">
        <w:rPr>
          <w:rFonts w:eastAsia="TimesNewRoman,Bold" w:cs="TimesNewRoman"/>
        </w:rPr>
        <w:t xml:space="preserve"> vial and the </w:t>
      </w:r>
      <w:r w:rsidR="00D2644B">
        <w:rPr>
          <w:rFonts w:eastAsia="TimesNewRoman,Bold" w:cs="TimesNewRoman"/>
        </w:rPr>
        <w:t>PFS</w:t>
      </w:r>
      <w:r w:rsidRPr="003C7C92">
        <w:rPr>
          <w:rFonts w:eastAsia="TimesNewRoman,Bold" w:cs="TimesNewRoman"/>
        </w:rPr>
        <w:t xml:space="preserve"> formulations were also comparable</w:t>
      </w:r>
      <w:r w:rsidR="003C7C92">
        <w:rPr>
          <w:rFonts w:eastAsia="TimesNewRoman,Bold" w:cs="TimesNewRoman"/>
        </w:rPr>
        <w:t>.</w:t>
      </w:r>
    </w:p>
    <w:p w14:paraId="0F165109" w14:textId="27353664" w:rsidR="000418F9" w:rsidRPr="003C7C92" w:rsidRDefault="000418F9" w:rsidP="00C0141D">
      <w:r w:rsidRPr="003C7C92">
        <w:t xml:space="preserve">Most </w:t>
      </w:r>
      <w:r w:rsidR="00D2644B" w:rsidRPr="00D2644B">
        <w:t>alanine aminotransferase</w:t>
      </w:r>
      <w:r w:rsidRPr="003C7C92">
        <w:t xml:space="preserve">, </w:t>
      </w:r>
      <w:r w:rsidR="00D2644B">
        <w:t>a</w:t>
      </w:r>
      <w:r w:rsidR="00D2644B" w:rsidRPr="00D2644B">
        <w:t>spartate transaminase</w:t>
      </w:r>
      <w:r w:rsidRPr="003C7C92">
        <w:t xml:space="preserve"> and bilirubin elevations were mild or moderate in intensity, transient and resolved whilst on study treatment. </w:t>
      </w:r>
      <w:r w:rsidRPr="003C7C92">
        <w:rPr>
          <w:rFonts w:eastAsia="TimesNewRoman,Bold"/>
        </w:rPr>
        <w:t xml:space="preserve">No time-dependent elevations in </w:t>
      </w:r>
      <w:r w:rsidR="00E35EED">
        <w:rPr>
          <w:rFonts w:eastAsia="TimesNewRoman,Bold"/>
        </w:rPr>
        <w:t>liver function tests (</w:t>
      </w:r>
      <w:r w:rsidRPr="003C7C92">
        <w:rPr>
          <w:rFonts w:eastAsia="TimesNewRoman,Bold"/>
        </w:rPr>
        <w:t>LFT</w:t>
      </w:r>
      <w:r w:rsidR="00E35EED">
        <w:rPr>
          <w:rFonts w:eastAsia="TimesNewRoman,Bold"/>
        </w:rPr>
        <w:t>)</w:t>
      </w:r>
      <w:r w:rsidRPr="003C7C92">
        <w:rPr>
          <w:rFonts w:eastAsia="TimesNewRoman,Bold"/>
        </w:rPr>
        <w:t xml:space="preserve"> were observed across all phases and studies in the </w:t>
      </w:r>
      <w:proofErr w:type="spellStart"/>
      <w:r w:rsidR="00B842FA">
        <w:rPr>
          <w:rFonts w:eastAsia="TimesNewRoman,Bold"/>
        </w:rPr>
        <w:t>satralizumab</w:t>
      </w:r>
      <w:proofErr w:type="spellEnd"/>
      <w:r w:rsidRPr="003C7C92">
        <w:rPr>
          <w:rFonts w:eastAsia="TimesNewRoman,Bold"/>
        </w:rPr>
        <w:t xml:space="preserve"> clinical program. </w:t>
      </w:r>
      <w:r w:rsidRPr="003C7C92">
        <w:t>The</w:t>
      </w:r>
      <w:r w:rsidR="00A67EA9">
        <w:t xml:space="preserve">re were no cases of severe drug </w:t>
      </w:r>
      <w:r w:rsidRPr="003C7C92">
        <w:t xml:space="preserve">induced liver injury identified across the clinical development program for </w:t>
      </w:r>
      <w:proofErr w:type="spellStart"/>
      <w:r w:rsidR="00B842FA">
        <w:t>satralizumab</w:t>
      </w:r>
      <w:proofErr w:type="spellEnd"/>
      <w:r w:rsidRPr="003C7C92">
        <w:t xml:space="preserve"> and no cases met the full criteria for Hy’s law</w:t>
      </w:r>
      <w:r w:rsidR="003C7C92">
        <w:t>.</w:t>
      </w:r>
    </w:p>
    <w:p w14:paraId="662F727A" w14:textId="1F22E83B" w:rsidR="000418F9" w:rsidRPr="00C65B3A" w:rsidRDefault="000418F9" w:rsidP="00D476C3">
      <w:r w:rsidRPr="003A2498">
        <w:t xml:space="preserve">Across the entire </w:t>
      </w:r>
      <w:proofErr w:type="spellStart"/>
      <w:r w:rsidR="00B842FA">
        <w:t>satralizumab</w:t>
      </w:r>
      <w:proofErr w:type="spellEnd"/>
      <w:r w:rsidRPr="003A2498">
        <w:t xml:space="preserve"> clinical de</w:t>
      </w:r>
      <w:r w:rsidR="00A67EA9">
        <w:t>velopment program, after up to four</w:t>
      </w:r>
      <w:r w:rsidRPr="003A2498">
        <w:t xml:space="preserve"> years of </w:t>
      </w:r>
      <w:proofErr w:type="spellStart"/>
      <w:r w:rsidR="00B842FA">
        <w:t>satralizumab</w:t>
      </w:r>
      <w:proofErr w:type="spellEnd"/>
      <w:r w:rsidRPr="003A2498">
        <w:t xml:space="preserve"> exposure, no cases of disseminated or serious opportunistic infections were reported. </w:t>
      </w:r>
      <w:r>
        <w:t xml:space="preserve">Isolated, non-serious, infrequent cases of </w:t>
      </w:r>
      <w:r w:rsidRPr="00C0141D">
        <w:t xml:space="preserve">herpes zoster, oral herpes and herpes simplex </w:t>
      </w:r>
      <w:r>
        <w:t xml:space="preserve">were reported following </w:t>
      </w:r>
      <w:proofErr w:type="spellStart"/>
      <w:r w:rsidR="00B842FA">
        <w:t>satralizumab</w:t>
      </w:r>
      <w:proofErr w:type="spellEnd"/>
      <w:r>
        <w:t xml:space="preserve"> exposure, with no time</w:t>
      </w:r>
      <w:r w:rsidR="00A67EA9">
        <w:t xml:space="preserve"> </w:t>
      </w:r>
      <w:r>
        <w:t xml:space="preserve">dependency observed. </w:t>
      </w:r>
      <w:r w:rsidRPr="003A2498">
        <w:t>Non-ser</w:t>
      </w:r>
      <w:r w:rsidR="00C0141D">
        <w:t xml:space="preserve">ious </w:t>
      </w:r>
      <w:proofErr w:type="spellStart"/>
      <w:r w:rsidR="00B842FA">
        <w:t>satralizumab</w:t>
      </w:r>
      <w:proofErr w:type="spellEnd"/>
      <w:r w:rsidR="00A67EA9">
        <w:t xml:space="preserve"> </w:t>
      </w:r>
      <w:r w:rsidR="00C0141D">
        <w:t>related infections for example</w:t>
      </w:r>
      <w:r w:rsidRPr="003A2498">
        <w:t xml:space="preserve"> </w:t>
      </w:r>
      <w:r w:rsidR="00E35EED">
        <w:t>upper respiratory tract infection (</w:t>
      </w:r>
      <w:r w:rsidRPr="003A2498">
        <w:t>URTI</w:t>
      </w:r>
      <w:r w:rsidR="00E35EED">
        <w:t>)</w:t>
      </w:r>
      <w:r w:rsidRPr="00C0141D">
        <w:rPr>
          <w:rFonts w:eastAsiaTheme="minorHAnsi"/>
        </w:rPr>
        <w:t xml:space="preserve">, </w:t>
      </w:r>
      <w:r w:rsidRPr="003A2498">
        <w:t>occurred.</w:t>
      </w:r>
      <w:r w:rsidRPr="00C0141D">
        <w:t xml:space="preserve"> </w:t>
      </w:r>
      <w:proofErr w:type="spellStart"/>
      <w:r w:rsidR="00B842FA">
        <w:t>satralizumab</w:t>
      </w:r>
      <w:proofErr w:type="spellEnd"/>
      <w:r w:rsidRPr="00C0141D">
        <w:t xml:space="preserve"> treatment was also associated with reductions in neutrophil and leukocyte counts, across clinical studies, although there were no clear correlations between reduced values and development of serious or opportunistic infections. Incidences of AEs of infections and serious infections that led to study discontinuation were low and similar across treatments. Risk associated with </w:t>
      </w:r>
      <w:proofErr w:type="spellStart"/>
      <w:r w:rsidR="00B842FA">
        <w:t>satralizumab</w:t>
      </w:r>
      <w:proofErr w:type="spellEnd"/>
      <w:r w:rsidRPr="00C0141D">
        <w:t xml:space="preserve"> withdrawal and rebound were not assessed. Given the long half-life of </w:t>
      </w:r>
      <w:proofErr w:type="spellStart"/>
      <w:r w:rsidR="00B842FA">
        <w:t>satralizumab</w:t>
      </w:r>
      <w:proofErr w:type="spellEnd"/>
      <w:r w:rsidRPr="00C0141D">
        <w:t>,</w:t>
      </w:r>
      <w:r w:rsidRPr="00C0141D">
        <w:rPr>
          <w:color w:val="00B050"/>
        </w:rPr>
        <w:t xml:space="preserve"> </w:t>
      </w:r>
      <w:r w:rsidRPr="00C0141D">
        <w:t xml:space="preserve">there is a risk, albeit perhaps low, of the development of serious or opportunistic infections </w:t>
      </w:r>
      <w:proofErr w:type="gramStart"/>
      <w:r w:rsidRPr="00C0141D">
        <w:t>later on</w:t>
      </w:r>
      <w:proofErr w:type="gramEnd"/>
      <w:r w:rsidRPr="00C0141D">
        <w:t xml:space="preserve"> following </w:t>
      </w:r>
      <w:proofErr w:type="spellStart"/>
      <w:r w:rsidR="00B842FA">
        <w:t>satralizumab</w:t>
      </w:r>
      <w:proofErr w:type="spellEnd"/>
      <w:r w:rsidRPr="00C0141D">
        <w:t xml:space="preserve"> treatment, even after its cessation, as well as the risk</w:t>
      </w:r>
      <w:r w:rsidR="00D476C3">
        <w:t xml:space="preserve"> of NMO/NMOSD relapse.</w:t>
      </w:r>
    </w:p>
    <w:p w14:paraId="4547929A" w14:textId="77777777" w:rsidR="000418F9" w:rsidRPr="00C65B3A" w:rsidRDefault="000418F9" w:rsidP="00D476C3">
      <w:r w:rsidRPr="00107FE1">
        <w:t xml:space="preserve">The incidence of malignancies reported with </w:t>
      </w:r>
      <w:proofErr w:type="spellStart"/>
      <w:r w:rsidR="00B842FA">
        <w:t>satralizumab</w:t>
      </w:r>
      <w:proofErr w:type="spellEnd"/>
      <w:r w:rsidRPr="00107FE1">
        <w:t xml:space="preserve"> was low and similar across treatments. The malignancies reported did not demonstrate any particular </w:t>
      </w:r>
      <w:proofErr w:type="gramStart"/>
      <w:r w:rsidRPr="00107FE1">
        <w:t>pattern, and</w:t>
      </w:r>
      <w:proofErr w:type="gramEnd"/>
      <w:r w:rsidRPr="00107FE1">
        <w:t xml:space="preserve"> are not typical of an </w:t>
      </w:r>
      <w:r w:rsidR="00C33C22">
        <w:t>immunosuppressed population for example</w:t>
      </w:r>
      <w:r w:rsidRPr="00107FE1">
        <w:t xml:space="preserve"> no lymphoma cases were reported. Risk of malignancy in long-term </w:t>
      </w:r>
      <w:proofErr w:type="spellStart"/>
      <w:r w:rsidR="00B842FA">
        <w:t>satralizumab</w:t>
      </w:r>
      <w:proofErr w:type="spellEnd"/>
      <w:r w:rsidRPr="00107FE1">
        <w:t xml:space="preserve"> exposure and risk in immunocompromised patients are unknown</w:t>
      </w:r>
      <w:r w:rsidR="00D476C3">
        <w:t>.</w:t>
      </w:r>
    </w:p>
    <w:p w14:paraId="65D00771" w14:textId="77777777" w:rsidR="000418F9" w:rsidRPr="00430E1B" w:rsidRDefault="000418F9" w:rsidP="00D476C3">
      <w:r w:rsidRPr="00430E1B">
        <w:t xml:space="preserve">The evidence provided in the clinical dossier indicated that prolonged </w:t>
      </w:r>
      <w:proofErr w:type="spellStart"/>
      <w:r w:rsidR="00B842FA">
        <w:t>satralizumab</w:t>
      </w:r>
      <w:proofErr w:type="spellEnd"/>
      <w:r w:rsidRPr="00430E1B">
        <w:t xml:space="preserve"> exposure is not generally associated with cumulative toxicity. However, risk associated </w:t>
      </w:r>
      <w:r w:rsidRPr="00430E1B">
        <w:lastRenderedPageBreak/>
        <w:t>with occurrence of rare events such as autoimmune disorders, disseminated cryptococcal infections or events associated with a long-lag time, such as lymphoma and other malignancies, cannot be fully characterised until much longer periods of</w:t>
      </w:r>
      <w:r w:rsidR="00D476C3">
        <w:t xml:space="preserve"> </w:t>
      </w:r>
      <w:proofErr w:type="spellStart"/>
      <w:r w:rsidR="00B842FA">
        <w:t>satralizumab</w:t>
      </w:r>
      <w:proofErr w:type="spellEnd"/>
      <w:r w:rsidR="00D476C3">
        <w:t xml:space="preserve"> exposure have occurred that is</w:t>
      </w:r>
      <w:r w:rsidRPr="00430E1B">
        <w:t xml:space="preserve"> in the post-market setting</w:t>
      </w:r>
      <w:r w:rsidR="00D476C3">
        <w:t>.</w:t>
      </w:r>
    </w:p>
    <w:p w14:paraId="78BA70A9" w14:textId="77777777" w:rsidR="000418F9" w:rsidRDefault="000418F9" w:rsidP="00C65B3A">
      <w:r>
        <w:t>N</w:t>
      </w:r>
      <w:r w:rsidRPr="00066981">
        <w:t xml:space="preserve">o clinically meaningful differences were observed in the AE profile of </w:t>
      </w:r>
      <w:proofErr w:type="spellStart"/>
      <w:r w:rsidR="00B842FA">
        <w:t>satralizumab</w:t>
      </w:r>
      <w:proofErr w:type="spellEnd"/>
      <w:r w:rsidRPr="00066981">
        <w:t xml:space="preserve"> as a function of BW,</w:t>
      </w:r>
      <w:r>
        <w:t xml:space="preserve"> age,</w:t>
      </w:r>
      <w:r w:rsidRPr="00066981">
        <w:t xml:space="preserve"> race, baseline ARR</w:t>
      </w:r>
      <w:r>
        <w:t>,</w:t>
      </w:r>
      <w:r w:rsidRPr="00066981">
        <w:t xml:space="preserve"> </w:t>
      </w:r>
      <w:r>
        <w:t>anti-</w:t>
      </w:r>
      <w:r w:rsidRPr="00066981">
        <w:t xml:space="preserve">AQP4-IgG </w:t>
      </w:r>
      <w:r>
        <w:t>sero</w:t>
      </w:r>
      <w:r w:rsidRPr="00066981">
        <w:t>status</w:t>
      </w:r>
      <w:r w:rsidR="00D476C3">
        <w:t xml:space="preserve"> and ADA status.</w:t>
      </w:r>
    </w:p>
    <w:p w14:paraId="2380F1D7" w14:textId="1EC231D3" w:rsidR="000418F9" w:rsidRDefault="000418F9" w:rsidP="00C65B3A">
      <w:r>
        <w:t xml:space="preserve">There were no clinically meaningful differences between </w:t>
      </w:r>
      <w:proofErr w:type="spellStart"/>
      <w:r w:rsidR="00B842FA">
        <w:t>satralizumab</w:t>
      </w:r>
      <w:proofErr w:type="spellEnd"/>
      <w:r>
        <w:t xml:space="preserve"> and </w:t>
      </w:r>
      <w:r w:rsidR="00246728">
        <w:t>placebo</w:t>
      </w:r>
      <w:r>
        <w:t xml:space="preserve"> treatments </w:t>
      </w:r>
      <w:proofErr w:type="gramStart"/>
      <w:r>
        <w:t>in regards to</w:t>
      </w:r>
      <w:proofErr w:type="gramEnd"/>
      <w:r>
        <w:t xml:space="preserve"> </w:t>
      </w:r>
      <w:r w:rsidR="00A67EA9" w:rsidRPr="00A67EA9">
        <w:t>electrocardiogram</w:t>
      </w:r>
      <w:r>
        <w:t xml:space="preserve"> abnormalities. There was no evidence of QT</w:t>
      </w:r>
      <w:r w:rsidR="00E35EED">
        <w:t> </w:t>
      </w:r>
      <w:r>
        <w:t xml:space="preserve">prolongation or pro-arrhythmicity following </w:t>
      </w:r>
      <w:proofErr w:type="spellStart"/>
      <w:r w:rsidR="00B842FA">
        <w:t>satralizumab</w:t>
      </w:r>
      <w:proofErr w:type="spellEnd"/>
      <w:r>
        <w:t xml:space="preserve"> treatment. There were some transient, non-time dependent elevations in total cholesterol and triglycerides, as well as transient elevations in systolic blood pressure (&gt; 140 mmHg)</w:t>
      </w:r>
      <w:r w:rsidRPr="00CF1976">
        <w:t xml:space="preserve"> </w:t>
      </w:r>
      <w:r>
        <w:t xml:space="preserve">in subjects who received </w:t>
      </w:r>
      <w:proofErr w:type="spellStart"/>
      <w:r w:rsidR="00B842FA">
        <w:t>satralizumab</w:t>
      </w:r>
      <w:proofErr w:type="spellEnd"/>
      <w:r>
        <w:t xml:space="preserve"> as monotherapy, none of wh</w:t>
      </w:r>
      <w:r w:rsidR="00A67EA9">
        <w:t xml:space="preserve">ich required intervention. Long </w:t>
      </w:r>
      <w:r>
        <w:t>term cardiovascular risk will become more appa</w:t>
      </w:r>
      <w:r w:rsidR="00A67EA9">
        <w:t xml:space="preserve">rent in the post </w:t>
      </w:r>
      <w:r w:rsidR="00D476C3">
        <w:t>market setting.</w:t>
      </w:r>
    </w:p>
    <w:p w14:paraId="24CA950E" w14:textId="77777777" w:rsidR="000418F9" w:rsidRPr="00D476C3" w:rsidRDefault="000418F9" w:rsidP="00D476C3">
      <w:r w:rsidRPr="00D476C3">
        <w:t xml:space="preserve">Higher rates of IRRs were reported in the </w:t>
      </w:r>
      <w:proofErr w:type="spellStart"/>
      <w:r w:rsidR="00B842FA">
        <w:t>satralizumab</w:t>
      </w:r>
      <w:proofErr w:type="spellEnd"/>
      <w:r w:rsidRPr="00D476C3">
        <w:t xml:space="preserve"> group compared with the </w:t>
      </w:r>
      <w:r w:rsidR="00246728">
        <w:t>placebo</w:t>
      </w:r>
      <w:r w:rsidRPr="00D476C3">
        <w:t xml:space="preserve"> group, but none of the reactions appeared to be indicative of hypersensitivity and immune responses secondary to immune complex and complement-mediated reactions.</w:t>
      </w:r>
      <w:r w:rsidRPr="00D476C3">
        <w:rPr>
          <w:rFonts w:cs="Arial"/>
          <w:i/>
          <w:iCs/>
        </w:rPr>
        <w:t xml:space="preserve"> </w:t>
      </w:r>
      <w:r w:rsidRPr="00D476C3">
        <w:rPr>
          <w:rFonts w:cs="Arial"/>
        </w:rPr>
        <w:t xml:space="preserve">No anaphylaxis </w:t>
      </w:r>
      <w:r w:rsidR="00A67EA9">
        <w:rPr>
          <w:rFonts w:cs="Arial"/>
        </w:rPr>
        <w:t>reactions were reported in any Phase I or P</w:t>
      </w:r>
      <w:r w:rsidRPr="00D476C3">
        <w:rPr>
          <w:rFonts w:cs="Arial"/>
        </w:rPr>
        <w:t>hase III clinical study. However, since data on neutralising antibodies were not available, any effect of these neutralising antibodies on safety, including possible hypersensitivity reactions, cannot be assessed</w:t>
      </w:r>
      <w:r w:rsidR="00D476C3" w:rsidRPr="00D476C3">
        <w:rPr>
          <w:rFonts w:cs="Arial"/>
        </w:rPr>
        <w:t>.</w:t>
      </w:r>
    </w:p>
    <w:p w14:paraId="0AC50CA9" w14:textId="050EE93E" w:rsidR="000418F9" w:rsidRPr="00D476C3" w:rsidRDefault="000418F9" w:rsidP="00C65B3A">
      <w:r>
        <w:t xml:space="preserve">Reductions in fibrinogen levels </w:t>
      </w:r>
      <w:bookmarkStart w:id="52" w:name="_Hlk30706584"/>
      <w:r w:rsidR="00A67EA9">
        <w:t>were observed across all the Phase I and P</w:t>
      </w:r>
      <w:r>
        <w:t>hase III studies</w:t>
      </w:r>
      <w:bookmarkEnd w:id="52"/>
      <w:r>
        <w:t>. This is an expected pharmacologica</w:t>
      </w:r>
      <w:r w:rsidR="00A67EA9">
        <w:t xml:space="preserve">l effect of </w:t>
      </w:r>
      <w:proofErr w:type="spellStart"/>
      <w:r w:rsidRPr="00D476C3">
        <w:t>mAb</w:t>
      </w:r>
      <w:r w:rsidR="00E35EED">
        <w:t>s</w:t>
      </w:r>
      <w:proofErr w:type="spellEnd"/>
      <w:r w:rsidR="00D476C3">
        <w:t xml:space="preserve"> (that is</w:t>
      </w:r>
      <w:r>
        <w:t xml:space="preserve"> inhibition of IL-6 signalling leading to a reduction in fibrinogen production) and since there is a </w:t>
      </w:r>
      <w:r w:rsidR="00E9697B">
        <w:t xml:space="preserve">real </w:t>
      </w:r>
      <w:r>
        <w:t>risk of occu</w:t>
      </w:r>
      <w:r w:rsidR="00D476C3">
        <w:t>rrence of bleeding events, the P</w:t>
      </w:r>
      <w:r>
        <w:t>hase III clini</w:t>
      </w:r>
      <w:r w:rsidR="00D476C3">
        <w:t>cal studies allowed study site i</w:t>
      </w:r>
      <w:r>
        <w:t>nvestigators access to subject’s fibrinogen results during the DBP of each study. In conjunction with reduced fibrinogen levels, reduced platelet counts</w:t>
      </w:r>
      <w:r w:rsidR="00D476C3">
        <w:t xml:space="preserve"> were also observed across the Phase I and P</w:t>
      </w:r>
      <w:r>
        <w:t xml:space="preserve">hase III studies. </w:t>
      </w:r>
      <w:r w:rsidRPr="00B71172">
        <w:t xml:space="preserve">Although a few cases of thrombocytopenia were reported in the </w:t>
      </w:r>
      <w:proofErr w:type="spellStart"/>
      <w:r w:rsidR="00B842FA">
        <w:t>satralizumab</w:t>
      </w:r>
      <w:proofErr w:type="spellEnd"/>
      <w:r>
        <w:t xml:space="preserve"> group and no bleeding </w:t>
      </w:r>
      <w:r w:rsidRPr="00D476C3">
        <w:t xml:space="preserve">events </w:t>
      </w:r>
      <w:r w:rsidRPr="00D476C3">
        <w:rPr>
          <w:iCs/>
        </w:rPr>
        <w:t>per se</w:t>
      </w:r>
      <w:r w:rsidRPr="00D476C3">
        <w:t xml:space="preserve"> reported</w:t>
      </w:r>
      <w:r>
        <w:t xml:space="preserve"> across the clinical program</w:t>
      </w:r>
      <w:r w:rsidRPr="00D476C3">
        <w:t>, bleeding events may be reasonably expected given t</w:t>
      </w:r>
      <w:r w:rsidR="00D476C3">
        <w:t>he above.</w:t>
      </w:r>
    </w:p>
    <w:p w14:paraId="44836950" w14:textId="77777777" w:rsidR="000418F9" w:rsidRPr="00D476C3" w:rsidRDefault="000418F9" w:rsidP="00C65B3A">
      <w:r>
        <w:t xml:space="preserve">Since fibrinogen levels and predicted </w:t>
      </w:r>
      <w:proofErr w:type="spellStart"/>
      <w:r w:rsidR="00B842FA">
        <w:t>satralizumab</w:t>
      </w:r>
      <w:proofErr w:type="spellEnd"/>
      <w:r>
        <w:t xml:space="preserve"> exposure were highly correlated, potential bias was introduced into the studies, which could adversely impact both internal and external vali</w:t>
      </w:r>
      <w:r w:rsidR="00D476C3">
        <w:t>dity of the study results. The s</w:t>
      </w:r>
      <w:r>
        <w:t xml:space="preserve">ponsor undertook extensive review of study data, in conjunction with FDA input, including </w:t>
      </w:r>
      <w:r w:rsidRPr="00220F3D">
        <w:rPr>
          <w:i/>
          <w:iCs/>
        </w:rPr>
        <w:t>post hoc</w:t>
      </w:r>
      <w:r>
        <w:t xml:space="preserve"> sensitivity analyses, and concluded that bi</w:t>
      </w:r>
      <w:r w:rsidR="00D476C3">
        <w:t>as was not introduced into the P</w:t>
      </w:r>
      <w:r>
        <w:t xml:space="preserve">hase III studies. There did not appear to be changes in the </w:t>
      </w:r>
      <w:r w:rsidRPr="00D476C3">
        <w:t xml:space="preserve">numbers of study withdrawals, particularly in the </w:t>
      </w:r>
      <w:r w:rsidR="00246728">
        <w:t>placebo</w:t>
      </w:r>
      <w:r w:rsidRPr="00D476C3">
        <w:t xml:space="preserve"> </w:t>
      </w:r>
      <w:proofErr w:type="gramStart"/>
      <w:r w:rsidRPr="00D476C3">
        <w:t>group;</w:t>
      </w:r>
      <w:proofErr w:type="gramEnd"/>
      <w:r w:rsidRPr="00D476C3">
        <w:t xml:space="preserve"> </w:t>
      </w:r>
    </w:p>
    <w:p w14:paraId="006C0B91" w14:textId="77777777" w:rsidR="000418F9" w:rsidRPr="00D476C3" w:rsidRDefault="000418F9" w:rsidP="00C65B3A">
      <w:r w:rsidRPr="00D476C3">
        <w:t xml:space="preserve">Across the </w:t>
      </w:r>
      <w:proofErr w:type="spellStart"/>
      <w:r w:rsidR="00B842FA">
        <w:t>satralizumab</w:t>
      </w:r>
      <w:proofErr w:type="spellEnd"/>
      <w:r w:rsidRPr="00D476C3">
        <w:t xml:space="preserve"> program, the incidences of depression and suicidal behaviours were infrequent and balanced across treatments. No signal of concern was identified, and this was corroborated by </w:t>
      </w:r>
      <w:r w:rsidR="00A67EA9" w:rsidRPr="00A67EA9">
        <w:t xml:space="preserve">Columbia-Suicide Severity Rating Scale </w:t>
      </w:r>
      <w:r w:rsidRPr="00D476C3">
        <w:t>data</w:t>
      </w:r>
      <w:r w:rsidR="00D476C3" w:rsidRPr="00D476C3">
        <w:t>.</w:t>
      </w:r>
    </w:p>
    <w:p w14:paraId="4C04638F" w14:textId="2FFBC752" w:rsidR="000418F9" w:rsidRPr="00D476C3" w:rsidRDefault="00D476C3" w:rsidP="00C65B3A">
      <w:pPr>
        <w:rPr>
          <w:b/>
        </w:rPr>
      </w:pPr>
      <w:r w:rsidRPr="00D476C3">
        <w:rPr>
          <w:rFonts w:cstheme="minorHAnsi"/>
        </w:rPr>
        <w:t xml:space="preserve">Subjects with </w:t>
      </w:r>
      <w:r w:rsidR="00A67EA9">
        <w:rPr>
          <w:rFonts w:cstheme="minorHAnsi"/>
        </w:rPr>
        <w:t>ILD</w:t>
      </w:r>
      <w:r w:rsidRPr="00D476C3">
        <w:t xml:space="preserve"> were excluded from P</w:t>
      </w:r>
      <w:r w:rsidR="000418F9" w:rsidRPr="00D476C3">
        <w:t xml:space="preserve">hase III studies. One severe (and serious) case of ILD was reported in </w:t>
      </w:r>
      <w:r w:rsidRPr="00D476C3">
        <w:t xml:space="preserve">Study </w:t>
      </w:r>
      <w:r w:rsidR="000418F9" w:rsidRPr="00D476C3">
        <w:t xml:space="preserve">SA-105JP in </w:t>
      </w:r>
      <w:r w:rsidR="00E35EED">
        <w:t>rheumatoid arthritis</w:t>
      </w:r>
      <w:r w:rsidR="00E35EED" w:rsidRPr="00D476C3">
        <w:t xml:space="preserve"> </w:t>
      </w:r>
      <w:r w:rsidR="000418F9" w:rsidRPr="00D476C3">
        <w:t xml:space="preserve">after 120 mg SC </w:t>
      </w:r>
      <w:proofErr w:type="spellStart"/>
      <w:r w:rsidR="000418F9" w:rsidRPr="00D476C3">
        <w:t>satralizumab</w:t>
      </w:r>
      <w:proofErr w:type="spellEnd"/>
      <w:r w:rsidR="000418F9" w:rsidRPr="00D476C3">
        <w:t xml:space="preserve"> dosing. ILD has also been reported with tocilizumab exposure. Since </w:t>
      </w:r>
      <w:proofErr w:type="spellStart"/>
      <w:r w:rsidR="00B842FA">
        <w:t>satralizumab</w:t>
      </w:r>
      <w:proofErr w:type="spellEnd"/>
      <w:r w:rsidR="000418F9" w:rsidRPr="00D476C3">
        <w:t xml:space="preserve"> was genetically engineered like tocilizumab, potential develop</w:t>
      </w:r>
      <w:r w:rsidRPr="00D476C3">
        <w:t>ment of ILD cannot be ruled out.</w:t>
      </w:r>
    </w:p>
    <w:p w14:paraId="5F6C5365" w14:textId="77777777" w:rsidR="000418F9" w:rsidRPr="00D476C3" w:rsidRDefault="000418F9" w:rsidP="000418F9">
      <w:pPr>
        <w:rPr>
          <w:b/>
        </w:rPr>
      </w:pPr>
      <w:r w:rsidRPr="00D476C3">
        <w:t xml:space="preserve">No important identified risks were associated with </w:t>
      </w:r>
      <w:proofErr w:type="spellStart"/>
      <w:r w:rsidR="00B842FA">
        <w:t>satralizumab</w:t>
      </w:r>
      <w:proofErr w:type="spellEnd"/>
      <w:r w:rsidRPr="00D476C3">
        <w:t xml:space="preserve"> exposure in NMO/NMOSD subjects and, also no new </w:t>
      </w:r>
      <w:r w:rsidR="001E165B">
        <w:t>safety signals were identified.</w:t>
      </w:r>
    </w:p>
    <w:p w14:paraId="59C824F4" w14:textId="77777777" w:rsidR="007B6132" w:rsidRDefault="007B6132" w:rsidP="00555280">
      <w:pPr>
        <w:pStyle w:val="Heading4"/>
      </w:pPr>
      <w:r w:rsidRPr="007B6132">
        <w:t>Clinical evaluator’s recommendation</w:t>
      </w:r>
    </w:p>
    <w:p w14:paraId="6E3E879E" w14:textId="77777777" w:rsidR="001E165B" w:rsidRPr="00456765" w:rsidRDefault="001E165B" w:rsidP="001E165B">
      <w:r w:rsidRPr="005B30A7">
        <w:t xml:space="preserve">The benefit-risk balance of </w:t>
      </w:r>
      <w:proofErr w:type="spellStart"/>
      <w:r w:rsidR="00B842FA">
        <w:t>satralizumab</w:t>
      </w:r>
      <w:proofErr w:type="spellEnd"/>
      <w:r w:rsidRPr="005B30A7">
        <w:t xml:space="preserve"> is gene</w:t>
      </w:r>
      <w:r w:rsidR="006C068E">
        <w:t xml:space="preserve">rally positive for use as first </w:t>
      </w:r>
      <w:r w:rsidRPr="005B30A7">
        <w:t xml:space="preserve">line monotherapy treatment, and adjunctive treatment with ISTs, in adults with NMO who </w:t>
      </w:r>
      <w:proofErr w:type="gramStart"/>
      <w:r w:rsidRPr="005B30A7">
        <w:t>are anti-</w:t>
      </w:r>
      <w:r w:rsidR="005766CB">
        <w:t>AQP4-</w:t>
      </w:r>
      <w:r w:rsidR="008C4D57">
        <w:t>IgG</w:t>
      </w:r>
      <w:proofErr w:type="gramEnd"/>
      <w:r w:rsidR="008C4D57">
        <w:t xml:space="preserve"> positive</w:t>
      </w:r>
      <w:r w:rsidRPr="005B30A7">
        <w:t xml:space="preserve"> and NMOSD</w:t>
      </w:r>
      <w:r>
        <w:t>.</w:t>
      </w:r>
    </w:p>
    <w:p w14:paraId="6FE5B693" w14:textId="77777777" w:rsidR="008E7846" w:rsidRDefault="00386150" w:rsidP="007B6132">
      <w:pPr>
        <w:pStyle w:val="Heading3"/>
        <w:rPr>
          <w:lang w:eastAsia="en-AU"/>
        </w:rPr>
      </w:pPr>
      <w:bookmarkStart w:id="53" w:name="_Toc77162698"/>
      <w:r>
        <w:rPr>
          <w:lang w:eastAsia="en-AU"/>
        </w:rPr>
        <w:lastRenderedPageBreak/>
        <w:t>Risk m</w:t>
      </w:r>
      <w:r w:rsidR="008E7846">
        <w:rPr>
          <w:lang w:eastAsia="en-AU"/>
        </w:rPr>
        <w:t xml:space="preserve">anagement </w:t>
      </w:r>
      <w:r>
        <w:rPr>
          <w:lang w:eastAsia="en-AU"/>
        </w:rPr>
        <w:t>p</w:t>
      </w:r>
      <w:r w:rsidR="008E7846">
        <w:rPr>
          <w:lang w:eastAsia="en-AU"/>
        </w:rPr>
        <w:t>lan</w:t>
      </w:r>
      <w:bookmarkEnd w:id="42"/>
      <w:bookmarkEnd w:id="53"/>
    </w:p>
    <w:p w14:paraId="5A9A211C" w14:textId="152DBEBA" w:rsidR="007D53B6" w:rsidRDefault="007D53B6" w:rsidP="007D53B6">
      <w:r>
        <w:t>The summary of safety concerns and their associated risk monitoring and mitigation stra</w:t>
      </w:r>
      <w:r w:rsidR="00F75765">
        <w:t xml:space="preserve">tegies are summarised in </w:t>
      </w:r>
      <w:r w:rsidR="00F75765">
        <w:fldChar w:fldCharType="begin"/>
      </w:r>
      <w:r w:rsidR="00F75765">
        <w:instrText xml:space="preserve"> REF _Ref74820552 \h </w:instrText>
      </w:r>
      <w:r w:rsidR="00F75765">
        <w:fldChar w:fldCharType="separate"/>
      </w:r>
      <w:r w:rsidR="009340CF" w:rsidRPr="00F75765">
        <w:t xml:space="preserve">Table </w:t>
      </w:r>
      <w:r w:rsidR="009340CF">
        <w:rPr>
          <w:noProof/>
        </w:rPr>
        <w:t>12</w:t>
      </w:r>
      <w:r w:rsidR="00F75765">
        <w:fldChar w:fldCharType="end"/>
      </w:r>
      <w:r>
        <w:t>.</w:t>
      </w:r>
      <w:r>
        <w:rPr>
          <w:rStyle w:val="FootnoteReference"/>
        </w:rPr>
        <w:footnoteReference w:id="10"/>
      </w:r>
    </w:p>
    <w:p w14:paraId="65F504D0" w14:textId="77777777" w:rsidR="00D527DF" w:rsidRPr="00D527DF" w:rsidRDefault="00D527DF" w:rsidP="00D527DF">
      <w:pPr>
        <w:pStyle w:val="ListBullet"/>
      </w:pPr>
      <w:bookmarkStart w:id="54" w:name="_Toc247691531"/>
      <w:bookmarkStart w:id="55" w:name="_Toc314842515"/>
      <w:bookmarkStart w:id="56" w:name="_Toc196046505"/>
      <w:bookmarkStart w:id="57" w:name="_Toc196046949"/>
      <w:r w:rsidRPr="00D527DF">
        <w:t xml:space="preserve">Roche Products Pty Ltd submitted EU-RMP version 1.0 (dated 30 July 2019; DLP 18 July 2019) and ASA version 1.0 (dated October 2019) in support of the initial application. </w:t>
      </w:r>
    </w:p>
    <w:p w14:paraId="03C69102" w14:textId="77777777" w:rsidR="00D527DF" w:rsidRPr="00D527DF" w:rsidRDefault="00D527DF" w:rsidP="00D527DF">
      <w:pPr>
        <w:pStyle w:val="ListBullet"/>
      </w:pPr>
      <w:r w:rsidRPr="00D527DF">
        <w:t xml:space="preserve">In response </w:t>
      </w:r>
      <w:r>
        <w:t>to recommendation in the second round</w:t>
      </w:r>
      <w:r w:rsidRPr="00D527DF">
        <w:t xml:space="preserve"> </w:t>
      </w:r>
      <w:r>
        <w:t xml:space="preserve">of </w:t>
      </w:r>
      <w:r w:rsidRPr="00D527DF">
        <w:t>RMP evaluation report, sponsor has provided ASA version 1.1 (dated August 2020).</w:t>
      </w:r>
    </w:p>
    <w:p w14:paraId="73B5AD59" w14:textId="77777777" w:rsidR="00D527DF" w:rsidRPr="00D527DF" w:rsidRDefault="00D527DF" w:rsidP="00D527DF">
      <w:pPr>
        <w:pStyle w:val="ListBullet"/>
      </w:pPr>
      <w:r w:rsidRPr="00D527DF">
        <w:t>In response to negotiations with the Delegate, ACM recommendations and recommendations from the RMP evaluator, sponsor provided ASA version 1.2 (dated August 2020).</w:t>
      </w:r>
    </w:p>
    <w:p w14:paraId="1BC8354E" w14:textId="77777777" w:rsidR="00D527DF" w:rsidRPr="00D527DF" w:rsidRDefault="00D527DF" w:rsidP="00D527DF">
      <w:pPr>
        <w:pStyle w:val="ListBullet"/>
      </w:pPr>
      <w:r w:rsidRPr="00D527DF">
        <w:t>In response t</w:t>
      </w:r>
      <w:r>
        <w:t>o recommendations in the fourth round of</w:t>
      </w:r>
      <w:r w:rsidRPr="00D527DF">
        <w:t xml:space="preserve"> RMP evaluation report, sponsor has provided ASA version 1.3 (dated November 2020).</w:t>
      </w:r>
    </w:p>
    <w:p w14:paraId="6AB1C27B" w14:textId="77777777" w:rsidR="00D527DF" w:rsidRDefault="00D527DF" w:rsidP="00D527DF">
      <w:pPr>
        <w:pStyle w:val="ListBullet"/>
      </w:pPr>
      <w:r w:rsidRPr="00D527DF">
        <w:t xml:space="preserve">Sponsor has provided ASA version 1.4 (dated December 2020) </w:t>
      </w:r>
      <w:r>
        <w:t>with the response to the fifth round of</w:t>
      </w:r>
      <w:r w:rsidRPr="00D527DF">
        <w:t xml:space="preserve"> RMP evaluation report.</w:t>
      </w:r>
    </w:p>
    <w:p w14:paraId="407EDE06" w14:textId="420C4F1C" w:rsidR="00F75765" w:rsidRDefault="00F75765" w:rsidP="00F75765">
      <w:pPr>
        <w:pStyle w:val="TableTitle"/>
      </w:pPr>
      <w:bookmarkStart w:id="58" w:name="_Ref74820552"/>
      <w:r w:rsidRPr="00F75765">
        <w:t xml:space="preserve">Table </w:t>
      </w:r>
      <w:fldSimple w:instr=" SEQ Table \* ARABIC ">
        <w:r w:rsidR="009340CF">
          <w:rPr>
            <w:noProof/>
          </w:rPr>
          <w:t>12</w:t>
        </w:r>
      </w:fldSimple>
      <w:bookmarkEnd w:id="58"/>
      <w:r>
        <w:t xml:space="preserve">: Summary of safety concerns and their </w:t>
      </w:r>
      <w:r w:rsidRPr="00F75765">
        <w:t>associated risk monitoring and mitigation strategies</w:t>
      </w:r>
    </w:p>
    <w:tbl>
      <w:tblPr>
        <w:tblStyle w:val="TableTGAblue"/>
        <w:tblW w:w="5000" w:type="pct"/>
        <w:tblLook w:val="04A0" w:firstRow="1" w:lastRow="0" w:firstColumn="1" w:lastColumn="0" w:noHBand="0" w:noVBand="1"/>
      </w:tblPr>
      <w:tblGrid>
        <w:gridCol w:w="1612"/>
        <w:gridCol w:w="2004"/>
        <w:gridCol w:w="992"/>
        <w:gridCol w:w="1362"/>
        <w:gridCol w:w="1162"/>
        <w:gridCol w:w="1362"/>
      </w:tblGrid>
      <w:tr w:rsidR="00D527DF" w:rsidRPr="00753960" w14:paraId="6C69C884" w14:textId="77777777" w:rsidTr="00D527DF">
        <w:trPr>
          <w:cnfStyle w:val="100000000000" w:firstRow="1" w:lastRow="0" w:firstColumn="0" w:lastColumn="0" w:oddVBand="0" w:evenVBand="0" w:oddHBand="0" w:evenHBand="0" w:firstRowFirstColumn="0" w:firstRowLastColumn="0" w:lastRowFirstColumn="0" w:lastRowLastColumn="0"/>
          <w:trHeight w:val="131"/>
        </w:trPr>
        <w:tc>
          <w:tcPr>
            <w:tcW w:w="2129" w:type="pct"/>
            <w:gridSpan w:val="2"/>
            <w:vMerge w:val="restart"/>
            <w:tcBorders>
              <w:top w:val="single" w:sz="4" w:space="0" w:color="auto"/>
              <w:left w:val="single" w:sz="4" w:space="0" w:color="auto"/>
              <w:bottom w:val="single" w:sz="4" w:space="0" w:color="auto"/>
              <w:right w:val="single" w:sz="4" w:space="0" w:color="auto"/>
            </w:tcBorders>
          </w:tcPr>
          <w:p w14:paraId="5E1850E3" w14:textId="77777777" w:rsidR="00D527DF" w:rsidRPr="00D527DF" w:rsidRDefault="00D527DF" w:rsidP="00DE0450">
            <w:pPr>
              <w:pStyle w:val="Tabletext"/>
              <w:rPr>
                <w:b w:val="0"/>
              </w:rPr>
            </w:pPr>
            <w:r w:rsidRPr="00D527DF">
              <w:t>Summary of safety concerns</w:t>
            </w:r>
          </w:p>
        </w:tc>
        <w:tc>
          <w:tcPr>
            <w:tcW w:w="1386" w:type="pct"/>
            <w:gridSpan w:val="2"/>
            <w:tcBorders>
              <w:top w:val="single" w:sz="4" w:space="0" w:color="auto"/>
              <w:left w:val="single" w:sz="4" w:space="0" w:color="auto"/>
              <w:bottom w:val="single" w:sz="4" w:space="0" w:color="auto"/>
              <w:right w:val="single" w:sz="4" w:space="0" w:color="auto"/>
            </w:tcBorders>
          </w:tcPr>
          <w:p w14:paraId="65E403F5" w14:textId="77777777" w:rsidR="00D527DF" w:rsidRPr="00D527DF" w:rsidRDefault="00D527DF" w:rsidP="00DE0450">
            <w:pPr>
              <w:pStyle w:val="Tabletext"/>
              <w:rPr>
                <w:b w:val="0"/>
                <w:sz w:val="18"/>
              </w:rPr>
            </w:pPr>
            <w:r w:rsidRPr="00D527DF">
              <w:rPr>
                <w:sz w:val="18"/>
              </w:rPr>
              <w:t>Pharmacovigilance</w:t>
            </w:r>
          </w:p>
        </w:tc>
        <w:tc>
          <w:tcPr>
            <w:tcW w:w="1486" w:type="pct"/>
            <w:gridSpan w:val="2"/>
            <w:tcBorders>
              <w:top w:val="single" w:sz="4" w:space="0" w:color="auto"/>
              <w:left w:val="single" w:sz="4" w:space="0" w:color="auto"/>
              <w:bottom w:val="single" w:sz="4" w:space="0" w:color="auto"/>
              <w:right w:val="single" w:sz="4" w:space="0" w:color="auto"/>
            </w:tcBorders>
          </w:tcPr>
          <w:p w14:paraId="7778B2A1" w14:textId="77777777" w:rsidR="00D527DF" w:rsidRPr="00D527DF" w:rsidRDefault="00D527DF" w:rsidP="00DE0450">
            <w:pPr>
              <w:pStyle w:val="Tabletext"/>
              <w:rPr>
                <w:b w:val="0"/>
                <w:sz w:val="18"/>
              </w:rPr>
            </w:pPr>
            <w:r w:rsidRPr="00D527DF">
              <w:rPr>
                <w:sz w:val="18"/>
              </w:rPr>
              <w:t>Risk Minimisation</w:t>
            </w:r>
          </w:p>
        </w:tc>
      </w:tr>
      <w:tr w:rsidR="00D527DF" w:rsidRPr="00753960" w14:paraId="36E31C1B" w14:textId="77777777" w:rsidTr="00D527DF">
        <w:trPr>
          <w:trHeight w:val="150"/>
        </w:trPr>
        <w:tc>
          <w:tcPr>
            <w:tcW w:w="2129" w:type="pct"/>
            <w:gridSpan w:val="2"/>
            <w:vMerge/>
            <w:tcBorders>
              <w:top w:val="single" w:sz="4" w:space="0" w:color="auto"/>
              <w:left w:val="single" w:sz="4" w:space="0" w:color="auto"/>
              <w:bottom w:val="single" w:sz="4" w:space="0" w:color="auto"/>
              <w:right w:val="single" w:sz="4" w:space="0" w:color="auto"/>
            </w:tcBorders>
          </w:tcPr>
          <w:p w14:paraId="313E5DE0" w14:textId="77777777" w:rsidR="00D527DF" w:rsidRPr="00D527DF" w:rsidRDefault="00D527DF" w:rsidP="00DE0450">
            <w:pPr>
              <w:pStyle w:val="Tabletext"/>
              <w:rPr>
                <w:b/>
                <w:color w:val="FFFFFF" w:themeColor="background1"/>
              </w:rPr>
            </w:pP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40A41FD5" w14:textId="77777777" w:rsidR="00D527DF" w:rsidRPr="00D527DF" w:rsidRDefault="00D527DF" w:rsidP="00D527DF">
            <w:pPr>
              <w:pStyle w:val="Tabletext"/>
              <w:ind w:left="0"/>
              <w:rPr>
                <w:color w:val="FFFFFF" w:themeColor="background1"/>
                <w:sz w:val="18"/>
              </w:rPr>
            </w:pPr>
            <w:r w:rsidRPr="00D527DF">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736616D3" w14:textId="77777777" w:rsidR="00D527DF" w:rsidRPr="00D527DF" w:rsidRDefault="00D527DF" w:rsidP="00DE0450">
            <w:pPr>
              <w:pStyle w:val="Tabletext"/>
              <w:rPr>
                <w:color w:val="FFFFFF" w:themeColor="background1"/>
                <w:sz w:val="18"/>
              </w:rPr>
            </w:pPr>
            <w:r w:rsidRPr="00D527DF">
              <w:rPr>
                <w:color w:val="FFFFFF" w:themeColor="background1"/>
                <w:sz w:val="18"/>
              </w:rPr>
              <w:t>Additional</w:t>
            </w:r>
          </w:p>
        </w:tc>
        <w:tc>
          <w:tcPr>
            <w:tcW w:w="684" w:type="pct"/>
            <w:tcBorders>
              <w:top w:val="single" w:sz="4" w:space="0" w:color="auto"/>
              <w:left w:val="single" w:sz="4" w:space="0" w:color="auto"/>
              <w:bottom w:val="single" w:sz="4" w:space="0" w:color="auto"/>
              <w:right w:val="single" w:sz="4" w:space="0" w:color="auto"/>
            </w:tcBorders>
            <w:shd w:val="clear" w:color="auto" w:fill="006DA7"/>
          </w:tcPr>
          <w:p w14:paraId="2E86A4CC" w14:textId="77777777" w:rsidR="00D527DF" w:rsidRPr="00D527DF" w:rsidRDefault="00D527DF" w:rsidP="00DE0450">
            <w:pPr>
              <w:pStyle w:val="Tabletext"/>
              <w:rPr>
                <w:color w:val="FFFFFF" w:themeColor="background1"/>
                <w:sz w:val="18"/>
              </w:rPr>
            </w:pPr>
            <w:r w:rsidRPr="00D527DF">
              <w:rPr>
                <w:color w:val="FFFFFF" w:themeColor="background1"/>
                <w:sz w:val="18"/>
              </w:rPr>
              <w:t>Routine</w:t>
            </w:r>
          </w:p>
        </w:tc>
        <w:tc>
          <w:tcPr>
            <w:tcW w:w="802" w:type="pct"/>
            <w:tcBorders>
              <w:top w:val="single" w:sz="4" w:space="0" w:color="auto"/>
              <w:left w:val="single" w:sz="4" w:space="0" w:color="auto"/>
              <w:bottom w:val="single" w:sz="4" w:space="0" w:color="auto"/>
              <w:right w:val="single" w:sz="4" w:space="0" w:color="auto"/>
            </w:tcBorders>
            <w:shd w:val="clear" w:color="auto" w:fill="006DA7"/>
          </w:tcPr>
          <w:p w14:paraId="7E6D0198" w14:textId="77777777" w:rsidR="00D527DF" w:rsidRPr="00D527DF" w:rsidRDefault="00D527DF" w:rsidP="00DE0450">
            <w:pPr>
              <w:pStyle w:val="Tabletext"/>
              <w:rPr>
                <w:color w:val="FFFFFF" w:themeColor="background1"/>
                <w:sz w:val="18"/>
              </w:rPr>
            </w:pPr>
            <w:r w:rsidRPr="00D527DF">
              <w:rPr>
                <w:color w:val="FFFFFF" w:themeColor="background1"/>
                <w:sz w:val="18"/>
              </w:rPr>
              <w:t>Additional</w:t>
            </w:r>
          </w:p>
        </w:tc>
      </w:tr>
      <w:tr w:rsidR="00D527DF" w:rsidRPr="00753960" w14:paraId="690383CC" w14:textId="77777777" w:rsidTr="00D527DF">
        <w:trPr>
          <w:trHeight w:val="551"/>
        </w:trPr>
        <w:tc>
          <w:tcPr>
            <w:tcW w:w="949" w:type="pct"/>
            <w:tcBorders>
              <w:top w:val="single" w:sz="4" w:space="0" w:color="auto"/>
            </w:tcBorders>
          </w:tcPr>
          <w:p w14:paraId="41BA0343" w14:textId="77777777" w:rsidR="00D527DF" w:rsidRPr="00753960" w:rsidRDefault="00D527DF" w:rsidP="00DE0450">
            <w:pPr>
              <w:pStyle w:val="Tabletext"/>
              <w:rPr>
                <w:b/>
              </w:rPr>
            </w:pPr>
            <w:r w:rsidRPr="00753960">
              <w:rPr>
                <w:b/>
              </w:rPr>
              <w:t>Important identified risks</w:t>
            </w:r>
          </w:p>
        </w:tc>
        <w:tc>
          <w:tcPr>
            <w:tcW w:w="1180" w:type="pct"/>
            <w:tcBorders>
              <w:top w:val="single" w:sz="4" w:space="0" w:color="auto"/>
            </w:tcBorders>
          </w:tcPr>
          <w:p w14:paraId="181BF7CF" w14:textId="77777777" w:rsidR="00D527DF" w:rsidRPr="00753960" w:rsidRDefault="00D527DF" w:rsidP="00DE0450">
            <w:pPr>
              <w:pStyle w:val="Tabletext"/>
            </w:pPr>
            <w:r w:rsidRPr="00753960">
              <w:t xml:space="preserve">None </w:t>
            </w:r>
          </w:p>
        </w:tc>
        <w:tc>
          <w:tcPr>
            <w:tcW w:w="584" w:type="pct"/>
            <w:tcBorders>
              <w:top w:val="single" w:sz="4" w:space="0" w:color="auto"/>
            </w:tcBorders>
          </w:tcPr>
          <w:p w14:paraId="03FE8B35" w14:textId="77777777" w:rsidR="00D527DF" w:rsidRPr="00753960" w:rsidRDefault="00D527DF" w:rsidP="00DE0450">
            <w:pPr>
              <w:pStyle w:val="Tabletext"/>
              <w:jc w:val="center"/>
            </w:pPr>
            <w:r w:rsidRPr="00753960">
              <w:t>_</w:t>
            </w:r>
          </w:p>
        </w:tc>
        <w:tc>
          <w:tcPr>
            <w:tcW w:w="802" w:type="pct"/>
            <w:tcBorders>
              <w:top w:val="single" w:sz="4" w:space="0" w:color="auto"/>
            </w:tcBorders>
          </w:tcPr>
          <w:p w14:paraId="572F1CE9" w14:textId="77777777" w:rsidR="00D527DF" w:rsidRPr="00753960" w:rsidRDefault="00D527DF" w:rsidP="00DE0450">
            <w:pPr>
              <w:pStyle w:val="Tabletext"/>
              <w:jc w:val="center"/>
            </w:pPr>
            <w:r w:rsidRPr="00753960">
              <w:t>_</w:t>
            </w:r>
          </w:p>
        </w:tc>
        <w:tc>
          <w:tcPr>
            <w:tcW w:w="684" w:type="pct"/>
            <w:tcBorders>
              <w:top w:val="single" w:sz="4" w:space="0" w:color="auto"/>
            </w:tcBorders>
          </w:tcPr>
          <w:p w14:paraId="4574FA60" w14:textId="77777777" w:rsidR="00D527DF" w:rsidRPr="00753960" w:rsidRDefault="00D527DF" w:rsidP="00DE0450">
            <w:pPr>
              <w:pStyle w:val="Tabletext"/>
              <w:jc w:val="center"/>
            </w:pPr>
            <w:r w:rsidRPr="00753960">
              <w:t>_</w:t>
            </w:r>
          </w:p>
        </w:tc>
        <w:tc>
          <w:tcPr>
            <w:tcW w:w="802" w:type="pct"/>
            <w:tcBorders>
              <w:top w:val="single" w:sz="4" w:space="0" w:color="auto"/>
            </w:tcBorders>
          </w:tcPr>
          <w:p w14:paraId="33B605A6" w14:textId="77777777" w:rsidR="00D527DF" w:rsidRPr="00753960" w:rsidRDefault="00D527DF" w:rsidP="00DE0450">
            <w:pPr>
              <w:pStyle w:val="Tabletext"/>
              <w:jc w:val="center"/>
            </w:pPr>
            <w:r w:rsidRPr="00753960">
              <w:t>_</w:t>
            </w:r>
          </w:p>
        </w:tc>
      </w:tr>
      <w:tr w:rsidR="00D527DF" w:rsidRPr="00753960" w14:paraId="52AAD00D" w14:textId="77777777" w:rsidTr="00D527DF">
        <w:trPr>
          <w:trHeight w:val="459"/>
        </w:trPr>
        <w:tc>
          <w:tcPr>
            <w:tcW w:w="949" w:type="pct"/>
            <w:vMerge w:val="restart"/>
          </w:tcPr>
          <w:p w14:paraId="46E428C9" w14:textId="77777777" w:rsidR="00D527DF" w:rsidRPr="00753960" w:rsidRDefault="00D527DF" w:rsidP="00DE0450">
            <w:pPr>
              <w:pStyle w:val="Tabletext"/>
              <w:rPr>
                <w:b/>
              </w:rPr>
            </w:pPr>
            <w:r w:rsidRPr="00753960">
              <w:rPr>
                <w:b/>
              </w:rPr>
              <w:t>Important potential risks</w:t>
            </w:r>
          </w:p>
        </w:tc>
        <w:tc>
          <w:tcPr>
            <w:tcW w:w="1180" w:type="pct"/>
          </w:tcPr>
          <w:p w14:paraId="39FD94A4" w14:textId="77777777" w:rsidR="00D527DF" w:rsidRPr="00753960" w:rsidRDefault="00D527DF" w:rsidP="00DE0450">
            <w:pPr>
              <w:pStyle w:val="Tabletext"/>
            </w:pPr>
            <w:r w:rsidRPr="00753960">
              <w:t>Serious and opportunistic infections</w:t>
            </w:r>
          </w:p>
        </w:tc>
        <w:tc>
          <w:tcPr>
            <w:tcW w:w="584" w:type="pct"/>
          </w:tcPr>
          <w:p w14:paraId="503C2773" w14:textId="77777777" w:rsidR="00D527DF" w:rsidRPr="00753960" w:rsidRDefault="00D527DF" w:rsidP="00DE0450">
            <w:pPr>
              <w:pStyle w:val="Tabletext"/>
              <w:jc w:val="center"/>
            </w:pPr>
            <w:r w:rsidRPr="00753960">
              <w:sym w:font="Wingdings" w:char="F0FC"/>
            </w:r>
          </w:p>
        </w:tc>
        <w:tc>
          <w:tcPr>
            <w:tcW w:w="802" w:type="pct"/>
          </w:tcPr>
          <w:p w14:paraId="2EC258BF" w14:textId="77777777" w:rsidR="00D527DF" w:rsidRPr="00753960" w:rsidRDefault="00D527DF" w:rsidP="00DE0450">
            <w:pPr>
              <w:pStyle w:val="Tabletext"/>
              <w:jc w:val="center"/>
            </w:pPr>
            <w:r w:rsidRPr="00753960">
              <w:t>_</w:t>
            </w:r>
          </w:p>
        </w:tc>
        <w:tc>
          <w:tcPr>
            <w:tcW w:w="684" w:type="pct"/>
          </w:tcPr>
          <w:p w14:paraId="70D3556D" w14:textId="77777777" w:rsidR="00D527DF" w:rsidRPr="00753960" w:rsidRDefault="00D527DF" w:rsidP="00DE0450">
            <w:pPr>
              <w:pStyle w:val="Tabletext"/>
              <w:jc w:val="center"/>
            </w:pPr>
            <w:r w:rsidRPr="00753960">
              <w:sym w:font="Wingdings" w:char="F0FC"/>
            </w:r>
          </w:p>
        </w:tc>
        <w:tc>
          <w:tcPr>
            <w:tcW w:w="802" w:type="pct"/>
          </w:tcPr>
          <w:p w14:paraId="76811FB8" w14:textId="77777777" w:rsidR="00D527DF" w:rsidRPr="00753960" w:rsidRDefault="00D527DF" w:rsidP="00DE0450">
            <w:pPr>
              <w:pStyle w:val="Tabletext"/>
              <w:jc w:val="center"/>
              <w:rPr>
                <w:vertAlign w:val="superscript"/>
              </w:rPr>
            </w:pPr>
            <w:r w:rsidRPr="00753960">
              <w:sym w:font="Wingdings" w:char="F0FC"/>
            </w:r>
            <w:r w:rsidRPr="00753960">
              <w:rPr>
                <w:vertAlign w:val="superscript"/>
              </w:rPr>
              <w:t>1</w:t>
            </w:r>
          </w:p>
        </w:tc>
      </w:tr>
      <w:tr w:rsidR="00D527DF" w:rsidRPr="00753960" w14:paraId="5F71D56F" w14:textId="77777777" w:rsidTr="00D527DF">
        <w:trPr>
          <w:trHeight w:val="363"/>
        </w:trPr>
        <w:tc>
          <w:tcPr>
            <w:tcW w:w="949" w:type="pct"/>
            <w:vMerge/>
          </w:tcPr>
          <w:p w14:paraId="7DFC6673" w14:textId="77777777" w:rsidR="00D527DF" w:rsidRPr="00753960" w:rsidRDefault="00D527DF" w:rsidP="00DE0450">
            <w:pPr>
              <w:pStyle w:val="Tabletext"/>
              <w:rPr>
                <w:b/>
              </w:rPr>
            </w:pPr>
          </w:p>
        </w:tc>
        <w:tc>
          <w:tcPr>
            <w:tcW w:w="1180" w:type="pct"/>
          </w:tcPr>
          <w:p w14:paraId="56F340EA" w14:textId="77777777" w:rsidR="00D527DF" w:rsidRPr="00753960" w:rsidRDefault="00D527DF" w:rsidP="00DE0450">
            <w:pPr>
              <w:pStyle w:val="Tabletext"/>
            </w:pPr>
            <w:r w:rsidRPr="00753960">
              <w:t>Bleeding events</w:t>
            </w:r>
          </w:p>
        </w:tc>
        <w:tc>
          <w:tcPr>
            <w:tcW w:w="584" w:type="pct"/>
          </w:tcPr>
          <w:p w14:paraId="4D0E23A7" w14:textId="77777777" w:rsidR="00D527DF" w:rsidRPr="00753960" w:rsidRDefault="00D527DF" w:rsidP="00DE0450">
            <w:pPr>
              <w:pStyle w:val="Tabletext"/>
              <w:jc w:val="center"/>
            </w:pPr>
            <w:r w:rsidRPr="00753960">
              <w:sym w:font="Wingdings" w:char="F0FC"/>
            </w:r>
          </w:p>
        </w:tc>
        <w:tc>
          <w:tcPr>
            <w:tcW w:w="802" w:type="pct"/>
          </w:tcPr>
          <w:p w14:paraId="327AA4EC" w14:textId="77777777" w:rsidR="00D527DF" w:rsidRPr="00753960" w:rsidRDefault="00D527DF" w:rsidP="00DE0450">
            <w:pPr>
              <w:pStyle w:val="Tabletext"/>
              <w:jc w:val="center"/>
            </w:pPr>
            <w:r w:rsidRPr="00753960">
              <w:t>_</w:t>
            </w:r>
          </w:p>
        </w:tc>
        <w:tc>
          <w:tcPr>
            <w:tcW w:w="684" w:type="pct"/>
          </w:tcPr>
          <w:p w14:paraId="2615B0C0" w14:textId="77777777" w:rsidR="00D527DF" w:rsidRPr="00753960" w:rsidRDefault="00D527DF" w:rsidP="00DE0450">
            <w:pPr>
              <w:pStyle w:val="Tabletext"/>
              <w:jc w:val="center"/>
            </w:pPr>
            <w:r w:rsidRPr="00753960">
              <w:sym w:font="Wingdings" w:char="F0FC"/>
            </w:r>
          </w:p>
        </w:tc>
        <w:tc>
          <w:tcPr>
            <w:tcW w:w="802" w:type="pct"/>
          </w:tcPr>
          <w:p w14:paraId="292A8660" w14:textId="77777777" w:rsidR="00D527DF" w:rsidRPr="00753960" w:rsidRDefault="00D527DF" w:rsidP="00DE0450">
            <w:pPr>
              <w:pStyle w:val="Tabletext"/>
              <w:jc w:val="center"/>
            </w:pPr>
            <w:r w:rsidRPr="00753960">
              <w:sym w:font="Wingdings" w:char="F0FC"/>
            </w:r>
            <w:r w:rsidRPr="00753960">
              <w:rPr>
                <w:vertAlign w:val="superscript"/>
              </w:rPr>
              <w:t>1</w:t>
            </w:r>
          </w:p>
        </w:tc>
      </w:tr>
      <w:tr w:rsidR="00D527DF" w:rsidRPr="00753960" w14:paraId="3AD31142" w14:textId="77777777" w:rsidTr="00D527DF">
        <w:trPr>
          <w:trHeight w:val="553"/>
        </w:trPr>
        <w:tc>
          <w:tcPr>
            <w:tcW w:w="949" w:type="pct"/>
            <w:vMerge/>
          </w:tcPr>
          <w:p w14:paraId="2D15E4E2" w14:textId="77777777" w:rsidR="00D527DF" w:rsidRPr="00753960" w:rsidRDefault="00D527DF" w:rsidP="00DE0450">
            <w:pPr>
              <w:pStyle w:val="Tabletext"/>
              <w:rPr>
                <w:b/>
              </w:rPr>
            </w:pPr>
          </w:p>
        </w:tc>
        <w:tc>
          <w:tcPr>
            <w:tcW w:w="1180" w:type="pct"/>
          </w:tcPr>
          <w:p w14:paraId="3BFA789C" w14:textId="77777777" w:rsidR="00D527DF" w:rsidRPr="00753960" w:rsidRDefault="00D527DF" w:rsidP="00DE0450">
            <w:pPr>
              <w:pStyle w:val="Tabletext"/>
            </w:pPr>
            <w:r w:rsidRPr="00753960">
              <w:t>Malignancies: incidence of skin cancers (melanoma and non-melanoma)</w:t>
            </w:r>
          </w:p>
        </w:tc>
        <w:tc>
          <w:tcPr>
            <w:tcW w:w="584" w:type="pct"/>
          </w:tcPr>
          <w:p w14:paraId="12F1CF97" w14:textId="77777777" w:rsidR="00D527DF" w:rsidRPr="00753960" w:rsidRDefault="00D527DF" w:rsidP="00DE0450">
            <w:pPr>
              <w:pStyle w:val="Tabletext"/>
              <w:jc w:val="center"/>
            </w:pPr>
            <w:r w:rsidRPr="00753960">
              <w:sym w:font="Wingdings" w:char="F0FC"/>
            </w:r>
          </w:p>
        </w:tc>
        <w:tc>
          <w:tcPr>
            <w:tcW w:w="802" w:type="pct"/>
          </w:tcPr>
          <w:p w14:paraId="61B5A24E" w14:textId="77777777" w:rsidR="00D527DF" w:rsidRPr="00753960" w:rsidRDefault="00D527DF" w:rsidP="00DE0450">
            <w:pPr>
              <w:pStyle w:val="Tabletext"/>
              <w:jc w:val="center"/>
            </w:pPr>
            <w:r w:rsidRPr="00753960">
              <w:t>_</w:t>
            </w:r>
          </w:p>
        </w:tc>
        <w:tc>
          <w:tcPr>
            <w:tcW w:w="684" w:type="pct"/>
          </w:tcPr>
          <w:p w14:paraId="10206AFF" w14:textId="77777777" w:rsidR="00D527DF" w:rsidRPr="00753960" w:rsidRDefault="00D527DF" w:rsidP="00DE0450">
            <w:pPr>
              <w:pStyle w:val="Tabletext"/>
              <w:jc w:val="center"/>
            </w:pPr>
            <w:r w:rsidRPr="00753960">
              <w:t>_</w:t>
            </w:r>
          </w:p>
        </w:tc>
        <w:tc>
          <w:tcPr>
            <w:tcW w:w="802" w:type="pct"/>
          </w:tcPr>
          <w:p w14:paraId="46B57840" w14:textId="77777777" w:rsidR="00D527DF" w:rsidRPr="00753960" w:rsidRDefault="00D527DF" w:rsidP="00DE0450">
            <w:pPr>
              <w:pStyle w:val="Tabletext"/>
              <w:jc w:val="center"/>
            </w:pPr>
            <w:r w:rsidRPr="00753960">
              <w:sym w:font="Wingdings" w:char="F0FC"/>
            </w:r>
            <w:r w:rsidRPr="00753960">
              <w:rPr>
                <w:vertAlign w:val="superscript"/>
              </w:rPr>
              <w:t>1</w:t>
            </w:r>
          </w:p>
        </w:tc>
      </w:tr>
      <w:tr w:rsidR="00D527DF" w:rsidRPr="00753960" w14:paraId="3BABA258" w14:textId="77777777" w:rsidTr="00D527DF">
        <w:trPr>
          <w:trHeight w:val="465"/>
        </w:trPr>
        <w:tc>
          <w:tcPr>
            <w:tcW w:w="949" w:type="pct"/>
            <w:vMerge/>
          </w:tcPr>
          <w:p w14:paraId="4E49DAEE" w14:textId="77777777" w:rsidR="00D527DF" w:rsidRPr="00753960" w:rsidRDefault="00D527DF" w:rsidP="00DE0450">
            <w:pPr>
              <w:pStyle w:val="Tabletext"/>
              <w:rPr>
                <w:b/>
              </w:rPr>
            </w:pPr>
          </w:p>
        </w:tc>
        <w:tc>
          <w:tcPr>
            <w:tcW w:w="1180" w:type="pct"/>
          </w:tcPr>
          <w:p w14:paraId="0260C105" w14:textId="77777777" w:rsidR="00D527DF" w:rsidRPr="00753960" w:rsidRDefault="00D527DF" w:rsidP="00DE0450">
            <w:pPr>
              <w:pStyle w:val="Tabletext"/>
            </w:pPr>
            <w:r w:rsidRPr="00753960">
              <w:t>Hepatotoxicity</w:t>
            </w:r>
          </w:p>
        </w:tc>
        <w:tc>
          <w:tcPr>
            <w:tcW w:w="584" w:type="pct"/>
          </w:tcPr>
          <w:p w14:paraId="54D98726" w14:textId="77777777" w:rsidR="00D527DF" w:rsidRPr="00753960" w:rsidRDefault="00D527DF" w:rsidP="00DE0450">
            <w:pPr>
              <w:pStyle w:val="Tabletext"/>
              <w:jc w:val="center"/>
            </w:pPr>
            <w:r w:rsidRPr="00753960">
              <w:sym w:font="Wingdings" w:char="F0FC"/>
            </w:r>
          </w:p>
        </w:tc>
        <w:tc>
          <w:tcPr>
            <w:tcW w:w="802" w:type="pct"/>
          </w:tcPr>
          <w:p w14:paraId="3822AEB3" w14:textId="77777777" w:rsidR="00D527DF" w:rsidRPr="00753960" w:rsidRDefault="00D527DF" w:rsidP="00DE0450">
            <w:pPr>
              <w:pStyle w:val="Tabletext"/>
              <w:jc w:val="center"/>
            </w:pPr>
            <w:r w:rsidRPr="00753960">
              <w:t>_</w:t>
            </w:r>
          </w:p>
        </w:tc>
        <w:tc>
          <w:tcPr>
            <w:tcW w:w="684" w:type="pct"/>
          </w:tcPr>
          <w:p w14:paraId="2594D71B" w14:textId="77777777" w:rsidR="00D527DF" w:rsidRPr="00753960" w:rsidRDefault="00D527DF" w:rsidP="00DE0450">
            <w:pPr>
              <w:pStyle w:val="Tabletext"/>
              <w:jc w:val="center"/>
            </w:pPr>
            <w:r w:rsidRPr="00753960">
              <w:sym w:font="Wingdings" w:char="F0FC"/>
            </w:r>
          </w:p>
        </w:tc>
        <w:tc>
          <w:tcPr>
            <w:tcW w:w="802" w:type="pct"/>
          </w:tcPr>
          <w:p w14:paraId="5A0CE4A0" w14:textId="77777777" w:rsidR="00D527DF" w:rsidRPr="00753960" w:rsidRDefault="00D527DF" w:rsidP="00DE0450">
            <w:pPr>
              <w:pStyle w:val="Tabletext"/>
              <w:jc w:val="center"/>
            </w:pPr>
            <w:r w:rsidRPr="00753960">
              <w:sym w:font="Wingdings" w:char="F0FC"/>
            </w:r>
            <w:r w:rsidRPr="00753960">
              <w:rPr>
                <w:vertAlign w:val="superscript"/>
              </w:rPr>
              <w:t>1</w:t>
            </w:r>
          </w:p>
        </w:tc>
      </w:tr>
      <w:tr w:rsidR="00D527DF" w:rsidRPr="00753960" w14:paraId="44C2846F" w14:textId="77777777" w:rsidTr="00D527DF">
        <w:trPr>
          <w:trHeight w:val="415"/>
        </w:trPr>
        <w:tc>
          <w:tcPr>
            <w:tcW w:w="949" w:type="pct"/>
            <w:vMerge/>
          </w:tcPr>
          <w:p w14:paraId="427FEA1A" w14:textId="77777777" w:rsidR="00D527DF" w:rsidRPr="00753960" w:rsidRDefault="00D527DF" w:rsidP="00DE0450">
            <w:pPr>
              <w:pStyle w:val="Tabletext"/>
              <w:rPr>
                <w:b/>
              </w:rPr>
            </w:pPr>
          </w:p>
        </w:tc>
        <w:tc>
          <w:tcPr>
            <w:tcW w:w="1180" w:type="pct"/>
          </w:tcPr>
          <w:p w14:paraId="4044C302" w14:textId="77777777" w:rsidR="00D527DF" w:rsidRPr="00753960" w:rsidRDefault="00D527DF" w:rsidP="00DE0450">
            <w:pPr>
              <w:pStyle w:val="Tabletext"/>
            </w:pPr>
            <w:r w:rsidRPr="00753960">
              <w:t>Neutropenia</w:t>
            </w:r>
          </w:p>
        </w:tc>
        <w:tc>
          <w:tcPr>
            <w:tcW w:w="584" w:type="pct"/>
          </w:tcPr>
          <w:p w14:paraId="28F9FC38" w14:textId="77777777" w:rsidR="00D527DF" w:rsidRPr="00753960" w:rsidRDefault="00D527DF" w:rsidP="00DE0450">
            <w:pPr>
              <w:pStyle w:val="Tabletext"/>
              <w:jc w:val="center"/>
            </w:pPr>
            <w:r w:rsidRPr="00753960">
              <w:sym w:font="Wingdings" w:char="F0FC"/>
            </w:r>
          </w:p>
        </w:tc>
        <w:tc>
          <w:tcPr>
            <w:tcW w:w="802" w:type="pct"/>
          </w:tcPr>
          <w:p w14:paraId="194DB7AE" w14:textId="77777777" w:rsidR="00D527DF" w:rsidRPr="00753960" w:rsidRDefault="00D527DF" w:rsidP="00DE0450">
            <w:pPr>
              <w:pStyle w:val="Tabletext"/>
              <w:jc w:val="center"/>
            </w:pPr>
            <w:r w:rsidRPr="00753960">
              <w:t>_</w:t>
            </w:r>
          </w:p>
        </w:tc>
        <w:tc>
          <w:tcPr>
            <w:tcW w:w="684" w:type="pct"/>
          </w:tcPr>
          <w:p w14:paraId="558C3EB0" w14:textId="77777777" w:rsidR="00D527DF" w:rsidRPr="00753960" w:rsidRDefault="00D527DF" w:rsidP="00DE0450">
            <w:pPr>
              <w:pStyle w:val="Tabletext"/>
              <w:jc w:val="center"/>
            </w:pPr>
            <w:r w:rsidRPr="00753960">
              <w:sym w:font="Wingdings" w:char="F0FC"/>
            </w:r>
          </w:p>
        </w:tc>
        <w:tc>
          <w:tcPr>
            <w:tcW w:w="802" w:type="pct"/>
          </w:tcPr>
          <w:p w14:paraId="004DD3C9" w14:textId="77777777" w:rsidR="00D527DF" w:rsidRPr="00753960" w:rsidRDefault="00D527DF" w:rsidP="00DE0450">
            <w:pPr>
              <w:pStyle w:val="Tabletext"/>
              <w:jc w:val="center"/>
            </w:pPr>
            <w:r w:rsidRPr="00753960">
              <w:sym w:font="Wingdings" w:char="F0FC"/>
            </w:r>
            <w:r w:rsidRPr="00753960">
              <w:rPr>
                <w:vertAlign w:val="superscript"/>
              </w:rPr>
              <w:t>1</w:t>
            </w:r>
          </w:p>
        </w:tc>
      </w:tr>
      <w:tr w:rsidR="00D527DF" w:rsidRPr="00753960" w14:paraId="3D724A35" w14:textId="77777777" w:rsidTr="00D527DF">
        <w:trPr>
          <w:trHeight w:val="376"/>
        </w:trPr>
        <w:tc>
          <w:tcPr>
            <w:tcW w:w="949" w:type="pct"/>
            <w:vMerge/>
          </w:tcPr>
          <w:p w14:paraId="755F7BED" w14:textId="77777777" w:rsidR="00D527DF" w:rsidRPr="00753960" w:rsidRDefault="00D527DF" w:rsidP="00DE0450">
            <w:pPr>
              <w:pStyle w:val="Tabletext"/>
              <w:rPr>
                <w:b/>
              </w:rPr>
            </w:pPr>
          </w:p>
        </w:tc>
        <w:tc>
          <w:tcPr>
            <w:tcW w:w="1180" w:type="pct"/>
          </w:tcPr>
          <w:p w14:paraId="6B222702" w14:textId="77777777" w:rsidR="00D527DF" w:rsidRPr="00753960" w:rsidRDefault="00D527DF" w:rsidP="00DE0450">
            <w:pPr>
              <w:pStyle w:val="Tabletext"/>
            </w:pPr>
            <w:r w:rsidRPr="00753960">
              <w:t>Immunogenicity</w:t>
            </w:r>
          </w:p>
        </w:tc>
        <w:tc>
          <w:tcPr>
            <w:tcW w:w="584" w:type="pct"/>
          </w:tcPr>
          <w:p w14:paraId="183F77EE" w14:textId="77777777" w:rsidR="00D527DF" w:rsidRPr="00753960" w:rsidRDefault="00D527DF" w:rsidP="00DE0450">
            <w:pPr>
              <w:pStyle w:val="Tabletext"/>
              <w:jc w:val="center"/>
            </w:pPr>
            <w:r w:rsidRPr="00753960">
              <w:sym w:font="Wingdings" w:char="F0FC"/>
            </w:r>
          </w:p>
        </w:tc>
        <w:tc>
          <w:tcPr>
            <w:tcW w:w="802" w:type="pct"/>
          </w:tcPr>
          <w:p w14:paraId="55E8B735" w14:textId="77777777" w:rsidR="00D527DF" w:rsidRPr="00753960" w:rsidRDefault="00D527DF" w:rsidP="00DE0450">
            <w:pPr>
              <w:pStyle w:val="Tabletext"/>
              <w:jc w:val="center"/>
              <w:rPr>
                <w:vertAlign w:val="superscript"/>
              </w:rPr>
            </w:pPr>
            <w:r w:rsidRPr="00753960">
              <w:t>_</w:t>
            </w:r>
          </w:p>
        </w:tc>
        <w:tc>
          <w:tcPr>
            <w:tcW w:w="684" w:type="pct"/>
          </w:tcPr>
          <w:p w14:paraId="5BC94C9C" w14:textId="77777777" w:rsidR="00D527DF" w:rsidRPr="00753960" w:rsidRDefault="00D527DF" w:rsidP="00DE0450">
            <w:pPr>
              <w:pStyle w:val="Tabletext"/>
              <w:jc w:val="center"/>
            </w:pPr>
            <w:r w:rsidRPr="00753960">
              <w:sym w:font="Wingdings" w:char="F0FC"/>
            </w:r>
          </w:p>
        </w:tc>
        <w:tc>
          <w:tcPr>
            <w:tcW w:w="802" w:type="pct"/>
          </w:tcPr>
          <w:p w14:paraId="548CED23" w14:textId="77777777" w:rsidR="00D527DF" w:rsidRPr="00753960" w:rsidRDefault="00D527DF" w:rsidP="00DE0450">
            <w:pPr>
              <w:pStyle w:val="Tabletext"/>
              <w:jc w:val="center"/>
            </w:pPr>
            <w:r w:rsidRPr="00753960">
              <w:rPr>
                <w:color w:val="7030A0"/>
              </w:rPr>
              <w:sym w:font="Wingdings" w:char="F0FC"/>
            </w:r>
            <w:r w:rsidRPr="00753960">
              <w:rPr>
                <w:color w:val="7030A0"/>
                <w:vertAlign w:val="superscript"/>
              </w:rPr>
              <w:t>1</w:t>
            </w:r>
          </w:p>
        </w:tc>
      </w:tr>
      <w:tr w:rsidR="00D527DF" w:rsidRPr="00753960" w14:paraId="1DBE4BC2" w14:textId="77777777" w:rsidTr="00D527DF">
        <w:trPr>
          <w:trHeight w:val="409"/>
        </w:trPr>
        <w:tc>
          <w:tcPr>
            <w:tcW w:w="949" w:type="pct"/>
            <w:vMerge w:val="restart"/>
          </w:tcPr>
          <w:p w14:paraId="64959BB5" w14:textId="77777777" w:rsidR="00D527DF" w:rsidRPr="00753960" w:rsidRDefault="00D527DF" w:rsidP="00DE0450">
            <w:pPr>
              <w:pStyle w:val="Tabletext"/>
              <w:rPr>
                <w:b/>
              </w:rPr>
            </w:pPr>
            <w:r w:rsidRPr="00753960">
              <w:rPr>
                <w:b/>
              </w:rPr>
              <w:t>Missing information</w:t>
            </w:r>
          </w:p>
        </w:tc>
        <w:tc>
          <w:tcPr>
            <w:tcW w:w="1180" w:type="pct"/>
          </w:tcPr>
          <w:p w14:paraId="5A836165" w14:textId="77777777" w:rsidR="00D527DF" w:rsidRPr="00753960" w:rsidRDefault="00D527DF" w:rsidP="00DE0450">
            <w:pPr>
              <w:pStyle w:val="Tabletext"/>
            </w:pPr>
            <w:r w:rsidRPr="00753960">
              <w:t>Other demyelinating disorders</w:t>
            </w:r>
          </w:p>
        </w:tc>
        <w:tc>
          <w:tcPr>
            <w:tcW w:w="584" w:type="pct"/>
          </w:tcPr>
          <w:p w14:paraId="7D3C3615" w14:textId="77777777" w:rsidR="00D527DF" w:rsidRPr="00753960" w:rsidRDefault="00D527DF" w:rsidP="00DE0450">
            <w:pPr>
              <w:pStyle w:val="Tabletext"/>
              <w:jc w:val="center"/>
            </w:pPr>
            <w:r w:rsidRPr="00753960">
              <w:sym w:font="Wingdings" w:char="F0FC"/>
            </w:r>
          </w:p>
        </w:tc>
        <w:tc>
          <w:tcPr>
            <w:tcW w:w="802" w:type="pct"/>
          </w:tcPr>
          <w:p w14:paraId="09F3AE08" w14:textId="77777777" w:rsidR="00D527DF" w:rsidRPr="00753960" w:rsidRDefault="00D527DF" w:rsidP="00DE0450">
            <w:pPr>
              <w:pStyle w:val="Tabletext"/>
              <w:jc w:val="center"/>
            </w:pPr>
            <w:r w:rsidRPr="00753960">
              <w:t>_</w:t>
            </w:r>
          </w:p>
        </w:tc>
        <w:tc>
          <w:tcPr>
            <w:tcW w:w="684" w:type="pct"/>
          </w:tcPr>
          <w:p w14:paraId="646819AF" w14:textId="77777777" w:rsidR="00D527DF" w:rsidRPr="00753960" w:rsidRDefault="00D527DF" w:rsidP="00DE0450">
            <w:pPr>
              <w:pStyle w:val="Tabletext"/>
              <w:jc w:val="center"/>
            </w:pPr>
            <w:r w:rsidRPr="00753960">
              <w:t>_</w:t>
            </w:r>
          </w:p>
        </w:tc>
        <w:tc>
          <w:tcPr>
            <w:tcW w:w="802" w:type="pct"/>
          </w:tcPr>
          <w:p w14:paraId="08AE31EF" w14:textId="77777777" w:rsidR="00D527DF" w:rsidRPr="00753960" w:rsidRDefault="00D527DF" w:rsidP="00DE0450">
            <w:pPr>
              <w:pStyle w:val="Tabletext"/>
              <w:jc w:val="center"/>
            </w:pPr>
            <w:r w:rsidRPr="00753960">
              <w:t>_</w:t>
            </w:r>
          </w:p>
        </w:tc>
      </w:tr>
      <w:tr w:rsidR="00D527DF" w:rsidRPr="00753960" w14:paraId="55343FD1" w14:textId="77777777" w:rsidTr="00D527DF">
        <w:trPr>
          <w:trHeight w:val="415"/>
        </w:trPr>
        <w:tc>
          <w:tcPr>
            <w:tcW w:w="949" w:type="pct"/>
            <w:vMerge/>
          </w:tcPr>
          <w:p w14:paraId="286D1237" w14:textId="77777777" w:rsidR="00D527DF" w:rsidRPr="00753960" w:rsidRDefault="00D527DF" w:rsidP="00DE0450">
            <w:pPr>
              <w:pStyle w:val="Tabletext"/>
              <w:rPr>
                <w:b/>
              </w:rPr>
            </w:pPr>
          </w:p>
        </w:tc>
        <w:tc>
          <w:tcPr>
            <w:tcW w:w="1180" w:type="pct"/>
          </w:tcPr>
          <w:p w14:paraId="7B609F6B" w14:textId="77777777" w:rsidR="00D527DF" w:rsidRPr="00753960" w:rsidRDefault="00D527DF" w:rsidP="00DE0450">
            <w:pPr>
              <w:pStyle w:val="Tabletext"/>
            </w:pPr>
            <w:r w:rsidRPr="00753960">
              <w:t>Pregnancy and lactation</w:t>
            </w:r>
          </w:p>
        </w:tc>
        <w:tc>
          <w:tcPr>
            <w:tcW w:w="584" w:type="pct"/>
          </w:tcPr>
          <w:p w14:paraId="44D0CB19" w14:textId="77777777" w:rsidR="00D527DF" w:rsidRPr="00753960" w:rsidRDefault="00D527DF" w:rsidP="00DE0450">
            <w:pPr>
              <w:pStyle w:val="Tabletext"/>
              <w:jc w:val="center"/>
              <w:rPr>
                <w:vertAlign w:val="superscript"/>
              </w:rPr>
            </w:pPr>
            <w:r w:rsidRPr="00753960">
              <w:sym w:font="Wingdings" w:char="F0FC"/>
            </w:r>
            <w:r w:rsidRPr="00753960">
              <w:rPr>
                <w:vertAlign w:val="superscript"/>
              </w:rPr>
              <w:t>2</w:t>
            </w:r>
          </w:p>
        </w:tc>
        <w:tc>
          <w:tcPr>
            <w:tcW w:w="802" w:type="pct"/>
          </w:tcPr>
          <w:p w14:paraId="190C6868" w14:textId="77777777" w:rsidR="00D527DF" w:rsidRPr="00753960" w:rsidRDefault="00D527DF" w:rsidP="00DE0450">
            <w:pPr>
              <w:pStyle w:val="Tabletext"/>
              <w:jc w:val="center"/>
            </w:pPr>
            <w:r w:rsidRPr="00753960">
              <w:t>_</w:t>
            </w:r>
          </w:p>
        </w:tc>
        <w:tc>
          <w:tcPr>
            <w:tcW w:w="684" w:type="pct"/>
          </w:tcPr>
          <w:p w14:paraId="0C0E2DF5" w14:textId="77777777" w:rsidR="00D527DF" w:rsidRPr="00753960" w:rsidRDefault="00D527DF" w:rsidP="00DE0450">
            <w:pPr>
              <w:pStyle w:val="Tabletext"/>
              <w:jc w:val="center"/>
              <w:rPr>
                <w:vertAlign w:val="superscript"/>
              </w:rPr>
            </w:pPr>
            <w:r w:rsidRPr="00753960">
              <w:sym w:font="Wingdings" w:char="F0FC"/>
            </w:r>
          </w:p>
        </w:tc>
        <w:tc>
          <w:tcPr>
            <w:tcW w:w="802" w:type="pct"/>
          </w:tcPr>
          <w:p w14:paraId="1705D11F" w14:textId="77777777" w:rsidR="00D527DF" w:rsidRPr="00753960" w:rsidRDefault="00D527DF" w:rsidP="00DE0450">
            <w:pPr>
              <w:pStyle w:val="Tabletext"/>
              <w:jc w:val="center"/>
            </w:pPr>
            <w:r w:rsidRPr="00753960">
              <w:t>_</w:t>
            </w:r>
          </w:p>
        </w:tc>
      </w:tr>
    </w:tbl>
    <w:p w14:paraId="50811F8C" w14:textId="77777777" w:rsidR="00D527DF" w:rsidRDefault="00D527DF" w:rsidP="00D527DF">
      <w:pPr>
        <w:pStyle w:val="TableDescription"/>
      </w:pPr>
      <w:r>
        <w:t>1 HCP brochure and Patient Alert Card (PAC)</w:t>
      </w:r>
    </w:p>
    <w:p w14:paraId="04A429E9" w14:textId="77777777" w:rsidR="00D527DF" w:rsidRDefault="00D527DF" w:rsidP="00D527DF">
      <w:pPr>
        <w:pStyle w:val="TableDescription"/>
      </w:pPr>
      <w:r>
        <w:t>2 Pregnancy form</w:t>
      </w:r>
    </w:p>
    <w:p w14:paraId="28E88046" w14:textId="4816C14F" w:rsidR="00D527DF" w:rsidRPr="00A00FE5" w:rsidRDefault="00DB3A65" w:rsidP="00F75765">
      <w:r>
        <w:t xml:space="preserve">The </w:t>
      </w:r>
      <w:r w:rsidR="00C504BC">
        <w:t xml:space="preserve">initial </w:t>
      </w:r>
      <w:r>
        <w:t>s</w:t>
      </w:r>
      <w:r w:rsidR="00D527DF" w:rsidRPr="00A00FE5">
        <w:t>ummary of safety concerns is considered inadequate from an RMP perspective. The sponsor was requested to update the summary of safety concerns in the</w:t>
      </w:r>
      <w:r w:rsidR="00D527DF">
        <w:t xml:space="preserve"> first round of RMP evaluation report. The sponsor </w:t>
      </w:r>
      <w:r w:rsidR="00C504BC">
        <w:t>had not done so and had not provided a</w:t>
      </w:r>
      <w:r w:rsidR="00F96A4D">
        <w:t>dequate justifications for this</w:t>
      </w:r>
      <w:r w:rsidR="00D527DF">
        <w:t>. It was</w:t>
      </w:r>
      <w:r w:rsidR="00D527DF" w:rsidRPr="00A00FE5">
        <w:t xml:space="preserve"> considered an o</w:t>
      </w:r>
      <w:r w:rsidR="00D527DF">
        <w:t>utstanding recommendation and was</w:t>
      </w:r>
      <w:r w:rsidR="00D527DF" w:rsidRPr="00A00FE5">
        <w:t xml:space="preserve"> referred to the </w:t>
      </w:r>
      <w:r w:rsidR="00D527DF" w:rsidRPr="00B61EE3">
        <w:t xml:space="preserve">Delegate for consideration. After the negotiations with the Delegate and recommendations from the ACM and the RMP evaluator, sponsor has updated the safety specification but has not included some of the safety concerns included in the EU-RMP as this is still under evaluation in the EU. The sponsor has provided assurance that the ASA will be updated </w:t>
      </w:r>
      <w:bookmarkStart w:id="59" w:name="OLE_LINK1"/>
      <w:bookmarkStart w:id="60" w:name="OLE_LINK2"/>
      <w:r w:rsidR="00D527DF" w:rsidRPr="00B61EE3">
        <w:t>to include any additional safety concerns included in the EU after the approval of the EU-RMP.</w:t>
      </w:r>
      <w:bookmarkEnd w:id="59"/>
      <w:bookmarkEnd w:id="60"/>
      <w:r w:rsidR="00D527DF" w:rsidRPr="00B61EE3">
        <w:t xml:space="preserve"> This approach is acceptable.</w:t>
      </w:r>
    </w:p>
    <w:p w14:paraId="7A8DD2D8" w14:textId="77777777" w:rsidR="00D527DF" w:rsidRPr="00D527DF" w:rsidRDefault="00D527DF" w:rsidP="00F75765">
      <w:r w:rsidRPr="001D6D88">
        <w:t>Sponsor has proposed only routine pharmacovigilance activities. In response to the clinical evaluator</w:t>
      </w:r>
      <w:r w:rsidR="00F75765">
        <w:t xml:space="preserve"> questions, the sponsor stated that a p</w:t>
      </w:r>
      <w:r w:rsidRPr="001D6D88">
        <w:t>regnan</w:t>
      </w:r>
      <w:r w:rsidR="00F75765">
        <w:t xml:space="preserve">cy form will be used to follow </w:t>
      </w:r>
      <w:r w:rsidRPr="001D6D88">
        <w:t>up pregnancy reports and was recommended to update the ASA with this information. In re</w:t>
      </w:r>
      <w:r>
        <w:t>sponse to second round of</w:t>
      </w:r>
      <w:r w:rsidRPr="001D6D88">
        <w:t xml:space="preserve"> RMP </w:t>
      </w:r>
      <w:r w:rsidR="00F75765">
        <w:t>evaluation</w:t>
      </w:r>
      <w:r>
        <w:t>, the sponsor</w:t>
      </w:r>
      <w:r w:rsidR="00F75765">
        <w:t xml:space="preserve"> provided the pregnancy follow </w:t>
      </w:r>
      <w:r w:rsidRPr="001D6D88">
        <w:t>up form appended to the ASA. This approach is acceptable</w:t>
      </w:r>
      <w:r w:rsidRPr="00B61EE3">
        <w:t>.</w:t>
      </w:r>
      <w:r>
        <w:t xml:space="preserve"> In response to the fourth round of</w:t>
      </w:r>
      <w:r w:rsidRPr="00B61EE3">
        <w:t xml:space="preserve"> RMP evaluation report, sponsor stated that in post-market setting all safety concerns except immunogenicity will be monitored through routine pharmacovigilance activities and that PSUR will not include data on this risk. This was</w:t>
      </w:r>
      <w:r w:rsidR="00F75765">
        <w:t xml:space="preserve"> </w:t>
      </w:r>
      <w:proofErr w:type="gramStart"/>
      <w:r w:rsidR="00F75765">
        <w:t>deem</w:t>
      </w:r>
      <w:proofErr w:type="gramEnd"/>
      <w:r w:rsidRPr="00B61EE3">
        <w:t xml:space="preserve"> unacceptable </w:t>
      </w:r>
      <w:r w:rsidR="00F75765">
        <w:t xml:space="preserve">by the RMP evaluator. </w:t>
      </w:r>
      <w:r w:rsidRPr="00D527DF">
        <w:t>In response, in ASA v</w:t>
      </w:r>
      <w:r w:rsidR="00F75765">
        <w:t xml:space="preserve">ersion </w:t>
      </w:r>
      <w:r w:rsidRPr="00D527DF">
        <w:t>1.4, sponsor has committed to monitor all safety concerns through routine pharmacovigilance activities. The pharmacovigilance plan is acceptable.</w:t>
      </w:r>
    </w:p>
    <w:p w14:paraId="2DDEAB5F" w14:textId="3F44A160" w:rsidR="00D527DF" w:rsidRPr="00A00FE5" w:rsidRDefault="00F75765" w:rsidP="00F75765">
      <w:r>
        <w:t>The s</w:t>
      </w:r>
      <w:r w:rsidR="00D527DF" w:rsidRPr="00A00FE5">
        <w:t xml:space="preserve">ponsor has proposed only routine risk minimisation activities, through the draft PI, CMI and </w:t>
      </w:r>
      <w:r w:rsidR="00E35EED">
        <w:t>‘</w:t>
      </w:r>
      <w:r w:rsidR="00D527DF" w:rsidRPr="00A00FE5">
        <w:t xml:space="preserve">Instructions </w:t>
      </w:r>
      <w:proofErr w:type="gramStart"/>
      <w:r w:rsidR="00D527DF" w:rsidRPr="00A00FE5">
        <w:t>For</w:t>
      </w:r>
      <w:proofErr w:type="gramEnd"/>
      <w:r w:rsidR="00D527DF" w:rsidRPr="00A00FE5">
        <w:t xml:space="preserve"> Use</w:t>
      </w:r>
      <w:r w:rsidR="00E35EED">
        <w:t>’</w:t>
      </w:r>
      <w:r w:rsidR="00D527DF" w:rsidRPr="00A00FE5">
        <w:t xml:space="preserve"> (included in the CMI). </w:t>
      </w:r>
      <w:r w:rsidR="00D527DF">
        <w:t>The sponsor</w:t>
      </w:r>
      <w:r w:rsidR="00D527DF" w:rsidRPr="00A00FE5">
        <w:t xml:space="preserve"> updated the draft PI and CMI as recommended in the </w:t>
      </w:r>
      <w:r w:rsidR="00D527DF">
        <w:t>first round of</w:t>
      </w:r>
      <w:r w:rsidR="00D527DF" w:rsidRPr="00A00FE5">
        <w:t xml:space="preserve"> RMP evaluation </w:t>
      </w:r>
      <w:r w:rsidR="00D527DF">
        <w:t xml:space="preserve">report and </w:t>
      </w:r>
      <w:r w:rsidR="00D527DF" w:rsidRPr="00A00FE5">
        <w:t xml:space="preserve">agreed to include the CMI as package insert. </w:t>
      </w:r>
      <w:r w:rsidR="00D527DF">
        <w:t>This approach was</w:t>
      </w:r>
      <w:r w:rsidR="00D527DF" w:rsidRPr="00A00FE5">
        <w:t xml:space="preserve"> acceptable if the sponsor strengthens the advice in the draft PI and CMI pending outcome of the negotiations with the Delegate on the safety specification.</w:t>
      </w:r>
      <w:r w:rsidR="00D527DF">
        <w:t xml:space="preserve"> </w:t>
      </w:r>
      <w:r w:rsidR="00D527DF" w:rsidRPr="00753960">
        <w:t>In response to the negotiations with the Delegate and recommendations from the ACM and the RMP evaluator, s</w:t>
      </w:r>
      <w:r>
        <w:t>ponsor has agreed to include a p</w:t>
      </w:r>
      <w:r w:rsidR="00D527DF" w:rsidRPr="00753960">
        <w:t>rescr</w:t>
      </w:r>
      <w:r>
        <w:t>iber education brochure and a patient alert card</w:t>
      </w:r>
      <w:r w:rsidR="00D527DF" w:rsidRPr="00753960">
        <w:t xml:space="preserve"> for all important potential risks except immunogenicity. The non-inclusion of immunogenicity in the Prescriber education brochure was not acceptable. As such, sponsor was recommended to include information on immunogenicity in the Prescriber education brochure for now and to update the education materials for prescribers and patients once the safety specification is updated to include any additional risks approved in the EU</w:t>
      </w:r>
      <w:r w:rsidR="00D527DF" w:rsidRPr="00D527DF">
        <w:t>. In response to fifth round of RMP evaluation report, in ASA v</w:t>
      </w:r>
      <w:r>
        <w:t xml:space="preserve">ersion </w:t>
      </w:r>
      <w:r w:rsidR="00D527DF" w:rsidRPr="00D527DF">
        <w:t xml:space="preserve">1.4, sponsor has updated the RMP to include </w:t>
      </w:r>
      <w:r>
        <w:t>immunogenicity</w:t>
      </w:r>
      <w:r w:rsidR="00D527DF" w:rsidRPr="00D527DF">
        <w:t xml:space="preserve"> as one of the ris</w:t>
      </w:r>
      <w:r>
        <w:t>ks to be mitigated through the prescriber education brochure</w:t>
      </w:r>
      <w:r w:rsidR="00D527DF" w:rsidRPr="00D527DF">
        <w:t xml:space="preserve"> as requested. The risk minimisation plan is</w:t>
      </w:r>
      <w:r>
        <w:t xml:space="preserve"> acceptable.</w:t>
      </w:r>
    </w:p>
    <w:p w14:paraId="52611B93" w14:textId="77777777" w:rsidR="00D527DF" w:rsidRPr="00E57985" w:rsidRDefault="00D527DF" w:rsidP="009F40AB">
      <w:pPr>
        <w:pStyle w:val="ListBullet"/>
        <w:numPr>
          <w:ilvl w:val="0"/>
          <w:numId w:val="0"/>
        </w:numPr>
        <w:rPr>
          <w:b/>
        </w:rPr>
      </w:pPr>
      <w:bookmarkStart w:id="61" w:name="_Toc59175306"/>
      <w:r w:rsidRPr="00E57985">
        <w:lastRenderedPageBreak/>
        <w:t>Sponsor has committed to the following in the post approval RMP negotiations:</w:t>
      </w:r>
      <w:bookmarkEnd w:id="61"/>
    </w:p>
    <w:p w14:paraId="726BBBDA" w14:textId="77777777" w:rsidR="00D527DF" w:rsidRPr="009F40AB" w:rsidRDefault="00D527DF" w:rsidP="009F40AB">
      <w:pPr>
        <w:pStyle w:val="ListBullet"/>
      </w:pPr>
      <w:r w:rsidRPr="009F40AB">
        <w:t>To update the ASA to align to the version of the EU-RMP approved by the EMA to ensure safety concerns approved by the EMA are captured in the ASA and to provide these to the TGA when available.</w:t>
      </w:r>
    </w:p>
    <w:p w14:paraId="2A129827" w14:textId="77777777" w:rsidR="00D527DF" w:rsidRPr="009F40AB" w:rsidRDefault="00F75765" w:rsidP="009F40AB">
      <w:pPr>
        <w:pStyle w:val="ListBullet"/>
      </w:pPr>
      <w:r>
        <w:t>To include p</w:t>
      </w:r>
      <w:r w:rsidR="00D527DF" w:rsidRPr="009F40AB">
        <w:t>rescriber educatio</w:t>
      </w:r>
      <w:r>
        <w:t>n brochure and patient alert c</w:t>
      </w:r>
      <w:r w:rsidR="00D527DF" w:rsidRPr="009F40AB">
        <w:t>ard.</w:t>
      </w:r>
    </w:p>
    <w:p w14:paraId="2663D0AF" w14:textId="2EF8C8EF" w:rsidR="00D527DF" w:rsidRPr="009F40AB" w:rsidRDefault="00D527DF" w:rsidP="009F40AB">
      <w:pPr>
        <w:pStyle w:val="ListBullet"/>
      </w:pPr>
      <w:r w:rsidRPr="009F40AB">
        <w:t xml:space="preserve">To update the </w:t>
      </w:r>
      <w:r w:rsidR="00E35EED">
        <w:t>Healthcare Professional (</w:t>
      </w:r>
      <w:r w:rsidRPr="009F40AB">
        <w:t>HCP</w:t>
      </w:r>
      <w:r w:rsidR="00E35EED">
        <w:t>)</w:t>
      </w:r>
      <w:r w:rsidRPr="009F40AB">
        <w:t xml:space="preserve"> education brochure and </w:t>
      </w:r>
      <w:r w:rsidR="00E35EED">
        <w:t>post-acute care (</w:t>
      </w:r>
      <w:r w:rsidRPr="009F40AB">
        <w:t>PAC</w:t>
      </w:r>
      <w:r w:rsidR="00E35EED">
        <w:t>)</w:t>
      </w:r>
      <w:r w:rsidRPr="009F40AB">
        <w:t xml:space="preserve"> to include any safety concerns added to the ASA.</w:t>
      </w:r>
    </w:p>
    <w:p w14:paraId="5E498C1C" w14:textId="77777777" w:rsidR="00D527DF" w:rsidRPr="009F40AB" w:rsidRDefault="00D527DF" w:rsidP="009F40AB">
      <w:pPr>
        <w:pStyle w:val="ListBullet"/>
      </w:pPr>
      <w:r w:rsidRPr="009F40AB">
        <w:t>To provide additional risk min</w:t>
      </w:r>
      <w:r w:rsidR="00F75765">
        <w:t>imisation materials to the TGA six</w:t>
      </w:r>
      <w:r w:rsidRPr="009F40AB">
        <w:t xml:space="preserve"> weeks prior to the launch of </w:t>
      </w:r>
      <w:proofErr w:type="spellStart"/>
      <w:r w:rsidRPr="009F40AB">
        <w:t>Enspryng</w:t>
      </w:r>
      <w:proofErr w:type="spellEnd"/>
      <w:r w:rsidRPr="009F40AB">
        <w:t xml:space="preserve"> in Australia.</w:t>
      </w:r>
    </w:p>
    <w:p w14:paraId="4690F366" w14:textId="77777777" w:rsidR="00D527DF" w:rsidRPr="00BF52F4" w:rsidRDefault="001B1D30" w:rsidP="009F40AB">
      <w:pPr>
        <w:pStyle w:val="Heading4"/>
      </w:pPr>
      <w:bookmarkStart w:id="62" w:name="_Toc35338766"/>
      <w:bookmarkStart w:id="63" w:name="_Toc59175307"/>
      <w:r>
        <w:t>Proposed w</w:t>
      </w:r>
      <w:r w:rsidR="00D527DF" w:rsidRPr="00BF52F4">
        <w:t>ording for conditions of registration</w:t>
      </w:r>
      <w:bookmarkEnd w:id="62"/>
      <w:bookmarkEnd w:id="63"/>
    </w:p>
    <w:p w14:paraId="41D6791B" w14:textId="77777777" w:rsidR="00D527DF" w:rsidRPr="009F40AB" w:rsidRDefault="00D527DF" w:rsidP="009F40AB">
      <w:r w:rsidRPr="009F40AB">
        <w:t xml:space="preserve">Any changes to which the sponsor has agreed should be included in a revised RMP and ASA. However, irrespective of </w:t>
      </w:r>
      <w:proofErr w:type="gramStart"/>
      <w:r w:rsidRPr="009F40AB">
        <w:t>whether or not</w:t>
      </w:r>
      <w:proofErr w:type="gramEnd"/>
      <w:r w:rsidRPr="009F40AB">
        <w:t xml:space="preserve"> they are included in the currently available version of the RMP document, the agreed changes become part of the risk management system. </w:t>
      </w:r>
    </w:p>
    <w:p w14:paraId="5BF0CD9C" w14:textId="77777777" w:rsidR="00D527DF" w:rsidRPr="009F40AB" w:rsidRDefault="00D527DF" w:rsidP="009F40AB">
      <w:r w:rsidRPr="009F40AB">
        <w:t xml:space="preserve">The suggested wording is: </w:t>
      </w:r>
    </w:p>
    <w:p w14:paraId="400CBA7B" w14:textId="77777777" w:rsidR="00D527DF" w:rsidRPr="009F40AB" w:rsidRDefault="00D527DF" w:rsidP="009F40AB">
      <w:pPr>
        <w:ind w:left="720"/>
        <w:rPr>
          <w:i/>
        </w:rPr>
      </w:pPr>
      <w:r w:rsidRPr="009F40AB">
        <w:rPr>
          <w:i/>
        </w:rPr>
        <w:t xml:space="preserve">The </w:t>
      </w:r>
      <w:proofErr w:type="spellStart"/>
      <w:r w:rsidRPr="009F40AB">
        <w:rPr>
          <w:i/>
        </w:rPr>
        <w:t>E</w:t>
      </w:r>
      <w:r w:rsidR="001B1D30">
        <w:rPr>
          <w:i/>
        </w:rPr>
        <w:t>nspryng</w:t>
      </w:r>
      <w:proofErr w:type="spellEnd"/>
      <w:r w:rsidRPr="009F40AB">
        <w:rPr>
          <w:i/>
        </w:rPr>
        <w:t xml:space="preserve"> E</w:t>
      </w:r>
      <w:r w:rsidR="001B1D30">
        <w:rPr>
          <w:i/>
        </w:rPr>
        <w:t xml:space="preserve">uropean </w:t>
      </w:r>
      <w:r w:rsidRPr="009F40AB">
        <w:rPr>
          <w:i/>
        </w:rPr>
        <w:t>U</w:t>
      </w:r>
      <w:r w:rsidR="001B1D30">
        <w:rPr>
          <w:i/>
        </w:rPr>
        <w:t>nion (EU)</w:t>
      </w:r>
      <w:r w:rsidRPr="009F40AB">
        <w:rPr>
          <w:i/>
        </w:rPr>
        <w:t xml:space="preserve">-Risk Management Plan (RMP) (version 1.0, dated 30 July 2019; data lock point 18 July 2019), with Australian Specific Annex </w:t>
      </w:r>
      <w:r w:rsidR="0075143D">
        <w:rPr>
          <w:i/>
        </w:rPr>
        <w:t>(ASA)</w:t>
      </w:r>
      <w:r w:rsidRPr="009F40AB">
        <w:rPr>
          <w:i/>
        </w:rPr>
        <w:t>(version 1.2, dated August 2020), included with submission PM-2019-04752-1-1, to be revised to the satisfaction of the TGA, will be implemented in Australia.</w:t>
      </w:r>
    </w:p>
    <w:p w14:paraId="435ACE3C" w14:textId="77777777" w:rsidR="00D527DF" w:rsidRPr="009F40AB" w:rsidRDefault="00D527DF" w:rsidP="009F40AB">
      <w:r w:rsidRPr="009F40AB">
        <w:t>The following wording is recommended for the PSUR requirement:</w:t>
      </w:r>
    </w:p>
    <w:p w14:paraId="0DA6AD90" w14:textId="77777777" w:rsidR="00D527DF" w:rsidRPr="009F40AB" w:rsidRDefault="00D527DF" w:rsidP="009F40AB">
      <w:pPr>
        <w:ind w:left="720"/>
        <w:rPr>
          <w:i/>
          <w:snapToGrid w:val="0"/>
        </w:rPr>
      </w:pPr>
      <w:r w:rsidRPr="009F40AB">
        <w:rPr>
          <w:i/>
          <w:snapToGrid w:val="0"/>
        </w:rPr>
        <w:t>An obligatory component of risk management plans is routine pharmacovigilance. Routine pharmacovigilance includes the submission of periodic safety update reports (PSURs).</w:t>
      </w:r>
    </w:p>
    <w:p w14:paraId="4E5D3804" w14:textId="77777777" w:rsidR="00D527DF" w:rsidRPr="009F40AB" w:rsidRDefault="00D527DF" w:rsidP="009F40AB">
      <w:pPr>
        <w:ind w:left="720"/>
        <w:rPr>
          <w:i/>
        </w:rPr>
      </w:pPr>
      <w:r w:rsidRPr="009F40AB">
        <w:rPr>
          <w:i/>
        </w:rPr>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w:t>
      </w:r>
      <w:proofErr w:type="gramStart"/>
      <w:r w:rsidRPr="009F40AB">
        <w:rPr>
          <w:i/>
        </w:rPr>
        <w:t>six monthly</w:t>
      </w:r>
      <w:proofErr w:type="gramEnd"/>
      <w:r w:rsidRPr="009F40AB">
        <w:rPr>
          <w:i/>
        </w:rPr>
        <w:t xml:space="preserve"> reports may be submitted separately as they become available.</w:t>
      </w:r>
    </w:p>
    <w:p w14:paraId="693ACEF6" w14:textId="77777777" w:rsidR="00D527DF" w:rsidRPr="009F40AB" w:rsidRDefault="00D527DF" w:rsidP="009F40AB">
      <w:pPr>
        <w:ind w:left="720"/>
        <w:rPr>
          <w:i/>
        </w:rPr>
      </w:pPr>
      <w:r w:rsidRPr="009F40AB">
        <w:rPr>
          <w:i/>
        </w:rP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1022A796" w14:textId="77777777" w:rsidR="00D527DF" w:rsidRPr="009F40AB" w:rsidRDefault="00D527DF" w:rsidP="009F40AB">
      <w:pPr>
        <w:ind w:left="720"/>
        <w:rPr>
          <w:i/>
        </w:rPr>
      </w:pPr>
      <w:r w:rsidRPr="009F40AB">
        <w:rPr>
          <w:i/>
        </w:rPr>
        <w:t>The reports are to at least meet the requirements for PSURs as described in the European M</w:t>
      </w:r>
      <w:r w:rsidR="00D93D94">
        <w:rPr>
          <w:i/>
        </w:rPr>
        <w:t>edicines Agency’s Guideline on Good Pharmacovigilance P</w:t>
      </w:r>
      <w:r w:rsidRPr="009F40AB">
        <w:rPr>
          <w:i/>
        </w:rPr>
        <w:t>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1C83CE68" w14:textId="77777777" w:rsidR="00D527DF" w:rsidRPr="009F40AB" w:rsidRDefault="00D527DF" w:rsidP="009432E6">
      <w:pPr>
        <w:pageBreakBefore/>
      </w:pPr>
      <w:r w:rsidRPr="009F40AB">
        <w:lastRenderedPageBreak/>
        <w:t xml:space="preserve">As </w:t>
      </w:r>
      <w:proofErr w:type="spellStart"/>
      <w:r w:rsidR="001B1D30" w:rsidRPr="001B1D30">
        <w:t>Enspryng</w:t>
      </w:r>
      <w:proofErr w:type="spellEnd"/>
      <w:r w:rsidR="001B1D30" w:rsidRPr="009F40AB">
        <w:t xml:space="preserve"> </w:t>
      </w:r>
      <w:r w:rsidRPr="009F40AB">
        <w:t>is a new biological entity it should be included in the Black Triangle Scheme as a condition of registration. The following wording is recommended for the condition of registration:</w:t>
      </w:r>
    </w:p>
    <w:p w14:paraId="07922601" w14:textId="77777777" w:rsidR="00D527DF" w:rsidRPr="001B1D30" w:rsidRDefault="001B1D30" w:rsidP="001B1D30">
      <w:pPr>
        <w:ind w:left="720"/>
        <w:rPr>
          <w:i/>
        </w:rPr>
      </w:pPr>
      <w:proofErr w:type="spellStart"/>
      <w:r w:rsidRPr="001B1D30">
        <w:rPr>
          <w:i/>
        </w:rPr>
        <w:t>Enspryng</w:t>
      </w:r>
      <w:proofErr w:type="spellEnd"/>
      <w:r w:rsidR="00D527DF" w:rsidRPr="001B1D30">
        <w:rPr>
          <w:i/>
        </w:rPr>
        <w:t xml:space="preserve"> (</w:t>
      </w:r>
      <w:proofErr w:type="spellStart"/>
      <w:r w:rsidR="00D527DF" w:rsidRPr="001B1D30">
        <w:rPr>
          <w:i/>
        </w:rPr>
        <w:t>satralizumab</w:t>
      </w:r>
      <w:proofErr w:type="spellEnd"/>
      <w:r w:rsidR="00D527DF" w:rsidRPr="001B1D30">
        <w:rPr>
          <w:i/>
        </w:rPr>
        <w:t>) is to be included in the Black Triangle Scheme. The PI and</w:t>
      </w:r>
      <w:r w:rsidRPr="001B1D30">
        <w:rPr>
          <w:i/>
        </w:rPr>
        <w:t xml:space="preserve"> CMI for </w:t>
      </w:r>
      <w:proofErr w:type="spellStart"/>
      <w:r w:rsidRPr="001B1D30">
        <w:rPr>
          <w:i/>
        </w:rPr>
        <w:t>Enspryng</w:t>
      </w:r>
      <w:proofErr w:type="spellEnd"/>
      <w:r w:rsidR="00D527DF" w:rsidRPr="001B1D30">
        <w:rPr>
          <w:i/>
        </w:rPr>
        <w:t xml:space="preserve"> must include the black triangle symbol and mandatory</w:t>
      </w:r>
      <w:r>
        <w:rPr>
          <w:i/>
        </w:rPr>
        <w:t xml:space="preserve"> </w:t>
      </w:r>
      <w:r w:rsidR="00D527DF" w:rsidRPr="001B1D30">
        <w:rPr>
          <w:i/>
        </w:rPr>
        <w:t>accompanying text for five years, which starts from the date that the sponsor notifies t</w:t>
      </w:r>
      <w:r w:rsidRPr="001B1D30">
        <w:rPr>
          <w:i/>
        </w:rPr>
        <w:t>he TGA of supply of the product.</w:t>
      </w:r>
    </w:p>
    <w:p w14:paraId="0CC8AD03" w14:textId="77777777" w:rsidR="008E7846" w:rsidRDefault="00AA0ED0" w:rsidP="00D527DF">
      <w:pPr>
        <w:pStyle w:val="Heading3"/>
      </w:pPr>
      <w:bookmarkStart w:id="64" w:name="_Toc77162699"/>
      <w:r>
        <w:t>Risk-benefit a</w:t>
      </w:r>
      <w:r w:rsidR="008E7846">
        <w:t>nalysis</w:t>
      </w:r>
      <w:bookmarkEnd w:id="54"/>
      <w:bookmarkEnd w:id="55"/>
      <w:bookmarkEnd w:id="64"/>
    </w:p>
    <w:p w14:paraId="09A20BDC" w14:textId="77777777" w:rsidR="00D23139" w:rsidRDefault="007D53B6" w:rsidP="00D23139">
      <w:pPr>
        <w:pStyle w:val="Heading4"/>
      </w:pPr>
      <w:r>
        <w:t>Delegate’s considerations</w:t>
      </w:r>
    </w:p>
    <w:p w14:paraId="28AD9A24" w14:textId="77777777" w:rsidR="006E16D6" w:rsidRDefault="006E16D6" w:rsidP="00602DCA">
      <w:r>
        <w:t>The sponsor proposed the following indication:</w:t>
      </w:r>
    </w:p>
    <w:p w14:paraId="26FF18CB" w14:textId="77777777" w:rsidR="003451F3" w:rsidRPr="006E16D6" w:rsidRDefault="00497700" w:rsidP="003451F3">
      <w:pPr>
        <w:ind w:left="720"/>
        <w:rPr>
          <w:i/>
        </w:rPr>
      </w:pPr>
      <w:proofErr w:type="spellStart"/>
      <w:r w:rsidRPr="006E16D6">
        <w:rPr>
          <w:i/>
        </w:rPr>
        <w:t>Satralizumab</w:t>
      </w:r>
      <w:proofErr w:type="spellEnd"/>
      <w:r w:rsidRPr="006E16D6">
        <w:rPr>
          <w:i/>
        </w:rPr>
        <w:t xml:space="preserve"> (</w:t>
      </w:r>
      <w:proofErr w:type="spellStart"/>
      <w:r w:rsidRPr="006E16D6">
        <w:rPr>
          <w:i/>
        </w:rPr>
        <w:t>Enspryng</w:t>
      </w:r>
      <w:proofErr w:type="spellEnd"/>
      <w:r w:rsidRPr="006E16D6">
        <w:rPr>
          <w:i/>
        </w:rPr>
        <w:t>) is indicated as</w:t>
      </w:r>
      <w:r w:rsidR="00B842FA">
        <w:rPr>
          <w:i/>
        </w:rPr>
        <w:t xml:space="preserve"> </w:t>
      </w:r>
      <w:r w:rsidRPr="006E16D6">
        <w:rPr>
          <w:i/>
        </w:rPr>
        <w:t>monotherapy or in combination with immunosuppressive</w:t>
      </w:r>
      <w:r w:rsidR="00B842FA">
        <w:rPr>
          <w:i/>
        </w:rPr>
        <w:t xml:space="preserve"> </w:t>
      </w:r>
      <w:r w:rsidRPr="006E16D6">
        <w:rPr>
          <w:i/>
        </w:rPr>
        <w:t xml:space="preserve">therapy (IST), for the treatment of adult and adolescent patients from 12 years of age, with neuromyelitis </w:t>
      </w:r>
      <w:proofErr w:type="spellStart"/>
      <w:r w:rsidRPr="006E16D6">
        <w:rPr>
          <w:i/>
        </w:rPr>
        <w:t>o</w:t>
      </w:r>
      <w:r w:rsidR="006E16D6" w:rsidRPr="006E16D6">
        <w:rPr>
          <w:i/>
        </w:rPr>
        <w:t>ptica</w:t>
      </w:r>
      <w:proofErr w:type="spellEnd"/>
      <w:r w:rsidR="006E16D6" w:rsidRPr="006E16D6">
        <w:rPr>
          <w:i/>
        </w:rPr>
        <w:t xml:space="preserve"> spectrum disorder (NMOSD)</w:t>
      </w:r>
    </w:p>
    <w:p w14:paraId="2366E2B0" w14:textId="77777777" w:rsidR="00497700" w:rsidRPr="00FE5AE8" w:rsidRDefault="00C945B2" w:rsidP="00602DCA">
      <w:r w:rsidRPr="00FE5AE8">
        <w:t>However, t</w:t>
      </w:r>
      <w:r w:rsidR="00CA09E7">
        <w:t xml:space="preserve">he Delegate is of </w:t>
      </w:r>
      <w:r w:rsidR="006E16D6" w:rsidRPr="00FE5AE8">
        <w:t xml:space="preserve">view that </w:t>
      </w:r>
      <w:r w:rsidR="00497700" w:rsidRPr="00FE5AE8">
        <w:t>there is</w:t>
      </w:r>
      <w:r w:rsidR="006E16D6" w:rsidRPr="00FE5AE8">
        <w:t xml:space="preserve"> a</w:t>
      </w:r>
      <w:r w:rsidR="00497700" w:rsidRPr="00FE5AE8">
        <w:t xml:space="preserve"> lack of adequate efficacy data to support </w:t>
      </w:r>
      <w:proofErr w:type="spellStart"/>
      <w:r w:rsidR="00B842FA">
        <w:t>satralizumab</w:t>
      </w:r>
      <w:proofErr w:type="spellEnd"/>
      <w:r w:rsidR="00497700" w:rsidRPr="00FE5AE8">
        <w:t xml:space="preserve"> </w:t>
      </w:r>
      <w:r w:rsidR="006E16D6" w:rsidRPr="00FE5AE8">
        <w:t>usage currently</w:t>
      </w:r>
      <w:r w:rsidR="00497700" w:rsidRPr="00FE5AE8">
        <w:t>,</w:t>
      </w:r>
      <w:r w:rsidRPr="00FE5AE8">
        <w:t xml:space="preserve"> </w:t>
      </w:r>
      <w:r w:rsidR="00497700" w:rsidRPr="00FE5AE8">
        <w:t xml:space="preserve">either as </w:t>
      </w:r>
      <w:r w:rsidR="006E16D6" w:rsidRPr="00FE5AE8">
        <w:t>m</w:t>
      </w:r>
      <w:r w:rsidR="00497700" w:rsidRPr="00FE5AE8">
        <w:t xml:space="preserve">onotherapy or </w:t>
      </w:r>
      <w:r w:rsidR="00497700" w:rsidRPr="00FE5AE8">
        <w:rPr>
          <w:rFonts w:eastAsiaTheme="minorHAnsi"/>
          <w:iCs/>
        </w:rPr>
        <w:t>in com</w:t>
      </w:r>
      <w:r w:rsidR="006E16D6" w:rsidRPr="00FE5AE8">
        <w:rPr>
          <w:rFonts w:eastAsiaTheme="minorHAnsi"/>
          <w:iCs/>
        </w:rPr>
        <w:t xml:space="preserve">bination with </w:t>
      </w:r>
      <w:r w:rsidR="00637691" w:rsidRPr="00FE5AE8">
        <w:rPr>
          <w:rFonts w:eastAsiaTheme="minorHAnsi"/>
          <w:iCs/>
        </w:rPr>
        <w:t>IST</w:t>
      </w:r>
      <w:r w:rsidR="006E16D6" w:rsidRPr="00FE5AE8">
        <w:t xml:space="preserve"> in </w:t>
      </w:r>
      <w:r w:rsidR="00637691" w:rsidRPr="00FE5AE8">
        <w:t>a</w:t>
      </w:r>
      <w:r w:rsidR="00497700" w:rsidRPr="00FE5AE8">
        <w:t>dolescents</w:t>
      </w:r>
      <w:r w:rsidR="00637691" w:rsidRPr="00FE5AE8">
        <w:t xml:space="preserve"> (12 to </w:t>
      </w:r>
      <w:r w:rsidR="00497700" w:rsidRPr="00FE5AE8">
        <w:t xml:space="preserve">17 </w:t>
      </w:r>
      <w:r w:rsidR="00637691" w:rsidRPr="00FE5AE8">
        <w:t>years old</w:t>
      </w:r>
      <w:r w:rsidR="00F75765">
        <w:t>)</w:t>
      </w:r>
      <w:r w:rsidR="00637691" w:rsidRPr="00FE5AE8">
        <w:t>. There were only seven adolescents enrolled in the pivotal Phase III studies. Of the seven adolescents enrolled</w:t>
      </w:r>
      <w:r w:rsidR="00497700" w:rsidRPr="00FE5AE8">
        <w:t xml:space="preserve">, </w:t>
      </w:r>
      <w:r w:rsidR="00637691" w:rsidRPr="00FE5AE8">
        <w:t>four (three were anti-</w:t>
      </w:r>
      <w:r w:rsidR="005766CB">
        <w:t>AQP4-IgG</w:t>
      </w:r>
      <w:r w:rsidR="00637691" w:rsidRPr="00FE5AE8">
        <w:t xml:space="preserve"> negative, one was </w:t>
      </w:r>
      <w:r w:rsidR="00497700" w:rsidRPr="00FE5AE8">
        <w:t>anti-</w:t>
      </w:r>
      <w:r w:rsidR="005766CB">
        <w:t>AQP4-IgG</w:t>
      </w:r>
      <w:r w:rsidRPr="00FE5AE8">
        <w:t xml:space="preserve"> positive)</w:t>
      </w:r>
      <w:r w:rsidR="00637691" w:rsidRPr="00FE5AE8">
        <w:t xml:space="preserve"> were treated with </w:t>
      </w:r>
      <w:proofErr w:type="spellStart"/>
      <w:r w:rsidR="00B842FA">
        <w:t>satralizumab</w:t>
      </w:r>
      <w:proofErr w:type="spellEnd"/>
      <w:r w:rsidR="00637691" w:rsidRPr="00FE5AE8">
        <w:t xml:space="preserve"> and three (one</w:t>
      </w:r>
      <w:r w:rsidR="00497700" w:rsidRPr="00FE5AE8">
        <w:t xml:space="preserve"> </w:t>
      </w:r>
      <w:r w:rsidR="00637691" w:rsidRPr="00FE5AE8">
        <w:t>anti-</w:t>
      </w:r>
      <w:r w:rsidR="005766CB">
        <w:t>AQP4-</w:t>
      </w:r>
      <w:r w:rsidR="008C4D57">
        <w:t>IgG negative</w:t>
      </w:r>
      <w:r w:rsidR="00637691" w:rsidRPr="00FE5AE8">
        <w:t>, 2</w:t>
      </w:r>
      <w:r w:rsidR="00FE5AE8">
        <w:t xml:space="preserve"> anti-</w:t>
      </w:r>
      <w:r w:rsidR="005766CB">
        <w:t>AQP4-</w:t>
      </w:r>
      <w:r w:rsidR="008C4D57">
        <w:t>IgG positive</w:t>
      </w:r>
      <w:r w:rsidR="00FE5AE8">
        <w:t>)</w:t>
      </w:r>
      <w:r w:rsidR="00497700" w:rsidRPr="00FE5AE8">
        <w:t xml:space="preserve"> were treated with</w:t>
      </w:r>
      <w:r w:rsidR="00637691" w:rsidRPr="00FE5AE8">
        <w:t xml:space="preserve"> </w:t>
      </w:r>
      <w:r w:rsidR="00246728">
        <w:t>placebo</w:t>
      </w:r>
      <w:r w:rsidR="00637691" w:rsidRPr="00FE5AE8">
        <w:t>.</w:t>
      </w:r>
      <w:r w:rsidRPr="00FE5AE8">
        <w:t xml:space="preserve"> </w:t>
      </w:r>
      <w:r w:rsidR="00497700" w:rsidRPr="00FE5AE8">
        <w:t xml:space="preserve">The risk - benefit </w:t>
      </w:r>
      <w:r w:rsidRPr="00FE5AE8">
        <w:t xml:space="preserve">analysis in adolescents aged 12 to </w:t>
      </w:r>
      <w:r w:rsidR="00497700" w:rsidRPr="00FE5AE8">
        <w:t>17</w:t>
      </w:r>
      <w:r w:rsidRPr="00FE5AE8">
        <w:t xml:space="preserve"> </w:t>
      </w:r>
      <w:r w:rsidR="00497700" w:rsidRPr="00FE5AE8">
        <w:t>years</w:t>
      </w:r>
      <w:r w:rsidRPr="00FE5AE8">
        <w:t xml:space="preserve"> old</w:t>
      </w:r>
      <w:r w:rsidR="00497700" w:rsidRPr="00FE5AE8">
        <w:t>,</w:t>
      </w:r>
      <w:r w:rsidRPr="00FE5AE8">
        <w:t xml:space="preserve"> who are </w:t>
      </w:r>
      <w:r w:rsidR="00497700" w:rsidRPr="00FE5AE8">
        <w:t xml:space="preserve">most likely to use </w:t>
      </w:r>
      <w:proofErr w:type="spellStart"/>
      <w:r w:rsidR="00B842FA">
        <w:t>satralizumab</w:t>
      </w:r>
      <w:proofErr w:type="spellEnd"/>
      <w:r w:rsidR="00497700" w:rsidRPr="00FE5AE8">
        <w:t xml:space="preserve"> long term, </w:t>
      </w:r>
      <w:r w:rsidRPr="00FE5AE8">
        <w:t>has not been fully documented. G</w:t>
      </w:r>
      <w:r w:rsidR="00497700" w:rsidRPr="00FE5AE8">
        <w:t xml:space="preserve">iven the potential for the </w:t>
      </w:r>
      <w:proofErr w:type="gramStart"/>
      <w:r w:rsidRPr="00FE5AE8">
        <w:t>immune-</w:t>
      </w:r>
      <w:r w:rsidR="00497700" w:rsidRPr="00FE5AE8">
        <w:t>modifier</w:t>
      </w:r>
      <w:proofErr w:type="gramEnd"/>
      <w:r w:rsidR="00497700" w:rsidRPr="00FE5AE8">
        <w:t xml:space="preserve"> </w:t>
      </w:r>
      <w:proofErr w:type="spellStart"/>
      <w:r w:rsidR="00B842FA">
        <w:t>satralizumab</w:t>
      </w:r>
      <w:proofErr w:type="spellEnd"/>
      <w:r w:rsidRPr="00FE5AE8">
        <w:t xml:space="preserve"> to cause serious infections, such as, herpes zoster, tuberculosis</w:t>
      </w:r>
      <w:r w:rsidR="00497700" w:rsidRPr="00FE5AE8">
        <w:t xml:space="preserve">, opportunistic infections (cryptococcal meningitis), </w:t>
      </w:r>
      <w:r w:rsidR="00FE5AE8" w:rsidRPr="00FE5AE8">
        <w:t>and malignancies</w:t>
      </w:r>
      <w:r w:rsidR="00497700" w:rsidRPr="00FE5AE8">
        <w:t xml:space="preserve"> and to turn live attenuated vaccines into threatening diseases, especially on chronic use basis. </w:t>
      </w:r>
      <w:r w:rsidRPr="00FE5AE8">
        <w:t xml:space="preserve">The Delegate do not recommend use of </w:t>
      </w:r>
      <w:proofErr w:type="spellStart"/>
      <w:r w:rsidR="00B842FA">
        <w:t>satralizumab</w:t>
      </w:r>
      <w:proofErr w:type="spellEnd"/>
      <w:r w:rsidRPr="00FE5AE8">
        <w:t xml:space="preserve"> in adolescents.</w:t>
      </w:r>
    </w:p>
    <w:p w14:paraId="3D134398" w14:textId="6810B721" w:rsidR="00497700" w:rsidRPr="00FE5AE8" w:rsidRDefault="00FE5AE8" w:rsidP="00FE5AE8">
      <w:pPr>
        <w:rPr>
          <w:rFonts w:eastAsiaTheme="minorHAnsi" w:cs="Arial"/>
        </w:rPr>
      </w:pPr>
      <w:r w:rsidRPr="00FE5AE8">
        <w:t>With regards to a</w:t>
      </w:r>
      <w:r w:rsidR="00497700" w:rsidRPr="00FE5AE8">
        <w:t>nti-</w:t>
      </w:r>
      <w:r w:rsidR="005766CB">
        <w:t>AQP4-IgG</w:t>
      </w:r>
      <w:r w:rsidRPr="00FE5AE8">
        <w:t xml:space="preserve"> </w:t>
      </w:r>
      <w:r w:rsidR="00497700" w:rsidRPr="00FE5AE8">
        <w:t>negative NMO patients,</w:t>
      </w:r>
      <w:r w:rsidRPr="00FE5AE8">
        <w:t xml:space="preserve"> the Delegate noted that </w:t>
      </w:r>
      <w:r w:rsidRPr="00FE5AE8">
        <w:rPr>
          <w:rFonts w:eastAsiaTheme="minorHAnsi" w:cs="Arial"/>
        </w:rPr>
        <w:t>t</w:t>
      </w:r>
      <w:r w:rsidR="00497700" w:rsidRPr="00FE5AE8">
        <w:rPr>
          <w:rFonts w:eastAsiaTheme="minorHAnsi" w:cs="Arial"/>
        </w:rPr>
        <w:t>he percentage of adults who were anti-</w:t>
      </w:r>
      <w:r w:rsidR="005766CB">
        <w:rPr>
          <w:rFonts w:eastAsiaTheme="minorHAnsi" w:cs="Arial"/>
        </w:rPr>
        <w:t>AQP4-</w:t>
      </w:r>
      <w:r w:rsidR="008C4D57">
        <w:rPr>
          <w:rFonts w:eastAsiaTheme="minorHAnsi" w:cs="Arial"/>
        </w:rPr>
        <w:t>IgG negative</w:t>
      </w:r>
      <w:r w:rsidR="00497700" w:rsidRPr="00FE5AE8">
        <w:rPr>
          <w:rFonts w:eastAsiaTheme="minorHAnsi" w:cs="Arial"/>
        </w:rPr>
        <w:t xml:space="preserve"> in the </w:t>
      </w:r>
      <w:r w:rsidRPr="00FE5AE8">
        <w:rPr>
          <w:rFonts w:eastAsiaTheme="minorHAnsi" w:cs="Arial"/>
        </w:rPr>
        <w:t>r</w:t>
      </w:r>
      <w:r w:rsidR="00497700" w:rsidRPr="00FE5AE8">
        <w:rPr>
          <w:rFonts w:eastAsiaTheme="minorHAnsi" w:cs="Arial"/>
        </w:rPr>
        <w:t>ecruited NMO patients, was capped at approx</w:t>
      </w:r>
      <w:r w:rsidRPr="00FE5AE8">
        <w:rPr>
          <w:rFonts w:eastAsiaTheme="minorHAnsi" w:cs="Arial"/>
        </w:rPr>
        <w:t xml:space="preserve">imately 30% of the total </w:t>
      </w:r>
      <w:r w:rsidR="00497700" w:rsidRPr="00FE5AE8">
        <w:rPr>
          <w:rFonts w:eastAsiaTheme="minorHAnsi" w:cs="Arial"/>
        </w:rPr>
        <w:t xml:space="preserve">subjects enrolled, </w:t>
      </w:r>
      <w:r w:rsidRPr="00FE5AE8">
        <w:rPr>
          <w:rFonts w:eastAsiaTheme="minorHAnsi" w:cs="Arial"/>
        </w:rPr>
        <w:t>based on epidemiological data. The Delegate was of view that notwithstanding</w:t>
      </w:r>
      <w:r w:rsidR="00497700" w:rsidRPr="00FE5AE8">
        <w:rPr>
          <w:rFonts w:eastAsiaTheme="minorHAnsi" w:cs="Arial"/>
        </w:rPr>
        <w:t xml:space="preserve"> the above introduced bias, the </w:t>
      </w:r>
      <w:r w:rsidRPr="00FE5AE8">
        <w:rPr>
          <w:rFonts w:eastAsiaTheme="minorHAnsi" w:cs="Arial"/>
        </w:rPr>
        <w:t xml:space="preserve">statistically significant </w:t>
      </w:r>
      <w:r w:rsidR="00497700" w:rsidRPr="00FE5AE8">
        <w:rPr>
          <w:rFonts w:eastAsiaTheme="minorHAnsi" w:cs="Arial"/>
        </w:rPr>
        <w:t xml:space="preserve">and clinically </w:t>
      </w:r>
      <w:r w:rsidRPr="00FE5AE8">
        <w:rPr>
          <w:rFonts w:eastAsiaTheme="minorHAnsi" w:cs="Arial"/>
        </w:rPr>
        <w:t xml:space="preserve">meaning outcome for SAT was in the anti-AQP4 </w:t>
      </w:r>
      <w:r w:rsidR="00497700" w:rsidRPr="00FE5AE8">
        <w:rPr>
          <w:rFonts w:eastAsiaTheme="minorHAnsi" w:cs="Arial"/>
        </w:rPr>
        <w:t>IgG</w:t>
      </w:r>
      <w:r w:rsidR="00D072E5">
        <w:rPr>
          <w:rFonts w:eastAsiaTheme="minorHAnsi" w:cs="Arial"/>
        </w:rPr>
        <w:t xml:space="preserve"> </w:t>
      </w:r>
      <w:r w:rsidR="00497700" w:rsidRPr="00FE5AE8">
        <w:rPr>
          <w:rFonts w:eastAsiaTheme="minorHAnsi" w:cs="Arial"/>
        </w:rPr>
        <w:t>positive NMO rather than anti-</w:t>
      </w:r>
      <w:r w:rsidR="005766CB">
        <w:rPr>
          <w:rFonts w:eastAsiaTheme="minorHAnsi" w:cs="Arial"/>
        </w:rPr>
        <w:t>AQP4-</w:t>
      </w:r>
      <w:r w:rsidR="008C4D57">
        <w:rPr>
          <w:rFonts w:eastAsiaTheme="minorHAnsi" w:cs="Arial"/>
        </w:rPr>
        <w:t>IgG negative</w:t>
      </w:r>
      <w:r w:rsidR="00497700" w:rsidRPr="00FE5AE8">
        <w:rPr>
          <w:rFonts w:eastAsiaTheme="minorHAnsi" w:cs="Arial"/>
        </w:rPr>
        <w:t xml:space="preserve"> </w:t>
      </w:r>
      <w:r w:rsidRPr="00FE5AE8">
        <w:rPr>
          <w:rFonts w:eastAsiaTheme="minorHAnsi" w:cs="Arial"/>
        </w:rPr>
        <w:t>cases.</w:t>
      </w:r>
    </w:p>
    <w:p w14:paraId="2714E6E7" w14:textId="77777777" w:rsidR="00497700" w:rsidRPr="00D072E5" w:rsidRDefault="00D072E5" w:rsidP="00602DCA">
      <w:r w:rsidRPr="00D072E5">
        <w:rPr>
          <w:rFonts w:eastAsia="MS Mincho"/>
          <w:szCs w:val="20"/>
          <w:lang w:eastAsia="ja-JP"/>
        </w:rPr>
        <w:t xml:space="preserve">The Delegate </w:t>
      </w:r>
      <w:r w:rsidR="0025325E">
        <w:rPr>
          <w:rFonts w:eastAsia="MS Mincho"/>
          <w:szCs w:val="20"/>
          <w:lang w:eastAsia="ja-JP"/>
        </w:rPr>
        <w:t xml:space="preserve">also </w:t>
      </w:r>
      <w:r w:rsidRPr="00D072E5">
        <w:rPr>
          <w:rFonts w:eastAsia="MS Mincho"/>
          <w:szCs w:val="20"/>
          <w:lang w:eastAsia="ja-JP"/>
        </w:rPr>
        <w:t>noted that t</w:t>
      </w:r>
      <w:r w:rsidRPr="00D072E5">
        <w:t xml:space="preserve">he variational difference in </w:t>
      </w:r>
      <w:r w:rsidR="00497700" w:rsidRPr="00D072E5">
        <w:t xml:space="preserve">the inclusion criteria for NMO and NMOSD conditions specifies for NMOSD patients to be anti- </w:t>
      </w:r>
      <w:r w:rsidR="005766CB">
        <w:t>AQP4-IgG</w:t>
      </w:r>
      <w:r w:rsidRPr="00D072E5">
        <w:t xml:space="preserve"> </w:t>
      </w:r>
      <w:r w:rsidR="00497700" w:rsidRPr="00D072E5">
        <w:t>positive at inclusion</w:t>
      </w:r>
      <w:r>
        <w:t>, while permitting</w:t>
      </w:r>
      <w:r w:rsidR="00497700" w:rsidRPr="00D072E5">
        <w:t xml:space="preserve"> the inclusion of NMO patients</w:t>
      </w:r>
      <w:r w:rsidRPr="00D072E5">
        <w:t xml:space="preserve"> </w:t>
      </w:r>
      <w:r w:rsidR="00497700" w:rsidRPr="00D072E5">
        <w:t>without anti-</w:t>
      </w:r>
      <w:r w:rsidR="005766CB">
        <w:t>AQP4-IgG</w:t>
      </w:r>
      <w:r w:rsidR="00497700" w:rsidRPr="00D072E5">
        <w:t xml:space="preserve"> positive status.</w:t>
      </w:r>
    </w:p>
    <w:p w14:paraId="67EAE6BC" w14:textId="77777777" w:rsidR="003451F3" w:rsidRDefault="003451F3" w:rsidP="00602DCA">
      <w:r>
        <w:t xml:space="preserve">The </w:t>
      </w:r>
      <w:r w:rsidRPr="0079103A">
        <w:t xml:space="preserve">Delegate’s recommended indication </w:t>
      </w:r>
      <w:r>
        <w:t xml:space="preserve">for </w:t>
      </w:r>
      <w:r w:rsidRPr="0079103A">
        <w:t>approval</w:t>
      </w:r>
      <w:r>
        <w:t xml:space="preserve"> is as follow:</w:t>
      </w:r>
    </w:p>
    <w:p w14:paraId="39A2AAB1" w14:textId="77777777" w:rsidR="00602DCA" w:rsidRDefault="003451F3" w:rsidP="00602DCA">
      <w:pPr>
        <w:ind w:left="720"/>
        <w:rPr>
          <w:rFonts w:eastAsiaTheme="minorHAnsi"/>
          <w:i/>
          <w:iCs/>
        </w:rPr>
      </w:pPr>
      <w:proofErr w:type="spellStart"/>
      <w:r w:rsidRPr="006E16D6">
        <w:rPr>
          <w:i/>
        </w:rPr>
        <w:t>Satralizumab</w:t>
      </w:r>
      <w:proofErr w:type="spellEnd"/>
      <w:r w:rsidRPr="006E16D6">
        <w:rPr>
          <w:i/>
        </w:rPr>
        <w:t xml:space="preserve"> (</w:t>
      </w:r>
      <w:proofErr w:type="spellStart"/>
      <w:r w:rsidRPr="006E16D6">
        <w:rPr>
          <w:i/>
        </w:rPr>
        <w:t>Enspryng</w:t>
      </w:r>
      <w:proofErr w:type="spellEnd"/>
      <w:r w:rsidRPr="006E16D6">
        <w:rPr>
          <w:i/>
        </w:rPr>
        <w:t xml:space="preserve">) is </w:t>
      </w:r>
      <w:r w:rsidR="0025325E" w:rsidRPr="006E16D6">
        <w:rPr>
          <w:i/>
        </w:rPr>
        <w:t>indicated as</w:t>
      </w:r>
      <w:r w:rsidRPr="006E16D6">
        <w:rPr>
          <w:i/>
        </w:rPr>
        <w:t xml:space="preserve"> </w:t>
      </w:r>
      <w:r w:rsidRPr="006E16D6">
        <w:rPr>
          <w:rFonts w:eastAsiaTheme="minorHAnsi"/>
          <w:i/>
          <w:iCs/>
        </w:rPr>
        <w:t>monot</w:t>
      </w:r>
      <w:r w:rsidR="005447DE">
        <w:rPr>
          <w:rFonts w:eastAsiaTheme="minorHAnsi"/>
          <w:i/>
          <w:iCs/>
        </w:rPr>
        <w:t>herapy or</w:t>
      </w:r>
      <w:r w:rsidRPr="006E16D6">
        <w:rPr>
          <w:rFonts w:eastAsiaTheme="minorHAnsi"/>
          <w:i/>
          <w:iCs/>
        </w:rPr>
        <w:t xml:space="preserve"> in combination with immunosuppressive therapy (IST) for the treatment of adults </w:t>
      </w:r>
      <w:r w:rsidRPr="006E16D6">
        <w:rPr>
          <w:rFonts w:eastAsiaTheme="minorHAnsi" w:cs="Arial"/>
          <w:i/>
        </w:rPr>
        <w:t xml:space="preserve">aged </w:t>
      </w:r>
      <w:r w:rsidRPr="006E16D6">
        <w:rPr>
          <w:rFonts w:eastAsiaTheme="minorHAnsi" w:cs="Symbol"/>
          <w:i/>
        </w:rPr>
        <w:t>≥</w:t>
      </w:r>
      <w:r w:rsidRPr="006E16D6">
        <w:rPr>
          <w:rFonts w:eastAsiaTheme="minorHAnsi" w:cs="Arial"/>
          <w:i/>
        </w:rPr>
        <w:t xml:space="preserve">18 years </w:t>
      </w:r>
      <w:r w:rsidRPr="006E16D6">
        <w:rPr>
          <w:rFonts w:eastAsiaTheme="minorHAnsi"/>
          <w:i/>
          <w:iCs/>
        </w:rPr>
        <w:t>with anti-AQP4-IgG positive Neuromyelitis Optica (NMO) and Neuromyelitis Optica Spectrum Disorder (NMOSD).</w:t>
      </w:r>
    </w:p>
    <w:p w14:paraId="307B0D76" w14:textId="77777777" w:rsidR="00CA09E7" w:rsidRDefault="00CA09E7" w:rsidP="00602DCA">
      <w:r>
        <w:t>The sponsor has amended the proposed indication post Delegate’s recommendation to the following:</w:t>
      </w:r>
      <w:r>
        <w:rPr>
          <w:rStyle w:val="FootnoteReference"/>
        </w:rPr>
        <w:footnoteReference w:id="11"/>
      </w:r>
    </w:p>
    <w:p w14:paraId="7BC03471" w14:textId="77777777" w:rsidR="00CA09E7" w:rsidRPr="00CA09E7" w:rsidRDefault="00CA09E7" w:rsidP="00CA09E7">
      <w:pPr>
        <w:ind w:left="720"/>
        <w:rPr>
          <w:i/>
        </w:rPr>
      </w:pPr>
      <w:proofErr w:type="spellStart"/>
      <w:r w:rsidRPr="00CA09E7">
        <w:rPr>
          <w:i/>
        </w:rPr>
        <w:lastRenderedPageBreak/>
        <w:t>Enspryng</w:t>
      </w:r>
      <w:proofErr w:type="spellEnd"/>
      <w:r w:rsidRPr="00CA09E7">
        <w:rPr>
          <w:i/>
        </w:rPr>
        <w:t xml:space="preserve"> is indicated as monotherapy or in combination with immunosuppressive therapy (IST) for the treatment of adults aged ≥ 18 years with Neuromyelitis Optica Spectrum Disorder (NMOSD) who are anti- aquaporin 4 (AQP4)-IgG positive.</w:t>
      </w:r>
    </w:p>
    <w:p w14:paraId="17A8C552" w14:textId="77777777" w:rsidR="00497700" w:rsidRDefault="00D072E5" w:rsidP="00497700">
      <w:pPr>
        <w:pStyle w:val="Heading4"/>
        <w:rPr>
          <w:szCs w:val="22"/>
        </w:rPr>
      </w:pPr>
      <w:r>
        <w:rPr>
          <w:szCs w:val="22"/>
        </w:rPr>
        <w:t>Proposed conditions of registration</w:t>
      </w:r>
    </w:p>
    <w:p w14:paraId="40A68E6A" w14:textId="77777777" w:rsidR="005447DE" w:rsidRPr="005447DE" w:rsidRDefault="005447DE" w:rsidP="005447DE">
      <w:r>
        <w:t>The Delegate proposed the following conditions of registration:</w:t>
      </w:r>
    </w:p>
    <w:p w14:paraId="50B2581E" w14:textId="77777777" w:rsidR="00497700" w:rsidRPr="00D072E5" w:rsidRDefault="00497700" w:rsidP="00D072E5">
      <w:pPr>
        <w:pStyle w:val="ListBullet"/>
        <w:rPr>
          <w:rFonts w:eastAsiaTheme="minorHAnsi" w:cs="TimesNewRoman"/>
        </w:rPr>
      </w:pPr>
      <w:r w:rsidRPr="00825C2D">
        <w:t>Standard pharmacovigilance activity, watching for significant safety signals</w:t>
      </w:r>
      <w:r w:rsidR="00D072E5">
        <w:t xml:space="preserve"> </w:t>
      </w:r>
      <w:r>
        <w:t xml:space="preserve">as per the </w:t>
      </w:r>
      <w:r w:rsidR="00D072E5">
        <w:t xml:space="preserve">Delegate and clinical evaluator’s </w:t>
      </w:r>
      <w:r>
        <w:t>recommendations, in regard of:</w:t>
      </w:r>
    </w:p>
    <w:p w14:paraId="64EB480B" w14:textId="77777777" w:rsidR="00497700" w:rsidRPr="00A91765" w:rsidRDefault="00497700" w:rsidP="00D072E5">
      <w:pPr>
        <w:pStyle w:val="ListBullet2"/>
      </w:pPr>
      <w:r w:rsidRPr="00A91765">
        <w:t xml:space="preserve">Serious and opportunistic </w:t>
      </w:r>
      <w:proofErr w:type="gramStart"/>
      <w:r w:rsidRPr="00A91765">
        <w:t>infections;</w:t>
      </w:r>
      <w:proofErr w:type="gramEnd"/>
    </w:p>
    <w:p w14:paraId="3137C356" w14:textId="77777777" w:rsidR="00497700" w:rsidRPr="00A91765" w:rsidRDefault="00497700" w:rsidP="00D072E5">
      <w:pPr>
        <w:pStyle w:val="ListBullet2"/>
      </w:pPr>
      <w:r w:rsidRPr="00A91765">
        <w:t xml:space="preserve">Bleeding </w:t>
      </w:r>
      <w:proofErr w:type="gramStart"/>
      <w:r w:rsidRPr="00A91765">
        <w:t>events;</w:t>
      </w:r>
      <w:proofErr w:type="gramEnd"/>
    </w:p>
    <w:p w14:paraId="434D7EF4" w14:textId="77777777" w:rsidR="00497700" w:rsidRPr="00A91765" w:rsidRDefault="00497700" w:rsidP="00D072E5">
      <w:pPr>
        <w:pStyle w:val="ListBullet2"/>
      </w:pPr>
      <w:r w:rsidRPr="00A91765">
        <w:t>Malignancies: incidence of skin cancers (melanoma and non-melanoma</w:t>
      </w:r>
      <w:proofErr w:type="gramStart"/>
      <w:r w:rsidRPr="00A91765">
        <w:t>);</w:t>
      </w:r>
      <w:proofErr w:type="gramEnd"/>
    </w:p>
    <w:p w14:paraId="0F0C1FC6" w14:textId="77777777" w:rsidR="00497700" w:rsidRPr="00D072E5" w:rsidRDefault="00497700" w:rsidP="00D072E5">
      <w:pPr>
        <w:pStyle w:val="ListBullet2"/>
      </w:pPr>
      <w:r w:rsidRPr="00A91765">
        <w:t>Hepatotoxicity.</w:t>
      </w:r>
    </w:p>
    <w:p w14:paraId="5F2BAD32" w14:textId="77777777" w:rsidR="00497700" w:rsidRPr="00AE773E" w:rsidRDefault="00497700" w:rsidP="00D072E5">
      <w:pPr>
        <w:pStyle w:val="ListBullet"/>
      </w:pPr>
      <w:r w:rsidRPr="00D072E5">
        <w:t xml:space="preserve">Sponsor’s undertaking, as per the </w:t>
      </w:r>
      <w:proofErr w:type="spellStart"/>
      <w:r w:rsidRPr="00D072E5">
        <w:t>PopPK</w:t>
      </w:r>
      <w:proofErr w:type="spellEnd"/>
      <w:r w:rsidRPr="00D072E5">
        <w:t xml:space="preserve"> evaluator’s</w:t>
      </w:r>
      <w:r w:rsidR="005447DE">
        <w:t xml:space="preserve"> </w:t>
      </w:r>
      <w:r w:rsidRPr="00D072E5">
        <w:t>recommendations, to:</w:t>
      </w:r>
    </w:p>
    <w:p w14:paraId="29A02ED5" w14:textId="77777777" w:rsidR="00497700" w:rsidRPr="00D072E5" w:rsidRDefault="00497700" w:rsidP="00D072E5">
      <w:pPr>
        <w:pStyle w:val="ListBullet2"/>
        <w:rPr>
          <w:rFonts w:eastAsiaTheme="minorHAnsi" w:cs="TimesNewRoman"/>
        </w:rPr>
      </w:pPr>
      <w:r w:rsidRPr="00A91765">
        <w:rPr>
          <w:rFonts w:eastAsiaTheme="minorHAnsi" w:cs="TimesNewRoman"/>
        </w:rPr>
        <w:t>Have close</w:t>
      </w:r>
      <w:r>
        <w:rPr>
          <w:rFonts w:eastAsiaTheme="minorHAnsi" w:cs="TimesNewRoman"/>
        </w:rPr>
        <w:t>r</w:t>
      </w:r>
      <w:r w:rsidRPr="00A91765">
        <w:rPr>
          <w:rFonts w:eastAsiaTheme="minorHAnsi" w:cs="TimesNewRoman"/>
        </w:rPr>
        <w:t xml:space="preserve"> examination of the statistical power of the studies to elucidate the sub-group </w:t>
      </w:r>
      <w:r w:rsidR="00D072E5" w:rsidRPr="00A91765">
        <w:rPr>
          <w:rFonts w:eastAsiaTheme="minorHAnsi" w:cs="TimesNewRoman"/>
        </w:rPr>
        <w:t>analyses for</w:t>
      </w:r>
      <w:r w:rsidRPr="00A91765">
        <w:rPr>
          <w:rFonts w:eastAsiaTheme="minorHAnsi" w:cs="TimesNewRoman"/>
        </w:rPr>
        <w:t xml:space="preserve"> efficacy per weight</w:t>
      </w:r>
      <w:r>
        <w:rPr>
          <w:rFonts w:eastAsiaTheme="minorHAnsi" w:cs="TimesNewRoman"/>
        </w:rPr>
        <w:t>.</w:t>
      </w:r>
    </w:p>
    <w:p w14:paraId="013168CA" w14:textId="77777777" w:rsidR="00497700" w:rsidRPr="00D072E5" w:rsidRDefault="00497700" w:rsidP="00D072E5">
      <w:pPr>
        <w:pStyle w:val="ListBullet2"/>
        <w:rPr>
          <w:rFonts w:eastAsiaTheme="minorHAnsi" w:cs="TimesNewRoman"/>
        </w:rPr>
      </w:pPr>
      <w:r w:rsidRPr="00A91765">
        <w:rPr>
          <w:rFonts w:eastAsiaTheme="minorHAnsi" w:cs="TimesNewRoman"/>
        </w:rPr>
        <w:t xml:space="preserve">Carry out exploration of the optimal receptor occupancy related to therapeutic efficacy, so as to inform whether exposures in certain weight groups is more than required for the chosen dosage </w:t>
      </w:r>
      <w:proofErr w:type="gramStart"/>
      <w:r w:rsidRPr="00A91765">
        <w:rPr>
          <w:rFonts w:eastAsiaTheme="minorHAnsi" w:cs="TimesNewRoman"/>
        </w:rPr>
        <w:t>regimen</w:t>
      </w:r>
      <w:r w:rsidR="00D072E5">
        <w:rPr>
          <w:rFonts w:eastAsiaTheme="minorHAnsi" w:cs="TimesNewRoman"/>
        </w:rPr>
        <w:t>;</w:t>
      </w:r>
      <w:proofErr w:type="gramEnd"/>
    </w:p>
    <w:p w14:paraId="5F8DC4D4" w14:textId="77777777" w:rsidR="00497700" w:rsidRPr="00D072E5" w:rsidRDefault="00497700" w:rsidP="00D072E5">
      <w:pPr>
        <w:pStyle w:val="ListBullet2"/>
        <w:rPr>
          <w:rFonts w:eastAsiaTheme="minorHAnsi" w:cs="TimesNewRoman"/>
        </w:rPr>
      </w:pPr>
      <w:r w:rsidRPr="00A91765">
        <w:rPr>
          <w:rFonts w:eastAsiaTheme="minorHAnsi" w:cs="TimesNewRoman"/>
        </w:rPr>
        <w:t>Aside from the</w:t>
      </w:r>
      <w:r w:rsidR="00B842FA">
        <w:rPr>
          <w:rFonts w:eastAsiaTheme="minorHAnsi" w:cs="TimesNewRoman"/>
        </w:rPr>
        <w:t xml:space="preserve"> </w:t>
      </w:r>
      <w:r w:rsidRPr="00A91765">
        <w:rPr>
          <w:rFonts w:eastAsiaTheme="minorHAnsi" w:cs="TimesNewRoman"/>
        </w:rPr>
        <w:t>cumbersome simulation compilations /</w:t>
      </w:r>
      <w:r w:rsidR="00D072E5" w:rsidRPr="00A91765">
        <w:rPr>
          <w:rFonts w:eastAsiaTheme="minorHAnsi" w:cs="TimesNewRoman"/>
        </w:rPr>
        <w:t>statistical</w:t>
      </w:r>
      <w:r w:rsidRPr="00A91765">
        <w:rPr>
          <w:rFonts w:eastAsiaTheme="minorHAnsi" w:cs="TimesNewRoman"/>
        </w:rPr>
        <w:t xml:space="preserve"> a</w:t>
      </w:r>
      <w:r w:rsidR="00F75765">
        <w:rPr>
          <w:rFonts w:eastAsiaTheme="minorHAnsi" w:cs="TimesNewRoman"/>
        </w:rPr>
        <w:t>nalyses provided by the sponsor, the D</w:t>
      </w:r>
      <w:r w:rsidRPr="00A91765">
        <w:rPr>
          <w:rFonts w:eastAsiaTheme="minorHAnsi" w:cs="TimesNewRoman"/>
        </w:rPr>
        <w:t>elegate</w:t>
      </w:r>
      <w:r>
        <w:rPr>
          <w:rFonts w:eastAsiaTheme="minorHAnsi" w:cs="TimesNewRoman"/>
        </w:rPr>
        <w:t>’s</w:t>
      </w:r>
      <w:r w:rsidRPr="00A91765">
        <w:rPr>
          <w:rFonts w:eastAsiaTheme="minorHAnsi" w:cs="TimesNewRoman"/>
        </w:rPr>
        <w:t xml:space="preserve"> requirement is for the sponsor to </w:t>
      </w:r>
      <w:r w:rsidR="00D072E5" w:rsidRPr="00A91765">
        <w:rPr>
          <w:rFonts w:eastAsiaTheme="minorHAnsi" w:cs="TimesNewRoman"/>
        </w:rPr>
        <w:t>undertake</w:t>
      </w:r>
      <w:r w:rsidRPr="00A91765">
        <w:rPr>
          <w:rFonts w:eastAsiaTheme="minorHAnsi" w:cs="TimesNewRoman"/>
        </w:rPr>
        <w:t xml:space="preserve"> the relevant post marketing</w:t>
      </w:r>
      <w:r w:rsidR="00D072E5">
        <w:rPr>
          <w:rFonts w:eastAsiaTheme="minorHAnsi" w:cs="TimesNewRoman"/>
        </w:rPr>
        <w:t xml:space="preserve"> surveillance as it applies to:</w:t>
      </w:r>
    </w:p>
    <w:p w14:paraId="5CC4E2BD" w14:textId="77777777" w:rsidR="00497700" w:rsidRPr="00497700" w:rsidRDefault="00497700" w:rsidP="00497700">
      <w:pPr>
        <w:pStyle w:val="ListBullet3"/>
      </w:pPr>
      <w:r w:rsidRPr="00A91765">
        <w:t>Weight and ADA Status in</w:t>
      </w:r>
      <w:r w:rsidR="00F75765">
        <w:t xml:space="preserve"> respect of r</w:t>
      </w:r>
      <w:r w:rsidR="00D072E5">
        <w:t xml:space="preserve">eceptor occupancy </w:t>
      </w:r>
      <w:r w:rsidRPr="00A91765">
        <w:t xml:space="preserve">and with regard, </w:t>
      </w:r>
      <w:r w:rsidR="00D072E5" w:rsidRPr="00A91765">
        <w:t>to the</w:t>
      </w:r>
      <w:r w:rsidRPr="00A91765">
        <w:t xml:space="preserve"> </w:t>
      </w:r>
      <w:r w:rsidR="00D072E5">
        <w:t>probable d</w:t>
      </w:r>
      <w:r w:rsidR="00D072E5" w:rsidRPr="00A91765">
        <w:t>osing</w:t>
      </w:r>
      <w:r w:rsidRPr="00A91765">
        <w:t xml:space="preserve"> adjustments that will inevitably take place in </w:t>
      </w:r>
      <w:r w:rsidR="00D072E5" w:rsidRPr="00A91765">
        <w:t>contemporary</w:t>
      </w:r>
      <w:r w:rsidR="00D072E5">
        <w:t xml:space="preserve"> clinical practice, </w:t>
      </w:r>
      <w:proofErr w:type="gramStart"/>
      <w:r w:rsidR="00D072E5">
        <w:t>so as to</w:t>
      </w:r>
      <w:proofErr w:type="gramEnd"/>
      <w:r w:rsidR="00D072E5">
        <w:t xml:space="preserve"> </w:t>
      </w:r>
      <w:r w:rsidRPr="00A91765">
        <w:t>maintain efficacy and prevent relapse.</w:t>
      </w:r>
    </w:p>
    <w:p w14:paraId="083B5D48" w14:textId="77777777" w:rsidR="00D23139" w:rsidRDefault="00D23139" w:rsidP="00D23139">
      <w:pPr>
        <w:pStyle w:val="Heading4"/>
      </w:pPr>
      <w:r w:rsidRPr="00D23139">
        <w:t>Proposed action</w:t>
      </w:r>
    </w:p>
    <w:p w14:paraId="687646DB" w14:textId="71C8A856" w:rsidR="005447DE" w:rsidRPr="00F8596F" w:rsidRDefault="005447DE" w:rsidP="005447DE">
      <w:r w:rsidRPr="005447DE">
        <w:t>There is adequa</w:t>
      </w:r>
      <w:r w:rsidR="00F8596F">
        <w:t xml:space="preserve">te evidence that the action of </w:t>
      </w:r>
      <w:proofErr w:type="spellStart"/>
      <w:r w:rsidR="00F8596F">
        <w:t>s</w:t>
      </w:r>
      <w:r w:rsidRPr="005447DE">
        <w:t>atralizumab</w:t>
      </w:r>
      <w:proofErr w:type="spellEnd"/>
      <w:r w:rsidRPr="005447DE">
        <w:t xml:space="preserve"> (in blocking out the signalling effect of IL-6 yields both </w:t>
      </w:r>
      <w:r w:rsidR="002F3C52" w:rsidRPr="005447DE">
        <w:t>statistically</w:t>
      </w:r>
      <w:r w:rsidRPr="005447DE">
        <w:t xml:space="preserve"> significant and clinically m</w:t>
      </w:r>
      <w:r w:rsidR="00F8596F">
        <w:t xml:space="preserve">eaningful outcomes, either as </w:t>
      </w:r>
      <w:r w:rsidRPr="005447DE">
        <w:t>mono</w:t>
      </w:r>
      <w:r w:rsidR="00F8596F">
        <w:t>therapy or in combination with IST</w:t>
      </w:r>
      <w:r w:rsidRPr="005447DE">
        <w:t>,</w:t>
      </w:r>
      <w:r w:rsidR="00F8596F">
        <w:t xml:space="preserve"> </w:t>
      </w:r>
      <w:r w:rsidRPr="005447DE">
        <w:t>for the treatment of adults aged ≥</w:t>
      </w:r>
      <w:r w:rsidR="00F8596F">
        <w:t xml:space="preserve"> </w:t>
      </w:r>
      <w:r w:rsidRPr="005447DE">
        <w:t>18 years with anti- AQP4-IgG posit</w:t>
      </w:r>
      <w:r w:rsidR="00F8596F">
        <w:t>ive NMO (</w:t>
      </w:r>
      <w:r w:rsidR="007C797F">
        <w:t>excluding anti</w:t>
      </w:r>
      <w:r w:rsidRPr="005447DE">
        <w:t xml:space="preserve"> AQP4-IgG nega</w:t>
      </w:r>
      <w:r w:rsidR="00F8596F">
        <w:t>tive)</w:t>
      </w:r>
      <w:r w:rsidRPr="005447DE">
        <w:t xml:space="preserve"> and NMOSD.</w:t>
      </w:r>
      <w:r w:rsidR="007C797F">
        <w:t xml:space="preserve"> </w:t>
      </w:r>
      <w:r w:rsidRPr="005447DE">
        <w:t>There is currently inadequate data to</w:t>
      </w:r>
      <w:r w:rsidR="00F8596F">
        <w:t xml:space="preserve"> support an overall benefit of </w:t>
      </w:r>
      <w:proofErr w:type="spellStart"/>
      <w:r w:rsidR="00F8596F">
        <w:t>s</w:t>
      </w:r>
      <w:r w:rsidRPr="005447DE">
        <w:t>atralizumab</w:t>
      </w:r>
      <w:proofErr w:type="spellEnd"/>
      <w:r w:rsidRPr="005447DE">
        <w:t>,</w:t>
      </w:r>
      <w:r w:rsidR="00F8596F">
        <w:t xml:space="preserve"> </w:t>
      </w:r>
      <w:r w:rsidRPr="005447DE">
        <w:t>either as mono</w:t>
      </w:r>
      <w:r w:rsidR="00F8596F">
        <w:t>therapy or in combination with IST</w:t>
      </w:r>
      <w:r w:rsidRPr="005447DE">
        <w:t xml:space="preserve">, in </w:t>
      </w:r>
      <w:r w:rsidR="00F8596F">
        <w:t xml:space="preserve">the younger adolescents aged 12 to </w:t>
      </w:r>
      <w:r w:rsidRPr="005447DE">
        <w:t>17 year</w:t>
      </w:r>
      <w:r w:rsidR="00F8596F">
        <w:t>s old</w:t>
      </w:r>
      <w:r w:rsidRPr="005447DE">
        <w:t>,</w:t>
      </w:r>
      <w:r w:rsidR="00F75765">
        <w:t xml:space="preserve"> </w:t>
      </w:r>
      <w:r w:rsidRPr="005447DE">
        <w:t>when the potential seriou</w:t>
      </w:r>
      <w:r w:rsidR="00F8596F">
        <w:t>s adverse risks associated with</w:t>
      </w:r>
      <w:r w:rsidRPr="005447DE">
        <w:t xml:space="preserve"> their </w:t>
      </w:r>
      <w:r w:rsidR="00F8596F" w:rsidRPr="005447DE">
        <w:t>probable</w:t>
      </w:r>
      <w:r w:rsidRPr="005447DE">
        <w:t xml:space="preserve"> chronic long </w:t>
      </w:r>
      <w:r w:rsidR="00F8596F">
        <w:t xml:space="preserve">term use of </w:t>
      </w:r>
      <w:proofErr w:type="spellStart"/>
      <w:r w:rsidR="00B842FA">
        <w:t>satralizumab</w:t>
      </w:r>
      <w:proofErr w:type="spellEnd"/>
      <w:r w:rsidR="00F8596F">
        <w:t xml:space="preserve"> are considered.</w:t>
      </w:r>
    </w:p>
    <w:p w14:paraId="1C892623" w14:textId="77777777" w:rsidR="007D53B6" w:rsidRDefault="007D53B6" w:rsidP="005447DE">
      <w:pPr>
        <w:pStyle w:val="Heading4"/>
      </w:pPr>
      <w:r>
        <w:t xml:space="preserve">Questions for </w:t>
      </w:r>
      <w:r w:rsidR="00744121">
        <w:t xml:space="preserve">the </w:t>
      </w:r>
      <w:r>
        <w:t>sponsor</w:t>
      </w:r>
    </w:p>
    <w:p w14:paraId="5488D9BD" w14:textId="77777777" w:rsidR="00744121" w:rsidRDefault="00744121" w:rsidP="00744121">
      <w:r>
        <w:t>The sponsor provided the following response to questions from the Delegate.</w:t>
      </w:r>
    </w:p>
    <w:p w14:paraId="21161D60" w14:textId="47127AA7" w:rsidR="00602DCA" w:rsidRPr="00602DCA" w:rsidRDefault="00602DCA" w:rsidP="00602DCA">
      <w:pPr>
        <w:pStyle w:val="Numberbullet0"/>
      </w:pPr>
      <w:r w:rsidRPr="00602DCA">
        <w:rPr>
          <w:b/>
          <w:i/>
        </w:rPr>
        <w:t xml:space="preserve">Given the similar </w:t>
      </w:r>
      <w:r w:rsidR="00E35EED">
        <w:rPr>
          <w:b/>
          <w:i/>
        </w:rPr>
        <w:t>percentage</w:t>
      </w:r>
      <w:r w:rsidR="00E35EED" w:rsidRPr="00602DCA">
        <w:rPr>
          <w:b/>
          <w:i/>
        </w:rPr>
        <w:t xml:space="preserve"> </w:t>
      </w:r>
      <w:r w:rsidRPr="00602DCA">
        <w:rPr>
          <w:b/>
          <w:i/>
        </w:rPr>
        <w:t xml:space="preserve">of subjects who completed the </w:t>
      </w:r>
      <w:r w:rsidR="00E35EED">
        <w:rPr>
          <w:b/>
          <w:i/>
        </w:rPr>
        <w:t>double blind period</w:t>
      </w:r>
      <w:r w:rsidR="00E35EED" w:rsidRPr="00602DCA">
        <w:rPr>
          <w:b/>
          <w:i/>
        </w:rPr>
        <w:t xml:space="preserve"> </w:t>
      </w:r>
      <w:r w:rsidRPr="00602DCA">
        <w:rPr>
          <w:b/>
          <w:i/>
        </w:rPr>
        <w:t xml:space="preserve">in both </w:t>
      </w:r>
      <w:proofErr w:type="spellStart"/>
      <w:r w:rsidR="00B842FA">
        <w:rPr>
          <w:b/>
          <w:i/>
        </w:rPr>
        <w:t>satralizumab</w:t>
      </w:r>
      <w:proofErr w:type="spellEnd"/>
      <w:r w:rsidRPr="00602DCA">
        <w:rPr>
          <w:b/>
          <w:i/>
        </w:rPr>
        <w:t xml:space="preserve"> (n = 18 that is 18/63→28.6 %) and </w:t>
      </w:r>
      <w:r w:rsidR="00246728">
        <w:rPr>
          <w:b/>
          <w:i/>
        </w:rPr>
        <w:t>placebo</w:t>
      </w:r>
      <w:r w:rsidRPr="00602DCA">
        <w:rPr>
          <w:b/>
          <w:i/>
        </w:rPr>
        <w:t xml:space="preserve"> (n = 17 that is 17/32→53.1%) for Study BN40900 and the </w:t>
      </w:r>
      <w:proofErr w:type="spellStart"/>
      <w:r w:rsidR="00B842FA">
        <w:rPr>
          <w:b/>
          <w:i/>
        </w:rPr>
        <w:t>satralizumab</w:t>
      </w:r>
      <w:proofErr w:type="spellEnd"/>
      <w:r w:rsidR="00246728">
        <w:rPr>
          <w:b/>
          <w:i/>
        </w:rPr>
        <w:t xml:space="preserve"> 2:</w:t>
      </w:r>
      <w:r w:rsidRPr="00602DCA">
        <w:rPr>
          <w:b/>
          <w:i/>
        </w:rPr>
        <w:t>1</w:t>
      </w:r>
      <w:r w:rsidR="00246728">
        <w:rPr>
          <w:b/>
          <w:i/>
        </w:rPr>
        <w:t xml:space="preserve"> placebo</w:t>
      </w:r>
      <w:r w:rsidRPr="00602DCA">
        <w:rPr>
          <w:b/>
          <w:i/>
        </w:rPr>
        <w:t xml:space="preserve"> randomisation in the latter. The Delegate noted that there is suggestion for more </w:t>
      </w:r>
      <w:r w:rsidRPr="00602DCA">
        <w:rPr>
          <w:b/>
          <w:i/>
        </w:rPr>
        <w:lastRenderedPageBreak/>
        <w:t xml:space="preserve">drift out of </w:t>
      </w:r>
      <w:proofErr w:type="spellStart"/>
      <w:r w:rsidR="00B842FA">
        <w:rPr>
          <w:b/>
          <w:i/>
        </w:rPr>
        <w:t>satralizumab</w:t>
      </w:r>
      <w:proofErr w:type="spellEnd"/>
      <w:r w:rsidRPr="00602DCA">
        <w:rPr>
          <w:b/>
          <w:i/>
        </w:rPr>
        <w:t xml:space="preserve"> than </w:t>
      </w:r>
      <w:r w:rsidR="00246728">
        <w:rPr>
          <w:b/>
          <w:i/>
        </w:rPr>
        <w:t>placebo</w:t>
      </w:r>
      <w:r w:rsidRPr="00602DCA">
        <w:rPr>
          <w:b/>
          <w:i/>
        </w:rPr>
        <w:t xml:space="preserve"> in the </w:t>
      </w:r>
      <w:proofErr w:type="gramStart"/>
      <w:r w:rsidR="00E35EED">
        <w:rPr>
          <w:b/>
          <w:i/>
        </w:rPr>
        <w:t>double blind</w:t>
      </w:r>
      <w:proofErr w:type="gramEnd"/>
      <w:r w:rsidR="00E35EED">
        <w:rPr>
          <w:b/>
          <w:i/>
        </w:rPr>
        <w:t xml:space="preserve"> period</w:t>
      </w:r>
      <w:r w:rsidR="00E35EED" w:rsidRPr="00602DCA">
        <w:rPr>
          <w:b/>
          <w:i/>
        </w:rPr>
        <w:t xml:space="preserve"> </w:t>
      </w:r>
      <w:r w:rsidRPr="00602DCA">
        <w:rPr>
          <w:b/>
          <w:i/>
        </w:rPr>
        <w:t xml:space="preserve">before the scheduled study duration. The Delegate has </w:t>
      </w:r>
      <w:proofErr w:type="gramStart"/>
      <w:r w:rsidRPr="00602DCA">
        <w:rPr>
          <w:b/>
          <w:i/>
        </w:rPr>
        <w:t>request</w:t>
      </w:r>
      <w:proofErr w:type="gramEnd"/>
      <w:r w:rsidRPr="00602DCA">
        <w:rPr>
          <w:b/>
          <w:i/>
        </w:rPr>
        <w:t xml:space="preserve"> the sponsor to clarify if this observation is related to efficacy se</w:t>
      </w:r>
      <w:r>
        <w:rPr>
          <w:b/>
          <w:i/>
        </w:rPr>
        <w:t>quelae or some other rationale.</w:t>
      </w:r>
    </w:p>
    <w:p w14:paraId="6871AD0F" w14:textId="77777777" w:rsidR="00602DCA" w:rsidRDefault="00602DCA" w:rsidP="00602DCA">
      <w:r>
        <w:t xml:space="preserve">The sponsor would like to clarify that there was no fixed treatment period as BN40900 was an event driven trial where patients could exit the DBP and enter the open label extension period (OLE) after experiencing the pre-defined event that is a protocol-defined relapse (PDR). The numbers provided in the Delegate’s comment reflect the numbers of PDRs that occurred in both treatment arms and not the number of patients that remained in the trial at the clinical cut-off date (CCOD). Therefore, the fact that the numbers are lower for the </w:t>
      </w:r>
      <w:proofErr w:type="spellStart"/>
      <w:r w:rsidR="00B842FA">
        <w:t>satralizumab</w:t>
      </w:r>
      <w:proofErr w:type="spellEnd"/>
      <w:r>
        <w:t xml:space="preserve"> arm is a direct reflection of the efficacy of </w:t>
      </w:r>
      <w:proofErr w:type="spellStart"/>
      <w:r>
        <w:t>satralizumab</w:t>
      </w:r>
      <w:proofErr w:type="spellEnd"/>
      <w:r>
        <w:t>.</w:t>
      </w:r>
    </w:p>
    <w:p w14:paraId="6C0919B3" w14:textId="30737ABB" w:rsidR="00602DCA" w:rsidRDefault="00602DCA" w:rsidP="00602DCA">
      <w:pPr>
        <w:pStyle w:val="Numberbullet0"/>
        <w:rPr>
          <w:b/>
          <w:i/>
        </w:rPr>
      </w:pPr>
      <w:r>
        <w:rPr>
          <w:b/>
          <w:i/>
        </w:rPr>
        <w:t>The</w:t>
      </w:r>
      <w:r w:rsidRPr="00602DCA">
        <w:rPr>
          <w:b/>
          <w:i/>
        </w:rPr>
        <w:t xml:space="preserve"> number of subjects who completed the DBP were n = 18 (43.9%) for </w:t>
      </w:r>
      <w:proofErr w:type="spellStart"/>
      <w:r w:rsidR="00B842FA">
        <w:rPr>
          <w:b/>
          <w:i/>
        </w:rPr>
        <w:t>satralizumab</w:t>
      </w:r>
      <w:proofErr w:type="spellEnd"/>
      <w:r w:rsidRPr="00602DCA">
        <w:rPr>
          <w:b/>
          <w:i/>
        </w:rPr>
        <w:t xml:space="preserve"> and n = 24 (57.1%) for </w:t>
      </w:r>
      <w:r w:rsidR="00246728">
        <w:rPr>
          <w:b/>
          <w:i/>
        </w:rPr>
        <w:t>placebo</w:t>
      </w:r>
      <w:r w:rsidRPr="00602DCA">
        <w:rPr>
          <w:b/>
          <w:i/>
        </w:rPr>
        <w:t xml:space="preserve"> in Study BN40898. The Delegate noted that there is suggestion for more drift out of </w:t>
      </w:r>
      <w:proofErr w:type="spellStart"/>
      <w:r w:rsidR="00B842FA">
        <w:rPr>
          <w:b/>
          <w:i/>
        </w:rPr>
        <w:t>satralizumab</w:t>
      </w:r>
      <w:proofErr w:type="spellEnd"/>
      <w:r w:rsidRPr="00602DCA">
        <w:rPr>
          <w:b/>
          <w:i/>
        </w:rPr>
        <w:t xml:space="preserve"> than </w:t>
      </w:r>
      <w:r w:rsidR="00246728">
        <w:rPr>
          <w:b/>
          <w:i/>
        </w:rPr>
        <w:t>placebo</w:t>
      </w:r>
      <w:r w:rsidRPr="00602DCA">
        <w:rPr>
          <w:b/>
          <w:i/>
        </w:rPr>
        <w:t xml:space="preserve"> in the </w:t>
      </w:r>
      <w:proofErr w:type="gramStart"/>
      <w:r w:rsidR="00E35EED">
        <w:rPr>
          <w:b/>
          <w:i/>
        </w:rPr>
        <w:t>double blind</w:t>
      </w:r>
      <w:proofErr w:type="gramEnd"/>
      <w:r w:rsidR="00E35EED">
        <w:rPr>
          <w:b/>
          <w:i/>
        </w:rPr>
        <w:t xml:space="preserve"> period</w:t>
      </w:r>
      <w:r w:rsidRPr="00602DCA">
        <w:rPr>
          <w:b/>
          <w:i/>
        </w:rPr>
        <w:t xml:space="preserve"> before the scheduled study duration. The Delegate has </w:t>
      </w:r>
      <w:proofErr w:type="gramStart"/>
      <w:r w:rsidRPr="00602DCA">
        <w:rPr>
          <w:b/>
          <w:i/>
        </w:rPr>
        <w:t>request</w:t>
      </w:r>
      <w:proofErr w:type="gramEnd"/>
      <w:r w:rsidRPr="00602DCA">
        <w:rPr>
          <w:b/>
          <w:i/>
        </w:rPr>
        <w:t xml:space="preserve"> the sponsor to clarify if the observation is related to efficacy sequelae or some other rationale.</w:t>
      </w:r>
    </w:p>
    <w:p w14:paraId="342BCE88" w14:textId="29C6DF48" w:rsidR="00602DCA" w:rsidRPr="00602DCA" w:rsidRDefault="00602DCA" w:rsidP="00602DCA">
      <w:r>
        <w:t xml:space="preserve">As per the previous comment, the </w:t>
      </w:r>
      <w:r w:rsidR="00E35EED">
        <w:t>s</w:t>
      </w:r>
      <w:r>
        <w:t xml:space="preserve">ponsor would like to clarify that there was no fixed treatment period and that </w:t>
      </w:r>
      <w:r w:rsidR="00E35EED">
        <w:t xml:space="preserve">Study </w:t>
      </w:r>
      <w:r>
        <w:t xml:space="preserve">BN40898, like BN40900, was an event driven trial where patients could exit the DBP and enter the open label extension period (OLE) after experiencing the pre-defined event. In the case of BN40898 patients could exit the DBP after experiencing a PDR or a relapse that was treated with rescue therapy (treated clinical relapse, TCR). The numbers provided in the Delegate’s comment reflect the number of PDRs or TCRs that occurred in both treatment arms and not the number of patients that remained in the trial at the clinical cut-off date (CCOD). Therefore, the fact that the numbers are lower for the </w:t>
      </w:r>
      <w:proofErr w:type="spellStart"/>
      <w:r w:rsidR="00B842FA">
        <w:t>satralizumab</w:t>
      </w:r>
      <w:proofErr w:type="spellEnd"/>
      <w:r>
        <w:t xml:space="preserve"> arm is a direct reflection of the efficacy of </w:t>
      </w:r>
      <w:proofErr w:type="spellStart"/>
      <w:r>
        <w:t>satralizumab</w:t>
      </w:r>
      <w:proofErr w:type="spellEnd"/>
      <w:r>
        <w:t>.</w:t>
      </w:r>
    </w:p>
    <w:p w14:paraId="0F9EFD78"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2"/>
      </w:r>
    </w:p>
    <w:p w14:paraId="616E91B3" w14:textId="77777777" w:rsidR="00744121" w:rsidRDefault="00744121" w:rsidP="00744121">
      <w:pPr>
        <w:rPr>
          <w:bCs/>
        </w:rPr>
      </w:pPr>
      <w:bookmarkStart w:id="65" w:name="_Toc247691532"/>
      <w:bookmarkStart w:id="66" w:name="_Toc314842516"/>
      <w:bookmarkEnd w:id="31"/>
      <w:bookmarkEnd w:id="56"/>
      <w:bookmarkEnd w:id="57"/>
      <w:r w:rsidRPr="00456765">
        <w:rPr>
          <w:bCs/>
        </w:rPr>
        <w:t>The Advisory Committee on Medicines (ACM), having considered the evaluations and the Delegate’s overview, as well as the sponsor’s response to these documents, advised the following</w:t>
      </w:r>
      <w:r>
        <w:rPr>
          <w:bCs/>
        </w:rPr>
        <w:t>.</w:t>
      </w:r>
    </w:p>
    <w:p w14:paraId="69D86734" w14:textId="77777777" w:rsidR="00B52F6F" w:rsidRDefault="00744121" w:rsidP="00B52F6F">
      <w:pPr>
        <w:pStyle w:val="Heading5"/>
      </w:pPr>
      <w:r>
        <w:t>Specific advice to the Delegate</w:t>
      </w:r>
    </w:p>
    <w:p w14:paraId="2DFC144D" w14:textId="77777777" w:rsidR="00B52F6F" w:rsidRPr="00D57377" w:rsidRDefault="00B52F6F" w:rsidP="00D57377">
      <w:pPr>
        <w:pStyle w:val="Numberbullet0"/>
        <w:numPr>
          <w:ilvl w:val="0"/>
          <w:numId w:val="24"/>
        </w:numPr>
        <w:rPr>
          <w:b/>
          <w:i/>
        </w:rPr>
      </w:pPr>
      <w:r w:rsidRPr="00D57377">
        <w:rPr>
          <w:b/>
          <w:i/>
        </w:rPr>
        <w:t xml:space="preserve">The approvability or not of the submission, based on the gamut of the available evidence </w:t>
      </w:r>
    </w:p>
    <w:p w14:paraId="3AA3A2B8" w14:textId="77777777" w:rsidR="00B52F6F" w:rsidRDefault="00B52F6F" w:rsidP="00B52F6F">
      <w:r>
        <w:t xml:space="preserve">The ACM were satisfied with the efficacy and safety data provided in support of this application, agreeing that the clinical efficacy data generally supported </w:t>
      </w:r>
      <w:proofErr w:type="spellStart"/>
      <w:r>
        <w:t>satralizumab</w:t>
      </w:r>
      <w:proofErr w:type="spellEnd"/>
      <w:r>
        <w:t xml:space="preserve"> as a treatment as monotherapy, or as adjunctive treatment with ISTs, for an anti-AQP4-IgG-positive adult population with NMOSD.</w:t>
      </w:r>
    </w:p>
    <w:p w14:paraId="32A63108" w14:textId="77777777" w:rsidR="00B52F6F" w:rsidRDefault="00B52F6F" w:rsidP="00B52F6F">
      <w:r>
        <w:t xml:space="preserve">The ACM discussed the significance of the anti-AQP4-IgG status on the efficacy of </w:t>
      </w:r>
      <w:proofErr w:type="spellStart"/>
      <w:r>
        <w:t>satralizumab</w:t>
      </w:r>
      <w:proofErr w:type="spellEnd"/>
      <w:r>
        <w:t xml:space="preserve">, highlighting that both the </w:t>
      </w:r>
      <w:proofErr w:type="spellStart"/>
      <w:r>
        <w:t>SAkuraStar</w:t>
      </w:r>
      <w:proofErr w:type="spellEnd"/>
      <w:r>
        <w:t xml:space="preserve"> and </w:t>
      </w:r>
      <w:proofErr w:type="spellStart"/>
      <w:r>
        <w:t>SAkuraSky</w:t>
      </w:r>
      <w:proofErr w:type="spellEnd"/>
      <w:r>
        <w:t xml:space="preserve"> trials demonstrated </w:t>
      </w:r>
      <w:r>
        <w:lastRenderedPageBreak/>
        <w:t>efficacy for patients with an anti-AQP4-IgG positive status. It was considered appropriate to have the indication limited to this seropositive status.</w:t>
      </w:r>
    </w:p>
    <w:p w14:paraId="2CB3BE9F" w14:textId="77777777" w:rsidR="00B52F6F" w:rsidRDefault="00B52F6F" w:rsidP="00B52F6F">
      <w:proofErr w:type="gramStart"/>
      <w:r>
        <w:t>With regard to</w:t>
      </w:r>
      <w:proofErr w:type="gramEnd"/>
      <w:r>
        <w:t xml:space="preserve"> dosing, the ACM advised that a loading dose regimen of 120 mg at Weeks 0, 2 and 4 followed by 120 mg maintenance doses every four weeks is appropriate. Given the non-linear pharmacokinetics and slow subcutaneous absorption of the drug, this regimen is expected to reduce the timeframe to reach steady state thereby providing faster therapeutic effect. However, the ACM emphasised that further clarification is required in relation to the impact of weight and anti-drug antibodies, as well as the expected receptor occupancy and outcome. Such clarification may be unmasked during the standa</w:t>
      </w:r>
      <w:r w:rsidR="00F95298">
        <w:t>rd post marketing surveillance.</w:t>
      </w:r>
    </w:p>
    <w:p w14:paraId="06A4B4E1" w14:textId="77777777" w:rsidR="00B52F6F" w:rsidRDefault="00B52F6F" w:rsidP="00B52F6F">
      <w:r>
        <w:t xml:space="preserve">The ACM discussed the appropriateness of using </w:t>
      </w:r>
      <w:proofErr w:type="spellStart"/>
      <w:r>
        <w:t>satralizumab</w:t>
      </w:r>
      <w:proofErr w:type="spellEnd"/>
      <w:r>
        <w:t xml:space="preserve"> as a monotherapy, as clinical experience has demonstrated that some patients do relapse whilst on </w:t>
      </w:r>
      <w:proofErr w:type="gramStart"/>
      <w:r>
        <w:t>monotherapy, and</w:t>
      </w:r>
      <w:proofErr w:type="gramEnd"/>
      <w:r>
        <w:t xml:space="preserve"> may therefore require multiple agents </w:t>
      </w:r>
      <w:r w:rsidRPr="00B52F6F">
        <w:t>such as immunosu</w:t>
      </w:r>
      <w:r>
        <w:t>ppressants and corticosteroids</w:t>
      </w:r>
      <w:r w:rsidRPr="00B52F6F">
        <w:t xml:space="preserve"> to achieve and maintain remission.</w:t>
      </w:r>
    </w:p>
    <w:p w14:paraId="77BBCA6A" w14:textId="77777777" w:rsidR="00B52F6F" w:rsidRDefault="00B52F6F" w:rsidP="00B52F6F">
      <w:pPr>
        <w:pStyle w:val="Numberbullet0"/>
        <w:rPr>
          <w:b/>
          <w:i/>
        </w:rPr>
      </w:pPr>
      <w:r w:rsidRPr="00B52F6F">
        <w:rPr>
          <w:b/>
          <w:i/>
        </w:rPr>
        <w:t xml:space="preserve">The delegate’s recommended indication as per the </w:t>
      </w:r>
      <w:proofErr w:type="gramStart"/>
      <w:r w:rsidRPr="00B52F6F">
        <w:rPr>
          <w:b/>
          <w:i/>
        </w:rPr>
        <w:t>evidence based</w:t>
      </w:r>
      <w:proofErr w:type="gramEnd"/>
      <w:r w:rsidRPr="00B52F6F">
        <w:rPr>
          <w:b/>
          <w:i/>
        </w:rPr>
        <w:t xml:space="preserve"> rationales</w:t>
      </w:r>
    </w:p>
    <w:p w14:paraId="7A514AED" w14:textId="77777777" w:rsidR="00B52F6F" w:rsidRDefault="00B52F6F" w:rsidP="00B52F6F">
      <w:r>
        <w:t>The ACM discussed the inclusion of adolescents within the indication and noted that this population was not well represent</w:t>
      </w:r>
      <w:r w:rsidR="00F95298">
        <w:t>ed in the studies, citing only seven</w:t>
      </w:r>
      <w:r>
        <w:t xml:space="preserve"> adolescents were included with the </w:t>
      </w:r>
      <w:proofErr w:type="spellStart"/>
      <w:r>
        <w:t>SAkuraSky</w:t>
      </w:r>
      <w:proofErr w:type="spellEnd"/>
      <w:r>
        <w:t xml:space="preserve"> trial and no adolescents in the </w:t>
      </w:r>
      <w:proofErr w:type="spellStart"/>
      <w:r>
        <w:t>SAkuraStar</w:t>
      </w:r>
      <w:proofErr w:type="spellEnd"/>
      <w:r>
        <w:t xml:space="preserve"> trial. Noting that the sponsor’s pre-ACM proposed indication does not include the adolescent population, the ACM advised that off-label use may occur with these patients.</w:t>
      </w:r>
    </w:p>
    <w:p w14:paraId="1BB46135" w14:textId="77777777" w:rsidR="00B52F6F" w:rsidRDefault="00B52F6F" w:rsidP="00B52F6F">
      <w:r>
        <w:t>The ACM discussed available antibody biomarker testing options. They noted the importance of anti-AQP4 for determining treatment plans and acknowledged the availability of the older NMO IgG test.</w:t>
      </w:r>
    </w:p>
    <w:p w14:paraId="7201F283" w14:textId="77777777" w:rsidR="00B52F6F" w:rsidRPr="00B52F6F" w:rsidRDefault="00B52F6F" w:rsidP="00B52F6F">
      <w:r>
        <w:t>The ACM recommended including both the disease and the antibody status within the indication wording.</w:t>
      </w:r>
    </w:p>
    <w:p w14:paraId="4FC177A3" w14:textId="77777777" w:rsidR="00744121" w:rsidRDefault="00744121" w:rsidP="00744121">
      <w:pPr>
        <w:pStyle w:val="Heading5"/>
      </w:pPr>
      <w:r>
        <w:t>Conclusion</w:t>
      </w:r>
    </w:p>
    <w:p w14:paraId="4C177F5B" w14:textId="77777777" w:rsidR="00B52F6F" w:rsidRDefault="00B52F6F" w:rsidP="00B52F6F">
      <w:r>
        <w:t>The ACM considered this product to have an overall positive benefit-risk profile for:</w:t>
      </w:r>
    </w:p>
    <w:p w14:paraId="3C7DA96A" w14:textId="77777777" w:rsidR="00B52F6F" w:rsidRDefault="00B52F6F" w:rsidP="00B52F6F">
      <w:pPr>
        <w:ind w:left="720"/>
      </w:pPr>
      <w:proofErr w:type="spellStart"/>
      <w:r>
        <w:rPr>
          <w:i/>
          <w:iCs/>
        </w:rPr>
        <w:t>Satralizumab</w:t>
      </w:r>
      <w:proofErr w:type="spellEnd"/>
      <w:r>
        <w:rPr>
          <w:i/>
          <w:iCs/>
        </w:rPr>
        <w:t xml:space="preserve"> is indicated either as monotherapy or in combination with other immunosuppressive therapy (IST), for the treatment of adults with neuromyelitis </w:t>
      </w:r>
      <w:proofErr w:type="spellStart"/>
      <w:r>
        <w:rPr>
          <w:i/>
          <w:iCs/>
        </w:rPr>
        <w:t>optica</w:t>
      </w:r>
      <w:proofErr w:type="spellEnd"/>
      <w:r>
        <w:rPr>
          <w:i/>
          <w:iCs/>
        </w:rPr>
        <w:t xml:space="preserve"> spectrum disorders (NMOSD) who have anti-AQP4-IgG positive status, or a positive NMO IgG test as an alternative to AQP4 ab testing, if the latter is unavailable for testing.</w:t>
      </w:r>
    </w:p>
    <w:p w14:paraId="3BD91BCD" w14:textId="77777777" w:rsidR="00B52F6F" w:rsidRPr="00B52F6F" w:rsidRDefault="00B52F6F" w:rsidP="00B52F6F">
      <w:pPr>
        <w:rPr>
          <w:b/>
          <w:bCs/>
        </w:rPr>
      </w:pPr>
      <w:r w:rsidRPr="00B52F6F">
        <w:t>All issues pertaining to the draft Product Information and Registration must be resolved to the satisfaction of the TGA</w:t>
      </w:r>
      <w:r w:rsidRPr="00B52F6F">
        <w:rPr>
          <w:b/>
          <w:bCs/>
        </w:rPr>
        <w:t>.</w:t>
      </w:r>
    </w:p>
    <w:p w14:paraId="130C6E94" w14:textId="77777777" w:rsidR="008E7846" w:rsidRPr="002E238E" w:rsidRDefault="008E7846" w:rsidP="00B52F6F">
      <w:pPr>
        <w:pStyle w:val="Heading3"/>
      </w:pPr>
      <w:bookmarkStart w:id="67" w:name="_Toc77162700"/>
      <w:r>
        <w:t>Outcome</w:t>
      </w:r>
      <w:bookmarkEnd w:id="65"/>
      <w:bookmarkEnd w:id="66"/>
      <w:bookmarkEnd w:id="67"/>
    </w:p>
    <w:p w14:paraId="5EFAD4D8" w14:textId="77777777" w:rsidR="00744121" w:rsidRDefault="00744121" w:rsidP="00744121">
      <w:bookmarkStart w:id="68" w:name="_Toc247691533"/>
      <w:bookmarkStart w:id="69" w:name="_Toc314842517"/>
      <w:r>
        <w:t xml:space="preserve">Based on a review of quality, </w:t>
      </w:r>
      <w:proofErr w:type="gramStart"/>
      <w:r>
        <w:t>safety</w:t>
      </w:r>
      <w:proofErr w:type="gramEnd"/>
      <w:r>
        <w:t xml:space="preserve"> and efficacy, the TGA approved the registration of </w:t>
      </w:r>
      <w:proofErr w:type="spellStart"/>
      <w:r w:rsidR="007C797F">
        <w:t>Enspryng</w:t>
      </w:r>
      <w:proofErr w:type="spellEnd"/>
      <w:r w:rsidRPr="00250271">
        <w:t xml:space="preserve"> (</w:t>
      </w:r>
      <w:proofErr w:type="spellStart"/>
      <w:r w:rsidR="007C797F">
        <w:t>satralizumab</w:t>
      </w:r>
      <w:proofErr w:type="spellEnd"/>
      <w:r w:rsidR="007C797F">
        <w:t>) 120 mg/mL</w:t>
      </w:r>
      <w:r w:rsidRPr="00250271">
        <w:t xml:space="preserve">, </w:t>
      </w:r>
      <w:r w:rsidR="007C797F">
        <w:t>solution for injection, pre-filled syringe, indicated for</w:t>
      </w:r>
      <w:r>
        <w:t>:</w:t>
      </w:r>
    </w:p>
    <w:p w14:paraId="57C43B55" w14:textId="77777777" w:rsidR="00851B3D" w:rsidRPr="00851B3D" w:rsidRDefault="00851B3D" w:rsidP="00851B3D">
      <w:pPr>
        <w:ind w:left="720"/>
        <w:rPr>
          <w:i/>
        </w:rPr>
      </w:pPr>
      <w:proofErr w:type="spellStart"/>
      <w:r w:rsidRPr="00851B3D">
        <w:rPr>
          <w:i/>
        </w:rPr>
        <w:t>Enspryng</w:t>
      </w:r>
      <w:proofErr w:type="spellEnd"/>
      <w:r w:rsidRPr="00851B3D">
        <w:rPr>
          <w:i/>
        </w:rPr>
        <w:t xml:space="preserve"> is indicated as monotherapy or in combination with immunosuppressive therapy (IST) for the treatment of adults with neuromyelitis </w:t>
      </w:r>
      <w:proofErr w:type="spellStart"/>
      <w:r w:rsidRPr="00851B3D">
        <w:rPr>
          <w:i/>
        </w:rPr>
        <w:t>optica</w:t>
      </w:r>
      <w:proofErr w:type="spellEnd"/>
      <w:r w:rsidRPr="00851B3D">
        <w:rPr>
          <w:i/>
        </w:rPr>
        <w:t xml:space="preserve"> spectrum disorders (NMOSD) who have an anti-aquaporin 4 antibody (AQP4)-IgG (also </w:t>
      </w:r>
      <w:r w:rsidRPr="00851B3D">
        <w:rPr>
          <w:bCs/>
          <w:i/>
        </w:rPr>
        <w:t>termed NMO-IgG) positive status.</w:t>
      </w:r>
    </w:p>
    <w:p w14:paraId="1E25160E" w14:textId="77777777" w:rsidR="00D23139" w:rsidRDefault="00D23139" w:rsidP="00851B3D">
      <w:pPr>
        <w:pStyle w:val="Heading4"/>
      </w:pPr>
      <w:r w:rsidRPr="00D23139">
        <w:t>Specific conditions of registration applying to these goods</w:t>
      </w:r>
    </w:p>
    <w:p w14:paraId="0FCBD953" w14:textId="77777777" w:rsidR="00851B3D" w:rsidRPr="00FC08DD" w:rsidRDefault="00851B3D" w:rsidP="00851B3D">
      <w:pPr>
        <w:pStyle w:val="ListBullet"/>
      </w:pPr>
      <w:proofErr w:type="spellStart"/>
      <w:r w:rsidRPr="00FC08DD">
        <w:t>Enspryng</w:t>
      </w:r>
      <w:proofErr w:type="spellEnd"/>
      <w:r w:rsidRPr="00FC08DD">
        <w:t xml:space="preserve"> (</w:t>
      </w:r>
      <w:proofErr w:type="spellStart"/>
      <w:r w:rsidRPr="00FC08DD">
        <w:t>satraliz</w:t>
      </w:r>
      <w:r>
        <w:t>umab</w:t>
      </w:r>
      <w:proofErr w:type="spellEnd"/>
      <w:r>
        <w:t>) is to be included in the black triangle s</w:t>
      </w:r>
      <w:r w:rsidRPr="00FC08DD">
        <w:t xml:space="preserve">cheme. The </w:t>
      </w:r>
      <w:r>
        <w:t>Product Information (</w:t>
      </w:r>
      <w:r w:rsidRPr="00FC08DD">
        <w:t>PI</w:t>
      </w:r>
      <w:r>
        <w:t xml:space="preserve">) </w:t>
      </w:r>
      <w:r w:rsidRPr="00FC08DD">
        <w:t xml:space="preserve">and </w:t>
      </w:r>
      <w:r>
        <w:t>Consumer Medicines Information (</w:t>
      </w:r>
      <w:r w:rsidRPr="00FC08DD">
        <w:t>CMI</w:t>
      </w:r>
      <w:r>
        <w:t>)</w:t>
      </w:r>
      <w:r w:rsidRPr="00FC08DD">
        <w:t xml:space="preserve"> for </w:t>
      </w:r>
      <w:proofErr w:type="spellStart"/>
      <w:r w:rsidRPr="00FC08DD">
        <w:t>Enspryng</w:t>
      </w:r>
      <w:proofErr w:type="spellEnd"/>
      <w:r w:rsidRPr="00FC08DD">
        <w:t xml:space="preserve"> must </w:t>
      </w:r>
      <w:r w:rsidRPr="00FC08DD">
        <w:lastRenderedPageBreak/>
        <w:t>include the black triangle symbol and mandatory</w:t>
      </w:r>
      <w:r>
        <w:t xml:space="preserve"> </w:t>
      </w:r>
      <w:r w:rsidRPr="00FC08DD">
        <w:t>accompanying text for five years, which starts</w:t>
      </w:r>
      <w:r>
        <w:t xml:space="preserve"> from the date that the sponsor </w:t>
      </w:r>
      <w:r w:rsidRPr="00FC08DD">
        <w:t>notifies the TGA of supply of the product.</w:t>
      </w:r>
    </w:p>
    <w:p w14:paraId="1A5D0E83" w14:textId="77777777" w:rsidR="00851B3D" w:rsidRPr="00FC08DD" w:rsidRDefault="00851B3D" w:rsidP="00851B3D">
      <w:pPr>
        <w:pStyle w:val="ListBullet"/>
      </w:pPr>
      <w:r w:rsidRPr="00FC08DD">
        <w:t xml:space="preserve">The </w:t>
      </w:r>
      <w:proofErr w:type="spellStart"/>
      <w:r w:rsidRPr="00FC08DD">
        <w:t>Enspryng</w:t>
      </w:r>
      <w:proofErr w:type="spellEnd"/>
      <w:r>
        <w:t xml:space="preserve"> European Union (EU)-risk m</w:t>
      </w:r>
      <w:r w:rsidRPr="00FC08DD">
        <w:t xml:space="preserve">anagement </w:t>
      </w:r>
      <w:r>
        <w:t>p</w:t>
      </w:r>
      <w:r w:rsidRPr="00FC08DD">
        <w:t>lan (RMP) (vers</w:t>
      </w:r>
      <w:r>
        <w:t xml:space="preserve">ion 1.0, dated 30 July 2019; </w:t>
      </w:r>
      <w:r w:rsidRPr="00FC08DD">
        <w:t xml:space="preserve">data lock point </w:t>
      </w:r>
      <w:r>
        <w:t>18 July 2019), with Australian s</w:t>
      </w:r>
      <w:r w:rsidRPr="00FC08DD">
        <w:t>pe</w:t>
      </w:r>
      <w:r>
        <w:t xml:space="preserve">cific annex (version 1.2, dated </w:t>
      </w:r>
      <w:r w:rsidRPr="00FC08DD">
        <w:t>August 2020), included with submission PM-2019-</w:t>
      </w:r>
      <w:r>
        <w:t xml:space="preserve">04752-1-1, to be revised to the </w:t>
      </w:r>
      <w:r w:rsidRPr="00FC08DD">
        <w:t>satisfaction of the TGA, will be implemented in Australia.</w:t>
      </w:r>
    </w:p>
    <w:p w14:paraId="7F026465" w14:textId="77777777" w:rsidR="00851B3D" w:rsidRPr="00FC08DD" w:rsidRDefault="00851B3D" w:rsidP="00851B3D">
      <w:pPr>
        <w:pStyle w:val="ListBullet"/>
        <w:numPr>
          <w:ilvl w:val="0"/>
          <w:numId w:val="0"/>
        </w:numPr>
        <w:ind w:left="360"/>
      </w:pPr>
      <w:r w:rsidRPr="00FC08DD">
        <w:t>An obligatory component of risk management plan</w:t>
      </w:r>
      <w:r>
        <w:t xml:space="preserve">s is routine pharmacovigilance. </w:t>
      </w:r>
      <w:r w:rsidRPr="00FC08DD">
        <w:t>Routine pharmacovigilance includes the submission of</w:t>
      </w:r>
      <w:r>
        <w:t xml:space="preserve"> periodic safety update reports </w:t>
      </w:r>
      <w:r w:rsidRPr="00FC08DD">
        <w:t>(PSURs).</w:t>
      </w:r>
    </w:p>
    <w:p w14:paraId="19D2685C" w14:textId="77777777" w:rsidR="00851B3D" w:rsidRPr="00FC08DD" w:rsidRDefault="00851B3D" w:rsidP="00851B3D">
      <w:pPr>
        <w:pStyle w:val="ListBullet"/>
        <w:numPr>
          <w:ilvl w:val="0"/>
          <w:numId w:val="0"/>
        </w:numPr>
        <w:ind w:left="360"/>
      </w:pPr>
      <w:r w:rsidRPr="00FC08DD">
        <w:t>Unless agreed separately between the supplier who i</w:t>
      </w:r>
      <w:r>
        <w:t xml:space="preserve">s the recipient of the approval </w:t>
      </w:r>
      <w:r w:rsidRPr="00FC08DD">
        <w:t>and the TGA, the first report must be submitted t</w:t>
      </w:r>
      <w:r>
        <w:t xml:space="preserve">o TGA no later than 15 calendar </w:t>
      </w:r>
      <w:r w:rsidRPr="00FC08DD">
        <w:t xml:space="preserve">months after the date of </w:t>
      </w:r>
      <w:r>
        <w:t>the</w:t>
      </w:r>
      <w:r w:rsidRPr="00FC08DD">
        <w:t xml:space="preserve"> approval letter.</w:t>
      </w:r>
      <w:r>
        <w:t xml:space="preserve"> The subsequent reports must be </w:t>
      </w:r>
      <w:r w:rsidRPr="00FC08DD">
        <w:t xml:space="preserve">submitted no less frequently than annually from </w:t>
      </w:r>
      <w:r>
        <w:t xml:space="preserve">the date of the first submitted </w:t>
      </w:r>
      <w:r w:rsidRPr="00FC08DD">
        <w:t>report until the period covered by such reports is not</w:t>
      </w:r>
      <w:r>
        <w:t xml:space="preserve"> less than three years from the </w:t>
      </w:r>
      <w:r w:rsidRPr="00FC08DD">
        <w:t xml:space="preserve">date of </w:t>
      </w:r>
      <w:r>
        <w:t>the</w:t>
      </w:r>
      <w:r w:rsidRPr="00FC08DD">
        <w:t xml:space="preserve"> approval letter. The annual submiss</w:t>
      </w:r>
      <w:r>
        <w:t xml:space="preserve">ion may be made up of two PSURs </w:t>
      </w:r>
      <w:r w:rsidRPr="00FC08DD">
        <w:t>each covering six months. If the sponsor wishes,</w:t>
      </w:r>
      <w:r>
        <w:t xml:space="preserve"> the </w:t>
      </w:r>
      <w:proofErr w:type="gramStart"/>
      <w:r>
        <w:t>six monthly</w:t>
      </w:r>
      <w:proofErr w:type="gramEnd"/>
      <w:r>
        <w:t xml:space="preserve"> reports may be </w:t>
      </w:r>
      <w:r w:rsidRPr="00FC08DD">
        <w:t>submitted separately as they become available.</w:t>
      </w:r>
    </w:p>
    <w:p w14:paraId="37FA5A07" w14:textId="77777777" w:rsidR="00851B3D" w:rsidRPr="00FC08DD" w:rsidRDefault="00851B3D" w:rsidP="00851B3D">
      <w:pPr>
        <w:pStyle w:val="ListBullet"/>
        <w:numPr>
          <w:ilvl w:val="0"/>
          <w:numId w:val="0"/>
        </w:numPr>
        <w:ind w:left="360"/>
      </w:pPr>
      <w:r w:rsidRPr="00FC08DD">
        <w:t>If the product is approved in the EU during the thr</w:t>
      </w:r>
      <w:r>
        <w:t xml:space="preserve">ee years period, reports can be </w:t>
      </w:r>
      <w:r w:rsidRPr="00FC08DD">
        <w:t>provided in line with the published list of EU referenc</w:t>
      </w:r>
      <w:r>
        <w:t xml:space="preserve">e dates no less frequently than </w:t>
      </w:r>
      <w:r w:rsidRPr="00FC08DD">
        <w:t>annually from the date of the first submitted report until the period cove</w:t>
      </w:r>
      <w:r>
        <w:t xml:space="preserve">red by such </w:t>
      </w:r>
      <w:r w:rsidRPr="00FC08DD">
        <w:t xml:space="preserve">reports is not less than three years from the date of </w:t>
      </w:r>
      <w:r>
        <w:t>the</w:t>
      </w:r>
      <w:r w:rsidRPr="00FC08DD">
        <w:t xml:space="preserve"> approval letter.</w:t>
      </w:r>
    </w:p>
    <w:p w14:paraId="1A5C98C2" w14:textId="77777777" w:rsidR="00851B3D" w:rsidRPr="00FC08DD" w:rsidRDefault="00851B3D" w:rsidP="00851B3D">
      <w:pPr>
        <w:pStyle w:val="ListBullet"/>
        <w:numPr>
          <w:ilvl w:val="0"/>
          <w:numId w:val="0"/>
        </w:numPr>
        <w:ind w:left="360"/>
      </w:pPr>
      <w:r w:rsidRPr="00FC08DD">
        <w:t>The reports are to at least meet the requirement</w:t>
      </w:r>
      <w:r>
        <w:t xml:space="preserve">s for PSURs as described in the </w:t>
      </w:r>
      <w:r w:rsidRPr="00FC08DD">
        <w:t>European Medicines Agency’s Guideline on good ph</w:t>
      </w:r>
      <w:r>
        <w:t xml:space="preserve">armacovigilance practices (GVP) </w:t>
      </w:r>
      <w:r w:rsidRPr="00FC08DD">
        <w:t>Module VII-periodic safety update report (Re</w:t>
      </w:r>
      <w:r>
        <w:t xml:space="preserve">v 1), Part VII.B Structures and </w:t>
      </w:r>
      <w:r w:rsidRPr="00FC08DD">
        <w:t>processes. Note that submission of a PSUR does not co</w:t>
      </w:r>
      <w:r>
        <w:t xml:space="preserve">nstitute an application to vary </w:t>
      </w:r>
      <w:r w:rsidRPr="00FC08DD">
        <w:t>the registration. Each report must have been prepa</w:t>
      </w:r>
      <w:r>
        <w:t xml:space="preserve">red within ninety calendar days </w:t>
      </w:r>
      <w:r w:rsidRPr="00FC08DD">
        <w:t>of the data lock point for that report.</w:t>
      </w:r>
    </w:p>
    <w:p w14:paraId="6D5D18A0" w14:textId="77777777" w:rsidR="00851B3D" w:rsidRDefault="00851B3D" w:rsidP="00851B3D">
      <w:pPr>
        <w:pStyle w:val="ListBullet"/>
      </w:pPr>
      <w:r w:rsidRPr="00FC08DD">
        <w:t xml:space="preserve">All batches of </w:t>
      </w:r>
      <w:proofErr w:type="spellStart"/>
      <w:r w:rsidRPr="00FC08DD">
        <w:t>Enspryng</w:t>
      </w:r>
      <w:proofErr w:type="spellEnd"/>
      <w:r w:rsidRPr="00FC08DD">
        <w:t xml:space="preserve"> supplied in Australia must </w:t>
      </w:r>
      <w:r>
        <w:t xml:space="preserve">comply with the product details </w:t>
      </w:r>
      <w:r w:rsidRPr="00FC08DD">
        <w:t>and specifications approved during evaluation and de</w:t>
      </w:r>
      <w:r>
        <w:t xml:space="preserve">tailed in the Certified Product </w:t>
      </w:r>
      <w:r w:rsidRPr="00FC08DD">
        <w:t>Details (CPD).</w:t>
      </w:r>
    </w:p>
    <w:p w14:paraId="27869D46" w14:textId="77777777" w:rsidR="00851B3D" w:rsidRDefault="00851B3D" w:rsidP="00851B3D">
      <w:pPr>
        <w:pStyle w:val="ListBullet"/>
        <w:numPr>
          <w:ilvl w:val="0"/>
          <w:numId w:val="0"/>
        </w:numPr>
        <w:ind w:left="360"/>
      </w:pPr>
      <w:r w:rsidRPr="00FC08DD">
        <w:t xml:space="preserve">When requested by the TGA, the </w:t>
      </w:r>
      <w:r>
        <w:t>s</w:t>
      </w:r>
      <w:r w:rsidRPr="00FC08DD">
        <w:t>ponsor should</w:t>
      </w:r>
      <w:r>
        <w:t xml:space="preserve"> be prepared to provide product </w:t>
      </w:r>
      <w:r w:rsidRPr="00FC08DD">
        <w:t>samples, specified reference materials and documentar</w:t>
      </w:r>
      <w:r>
        <w:t xml:space="preserve">y evidence to enable the TGA to </w:t>
      </w:r>
      <w:r w:rsidRPr="00FC08DD">
        <w:t>conduct laboratory testing on the Product. Out</w:t>
      </w:r>
      <w:r>
        <w:t xml:space="preserve">comes of laboratory testing are </w:t>
      </w:r>
      <w:r w:rsidRPr="00FC08DD">
        <w:t>published biannually in the TGA Databas</w:t>
      </w:r>
      <w:r>
        <w:t xml:space="preserve">e of Laboratory Testing Results </w:t>
      </w:r>
      <w:r w:rsidRPr="00FC08DD">
        <w:t>http://www.tga.gov.au/ws-labs-index and periodicall</w:t>
      </w:r>
      <w:r>
        <w:t xml:space="preserve">y in testing reports on the TGA </w:t>
      </w:r>
      <w:r w:rsidRPr="00FC08DD">
        <w:t>website.</w:t>
      </w:r>
    </w:p>
    <w:p w14:paraId="724C56AD" w14:textId="77777777" w:rsidR="00851B3D" w:rsidRPr="00AD6DF2" w:rsidRDefault="00851B3D" w:rsidP="00851B3D">
      <w:pPr>
        <w:pStyle w:val="ListBullet"/>
      </w:pPr>
      <w:r w:rsidRPr="00AD6DF2">
        <w:t>For all injectable products the Product Information must be included with the product as a package insert.</w:t>
      </w:r>
    </w:p>
    <w:p w14:paraId="75A6194A" w14:textId="77777777" w:rsidR="008E7846" w:rsidRDefault="00A80B5B" w:rsidP="00D23139">
      <w:pPr>
        <w:pStyle w:val="Heading2"/>
      </w:pPr>
      <w:bookmarkStart w:id="70" w:name="_Toc77162701"/>
      <w:r>
        <w:t xml:space="preserve">Attachment 1. </w:t>
      </w:r>
      <w:r w:rsidR="008E7846">
        <w:t xml:space="preserve">Product </w:t>
      </w:r>
      <w:r w:rsidR="00AA0ED0">
        <w:t>I</w:t>
      </w:r>
      <w:r w:rsidR="008E7846">
        <w:t>nformation</w:t>
      </w:r>
      <w:bookmarkEnd w:id="68"/>
      <w:bookmarkEnd w:id="69"/>
      <w:bookmarkEnd w:id="70"/>
    </w:p>
    <w:p w14:paraId="00252233" w14:textId="0B8B88B5" w:rsidR="00C80137" w:rsidRDefault="006136D7" w:rsidP="00C80137">
      <w:pPr>
        <w:rPr>
          <w:color w:val="000000"/>
          <w:lang w:eastAsia="en-AU"/>
        </w:rPr>
      </w:pPr>
      <w:r w:rsidRPr="002B3624">
        <w:t xml:space="preserve">The </w:t>
      </w:r>
      <w:r>
        <w:t>PI</w:t>
      </w:r>
      <w:r w:rsidRPr="002B3624">
        <w:t xml:space="preserve"> for </w:t>
      </w:r>
      <w:proofErr w:type="spellStart"/>
      <w:r w:rsidR="00E33D09">
        <w:t>Enspryng</w:t>
      </w:r>
      <w:proofErr w:type="spellEnd"/>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34" w:history="1">
        <w:r w:rsidR="007C6B9B" w:rsidRPr="007C6B9B">
          <w:rPr>
            <w:rStyle w:val="Hyperlink"/>
          </w:rPr>
          <w:t>https://www.tga.gov.au/product-information-pi</w:t>
        </w:r>
      </w:hyperlink>
      <w:r w:rsidR="00E33D09">
        <w:t>&gt;.</w:t>
      </w:r>
    </w:p>
    <w:p w14:paraId="2B9DAAD0" w14:textId="77777777" w:rsidR="00C80137" w:rsidRPr="001D043B" w:rsidRDefault="008E7846" w:rsidP="00E33D09">
      <w:pPr>
        <w:autoSpaceDE w:val="0"/>
        <w:autoSpaceDN w:val="0"/>
        <w:adjustRightInd w:val="0"/>
        <w:spacing w:after="0"/>
        <w:rPr>
          <w:lang w:eastAsia="ja-JP"/>
        </w:rPr>
        <w:sectPr w:rsidR="00C80137" w:rsidRPr="001D043B" w:rsidSect="00B452CE">
          <w:headerReference w:type="even" r:id="rId35"/>
          <w:headerReference w:type="default" r:id="rId36"/>
          <w:headerReference w:type="first" r:id="rId37"/>
          <w:footerReference w:type="first" r:id="rId38"/>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A67658A" w14:textId="77777777" w:rsidTr="00A05FA4">
        <w:trPr>
          <w:trHeight w:hRule="exact" w:val="704"/>
        </w:trPr>
        <w:tc>
          <w:tcPr>
            <w:tcW w:w="9175" w:type="dxa"/>
          </w:tcPr>
          <w:p w14:paraId="5AAEAE73" w14:textId="77777777" w:rsidR="001C32CD" w:rsidRPr="00487162" w:rsidRDefault="001C32CD" w:rsidP="00A05FA4">
            <w:pPr>
              <w:pStyle w:val="TGASignoff"/>
            </w:pPr>
            <w:r w:rsidRPr="00487162">
              <w:lastRenderedPageBreak/>
              <w:t>Therapeutic Goods Administration</w:t>
            </w:r>
          </w:p>
        </w:tc>
      </w:tr>
      <w:tr w:rsidR="001C32CD" w:rsidRPr="004C239D" w14:paraId="263B923C" w14:textId="77777777" w:rsidTr="00A05FA4">
        <w:trPr>
          <w:trHeight w:val="1221"/>
        </w:trPr>
        <w:tc>
          <w:tcPr>
            <w:tcW w:w="9175" w:type="dxa"/>
            <w:tcMar>
              <w:top w:w="28" w:type="dxa"/>
            </w:tcMar>
          </w:tcPr>
          <w:p w14:paraId="6BAF5152" w14:textId="77777777" w:rsidR="001C32CD" w:rsidRPr="00487162" w:rsidRDefault="001C32CD" w:rsidP="00A05FA4">
            <w:pPr>
              <w:pStyle w:val="Address"/>
            </w:pPr>
            <w:r w:rsidRPr="00487162">
              <w:t>PO Box 100 Woden ACT 2606 Australia</w:t>
            </w:r>
          </w:p>
          <w:p w14:paraId="3FCFB019" w14:textId="03084FFD" w:rsidR="001C32CD" w:rsidRPr="00487162" w:rsidRDefault="001C32CD" w:rsidP="00A05FA4">
            <w:pPr>
              <w:pStyle w:val="Address"/>
            </w:pPr>
            <w:r w:rsidRPr="00487162">
              <w:t xml:space="preserve">Email: </w:t>
            </w:r>
            <w:hyperlink r:id="rId39"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1DA38BEC" w14:textId="70F15448" w:rsidR="001C32CD" w:rsidRPr="004C239D" w:rsidRDefault="00A64481" w:rsidP="00A05FA4">
            <w:pPr>
              <w:pStyle w:val="Address"/>
              <w:spacing w:line="260" w:lineRule="atLeast"/>
              <w:rPr>
                <w:b/>
                <w:color w:val="0000FF"/>
                <w:u w:val="single"/>
              </w:rPr>
            </w:pPr>
            <w:hyperlink r:id="rId40" w:history="1">
              <w:r w:rsidR="007C6B9B" w:rsidRPr="007C6B9B">
                <w:rPr>
                  <w:rStyle w:val="Hyperlink"/>
                  <w:b/>
                </w:rPr>
                <w:t>https://www.tga.gov.au</w:t>
              </w:r>
            </w:hyperlink>
          </w:p>
        </w:tc>
      </w:tr>
    </w:tbl>
    <w:p w14:paraId="5665D5CC" w14:textId="77777777" w:rsidR="00774E1D" w:rsidRPr="008A5E0B" w:rsidRDefault="00774E1D" w:rsidP="004C239D"/>
    <w:sectPr w:rsidR="00774E1D" w:rsidRPr="008A5E0B" w:rsidSect="001C32CD">
      <w:headerReference w:type="even" r:id="rId41"/>
      <w:headerReference w:type="default" r:id="rId42"/>
      <w:footerReference w:type="default" r:id="rId43"/>
      <w:headerReference w:type="first" r:id="rId44"/>
      <w:footerReference w:type="first" r:id="rId4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EAAE0" w14:textId="77777777" w:rsidR="00A64481" w:rsidRDefault="00A64481" w:rsidP="00C40A36">
      <w:pPr>
        <w:spacing w:after="0"/>
      </w:pPr>
      <w:r>
        <w:separator/>
      </w:r>
    </w:p>
  </w:endnote>
  <w:endnote w:type="continuationSeparator" w:id="0">
    <w:p w14:paraId="68B6AE23" w14:textId="77777777" w:rsidR="00A64481" w:rsidRDefault="00A6448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Wingdings 3">
    <w:panose1 w:val="05040102010807070707"/>
    <w:charset w:val="02"/>
    <w:family w:val="roman"/>
    <w:pitch w:val="variable"/>
    <w:sig w:usb0="00000000" w:usb1="10000000" w:usb2="00000000" w:usb3="00000000" w:csb0="80000000" w:csb1="00000000"/>
  </w:font>
  <w:font w:name="TimesNewRoman,Bold">
    <w:altName w:val="MS Mincho"/>
    <w:panose1 w:val="00000000000000000000"/>
    <w:charset w:val="80"/>
    <w:family w:val="auto"/>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9166" w14:textId="77777777" w:rsidR="00A64481" w:rsidRDefault="00A64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64481" w:rsidRPr="00487162" w14:paraId="52E300C7" w14:textId="77777777" w:rsidTr="00DB750B">
      <w:trPr>
        <w:trHeight w:val="269"/>
      </w:trPr>
      <w:tc>
        <w:tcPr>
          <w:tcW w:w="7371" w:type="dxa"/>
          <w:tcMar>
            <w:top w:w="142" w:type="dxa"/>
            <w:bottom w:w="0" w:type="dxa"/>
          </w:tcMar>
        </w:tcPr>
        <w:p w14:paraId="35781699" w14:textId="2E86C866" w:rsidR="00A64481" w:rsidRPr="00487162" w:rsidRDefault="00A64481" w:rsidP="00901104">
          <w:pPr>
            <w:pStyle w:val="Footer"/>
          </w:pPr>
          <w:bookmarkStart w:id="0" w:name="_Hlk80613947"/>
          <w:proofErr w:type="spellStart"/>
          <w:r w:rsidRPr="00487162">
            <w:t>AusPA</w:t>
          </w:r>
          <w:r>
            <w:t>R</w:t>
          </w:r>
          <w:proofErr w:type="spellEnd"/>
          <w:r>
            <w:t xml:space="preserve"> – </w:t>
          </w:r>
          <w:proofErr w:type="spellStart"/>
          <w:r w:rsidRPr="004D784C">
            <w:t>E</w:t>
          </w:r>
          <w:r>
            <w:t>nspryng</w:t>
          </w:r>
          <w:proofErr w:type="spellEnd"/>
          <w:r w:rsidRPr="004D784C">
            <w:t xml:space="preserve"> - </w:t>
          </w:r>
          <w:proofErr w:type="spellStart"/>
          <w:r w:rsidRPr="004D784C">
            <w:t>satralizumab</w:t>
          </w:r>
          <w:proofErr w:type="spellEnd"/>
          <w:r w:rsidRPr="004D784C">
            <w:t xml:space="preserve"> - Roche Product</w:t>
          </w:r>
          <w:r>
            <w:t>s Pty Ltd - PM-2019-04752-1-1</w:t>
          </w:r>
          <w:r>
            <w:br/>
            <w:t>FINAL 14 July 2021</w:t>
          </w:r>
          <w:bookmarkEnd w:id="0"/>
        </w:p>
      </w:tc>
      <w:tc>
        <w:tcPr>
          <w:tcW w:w="1490" w:type="dxa"/>
          <w:tcMar>
            <w:top w:w="142" w:type="dxa"/>
            <w:bottom w:w="0" w:type="dxa"/>
          </w:tcMar>
        </w:tcPr>
        <w:p w14:paraId="5B07BCCE" w14:textId="14B38B63" w:rsidR="00A64481" w:rsidRPr="00487162" w:rsidRDefault="00A64481" w:rsidP="00DB750B">
          <w:pPr>
            <w:pStyle w:val="Footer"/>
            <w:jc w:val="right"/>
          </w:pPr>
          <w:r w:rsidRPr="00487162">
            <w:t xml:space="preserve">Page </w:t>
          </w:r>
          <w:r>
            <w:fldChar w:fldCharType="begin"/>
          </w:r>
          <w:r>
            <w:instrText xml:space="preserve"> PAGE  \* Arabic </w:instrText>
          </w:r>
          <w:r>
            <w:fldChar w:fldCharType="separate"/>
          </w:r>
          <w:r>
            <w:rPr>
              <w:noProof/>
            </w:rPr>
            <w:t>4</w:t>
          </w:r>
          <w:r>
            <w:fldChar w:fldCharType="end"/>
          </w:r>
          <w:r w:rsidRPr="00487162">
            <w:t xml:space="preserve"> of </w:t>
          </w:r>
          <w:fldSimple w:instr=" NUMPAGES  \* Arabic ">
            <w:r>
              <w:rPr>
                <w:noProof/>
              </w:rPr>
              <w:t>46</w:t>
            </w:r>
          </w:fldSimple>
        </w:p>
      </w:tc>
    </w:tr>
  </w:tbl>
  <w:p w14:paraId="69A1B93E" w14:textId="77777777" w:rsidR="00A64481" w:rsidRDefault="00A64481"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EB50D" w14:textId="77777777" w:rsidR="00A64481" w:rsidRDefault="00A644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64481" w:rsidRPr="00487162" w14:paraId="0C51AE1D" w14:textId="77777777" w:rsidTr="00E45619">
      <w:trPr>
        <w:trHeight w:val="269"/>
      </w:trPr>
      <w:tc>
        <w:tcPr>
          <w:tcW w:w="4519" w:type="dxa"/>
          <w:tcBorders>
            <w:top w:val="single" w:sz="4" w:space="0" w:color="auto"/>
          </w:tcBorders>
          <w:tcMar>
            <w:top w:w="142" w:type="dxa"/>
            <w:bottom w:w="0" w:type="dxa"/>
          </w:tcMar>
        </w:tcPr>
        <w:p w14:paraId="51F09BDA" w14:textId="77777777" w:rsidR="00A64481" w:rsidRPr="00487162" w:rsidRDefault="00A64481" w:rsidP="00FE1DEE">
          <w:pPr>
            <w:pStyle w:val="Footer"/>
          </w:pPr>
          <w:r w:rsidRPr="00487162">
            <w:t>Document title, Part #, Section # - Section title</w:t>
          </w:r>
        </w:p>
        <w:p w14:paraId="1697D1DD" w14:textId="77777777" w:rsidR="00A64481" w:rsidRPr="00487162" w:rsidRDefault="00A64481" w:rsidP="00FE1DEE">
          <w:pPr>
            <w:pStyle w:val="Footer"/>
          </w:pPr>
          <w:r w:rsidRPr="00487162">
            <w:t>V1.0 October 2010</w:t>
          </w:r>
        </w:p>
      </w:tc>
      <w:tc>
        <w:tcPr>
          <w:tcW w:w="4342" w:type="dxa"/>
          <w:tcBorders>
            <w:top w:val="single" w:sz="4" w:space="0" w:color="auto"/>
          </w:tcBorders>
          <w:tcMar>
            <w:top w:w="142" w:type="dxa"/>
            <w:bottom w:w="0" w:type="dxa"/>
          </w:tcMar>
        </w:tcPr>
        <w:p w14:paraId="595AD2B1" w14:textId="77777777" w:rsidR="00A64481" w:rsidRPr="00487162" w:rsidRDefault="00A6448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349151E6" w14:textId="77777777" w:rsidR="00A64481" w:rsidRDefault="00A644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0B48" w14:textId="77777777" w:rsidR="00A64481" w:rsidRPr="001C32CD" w:rsidRDefault="00A64481"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64481" w14:paraId="3A4C7361" w14:textId="77777777" w:rsidTr="0010601F">
      <w:trPr>
        <w:trHeight w:val="108"/>
      </w:trPr>
      <w:tc>
        <w:tcPr>
          <w:tcW w:w="8875" w:type="dxa"/>
          <w:gridSpan w:val="2"/>
          <w:tcBorders>
            <w:bottom w:val="single" w:sz="4" w:space="0" w:color="auto"/>
          </w:tcBorders>
          <w:tcMar>
            <w:right w:w="284" w:type="dxa"/>
          </w:tcMar>
        </w:tcPr>
        <w:p w14:paraId="4BD1BE0B" w14:textId="77777777" w:rsidR="00A64481" w:rsidRDefault="00A64481" w:rsidP="006E08B3">
          <w:pPr>
            <w:pStyle w:val="Heading3"/>
          </w:pPr>
          <w:r>
            <w:t>Copyright</w:t>
          </w:r>
        </w:p>
        <w:p w14:paraId="48749B6A" w14:textId="77777777" w:rsidR="00A64481" w:rsidRDefault="00A64481" w:rsidP="006E08B3">
          <w:r>
            <w:rPr>
              <w:rFonts w:cs="Arial"/>
            </w:rPr>
            <w:t>©</w:t>
          </w:r>
          <w:r>
            <w:t xml:space="preserve"> Commonwealth of Australia [add year]</w:t>
          </w:r>
        </w:p>
        <w:p w14:paraId="3C7B0F2B" w14:textId="77777777" w:rsidR="00A64481" w:rsidRDefault="00A64481" w:rsidP="006E08B3"/>
        <w:p w14:paraId="5801C068" w14:textId="77777777" w:rsidR="00A64481" w:rsidRDefault="00A6448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563F432D" w14:textId="77777777" w:rsidR="00A64481" w:rsidRDefault="00A64481" w:rsidP="006E08B3"/>
        <w:p w14:paraId="5400F6AE" w14:textId="77777777" w:rsidR="00A64481" w:rsidRDefault="00A64481" w:rsidP="006E08B3">
          <w:pPr>
            <w:pStyle w:val="Heading3"/>
          </w:pPr>
          <w:r>
            <w:t>Confidentiality</w:t>
          </w:r>
        </w:p>
        <w:p w14:paraId="4404492D" w14:textId="77777777" w:rsidR="00A64481" w:rsidRDefault="00A6448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37826A0" w14:textId="77777777" w:rsidR="00A64481" w:rsidRDefault="00A64481" w:rsidP="006E08B3"/>
        <w:p w14:paraId="636EBBD0" w14:textId="77777777" w:rsidR="00A64481" w:rsidRDefault="00A64481" w:rsidP="006E08B3">
          <w:r>
            <w:t>For submission made by individuals, all personal details, other than your name, will be removed from your submission before it is published on the TGA’s Internet site.</w:t>
          </w:r>
        </w:p>
        <w:p w14:paraId="2A2805C9" w14:textId="77777777" w:rsidR="00A64481" w:rsidRDefault="00A64481" w:rsidP="006E08B3"/>
        <w:p w14:paraId="5C72C716" w14:textId="77777777" w:rsidR="00A64481" w:rsidRDefault="00A6448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64481" w14:paraId="589EBA23" w14:textId="77777777" w:rsidTr="0010601F">
      <w:trPr>
        <w:trHeight w:val="417"/>
      </w:trPr>
      <w:tc>
        <w:tcPr>
          <w:tcW w:w="4519" w:type="dxa"/>
          <w:tcBorders>
            <w:top w:val="single" w:sz="4" w:space="0" w:color="auto"/>
          </w:tcBorders>
          <w:tcMar>
            <w:top w:w="142" w:type="dxa"/>
            <w:bottom w:w="0" w:type="dxa"/>
          </w:tcMar>
        </w:tcPr>
        <w:p w14:paraId="21F328A8" w14:textId="77777777" w:rsidR="00A64481" w:rsidRDefault="00A64481" w:rsidP="006E08B3">
          <w:r>
            <w:t>Document title, Part #, Section # - Section title</w:t>
          </w:r>
        </w:p>
        <w:p w14:paraId="086B7566" w14:textId="77777777" w:rsidR="00A64481" w:rsidRDefault="00A64481" w:rsidP="006E08B3">
          <w:r>
            <w:t>V1.0 October 2010</w:t>
          </w:r>
        </w:p>
      </w:tc>
      <w:tc>
        <w:tcPr>
          <w:tcW w:w="4356" w:type="dxa"/>
          <w:tcBorders>
            <w:top w:val="single" w:sz="4" w:space="0" w:color="auto"/>
          </w:tcBorders>
          <w:tcMar>
            <w:top w:w="142" w:type="dxa"/>
            <w:bottom w:w="0" w:type="dxa"/>
          </w:tcMar>
        </w:tcPr>
        <w:p w14:paraId="1D837EA8" w14:textId="77777777" w:rsidR="00A64481" w:rsidRDefault="00A6448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5C57B903" w14:textId="77777777" w:rsidR="00A64481" w:rsidRDefault="00A644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26875" w14:textId="77777777" w:rsidR="00A64481" w:rsidRDefault="00A64481" w:rsidP="00C40A36">
      <w:pPr>
        <w:spacing w:after="0"/>
      </w:pPr>
      <w:r>
        <w:separator/>
      </w:r>
    </w:p>
  </w:footnote>
  <w:footnote w:type="continuationSeparator" w:id="0">
    <w:p w14:paraId="3EAF1C45" w14:textId="77777777" w:rsidR="00A64481" w:rsidRDefault="00A64481" w:rsidP="00C40A36">
      <w:pPr>
        <w:spacing w:after="0"/>
      </w:pPr>
      <w:r>
        <w:continuationSeparator/>
      </w:r>
    </w:p>
  </w:footnote>
  <w:footnote w:id="1">
    <w:p w14:paraId="4B619369" w14:textId="77777777" w:rsidR="00A64481" w:rsidRDefault="00A64481">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48C5F5D" w14:textId="6258A25D" w:rsidR="00A64481" w:rsidRPr="00901104" w:rsidRDefault="00A64481">
      <w:pPr>
        <w:pStyle w:val="FootnoteText"/>
        <w:rPr>
          <w:lang w:val="en-US"/>
        </w:rPr>
      </w:pPr>
      <w:r>
        <w:rPr>
          <w:rStyle w:val="FootnoteReference"/>
        </w:rPr>
        <w:footnoteRef/>
      </w:r>
      <w:r>
        <w:t xml:space="preserve"> </w:t>
      </w:r>
      <w:proofErr w:type="spellStart"/>
      <w:r w:rsidRPr="00534B73">
        <w:t>Chihara</w:t>
      </w:r>
      <w:proofErr w:type="spellEnd"/>
      <w:r w:rsidRPr="00534B73">
        <w:t xml:space="preserve"> N, </w:t>
      </w:r>
      <w:proofErr w:type="spellStart"/>
      <w:r w:rsidRPr="00534B73">
        <w:t>Aranami</w:t>
      </w:r>
      <w:proofErr w:type="spellEnd"/>
      <w:r w:rsidRPr="00534B73">
        <w:t xml:space="preserve"> T, Oki S, et al. </w:t>
      </w:r>
      <w:proofErr w:type="spellStart"/>
      <w:r w:rsidRPr="00534B73">
        <w:t>Plasmablasts</w:t>
      </w:r>
      <w:proofErr w:type="spellEnd"/>
      <w:r w:rsidRPr="00534B73">
        <w:t xml:space="preserve"> as migratory IgG-producing cells in the pathogenesis of neuromyelitis </w:t>
      </w:r>
      <w:proofErr w:type="spellStart"/>
      <w:r w:rsidRPr="00534B73">
        <w:t>optica</w:t>
      </w:r>
      <w:proofErr w:type="spellEnd"/>
      <w:r w:rsidRPr="00534B73">
        <w:t xml:space="preserve">. </w:t>
      </w:r>
      <w:proofErr w:type="spellStart"/>
      <w:r w:rsidRPr="00534B73">
        <w:t>PLoS</w:t>
      </w:r>
      <w:proofErr w:type="spellEnd"/>
      <w:r w:rsidRPr="00534B73">
        <w:t xml:space="preserve"> One. 2013;8(12</w:t>
      </w:r>
      <w:proofErr w:type="gramStart"/>
      <w:r w:rsidRPr="00534B73">
        <w:t>):e</w:t>
      </w:r>
      <w:proofErr w:type="gramEnd"/>
      <w:r w:rsidRPr="00534B73">
        <w:t xml:space="preserve">83036. </w:t>
      </w:r>
      <w:r>
        <w:t>December 2013.</w:t>
      </w:r>
    </w:p>
  </w:footnote>
  <w:footnote w:id="3">
    <w:p w14:paraId="16945B37" w14:textId="77777777" w:rsidR="00A64481" w:rsidRDefault="00A64481" w:rsidP="0066259F">
      <w:pPr>
        <w:pStyle w:val="FootnoteText"/>
      </w:pPr>
      <w:r>
        <w:rPr>
          <w:rStyle w:val="FootnoteReference"/>
        </w:rPr>
        <w:footnoteRef/>
      </w:r>
      <w:r>
        <w:t xml:space="preserve"> Edelman, et al. The covalent structure of an entire </w:t>
      </w:r>
      <w:proofErr w:type="spellStart"/>
      <w:r>
        <w:t>γG</w:t>
      </w:r>
      <w:proofErr w:type="spellEnd"/>
      <w:r>
        <w:t xml:space="preserve"> immunoglobulin molecule. </w:t>
      </w:r>
      <w:r w:rsidRPr="0066259F">
        <w:rPr>
          <w:i/>
        </w:rPr>
        <w:t>Proceedings of the National Academy of Sciences</w:t>
      </w:r>
      <w:r>
        <w:t>.1969; 63 (1): 78-85.</w:t>
      </w:r>
    </w:p>
  </w:footnote>
  <w:footnote w:id="4">
    <w:p w14:paraId="1A9AFE64" w14:textId="117AA757" w:rsidR="00A64481" w:rsidRDefault="00A64481" w:rsidP="004D4455">
      <w:pPr>
        <w:pStyle w:val="FootnoteText"/>
      </w:pPr>
      <w:r>
        <w:rPr>
          <w:rStyle w:val="FootnoteReference"/>
        </w:rPr>
        <w:footnoteRef/>
      </w:r>
      <w:r>
        <w:t xml:space="preserve"> Category B1: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158AC651" w14:textId="77368967" w:rsidR="00A64481" w:rsidRPr="00F96A4D" w:rsidRDefault="00A64481" w:rsidP="004D4455">
      <w:pPr>
        <w:pStyle w:val="FootnoteText"/>
        <w:rPr>
          <w:lang w:val="en-US"/>
        </w:rPr>
      </w:pPr>
      <w:r>
        <w:t xml:space="preserve">Studies in animals have not shown evidence of an increased occurrence of </w:t>
      </w:r>
      <w:proofErr w:type="spellStart"/>
      <w:r>
        <w:t>fetal</w:t>
      </w:r>
      <w:proofErr w:type="spellEnd"/>
      <w:r>
        <w:t xml:space="preserve"> damage.</w:t>
      </w:r>
    </w:p>
  </w:footnote>
  <w:footnote w:id="5">
    <w:p w14:paraId="26DBB810" w14:textId="701A93B0" w:rsidR="00A64481" w:rsidRPr="004D4455" w:rsidRDefault="00A64481" w:rsidP="004D4455">
      <w:pPr>
        <w:pStyle w:val="FootnoteText"/>
      </w:pPr>
      <w:r>
        <w:rPr>
          <w:rStyle w:val="FootnoteReference"/>
        </w:rPr>
        <w:footnoteRef/>
      </w:r>
      <w:r>
        <w:t xml:space="preserve"> Category C: Drugs which, owing to their pharmacological effects, have </w:t>
      </w:r>
      <w:proofErr w:type="gramStart"/>
      <w:r>
        <w:t>caused</w:t>
      </w:r>
      <w:proofErr w:type="gramEnd"/>
      <w:r>
        <w:t xml:space="preserve"> or may be suspected of causing, harmful effects on the human </w:t>
      </w:r>
      <w:proofErr w:type="spellStart"/>
      <w:r>
        <w:t>fetus</w:t>
      </w:r>
      <w:proofErr w:type="spellEnd"/>
      <w:r>
        <w:t xml:space="preserve"> or neonate without causing malformations. These effects may be reversible. Accompanying texts should be consulted for further details.</w:t>
      </w:r>
    </w:p>
  </w:footnote>
  <w:footnote w:id="6">
    <w:p w14:paraId="1561E04E" w14:textId="7B24F7B3" w:rsidR="00A64481" w:rsidRPr="00F96A4D" w:rsidRDefault="00A64481">
      <w:pPr>
        <w:pStyle w:val="FootnoteText"/>
        <w:rPr>
          <w:lang w:val="en-US"/>
        </w:rPr>
      </w:pPr>
      <w:r>
        <w:rPr>
          <w:rStyle w:val="FootnoteReference"/>
        </w:rPr>
        <w:footnoteRef/>
      </w:r>
      <w:r>
        <w:t xml:space="preserve"> </w:t>
      </w:r>
      <w:r w:rsidRPr="00424830">
        <w:t xml:space="preserve">The </w:t>
      </w:r>
      <w:r w:rsidRPr="00F96A4D">
        <w:rPr>
          <w:b/>
        </w:rPr>
        <w:t>QT interval</w:t>
      </w:r>
      <w:r w:rsidRPr="00424830">
        <w:t xml:space="preserve"> is the time from the start of the QRS wave complex to the end of the corresponding T wave. It approximates to the time taken for ventricular depolarisation and repolarisation</w:t>
      </w:r>
      <w:proofErr w:type="gramStart"/>
      <w:r w:rsidRPr="00424830">
        <w:t>, that is to say, the</w:t>
      </w:r>
      <w:proofErr w:type="gramEnd"/>
      <w:r w:rsidRPr="00424830">
        <w:t xml:space="preserve"> period of ventricular systole from ventricular isovolumetric contraction to isovolumetric relaxation.</w:t>
      </w:r>
    </w:p>
  </w:footnote>
  <w:footnote w:id="7">
    <w:p w14:paraId="547C16C9" w14:textId="77777777" w:rsidR="00A64481" w:rsidRDefault="00A64481">
      <w:pPr>
        <w:pStyle w:val="FootnoteText"/>
      </w:pPr>
      <w:r>
        <w:rPr>
          <w:rStyle w:val="FootnoteReference"/>
        </w:rPr>
        <w:footnoteRef/>
      </w:r>
      <w:r>
        <w:t xml:space="preserve"> </w:t>
      </w:r>
      <w:proofErr w:type="spellStart"/>
      <w:r>
        <w:t>Wingerchuk</w:t>
      </w:r>
      <w:proofErr w:type="spellEnd"/>
      <w:r>
        <w:t xml:space="preserve"> DM, et al.</w:t>
      </w:r>
      <w:r w:rsidRPr="00D22CD1">
        <w:t xml:space="preserve"> Revised diagnostic criteria for neuromyelitis </w:t>
      </w:r>
      <w:proofErr w:type="spellStart"/>
      <w:r w:rsidRPr="00D22CD1">
        <w:t>optica</w:t>
      </w:r>
      <w:proofErr w:type="spellEnd"/>
      <w:r w:rsidRPr="00D22CD1">
        <w:t xml:space="preserve">. </w:t>
      </w:r>
      <w:r w:rsidRPr="00D22CD1">
        <w:rPr>
          <w:i/>
        </w:rPr>
        <w:t>Neurology</w:t>
      </w:r>
      <w:r>
        <w:t>. 2006; 66(10):1485-9.</w:t>
      </w:r>
    </w:p>
  </w:footnote>
  <w:footnote w:id="8">
    <w:p w14:paraId="3782F3A3" w14:textId="77777777" w:rsidR="00A64481" w:rsidRDefault="00A64481">
      <w:pPr>
        <w:pStyle w:val="FootnoteText"/>
      </w:pPr>
      <w:r>
        <w:rPr>
          <w:rStyle w:val="FootnoteReference"/>
        </w:rPr>
        <w:footnoteRef/>
      </w:r>
      <w:r>
        <w:t xml:space="preserve"> </w:t>
      </w:r>
      <w:proofErr w:type="spellStart"/>
      <w:r w:rsidRPr="00D22CD1">
        <w:t>Wingerchuk</w:t>
      </w:r>
      <w:proofErr w:type="spellEnd"/>
      <w:r w:rsidRPr="00D22CD1">
        <w:t xml:space="preserve"> DM et al: The spectrum of neuromyelitis </w:t>
      </w:r>
      <w:proofErr w:type="spellStart"/>
      <w:r w:rsidRPr="00D22CD1">
        <w:t>optica</w:t>
      </w:r>
      <w:proofErr w:type="spellEnd"/>
      <w:r w:rsidRPr="00D22CD1">
        <w:t xml:space="preserve">. </w:t>
      </w:r>
      <w:r w:rsidRPr="00D22CD1">
        <w:rPr>
          <w:i/>
        </w:rPr>
        <w:t>Lancet Neurol</w:t>
      </w:r>
      <w:r w:rsidRPr="00D22CD1">
        <w:t xml:space="preserve"> 2007; 6: 805-815</w:t>
      </w:r>
      <w:r>
        <w:t>.</w:t>
      </w:r>
    </w:p>
  </w:footnote>
  <w:footnote w:id="9">
    <w:p w14:paraId="10390250" w14:textId="4A478D60" w:rsidR="00A64481" w:rsidRDefault="00A64481">
      <w:pPr>
        <w:pStyle w:val="FootnoteText"/>
      </w:pPr>
      <w:r>
        <w:rPr>
          <w:rStyle w:val="FootnoteReference"/>
        </w:rPr>
        <w:footnoteRef/>
      </w:r>
      <w:r>
        <w:t xml:space="preserve"> </w:t>
      </w:r>
      <w:r w:rsidRPr="00F07250">
        <w:t>The Functional Assessment of Chronic Illness Therapy – Fatigue (FACIT-F) is a 40-item measure that assesses self-reported fatigue and its impact upon daily activities and function. It is a subset of the longer (47-item).</w:t>
      </w:r>
    </w:p>
  </w:footnote>
  <w:footnote w:id="10">
    <w:p w14:paraId="761A752D" w14:textId="77777777" w:rsidR="00A64481" w:rsidRDefault="00A64481"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700E2F70" w14:textId="77777777" w:rsidR="00A64481" w:rsidRDefault="00A64481" w:rsidP="007D53B6">
      <w:pPr>
        <w:pStyle w:val="FootnoteText"/>
      </w:pPr>
      <w:r w:rsidRPr="007D53B6">
        <w:rPr>
          <w:i/>
        </w:rPr>
        <w:t>Routine pharmacovigilance</w:t>
      </w:r>
      <w:r>
        <w:t xml:space="preserve"> practices involve the following activities:</w:t>
      </w:r>
    </w:p>
    <w:p w14:paraId="6B3ED1B2" w14:textId="77777777" w:rsidR="00A64481" w:rsidRDefault="00A64481" w:rsidP="009F40AB">
      <w:pPr>
        <w:pStyle w:val="FootnoteText"/>
        <w:numPr>
          <w:ilvl w:val="0"/>
          <w:numId w:val="5"/>
        </w:numPr>
        <w:ind w:left="284" w:hanging="284"/>
      </w:pPr>
      <w:r>
        <w:t xml:space="preserve">All suspected adverse reactions that are reported to the personnel of the company are collected and collated in an accessible </w:t>
      </w:r>
      <w:proofErr w:type="gramStart"/>
      <w:r>
        <w:t>manner;</w:t>
      </w:r>
      <w:proofErr w:type="gramEnd"/>
    </w:p>
    <w:p w14:paraId="63FF9D29" w14:textId="77777777" w:rsidR="00A64481" w:rsidRDefault="00A64481" w:rsidP="009F40AB">
      <w:pPr>
        <w:pStyle w:val="FootnoteText"/>
        <w:numPr>
          <w:ilvl w:val="0"/>
          <w:numId w:val="5"/>
        </w:numPr>
        <w:ind w:left="284" w:hanging="284"/>
      </w:pPr>
      <w:r>
        <w:t xml:space="preserve">Reporting to regulatory </w:t>
      </w:r>
      <w:proofErr w:type="gramStart"/>
      <w:r>
        <w:t>authorities;</w:t>
      </w:r>
      <w:proofErr w:type="gramEnd"/>
    </w:p>
    <w:p w14:paraId="603D25B4" w14:textId="77777777" w:rsidR="00A64481" w:rsidRDefault="00A64481" w:rsidP="009F40AB">
      <w:pPr>
        <w:pStyle w:val="FootnoteText"/>
        <w:numPr>
          <w:ilvl w:val="0"/>
          <w:numId w:val="5"/>
        </w:numPr>
        <w:ind w:left="284" w:hanging="284"/>
      </w:pPr>
      <w:r>
        <w:t xml:space="preserve">Continuous monitoring of the safety profiles of approved products including signal detection and updating of </w:t>
      </w:r>
      <w:proofErr w:type="gramStart"/>
      <w:r>
        <w:t>labelling;</w:t>
      </w:r>
      <w:proofErr w:type="gramEnd"/>
    </w:p>
    <w:p w14:paraId="24DC553E" w14:textId="77777777" w:rsidR="00A64481" w:rsidRDefault="00A64481" w:rsidP="009F40AB">
      <w:pPr>
        <w:pStyle w:val="FootnoteText"/>
        <w:numPr>
          <w:ilvl w:val="0"/>
          <w:numId w:val="5"/>
        </w:numPr>
        <w:ind w:left="284" w:hanging="284"/>
      </w:pPr>
      <w:r>
        <w:t xml:space="preserve">Submission of </w:t>
      </w:r>
      <w:proofErr w:type="gramStart"/>
      <w:r>
        <w:t>PSURs;</w:t>
      </w:r>
      <w:proofErr w:type="gramEnd"/>
    </w:p>
    <w:p w14:paraId="33BEDFC0" w14:textId="77777777" w:rsidR="00A64481" w:rsidRDefault="00A64481" w:rsidP="009F40AB">
      <w:pPr>
        <w:pStyle w:val="FootnoteText"/>
        <w:numPr>
          <w:ilvl w:val="0"/>
          <w:numId w:val="5"/>
        </w:numPr>
        <w:ind w:left="284" w:hanging="284"/>
      </w:pPr>
      <w:r>
        <w:t>Meeting other local regulatory agency requirements.</w:t>
      </w:r>
    </w:p>
  </w:footnote>
  <w:footnote w:id="11">
    <w:p w14:paraId="3C9A9361" w14:textId="77777777" w:rsidR="00A64481" w:rsidRDefault="00A64481" w:rsidP="00CA09E7">
      <w:pPr>
        <w:pStyle w:val="FootnoteText"/>
      </w:pPr>
      <w:r>
        <w:rPr>
          <w:rStyle w:val="FootnoteReference"/>
        </w:rPr>
        <w:footnoteRef/>
      </w:r>
      <w:r>
        <w:t xml:space="preserve"> Sponsor clarification: In 2015, the International Panel for NMO Diagnosis (IPND) developed revised diagnostic criteria for the proposed condition. Importantly, the new nomenclature defines the unifying term Neuromyelitis </w:t>
      </w:r>
      <w:proofErr w:type="spellStart"/>
      <w:r>
        <w:t>optica</w:t>
      </w:r>
      <w:proofErr w:type="spellEnd"/>
      <w:r>
        <w:t xml:space="preserve"> spectrum disorders (NMOSD), which includes patients meeting the initial diagnostic criteria for NMO and those that may not present with the full clinical picture of NMO but are seropositive for NMO-IgG (AQP4-IgG). Accordingly, all patients enrolled into the Phase III studies with a diagnosis of NMOSD according to the protocol inclusion criteria would have also met the 2015 IPND criteria. Because NMO has been incorporated into the definition of NMOSD, the sponsor proposes to only use NMOSD in the indication statement.</w:t>
      </w:r>
    </w:p>
  </w:footnote>
  <w:footnote w:id="12">
    <w:p w14:paraId="1114C6C9" w14:textId="77777777" w:rsidR="00A64481" w:rsidRDefault="00A64481"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51AB8A0" w14:textId="77777777" w:rsidR="00A64481" w:rsidRPr="00456765" w:rsidRDefault="00A64481"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9DFE" w14:textId="77777777" w:rsidR="00A64481" w:rsidRDefault="00A64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ABEEB" w14:textId="77777777" w:rsidR="00A64481" w:rsidRDefault="00A64481"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A3070" w14:textId="77777777" w:rsidR="00A64481" w:rsidRDefault="00A64481">
    <w:pPr>
      <w:rPr>
        <w:noProof/>
        <w:lang w:eastAsia="en-AU"/>
      </w:rPr>
    </w:pPr>
    <w:r w:rsidRPr="00347824">
      <w:rPr>
        <w:noProof/>
        <w:lang w:eastAsia="en-AU"/>
      </w:rPr>
      <w:drawing>
        <wp:anchor distT="0" distB="0" distL="114300" distR="114300" simplePos="0" relativeHeight="251659264" behindDoc="1" locked="0" layoutInCell="1" allowOverlap="1" wp14:anchorId="58B4F782" wp14:editId="31880CD8">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E00FBBF" w14:textId="77777777" w:rsidR="00A64481" w:rsidRDefault="00A64481"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0543" w14:textId="77777777" w:rsidR="00A64481" w:rsidRDefault="00A644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D386" w14:textId="77777777" w:rsidR="00A64481" w:rsidRDefault="00A64481">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2C5B" w14:textId="77777777" w:rsidR="00A64481" w:rsidRDefault="00A64481">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490C" w14:textId="77777777" w:rsidR="00A64481" w:rsidRDefault="00A644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CC261" w14:textId="77777777" w:rsidR="00A64481" w:rsidRDefault="00A64481"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1D74" w14:textId="77777777" w:rsidR="00A64481" w:rsidRDefault="00A64481" w:rsidP="006E08B3">
    <w:r>
      <w:t>Therapeutic Goods Administration</w:t>
    </w:r>
  </w:p>
  <w:p w14:paraId="4DA3ACED" w14:textId="77777777" w:rsidR="00A64481" w:rsidRDefault="00A64481"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3A00A8B"/>
    <w:multiLevelType w:val="hybridMultilevel"/>
    <w:tmpl w:val="B6E4BDD6"/>
    <w:lvl w:ilvl="0" w:tplc="EF702058">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D4230"/>
    <w:multiLevelType w:val="hybridMultilevel"/>
    <w:tmpl w:val="E6A86722"/>
    <w:lvl w:ilvl="0" w:tplc="0B60A836">
      <w:start w:val="1"/>
      <w:numFmt w:val="bullet"/>
      <w:lvlText w:val="►"/>
      <w:lvlJc w:val="left"/>
      <w:pPr>
        <w:ind w:left="2563" w:hanging="360"/>
      </w:pPr>
      <w:rPr>
        <w:rFonts w:ascii="Arial" w:eastAsia="Arial" w:hAnsi="Arial" w:hint="default"/>
        <w:color w:val="auto"/>
        <w:w w:val="105"/>
        <w:sz w:val="22"/>
        <w:szCs w:val="22"/>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4" w15:restartNumberingAfterBreak="0">
    <w:nsid w:val="168F13E9"/>
    <w:multiLevelType w:val="multilevel"/>
    <w:tmpl w:val="2E3866B2"/>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610664D"/>
    <w:multiLevelType w:val="hybridMultilevel"/>
    <w:tmpl w:val="1F4AD1BC"/>
    <w:lvl w:ilvl="0" w:tplc="D43A39AA">
      <w:start w:val="1"/>
      <w:numFmt w:val="bullet"/>
      <w:lvlText w:val="►"/>
      <w:lvlJc w:val="left"/>
      <w:pPr>
        <w:ind w:left="1070" w:hanging="360"/>
      </w:pPr>
      <w:rPr>
        <w:rFonts w:ascii="Arial" w:hAnsi="Arial" w:hint="default"/>
        <w:sz w:val="22"/>
        <w:szCs w:val="22"/>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15:restartNumberingAfterBreak="0">
    <w:nsid w:val="26320B9E"/>
    <w:multiLevelType w:val="hybridMultilevel"/>
    <w:tmpl w:val="9A52B164"/>
    <w:lvl w:ilvl="0" w:tplc="FBA0F334">
      <w:start w:val="1"/>
      <w:numFmt w:val="bullet"/>
      <w:lvlText w:val=""/>
      <w:lvlJc w:val="left"/>
      <w:pPr>
        <w:ind w:left="1642" w:hanging="360"/>
      </w:pPr>
      <w:rPr>
        <w:rFonts w:ascii="Wingdings" w:eastAsia="Wingdings" w:hAnsi="Wingdings" w:cs="Wingdings" w:hint="default"/>
        <w:b w:val="0"/>
        <w:i w:val="0"/>
        <w:strike w:val="0"/>
        <w:dstrike w:val="0"/>
        <w:color w:val="B3A2C7"/>
        <w:sz w:val="18"/>
        <w:szCs w:val="18"/>
        <w:u w:val="none" w:color="000000"/>
        <w:vertAlign w:val="baseline"/>
      </w:rPr>
    </w:lvl>
    <w:lvl w:ilvl="1" w:tplc="0C090003" w:tentative="1">
      <w:start w:val="1"/>
      <w:numFmt w:val="bullet"/>
      <w:lvlText w:val="o"/>
      <w:lvlJc w:val="left"/>
      <w:pPr>
        <w:ind w:left="2362" w:hanging="360"/>
      </w:pPr>
      <w:rPr>
        <w:rFonts w:ascii="Courier New" w:hAnsi="Courier New" w:cs="Courier New" w:hint="default"/>
      </w:rPr>
    </w:lvl>
    <w:lvl w:ilvl="2" w:tplc="0C090005" w:tentative="1">
      <w:start w:val="1"/>
      <w:numFmt w:val="bullet"/>
      <w:lvlText w:val=""/>
      <w:lvlJc w:val="left"/>
      <w:pPr>
        <w:ind w:left="3082" w:hanging="360"/>
      </w:pPr>
      <w:rPr>
        <w:rFonts w:ascii="Wingdings" w:hAnsi="Wingdings" w:hint="default"/>
      </w:rPr>
    </w:lvl>
    <w:lvl w:ilvl="3" w:tplc="0C090001" w:tentative="1">
      <w:start w:val="1"/>
      <w:numFmt w:val="bullet"/>
      <w:lvlText w:val=""/>
      <w:lvlJc w:val="left"/>
      <w:pPr>
        <w:ind w:left="3802" w:hanging="360"/>
      </w:pPr>
      <w:rPr>
        <w:rFonts w:ascii="Symbol" w:hAnsi="Symbol" w:hint="default"/>
      </w:rPr>
    </w:lvl>
    <w:lvl w:ilvl="4" w:tplc="0C090003" w:tentative="1">
      <w:start w:val="1"/>
      <w:numFmt w:val="bullet"/>
      <w:lvlText w:val="o"/>
      <w:lvlJc w:val="left"/>
      <w:pPr>
        <w:ind w:left="4522" w:hanging="360"/>
      </w:pPr>
      <w:rPr>
        <w:rFonts w:ascii="Courier New" w:hAnsi="Courier New" w:cs="Courier New" w:hint="default"/>
      </w:rPr>
    </w:lvl>
    <w:lvl w:ilvl="5" w:tplc="0C090005" w:tentative="1">
      <w:start w:val="1"/>
      <w:numFmt w:val="bullet"/>
      <w:lvlText w:val=""/>
      <w:lvlJc w:val="left"/>
      <w:pPr>
        <w:ind w:left="5242" w:hanging="360"/>
      </w:pPr>
      <w:rPr>
        <w:rFonts w:ascii="Wingdings" w:hAnsi="Wingdings" w:hint="default"/>
      </w:rPr>
    </w:lvl>
    <w:lvl w:ilvl="6" w:tplc="0C090001" w:tentative="1">
      <w:start w:val="1"/>
      <w:numFmt w:val="bullet"/>
      <w:lvlText w:val=""/>
      <w:lvlJc w:val="left"/>
      <w:pPr>
        <w:ind w:left="5962" w:hanging="360"/>
      </w:pPr>
      <w:rPr>
        <w:rFonts w:ascii="Symbol" w:hAnsi="Symbol" w:hint="default"/>
      </w:rPr>
    </w:lvl>
    <w:lvl w:ilvl="7" w:tplc="0C090003" w:tentative="1">
      <w:start w:val="1"/>
      <w:numFmt w:val="bullet"/>
      <w:lvlText w:val="o"/>
      <w:lvlJc w:val="left"/>
      <w:pPr>
        <w:ind w:left="6682" w:hanging="360"/>
      </w:pPr>
      <w:rPr>
        <w:rFonts w:ascii="Courier New" w:hAnsi="Courier New" w:cs="Courier New" w:hint="default"/>
      </w:rPr>
    </w:lvl>
    <w:lvl w:ilvl="8" w:tplc="0C090005" w:tentative="1">
      <w:start w:val="1"/>
      <w:numFmt w:val="bullet"/>
      <w:lvlText w:val=""/>
      <w:lvlJc w:val="left"/>
      <w:pPr>
        <w:ind w:left="7402" w:hanging="360"/>
      </w:pPr>
      <w:rPr>
        <w:rFonts w:ascii="Wingdings" w:hAnsi="Wingdings" w:hint="default"/>
      </w:rPr>
    </w:lvl>
  </w:abstractNum>
  <w:abstractNum w:abstractNumId="7" w15:restartNumberingAfterBreak="0">
    <w:nsid w:val="29210D72"/>
    <w:multiLevelType w:val="hybridMultilevel"/>
    <w:tmpl w:val="DF44AD18"/>
    <w:lvl w:ilvl="0" w:tplc="EF702058">
      <w:start w:val="1"/>
      <w:numFmt w:val="bullet"/>
      <w:lvlText w:val="◊"/>
      <w:lvlJc w:val="left"/>
      <w:pPr>
        <w:ind w:left="1080" w:hanging="360"/>
      </w:pPr>
      <w:rPr>
        <w:rFonts w:ascii="Verdana" w:hAnsi="Verdana"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BA47CBB"/>
    <w:multiLevelType w:val="hybridMultilevel"/>
    <w:tmpl w:val="732E3DF8"/>
    <w:lvl w:ilvl="0" w:tplc="AE6CD970">
      <w:start w:val="1"/>
      <w:numFmt w:val="bullet"/>
      <w:lvlText w:val="-"/>
      <w:lvlJc w:val="left"/>
      <w:pPr>
        <w:ind w:left="2895" w:hanging="360"/>
      </w:pPr>
      <w:rPr>
        <w:rFonts w:ascii="Verdana" w:hAnsi="Verdana" w:hint="default"/>
        <w:color w:val="auto"/>
      </w:rPr>
    </w:lvl>
    <w:lvl w:ilvl="1" w:tplc="0C090003" w:tentative="1">
      <w:start w:val="1"/>
      <w:numFmt w:val="bullet"/>
      <w:lvlText w:val="o"/>
      <w:lvlJc w:val="left"/>
      <w:pPr>
        <w:ind w:left="3615" w:hanging="360"/>
      </w:pPr>
      <w:rPr>
        <w:rFonts w:ascii="Courier New" w:hAnsi="Courier New" w:cs="Courier New" w:hint="default"/>
      </w:rPr>
    </w:lvl>
    <w:lvl w:ilvl="2" w:tplc="0C090005" w:tentative="1">
      <w:start w:val="1"/>
      <w:numFmt w:val="bullet"/>
      <w:lvlText w:val=""/>
      <w:lvlJc w:val="left"/>
      <w:pPr>
        <w:ind w:left="4335" w:hanging="360"/>
      </w:pPr>
      <w:rPr>
        <w:rFonts w:ascii="Wingdings" w:hAnsi="Wingdings" w:hint="default"/>
      </w:rPr>
    </w:lvl>
    <w:lvl w:ilvl="3" w:tplc="0C090001" w:tentative="1">
      <w:start w:val="1"/>
      <w:numFmt w:val="bullet"/>
      <w:lvlText w:val=""/>
      <w:lvlJc w:val="left"/>
      <w:pPr>
        <w:ind w:left="5055" w:hanging="360"/>
      </w:pPr>
      <w:rPr>
        <w:rFonts w:ascii="Symbol" w:hAnsi="Symbol" w:hint="default"/>
      </w:rPr>
    </w:lvl>
    <w:lvl w:ilvl="4" w:tplc="0C090003" w:tentative="1">
      <w:start w:val="1"/>
      <w:numFmt w:val="bullet"/>
      <w:lvlText w:val="o"/>
      <w:lvlJc w:val="left"/>
      <w:pPr>
        <w:ind w:left="5775" w:hanging="360"/>
      </w:pPr>
      <w:rPr>
        <w:rFonts w:ascii="Courier New" w:hAnsi="Courier New" w:cs="Courier New" w:hint="default"/>
      </w:rPr>
    </w:lvl>
    <w:lvl w:ilvl="5" w:tplc="0C090005" w:tentative="1">
      <w:start w:val="1"/>
      <w:numFmt w:val="bullet"/>
      <w:lvlText w:val=""/>
      <w:lvlJc w:val="left"/>
      <w:pPr>
        <w:ind w:left="6495" w:hanging="360"/>
      </w:pPr>
      <w:rPr>
        <w:rFonts w:ascii="Wingdings" w:hAnsi="Wingdings" w:hint="default"/>
      </w:rPr>
    </w:lvl>
    <w:lvl w:ilvl="6" w:tplc="0C090001" w:tentative="1">
      <w:start w:val="1"/>
      <w:numFmt w:val="bullet"/>
      <w:lvlText w:val=""/>
      <w:lvlJc w:val="left"/>
      <w:pPr>
        <w:ind w:left="7215" w:hanging="360"/>
      </w:pPr>
      <w:rPr>
        <w:rFonts w:ascii="Symbol" w:hAnsi="Symbol" w:hint="default"/>
      </w:rPr>
    </w:lvl>
    <w:lvl w:ilvl="7" w:tplc="0C090003" w:tentative="1">
      <w:start w:val="1"/>
      <w:numFmt w:val="bullet"/>
      <w:lvlText w:val="o"/>
      <w:lvlJc w:val="left"/>
      <w:pPr>
        <w:ind w:left="7935" w:hanging="360"/>
      </w:pPr>
      <w:rPr>
        <w:rFonts w:ascii="Courier New" w:hAnsi="Courier New" w:cs="Courier New" w:hint="default"/>
      </w:rPr>
    </w:lvl>
    <w:lvl w:ilvl="8" w:tplc="0C090005" w:tentative="1">
      <w:start w:val="1"/>
      <w:numFmt w:val="bullet"/>
      <w:lvlText w:val=""/>
      <w:lvlJc w:val="left"/>
      <w:pPr>
        <w:ind w:left="8655" w:hanging="360"/>
      </w:pPr>
      <w:rPr>
        <w:rFonts w:ascii="Wingdings" w:hAnsi="Wingdings" w:hint="default"/>
      </w:rPr>
    </w:lvl>
  </w:abstractNum>
  <w:abstractNum w:abstractNumId="9" w15:restartNumberingAfterBreak="0">
    <w:nsid w:val="33EF1BDE"/>
    <w:multiLevelType w:val="hybridMultilevel"/>
    <w:tmpl w:val="3C96C7BC"/>
    <w:lvl w:ilvl="0" w:tplc="1B32C7EA">
      <w:start w:val="1"/>
      <w:numFmt w:val="bullet"/>
      <w:lvlText w:val="►"/>
      <w:lvlJc w:val="left"/>
      <w:pPr>
        <w:ind w:left="578" w:hanging="360"/>
      </w:pPr>
      <w:rPr>
        <w:rFonts w:ascii="Arial" w:eastAsia="Arial" w:hAnsi="Arial" w:hint="default"/>
        <w:color w:val="auto"/>
        <w:w w:val="105"/>
        <w:sz w:val="22"/>
        <w:szCs w:val="22"/>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40525875"/>
    <w:multiLevelType w:val="hybridMultilevel"/>
    <w:tmpl w:val="11506CC6"/>
    <w:lvl w:ilvl="0" w:tplc="4BB83DE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3B080D"/>
    <w:multiLevelType w:val="hybridMultilevel"/>
    <w:tmpl w:val="6C64A6C4"/>
    <w:lvl w:ilvl="0" w:tplc="1FAE9DC2">
      <w:start w:val="1"/>
      <w:numFmt w:val="bullet"/>
      <w:lvlText w:val="-"/>
      <w:lvlJc w:val="left"/>
      <w:pPr>
        <w:ind w:left="1440" w:hanging="360"/>
      </w:pPr>
      <w:rPr>
        <w:rFonts w:ascii="Verdana" w:hAnsi="Verdana"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C3E0067"/>
    <w:multiLevelType w:val="hybridMultilevel"/>
    <w:tmpl w:val="F9328730"/>
    <w:lvl w:ilvl="0" w:tplc="D34EDBBA">
      <w:start w:val="1"/>
      <w:numFmt w:val="bullet"/>
      <w:lvlText w:val="-"/>
      <w:lvlJc w:val="left"/>
      <w:pPr>
        <w:ind w:left="4189" w:hanging="360"/>
      </w:pPr>
      <w:rPr>
        <w:rFonts w:ascii="Verdana" w:hAnsi="Verdana" w:hint="default"/>
        <w:color w:val="auto"/>
      </w:rPr>
    </w:lvl>
    <w:lvl w:ilvl="1" w:tplc="0C090003" w:tentative="1">
      <w:start w:val="1"/>
      <w:numFmt w:val="bullet"/>
      <w:lvlText w:val="o"/>
      <w:lvlJc w:val="left"/>
      <w:pPr>
        <w:ind w:left="4909" w:hanging="360"/>
      </w:pPr>
      <w:rPr>
        <w:rFonts w:ascii="Courier New" w:hAnsi="Courier New" w:cs="Courier New" w:hint="default"/>
      </w:rPr>
    </w:lvl>
    <w:lvl w:ilvl="2" w:tplc="0C090005" w:tentative="1">
      <w:start w:val="1"/>
      <w:numFmt w:val="bullet"/>
      <w:lvlText w:val=""/>
      <w:lvlJc w:val="left"/>
      <w:pPr>
        <w:ind w:left="5629" w:hanging="360"/>
      </w:pPr>
      <w:rPr>
        <w:rFonts w:ascii="Wingdings" w:hAnsi="Wingdings" w:hint="default"/>
      </w:rPr>
    </w:lvl>
    <w:lvl w:ilvl="3" w:tplc="0C090001" w:tentative="1">
      <w:start w:val="1"/>
      <w:numFmt w:val="bullet"/>
      <w:lvlText w:val=""/>
      <w:lvlJc w:val="left"/>
      <w:pPr>
        <w:ind w:left="6349" w:hanging="360"/>
      </w:pPr>
      <w:rPr>
        <w:rFonts w:ascii="Symbol" w:hAnsi="Symbol" w:hint="default"/>
      </w:rPr>
    </w:lvl>
    <w:lvl w:ilvl="4" w:tplc="0C090003" w:tentative="1">
      <w:start w:val="1"/>
      <w:numFmt w:val="bullet"/>
      <w:lvlText w:val="o"/>
      <w:lvlJc w:val="left"/>
      <w:pPr>
        <w:ind w:left="7069" w:hanging="360"/>
      </w:pPr>
      <w:rPr>
        <w:rFonts w:ascii="Courier New" w:hAnsi="Courier New" w:cs="Courier New" w:hint="default"/>
      </w:rPr>
    </w:lvl>
    <w:lvl w:ilvl="5" w:tplc="0C090005" w:tentative="1">
      <w:start w:val="1"/>
      <w:numFmt w:val="bullet"/>
      <w:lvlText w:val=""/>
      <w:lvlJc w:val="left"/>
      <w:pPr>
        <w:ind w:left="7789" w:hanging="360"/>
      </w:pPr>
      <w:rPr>
        <w:rFonts w:ascii="Wingdings" w:hAnsi="Wingdings" w:hint="default"/>
      </w:rPr>
    </w:lvl>
    <w:lvl w:ilvl="6" w:tplc="0C090001" w:tentative="1">
      <w:start w:val="1"/>
      <w:numFmt w:val="bullet"/>
      <w:lvlText w:val=""/>
      <w:lvlJc w:val="left"/>
      <w:pPr>
        <w:ind w:left="8509" w:hanging="360"/>
      </w:pPr>
      <w:rPr>
        <w:rFonts w:ascii="Symbol" w:hAnsi="Symbol" w:hint="default"/>
      </w:rPr>
    </w:lvl>
    <w:lvl w:ilvl="7" w:tplc="0C090003" w:tentative="1">
      <w:start w:val="1"/>
      <w:numFmt w:val="bullet"/>
      <w:lvlText w:val="o"/>
      <w:lvlJc w:val="left"/>
      <w:pPr>
        <w:ind w:left="9229" w:hanging="360"/>
      </w:pPr>
      <w:rPr>
        <w:rFonts w:ascii="Courier New" w:hAnsi="Courier New" w:cs="Courier New" w:hint="default"/>
      </w:rPr>
    </w:lvl>
    <w:lvl w:ilvl="8" w:tplc="0C090005" w:tentative="1">
      <w:start w:val="1"/>
      <w:numFmt w:val="bullet"/>
      <w:lvlText w:val=""/>
      <w:lvlJc w:val="left"/>
      <w:pPr>
        <w:ind w:left="9949" w:hanging="360"/>
      </w:pPr>
      <w:rPr>
        <w:rFonts w:ascii="Wingdings" w:hAnsi="Wingdings" w:hint="default"/>
      </w:rPr>
    </w:lvl>
  </w:abstractNum>
  <w:abstractNum w:abstractNumId="14" w15:restartNumberingAfterBreak="0">
    <w:nsid w:val="67DC2001"/>
    <w:multiLevelType w:val="hybridMultilevel"/>
    <w:tmpl w:val="F58E030E"/>
    <w:lvl w:ilvl="0" w:tplc="7B1C7300">
      <w:start w:val="1"/>
      <w:numFmt w:val="bullet"/>
      <w:lvlText w:val="-"/>
      <w:lvlJc w:val="left"/>
      <w:pPr>
        <w:ind w:left="2280" w:hanging="360"/>
      </w:pPr>
      <w:rPr>
        <w:rFonts w:ascii="Verdana" w:hAnsi="Verdana" w:hint="default"/>
      </w:rPr>
    </w:lvl>
    <w:lvl w:ilvl="1" w:tplc="0C090003">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5" w15:restartNumberingAfterBreak="0">
    <w:nsid w:val="691A5793"/>
    <w:multiLevelType w:val="hybridMultilevel"/>
    <w:tmpl w:val="E08AC828"/>
    <w:lvl w:ilvl="0" w:tplc="4A2E18F0">
      <w:start w:val="1"/>
      <w:numFmt w:val="bullet"/>
      <w:lvlText w:val=""/>
      <w:lvlJc w:val="left"/>
      <w:pPr>
        <w:ind w:left="1594" w:hanging="360"/>
      </w:pPr>
      <w:rPr>
        <w:rFonts w:ascii="Wingdings" w:eastAsia="Wingdings" w:hAnsi="Wingdings" w:cs="Wingdings" w:hint="default"/>
        <w:b w:val="0"/>
        <w:i w:val="0"/>
        <w:strike w:val="0"/>
        <w:dstrike w:val="0"/>
        <w:color w:val="B3A2C7"/>
        <w:sz w:val="18"/>
        <w:szCs w:val="18"/>
        <w:u w:val="none" w:color="000000"/>
        <w:vertAlign w:val="baseline"/>
      </w:rPr>
    </w:lvl>
    <w:lvl w:ilvl="1" w:tplc="0C090003" w:tentative="1">
      <w:start w:val="1"/>
      <w:numFmt w:val="bullet"/>
      <w:lvlText w:val="o"/>
      <w:lvlJc w:val="left"/>
      <w:pPr>
        <w:ind w:left="2314" w:hanging="360"/>
      </w:pPr>
      <w:rPr>
        <w:rFonts w:ascii="Courier New" w:hAnsi="Courier New" w:cs="Courier New" w:hint="default"/>
      </w:rPr>
    </w:lvl>
    <w:lvl w:ilvl="2" w:tplc="0C090005" w:tentative="1">
      <w:start w:val="1"/>
      <w:numFmt w:val="bullet"/>
      <w:lvlText w:val=""/>
      <w:lvlJc w:val="left"/>
      <w:pPr>
        <w:ind w:left="3034" w:hanging="360"/>
      </w:pPr>
      <w:rPr>
        <w:rFonts w:ascii="Wingdings" w:hAnsi="Wingdings" w:hint="default"/>
      </w:rPr>
    </w:lvl>
    <w:lvl w:ilvl="3" w:tplc="0C090001" w:tentative="1">
      <w:start w:val="1"/>
      <w:numFmt w:val="bullet"/>
      <w:lvlText w:val=""/>
      <w:lvlJc w:val="left"/>
      <w:pPr>
        <w:ind w:left="3754" w:hanging="360"/>
      </w:pPr>
      <w:rPr>
        <w:rFonts w:ascii="Symbol" w:hAnsi="Symbol" w:hint="default"/>
      </w:rPr>
    </w:lvl>
    <w:lvl w:ilvl="4" w:tplc="0C090003" w:tentative="1">
      <w:start w:val="1"/>
      <w:numFmt w:val="bullet"/>
      <w:lvlText w:val="o"/>
      <w:lvlJc w:val="left"/>
      <w:pPr>
        <w:ind w:left="4474" w:hanging="360"/>
      </w:pPr>
      <w:rPr>
        <w:rFonts w:ascii="Courier New" w:hAnsi="Courier New" w:cs="Courier New" w:hint="default"/>
      </w:rPr>
    </w:lvl>
    <w:lvl w:ilvl="5" w:tplc="0C090005" w:tentative="1">
      <w:start w:val="1"/>
      <w:numFmt w:val="bullet"/>
      <w:lvlText w:val=""/>
      <w:lvlJc w:val="left"/>
      <w:pPr>
        <w:ind w:left="5194" w:hanging="360"/>
      </w:pPr>
      <w:rPr>
        <w:rFonts w:ascii="Wingdings" w:hAnsi="Wingdings" w:hint="default"/>
      </w:rPr>
    </w:lvl>
    <w:lvl w:ilvl="6" w:tplc="0C090001" w:tentative="1">
      <w:start w:val="1"/>
      <w:numFmt w:val="bullet"/>
      <w:lvlText w:val=""/>
      <w:lvlJc w:val="left"/>
      <w:pPr>
        <w:ind w:left="5914" w:hanging="360"/>
      </w:pPr>
      <w:rPr>
        <w:rFonts w:ascii="Symbol" w:hAnsi="Symbol" w:hint="default"/>
      </w:rPr>
    </w:lvl>
    <w:lvl w:ilvl="7" w:tplc="0C090003" w:tentative="1">
      <w:start w:val="1"/>
      <w:numFmt w:val="bullet"/>
      <w:lvlText w:val="o"/>
      <w:lvlJc w:val="left"/>
      <w:pPr>
        <w:ind w:left="6634" w:hanging="360"/>
      </w:pPr>
      <w:rPr>
        <w:rFonts w:ascii="Courier New" w:hAnsi="Courier New" w:cs="Courier New" w:hint="default"/>
      </w:rPr>
    </w:lvl>
    <w:lvl w:ilvl="8" w:tplc="0C090005" w:tentative="1">
      <w:start w:val="1"/>
      <w:numFmt w:val="bullet"/>
      <w:lvlText w:val=""/>
      <w:lvlJc w:val="left"/>
      <w:pPr>
        <w:ind w:left="7354" w:hanging="360"/>
      </w:pPr>
      <w:rPr>
        <w:rFonts w:ascii="Wingdings" w:hAnsi="Wingdings" w:hint="default"/>
      </w:rPr>
    </w:lvl>
  </w:abstractNum>
  <w:abstractNum w:abstractNumId="16" w15:restartNumberingAfterBreak="0">
    <w:nsid w:val="7043073D"/>
    <w:multiLevelType w:val="hybridMultilevel"/>
    <w:tmpl w:val="421ECF60"/>
    <w:lvl w:ilvl="0" w:tplc="1350526E">
      <w:start w:val="1"/>
      <w:numFmt w:val="bullet"/>
      <w:lvlText w:val="►"/>
      <w:lvlJc w:val="left"/>
      <w:pPr>
        <w:ind w:left="720" w:hanging="360"/>
      </w:pPr>
      <w:rPr>
        <w:rFonts w:ascii="Arial" w:hAnsi="Aria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5A2A98"/>
    <w:multiLevelType w:val="hybridMultilevel"/>
    <w:tmpl w:val="F98C3D32"/>
    <w:lvl w:ilvl="0" w:tplc="3244AE3C">
      <w:start w:val="1"/>
      <w:numFmt w:val="bullet"/>
      <w:lvlText w:val="-"/>
      <w:lvlJc w:val="left"/>
      <w:pPr>
        <w:ind w:left="720" w:hanging="360"/>
      </w:pPr>
      <w:rPr>
        <w:rFonts w:ascii="Verdana" w:hAnsi="Verdana"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611109"/>
    <w:multiLevelType w:val="hybridMultilevel"/>
    <w:tmpl w:val="8CEA7640"/>
    <w:lvl w:ilvl="0" w:tplc="7B1C7300">
      <w:start w:val="1"/>
      <w:numFmt w:val="bullet"/>
      <w:lvlText w:val="-"/>
      <w:lvlJc w:val="left"/>
      <w:pPr>
        <w:ind w:left="2280" w:hanging="360"/>
      </w:pPr>
      <w:rPr>
        <w:rFonts w:ascii="Verdana" w:hAnsi="Verdana"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9" w15:restartNumberingAfterBreak="0">
    <w:nsid w:val="7C8A15C5"/>
    <w:multiLevelType w:val="hybridMultilevel"/>
    <w:tmpl w:val="B0CE469E"/>
    <w:lvl w:ilvl="0" w:tplc="EF702058">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042BB1"/>
    <w:multiLevelType w:val="hybridMultilevel"/>
    <w:tmpl w:val="2F38CED0"/>
    <w:lvl w:ilvl="0" w:tplc="92949B40">
      <w:start w:val="1"/>
      <w:numFmt w:val="bullet"/>
      <w:lvlText w:val="-"/>
      <w:lvlJc w:val="left"/>
      <w:pPr>
        <w:ind w:left="5256" w:hanging="360"/>
      </w:pPr>
      <w:rPr>
        <w:rFonts w:ascii="Verdana" w:hAnsi="Verdana" w:hint="default"/>
        <w:color w:val="auto"/>
      </w:rPr>
    </w:lvl>
    <w:lvl w:ilvl="1" w:tplc="0C090003" w:tentative="1">
      <w:start w:val="1"/>
      <w:numFmt w:val="bullet"/>
      <w:lvlText w:val="o"/>
      <w:lvlJc w:val="left"/>
      <w:pPr>
        <w:ind w:left="5976" w:hanging="360"/>
      </w:pPr>
      <w:rPr>
        <w:rFonts w:ascii="Courier New" w:hAnsi="Courier New" w:cs="Courier New" w:hint="default"/>
      </w:rPr>
    </w:lvl>
    <w:lvl w:ilvl="2" w:tplc="0C090005" w:tentative="1">
      <w:start w:val="1"/>
      <w:numFmt w:val="bullet"/>
      <w:lvlText w:val=""/>
      <w:lvlJc w:val="left"/>
      <w:pPr>
        <w:ind w:left="6696" w:hanging="360"/>
      </w:pPr>
      <w:rPr>
        <w:rFonts w:ascii="Wingdings" w:hAnsi="Wingdings" w:hint="default"/>
      </w:rPr>
    </w:lvl>
    <w:lvl w:ilvl="3" w:tplc="0C090001" w:tentative="1">
      <w:start w:val="1"/>
      <w:numFmt w:val="bullet"/>
      <w:lvlText w:val=""/>
      <w:lvlJc w:val="left"/>
      <w:pPr>
        <w:ind w:left="7416" w:hanging="360"/>
      </w:pPr>
      <w:rPr>
        <w:rFonts w:ascii="Symbol" w:hAnsi="Symbol" w:hint="default"/>
      </w:rPr>
    </w:lvl>
    <w:lvl w:ilvl="4" w:tplc="0C090003" w:tentative="1">
      <w:start w:val="1"/>
      <w:numFmt w:val="bullet"/>
      <w:lvlText w:val="o"/>
      <w:lvlJc w:val="left"/>
      <w:pPr>
        <w:ind w:left="8136" w:hanging="360"/>
      </w:pPr>
      <w:rPr>
        <w:rFonts w:ascii="Courier New" w:hAnsi="Courier New" w:cs="Courier New" w:hint="default"/>
      </w:rPr>
    </w:lvl>
    <w:lvl w:ilvl="5" w:tplc="0C090005" w:tentative="1">
      <w:start w:val="1"/>
      <w:numFmt w:val="bullet"/>
      <w:lvlText w:val=""/>
      <w:lvlJc w:val="left"/>
      <w:pPr>
        <w:ind w:left="8856" w:hanging="360"/>
      </w:pPr>
      <w:rPr>
        <w:rFonts w:ascii="Wingdings" w:hAnsi="Wingdings" w:hint="default"/>
      </w:rPr>
    </w:lvl>
    <w:lvl w:ilvl="6" w:tplc="0C090001" w:tentative="1">
      <w:start w:val="1"/>
      <w:numFmt w:val="bullet"/>
      <w:lvlText w:val=""/>
      <w:lvlJc w:val="left"/>
      <w:pPr>
        <w:ind w:left="9576" w:hanging="360"/>
      </w:pPr>
      <w:rPr>
        <w:rFonts w:ascii="Symbol" w:hAnsi="Symbol" w:hint="default"/>
      </w:rPr>
    </w:lvl>
    <w:lvl w:ilvl="7" w:tplc="0C090003" w:tentative="1">
      <w:start w:val="1"/>
      <w:numFmt w:val="bullet"/>
      <w:lvlText w:val="o"/>
      <w:lvlJc w:val="left"/>
      <w:pPr>
        <w:ind w:left="10296" w:hanging="360"/>
      </w:pPr>
      <w:rPr>
        <w:rFonts w:ascii="Courier New" w:hAnsi="Courier New" w:cs="Courier New" w:hint="default"/>
      </w:rPr>
    </w:lvl>
    <w:lvl w:ilvl="8" w:tplc="0C090005" w:tentative="1">
      <w:start w:val="1"/>
      <w:numFmt w:val="bullet"/>
      <w:lvlText w:val=""/>
      <w:lvlJc w:val="left"/>
      <w:pPr>
        <w:ind w:left="11016" w:hanging="360"/>
      </w:pPr>
      <w:rPr>
        <w:rFonts w:ascii="Wingdings" w:hAnsi="Wingdings" w:hint="default"/>
      </w:rPr>
    </w:lvl>
  </w:abstractNum>
  <w:num w:numId="1">
    <w:abstractNumId w:val="4"/>
  </w:num>
  <w:num w:numId="2">
    <w:abstractNumId w:val="1"/>
  </w:num>
  <w:num w:numId="3">
    <w:abstractNumId w:val="4"/>
  </w:num>
  <w:num w:numId="4">
    <w:abstractNumId w:val="1"/>
  </w:num>
  <w:num w:numId="5">
    <w:abstractNumId w:val="12"/>
  </w:num>
  <w:num w:numId="6">
    <w:abstractNumId w:val="16"/>
  </w:num>
  <w:num w:numId="7">
    <w:abstractNumId w:val="11"/>
  </w:num>
  <w:num w:numId="8">
    <w:abstractNumId w:val="9"/>
  </w:num>
  <w:num w:numId="9">
    <w:abstractNumId w:val="20"/>
  </w:num>
  <w:num w:numId="10">
    <w:abstractNumId w:val="3"/>
  </w:num>
  <w:num w:numId="11">
    <w:abstractNumId w:val="13"/>
  </w:num>
  <w:num w:numId="12">
    <w:abstractNumId w:val="0"/>
  </w:num>
  <w:num w:numId="13">
    <w:abstractNumId w:val="17"/>
  </w:num>
  <w:num w:numId="14">
    <w:abstractNumId w:val="18"/>
  </w:num>
  <w:num w:numId="15">
    <w:abstractNumId w:val="19"/>
  </w:num>
  <w:num w:numId="16">
    <w:abstractNumId w:val="8"/>
  </w:num>
  <w:num w:numId="17">
    <w:abstractNumId w:val="2"/>
  </w:num>
  <w:num w:numId="18">
    <w:abstractNumId w:val="5"/>
  </w:num>
  <w:num w:numId="19">
    <w:abstractNumId w:val="10"/>
  </w:num>
  <w:num w:numId="20">
    <w:abstractNumId w:val="6"/>
  </w:num>
  <w:num w:numId="21">
    <w:abstractNumId w:val="15"/>
  </w:num>
  <w:num w:numId="22">
    <w:abstractNumId w:val="7"/>
  </w:num>
  <w:num w:numId="23">
    <w:abstractNumId w:val="1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4C"/>
    <w:rsid w:val="00002031"/>
    <w:rsid w:val="00004734"/>
    <w:rsid w:val="00004F62"/>
    <w:rsid w:val="00006B22"/>
    <w:rsid w:val="00006FAB"/>
    <w:rsid w:val="0001276A"/>
    <w:rsid w:val="000246AE"/>
    <w:rsid w:val="00025C67"/>
    <w:rsid w:val="000406DD"/>
    <w:rsid w:val="000418F9"/>
    <w:rsid w:val="00044772"/>
    <w:rsid w:val="0004541C"/>
    <w:rsid w:val="0005559E"/>
    <w:rsid w:val="000604D6"/>
    <w:rsid w:val="00061D3B"/>
    <w:rsid w:val="000734D8"/>
    <w:rsid w:val="00077775"/>
    <w:rsid w:val="00090471"/>
    <w:rsid w:val="00096AA7"/>
    <w:rsid w:val="000A069B"/>
    <w:rsid w:val="000A3AED"/>
    <w:rsid w:val="000B3532"/>
    <w:rsid w:val="000B3A75"/>
    <w:rsid w:val="000C00C2"/>
    <w:rsid w:val="000C690F"/>
    <w:rsid w:val="000D1295"/>
    <w:rsid w:val="000D391B"/>
    <w:rsid w:val="000D3D6D"/>
    <w:rsid w:val="000D4FC7"/>
    <w:rsid w:val="000E6196"/>
    <w:rsid w:val="000F465D"/>
    <w:rsid w:val="000F4869"/>
    <w:rsid w:val="000F5B42"/>
    <w:rsid w:val="000F6E6F"/>
    <w:rsid w:val="0010601F"/>
    <w:rsid w:val="0010788A"/>
    <w:rsid w:val="00107A31"/>
    <w:rsid w:val="00110EA5"/>
    <w:rsid w:val="00112F56"/>
    <w:rsid w:val="00113832"/>
    <w:rsid w:val="00122C2E"/>
    <w:rsid w:val="00124ACD"/>
    <w:rsid w:val="00125318"/>
    <w:rsid w:val="001305A2"/>
    <w:rsid w:val="00133238"/>
    <w:rsid w:val="00133A1B"/>
    <w:rsid w:val="00134E52"/>
    <w:rsid w:val="0014197B"/>
    <w:rsid w:val="00141AF4"/>
    <w:rsid w:val="001429EF"/>
    <w:rsid w:val="001447CD"/>
    <w:rsid w:val="001516B1"/>
    <w:rsid w:val="00154EBB"/>
    <w:rsid w:val="00156316"/>
    <w:rsid w:val="00156826"/>
    <w:rsid w:val="00161181"/>
    <w:rsid w:val="00162D14"/>
    <w:rsid w:val="00163780"/>
    <w:rsid w:val="00165389"/>
    <w:rsid w:val="0017693F"/>
    <w:rsid w:val="0018110E"/>
    <w:rsid w:val="00181684"/>
    <w:rsid w:val="001843C6"/>
    <w:rsid w:val="001850E0"/>
    <w:rsid w:val="00192E27"/>
    <w:rsid w:val="001A03AF"/>
    <w:rsid w:val="001A0D9E"/>
    <w:rsid w:val="001A1E56"/>
    <w:rsid w:val="001A2158"/>
    <w:rsid w:val="001A525F"/>
    <w:rsid w:val="001B09F9"/>
    <w:rsid w:val="001B12D9"/>
    <w:rsid w:val="001B1D30"/>
    <w:rsid w:val="001B3021"/>
    <w:rsid w:val="001B5C90"/>
    <w:rsid w:val="001B6448"/>
    <w:rsid w:val="001C32CD"/>
    <w:rsid w:val="001D2984"/>
    <w:rsid w:val="001E07CF"/>
    <w:rsid w:val="001E165B"/>
    <w:rsid w:val="001E455C"/>
    <w:rsid w:val="001E59F1"/>
    <w:rsid w:val="001E6E9D"/>
    <w:rsid w:val="001F2CEE"/>
    <w:rsid w:val="001F49EB"/>
    <w:rsid w:val="001F6CBA"/>
    <w:rsid w:val="00201D4E"/>
    <w:rsid w:val="002076C9"/>
    <w:rsid w:val="00220B8A"/>
    <w:rsid w:val="002257F3"/>
    <w:rsid w:val="00233456"/>
    <w:rsid w:val="002339A5"/>
    <w:rsid w:val="00246728"/>
    <w:rsid w:val="00250271"/>
    <w:rsid w:val="0025325E"/>
    <w:rsid w:val="00257848"/>
    <w:rsid w:val="002578E8"/>
    <w:rsid w:val="00261975"/>
    <w:rsid w:val="0027084A"/>
    <w:rsid w:val="00280265"/>
    <w:rsid w:val="00286434"/>
    <w:rsid w:val="00286C59"/>
    <w:rsid w:val="00291957"/>
    <w:rsid w:val="002942D1"/>
    <w:rsid w:val="0029501A"/>
    <w:rsid w:val="002A3721"/>
    <w:rsid w:val="002A4440"/>
    <w:rsid w:val="002B1638"/>
    <w:rsid w:val="002B3624"/>
    <w:rsid w:val="002D0952"/>
    <w:rsid w:val="002E044B"/>
    <w:rsid w:val="002E40B3"/>
    <w:rsid w:val="002E4C9A"/>
    <w:rsid w:val="002E7487"/>
    <w:rsid w:val="002F11F8"/>
    <w:rsid w:val="002F3C52"/>
    <w:rsid w:val="002F3F56"/>
    <w:rsid w:val="002F44B5"/>
    <w:rsid w:val="002F5122"/>
    <w:rsid w:val="00311AC0"/>
    <w:rsid w:val="00311BE9"/>
    <w:rsid w:val="003176FC"/>
    <w:rsid w:val="003227B0"/>
    <w:rsid w:val="00324E45"/>
    <w:rsid w:val="0032583B"/>
    <w:rsid w:val="003266D7"/>
    <w:rsid w:val="00327883"/>
    <w:rsid w:val="00335504"/>
    <w:rsid w:val="00340C18"/>
    <w:rsid w:val="003442FD"/>
    <w:rsid w:val="003451F3"/>
    <w:rsid w:val="00346690"/>
    <w:rsid w:val="00347824"/>
    <w:rsid w:val="00350567"/>
    <w:rsid w:val="003521E8"/>
    <w:rsid w:val="00364D14"/>
    <w:rsid w:val="00370CE3"/>
    <w:rsid w:val="003728F3"/>
    <w:rsid w:val="003735BC"/>
    <w:rsid w:val="0037496E"/>
    <w:rsid w:val="00383221"/>
    <w:rsid w:val="00386150"/>
    <w:rsid w:val="003874CE"/>
    <w:rsid w:val="00390900"/>
    <w:rsid w:val="003A7F6C"/>
    <w:rsid w:val="003B4D60"/>
    <w:rsid w:val="003B7E39"/>
    <w:rsid w:val="003C58DC"/>
    <w:rsid w:val="003C7C92"/>
    <w:rsid w:val="003D1E62"/>
    <w:rsid w:val="003D7E2F"/>
    <w:rsid w:val="003E0B99"/>
    <w:rsid w:val="003E2486"/>
    <w:rsid w:val="003E3208"/>
    <w:rsid w:val="003F0B04"/>
    <w:rsid w:val="00400317"/>
    <w:rsid w:val="0040134E"/>
    <w:rsid w:val="00404C90"/>
    <w:rsid w:val="00424830"/>
    <w:rsid w:val="004334C7"/>
    <w:rsid w:val="004340D1"/>
    <w:rsid w:val="00440A2D"/>
    <w:rsid w:val="004418A4"/>
    <w:rsid w:val="00441C3F"/>
    <w:rsid w:val="00444D1A"/>
    <w:rsid w:val="0045186A"/>
    <w:rsid w:val="004529C4"/>
    <w:rsid w:val="00453D9B"/>
    <w:rsid w:val="004564A7"/>
    <w:rsid w:val="00456765"/>
    <w:rsid w:val="00460036"/>
    <w:rsid w:val="004617BF"/>
    <w:rsid w:val="00463658"/>
    <w:rsid w:val="004637A0"/>
    <w:rsid w:val="004722CC"/>
    <w:rsid w:val="0048140F"/>
    <w:rsid w:val="00482655"/>
    <w:rsid w:val="00490483"/>
    <w:rsid w:val="004936E4"/>
    <w:rsid w:val="00494E60"/>
    <w:rsid w:val="00497487"/>
    <w:rsid w:val="00497700"/>
    <w:rsid w:val="004A2771"/>
    <w:rsid w:val="004A5F20"/>
    <w:rsid w:val="004A6189"/>
    <w:rsid w:val="004A7390"/>
    <w:rsid w:val="004B7B76"/>
    <w:rsid w:val="004C239D"/>
    <w:rsid w:val="004C2DCA"/>
    <w:rsid w:val="004C4FBE"/>
    <w:rsid w:val="004C61D2"/>
    <w:rsid w:val="004D4455"/>
    <w:rsid w:val="004D784C"/>
    <w:rsid w:val="004F0C4A"/>
    <w:rsid w:val="004F0F38"/>
    <w:rsid w:val="004F47D6"/>
    <w:rsid w:val="00500337"/>
    <w:rsid w:val="00500D96"/>
    <w:rsid w:val="00501921"/>
    <w:rsid w:val="00530354"/>
    <w:rsid w:val="00534B73"/>
    <w:rsid w:val="0053625B"/>
    <w:rsid w:val="00541008"/>
    <w:rsid w:val="005434C6"/>
    <w:rsid w:val="00543B39"/>
    <w:rsid w:val="005447DE"/>
    <w:rsid w:val="00546154"/>
    <w:rsid w:val="00550096"/>
    <w:rsid w:val="00555280"/>
    <w:rsid w:val="00557FF9"/>
    <w:rsid w:val="00562327"/>
    <w:rsid w:val="005711D5"/>
    <w:rsid w:val="00576378"/>
    <w:rsid w:val="005766CB"/>
    <w:rsid w:val="00577130"/>
    <w:rsid w:val="00577945"/>
    <w:rsid w:val="00577E38"/>
    <w:rsid w:val="00582EEA"/>
    <w:rsid w:val="00585322"/>
    <w:rsid w:val="005857C6"/>
    <w:rsid w:val="00592F6E"/>
    <w:rsid w:val="00593AD1"/>
    <w:rsid w:val="005A68B6"/>
    <w:rsid w:val="005B09DB"/>
    <w:rsid w:val="005B5130"/>
    <w:rsid w:val="005C190D"/>
    <w:rsid w:val="005C291F"/>
    <w:rsid w:val="005C5570"/>
    <w:rsid w:val="005C5B66"/>
    <w:rsid w:val="005C79A4"/>
    <w:rsid w:val="005D5442"/>
    <w:rsid w:val="005E4E1F"/>
    <w:rsid w:val="00602DCA"/>
    <w:rsid w:val="00603F32"/>
    <w:rsid w:val="00605AD4"/>
    <w:rsid w:val="006136D7"/>
    <w:rsid w:val="00625A6E"/>
    <w:rsid w:val="00625F5D"/>
    <w:rsid w:val="00631614"/>
    <w:rsid w:val="00632398"/>
    <w:rsid w:val="00633E12"/>
    <w:rsid w:val="00637691"/>
    <w:rsid w:val="00637AEF"/>
    <w:rsid w:val="00640FC3"/>
    <w:rsid w:val="00642020"/>
    <w:rsid w:val="006430EE"/>
    <w:rsid w:val="0065337B"/>
    <w:rsid w:val="0065419D"/>
    <w:rsid w:val="006603BC"/>
    <w:rsid w:val="006604D8"/>
    <w:rsid w:val="0066259F"/>
    <w:rsid w:val="00664A5B"/>
    <w:rsid w:val="0066735C"/>
    <w:rsid w:val="006763D2"/>
    <w:rsid w:val="00680C08"/>
    <w:rsid w:val="00684AA5"/>
    <w:rsid w:val="00685DB6"/>
    <w:rsid w:val="006916A0"/>
    <w:rsid w:val="006931B1"/>
    <w:rsid w:val="006969B3"/>
    <w:rsid w:val="006A15C0"/>
    <w:rsid w:val="006A58A8"/>
    <w:rsid w:val="006B18F9"/>
    <w:rsid w:val="006C068E"/>
    <w:rsid w:val="006C3E2A"/>
    <w:rsid w:val="006C642F"/>
    <w:rsid w:val="006D03E5"/>
    <w:rsid w:val="006D593A"/>
    <w:rsid w:val="006D5D3E"/>
    <w:rsid w:val="006D6E50"/>
    <w:rsid w:val="006E08B3"/>
    <w:rsid w:val="006E16D6"/>
    <w:rsid w:val="006F17AC"/>
    <w:rsid w:val="006F25B8"/>
    <w:rsid w:val="006F572E"/>
    <w:rsid w:val="00700236"/>
    <w:rsid w:val="00701BB6"/>
    <w:rsid w:val="007046D6"/>
    <w:rsid w:val="00705DB0"/>
    <w:rsid w:val="00713B15"/>
    <w:rsid w:val="00722B57"/>
    <w:rsid w:val="00730F8A"/>
    <w:rsid w:val="00735A8C"/>
    <w:rsid w:val="0074253D"/>
    <w:rsid w:val="00744121"/>
    <w:rsid w:val="0074429B"/>
    <w:rsid w:val="0075143D"/>
    <w:rsid w:val="007604D4"/>
    <w:rsid w:val="007615BC"/>
    <w:rsid w:val="00762F05"/>
    <w:rsid w:val="007652FF"/>
    <w:rsid w:val="00770AF4"/>
    <w:rsid w:val="00770CAC"/>
    <w:rsid w:val="00770EF1"/>
    <w:rsid w:val="00773EF7"/>
    <w:rsid w:val="00774E1D"/>
    <w:rsid w:val="007765D8"/>
    <w:rsid w:val="0077675A"/>
    <w:rsid w:val="00780355"/>
    <w:rsid w:val="007819FD"/>
    <w:rsid w:val="00785717"/>
    <w:rsid w:val="00785721"/>
    <w:rsid w:val="00793049"/>
    <w:rsid w:val="00793A59"/>
    <w:rsid w:val="00795E99"/>
    <w:rsid w:val="007A46F5"/>
    <w:rsid w:val="007A6505"/>
    <w:rsid w:val="007B14F5"/>
    <w:rsid w:val="007B5576"/>
    <w:rsid w:val="007B6132"/>
    <w:rsid w:val="007B6E9F"/>
    <w:rsid w:val="007C07D4"/>
    <w:rsid w:val="007C1216"/>
    <w:rsid w:val="007C1AF7"/>
    <w:rsid w:val="007C6B9B"/>
    <w:rsid w:val="007C797F"/>
    <w:rsid w:val="007D53B6"/>
    <w:rsid w:val="00803DC3"/>
    <w:rsid w:val="00805D27"/>
    <w:rsid w:val="00806DCB"/>
    <w:rsid w:val="008120A4"/>
    <w:rsid w:val="0081641E"/>
    <w:rsid w:val="00820C3F"/>
    <w:rsid w:val="00821776"/>
    <w:rsid w:val="008321F5"/>
    <w:rsid w:val="00832369"/>
    <w:rsid w:val="00834660"/>
    <w:rsid w:val="00836BC2"/>
    <w:rsid w:val="0085156D"/>
    <w:rsid w:val="00851B3D"/>
    <w:rsid w:val="00852B28"/>
    <w:rsid w:val="00854237"/>
    <w:rsid w:val="00855218"/>
    <w:rsid w:val="0085641B"/>
    <w:rsid w:val="00857136"/>
    <w:rsid w:val="00875A6B"/>
    <w:rsid w:val="00882F21"/>
    <w:rsid w:val="00885A99"/>
    <w:rsid w:val="00885B11"/>
    <w:rsid w:val="00886D15"/>
    <w:rsid w:val="00887DD8"/>
    <w:rsid w:val="0089001F"/>
    <w:rsid w:val="00891BA9"/>
    <w:rsid w:val="0089375B"/>
    <w:rsid w:val="008950EE"/>
    <w:rsid w:val="00896018"/>
    <w:rsid w:val="008960DD"/>
    <w:rsid w:val="0089635C"/>
    <w:rsid w:val="008A2B9D"/>
    <w:rsid w:val="008A3D9F"/>
    <w:rsid w:val="008A5E0B"/>
    <w:rsid w:val="008A6D59"/>
    <w:rsid w:val="008B4B03"/>
    <w:rsid w:val="008B596F"/>
    <w:rsid w:val="008C159F"/>
    <w:rsid w:val="008C1623"/>
    <w:rsid w:val="008C1850"/>
    <w:rsid w:val="008C4D57"/>
    <w:rsid w:val="008C51A9"/>
    <w:rsid w:val="008E7846"/>
    <w:rsid w:val="008F02E5"/>
    <w:rsid w:val="008F1CCC"/>
    <w:rsid w:val="008F2967"/>
    <w:rsid w:val="008F6943"/>
    <w:rsid w:val="00901104"/>
    <w:rsid w:val="00902A21"/>
    <w:rsid w:val="0091523F"/>
    <w:rsid w:val="00920330"/>
    <w:rsid w:val="009219D7"/>
    <w:rsid w:val="00922D53"/>
    <w:rsid w:val="00923B70"/>
    <w:rsid w:val="00924482"/>
    <w:rsid w:val="009258EB"/>
    <w:rsid w:val="00930237"/>
    <w:rsid w:val="009340CF"/>
    <w:rsid w:val="009370D7"/>
    <w:rsid w:val="00937C17"/>
    <w:rsid w:val="00940A89"/>
    <w:rsid w:val="009413D3"/>
    <w:rsid w:val="00941F77"/>
    <w:rsid w:val="009432E6"/>
    <w:rsid w:val="00946EA5"/>
    <w:rsid w:val="00960520"/>
    <w:rsid w:val="00963C08"/>
    <w:rsid w:val="009752A5"/>
    <w:rsid w:val="00980397"/>
    <w:rsid w:val="0098585A"/>
    <w:rsid w:val="009A4CED"/>
    <w:rsid w:val="009A690D"/>
    <w:rsid w:val="009B1D12"/>
    <w:rsid w:val="009B416B"/>
    <w:rsid w:val="009C4BD5"/>
    <w:rsid w:val="009D7B77"/>
    <w:rsid w:val="009E0BB0"/>
    <w:rsid w:val="009E3FBB"/>
    <w:rsid w:val="009F40A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64481"/>
    <w:rsid w:val="00A67EA9"/>
    <w:rsid w:val="00A77F87"/>
    <w:rsid w:val="00A80B5B"/>
    <w:rsid w:val="00A8131B"/>
    <w:rsid w:val="00A83226"/>
    <w:rsid w:val="00A84E36"/>
    <w:rsid w:val="00A85E50"/>
    <w:rsid w:val="00A964D1"/>
    <w:rsid w:val="00AA0ED0"/>
    <w:rsid w:val="00AC2B40"/>
    <w:rsid w:val="00AC2BB2"/>
    <w:rsid w:val="00AC2C3C"/>
    <w:rsid w:val="00AC512D"/>
    <w:rsid w:val="00AD0083"/>
    <w:rsid w:val="00AD2A2D"/>
    <w:rsid w:val="00AD3935"/>
    <w:rsid w:val="00AD74ED"/>
    <w:rsid w:val="00AE65EB"/>
    <w:rsid w:val="00AE67A7"/>
    <w:rsid w:val="00AF1D94"/>
    <w:rsid w:val="00AF60C5"/>
    <w:rsid w:val="00B009C6"/>
    <w:rsid w:val="00B01548"/>
    <w:rsid w:val="00B130C5"/>
    <w:rsid w:val="00B13EBD"/>
    <w:rsid w:val="00B21D29"/>
    <w:rsid w:val="00B22850"/>
    <w:rsid w:val="00B25034"/>
    <w:rsid w:val="00B2774F"/>
    <w:rsid w:val="00B33588"/>
    <w:rsid w:val="00B33863"/>
    <w:rsid w:val="00B364AC"/>
    <w:rsid w:val="00B37D17"/>
    <w:rsid w:val="00B4175E"/>
    <w:rsid w:val="00B41C85"/>
    <w:rsid w:val="00B452CE"/>
    <w:rsid w:val="00B52F6F"/>
    <w:rsid w:val="00B542D2"/>
    <w:rsid w:val="00B54C25"/>
    <w:rsid w:val="00B704BA"/>
    <w:rsid w:val="00B727AD"/>
    <w:rsid w:val="00B76B91"/>
    <w:rsid w:val="00B77EB1"/>
    <w:rsid w:val="00B805DE"/>
    <w:rsid w:val="00B811C6"/>
    <w:rsid w:val="00B82BB1"/>
    <w:rsid w:val="00B842FA"/>
    <w:rsid w:val="00B855B0"/>
    <w:rsid w:val="00B929D2"/>
    <w:rsid w:val="00B92E08"/>
    <w:rsid w:val="00BA4784"/>
    <w:rsid w:val="00BC622A"/>
    <w:rsid w:val="00BE0A78"/>
    <w:rsid w:val="00BE79F0"/>
    <w:rsid w:val="00BF046D"/>
    <w:rsid w:val="00BF1190"/>
    <w:rsid w:val="00BF3774"/>
    <w:rsid w:val="00BF5D04"/>
    <w:rsid w:val="00C009AA"/>
    <w:rsid w:val="00C0141D"/>
    <w:rsid w:val="00C02267"/>
    <w:rsid w:val="00C036A4"/>
    <w:rsid w:val="00C1164D"/>
    <w:rsid w:val="00C13F31"/>
    <w:rsid w:val="00C16861"/>
    <w:rsid w:val="00C33C22"/>
    <w:rsid w:val="00C346AB"/>
    <w:rsid w:val="00C404A6"/>
    <w:rsid w:val="00C40A36"/>
    <w:rsid w:val="00C44419"/>
    <w:rsid w:val="00C45E7B"/>
    <w:rsid w:val="00C471B1"/>
    <w:rsid w:val="00C47AF9"/>
    <w:rsid w:val="00C504BC"/>
    <w:rsid w:val="00C525A2"/>
    <w:rsid w:val="00C52E24"/>
    <w:rsid w:val="00C62FCC"/>
    <w:rsid w:val="00C6316B"/>
    <w:rsid w:val="00C634A9"/>
    <w:rsid w:val="00C64586"/>
    <w:rsid w:val="00C65B3A"/>
    <w:rsid w:val="00C70A36"/>
    <w:rsid w:val="00C70D53"/>
    <w:rsid w:val="00C73D0B"/>
    <w:rsid w:val="00C74F5C"/>
    <w:rsid w:val="00C772FF"/>
    <w:rsid w:val="00C80137"/>
    <w:rsid w:val="00C801AF"/>
    <w:rsid w:val="00C80256"/>
    <w:rsid w:val="00C945B2"/>
    <w:rsid w:val="00C94CD4"/>
    <w:rsid w:val="00C9747E"/>
    <w:rsid w:val="00CA0440"/>
    <w:rsid w:val="00CA09E7"/>
    <w:rsid w:val="00CA1E31"/>
    <w:rsid w:val="00CB6BC0"/>
    <w:rsid w:val="00CC1B7C"/>
    <w:rsid w:val="00CC727F"/>
    <w:rsid w:val="00CE110D"/>
    <w:rsid w:val="00CF15C3"/>
    <w:rsid w:val="00CF271D"/>
    <w:rsid w:val="00CF2B6F"/>
    <w:rsid w:val="00CF2F3E"/>
    <w:rsid w:val="00CF58B6"/>
    <w:rsid w:val="00CF5DAD"/>
    <w:rsid w:val="00D0062D"/>
    <w:rsid w:val="00D017ED"/>
    <w:rsid w:val="00D01A36"/>
    <w:rsid w:val="00D040D3"/>
    <w:rsid w:val="00D04C65"/>
    <w:rsid w:val="00D072E5"/>
    <w:rsid w:val="00D153D8"/>
    <w:rsid w:val="00D201D2"/>
    <w:rsid w:val="00D224FE"/>
    <w:rsid w:val="00D22CD1"/>
    <w:rsid w:val="00D23139"/>
    <w:rsid w:val="00D2644B"/>
    <w:rsid w:val="00D34923"/>
    <w:rsid w:val="00D425BB"/>
    <w:rsid w:val="00D44382"/>
    <w:rsid w:val="00D453FA"/>
    <w:rsid w:val="00D476C3"/>
    <w:rsid w:val="00D527DF"/>
    <w:rsid w:val="00D57377"/>
    <w:rsid w:val="00D6493E"/>
    <w:rsid w:val="00D70195"/>
    <w:rsid w:val="00D7195D"/>
    <w:rsid w:val="00D7301E"/>
    <w:rsid w:val="00D83AE1"/>
    <w:rsid w:val="00D855D4"/>
    <w:rsid w:val="00D902C9"/>
    <w:rsid w:val="00D93466"/>
    <w:rsid w:val="00D93D94"/>
    <w:rsid w:val="00D94C5D"/>
    <w:rsid w:val="00DA1124"/>
    <w:rsid w:val="00DA3ACD"/>
    <w:rsid w:val="00DA64CB"/>
    <w:rsid w:val="00DB06B8"/>
    <w:rsid w:val="00DB3A65"/>
    <w:rsid w:val="00DB6124"/>
    <w:rsid w:val="00DB750B"/>
    <w:rsid w:val="00DB75B7"/>
    <w:rsid w:val="00DC0623"/>
    <w:rsid w:val="00DC0A2F"/>
    <w:rsid w:val="00DC1948"/>
    <w:rsid w:val="00DC2FDB"/>
    <w:rsid w:val="00DC6E02"/>
    <w:rsid w:val="00DD28CD"/>
    <w:rsid w:val="00DE015B"/>
    <w:rsid w:val="00DE02AE"/>
    <w:rsid w:val="00DE0450"/>
    <w:rsid w:val="00DE12C3"/>
    <w:rsid w:val="00DE39D1"/>
    <w:rsid w:val="00DE58E5"/>
    <w:rsid w:val="00DF1D7F"/>
    <w:rsid w:val="00DF4BE4"/>
    <w:rsid w:val="00DF5459"/>
    <w:rsid w:val="00E02382"/>
    <w:rsid w:val="00E02FB4"/>
    <w:rsid w:val="00E11506"/>
    <w:rsid w:val="00E13FC7"/>
    <w:rsid w:val="00E20571"/>
    <w:rsid w:val="00E235F7"/>
    <w:rsid w:val="00E23659"/>
    <w:rsid w:val="00E239D4"/>
    <w:rsid w:val="00E26130"/>
    <w:rsid w:val="00E329F8"/>
    <w:rsid w:val="00E33D09"/>
    <w:rsid w:val="00E33D42"/>
    <w:rsid w:val="00E35EED"/>
    <w:rsid w:val="00E37BAF"/>
    <w:rsid w:val="00E40B22"/>
    <w:rsid w:val="00E44ED1"/>
    <w:rsid w:val="00E45619"/>
    <w:rsid w:val="00E4588F"/>
    <w:rsid w:val="00E46DA3"/>
    <w:rsid w:val="00E51BB1"/>
    <w:rsid w:val="00E55CB0"/>
    <w:rsid w:val="00E624A5"/>
    <w:rsid w:val="00E64BA4"/>
    <w:rsid w:val="00E7344E"/>
    <w:rsid w:val="00E82665"/>
    <w:rsid w:val="00E84BD8"/>
    <w:rsid w:val="00E930D4"/>
    <w:rsid w:val="00E9697B"/>
    <w:rsid w:val="00EA472E"/>
    <w:rsid w:val="00EA51CA"/>
    <w:rsid w:val="00EB0798"/>
    <w:rsid w:val="00EB1522"/>
    <w:rsid w:val="00EB3F53"/>
    <w:rsid w:val="00EB40AD"/>
    <w:rsid w:val="00EB586E"/>
    <w:rsid w:val="00EB5FC8"/>
    <w:rsid w:val="00EC463D"/>
    <w:rsid w:val="00EC7463"/>
    <w:rsid w:val="00EC7A85"/>
    <w:rsid w:val="00ED2922"/>
    <w:rsid w:val="00ED3CAD"/>
    <w:rsid w:val="00ED5A41"/>
    <w:rsid w:val="00EE1DE8"/>
    <w:rsid w:val="00EE27C2"/>
    <w:rsid w:val="00EF4BAD"/>
    <w:rsid w:val="00EF59DC"/>
    <w:rsid w:val="00F0151A"/>
    <w:rsid w:val="00F033EC"/>
    <w:rsid w:val="00F04F68"/>
    <w:rsid w:val="00F07250"/>
    <w:rsid w:val="00F113D9"/>
    <w:rsid w:val="00F12670"/>
    <w:rsid w:val="00F14B27"/>
    <w:rsid w:val="00F2448D"/>
    <w:rsid w:val="00F3148D"/>
    <w:rsid w:val="00F325C5"/>
    <w:rsid w:val="00F32FE0"/>
    <w:rsid w:val="00F35298"/>
    <w:rsid w:val="00F46ADC"/>
    <w:rsid w:val="00F47333"/>
    <w:rsid w:val="00F47E37"/>
    <w:rsid w:val="00F526CA"/>
    <w:rsid w:val="00F53C07"/>
    <w:rsid w:val="00F54B65"/>
    <w:rsid w:val="00F63DBF"/>
    <w:rsid w:val="00F640B6"/>
    <w:rsid w:val="00F66DF2"/>
    <w:rsid w:val="00F75765"/>
    <w:rsid w:val="00F80E40"/>
    <w:rsid w:val="00F848D9"/>
    <w:rsid w:val="00F8596F"/>
    <w:rsid w:val="00F95298"/>
    <w:rsid w:val="00F96A4D"/>
    <w:rsid w:val="00FA5069"/>
    <w:rsid w:val="00FA5B82"/>
    <w:rsid w:val="00FA639E"/>
    <w:rsid w:val="00FB714C"/>
    <w:rsid w:val="00FC1FCA"/>
    <w:rsid w:val="00FC25E4"/>
    <w:rsid w:val="00FC4EF7"/>
    <w:rsid w:val="00FD0824"/>
    <w:rsid w:val="00FD119B"/>
    <w:rsid w:val="00FD1EDC"/>
    <w:rsid w:val="00FE1DEE"/>
    <w:rsid w:val="00FE5AE8"/>
    <w:rsid w:val="00FF2126"/>
    <w:rsid w:val="00FF4C3E"/>
    <w:rsid w:val="00FF5755"/>
    <w:rsid w:val="00FF65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54F440"/>
  <w15:docId w15:val="{7B0CEEF0-E1CC-49FB-95D9-77D8B734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B14F5"/>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style1">
    <w:name w:val="style1"/>
    <w:basedOn w:val="DefaultParagraphFont"/>
    <w:uiPriority w:val="1"/>
    <w:rsid w:val="00633E12"/>
    <w:rPr>
      <w:rFonts w:asciiTheme="minorHAnsi" w:hAnsiTheme="minorHAnsi"/>
      <w:sz w:val="22"/>
    </w:rPr>
  </w:style>
  <w:style w:type="paragraph" w:styleId="ListParagraph">
    <w:name w:val="List Paragraph"/>
    <w:basedOn w:val="Normal"/>
    <w:uiPriority w:val="1"/>
    <w:qFormat/>
    <w:rsid w:val="005E4E1F"/>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rsid w:val="00D01A36"/>
    <w:rPr>
      <w:rFonts w:ascii="Cambria" w:eastAsia="Cambria" w:hAnsi="Cambria" w:cs="Times New Roman"/>
      <w:sz w:val="19"/>
    </w:rPr>
  </w:style>
  <w:style w:type="paragraph" w:customStyle="1" w:styleId="Bulletlist">
    <w:name w:val="Bullet list"/>
    <w:basedOn w:val="Normal"/>
    <w:link w:val="BulletlistChar"/>
    <w:qFormat/>
    <w:rsid w:val="00D527DF"/>
    <w:pPr>
      <w:numPr>
        <w:numId w:val="12"/>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D527DF"/>
    <w:rPr>
      <w:rFonts w:ascii="Cambria" w:eastAsia="Times New Roman" w:hAnsi="Cambria" w:cs="Times New Roman"/>
      <w:snapToGrid w:val="0"/>
      <w:kern w:val="2"/>
      <w:sz w:val="23"/>
    </w:rPr>
  </w:style>
  <w:style w:type="paragraph" w:customStyle="1" w:styleId="Standard">
    <w:name w:val="Standard"/>
    <w:basedOn w:val="Normal"/>
    <w:link w:val="StandardChar"/>
    <w:qFormat/>
    <w:rsid w:val="00D527DF"/>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D527DF"/>
    <w:rPr>
      <w:rFonts w:ascii="Cambria" w:eastAsia="Times New Roman" w:hAnsi="Cambria" w:cs="Times New Roman"/>
      <w:snapToGrid w:val="0"/>
      <w:kern w:val="16"/>
      <w:sz w:val="23"/>
      <w:szCs w:val="24"/>
    </w:rPr>
  </w:style>
  <w:style w:type="paragraph" w:customStyle="1" w:styleId="Default">
    <w:name w:val="Default"/>
    <w:rsid w:val="00B52F6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11193">
      <w:bodyDiv w:val="1"/>
      <w:marLeft w:val="0"/>
      <w:marRight w:val="0"/>
      <w:marTop w:val="0"/>
      <w:marBottom w:val="0"/>
      <w:divBdr>
        <w:top w:val="none" w:sz="0" w:space="0" w:color="auto"/>
        <w:left w:val="none" w:sz="0" w:space="0" w:color="auto"/>
        <w:bottom w:val="none" w:sz="0" w:space="0" w:color="auto"/>
        <w:right w:val="none" w:sz="0" w:space="0" w:color="auto"/>
      </w:divBdr>
    </w:div>
    <w:div w:id="665595233">
      <w:bodyDiv w:val="1"/>
      <w:marLeft w:val="0"/>
      <w:marRight w:val="0"/>
      <w:marTop w:val="0"/>
      <w:marBottom w:val="0"/>
      <w:divBdr>
        <w:top w:val="none" w:sz="0" w:space="0" w:color="auto"/>
        <w:left w:val="none" w:sz="0" w:space="0" w:color="auto"/>
        <w:bottom w:val="none" w:sz="0" w:space="0" w:color="auto"/>
        <w:right w:val="none" w:sz="0" w:space="0" w:color="auto"/>
      </w:divBdr>
    </w:div>
    <w:div w:id="753281421">
      <w:bodyDiv w:val="1"/>
      <w:marLeft w:val="0"/>
      <w:marRight w:val="0"/>
      <w:marTop w:val="0"/>
      <w:marBottom w:val="0"/>
      <w:divBdr>
        <w:top w:val="none" w:sz="0" w:space="0" w:color="auto"/>
        <w:left w:val="none" w:sz="0" w:space="0" w:color="auto"/>
        <w:bottom w:val="none" w:sz="0" w:space="0" w:color="auto"/>
        <w:right w:val="none" w:sz="0" w:space="0" w:color="auto"/>
      </w:divBdr>
    </w:div>
    <w:div w:id="1282692097">
      <w:bodyDiv w:val="1"/>
      <w:marLeft w:val="0"/>
      <w:marRight w:val="0"/>
      <w:marTop w:val="0"/>
      <w:marBottom w:val="0"/>
      <w:divBdr>
        <w:top w:val="none" w:sz="0" w:space="0" w:color="auto"/>
        <w:left w:val="none" w:sz="0" w:space="0" w:color="auto"/>
        <w:bottom w:val="none" w:sz="0" w:space="0" w:color="auto"/>
        <w:right w:val="none" w:sz="0" w:space="0" w:color="auto"/>
      </w:divBdr>
      <w:divsChild>
        <w:div w:id="888108572">
          <w:marLeft w:val="0"/>
          <w:marRight w:val="0"/>
          <w:marTop w:val="0"/>
          <w:marBottom w:val="0"/>
          <w:divBdr>
            <w:top w:val="none" w:sz="0" w:space="0" w:color="auto"/>
            <w:left w:val="none" w:sz="0" w:space="0" w:color="auto"/>
            <w:bottom w:val="none" w:sz="0" w:space="0" w:color="auto"/>
            <w:right w:val="none" w:sz="0" w:space="0" w:color="auto"/>
          </w:divBdr>
        </w:div>
        <w:div w:id="769278919">
          <w:marLeft w:val="0"/>
          <w:marRight w:val="0"/>
          <w:marTop w:val="75"/>
          <w:marBottom w:val="75"/>
          <w:divBdr>
            <w:top w:val="none" w:sz="0" w:space="0" w:color="auto"/>
            <w:left w:val="none" w:sz="0" w:space="0" w:color="auto"/>
            <w:bottom w:val="none" w:sz="0" w:space="0" w:color="auto"/>
            <w:right w:val="none" w:sz="0" w:space="0" w:color="auto"/>
          </w:divBdr>
        </w:div>
        <w:div w:id="146835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en.wikipedia.org/wiki/Aquaporin" TargetMode="External"/><Relationship Id="rId26" Type="http://schemas.openxmlformats.org/officeDocument/2006/relationships/image" Target="media/image5.emf"/><Relationship Id="rId39"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en.wikipedia.org/wiki/Astrocyte" TargetMode="External"/><Relationship Id="rId34" Type="http://schemas.openxmlformats.org/officeDocument/2006/relationships/hyperlink" Target="https://www.tga.gov.au/product-information-pi" TargetMode="Externa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n.wikipedia.org/wiki/Gene" TargetMode="External"/><Relationship Id="rId25" Type="http://schemas.openxmlformats.org/officeDocument/2006/relationships/image" Target="media/image4.png"/><Relationship Id="rId33" Type="http://schemas.openxmlformats.org/officeDocument/2006/relationships/image" Target="media/image12.emf"/><Relationship Id="rId38" Type="http://schemas.openxmlformats.org/officeDocument/2006/relationships/footer" Target="footer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en.wikipedia.org/wiki/Cell_membrane" TargetMode="External"/><Relationship Id="rId29" Type="http://schemas.openxmlformats.org/officeDocument/2006/relationships/image" Target="media/image8.emf"/><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image" Target="media/image11.emf"/><Relationship Id="rId37" Type="http://schemas.openxmlformats.org/officeDocument/2006/relationships/header" Target="header6.xml"/><Relationship Id="rId40" Type="http://schemas.openxmlformats.org/officeDocument/2006/relationships/hyperlink" Target="https://www.tga.gov.a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image" Target="media/image7.png"/><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en.wikipedia.org/wiki/Integral_membrane_protein" TargetMode="External"/><Relationship Id="rId31" Type="http://schemas.openxmlformats.org/officeDocument/2006/relationships/image" Target="media/image10.emf"/><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https://en.wikipedia.org/wiki/Cerebrospinal_fluid" TargetMode="Externa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4.xml"/><Relationship Id="rId43"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128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A64B-0A04-44AB-B638-71626A0F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8</TotalTime>
  <Pages>46</Pages>
  <Words>16128</Words>
  <Characters>89997</Characters>
  <Application>Microsoft Office Word</Application>
  <DocSecurity>0</DocSecurity>
  <Lines>3103</Lines>
  <Paragraphs>2526</Paragraphs>
  <ScaleCrop>false</ScaleCrop>
  <HeadingPairs>
    <vt:vector size="2" baseType="variant">
      <vt:variant>
        <vt:lpstr>Title</vt:lpstr>
      </vt:variant>
      <vt:variant>
        <vt:i4>1</vt:i4>
      </vt:variant>
    </vt:vector>
  </HeadingPairs>
  <TitlesOfParts>
    <vt:vector size="1" baseType="lpstr">
      <vt:lpstr>Australian public assessment report for Satralizumab</vt:lpstr>
    </vt:vector>
  </TitlesOfParts>
  <Company>Department of Health Therapeutic Goods Administration</Company>
  <LinksUpToDate>false</LinksUpToDate>
  <CharactersWithSpaces>103599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Satralizumab</dc:title>
  <dc:subject>prescription medicines</dc:subject>
  <dc:creator>Therapeutic Goods Administration</dc:creator>
  <cp:keywords/>
  <cp:lastPrinted>2019-08-14T04:30:00Z</cp:lastPrinted>
  <dcterms:created xsi:type="dcterms:W3CDTF">2021-08-23T02:26:00Z</dcterms:created>
  <dcterms:modified xsi:type="dcterms:W3CDTF">2021-08-23T02:34:00Z</dcterms:modified>
  <cp:category/>
</cp:coreProperties>
</file>