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3585C7F" w14:textId="77777777" w:rsidTr="00BF1190">
        <w:trPr>
          <w:trHeight w:val="1863"/>
        </w:trPr>
        <w:tc>
          <w:tcPr>
            <w:tcW w:w="3652" w:type="dxa"/>
            <w:tcBorders>
              <w:top w:val="nil"/>
              <w:left w:val="nil"/>
              <w:bottom w:val="nil"/>
              <w:right w:val="nil"/>
            </w:tcBorders>
          </w:tcPr>
          <w:p w14:paraId="554E9935" w14:textId="497E0A99" w:rsidR="008E7846" w:rsidRPr="00096AA7" w:rsidRDefault="006F3201" w:rsidP="00345763">
            <w:pPr>
              <w:rPr>
                <w:rFonts w:ascii="Arial" w:hAnsi="Arial" w:cs="Arial"/>
                <w:b/>
                <w:color w:val="002C47"/>
                <w:sz w:val="36"/>
                <w:szCs w:val="36"/>
              </w:rPr>
            </w:pPr>
            <w:r>
              <w:rPr>
                <w:rFonts w:ascii="Arial" w:hAnsi="Arial" w:cs="Arial"/>
                <w:b/>
                <w:color w:val="002C47"/>
                <w:sz w:val="36"/>
                <w:szCs w:val="36"/>
              </w:rPr>
              <w:t>January</w:t>
            </w:r>
            <w:r w:rsidR="00C346AB">
              <w:rPr>
                <w:rFonts w:ascii="Arial" w:hAnsi="Arial" w:cs="Arial"/>
                <w:b/>
                <w:color w:val="002C47"/>
                <w:sz w:val="36"/>
                <w:szCs w:val="36"/>
              </w:rPr>
              <w:t xml:space="preserve"> </w:t>
            </w:r>
            <w:r>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1DDDCF7" w14:textId="77777777" w:rsidTr="0032583B">
        <w:trPr>
          <w:trHeight w:val="868"/>
        </w:trPr>
        <w:tc>
          <w:tcPr>
            <w:tcW w:w="9079" w:type="dxa"/>
          </w:tcPr>
          <w:p w14:paraId="2FE15099" w14:textId="63B5FF44" w:rsidR="0032583B" w:rsidRPr="00A964D1" w:rsidRDefault="00C41FF6" w:rsidP="00345763">
            <w:pPr>
              <w:pStyle w:val="Title"/>
              <w:rPr>
                <w:color w:val="FFFFFF" w:themeColor="background1"/>
              </w:rPr>
            </w:pPr>
            <w:r>
              <w:rPr>
                <w:rFonts w:ascii="ZWAdobeF" w:hAnsi="ZWAdobeF" w:cs="ZWAdobeF"/>
                <w:spacing w:val="0"/>
                <w:sz w:val="2"/>
                <w:szCs w:val="2"/>
              </w:rPr>
              <w:t>0B</w:t>
            </w:r>
            <w:r w:rsidR="0032583B" w:rsidRPr="00A964D1">
              <w:rPr>
                <w:color w:val="FFFFFF" w:themeColor="background1"/>
              </w:rPr>
              <w:t xml:space="preserve">Australian Public Assessment Report for </w:t>
            </w:r>
            <w:r w:rsidR="006F3201" w:rsidRPr="006F3201">
              <w:rPr>
                <w:color w:val="FFFFFF" w:themeColor="background1"/>
              </w:rPr>
              <w:t xml:space="preserve">SARS-CoV-2 </w:t>
            </w:r>
            <w:proofErr w:type="spellStart"/>
            <w:r w:rsidR="006F3201" w:rsidRPr="006F3201">
              <w:rPr>
                <w:color w:val="FFFFFF" w:themeColor="background1"/>
              </w:rPr>
              <w:t>rS</w:t>
            </w:r>
            <w:proofErr w:type="spellEnd"/>
            <w:r w:rsidR="006F3201" w:rsidRPr="006F3201">
              <w:rPr>
                <w:color w:val="FFFFFF" w:themeColor="background1"/>
              </w:rPr>
              <w:t xml:space="preserve"> with </w:t>
            </w:r>
            <w:r w:rsidR="006F5F10">
              <w:rPr>
                <w:color w:val="FFFFFF" w:themeColor="background1"/>
              </w:rPr>
              <w:t>Matrix-M</w:t>
            </w:r>
            <w:r w:rsidR="006F3201" w:rsidRPr="006F3201">
              <w:rPr>
                <w:color w:val="FFFFFF" w:themeColor="background1"/>
              </w:rPr>
              <w:t xml:space="preserve"> adjuvant</w:t>
            </w:r>
          </w:p>
        </w:tc>
      </w:tr>
      <w:tr w:rsidR="0032583B" w:rsidRPr="00B64760" w14:paraId="3AFC0895" w14:textId="77777777" w:rsidTr="0032583B">
        <w:tc>
          <w:tcPr>
            <w:tcW w:w="9079" w:type="dxa"/>
          </w:tcPr>
          <w:p w14:paraId="6772D256" w14:textId="20E9D554" w:rsidR="0032583B" w:rsidRPr="008E7846" w:rsidRDefault="0032583B" w:rsidP="00345763">
            <w:pPr>
              <w:pStyle w:val="Subtitle"/>
              <w:rPr>
                <w:color w:val="FFFFFF" w:themeColor="background1"/>
              </w:rPr>
            </w:pPr>
            <w:r w:rsidRPr="008E7846">
              <w:rPr>
                <w:color w:val="FFFFFF" w:themeColor="background1"/>
              </w:rPr>
              <w:t xml:space="preserve">Proprietary Product Name: </w:t>
            </w:r>
            <w:proofErr w:type="spellStart"/>
            <w:r w:rsidR="006F3201">
              <w:rPr>
                <w:color w:val="FFFFFF" w:themeColor="background1"/>
              </w:rPr>
              <w:t>Nuvaxovid</w:t>
            </w:r>
            <w:proofErr w:type="spellEnd"/>
          </w:p>
        </w:tc>
      </w:tr>
      <w:tr w:rsidR="0032583B" w:rsidRPr="00B64760" w14:paraId="061BE32E" w14:textId="77777777" w:rsidTr="0032583B">
        <w:trPr>
          <w:trHeight w:val="486"/>
        </w:trPr>
        <w:tc>
          <w:tcPr>
            <w:tcW w:w="9079" w:type="dxa"/>
          </w:tcPr>
          <w:p w14:paraId="71E1FFB6" w14:textId="6600146C" w:rsidR="0032583B" w:rsidRPr="008E7846" w:rsidRDefault="00460036" w:rsidP="00345763">
            <w:pPr>
              <w:pStyle w:val="Subtitle"/>
              <w:rPr>
                <w:color w:val="FFFFFF" w:themeColor="background1"/>
              </w:rPr>
            </w:pPr>
            <w:r>
              <w:rPr>
                <w:color w:val="FFFFFF" w:themeColor="background1"/>
              </w:rPr>
              <w:t xml:space="preserve">Sponsor: </w:t>
            </w:r>
            <w:proofErr w:type="spellStart"/>
            <w:r w:rsidR="006F3201">
              <w:rPr>
                <w:color w:val="FFFFFF" w:themeColor="background1"/>
              </w:rPr>
              <w:t>Bio</w:t>
            </w:r>
            <w:r w:rsidR="00344FF4">
              <w:rPr>
                <w:color w:val="FFFFFF" w:themeColor="background1"/>
              </w:rPr>
              <w:t>c</w:t>
            </w:r>
            <w:r w:rsidR="006F3201">
              <w:rPr>
                <w:color w:val="FFFFFF" w:themeColor="background1"/>
              </w:rPr>
              <w:t>elect</w:t>
            </w:r>
            <w:proofErr w:type="spellEnd"/>
            <w:r w:rsidR="006F3201">
              <w:rPr>
                <w:color w:val="FFFFFF" w:themeColor="background1"/>
              </w:rPr>
              <w:t xml:space="preserve"> Pty Ltd</w:t>
            </w:r>
          </w:p>
        </w:tc>
      </w:tr>
    </w:tbl>
    <w:p w14:paraId="76E70B23" w14:textId="77777777" w:rsidR="008E7846" w:rsidRPr="0085156D" w:rsidRDefault="008E7846" w:rsidP="00345763">
      <w:r w:rsidRPr="0085156D">
        <w:br w:type="page"/>
      </w:r>
    </w:p>
    <w:p w14:paraId="18A33D18" w14:textId="77777777" w:rsidR="008E7846" w:rsidRPr="001F6CBA" w:rsidRDefault="008E7846" w:rsidP="00345763">
      <w:pPr>
        <w:pStyle w:val="NonTOCHeading2"/>
      </w:pPr>
      <w:r w:rsidRPr="001F6CBA">
        <w:lastRenderedPageBreak/>
        <w:t>About the Therapeutic Goods Administration (TGA)</w:t>
      </w:r>
    </w:p>
    <w:p w14:paraId="496B9377" w14:textId="77777777" w:rsidR="008E7846" w:rsidRDefault="008E7846" w:rsidP="00345763">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3F051C97" w14:textId="77777777" w:rsidR="008E7846" w:rsidRDefault="00C80137" w:rsidP="00345763">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22696F6" w14:textId="77777777" w:rsidR="008E7846" w:rsidRDefault="008E7846" w:rsidP="00345763">
      <w:pPr>
        <w:pStyle w:val="ListBullet"/>
      </w:pPr>
      <w:r>
        <w:t>The work of the TGA is based on applying scientific and clinical expertise to decision-making, to ensure that the benefits to consumers outweigh any risks associated with the use of medicines and medical devices.</w:t>
      </w:r>
    </w:p>
    <w:p w14:paraId="5D7A277E" w14:textId="77777777" w:rsidR="008E7846" w:rsidRDefault="008E7846" w:rsidP="00345763">
      <w:pPr>
        <w:pStyle w:val="ListBullet"/>
      </w:pPr>
      <w:r>
        <w:t>The TGA relies on the public, healthcare professionals and industry to report problems with medicines or medical devices. TGA investigates reports received by it to determine any necessary regulatory action.</w:t>
      </w:r>
    </w:p>
    <w:p w14:paraId="3249FB98" w14:textId="447855A3" w:rsidR="00441C3F" w:rsidRDefault="008E7846" w:rsidP="00345763">
      <w:pPr>
        <w:pStyle w:val="ListBullet"/>
      </w:pPr>
      <w:r>
        <w:t xml:space="preserve">To report a problem with a medicine or medical device, please see the information on </w:t>
      </w:r>
      <w:r w:rsidR="00441C3F">
        <w:t>the TGA website &lt;</w:t>
      </w:r>
      <w:hyperlink r:id="rId8" w:history="1">
        <w:r w:rsidR="00C41FF6">
          <w:rPr>
            <w:rFonts w:ascii="ZWAdobeF" w:hAnsi="ZWAdobeF" w:cs="ZWAdobeF"/>
            <w:sz w:val="2"/>
            <w:szCs w:val="2"/>
          </w:rPr>
          <w:t>34TU</w:t>
        </w:r>
        <w:r w:rsidR="00441C3F">
          <w:rPr>
            <w:rStyle w:val="Hyperlink"/>
          </w:rPr>
          <w:t>https://www.tga.gov.au</w:t>
        </w:r>
      </w:hyperlink>
      <w:r w:rsidR="00C41FF6" w:rsidRPr="00C41FF6">
        <w:rPr>
          <w:rStyle w:val="Hyperlink"/>
          <w:rFonts w:ascii="ZWAdobeF" w:hAnsi="ZWAdobeF" w:cs="ZWAdobeF"/>
          <w:color w:val="auto"/>
          <w:sz w:val="2"/>
          <w:szCs w:val="2"/>
          <w:u w:val="none"/>
        </w:rPr>
        <w:t>U34T</w:t>
      </w:r>
      <w:r w:rsidR="00441C3F">
        <w:t>&gt;.</w:t>
      </w:r>
    </w:p>
    <w:p w14:paraId="5B45C27F" w14:textId="77777777" w:rsidR="008E7846" w:rsidRDefault="008E7846" w:rsidP="00345763">
      <w:pPr>
        <w:pStyle w:val="NonTOCHeading2"/>
      </w:pPr>
      <w:r>
        <w:t xml:space="preserve">About </w:t>
      </w:r>
      <w:proofErr w:type="spellStart"/>
      <w:r>
        <w:t>AusPARs</w:t>
      </w:r>
      <w:proofErr w:type="spellEnd"/>
    </w:p>
    <w:p w14:paraId="1E435888" w14:textId="77777777" w:rsidR="008E7846" w:rsidRDefault="008E7846" w:rsidP="00345763">
      <w:pPr>
        <w:pStyle w:val="ListBullet"/>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8A81D72" w14:textId="77777777" w:rsidR="008E7846" w:rsidRDefault="008E7846" w:rsidP="00345763">
      <w:pPr>
        <w:pStyle w:val="ListBullet"/>
      </w:pPr>
      <w:proofErr w:type="spellStart"/>
      <w:r>
        <w:t>AusPARs</w:t>
      </w:r>
      <w:proofErr w:type="spellEnd"/>
      <w:r>
        <w:t xml:space="preserve"> are prepared and published by the TGA.</w:t>
      </w:r>
    </w:p>
    <w:p w14:paraId="047E4F32" w14:textId="77777777" w:rsidR="008E7846" w:rsidRDefault="008E7846" w:rsidP="00345763">
      <w:pPr>
        <w:pStyle w:val="ListBullet"/>
      </w:pPr>
      <w:r>
        <w:t xml:space="preserve">An </w:t>
      </w:r>
      <w:proofErr w:type="spellStart"/>
      <w:r>
        <w:t>AusPAR</w:t>
      </w:r>
      <w:proofErr w:type="spellEnd"/>
      <w:r>
        <w:t xml:space="preserve"> is prepared for submissions that relate to new chemical entities, generic medicines, major variations and extensions of indications.</w:t>
      </w:r>
    </w:p>
    <w:p w14:paraId="7CB0EE27" w14:textId="77777777" w:rsidR="008E7846" w:rsidRDefault="008E7846" w:rsidP="00345763">
      <w:pPr>
        <w:pStyle w:val="ListBullet"/>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2AAD48D4" w14:textId="77777777" w:rsidR="00B452CE" w:rsidRDefault="008E7846" w:rsidP="00345763">
      <w:pPr>
        <w:pStyle w:val="ListBullet"/>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54CFADD4" w14:textId="77777777" w:rsidR="00924482" w:rsidRPr="00DF1D7F" w:rsidRDefault="00924482" w:rsidP="00345763">
      <w:pPr>
        <w:pStyle w:val="LegalSubheading"/>
        <w:spacing w:before="3120"/>
      </w:pPr>
      <w:r w:rsidRPr="00DF1D7F">
        <w:t>Copyright</w:t>
      </w:r>
    </w:p>
    <w:p w14:paraId="3E4C7C6D" w14:textId="2E601E97" w:rsidR="00924482" w:rsidRDefault="00924482" w:rsidP="00345763">
      <w:pPr>
        <w:pStyle w:val="LegalCopy"/>
      </w:pPr>
      <w:r w:rsidRPr="00191B3B">
        <w:rPr>
          <w:rFonts w:cs="Arial"/>
          <w:lang w:val="en-GB"/>
        </w:rPr>
        <w:t>© Comm</w:t>
      </w:r>
      <w:r>
        <w:rPr>
          <w:rFonts w:cs="Arial"/>
          <w:lang w:val="en-GB"/>
        </w:rPr>
        <w:t>onwealth of Australia 20</w:t>
      </w:r>
      <w:r w:rsidR="00460036">
        <w:rPr>
          <w:rFonts w:cs="Arial"/>
          <w:lang w:val="en-GB"/>
        </w:rPr>
        <w:t>2</w:t>
      </w:r>
      <w:r w:rsidR="00272970">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00C41FF6">
          <w:rPr>
            <w:rFonts w:ascii="ZWAdobeF" w:hAnsi="ZWAdobeF" w:cs="ZWAdobeF"/>
            <w:sz w:val="2"/>
            <w:szCs w:val="2"/>
          </w:rPr>
          <w:t>34T</w:t>
        </w:r>
        <w:r w:rsidRPr="00191B3B">
          <w:rPr>
            <w:rStyle w:val="Hyperlink"/>
            <w:rFonts w:cs="Arial"/>
            <w:lang w:val="en-GB"/>
          </w:rPr>
          <w:t>tga.copyright@tga.gov.au</w:t>
        </w:r>
      </w:hyperlink>
      <w:r w:rsidR="00C41FF6" w:rsidRPr="00C41FF6">
        <w:rPr>
          <w:rStyle w:val="Hyperlink"/>
          <w:rFonts w:ascii="ZWAdobeF" w:hAnsi="ZWAdobeF" w:cs="ZWAdobeF"/>
          <w:color w:val="auto"/>
          <w:sz w:val="2"/>
          <w:szCs w:val="2"/>
          <w:u w:val="none"/>
          <w:lang w:val="en-GB"/>
        </w:rPr>
        <w:t>34T</w:t>
      </w:r>
      <w:r w:rsidRPr="00191B3B">
        <w:rPr>
          <w:rFonts w:cs="Arial"/>
        </w:rPr>
        <w:t>&gt;.</w:t>
      </w:r>
    </w:p>
    <w:p w14:paraId="174E3658" w14:textId="77777777" w:rsidR="00924482" w:rsidRDefault="00924482" w:rsidP="00345763">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E879228" w14:textId="77777777" w:rsidR="0089635C" w:rsidRPr="0089635C" w:rsidRDefault="0089635C" w:rsidP="00345763">
          <w:pPr>
            <w:pStyle w:val="Contents"/>
          </w:pPr>
          <w:r w:rsidRPr="0010788A">
            <w:t>Contents</w:t>
          </w:r>
        </w:p>
        <w:p w14:paraId="79965955" w14:textId="37CB3853" w:rsidR="00813338"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93695187" w:history="1">
            <w:r w:rsidR="00813338" w:rsidRPr="003D55FE">
              <w:rPr>
                <w:rStyle w:val="Hyperlink"/>
                <w:noProof/>
              </w:rPr>
              <w:t>List of abbreviations</w:t>
            </w:r>
            <w:r w:rsidR="00813338">
              <w:rPr>
                <w:noProof/>
                <w:webHidden/>
              </w:rPr>
              <w:tab/>
            </w:r>
            <w:r w:rsidR="00813338">
              <w:rPr>
                <w:noProof/>
                <w:webHidden/>
              </w:rPr>
              <w:fldChar w:fldCharType="begin"/>
            </w:r>
            <w:r w:rsidR="00813338">
              <w:rPr>
                <w:noProof/>
                <w:webHidden/>
              </w:rPr>
              <w:instrText xml:space="preserve"> PAGEREF _Toc93695187 \h </w:instrText>
            </w:r>
            <w:r w:rsidR="00813338">
              <w:rPr>
                <w:noProof/>
                <w:webHidden/>
              </w:rPr>
            </w:r>
            <w:r w:rsidR="00813338">
              <w:rPr>
                <w:noProof/>
                <w:webHidden/>
              </w:rPr>
              <w:fldChar w:fldCharType="separate"/>
            </w:r>
            <w:r w:rsidR="00813338">
              <w:rPr>
                <w:noProof/>
                <w:webHidden/>
              </w:rPr>
              <w:t>4</w:t>
            </w:r>
            <w:r w:rsidR="00813338">
              <w:rPr>
                <w:noProof/>
                <w:webHidden/>
              </w:rPr>
              <w:fldChar w:fldCharType="end"/>
            </w:r>
          </w:hyperlink>
        </w:p>
        <w:p w14:paraId="17EDF922" w14:textId="6D8DC80E" w:rsidR="00813338" w:rsidRDefault="00344FF4">
          <w:pPr>
            <w:pStyle w:val="TOC1"/>
            <w:rPr>
              <w:rFonts w:asciiTheme="minorHAnsi" w:eastAsiaTheme="minorEastAsia" w:hAnsiTheme="minorHAnsi" w:cstheme="minorBidi"/>
              <w:b w:val="0"/>
              <w:noProof/>
              <w:sz w:val="22"/>
              <w:lang w:eastAsia="en-AU"/>
            </w:rPr>
          </w:pPr>
          <w:hyperlink w:anchor="_Toc93695188" w:history="1">
            <w:r w:rsidR="00813338" w:rsidRPr="003D55FE">
              <w:rPr>
                <w:rStyle w:val="Hyperlink"/>
                <w:noProof/>
              </w:rPr>
              <w:t>I. Introduction to product submission</w:t>
            </w:r>
            <w:r w:rsidR="00813338">
              <w:rPr>
                <w:noProof/>
                <w:webHidden/>
              </w:rPr>
              <w:tab/>
            </w:r>
            <w:r w:rsidR="00813338">
              <w:rPr>
                <w:noProof/>
                <w:webHidden/>
              </w:rPr>
              <w:fldChar w:fldCharType="begin"/>
            </w:r>
            <w:r w:rsidR="00813338">
              <w:rPr>
                <w:noProof/>
                <w:webHidden/>
              </w:rPr>
              <w:instrText xml:space="preserve"> PAGEREF _Toc93695188 \h </w:instrText>
            </w:r>
            <w:r w:rsidR="00813338">
              <w:rPr>
                <w:noProof/>
                <w:webHidden/>
              </w:rPr>
            </w:r>
            <w:r w:rsidR="00813338">
              <w:rPr>
                <w:noProof/>
                <w:webHidden/>
              </w:rPr>
              <w:fldChar w:fldCharType="separate"/>
            </w:r>
            <w:r w:rsidR="00813338">
              <w:rPr>
                <w:noProof/>
                <w:webHidden/>
              </w:rPr>
              <w:t>7</w:t>
            </w:r>
            <w:r w:rsidR="00813338">
              <w:rPr>
                <w:noProof/>
                <w:webHidden/>
              </w:rPr>
              <w:fldChar w:fldCharType="end"/>
            </w:r>
          </w:hyperlink>
        </w:p>
        <w:p w14:paraId="1F7B4C85" w14:textId="7F9B05B8" w:rsidR="00813338" w:rsidRDefault="00344FF4">
          <w:pPr>
            <w:pStyle w:val="TOC2"/>
            <w:rPr>
              <w:rFonts w:asciiTheme="minorHAnsi" w:eastAsiaTheme="minorEastAsia" w:hAnsiTheme="minorHAnsi" w:cstheme="minorBidi"/>
              <w:b w:val="0"/>
              <w:noProof/>
              <w:sz w:val="22"/>
              <w:lang w:eastAsia="en-AU"/>
            </w:rPr>
          </w:pPr>
          <w:hyperlink w:anchor="_Toc93695189" w:history="1">
            <w:r w:rsidR="00813338" w:rsidRPr="003D55FE">
              <w:rPr>
                <w:rStyle w:val="Hyperlink"/>
                <w:noProof/>
                <w:lang w:eastAsia="en-AU"/>
              </w:rPr>
              <w:t>Submission details</w:t>
            </w:r>
            <w:r w:rsidR="00813338">
              <w:rPr>
                <w:noProof/>
                <w:webHidden/>
              </w:rPr>
              <w:tab/>
            </w:r>
            <w:r w:rsidR="00813338">
              <w:rPr>
                <w:noProof/>
                <w:webHidden/>
              </w:rPr>
              <w:fldChar w:fldCharType="begin"/>
            </w:r>
            <w:r w:rsidR="00813338">
              <w:rPr>
                <w:noProof/>
                <w:webHidden/>
              </w:rPr>
              <w:instrText xml:space="preserve"> PAGEREF _Toc93695189 \h </w:instrText>
            </w:r>
            <w:r w:rsidR="00813338">
              <w:rPr>
                <w:noProof/>
                <w:webHidden/>
              </w:rPr>
            </w:r>
            <w:r w:rsidR="00813338">
              <w:rPr>
                <w:noProof/>
                <w:webHidden/>
              </w:rPr>
              <w:fldChar w:fldCharType="separate"/>
            </w:r>
            <w:r w:rsidR="00813338">
              <w:rPr>
                <w:noProof/>
                <w:webHidden/>
              </w:rPr>
              <w:t>7</w:t>
            </w:r>
            <w:r w:rsidR="00813338">
              <w:rPr>
                <w:noProof/>
                <w:webHidden/>
              </w:rPr>
              <w:fldChar w:fldCharType="end"/>
            </w:r>
          </w:hyperlink>
        </w:p>
        <w:p w14:paraId="58334283" w14:textId="5BD6C5E5" w:rsidR="00813338" w:rsidRDefault="00344FF4">
          <w:pPr>
            <w:pStyle w:val="TOC2"/>
            <w:rPr>
              <w:rFonts w:asciiTheme="minorHAnsi" w:eastAsiaTheme="minorEastAsia" w:hAnsiTheme="minorHAnsi" w:cstheme="minorBidi"/>
              <w:b w:val="0"/>
              <w:noProof/>
              <w:sz w:val="22"/>
              <w:lang w:eastAsia="en-AU"/>
            </w:rPr>
          </w:pPr>
          <w:hyperlink w:anchor="_Toc93695190" w:history="1">
            <w:r w:rsidR="00813338" w:rsidRPr="003D55FE">
              <w:rPr>
                <w:rStyle w:val="Hyperlink"/>
                <w:noProof/>
              </w:rPr>
              <w:t>Product background</w:t>
            </w:r>
            <w:r w:rsidR="00813338">
              <w:rPr>
                <w:noProof/>
                <w:webHidden/>
              </w:rPr>
              <w:tab/>
            </w:r>
            <w:r w:rsidR="00813338">
              <w:rPr>
                <w:noProof/>
                <w:webHidden/>
              </w:rPr>
              <w:fldChar w:fldCharType="begin"/>
            </w:r>
            <w:r w:rsidR="00813338">
              <w:rPr>
                <w:noProof/>
                <w:webHidden/>
              </w:rPr>
              <w:instrText xml:space="preserve"> PAGEREF _Toc93695190 \h </w:instrText>
            </w:r>
            <w:r w:rsidR="00813338">
              <w:rPr>
                <w:noProof/>
                <w:webHidden/>
              </w:rPr>
            </w:r>
            <w:r w:rsidR="00813338">
              <w:rPr>
                <w:noProof/>
                <w:webHidden/>
              </w:rPr>
              <w:fldChar w:fldCharType="separate"/>
            </w:r>
            <w:r w:rsidR="00813338">
              <w:rPr>
                <w:noProof/>
                <w:webHidden/>
              </w:rPr>
              <w:t>8</w:t>
            </w:r>
            <w:r w:rsidR="00813338">
              <w:rPr>
                <w:noProof/>
                <w:webHidden/>
              </w:rPr>
              <w:fldChar w:fldCharType="end"/>
            </w:r>
          </w:hyperlink>
        </w:p>
        <w:p w14:paraId="418B7E45" w14:textId="4B42849A" w:rsidR="00813338" w:rsidRDefault="00344FF4">
          <w:pPr>
            <w:pStyle w:val="TOC2"/>
            <w:rPr>
              <w:rFonts w:asciiTheme="minorHAnsi" w:eastAsiaTheme="minorEastAsia" w:hAnsiTheme="minorHAnsi" w:cstheme="minorBidi"/>
              <w:b w:val="0"/>
              <w:noProof/>
              <w:sz w:val="22"/>
              <w:lang w:eastAsia="en-AU"/>
            </w:rPr>
          </w:pPr>
          <w:hyperlink w:anchor="_Toc93695191" w:history="1">
            <w:r w:rsidR="00813338" w:rsidRPr="003D55FE">
              <w:rPr>
                <w:rStyle w:val="Hyperlink"/>
                <w:noProof/>
              </w:rPr>
              <w:t>Regulatory status</w:t>
            </w:r>
            <w:r w:rsidR="00813338">
              <w:rPr>
                <w:noProof/>
                <w:webHidden/>
              </w:rPr>
              <w:tab/>
            </w:r>
            <w:r w:rsidR="00813338">
              <w:rPr>
                <w:noProof/>
                <w:webHidden/>
              </w:rPr>
              <w:fldChar w:fldCharType="begin"/>
            </w:r>
            <w:r w:rsidR="00813338">
              <w:rPr>
                <w:noProof/>
                <w:webHidden/>
              </w:rPr>
              <w:instrText xml:space="preserve"> PAGEREF _Toc93695191 \h </w:instrText>
            </w:r>
            <w:r w:rsidR="00813338">
              <w:rPr>
                <w:noProof/>
                <w:webHidden/>
              </w:rPr>
            </w:r>
            <w:r w:rsidR="00813338">
              <w:rPr>
                <w:noProof/>
                <w:webHidden/>
              </w:rPr>
              <w:fldChar w:fldCharType="separate"/>
            </w:r>
            <w:r w:rsidR="00813338">
              <w:rPr>
                <w:noProof/>
                <w:webHidden/>
              </w:rPr>
              <w:t>11</w:t>
            </w:r>
            <w:r w:rsidR="00813338">
              <w:rPr>
                <w:noProof/>
                <w:webHidden/>
              </w:rPr>
              <w:fldChar w:fldCharType="end"/>
            </w:r>
          </w:hyperlink>
        </w:p>
        <w:p w14:paraId="1F77FF60" w14:textId="641C4ABB" w:rsidR="00813338" w:rsidRDefault="00344FF4">
          <w:pPr>
            <w:pStyle w:val="TOC2"/>
            <w:rPr>
              <w:rFonts w:asciiTheme="minorHAnsi" w:eastAsiaTheme="minorEastAsia" w:hAnsiTheme="minorHAnsi" w:cstheme="minorBidi"/>
              <w:b w:val="0"/>
              <w:noProof/>
              <w:sz w:val="22"/>
              <w:lang w:eastAsia="en-AU"/>
            </w:rPr>
          </w:pPr>
          <w:hyperlink w:anchor="_Toc93695192" w:history="1">
            <w:r w:rsidR="00813338" w:rsidRPr="003D55FE">
              <w:rPr>
                <w:rStyle w:val="Hyperlink"/>
                <w:noProof/>
              </w:rPr>
              <w:t>Product Information</w:t>
            </w:r>
            <w:r w:rsidR="00813338">
              <w:rPr>
                <w:noProof/>
                <w:webHidden/>
              </w:rPr>
              <w:tab/>
            </w:r>
            <w:r w:rsidR="00813338">
              <w:rPr>
                <w:noProof/>
                <w:webHidden/>
              </w:rPr>
              <w:fldChar w:fldCharType="begin"/>
            </w:r>
            <w:r w:rsidR="00813338">
              <w:rPr>
                <w:noProof/>
                <w:webHidden/>
              </w:rPr>
              <w:instrText xml:space="preserve"> PAGEREF _Toc93695192 \h </w:instrText>
            </w:r>
            <w:r w:rsidR="00813338">
              <w:rPr>
                <w:noProof/>
                <w:webHidden/>
              </w:rPr>
            </w:r>
            <w:r w:rsidR="00813338">
              <w:rPr>
                <w:noProof/>
                <w:webHidden/>
              </w:rPr>
              <w:fldChar w:fldCharType="separate"/>
            </w:r>
            <w:r w:rsidR="00813338">
              <w:rPr>
                <w:noProof/>
                <w:webHidden/>
              </w:rPr>
              <w:t>12</w:t>
            </w:r>
            <w:r w:rsidR="00813338">
              <w:rPr>
                <w:noProof/>
                <w:webHidden/>
              </w:rPr>
              <w:fldChar w:fldCharType="end"/>
            </w:r>
          </w:hyperlink>
        </w:p>
        <w:p w14:paraId="598CC557" w14:textId="67C5BA2B" w:rsidR="00813338" w:rsidRDefault="00344FF4">
          <w:pPr>
            <w:pStyle w:val="TOC1"/>
            <w:rPr>
              <w:rFonts w:asciiTheme="minorHAnsi" w:eastAsiaTheme="minorEastAsia" w:hAnsiTheme="minorHAnsi" w:cstheme="minorBidi"/>
              <w:b w:val="0"/>
              <w:noProof/>
              <w:sz w:val="22"/>
              <w:lang w:eastAsia="en-AU"/>
            </w:rPr>
          </w:pPr>
          <w:hyperlink w:anchor="_Toc93695193" w:history="1">
            <w:r w:rsidR="00813338" w:rsidRPr="003D55FE">
              <w:rPr>
                <w:rStyle w:val="Hyperlink"/>
                <w:noProof/>
              </w:rPr>
              <w:t>II. Registration timeline</w:t>
            </w:r>
            <w:r w:rsidR="00813338">
              <w:rPr>
                <w:noProof/>
                <w:webHidden/>
              </w:rPr>
              <w:tab/>
            </w:r>
            <w:r w:rsidR="00813338">
              <w:rPr>
                <w:noProof/>
                <w:webHidden/>
              </w:rPr>
              <w:fldChar w:fldCharType="begin"/>
            </w:r>
            <w:r w:rsidR="00813338">
              <w:rPr>
                <w:noProof/>
                <w:webHidden/>
              </w:rPr>
              <w:instrText xml:space="preserve"> PAGEREF _Toc93695193 \h </w:instrText>
            </w:r>
            <w:r w:rsidR="00813338">
              <w:rPr>
                <w:noProof/>
                <w:webHidden/>
              </w:rPr>
            </w:r>
            <w:r w:rsidR="00813338">
              <w:rPr>
                <w:noProof/>
                <w:webHidden/>
              </w:rPr>
              <w:fldChar w:fldCharType="separate"/>
            </w:r>
            <w:r w:rsidR="00813338">
              <w:rPr>
                <w:noProof/>
                <w:webHidden/>
              </w:rPr>
              <w:t>12</w:t>
            </w:r>
            <w:r w:rsidR="00813338">
              <w:rPr>
                <w:noProof/>
                <w:webHidden/>
              </w:rPr>
              <w:fldChar w:fldCharType="end"/>
            </w:r>
          </w:hyperlink>
        </w:p>
        <w:p w14:paraId="087B6EAE" w14:textId="2A048392" w:rsidR="00813338" w:rsidRDefault="00344FF4">
          <w:pPr>
            <w:pStyle w:val="TOC1"/>
            <w:rPr>
              <w:rFonts w:asciiTheme="minorHAnsi" w:eastAsiaTheme="minorEastAsia" w:hAnsiTheme="minorHAnsi" w:cstheme="minorBidi"/>
              <w:b w:val="0"/>
              <w:noProof/>
              <w:sz w:val="22"/>
              <w:lang w:eastAsia="en-AU"/>
            </w:rPr>
          </w:pPr>
          <w:hyperlink w:anchor="_Toc93695194" w:history="1">
            <w:r w:rsidR="00813338" w:rsidRPr="003D55FE">
              <w:rPr>
                <w:rStyle w:val="Hyperlink"/>
                <w:noProof/>
              </w:rPr>
              <w:t>III. Submission overview and risk/benefit assessment</w:t>
            </w:r>
            <w:r w:rsidR="00813338">
              <w:rPr>
                <w:noProof/>
                <w:webHidden/>
              </w:rPr>
              <w:tab/>
            </w:r>
            <w:r w:rsidR="00813338">
              <w:rPr>
                <w:noProof/>
                <w:webHidden/>
              </w:rPr>
              <w:fldChar w:fldCharType="begin"/>
            </w:r>
            <w:r w:rsidR="00813338">
              <w:rPr>
                <w:noProof/>
                <w:webHidden/>
              </w:rPr>
              <w:instrText xml:space="preserve"> PAGEREF _Toc93695194 \h </w:instrText>
            </w:r>
            <w:r w:rsidR="00813338">
              <w:rPr>
                <w:noProof/>
                <w:webHidden/>
              </w:rPr>
            </w:r>
            <w:r w:rsidR="00813338">
              <w:rPr>
                <w:noProof/>
                <w:webHidden/>
              </w:rPr>
              <w:fldChar w:fldCharType="separate"/>
            </w:r>
            <w:r w:rsidR="00813338">
              <w:rPr>
                <w:noProof/>
                <w:webHidden/>
              </w:rPr>
              <w:t>13</w:t>
            </w:r>
            <w:r w:rsidR="00813338">
              <w:rPr>
                <w:noProof/>
                <w:webHidden/>
              </w:rPr>
              <w:fldChar w:fldCharType="end"/>
            </w:r>
          </w:hyperlink>
        </w:p>
        <w:p w14:paraId="0251B50C" w14:textId="32E9F76D" w:rsidR="00813338" w:rsidRDefault="00344FF4">
          <w:pPr>
            <w:pStyle w:val="TOC2"/>
            <w:rPr>
              <w:rFonts w:asciiTheme="minorHAnsi" w:eastAsiaTheme="minorEastAsia" w:hAnsiTheme="minorHAnsi" w:cstheme="minorBidi"/>
              <w:b w:val="0"/>
              <w:noProof/>
              <w:sz w:val="22"/>
              <w:lang w:eastAsia="en-AU"/>
            </w:rPr>
          </w:pPr>
          <w:hyperlink w:anchor="_Toc93695195" w:history="1">
            <w:r w:rsidR="00813338" w:rsidRPr="003D55FE">
              <w:rPr>
                <w:rStyle w:val="Hyperlink"/>
                <w:noProof/>
              </w:rPr>
              <w:t>Quality</w:t>
            </w:r>
            <w:r w:rsidR="00813338">
              <w:rPr>
                <w:noProof/>
                <w:webHidden/>
              </w:rPr>
              <w:tab/>
            </w:r>
            <w:r w:rsidR="00813338">
              <w:rPr>
                <w:noProof/>
                <w:webHidden/>
              </w:rPr>
              <w:fldChar w:fldCharType="begin"/>
            </w:r>
            <w:r w:rsidR="00813338">
              <w:rPr>
                <w:noProof/>
                <w:webHidden/>
              </w:rPr>
              <w:instrText xml:space="preserve"> PAGEREF _Toc93695195 \h </w:instrText>
            </w:r>
            <w:r w:rsidR="00813338">
              <w:rPr>
                <w:noProof/>
                <w:webHidden/>
              </w:rPr>
            </w:r>
            <w:r w:rsidR="00813338">
              <w:rPr>
                <w:noProof/>
                <w:webHidden/>
              </w:rPr>
              <w:fldChar w:fldCharType="separate"/>
            </w:r>
            <w:r w:rsidR="00813338">
              <w:rPr>
                <w:noProof/>
                <w:webHidden/>
              </w:rPr>
              <w:t>13</w:t>
            </w:r>
            <w:r w:rsidR="00813338">
              <w:rPr>
                <w:noProof/>
                <w:webHidden/>
              </w:rPr>
              <w:fldChar w:fldCharType="end"/>
            </w:r>
          </w:hyperlink>
        </w:p>
        <w:p w14:paraId="139B4ACE" w14:textId="5A7856B4" w:rsidR="00813338" w:rsidRDefault="00344FF4">
          <w:pPr>
            <w:pStyle w:val="TOC2"/>
            <w:rPr>
              <w:rFonts w:asciiTheme="minorHAnsi" w:eastAsiaTheme="minorEastAsia" w:hAnsiTheme="minorHAnsi" w:cstheme="minorBidi"/>
              <w:b w:val="0"/>
              <w:noProof/>
              <w:sz w:val="22"/>
              <w:lang w:eastAsia="en-AU"/>
            </w:rPr>
          </w:pPr>
          <w:hyperlink w:anchor="_Toc93695196" w:history="1">
            <w:r w:rsidR="00813338" w:rsidRPr="003D55FE">
              <w:rPr>
                <w:rStyle w:val="Hyperlink"/>
                <w:noProof/>
              </w:rPr>
              <w:t>Nonclinical</w:t>
            </w:r>
            <w:r w:rsidR="00813338">
              <w:rPr>
                <w:noProof/>
                <w:webHidden/>
              </w:rPr>
              <w:tab/>
            </w:r>
            <w:r w:rsidR="00813338">
              <w:rPr>
                <w:noProof/>
                <w:webHidden/>
              </w:rPr>
              <w:fldChar w:fldCharType="begin"/>
            </w:r>
            <w:r w:rsidR="00813338">
              <w:rPr>
                <w:noProof/>
                <w:webHidden/>
              </w:rPr>
              <w:instrText xml:space="preserve"> PAGEREF _Toc93695196 \h </w:instrText>
            </w:r>
            <w:r w:rsidR="00813338">
              <w:rPr>
                <w:noProof/>
                <w:webHidden/>
              </w:rPr>
            </w:r>
            <w:r w:rsidR="00813338">
              <w:rPr>
                <w:noProof/>
                <w:webHidden/>
              </w:rPr>
              <w:fldChar w:fldCharType="separate"/>
            </w:r>
            <w:r w:rsidR="00813338">
              <w:rPr>
                <w:noProof/>
                <w:webHidden/>
              </w:rPr>
              <w:t>16</w:t>
            </w:r>
            <w:r w:rsidR="00813338">
              <w:rPr>
                <w:noProof/>
                <w:webHidden/>
              </w:rPr>
              <w:fldChar w:fldCharType="end"/>
            </w:r>
          </w:hyperlink>
        </w:p>
        <w:p w14:paraId="47917237" w14:textId="0295CF99" w:rsidR="00813338" w:rsidRDefault="00344FF4">
          <w:pPr>
            <w:pStyle w:val="TOC2"/>
            <w:rPr>
              <w:rFonts w:asciiTheme="minorHAnsi" w:eastAsiaTheme="minorEastAsia" w:hAnsiTheme="minorHAnsi" w:cstheme="minorBidi"/>
              <w:b w:val="0"/>
              <w:noProof/>
              <w:sz w:val="22"/>
              <w:lang w:eastAsia="en-AU"/>
            </w:rPr>
          </w:pPr>
          <w:hyperlink w:anchor="_Toc93695197" w:history="1">
            <w:r w:rsidR="00813338" w:rsidRPr="003D55FE">
              <w:rPr>
                <w:rStyle w:val="Hyperlink"/>
                <w:noProof/>
              </w:rPr>
              <w:t>Clinical</w:t>
            </w:r>
            <w:r w:rsidR="00813338">
              <w:rPr>
                <w:noProof/>
                <w:webHidden/>
              </w:rPr>
              <w:tab/>
            </w:r>
            <w:r w:rsidR="00813338">
              <w:rPr>
                <w:noProof/>
                <w:webHidden/>
              </w:rPr>
              <w:fldChar w:fldCharType="begin"/>
            </w:r>
            <w:r w:rsidR="00813338">
              <w:rPr>
                <w:noProof/>
                <w:webHidden/>
              </w:rPr>
              <w:instrText xml:space="preserve"> PAGEREF _Toc93695197 \h </w:instrText>
            </w:r>
            <w:r w:rsidR="00813338">
              <w:rPr>
                <w:noProof/>
                <w:webHidden/>
              </w:rPr>
            </w:r>
            <w:r w:rsidR="00813338">
              <w:rPr>
                <w:noProof/>
                <w:webHidden/>
              </w:rPr>
              <w:fldChar w:fldCharType="separate"/>
            </w:r>
            <w:r w:rsidR="00813338">
              <w:rPr>
                <w:noProof/>
                <w:webHidden/>
              </w:rPr>
              <w:t>18</w:t>
            </w:r>
            <w:r w:rsidR="00813338">
              <w:rPr>
                <w:noProof/>
                <w:webHidden/>
              </w:rPr>
              <w:fldChar w:fldCharType="end"/>
            </w:r>
          </w:hyperlink>
        </w:p>
        <w:p w14:paraId="31D78D5C" w14:textId="7A9A2ED5" w:rsidR="00813338" w:rsidRDefault="00344FF4">
          <w:pPr>
            <w:pStyle w:val="TOC2"/>
            <w:rPr>
              <w:rFonts w:asciiTheme="minorHAnsi" w:eastAsiaTheme="minorEastAsia" w:hAnsiTheme="minorHAnsi" w:cstheme="minorBidi"/>
              <w:b w:val="0"/>
              <w:noProof/>
              <w:sz w:val="22"/>
              <w:lang w:eastAsia="en-AU"/>
            </w:rPr>
          </w:pPr>
          <w:hyperlink w:anchor="_Toc93695198" w:history="1">
            <w:r w:rsidR="00813338" w:rsidRPr="003D55FE">
              <w:rPr>
                <w:rStyle w:val="Hyperlink"/>
                <w:noProof/>
                <w:lang w:eastAsia="en-AU"/>
              </w:rPr>
              <w:t>Risk management plan</w:t>
            </w:r>
            <w:r w:rsidR="00813338">
              <w:rPr>
                <w:noProof/>
                <w:webHidden/>
              </w:rPr>
              <w:tab/>
            </w:r>
            <w:r w:rsidR="00813338">
              <w:rPr>
                <w:noProof/>
                <w:webHidden/>
              </w:rPr>
              <w:fldChar w:fldCharType="begin"/>
            </w:r>
            <w:r w:rsidR="00813338">
              <w:rPr>
                <w:noProof/>
                <w:webHidden/>
              </w:rPr>
              <w:instrText xml:space="preserve"> PAGEREF _Toc93695198 \h </w:instrText>
            </w:r>
            <w:r w:rsidR="00813338">
              <w:rPr>
                <w:noProof/>
                <w:webHidden/>
              </w:rPr>
            </w:r>
            <w:r w:rsidR="00813338">
              <w:rPr>
                <w:noProof/>
                <w:webHidden/>
              </w:rPr>
              <w:fldChar w:fldCharType="separate"/>
            </w:r>
            <w:r w:rsidR="00813338">
              <w:rPr>
                <w:noProof/>
                <w:webHidden/>
              </w:rPr>
              <w:t>82</w:t>
            </w:r>
            <w:r w:rsidR="00813338">
              <w:rPr>
                <w:noProof/>
                <w:webHidden/>
              </w:rPr>
              <w:fldChar w:fldCharType="end"/>
            </w:r>
          </w:hyperlink>
        </w:p>
        <w:p w14:paraId="3556D30C" w14:textId="4EC1377F" w:rsidR="00813338" w:rsidRDefault="00344FF4">
          <w:pPr>
            <w:pStyle w:val="TOC2"/>
            <w:rPr>
              <w:rFonts w:asciiTheme="minorHAnsi" w:eastAsiaTheme="minorEastAsia" w:hAnsiTheme="minorHAnsi" w:cstheme="minorBidi"/>
              <w:b w:val="0"/>
              <w:noProof/>
              <w:sz w:val="22"/>
              <w:lang w:eastAsia="en-AU"/>
            </w:rPr>
          </w:pPr>
          <w:hyperlink w:anchor="_Toc93695199" w:history="1">
            <w:r w:rsidR="00813338" w:rsidRPr="003D55FE">
              <w:rPr>
                <w:rStyle w:val="Hyperlink"/>
                <w:noProof/>
              </w:rPr>
              <w:t>Risk-benefit analysis</w:t>
            </w:r>
            <w:r w:rsidR="00813338">
              <w:rPr>
                <w:noProof/>
                <w:webHidden/>
              </w:rPr>
              <w:tab/>
            </w:r>
            <w:r w:rsidR="00813338">
              <w:rPr>
                <w:noProof/>
                <w:webHidden/>
              </w:rPr>
              <w:fldChar w:fldCharType="begin"/>
            </w:r>
            <w:r w:rsidR="00813338">
              <w:rPr>
                <w:noProof/>
                <w:webHidden/>
              </w:rPr>
              <w:instrText xml:space="preserve"> PAGEREF _Toc93695199 \h </w:instrText>
            </w:r>
            <w:r w:rsidR="00813338">
              <w:rPr>
                <w:noProof/>
                <w:webHidden/>
              </w:rPr>
            </w:r>
            <w:r w:rsidR="00813338">
              <w:rPr>
                <w:noProof/>
                <w:webHidden/>
              </w:rPr>
              <w:fldChar w:fldCharType="separate"/>
            </w:r>
            <w:r w:rsidR="00813338">
              <w:rPr>
                <w:noProof/>
                <w:webHidden/>
              </w:rPr>
              <w:t>84</w:t>
            </w:r>
            <w:r w:rsidR="00813338">
              <w:rPr>
                <w:noProof/>
                <w:webHidden/>
              </w:rPr>
              <w:fldChar w:fldCharType="end"/>
            </w:r>
          </w:hyperlink>
        </w:p>
        <w:p w14:paraId="5EEB37EB" w14:textId="4536FC08" w:rsidR="00813338" w:rsidRDefault="00344FF4">
          <w:pPr>
            <w:pStyle w:val="TOC2"/>
            <w:rPr>
              <w:rFonts w:asciiTheme="minorHAnsi" w:eastAsiaTheme="minorEastAsia" w:hAnsiTheme="minorHAnsi" w:cstheme="minorBidi"/>
              <w:b w:val="0"/>
              <w:noProof/>
              <w:sz w:val="22"/>
              <w:lang w:eastAsia="en-AU"/>
            </w:rPr>
          </w:pPr>
          <w:hyperlink w:anchor="_Toc93695200" w:history="1">
            <w:r w:rsidR="00813338" w:rsidRPr="003D55FE">
              <w:rPr>
                <w:rStyle w:val="Hyperlink"/>
                <w:noProof/>
              </w:rPr>
              <w:t>Outcome</w:t>
            </w:r>
            <w:r w:rsidR="00813338">
              <w:rPr>
                <w:noProof/>
                <w:webHidden/>
              </w:rPr>
              <w:tab/>
            </w:r>
            <w:r w:rsidR="00813338">
              <w:rPr>
                <w:noProof/>
                <w:webHidden/>
              </w:rPr>
              <w:fldChar w:fldCharType="begin"/>
            </w:r>
            <w:r w:rsidR="00813338">
              <w:rPr>
                <w:noProof/>
                <w:webHidden/>
              </w:rPr>
              <w:instrText xml:space="preserve"> PAGEREF _Toc93695200 \h </w:instrText>
            </w:r>
            <w:r w:rsidR="00813338">
              <w:rPr>
                <w:noProof/>
                <w:webHidden/>
              </w:rPr>
            </w:r>
            <w:r w:rsidR="00813338">
              <w:rPr>
                <w:noProof/>
                <w:webHidden/>
              </w:rPr>
              <w:fldChar w:fldCharType="separate"/>
            </w:r>
            <w:r w:rsidR="00813338">
              <w:rPr>
                <w:noProof/>
                <w:webHidden/>
              </w:rPr>
              <w:t>94</w:t>
            </w:r>
            <w:r w:rsidR="00813338">
              <w:rPr>
                <w:noProof/>
                <w:webHidden/>
              </w:rPr>
              <w:fldChar w:fldCharType="end"/>
            </w:r>
          </w:hyperlink>
        </w:p>
        <w:p w14:paraId="00CD13EF" w14:textId="0074E79A" w:rsidR="00813338" w:rsidRDefault="00344FF4">
          <w:pPr>
            <w:pStyle w:val="TOC1"/>
            <w:rPr>
              <w:rFonts w:asciiTheme="minorHAnsi" w:eastAsiaTheme="minorEastAsia" w:hAnsiTheme="minorHAnsi" w:cstheme="minorBidi"/>
              <w:b w:val="0"/>
              <w:noProof/>
              <w:sz w:val="22"/>
              <w:lang w:eastAsia="en-AU"/>
            </w:rPr>
          </w:pPr>
          <w:hyperlink w:anchor="_Toc93695201" w:history="1">
            <w:r w:rsidR="00813338" w:rsidRPr="003D55FE">
              <w:rPr>
                <w:rStyle w:val="Hyperlink"/>
                <w:noProof/>
              </w:rPr>
              <w:t>Attachment 1. Product Information</w:t>
            </w:r>
            <w:r w:rsidR="00813338">
              <w:rPr>
                <w:noProof/>
                <w:webHidden/>
              </w:rPr>
              <w:tab/>
            </w:r>
            <w:r w:rsidR="00813338">
              <w:rPr>
                <w:noProof/>
                <w:webHidden/>
              </w:rPr>
              <w:fldChar w:fldCharType="begin"/>
            </w:r>
            <w:r w:rsidR="00813338">
              <w:rPr>
                <w:noProof/>
                <w:webHidden/>
              </w:rPr>
              <w:instrText xml:space="preserve"> PAGEREF _Toc93695201 \h </w:instrText>
            </w:r>
            <w:r w:rsidR="00813338">
              <w:rPr>
                <w:noProof/>
                <w:webHidden/>
              </w:rPr>
            </w:r>
            <w:r w:rsidR="00813338">
              <w:rPr>
                <w:noProof/>
                <w:webHidden/>
              </w:rPr>
              <w:fldChar w:fldCharType="separate"/>
            </w:r>
            <w:r w:rsidR="00813338">
              <w:rPr>
                <w:noProof/>
                <w:webHidden/>
              </w:rPr>
              <w:t>98</w:t>
            </w:r>
            <w:r w:rsidR="00813338">
              <w:rPr>
                <w:noProof/>
                <w:webHidden/>
              </w:rPr>
              <w:fldChar w:fldCharType="end"/>
            </w:r>
          </w:hyperlink>
        </w:p>
        <w:p w14:paraId="27F4ED92" w14:textId="568257F8" w:rsidR="003A7F6C" w:rsidRPr="00B811C6" w:rsidRDefault="00C525A2" w:rsidP="00345763">
          <w:pPr>
            <w:pStyle w:val="TOC2"/>
          </w:pPr>
          <w:r>
            <w:fldChar w:fldCharType="end"/>
          </w:r>
        </w:p>
      </w:sdtContent>
    </w:sdt>
    <w:bookmarkStart w:id="2" w:name="_Toc314842482" w:displacedByCustomXml="prev"/>
    <w:p w14:paraId="7A4AC3D7" w14:textId="77777777" w:rsidR="00FD119B" w:rsidRDefault="00FD119B" w:rsidP="00345763">
      <w:pPr>
        <w:spacing w:before="0" w:after="200" w:line="0" w:lineRule="auto"/>
      </w:pPr>
      <w:r>
        <w:br w:type="page"/>
      </w:r>
    </w:p>
    <w:p w14:paraId="640480EE" w14:textId="69B3DDAE" w:rsidR="00C52E24" w:rsidRPr="00C52E24" w:rsidRDefault="00324E45" w:rsidP="00345763">
      <w:pPr>
        <w:pStyle w:val="Heading2"/>
        <w:keepNext w:val="0"/>
        <w:keepLines w:val="0"/>
      </w:pPr>
      <w:bookmarkStart w:id="3" w:name="_Toc351716269"/>
      <w:bookmarkStart w:id="4" w:name="_Toc351718881"/>
      <w:bookmarkStart w:id="5" w:name="_Toc355338616"/>
      <w:bookmarkStart w:id="6" w:name="_Toc356306144"/>
      <w:bookmarkStart w:id="7" w:name="_Toc93695187"/>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7"/>
        <w:gridCol w:w="6697"/>
      </w:tblGrid>
      <w:tr w:rsidR="00A55F42" w:rsidRPr="00FD119B" w14:paraId="1390F234" w14:textId="77777777" w:rsidTr="00E9511B">
        <w:trPr>
          <w:cnfStyle w:val="100000000000" w:firstRow="1" w:lastRow="0" w:firstColumn="0" w:lastColumn="0" w:oddVBand="0" w:evenVBand="0" w:oddHBand="0" w:evenHBand="0" w:firstRowFirstColumn="0" w:firstRowLastColumn="0" w:lastRowFirstColumn="0" w:lastRowLastColumn="0"/>
        </w:trPr>
        <w:tc>
          <w:tcPr>
            <w:tcW w:w="1797" w:type="dxa"/>
            <w:tcBorders>
              <w:top w:val="single" w:sz="4" w:space="0" w:color="auto"/>
              <w:left w:val="single" w:sz="4" w:space="0" w:color="auto"/>
              <w:bottom w:val="single" w:sz="4" w:space="0" w:color="auto"/>
              <w:right w:val="single" w:sz="4" w:space="0" w:color="auto"/>
            </w:tcBorders>
          </w:tcPr>
          <w:p w14:paraId="7C4668B5" w14:textId="77777777" w:rsidR="00A55F42" w:rsidRPr="00FD119B" w:rsidRDefault="00A55F42" w:rsidP="00345763">
            <w:pPr>
              <w:keepNext w:val="0"/>
              <w:ind w:left="144" w:right="0"/>
              <w:rPr>
                <w:szCs w:val="22"/>
                <w:lang w:eastAsia="en-US"/>
              </w:rPr>
            </w:pPr>
            <w:r w:rsidRPr="00FD119B">
              <w:rPr>
                <w:szCs w:val="22"/>
                <w:lang w:eastAsia="en-US"/>
              </w:rPr>
              <w:t>Abbreviation</w:t>
            </w:r>
          </w:p>
        </w:tc>
        <w:tc>
          <w:tcPr>
            <w:tcW w:w="6697" w:type="dxa"/>
            <w:tcBorders>
              <w:top w:val="single" w:sz="4" w:space="0" w:color="auto"/>
              <w:left w:val="single" w:sz="4" w:space="0" w:color="auto"/>
              <w:bottom w:val="single" w:sz="4" w:space="0" w:color="auto"/>
              <w:right w:val="single" w:sz="4" w:space="0" w:color="auto"/>
            </w:tcBorders>
          </w:tcPr>
          <w:p w14:paraId="342BE8DB" w14:textId="77777777" w:rsidR="00A55F42" w:rsidRPr="00FD119B" w:rsidRDefault="00A55F42" w:rsidP="00345763">
            <w:pPr>
              <w:keepNext w:val="0"/>
              <w:ind w:left="144" w:right="0"/>
              <w:rPr>
                <w:szCs w:val="22"/>
                <w:lang w:eastAsia="en-US"/>
              </w:rPr>
            </w:pPr>
            <w:r w:rsidRPr="00FD119B">
              <w:rPr>
                <w:szCs w:val="22"/>
                <w:lang w:eastAsia="en-US"/>
              </w:rPr>
              <w:t>Meaning</w:t>
            </w:r>
          </w:p>
        </w:tc>
      </w:tr>
      <w:tr w:rsidR="00A55F42" w:rsidRPr="00FD119B" w14:paraId="2676A95A" w14:textId="77777777" w:rsidTr="00E9511B">
        <w:tc>
          <w:tcPr>
            <w:tcW w:w="1797" w:type="dxa"/>
          </w:tcPr>
          <w:p w14:paraId="3AA863CC" w14:textId="60B0AF23" w:rsidR="00A55F42" w:rsidRDefault="00A55F42" w:rsidP="00345763">
            <w:pPr>
              <w:ind w:left="144"/>
            </w:pPr>
            <w:r>
              <w:rPr>
                <w:rFonts w:eastAsia="Calibri"/>
                <w:szCs w:val="24"/>
              </w:rPr>
              <w:t>ACE2</w:t>
            </w:r>
          </w:p>
        </w:tc>
        <w:tc>
          <w:tcPr>
            <w:tcW w:w="6697" w:type="dxa"/>
          </w:tcPr>
          <w:p w14:paraId="690957B5" w14:textId="7E06FBB0" w:rsidR="00A55F42" w:rsidRDefault="00A55F42" w:rsidP="00345763">
            <w:pPr>
              <w:ind w:left="144"/>
            </w:pPr>
            <w:r>
              <w:rPr>
                <w:rFonts w:eastAsia="Calibri"/>
                <w:szCs w:val="24"/>
              </w:rPr>
              <w:t>A</w:t>
            </w:r>
            <w:r w:rsidRPr="00ED6F9D">
              <w:rPr>
                <w:rFonts w:eastAsia="Calibri"/>
                <w:szCs w:val="24"/>
              </w:rPr>
              <w:t>ngiotensin</w:t>
            </w:r>
            <w:r w:rsidR="00E9511B">
              <w:rPr>
                <w:rFonts w:eastAsia="Calibri"/>
                <w:szCs w:val="24"/>
              </w:rPr>
              <w:t xml:space="preserve"> </w:t>
            </w:r>
            <w:r w:rsidRPr="00ED6F9D">
              <w:rPr>
                <w:rFonts w:eastAsia="Calibri"/>
                <w:szCs w:val="24"/>
              </w:rPr>
              <w:t>converting enzyme 2</w:t>
            </w:r>
          </w:p>
        </w:tc>
      </w:tr>
      <w:tr w:rsidR="00A55F42" w:rsidRPr="00FD119B" w14:paraId="656FAABC" w14:textId="77777777" w:rsidTr="00E9511B">
        <w:tc>
          <w:tcPr>
            <w:tcW w:w="1797" w:type="dxa"/>
            <w:tcBorders>
              <w:top w:val="single" w:sz="4" w:space="0" w:color="auto"/>
            </w:tcBorders>
          </w:tcPr>
          <w:p w14:paraId="314B9912" w14:textId="4309EC42" w:rsidR="00A55F42" w:rsidRPr="00FD119B" w:rsidRDefault="00A55F42" w:rsidP="00345763">
            <w:pPr>
              <w:ind w:left="144" w:right="0"/>
            </w:pPr>
            <w:r>
              <w:t>AC</w:t>
            </w:r>
            <w:r w:rsidR="00E9511B">
              <w:t>V</w:t>
            </w:r>
          </w:p>
        </w:tc>
        <w:tc>
          <w:tcPr>
            <w:tcW w:w="6697" w:type="dxa"/>
            <w:tcBorders>
              <w:top w:val="single" w:sz="4" w:space="0" w:color="auto"/>
            </w:tcBorders>
          </w:tcPr>
          <w:p w14:paraId="3C3C03EF" w14:textId="08626FAC" w:rsidR="00A55F42" w:rsidRPr="00FD119B" w:rsidRDefault="00A55F42" w:rsidP="00345763">
            <w:pPr>
              <w:ind w:left="144" w:right="0"/>
            </w:pPr>
            <w:r w:rsidRPr="00460036">
              <w:t xml:space="preserve">Advisory Committee on </w:t>
            </w:r>
            <w:r w:rsidR="00E9511B">
              <w:t>Vaccines</w:t>
            </w:r>
          </w:p>
        </w:tc>
      </w:tr>
      <w:tr w:rsidR="00A55F42" w:rsidRPr="00FD119B" w14:paraId="468EF5E0" w14:textId="77777777" w:rsidTr="00E9511B">
        <w:tc>
          <w:tcPr>
            <w:tcW w:w="1797" w:type="dxa"/>
          </w:tcPr>
          <w:p w14:paraId="07F5D002" w14:textId="77777777" w:rsidR="00A55F42" w:rsidRDefault="00A55F42" w:rsidP="00345763">
            <w:pPr>
              <w:ind w:left="144"/>
            </w:pPr>
            <w:r>
              <w:t>AE</w:t>
            </w:r>
          </w:p>
        </w:tc>
        <w:tc>
          <w:tcPr>
            <w:tcW w:w="6697" w:type="dxa"/>
          </w:tcPr>
          <w:p w14:paraId="7C398ACE" w14:textId="77777777" w:rsidR="00A55F42" w:rsidRDefault="00A55F42" w:rsidP="00345763">
            <w:pPr>
              <w:ind w:left="144"/>
            </w:pPr>
            <w:r>
              <w:t>Adverse event</w:t>
            </w:r>
          </w:p>
        </w:tc>
      </w:tr>
      <w:tr w:rsidR="00A55F42" w:rsidRPr="00FD119B" w14:paraId="34283684" w14:textId="77777777" w:rsidTr="00E9511B">
        <w:tc>
          <w:tcPr>
            <w:tcW w:w="1797" w:type="dxa"/>
          </w:tcPr>
          <w:p w14:paraId="757B61B9" w14:textId="77777777" w:rsidR="00A55F42" w:rsidRDefault="00A55F42" w:rsidP="00345763">
            <w:pPr>
              <w:ind w:left="144"/>
            </w:pPr>
            <w:r>
              <w:t>AESI</w:t>
            </w:r>
          </w:p>
        </w:tc>
        <w:tc>
          <w:tcPr>
            <w:tcW w:w="6697" w:type="dxa"/>
          </w:tcPr>
          <w:p w14:paraId="1960DDC3" w14:textId="753BC76D" w:rsidR="00A55F42" w:rsidRDefault="00A55F42" w:rsidP="00345763">
            <w:pPr>
              <w:ind w:left="144"/>
            </w:pPr>
            <w:r>
              <w:t>Adverse event of special interest</w:t>
            </w:r>
          </w:p>
        </w:tc>
      </w:tr>
      <w:tr w:rsidR="00C33B23" w:rsidRPr="00FD119B" w14:paraId="453E2329" w14:textId="77777777" w:rsidTr="00E9511B">
        <w:tc>
          <w:tcPr>
            <w:tcW w:w="1797" w:type="dxa"/>
          </w:tcPr>
          <w:p w14:paraId="3578B550" w14:textId="2C03929D" w:rsidR="00C33B23" w:rsidRDefault="00C33B23" w:rsidP="00345763">
            <w:pPr>
              <w:ind w:left="144"/>
            </w:pPr>
            <w:r>
              <w:t>ARGPM</w:t>
            </w:r>
          </w:p>
        </w:tc>
        <w:tc>
          <w:tcPr>
            <w:tcW w:w="6697" w:type="dxa"/>
          </w:tcPr>
          <w:p w14:paraId="72D089AA" w14:textId="0541214E" w:rsidR="00C33B23" w:rsidRDefault="00C33B23" w:rsidP="00345763">
            <w:pPr>
              <w:ind w:left="144"/>
            </w:pPr>
            <w:r>
              <w:t>Australian Regulatory Guidelines for Prescription Medicines</w:t>
            </w:r>
          </w:p>
        </w:tc>
      </w:tr>
      <w:tr w:rsidR="00A55F42" w:rsidRPr="00FD119B" w14:paraId="3725916D" w14:textId="77777777" w:rsidTr="00E9511B">
        <w:tc>
          <w:tcPr>
            <w:tcW w:w="1797" w:type="dxa"/>
          </w:tcPr>
          <w:p w14:paraId="05C03408" w14:textId="77777777" w:rsidR="00A55F42" w:rsidRPr="00FD119B" w:rsidRDefault="00A55F42" w:rsidP="00345763">
            <w:pPr>
              <w:ind w:left="144" w:right="0"/>
            </w:pPr>
            <w:r>
              <w:t>ARTG</w:t>
            </w:r>
          </w:p>
        </w:tc>
        <w:tc>
          <w:tcPr>
            <w:tcW w:w="6697" w:type="dxa"/>
          </w:tcPr>
          <w:p w14:paraId="3998D4B9" w14:textId="77777777" w:rsidR="00A55F42" w:rsidRPr="00FD119B" w:rsidRDefault="00A55F42" w:rsidP="00345763">
            <w:pPr>
              <w:ind w:left="144" w:right="0"/>
            </w:pPr>
            <w:r w:rsidRPr="00460036">
              <w:t>Australian Register of Therapeutic Goods</w:t>
            </w:r>
          </w:p>
        </w:tc>
      </w:tr>
      <w:tr w:rsidR="00A55F42" w:rsidRPr="00FD119B" w14:paraId="5F730FA0" w14:textId="77777777" w:rsidTr="00E9511B">
        <w:tc>
          <w:tcPr>
            <w:tcW w:w="1797" w:type="dxa"/>
          </w:tcPr>
          <w:p w14:paraId="3748E2BB" w14:textId="77777777" w:rsidR="00A55F42" w:rsidRDefault="00A55F42" w:rsidP="00345763">
            <w:pPr>
              <w:ind w:left="144"/>
            </w:pPr>
            <w:r>
              <w:t>ASA</w:t>
            </w:r>
          </w:p>
        </w:tc>
        <w:tc>
          <w:tcPr>
            <w:tcW w:w="6697" w:type="dxa"/>
          </w:tcPr>
          <w:p w14:paraId="022EFB80" w14:textId="77777777" w:rsidR="00A55F42" w:rsidRDefault="00A55F42" w:rsidP="00345763">
            <w:pPr>
              <w:ind w:left="144"/>
            </w:pPr>
            <w:r>
              <w:t>Australian specific annex</w:t>
            </w:r>
          </w:p>
        </w:tc>
      </w:tr>
      <w:tr w:rsidR="00A55F42" w:rsidRPr="00FD119B" w14:paraId="16D2B522" w14:textId="77777777" w:rsidTr="00E9511B">
        <w:tc>
          <w:tcPr>
            <w:tcW w:w="1797" w:type="dxa"/>
          </w:tcPr>
          <w:p w14:paraId="5C2B5AD2" w14:textId="77777777" w:rsidR="00A55F42" w:rsidRPr="00FD119B" w:rsidRDefault="00A55F42" w:rsidP="00345763">
            <w:pPr>
              <w:ind w:left="144"/>
            </w:pPr>
            <w:proofErr w:type="spellStart"/>
            <w:r>
              <w:t>AusPAR</w:t>
            </w:r>
            <w:proofErr w:type="spellEnd"/>
          </w:p>
        </w:tc>
        <w:tc>
          <w:tcPr>
            <w:tcW w:w="6697" w:type="dxa"/>
          </w:tcPr>
          <w:p w14:paraId="06481823" w14:textId="77777777" w:rsidR="00A55F42" w:rsidRPr="00FD119B" w:rsidRDefault="00A55F42" w:rsidP="00345763">
            <w:pPr>
              <w:ind w:left="144"/>
            </w:pPr>
            <w:r w:rsidRPr="00683F50">
              <w:t>Australian Public Assessment Report</w:t>
            </w:r>
          </w:p>
        </w:tc>
      </w:tr>
      <w:tr w:rsidR="00A55F42" w:rsidRPr="00FD119B" w14:paraId="51299429" w14:textId="77777777" w:rsidTr="00E9511B">
        <w:tc>
          <w:tcPr>
            <w:tcW w:w="1797" w:type="dxa"/>
          </w:tcPr>
          <w:p w14:paraId="2C7B9898" w14:textId="77777777" w:rsidR="00A55F42" w:rsidRDefault="00A55F42" w:rsidP="00345763">
            <w:pPr>
              <w:ind w:left="144"/>
            </w:pPr>
            <w:r>
              <w:t>CDC</w:t>
            </w:r>
          </w:p>
        </w:tc>
        <w:tc>
          <w:tcPr>
            <w:tcW w:w="6697" w:type="dxa"/>
          </w:tcPr>
          <w:p w14:paraId="1C99BE63" w14:textId="115E8827" w:rsidR="00A55F42" w:rsidRDefault="00A55F42" w:rsidP="00345763">
            <w:pPr>
              <w:ind w:left="144"/>
            </w:pPr>
            <w:proofErr w:type="spellStart"/>
            <w:r w:rsidRPr="00BD4A57">
              <w:t>Centers</w:t>
            </w:r>
            <w:proofErr w:type="spellEnd"/>
            <w:r w:rsidRPr="00BD4A57">
              <w:t xml:space="preserve"> for Disease Control and Prevention</w:t>
            </w:r>
            <w:r w:rsidR="00E9511B">
              <w:t xml:space="preserve"> (</w:t>
            </w:r>
            <w:r w:rsidR="008562C3">
              <w:t>United States of America)</w:t>
            </w:r>
          </w:p>
        </w:tc>
      </w:tr>
      <w:tr w:rsidR="00A55F42" w:rsidRPr="00FD119B" w14:paraId="39F80D95" w14:textId="77777777" w:rsidTr="00E9511B">
        <w:tc>
          <w:tcPr>
            <w:tcW w:w="1797" w:type="dxa"/>
          </w:tcPr>
          <w:p w14:paraId="4325CB93" w14:textId="77777777" w:rsidR="00A55F42" w:rsidRDefault="00A55F42" w:rsidP="00345763">
            <w:pPr>
              <w:ind w:left="144"/>
            </w:pPr>
            <w:r>
              <w:t>CI</w:t>
            </w:r>
          </w:p>
        </w:tc>
        <w:tc>
          <w:tcPr>
            <w:tcW w:w="6697" w:type="dxa"/>
          </w:tcPr>
          <w:p w14:paraId="1BFFA8B6" w14:textId="77777777" w:rsidR="00A55F42" w:rsidRDefault="00A55F42" w:rsidP="00345763">
            <w:pPr>
              <w:ind w:left="144"/>
            </w:pPr>
            <w:r>
              <w:t>Confidence interval</w:t>
            </w:r>
          </w:p>
        </w:tc>
      </w:tr>
      <w:tr w:rsidR="00C33B23" w:rsidRPr="00FD119B" w14:paraId="1C6002F9" w14:textId="77777777" w:rsidTr="00E9511B">
        <w:tc>
          <w:tcPr>
            <w:tcW w:w="1797" w:type="dxa"/>
          </w:tcPr>
          <w:p w14:paraId="75729365" w14:textId="3B836671" w:rsidR="00C33B23" w:rsidRDefault="00C33B23" w:rsidP="00345763">
            <w:pPr>
              <w:ind w:left="144"/>
            </w:pPr>
            <w:r w:rsidRPr="00E74BA6">
              <w:t>CMI</w:t>
            </w:r>
          </w:p>
        </w:tc>
        <w:tc>
          <w:tcPr>
            <w:tcW w:w="6697" w:type="dxa"/>
          </w:tcPr>
          <w:p w14:paraId="478D8CD1" w14:textId="7E54AF18" w:rsidR="00C33B23" w:rsidRDefault="00C33B23" w:rsidP="00345763">
            <w:pPr>
              <w:ind w:left="144"/>
            </w:pPr>
            <w:r>
              <w:t>C</w:t>
            </w:r>
            <w:r w:rsidRPr="003B37B1">
              <w:t xml:space="preserve">onsumer </w:t>
            </w:r>
            <w:r>
              <w:t>M</w:t>
            </w:r>
            <w:r w:rsidRPr="003B37B1">
              <w:t xml:space="preserve">edication </w:t>
            </w:r>
            <w:r>
              <w:t>I</w:t>
            </w:r>
            <w:r w:rsidRPr="003B37B1">
              <w:t>nformation</w:t>
            </w:r>
          </w:p>
        </w:tc>
      </w:tr>
      <w:tr w:rsidR="00A55F42" w:rsidRPr="00FD119B" w14:paraId="393E2416" w14:textId="77777777" w:rsidTr="00E9511B">
        <w:tc>
          <w:tcPr>
            <w:tcW w:w="1797" w:type="dxa"/>
          </w:tcPr>
          <w:p w14:paraId="7C2DE132" w14:textId="77777777" w:rsidR="00A55F42" w:rsidRPr="00FD119B" w:rsidRDefault="00A55F42" w:rsidP="00345763">
            <w:pPr>
              <w:ind w:left="144"/>
            </w:pPr>
            <w:r>
              <w:t>COVID-19</w:t>
            </w:r>
          </w:p>
        </w:tc>
        <w:tc>
          <w:tcPr>
            <w:tcW w:w="6697" w:type="dxa"/>
          </w:tcPr>
          <w:p w14:paraId="072533BA" w14:textId="77777777" w:rsidR="00A55F42" w:rsidRPr="00FD119B" w:rsidRDefault="00A55F42" w:rsidP="00345763">
            <w:pPr>
              <w:ind w:left="144"/>
            </w:pPr>
            <w:r>
              <w:t>C</w:t>
            </w:r>
            <w:r w:rsidRPr="00AC5E9F">
              <w:t>oronavirus disease</w:t>
            </w:r>
            <w:r>
              <w:t xml:space="preserve"> 2019</w:t>
            </w:r>
          </w:p>
        </w:tc>
      </w:tr>
      <w:tr w:rsidR="00A55F42" w:rsidRPr="00FD119B" w14:paraId="3A931902" w14:textId="77777777" w:rsidTr="00E9511B">
        <w:tc>
          <w:tcPr>
            <w:tcW w:w="1797" w:type="dxa"/>
          </w:tcPr>
          <w:p w14:paraId="1FFB3EB4" w14:textId="77777777" w:rsidR="00A55F42" w:rsidRDefault="00A55F42" w:rsidP="00345763">
            <w:pPr>
              <w:ind w:left="144"/>
            </w:pPr>
            <w:r>
              <w:t>CSR</w:t>
            </w:r>
          </w:p>
        </w:tc>
        <w:tc>
          <w:tcPr>
            <w:tcW w:w="6697" w:type="dxa"/>
          </w:tcPr>
          <w:p w14:paraId="04A149A6" w14:textId="0F12E85B" w:rsidR="00A55F42" w:rsidRDefault="00A55F42" w:rsidP="00345763">
            <w:pPr>
              <w:ind w:left="144"/>
            </w:pPr>
            <w:r>
              <w:t>C</w:t>
            </w:r>
            <w:r w:rsidR="00457158">
              <w:t>linical</w:t>
            </w:r>
            <w:r>
              <w:t xml:space="preserve"> study report</w:t>
            </w:r>
            <w:r w:rsidR="00C24222">
              <w:t xml:space="preserve">. </w:t>
            </w:r>
          </w:p>
        </w:tc>
      </w:tr>
      <w:tr w:rsidR="00A55F42" w:rsidRPr="00FD119B" w14:paraId="19793451" w14:textId="77777777" w:rsidTr="00E9511B">
        <w:tc>
          <w:tcPr>
            <w:tcW w:w="1797" w:type="dxa"/>
          </w:tcPr>
          <w:p w14:paraId="72468815" w14:textId="77777777" w:rsidR="00A55F42" w:rsidRDefault="00A55F42" w:rsidP="00345763">
            <w:pPr>
              <w:ind w:left="144"/>
            </w:pPr>
            <w:r>
              <w:t>DLP</w:t>
            </w:r>
          </w:p>
        </w:tc>
        <w:tc>
          <w:tcPr>
            <w:tcW w:w="6697" w:type="dxa"/>
          </w:tcPr>
          <w:p w14:paraId="16DF8EE2" w14:textId="77777777" w:rsidR="00A55F42" w:rsidRDefault="00A55F42" w:rsidP="00345763">
            <w:pPr>
              <w:ind w:left="144"/>
            </w:pPr>
            <w:r>
              <w:t>Data lock point</w:t>
            </w:r>
          </w:p>
        </w:tc>
      </w:tr>
      <w:tr w:rsidR="00A55F42" w:rsidRPr="00FD119B" w14:paraId="332B4077" w14:textId="77777777" w:rsidTr="00E9511B">
        <w:tc>
          <w:tcPr>
            <w:tcW w:w="1797" w:type="dxa"/>
          </w:tcPr>
          <w:p w14:paraId="31188DF5" w14:textId="77777777" w:rsidR="00A55F42" w:rsidRDefault="00A55F42" w:rsidP="00345763">
            <w:pPr>
              <w:ind w:left="144"/>
            </w:pPr>
            <w:r>
              <w:t>ELISA</w:t>
            </w:r>
          </w:p>
        </w:tc>
        <w:tc>
          <w:tcPr>
            <w:tcW w:w="6697" w:type="dxa"/>
          </w:tcPr>
          <w:p w14:paraId="160AB0BF" w14:textId="77777777" w:rsidR="00A55F42" w:rsidRDefault="00A55F42" w:rsidP="00345763">
            <w:pPr>
              <w:ind w:left="144"/>
            </w:pPr>
            <w:bookmarkStart w:id="8" w:name="_Hlk92820707"/>
            <w:r>
              <w:t>E</w:t>
            </w:r>
            <w:r w:rsidRPr="00161432">
              <w:t>nzyme-linked immunosorbent assay</w:t>
            </w:r>
            <w:bookmarkEnd w:id="8"/>
          </w:p>
        </w:tc>
      </w:tr>
      <w:tr w:rsidR="00A55F42" w:rsidRPr="00FD119B" w14:paraId="30DF2B6E" w14:textId="77777777" w:rsidTr="00E9511B">
        <w:tc>
          <w:tcPr>
            <w:tcW w:w="1797" w:type="dxa"/>
          </w:tcPr>
          <w:p w14:paraId="1D54EE19" w14:textId="77777777" w:rsidR="00A55F42" w:rsidRPr="00FD119B" w:rsidRDefault="00A55F42" w:rsidP="00345763">
            <w:pPr>
              <w:ind w:left="144"/>
            </w:pPr>
            <w:r>
              <w:t>EMA</w:t>
            </w:r>
          </w:p>
        </w:tc>
        <w:tc>
          <w:tcPr>
            <w:tcW w:w="6697" w:type="dxa"/>
          </w:tcPr>
          <w:p w14:paraId="5E3EF8E4" w14:textId="39FC7C43" w:rsidR="00A55F42" w:rsidRPr="00FD119B" w:rsidRDefault="00A55F42" w:rsidP="00345763">
            <w:pPr>
              <w:ind w:left="144"/>
            </w:pPr>
            <w:r>
              <w:t>European Medicines Agency</w:t>
            </w:r>
            <w:r w:rsidR="008562C3">
              <w:t xml:space="preserve"> (European Union)</w:t>
            </w:r>
          </w:p>
        </w:tc>
      </w:tr>
      <w:tr w:rsidR="00A55F42" w:rsidRPr="00FD119B" w14:paraId="47991B09" w14:textId="77777777" w:rsidTr="00E9511B">
        <w:tc>
          <w:tcPr>
            <w:tcW w:w="1797" w:type="dxa"/>
          </w:tcPr>
          <w:p w14:paraId="7C91E450" w14:textId="77777777" w:rsidR="00A55F42" w:rsidRPr="00FD119B" w:rsidRDefault="00A55F42" w:rsidP="00345763">
            <w:pPr>
              <w:ind w:left="144"/>
            </w:pPr>
            <w:r>
              <w:t>EU</w:t>
            </w:r>
          </w:p>
        </w:tc>
        <w:tc>
          <w:tcPr>
            <w:tcW w:w="6697" w:type="dxa"/>
          </w:tcPr>
          <w:p w14:paraId="03F0CA9A" w14:textId="77777777" w:rsidR="00A55F42" w:rsidRPr="00FD119B" w:rsidRDefault="00A55F42" w:rsidP="00345763">
            <w:pPr>
              <w:ind w:left="144"/>
            </w:pPr>
            <w:r>
              <w:t>European Union</w:t>
            </w:r>
          </w:p>
        </w:tc>
      </w:tr>
      <w:tr w:rsidR="00A55F42" w:rsidRPr="00FD119B" w14:paraId="144A5322" w14:textId="77777777" w:rsidTr="00E9511B">
        <w:tc>
          <w:tcPr>
            <w:tcW w:w="1797" w:type="dxa"/>
          </w:tcPr>
          <w:p w14:paraId="33873608" w14:textId="77777777" w:rsidR="00A55F42" w:rsidRDefault="00A55F42" w:rsidP="00345763">
            <w:pPr>
              <w:ind w:left="144"/>
            </w:pPr>
            <w:r>
              <w:t>EUA</w:t>
            </w:r>
          </w:p>
        </w:tc>
        <w:tc>
          <w:tcPr>
            <w:tcW w:w="6697" w:type="dxa"/>
          </w:tcPr>
          <w:p w14:paraId="65309829" w14:textId="44086986" w:rsidR="00A55F42" w:rsidRDefault="00A55F42" w:rsidP="00345763">
            <w:pPr>
              <w:ind w:left="144"/>
            </w:pPr>
            <w:r>
              <w:t xml:space="preserve">Emergency </w:t>
            </w:r>
            <w:r w:rsidR="00C24222">
              <w:t>U</w:t>
            </w:r>
            <w:r>
              <w:t xml:space="preserve">se </w:t>
            </w:r>
            <w:r w:rsidR="00C24222">
              <w:t>A</w:t>
            </w:r>
            <w:r>
              <w:t>uthori</w:t>
            </w:r>
            <w:r w:rsidR="00C24222">
              <w:t>z</w:t>
            </w:r>
            <w:r>
              <w:t>ation</w:t>
            </w:r>
            <w:r w:rsidR="00C24222">
              <w:t xml:space="preserve"> (United States of America)</w:t>
            </w:r>
          </w:p>
        </w:tc>
      </w:tr>
      <w:tr w:rsidR="00A55F42" w:rsidRPr="00FD119B" w14:paraId="0551EA20" w14:textId="77777777" w:rsidTr="00E9511B">
        <w:tc>
          <w:tcPr>
            <w:tcW w:w="1797" w:type="dxa"/>
          </w:tcPr>
          <w:p w14:paraId="02640AF5" w14:textId="77777777" w:rsidR="00A55F42" w:rsidRDefault="00A55F42" w:rsidP="00345763">
            <w:pPr>
              <w:ind w:left="144"/>
            </w:pPr>
            <w:r>
              <w:t>FAS</w:t>
            </w:r>
          </w:p>
        </w:tc>
        <w:tc>
          <w:tcPr>
            <w:tcW w:w="6697" w:type="dxa"/>
          </w:tcPr>
          <w:p w14:paraId="5305170B" w14:textId="77777777" w:rsidR="00A55F42" w:rsidRDefault="00A55F42" w:rsidP="00345763">
            <w:pPr>
              <w:ind w:left="144"/>
            </w:pPr>
            <w:r>
              <w:t>Full analysis set</w:t>
            </w:r>
          </w:p>
        </w:tc>
      </w:tr>
      <w:tr w:rsidR="00A55F42" w:rsidRPr="00FD119B" w14:paraId="29609794" w14:textId="77777777" w:rsidTr="00E9511B">
        <w:tc>
          <w:tcPr>
            <w:tcW w:w="1797" w:type="dxa"/>
          </w:tcPr>
          <w:p w14:paraId="328F9209" w14:textId="77777777" w:rsidR="00A55F42" w:rsidRDefault="00A55F42" w:rsidP="00345763">
            <w:pPr>
              <w:ind w:left="144"/>
            </w:pPr>
            <w:r>
              <w:t>FDA</w:t>
            </w:r>
          </w:p>
        </w:tc>
        <w:tc>
          <w:tcPr>
            <w:tcW w:w="6697" w:type="dxa"/>
          </w:tcPr>
          <w:p w14:paraId="48E236E4" w14:textId="50A765B2" w:rsidR="00A55F42" w:rsidRDefault="00A55F42" w:rsidP="00345763">
            <w:pPr>
              <w:ind w:left="144"/>
            </w:pPr>
            <w:r>
              <w:t>Food and Drug Administration</w:t>
            </w:r>
            <w:r w:rsidR="007F3E96">
              <w:t xml:space="preserve"> (</w:t>
            </w:r>
            <w:r w:rsidR="008562C3">
              <w:t>United States of America)</w:t>
            </w:r>
          </w:p>
        </w:tc>
      </w:tr>
      <w:tr w:rsidR="00A55F42" w:rsidRPr="00FD119B" w14:paraId="52F8A301" w14:textId="77777777" w:rsidTr="00E9511B">
        <w:tc>
          <w:tcPr>
            <w:tcW w:w="1797" w:type="dxa"/>
          </w:tcPr>
          <w:p w14:paraId="79A3DEEE" w14:textId="77777777" w:rsidR="00A55F42" w:rsidRDefault="00A55F42" w:rsidP="00345763">
            <w:pPr>
              <w:ind w:left="144"/>
            </w:pPr>
            <w:r>
              <w:t>GMEU</w:t>
            </w:r>
          </w:p>
        </w:tc>
        <w:tc>
          <w:tcPr>
            <w:tcW w:w="6697" w:type="dxa"/>
          </w:tcPr>
          <w:p w14:paraId="1EAC4C52" w14:textId="77777777" w:rsidR="00A55F42" w:rsidRDefault="00A55F42" w:rsidP="00345763">
            <w:pPr>
              <w:ind w:left="144"/>
            </w:pPr>
            <w:r>
              <w:t>Geometric mean ELISA unit</w:t>
            </w:r>
          </w:p>
        </w:tc>
      </w:tr>
      <w:tr w:rsidR="00A55F42" w:rsidRPr="00FD119B" w14:paraId="5C921449" w14:textId="77777777" w:rsidTr="00E9511B">
        <w:tc>
          <w:tcPr>
            <w:tcW w:w="1797" w:type="dxa"/>
          </w:tcPr>
          <w:p w14:paraId="27924690" w14:textId="77777777" w:rsidR="00A55F42" w:rsidRDefault="00A55F42" w:rsidP="00345763">
            <w:pPr>
              <w:ind w:left="144"/>
            </w:pPr>
            <w:r>
              <w:t>GMFR</w:t>
            </w:r>
          </w:p>
        </w:tc>
        <w:tc>
          <w:tcPr>
            <w:tcW w:w="6697" w:type="dxa"/>
          </w:tcPr>
          <w:p w14:paraId="31A9DD0D" w14:textId="77777777" w:rsidR="00A55F42" w:rsidRDefault="00A55F42" w:rsidP="00345763">
            <w:pPr>
              <w:ind w:left="144"/>
            </w:pPr>
            <w:r>
              <w:t>Geometric mean fold rise</w:t>
            </w:r>
          </w:p>
        </w:tc>
      </w:tr>
      <w:tr w:rsidR="00C33B23" w:rsidRPr="00FD119B" w14:paraId="3B6ABE0B" w14:textId="77777777" w:rsidTr="00E9511B">
        <w:tc>
          <w:tcPr>
            <w:tcW w:w="1797" w:type="dxa"/>
          </w:tcPr>
          <w:p w14:paraId="581297D8" w14:textId="2C0EB762" w:rsidR="00C33B23" w:rsidRDefault="00C33B23" w:rsidP="00345763">
            <w:pPr>
              <w:ind w:left="144"/>
            </w:pPr>
            <w:r w:rsidRPr="00C33B23">
              <w:t>GMP</w:t>
            </w:r>
          </w:p>
        </w:tc>
        <w:tc>
          <w:tcPr>
            <w:tcW w:w="6697" w:type="dxa"/>
          </w:tcPr>
          <w:p w14:paraId="5C581D59" w14:textId="076AFCBF" w:rsidR="00C33B23" w:rsidRDefault="00C33B23" w:rsidP="00345763">
            <w:pPr>
              <w:ind w:left="144"/>
            </w:pPr>
            <w:r w:rsidRPr="00C33B23">
              <w:t>Good Manufacturing Practice</w:t>
            </w:r>
          </w:p>
        </w:tc>
      </w:tr>
      <w:tr w:rsidR="00A55F42" w:rsidRPr="00FD119B" w14:paraId="137ED3F8" w14:textId="77777777" w:rsidTr="00E9511B">
        <w:tc>
          <w:tcPr>
            <w:tcW w:w="1797" w:type="dxa"/>
          </w:tcPr>
          <w:p w14:paraId="6B21292E" w14:textId="77777777" w:rsidR="00A55F42" w:rsidRDefault="00A55F42" w:rsidP="00345763">
            <w:pPr>
              <w:ind w:left="144"/>
            </w:pPr>
            <w:r>
              <w:t>GMT</w:t>
            </w:r>
          </w:p>
        </w:tc>
        <w:tc>
          <w:tcPr>
            <w:tcW w:w="6697" w:type="dxa"/>
          </w:tcPr>
          <w:p w14:paraId="7235C2CB" w14:textId="77777777" w:rsidR="00A55F42" w:rsidRDefault="00A55F42" w:rsidP="00345763">
            <w:pPr>
              <w:ind w:left="144"/>
            </w:pPr>
            <w:r>
              <w:t>Geometric mean titres</w:t>
            </w:r>
          </w:p>
        </w:tc>
      </w:tr>
      <w:tr w:rsidR="00C33B23" w:rsidRPr="00FD119B" w14:paraId="52C5CBD9" w14:textId="77777777" w:rsidTr="00E9511B">
        <w:tc>
          <w:tcPr>
            <w:tcW w:w="1797" w:type="dxa"/>
          </w:tcPr>
          <w:p w14:paraId="20DDB24C" w14:textId="7078F42E" w:rsidR="00C33B23" w:rsidRDefault="00C33B23" w:rsidP="00345763">
            <w:pPr>
              <w:ind w:left="144"/>
            </w:pPr>
            <w:r>
              <w:lastRenderedPageBreak/>
              <w:t>GVP</w:t>
            </w:r>
          </w:p>
        </w:tc>
        <w:tc>
          <w:tcPr>
            <w:tcW w:w="6697" w:type="dxa"/>
          </w:tcPr>
          <w:p w14:paraId="740DDC35" w14:textId="21466A57" w:rsidR="00C33B23" w:rsidRDefault="00C33B23" w:rsidP="00345763">
            <w:pPr>
              <w:ind w:left="144"/>
            </w:pPr>
            <w:r>
              <w:t>Good Pharmacovigilance Practices</w:t>
            </w:r>
          </w:p>
        </w:tc>
      </w:tr>
      <w:tr w:rsidR="00A55F42" w:rsidRPr="00FD119B" w14:paraId="2E3E0AD0" w14:textId="77777777" w:rsidTr="00E9511B">
        <w:tc>
          <w:tcPr>
            <w:tcW w:w="1797" w:type="dxa"/>
          </w:tcPr>
          <w:p w14:paraId="65D536BA" w14:textId="77777777" w:rsidR="00A55F42" w:rsidRPr="00FD119B" w:rsidRDefault="00A55F42" w:rsidP="00345763">
            <w:pPr>
              <w:ind w:left="144"/>
            </w:pPr>
            <w:r>
              <w:t>hACE2</w:t>
            </w:r>
          </w:p>
        </w:tc>
        <w:tc>
          <w:tcPr>
            <w:tcW w:w="6697" w:type="dxa"/>
          </w:tcPr>
          <w:p w14:paraId="3FA168CB" w14:textId="77777777" w:rsidR="00A55F42" w:rsidRPr="00FD119B" w:rsidRDefault="00A55F42" w:rsidP="00345763">
            <w:pPr>
              <w:ind w:left="144"/>
            </w:pPr>
            <w:r>
              <w:t>H</w:t>
            </w:r>
            <w:r w:rsidRPr="00683F50">
              <w:t>uman angiotensin converting enzyme 2</w:t>
            </w:r>
          </w:p>
        </w:tc>
      </w:tr>
      <w:tr w:rsidR="00A55F42" w:rsidRPr="00FD119B" w14:paraId="789B1806" w14:textId="77777777" w:rsidTr="00E9511B">
        <w:tc>
          <w:tcPr>
            <w:tcW w:w="1797" w:type="dxa"/>
          </w:tcPr>
          <w:p w14:paraId="1D31A9F4" w14:textId="77777777" w:rsidR="00A55F42" w:rsidRDefault="00A55F42" w:rsidP="00345763">
            <w:pPr>
              <w:ind w:left="144"/>
            </w:pPr>
            <w:r>
              <w:t>HIV</w:t>
            </w:r>
          </w:p>
        </w:tc>
        <w:tc>
          <w:tcPr>
            <w:tcW w:w="6697" w:type="dxa"/>
          </w:tcPr>
          <w:p w14:paraId="1551A7B2" w14:textId="77777777" w:rsidR="00A55F42" w:rsidRDefault="00A55F42" w:rsidP="00345763">
            <w:pPr>
              <w:ind w:left="144"/>
            </w:pPr>
            <w:r>
              <w:t>H</w:t>
            </w:r>
            <w:r w:rsidRPr="00DC68AF">
              <w:t>uman immunodeficiency virus</w:t>
            </w:r>
          </w:p>
        </w:tc>
      </w:tr>
      <w:tr w:rsidR="00A55F42" w:rsidRPr="00FD119B" w14:paraId="67E035FE" w14:textId="77777777" w:rsidTr="00E9511B">
        <w:tc>
          <w:tcPr>
            <w:tcW w:w="1797" w:type="dxa"/>
          </w:tcPr>
          <w:p w14:paraId="70F59F81" w14:textId="77777777" w:rsidR="00A55F42" w:rsidRPr="00FD119B" w:rsidRDefault="00A55F42" w:rsidP="00345763">
            <w:pPr>
              <w:ind w:left="144"/>
            </w:pPr>
            <w:r>
              <w:t>ICU</w:t>
            </w:r>
          </w:p>
        </w:tc>
        <w:tc>
          <w:tcPr>
            <w:tcW w:w="6697" w:type="dxa"/>
          </w:tcPr>
          <w:p w14:paraId="19F5057C" w14:textId="77777777" w:rsidR="00A55F42" w:rsidRPr="00FD119B" w:rsidRDefault="00A55F42" w:rsidP="00345763">
            <w:pPr>
              <w:ind w:left="144"/>
            </w:pPr>
            <w:r>
              <w:t>I</w:t>
            </w:r>
            <w:r w:rsidRPr="00683F50">
              <w:t>ntensive care unit</w:t>
            </w:r>
          </w:p>
        </w:tc>
      </w:tr>
      <w:tr w:rsidR="00A55F42" w:rsidRPr="00FD119B" w14:paraId="28377845" w14:textId="77777777" w:rsidTr="00E9511B">
        <w:tc>
          <w:tcPr>
            <w:tcW w:w="1797" w:type="dxa"/>
          </w:tcPr>
          <w:p w14:paraId="1F844A36" w14:textId="77777777" w:rsidR="00A55F42" w:rsidRDefault="00A55F42" w:rsidP="00345763">
            <w:pPr>
              <w:ind w:left="144"/>
            </w:pPr>
            <w:r>
              <w:t>IgG</w:t>
            </w:r>
          </w:p>
        </w:tc>
        <w:tc>
          <w:tcPr>
            <w:tcW w:w="6697" w:type="dxa"/>
          </w:tcPr>
          <w:p w14:paraId="311FB38A" w14:textId="77777777" w:rsidR="00A55F42" w:rsidRDefault="00A55F42" w:rsidP="00345763">
            <w:pPr>
              <w:ind w:left="144"/>
            </w:pPr>
            <w:r>
              <w:t>Immunoglobin G</w:t>
            </w:r>
          </w:p>
        </w:tc>
      </w:tr>
      <w:tr w:rsidR="00A55F42" w:rsidRPr="00FD119B" w14:paraId="22DDA12D" w14:textId="77777777" w:rsidTr="00E9511B">
        <w:tc>
          <w:tcPr>
            <w:tcW w:w="1797" w:type="dxa"/>
          </w:tcPr>
          <w:p w14:paraId="730DBF50" w14:textId="77777777" w:rsidR="00A55F42" w:rsidRDefault="00A55F42" w:rsidP="00345763">
            <w:pPr>
              <w:ind w:left="144"/>
            </w:pPr>
            <w:r>
              <w:t>IR</w:t>
            </w:r>
          </w:p>
        </w:tc>
        <w:tc>
          <w:tcPr>
            <w:tcW w:w="6697" w:type="dxa"/>
          </w:tcPr>
          <w:p w14:paraId="71714E81" w14:textId="77777777" w:rsidR="00A55F42" w:rsidRDefault="00A55F42" w:rsidP="00345763">
            <w:pPr>
              <w:ind w:left="144"/>
            </w:pPr>
            <w:r>
              <w:t>Incident rate</w:t>
            </w:r>
          </w:p>
        </w:tc>
      </w:tr>
      <w:tr w:rsidR="00A55F42" w:rsidRPr="00FD119B" w14:paraId="3816EA0F" w14:textId="77777777" w:rsidTr="00E9511B">
        <w:tc>
          <w:tcPr>
            <w:tcW w:w="1797" w:type="dxa"/>
          </w:tcPr>
          <w:p w14:paraId="2B7D0DFF" w14:textId="77777777" w:rsidR="00A55F42" w:rsidRDefault="00A55F42" w:rsidP="00345763">
            <w:pPr>
              <w:ind w:left="144"/>
            </w:pPr>
            <w:r>
              <w:t>ITT</w:t>
            </w:r>
          </w:p>
        </w:tc>
        <w:tc>
          <w:tcPr>
            <w:tcW w:w="6697" w:type="dxa"/>
          </w:tcPr>
          <w:p w14:paraId="778EB086" w14:textId="77777777" w:rsidR="00A55F42" w:rsidRDefault="00A55F42" w:rsidP="00345763">
            <w:pPr>
              <w:ind w:left="144"/>
            </w:pPr>
            <w:r>
              <w:t>Intent to treat</w:t>
            </w:r>
          </w:p>
        </w:tc>
      </w:tr>
      <w:tr w:rsidR="00A55F42" w:rsidRPr="00FD119B" w14:paraId="5A452550" w14:textId="77777777" w:rsidTr="00E9511B">
        <w:tc>
          <w:tcPr>
            <w:tcW w:w="1797" w:type="dxa"/>
          </w:tcPr>
          <w:p w14:paraId="621E1225" w14:textId="77777777" w:rsidR="00A55F42" w:rsidRDefault="00A55F42" w:rsidP="00345763">
            <w:pPr>
              <w:ind w:left="144"/>
            </w:pPr>
            <w:r>
              <w:t>LBCI</w:t>
            </w:r>
          </w:p>
        </w:tc>
        <w:tc>
          <w:tcPr>
            <w:tcW w:w="6697" w:type="dxa"/>
          </w:tcPr>
          <w:p w14:paraId="36AB0755" w14:textId="77777777" w:rsidR="00A55F42" w:rsidRDefault="00A55F42" w:rsidP="00345763">
            <w:pPr>
              <w:ind w:left="144"/>
            </w:pPr>
            <w:r>
              <w:t>L</w:t>
            </w:r>
            <w:r w:rsidRPr="0007238D">
              <w:t>ower bound of the confidence interval</w:t>
            </w:r>
          </w:p>
        </w:tc>
      </w:tr>
      <w:tr w:rsidR="00A55F42" w:rsidRPr="00FD119B" w14:paraId="24D5ADEE" w14:textId="77777777" w:rsidTr="00E9511B">
        <w:tc>
          <w:tcPr>
            <w:tcW w:w="1797" w:type="dxa"/>
          </w:tcPr>
          <w:p w14:paraId="29B55B4F" w14:textId="77777777" w:rsidR="00A55F42" w:rsidRDefault="00A55F42" w:rsidP="00345763">
            <w:pPr>
              <w:ind w:left="144"/>
            </w:pPr>
            <w:r>
              <w:t>LLOQ</w:t>
            </w:r>
          </w:p>
        </w:tc>
        <w:tc>
          <w:tcPr>
            <w:tcW w:w="6697" w:type="dxa"/>
          </w:tcPr>
          <w:p w14:paraId="2D7CB919" w14:textId="77777777" w:rsidR="00A55F42" w:rsidRDefault="00A55F42" w:rsidP="00345763">
            <w:pPr>
              <w:ind w:left="144"/>
            </w:pPr>
            <w:r>
              <w:t>Lower limit of quantification</w:t>
            </w:r>
          </w:p>
        </w:tc>
      </w:tr>
      <w:tr w:rsidR="00A55F42" w:rsidRPr="00FD119B" w14:paraId="6074DAA0" w14:textId="77777777" w:rsidTr="00E9511B">
        <w:tc>
          <w:tcPr>
            <w:tcW w:w="1797" w:type="dxa"/>
          </w:tcPr>
          <w:p w14:paraId="347E3FA1" w14:textId="77777777" w:rsidR="00A55F42" w:rsidRDefault="00A55F42" w:rsidP="00345763">
            <w:pPr>
              <w:ind w:left="144"/>
            </w:pPr>
            <w:r>
              <w:t>MAAE</w:t>
            </w:r>
          </w:p>
        </w:tc>
        <w:tc>
          <w:tcPr>
            <w:tcW w:w="6697" w:type="dxa"/>
          </w:tcPr>
          <w:p w14:paraId="6A5BD7DB" w14:textId="77777777" w:rsidR="00A55F42" w:rsidRDefault="00A55F42" w:rsidP="00345763">
            <w:pPr>
              <w:ind w:left="144"/>
            </w:pPr>
            <w:r>
              <w:t>Medically attended adverse event</w:t>
            </w:r>
          </w:p>
        </w:tc>
      </w:tr>
      <w:tr w:rsidR="00A55F42" w:rsidRPr="00FD119B" w14:paraId="3C03626A" w14:textId="77777777" w:rsidTr="00E9511B">
        <w:tc>
          <w:tcPr>
            <w:tcW w:w="1797" w:type="dxa"/>
          </w:tcPr>
          <w:p w14:paraId="7DF425CE" w14:textId="77777777" w:rsidR="00A55F42" w:rsidRDefault="00A55F42" w:rsidP="00345763">
            <w:pPr>
              <w:ind w:left="144"/>
            </w:pPr>
            <w:r>
              <w:t>MedDRA</w:t>
            </w:r>
          </w:p>
        </w:tc>
        <w:tc>
          <w:tcPr>
            <w:tcW w:w="6697" w:type="dxa"/>
          </w:tcPr>
          <w:p w14:paraId="1A5B4F71" w14:textId="77777777" w:rsidR="00A55F42" w:rsidRDefault="00A55F42" w:rsidP="00345763">
            <w:pPr>
              <w:ind w:left="144"/>
            </w:pPr>
            <w:r w:rsidRPr="00E124AA">
              <w:t>Medical Dictionary for Regulatory Activities</w:t>
            </w:r>
          </w:p>
        </w:tc>
      </w:tr>
      <w:tr w:rsidR="00A55F42" w:rsidRPr="00FD119B" w14:paraId="269A421D" w14:textId="77777777" w:rsidTr="00E9511B">
        <w:tc>
          <w:tcPr>
            <w:tcW w:w="1797" w:type="dxa"/>
          </w:tcPr>
          <w:p w14:paraId="68E35778" w14:textId="77777777" w:rsidR="00A55F42" w:rsidRDefault="00A55F42" w:rsidP="00345763">
            <w:pPr>
              <w:ind w:left="144"/>
            </w:pPr>
            <w:r>
              <w:t>MN</w:t>
            </w:r>
          </w:p>
        </w:tc>
        <w:tc>
          <w:tcPr>
            <w:tcW w:w="6697" w:type="dxa"/>
          </w:tcPr>
          <w:p w14:paraId="749F8410" w14:textId="77777777" w:rsidR="00A55F42" w:rsidRDefault="00A55F42" w:rsidP="00345763">
            <w:pPr>
              <w:ind w:left="144"/>
            </w:pPr>
            <w:proofErr w:type="spellStart"/>
            <w:r>
              <w:t>Microneutraliastion</w:t>
            </w:r>
            <w:proofErr w:type="spellEnd"/>
          </w:p>
        </w:tc>
      </w:tr>
      <w:tr w:rsidR="00A55F42" w:rsidRPr="00FD119B" w14:paraId="72B82CFE" w14:textId="77777777" w:rsidTr="00E9511B">
        <w:tc>
          <w:tcPr>
            <w:tcW w:w="1797" w:type="dxa"/>
          </w:tcPr>
          <w:p w14:paraId="06E72662" w14:textId="40F53435" w:rsidR="00A55F42" w:rsidRDefault="00A55F42" w:rsidP="00345763">
            <w:pPr>
              <w:ind w:left="144"/>
            </w:pPr>
            <w:proofErr w:type="spellStart"/>
            <w:r>
              <w:t>N</w:t>
            </w:r>
            <w:r w:rsidR="00C24222">
              <w:t>A</w:t>
            </w:r>
            <w:r>
              <w:t>b</w:t>
            </w:r>
            <w:proofErr w:type="spellEnd"/>
          </w:p>
        </w:tc>
        <w:tc>
          <w:tcPr>
            <w:tcW w:w="6697" w:type="dxa"/>
          </w:tcPr>
          <w:p w14:paraId="6CB83AE4" w14:textId="77777777" w:rsidR="00A55F42" w:rsidRDefault="00A55F42" w:rsidP="00345763">
            <w:pPr>
              <w:ind w:left="144"/>
            </w:pPr>
            <w:r w:rsidRPr="00ED6F9D">
              <w:t>Neutralising antibody</w:t>
            </w:r>
          </w:p>
        </w:tc>
      </w:tr>
      <w:tr w:rsidR="00A55F42" w:rsidRPr="00FD119B" w14:paraId="5D8AEB20" w14:textId="77777777" w:rsidTr="00E9511B">
        <w:tc>
          <w:tcPr>
            <w:tcW w:w="1797" w:type="dxa"/>
          </w:tcPr>
          <w:p w14:paraId="1EA30955" w14:textId="77777777" w:rsidR="00A55F42" w:rsidRDefault="00A55F42" w:rsidP="00345763">
            <w:pPr>
              <w:ind w:left="144"/>
            </w:pPr>
            <w:r>
              <w:t>NP</w:t>
            </w:r>
          </w:p>
        </w:tc>
        <w:tc>
          <w:tcPr>
            <w:tcW w:w="6697" w:type="dxa"/>
          </w:tcPr>
          <w:p w14:paraId="6FA9BB7F" w14:textId="77777777" w:rsidR="00A55F42" w:rsidRDefault="00A55F42" w:rsidP="00345763">
            <w:pPr>
              <w:ind w:left="144"/>
            </w:pPr>
            <w:r>
              <w:t>Nucleoprotein</w:t>
            </w:r>
          </w:p>
        </w:tc>
      </w:tr>
      <w:tr w:rsidR="00A55F42" w:rsidRPr="00FD119B" w14:paraId="123DF740" w14:textId="77777777" w:rsidTr="00E9511B">
        <w:tc>
          <w:tcPr>
            <w:tcW w:w="1797" w:type="dxa"/>
          </w:tcPr>
          <w:p w14:paraId="356B0B5C" w14:textId="77777777" w:rsidR="00A55F42" w:rsidRDefault="00A55F42" w:rsidP="00345763">
            <w:pPr>
              <w:ind w:left="144"/>
            </w:pPr>
            <w:r>
              <w:t>NVX-CoV2373</w:t>
            </w:r>
          </w:p>
        </w:tc>
        <w:tc>
          <w:tcPr>
            <w:tcW w:w="6697" w:type="dxa"/>
          </w:tcPr>
          <w:p w14:paraId="669F8F01" w14:textId="19E0A73A" w:rsidR="00A55F42" w:rsidRDefault="00A55F42" w:rsidP="00345763">
            <w:pPr>
              <w:ind w:left="144"/>
            </w:pPr>
            <w:r>
              <w:t xml:space="preserve">Product development code for </w:t>
            </w:r>
            <w:proofErr w:type="spellStart"/>
            <w:r>
              <w:t>Nuvaxovid</w:t>
            </w:r>
            <w:proofErr w:type="spellEnd"/>
          </w:p>
        </w:tc>
      </w:tr>
      <w:tr w:rsidR="00A55F42" w:rsidRPr="00FD119B" w14:paraId="2D5886A4" w14:textId="77777777" w:rsidTr="00E9511B">
        <w:tc>
          <w:tcPr>
            <w:tcW w:w="1797" w:type="dxa"/>
          </w:tcPr>
          <w:p w14:paraId="6E431C94" w14:textId="77777777" w:rsidR="00A55F42" w:rsidRDefault="00A55F42" w:rsidP="00345763">
            <w:pPr>
              <w:ind w:left="144"/>
            </w:pPr>
            <w:r>
              <w:t>PCR</w:t>
            </w:r>
          </w:p>
        </w:tc>
        <w:tc>
          <w:tcPr>
            <w:tcW w:w="6697" w:type="dxa"/>
          </w:tcPr>
          <w:p w14:paraId="1FAC3ACD" w14:textId="77777777" w:rsidR="00A55F42" w:rsidRDefault="00A55F42" w:rsidP="00345763">
            <w:pPr>
              <w:ind w:left="144"/>
            </w:pPr>
            <w:r>
              <w:t>Polymerase chain reaction</w:t>
            </w:r>
          </w:p>
        </w:tc>
      </w:tr>
      <w:tr w:rsidR="00A55F42" w:rsidRPr="00FD119B" w14:paraId="0D2AE0DF" w14:textId="77777777" w:rsidTr="00E9511B">
        <w:tc>
          <w:tcPr>
            <w:tcW w:w="1797" w:type="dxa"/>
          </w:tcPr>
          <w:p w14:paraId="383215F3" w14:textId="77777777" w:rsidR="00A55F42" w:rsidRPr="00FD119B" w:rsidRDefault="00A55F42" w:rsidP="00345763">
            <w:pPr>
              <w:ind w:left="144"/>
            </w:pPr>
            <w:r>
              <w:t>PI</w:t>
            </w:r>
          </w:p>
        </w:tc>
        <w:tc>
          <w:tcPr>
            <w:tcW w:w="6697" w:type="dxa"/>
          </w:tcPr>
          <w:p w14:paraId="7480D2FB" w14:textId="77777777" w:rsidR="00A55F42" w:rsidRPr="00FD119B" w:rsidRDefault="00A55F42" w:rsidP="00345763">
            <w:pPr>
              <w:ind w:left="144"/>
            </w:pPr>
            <w:r>
              <w:t>Product Information</w:t>
            </w:r>
          </w:p>
        </w:tc>
      </w:tr>
      <w:tr w:rsidR="00A55F42" w:rsidRPr="00FD119B" w14:paraId="5872D6E4" w14:textId="77777777" w:rsidTr="00E9511B">
        <w:tc>
          <w:tcPr>
            <w:tcW w:w="1797" w:type="dxa"/>
          </w:tcPr>
          <w:p w14:paraId="41017DE3" w14:textId="77777777" w:rsidR="00A55F42" w:rsidRDefault="00A55F42" w:rsidP="00345763">
            <w:pPr>
              <w:ind w:left="144"/>
            </w:pPr>
            <w:r>
              <w:t>PIMMC</w:t>
            </w:r>
          </w:p>
        </w:tc>
        <w:tc>
          <w:tcPr>
            <w:tcW w:w="6697" w:type="dxa"/>
          </w:tcPr>
          <w:p w14:paraId="7147541D" w14:textId="5A7C2AF8" w:rsidR="00A55F42" w:rsidRDefault="00A55F42" w:rsidP="00345763">
            <w:pPr>
              <w:ind w:left="144"/>
            </w:pPr>
            <w:r>
              <w:rPr>
                <w:rFonts w:eastAsia="Calibri"/>
                <w:szCs w:val="24"/>
              </w:rPr>
              <w:t>P</w:t>
            </w:r>
            <w:r w:rsidRPr="00ED6F9D">
              <w:rPr>
                <w:rFonts w:eastAsia="Calibri"/>
                <w:szCs w:val="24"/>
              </w:rPr>
              <w:t xml:space="preserve">otential </w:t>
            </w:r>
            <w:r>
              <w:rPr>
                <w:rFonts w:eastAsia="Calibri"/>
                <w:szCs w:val="24"/>
              </w:rPr>
              <w:t>i</w:t>
            </w:r>
            <w:r w:rsidRPr="00ED6F9D">
              <w:rPr>
                <w:rFonts w:eastAsia="Calibri"/>
                <w:szCs w:val="24"/>
              </w:rPr>
              <w:t>mmune</w:t>
            </w:r>
            <w:r>
              <w:rPr>
                <w:rFonts w:eastAsia="Calibri"/>
                <w:szCs w:val="24"/>
              </w:rPr>
              <w:t xml:space="preserve"> m</w:t>
            </w:r>
            <w:r w:rsidRPr="00ED6F9D">
              <w:rPr>
                <w:rFonts w:eastAsia="Calibri"/>
                <w:szCs w:val="24"/>
              </w:rPr>
              <w:t xml:space="preserve">ediated </w:t>
            </w:r>
            <w:r>
              <w:rPr>
                <w:rFonts w:eastAsia="Calibri"/>
                <w:szCs w:val="24"/>
              </w:rPr>
              <w:t>m</w:t>
            </w:r>
            <w:r w:rsidRPr="00ED6F9D">
              <w:rPr>
                <w:rFonts w:eastAsia="Calibri"/>
                <w:szCs w:val="24"/>
              </w:rPr>
              <w:t xml:space="preserve">edical </w:t>
            </w:r>
            <w:r>
              <w:rPr>
                <w:rFonts w:eastAsia="Calibri"/>
                <w:szCs w:val="24"/>
              </w:rPr>
              <w:t>c</w:t>
            </w:r>
            <w:r w:rsidRPr="00ED6F9D">
              <w:rPr>
                <w:rFonts w:eastAsia="Calibri"/>
                <w:szCs w:val="24"/>
              </w:rPr>
              <w:t>ondition</w:t>
            </w:r>
          </w:p>
        </w:tc>
      </w:tr>
      <w:tr w:rsidR="00A55F42" w:rsidRPr="00FD119B" w14:paraId="05AC2D5F" w14:textId="77777777" w:rsidTr="00E9511B">
        <w:tc>
          <w:tcPr>
            <w:tcW w:w="1797" w:type="dxa"/>
          </w:tcPr>
          <w:p w14:paraId="48AADA7E" w14:textId="77777777" w:rsidR="00A55F42" w:rsidRDefault="00A55F42" w:rsidP="00345763">
            <w:pPr>
              <w:ind w:left="144"/>
            </w:pPr>
            <w:r>
              <w:t>PP-EFF</w:t>
            </w:r>
          </w:p>
        </w:tc>
        <w:tc>
          <w:tcPr>
            <w:tcW w:w="6697" w:type="dxa"/>
          </w:tcPr>
          <w:p w14:paraId="5D8D02AA" w14:textId="77777777" w:rsidR="00A55F42" w:rsidRDefault="00A55F42" w:rsidP="00345763">
            <w:pPr>
              <w:ind w:left="144"/>
            </w:pPr>
            <w:r>
              <w:t>Per protocol efficacy</w:t>
            </w:r>
          </w:p>
        </w:tc>
      </w:tr>
      <w:tr w:rsidR="00A55F42" w:rsidRPr="00FD119B" w14:paraId="34A8DD90" w14:textId="77777777" w:rsidTr="00E9511B">
        <w:tc>
          <w:tcPr>
            <w:tcW w:w="1797" w:type="dxa"/>
          </w:tcPr>
          <w:p w14:paraId="3955416C" w14:textId="77777777" w:rsidR="00A55F42" w:rsidRDefault="00A55F42" w:rsidP="00345763">
            <w:pPr>
              <w:ind w:left="144"/>
            </w:pPr>
            <w:r>
              <w:t>PT</w:t>
            </w:r>
          </w:p>
        </w:tc>
        <w:tc>
          <w:tcPr>
            <w:tcW w:w="6697" w:type="dxa"/>
          </w:tcPr>
          <w:p w14:paraId="16BB90A6" w14:textId="77777777" w:rsidR="00A55F42" w:rsidRDefault="00A55F42" w:rsidP="00345763">
            <w:pPr>
              <w:ind w:left="144"/>
            </w:pPr>
            <w:r>
              <w:t>Preferred Term</w:t>
            </w:r>
          </w:p>
        </w:tc>
      </w:tr>
      <w:tr w:rsidR="00A55F42" w:rsidRPr="00FD119B" w14:paraId="5B87EDAD" w14:textId="77777777" w:rsidTr="00E9511B">
        <w:tc>
          <w:tcPr>
            <w:tcW w:w="1797" w:type="dxa"/>
          </w:tcPr>
          <w:p w14:paraId="4D48AC10" w14:textId="77777777" w:rsidR="00A55F42" w:rsidRDefault="00A55F42" w:rsidP="00345763">
            <w:pPr>
              <w:ind w:left="144"/>
            </w:pPr>
            <w:r>
              <w:t>PY</w:t>
            </w:r>
          </w:p>
        </w:tc>
        <w:tc>
          <w:tcPr>
            <w:tcW w:w="6697" w:type="dxa"/>
          </w:tcPr>
          <w:p w14:paraId="77FDB7FA" w14:textId="344228D5" w:rsidR="00A55F42" w:rsidRDefault="00A55F42" w:rsidP="00345763">
            <w:pPr>
              <w:ind w:left="144"/>
            </w:pPr>
            <w:r>
              <w:t>Patient</w:t>
            </w:r>
            <w:r w:rsidR="007F3E96">
              <w:t>-</w:t>
            </w:r>
            <w:r>
              <w:t>years</w:t>
            </w:r>
          </w:p>
        </w:tc>
      </w:tr>
      <w:tr w:rsidR="00A55F42" w:rsidRPr="00FD119B" w14:paraId="46D7E3D9" w14:textId="77777777" w:rsidTr="00E9511B">
        <w:tc>
          <w:tcPr>
            <w:tcW w:w="1797" w:type="dxa"/>
          </w:tcPr>
          <w:p w14:paraId="08B5E96E" w14:textId="77777777" w:rsidR="00A55F42" w:rsidRDefault="00A55F42" w:rsidP="00345763">
            <w:pPr>
              <w:ind w:left="144"/>
            </w:pPr>
            <w:r>
              <w:t>RD</w:t>
            </w:r>
          </w:p>
        </w:tc>
        <w:tc>
          <w:tcPr>
            <w:tcW w:w="6697" w:type="dxa"/>
          </w:tcPr>
          <w:p w14:paraId="45C8E3CC" w14:textId="77777777" w:rsidR="00A55F42" w:rsidRDefault="00A55F42" w:rsidP="00345763">
            <w:pPr>
              <w:ind w:left="144"/>
            </w:pPr>
            <w:r>
              <w:t>Risk difference</w:t>
            </w:r>
          </w:p>
        </w:tc>
      </w:tr>
      <w:tr w:rsidR="00A55F42" w:rsidRPr="00FD119B" w14:paraId="7B8F44C7" w14:textId="77777777" w:rsidTr="00E9511B">
        <w:tc>
          <w:tcPr>
            <w:tcW w:w="1797" w:type="dxa"/>
          </w:tcPr>
          <w:p w14:paraId="634CD465" w14:textId="77777777" w:rsidR="00A55F42" w:rsidRDefault="00A55F42" w:rsidP="00345763">
            <w:pPr>
              <w:ind w:left="144"/>
            </w:pPr>
            <w:r>
              <w:t>RMP</w:t>
            </w:r>
          </w:p>
        </w:tc>
        <w:tc>
          <w:tcPr>
            <w:tcW w:w="6697" w:type="dxa"/>
          </w:tcPr>
          <w:p w14:paraId="157D1B5C" w14:textId="77777777" w:rsidR="00A55F42" w:rsidRDefault="00A55F42" w:rsidP="00345763">
            <w:pPr>
              <w:ind w:left="144"/>
            </w:pPr>
            <w:r>
              <w:t>Risk management plan</w:t>
            </w:r>
          </w:p>
        </w:tc>
      </w:tr>
      <w:tr w:rsidR="00A55F42" w:rsidRPr="00FD119B" w14:paraId="508883B3" w14:textId="77777777" w:rsidTr="00E9511B">
        <w:tc>
          <w:tcPr>
            <w:tcW w:w="1797" w:type="dxa"/>
          </w:tcPr>
          <w:p w14:paraId="424E7483" w14:textId="77777777" w:rsidR="00A55F42" w:rsidRPr="00FD119B" w:rsidRDefault="00A55F42" w:rsidP="00345763">
            <w:pPr>
              <w:ind w:left="144"/>
            </w:pPr>
            <w:r>
              <w:t>RNA</w:t>
            </w:r>
          </w:p>
        </w:tc>
        <w:tc>
          <w:tcPr>
            <w:tcW w:w="6697" w:type="dxa"/>
          </w:tcPr>
          <w:p w14:paraId="56D8A6EC" w14:textId="77777777" w:rsidR="00A55F42" w:rsidRPr="00FD119B" w:rsidRDefault="00A55F42" w:rsidP="00345763">
            <w:pPr>
              <w:ind w:left="144"/>
            </w:pPr>
            <w:r>
              <w:t>R</w:t>
            </w:r>
            <w:r w:rsidRPr="006774CB">
              <w:t>ibonucleic acid</w:t>
            </w:r>
          </w:p>
        </w:tc>
      </w:tr>
      <w:tr w:rsidR="00A55F42" w:rsidRPr="00FD119B" w14:paraId="3AE7DA67" w14:textId="77777777" w:rsidTr="00E9511B">
        <w:tc>
          <w:tcPr>
            <w:tcW w:w="1797" w:type="dxa"/>
          </w:tcPr>
          <w:p w14:paraId="20314D4F" w14:textId="77777777" w:rsidR="00A55F42" w:rsidRDefault="00A55F42" w:rsidP="00345763">
            <w:pPr>
              <w:ind w:left="144"/>
            </w:pPr>
            <w:r>
              <w:t>RR</w:t>
            </w:r>
          </w:p>
        </w:tc>
        <w:tc>
          <w:tcPr>
            <w:tcW w:w="6697" w:type="dxa"/>
          </w:tcPr>
          <w:p w14:paraId="1E6F9D07" w14:textId="77777777" w:rsidR="00A55F42" w:rsidRDefault="00A55F42" w:rsidP="00345763">
            <w:pPr>
              <w:ind w:left="144"/>
            </w:pPr>
            <w:r>
              <w:t>Relative risk</w:t>
            </w:r>
          </w:p>
        </w:tc>
      </w:tr>
      <w:tr w:rsidR="00A55F42" w:rsidRPr="00FD119B" w14:paraId="7A07BFD0" w14:textId="77777777" w:rsidTr="00E9511B">
        <w:tc>
          <w:tcPr>
            <w:tcW w:w="1797" w:type="dxa"/>
          </w:tcPr>
          <w:p w14:paraId="6BB2787B" w14:textId="77777777" w:rsidR="00A55F42" w:rsidRPr="00FD119B" w:rsidRDefault="00A55F42" w:rsidP="00345763">
            <w:pPr>
              <w:ind w:left="144"/>
            </w:pPr>
            <w:proofErr w:type="spellStart"/>
            <w:r>
              <w:lastRenderedPageBreak/>
              <w:t>rS</w:t>
            </w:r>
            <w:proofErr w:type="spellEnd"/>
          </w:p>
        </w:tc>
        <w:tc>
          <w:tcPr>
            <w:tcW w:w="6697" w:type="dxa"/>
          </w:tcPr>
          <w:p w14:paraId="38C5096F" w14:textId="77777777" w:rsidR="00A55F42" w:rsidRPr="00FD119B" w:rsidRDefault="00A55F42" w:rsidP="00345763">
            <w:pPr>
              <w:ind w:left="144"/>
            </w:pPr>
            <w:r>
              <w:t>Recombinant spike protein</w:t>
            </w:r>
          </w:p>
        </w:tc>
      </w:tr>
      <w:tr w:rsidR="00A55F42" w:rsidRPr="00FD119B" w14:paraId="397D2DC5" w14:textId="77777777" w:rsidTr="00E9511B">
        <w:tc>
          <w:tcPr>
            <w:tcW w:w="1797" w:type="dxa"/>
          </w:tcPr>
          <w:p w14:paraId="16567C43" w14:textId="77777777" w:rsidR="00A55F42" w:rsidRDefault="00A55F42" w:rsidP="00345763">
            <w:pPr>
              <w:ind w:left="144"/>
            </w:pPr>
            <w:r>
              <w:t>SAE</w:t>
            </w:r>
          </w:p>
        </w:tc>
        <w:tc>
          <w:tcPr>
            <w:tcW w:w="6697" w:type="dxa"/>
          </w:tcPr>
          <w:p w14:paraId="0EE9C6D2" w14:textId="77777777" w:rsidR="00A55F42" w:rsidRDefault="00A55F42" w:rsidP="00345763">
            <w:pPr>
              <w:ind w:left="144"/>
            </w:pPr>
            <w:r>
              <w:t>Serious adverse event</w:t>
            </w:r>
          </w:p>
        </w:tc>
      </w:tr>
      <w:tr w:rsidR="00A55F42" w:rsidRPr="00FD119B" w14:paraId="0EE38292" w14:textId="77777777" w:rsidTr="00E9511B">
        <w:tc>
          <w:tcPr>
            <w:tcW w:w="1797" w:type="dxa"/>
          </w:tcPr>
          <w:p w14:paraId="1251C359" w14:textId="77777777" w:rsidR="00A55F42" w:rsidRPr="00FD119B" w:rsidRDefault="00A55F42" w:rsidP="00345763">
            <w:pPr>
              <w:ind w:left="144"/>
            </w:pPr>
            <w:r>
              <w:t>SARS-CoV-2</w:t>
            </w:r>
          </w:p>
        </w:tc>
        <w:tc>
          <w:tcPr>
            <w:tcW w:w="6697" w:type="dxa"/>
          </w:tcPr>
          <w:p w14:paraId="65BFEC92" w14:textId="77777777" w:rsidR="00A55F42" w:rsidRPr="00FD119B" w:rsidRDefault="00A55F42" w:rsidP="00345763">
            <w:pPr>
              <w:ind w:left="144"/>
            </w:pPr>
            <w:r>
              <w:t>S</w:t>
            </w:r>
            <w:r w:rsidRPr="00E16C6F">
              <w:t>evere acute respiratory syndrome coronavirus 2</w:t>
            </w:r>
          </w:p>
        </w:tc>
      </w:tr>
      <w:tr w:rsidR="00A55F42" w:rsidRPr="00FD119B" w14:paraId="5F7235A0" w14:textId="77777777" w:rsidTr="00E9511B">
        <w:tc>
          <w:tcPr>
            <w:tcW w:w="1797" w:type="dxa"/>
          </w:tcPr>
          <w:p w14:paraId="4914D33C" w14:textId="77777777" w:rsidR="00A55F42" w:rsidRDefault="00A55F42" w:rsidP="00345763">
            <w:pPr>
              <w:ind w:left="144"/>
            </w:pPr>
            <w:r>
              <w:t>SAS</w:t>
            </w:r>
          </w:p>
        </w:tc>
        <w:tc>
          <w:tcPr>
            <w:tcW w:w="6697" w:type="dxa"/>
          </w:tcPr>
          <w:p w14:paraId="3EF8877A" w14:textId="77777777" w:rsidR="00A55F42" w:rsidRDefault="00A55F42" w:rsidP="00345763">
            <w:pPr>
              <w:ind w:left="144"/>
            </w:pPr>
            <w:r>
              <w:t>Safety analysis set</w:t>
            </w:r>
          </w:p>
        </w:tc>
      </w:tr>
      <w:tr w:rsidR="00A55F42" w:rsidRPr="00FD119B" w14:paraId="002A8C51" w14:textId="77777777" w:rsidTr="00E9511B">
        <w:tc>
          <w:tcPr>
            <w:tcW w:w="1797" w:type="dxa"/>
          </w:tcPr>
          <w:p w14:paraId="3B8020F4" w14:textId="77777777" w:rsidR="00A55F42" w:rsidRDefault="00A55F42" w:rsidP="00345763">
            <w:pPr>
              <w:ind w:left="144"/>
            </w:pPr>
            <w:r>
              <w:t>SCR</w:t>
            </w:r>
          </w:p>
        </w:tc>
        <w:tc>
          <w:tcPr>
            <w:tcW w:w="6697" w:type="dxa"/>
          </w:tcPr>
          <w:p w14:paraId="3D7D04B6" w14:textId="77777777" w:rsidR="00A55F42" w:rsidRDefault="00A55F42" w:rsidP="00345763">
            <w:pPr>
              <w:ind w:left="144"/>
            </w:pPr>
            <w:r>
              <w:t>Seroconversion rate</w:t>
            </w:r>
          </w:p>
        </w:tc>
      </w:tr>
      <w:tr w:rsidR="00A55F42" w:rsidRPr="00FD119B" w14:paraId="3920A12A" w14:textId="77777777" w:rsidTr="00E9511B">
        <w:tc>
          <w:tcPr>
            <w:tcW w:w="1797" w:type="dxa"/>
          </w:tcPr>
          <w:p w14:paraId="7B55BCDD" w14:textId="77777777" w:rsidR="00A55F42" w:rsidRPr="00FD119B" w:rsidRDefault="00A55F42" w:rsidP="00345763">
            <w:pPr>
              <w:ind w:left="144"/>
            </w:pPr>
            <w:r>
              <w:t>SII</w:t>
            </w:r>
          </w:p>
        </w:tc>
        <w:tc>
          <w:tcPr>
            <w:tcW w:w="6697" w:type="dxa"/>
          </w:tcPr>
          <w:p w14:paraId="233B6865" w14:textId="77777777" w:rsidR="00A55F42" w:rsidRPr="00FD119B" w:rsidRDefault="00A55F42" w:rsidP="00345763">
            <w:pPr>
              <w:ind w:left="144"/>
            </w:pPr>
            <w:r>
              <w:t>Serum institute of India</w:t>
            </w:r>
          </w:p>
        </w:tc>
      </w:tr>
      <w:tr w:rsidR="00A55F42" w:rsidRPr="00FD119B" w14:paraId="6C1A709F" w14:textId="77777777" w:rsidTr="00E9511B">
        <w:tc>
          <w:tcPr>
            <w:tcW w:w="1797" w:type="dxa"/>
          </w:tcPr>
          <w:p w14:paraId="4F9A6390" w14:textId="77777777" w:rsidR="00A55F42" w:rsidRDefault="00A55F42" w:rsidP="00345763">
            <w:pPr>
              <w:ind w:left="144"/>
            </w:pPr>
            <w:r>
              <w:t>SMQ</w:t>
            </w:r>
          </w:p>
        </w:tc>
        <w:tc>
          <w:tcPr>
            <w:tcW w:w="6697" w:type="dxa"/>
          </w:tcPr>
          <w:p w14:paraId="70EA6B11" w14:textId="77777777" w:rsidR="00A55F42" w:rsidRDefault="00A55F42" w:rsidP="00345763">
            <w:pPr>
              <w:ind w:left="144"/>
            </w:pPr>
            <w:r>
              <w:t>Standardised MedDRA query</w:t>
            </w:r>
          </w:p>
        </w:tc>
      </w:tr>
      <w:tr w:rsidR="00A55F42" w:rsidRPr="00FD119B" w14:paraId="78AF5472" w14:textId="77777777" w:rsidTr="00E9511B">
        <w:tc>
          <w:tcPr>
            <w:tcW w:w="1797" w:type="dxa"/>
          </w:tcPr>
          <w:p w14:paraId="4D5F70EF" w14:textId="77777777" w:rsidR="00A55F42" w:rsidRDefault="00A55F42" w:rsidP="00345763">
            <w:pPr>
              <w:ind w:left="144"/>
            </w:pPr>
            <w:r>
              <w:t>SOC</w:t>
            </w:r>
          </w:p>
        </w:tc>
        <w:tc>
          <w:tcPr>
            <w:tcW w:w="6697" w:type="dxa"/>
          </w:tcPr>
          <w:p w14:paraId="617C4D53" w14:textId="77777777" w:rsidR="00A55F42" w:rsidRDefault="00A55F42" w:rsidP="00345763">
            <w:pPr>
              <w:ind w:left="144"/>
            </w:pPr>
            <w:r>
              <w:t>System Organ Class</w:t>
            </w:r>
          </w:p>
        </w:tc>
      </w:tr>
      <w:tr w:rsidR="00A55F42" w:rsidRPr="00FD119B" w14:paraId="3DC1D9C0" w14:textId="77777777" w:rsidTr="00E9511B">
        <w:tc>
          <w:tcPr>
            <w:tcW w:w="1797" w:type="dxa"/>
          </w:tcPr>
          <w:p w14:paraId="79479DCF" w14:textId="77777777" w:rsidR="00A55F42" w:rsidRDefault="00A55F42" w:rsidP="00345763">
            <w:pPr>
              <w:ind w:left="144"/>
            </w:pPr>
            <w:r>
              <w:t>TEAE</w:t>
            </w:r>
          </w:p>
        </w:tc>
        <w:tc>
          <w:tcPr>
            <w:tcW w:w="6697" w:type="dxa"/>
          </w:tcPr>
          <w:p w14:paraId="4B7E0CE7" w14:textId="68895032" w:rsidR="00A55F42" w:rsidRDefault="00A55F42" w:rsidP="00345763">
            <w:pPr>
              <w:ind w:left="144"/>
            </w:pPr>
            <w:r>
              <w:t>T</w:t>
            </w:r>
            <w:r w:rsidRPr="00AD540C">
              <w:t>reatment emergent adverse event</w:t>
            </w:r>
          </w:p>
        </w:tc>
      </w:tr>
      <w:tr w:rsidR="00A55F42" w:rsidRPr="00FD119B" w14:paraId="2124FE9D" w14:textId="77777777" w:rsidTr="00E9511B">
        <w:tc>
          <w:tcPr>
            <w:tcW w:w="1797" w:type="dxa"/>
          </w:tcPr>
          <w:p w14:paraId="50CB80CD" w14:textId="77777777" w:rsidR="00A55F42" w:rsidRPr="00FD119B" w:rsidRDefault="00A55F42" w:rsidP="00345763">
            <w:pPr>
              <w:ind w:left="144"/>
            </w:pPr>
            <w:r>
              <w:t>TGA</w:t>
            </w:r>
          </w:p>
        </w:tc>
        <w:tc>
          <w:tcPr>
            <w:tcW w:w="6697" w:type="dxa"/>
          </w:tcPr>
          <w:p w14:paraId="2A192173" w14:textId="77777777" w:rsidR="00A55F42" w:rsidRPr="00FD119B" w:rsidRDefault="00A55F42" w:rsidP="00345763">
            <w:pPr>
              <w:ind w:left="144"/>
            </w:pPr>
            <w:r w:rsidRPr="00683F50">
              <w:t>Therapeutic Goods Administration</w:t>
            </w:r>
          </w:p>
        </w:tc>
      </w:tr>
      <w:tr w:rsidR="00A55F42" w:rsidRPr="00FD119B" w14:paraId="4214628C" w14:textId="77777777" w:rsidTr="00E9511B">
        <w:tc>
          <w:tcPr>
            <w:tcW w:w="1797" w:type="dxa"/>
          </w:tcPr>
          <w:p w14:paraId="23488B9A" w14:textId="77777777" w:rsidR="00A55F42" w:rsidRDefault="00A55F42" w:rsidP="00345763">
            <w:pPr>
              <w:ind w:left="144"/>
            </w:pPr>
            <w:r>
              <w:t>UK</w:t>
            </w:r>
          </w:p>
        </w:tc>
        <w:tc>
          <w:tcPr>
            <w:tcW w:w="6697" w:type="dxa"/>
          </w:tcPr>
          <w:p w14:paraId="3120601F" w14:textId="77777777" w:rsidR="00A55F42" w:rsidRDefault="00A55F42" w:rsidP="00345763">
            <w:pPr>
              <w:ind w:left="144"/>
            </w:pPr>
            <w:r>
              <w:t>United Kingdom</w:t>
            </w:r>
          </w:p>
        </w:tc>
      </w:tr>
      <w:tr w:rsidR="00A55F42" w:rsidRPr="00FD119B" w14:paraId="3D03D070" w14:textId="77777777" w:rsidTr="00E9511B">
        <w:tc>
          <w:tcPr>
            <w:tcW w:w="1797" w:type="dxa"/>
          </w:tcPr>
          <w:p w14:paraId="2315742C" w14:textId="77777777" w:rsidR="00A55F42" w:rsidRPr="00FD119B" w:rsidRDefault="00A55F42" w:rsidP="00345763">
            <w:pPr>
              <w:ind w:left="144"/>
            </w:pPr>
            <w:r>
              <w:t>USA</w:t>
            </w:r>
          </w:p>
        </w:tc>
        <w:tc>
          <w:tcPr>
            <w:tcW w:w="6697" w:type="dxa"/>
          </w:tcPr>
          <w:p w14:paraId="09167143" w14:textId="77777777" w:rsidR="00A55F42" w:rsidRPr="00FD119B" w:rsidRDefault="00A55F42" w:rsidP="00345763">
            <w:pPr>
              <w:ind w:left="144"/>
            </w:pPr>
            <w:r>
              <w:t>United States of America</w:t>
            </w:r>
          </w:p>
        </w:tc>
      </w:tr>
      <w:tr w:rsidR="00A55F42" w:rsidRPr="00FD119B" w14:paraId="6B51F8E3" w14:textId="77777777" w:rsidTr="00E9511B">
        <w:tc>
          <w:tcPr>
            <w:tcW w:w="1797" w:type="dxa"/>
          </w:tcPr>
          <w:p w14:paraId="56601BE6" w14:textId="77777777" w:rsidR="00A55F42" w:rsidRDefault="00A55F42" w:rsidP="00345763">
            <w:pPr>
              <w:ind w:left="144"/>
            </w:pPr>
            <w:r>
              <w:t>VAED</w:t>
            </w:r>
          </w:p>
        </w:tc>
        <w:tc>
          <w:tcPr>
            <w:tcW w:w="6697" w:type="dxa"/>
          </w:tcPr>
          <w:p w14:paraId="401B1DC6" w14:textId="77777777" w:rsidR="00A55F42" w:rsidRDefault="00A55F42" w:rsidP="00345763">
            <w:pPr>
              <w:ind w:left="144"/>
            </w:pPr>
            <w:r>
              <w:t>Vaccine-associated enhanced disease</w:t>
            </w:r>
          </w:p>
        </w:tc>
      </w:tr>
      <w:tr w:rsidR="00A55F42" w:rsidRPr="00FD119B" w14:paraId="2FAAB1FC" w14:textId="77777777" w:rsidTr="00E9511B">
        <w:tc>
          <w:tcPr>
            <w:tcW w:w="1797" w:type="dxa"/>
          </w:tcPr>
          <w:p w14:paraId="42C61300" w14:textId="77777777" w:rsidR="00A55F42" w:rsidRDefault="00A55F42" w:rsidP="00345763">
            <w:pPr>
              <w:ind w:left="144"/>
            </w:pPr>
            <w:r>
              <w:t>VAERD</w:t>
            </w:r>
          </w:p>
        </w:tc>
        <w:tc>
          <w:tcPr>
            <w:tcW w:w="6697" w:type="dxa"/>
          </w:tcPr>
          <w:p w14:paraId="43D3CEA0" w14:textId="77777777" w:rsidR="00A55F42" w:rsidRDefault="00A55F42" w:rsidP="00345763">
            <w:pPr>
              <w:ind w:left="144"/>
            </w:pPr>
            <w:r>
              <w:t>Vaccine-associated enhanced respiratory disease</w:t>
            </w:r>
          </w:p>
        </w:tc>
      </w:tr>
      <w:tr w:rsidR="00A55F42" w:rsidRPr="00FD119B" w14:paraId="24C60B1F" w14:textId="77777777" w:rsidTr="00E9511B">
        <w:tc>
          <w:tcPr>
            <w:tcW w:w="1797" w:type="dxa"/>
          </w:tcPr>
          <w:p w14:paraId="427ACC91" w14:textId="77777777" w:rsidR="00A55F42" w:rsidRDefault="00A55F42" w:rsidP="00345763">
            <w:pPr>
              <w:ind w:left="144"/>
            </w:pPr>
            <w:r>
              <w:t>VE</w:t>
            </w:r>
          </w:p>
        </w:tc>
        <w:tc>
          <w:tcPr>
            <w:tcW w:w="6697" w:type="dxa"/>
          </w:tcPr>
          <w:p w14:paraId="7C069D1B" w14:textId="77777777" w:rsidR="00A55F42" w:rsidRDefault="00A55F42" w:rsidP="00345763">
            <w:pPr>
              <w:ind w:left="144"/>
            </w:pPr>
            <w:r>
              <w:t>Vaccine efficacy</w:t>
            </w:r>
          </w:p>
        </w:tc>
      </w:tr>
      <w:tr w:rsidR="00A55F42" w:rsidRPr="00FD119B" w14:paraId="7EDC0BC8" w14:textId="77777777" w:rsidTr="00E9511B">
        <w:tc>
          <w:tcPr>
            <w:tcW w:w="1797" w:type="dxa"/>
          </w:tcPr>
          <w:p w14:paraId="5CA576E8" w14:textId="77777777" w:rsidR="00A55F42" w:rsidRPr="00FD119B" w:rsidRDefault="00A55F42" w:rsidP="00345763">
            <w:pPr>
              <w:ind w:left="144"/>
            </w:pPr>
            <w:r>
              <w:t>VOC</w:t>
            </w:r>
          </w:p>
        </w:tc>
        <w:tc>
          <w:tcPr>
            <w:tcW w:w="6697" w:type="dxa"/>
          </w:tcPr>
          <w:p w14:paraId="52CF8988" w14:textId="77777777" w:rsidR="00A55F42" w:rsidRPr="00FD119B" w:rsidRDefault="00A55F42" w:rsidP="00345763">
            <w:pPr>
              <w:ind w:left="144"/>
            </w:pPr>
            <w:r>
              <w:t>Variant of concern</w:t>
            </w:r>
          </w:p>
        </w:tc>
      </w:tr>
      <w:tr w:rsidR="00A55F42" w:rsidRPr="00FD119B" w14:paraId="547FB40E" w14:textId="77777777" w:rsidTr="00E9511B">
        <w:tc>
          <w:tcPr>
            <w:tcW w:w="1797" w:type="dxa"/>
          </w:tcPr>
          <w:p w14:paraId="5ABCEEA4" w14:textId="77777777" w:rsidR="00A55F42" w:rsidRDefault="00A55F42" w:rsidP="00345763">
            <w:pPr>
              <w:ind w:left="144"/>
            </w:pPr>
            <w:r>
              <w:t>VOI</w:t>
            </w:r>
          </w:p>
        </w:tc>
        <w:tc>
          <w:tcPr>
            <w:tcW w:w="6697" w:type="dxa"/>
          </w:tcPr>
          <w:p w14:paraId="1D1BF481" w14:textId="77777777" w:rsidR="00A55F42" w:rsidRDefault="00A55F42" w:rsidP="00345763">
            <w:pPr>
              <w:ind w:left="144"/>
            </w:pPr>
            <w:r>
              <w:t>V</w:t>
            </w:r>
            <w:r w:rsidRPr="00BD4A57">
              <w:t xml:space="preserve">ariant of </w:t>
            </w:r>
            <w:r>
              <w:t>i</w:t>
            </w:r>
            <w:r w:rsidRPr="00BD4A57">
              <w:t>nterest</w:t>
            </w:r>
          </w:p>
        </w:tc>
      </w:tr>
      <w:tr w:rsidR="00A55F42" w:rsidRPr="00FD119B" w14:paraId="2EB8D630" w14:textId="77777777" w:rsidTr="00E9511B">
        <w:tc>
          <w:tcPr>
            <w:tcW w:w="1797" w:type="dxa"/>
          </w:tcPr>
          <w:p w14:paraId="422B69F5" w14:textId="77777777" w:rsidR="00A55F42" w:rsidRPr="00FD119B" w:rsidRDefault="00A55F42" w:rsidP="00345763">
            <w:pPr>
              <w:ind w:left="144"/>
            </w:pPr>
            <w:r>
              <w:t>WHO</w:t>
            </w:r>
          </w:p>
        </w:tc>
        <w:tc>
          <w:tcPr>
            <w:tcW w:w="6697" w:type="dxa"/>
          </w:tcPr>
          <w:p w14:paraId="168CB2EC" w14:textId="77777777" w:rsidR="00A55F42" w:rsidRPr="00FD119B" w:rsidRDefault="00A55F42" w:rsidP="00345763">
            <w:pPr>
              <w:ind w:left="144"/>
            </w:pPr>
            <w:r w:rsidRPr="00AC5E9F">
              <w:t>World Health Organization</w:t>
            </w:r>
          </w:p>
        </w:tc>
      </w:tr>
    </w:tbl>
    <w:p w14:paraId="6B57EFFB" w14:textId="6C9E3036" w:rsidR="00FD119B" w:rsidRPr="00FD119B" w:rsidRDefault="00FD119B" w:rsidP="00345763">
      <w:pPr>
        <w:spacing w:before="0" w:after="200" w:line="0" w:lineRule="auto"/>
        <w:rPr>
          <w:b/>
          <w:i/>
          <w:sz w:val="24"/>
          <w:szCs w:val="24"/>
        </w:rPr>
      </w:pPr>
    </w:p>
    <w:p w14:paraId="0386E083" w14:textId="77777777" w:rsidR="008E7846" w:rsidRDefault="00F53C07" w:rsidP="0028601D">
      <w:pPr>
        <w:pStyle w:val="Heading2"/>
        <w:keepNext w:val="0"/>
        <w:keepLines w:val="0"/>
        <w:pageBreakBefore/>
      </w:pPr>
      <w:bookmarkStart w:id="9" w:name="_Toc93695188"/>
      <w:r>
        <w:lastRenderedPageBreak/>
        <w:t>I.</w:t>
      </w:r>
      <w:r w:rsidR="008E7846">
        <w:t xml:space="preserve"> Introduction to product submission</w:t>
      </w:r>
      <w:bookmarkEnd w:id="9"/>
      <w:bookmarkEnd w:id="2"/>
      <w:bookmarkEnd w:id="0"/>
    </w:p>
    <w:p w14:paraId="685FA0E8" w14:textId="77777777" w:rsidR="008E7846" w:rsidRDefault="008E7846" w:rsidP="00345763">
      <w:pPr>
        <w:pStyle w:val="Heading3"/>
        <w:keepNext w:val="0"/>
        <w:keepLines w:val="0"/>
        <w:rPr>
          <w:lang w:eastAsia="en-AU"/>
        </w:rPr>
      </w:pPr>
      <w:bookmarkStart w:id="10" w:name="_Toc247691502"/>
      <w:bookmarkStart w:id="11" w:name="_Toc314842483"/>
      <w:bookmarkStart w:id="12" w:name="_Toc93695189"/>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753C664" w14:textId="77777777" w:rsidTr="003735BC">
        <w:tc>
          <w:tcPr>
            <w:tcW w:w="2907" w:type="dxa"/>
          </w:tcPr>
          <w:p w14:paraId="37ACE1A3" w14:textId="77777777" w:rsidR="008E7846" w:rsidRPr="003D1E62" w:rsidRDefault="001B5C90" w:rsidP="00345763">
            <w:pPr>
              <w:rPr>
                <w:i/>
              </w:rPr>
            </w:pPr>
            <w:r>
              <w:rPr>
                <w:i/>
              </w:rPr>
              <w:t>Type of s</w:t>
            </w:r>
            <w:r w:rsidR="008E7846" w:rsidRPr="003D1E62">
              <w:rPr>
                <w:i/>
              </w:rPr>
              <w:t>ubmission</w:t>
            </w:r>
            <w:r>
              <w:rPr>
                <w:i/>
              </w:rPr>
              <w:t>:</w:t>
            </w:r>
          </w:p>
        </w:tc>
        <w:tc>
          <w:tcPr>
            <w:tcW w:w="6307" w:type="dxa"/>
          </w:tcPr>
          <w:p w14:paraId="7E58FFA1" w14:textId="644F1718" w:rsidR="008E7846" w:rsidRPr="003D1E62" w:rsidRDefault="008E7846" w:rsidP="00345763">
            <w:r w:rsidRPr="003D1E62">
              <w:t xml:space="preserve">New </w:t>
            </w:r>
            <w:r w:rsidR="00E16C6F">
              <w:t>biological</w:t>
            </w:r>
            <w:r w:rsidRPr="003D1E62">
              <w:t xml:space="preserve"> </w:t>
            </w:r>
            <w:r w:rsidR="001B5C90">
              <w:t>e</w:t>
            </w:r>
            <w:r w:rsidRPr="003D1E62">
              <w:t>ntity</w:t>
            </w:r>
          </w:p>
        </w:tc>
      </w:tr>
      <w:tr w:rsidR="00460036" w:rsidRPr="003D1E62" w14:paraId="5797073F" w14:textId="77777777" w:rsidTr="003735BC">
        <w:tc>
          <w:tcPr>
            <w:tcW w:w="2907" w:type="dxa"/>
          </w:tcPr>
          <w:p w14:paraId="23EEAA65" w14:textId="03E88726" w:rsidR="00460036" w:rsidRPr="003D1E62" w:rsidRDefault="00460036" w:rsidP="00345763">
            <w:pPr>
              <w:rPr>
                <w:i/>
              </w:rPr>
            </w:pPr>
            <w:r w:rsidRPr="00460036">
              <w:rPr>
                <w:i/>
              </w:rPr>
              <w:t>Product name:</w:t>
            </w:r>
          </w:p>
        </w:tc>
        <w:tc>
          <w:tcPr>
            <w:tcW w:w="6307" w:type="dxa"/>
          </w:tcPr>
          <w:p w14:paraId="160BA3C9" w14:textId="478A9CE7" w:rsidR="00460036" w:rsidRPr="003D1E62" w:rsidRDefault="00E16C6F" w:rsidP="00345763">
            <w:proofErr w:type="spellStart"/>
            <w:r>
              <w:t>Nuvaxovid</w:t>
            </w:r>
            <w:proofErr w:type="spellEnd"/>
          </w:p>
        </w:tc>
      </w:tr>
      <w:tr w:rsidR="00460036" w:rsidRPr="003D1E62" w14:paraId="70473CFF" w14:textId="77777777" w:rsidTr="003735BC">
        <w:tc>
          <w:tcPr>
            <w:tcW w:w="2907" w:type="dxa"/>
          </w:tcPr>
          <w:p w14:paraId="57FDE2B0" w14:textId="65BE5F63" w:rsidR="00460036" w:rsidRPr="003D1E62" w:rsidRDefault="00460036" w:rsidP="00345763">
            <w:pPr>
              <w:rPr>
                <w:i/>
              </w:rPr>
            </w:pPr>
            <w:r w:rsidRPr="00460036">
              <w:rPr>
                <w:i/>
              </w:rPr>
              <w:t>Active ingredient:</w:t>
            </w:r>
          </w:p>
        </w:tc>
        <w:tc>
          <w:tcPr>
            <w:tcW w:w="6307" w:type="dxa"/>
          </w:tcPr>
          <w:p w14:paraId="41EE5BDE" w14:textId="0BD3B14F" w:rsidR="00460036" w:rsidRPr="003D1E62" w:rsidRDefault="00E16C6F" w:rsidP="00345763">
            <w:r>
              <w:t>S</w:t>
            </w:r>
            <w:r w:rsidRPr="00E16C6F">
              <w:t>evere acute respiratory syndrome coronavirus 2</w:t>
            </w:r>
            <w:r>
              <w:t xml:space="preserve"> (SARS-CoV-2) recombinant spike protein (</w:t>
            </w:r>
            <w:proofErr w:type="spellStart"/>
            <w:r>
              <w:t>rS</w:t>
            </w:r>
            <w:proofErr w:type="spellEnd"/>
            <w:r>
              <w:t xml:space="preserve">) with </w:t>
            </w:r>
            <w:r w:rsidR="00257CD1">
              <w:t>M</w:t>
            </w:r>
            <w:r>
              <w:t>atrix M adjuvant</w:t>
            </w:r>
          </w:p>
        </w:tc>
      </w:tr>
      <w:tr w:rsidR="008E7846" w:rsidRPr="003D1E62" w14:paraId="27D980F6" w14:textId="77777777" w:rsidTr="003735BC">
        <w:tc>
          <w:tcPr>
            <w:tcW w:w="2907" w:type="dxa"/>
          </w:tcPr>
          <w:p w14:paraId="77FBEB4F" w14:textId="77777777" w:rsidR="008E7846" w:rsidRPr="003D1E62" w:rsidRDefault="008E7846" w:rsidP="00345763">
            <w:r w:rsidRPr="003D1E62">
              <w:rPr>
                <w:i/>
              </w:rPr>
              <w:t>Decision</w:t>
            </w:r>
            <w:r w:rsidRPr="003D1E62">
              <w:t>:</w:t>
            </w:r>
          </w:p>
        </w:tc>
        <w:tc>
          <w:tcPr>
            <w:tcW w:w="6307" w:type="dxa"/>
          </w:tcPr>
          <w:p w14:paraId="167F2C77" w14:textId="047CE6A3" w:rsidR="008E7846" w:rsidRPr="003D1E62" w:rsidRDefault="009C25D7" w:rsidP="00345763">
            <w:r w:rsidRPr="009C25D7">
              <w:t>Approved for provisional registration</w:t>
            </w:r>
          </w:p>
        </w:tc>
      </w:tr>
      <w:tr w:rsidR="008E7846" w:rsidRPr="003D1E62" w14:paraId="456190FF" w14:textId="77777777" w:rsidTr="003735BC">
        <w:tc>
          <w:tcPr>
            <w:tcW w:w="2907" w:type="dxa"/>
          </w:tcPr>
          <w:p w14:paraId="5E352BE4" w14:textId="77777777" w:rsidR="008E7846" w:rsidRPr="003D1E62" w:rsidRDefault="008E7846" w:rsidP="00345763">
            <w:pPr>
              <w:rPr>
                <w:i/>
              </w:rPr>
            </w:pPr>
            <w:r w:rsidRPr="003D1E62">
              <w:rPr>
                <w:i/>
              </w:rPr>
              <w:t xml:space="preserve">Date of </w:t>
            </w:r>
            <w:r w:rsidR="001B5C90">
              <w:rPr>
                <w:i/>
              </w:rPr>
              <w:t>d</w:t>
            </w:r>
            <w:r w:rsidRPr="003D1E62">
              <w:rPr>
                <w:i/>
              </w:rPr>
              <w:t>ecision:</w:t>
            </w:r>
          </w:p>
        </w:tc>
        <w:tc>
          <w:tcPr>
            <w:tcW w:w="6307" w:type="dxa"/>
          </w:tcPr>
          <w:p w14:paraId="38E1B174" w14:textId="0B251B84" w:rsidR="008E7846" w:rsidRPr="003D1E62" w:rsidRDefault="00F54C44" w:rsidP="00345763">
            <w:r w:rsidRPr="00F54C44">
              <w:t>19 January 2022</w:t>
            </w:r>
          </w:p>
        </w:tc>
      </w:tr>
      <w:tr w:rsidR="00ED2922" w:rsidRPr="003D1E62" w14:paraId="6FDF8632" w14:textId="77777777" w:rsidTr="003735BC">
        <w:tc>
          <w:tcPr>
            <w:tcW w:w="2907" w:type="dxa"/>
          </w:tcPr>
          <w:p w14:paraId="4B046904" w14:textId="77777777" w:rsidR="00ED2922" w:rsidRPr="00441C3F" w:rsidRDefault="00ED2922" w:rsidP="00345763">
            <w:pPr>
              <w:rPr>
                <w:i/>
              </w:rPr>
            </w:pPr>
            <w:r w:rsidRPr="00441C3F">
              <w:rPr>
                <w:i/>
              </w:rPr>
              <w:t>Date of entry onto ARTG</w:t>
            </w:r>
            <w:r w:rsidR="00500337">
              <w:rPr>
                <w:i/>
              </w:rPr>
              <w:t>:</w:t>
            </w:r>
          </w:p>
        </w:tc>
        <w:tc>
          <w:tcPr>
            <w:tcW w:w="6307" w:type="dxa"/>
          </w:tcPr>
          <w:p w14:paraId="033DAB41" w14:textId="0BAC84FA" w:rsidR="00ED2922" w:rsidRPr="00441C3F" w:rsidRDefault="00E60E70" w:rsidP="00345763">
            <w:pPr>
              <w:rPr>
                <w:i/>
              </w:rPr>
            </w:pPr>
            <w:r>
              <w:t>2</w:t>
            </w:r>
            <w:r w:rsidR="00EB4A29">
              <w:t>0</w:t>
            </w:r>
            <w:r>
              <w:t xml:space="preserve"> January 2022</w:t>
            </w:r>
          </w:p>
        </w:tc>
      </w:tr>
      <w:tr w:rsidR="00500337" w:rsidRPr="003D1E62" w14:paraId="552E0187" w14:textId="77777777" w:rsidTr="003735BC">
        <w:tc>
          <w:tcPr>
            <w:tcW w:w="2907" w:type="dxa"/>
          </w:tcPr>
          <w:p w14:paraId="6D2C2519" w14:textId="78016D6C" w:rsidR="00500337" w:rsidRPr="00441C3F" w:rsidRDefault="00500337" w:rsidP="00345763">
            <w:pPr>
              <w:rPr>
                <w:i/>
              </w:rPr>
            </w:pPr>
            <w:r>
              <w:rPr>
                <w:i/>
              </w:rPr>
              <w:t>ARTG number:</w:t>
            </w:r>
          </w:p>
        </w:tc>
        <w:tc>
          <w:tcPr>
            <w:tcW w:w="6307" w:type="dxa"/>
          </w:tcPr>
          <w:p w14:paraId="51982771" w14:textId="7EA01CB1" w:rsidR="00500337" w:rsidRPr="00441C3F" w:rsidRDefault="00E60E70" w:rsidP="00345763">
            <w:r w:rsidRPr="00E60E70">
              <w:t>355139</w:t>
            </w:r>
          </w:p>
        </w:tc>
      </w:tr>
      <w:tr w:rsidR="003735BC" w:rsidRPr="003D1E62" w14:paraId="163D6947" w14:textId="77777777" w:rsidTr="003735BC">
        <w:tc>
          <w:tcPr>
            <w:tcW w:w="2907" w:type="dxa"/>
          </w:tcPr>
          <w:p w14:paraId="60FD6BF6" w14:textId="577A26EE" w:rsidR="003735BC" w:rsidRDefault="00FA5069" w:rsidP="00345763">
            <w:pPr>
              <w:rPr>
                <w:i/>
              </w:rPr>
            </w:pPr>
            <w:r>
              <w:rPr>
                <w:rFonts w:ascii="Wingdings 3" w:hAnsi="Wingdings 3"/>
                <w:sz w:val="34"/>
                <w:szCs w:val="34"/>
                <w:lang w:eastAsia="en-AU"/>
              </w:rPr>
              <w:t></w:t>
            </w:r>
            <w:r w:rsidR="003735BC" w:rsidRPr="003735BC">
              <w:rPr>
                <w:i/>
              </w:rPr>
              <w:t>Black Triangle Scheme</w:t>
            </w:r>
            <w:r w:rsidR="004C4FBE">
              <w:rPr>
                <w:i/>
              </w:rPr>
              <w:t>:</w:t>
            </w:r>
            <w:r w:rsidR="00C41FF6">
              <w:rPr>
                <w:rFonts w:ascii="ZWAdobeF" w:hAnsi="ZWAdobeF" w:cs="ZWAdobeF"/>
                <w:sz w:val="2"/>
                <w:szCs w:val="2"/>
              </w:rPr>
              <w:t>P0F</w:t>
            </w:r>
            <w:r w:rsidR="00460036">
              <w:rPr>
                <w:rStyle w:val="FootnoteReference"/>
                <w:i/>
              </w:rPr>
              <w:footnoteReference w:id="1"/>
            </w:r>
          </w:p>
        </w:tc>
        <w:tc>
          <w:tcPr>
            <w:tcW w:w="6307" w:type="dxa"/>
          </w:tcPr>
          <w:p w14:paraId="4FD28C87" w14:textId="77777777" w:rsidR="003735BC" w:rsidRPr="009C25D7" w:rsidRDefault="009C25D7" w:rsidP="00345763">
            <w:r w:rsidRPr="009C25D7">
              <w:t>Yes</w:t>
            </w:r>
          </w:p>
          <w:p w14:paraId="19B37FE0" w14:textId="754FB6A8" w:rsidR="009C25D7" w:rsidRPr="00487162" w:rsidRDefault="009C25D7" w:rsidP="00345763">
            <w:r w:rsidRPr="009C25D7">
              <w:t>As a provisionally registered product, this medicine will remain in the Black Triangle Scheme for the duration of its provisional registration</w:t>
            </w:r>
          </w:p>
        </w:tc>
      </w:tr>
    </w:tbl>
    <w:p w14:paraId="4CFC8569" w14:textId="77777777" w:rsidR="008E7846" w:rsidRDefault="008E7846" w:rsidP="00345763"/>
    <w:tbl>
      <w:tblPr>
        <w:tblW w:w="9214" w:type="dxa"/>
        <w:tblInd w:w="108" w:type="dxa"/>
        <w:tblLook w:val="01E0" w:firstRow="1" w:lastRow="1" w:firstColumn="1" w:lastColumn="1" w:noHBand="0" w:noVBand="0"/>
      </w:tblPr>
      <w:tblGrid>
        <w:gridCol w:w="2907"/>
        <w:gridCol w:w="6307"/>
      </w:tblGrid>
      <w:tr w:rsidR="008E7846" w:rsidRPr="00487162" w14:paraId="536EC9AF" w14:textId="77777777" w:rsidTr="00BF1190">
        <w:tc>
          <w:tcPr>
            <w:tcW w:w="2907" w:type="dxa"/>
          </w:tcPr>
          <w:p w14:paraId="0E96E4F7" w14:textId="77777777" w:rsidR="008E7846" w:rsidRPr="00487162" w:rsidRDefault="008E7846" w:rsidP="00345763">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58AD72A" w14:textId="77777777" w:rsidR="00E16C6F" w:rsidRDefault="00E16C6F" w:rsidP="00345763">
            <w:proofErr w:type="spellStart"/>
            <w:r>
              <w:t>Biocelect</w:t>
            </w:r>
            <w:proofErr w:type="spellEnd"/>
            <w:r>
              <w:t xml:space="preserve"> Pty Ltd</w:t>
            </w:r>
          </w:p>
          <w:p w14:paraId="7A6D408B" w14:textId="77777777" w:rsidR="00E16C6F" w:rsidRDefault="00E16C6F" w:rsidP="00345763">
            <w:r>
              <w:t>Suite 502 Level 5</w:t>
            </w:r>
          </w:p>
          <w:p w14:paraId="4DDA86B6" w14:textId="653FB397" w:rsidR="008E7846" w:rsidRPr="00487162" w:rsidRDefault="00E16C6F" w:rsidP="00345763">
            <w:r>
              <w:t>139 Macquarie Street, NSW 2000</w:t>
            </w:r>
          </w:p>
        </w:tc>
      </w:tr>
      <w:tr w:rsidR="008E7846" w:rsidRPr="00487162" w14:paraId="092FCDD5" w14:textId="77777777" w:rsidTr="00BF1190">
        <w:tc>
          <w:tcPr>
            <w:tcW w:w="2907" w:type="dxa"/>
          </w:tcPr>
          <w:p w14:paraId="5C3C290C" w14:textId="22B10181" w:rsidR="008E7846" w:rsidRPr="00487162" w:rsidRDefault="001B5C90" w:rsidP="00345763">
            <w:pPr>
              <w:rPr>
                <w:i/>
              </w:rPr>
            </w:pPr>
            <w:r>
              <w:rPr>
                <w:i/>
              </w:rPr>
              <w:t>Dose form:</w:t>
            </w:r>
          </w:p>
        </w:tc>
        <w:tc>
          <w:tcPr>
            <w:tcW w:w="6307" w:type="dxa"/>
          </w:tcPr>
          <w:p w14:paraId="0AFF8F79" w14:textId="69200496" w:rsidR="008E7846" w:rsidRPr="00487162" w:rsidRDefault="00AA0631" w:rsidP="00345763">
            <w:r>
              <w:t>S</w:t>
            </w:r>
            <w:r w:rsidR="00AC5E9F">
              <w:t>uspension</w:t>
            </w:r>
            <w:r>
              <w:t xml:space="preserve"> for injection</w:t>
            </w:r>
          </w:p>
        </w:tc>
      </w:tr>
      <w:tr w:rsidR="008E7846" w:rsidRPr="00487162" w14:paraId="2DA66C5E" w14:textId="77777777" w:rsidTr="00BF1190">
        <w:tc>
          <w:tcPr>
            <w:tcW w:w="2907" w:type="dxa"/>
          </w:tcPr>
          <w:p w14:paraId="09F812B0" w14:textId="756F8EB6" w:rsidR="008E7846" w:rsidRPr="00487162" w:rsidRDefault="00324E45" w:rsidP="00345763">
            <w:pPr>
              <w:rPr>
                <w:i/>
              </w:rPr>
            </w:pPr>
            <w:r>
              <w:rPr>
                <w:i/>
              </w:rPr>
              <w:t>Strength:</w:t>
            </w:r>
          </w:p>
        </w:tc>
        <w:tc>
          <w:tcPr>
            <w:tcW w:w="6307" w:type="dxa"/>
          </w:tcPr>
          <w:p w14:paraId="0CF1A728" w14:textId="56586CF9" w:rsidR="008E7846" w:rsidRPr="00487162" w:rsidRDefault="00AA0631" w:rsidP="00345763">
            <w:r>
              <w:t>5 µg/0.5mL</w:t>
            </w:r>
          </w:p>
        </w:tc>
      </w:tr>
      <w:tr w:rsidR="008E7846" w:rsidRPr="00487162" w14:paraId="17D8D636" w14:textId="77777777" w:rsidTr="00BF1190">
        <w:tc>
          <w:tcPr>
            <w:tcW w:w="2907" w:type="dxa"/>
          </w:tcPr>
          <w:p w14:paraId="64982CE2" w14:textId="05CCC19A" w:rsidR="008E7846" w:rsidRPr="00487162" w:rsidRDefault="008E7846" w:rsidP="00345763">
            <w:pPr>
              <w:rPr>
                <w:i/>
              </w:rPr>
            </w:pPr>
            <w:r w:rsidRPr="00487162">
              <w:rPr>
                <w:i/>
              </w:rPr>
              <w:t>Container:</w:t>
            </w:r>
          </w:p>
        </w:tc>
        <w:tc>
          <w:tcPr>
            <w:tcW w:w="6307" w:type="dxa"/>
          </w:tcPr>
          <w:p w14:paraId="3CFED908" w14:textId="2849EB10" w:rsidR="008E7846" w:rsidRPr="00487162" w:rsidRDefault="00AA0631" w:rsidP="00345763">
            <w:r>
              <w:t>Multidose vial</w:t>
            </w:r>
          </w:p>
        </w:tc>
      </w:tr>
      <w:tr w:rsidR="008E7846" w:rsidRPr="00487162" w14:paraId="464B9D2E" w14:textId="77777777" w:rsidTr="00BF1190">
        <w:tc>
          <w:tcPr>
            <w:tcW w:w="2907" w:type="dxa"/>
          </w:tcPr>
          <w:p w14:paraId="749E81F9" w14:textId="5C37D97D" w:rsidR="008E7846" w:rsidRPr="00487162" w:rsidRDefault="008E7846" w:rsidP="00345763">
            <w:pPr>
              <w:rPr>
                <w:i/>
              </w:rPr>
            </w:pPr>
            <w:r w:rsidRPr="00487162">
              <w:rPr>
                <w:i/>
              </w:rPr>
              <w:t>Pack size:</w:t>
            </w:r>
          </w:p>
        </w:tc>
        <w:tc>
          <w:tcPr>
            <w:tcW w:w="6307" w:type="dxa"/>
          </w:tcPr>
          <w:p w14:paraId="7FED1BAC" w14:textId="3738AD61" w:rsidR="008E7846" w:rsidRPr="00487162" w:rsidRDefault="00272970" w:rsidP="00345763">
            <w:r>
              <w:t>Ten</w:t>
            </w:r>
            <w:r w:rsidR="008562C3">
              <w:t xml:space="preserve"> vials</w:t>
            </w:r>
          </w:p>
        </w:tc>
      </w:tr>
      <w:tr w:rsidR="008E7846" w:rsidRPr="00487162" w14:paraId="1ABE6635" w14:textId="77777777" w:rsidTr="00BF1190">
        <w:tc>
          <w:tcPr>
            <w:tcW w:w="2907" w:type="dxa"/>
          </w:tcPr>
          <w:p w14:paraId="5DD9C5C0" w14:textId="77777777" w:rsidR="008E7846" w:rsidRPr="00487162" w:rsidRDefault="008E7846" w:rsidP="00345763">
            <w:pPr>
              <w:rPr>
                <w:i/>
              </w:rPr>
            </w:pPr>
            <w:r w:rsidRPr="00487162">
              <w:rPr>
                <w:i/>
              </w:rPr>
              <w:t xml:space="preserve">Approved </w:t>
            </w:r>
            <w:r w:rsidR="001B5C90">
              <w:rPr>
                <w:i/>
              </w:rPr>
              <w:t>t</w:t>
            </w:r>
            <w:r w:rsidRPr="00487162">
              <w:rPr>
                <w:i/>
              </w:rPr>
              <w:t>herapeutic use:</w:t>
            </w:r>
          </w:p>
        </w:tc>
        <w:tc>
          <w:tcPr>
            <w:tcW w:w="6307" w:type="dxa"/>
          </w:tcPr>
          <w:p w14:paraId="3DF3B59D" w14:textId="62CB4FAF" w:rsidR="00E60E70" w:rsidRPr="00E60E70" w:rsidRDefault="00E60E70" w:rsidP="00345763">
            <w:pPr>
              <w:rPr>
                <w:i/>
                <w:iCs/>
              </w:rPr>
            </w:pPr>
            <w:r w:rsidRPr="00E60E70">
              <w:rPr>
                <w:i/>
                <w:iCs/>
              </w:rPr>
              <w:t>Active immunisation to prevent coronavirus disease 2019 (COVID-19) caused by SARS-CoV-2 in individuals 18 years of age and older.</w:t>
            </w:r>
          </w:p>
          <w:p w14:paraId="498B1A02" w14:textId="77777777" w:rsidR="00E60E70" w:rsidRPr="00E60E70" w:rsidRDefault="00E60E70" w:rsidP="00345763">
            <w:pPr>
              <w:rPr>
                <w:i/>
                <w:iCs/>
              </w:rPr>
            </w:pPr>
            <w:r w:rsidRPr="00E60E70">
              <w:rPr>
                <w:i/>
                <w:iCs/>
              </w:rPr>
              <w:t>The use of this vaccine should be in accordance with official recommendations.</w:t>
            </w:r>
          </w:p>
          <w:p w14:paraId="06844101" w14:textId="3F04C2AC" w:rsidR="008E7846" w:rsidRPr="00E60E70" w:rsidRDefault="00E60E70" w:rsidP="00345763">
            <w:r w:rsidRPr="00E60E70">
              <w:rPr>
                <w:i/>
                <w:iCs/>
              </w:rPr>
              <w:t>The decision has been made on the basis of short-term efficacy and safety data. Continued approval depends on the evidence of longer term efficacy and safety from ongoing clinical trials post-market assessment</w:t>
            </w:r>
          </w:p>
        </w:tc>
      </w:tr>
      <w:tr w:rsidR="008E7846" w:rsidRPr="00487162" w14:paraId="53C4F8C9" w14:textId="77777777" w:rsidTr="00BF1190">
        <w:tc>
          <w:tcPr>
            <w:tcW w:w="2907" w:type="dxa"/>
          </w:tcPr>
          <w:p w14:paraId="1563C47E" w14:textId="02446842" w:rsidR="008E7846" w:rsidRPr="00487162" w:rsidRDefault="008E7846" w:rsidP="00345763">
            <w:pPr>
              <w:rPr>
                <w:i/>
              </w:rPr>
            </w:pPr>
            <w:r w:rsidRPr="00487162">
              <w:rPr>
                <w:i/>
              </w:rPr>
              <w:lastRenderedPageBreak/>
              <w:t>Route of administration:</w:t>
            </w:r>
          </w:p>
        </w:tc>
        <w:tc>
          <w:tcPr>
            <w:tcW w:w="6307" w:type="dxa"/>
          </w:tcPr>
          <w:p w14:paraId="2F75C2F5" w14:textId="2174F1A3" w:rsidR="008E7846" w:rsidRPr="00487162" w:rsidRDefault="00AA0631" w:rsidP="00345763">
            <w:r>
              <w:t>I</w:t>
            </w:r>
            <w:r w:rsidRPr="00AA0631">
              <w:t>ntramuscular injection</w:t>
            </w:r>
          </w:p>
        </w:tc>
      </w:tr>
      <w:tr w:rsidR="008E7846" w:rsidRPr="00487162" w14:paraId="1524511E" w14:textId="77777777" w:rsidTr="00BF1190">
        <w:tc>
          <w:tcPr>
            <w:tcW w:w="2907" w:type="dxa"/>
          </w:tcPr>
          <w:p w14:paraId="4689114F" w14:textId="77777777" w:rsidR="008E7846" w:rsidRPr="00487162" w:rsidRDefault="008E7846" w:rsidP="00345763">
            <w:pPr>
              <w:rPr>
                <w:i/>
              </w:rPr>
            </w:pPr>
            <w:r w:rsidRPr="00487162">
              <w:rPr>
                <w:i/>
              </w:rPr>
              <w:t>Dosage:</w:t>
            </w:r>
          </w:p>
        </w:tc>
        <w:tc>
          <w:tcPr>
            <w:tcW w:w="6307" w:type="dxa"/>
          </w:tcPr>
          <w:p w14:paraId="5ECEB56B" w14:textId="3B523D33" w:rsidR="00EC7155" w:rsidRDefault="00EC7155" w:rsidP="00345763">
            <w:proofErr w:type="spellStart"/>
            <w:r>
              <w:t>Nuvaxovid</w:t>
            </w:r>
            <w:proofErr w:type="spellEnd"/>
            <w:r>
              <w:t xml:space="preserve"> is administered intramuscularly as a course of </w:t>
            </w:r>
            <w:r w:rsidR="00272970">
              <w:t>two</w:t>
            </w:r>
            <w:r>
              <w:t xml:space="preserve"> doses of 0.5 mL each.</w:t>
            </w:r>
            <w:r w:rsidR="0014718A">
              <w:t xml:space="preserve"> I</w:t>
            </w:r>
            <w:r>
              <w:t xml:space="preserve">t is recommended that the second dose is to be administered </w:t>
            </w:r>
            <w:r w:rsidR="00272970">
              <w:t>three</w:t>
            </w:r>
            <w:r>
              <w:t xml:space="preserve"> weeks after the first dose, see </w:t>
            </w:r>
            <w:r w:rsidR="0014718A">
              <w:t>S</w:t>
            </w:r>
            <w:r>
              <w:t>ection</w:t>
            </w:r>
            <w:r w:rsidR="008562C3">
              <w:t> </w:t>
            </w:r>
            <w:r>
              <w:t>5.1</w:t>
            </w:r>
            <w:r w:rsidR="0014718A">
              <w:t xml:space="preserve"> of the Product Information (PI)</w:t>
            </w:r>
            <w:r>
              <w:t>.</w:t>
            </w:r>
          </w:p>
          <w:p w14:paraId="3B12A522" w14:textId="23BE4D53" w:rsidR="00EC7155" w:rsidRDefault="00EC7155" w:rsidP="00345763">
            <w:r>
              <w:t xml:space="preserve">There are no data available on the interchangeability of </w:t>
            </w:r>
            <w:proofErr w:type="spellStart"/>
            <w:r>
              <w:t>N</w:t>
            </w:r>
            <w:r w:rsidR="0014718A">
              <w:t>uvaxovid</w:t>
            </w:r>
            <w:proofErr w:type="spellEnd"/>
            <w:r>
              <w:t xml:space="preserve"> with other COVID-19 vaccines to complete the primary vaccination course. Individuals who have received a first dose of </w:t>
            </w:r>
            <w:proofErr w:type="spellStart"/>
            <w:r w:rsidR="0014718A">
              <w:t>Nuvaxovid</w:t>
            </w:r>
            <w:proofErr w:type="spellEnd"/>
            <w:r>
              <w:t xml:space="preserve"> should receive the second dose of </w:t>
            </w:r>
            <w:proofErr w:type="spellStart"/>
            <w:r w:rsidR="0014718A">
              <w:t>Nuvaxovid</w:t>
            </w:r>
            <w:proofErr w:type="spellEnd"/>
            <w:r>
              <w:t xml:space="preserve"> to complete the vaccination course, see </w:t>
            </w:r>
            <w:r w:rsidR="0014718A">
              <w:t>S</w:t>
            </w:r>
            <w:r>
              <w:t>ection 4.4</w:t>
            </w:r>
            <w:r w:rsidR="0014718A">
              <w:t xml:space="preserve"> of the PI</w:t>
            </w:r>
            <w:r>
              <w:t>.</w:t>
            </w:r>
          </w:p>
          <w:p w14:paraId="1369D8D2" w14:textId="60582618" w:rsidR="008E7846" w:rsidRDefault="00EC7155" w:rsidP="00345763">
            <w:r>
              <w:t xml:space="preserve">For precautions for administering the vaccine, see </w:t>
            </w:r>
            <w:r w:rsidR="0014718A">
              <w:t>S</w:t>
            </w:r>
            <w:r>
              <w:t>ection 4.4</w:t>
            </w:r>
            <w:r w:rsidR="0014718A">
              <w:t xml:space="preserve"> of PI.</w:t>
            </w:r>
          </w:p>
          <w:p w14:paraId="5EAFB0F3" w14:textId="3BE4FC43" w:rsidR="00460036" w:rsidRPr="00487162" w:rsidRDefault="00460036" w:rsidP="00345763">
            <w:r w:rsidRPr="00460036">
              <w:t xml:space="preserve">For further information regarding dosage, refer to the </w:t>
            </w:r>
            <w:r w:rsidR="0014718A">
              <w:t>PI</w:t>
            </w:r>
            <w:r w:rsidRPr="00460036">
              <w:t>.</w:t>
            </w:r>
          </w:p>
        </w:tc>
      </w:tr>
      <w:tr w:rsidR="00460036" w:rsidRPr="00487162" w14:paraId="17B01F1D" w14:textId="77777777" w:rsidTr="00BF1190">
        <w:tc>
          <w:tcPr>
            <w:tcW w:w="2907" w:type="dxa"/>
          </w:tcPr>
          <w:p w14:paraId="2D48A286" w14:textId="77777777" w:rsidR="00460036" w:rsidRPr="00487162" w:rsidRDefault="00460036" w:rsidP="00345763">
            <w:pPr>
              <w:rPr>
                <w:i/>
              </w:rPr>
            </w:pPr>
            <w:r w:rsidRPr="00460036">
              <w:rPr>
                <w:i/>
              </w:rPr>
              <w:t>Pregnancy category</w:t>
            </w:r>
            <w:r>
              <w:rPr>
                <w:i/>
              </w:rPr>
              <w:t>:</w:t>
            </w:r>
          </w:p>
        </w:tc>
        <w:tc>
          <w:tcPr>
            <w:tcW w:w="6307" w:type="dxa"/>
          </w:tcPr>
          <w:p w14:paraId="416C530F" w14:textId="77777777" w:rsidR="0014718A" w:rsidRDefault="0014718A" w:rsidP="00345763">
            <w:r>
              <w:t>B1</w:t>
            </w:r>
          </w:p>
          <w:p w14:paraId="06E4E555" w14:textId="1DD29569" w:rsidR="0014718A" w:rsidRDefault="0014718A" w:rsidP="00345763">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139DA406" w14:textId="3C5BDDA3" w:rsidR="0014718A" w:rsidRDefault="0014718A" w:rsidP="00345763">
            <w:r>
              <w:t xml:space="preserve">Studies in animals have not shown evidence of an increased occurrence of </w:t>
            </w:r>
            <w:proofErr w:type="spellStart"/>
            <w:r>
              <w:t>fetal</w:t>
            </w:r>
            <w:proofErr w:type="spellEnd"/>
            <w:r>
              <w:t xml:space="preserve"> damage.</w:t>
            </w:r>
          </w:p>
          <w:p w14:paraId="32A8FAF4" w14:textId="4DB77F5B" w:rsidR="00460036" w:rsidRPr="00487162" w:rsidRDefault="00460036" w:rsidP="00345763">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AA6560E" w14:textId="77777777" w:rsidR="008E7846" w:rsidRDefault="008E7846" w:rsidP="00345763">
      <w:pPr>
        <w:pStyle w:val="Heading3"/>
        <w:keepNext w:val="0"/>
        <w:keepLines w:val="0"/>
      </w:pPr>
      <w:bookmarkStart w:id="13" w:name="_Toc247691503"/>
      <w:bookmarkStart w:id="14" w:name="_Toc314842484"/>
      <w:bookmarkStart w:id="15" w:name="_Toc93695190"/>
      <w:r>
        <w:t>Product background</w:t>
      </w:r>
      <w:bookmarkEnd w:id="13"/>
      <w:bookmarkEnd w:id="14"/>
      <w:bookmarkEnd w:id="15"/>
    </w:p>
    <w:p w14:paraId="3A402B9B" w14:textId="627727BE" w:rsidR="008E7846" w:rsidRDefault="00250271" w:rsidP="00345763">
      <w:r w:rsidRPr="00250271">
        <w:t xml:space="preserve">This </w:t>
      </w:r>
      <w:proofErr w:type="spellStart"/>
      <w:r w:rsidRPr="00250271">
        <w:t>AusPAR</w:t>
      </w:r>
      <w:proofErr w:type="spellEnd"/>
      <w:r w:rsidRPr="00250271">
        <w:t xml:space="preserve"> describes the application by </w:t>
      </w:r>
      <w:proofErr w:type="spellStart"/>
      <w:r w:rsidR="0014718A">
        <w:t>Biocelect</w:t>
      </w:r>
      <w:proofErr w:type="spellEnd"/>
      <w:r w:rsidR="0014718A">
        <w:t xml:space="preserve"> Pty Ltd</w:t>
      </w:r>
      <w:r w:rsidRPr="00250271">
        <w:t xml:space="preserve"> (the sponsor) to register </w:t>
      </w:r>
      <w:proofErr w:type="spellStart"/>
      <w:r w:rsidR="0014718A">
        <w:t>Nuvaxovid</w:t>
      </w:r>
      <w:proofErr w:type="spellEnd"/>
      <w:r w:rsidR="0014718A">
        <w:t xml:space="preserve"> (SARS-CoV-2 </w:t>
      </w:r>
      <w:proofErr w:type="spellStart"/>
      <w:r w:rsidR="0014718A">
        <w:t>rS</w:t>
      </w:r>
      <w:proofErr w:type="spellEnd"/>
      <w:r w:rsidR="0014718A">
        <w:t xml:space="preserve"> with matrix M adjuvant</w:t>
      </w:r>
      <w:r w:rsidRPr="00250271">
        <w:t xml:space="preserve">) </w:t>
      </w:r>
      <w:r w:rsidR="0014718A">
        <w:t>5 µg/0.5mL</w:t>
      </w:r>
      <w:r w:rsidRPr="00250271">
        <w:t xml:space="preserve">, </w:t>
      </w:r>
      <w:r w:rsidR="00457158">
        <w:t>suspension for injection</w:t>
      </w:r>
      <w:r w:rsidR="008562C3">
        <w:t>, multidose vials,</w:t>
      </w:r>
      <w:r w:rsidRPr="00250271">
        <w:t xml:space="preserve"> for the following proposed indication</w:t>
      </w:r>
      <w:r w:rsidR="00CF5DAD">
        <w:t>:</w:t>
      </w:r>
    </w:p>
    <w:p w14:paraId="2C17DBBB" w14:textId="162A3070" w:rsidR="0014718A" w:rsidRPr="0014718A" w:rsidRDefault="0014718A" w:rsidP="00345763">
      <w:pPr>
        <w:ind w:left="720"/>
        <w:rPr>
          <w:i/>
          <w:iCs/>
        </w:rPr>
      </w:pPr>
      <w:r w:rsidRPr="0014718A">
        <w:rPr>
          <w:i/>
          <w:iCs/>
        </w:rPr>
        <w:t xml:space="preserve">Active immunisation for the prevention of mild, moderate, and severe disease caused by SARS-CoV-2 in adults </w:t>
      </w:r>
      <w:r>
        <w:rPr>
          <w:i/>
          <w:iCs/>
        </w:rPr>
        <w:t>≥</w:t>
      </w:r>
      <w:r w:rsidRPr="0014718A">
        <w:rPr>
          <w:i/>
          <w:iCs/>
        </w:rPr>
        <w:t xml:space="preserve"> 18 years of age.</w:t>
      </w:r>
    </w:p>
    <w:p w14:paraId="4291087D" w14:textId="44AD977E" w:rsidR="00B949BB" w:rsidRDefault="00B949BB" w:rsidP="00345763">
      <w:pPr>
        <w:pStyle w:val="Heading4"/>
        <w:keepNext w:val="0"/>
      </w:pPr>
      <w:bookmarkStart w:id="16" w:name="_Toc314842485"/>
      <w:bookmarkStart w:id="17" w:name="_Toc247691504"/>
      <w:r>
        <w:t>Coronavirus disease</w:t>
      </w:r>
    </w:p>
    <w:p w14:paraId="43DE8AB5" w14:textId="26800598" w:rsidR="00AC5E9F" w:rsidRPr="00AC5E9F" w:rsidRDefault="006254C9" w:rsidP="00345763">
      <w:r>
        <w:t>C</w:t>
      </w:r>
      <w:r w:rsidRPr="00AC5E9F">
        <w:t>oronavirus disease</w:t>
      </w:r>
      <w:r>
        <w:t xml:space="preserve"> 2019 (COVID-19)</w:t>
      </w:r>
      <w:r w:rsidRPr="00AC5E9F">
        <w:t xml:space="preserve"> </w:t>
      </w:r>
      <w:r>
        <w:t>is a</w:t>
      </w:r>
      <w:r w:rsidRPr="00AC5E9F">
        <w:t xml:space="preserve"> disease caused by infection with the pandemic virus </w:t>
      </w:r>
      <w:r>
        <w:t>known as s</w:t>
      </w:r>
      <w:r w:rsidRPr="00AC5E9F">
        <w:t>evere acute respiratory syndrome coronavirus 2</w:t>
      </w:r>
      <w:r>
        <w:t xml:space="preserve"> (</w:t>
      </w:r>
      <w:r w:rsidRPr="00AC5E9F">
        <w:t>SARS</w:t>
      </w:r>
      <w:r>
        <w:noBreakHyphen/>
      </w:r>
      <w:r w:rsidRPr="00AC5E9F">
        <w:t>CoV</w:t>
      </w:r>
      <w:r>
        <w:noBreakHyphen/>
      </w:r>
      <w:r w:rsidRPr="00AC5E9F">
        <w:t>2</w:t>
      </w:r>
      <w:r>
        <w:t>).</w:t>
      </w:r>
      <w:r w:rsidRPr="00AC5E9F">
        <w:t xml:space="preserve"> </w:t>
      </w:r>
      <w:r>
        <w:t xml:space="preserve">Since its emergence, first recognised in late 2019 </w:t>
      </w:r>
      <w:r w:rsidR="00AC5E9F" w:rsidRPr="00AC5E9F">
        <w:t>SARS-CoV-2 has spread rapidly and globally</w:t>
      </w:r>
      <w:r>
        <w:t xml:space="preserve">. </w:t>
      </w:r>
      <w:r w:rsidR="00AC5E9F" w:rsidRPr="00AC5E9F">
        <w:t xml:space="preserve">The World Health Organization (WHO) declared that the outbreak constituted a public health emergency of international concern on 30 January 2020 and declared the outbreak to be a </w:t>
      </w:r>
      <w:r w:rsidR="00AC5E9F" w:rsidRPr="00AC5E9F">
        <w:lastRenderedPageBreak/>
        <w:t>pandemic on 11 March 2020.</w:t>
      </w:r>
      <w:r w:rsidR="00C41FF6">
        <w:rPr>
          <w:rFonts w:ascii="ZWAdobeF" w:hAnsi="ZWAdobeF" w:cs="ZWAdobeF"/>
          <w:sz w:val="2"/>
          <w:szCs w:val="2"/>
        </w:rPr>
        <w:t>P1F</w:t>
      </w:r>
      <w:r w:rsidR="00AC5E9F">
        <w:rPr>
          <w:rStyle w:val="FootnoteReference"/>
        </w:rPr>
        <w:footnoteReference w:id="2"/>
      </w:r>
      <w:r w:rsidR="00AC5E9F" w:rsidRPr="00AC5E9F">
        <w:rPr>
          <w:vertAlign w:val="superscript"/>
        </w:rPr>
        <w:t>,</w:t>
      </w:r>
      <w:r w:rsidR="00C41FF6">
        <w:rPr>
          <w:rFonts w:ascii="ZWAdobeF" w:hAnsi="ZWAdobeF" w:cs="ZWAdobeF"/>
          <w:sz w:val="2"/>
          <w:szCs w:val="2"/>
        </w:rPr>
        <w:t>2F</w:t>
      </w:r>
      <w:r w:rsidR="00AC5E9F">
        <w:rPr>
          <w:rStyle w:val="FootnoteReference"/>
        </w:rPr>
        <w:footnoteReference w:id="3"/>
      </w:r>
      <w:r w:rsidR="00C41FF6">
        <w:rPr>
          <w:rFonts w:ascii="ZWAdobeF" w:hAnsi="ZWAdobeF" w:cs="ZWAdobeF"/>
          <w:sz w:val="2"/>
          <w:szCs w:val="2"/>
        </w:rPr>
        <w:t>P</w:t>
      </w:r>
      <w:r w:rsidR="00AC5E9F" w:rsidRPr="00AC5E9F">
        <w:t xml:space="preserve"> As of </w:t>
      </w:r>
      <w:r w:rsidR="00656694">
        <w:t>17</w:t>
      </w:r>
      <w:r w:rsidR="00AC5E9F">
        <w:t xml:space="preserve"> January 2022</w:t>
      </w:r>
      <w:r w:rsidR="00AC5E9F" w:rsidRPr="00AC5E9F">
        <w:t xml:space="preserve">, approximately </w:t>
      </w:r>
      <w:r w:rsidR="00656694">
        <w:t>32.6</w:t>
      </w:r>
      <w:r w:rsidR="00D00210">
        <w:t xml:space="preserve"> million</w:t>
      </w:r>
      <w:r w:rsidR="00D00210" w:rsidRPr="00AC5E9F">
        <w:t xml:space="preserve"> </w:t>
      </w:r>
      <w:r w:rsidR="00AC5E9F" w:rsidRPr="00AC5E9F">
        <w:t xml:space="preserve">cases and </w:t>
      </w:r>
      <w:r w:rsidR="00AC5E9F">
        <w:t>5</w:t>
      </w:r>
      <w:r w:rsidR="00D00210">
        <w:t>.</w:t>
      </w:r>
      <w:r w:rsidR="00656694">
        <w:t>5</w:t>
      </w:r>
      <w:r w:rsidR="00D00210">
        <w:t xml:space="preserve"> million</w:t>
      </w:r>
      <w:r w:rsidR="00AC5E9F" w:rsidRPr="00AC5E9F">
        <w:t xml:space="preserve"> deaths from COVID-19 have been reported worldwide.</w:t>
      </w:r>
      <w:r w:rsidR="00C41FF6">
        <w:rPr>
          <w:rFonts w:ascii="ZWAdobeF" w:hAnsi="ZWAdobeF" w:cs="ZWAdobeF"/>
          <w:sz w:val="2"/>
          <w:szCs w:val="2"/>
        </w:rPr>
        <w:t>P3F</w:t>
      </w:r>
      <w:r w:rsidR="00AC5E9F">
        <w:rPr>
          <w:rStyle w:val="FootnoteReference"/>
        </w:rPr>
        <w:footnoteReference w:id="4"/>
      </w:r>
      <w:r w:rsidR="00C41FF6">
        <w:rPr>
          <w:rFonts w:ascii="ZWAdobeF" w:hAnsi="ZWAdobeF" w:cs="ZWAdobeF"/>
          <w:sz w:val="2"/>
          <w:szCs w:val="2"/>
        </w:rPr>
        <w:t>P</w:t>
      </w:r>
      <w:r w:rsidR="00AC5E9F" w:rsidRPr="00AC5E9F">
        <w:t xml:space="preserve"> Of these, approximately </w:t>
      </w:r>
      <w:r w:rsidR="00656694">
        <w:t>1.3 million</w:t>
      </w:r>
      <w:r w:rsidR="00AC5E9F" w:rsidRPr="00AC5E9F">
        <w:t xml:space="preserve"> cases and </w:t>
      </w:r>
      <w:r w:rsidR="00656694">
        <w:t>2600</w:t>
      </w:r>
      <w:r w:rsidR="00AC5E9F" w:rsidRPr="00AC5E9F">
        <w:t xml:space="preserve"> deaths have been reported in Australia </w:t>
      </w:r>
      <w:r w:rsidR="00C41FF6">
        <w:rPr>
          <w:rFonts w:ascii="ZWAdobeF" w:hAnsi="ZWAdobeF" w:cs="ZWAdobeF"/>
          <w:sz w:val="2"/>
          <w:szCs w:val="2"/>
        </w:rPr>
        <w:t>P4F</w:t>
      </w:r>
      <w:r w:rsidR="006774CB">
        <w:rPr>
          <w:rStyle w:val="FootnoteReference"/>
        </w:rPr>
        <w:footnoteReference w:id="5"/>
      </w:r>
    </w:p>
    <w:p w14:paraId="4B7C2A6E" w14:textId="485C2E3B" w:rsidR="00AC5E9F" w:rsidRPr="00AC5E9F" w:rsidRDefault="00AC5E9F" w:rsidP="00345763">
      <w:r w:rsidRPr="00AC5E9F">
        <w:t>Respiratory symptoms of COVID-19 typically appear 5 to 6 days following exposure to the virus, but may appear</w:t>
      </w:r>
      <w:r w:rsidR="006254C9">
        <w:t xml:space="preserve"> at any time</w:t>
      </w:r>
      <w:r w:rsidRPr="00AC5E9F">
        <w:t xml:space="preserve"> from 2 to 14 days following exposure, with the clinical manifestations ranging from mild symptoms to severe illness or death</w:t>
      </w:r>
      <w:r w:rsidRPr="00F26528">
        <w:t>. Based on surveillance data reported by 22 countries, an estimated 22% (country range: 3</w:t>
      </w:r>
      <w:r w:rsidR="006774CB" w:rsidRPr="00F26528">
        <w:t xml:space="preserve"> to </w:t>
      </w:r>
      <w:r w:rsidRPr="00F26528">
        <w:t>60%) of reported COVID-19 cases have been hospitali</w:t>
      </w:r>
      <w:r w:rsidR="006774CB" w:rsidRPr="00F26528">
        <w:t>s</w:t>
      </w:r>
      <w:r w:rsidRPr="00F26528">
        <w:t>ed. Data from 17 countries show that a total of 9% (country range: 0</w:t>
      </w:r>
      <w:r w:rsidR="006774CB" w:rsidRPr="00F26528">
        <w:t xml:space="preserve"> to </w:t>
      </w:r>
      <w:r w:rsidRPr="00F26528">
        <w:t>62%) of hospitali</w:t>
      </w:r>
      <w:r w:rsidR="006774CB" w:rsidRPr="00F26528">
        <w:t>s</w:t>
      </w:r>
      <w:r w:rsidRPr="00F26528">
        <w:t>ed patients required intensive care unit (ICU) and/or respiratory support.</w:t>
      </w:r>
      <w:r w:rsidRPr="00AC5E9F">
        <w:t xml:space="preserve"> Viral SARS-CoV-2 </w:t>
      </w:r>
      <w:r w:rsidR="006774CB" w:rsidRPr="006774CB">
        <w:t>ribonucleic acid</w:t>
      </w:r>
      <w:r w:rsidR="006774CB">
        <w:t xml:space="preserve"> </w:t>
      </w:r>
      <w:r w:rsidR="006774CB">
        <w:rPr>
          <w:rFonts w:ascii="Arial" w:hAnsi="Arial" w:cs="Arial"/>
          <w:color w:val="202124"/>
          <w:shd w:val="clear" w:color="auto" w:fill="FFFFFF"/>
        </w:rPr>
        <w:t>(</w:t>
      </w:r>
      <w:r w:rsidRPr="00AC5E9F">
        <w:t>RNA</w:t>
      </w:r>
      <w:r w:rsidR="006774CB">
        <w:t>)</w:t>
      </w:r>
      <w:r w:rsidRPr="00AC5E9F">
        <w:t xml:space="preserve"> has been detected in upper respiratory samples from asymptomatic or pre-symptomatic individuals, with an increasing number of studies demonstrating that asymptomatic individuals can transmit SARS-CoV-2. Although the extent to which asymptomatic transmission occurs remains unknown, it may significantly contribute to the transmission within the community.</w:t>
      </w:r>
    </w:p>
    <w:p w14:paraId="75748E48" w14:textId="0A67BD4B" w:rsidR="00AC5E9F" w:rsidRPr="00AC5E9F" w:rsidRDefault="00AC5E9F" w:rsidP="00345763">
      <w:r w:rsidRPr="00AC5E9F">
        <w:t>Disease severity is mainly related to respiratory manifestations and increases with age. Mortality is rare in childhood but increases steeply beyond 60 years of age.</w:t>
      </w:r>
    </w:p>
    <w:p w14:paraId="13835592" w14:textId="1863665F" w:rsidR="00AC5E9F" w:rsidRPr="00AC5E9F" w:rsidRDefault="00AC5E9F" w:rsidP="00345763">
      <w:r w:rsidRPr="00AC5E9F">
        <w:t xml:space="preserve">Emerging mutated SARS-CoV-2 variants of concern </w:t>
      </w:r>
      <w:r w:rsidR="006254C9">
        <w:t xml:space="preserve">(VOC) </w:t>
      </w:r>
      <w:r w:rsidRPr="00AC5E9F">
        <w:t>may pose challenges for current vaccination strategies, which are generally based on inducing immunity to the non</w:t>
      </w:r>
      <w:r w:rsidR="0033535B">
        <w:noBreakHyphen/>
      </w:r>
      <w:r w:rsidRPr="00AC5E9F">
        <w:t>mutated spike protein that was sequenced in the original wild</w:t>
      </w:r>
      <w:r w:rsidR="0033535B">
        <w:t xml:space="preserve"> </w:t>
      </w:r>
      <w:r w:rsidRPr="00AC5E9F">
        <w:t xml:space="preserve">type virus. The latest VOC is Omicron. </w:t>
      </w:r>
      <w:r w:rsidR="00516D25" w:rsidRPr="00516D25">
        <w:t>The Omicron variant is likely more transmissible than the original SAR-CoV-2 strain, however it is unknow</w:t>
      </w:r>
      <w:r w:rsidR="006254C9">
        <w:t>n</w:t>
      </w:r>
      <w:r w:rsidR="00516D25" w:rsidRPr="00516D25">
        <w:t xml:space="preserve"> if it is more transmissible than </w:t>
      </w:r>
      <w:r w:rsidR="006254C9">
        <w:t xml:space="preserve">the </w:t>
      </w:r>
      <w:r w:rsidR="00516D25" w:rsidRPr="00516D25">
        <w:t>Delta variant</w:t>
      </w:r>
      <w:r w:rsidR="006254C9">
        <w:t xml:space="preserve"> that was first designated as a VOC in May 2021</w:t>
      </w:r>
      <w:r w:rsidR="00516D25" w:rsidRPr="00516D25">
        <w:t>.</w:t>
      </w:r>
      <w:r w:rsidR="00C41FF6">
        <w:rPr>
          <w:rFonts w:ascii="ZWAdobeF" w:hAnsi="ZWAdobeF" w:cs="ZWAdobeF"/>
          <w:sz w:val="2"/>
          <w:szCs w:val="2"/>
        </w:rPr>
        <w:t>P5F</w:t>
      </w:r>
      <w:r w:rsidR="00700A02">
        <w:rPr>
          <w:rStyle w:val="FootnoteReference"/>
        </w:rPr>
        <w:footnoteReference w:id="6"/>
      </w:r>
      <w:r w:rsidR="00C41FF6">
        <w:rPr>
          <w:rFonts w:ascii="ZWAdobeF" w:hAnsi="ZWAdobeF" w:cs="ZWAdobeF"/>
          <w:sz w:val="2"/>
          <w:szCs w:val="2"/>
        </w:rPr>
        <w:t>P</w:t>
      </w:r>
      <w:r w:rsidR="00516D25">
        <w:t xml:space="preserve"> To understand if </w:t>
      </w:r>
      <w:r w:rsidR="00516D25" w:rsidRPr="00AC5E9F">
        <w:t xml:space="preserve">Omicron infections, reinfections and breakthrough infections in people who are fully vaccinated, </w:t>
      </w:r>
      <w:r w:rsidR="00516D25">
        <w:t xml:space="preserve">can </w:t>
      </w:r>
      <w:r w:rsidR="00516D25" w:rsidRPr="00AC5E9F">
        <w:t xml:space="preserve">cause more severe illness or death </w:t>
      </w:r>
      <w:r w:rsidR="00516D25">
        <w:t xml:space="preserve">compare to </w:t>
      </w:r>
      <w:r w:rsidR="00516D25" w:rsidRPr="00AC5E9F">
        <w:t>infection with other variants</w:t>
      </w:r>
      <w:r w:rsidR="00516D25">
        <w:t>, more studies and data are required.</w:t>
      </w:r>
    </w:p>
    <w:p w14:paraId="30768DCB" w14:textId="65E2B9DF" w:rsidR="00AC5E9F" w:rsidRDefault="00AC5E9F" w:rsidP="00345763">
      <w:r w:rsidRPr="00AC5E9F">
        <w:t>In the absence of highly effective prophylactic or therapeutic medicines, active immunisation through vaccination represents the best means of preventing hospitalisation and deaths at an individual level and controlling the pandemic at a societal level.</w:t>
      </w:r>
    </w:p>
    <w:p w14:paraId="460185D7" w14:textId="3B12E7DF" w:rsidR="00B949BB" w:rsidRDefault="00B949BB" w:rsidP="00345763">
      <w:pPr>
        <w:pStyle w:val="Heading4"/>
        <w:keepNext w:val="0"/>
      </w:pPr>
      <w:proofErr w:type="spellStart"/>
      <w:r>
        <w:t>Nuvaxovid</w:t>
      </w:r>
      <w:proofErr w:type="spellEnd"/>
      <w:r>
        <w:t xml:space="preserve"> coronavirus disease vaccine</w:t>
      </w:r>
    </w:p>
    <w:p w14:paraId="0CAE28E1" w14:textId="385B0F4C" w:rsidR="00AC5E9F" w:rsidRPr="00AC5E9F" w:rsidRDefault="00AC5E9F" w:rsidP="00345763">
      <w:proofErr w:type="spellStart"/>
      <w:r w:rsidRPr="00AC5E9F">
        <w:t>N</w:t>
      </w:r>
      <w:r w:rsidR="00A86A62">
        <w:t>uvaxovid</w:t>
      </w:r>
      <w:proofErr w:type="spellEnd"/>
      <w:r w:rsidRPr="00AC5E9F">
        <w:t xml:space="preserve"> is a recombinant spike </w:t>
      </w:r>
      <w:r w:rsidR="00A86A62">
        <w:t>(</w:t>
      </w:r>
      <w:proofErr w:type="spellStart"/>
      <w:r w:rsidR="00A86A62">
        <w:t>rS</w:t>
      </w:r>
      <w:proofErr w:type="spellEnd"/>
      <w:r w:rsidR="00A86A62">
        <w:t xml:space="preserve">) </w:t>
      </w:r>
      <w:r w:rsidRPr="00AC5E9F">
        <w:t xml:space="preserve">protein vaccine. It is based on the </w:t>
      </w:r>
      <w:r w:rsidR="000B03CD">
        <w:t>first</w:t>
      </w:r>
      <w:r w:rsidR="000B03CD">
        <w:noBreakHyphen/>
        <w:t xml:space="preserve">isolated </w:t>
      </w:r>
      <w:r w:rsidRPr="00AC5E9F">
        <w:t>full length, wild</w:t>
      </w:r>
      <w:r w:rsidR="00700A02">
        <w:noBreakHyphen/>
      </w:r>
      <w:r w:rsidRPr="00AC5E9F">
        <w:t>type SARS-CoV-2 spike glycoprotein. It is formulated in a sterile, preservative</w:t>
      </w:r>
      <w:r w:rsidR="00A86A62">
        <w:t xml:space="preserve"> </w:t>
      </w:r>
      <w:r w:rsidRPr="00AC5E9F">
        <w:t xml:space="preserve">free, aqueous buffered suspension of the SARS-CoV-2 </w:t>
      </w:r>
      <w:proofErr w:type="spellStart"/>
      <w:r w:rsidRPr="00AC5E9F">
        <w:t>rS</w:t>
      </w:r>
      <w:proofErr w:type="spellEnd"/>
      <w:r w:rsidRPr="00AC5E9F">
        <w:t xml:space="preserve"> </w:t>
      </w:r>
      <w:r w:rsidR="00A86A62">
        <w:t>p</w:t>
      </w:r>
      <w:r w:rsidRPr="00AC5E9F">
        <w:t>rotein that is co</w:t>
      </w:r>
      <w:r w:rsidR="00A86A62">
        <w:t>-</w:t>
      </w:r>
      <w:r w:rsidRPr="00AC5E9F">
        <w:t xml:space="preserve">formulated with </w:t>
      </w:r>
      <w:r w:rsidR="006F5F10">
        <w:t>Matrix-M</w:t>
      </w:r>
      <w:r w:rsidRPr="00AC5E9F">
        <w:t xml:space="preserve"> adjuvant</w:t>
      </w:r>
      <w:r w:rsidR="00E87466">
        <w:t>;</w:t>
      </w:r>
      <w:r w:rsidR="00C41FF6">
        <w:rPr>
          <w:rFonts w:ascii="ZWAdobeF" w:hAnsi="ZWAdobeF" w:cs="ZWAdobeF"/>
          <w:sz w:val="2"/>
          <w:szCs w:val="2"/>
        </w:rPr>
        <w:t>P6F</w:t>
      </w:r>
      <w:r w:rsidR="00E87466">
        <w:rPr>
          <w:rStyle w:val="FootnoteReference"/>
        </w:rPr>
        <w:footnoteReference w:id="7"/>
      </w:r>
      <w:r w:rsidR="00C41FF6">
        <w:rPr>
          <w:rFonts w:ascii="ZWAdobeF" w:hAnsi="ZWAdobeF" w:cs="ZWAdobeF"/>
          <w:sz w:val="2"/>
          <w:szCs w:val="2"/>
        </w:rPr>
        <w:t>P</w:t>
      </w:r>
      <w:r w:rsidRPr="00AC5E9F">
        <w:t xml:space="preserve"> and formulation buffer and presented in a multidose vial containing ten doses</w:t>
      </w:r>
      <w:r w:rsidR="00A86A62">
        <w:t>.</w:t>
      </w:r>
    </w:p>
    <w:p w14:paraId="6E226FF7" w14:textId="1703B75A" w:rsidR="00AC5E9F" w:rsidRPr="00AC5E9F" w:rsidRDefault="00AC5E9F" w:rsidP="00345763">
      <w:pPr>
        <w:pStyle w:val="Heading4"/>
        <w:keepNext w:val="0"/>
      </w:pPr>
      <w:r w:rsidRPr="00AC5E9F">
        <w:lastRenderedPageBreak/>
        <w:t xml:space="preserve">Current </w:t>
      </w:r>
      <w:r w:rsidR="009302E6">
        <w:t xml:space="preserve">vaccine and </w:t>
      </w:r>
      <w:r w:rsidRPr="00AC5E9F">
        <w:t>treatment options</w:t>
      </w:r>
    </w:p>
    <w:p w14:paraId="3A2E4639" w14:textId="1866A6B6" w:rsidR="00AC5E9F" w:rsidRPr="00AC5E9F" w:rsidRDefault="00AC5E9F" w:rsidP="00345763">
      <w:r w:rsidRPr="00AC5E9F">
        <w:t xml:space="preserve">Australia has four vaccines on the </w:t>
      </w:r>
      <w:r w:rsidR="00B949BB" w:rsidRPr="00B949BB">
        <w:t xml:space="preserve">Australian Register of Therapeutic Goods </w:t>
      </w:r>
      <w:r w:rsidR="00B949BB">
        <w:t>(</w:t>
      </w:r>
      <w:r w:rsidRPr="00AC5E9F">
        <w:t>ARTG</w:t>
      </w:r>
      <w:r w:rsidR="00B949BB">
        <w:t>)</w:t>
      </w:r>
      <w:r w:rsidRPr="00AC5E9F">
        <w:t xml:space="preserve"> with provisional approval</w:t>
      </w:r>
      <w:r w:rsidR="00B949BB">
        <w:t>;</w:t>
      </w:r>
      <w:bookmarkStart w:id="18" w:name="_Ref92357353"/>
      <w:r w:rsidR="00C41FF6">
        <w:rPr>
          <w:rFonts w:ascii="ZWAdobeF" w:hAnsi="ZWAdobeF" w:cs="ZWAdobeF"/>
          <w:sz w:val="2"/>
          <w:szCs w:val="2"/>
        </w:rPr>
        <w:t>P7F</w:t>
      </w:r>
      <w:r w:rsidR="00B949BB">
        <w:rPr>
          <w:rStyle w:val="FootnoteReference"/>
        </w:rPr>
        <w:footnoteReference w:id="8"/>
      </w:r>
      <w:bookmarkEnd w:id="18"/>
      <w:r w:rsidR="00C41FF6">
        <w:rPr>
          <w:rFonts w:ascii="ZWAdobeF" w:hAnsi="ZWAdobeF" w:cs="ZWAdobeF"/>
          <w:sz w:val="2"/>
          <w:szCs w:val="2"/>
        </w:rPr>
        <w:t>P</w:t>
      </w:r>
      <w:r w:rsidRPr="00AC5E9F">
        <w:t xml:space="preserve"> for the prevention of COVID-19:</w:t>
      </w:r>
    </w:p>
    <w:p w14:paraId="1C48DD57" w14:textId="3010CB7D" w:rsidR="00AC5E9F" w:rsidRPr="00AC5E9F" w:rsidRDefault="005F1CE7" w:rsidP="00345763">
      <w:pPr>
        <w:pStyle w:val="ListBullet"/>
      </w:pPr>
      <w:proofErr w:type="spellStart"/>
      <w:r>
        <w:t>Comirnaty</w:t>
      </w:r>
      <w:proofErr w:type="spellEnd"/>
      <w:r w:rsidR="00AC5E9F" w:rsidRPr="00AC5E9F">
        <w:t xml:space="preserve"> (</w:t>
      </w:r>
      <w:proofErr w:type="spellStart"/>
      <w:r w:rsidR="00257CD1">
        <w:rPr>
          <w:lang w:eastAsia="ja-JP"/>
        </w:rPr>
        <w:t>tozinameran</w:t>
      </w:r>
      <w:proofErr w:type="spellEnd"/>
      <w:r>
        <w:rPr>
          <w:lang w:eastAsia="ja-JP"/>
        </w:rPr>
        <w:t>)</w:t>
      </w:r>
      <w:r w:rsidR="00257CD1">
        <w:rPr>
          <w:lang w:eastAsia="ja-JP"/>
        </w:rPr>
        <w:t>,</w:t>
      </w:r>
      <w:r>
        <w:rPr>
          <w:lang w:eastAsia="ja-JP"/>
        </w:rPr>
        <w:t xml:space="preserve"> also known as</w:t>
      </w:r>
      <w:r w:rsidRPr="00DA05FB">
        <w:rPr>
          <w:lang w:eastAsia="ja-JP"/>
        </w:rPr>
        <w:t xml:space="preserve"> the Pfizer/BioNTech </w:t>
      </w:r>
      <w:r>
        <w:rPr>
          <w:lang w:eastAsia="ja-JP"/>
        </w:rPr>
        <w:t>COVID</w:t>
      </w:r>
      <w:r>
        <w:rPr>
          <w:lang w:eastAsia="ja-JP"/>
        </w:rPr>
        <w:noBreakHyphen/>
        <w:t xml:space="preserve">19 </w:t>
      </w:r>
      <w:r w:rsidRPr="00DA05FB">
        <w:rPr>
          <w:lang w:eastAsia="ja-JP"/>
        </w:rPr>
        <w:t>vaccine</w:t>
      </w:r>
      <w:r w:rsidR="00700A02">
        <w:rPr>
          <w:lang w:eastAsia="ja-JP"/>
        </w:rPr>
        <w:t>,</w:t>
      </w:r>
      <w:r w:rsidR="00AC5E9F" w:rsidRPr="00AC5E9F">
        <w:t xml:space="preserve"> </w:t>
      </w:r>
      <w:r w:rsidR="00700A02">
        <w:t xml:space="preserve">is an mRNA-based vaccine that </w:t>
      </w:r>
      <w:r w:rsidR="00AC5E9F" w:rsidRPr="00AC5E9F">
        <w:t>was granted provisional registration</w:t>
      </w:r>
      <w:r>
        <w:t xml:space="preserve"> </w:t>
      </w:r>
      <w:r w:rsidR="00AC5E9F" w:rsidRPr="00AC5E9F">
        <w:t>on 25 January 2021</w:t>
      </w:r>
      <w:r>
        <w:t xml:space="preserve"> </w:t>
      </w:r>
      <w:r w:rsidRPr="00DA05FB">
        <w:rPr>
          <w:lang w:eastAsia="ja-JP"/>
        </w:rPr>
        <w:t xml:space="preserve">for active immunisation to prevent </w:t>
      </w:r>
      <w:r>
        <w:rPr>
          <w:lang w:eastAsia="ja-JP"/>
        </w:rPr>
        <w:t>COVID</w:t>
      </w:r>
      <w:r>
        <w:rPr>
          <w:lang w:eastAsia="ja-JP"/>
        </w:rPr>
        <w:noBreakHyphen/>
        <w:t>19 caused by SARS</w:t>
      </w:r>
      <w:r>
        <w:rPr>
          <w:lang w:eastAsia="ja-JP"/>
        </w:rPr>
        <w:noBreakHyphen/>
        <w:t>CoV</w:t>
      </w:r>
      <w:r>
        <w:rPr>
          <w:lang w:eastAsia="ja-JP"/>
        </w:rPr>
        <w:noBreakHyphen/>
      </w:r>
      <w:r w:rsidRPr="00DA05FB">
        <w:rPr>
          <w:lang w:eastAsia="ja-JP"/>
        </w:rPr>
        <w:t>2, in individ</w:t>
      </w:r>
      <w:r>
        <w:rPr>
          <w:lang w:eastAsia="ja-JP"/>
        </w:rPr>
        <w:t>uals 16</w:t>
      </w:r>
      <w:r w:rsidR="00700A02">
        <w:rPr>
          <w:lang w:eastAsia="ja-JP"/>
        </w:rPr>
        <w:t> </w:t>
      </w:r>
      <w:r>
        <w:rPr>
          <w:lang w:eastAsia="ja-JP"/>
        </w:rPr>
        <w:t>years of age and older;</w:t>
      </w:r>
      <w:r w:rsidR="00C41FF6">
        <w:rPr>
          <w:rFonts w:ascii="ZWAdobeF" w:hAnsi="ZWAdobeF" w:cs="ZWAdobeF"/>
          <w:sz w:val="2"/>
          <w:szCs w:val="2"/>
          <w:lang w:eastAsia="ja-JP"/>
        </w:rPr>
        <w:t>P8F</w:t>
      </w:r>
      <w:r>
        <w:rPr>
          <w:rStyle w:val="FootnoteReference"/>
          <w:lang w:eastAsia="ja-JP"/>
        </w:rPr>
        <w:footnoteReference w:id="9"/>
      </w:r>
      <w:r w:rsidR="00C41FF6">
        <w:rPr>
          <w:rFonts w:ascii="ZWAdobeF" w:hAnsi="ZWAdobeF" w:cs="ZWAdobeF"/>
          <w:sz w:val="2"/>
          <w:szCs w:val="2"/>
          <w:lang w:eastAsia="ja-JP"/>
        </w:rPr>
        <w:t>P</w:t>
      </w:r>
      <w:r w:rsidR="00AC5E9F" w:rsidRPr="00AC5E9F">
        <w:t xml:space="preserve">. The regimen is </w:t>
      </w:r>
      <w:r>
        <w:t>two</w:t>
      </w:r>
      <w:r w:rsidR="00AC5E9F" w:rsidRPr="00AC5E9F">
        <w:t xml:space="preserve"> doses</w:t>
      </w:r>
      <w:r>
        <w:t>, three</w:t>
      </w:r>
      <w:r w:rsidR="00AC5E9F" w:rsidRPr="00AC5E9F">
        <w:t xml:space="preserve"> weeks apart. </w:t>
      </w:r>
      <w:r w:rsidR="00700A02">
        <w:t>An e</w:t>
      </w:r>
      <w:r w:rsidR="00AC5E9F" w:rsidRPr="00AC5E9F">
        <w:t>xtension of indication</w:t>
      </w:r>
      <w:r w:rsidR="00700A02">
        <w:t>s</w:t>
      </w:r>
      <w:r w:rsidR="00AC5E9F" w:rsidRPr="00AC5E9F">
        <w:t xml:space="preserve"> to </w:t>
      </w:r>
      <w:r w:rsidR="00700A02">
        <w:t xml:space="preserve">include </w:t>
      </w:r>
      <w:r w:rsidR="00AC5E9F" w:rsidRPr="00AC5E9F">
        <w:t>the age group of 12</w:t>
      </w:r>
      <w:r>
        <w:t xml:space="preserve"> to </w:t>
      </w:r>
      <w:r w:rsidR="00AC5E9F" w:rsidRPr="00AC5E9F">
        <w:t xml:space="preserve">15 years </w:t>
      </w:r>
      <w:r>
        <w:t xml:space="preserve">and older </w:t>
      </w:r>
      <w:r w:rsidR="00AC5E9F" w:rsidRPr="00AC5E9F">
        <w:t>was approved on 21 July 2021.</w:t>
      </w:r>
      <w:r w:rsidR="00C41FF6">
        <w:rPr>
          <w:rFonts w:ascii="ZWAdobeF" w:hAnsi="ZWAdobeF" w:cs="ZWAdobeF"/>
          <w:sz w:val="2"/>
          <w:szCs w:val="2"/>
        </w:rPr>
        <w:t>P9F</w:t>
      </w:r>
      <w:r>
        <w:rPr>
          <w:rStyle w:val="FootnoteReference"/>
        </w:rPr>
        <w:footnoteReference w:id="10"/>
      </w:r>
      <w:r w:rsidR="00C41FF6">
        <w:rPr>
          <w:rFonts w:ascii="ZWAdobeF" w:hAnsi="ZWAdobeF" w:cs="ZWAdobeF"/>
          <w:sz w:val="2"/>
          <w:szCs w:val="2"/>
        </w:rPr>
        <w:t>P</w:t>
      </w:r>
      <w:r w:rsidR="00700A02">
        <w:t xml:space="preserve"> </w:t>
      </w:r>
      <w:r w:rsidR="00AC5E9F" w:rsidRPr="00AC5E9F">
        <w:t>Use in children 5</w:t>
      </w:r>
      <w:r>
        <w:t xml:space="preserve"> to </w:t>
      </w:r>
      <w:r w:rsidR="00AC5E9F" w:rsidRPr="00AC5E9F">
        <w:t>11 years</w:t>
      </w:r>
      <w:r>
        <w:t xml:space="preserve"> and older</w:t>
      </w:r>
      <w:r w:rsidR="00AC5E9F" w:rsidRPr="00AC5E9F">
        <w:t xml:space="preserve"> was approved on 3</w:t>
      </w:r>
      <w:r w:rsidR="00700A02">
        <w:t> </w:t>
      </w:r>
      <w:r w:rsidR="00AC5E9F" w:rsidRPr="00AC5E9F">
        <w:t>December 2021.</w:t>
      </w:r>
      <w:r w:rsidR="00C41FF6">
        <w:rPr>
          <w:rFonts w:ascii="ZWAdobeF" w:hAnsi="ZWAdobeF" w:cs="ZWAdobeF"/>
          <w:sz w:val="2"/>
          <w:szCs w:val="2"/>
        </w:rPr>
        <w:t>P10F</w:t>
      </w:r>
      <w:r>
        <w:rPr>
          <w:rStyle w:val="FootnoteReference"/>
        </w:rPr>
        <w:footnoteReference w:id="11"/>
      </w:r>
    </w:p>
    <w:p w14:paraId="326003E9" w14:textId="3B3DC9A2" w:rsidR="00AC5E9F" w:rsidRPr="00AC5E9F" w:rsidRDefault="005F1CE7" w:rsidP="00345763">
      <w:pPr>
        <w:pStyle w:val="ListBullet"/>
      </w:pPr>
      <w:proofErr w:type="spellStart"/>
      <w:r>
        <w:t>Spikevax</w:t>
      </w:r>
      <w:proofErr w:type="spellEnd"/>
      <w:r w:rsidR="00AC5E9F" w:rsidRPr="00AC5E9F">
        <w:t xml:space="preserve"> (</w:t>
      </w:r>
      <w:proofErr w:type="spellStart"/>
      <w:r w:rsidR="00AC5E9F" w:rsidRPr="00AC5E9F">
        <w:t>elasomeran</w:t>
      </w:r>
      <w:proofErr w:type="spellEnd"/>
      <w:r w:rsidR="00AC5E9F" w:rsidRPr="00AC5E9F">
        <w:t>)</w:t>
      </w:r>
      <w:r w:rsidR="005D10BD">
        <w:t xml:space="preserve">, </w:t>
      </w:r>
      <w:r w:rsidR="00700A02">
        <w:t xml:space="preserve">also known as the </w:t>
      </w:r>
      <w:proofErr w:type="spellStart"/>
      <w:r w:rsidR="00700A02">
        <w:t>Moderna</w:t>
      </w:r>
      <w:proofErr w:type="spellEnd"/>
      <w:r w:rsidR="00700A02">
        <w:t xml:space="preserve"> vaccine, is </w:t>
      </w:r>
      <w:r w:rsidR="005D10BD" w:rsidRPr="005D10BD">
        <w:t>a</w:t>
      </w:r>
      <w:r w:rsidR="00700A02">
        <w:t>n</w:t>
      </w:r>
      <w:r w:rsidR="005D10BD" w:rsidRPr="005D10BD">
        <w:t xml:space="preserve"> mRNA-based vaccine</w:t>
      </w:r>
      <w:r w:rsidR="005D10BD">
        <w:t xml:space="preserve"> </w:t>
      </w:r>
      <w:r w:rsidR="00700A02">
        <w:t xml:space="preserve">that </w:t>
      </w:r>
      <w:r w:rsidR="005D10BD">
        <w:t xml:space="preserve">was </w:t>
      </w:r>
      <w:r w:rsidR="005D10BD" w:rsidRPr="005D10BD">
        <w:t>provisional</w:t>
      </w:r>
      <w:r w:rsidR="00CB18C2">
        <w:t>ly</w:t>
      </w:r>
      <w:r w:rsidR="005D10BD" w:rsidRPr="005D10BD">
        <w:t xml:space="preserve"> approved on 9 August 2021 for active immunisation to prevent COVID-19 caused by SARS-CoV-2 in individuals 18 years of age and older.</w:t>
      </w:r>
      <w:r w:rsidR="00C41FF6">
        <w:rPr>
          <w:rFonts w:ascii="ZWAdobeF" w:hAnsi="ZWAdobeF" w:cs="ZWAdobeF"/>
          <w:sz w:val="2"/>
          <w:szCs w:val="2"/>
        </w:rPr>
        <w:t>P11F</w:t>
      </w:r>
      <w:r w:rsidR="005D10BD">
        <w:rPr>
          <w:rStyle w:val="FootnoteReference"/>
        </w:rPr>
        <w:footnoteReference w:id="12"/>
      </w:r>
      <w:r w:rsidR="00C41FF6">
        <w:rPr>
          <w:rFonts w:ascii="ZWAdobeF" w:hAnsi="ZWAdobeF" w:cs="ZWAdobeF"/>
          <w:sz w:val="2"/>
          <w:szCs w:val="2"/>
        </w:rPr>
        <w:t>P</w:t>
      </w:r>
      <w:r w:rsidR="005D10BD">
        <w:t xml:space="preserve"> </w:t>
      </w:r>
      <w:r w:rsidR="00700A02">
        <w:t>An e</w:t>
      </w:r>
      <w:r w:rsidR="005D10BD">
        <w:t>xtension of indication</w:t>
      </w:r>
      <w:r w:rsidR="00700A02">
        <w:t>s</w:t>
      </w:r>
      <w:r w:rsidR="005D10BD">
        <w:t xml:space="preserve"> to </w:t>
      </w:r>
      <w:r w:rsidR="00700A02">
        <w:t xml:space="preserve">include </w:t>
      </w:r>
      <w:r w:rsidR="005D10BD">
        <w:t xml:space="preserve">the age group </w:t>
      </w:r>
      <w:r w:rsidR="00700A02">
        <w:t xml:space="preserve">of </w:t>
      </w:r>
      <w:r w:rsidR="005D10BD">
        <w:t>12 years and older was approved on 3 September 2021.</w:t>
      </w:r>
      <w:r w:rsidR="00C41FF6">
        <w:rPr>
          <w:rFonts w:ascii="ZWAdobeF" w:hAnsi="ZWAdobeF" w:cs="ZWAdobeF"/>
          <w:sz w:val="2"/>
          <w:szCs w:val="2"/>
        </w:rPr>
        <w:t>P12F</w:t>
      </w:r>
      <w:r w:rsidR="005D10BD">
        <w:rPr>
          <w:rStyle w:val="FootnoteReference"/>
        </w:rPr>
        <w:footnoteReference w:id="13"/>
      </w:r>
    </w:p>
    <w:p w14:paraId="0151A060" w14:textId="4C6D1F65" w:rsidR="007B1063" w:rsidRPr="007B1063" w:rsidRDefault="007B1063" w:rsidP="00345763">
      <w:pPr>
        <w:pStyle w:val="ListBullet"/>
      </w:pPr>
      <w:r w:rsidRPr="007B1063">
        <w:t xml:space="preserve">COVID-19 Vaccine Janssen (Ad26.COV2.S), an adenoviral vectored vaccine, </w:t>
      </w:r>
      <w:r w:rsidR="00CB18C2">
        <w:t xml:space="preserve">was </w:t>
      </w:r>
      <w:r w:rsidRPr="007B1063">
        <w:t>provisionally approv</w:t>
      </w:r>
      <w:r w:rsidR="00CB18C2">
        <w:t>al</w:t>
      </w:r>
      <w:r w:rsidRPr="007B1063">
        <w:t xml:space="preserve"> on 25 June 2021 for active immunisation to prevent COVID-19 caused by SARS-CoV-2 in individuals 18 years of age and older.</w:t>
      </w:r>
      <w:r w:rsidR="00C41FF6">
        <w:rPr>
          <w:rFonts w:ascii="ZWAdobeF" w:hAnsi="ZWAdobeF" w:cs="ZWAdobeF"/>
          <w:sz w:val="2"/>
          <w:szCs w:val="2"/>
        </w:rPr>
        <w:t>P13F</w:t>
      </w:r>
      <w:r>
        <w:rPr>
          <w:rStyle w:val="FootnoteReference"/>
        </w:rPr>
        <w:footnoteReference w:id="14"/>
      </w:r>
    </w:p>
    <w:p w14:paraId="3C67D589" w14:textId="115A53D7" w:rsidR="00AC5E9F" w:rsidRPr="00AC5E9F" w:rsidRDefault="00AC5E9F" w:rsidP="00345763">
      <w:pPr>
        <w:pStyle w:val="ListBullet"/>
      </w:pPr>
      <w:proofErr w:type="spellStart"/>
      <w:r w:rsidRPr="00AC5E9F">
        <w:t>V</w:t>
      </w:r>
      <w:r w:rsidR="005D10BD">
        <w:t>axzevria</w:t>
      </w:r>
      <w:proofErr w:type="spellEnd"/>
      <w:r w:rsidR="005D10BD">
        <w:t xml:space="preserve"> (</w:t>
      </w:r>
      <w:r w:rsidRPr="00AC5E9F">
        <w:t>ChAdOx1-S</w:t>
      </w:r>
      <w:r w:rsidR="005D10BD">
        <w:t xml:space="preserve">), </w:t>
      </w:r>
      <w:r w:rsidR="005D10BD" w:rsidRPr="005D10BD">
        <w:t>an adenoviral vectored vaccine,</w:t>
      </w:r>
      <w:r w:rsidR="00CB18C2">
        <w:t xml:space="preserve"> was</w:t>
      </w:r>
      <w:r w:rsidR="005D10BD" w:rsidRPr="005D10BD">
        <w:t xml:space="preserve"> provisionally approved 15 February 2021 for active immunisation of individuals ≥ 18 years old for the prevention of coronavirus disease 2019 (COVID-19) caused by SARS-CoV-2.</w:t>
      </w:r>
      <w:r w:rsidR="00C41FF6">
        <w:rPr>
          <w:rFonts w:ascii="ZWAdobeF" w:hAnsi="ZWAdobeF" w:cs="ZWAdobeF"/>
          <w:sz w:val="2"/>
          <w:szCs w:val="2"/>
        </w:rPr>
        <w:t>P14F</w:t>
      </w:r>
      <w:r w:rsidR="005D10BD">
        <w:rPr>
          <w:rStyle w:val="FootnoteReference"/>
        </w:rPr>
        <w:footnoteReference w:id="15"/>
      </w:r>
    </w:p>
    <w:p w14:paraId="7677AC21" w14:textId="49F976F4" w:rsidR="00AC5E9F" w:rsidRPr="00AC5E9F" w:rsidRDefault="00AC5E9F" w:rsidP="00345763">
      <w:r w:rsidRPr="00AC5E9F">
        <w:t>Monoclonal antibodies with indications for treatment of COVID-19 that have been granted provisional registration</w:t>
      </w:r>
      <w:r w:rsidR="007B1063">
        <w:t>;</w:t>
      </w:r>
      <w:r w:rsidR="007B1063">
        <w:fldChar w:fldCharType="begin"/>
      </w:r>
      <w:r w:rsidR="007B1063">
        <w:instrText xml:space="preserve"> NOTEREF _Ref92357353 \f \h </w:instrText>
      </w:r>
      <w:r w:rsidR="007B1063">
        <w:fldChar w:fldCharType="separate"/>
      </w:r>
      <w:r w:rsidR="00C41FF6" w:rsidRPr="00C41FF6">
        <w:rPr>
          <w:rStyle w:val="FootnoteReference"/>
        </w:rPr>
        <w:t>8</w:t>
      </w:r>
      <w:r w:rsidR="007B1063">
        <w:fldChar w:fldCharType="end"/>
      </w:r>
      <w:r w:rsidR="00C41FF6" w:rsidRPr="00C41FF6">
        <w:rPr>
          <w:rFonts w:ascii="ZWAdobeF" w:hAnsi="ZWAdobeF" w:cs="ZWAdobeF"/>
          <w:sz w:val="2"/>
          <w:szCs w:val="2"/>
        </w:rPr>
        <w:t>P20T</w:t>
      </w:r>
      <w:r w:rsidRPr="00AC5E9F">
        <w:t xml:space="preserve"> in Australia</w:t>
      </w:r>
      <w:r w:rsidR="007B1063">
        <w:t xml:space="preserve"> are listed below</w:t>
      </w:r>
      <w:r w:rsidRPr="00AC5E9F">
        <w:t>:</w:t>
      </w:r>
    </w:p>
    <w:p w14:paraId="68135324" w14:textId="514F1308" w:rsidR="00AC5E9F" w:rsidRPr="00AC5E9F" w:rsidRDefault="00AC5E9F" w:rsidP="00345763">
      <w:pPr>
        <w:pStyle w:val="ListBullet"/>
      </w:pPr>
      <w:proofErr w:type="spellStart"/>
      <w:r w:rsidRPr="004F3071">
        <w:t>X</w:t>
      </w:r>
      <w:r w:rsidR="007B1063" w:rsidRPr="004F3071">
        <w:t>evudy</w:t>
      </w:r>
      <w:proofErr w:type="spellEnd"/>
      <w:r w:rsidRPr="004F3071">
        <w:t xml:space="preserve"> </w:t>
      </w:r>
      <w:r w:rsidR="007B1063" w:rsidRPr="004F3071">
        <w:t>(</w:t>
      </w:r>
      <w:proofErr w:type="spellStart"/>
      <w:r w:rsidRPr="004F3071">
        <w:t>sotrovimab</w:t>
      </w:r>
      <w:proofErr w:type="spellEnd"/>
      <w:r w:rsidR="007B1063" w:rsidRPr="004F3071">
        <w:t>)</w:t>
      </w:r>
      <w:r w:rsidR="00CB18C2" w:rsidRPr="004F3071">
        <w:t xml:space="preserve"> was provisionally approved on 20 August 2021</w:t>
      </w:r>
      <w:r w:rsidR="004F3071" w:rsidRPr="004F3071">
        <w:t xml:space="preserve"> for approval for treatment of adults and adolescents (aged 12 years and over and weighing at least 40</w:t>
      </w:r>
      <w:r w:rsidR="004F3071">
        <w:t> </w:t>
      </w:r>
      <w:r w:rsidR="004F3071" w:rsidRPr="004F3071">
        <w:t xml:space="preserve">kg) with coronavirus disease 2019 (COVID-19) who do not require initiation of </w:t>
      </w:r>
      <w:r w:rsidR="004F3071" w:rsidRPr="004F3071">
        <w:lastRenderedPageBreak/>
        <w:t>oxygen due to COVID-19 and who are at increased risk of progression to hospitalisation or death</w:t>
      </w:r>
      <w:r w:rsidR="00CB18C2">
        <w:t>.</w:t>
      </w:r>
      <w:r w:rsidR="00C41FF6">
        <w:rPr>
          <w:rFonts w:ascii="ZWAdobeF" w:hAnsi="ZWAdobeF" w:cs="ZWAdobeF"/>
          <w:sz w:val="2"/>
          <w:szCs w:val="2"/>
        </w:rPr>
        <w:t>15F</w:t>
      </w:r>
      <w:r w:rsidR="00CB18C2">
        <w:rPr>
          <w:rStyle w:val="FootnoteReference"/>
        </w:rPr>
        <w:footnoteReference w:id="16"/>
      </w:r>
    </w:p>
    <w:p w14:paraId="48696E4F" w14:textId="6199EF06" w:rsidR="00AC5E9F" w:rsidRPr="00AC5E9F" w:rsidRDefault="00AC5E9F" w:rsidP="00345763">
      <w:pPr>
        <w:pStyle w:val="ListBullet"/>
      </w:pPr>
      <w:r w:rsidRPr="004F3071">
        <w:t>R</w:t>
      </w:r>
      <w:r w:rsidR="00CB18C2" w:rsidRPr="004F3071">
        <w:t>on</w:t>
      </w:r>
      <w:r w:rsidR="00725D63" w:rsidRPr="004F3071">
        <w:t>apreve (</w:t>
      </w:r>
      <w:proofErr w:type="spellStart"/>
      <w:r w:rsidRPr="004F3071">
        <w:t>casirivimab</w:t>
      </w:r>
      <w:proofErr w:type="spellEnd"/>
      <w:r w:rsidRPr="004F3071">
        <w:t xml:space="preserve"> and </w:t>
      </w:r>
      <w:proofErr w:type="spellStart"/>
      <w:r w:rsidRPr="004F3071">
        <w:t>imdevimab</w:t>
      </w:r>
      <w:proofErr w:type="spellEnd"/>
      <w:r w:rsidR="00725D63" w:rsidRPr="004F3071">
        <w:t>) was provisionally approved on 15 October 2021</w:t>
      </w:r>
      <w:r w:rsidR="004F3071" w:rsidRPr="004F3071">
        <w:t xml:space="preserve"> for treatment of COVID-19 in adults and adolescents aged 12 years and older and weighing at least 40 kg who do not require supplemental oxygen for COVID-19 and who are at increased risk of progressing to severe COVID-19 and prevention of COVID</w:t>
      </w:r>
      <w:r w:rsidR="004F3071">
        <w:noBreakHyphen/>
      </w:r>
      <w:r w:rsidR="004F3071" w:rsidRPr="004F3071">
        <w:t>19 in patients of the same age and weight as for treatment who have been exposed to SARS-CoV-2 and who either have a medical condition making them unlikely to respond to or be protected by vaccination, who have not been vaccinated against COVID-19</w:t>
      </w:r>
      <w:r w:rsidR="004F3071">
        <w:t>.</w:t>
      </w:r>
      <w:r w:rsidR="00C41FF6">
        <w:rPr>
          <w:rFonts w:ascii="ZWAdobeF" w:hAnsi="ZWAdobeF" w:cs="ZWAdobeF"/>
          <w:sz w:val="2"/>
          <w:szCs w:val="2"/>
        </w:rPr>
        <w:t>16F</w:t>
      </w:r>
      <w:r w:rsidR="00725D63">
        <w:rPr>
          <w:rStyle w:val="FootnoteReference"/>
        </w:rPr>
        <w:footnoteReference w:id="17"/>
      </w:r>
    </w:p>
    <w:p w14:paraId="60F76523" w14:textId="6973A034" w:rsidR="00AC5E9F" w:rsidRPr="00AC5E9F" w:rsidRDefault="00AC5E9F" w:rsidP="00345763">
      <w:pPr>
        <w:pStyle w:val="ListBullet"/>
      </w:pPr>
      <w:r w:rsidRPr="00AC5E9F">
        <w:t>A</w:t>
      </w:r>
      <w:r w:rsidR="00725D63">
        <w:t xml:space="preserve">ctemra </w:t>
      </w:r>
      <w:r w:rsidRPr="00AC5E9F">
        <w:t>(</w:t>
      </w:r>
      <w:r w:rsidR="0075672D">
        <w:t>t</w:t>
      </w:r>
      <w:r w:rsidRPr="00AC5E9F">
        <w:t xml:space="preserve">ocilizumab) </w:t>
      </w:r>
      <w:r w:rsidR="00725D63">
        <w:t xml:space="preserve">was provisionally approved on the 1 December 2021 for treatment of confirmed COVID-19 in hospitalised adults aged 18 years and older who are receiving </w:t>
      </w:r>
      <w:r w:rsidR="00725D63" w:rsidRPr="00725D63">
        <w:t>systemic corticosteroids and require supplemental oxygen or mechanical ventilation.</w:t>
      </w:r>
      <w:r w:rsidR="00C41FF6">
        <w:rPr>
          <w:rFonts w:ascii="ZWAdobeF" w:hAnsi="ZWAdobeF" w:cs="ZWAdobeF"/>
          <w:sz w:val="2"/>
          <w:szCs w:val="2"/>
        </w:rPr>
        <w:t>17F</w:t>
      </w:r>
      <w:r w:rsidR="00725D63">
        <w:rPr>
          <w:rStyle w:val="FootnoteReference"/>
        </w:rPr>
        <w:footnoteReference w:id="18"/>
      </w:r>
    </w:p>
    <w:p w14:paraId="47A049E1" w14:textId="5DE12662" w:rsidR="00AC5E9F" w:rsidRPr="00AC5E9F" w:rsidRDefault="00AC5E9F" w:rsidP="00345763">
      <w:r w:rsidRPr="00AC5E9F">
        <w:t>Other medicines with indications for treatment of COVID-19 that have been granted provisional registration in Australia</w:t>
      </w:r>
      <w:r w:rsidR="0075672D">
        <w:t xml:space="preserve"> include </w:t>
      </w:r>
      <w:proofErr w:type="spellStart"/>
      <w:r w:rsidRPr="00AC5E9F">
        <w:t>Veklury</w:t>
      </w:r>
      <w:proofErr w:type="spellEnd"/>
      <w:r w:rsidRPr="00AC5E9F">
        <w:t xml:space="preserve"> (</w:t>
      </w:r>
      <w:proofErr w:type="spellStart"/>
      <w:r w:rsidR="0075672D">
        <w:t>r</w:t>
      </w:r>
      <w:r w:rsidRPr="00AC5E9F">
        <w:t>emdesivir</w:t>
      </w:r>
      <w:proofErr w:type="spellEnd"/>
      <w:r w:rsidRPr="00AC5E9F">
        <w:t>)</w:t>
      </w:r>
      <w:r w:rsidR="00032B11">
        <w:t xml:space="preserve">, </w:t>
      </w:r>
      <w:proofErr w:type="spellStart"/>
      <w:r w:rsidR="00032B11">
        <w:t>Paxlovid</w:t>
      </w:r>
      <w:proofErr w:type="spellEnd"/>
      <w:r w:rsidR="00032B11">
        <w:t xml:space="preserve"> (</w:t>
      </w:r>
      <w:proofErr w:type="spellStart"/>
      <w:r w:rsidR="00032B11">
        <w:t>n</w:t>
      </w:r>
      <w:r w:rsidR="00032B11" w:rsidRPr="00032B11">
        <w:t>irmatrelvir</w:t>
      </w:r>
      <w:proofErr w:type="spellEnd"/>
      <w:r w:rsidR="00032B11" w:rsidRPr="00032B11">
        <w:t>/ritonavir</w:t>
      </w:r>
      <w:r w:rsidR="00032B11">
        <w:t xml:space="preserve">) and </w:t>
      </w:r>
      <w:proofErr w:type="spellStart"/>
      <w:r w:rsidR="00032B11">
        <w:t>Lagevrio</w:t>
      </w:r>
      <w:proofErr w:type="spellEnd"/>
      <w:r w:rsidR="00032B11">
        <w:t xml:space="preserve"> (</w:t>
      </w:r>
      <w:proofErr w:type="spellStart"/>
      <w:r w:rsidR="00032B11">
        <w:t>m</w:t>
      </w:r>
      <w:r w:rsidR="00032B11" w:rsidRPr="00D102DE">
        <w:t>olnupiravir</w:t>
      </w:r>
      <w:proofErr w:type="spellEnd"/>
      <w:r w:rsidR="00032B11">
        <w:t>)</w:t>
      </w:r>
      <w:r w:rsidR="0075672D">
        <w:t xml:space="preserve">. </w:t>
      </w:r>
      <w:proofErr w:type="spellStart"/>
      <w:r w:rsidR="0075672D">
        <w:t>Veklury</w:t>
      </w:r>
      <w:proofErr w:type="spellEnd"/>
      <w:r w:rsidRPr="00AC5E9F">
        <w:t xml:space="preserve"> </w:t>
      </w:r>
      <w:r w:rsidR="0075672D">
        <w:t xml:space="preserve">was </w:t>
      </w:r>
      <w:r w:rsidRPr="00AC5E9F">
        <w:t xml:space="preserve">provisionally </w:t>
      </w:r>
      <w:r w:rsidR="0075672D">
        <w:t>approved</w:t>
      </w:r>
      <w:r w:rsidRPr="00AC5E9F">
        <w:t xml:space="preserve"> on 10th July 2020 for COVID-19 treatment</w:t>
      </w:r>
      <w:r w:rsidR="0075672D">
        <w:t>.</w:t>
      </w:r>
      <w:r w:rsidR="00C41FF6">
        <w:rPr>
          <w:rFonts w:ascii="ZWAdobeF" w:hAnsi="ZWAdobeF" w:cs="ZWAdobeF"/>
          <w:sz w:val="2"/>
          <w:szCs w:val="2"/>
        </w:rPr>
        <w:t>18F</w:t>
      </w:r>
      <w:r w:rsidR="0075672D">
        <w:rPr>
          <w:rStyle w:val="FootnoteReference"/>
        </w:rPr>
        <w:footnoteReference w:id="19"/>
      </w:r>
      <w:r w:rsidR="00032B11" w:rsidRPr="00032B11">
        <w:t xml:space="preserve"> </w:t>
      </w:r>
      <w:proofErr w:type="spellStart"/>
      <w:r w:rsidR="00032B11">
        <w:t>Paxlovid</w:t>
      </w:r>
      <w:proofErr w:type="spellEnd"/>
      <w:r w:rsidR="00032B11">
        <w:t xml:space="preserve"> was provisionally approved on 18 January 2022 for COVID-19 treatment.</w:t>
      </w:r>
      <w:r w:rsidR="00C41FF6">
        <w:rPr>
          <w:rFonts w:ascii="ZWAdobeF" w:hAnsi="ZWAdobeF" w:cs="ZWAdobeF"/>
          <w:sz w:val="2"/>
          <w:szCs w:val="2"/>
        </w:rPr>
        <w:t>19F</w:t>
      </w:r>
      <w:r w:rsidR="00032B11">
        <w:rPr>
          <w:rStyle w:val="FootnoteReference"/>
        </w:rPr>
        <w:footnoteReference w:id="20"/>
      </w:r>
      <w:r w:rsidR="00032B11">
        <w:t xml:space="preserve"> </w:t>
      </w:r>
      <w:proofErr w:type="spellStart"/>
      <w:r w:rsidR="00032B11">
        <w:t>Lagevrio</w:t>
      </w:r>
      <w:proofErr w:type="spellEnd"/>
      <w:r w:rsidR="00032B11">
        <w:t xml:space="preserve"> was provisionally approved on 18 January 2022 for COVID-19 treatment.</w:t>
      </w:r>
      <w:r w:rsidR="00C41FF6">
        <w:rPr>
          <w:rFonts w:ascii="ZWAdobeF" w:hAnsi="ZWAdobeF" w:cs="ZWAdobeF"/>
          <w:sz w:val="2"/>
          <w:szCs w:val="2"/>
        </w:rPr>
        <w:t>20F</w:t>
      </w:r>
      <w:r w:rsidR="00032B11">
        <w:rPr>
          <w:rStyle w:val="FootnoteReference"/>
        </w:rPr>
        <w:footnoteReference w:id="21"/>
      </w:r>
    </w:p>
    <w:p w14:paraId="1351EAB7" w14:textId="77777777" w:rsidR="008E7846" w:rsidRPr="003F31A2" w:rsidRDefault="00386150" w:rsidP="00345763">
      <w:pPr>
        <w:pStyle w:val="Heading3"/>
        <w:keepNext w:val="0"/>
        <w:keepLines w:val="0"/>
      </w:pPr>
      <w:bookmarkStart w:id="19" w:name="_Toc93695191"/>
      <w:r>
        <w:t>Regulatory s</w:t>
      </w:r>
      <w:r w:rsidR="008E7846">
        <w:t>tatus</w:t>
      </w:r>
      <w:bookmarkEnd w:id="16"/>
      <w:bookmarkEnd w:id="17"/>
      <w:bookmarkEnd w:id="19"/>
    </w:p>
    <w:p w14:paraId="48A624BA" w14:textId="61E3B695" w:rsidR="00940A89" w:rsidRDefault="00006FAB" w:rsidP="00345763">
      <w:bookmarkStart w:id="20" w:name="_Toc247691505"/>
      <w:bookmarkStart w:id="21" w:name="_Toc314842486"/>
      <w:r w:rsidRPr="00006FAB">
        <w:t>This product is considered a new biological entity for Australian regulatory purposes.</w:t>
      </w:r>
    </w:p>
    <w:p w14:paraId="77E04F43" w14:textId="06E8975E" w:rsidR="00B949BB" w:rsidRDefault="00B949BB" w:rsidP="00345763">
      <w:r w:rsidRPr="00AC5E9F">
        <w:t xml:space="preserve">The provisional determination for </w:t>
      </w:r>
      <w:proofErr w:type="spellStart"/>
      <w:r w:rsidRPr="00AC5E9F">
        <w:t>N</w:t>
      </w:r>
      <w:r w:rsidR="00240124">
        <w:t>uvaxovid</w:t>
      </w:r>
      <w:proofErr w:type="spellEnd"/>
      <w:r w:rsidRPr="00AC5E9F">
        <w:t xml:space="preserve"> was granted by the </w:t>
      </w:r>
      <w:r w:rsidR="00516D25" w:rsidRPr="00516D25">
        <w:t>Therapeutic Goods Administration</w:t>
      </w:r>
      <w:r w:rsidR="00516D25">
        <w:t xml:space="preserve"> (</w:t>
      </w:r>
      <w:r w:rsidRPr="00AC5E9F">
        <w:t>TGA</w:t>
      </w:r>
      <w:r w:rsidR="00516D25">
        <w:t>)</w:t>
      </w:r>
      <w:r w:rsidRPr="00AC5E9F">
        <w:t xml:space="preserve"> on</w:t>
      </w:r>
      <w:r w:rsidR="00457158">
        <w:t xml:space="preserve"> </w:t>
      </w:r>
      <w:r w:rsidRPr="00AC5E9F">
        <w:t>19 January 2021.</w:t>
      </w:r>
    </w:p>
    <w:p w14:paraId="44AC223F" w14:textId="747619F3" w:rsidR="00240124" w:rsidRDefault="00240124" w:rsidP="00345763">
      <w:r>
        <w:t xml:space="preserve">At the time the TGA considered this application, </w:t>
      </w:r>
      <w:r w:rsidR="00700A02">
        <w:t>an E</w:t>
      </w:r>
      <w:r>
        <w:t xml:space="preserve">mergency </w:t>
      </w:r>
      <w:r w:rsidR="00700A02">
        <w:t>U</w:t>
      </w:r>
      <w:r>
        <w:t>se</w:t>
      </w:r>
      <w:r w:rsidR="00700A02">
        <w:t xml:space="preserve"> Listing</w:t>
      </w:r>
      <w:r>
        <w:t xml:space="preserve"> was granted by WHO on 17 December 2021. European Medicines Agency (EMA) granted conditional approval on the 20 December 2021.</w:t>
      </w:r>
      <w:r w:rsidR="00723DFC">
        <w:t xml:space="preserve"> </w:t>
      </w:r>
      <w:r w:rsidR="00FE18AA">
        <w:t xml:space="preserve">In addition, </w:t>
      </w:r>
      <w:r w:rsidR="00C5109A">
        <w:t>similar applications were under consideration in United States of America (USA), Canada, United Kingdom</w:t>
      </w:r>
      <w:r w:rsidR="00911C90">
        <w:t xml:space="preserve"> (UK)</w:t>
      </w:r>
      <w:r w:rsidR="00C5109A">
        <w:t xml:space="preserve"> and New Zealand.</w:t>
      </w:r>
    </w:p>
    <w:p w14:paraId="69EC2EF5" w14:textId="0D0C2AB0" w:rsidR="00324E45" w:rsidRPr="00F0146F" w:rsidRDefault="00324E45" w:rsidP="002533DC">
      <w:pPr>
        <w:pStyle w:val="TableTitle"/>
        <w:keepLines/>
        <w:pageBreakBefore/>
      </w:pPr>
      <w:r>
        <w:lastRenderedPageBreak/>
        <w:t xml:space="preserve">Table </w:t>
      </w:r>
      <w:r w:rsidR="00344FF4">
        <w:fldChar w:fldCharType="begin"/>
      </w:r>
      <w:r w:rsidR="00344FF4">
        <w:instrText xml:space="preserve"> SEQ Table \* ARABIC </w:instrText>
      </w:r>
      <w:r w:rsidR="00344FF4">
        <w:fldChar w:fldCharType="separate"/>
      </w:r>
      <w:r w:rsidR="00C41FF6">
        <w:rPr>
          <w:noProof/>
        </w:rPr>
        <w:t>1</w:t>
      </w:r>
      <w:r w:rsidR="00344FF4">
        <w:rPr>
          <w:noProof/>
        </w:rPr>
        <w:fldChar w:fldCharType="end"/>
      </w:r>
      <w:r>
        <w:t>: International regulatory status</w:t>
      </w:r>
    </w:p>
    <w:tbl>
      <w:tblPr>
        <w:tblStyle w:val="TableTGAblue"/>
        <w:tblW w:w="0" w:type="auto"/>
        <w:tblLook w:val="04A0" w:firstRow="1" w:lastRow="0" w:firstColumn="1" w:lastColumn="0" w:noHBand="0" w:noVBand="1"/>
      </w:tblPr>
      <w:tblGrid>
        <w:gridCol w:w="2102"/>
        <w:gridCol w:w="2114"/>
        <w:gridCol w:w="2139"/>
        <w:gridCol w:w="2139"/>
      </w:tblGrid>
      <w:tr w:rsidR="00C5109A" w14:paraId="60A9DE7B" w14:textId="77777777" w:rsidTr="00CF5DAD">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24D26F88" w14:textId="77777777" w:rsidR="00006FAB" w:rsidRDefault="00006FAB" w:rsidP="00345763">
            <w:pPr>
              <w:keepNext w:val="0"/>
              <w:ind w:left="0" w:right="0"/>
            </w:pPr>
            <w:r>
              <w:t>Region</w:t>
            </w:r>
          </w:p>
        </w:tc>
        <w:tc>
          <w:tcPr>
            <w:tcW w:w="2180" w:type="dxa"/>
            <w:tcBorders>
              <w:top w:val="single" w:sz="4" w:space="0" w:color="auto"/>
              <w:left w:val="single" w:sz="4" w:space="0" w:color="auto"/>
              <w:bottom w:val="single" w:sz="4" w:space="0" w:color="auto"/>
              <w:right w:val="single" w:sz="4" w:space="0" w:color="auto"/>
            </w:tcBorders>
          </w:tcPr>
          <w:p w14:paraId="380D77EB" w14:textId="77777777" w:rsidR="00006FAB" w:rsidRDefault="00006FAB" w:rsidP="00345763">
            <w:pPr>
              <w:keepNext w:val="0"/>
              <w:ind w:left="0" w:right="0"/>
            </w:pPr>
            <w:r>
              <w:t>Submission date</w:t>
            </w:r>
          </w:p>
        </w:tc>
        <w:tc>
          <w:tcPr>
            <w:tcW w:w="2180" w:type="dxa"/>
            <w:tcBorders>
              <w:top w:val="single" w:sz="4" w:space="0" w:color="auto"/>
              <w:left w:val="single" w:sz="4" w:space="0" w:color="auto"/>
              <w:bottom w:val="single" w:sz="4" w:space="0" w:color="auto"/>
              <w:right w:val="single" w:sz="4" w:space="0" w:color="auto"/>
            </w:tcBorders>
          </w:tcPr>
          <w:p w14:paraId="77BE3F18" w14:textId="77777777" w:rsidR="00006FAB" w:rsidRDefault="00006FAB" w:rsidP="00345763">
            <w:pPr>
              <w:keepNext w:val="0"/>
              <w:ind w:left="0" w:right="0"/>
            </w:pPr>
            <w:r>
              <w:t>Status</w:t>
            </w:r>
          </w:p>
        </w:tc>
        <w:tc>
          <w:tcPr>
            <w:tcW w:w="2180" w:type="dxa"/>
            <w:tcBorders>
              <w:top w:val="single" w:sz="4" w:space="0" w:color="auto"/>
              <w:left w:val="single" w:sz="4" w:space="0" w:color="auto"/>
              <w:bottom w:val="single" w:sz="4" w:space="0" w:color="auto"/>
              <w:right w:val="single" w:sz="4" w:space="0" w:color="auto"/>
            </w:tcBorders>
          </w:tcPr>
          <w:p w14:paraId="58877BEB" w14:textId="77777777" w:rsidR="00006FAB" w:rsidRDefault="00006FAB" w:rsidP="00345763">
            <w:pPr>
              <w:keepNext w:val="0"/>
              <w:ind w:left="0" w:right="0"/>
            </w:pPr>
            <w:r>
              <w:t>Approved indications</w:t>
            </w:r>
          </w:p>
        </w:tc>
      </w:tr>
      <w:tr w:rsidR="00C5109A" w14:paraId="0E068F18" w14:textId="77777777" w:rsidTr="00CF5DAD">
        <w:tc>
          <w:tcPr>
            <w:tcW w:w="2180" w:type="dxa"/>
            <w:tcBorders>
              <w:top w:val="single" w:sz="4" w:space="0" w:color="auto"/>
            </w:tcBorders>
          </w:tcPr>
          <w:p w14:paraId="6FC8F50A" w14:textId="610FF1D5" w:rsidR="00006FAB" w:rsidRDefault="00C5109A" w:rsidP="00345763">
            <w:pPr>
              <w:ind w:left="0" w:right="0"/>
            </w:pPr>
            <w:r>
              <w:t>European Union</w:t>
            </w:r>
            <w:r w:rsidR="00516D25">
              <w:t xml:space="preserve"> (EU)</w:t>
            </w:r>
          </w:p>
        </w:tc>
        <w:tc>
          <w:tcPr>
            <w:tcW w:w="2180" w:type="dxa"/>
            <w:tcBorders>
              <w:top w:val="single" w:sz="4" w:space="0" w:color="auto"/>
            </w:tcBorders>
          </w:tcPr>
          <w:p w14:paraId="0B6D711B" w14:textId="77C5925D" w:rsidR="00006FAB" w:rsidRDefault="00C5109A" w:rsidP="00345763">
            <w:pPr>
              <w:ind w:left="0" w:right="0"/>
            </w:pPr>
            <w:r>
              <w:t>3 February 2021</w:t>
            </w:r>
          </w:p>
        </w:tc>
        <w:tc>
          <w:tcPr>
            <w:tcW w:w="2180" w:type="dxa"/>
            <w:tcBorders>
              <w:top w:val="single" w:sz="4" w:space="0" w:color="auto"/>
            </w:tcBorders>
          </w:tcPr>
          <w:p w14:paraId="0098BEA7" w14:textId="1BE9A2C3" w:rsidR="00006FAB" w:rsidRDefault="00C5109A" w:rsidP="00345763">
            <w:pPr>
              <w:ind w:left="0" w:right="0"/>
            </w:pPr>
            <w:r>
              <w:t>Conditional approval on 20</w:t>
            </w:r>
            <w:r w:rsidR="000B03CD">
              <w:t> </w:t>
            </w:r>
            <w:r>
              <w:t>December 2021</w:t>
            </w:r>
          </w:p>
        </w:tc>
        <w:tc>
          <w:tcPr>
            <w:tcW w:w="2180" w:type="dxa"/>
            <w:tcBorders>
              <w:top w:val="single" w:sz="4" w:space="0" w:color="auto"/>
            </w:tcBorders>
          </w:tcPr>
          <w:p w14:paraId="7ED6B5BA" w14:textId="187D8BD9" w:rsidR="00006FAB" w:rsidRPr="00C5109A" w:rsidRDefault="00C5109A" w:rsidP="00345763">
            <w:pPr>
              <w:ind w:left="0"/>
              <w:rPr>
                <w:i/>
                <w:iCs/>
              </w:rPr>
            </w:pPr>
            <w:r w:rsidRPr="00C5109A">
              <w:rPr>
                <w:i/>
                <w:iCs/>
              </w:rPr>
              <w:t>Active immunization for the prevention of mild, moderate, and severe disease caused by SARS-CoV-2 in adults ≥ 18 years of age</w:t>
            </w:r>
          </w:p>
        </w:tc>
      </w:tr>
      <w:tr w:rsidR="00C5109A" w14:paraId="0940EC96" w14:textId="77777777" w:rsidTr="00006FAB">
        <w:tc>
          <w:tcPr>
            <w:tcW w:w="2180" w:type="dxa"/>
          </w:tcPr>
          <w:p w14:paraId="2CAC47BD" w14:textId="7637AA66" w:rsidR="00006FAB" w:rsidRDefault="00C5109A" w:rsidP="00345763">
            <w:pPr>
              <w:ind w:left="0" w:right="0"/>
            </w:pPr>
            <w:r>
              <w:t>United States of America</w:t>
            </w:r>
          </w:p>
        </w:tc>
        <w:tc>
          <w:tcPr>
            <w:tcW w:w="2180" w:type="dxa"/>
          </w:tcPr>
          <w:p w14:paraId="6848E417" w14:textId="58AEACBE" w:rsidR="00006FAB" w:rsidRDefault="00C5109A" w:rsidP="00345763">
            <w:pPr>
              <w:ind w:left="0" w:right="0"/>
            </w:pPr>
            <w:r>
              <w:t>11 June 2020</w:t>
            </w:r>
            <w:r w:rsidR="00457158">
              <w:t xml:space="preserve"> (under IND)</w:t>
            </w:r>
          </w:p>
        </w:tc>
        <w:tc>
          <w:tcPr>
            <w:tcW w:w="2180" w:type="dxa"/>
          </w:tcPr>
          <w:p w14:paraId="4F633CAB" w14:textId="77777777" w:rsidR="00006FAB" w:rsidRDefault="00006FAB" w:rsidP="00345763">
            <w:pPr>
              <w:ind w:left="0" w:right="0"/>
            </w:pPr>
            <w:r w:rsidRPr="00006FAB">
              <w:t>Under consideration</w:t>
            </w:r>
          </w:p>
        </w:tc>
        <w:tc>
          <w:tcPr>
            <w:tcW w:w="2180" w:type="dxa"/>
          </w:tcPr>
          <w:p w14:paraId="2D1B3EB2" w14:textId="77777777" w:rsidR="00006FAB" w:rsidRDefault="00006FAB" w:rsidP="00345763">
            <w:pPr>
              <w:ind w:left="0" w:right="0"/>
            </w:pPr>
            <w:r w:rsidRPr="00006FAB">
              <w:t>Under consideration</w:t>
            </w:r>
          </w:p>
        </w:tc>
      </w:tr>
      <w:tr w:rsidR="00C5109A" w14:paraId="40BBDB0A" w14:textId="77777777" w:rsidTr="00006FAB">
        <w:tc>
          <w:tcPr>
            <w:tcW w:w="2180" w:type="dxa"/>
          </w:tcPr>
          <w:p w14:paraId="6CF91927" w14:textId="262A869E" w:rsidR="00C5109A" w:rsidRDefault="00C5109A" w:rsidP="00345763">
            <w:pPr>
              <w:ind w:left="0"/>
            </w:pPr>
            <w:r>
              <w:t>Canada</w:t>
            </w:r>
          </w:p>
        </w:tc>
        <w:tc>
          <w:tcPr>
            <w:tcW w:w="2180" w:type="dxa"/>
          </w:tcPr>
          <w:p w14:paraId="2B46DF96" w14:textId="55FACDF2" w:rsidR="00C5109A" w:rsidRDefault="00C5109A" w:rsidP="00345763">
            <w:pPr>
              <w:ind w:left="0"/>
            </w:pPr>
            <w:r>
              <w:t>29 January 2021</w:t>
            </w:r>
          </w:p>
        </w:tc>
        <w:tc>
          <w:tcPr>
            <w:tcW w:w="2180" w:type="dxa"/>
          </w:tcPr>
          <w:p w14:paraId="58FC3F0E" w14:textId="6E73DF0E" w:rsidR="00C5109A" w:rsidRPr="00006FAB" w:rsidRDefault="00C5109A" w:rsidP="00345763">
            <w:pPr>
              <w:ind w:left="0"/>
            </w:pPr>
            <w:r w:rsidRPr="00006FAB">
              <w:t>Under consideration</w:t>
            </w:r>
          </w:p>
        </w:tc>
        <w:tc>
          <w:tcPr>
            <w:tcW w:w="2180" w:type="dxa"/>
          </w:tcPr>
          <w:p w14:paraId="600BD373" w14:textId="0C1E6891" w:rsidR="00C5109A" w:rsidRPr="00006FAB" w:rsidRDefault="00C5109A" w:rsidP="00345763">
            <w:pPr>
              <w:ind w:left="0"/>
            </w:pPr>
            <w:r w:rsidRPr="00006FAB">
              <w:t>Under consideration</w:t>
            </w:r>
          </w:p>
        </w:tc>
      </w:tr>
      <w:tr w:rsidR="00C5109A" w14:paraId="5E7A2F66" w14:textId="77777777" w:rsidTr="00006FAB">
        <w:tc>
          <w:tcPr>
            <w:tcW w:w="2180" w:type="dxa"/>
          </w:tcPr>
          <w:p w14:paraId="2E4353EA" w14:textId="5C136740" w:rsidR="00C5109A" w:rsidRDefault="00C5109A" w:rsidP="00345763">
            <w:pPr>
              <w:ind w:left="0"/>
            </w:pPr>
            <w:r>
              <w:t>United Kingdom</w:t>
            </w:r>
          </w:p>
        </w:tc>
        <w:tc>
          <w:tcPr>
            <w:tcW w:w="2180" w:type="dxa"/>
          </w:tcPr>
          <w:p w14:paraId="67F6FB24" w14:textId="6BEB34DD" w:rsidR="00C5109A" w:rsidRDefault="00C5109A" w:rsidP="00345763">
            <w:pPr>
              <w:ind w:left="0"/>
            </w:pPr>
            <w:r>
              <w:t>22 January 2021</w:t>
            </w:r>
          </w:p>
        </w:tc>
        <w:tc>
          <w:tcPr>
            <w:tcW w:w="2180" w:type="dxa"/>
          </w:tcPr>
          <w:p w14:paraId="090D8AB1" w14:textId="6E4115C4" w:rsidR="00C5109A" w:rsidRPr="00006FAB" w:rsidRDefault="00C5109A" w:rsidP="00345763">
            <w:pPr>
              <w:ind w:left="0"/>
            </w:pPr>
            <w:r w:rsidRPr="00006FAB">
              <w:t>Under consideration</w:t>
            </w:r>
          </w:p>
        </w:tc>
        <w:tc>
          <w:tcPr>
            <w:tcW w:w="2180" w:type="dxa"/>
          </w:tcPr>
          <w:p w14:paraId="678E7061" w14:textId="2D4110DB" w:rsidR="00C5109A" w:rsidRPr="00006FAB" w:rsidRDefault="00C5109A" w:rsidP="00345763">
            <w:pPr>
              <w:ind w:left="0"/>
            </w:pPr>
            <w:r w:rsidRPr="00006FAB">
              <w:t>Under consideration</w:t>
            </w:r>
          </w:p>
        </w:tc>
      </w:tr>
      <w:tr w:rsidR="00C5109A" w14:paraId="0810FD3C" w14:textId="77777777" w:rsidTr="00006FAB">
        <w:tc>
          <w:tcPr>
            <w:tcW w:w="2180" w:type="dxa"/>
          </w:tcPr>
          <w:p w14:paraId="5C05DFF2" w14:textId="4CF1FE37" w:rsidR="00C5109A" w:rsidRDefault="00C5109A" w:rsidP="00345763">
            <w:pPr>
              <w:ind w:left="0"/>
            </w:pPr>
            <w:r>
              <w:t>New Zealand</w:t>
            </w:r>
          </w:p>
        </w:tc>
        <w:tc>
          <w:tcPr>
            <w:tcW w:w="2180" w:type="dxa"/>
          </w:tcPr>
          <w:p w14:paraId="686D1D01" w14:textId="756F97F5" w:rsidR="00C5109A" w:rsidRDefault="00C5109A" w:rsidP="00345763">
            <w:pPr>
              <w:ind w:left="0"/>
            </w:pPr>
            <w:r>
              <w:t>17 February 2021</w:t>
            </w:r>
          </w:p>
        </w:tc>
        <w:tc>
          <w:tcPr>
            <w:tcW w:w="2180" w:type="dxa"/>
          </w:tcPr>
          <w:p w14:paraId="3CFEA440" w14:textId="51ECFFCE" w:rsidR="00C5109A" w:rsidRPr="00006FAB" w:rsidRDefault="00C5109A" w:rsidP="00345763">
            <w:pPr>
              <w:ind w:left="0"/>
            </w:pPr>
            <w:r w:rsidRPr="00006FAB">
              <w:t>Under consideration</w:t>
            </w:r>
          </w:p>
        </w:tc>
        <w:tc>
          <w:tcPr>
            <w:tcW w:w="2180" w:type="dxa"/>
          </w:tcPr>
          <w:p w14:paraId="0FF012E1" w14:textId="34307568" w:rsidR="00C5109A" w:rsidRPr="00006FAB" w:rsidRDefault="00C5109A" w:rsidP="00345763">
            <w:pPr>
              <w:ind w:left="0"/>
            </w:pPr>
            <w:r w:rsidRPr="00006FAB">
              <w:t>Under consideration</w:t>
            </w:r>
          </w:p>
        </w:tc>
      </w:tr>
    </w:tbl>
    <w:p w14:paraId="1AC0F9A1" w14:textId="77777777" w:rsidR="008E7846" w:rsidRDefault="008E7846" w:rsidP="00345763">
      <w:pPr>
        <w:pStyle w:val="Heading3"/>
        <w:keepNext w:val="0"/>
        <w:keepLines w:val="0"/>
      </w:pPr>
      <w:bookmarkStart w:id="22" w:name="_Toc93695192"/>
      <w:r>
        <w:t>Product Information</w:t>
      </w:r>
      <w:bookmarkEnd w:id="20"/>
      <w:bookmarkEnd w:id="21"/>
      <w:bookmarkEnd w:id="22"/>
    </w:p>
    <w:p w14:paraId="783565BC" w14:textId="3EEA6ABA" w:rsidR="00940A89" w:rsidRDefault="006136D7" w:rsidP="00345763">
      <w:bookmarkStart w:id="23" w:name="_Toc247691506"/>
      <w:bookmarkStart w:id="2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C41FF6">
          <w:rPr>
            <w:rFonts w:ascii="ZWAdobeF" w:hAnsi="ZWAdobeF" w:cs="ZWAdobeF"/>
            <w:sz w:val="2"/>
            <w:szCs w:val="2"/>
          </w:rPr>
          <w:t>34T</w:t>
        </w:r>
        <w:r w:rsidR="00441C3F" w:rsidRPr="00441C3F">
          <w:rPr>
            <w:rStyle w:val="Hyperlink"/>
          </w:rPr>
          <w:t>https://www.tga.gov.au/product-information-pi</w:t>
        </w:r>
      </w:hyperlink>
      <w:r w:rsidR="00C41FF6" w:rsidRPr="00C41FF6">
        <w:rPr>
          <w:rStyle w:val="Hyperlink"/>
          <w:rFonts w:ascii="ZWAdobeF" w:hAnsi="ZWAdobeF" w:cs="ZWAdobeF"/>
          <w:color w:val="auto"/>
          <w:sz w:val="2"/>
          <w:szCs w:val="2"/>
          <w:u w:val="none"/>
        </w:rPr>
        <w:t>34T</w:t>
      </w:r>
      <w:r w:rsidR="00441C3F">
        <w:t>&gt;</w:t>
      </w:r>
      <w:r w:rsidR="00940A89" w:rsidRPr="00940A89">
        <w:t>.</w:t>
      </w:r>
    </w:p>
    <w:p w14:paraId="3B7107F9" w14:textId="77777777" w:rsidR="00500337" w:rsidRDefault="00500337" w:rsidP="00345763">
      <w:pPr>
        <w:pStyle w:val="Heading2"/>
        <w:keepNext w:val="0"/>
        <w:keepLines w:val="0"/>
      </w:pPr>
      <w:bookmarkStart w:id="25" w:name="_Toc504480011"/>
      <w:bookmarkStart w:id="26" w:name="_Toc93695193"/>
      <w:r>
        <w:t>II. Registration timeline</w:t>
      </w:r>
      <w:bookmarkEnd w:id="25"/>
      <w:bookmarkEnd w:id="26"/>
    </w:p>
    <w:p w14:paraId="7A4BAE06" w14:textId="489F9472" w:rsidR="00500337" w:rsidRDefault="00500337" w:rsidP="00345763">
      <w:r>
        <w:t xml:space="preserve">The following table captures the key steps and dates for this application and which are detailed and discussed in this </w:t>
      </w:r>
      <w:proofErr w:type="spellStart"/>
      <w:r>
        <w:t>AusPAR</w:t>
      </w:r>
      <w:proofErr w:type="spellEnd"/>
      <w:r>
        <w:t>.</w:t>
      </w:r>
    </w:p>
    <w:p w14:paraId="2D0EA518" w14:textId="27AF7CB2" w:rsidR="0014718A" w:rsidRDefault="0014718A" w:rsidP="00345763">
      <w:r>
        <w:t xml:space="preserve">Data was provided as a rolling submission. Under normal circumstances, </w:t>
      </w:r>
      <w:r w:rsidR="00700A02">
        <w:t xml:space="preserve">the </w:t>
      </w:r>
      <w:r>
        <w:t>TGA's assessment (for both provisional and general registration) begins once all information to support registration is available. As part of the Department of Health's response to the pandemic, the TGA has agreed to accept rolling data for COVID-19 vaccines</w:t>
      </w:r>
      <w:r w:rsidR="00257CD1">
        <w:t xml:space="preserve"> and treatments</w:t>
      </w:r>
      <w:r>
        <w:t>, to enable early evaluation of data as it comes to hand.</w:t>
      </w:r>
    </w:p>
    <w:p w14:paraId="38145568" w14:textId="1D170B49" w:rsidR="00500337" w:rsidRDefault="00F26528" w:rsidP="006575C4">
      <w:pPr>
        <w:pStyle w:val="TableTitle"/>
        <w:pageBreakBefore/>
      </w:pPr>
      <w:r w:rsidRPr="00F26528">
        <w:lastRenderedPageBreak/>
        <w:t xml:space="preserve">Table </w:t>
      </w:r>
      <w:r w:rsidR="00344FF4">
        <w:fldChar w:fldCharType="begin"/>
      </w:r>
      <w:r w:rsidR="00344FF4">
        <w:instrText xml:space="preserve"> SEQ Table \* ARABIC </w:instrText>
      </w:r>
      <w:r w:rsidR="00344FF4">
        <w:fldChar w:fldCharType="separate"/>
      </w:r>
      <w:r w:rsidR="00C41FF6">
        <w:rPr>
          <w:noProof/>
        </w:rPr>
        <w:t>2</w:t>
      </w:r>
      <w:r w:rsidR="00344FF4">
        <w:rPr>
          <w:noProof/>
        </w:rPr>
        <w:fldChar w:fldCharType="end"/>
      </w:r>
      <w:r>
        <w:t xml:space="preserve">: </w:t>
      </w:r>
      <w:r w:rsidRPr="00F26528">
        <w:t>Timeline for Submission PM-2021-00623-1-2</w:t>
      </w:r>
    </w:p>
    <w:tbl>
      <w:tblPr>
        <w:tblStyle w:val="TableTGAblue"/>
        <w:tblW w:w="0" w:type="auto"/>
        <w:tblLook w:val="04A0" w:firstRow="1" w:lastRow="0" w:firstColumn="1" w:lastColumn="0" w:noHBand="0" w:noVBand="1"/>
      </w:tblPr>
      <w:tblGrid>
        <w:gridCol w:w="4263"/>
        <w:gridCol w:w="4231"/>
      </w:tblGrid>
      <w:tr w:rsidR="00500337" w14:paraId="1BD7EFEF" w14:textId="77777777" w:rsidTr="00DC0604">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7F1D4BAC" w14:textId="77777777" w:rsidR="00500337" w:rsidRDefault="00500337" w:rsidP="00345763">
            <w:pPr>
              <w:keepNext w:val="0"/>
              <w:ind w:left="0" w:right="0"/>
            </w:pPr>
            <w:r>
              <w:t>Description</w:t>
            </w:r>
          </w:p>
        </w:tc>
        <w:tc>
          <w:tcPr>
            <w:tcW w:w="4231" w:type="dxa"/>
            <w:tcBorders>
              <w:top w:val="single" w:sz="4" w:space="0" w:color="auto"/>
              <w:left w:val="single" w:sz="4" w:space="0" w:color="auto"/>
              <w:bottom w:val="single" w:sz="4" w:space="0" w:color="auto"/>
              <w:right w:val="single" w:sz="4" w:space="0" w:color="auto"/>
            </w:tcBorders>
          </w:tcPr>
          <w:p w14:paraId="21ECFDF9" w14:textId="77777777" w:rsidR="00500337" w:rsidRDefault="00500337" w:rsidP="00345763">
            <w:pPr>
              <w:keepNext w:val="0"/>
              <w:ind w:left="0" w:right="0"/>
            </w:pPr>
            <w:r>
              <w:t>Date</w:t>
            </w:r>
          </w:p>
        </w:tc>
      </w:tr>
      <w:tr w:rsidR="00500337" w14:paraId="13691C62" w14:textId="77777777" w:rsidTr="00DC0604">
        <w:tc>
          <w:tcPr>
            <w:tcW w:w="4263" w:type="dxa"/>
            <w:tcBorders>
              <w:top w:val="single" w:sz="4" w:space="0" w:color="auto"/>
            </w:tcBorders>
          </w:tcPr>
          <w:p w14:paraId="461C5953" w14:textId="062BCB8D" w:rsidR="00500337" w:rsidRDefault="00500337" w:rsidP="00345763">
            <w:pPr>
              <w:ind w:left="0" w:right="0"/>
            </w:pPr>
            <w:r>
              <w:t>De</w:t>
            </w:r>
            <w:r w:rsidR="00723DFC">
              <w:t>termination</w:t>
            </w:r>
            <w:r>
              <w:t xml:space="preserve"> (Provisional</w:t>
            </w:r>
            <w:r w:rsidR="00DC0604">
              <w:t>)</w:t>
            </w:r>
            <w:r w:rsidR="00BF5B0B">
              <w:t>;</w:t>
            </w:r>
            <w:r w:rsidR="00BF5B0B">
              <w:fldChar w:fldCharType="begin"/>
            </w:r>
            <w:r w:rsidR="00BF5B0B">
              <w:instrText xml:space="preserve"> NOTEREF _Ref92357353 \f \h </w:instrText>
            </w:r>
            <w:r w:rsidR="00BF5B0B">
              <w:fldChar w:fldCharType="separate"/>
            </w:r>
            <w:r w:rsidR="00C41FF6" w:rsidRPr="00C41FF6">
              <w:rPr>
                <w:rStyle w:val="FootnoteReference"/>
              </w:rPr>
              <w:t>8</w:t>
            </w:r>
            <w:r w:rsidR="00BF5B0B">
              <w:fldChar w:fldCharType="end"/>
            </w:r>
          </w:p>
        </w:tc>
        <w:tc>
          <w:tcPr>
            <w:tcW w:w="4231" w:type="dxa"/>
            <w:tcBorders>
              <w:top w:val="single" w:sz="4" w:space="0" w:color="auto"/>
            </w:tcBorders>
          </w:tcPr>
          <w:p w14:paraId="489B9327" w14:textId="12628977" w:rsidR="00500337" w:rsidRDefault="00B949BB" w:rsidP="00345763">
            <w:pPr>
              <w:ind w:left="0" w:right="0"/>
            </w:pPr>
            <w:r>
              <w:t>19 January 2021</w:t>
            </w:r>
          </w:p>
        </w:tc>
      </w:tr>
      <w:tr w:rsidR="00500337" w14:paraId="1BD461C4" w14:textId="77777777" w:rsidTr="00DC0604">
        <w:tc>
          <w:tcPr>
            <w:tcW w:w="4263" w:type="dxa"/>
          </w:tcPr>
          <w:p w14:paraId="42728D94" w14:textId="65225CA9" w:rsidR="00500337" w:rsidRDefault="00500337" w:rsidP="00345763">
            <w:pPr>
              <w:ind w:left="0" w:right="0"/>
            </w:pPr>
            <w:r>
              <w:t>Submission dossier accepted</w:t>
            </w:r>
            <w:r w:rsidR="006E77AC">
              <w:t xml:space="preserve"> and first round of evaluation commenced</w:t>
            </w:r>
          </w:p>
        </w:tc>
        <w:tc>
          <w:tcPr>
            <w:tcW w:w="4231" w:type="dxa"/>
          </w:tcPr>
          <w:p w14:paraId="3FAE4686" w14:textId="6C893BF9" w:rsidR="00500337" w:rsidRDefault="009D1A30" w:rsidP="00345763">
            <w:pPr>
              <w:ind w:left="0" w:right="0"/>
            </w:pPr>
            <w:r>
              <w:t>26</w:t>
            </w:r>
            <w:r w:rsidR="00DC0604">
              <w:t xml:space="preserve"> February 2021</w:t>
            </w:r>
          </w:p>
        </w:tc>
      </w:tr>
      <w:tr w:rsidR="00500337" w14:paraId="2E17E065" w14:textId="77777777" w:rsidTr="00DC0604">
        <w:tc>
          <w:tcPr>
            <w:tcW w:w="4263" w:type="dxa"/>
          </w:tcPr>
          <w:p w14:paraId="3DB762F0" w14:textId="7C88149F" w:rsidR="00500337" w:rsidRDefault="00DC0604" w:rsidP="00345763">
            <w:pPr>
              <w:ind w:left="0" w:right="0"/>
            </w:pPr>
            <w:r>
              <w:t>E</w:t>
            </w:r>
            <w:r w:rsidR="00500337">
              <w:t>valuation completed</w:t>
            </w:r>
          </w:p>
        </w:tc>
        <w:tc>
          <w:tcPr>
            <w:tcW w:w="4231" w:type="dxa"/>
          </w:tcPr>
          <w:p w14:paraId="3F5B56A5" w14:textId="6E8ABB97" w:rsidR="00500337" w:rsidRDefault="002A0CA6" w:rsidP="00345763">
            <w:pPr>
              <w:ind w:left="0" w:right="0"/>
            </w:pPr>
            <w:r>
              <w:t>5 January 2022</w:t>
            </w:r>
          </w:p>
        </w:tc>
      </w:tr>
      <w:tr w:rsidR="00500337" w14:paraId="0653440A" w14:textId="77777777" w:rsidTr="00DC0604">
        <w:tc>
          <w:tcPr>
            <w:tcW w:w="4263" w:type="dxa"/>
          </w:tcPr>
          <w:p w14:paraId="1491D2D2" w14:textId="5363103C" w:rsidR="00500337" w:rsidRDefault="00324E45" w:rsidP="00345763">
            <w:pPr>
              <w:ind w:left="0" w:right="0"/>
            </w:pPr>
            <w:r>
              <w:t xml:space="preserve">Delegate’s Overall benefit-risk assessment </w:t>
            </w:r>
            <w:r w:rsidRPr="00DC0604">
              <w:t>and request for Advisory Committee advice</w:t>
            </w:r>
          </w:p>
        </w:tc>
        <w:tc>
          <w:tcPr>
            <w:tcW w:w="4231" w:type="dxa"/>
          </w:tcPr>
          <w:p w14:paraId="39517DC8" w14:textId="0952DD49" w:rsidR="00500337" w:rsidRDefault="00BF5B0B" w:rsidP="00345763">
            <w:pPr>
              <w:ind w:left="0" w:right="0"/>
            </w:pPr>
            <w:r>
              <w:t>5 January 2022</w:t>
            </w:r>
          </w:p>
        </w:tc>
      </w:tr>
      <w:tr w:rsidR="00500337" w14:paraId="71F15431" w14:textId="77777777" w:rsidTr="00DC0604">
        <w:tc>
          <w:tcPr>
            <w:tcW w:w="4263" w:type="dxa"/>
          </w:tcPr>
          <w:p w14:paraId="4365FA11" w14:textId="77777777" w:rsidR="00500337" w:rsidRDefault="00500337" w:rsidP="00345763">
            <w:pPr>
              <w:ind w:left="0" w:right="0"/>
            </w:pPr>
            <w:r>
              <w:t>Sponsor’s pre-Advisory Committee response</w:t>
            </w:r>
          </w:p>
        </w:tc>
        <w:tc>
          <w:tcPr>
            <w:tcW w:w="4231" w:type="dxa"/>
          </w:tcPr>
          <w:p w14:paraId="3A372E20" w14:textId="0C32923E" w:rsidR="00500337" w:rsidRDefault="00516D25" w:rsidP="00345763">
            <w:pPr>
              <w:ind w:left="0" w:right="0"/>
            </w:pPr>
            <w:r>
              <w:t>7 January 2022</w:t>
            </w:r>
          </w:p>
        </w:tc>
      </w:tr>
      <w:tr w:rsidR="00500337" w14:paraId="56867920" w14:textId="77777777" w:rsidTr="00DC0604">
        <w:tc>
          <w:tcPr>
            <w:tcW w:w="4263" w:type="dxa"/>
          </w:tcPr>
          <w:p w14:paraId="5237E272" w14:textId="77777777" w:rsidR="00500337" w:rsidRDefault="00500337" w:rsidP="00345763">
            <w:pPr>
              <w:ind w:left="0" w:right="0"/>
            </w:pPr>
            <w:r>
              <w:t>Advisory Committee meeting</w:t>
            </w:r>
          </w:p>
        </w:tc>
        <w:tc>
          <w:tcPr>
            <w:tcW w:w="4231" w:type="dxa"/>
          </w:tcPr>
          <w:p w14:paraId="44F718FD" w14:textId="35E0E0EF" w:rsidR="00500337" w:rsidRDefault="00DC0604" w:rsidP="00345763">
            <w:pPr>
              <w:ind w:left="0" w:right="0"/>
            </w:pPr>
            <w:r>
              <w:t>7 January 2022</w:t>
            </w:r>
          </w:p>
        </w:tc>
      </w:tr>
      <w:tr w:rsidR="00500337" w14:paraId="234CAF68" w14:textId="77777777" w:rsidTr="00DC0604">
        <w:tc>
          <w:tcPr>
            <w:tcW w:w="4263" w:type="dxa"/>
          </w:tcPr>
          <w:p w14:paraId="7FE1AAF2" w14:textId="77777777" w:rsidR="00500337" w:rsidRDefault="00500337" w:rsidP="00345763">
            <w:pPr>
              <w:ind w:left="0" w:right="0"/>
            </w:pPr>
            <w:r>
              <w:t>Registration decision (Outcome)</w:t>
            </w:r>
          </w:p>
        </w:tc>
        <w:tc>
          <w:tcPr>
            <w:tcW w:w="4231" w:type="dxa"/>
          </w:tcPr>
          <w:p w14:paraId="0F67FC74" w14:textId="57837963" w:rsidR="00500337" w:rsidRDefault="002A0CA6" w:rsidP="00345763">
            <w:pPr>
              <w:ind w:left="0" w:right="0"/>
            </w:pPr>
            <w:r w:rsidRPr="002A0CA6">
              <w:rPr>
                <w:color w:val="auto"/>
              </w:rPr>
              <w:t>19 January 2022</w:t>
            </w:r>
          </w:p>
        </w:tc>
      </w:tr>
      <w:tr w:rsidR="00500337" w14:paraId="610378FE" w14:textId="77777777" w:rsidTr="00DC0604">
        <w:tc>
          <w:tcPr>
            <w:tcW w:w="4263" w:type="dxa"/>
          </w:tcPr>
          <w:p w14:paraId="4FF1E446" w14:textId="77777777" w:rsidR="00500337" w:rsidRDefault="00500337" w:rsidP="00345763">
            <w:pPr>
              <w:ind w:left="0" w:right="0"/>
            </w:pPr>
            <w:r>
              <w:t xml:space="preserve">Completion of administrative activities and registration on </w:t>
            </w:r>
            <w:r w:rsidR="00006FAB">
              <w:t xml:space="preserve">the </w:t>
            </w:r>
            <w:r>
              <w:t>ARTG</w:t>
            </w:r>
          </w:p>
        </w:tc>
        <w:tc>
          <w:tcPr>
            <w:tcW w:w="4231" w:type="dxa"/>
          </w:tcPr>
          <w:p w14:paraId="0DCF33D0" w14:textId="44883593" w:rsidR="00500337" w:rsidRDefault="00E60E70" w:rsidP="00345763">
            <w:pPr>
              <w:ind w:left="0" w:right="0"/>
            </w:pPr>
            <w:r w:rsidRPr="00E60E70">
              <w:rPr>
                <w:color w:val="auto"/>
              </w:rPr>
              <w:t>2</w:t>
            </w:r>
            <w:r w:rsidR="00EB4A29">
              <w:rPr>
                <w:color w:val="auto"/>
              </w:rPr>
              <w:t>0</w:t>
            </w:r>
            <w:r w:rsidRPr="00E60E70">
              <w:rPr>
                <w:color w:val="auto"/>
              </w:rPr>
              <w:t xml:space="preserve"> January 2022</w:t>
            </w:r>
          </w:p>
        </w:tc>
      </w:tr>
      <w:tr w:rsidR="00500337" w14:paraId="379F4D19" w14:textId="77777777" w:rsidTr="00DC0604">
        <w:tc>
          <w:tcPr>
            <w:tcW w:w="4263" w:type="dxa"/>
          </w:tcPr>
          <w:p w14:paraId="5D459E95" w14:textId="77777777" w:rsidR="00500337" w:rsidRDefault="00500337" w:rsidP="00345763">
            <w:pPr>
              <w:ind w:left="0" w:right="0"/>
            </w:pPr>
            <w:r>
              <w:t>Number of working days from submission dossier acceptance to registration decision*</w:t>
            </w:r>
          </w:p>
        </w:tc>
        <w:tc>
          <w:tcPr>
            <w:tcW w:w="4231" w:type="dxa"/>
          </w:tcPr>
          <w:p w14:paraId="52E1B310" w14:textId="5B2D4F08" w:rsidR="00500337" w:rsidRDefault="002A0CA6" w:rsidP="00345763">
            <w:pPr>
              <w:ind w:left="0" w:right="0"/>
            </w:pPr>
            <w:r w:rsidRPr="002A0CA6">
              <w:rPr>
                <w:color w:val="auto"/>
              </w:rPr>
              <w:t>17</w:t>
            </w:r>
            <w:r w:rsidR="00603050">
              <w:rPr>
                <w:color w:val="auto"/>
              </w:rPr>
              <w:t>5</w:t>
            </w:r>
          </w:p>
        </w:tc>
      </w:tr>
    </w:tbl>
    <w:p w14:paraId="755D7B37" w14:textId="77777777" w:rsidR="00500337" w:rsidRDefault="00500337" w:rsidP="00CB0654">
      <w:pPr>
        <w:pStyle w:val="TableDescription"/>
      </w:pPr>
      <w:r>
        <w:t>*</w:t>
      </w:r>
      <w:r w:rsidR="006603BC" w:rsidRPr="006603BC">
        <w:t>Statutory timeframe for standard applications is 255 working days</w:t>
      </w:r>
    </w:p>
    <w:p w14:paraId="5820037B" w14:textId="77777777" w:rsidR="008E7846" w:rsidRPr="00792A32" w:rsidRDefault="00456765" w:rsidP="00345763">
      <w:pPr>
        <w:pStyle w:val="Heading2"/>
        <w:keepNext w:val="0"/>
        <w:keepLines w:val="0"/>
      </w:pPr>
      <w:bookmarkStart w:id="27" w:name="_Toc196046504"/>
      <w:bookmarkStart w:id="28" w:name="_Toc247691527"/>
      <w:bookmarkStart w:id="29" w:name="_Toc314842510"/>
      <w:bookmarkStart w:id="30" w:name="_Toc93695194"/>
      <w:bookmarkStart w:id="31" w:name="_Toc163441390"/>
      <w:bookmarkEnd w:id="23"/>
      <w:bookmarkEnd w:id="24"/>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5F326152" w14:textId="77777777" w:rsidR="00006FAB" w:rsidRDefault="00006FAB" w:rsidP="00345763">
      <w:bookmarkStart w:id="32" w:name="_Toc247691528"/>
      <w:r>
        <w:t>The submission was summarised in the following Delegate’s overview and recommendations.</w:t>
      </w:r>
    </w:p>
    <w:p w14:paraId="770A534A" w14:textId="3FA061F9" w:rsidR="008E7846" w:rsidRPr="00E930E0" w:rsidRDefault="008E7846" w:rsidP="00345763">
      <w:pPr>
        <w:pStyle w:val="Heading3"/>
        <w:keepNext w:val="0"/>
        <w:keepLines w:val="0"/>
        <w:rPr>
          <w:highlight w:val="yellow"/>
        </w:rPr>
      </w:pPr>
      <w:bookmarkStart w:id="33" w:name="_Toc314842511"/>
      <w:bookmarkStart w:id="34" w:name="_Toc93695195"/>
      <w:r w:rsidRPr="00E930E0">
        <w:t>Quality</w:t>
      </w:r>
      <w:bookmarkEnd w:id="32"/>
      <w:bookmarkEnd w:id="33"/>
      <w:bookmarkEnd w:id="34"/>
    </w:p>
    <w:p w14:paraId="1945C172" w14:textId="6D15CA5C" w:rsidR="00A87620" w:rsidRPr="0067200E" w:rsidRDefault="00A87620" w:rsidP="00345763">
      <w:proofErr w:type="spellStart"/>
      <w:r w:rsidRPr="0067200E">
        <w:t>Nuvaxovid</w:t>
      </w:r>
      <w:proofErr w:type="spellEnd"/>
      <w:r w:rsidRPr="0067200E">
        <w:t xml:space="preserve"> is a recombinant spike protein vaccine. It is based on the</w:t>
      </w:r>
      <w:r w:rsidR="001700EC">
        <w:t xml:space="preserve"> first</w:t>
      </w:r>
      <w:r w:rsidR="001700EC">
        <w:noBreakHyphen/>
        <w:t>isolated</w:t>
      </w:r>
      <w:r w:rsidRPr="0067200E">
        <w:t xml:space="preserve"> full length, wild-type SARS-CoV-2 spike glycoprotein. It is formulated in a sterile, preservative free, aqueous buffered suspension of the SARS-CoV-2 </w:t>
      </w:r>
      <w:proofErr w:type="spellStart"/>
      <w:r w:rsidRPr="0067200E">
        <w:t>rS</w:t>
      </w:r>
      <w:proofErr w:type="spellEnd"/>
      <w:r w:rsidRPr="0067200E">
        <w:t xml:space="preserve"> protein that is co-formulated with </w:t>
      </w:r>
      <w:r w:rsidR="006F5F10">
        <w:t>Matrix-M</w:t>
      </w:r>
      <w:r w:rsidRPr="0067200E">
        <w:t xml:space="preserve"> adjuvant and formulation buffer and presented in a multidose vial containing ten doses. A single dose is 0.5 </w:t>
      </w:r>
      <w:proofErr w:type="spellStart"/>
      <w:r w:rsidRPr="0067200E">
        <w:t>mL.</w:t>
      </w:r>
      <w:proofErr w:type="spellEnd"/>
      <w:r w:rsidRPr="0067200E">
        <w:t xml:space="preserve"> The recommended storage conditions of </w:t>
      </w:r>
      <w:proofErr w:type="spellStart"/>
      <w:r w:rsidRPr="0067200E">
        <w:t>Nuvaxovid</w:t>
      </w:r>
      <w:proofErr w:type="spellEnd"/>
      <w:r w:rsidRPr="0067200E">
        <w:t xml:space="preserve"> is from 2°C to 8°C and the intended route of administration is intramuscular injection.</w:t>
      </w:r>
    </w:p>
    <w:p w14:paraId="2855EC73" w14:textId="4142D0FD" w:rsidR="00305CA2" w:rsidRPr="0067200E" w:rsidRDefault="00305CA2" w:rsidP="00345763">
      <w:pPr>
        <w:pStyle w:val="Heading4"/>
        <w:keepNext w:val="0"/>
      </w:pPr>
      <w:r w:rsidRPr="0067200E">
        <w:t>Structure</w:t>
      </w:r>
    </w:p>
    <w:p w14:paraId="035CC9FA" w14:textId="0AA083C8" w:rsidR="00305CA2" w:rsidRPr="0067200E" w:rsidRDefault="00305CA2" w:rsidP="00345763">
      <w:r w:rsidRPr="0067200E">
        <w:t xml:space="preserve">The SARS-CoV-2 </w:t>
      </w:r>
      <w:r w:rsidR="00001B6D">
        <w:t xml:space="preserve">viral </w:t>
      </w:r>
      <w:r w:rsidR="00711182">
        <w:t>spike protein</w:t>
      </w:r>
      <w:r w:rsidRPr="0067200E">
        <w:t xml:space="preserve"> envelope consists of multimers of the spike glycoprotein which mediates receptor binding and membrane fusion with the host cell. The </w:t>
      </w:r>
      <w:r w:rsidRPr="00D00210">
        <w:rPr>
          <w:i/>
        </w:rPr>
        <w:t>S</w:t>
      </w:r>
      <w:r w:rsidRPr="0067200E">
        <w:t xml:space="preserve"> gene was codon</w:t>
      </w:r>
      <w:r w:rsidR="00001B6D">
        <w:noBreakHyphen/>
      </w:r>
      <w:r w:rsidRPr="0067200E">
        <w:t xml:space="preserve">optimised for expression in </w:t>
      </w:r>
      <w:r w:rsidRPr="0067200E">
        <w:rPr>
          <w:i/>
          <w:iCs/>
        </w:rPr>
        <w:t xml:space="preserve">Spodoptera </w:t>
      </w:r>
      <w:proofErr w:type="spellStart"/>
      <w:r w:rsidRPr="0067200E">
        <w:rPr>
          <w:i/>
          <w:iCs/>
        </w:rPr>
        <w:t>frugiperda</w:t>
      </w:r>
      <w:proofErr w:type="spellEnd"/>
      <w:r w:rsidRPr="0067200E">
        <w:t xml:space="preserve"> insect cells from a full length, prefusion, stabilised SARS-CoV-2 spike genetic sequence. This recombinant SARS</w:t>
      </w:r>
      <w:r w:rsidR="00457158">
        <w:t>-</w:t>
      </w:r>
      <w:r w:rsidRPr="0067200E">
        <w:t xml:space="preserve">CoV-2 spike gene encodes a recombinant spike glycoprotein, which is the active component of the vaccine). Purified </w:t>
      </w:r>
      <w:proofErr w:type="spellStart"/>
      <w:r w:rsidRPr="0067200E">
        <w:t>rS</w:t>
      </w:r>
      <w:proofErr w:type="spellEnd"/>
      <w:r w:rsidRPr="0067200E">
        <w:t xml:space="preserve"> glycoprotein form trimers that assemble into </w:t>
      </w:r>
      <w:r w:rsidRPr="0067200E">
        <w:lastRenderedPageBreak/>
        <w:t>nanoparticles, binding with high affinity to the human angiotensin converting enzyme 2 (ACE2) receptor.</w:t>
      </w:r>
    </w:p>
    <w:p w14:paraId="5CD6F31E" w14:textId="77777777" w:rsidR="00305CA2" w:rsidRPr="0067200E" w:rsidRDefault="00305CA2" w:rsidP="00345763">
      <w:pPr>
        <w:pStyle w:val="Heading4"/>
        <w:keepNext w:val="0"/>
      </w:pPr>
      <w:r w:rsidRPr="005C4061">
        <w:t>Adjuvant</w:t>
      </w:r>
    </w:p>
    <w:p w14:paraId="3D39BC5C" w14:textId="4A12634F" w:rsidR="00305CA2" w:rsidRDefault="00305CA2" w:rsidP="00345763">
      <w:r w:rsidRPr="0067200E">
        <w:t xml:space="preserve">Matrix-A and Matrix-C complexes contain purified saponin Fraction-A or Fraction-C, respectively, plus cholesterol and phosphatidylcholine. The saponin fractions are obtained by </w:t>
      </w:r>
      <w:r w:rsidR="003E3E11">
        <w:t>h</w:t>
      </w:r>
      <w:r w:rsidR="003E3E11" w:rsidRPr="003E3E11">
        <w:t>igh-performance liquid chromatography</w:t>
      </w:r>
      <w:r w:rsidR="003E3E11">
        <w:t xml:space="preserve"> </w:t>
      </w:r>
      <w:r w:rsidRPr="0067200E">
        <w:t xml:space="preserve">purification of </w:t>
      </w:r>
      <w:r w:rsidR="00347DDA">
        <w:t>saponin</w:t>
      </w:r>
      <w:r w:rsidRPr="0067200E">
        <w:t xml:space="preserve"> enriched purified bark extract from the tree </w:t>
      </w:r>
      <w:proofErr w:type="spellStart"/>
      <w:r w:rsidRPr="00D00210">
        <w:rPr>
          <w:i/>
        </w:rPr>
        <w:t>Quillaja</w:t>
      </w:r>
      <w:proofErr w:type="spellEnd"/>
      <w:r w:rsidRPr="00D00210">
        <w:rPr>
          <w:i/>
        </w:rPr>
        <w:t xml:space="preserve"> </w:t>
      </w:r>
      <w:proofErr w:type="spellStart"/>
      <w:r w:rsidRPr="00D00210">
        <w:rPr>
          <w:i/>
        </w:rPr>
        <w:t>saponaria</w:t>
      </w:r>
      <w:proofErr w:type="spellEnd"/>
      <w:r w:rsidRPr="0067200E">
        <w:t xml:space="preserve"> </w:t>
      </w:r>
      <w:r w:rsidR="003E3E11">
        <w:t>(</w:t>
      </w:r>
      <w:r w:rsidRPr="0067200E">
        <w:t>Molina</w:t>
      </w:r>
      <w:r w:rsidR="003E3E11">
        <w:t>)</w:t>
      </w:r>
      <w:r w:rsidRPr="0067200E">
        <w:t>. The Matrix-A and Matrix-C complexes are regularly shaped, uniform and stable with an average size of approximately 40 nm.</w:t>
      </w:r>
    </w:p>
    <w:p w14:paraId="3E78B0AE" w14:textId="7B243F60" w:rsidR="00CF3A45" w:rsidRDefault="00CF3A45" w:rsidP="00345763">
      <w:pPr>
        <w:pStyle w:val="Heading4"/>
        <w:keepNext w:val="0"/>
      </w:pPr>
      <w:r w:rsidRPr="003E3E11">
        <w:t xml:space="preserve">Conclusions </w:t>
      </w:r>
      <w:r w:rsidRPr="005C4061">
        <w:t>and</w:t>
      </w:r>
      <w:r w:rsidRPr="003E3E11">
        <w:t xml:space="preserve"> recommendation</w:t>
      </w:r>
    </w:p>
    <w:p w14:paraId="44AE8CBF" w14:textId="0B822767" w:rsidR="00CF3A45" w:rsidRDefault="00CF3A45" w:rsidP="00345763">
      <w:r>
        <w:t xml:space="preserve">The manufacturing quality information submitted by the sponsor support the provisional registration of </w:t>
      </w:r>
      <w:proofErr w:type="spellStart"/>
      <w:r>
        <w:t>Nuvaxovid</w:t>
      </w:r>
      <w:proofErr w:type="spellEnd"/>
      <w:r>
        <w:t>.</w:t>
      </w:r>
    </w:p>
    <w:p w14:paraId="681D4EB5" w14:textId="5A566350" w:rsidR="00CF3A45" w:rsidRDefault="00CF3A45" w:rsidP="00345763">
      <w:r>
        <w:t>However, it should be noted that there are some issues that need to be fully resolved before it is possible to provide assurances that the product is able to meet all of the requirements of the Therapeutics Goods Act 1989 and its associated instruments. The Delegate should review the proposed conditions of registration to ensure the product is fully compliant with all of the previously mentioned instruments, before release into the market.</w:t>
      </w:r>
    </w:p>
    <w:p w14:paraId="3667F722" w14:textId="59B21C46" w:rsidR="00FE6D49" w:rsidRPr="003E3E11" w:rsidRDefault="00FE6D49" w:rsidP="00345763">
      <w:pPr>
        <w:pStyle w:val="Heading4"/>
        <w:keepNext w:val="0"/>
      </w:pPr>
      <w:r>
        <w:t>Proposed quality conditions of registration</w:t>
      </w:r>
    </w:p>
    <w:p w14:paraId="34F0F37B" w14:textId="77777777" w:rsidR="00FE6D49" w:rsidRDefault="00FE6D49" w:rsidP="00345763">
      <w:pPr>
        <w:pStyle w:val="ListBullet"/>
      </w:pPr>
      <w:r>
        <w:t>Quality Conditions</w:t>
      </w:r>
    </w:p>
    <w:p w14:paraId="1AB99838" w14:textId="77777777" w:rsidR="00FE6D49" w:rsidRDefault="00FE6D49" w:rsidP="00345763">
      <w:pPr>
        <w:pStyle w:val="ListBullet2"/>
      </w:pPr>
      <w:r>
        <w:t>Medicine labels</w:t>
      </w:r>
    </w:p>
    <w:p w14:paraId="5D114A59" w14:textId="77777777" w:rsidR="00FE6D49" w:rsidRDefault="00FE6D49" w:rsidP="00345763">
      <w:pPr>
        <w:pStyle w:val="Numberbullett2a"/>
      </w:pPr>
      <w:r>
        <w:t>a)</w:t>
      </w:r>
      <w:r w:rsidRPr="005C4061">
        <w:t>The medicines must</w:t>
      </w:r>
      <w:r>
        <w:t xml:space="preserve"> not be supplied with labels other than the labels:</w:t>
      </w:r>
    </w:p>
    <w:p w14:paraId="7B5E2666" w14:textId="5DDAAB19" w:rsidR="00FE6D49" w:rsidRDefault="00FE6D49" w:rsidP="00345763">
      <w:pPr>
        <w:pStyle w:val="Numberbullet3"/>
      </w:pPr>
      <w:r>
        <w:t>that were considered and agreed to as part of the s.25 provisional registration decision, i.e. the labels referred to in the category 1 application and email from sponsor dated third quarter of 2021; or</w:t>
      </w:r>
    </w:p>
    <w:p w14:paraId="65F410BC" w14:textId="1162F5A5" w:rsidR="00FE6D49" w:rsidRDefault="00FE6D49" w:rsidP="00345763">
      <w:pPr>
        <w:pStyle w:val="Numberbullet3"/>
      </w:pPr>
      <w:r>
        <w:t>that are approved following a request to vary the entry in the Register under section 9D of the Act.</w:t>
      </w:r>
    </w:p>
    <w:p w14:paraId="5F32FBE6" w14:textId="77777777" w:rsidR="00FE6D49" w:rsidRDefault="00FE6D49" w:rsidP="00345763">
      <w:pPr>
        <w:pStyle w:val="Numberbullett2a"/>
      </w:pPr>
      <w:r>
        <w:t>b) The sponsor will develop Australian-specific labels for the medicines, that conform with all relevant Australian labelling requirements, and will take all reasonable steps to implement such labelling before the end of the provisional registration period for the medicine (noting that, consistent with paragraph 28(5)(</w:t>
      </w:r>
      <w:proofErr w:type="spellStart"/>
      <w:r>
        <w:t>aaa</w:t>
      </w:r>
      <w:proofErr w:type="spellEnd"/>
      <w:r>
        <w:t>) of the Act, changes to such matters as labels that have been agreed to as part of an evaluation under section 25 of the Act may only occur following submission under section 9D of a 'variation' application and approval by the TGA).</w:t>
      </w:r>
    </w:p>
    <w:p w14:paraId="41F68D35" w14:textId="77777777" w:rsidR="00FE6D49" w:rsidRDefault="00FE6D49" w:rsidP="00345763">
      <w:pPr>
        <w:pStyle w:val="Numberbullett2a"/>
      </w:pPr>
      <w:r>
        <w:t>c) The sponsor will provide information to the TGA on the proposed strategies and planned timelines for Australian dedicated supplies, as soon as possible, and no later than first quarter of 2024.</w:t>
      </w:r>
    </w:p>
    <w:p w14:paraId="2A93FE40" w14:textId="45E09973" w:rsidR="00FE6D49" w:rsidRDefault="00C33B23" w:rsidP="00345763">
      <w:pPr>
        <w:pStyle w:val="ListBullet"/>
      </w:pPr>
      <w:r w:rsidRPr="00C33B23">
        <w:t xml:space="preserve">Good Manufacturing Practice </w:t>
      </w:r>
      <w:r w:rsidR="009302E6">
        <w:t>(</w:t>
      </w:r>
      <w:r w:rsidR="00FE6D49">
        <w:t>GMP</w:t>
      </w:r>
      <w:r w:rsidR="009302E6">
        <w:t>)</w:t>
      </w:r>
      <w:r w:rsidR="00FE6D49">
        <w:t xml:space="preserve"> clearance for listed manufacturers: the sponsor must maintain the validity of all manufacturer GMP Clearances for the duration of product supply to Australia. Additionally, the conditions of GMP Clearance approval must be complied with at all times.</w:t>
      </w:r>
    </w:p>
    <w:p w14:paraId="0A8DA87B" w14:textId="77777777" w:rsidR="00FE6D49" w:rsidRDefault="00FE6D49" w:rsidP="00345763">
      <w:pPr>
        <w:pStyle w:val="ListBullet"/>
      </w:pPr>
      <w:r>
        <w:t xml:space="preserve">Post-approval stability protocol and stability commitment: The manufacturer must continue the ongoing stability studies presented in the stability studies protocol. Additionally, 1 batch of drug product per year must be placed on long term stability </w:t>
      </w:r>
      <w:r>
        <w:lastRenderedPageBreak/>
        <w:t>program and on accelerated stability testing where significant changes are made to the manufacturing process. The manufacturer must communicate any out of specifications stability test results to the TGA.</w:t>
      </w:r>
    </w:p>
    <w:p w14:paraId="7785383E" w14:textId="77777777" w:rsidR="00FE6D49" w:rsidRDefault="00FE6D49" w:rsidP="00345763">
      <w:pPr>
        <w:pStyle w:val="ListBullet"/>
      </w:pPr>
      <w:r>
        <w:t>Stability (drug product)</w:t>
      </w:r>
    </w:p>
    <w:p w14:paraId="4CCBA041" w14:textId="77777777" w:rsidR="00FE6D49" w:rsidRDefault="00FE6D49" w:rsidP="00345763">
      <w:pPr>
        <w:pStyle w:val="ListBullet"/>
        <w:numPr>
          <w:ilvl w:val="0"/>
          <w:numId w:val="0"/>
        </w:numPr>
        <w:ind w:left="360"/>
      </w:pPr>
      <w:r w:rsidRPr="00E31347">
        <w:t xml:space="preserve">The </w:t>
      </w:r>
      <w:r>
        <w:t>s</w:t>
      </w:r>
      <w:r w:rsidRPr="00E31347">
        <w:t>ponsor must provide updated statistical results of long-term stability data</w:t>
      </w:r>
      <w:r>
        <w:t xml:space="preserve"> for process validation (PV) and clinical stability batches as they become available to further support 6 months storage at 2 to 8°C with real-time stability data.</w:t>
      </w:r>
    </w:p>
    <w:p w14:paraId="3ACFAFA9" w14:textId="77777777" w:rsidR="00FE6D49" w:rsidRDefault="00FE6D49" w:rsidP="00345763">
      <w:pPr>
        <w:pStyle w:val="ListBullet"/>
        <w:numPr>
          <w:ilvl w:val="0"/>
          <w:numId w:val="0"/>
        </w:numPr>
        <w:ind w:left="360"/>
      </w:pPr>
      <w:r>
        <w:t>NOTE: As per TGA guidelines, the sponsor should submit a formal (Category 3) application along with the supporting real-time (long-term) stability data for evaluation for any proposed extension to the shelf life post-provisional registration approval.</w:t>
      </w:r>
    </w:p>
    <w:p w14:paraId="4C92BC43" w14:textId="77777777" w:rsidR="00FE6D49" w:rsidRDefault="00FE6D49" w:rsidP="00345763">
      <w:pPr>
        <w:pStyle w:val="ListBullet"/>
        <w:numPr>
          <w:ilvl w:val="0"/>
          <w:numId w:val="0"/>
        </w:numPr>
        <w:ind w:left="360"/>
      </w:pPr>
      <w:r>
        <w:t>The sponsor must provide updated protein concentration results for clinical long-term stability batches [Information redacted] together with the investigation report into the observed atypical protein concentration results when the report became available.</w:t>
      </w:r>
    </w:p>
    <w:p w14:paraId="344D3653" w14:textId="77777777" w:rsidR="00FE6D49" w:rsidRDefault="00FE6D49" w:rsidP="00345763">
      <w:pPr>
        <w:pStyle w:val="ListBullet"/>
        <w:numPr>
          <w:ilvl w:val="0"/>
          <w:numId w:val="0"/>
        </w:numPr>
        <w:ind w:left="360"/>
      </w:pPr>
      <w:r>
        <w:t>The sponsor must provide commitment to review and update the stability testing parameters to include saponin integrity and particle size by dynamic light scattering (DLS).</w:t>
      </w:r>
    </w:p>
    <w:p w14:paraId="1129DBC8" w14:textId="77777777" w:rsidR="00FE6D49" w:rsidRDefault="00FE6D49" w:rsidP="00345763">
      <w:pPr>
        <w:pStyle w:val="ListBullet"/>
      </w:pPr>
      <w:r>
        <w:t>The sponsor must not supply any batches that have a temperature deviation during shipment.</w:t>
      </w:r>
    </w:p>
    <w:p w14:paraId="0DE14207" w14:textId="77777777" w:rsidR="00FE6D49" w:rsidRDefault="00FE6D49" w:rsidP="00345763">
      <w:pPr>
        <w:pStyle w:val="ListBullet"/>
      </w:pPr>
      <w:r>
        <w:t>Batch Release Testing and Compliance</w:t>
      </w:r>
    </w:p>
    <w:p w14:paraId="15AECD21" w14:textId="77777777" w:rsidR="00FE6D49" w:rsidRDefault="00FE6D49" w:rsidP="00345763">
      <w:pPr>
        <w:ind w:left="426"/>
      </w:pPr>
      <w:r>
        <w:t xml:space="preserve">Independent batches of  </w:t>
      </w:r>
      <w:proofErr w:type="spellStart"/>
      <w:r>
        <w:t>Nuvaxovid</w:t>
      </w:r>
      <w:proofErr w:type="spellEnd"/>
      <w:r>
        <w:t xml:space="preserve"> (SARS-CoV-2 </w:t>
      </w:r>
      <w:proofErr w:type="spellStart"/>
      <w:r>
        <w:t>rS</w:t>
      </w:r>
      <w:proofErr w:type="spellEnd"/>
      <w:r>
        <w:t xml:space="preserve"> [NVX-CoV2373]) COVID-19 vaccine imported into Australia must not be released for sale until samples and the manufacturer’s release data have been assessed and sponsor have received notification acknowledging release from the Laboratories Branch, TGA.</w:t>
      </w:r>
    </w:p>
    <w:p w14:paraId="6E002282" w14:textId="77777777" w:rsidR="00FE6D49" w:rsidRDefault="00FE6D49" w:rsidP="00345763">
      <w:pPr>
        <w:ind w:left="426"/>
      </w:pPr>
      <w:r>
        <w:t>For each independent batch of the product imported into Australia, the sponsor must supply the following:</w:t>
      </w:r>
    </w:p>
    <w:p w14:paraId="1638C5EC" w14:textId="77777777" w:rsidR="00FE6D49" w:rsidRPr="00345763" w:rsidRDefault="00FE6D49" w:rsidP="00345763">
      <w:pPr>
        <w:pStyle w:val="ListBullet2"/>
      </w:pPr>
      <w:r w:rsidRPr="00345763">
        <w:t>A completed Request for Release Form, available from vaccines@health.gov.au.</w:t>
      </w:r>
    </w:p>
    <w:p w14:paraId="1B0DA968" w14:textId="77777777" w:rsidR="00FE6D49" w:rsidRPr="00345763" w:rsidRDefault="00FE6D49" w:rsidP="00345763">
      <w:pPr>
        <w:pStyle w:val="ListBullet2"/>
      </w:pPr>
      <w:r w:rsidRPr="00345763">
        <w:t>Complete summary protocols for manufacture and QC, including all steps in production in the agreed format.</w:t>
      </w:r>
    </w:p>
    <w:p w14:paraId="7628B6DF" w14:textId="77777777" w:rsidR="00FE6D49" w:rsidRPr="00345763" w:rsidRDefault="00FE6D49" w:rsidP="00345763">
      <w:pPr>
        <w:pStyle w:val="ListBullet2"/>
      </w:pPr>
      <w:r w:rsidRPr="00345763">
        <w:t xml:space="preserve">At least a 2 mL sample (as at least 4 × 500 </w:t>
      </w:r>
      <w:proofErr w:type="spellStart"/>
      <w:r w:rsidRPr="00345763">
        <w:t>μL</w:t>
      </w:r>
      <w:proofErr w:type="spellEnd"/>
      <w:r w:rsidRPr="00345763">
        <w:t xml:space="preserve"> aliquots) of each bulk drug substance batch used in the manufacture of the given drug product batch.</w:t>
      </w:r>
    </w:p>
    <w:p w14:paraId="12FC7CC7" w14:textId="77777777" w:rsidR="00FE6D49" w:rsidRPr="00345763" w:rsidRDefault="00FE6D49" w:rsidP="00345763">
      <w:pPr>
        <w:pStyle w:val="ListBullet2"/>
      </w:pPr>
      <w:r w:rsidRPr="00345763">
        <w:t xml:space="preserve">At least 20 (twenty) vials (samples) of each manufacturing batch of </w:t>
      </w:r>
      <w:proofErr w:type="spellStart"/>
      <w:r w:rsidRPr="00345763">
        <w:t>Nuvaxovid</w:t>
      </w:r>
      <w:proofErr w:type="spellEnd"/>
      <w:r w:rsidRPr="00345763">
        <w:t xml:space="preserve"> (SARS-CoV-2 </w:t>
      </w:r>
      <w:proofErr w:type="spellStart"/>
      <w:r w:rsidRPr="00345763">
        <w:t>rS</w:t>
      </w:r>
      <w:proofErr w:type="spellEnd"/>
      <w:r w:rsidRPr="00345763">
        <w:t xml:space="preserve"> [NVX-CoV2373]) COVID-19 vaccine with the Australian approved labels, PI and packaging (unless an exemption to supply these has been granted) representative of all batches of product seeking distribution in Australia.</w:t>
      </w:r>
    </w:p>
    <w:p w14:paraId="7B4BAA31" w14:textId="77777777" w:rsidR="00FE6D49" w:rsidRDefault="00FE6D49" w:rsidP="00345763">
      <w:pPr>
        <w:pStyle w:val="ListBullet2"/>
      </w:pPr>
      <w:r w:rsidRPr="00345763">
        <w:t xml:space="preserve">At least 5 (five) vials (samples) of any further consignments of a manufacturing batch of </w:t>
      </w:r>
      <w:proofErr w:type="spellStart"/>
      <w:r w:rsidRPr="00345763">
        <w:t>Nuvaxovid</w:t>
      </w:r>
      <w:proofErr w:type="spellEnd"/>
      <w:r w:rsidRPr="00345763">
        <w:t xml:space="preserve"> (SARS-CoV-2 </w:t>
      </w:r>
      <w:proofErr w:type="spellStart"/>
      <w:r w:rsidRPr="00345763">
        <w:t>rS</w:t>
      </w:r>
      <w:proofErr w:type="spellEnd"/>
      <w:r w:rsidRPr="00345763">
        <w:t xml:space="preserve"> [NVX-CoV2373]) COVID-19 vaccine with the Australian approved</w:t>
      </w:r>
      <w:r>
        <w:t xml:space="preserve"> labels, PI and packaging (unless an exemption to supply these has been granted). Further consignments cover batches previously supplied to TGA for the purposes of batch release testing but are seeking to be supplied again)</w:t>
      </w:r>
    </w:p>
    <w:p w14:paraId="20CD1A15" w14:textId="77777777" w:rsidR="00FE6D49" w:rsidRDefault="00FE6D49" w:rsidP="00345763">
      <w:pPr>
        <w:pStyle w:val="ListBullet2"/>
      </w:pPr>
      <w:r>
        <w:t>If the manufacturing batch has been released in Europe or United Kingdom a copy of the EU Official Control Authority Batch Release (OCABR) certificate (or equivalent from the UK) must be provided.</w:t>
      </w:r>
    </w:p>
    <w:p w14:paraId="776E49E7" w14:textId="77777777" w:rsidR="00FE6D49" w:rsidRDefault="00FE6D49" w:rsidP="00345763">
      <w:pPr>
        <w:pStyle w:val="ListBullet2"/>
      </w:pPr>
      <w:r>
        <w:t>Any reagents, reference material and standards required to undertake testing, as requested by Laboratories Branch, TGA.</w:t>
      </w:r>
    </w:p>
    <w:p w14:paraId="5D161E8C" w14:textId="77777777" w:rsidR="00FE6D49" w:rsidRDefault="00FE6D49" w:rsidP="00345763">
      <w:r>
        <w:lastRenderedPageBreak/>
        <w:t>Sponsors must provide all requested samples and data in sufficient time (at least 5 business days) prior to any distribution date to allow the TGA to perform testing and review.</w:t>
      </w:r>
    </w:p>
    <w:p w14:paraId="349ED5F9" w14:textId="77777777" w:rsidR="00FE6D49" w:rsidRDefault="00FE6D49" w:rsidP="00345763">
      <w:r>
        <w:t>Distribution of each batch of vaccine is conditional upon fulfilment of these conditions and receipt of a letter from the Laboratories Branch acknowledging release.</w:t>
      </w:r>
    </w:p>
    <w:p w14:paraId="4C8387A0" w14:textId="77777777" w:rsidR="00FE6D49" w:rsidRDefault="00FE6D49" w:rsidP="00345763">
      <w:r>
        <w:t>Samples and data should be forwarded to the Biotherapeutics Section, Laboratories Branch before release of each batch and with sufficient lead time to allow for Laboratories Branch testing.</w:t>
      </w:r>
    </w:p>
    <w:p w14:paraId="6CF6DA9E" w14:textId="77777777" w:rsidR="00FE6D49" w:rsidRDefault="00FE6D49" w:rsidP="00345763">
      <w:r>
        <w:t>The shipments (including reagents) to TGA are the responsibility of the Australian sponsor/agent who will be required to facilitate the import and customs clearance process.</w:t>
      </w:r>
    </w:p>
    <w:p w14:paraId="552DC2E7" w14:textId="22DE46A0" w:rsidR="00FE6D49" w:rsidRPr="00E31347" w:rsidRDefault="00FE6D49" w:rsidP="00345763">
      <w:pPr>
        <w:pStyle w:val="Heading4"/>
        <w:keepNext w:val="0"/>
      </w:pPr>
      <w:r w:rsidRPr="00E31347">
        <w:t>Certified Product Details</w:t>
      </w:r>
    </w:p>
    <w:p w14:paraId="3F2CD804" w14:textId="6F7B62A9" w:rsidR="00FE6D49" w:rsidRDefault="00FE6D49" w:rsidP="00345763">
      <w:r>
        <w:t>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[https://www.tga.gov.au/form/certifiedproduct-details-cpd-biological-prescription-medicines]. The CPD should be sent as a single bookmarked PDF document to Vaccines@health.gov.au as soon as possible after registration/approval of the product or any subsequent changes as indicated above.</w:t>
      </w:r>
    </w:p>
    <w:p w14:paraId="5BE5C309" w14:textId="77777777" w:rsidR="008E7846" w:rsidRDefault="008E7846" w:rsidP="00345763">
      <w:pPr>
        <w:pStyle w:val="Heading3"/>
        <w:keepNext w:val="0"/>
        <w:keepLines w:val="0"/>
      </w:pPr>
      <w:bookmarkStart w:id="35" w:name="_Toc314842512"/>
      <w:bookmarkStart w:id="36" w:name="_Toc93695196"/>
      <w:r w:rsidRPr="00345763">
        <w:t>Nonclinical</w:t>
      </w:r>
      <w:bookmarkEnd w:id="35"/>
      <w:bookmarkEnd w:id="36"/>
    </w:p>
    <w:p w14:paraId="6A1C59D1" w14:textId="0B5839F1" w:rsidR="002C4A06" w:rsidRDefault="002C4A06" w:rsidP="00345763">
      <w:r>
        <w:t>The sponsor has generally conducted adequate studies on pharmacology and toxicity of the vaccine and its adjuvant (</w:t>
      </w:r>
      <w:r w:rsidR="006F5F10">
        <w:t>Matrix-M</w:t>
      </w:r>
      <w:r>
        <w:t>). All repeat dose toxicity, genotoxicity and reproductive toxicity studies for the vaccine and adjuvant were performed under G</w:t>
      </w:r>
      <w:r w:rsidRPr="002C4A06">
        <w:t xml:space="preserve">ood </w:t>
      </w:r>
      <w:r>
        <w:t>L</w:t>
      </w:r>
      <w:r w:rsidRPr="002C4A06">
        <w:t xml:space="preserve">aboratory </w:t>
      </w:r>
      <w:r>
        <w:t>P</w:t>
      </w:r>
      <w:r w:rsidRPr="002C4A06">
        <w:t>ractice</w:t>
      </w:r>
      <w:r>
        <w:t xml:space="preserve"> conditions. No pharmacokinetic studies were conducted with the antigen or the adjuvant. One tissue distribution study with the adjuvant is </w:t>
      </w:r>
      <w:r w:rsidR="00347DDA">
        <w:t>ongoing</w:t>
      </w:r>
      <w:r>
        <w:t>.</w:t>
      </w:r>
    </w:p>
    <w:p w14:paraId="5CAEA0FC" w14:textId="0E0DFE3A" w:rsidR="002C4A06" w:rsidRDefault="002C4A06" w:rsidP="00345763">
      <w:proofErr w:type="spellStart"/>
      <w:r>
        <w:t>Nuvaxovid</w:t>
      </w:r>
      <w:proofErr w:type="spellEnd"/>
      <w:r>
        <w:t xml:space="preserve"> was found to be immunogenic in nonclinical studies in mice, rats, hamsters, rabbits and non-human primates. </w:t>
      </w:r>
      <w:proofErr w:type="spellStart"/>
      <w:r>
        <w:t>Nuvaxovid</w:t>
      </w:r>
      <w:proofErr w:type="spellEnd"/>
      <w:r>
        <w:t xml:space="preserve"> induced both humoral and cellular immune response in mice and non-human primates.</w:t>
      </w:r>
    </w:p>
    <w:p w14:paraId="3262B944" w14:textId="23FC12E7" w:rsidR="002C4A06" w:rsidRDefault="002C4A06" w:rsidP="00345763">
      <w:r>
        <w:t xml:space="preserve">One or two boost immunisations approximately 10 months following primary immunisation with a different SARS-CoV-2 </w:t>
      </w:r>
      <w:r w:rsidR="003F26CB">
        <w:t>spike</w:t>
      </w:r>
      <w:r>
        <w:t xml:space="preserve"> protein variant</w:t>
      </w:r>
      <w:r w:rsidR="00347DDA">
        <w:t xml:space="preserve"> (beta variant)</w:t>
      </w:r>
      <w:r>
        <w:t xml:space="preserve"> with </w:t>
      </w:r>
      <w:r w:rsidR="006F5F10">
        <w:t>Matrix-M</w:t>
      </w:r>
      <w:r>
        <w:t xml:space="preserve">, induced strong humoral and cellular immune response against at least three SARS-CoV-2 </w:t>
      </w:r>
      <w:r w:rsidR="00D214A0">
        <w:t>spike</w:t>
      </w:r>
      <w:r>
        <w:t xml:space="preserve"> protein variants in baboons.</w:t>
      </w:r>
    </w:p>
    <w:p w14:paraId="55E9969E" w14:textId="6460E520" w:rsidR="002C4A06" w:rsidRDefault="002C4A06" w:rsidP="00345763">
      <w:r>
        <w:t xml:space="preserve">The vaccine provided some protection from infection in mice, hamsters and primates when challenged after two immunisation doses, based on viral RNA and </w:t>
      </w:r>
      <w:proofErr w:type="spellStart"/>
      <w:r>
        <w:t>subgenomic</w:t>
      </w:r>
      <w:proofErr w:type="spellEnd"/>
      <w:r>
        <w:t xml:space="preserve"> RNA load and lung histopathology. The immunisation regimen in monkeys was identical to the proposed clinical immunisation regimen (two doses delivered intramuscularly, 21 days apart).</w:t>
      </w:r>
    </w:p>
    <w:p w14:paraId="7D440B61" w14:textId="57C0BDF7" w:rsidR="002C4A06" w:rsidRDefault="002C4A06" w:rsidP="00345763">
      <w:r>
        <w:t>Lung histopathological changes were less severe in challenged immunised primates compared to challenged controls. Primates do not show SARS-CoV-2 infection</w:t>
      </w:r>
      <w:r w:rsidR="00D214A0">
        <w:t xml:space="preserve"> </w:t>
      </w:r>
      <w:r>
        <w:t xml:space="preserve">related clinical signs and generally develop only mild lung pathology. There were no studies on protection of older animals from SARS-CoV-2 infection. </w:t>
      </w:r>
      <w:r w:rsidRPr="002C4A06">
        <w:rPr>
          <w:i/>
          <w:iCs/>
        </w:rPr>
        <w:t>In vivo</w:t>
      </w:r>
      <w:r>
        <w:t xml:space="preserve"> primary pharmacology studies were of short term; two long term immunogenicity studies are still ongoing.</w:t>
      </w:r>
    </w:p>
    <w:p w14:paraId="36757C3A" w14:textId="36DFB5CC" w:rsidR="002C4A06" w:rsidRDefault="002C4A06" w:rsidP="00345763">
      <w:r>
        <w:lastRenderedPageBreak/>
        <w:t xml:space="preserve">No enhanced lung pathology was evident in immunised, virus challenged animals. Findings in a repeat dose toxicity study with </w:t>
      </w:r>
      <w:proofErr w:type="spellStart"/>
      <w:r>
        <w:t>Nuvaxovid</w:t>
      </w:r>
      <w:proofErr w:type="spellEnd"/>
      <w:r>
        <w:t xml:space="preserve"> by the intramuscular route in rabbits showed local reactions at the injection site and elevated serum levels of fibrinogen, C–Reactive protein and globulin in plasma. While no effects on draining lymph node and spleen were observed in the rabbit with </w:t>
      </w:r>
      <w:proofErr w:type="spellStart"/>
      <w:r>
        <w:t>Nuvaxovid</w:t>
      </w:r>
      <w:proofErr w:type="spellEnd"/>
      <w:r>
        <w:t xml:space="preserve">, hyperplasia, plasmacytosis and heterophil infiltrates in draining lymph node and/or spleen were observed in rats and rabbits treated with adjuvant with or without an antigen. All the findings were related to immune response to the vaccine and adjuvant and fully or partially reversible a few weeks after the last treatment. Both the </w:t>
      </w:r>
      <w:proofErr w:type="spellStart"/>
      <w:r w:rsidR="00D214A0">
        <w:t>Nuvaxovid</w:t>
      </w:r>
      <w:proofErr w:type="spellEnd"/>
      <w:r>
        <w:t xml:space="preserve"> and the adjuvant alone were well tolerated.</w:t>
      </w:r>
    </w:p>
    <w:p w14:paraId="542B9DCD" w14:textId="7B52C056" w:rsidR="002C4A06" w:rsidRDefault="00D214A0" w:rsidP="00345763">
      <w:r>
        <w:t>The adjuvant</w:t>
      </w:r>
      <w:r w:rsidR="002C4A06">
        <w:t xml:space="preserve"> was negative in two </w:t>
      </w:r>
      <w:r w:rsidR="002C4A06" w:rsidRPr="00D214A0">
        <w:rPr>
          <w:i/>
          <w:iCs/>
        </w:rPr>
        <w:t>in vitro</w:t>
      </w:r>
      <w:r w:rsidR="002C4A06">
        <w:t xml:space="preserve"> genotoxicity tests. No </w:t>
      </w:r>
      <w:r w:rsidR="002C4A06" w:rsidRPr="00D214A0">
        <w:rPr>
          <w:i/>
          <w:iCs/>
        </w:rPr>
        <w:t>in vivo</w:t>
      </w:r>
      <w:r w:rsidR="002C4A06">
        <w:t xml:space="preserve"> genotoxicity study was performed. This is considered acceptable as it was negative in </w:t>
      </w:r>
      <w:r w:rsidR="002C4A06" w:rsidRPr="00D214A0">
        <w:rPr>
          <w:i/>
          <w:iCs/>
        </w:rPr>
        <w:t>in vitro</w:t>
      </w:r>
      <w:r w:rsidR="002C4A06">
        <w:t xml:space="preserve"> assays, and the saponin fractions are plant</w:t>
      </w:r>
      <w:r>
        <w:t xml:space="preserve"> </w:t>
      </w:r>
      <w:r w:rsidR="002C4A06">
        <w:t>derived and are approved food additives.</w:t>
      </w:r>
    </w:p>
    <w:p w14:paraId="2851AE6C" w14:textId="2FB92847" w:rsidR="002C4A06" w:rsidRDefault="002C4A06" w:rsidP="00345763">
      <w:r>
        <w:t xml:space="preserve">In a combined reproductive and developmental toxicity study with </w:t>
      </w:r>
      <w:proofErr w:type="spellStart"/>
      <w:r w:rsidR="009547D7">
        <w:t>Nuvaxovid</w:t>
      </w:r>
      <w:proofErr w:type="spellEnd"/>
      <w:r>
        <w:t xml:space="preserve">, and </w:t>
      </w:r>
      <w:r w:rsidR="00D214A0">
        <w:t>adjuvant</w:t>
      </w:r>
      <w:r>
        <w:t xml:space="preserve"> alone female fertility, embryofetal development and postnatal development of offspring were unaffected.</w:t>
      </w:r>
    </w:p>
    <w:p w14:paraId="609D1CC1" w14:textId="51E00A37" w:rsidR="002C4A06" w:rsidRPr="003E3E11" w:rsidRDefault="003E3E11" w:rsidP="00345763">
      <w:pPr>
        <w:pStyle w:val="Heading4"/>
        <w:keepNext w:val="0"/>
      </w:pPr>
      <w:r w:rsidRPr="003E3E11">
        <w:t xml:space="preserve">Conclusions and </w:t>
      </w:r>
      <w:r w:rsidRPr="00345763">
        <w:t>recommendation</w:t>
      </w:r>
    </w:p>
    <w:p w14:paraId="066508CF" w14:textId="7B956D80" w:rsidR="002C4A06" w:rsidRDefault="009772D3" w:rsidP="00345763">
      <w:proofErr w:type="spellStart"/>
      <w:r>
        <w:t>Nuvaxovid</w:t>
      </w:r>
      <w:proofErr w:type="spellEnd"/>
      <w:r w:rsidR="002C4A06">
        <w:t xml:space="preserve"> elicited both humoral and cellular immune responses to the spike antigen in mice, hamsters and non-human primates and conferred some protection from SARS-CoV-2 infection.</w:t>
      </w:r>
    </w:p>
    <w:p w14:paraId="6D0FA7DE" w14:textId="54887D4C" w:rsidR="002C4A06" w:rsidRDefault="002C4A06" w:rsidP="00345763">
      <w:r>
        <w:t>Primary pharmacology studies investigating the potential long</w:t>
      </w:r>
      <w:r w:rsidR="009772D3">
        <w:t xml:space="preserve"> </w:t>
      </w:r>
      <w:r>
        <w:t xml:space="preserve">term immunity following immunisation with </w:t>
      </w:r>
      <w:proofErr w:type="spellStart"/>
      <w:r w:rsidR="009547D7">
        <w:t>Nuvaxovid</w:t>
      </w:r>
      <w:proofErr w:type="spellEnd"/>
      <w:r w:rsidR="009547D7">
        <w:t xml:space="preserve"> </w:t>
      </w:r>
      <w:r>
        <w:t>in non-human primates are still ongoing. In baboons, one or two boost immunisations (21 days apart)</w:t>
      </w:r>
      <w:r w:rsidR="00D214A0">
        <w:t xml:space="preserve"> </w:t>
      </w:r>
      <w:r>
        <w:t>with a different SARS-CoV-2 antigen (beta variant)</w:t>
      </w:r>
      <w:r w:rsidR="00D214A0">
        <w:t xml:space="preserve">, </w:t>
      </w:r>
      <w:r>
        <w:t xml:space="preserve">10 months following primary immunisation induced rapid and strong immune response against SARS-CoV-2 US-WA1, </w:t>
      </w:r>
      <w:r w:rsidR="00F72B87">
        <w:t>the B</w:t>
      </w:r>
      <w:r w:rsidR="00D214A0">
        <w:t>eta variant (</w:t>
      </w:r>
      <w:r>
        <w:t>B</w:t>
      </w:r>
      <w:r w:rsidR="004E1F49">
        <w:t>.</w:t>
      </w:r>
      <w:r>
        <w:t>1.351</w:t>
      </w:r>
      <w:r w:rsidR="00D214A0">
        <w:t>)</w:t>
      </w:r>
      <w:r>
        <w:t xml:space="preserve"> and </w:t>
      </w:r>
      <w:r w:rsidR="00F72B87">
        <w:t>A</w:t>
      </w:r>
      <w:r w:rsidR="00D214A0">
        <w:t>lpha (</w:t>
      </w:r>
      <w:r>
        <w:t>B.1.1.7</w:t>
      </w:r>
      <w:r w:rsidR="00D214A0">
        <w:t>)</w:t>
      </w:r>
      <w:r>
        <w:t xml:space="preserve"> variants.</w:t>
      </w:r>
    </w:p>
    <w:p w14:paraId="0CA7D21C" w14:textId="415850BE" w:rsidR="002C4A06" w:rsidRDefault="002C4A06" w:rsidP="00345763">
      <w:r>
        <w:t>Repeat</w:t>
      </w:r>
      <w:r w:rsidR="009547D7">
        <w:t xml:space="preserve"> </w:t>
      </w:r>
      <w:r>
        <w:t xml:space="preserve">dose toxicity studies with the proposed vaccine in rabbits and </w:t>
      </w:r>
      <w:r w:rsidR="009547D7">
        <w:t>adjuvant</w:t>
      </w:r>
      <w:r>
        <w:t xml:space="preserve"> in rats and rabbits raised no safety issues. Treatment</w:t>
      </w:r>
      <w:r w:rsidR="009547D7">
        <w:t xml:space="preserve"> </w:t>
      </w:r>
      <w:r>
        <w:t>related findings were limited to immune response</w:t>
      </w:r>
      <w:r w:rsidR="009547D7">
        <w:t xml:space="preserve"> </w:t>
      </w:r>
      <w:r>
        <w:t>related effects.</w:t>
      </w:r>
    </w:p>
    <w:p w14:paraId="1D34235D" w14:textId="218A69BA" w:rsidR="002C4A06" w:rsidRDefault="009547D7" w:rsidP="00345763">
      <w:proofErr w:type="spellStart"/>
      <w:r>
        <w:t>Nuvaxovid</w:t>
      </w:r>
      <w:proofErr w:type="spellEnd"/>
      <w:r>
        <w:t xml:space="preserve"> </w:t>
      </w:r>
      <w:r w:rsidR="002C4A06">
        <w:t>did not adversely affect female fertility, embryofetal development or postnatal development in rats. Pregnancy category B1</w:t>
      </w:r>
      <w:r>
        <w:t>;</w:t>
      </w:r>
      <w:r w:rsidR="00C41FF6">
        <w:rPr>
          <w:rFonts w:ascii="ZWAdobeF" w:hAnsi="ZWAdobeF" w:cs="ZWAdobeF"/>
          <w:sz w:val="2"/>
          <w:szCs w:val="2"/>
        </w:rPr>
        <w:t>21F</w:t>
      </w:r>
      <w:r>
        <w:rPr>
          <w:rStyle w:val="FootnoteReference"/>
        </w:rPr>
        <w:footnoteReference w:id="22"/>
      </w:r>
      <w:r w:rsidR="002C4A06">
        <w:t xml:space="preserve"> is considered appropriate.</w:t>
      </w:r>
    </w:p>
    <w:p w14:paraId="743D5A2F" w14:textId="1B80B6EB" w:rsidR="002C4A06" w:rsidRDefault="009547D7" w:rsidP="00345763">
      <w:r>
        <w:t>Adjuvant</w:t>
      </w:r>
      <w:r w:rsidR="002C4A06">
        <w:t xml:space="preserve"> was </w:t>
      </w:r>
      <w:r w:rsidR="009772D3">
        <w:t xml:space="preserve">found to be </w:t>
      </w:r>
      <w:r w:rsidR="002C4A06">
        <w:t>not genotoxic.</w:t>
      </w:r>
    </w:p>
    <w:p w14:paraId="1E5A78AA" w14:textId="66317CF1" w:rsidR="002C4A06" w:rsidRDefault="002C4A06" w:rsidP="00345763">
      <w:r>
        <w:t xml:space="preserve">While mouse immunogenicity studies showed comparability between </w:t>
      </w:r>
      <w:r w:rsidR="00F26528">
        <w:t>nonclinical</w:t>
      </w:r>
      <w:r>
        <w:t xml:space="preserve"> batches,</w:t>
      </w:r>
      <w:r w:rsidR="00F26528">
        <w:t xml:space="preserve"> </w:t>
      </w:r>
      <w:r>
        <w:t>there are no immunogenicity and safety studies to demonstrated comparability between the commercial batches to be marketed in Australia and the nonclinical batches.</w:t>
      </w:r>
    </w:p>
    <w:p w14:paraId="455BA718" w14:textId="263B7B7E" w:rsidR="002C4A06" w:rsidRPr="002C4A06" w:rsidRDefault="002C4A06" w:rsidP="00345763">
      <w:r>
        <w:t>The ongoing immunogenicity studies and planned tissue distribution study should be provided for review once they are completed.</w:t>
      </w:r>
    </w:p>
    <w:p w14:paraId="6CEC20CD" w14:textId="492EA1AB" w:rsidR="008E7846" w:rsidRDefault="008E7846" w:rsidP="006639DA">
      <w:pPr>
        <w:pStyle w:val="Heading3"/>
        <w:keepNext w:val="0"/>
        <w:keepLines w:val="0"/>
        <w:pageBreakBefore/>
      </w:pPr>
      <w:bookmarkStart w:id="37" w:name="_Toc247691530"/>
      <w:bookmarkStart w:id="38" w:name="_Toc314842513"/>
      <w:bookmarkStart w:id="39" w:name="_Toc93695197"/>
      <w:r w:rsidRPr="00345763">
        <w:lastRenderedPageBreak/>
        <w:t>Clinical</w:t>
      </w:r>
      <w:bookmarkEnd w:id="37"/>
      <w:bookmarkEnd w:id="38"/>
      <w:bookmarkEnd w:id="39"/>
    </w:p>
    <w:p w14:paraId="39B33981" w14:textId="55138720" w:rsidR="007B6132" w:rsidRDefault="00006FAB" w:rsidP="00345763">
      <w:bookmarkStart w:id="40" w:name="_Toc314842514"/>
      <w:r w:rsidRPr="00006FAB">
        <w:t>The clinical dossier consisted of</w:t>
      </w:r>
      <w:r w:rsidR="00480D64">
        <w:t>:</w:t>
      </w:r>
    </w:p>
    <w:p w14:paraId="06B403A6" w14:textId="276176F4" w:rsidR="00480D64" w:rsidRPr="00345763" w:rsidRDefault="00480D64" w:rsidP="00345763">
      <w:pPr>
        <w:pStyle w:val="ListBullet"/>
      </w:pPr>
      <w:r>
        <w:t xml:space="preserve">Three Phase I/II </w:t>
      </w:r>
      <w:r w:rsidRPr="00345763">
        <w:t xml:space="preserve">clinical </w:t>
      </w:r>
      <w:r w:rsidR="0071657B" w:rsidRPr="00345763">
        <w:t>trials</w:t>
      </w:r>
    </w:p>
    <w:p w14:paraId="2AB2C56D" w14:textId="35C7D047" w:rsidR="0071657B" w:rsidRPr="00345763" w:rsidRDefault="0071657B" w:rsidP="00345763">
      <w:pPr>
        <w:pStyle w:val="ListBullet"/>
      </w:pPr>
      <w:r w:rsidRPr="00345763">
        <w:t>Two Phase III clinical trials</w:t>
      </w:r>
    </w:p>
    <w:p w14:paraId="5754DA5D" w14:textId="592C8AA7" w:rsidR="00BC6614" w:rsidRDefault="00BC6614" w:rsidP="00345763">
      <w:r>
        <w:t xml:space="preserve">The following three Phase </w:t>
      </w:r>
      <w:r w:rsidR="0071657B">
        <w:t>I/II</w:t>
      </w:r>
      <w:r>
        <w:t xml:space="preserve"> studies began in </w:t>
      </w:r>
      <w:r w:rsidR="00347DDA">
        <w:t xml:space="preserve">second and </w:t>
      </w:r>
      <w:r w:rsidR="0071657B">
        <w:t xml:space="preserve">third quarter of </w:t>
      </w:r>
      <w:r>
        <w:t>2020</w:t>
      </w:r>
      <w:r w:rsidR="00F859D7">
        <w:t xml:space="preserve"> (see </w:t>
      </w:r>
      <w:r w:rsidR="00F859D7">
        <w:fldChar w:fldCharType="begin" w:fldLock="1"/>
      </w:r>
      <w:r w:rsidR="00F859D7">
        <w:instrText xml:space="preserve"> REF _Ref92382066 \h </w:instrText>
      </w:r>
      <w:r w:rsidR="00F859D7">
        <w:fldChar w:fldCharType="separate"/>
      </w:r>
      <w:r w:rsidR="00AA298B" w:rsidRPr="00F859D7">
        <w:t xml:space="preserve">Figure </w:t>
      </w:r>
      <w:r w:rsidR="00AA298B">
        <w:rPr>
          <w:noProof/>
        </w:rPr>
        <w:t>1</w:t>
      </w:r>
      <w:r w:rsidR="00F859D7">
        <w:fldChar w:fldCharType="end"/>
      </w:r>
      <w:r w:rsidR="00F859D7">
        <w:t>)</w:t>
      </w:r>
      <w:r w:rsidR="002C6DF6">
        <w:t>:</w:t>
      </w:r>
    </w:p>
    <w:p w14:paraId="6D49FC5F" w14:textId="72873A48" w:rsidR="00BC6614" w:rsidRDefault="002C6DF6" w:rsidP="00345763">
      <w:pPr>
        <w:pStyle w:val="ListBullet"/>
        <w:ind w:left="425" w:hanging="425"/>
      </w:pPr>
      <w:r>
        <w:t>t</w:t>
      </w:r>
      <w:r w:rsidR="00BC6614">
        <w:t xml:space="preserve">he </w:t>
      </w:r>
      <w:r w:rsidR="00250CE4">
        <w:t>p</w:t>
      </w:r>
      <w:r w:rsidR="00BC6614">
        <w:t xml:space="preserve">harmacology section of this report covers </w:t>
      </w:r>
      <w:r w:rsidR="00250CE4">
        <w:t>p</w:t>
      </w:r>
      <w:r w:rsidR="00BC6614">
        <w:t xml:space="preserve">art </w:t>
      </w:r>
      <w:r w:rsidR="00250CE4">
        <w:t>one</w:t>
      </w:r>
      <w:r w:rsidR="00BC6614">
        <w:t xml:space="preserve"> (and </w:t>
      </w:r>
      <w:r w:rsidR="00250CE4">
        <w:t>two</w:t>
      </w:r>
      <w:r w:rsidR="00BC6614">
        <w:t>) of</w:t>
      </w:r>
      <w:r w:rsidR="00250CE4">
        <w:t xml:space="preserve"> Study</w:t>
      </w:r>
      <w:r>
        <w:t> </w:t>
      </w:r>
      <w:r w:rsidR="00250CE4">
        <w:t xml:space="preserve">2019nCoV-101. Study 2019nCoV-101 is the </w:t>
      </w:r>
      <w:r w:rsidR="00BC6614">
        <w:t>first in human, dose</w:t>
      </w:r>
      <w:r w:rsidR="00250CE4">
        <w:t xml:space="preserve"> </w:t>
      </w:r>
      <w:r w:rsidR="00BC6614">
        <w:t xml:space="preserve">finding, </w:t>
      </w:r>
      <w:r w:rsidR="00250CE4">
        <w:t>s</w:t>
      </w:r>
      <w:r w:rsidR="00BC6614">
        <w:t xml:space="preserve">afety and </w:t>
      </w:r>
      <w:r w:rsidR="00250CE4">
        <w:t>i</w:t>
      </w:r>
      <w:r w:rsidR="00BC6614">
        <w:t xml:space="preserve">mmunogenicity </w:t>
      </w:r>
      <w:r w:rsidR="00250CE4">
        <w:t xml:space="preserve">Phase I clinical trial. </w:t>
      </w:r>
      <w:r w:rsidR="00BC6614">
        <w:t xml:space="preserve">Part </w:t>
      </w:r>
      <w:r w:rsidR="00250CE4">
        <w:t>one of the trial</w:t>
      </w:r>
      <w:r w:rsidR="00BC6614">
        <w:t xml:space="preserve"> was undertaken in Australia.</w:t>
      </w:r>
    </w:p>
    <w:p w14:paraId="4A63B981" w14:textId="48D3DD2F" w:rsidR="00BC6614" w:rsidRDefault="002C6DF6" w:rsidP="00345763">
      <w:pPr>
        <w:pStyle w:val="ListBullet"/>
        <w:ind w:left="425" w:hanging="425"/>
      </w:pPr>
      <w:r>
        <w:t>p</w:t>
      </w:r>
      <w:r w:rsidR="00BC6614">
        <w:t xml:space="preserve">art </w:t>
      </w:r>
      <w:r w:rsidR="003F58DB">
        <w:t>two</w:t>
      </w:r>
      <w:r w:rsidR="00BC6614">
        <w:t xml:space="preserve"> of Study 2019nCoV-101 was undertaken in Australia and the US</w:t>
      </w:r>
      <w:r w:rsidR="00164714">
        <w:t>A</w:t>
      </w:r>
      <w:r w:rsidR="00BC6614">
        <w:t xml:space="preserve"> (also covered in the pharmacology section of this report).</w:t>
      </w:r>
    </w:p>
    <w:p w14:paraId="6ED06067" w14:textId="02D925D3" w:rsidR="00BC6614" w:rsidRDefault="002C6DF6" w:rsidP="00345763">
      <w:pPr>
        <w:pStyle w:val="ListBullet"/>
        <w:ind w:left="425" w:hanging="425"/>
      </w:pPr>
      <w:r>
        <w:t>t</w:t>
      </w:r>
      <w:r w:rsidR="00BC6614">
        <w:t xml:space="preserve">he supportive, Phase </w:t>
      </w:r>
      <w:proofErr w:type="spellStart"/>
      <w:r w:rsidR="003F58DB">
        <w:t>II</w:t>
      </w:r>
      <w:r w:rsidR="00BC6614">
        <w:t>a</w:t>
      </w:r>
      <w:proofErr w:type="spellEnd"/>
      <w:r w:rsidR="00BC6614">
        <w:t>/</w:t>
      </w:r>
      <w:r w:rsidR="003F58DB">
        <w:t>II</w:t>
      </w:r>
      <w:r w:rsidR="00BC6614">
        <w:t xml:space="preserve">b </w:t>
      </w:r>
      <w:r w:rsidR="003F58DB">
        <w:t xml:space="preserve">trial of </w:t>
      </w:r>
      <w:r w:rsidR="00BC6614">
        <w:t>Study 2019nCoV-501 (</w:t>
      </w:r>
      <w:r>
        <w:t xml:space="preserve">based in </w:t>
      </w:r>
      <w:r w:rsidR="00BC6614">
        <w:t xml:space="preserve">South Africa) is covered in the first </w:t>
      </w:r>
      <w:r w:rsidR="003F58DB">
        <w:t>c</w:t>
      </w:r>
      <w:r w:rsidR="00BC6614">
        <w:t xml:space="preserve">linical </w:t>
      </w:r>
      <w:r w:rsidR="003F58DB">
        <w:t>e</w:t>
      </w:r>
      <w:r w:rsidR="00BC6614">
        <w:t>fficacy section of this report.</w:t>
      </w:r>
    </w:p>
    <w:p w14:paraId="4B0F47C1" w14:textId="1EA5259E" w:rsidR="00BC6614" w:rsidRDefault="00BC6614" w:rsidP="00345763">
      <w:r>
        <w:t xml:space="preserve">Two pivotal Phase </w:t>
      </w:r>
      <w:r w:rsidR="00D5288F">
        <w:t>III</w:t>
      </w:r>
      <w:r>
        <w:t xml:space="preserve"> trials</w:t>
      </w:r>
      <w:r w:rsidR="00F859D7">
        <w:t xml:space="preserve"> (see </w:t>
      </w:r>
      <w:r w:rsidR="00F859D7">
        <w:fldChar w:fldCharType="begin" w:fldLock="1"/>
      </w:r>
      <w:r w:rsidR="00F859D7">
        <w:instrText xml:space="preserve"> REF _Ref92382066 \h </w:instrText>
      </w:r>
      <w:r w:rsidR="00F859D7">
        <w:fldChar w:fldCharType="separate"/>
      </w:r>
      <w:r w:rsidR="00AA298B" w:rsidRPr="00F859D7">
        <w:t xml:space="preserve">Figure </w:t>
      </w:r>
      <w:r w:rsidR="00AA298B">
        <w:rPr>
          <w:noProof/>
        </w:rPr>
        <w:t>1</w:t>
      </w:r>
      <w:r w:rsidR="00F859D7">
        <w:fldChar w:fldCharType="end"/>
      </w:r>
      <w:r w:rsidR="00F859D7">
        <w:t>)</w:t>
      </w:r>
      <w:r>
        <w:t>:</w:t>
      </w:r>
    </w:p>
    <w:p w14:paraId="2440862A" w14:textId="71DF60BB" w:rsidR="00BC6614" w:rsidRDefault="00D5288F" w:rsidP="00345763">
      <w:pPr>
        <w:pStyle w:val="ListBullet"/>
      </w:pPr>
      <w:r>
        <w:t>Study 2019nCoV-302</w:t>
      </w:r>
      <w:r w:rsidR="00BC6614">
        <w:t xml:space="preserve"> that showed efficacy of 96.4% against </w:t>
      </w:r>
      <w:r w:rsidR="00F62CB3">
        <w:t>non-B.1.1.7 variants</w:t>
      </w:r>
      <w:r w:rsidR="00BC6614">
        <w:t xml:space="preserve">, 86.3% against the B.1.1.7 (Alpha) variant and 89.7% overall. The interim analysis of the primary endpoint data </w:t>
      </w:r>
      <w:proofErr w:type="spellStart"/>
      <w:r w:rsidR="00BC6614">
        <w:t>cutoff</w:t>
      </w:r>
      <w:proofErr w:type="spellEnd"/>
      <w:r w:rsidR="00BC6614">
        <w:t xml:space="preserve"> 10 January 2021 when 62 blinded endpoints were accrued. The final analysis of the primary endpoint data </w:t>
      </w:r>
      <w:proofErr w:type="spellStart"/>
      <w:r w:rsidR="00BC6614">
        <w:t>cutoff</w:t>
      </w:r>
      <w:proofErr w:type="spellEnd"/>
      <w:r w:rsidR="00BC6614">
        <w:t xml:space="preserve"> 29 January 2021 when 106 blinded endpoints were accrued.</w:t>
      </w:r>
    </w:p>
    <w:p w14:paraId="3EDA0144" w14:textId="45EA75B9" w:rsidR="00BC6614" w:rsidRDefault="00CB0D1D" w:rsidP="00345763">
      <w:pPr>
        <w:pStyle w:val="ListBullet"/>
      </w:pPr>
      <w:r>
        <w:t xml:space="preserve">Study 2019nCoV-301, also known as </w:t>
      </w:r>
      <w:r w:rsidR="002C6DF6">
        <w:t xml:space="preserve">the </w:t>
      </w:r>
      <w:r w:rsidR="00BC6614">
        <w:t>PREVENT-19</w:t>
      </w:r>
      <w:r w:rsidR="003F58DB">
        <w:t xml:space="preserve"> </w:t>
      </w:r>
      <w:r w:rsidR="003F26CB">
        <w:t xml:space="preserve">trial </w:t>
      </w:r>
      <w:r w:rsidR="003F58DB">
        <w:t xml:space="preserve">(PRE-fusion protein subunit vaccine efficacy </w:t>
      </w:r>
      <w:proofErr w:type="spellStart"/>
      <w:r w:rsidR="003F58DB">
        <w:t>Novavax</w:t>
      </w:r>
      <w:proofErr w:type="spellEnd"/>
      <w:r w:rsidR="003F58DB">
        <w:t xml:space="preserve"> trial COVID-19)</w:t>
      </w:r>
      <w:r w:rsidR="00BC6614">
        <w:t xml:space="preserve"> </w:t>
      </w:r>
      <w:r>
        <w:t xml:space="preserve">trial </w:t>
      </w:r>
      <w:r w:rsidR="00BC6614">
        <w:t xml:space="preserve">began in December 2020. </w:t>
      </w:r>
      <w:r w:rsidR="002C6DF6">
        <w:t xml:space="preserve">The </w:t>
      </w:r>
      <w:r w:rsidR="00BC6614">
        <w:t>PREVENT-19</w:t>
      </w:r>
      <w:r w:rsidR="003F58DB">
        <w:t xml:space="preserve"> trial </w:t>
      </w:r>
      <w:r w:rsidR="00F62CB3" w:rsidRPr="00F62CB3">
        <w:t>showed efficacy of 90.4% overall, 100% against SARS-CoV-2 variants not considered as a VOC/</w:t>
      </w:r>
      <w:r w:rsidR="00F62CB3">
        <w:t>v</w:t>
      </w:r>
      <w:r w:rsidR="00F62CB3" w:rsidRPr="00BD4A57">
        <w:t xml:space="preserve">ariant of </w:t>
      </w:r>
      <w:r w:rsidR="00F62CB3">
        <w:t>i</w:t>
      </w:r>
      <w:r w:rsidR="00F62CB3" w:rsidRPr="00BD4A57">
        <w:t xml:space="preserve">nterest </w:t>
      </w:r>
      <w:r w:rsidR="00F62CB3">
        <w:t>(VO</w:t>
      </w:r>
      <w:r w:rsidR="00F62CB3" w:rsidRPr="00F62CB3">
        <w:t>I</w:t>
      </w:r>
      <w:r w:rsidR="00F62CB3">
        <w:t>)</w:t>
      </w:r>
      <w:r w:rsidR="00F62CB3" w:rsidRPr="00F62CB3">
        <w:t xml:space="preserve"> and 93.2% against SARS</w:t>
      </w:r>
      <w:r w:rsidR="002C6DF6">
        <w:noBreakHyphen/>
      </w:r>
      <w:r w:rsidR="00F62CB3" w:rsidRPr="00F62CB3">
        <w:t>CoV-2 variants considered as VOC/</w:t>
      </w:r>
      <w:r w:rsidR="00F62CB3">
        <w:t>VO</w:t>
      </w:r>
      <w:r w:rsidR="00F62CB3" w:rsidRPr="00F62CB3">
        <w:t xml:space="preserve">I. The final analysis of the primary endpoint data </w:t>
      </w:r>
      <w:proofErr w:type="spellStart"/>
      <w:r w:rsidR="00F62CB3" w:rsidRPr="00F62CB3">
        <w:t>cutoff</w:t>
      </w:r>
      <w:proofErr w:type="spellEnd"/>
      <w:r w:rsidR="00F62CB3" w:rsidRPr="00F62CB3">
        <w:t xml:space="preserve"> 1 June 2021 when 77 blinded endpoints were accrued</w:t>
      </w:r>
      <w:r w:rsidR="00BC6614">
        <w:t>.</w:t>
      </w:r>
    </w:p>
    <w:p w14:paraId="36C972F5" w14:textId="127E1E9E" w:rsidR="00F859D7" w:rsidRDefault="00F859D7" w:rsidP="00345763">
      <w:pPr>
        <w:pStyle w:val="FigureTitle"/>
        <w:keepNext w:val="0"/>
      </w:pPr>
      <w:bookmarkStart w:id="41" w:name="_Ref92382066"/>
      <w:r w:rsidRPr="00F859D7">
        <w:t xml:space="preserve">Figure </w:t>
      </w:r>
      <w:r w:rsidR="00344FF4">
        <w:fldChar w:fldCharType="begin"/>
      </w:r>
      <w:r w:rsidR="00344FF4">
        <w:instrText xml:space="preserve"> SEQ Figure</w:instrText>
      </w:r>
      <w:r w:rsidR="00344FF4">
        <w:instrText xml:space="preserve"> \* ARABIC </w:instrText>
      </w:r>
      <w:r w:rsidR="00344FF4">
        <w:fldChar w:fldCharType="separate"/>
      </w:r>
      <w:r w:rsidR="00C41FF6">
        <w:rPr>
          <w:noProof/>
        </w:rPr>
        <w:t>1</w:t>
      </w:r>
      <w:r w:rsidR="00344FF4">
        <w:rPr>
          <w:noProof/>
        </w:rPr>
        <w:fldChar w:fldCharType="end"/>
      </w:r>
      <w:bookmarkEnd w:id="41"/>
      <w:r>
        <w:t xml:space="preserve">: Clinical development plan for </w:t>
      </w:r>
      <w:proofErr w:type="spellStart"/>
      <w:r>
        <w:t>Nuvaxovid</w:t>
      </w:r>
      <w:proofErr w:type="spellEnd"/>
    </w:p>
    <w:p w14:paraId="11D0EE4B" w14:textId="7C7528B4" w:rsidR="00F859D7" w:rsidRDefault="00F859D7" w:rsidP="00345763">
      <w:r w:rsidRPr="00ED6F9D">
        <w:rPr>
          <w:rFonts w:eastAsia="Calibri"/>
          <w:b/>
          <w:noProof/>
          <w:szCs w:val="24"/>
          <w:lang w:val="en-GB" w:eastAsia="en-GB"/>
        </w:rPr>
        <w:drawing>
          <wp:inline distT="0" distB="0" distL="0" distR="0" wp14:anchorId="67C97710" wp14:editId="067DB7B0">
            <wp:extent cx="5399599" cy="2984739"/>
            <wp:effectExtent l="0" t="0" r="0" b="6350"/>
            <wp:docPr id="19" name="Picture 19" descr="P4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80#yIS1"/>
                    <pic:cNvPicPr>
                      <a:picLocks noChangeAspect="1" noChangeArrowheads="1"/>
                    </pic:cNvPicPr>
                  </pic:nvPicPr>
                  <pic:blipFill rotWithShape="1">
                    <a:blip r:embed="rId14">
                      <a:extLst>
                        <a:ext uri="{28A0092B-C50C-407E-A947-70E740481C1C}">
                          <a14:useLocalDpi xmlns:a14="http://schemas.microsoft.com/office/drawing/2010/main" val="0"/>
                        </a:ext>
                      </a:extLst>
                    </a:blip>
                    <a:srcRect b="20007"/>
                    <a:stretch/>
                  </pic:blipFill>
                  <pic:spPr bwMode="auto">
                    <a:xfrm>
                      <a:off x="0" y="0"/>
                      <a:ext cx="5400040" cy="2984983"/>
                    </a:xfrm>
                    <a:prstGeom prst="rect">
                      <a:avLst/>
                    </a:prstGeom>
                    <a:noFill/>
                    <a:ln>
                      <a:noFill/>
                    </a:ln>
                    <a:extLst>
                      <a:ext uri="{53640926-AAD7-44D8-BBD7-CCE9431645EC}">
                        <a14:shadowObscured xmlns:a14="http://schemas.microsoft.com/office/drawing/2010/main"/>
                      </a:ext>
                    </a:extLst>
                  </pic:spPr>
                </pic:pic>
              </a:graphicData>
            </a:graphic>
          </wp:inline>
        </w:drawing>
      </w:r>
    </w:p>
    <w:p w14:paraId="00FF8104" w14:textId="0BC4907F" w:rsidR="00F859D7" w:rsidRDefault="00F859D7" w:rsidP="00CB0654">
      <w:pPr>
        <w:pStyle w:val="TableDescription"/>
      </w:pPr>
      <w:r>
        <w:t>1</w:t>
      </w:r>
      <w:r w:rsidR="002C6DF6">
        <w:t>:</w:t>
      </w:r>
      <w:r>
        <w:t xml:space="preserve"> Dose confirmation based on Phase I data (A</w:t>
      </w:r>
      <w:r w:rsidR="003F26CB">
        <w:t>u</w:t>
      </w:r>
      <w:r>
        <w:t>gust 2020). Triggers: Phase II US/Australia (dose confirmation in &gt; 60 years old); Phase IIb South Africa efficacy study</w:t>
      </w:r>
      <w:r w:rsidR="002C6DF6">
        <w:t>,</w:t>
      </w:r>
      <w:r>
        <w:t xml:space="preserve"> 18</w:t>
      </w:r>
      <w:r w:rsidR="002C6DF6">
        <w:t xml:space="preserve"> </w:t>
      </w:r>
      <w:r>
        <w:t>to 65 years old; Phase II/III United Kingdom efficacy study</w:t>
      </w:r>
      <w:r w:rsidR="002C6DF6">
        <w:t>,</w:t>
      </w:r>
      <w:r>
        <w:t xml:space="preserve"> 18 to 84 years old.</w:t>
      </w:r>
    </w:p>
    <w:p w14:paraId="74BDAE70" w14:textId="7A9B48DB" w:rsidR="00F859D7" w:rsidRDefault="00F859D7" w:rsidP="00CB0654">
      <w:pPr>
        <w:pStyle w:val="TableDescription"/>
      </w:pPr>
      <w:r>
        <w:lastRenderedPageBreak/>
        <w:t>2</w:t>
      </w:r>
      <w:r w:rsidR="002C6DF6">
        <w:t>:</w:t>
      </w:r>
      <w:r>
        <w:t xml:space="preserve"> Dose confirmation in adults &gt; 60 years based on Phase II (October 2020). Trigger: Phase III US/Global study ≥ 18 years old.</w:t>
      </w:r>
    </w:p>
    <w:p w14:paraId="2CE38699" w14:textId="27C2D5FE" w:rsidR="00F859D7" w:rsidRDefault="00F859D7" w:rsidP="00CB0654">
      <w:pPr>
        <w:pStyle w:val="TableDescription"/>
      </w:pPr>
      <w:r>
        <w:t xml:space="preserve">Source: </w:t>
      </w:r>
      <w:proofErr w:type="spellStart"/>
      <w:r>
        <w:t>No</w:t>
      </w:r>
      <w:r w:rsidR="005D535E">
        <w:t>vav</w:t>
      </w:r>
      <w:r>
        <w:t>ax</w:t>
      </w:r>
      <w:proofErr w:type="spellEnd"/>
      <w:r>
        <w:t xml:space="preserve"> presentation.</w:t>
      </w:r>
    </w:p>
    <w:p w14:paraId="7B0A3E06" w14:textId="5606BC2B" w:rsidR="005D535E" w:rsidRPr="00480D64" w:rsidRDefault="005D535E" w:rsidP="00345763">
      <w:r>
        <w:t xml:space="preserve">In addition, </w:t>
      </w:r>
      <w:r w:rsidR="00723DFC">
        <w:t xml:space="preserve">the </w:t>
      </w:r>
      <w:r>
        <w:t>sponsor also submitted i</w:t>
      </w:r>
      <w:r w:rsidRPr="005D535E">
        <w:t xml:space="preserve">nterim </w:t>
      </w:r>
      <w:r>
        <w:t>c</w:t>
      </w:r>
      <w:r w:rsidR="00F914B3">
        <w:t>linical</w:t>
      </w:r>
      <w:r>
        <w:t xml:space="preserve"> study report (C</w:t>
      </w:r>
      <w:r w:rsidRPr="005D535E">
        <w:t>SR</w:t>
      </w:r>
      <w:r>
        <w:t>)</w:t>
      </w:r>
      <w:r w:rsidRPr="005D535E">
        <w:t xml:space="preserve"> for </w:t>
      </w:r>
      <w:r w:rsidR="006E518A">
        <w:t>the Indian Council of Medical Research (</w:t>
      </w:r>
      <w:r w:rsidRPr="005D535E">
        <w:t>ICMR</w:t>
      </w:r>
      <w:r w:rsidR="006E518A">
        <w:t>)</w:t>
      </w:r>
      <w:r w:rsidRPr="005D535E">
        <w:t>/</w:t>
      </w:r>
      <w:r w:rsidR="006E518A">
        <w:t xml:space="preserve">Serum Institute of India (SII) </w:t>
      </w:r>
      <w:proofErr w:type="spellStart"/>
      <w:r w:rsidRPr="005D535E">
        <w:t>C</w:t>
      </w:r>
      <w:r w:rsidR="006E518A">
        <w:t>ovovax</w:t>
      </w:r>
      <w:proofErr w:type="spellEnd"/>
      <w:r w:rsidR="00E54C75">
        <w:t xml:space="preserve"> trial</w:t>
      </w:r>
      <w:r w:rsidRPr="005D535E">
        <w:t>, which was conducted in India by the SII</w:t>
      </w:r>
      <w:r w:rsidR="006E518A">
        <w:t>.</w:t>
      </w:r>
      <w:r w:rsidR="00C41FF6">
        <w:rPr>
          <w:rFonts w:ascii="ZWAdobeF" w:hAnsi="ZWAdobeF" w:cs="ZWAdobeF"/>
          <w:sz w:val="2"/>
          <w:szCs w:val="2"/>
        </w:rPr>
        <w:t>22F</w:t>
      </w:r>
      <w:r w:rsidR="006E518A">
        <w:rPr>
          <w:rStyle w:val="FootnoteReference"/>
        </w:rPr>
        <w:footnoteReference w:id="23"/>
      </w:r>
    </w:p>
    <w:p w14:paraId="1B71CB2F" w14:textId="74C1E67D" w:rsidR="005D535E" w:rsidRDefault="005D535E" w:rsidP="00345763">
      <w:pPr>
        <w:pStyle w:val="Heading4"/>
        <w:keepNext w:val="0"/>
      </w:pPr>
      <w:r>
        <w:t>Immunogenicity</w:t>
      </w:r>
    </w:p>
    <w:p w14:paraId="778C856A" w14:textId="04BA368F" w:rsidR="005D535E" w:rsidRDefault="005D535E" w:rsidP="00345763">
      <w:r>
        <w:t>The immunogenicity data available in this report were generated from Stud</w:t>
      </w:r>
      <w:r w:rsidR="002C6DF6">
        <w:t>y </w:t>
      </w:r>
      <w:r>
        <w:t>2019nCoV-101 Part</w:t>
      </w:r>
      <w:r w:rsidR="002C6DF6">
        <w:t>s</w:t>
      </w:r>
      <w:r>
        <w:t xml:space="preserve"> one and two</w:t>
      </w:r>
      <w:r w:rsidR="002C6DF6">
        <w:t>; and Studies</w:t>
      </w:r>
      <w:r>
        <w:t xml:space="preserve"> 2019nCoV-302, 2019nCoV-301, and 2019nCoV-501.</w:t>
      </w:r>
    </w:p>
    <w:p w14:paraId="64E72E50" w14:textId="216AAB67" w:rsidR="005D535E" w:rsidRDefault="005D535E" w:rsidP="00345763">
      <w:pPr>
        <w:pStyle w:val="Heading5"/>
        <w:keepNext w:val="0"/>
        <w:keepLines w:val="0"/>
      </w:pPr>
      <w:r>
        <w:t>Dose finding studies</w:t>
      </w:r>
    </w:p>
    <w:p w14:paraId="13E8A82E" w14:textId="1B57F0EA" w:rsidR="005D535E" w:rsidRDefault="005D535E" w:rsidP="00345763">
      <w:r>
        <w:t>Study 2019nCoV-101 is a two part Phase I/II randomised, observer blinded</w:t>
      </w:r>
      <w:r w:rsidR="00FB0964">
        <w:t>, placebo-controlled</w:t>
      </w:r>
      <w:r>
        <w:t xml:space="preserve"> study, designed to evaluate the safety and immunogenicity of </w:t>
      </w:r>
      <w:proofErr w:type="spellStart"/>
      <w:r>
        <w:t>Nuvaxovid</w:t>
      </w:r>
      <w:proofErr w:type="spellEnd"/>
      <w:r>
        <w:t>. Part</w:t>
      </w:r>
      <w:r w:rsidR="002C6DF6">
        <w:t> </w:t>
      </w:r>
      <w:r>
        <w:t>one is the first in human trial evaluating the safety and immunogenicity of SARS</w:t>
      </w:r>
      <w:r w:rsidR="002C6DF6">
        <w:noBreakHyphen/>
      </w:r>
      <w:r>
        <w:t>CoV</w:t>
      </w:r>
      <w:r w:rsidR="002C6DF6">
        <w:noBreakHyphen/>
      </w:r>
      <w:r>
        <w:t xml:space="preserve">2 </w:t>
      </w:r>
      <w:proofErr w:type="spellStart"/>
      <w:r>
        <w:t>rS</w:t>
      </w:r>
      <w:proofErr w:type="spellEnd"/>
      <w:r>
        <w:t xml:space="preserve"> with or without </w:t>
      </w:r>
      <w:r w:rsidR="006F5F10">
        <w:t>Matrix-M</w:t>
      </w:r>
      <w:r>
        <w:t xml:space="preserve"> adjuvant in healthy adult subjects 18 to 59 years of age at two sites in Australia. Part two commenced after positive results were observed following a formal analysis of the primary endpoints in Part one of the study and was designed to evaluate the safety and immunogenicity of SARS-CoV-2 </w:t>
      </w:r>
      <w:proofErr w:type="spellStart"/>
      <w:r>
        <w:t>rS</w:t>
      </w:r>
      <w:proofErr w:type="spellEnd"/>
      <w:r>
        <w:t xml:space="preserve"> with </w:t>
      </w:r>
      <w:r w:rsidR="006F5F10">
        <w:t>Matrix-M</w:t>
      </w:r>
      <w:r>
        <w:t xml:space="preserve"> adjuvant in healthy adult subjects 18 to 84 years of age at multiple sites in the USA and Australia.</w:t>
      </w:r>
    </w:p>
    <w:p w14:paraId="5F889C83" w14:textId="54EB555D" w:rsidR="005D535E" w:rsidRDefault="005D535E" w:rsidP="00345763">
      <w:r>
        <w:t xml:space="preserve">Both Part one and two evaluated two dose levels of SARS-CoV-2 </w:t>
      </w:r>
      <w:proofErr w:type="spellStart"/>
      <w:r>
        <w:t>rS</w:t>
      </w:r>
      <w:proofErr w:type="spellEnd"/>
      <w:r>
        <w:t xml:space="preserve"> (5 µg and 25 µg), which were based on the results of nonclinical studies with SARS-CoV-2 </w:t>
      </w:r>
      <w:proofErr w:type="spellStart"/>
      <w:r>
        <w:t>rS</w:t>
      </w:r>
      <w:proofErr w:type="spellEnd"/>
      <w:r>
        <w:t xml:space="preserve"> and on the results of clinical studies with other </w:t>
      </w:r>
      <w:proofErr w:type="spellStart"/>
      <w:r>
        <w:t>Novavax</w:t>
      </w:r>
      <w:proofErr w:type="spellEnd"/>
      <w:r>
        <w:t xml:space="preserve"> based nanoparticle vaccines. Both parts also evaluated a single dose level of </w:t>
      </w:r>
      <w:r w:rsidR="006F5F10">
        <w:t>Matrix-M</w:t>
      </w:r>
      <w:r>
        <w:t xml:space="preserve"> adjuvant (50 µg), based on previous clinical experience with </w:t>
      </w:r>
      <w:r w:rsidR="006F5F10">
        <w:t>Matrix-M</w:t>
      </w:r>
      <w:r>
        <w:t xml:space="preserve"> adjuvant.</w:t>
      </w:r>
    </w:p>
    <w:p w14:paraId="01311CE2" w14:textId="23708D57" w:rsidR="007969FB" w:rsidRDefault="007969FB" w:rsidP="00345763">
      <w:pPr>
        <w:pStyle w:val="Heading6"/>
        <w:keepNext w:val="0"/>
      </w:pPr>
      <w:r>
        <w:t>Study 2019nCoV-101 Part one</w:t>
      </w:r>
    </w:p>
    <w:p w14:paraId="36F609EC" w14:textId="7C19EBA2" w:rsidR="007B2CBB" w:rsidRDefault="005D535E" w:rsidP="00345763">
      <w:r>
        <w:t xml:space="preserve">Subjects in </w:t>
      </w:r>
      <w:r w:rsidR="007969FB" w:rsidRPr="007969FB">
        <w:t>Study 2019nCoV-101 Part one</w:t>
      </w:r>
      <w:r>
        <w:t xml:space="preserve"> received either </w:t>
      </w:r>
      <w:r w:rsidR="007969FB">
        <w:t>one</w:t>
      </w:r>
      <w:r>
        <w:t xml:space="preserve"> or </w:t>
      </w:r>
      <w:r w:rsidR="007969FB">
        <w:t>two</w:t>
      </w:r>
      <w:r>
        <w:t xml:space="preserve"> doses of either 5</w:t>
      </w:r>
      <w:r w:rsidR="007969FB">
        <w:t> µg</w:t>
      </w:r>
      <w:r>
        <w:t xml:space="preserve"> or 25</w:t>
      </w:r>
      <w:r w:rsidR="007969FB">
        <w:t> </w:t>
      </w:r>
      <w:proofErr w:type="spellStart"/>
      <w:r>
        <w:t>μg</w:t>
      </w:r>
      <w:proofErr w:type="spellEnd"/>
      <w:r>
        <w:t xml:space="preserve"> </w:t>
      </w:r>
      <w:r w:rsidR="007969FB">
        <w:t xml:space="preserve">recombinant spike protein </w:t>
      </w:r>
      <w:r>
        <w:t>with or without 50</w:t>
      </w:r>
      <w:r w:rsidR="007969FB">
        <w:t> µ</w:t>
      </w:r>
      <w:r>
        <w:t xml:space="preserve">g </w:t>
      </w:r>
      <w:r w:rsidR="006F5F10">
        <w:t>Matrix-M</w:t>
      </w:r>
      <w:r>
        <w:t xml:space="preserve"> adjuvant</w:t>
      </w:r>
      <w:r w:rsidR="00C769B7">
        <w:t xml:space="preserve"> (see </w:t>
      </w:r>
      <w:r w:rsidR="00C769B7">
        <w:fldChar w:fldCharType="begin" w:fldLock="1"/>
      </w:r>
      <w:r w:rsidR="00C769B7">
        <w:instrText xml:space="preserve"> REF _Ref92394689 \h </w:instrText>
      </w:r>
      <w:r w:rsidR="00C769B7">
        <w:fldChar w:fldCharType="separate"/>
      </w:r>
      <w:r w:rsidR="00AA298B" w:rsidRPr="007969FB">
        <w:t xml:space="preserve">Table </w:t>
      </w:r>
      <w:r w:rsidR="00AA298B">
        <w:rPr>
          <w:noProof/>
        </w:rPr>
        <w:t>3</w:t>
      </w:r>
      <w:r w:rsidR="00C769B7">
        <w:fldChar w:fldCharType="end"/>
      </w:r>
      <w:r w:rsidR="00C769B7">
        <w:t>)</w:t>
      </w:r>
    </w:p>
    <w:p w14:paraId="76866060" w14:textId="413EE6DC" w:rsidR="007969FB" w:rsidRDefault="007969FB" w:rsidP="00CB0654">
      <w:pPr>
        <w:pStyle w:val="TableTitle"/>
        <w:rPr>
          <w:rFonts w:eastAsia="Calibri"/>
          <w:szCs w:val="24"/>
        </w:rPr>
      </w:pPr>
      <w:bookmarkStart w:id="42" w:name="_Ref92394689"/>
      <w:r w:rsidRPr="007969FB">
        <w:t xml:space="preserve">Table </w:t>
      </w:r>
      <w:r w:rsidR="00344FF4">
        <w:fldChar w:fldCharType="begin"/>
      </w:r>
      <w:r w:rsidR="00344FF4">
        <w:instrText xml:space="preserve"> SEQ Table \* ARABIC </w:instrText>
      </w:r>
      <w:r w:rsidR="00344FF4">
        <w:fldChar w:fldCharType="separate"/>
      </w:r>
      <w:r w:rsidR="00C41FF6">
        <w:rPr>
          <w:noProof/>
        </w:rPr>
        <w:t>3</w:t>
      </w:r>
      <w:r w:rsidR="00344FF4">
        <w:rPr>
          <w:noProof/>
        </w:rPr>
        <w:fldChar w:fldCharType="end"/>
      </w:r>
      <w:bookmarkEnd w:id="42"/>
      <w:r>
        <w:t xml:space="preserve">: Study 2019nCoV-101 Part </w:t>
      </w:r>
      <w:r w:rsidR="00F72B87">
        <w:t>one C</w:t>
      </w:r>
      <w:r>
        <w:t>linical t</w:t>
      </w:r>
      <w:r w:rsidRPr="00ED6F9D">
        <w:rPr>
          <w:rFonts w:eastAsia="Calibri"/>
          <w:szCs w:val="24"/>
        </w:rPr>
        <w:t xml:space="preserve">rial </w:t>
      </w:r>
      <w:r>
        <w:rPr>
          <w:rFonts w:eastAsia="Calibri"/>
          <w:szCs w:val="24"/>
        </w:rPr>
        <w:t>d</w:t>
      </w:r>
      <w:r w:rsidRPr="00ED6F9D">
        <w:rPr>
          <w:rFonts w:eastAsia="Calibri"/>
          <w:szCs w:val="24"/>
        </w:rPr>
        <w:t>esign</w:t>
      </w:r>
    </w:p>
    <w:p w14:paraId="29F17184" w14:textId="7DF9E440" w:rsidR="007969FB" w:rsidRDefault="007969FB" w:rsidP="00345763">
      <w:r w:rsidRPr="00ED6F9D">
        <w:rPr>
          <w:rFonts w:eastAsia="Calibri"/>
          <w:noProof/>
          <w:szCs w:val="24"/>
          <w:lang w:val="en-GB" w:eastAsia="en-GB"/>
        </w:rPr>
        <w:drawing>
          <wp:inline distT="0" distB="0" distL="0" distR="0" wp14:anchorId="171D9333" wp14:editId="4614FF78">
            <wp:extent cx="5200015" cy="2078355"/>
            <wp:effectExtent l="0" t="0" r="635" b="0"/>
            <wp:docPr id="3" name="Picture 3" descr="P4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493#yIS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7" t="979" r="-8" b="29634"/>
                    <a:stretch/>
                  </pic:blipFill>
                  <pic:spPr bwMode="auto">
                    <a:xfrm>
                      <a:off x="0" y="0"/>
                      <a:ext cx="5242221" cy="2095224"/>
                    </a:xfrm>
                    <a:prstGeom prst="rect">
                      <a:avLst/>
                    </a:prstGeom>
                    <a:noFill/>
                    <a:ln>
                      <a:noFill/>
                    </a:ln>
                    <a:extLst>
                      <a:ext uri="{53640926-AAD7-44D8-BBD7-CCE9431645EC}">
                        <a14:shadowObscured xmlns:a14="http://schemas.microsoft.com/office/drawing/2010/main"/>
                      </a:ext>
                    </a:extLst>
                  </pic:spPr>
                </pic:pic>
              </a:graphicData>
            </a:graphic>
          </wp:inline>
        </w:drawing>
      </w:r>
    </w:p>
    <w:p w14:paraId="76B67052" w14:textId="33AB13CE" w:rsidR="007969FB" w:rsidRDefault="007969FB" w:rsidP="00CB0654">
      <w:pPr>
        <w:pStyle w:val="TableDescription"/>
      </w:pPr>
      <w:r>
        <w:t xml:space="preserve">Abbreviations: SARS-CoV-2 </w:t>
      </w:r>
      <w:proofErr w:type="spellStart"/>
      <w:r>
        <w:t>rS</w:t>
      </w:r>
      <w:proofErr w:type="spellEnd"/>
      <w:r>
        <w:t xml:space="preserve"> = severe acute respiratory syndrome coronavirus 2 recombinant spike protein nanoparticle vaccine</w:t>
      </w:r>
    </w:p>
    <w:p w14:paraId="4523A43F" w14:textId="4C9E5BF2" w:rsidR="007969FB" w:rsidRDefault="007969FB" w:rsidP="00CB0654">
      <w:pPr>
        <w:pStyle w:val="TableDescription"/>
      </w:pPr>
      <w:r w:rsidRPr="00F26528">
        <w:rPr>
          <w:vertAlign w:val="superscript"/>
        </w:rPr>
        <w:t>1</w:t>
      </w:r>
      <w:r>
        <w:t>.Construct A (BV2373)</w:t>
      </w:r>
    </w:p>
    <w:p w14:paraId="723A4028" w14:textId="29745D2D" w:rsidR="007969FB" w:rsidRDefault="007969FB" w:rsidP="00CB0654">
      <w:pPr>
        <w:pStyle w:val="TableDescription"/>
      </w:pPr>
      <w:r>
        <w:t>Note: This trial wa</w:t>
      </w:r>
      <w:r w:rsidR="00E755D7">
        <w:t xml:space="preserve">s designed to evaluate up to 2 unique constructs of SARS-CoV-2 </w:t>
      </w:r>
      <w:proofErr w:type="spellStart"/>
      <w:r w:rsidR="00E755D7">
        <w:t>rS</w:t>
      </w:r>
      <w:proofErr w:type="spellEnd"/>
      <w:r w:rsidR="00E755D7">
        <w:t xml:space="preserve"> (Construct A (Cohort 1) and Construct B (Cohort 2)); however, only 1 construct (Construct A) was evaluated in the trial.</w:t>
      </w:r>
    </w:p>
    <w:p w14:paraId="315DE4E5" w14:textId="075B3668" w:rsidR="00E755D7" w:rsidRPr="00ED6F9D" w:rsidRDefault="00E755D7" w:rsidP="00345763">
      <w:r w:rsidRPr="00ED6F9D">
        <w:lastRenderedPageBreak/>
        <w:t>Anti-</w:t>
      </w:r>
      <w:r>
        <w:t>spike protein</w:t>
      </w:r>
      <w:r w:rsidRPr="00ED6F9D">
        <w:t xml:space="preserve"> </w:t>
      </w:r>
      <w:r w:rsidR="00C769B7">
        <w:t>immunoglobin G (</w:t>
      </w:r>
      <w:r w:rsidRPr="00ED6F9D">
        <w:t>IgG</w:t>
      </w:r>
      <w:r w:rsidR="00C769B7">
        <w:t>)</w:t>
      </w:r>
      <w:r w:rsidRPr="00ED6F9D">
        <w:t xml:space="preserve"> was measured at Day 0 (</w:t>
      </w:r>
      <w:r>
        <w:t>B</w:t>
      </w:r>
      <w:r w:rsidRPr="00ED6F9D">
        <w:t>aseline),</w:t>
      </w:r>
      <w:r w:rsidR="00265ECD">
        <w:t xml:space="preserve"> and Days</w:t>
      </w:r>
      <w:r w:rsidRPr="00ED6F9D">
        <w:t xml:space="preserve"> 7, 21, 35, 49, 105, and 189 using a qualified IgG </w:t>
      </w:r>
      <w:r w:rsidRPr="00E755D7">
        <w:t>enzyme-linked immunosorbent assay</w:t>
      </w:r>
      <w:r>
        <w:t xml:space="preserve"> (</w:t>
      </w:r>
      <w:r w:rsidRPr="00ED6F9D">
        <w:t>ELISA</w:t>
      </w:r>
      <w:r>
        <w:t>)</w:t>
      </w:r>
      <w:r w:rsidRPr="00ED6F9D">
        <w:t xml:space="preserve">. The </w:t>
      </w:r>
      <w:r w:rsidR="00C769B7">
        <w:t>r</w:t>
      </w:r>
      <w:r w:rsidRPr="00ED6F9D">
        <w:t xml:space="preserve">everse </w:t>
      </w:r>
      <w:r w:rsidR="00C769B7">
        <w:t>c</w:t>
      </w:r>
      <w:r w:rsidRPr="00ED6F9D">
        <w:t xml:space="preserve">umulative </w:t>
      </w:r>
      <w:r w:rsidR="00C769B7">
        <w:t>d</w:t>
      </w:r>
      <w:r w:rsidRPr="00ED6F9D">
        <w:t xml:space="preserve">istribution </w:t>
      </w:r>
      <w:r w:rsidR="00C769B7">
        <w:t>c</w:t>
      </w:r>
      <w:r w:rsidRPr="00ED6F9D">
        <w:t>urves showing the responses at D</w:t>
      </w:r>
      <w:r w:rsidR="00C769B7">
        <w:t xml:space="preserve">ay </w:t>
      </w:r>
      <w:r w:rsidRPr="00ED6F9D">
        <w:t>0, D</w:t>
      </w:r>
      <w:r w:rsidR="00C769B7">
        <w:t>ay</w:t>
      </w:r>
      <w:r w:rsidR="00265ECD">
        <w:t> </w:t>
      </w:r>
      <w:r w:rsidRPr="00ED6F9D">
        <w:t xml:space="preserve">21 (21 days post </w:t>
      </w:r>
      <w:r w:rsidR="00D24551">
        <w:t xml:space="preserve">first </w:t>
      </w:r>
      <w:r w:rsidRPr="00ED6F9D">
        <w:t>dose</w:t>
      </w:r>
      <w:r w:rsidR="00D24551">
        <w:t>)</w:t>
      </w:r>
      <w:r w:rsidRPr="00ED6F9D">
        <w:t>, D</w:t>
      </w:r>
      <w:r w:rsidR="00C769B7">
        <w:t xml:space="preserve">ay </w:t>
      </w:r>
      <w:r w:rsidRPr="00ED6F9D">
        <w:t>35 (14 days post</w:t>
      </w:r>
      <w:r w:rsidR="00B109AB">
        <w:t xml:space="preserve"> second</w:t>
      </w:r>
      <w:r w:rsidRPr="00ED6F9D">
        <w:t xml:space="preserve"> dose</w:t>
      </w:r>
      <w:r w:rsidR="00B109AB">
        <w:t>)</w:t>
      </w:r>
      <w:r w:rsidRPr="00ED6F9D">
        <w:t xml:space="preserve"> and D</w:t>
      </w:r>
      <w:r w:rsidR="00C769B7">
        <w:t xml:space="preserve">ay </w:t>
      </w:r>
      <w:r w:rsidRPr="00ED6F9D">
        <w:t>189 (</w:t>
      </w:r>
      <w:r w:rsidR="00B109AB">
        <w:t>six</w:t>
      </w:r>
      <w:r w:rsidRPr="00ED6F9D">
        <w:t xml:space="preserve"> months post</w:t>
      </w:r>
      <w:r w:rsidR="00D24551">
        <w:t xml:space="preserve"> first</w:t>
      </w:r>
      <w:r w:rsidRPr="00ED6F9D">
        <w:t xml:space="preserve"> dose) are presented below in</w:t>
      </w:r>
      <w:r w:rsidR="00C769B7">
        <w:t xml:space="preserve"> </w:t>
      </w:r>
      <w:r w:rsidR="00C769B7">
        <w:fldChar w:fldCharType="begin" w:fldLock="1"/>
      </w:r>
      <w:r w:rsidR="00C769B7">
        <w:instrText xml:space="preserve"> REF _Ref92394935 \h </w:instrText>
      </w:r>
      <w:r w:rsidR="00C769B7">
        <w:fldChar w:fldCharType="separate"/>
      </w:r>
      <w:r w:rsidR="00AA298B">
        <w:t xml:space="preserve">Figure </w:t>
      </w:r>
      <w:r w:rsidR="00AA298B">
        <w:rPr>
          <w:noProof/>
        </w:rPr>
        <w:t>2</w:t>
      </w:r>
      <w:r w:rsidR="00C769B7">
        <w:fldChar w:fldCharType="end"/>
      </w:r>
      <w:r w:rsidRPr="00ED6F9D">
        <w:t>. Neutralising antibody</w:t>
      </w:r>
      <w:r w:rsidR="00C769B7">
        <w:t xml:space="preserve"> (</w:t>
      </w:r>
      <w:proofErr w:type="spellStart"/>
      <w:r w:rsidR="00C769B7">
        <w:t>NAb</w:t>
      </w:r>
      <w:proofErr w:type="spellEnd"/>
      <w:r w:rsidR="00C769B7">
        <w:t>)</w:t>
      </w:r>
      <w:r w:rsidRPr="00ED6F9D">
        <w:t xml:space="preserve"> responses showed a similar pattern.</w:t>
      </w:r>
    </w:p>
    <w:p w14:paraId="420B979A" w14:textId="7C453608" w:rsidR="00C769B7" w:rsidRPr="00C769B7" w:rsidRDefault="00E755D7" w:rsidP="00345763">
      <w:r w:rsidRPr="00ED6F9D">
        <w:t xml:space="preserve">Part </w:t>
      </w:r>
      <w:r>
        <w:t>one</w:t>
      </w:r>
      <w:r w:rsidRPr="00ED6F9D">
        <w:t xml:space="preserve"> of the </w:t>
      </w:r>
      <w:r>
        <w:t>S</w:t>
      </w:r>
      <w:r w:rsidRPr="00ED6F9D">
        <w:t xml:space="preserve">tudy 2019nCoV-101 showed that up to </w:t>
      </w:r>
      <w:r w:rsidR="00C769B7">
        <w:t>two</w:t>
      </w:r>
      <w:r w:rsidRPr="00ED6F9D">
        <w:t xml:space="preserve"> doses of 5</w:t>
      </w:r>
      <w:r w:rsidR="00C769B7">
        <w:t> µ</w:t>
      </w:r>
      <w:r w:rsidRPr="00ED6F9D">
        <w:t>g and 25</w:t>
      </w:r>
      <w:r w:rsidR="00C769B7">
        <w:t> µ</w:t>
      </w:r>
      <w:r w:rsidRPr="00ED6F9D">
        <w:t>g SARS</w:t>
      </w:r>
      <w:r w:rsidR="00C769B7">
        <w:noBreakHyphen/>
      </w:r>
      <w:r w:rsidRPr="00ED6F9D">
        <w:t xml:space="preserve">CoV-2 </w:t>
      </w:r>
      <w:proofErr w:type="spellStart"/>
      <w:r w:rsidRPr="00ED6F9D">
        <w:t>rS</w:t>
      </w:r>
      <w:proofErr w:type="spellEnd"/>
      <w:r w:rsidRPr="00ED6F9D">
        <w:t xml:space="preserve"> with or without 50</w:t>
      </w:r>
      <w:r w:rsidR="00C769B7">
        <w:t> µ</w:t>
      </w:r>
      <w:r w:rsidRPr="00ED6F9D">
        <w:t xml:space="preserve">g </w:t>
      </w:r>
      <w:r w:rsidR="006F5F10">
        <w:t>Matrix-M</w:t>
      </w:r>
      <w:r w:rsidRPr="00ED6F9D">
        <w:t xml:space="preserve"> adjuvant, administered 21 days apart, were immunogenic and well tolerated in healthy adult subjects 18 to 59 years of age</w:t>
      </w:r>
      <w:r w:rsidR="00C769B7">
        <w:t>.</w:t>
      </w:r>
    </w:p>
    <w:p w14:paraId="4A2B9FBB" w14:textId="29771C8C" w:rsidR="00C769B7" w:rsidRPr="00ED6F9D" w:rsidRDefault="00C769B7" w:rsidP="00345763">
      <w:pPr>
        <w:pStyle w:val="FigureTitle"/>
        <w:keepNext w:val="0"/>
      </w:pPr>
      <w:bookmarkStart w:id="43" w:name="_Ref92394935"/>
      <w:r>
        <w:t xml:space="preserve">Figure </w:t>
      </w:r>
      <w:r w:rsidR="00344FF4">
        <w:fldChar w:fldCharType="begin"/>
      </w:r>
      <w:r w:rsidR="00344FF4">
        <w:instrText xml:space="preserve"> SEQ Figure \* ARABIC </w:instrText>
      </w:r>
      <w:r w:rsidR="00344FF4">
        <w:fldChar w:fldCharType="separate"/>
      </w:r>
      <w:r w:rsidR="00C41FF6">
        <w:rPr>
          <w:noProof/>
        </w:rPr>
        <w:t>2</w:t>
      </w:r>
      <w:r w:rsidR="00344FF4">
        <w:rPr>
          <w:noProof/>
        </w:rPr>
        <w:fldChar w:fldCharType="end"/>
      </w:r>
      <w:bookmarkEnd w:id="43"/>
      <w:r>
        <w:t>: S</w:t>
      </w:r>
      <w:r w:rsidRPr="00ED6F9D">
        <w:t xml:space="preserve">tudy 2019nCoV-101 Reverse </w:t>
      </w:r>
      <w:r>
        <w:t>c</w:t>
      </w:r>
      <w:r w:rsidRPr="00ED6F9D">
        <w:t xml:space="preserve">umulative </w:t>
      </w:r>
      <w:r>
        <w:t>d</w:t>
      </w:r>
      <w:r w:rsidRPr="00ED6F9D">
        <w:t xml:space="preserve">istribution </w:t>
      </w:r>
      <w:r>
        <w:t>f</w:t>
      </w:r>
      <w:r w:rsidRPr="00ED6F9D">
        <w:t xml:space="preserve">unction of </w:t>
      </w:r>
      <w:r>
        <w:t>s</w:t>
      </w:r>
      <w:r w:rsidRPr="00ED6F9D">
        <w:t xml:space="preserve">erum </w:t>
      </w:r>
      <w:r>
        <w:t>immunoglobin G</w:t>
      </w:r>
      <w:r w:rsidRPr="00ED6F9D">
        <w:t xml:space="preserve"> </w:t>
      </w:r>
      <w:r>
        <w:t>a</w:t>
      </w:r>
      <w:r w:rsidRPr="00ED6F9D">
        <w:t xml:space="preserve">ntibody </w:t>
      </w:r>
      <w:r>
        <w:t>l</w:t>
      </w:r>
      <w:r w:rsidRPr="00ED6F9D">
        <w:t xml:space="preserve">evels at Baseline and </w:t>
      </w:r>
      <w:r>
        <w:t>f</w:t>
      </w:r>
      <w:r w:rsidRPr="00ED6F9D">
        <w:t>ollowing</w:t>
      </w:r>
      <w:r>
        <w:t xml:space="preserve"> f</w:t>
      </w:r>
      <w:r w:rsidRPr="00ED6F9D">
        <w:t xml:space="preserve">irst </w:t>
      </w:r>
      <w:r>
        <w:t>v</w:t>
      </w:r>
      <w:r w:rsidRPr="00ED6F9D">
        <w:t>accination of SARS</w:t>
      </w:r>
      <w:r w:rsidR="006A543A">
        <w:noBreakHyphen/>
      </w:r>
      <w:r w:rsidRPr="00ED6F9D">
        <w:t>CoV</w:t>
      </w:r>
      <w:r w:rsidR="006A543A">
        <w:noBreakHyphen/>
      </w:r>
      <w:r w:rsidRPr="00ED6F9D">
        <w:t xml:space="preserve">2 </w:t>
      </w:r>
      <w:proofErr w:type="spellStart"/>
      <w:r w:rsidRPr="00ED6F9D">
        <w:t>rS</w:t>
      </w:r>
      <w:proofErr w:type="spellEnd"/>
      <w:r w:rsidRPr="00ED6F9D">
        <w:t xml:space="preserve"> with or without </w:t>
      </w:r>
      <w:r w:rsidR="006F5F10">
        <w:t>Matrix-M</w:t>
      </w:r>
      <w:r w:rsidRPr="00ED6F9D">
        <w:t xml:space="preserve"> </w:t>
      </w:r>
      <w:r>
        <w:t>a</w:t>
      </w:r>
      <w:r w:rsidRPr="00ED6F9D">
        <w:t xml:space="preserve">djuvant in </w:t>
      </w:r>
      <w:r>
        <w:t>h</w:t>
      </w:r>
      <w:r w:rsidRPr="00ED6F9D">
        <w:t xml:space="preserve">ealthy </w:t>
      </w:r>
      <w:r>
        <w:t>a</w:t>
      </w:r>
      <w:r w:rsidRPr="00ED6F9D">
        <w:t xml:space="preserve">dult </w:t>
      </w:r>
      <w:r>
        <w:t>s</w:t>
      </w:r>
      <w:r w:rsidRPr="00ED6F9D">
        <w:t xml:space="preserve">ubjects 18 to 59 </w:t>
      </w:r>
      <w:r>
        <w:t>y</w:t>
      </w:r>
      <w:r w:rsidRPr="00ED6F9D">
        <w:t xml:space="preserve">ears of </w:t>
      </w:r>
      <w:r>
        <w:t>a</w:t>
      </w:r>
      <w:r w:rsidRPr="00ED6F9D">
        <w:t>ge (</w:t>
      </w:r>
      <w:r w:rsidR="0036797E">
        <w:t>p</w:t>
      </w:r>
      <w:r w:rsidRPr="00ED6F9D">
        <w:t xml:space="preserve">er </w:t>
      </w:r>
      <w:r>
        <w:t>p</w:t>
      </w:r>
      <w:r w:rsidRPr="00ED6F9D">
        <w:t xml:space="preserve">rotocol </w:t>
      </w:r>
      <w:r>
        <w:t>a</w:t>
      </w:r>
      <w:r w:rsidRPr="00ED6F9D">
        <w:t xml:space="preserve">nalysis </w:t>
      </w:r>
      <w:r>
        <w:t>s</w:t>
      </w:r>
      <w:r w:rsidRPr="00ED6F9D">
        <w:t>et)</w:t>
      </w:r>
    </w:p>
    <w:p w14:paraId="70275E69" w14:textId="3FEEF4A8" w:rsidR="00E755D7" w:rsidRDefault="00C769B7" w:rsidP="00345763">
      <w:pPr>
        <w:pStyle w:val="Caption"/>
      </w:pPr>
      <w:r w:rsidRPr="00ED6F9D">
        <w:rPr>
          <w:rFonts w:eastAsia="Calibri"/>
          <w:noProof/>
          <w:szCs w:val="24"/>
          <w:lang w:val="en-GB" w:eastAsia="en-GB"/>
        </w:rPr>
        <w:drawing>
          <wp:inline distT="0" distB="0" distL="0" distR="0" wp14:anchorId="4D2CB6DC" wp14:editId="51905211">
            <wp:extent cx="5122222" cy="2846488"/>
            <wp:effectExtent l="0" t="0" r="2540" b="0"/>
            <wp:docPr id="1" name="Picture 1" descr="P5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00#yIS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2859" t="776" r="48697" b="62482"/>
                    <a:stretch/>
                  </pic:blipFill>
                  <pic:spPr bwMode="auto">
                    <a:xfrm>
                      <a:off x="0" y="0"/>
                      <a:ext cx="5145854" cy="2859621"/>
                    </a:xfrm>
                    <a:prstGeom prst="rect">
                      <a:avLst/>
                    </a:prstGeom>
                    <a:noFill/>
                    <a:ln>
                      <a:noFill/>
                    </a:ln>
                    <a:extLst>
                      <a:ext uri="{53640926-AAD7-44D8-BBD7-CCE9431645EC}">
                        <a14:shadowObscured xmlns:a14="http://schemas.microsoft.com/office/drawing/2010/main"/>
                      </a:ext>
                    </a:extLst>
                  </pic:spPr>
                </pic:pic>
              </a:graphicData>
            </a:graphic>
          </wp:inline>
        </w:drawing>
      </w:r>
    </w:p>
    <w:p w14:paraId="64F6EE81" w14:textId="2EAEBC2C" w:rsidR="00C769B7" w:rsidRDefault="00C769B7" w:rsidP="00345763">
      <w:r w:rsidRPr="00ED6F9D">
        <w:rPr>
          <w:rFonts w:eastAsia="Calibri"/>
          <w:noProof/>
          <w:szCs w:val="24"/>
          <w:lang w:val="en-GB" w:eastAsia="en-GB"/>
        </w:rPr>
        <w:drawing>
          <wp:inline distT="0" distB="0" distL="0" distR="0" wp14:anchorId="5FFCFB87" wp14:editId="00BD376F">
            <wp:extent cx="5003321" cy="2932410"/>
            <wp:effectExtent l="0" t="0" r="6985" b="1905"/>
            <wp:docPr id="4" name="Picture 4" descr="P5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501#yIS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2769" t="36653" r="49484" b="25155"/>
                    <a:stretch/>
                  </pic:blipFill>
                  <pic:spPr bwMode="auto">
                    <a:xfrm>
                      <a:off x="0" y="0"/>
                      <a:ext cx="5041350" cy="2954699"/>
                    </a:xfrm>
                    <a:prstGeom prst="rect">
                      <a:avLst/>
                    </a:prstGeom>
                    <a:noFill/>
                    <a:ln>
                      <a:noFill/>
                    </a:ln>
                    <a:extLst>
                      <a:ext uri="{53640926-AAD7-44D8-BBD7-CCE9431645EC}">
                        <a14:shadowObscured xmlns:a14="http://schemas.microsoft.com/office/drawing/2010/main"/>
                      </a:ext>
                    </a:extLst>
                  </pic:spPr>
                </pic:pic>
              </a:graphicData>
            </a:graphic>
          </wp:inline>
        </w:drawing>
      </w:r>
    </w:p>
    <w:p w14:paraId="0075C313" w14:textId="47616514" w:rsidR="00C6587A" w:rsidRDefault="003E102F" w:rsidP="006639DA">
      <w:pPr>
        <w:pStyle w:val="FigureTitle"/>
        <w:keepNext w:val="0"/>
        <w:pageBreakBefore/>
      </w:pPr>
      <w:r>
        <w:lastRenderedPageBreak/>
        <w:fldChar w:fldCharType="begin" w:fldLock="1"/>
      </w:r>
      <w:r>
        <w:instrText xml:space="preserve"> REF _Ref92394935 \h </w:instrText>
      </w:r>
      <w:r>
        <w:fldChar w:fldCharType="separate"/>
      </w:r>
      <w:r w:rsidR="00AA298B">
        <w:t xml:space="preserve">Figure </w:t>
      </w:r>
      <w:r w:rsidR="00AA298B">
        <w:rPr>
          <w:noProof/>
        </w:rPr>
        <w:t>2</w:t>
      </w:r>
      <w:r>
        <w:fldChar w:fldCharType="end"/>
      </w:r>
      <w:r w:rsidR="0011079D">
        <w:t>:S</w:t>
      </w:r>
      <w:r w:rsidR="0011079D" w:rsidRPr="00ED6F9D">
        <w:t xml:space="preserve">tudy 2019nCoV-101 Reverse </w:t>
      </w:r>
      <w:r w:rsidR="0011079D">
        <w:t>c</w:t>
      </w:r>
      <w:r w:rsidR="0011079D" w:rsidRPr="00ED6F9D">
        <w:t xml:space="preserve">umulative </w:t>
      </w:r>
      <w:r w:rsidR="0011079D">
        <w:t>d</w:t>
      </w:r>
      <w:r w:rsidR="0011079D" w:rsidRPr="00ED6F9D">
        <w:t xml:space="preserve">istribution </w:t>
      </w:r>
      <w:r w:rsidR="0011079D">
        <w:t>f</w:t>
      </w:r>
      <w:r w:rsidR="0011079D" w:rsidRPr="00ED6F9D">
        <w:t xml:space="preserve">unction of </w:t>
      </w:r>
      <w:r w:rsidR="0011079D">
        <w:t>s</w:t>
      </w:r>
      <w:r w:rsidR="0011079D" w:rsidRPr="00ED6F9D">
        <w:t xml:space="preserve">erum </w:t>
      </w:r>
      <w:r w:rsidR="0011079D">
        <w:t>immunoglobin G</w:t>
      </w:r>
      <w:r w:rsidR="0011079D" w:rsidRPr="00ED6F9D">
        <w:t xml:space="preserve"> </w:t>
      </w:r>
      <w:r w:rsidR="0011079D">
        <w:t>a</w:t>
      </w:r>
      <w:r w:rsidR="0011079D" w:rsidRPr="00ED6F9D">
        <w:t xml:space="preserve">ntibody </w:t>
      </w:r>
      <w:r w:rsidR="0011079D">
        <w:t>l</w:t>
      </w:r>
      <w:r w:rsidR="0011079D" w:rsidRPr="00ED6F9D">
        <w:t xml:space="preserve">evels at Baseline and </w:t>
      </w:r>
      <w:r w:rsidR="0011079D">
        <w:t>f</w:t>
      </w:r>
      <w:r w:rsidR="0011079D" w:rsidRPr="00ED6F9D">
        <w:t>ollowing</w:t>
      </w:r>
      <w:r w:rsidR="0011079D">
        <w:t xml:space="preserve"> f</w:t>
      </w:r>
      <w:r w:rsidR="0011079D" w:rsidRPr="00ED6F9D">
        <w:t xml:space="preserve">irst </w:t>
      </w:r>
      <w:r w:rsidR="0011079D">
        <w:t>v</w:t>
      </w:r>
      <w:r w:rsidR="0011079D" w:rsidRPr="00ED6F9D">
        <w:t xml:space="preserve">accination of SARS-CoV-2 </w:t>
      </w:r>
      <w:proofErr w:type="spellStart"/>
      <w:r w:rsidR="0011079D" w:rsidRPr="00ED6F9D">
        <w:t>rS</w:t>
      </w:r>
      <w:proofErr w:type="spellEnd"/>
      <w:r w:rsidR="0011079D" w:rsidRPr="00ED6F9D">
        <w:t xml:space="preserve"> with or without </w:t>
      </w:r>
      <w:r w:rsidR="006F5F10">
        <w:t>Matrix-M</w:t>
      </w:r>
      <w:r w:rsidR="0011079D" w:rsidRPr="00ED6F9D">
        <w:t xml:space="preserve"> </w:t>
      </w:r>
      <w:r w:rsidR="0011079D">
        <w:t>a</w:t>
      </w:r>
      <w:r w:rsidR="0011079D" w:rsidRPr="00ED6F9D">
        <w:t xml:space="preserve">djuvant in </w:t>
      </w:r>
      <w:r w:rsidR="0011079D">
        <w:t>h</w:t>
      </w:r>
      <w:r w:rsidR="0011079D" w:rsidRPr="00ED6F9D">
        <w:t xml:space="preserve">ealthy </w:t>
      </w:r>
      <w:r w:rsidR="0011079D">
        <w:t>a</w:t>
      </w:r>
      <w:r w:rsidR="0011079D" w:rsidRPr="00ED6F9D">
        <w:t xml:space="preserve">dult </w:t>
      </w:r>
      <w:r w:rsidR="0011079D">
        <w:t>s</w:t>
      </w:r>
      <w:r w:rsidR="0011079D" w:rsidRPr="00ED6F9D">
        <w:t xml:space="preserve">ubjects 18 to 59 </w:t>
      </w:r>
      <w:r w:rsidR="0011079D">
        <w:t>y</w:t>
      </w:r>
      <w:r w:rsidR="0011079D" w:rsidRPr="00ED6F9D">
        <w:t xml:space="preserve">ears of </w:t>
      </w:r>
      <w:r w:rsidR="0011079D">
        <w:t>a</w:t>
      </w:r>
      <w:r w:rsidR="0011079D" w:rsidRPr="00ED6F9D">
        <w:t>ge (</w:t>
      </w:r>
      <w:r w:rsidR="0036797E">
        <w:t>p</w:t>
      </w:r>
      <w:r w:rsidR="0011079D" w:rsidRPr="00ED6F9D">
        <w:t xml:space="preserve">er </w:t>
      </w:r>
      <w:r w:rsidR="0011079D">
        <w:t>p</w:t>
      </w:r>
      <w:r w:rsidR="0011079D" w:rsidRPr="00ED6F9D">
        <w:t>rotocol</w:t>
      </w:r>
      <w:r w:rsidR="0036797E">
        <w:t xml:space="preserve"> </w:t>
      </w:r>
      <w:r w:rsidR="0011079D">
        <w:t>a</w:t>
      </w:r>
      <w:r w:rsidR="0011079D" w:rsidRPr="00ED6F9D">
        <w:t xml:space="preserve">nalysis </w:t>
      </w:r>
      <w:r w:rsidR="0011079D">
        <w:t>s</w:t>
      </w:r>
      <w:r w:rsidR="0011079D" w:rsidRPr="00ED6F9D">
        <w:t>et)</w:t>
      </w:r>
      <w:r w:rsidR="0011079D">
        <w:t>, continued.</w:t>
      </w:r>
    </w:p>
    <w:p w14:paraId="0BD8A4E5" w14:textId="3C222D10" w:rsidR="00C6587A" w:rsidRDefault="00C6587A" w:rsidP="00345763">
      <w:r w:rsidRPr="00ED6F9D">
        <w:rPr>
          <w:rFonts w:eastAsia="Calibri"/>
          <w:noProof/>
          <w:szCs w:val="24"/>
          <w:lang w:val="en-GB" w:eastAsia="en-GB"/>
        </w:rPr>
        <w:drawing>
          <wp:inline distT="0" distB="0" distL="0" distR="0" wp14:anchorId="2B627440" wp14:editId="6CAE5B58">
            <wp:extent cx="5193102" cy="2942758"/>
            <wp:effectExtent l="0" t="0" r="7620" b="0"/>
            <wp:docPr id="5" name="Picture 5" descr="P5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503#yIS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50824" r="1224" b="62914"/>
                    <a:stretch/>
                  </pic:blipFill>
                  <pic:spPr bwMode="auto">
                    <a:xfrm>
                      <a:off x="0" y="0"/>
                      <a:ext cx="5225813" cy="2961294"/>
                    </a:xfrm>
                    <a:prstGeom prst="rect">
                      <a:avLst/>
                    </a:prstGeom>
                    <a:noFill/>
                    <a:ln>
                      <a:noFill/>
                    </a:ln>
                    <a:extLst>
                      <a:ext uri="{53640926-AAD7-44D8-BBD7-CCE9431645EC}">
                        <a14:shadowObscured xmlns:a14="http://schemas.microsoft.com/office/drawing/2010/main"/>
                      </a:ext>
                    </a:extLst>
                  </pic:spPr>
                </pic:pic>
              </a:graphicData>
            </a:graphic>
          </wp:inline>
        </w:drawing>
      </w:r>
    </w:p>
    <w:p w14:paraId="06279655" w14:textId="1136EB56" w:rsidR="00C6587A" w:rsidRDefault="00C6587A" w:rsidP="00345763">
      <w:r w:rsidRPr="00ED6F9D">
        <w:rPr>
          <w:rFonts w:eastAsia="Calibri"/>
          <w:noProof/>
          <w:szCs w:val="24"/>
          <w:lang w:val="en-GB" w:eastAsia="en-GB"/>
        </w:rPr>
        <w:drawing>
          <wp:inline distT="0" distB="0" distL="0" distR="0" wp14:anchorId="083ED184" wp14:editId="462AD66E">
            <wp:extent cx="5252400" cy="2826000"/>
            <wp:effectExtent l="0" t="0" r="5715" b="0"/>
            <wp:docPr id="6" name="Picture 6" descr="P5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504#yIS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50983" t="37959" b="26038"/>
                    <a:stretch/>
                  </pic:blipFill>
                  <pic:spPr bwMode="auto">
                    <a:xfrm>
                      <a:off x="0" y="0"/>
                      <a:ext cx="52524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02EEF486" w14:textId="747107CF" w:rsidR="0011079D" w:rsidRDefault="0011079D" w:rsidP="00345763">
      <w:r w:rsidRPr="00ED6F9D">
        <w:rPr>
          <w:rFonts w:eastAsia="Calibri"/>
          <w:noProof/>
          <w:szCs w:val="24"/>
          <w:lang w:val="en-GB" w:eastAsia="en-GB"/>
        </w:rPr>
        <w:drawing>
          <wp:inline distT="0" distB="0" distL="0" distR="0" wp14:anchorId="1B1E8967" wp14:editId="3510DF99">
            <wp:extent cx="5219065" cy="560717"/>
            <wp:effectExtent l="0" t="0" r="635" b="0"/>
            <wp:docPr id="204" name="Picture 204" descr="P5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505#yIS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1598" t="78718" r="1505" b="10809"/>
                    <a:stretch/>
                  </pic:blipFill>
                  <pic:spPr bwMode="auto">
                    <a:xfrm>
                      <a:off x="0" y="0"/>
                      <a:ext cx="5298677" cy="569270"/>
                    </a:xfrm>
                    <a:prstGeom prst="rect">
                      <a:avLst/>
                    </a:prstGeom>
                    <a:noFill/>
                    <a:ln>
                      <a:noFill/>
                    </a:ln>
                    <a:extLst>
                      <a:ext uri="{53640926-AAD7-44D8-BBD7-CCE9431645EC}">
                        <a14:shadowObscured xmlns:a14="http://schemas.microsoft.com/office/drawing/2010/main"/>
                      </a:ext>
                    </a:extLst>
                  </pic:spPr>
                </pic:pic>
              </a:graphicData>
            </a:graphic>
          </wp:inline>
        </w:drawing>
      </w:r>
    </w:p>
    <w:p w14:paraId="7B0D2681" w14:textId="67AA56CA" w:rsidR="0098258F" w:rsidRDefault="0098258F" w:rsidP="00345763">
      <w:pPr>
        <w:pStyle w:val="Heading6"/>
        <w:keepNext w:val="0"/>
      </w:pPr>
      <w:r>
        <w:t>Study 2019nCoV-101 Part two</w:t>
      </w:r>
    </w:p>
    <w:p w14:paraId="5B6C11BB" w14:textId="7F12C69C" w:rsidR="0098258F" w:rsidRDefault="0098258F" w:rsidP="00345763">
      <w:r w:rsidRPr="00ED6F9D">
        <w:t xml:space="preserve">Part </w:t>
      </w:r>
      <w:r>
        <w:t>two o</w:t>
      </w:r>
      <w:r w:rsidRPr="00ED6F9D">
        <w:t xml:space="preserve">f </w:t>
      </w:r>
      <w:r>
        <w:t>S</w:t>
      </w:r>
      <w:r w:rsidRPr="00ED6F9D">
        <w:t>tudy 2019nCoV-101 was conducted in healthy males or non-pregnant females 18</w:t>
      </w:r>
      <w:r>
        <w:t> </w:t>
      </w:r>
      <w:r w:rsidRPr="00ED6F9D">
        <w:t xml:space="preserve">to 84 years of age, inclusive, to further identify the optimal dose across age strata based on immune response (IgG antibody to SARS-CoV-2 </w:t>
      </w:r>
      <w:proofErr w:type="spellStart"/>
      <w:r w:rsidRPr="00ED6F9D">
        <w:t>rS</w:t>
      </w:r>
      <w:proofErr w:type="spellEnd"/>
      <w:r w:rsidRPr="00ED6F9D">
        <w:t xml:space="preserve">) at Day 35 and whether baseline immune status has an impact. The treatment groups </w:t>
      </w:r>
      <w:r>
        <w:t>are</w:t>
      </w:r>
      <w:r w:rsidRPr="00ED6F9D">
        <w:t xml:space="preserve"> </w:t>
      </w:r>
      <w:r>
        <w:t xml:space="preserve">listed in </w:t>
      </w:r>
      <w:r>
        <w:fldChar w:fldCharType="begin" w:fldLock="1"/>
      </w:r>
      <w:r>
        <w:instrText xml:space="preserve"> REF _Ref92398877 \h </w:instrText>
      </w:r>
      <w:r>
        <w:fldChar w:fldCharType="separate"/>
      </w:r>
      <w:r w:rsidR="00AA298B">
        <w:t xml:space="preserve">Table </w:t>
      </w:r>
      <w:r w:rsidR="00AA298B">
        <w:rPr>
          <w:noProof/>
        </w:rPr>
        <w:t>4</w:t>
      </w:r>
      <w:r>
        <w:fldChar w:fldCharType="end"/>
      </w:r>
      <w:r>
        <w:t>.</w:t>
      </w:r>
    </w:p>
    <w:p w14:paraId="4ACBF909" w14:textId="0E9BFB8F" w:rsidR="0098258F" w:rsidRDefault="0098258F" w:rsidP="00CB0654">
      <w:pPr>
        <w:pStyle w:val="TableTitle"/>
        <w:rPr>
          <w:rFonts w:eastAsia="Calibri"/>
          <w:szCs w:val="24"/>
        </w:rPr>
      </w:pPr>
      <w:bookmarkStart w:id="44" w:name="_Ref92398877"/>
      <w:r>
        <w:lastRenderedPageBreak/>
        <w:t xml:space="preserve">Table </w:t>
      </w:r>
      <w:r w:rsidR="00344FF4">
        <w:fldChar w:fldCharType="begin"/>
      </w:r>
      <w:r w:rsidR="00344FF4">
        <w:instrText xml:space="preserve"> SEQ Table \* ARABIC </w:instrText>
      </w:r>
      <w:r w:rsidR="00344FF4">
        <w:fldChar w:fldCharType="separate"/>
      </w:r>
      <w:r w:rsidR="00C41FF6">
        <w:rPr>
          <w:noProof/>
        </w:rPr>
        <w:t>4</w:t>
      </w:r>
      <w:r w:rsidR="00344FF4">
        <w:rPr>
          <w:noProof/>
        </w:rPr>
        <w:fldChar w:fldCharType="end"/>
      </w:r>
      <w:bookmarkEnd w:id="44"/>
      <w:r>
        <w:t>: Study 2019nCoV-101 Part two clinical t</w:t>
      </w:r>
      <w:r w:rsidRPr="00ED6F9D">
        <w:rPr>
          <w:rFonts w:eastAsia="Calibri"/>
          <w:szCs w:val="24"/>
        </w:rPr>
        <w:t xml:space="preserve">rial </w:t>
      </w:r>
      <w:r>
        <w:rPr>
          <w:rFonts w:eastAsia="Calibri"/>
          <w:szCs w:val="24"/>
        </w:rPr>
        <w:t>d</w:t>
      </w:r>
      <w:r w:rsidRPr="00ED6F9D">
        <w:rPr>
          <w:rFonts w:eastAsia="Calibri"/>
          <w:szCs w:val="24"/>
        </w:rPr>
        <w:t>esign</w:t>
      </w:r>
    </w:p>
    <w:p w14:paraId="4DDF276C" w14:textId="19EEF512" w:rsidR="0098258F" w:rsidRDefault="0098258F" w:rsidP="00345763">
      <w:pPr>
        <w:jc w:val="both"/>
        <w:rPr>
          <w:rFonts w:eastAsia="Calibri"/>
          <w:szCs w:val="24"/>
        </w:rPr>
      </w:pPr>
      <w:r w:rsidRPr="00ED6F9D">
        <w:rPr>
          <w:rFonts w:eastAsia="Calibri"/>
          <w:noProof/>
          <w:szCs w:val="24"/>
          <w:lang w:val="en-GB" w:eastAsia="en-GB"/>
        </w:rPr>
        <w:drawing>
          <wp:inline distT="0" distB="0" distL="0" distR="0" wp14:anchorId="42B8BA24" wp14:editId="5B4B1974">
            <wp:extent cx="4923129" cy="2105840"/>
            <wp:effectExtent l="0" t="0" r="0" b="8890"/>
            <wp:docPr id="207" name="Picture 207" descr="P5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509#yIS1"/>
                    <pic:cNvPicPr>
                      <a:picLocks noChangeAspect="1" noChangeArrowheads="1"/>
                    </pic:cNvPicPr>
                  </pic:nvPicPr>
                  <pic:blipFill rotWithShape="1">
                    <a:blip r:embed="rId17">
                      <a:extLst>
                        <a:ext uri="{28A0092B-C50C-407E-A947-70E740481C1C}">
                          <a14:useLocalDpi xmlns:a14="http://schemas.microsoft.com/office/drawing/2010/main" val="0"/>
                        </a:ext>
                      </a:extLst>
                    </a:blip>
                    <a:srcRect l="2162" r="1086" b="15009"/>
                    <a:stretch/>
                  </pic:blipFill>
                  <pic:spPr bwMode="auto">
                    <a:xfrm>
                      <a:off x="0" y="0"/>
                      <a:ext cx="5046775" cy="2158729"/>
                    </a:xfrm>
                    <a:prstGeom prst="rect">
                      <a:avLst/>
                    </a:prstGeom>
                    <a:noFill/>
                    <a:ln>
                      <a:noFill/>
                    </a:ln>
                    <a:extLst>
                      <a:ext uri="{53640926-AAD7-44D8-BBD7-CCE9431645EC}">
                        <a14:shadowObscured xmlns:a14="http://schemas.microsoft.com/office/drawing/2010/main"/>
                      </a:ext>
                    </a:extLst>
                  </pic:spPr>
                </pic:pic>
              </a:graphicData>
            </a:graphic>
          </wp:inline>
        </w:drawing>
      </w:r>
    </w:p>
    <w:p w14:paraId="7F3C83C9" w14:textId="7367A9E3" w:rsidR="0098258F" w:rsidRPr="00ED6F9D" w:rsidRDefault="0098258F" w:rsidP="00CB0654">
      <w:pPr>
        <w:pStyle w:val="TableDescription"/>
      </w:pPr>
      <w:r>
        <w:t xml:space="preserve">Abbreviations: SARS-CoV-2 </w:t>
      </w:r>
      <w:proofErr w:type="spellStart"/>
      <w:r>
        <w:t>rS</w:t>
      </w:r>
      <w:proofErr w:type="spellEnd"/>
      <w:r>
        <w:t xml:space="preserve"> = severe acute respiratory syndrome coronavirus 2 recombinant spike</w:t>
      </w:r>
      <w:r w:rsidR="00911C90">
        <w:t>.</w:t>
      </w:r>
    </w:p>
    <w:p w14:paraId="2F4585D7" w14:textId="68BB0203" w:rsidR="0011079D" w:rsidRDefault="0098258F" w:rsidP="00345763">
      <w:pPr>
        <w:rPr>
          <w:rFonts w:eastAsia="Calibri"/>
          <w:szCs w:val="24"/>
        </w:rPr>
      </w:pPr>
      <w:r w:rsidRPr="00ED6F9D">
        <w:rPr>
          <w:rFonts w:eastAsia="Calibri"/>
          <w:szCs w:val="24"/>
        </w:rPr>
        <w:t>Immunogenicity assessments comprised serum anti-</w:t>
      </w:r>
      <w:r>
        <w:rPr>
          <w:rFonts w:eastAsia="Calibri"/>
          <w:szCs w:val="24"/>
        </w:rPr>
        <w:t>spike</w:t>
      </w:r>
      <w:r w:rsidRPr="00ED6F9D">
        <w:rPr>
          <w:rFonts w:eastAsia="Calibri"/>
          <w:szCs w:val="24"/>
        </w:rPr>
        <w:t xml:space="preserve"> protein binding IgG, angiotensin</w:t>
      </w:r>
      <w:r w:rsidR="008B5778">
        <w:rPr>
          <w:rFonts w:eastAsia="Calibri"/>
          <w:szCs w:val="24"/>
        </w:rPr>
        <w:t xml:space="preserve"> </w:t>
      </w:r>
      <w:r w:rsidRPr="00ED6F9D">
        <w:rPr>
          <w:rFonts w:eastAsia="Calibri"/>
          <w:szCs w:val="24"/>
        </w:rPr>
        <w:t xml:space="preserve">converting enzyme 2 (ACE2) receptor binding inhibition, </w:t>
      </w:r>
      <w:proofErr w:type="spellStart"/>
      <w:r>
        <w:rPr>
          <w:rFonts w:eastAsia="Calibri"/>
          <w:szCs w:val="24"/>
        </w:rPr>
        <w:t>NAb</w:t>
      </w:r>
      <w:proofErr w:type="spellEnd"/>
      <w:r w:rsidRPr="00ED6F9D">
        <w:rPr>
          <w:rFonts w:eastAsia="Calibri"/>
          <w:szCs w:val="24"/>
        </w:rPr>
        <w:t>, and cell</w:t>
      </w:r>
      <w:r>
        <w:rPr>
          <w:rFonts w:eastAsia="Calibri"/>
          <w:szCs w:val="24"/>
        </w:rPr>
        <w:t xml:space="preserve"> </w:t>
      </w:r>
      <w:r w:rsidRPr="00ED6F9D">
        <w:rPr>
          <w:rFonts w:eastAsia="Calibri"/>
          <w:szCs w:val="24"/>
        </w:rPr>
        <w:t>mediated immunity.</w:t>
      </w:r>
      <w:r>
        <w:rPr>
          <w:rFonts w:eastAsia="Calibri"/>
          <w:szCs w:val="24"/>
        </w:rPr>
        <w:t xml:space="preserve"> </w:t>
      </w:r>
      <w:r w:rsidRPr="0098258F">
        <w:rPr>
          <w:rFonts w:eastAsia="Calibri"/>
          <w:szCs w:val="24"/>
        </w:rPr>
        <w:t>Neutralising antibody responses comparing the 18 to 59 years stratum and the 60 to 84</w:t>
      </w:r>
      <w:r w:rsidR="00CB04B9">
        <w:rPr>
          <w:rFonts w:eastAsia="Calibri"/>
          <w:szCs w:val="24"/>
        </w:rPr>
        <w:t> </w:t>
      </w:r>
      <w:r w:rsidRPr="0098258F">
        <w:rPr>
          <w:rFonts w:eastAsia="Calibri"/>
          <w:szCs w:val="24"/>
        </w:rPr>
        <w:t>years stratum</w:t>
      </w:r>
      <w:r>
        <w:rPr>
          <w:rFonts w:eastAsia="Calibri"/>
          <w:szCs w:val="24"/>
        </w:rPr>
        <w:t xml:space="preserve"> (see </w:t>
      </w:r>
      <w:r w:rsidR="0036797E">
        <w:rPr>
          <w:rFonts w:eastAsia="Calibri"/>
          <w:szCs w:val="24"/>
        </w:rPr>
        <w:fldChar w:fldCharType="begin" w:fldLock="1"/>
      </w:r>
      <w:r w:rsidR="0036797E">
        <w:rPr>
          <w:rFonts w:eastAsia="Calibri"/>
          <w:szCs w:val="24"/>
        </w:rPr>
        <w:instrText xml:space="preserve"> REF _Ref92399153 \h </w:instrText>
      </w:r>
      <w:r w:rsidR="00CB04B9">
        <w:rPr>
          <w:rFonts w:eastAsia="Calibri"/>
          <w:szCs w:val="24"/>
        </w:rPr>
        <w:instrText xml:space="preserve"> \* MERGEFORMAT </w:instrText>
      </w:r>
      <w:r w:rsidR="0036797E">
        <w:rPr>
          <w:rFonts w:eastAsia="Calibri"/>
          <w:szCs w:val="24"/>
        </w:rPr>
      </w:r>
      <w:r w:rsidR="0036797E">
        <w:rPr>
          <w:rFonts w:eastAsia="Calibri"/>
          <w:szCs w:val="24"/>
        </w:rPr>
        <w:fldChar w:fldCharType="separate"/>
      </w:r>
      <w:r w:rsidR="00AA298B" w:rsidRPr="0036797E">
        <w:t xml:space="preserve">Table </w:t>
      </w:r>
      <w:r w:rsidR="00AA298B">
        <w:rPr>
          <w:noProof/>
        </w:rPr>
        <w:t>5</w:t>
      </w:r>
      <w:r w:rsidR="0036797E">
        <w:rPr>
          <w:rFonts w:eastAsia="Calibri"/>
          <w:szCs w:val="24"/>
        </w:rPr>
        <w:fldChar w:fldCharType="end"/>
      </w:r>
      <w:r w:rsidR="0036797E">
        <w:rPr>
          <w:rFonts w:eastAsia="Calibri"/>
          <w:szCs w:val="24"/>
        </w:rPr>
        <w:t>)</w:t>
      </w:r>
      <w:r w:rsidRPr="0098258F">
        <w:rPr>
          <w:rFonts w:eastAsia="Calibri"/>
          <w:szCs w:val="24"/>
        </w:rPr>
        <w:t>.</w:t>
      </w:r>
    </w:p>
    <w:p w14:paraId="4E2CC961" w14:textId="4BBB5579" w:rsidR="0098258F" w:rsidRDefault="0098258F" w:rsidP="00CB0654">
      <w:pPr>
        <w:pStyle w:val="TableTitle"/>
      </w:pPr>
      <w:bookmarkStart w:id="45" w:name="_Ref92399153"/>
      <w:r w:rsidRPr="0036797E">
        <w:t xml:space="preserve">Table </w:t>
      </w:r>
      <w:r w:rsidR="00344FF4">
        <w:fldChar w:fldCharType="begin"/>
      </w:r>
      <w:r w:rsidR="00344FF4">
        <w:instrText xml:space="preserve"> SEQ Table \* ARABIC </w:instrText>
      </w:r>
      <w:r w:rsidR="00344FF4">
        <w:fldChar w:fldCharType="separate"/>
      </w:r>
      <w:r w:rsidR="00C41FF6">
        <w:rPr>
          <w:noProof/>
        </w:rPr>
        <w:t>5</w:t>
      </w:r>
      <w:r w:rsidR="00344FF4">
        <w:rPr>
          <w:noProof/>
        </w:rPr>
        <w:fldChar w:fldCharType="end"/>
      </w:r>
      <w:bookmarkEnd w:id="45"/>
      <w:r>
        <w:t>: Study 2019nCoV-101 Part two</w:t>
      </w:r>
      <w:r w:rsidR="0036797E">
        <w:t>, c</w:t>
      </w:r>
      <w:r w:rsidRPr="0098258F">
        <w:t xml:space="preserve">omparison of </w:t>
      </w:r>
      <w:r>
        <w:t>n</w:t>
      </w:r>
      <w:r w:rsidRPr="0098258F">
        <w:t xml:space="preserve">eutralising </w:t>
      </w:r>
      <w:r w:rsidR="0036797E">
        <w:t>a</w:t>
      </w:r>
      <w:r w:rsidRPr="0098258F">
        <w:t xml:space="preserve">ntibodies </w:t>
      </w:r>
      <w:r w:rsidR="0036797E">
        <w:t>s</w:t>
      </w:r>
      <w:r w:rsidRPr="0098258F">
        <w:t xml:space="preserve">pecific for SARS-CoV-2 </w:t>
      </w:r>
      <w:r w:rsidR="0036797E">
        <w:t>w</w:t>
      </w:r>
      <w:r w:rsidRPr="0098258F">
        <w:t>ild</w:t>
      </w:r>
      <w:r w:rsidR="0036797E">
        <w:t xml:space="preserve"> t</w:t>
      </w:r>
      <w:r w:rsidRPr="0098258F">
        <w:t xml:space="preserve">ype </w:t>
      </w:r>
      <w:r w:rsidR="0036797E">
        <w:t>v</w:t>
      </w:r>
      <w:r w:rsidRPr="0098258F">
        <w:t xml:space="preserve">irus </w:t>
      </w:r>
      <w:r w:rsidR="0036797E">
        <w:t>f</w:t>
      </w:r>
      <w:r w:rsidRPr="0098258F">
        <w:t xml:space="preserve">ollowing </w:t>
      </w:r>
      <w:r w:rsidR="0036797E">
        <w:t>v</w:t>
      </w:r>
      <w:r w:rsidRPr="0098258F">
        <w:t xml:space="preserve">accination with SARS-CoV-2 </w:t>
      </w:r>
      <w:proofErr w:type="spellStart"/>
      <w:r w:rsidRPr="0098258F">
        <w:t>rS</w:t>
      </w:r>
      <w:proofErr w:type="spellEnd"/>
      <w:r w:rsidRPr="0098258F">
        <w:t xml:space="preserve"> and </w:t>
      </w:r>
      <w:r w:rsidR="006F5F10">
        <w:t>Matrix-M</w:t>
      </w:r>
      <w:r w:rsidRPr="0098258F">
        <w:t xml:space="preserve"> </w:t>
      </w:r>
      <w:r w:rsidR="0036797E">
        <w:t>a</w:t>
      </w:r>
      <w:r w:rsidRPr="0098258F">
        <w:t xml:space="preserve">djuvant </w:t>
      </w:r>
      <w:r w:rsidR="0036797E">
        <w:t>r</w:t>
      </w:r>
      <w:r w:rsidRPr="0098258F">
        <w:t xml:space="preserve">egardless of </w:t>
      </w:r>
      <w:r w:rsidR="0036797E">
        <w:t>b</w:t>
      </w:r>
      <w:r w:rsidRPr="0098258F">
        <w:t xml:space="preserve">aseline </w:t>
      </w:r>
      <w:r w:rsidR="0036797E">
        <w:t>s</w:t>
      </w:r>
      <w:r w:rsidRPr="0098258F">
        <w:t xml:space="preserve">erostatus in </w:t>
      </w:r>
      <w:r w:rsidR="0036797E">
        <w:t>s</w:t>
      </w:r>
      <w:r w:rsidRPr="0098258F">
        <w:t xml:space="preserve">ubjects 18 to 59 </w:t>
      </w:r>
      <w:r w:rsidR="0036797E">
        <w:t>y</w:t>
      </w:r>
      <w:r w:rsidRPr="0098258F">
        <w:t xml:space="preserve">ears of </w:t>
      </w:r>
      <w:r w:rsidR="0036797E">
        <w:t>a</w:t>
      </w:r>
      <w:r w:rsidRPr="0098258F">
        <w:t xml:space="preserve">ge and 60 to 84 </w:t>
      </w:r>
      <w:r w:rsidR="0036797E">
        <w:t>y</w:t>
      </w:r>
      <w:r w:rsidRPr="0098258F">
        <w:t xml:space="preserve">ears of </w:t>
      </w:r>
      <w:r w:rsidR="0036797E">
        <w:t>a</w:t>
      </w:r>
      <w:r w:rsidRPr="0098258F">
        <w:t>ge (</w:t>
      </w:r>
      <w:r w:rsidR="0036797E">
        <w:t>per protocol</w:t>
      </w:r>
      <w:r w:rsidRPr="0098258F">
        <w:t xml:space="preserve"> </w:t>
      </w:r>
      <w:r w:rsidR="0036797E">
        <w:t>a</w:t>
      </w:r>
      <w:r w:rsidRPr="0098258F">
        <w:t xml:space="preserve">nalysis </w:t>
      </w:r>
      <w:r w:rsidR="0036797E">
        <w:t>s</w:t>
      </w:r>
      <w:r w:rsidRPr="0098258F">
        <w:t>et</w:t>
      </w:r>
      <w:r w:rsidR="0036797E">
        <w:t>)</w:t>
      </w:r>
    </w:p>
    <w:p w14:paraId="3F0E476C" w14:textId="41119310" w:rsidR="0036797E" w:rsidRDefault="0036797E" w:rsidP="00345763">
      <w:r w:rsidRPr="00ED6F9D">
        <w:rPr>
          <w:rFonts w:eastAsia="Calibri"/>
          <w:noProof/>
          <w:szCs w:val="24"/>
          <w:lang w:val="en-GB" w:eastAsia="en-GB"/>
        </w:rPr>
        <w:drawing>
          <wp:inline distT="0" distB="0" distL="0" distR="0" wp14:anchorId="1BDE2264" wp14:editId="5FB40C87">
            <wp:extent cx="5369342" cy="1984075"/>
            <wp:effectExtent l="0" t="0" r="3175" b="0"/>
            <wp:docPr id="209" name="Picture 209" descr="P5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513#yIS1"/>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l="1311" r="1000" b="23067"/>
                    <a:stretch/>
                  </pic:blipFill>
                  <pic:spPr bwMode="auto">
                    <a:xfrm>
                      <a:off x="0" y="0"/>
                      <a:ext cx="5407154" cy="1998047"/>
                    </a:xfrm>
                    <a:prstGeom prst="rect">
                      <a:avLst/>
                    </a:prstGeom>
                    <a:noFill/>
                    <a:ln>
                      <a:noFill/>
                    </a:ln>
                    <a:extLst>
                      <a:ext uri="{53640926-AAD7-44D8-BBD7-CCE9431645EC}">
                        <a14:shadowObscured xmlns:a14="http://schemas.microsoft.com/office/drawing/2010/main"/>
                      </a:ext>
                    </a:extLst>
                  </pic:spPr>
                </pic:pic>
              </a:graphicData>
            </a:graphic>
          </wp:inline>
        </w:drawing>
      </w:r>
    </w:p>
    <w:p w14:paraId="5A43A261" w14:textId="2EA89191" w:rsidR="001F0C95" w:rsidRDefault="001F0C95" w:rsidP="00CB0654">
      <w:pPr>
        <w:pStyle w:val="TableDescription"/>
      </w:pPr>
      <w:r>
        <w:t xml:space="preserve">Abbreviations: GMT = geometric mean titre; SARS-CoV-2 </w:t>
      </w:r>
      <w:proofErr w:type="spellStart"/>
      <w:r>
        <w:t>rS</w:t>
      </w:r>
      <w:proofErr w:type="spellEnd"/>
      <w:r>
        <w:t xml:space="preserve"> = severe acute respiratory syndrome recombinant spike protein nano particle vaccine; SCR = seroconversion</w:t>
      </w:r>
    </w:p>
    <w:p w14:paraId="59921431" w14:textId="5E63F0BB" w:rsidR="00F914B3" w:rsidRDefault="00F914B3" w:rsidP="00CB0654">
      <w:pPr>
        <w:pStyle w:val="TableDescription"/>
      </w:pPr>
      <w:r>
        <w:t>Note: Group B = 5/50 µg x 2; Group D = 25/50 µg x 2</w:t>
      </w:r>
    </w:p>
    <w:p w14:paraId="6EA48B99" w14:textId="7CD1B6BD" w:rsidR="00F914B3" w:rsidRDefault="00F914B3" w:rsidP="00345763">
      <w:r w:rsidRPr="00F914B3">
        <w:t>Overall, it can be concluded that the interim results obtained in Study 2019nCoV-101 Part</w:t>
      </w:r>
      <w:r w:rsidR="00CB04B9">
        <w:t> </w:t>
      </w:r>
      <w:r w:rsidRPr="00F914B3">
        <w:t>two provide further support for the inclusion of the adjuvant and administration of a second dose, with again no apparent advantage for 25 v</w:t>
      </w:r>
      <w:r>
        <w:t>ersu</w:t>
      </w:r>
      <w:r w:rsidRPr="00F914B3">
        <w:t xml:space="preserve">s 5 </w:t>
      </w:r>
      <w:proofErr w:type="spellStart"/>
      <w:r w:rsidRPr="00F914B3">
        <w:t>μg</w:t>
      </w:r>
      <w:proofErr w:type="spellEnd"/>
      <w:r w:rsidRPr="00F914B3">
        <w:t xml:space="preserve"> antigen doses in the adjuvanted formulations. The humoral immune response analyses by age subgroup show a potent response in both age groups, although the magnitude of the response was consistently lower in the older age stratum. The final CSR should be made available as soon as possible to further evaluate the effect of age on the kinetics, amplitude or durability of vaccine</w:t>
      </w:r>
      <w:r>
        <w:t xml:space="preserve"> </w:t>
      </w:r>
      <w:r w:rsidRPr="00F914B3">
        <w:t>induced immune responses.</w:t>
      </w:r>
    </w:p>
    <w:p w14:paraId="3F1BE1BE" w14:textId="116A351B" w:rsidR="00F914B3" w:rsidRDefault="00F914B3" w:rsidP="00345763">
      <w:pPr>
        <w:pStyle w:val="Heading5"/>
        <w:keepNext w:val="0"/>
        <w:keepLines w:val="0"/>
      </w:pPr>
      <w:r>
        <w:t xml:space="preserve">Main </w:t>
      </w:r>
      <w:r w:rsidR="00421EC2">
        <w:t>i</w:t>
      </w:r>
      <w:r>
        <w:t>mmunogenicity studies</w:t>
      </w:r>
    </w:p>
    <w:p w14:paraId="1C57A338" w14:textId="02063D2D" w:rsidR="00F914B3" w:rsidRDefault="00F914B3" w:rsidP="00345763">
      <w:pPr>
        <w:pStyle w:val="Heading6"/>
        <w:keepNext w:val="0"/>
      </w:pPr>
      <w:r>
        <w:t>Study 2019nCoV-301</w:t>
      </w:r>
    </w:p>
    <w:p w14:paraId="691D569C" w14:textId="602B9FD3" w:rsidR="00F914B3" w:rsidRDefault="00F914B3" w:rsidP="00345763">
      <w:r w:rsidRPr="00F914B3">
        <w:t>Study 2019nCoV-301</w:t>
      </w:r>
      <w:r>
        <w:t xml:space="preserve"> is an </w:t>
      </w:r>
      <w:r w:rsidRPr="00CB04B9">
        <w:t>ongoing</w:t>
      </w:r>
      <w:r>
        <w:t xml:space="preserve"> Phase III, multicentre, randomised, observer blinded, placebo controlled study in subjects 18 years of age and older in United States and Mexico. </w:t>
      </w:r>
      <w:r>
        <w:lastRenderedPageBreak/>
        <w:t>Upon enrolment, subjects were stratified by age (18 to 64 years and ≥</w:t>
      </w:r>
      <w:r w:rsidR="00B109AB">
        <w:t> </w:t>
      </w:r>
      <w:r>
        <w:t xml:space="preserve">65 years) and assigned in a 2:1 ratio to receive </w:t>
      </w:r>
      <w:proofErr w:type="spellStart"/>
      <w:r>
        <w:t>Nuva</w:t>
      </w:r>
      <w:r w:rsidR="00420FF7">
        <w:t>xovid</w:t>
      </w:r>
      <w:proofErr w:type="spellEnd"/>
      <w:r>
        <w:t xml:space="preserve"> or</w:t>
      </w:r>
      <w:r w:rsidR="00420FF7">
        <w:t xml:space="preserve"> the</w:t>
      </w:r>
      <w:r>
        <w:t xml:space="preserve"> placebo.</w:t>
      </w:r>
    </w:p>
    <w:p w14:paraId="25909283" w14:textId="3499D304" w:rsidR="00F914B3" w:rsidRDefault="00F914B3" w:rsidP="00345763">
      <w:r>
        <w:t>The main immunogenicity related endpoints were the analysis of antibodies binding to the SARS-CoV-2 S protein by ELISA, and SARS-CoV-2 neutralisation, both at Day 0 (</w:t>
      </w:r>
      <w:r w:rsidR="00420FF7">
        <w:t>B</w:t>
      </w:r>
      <w:r>
        <w:t>aseline) and Day 35 (</w:t>
      </w:r>
      <w:r w:rsidR="00421EC2">
        <w:t xml:space="preserve">that is </w:t>
      </w:r>
      <w:r>
        <w:t xml:space="preserve">14 days after second </w:t>
      </w:r>
      <w:r w:rsidR="00420FF7">
        <w:t>dose</w:t>
      </w:r>
      <w:r>
        <w:t>).</w:t>
      </w:r>
    </w:p>
    <w:p w14:paraId="36517E63" w14:textId="0C4111E7" w:rsidR="00F914B3" w:rsidRDefault="00F914B3" w:rsidP="00345763">
      <w:r>
        <w:t xml:space="preserve">Demographics and baseline characteristics of subjects in the </w:t>
      </w:r>
      <w:r w:rsidR="00420FF7" w:rsidRPr="00420FF7">
        <w:t>per-protocol immunogenicity</w:t>
      </w:r>
      <w:r>
        <w:t xml:space="preserve"> </w:t>
      </w:r>
      <w:r w:rsidR="00420FF7">
        <w:t>a</w:t>
      </w:r>
      <w:r>
        <w:t xml:space="preserve">nalysis </w:t>
      </w:r>
      <w:r w:rsidR="00420FF7">
        <w:t>s</w:t>
      </w:r>
      <w:r>
        <w:t xml:space="preserve">et were well balanced between the </w:t>
      </w:r>
      <w:proofErr w:type="spellStart"/>
      <w:r w:rsidR="00420FF7">
        <w:t>Nuvaxovid</w:t>
      </w:r>
      <w:proofErr w:type="spellEnd"/>
      <w:r>
        <w:t xml:space="preserve"> and placebo groups. Median age</w:t>
      </w:r>
      <w:r w:rsidR="00420FF7">
        <w:t xml:space="preserve"> </w:t>
      </w:r>
      <w:r>
        <w:t>was 65 years</w:t>
      </w:r>
      <w:r w:rsidR="00420FF7">
        <w:t xml:space="preserve"> old</w:t>
      </w:r>
      <w:r>
        <w:t xml:space="preserve"> (</w:t>
      </w:r>
      <w:r w:rsidR="00420FF7">
        <w:t xml:space="preserve">range: </w:t>
      </w:r>
      <w:r>
        <w:t>18 to 95 years), with approximately 50% of subjects ≥</w:t>
      </w:r>
      <w:r w:rsidR="00B109AB">
        <w:t> </w:t>
      </w:r>
      <w:r>
        <w:t>65 years of age. Approximately half the subjects were male (50.1%), while the majority (79.1%) was White, not of Hispanic or Latino origin (80.7%), and located in the United States (93.0%). Black or African Americans (9.9%), American Indians or Alaska Natives (6.2%), and Asians (3.3%) were well represented. The majority of subjects were overweight or obese (74.3%), with more than a third being obese (38.2%).</w:t>
      </w:r>
    </w:p>
    <w:p w14:paraId="6F6A6AC9" w14:textId="6032B870" w:rsidR="00F914B3" w:rsidRDefault="00F914B3" w:rsidP="00345763">
      <w:r>
        <w:t xml:space="preserve">At </w:t>
      </w:r>
      <w:r w:rsidR="0049731C">
        <w:t>two</w:t>
      </w:r>
      <w:r>
        <w:t xml:space="preserve"> weeks following second </w:t>
      </w:r>
      <w:r w:rsidR="0049731C">
        <w:t>dose of vaccination</w:t>
      </w:r>
      <w:r>
        <w:t xml:space="preserve"> (Day 35), serum IgG antibody geometric mean ELISA units (GMEUs) in the </w:t>
      </w:r>
      <w:proofErr w:type="spellStart"/>
      <w:r w:rsidR="0049731C">
        <w:t>Nuvaxovid</w:t>
      </w:r>
      <w:proofErr w:type="spellEnd"/>
      <w:r>
        <w:t xml:space="preserve"> group were markedly increased relative to placebo across all age groups (48918 v</w:t>
      </w:r>
      <w:r w:rsidR="0049731C">
        <w:t>ersu</w:t>
      </w:r>
      <w:r>
        <w:t>s 128, respectively, for subjects ≥</w:t>
      </w:r>
      <w:r w:rsidR="0049731C">
        <w:t> </w:t>
      </w:r>
      <w:r>
        <w:t>18</w:t>
      </w:r>
      <w:r w:rsidR="00CB04B9">
        <w:t> </w:t>
      </w:r>
      <w:r>
        <w:t>years of age; 63890.4 v</w:t>
      </w:r>
      <w:r w:rsidR="0049731C">
        <w:t>ersu</w:t>
      </w:r>
      <w:r>
        <w:t>s 121.9 for subjects 18 to &lt;</w:t>
      </w:r>
      <w:r w:rsidR="0049731C">
        <w:t> </w:t>
      </w:r>
      <w:r>
        <w:t>65 years of age; and 37594.3</w:t>
      </w:r>
      <w:r w:rsidR="00CB04B9">
        <w:t> </w:t>
      </w:r>
      <w:r>
        <w:t>v</w:t>
      </w:r>
      <w:r w:rsidR="0049731C">
        <w:t>ersu</w:t>
      </w:r>
      <w:r>
        <w:t>s 134.1 for subjects ≥</w:t>
      </w:r>
      <w:r w:rsidR="0049731C">
        <w:t> </w:t>
      </w:r>
      <w:r>
        <w:t>65 years of age) with no evidence of placebo response. Serum anti-</w:t>
      </w:r>
      <w:r w:rsidR="0049731C">
        <w:t>spike protein</w:t>
      </w:r>
      <w:r>
        <w:t xml:space="preserve"> IgG </w:t>
      </w:r>
      <w:r w:rsidR="0049731C">
        <w:t>geometric mean titres (</w:t>
      </w:r>
      <w:r>
        <w:t>GMT</w:t>
      </w:r>
      <w:r w:rsidR="0049731C">
        <w:t>)</w:t>
      </w:r>
      <w:r>
        <w:t xml:space="preserve"> in the </w:t>
      </w:r>
      <w:proofErr w:type="spellStart"/>
      <w:r w:rsidR="0049731C">
        <w:t>Nuvaxovid</w:t>
      </w:r>
      <w:proofErr w:type="spellEnd"/>
      <w:r>
        <w:t xml:space="preserve"> group were approximately 1.7</w:t>
      </w:r>
      <w:r w:rsidR="0049731C">
        <w:t xml:space="preserve"> </w:t>
      </w:r>
      <w:r>
        <w:t>fold higher in the younger age cohort (18 to &lt;</w:t>
      </w:r>
      <w:r w:rsidR="0049731C">
        <w:t> </w:t>
      </w:r>
      <w:r>
        <w:t>65 years) than in the older age cohort (≥</w:t>
      </w:r>
      <w:r w:rsidR="0049731C">
        <w:t> </w:t>
      </w:r>
      <w:r>
        <w:t xml:space="preserve">65 years). </w:t>
      </w:r>
      <w:r w:rsidR="0049731C">
        <w:t>Seroconversion</w:t>
      </w:r>
      <w:r w:rsidR="00D269B3">
        <w:t xml:space="preserve"> rates </w:t>
      </w:r>
      <w:r w:rsidR="0049731C">
        <w:t>(</w:t>
      </w:r>
      <w:r>
        <w:t>SCR</w:t>
      </w:r>
      <w:r w:rsidR="0049731C">
        <w:t>)</w:t>
      </w:r>
      <w:r>
        <w:t xml:space="preserve"> in the </w:t>
      </w:r>
      <w:proofErr w:type="spellStart"/>
      <w:r w:rsidR="0049731C">
        <w:t>Nuvaxovid</w:t>
      </w:r>
      <w:proofErr w:type="spellEnd"/>
      <w:r>
        <w:t xml:space="preserve"> groups also were markedly increased relative to placebo across all age groups (97.3%</w:t>
      </w:r>
      <w:r w:rsidR="00CB04B9">
        <w:t> </w:t>
      </w:r>
      <w:r>
        <w:t>v</w:t>
      </w:r>
      <w:r w:rsidR="0049731C">
        <w:t>ersus</w:t>
      </w:r>
      <w:r>
        <w:t xml:space="preserve"> 4.5% for subjects ≥</w:t>
      </w:r>
      <w:r w:rsidR="0049731C">
        <w:t> </w:t>
      </w:r>
      <w:r>
        <w:t>18 years of age; 98% v</w:t>
      </w:r>
      <w:r w:rsidR="0049731C">
        <w:t>ersu</w:t>
      </w:r>
      <w:r>
        <w:t>s 3.7% for subjects 18 to &lt;</w:t>
      </w:r>
      <w:r w:rsidR="0049731C">
        <w:t> </w:t>
      </w:r>
      <w:r>
        <w:t>65 years of age; and 96.6% v</w:t>
      </w:r>
      <w:r w:rsidR="0049731C">
        <w:t>ersu</w:t>
      </w:r>
      <w:r>
        <w:t>s 5.3% for subjects ≥</w:t>
      </w:r>
      <w:r w:rsidR="0049731C">
        <w:t> </w:t>
      </w:r>
      <w:r>
        <w:t>65 years of age).</w:t>
      </w:r>
    </w:p>
    <w:p w14:paraId="608FA484" w14:textId="1C1CB95A" w:rsidR="00F914B3" w:rsidRDefault="00F914B3" w:rsidP="00345763">
      <w:r>
        <w:t>Serum anti-</w:t>
      </w:r>
      <w:r w:rsidR="0049731C">
        <w:t>spike protein</w:t>
      </w:r>
      <w:r>
        <w:t xml:space="preserve"> IgG levels at Day 35 in both serologically negative and serologically positive adult subjects were increased relative to placebo and showed similar patterns of response, with higher levels in the placebo group in serologically positive adult subjects. In baseline seropositive individuals, GMTs at </w:t>
      </w:r>
      <w:r w:rsidR="0049731C">
        <w:t>B</w:t>
      </w:r>
      <w:r>
        <w:t>aseline were 7541 and 3062.2</w:t>
      </w:r>
      <w:r w:rsidR="00CB04B9">
        <w:t> </w:t>
      </w:r>
      <w:r w:rsidR="00EA2CA6">
        <w:t>ELISA unit</w:t>
      </w:r>
      <w:r w:rsidR="00CB04B9">
        <w:t>s</w:t>
      </w:r>
      <w:r>
        <w:t xml:space="preserve">/mL in the placebo and </w:t>
      </w:r>
      <w:proofErr w:type="spellStart"/>
      <w:r w:rsidR="00EA2CA6">
        <w:t>Nuvaxovid</w:t>
      </w:r>
      <w:proofErr w:type="spellEnd"/>
      <w:r>
        <w:t xml:space="preserve"> group, compared to 6174.6 and 119620.4 E</w:t>
      </w:r>
      <w:r w:rsidR="00CB04B9">
        <w:t>LISA units</w:t>
      </w:r>
      <w:r>
        <w:t>/mL at Day 35.</w:t>
      </w:r>
    </w:p>
    <w:p w14:paraId="4783EDF4" w14:textId="34778384" w:rsidR="00F914B3" w:rsidRDefault="00F914B3" w:rsidP="00345763">
      <w:r>
        <w:t>Neutralising antibody levels in serologically negative adult subjects at Day 35 (</w:t>
      </w:r>
      <w:r w:rsidR="00EA30B0">
        <w:t xml:space="preserve">see </w:t>
      </w:r>
      <w:r w:rsidR="00CB04B9">
        <w:fldChar w:fldCharType="begin" w:fldLock="1"/>
      </w:r>
      <w:r w:rsidR="00CB04B9">
        <w:instrText xml:space="preserve"> REF _Ref92437570 \h </w:instrText>
      </w:r>
      <w:r w:rsidR="00CB04B9">
        <w:fldChar w:fldCharType="separate"/>
      </w:r>
      <w:r w:rsidR="00AA298B">
        <w:t xml:space="preserve">Table </w:t>
      </w:r>
      <w:r w:rsidR="00AA298B">
        <w:rPr>
          <w:noProof/>
        </w:rPr>
        <w:t>6</w:t>
      </w:r>
      <w:r w:rsidR="00CB04B9">
        <w:fldChar w:fldCharType="end"/>
      </w:r>
      <w:r>
        <w:t>) were increased relative to placebo across all age groups: ≥</w:t>
      </w:r>
      <w:r w:rsidR="00EA2CA6">
        <w:t> </w:t>
      </w:r>
      <w:r>
        <w:t>18 years of age, 18 to &lt;</w:t>
      </w:r>
      <w:r w:rsidR="00EA2CA6">
        <w:t> </w:t>
      </w:r>
      <w:r>
        <w:t>65 years, and ≥</w:t>
      </w:r>
      <w:r w:rsidR="00EA2CA6">
        <w:t> </w:t>
      </w:r>
      <w:r>
        <w:t>65 years of age.</w:t>
      </w:r>
    </w:p>
    <w:p w14:paraId="3D1E340A" w14:textId="6E4C3A70" w:rsidR="00EA2CA6" w:rsidRDefault="00EA2CA6" w:rsidP="00AE4E44">
      <w:pPr>
        <w:pStyle w:val="TableTitle"/>
        <w:pageBreakBefore/>
      </w:pPr>
      <w:bookmarkStart w:id="46" w:name="_Ref92437570"/>
      <w:r>
        <w:lastRenderedPageBreak/>
        <w:t xml:space="preserve">Table </w:t>
      </w:r>
      <w:r w:rsidR="00344FF4">
        <w:fldChar w:fldCharType="begin"/>
      </w:r>
      <w:r w:rsidR="00344FF4">
        <w:instrText xml:space="preserve"> SEQ Table \* ARABIC </w:instrText>
      </w:r>
      <w:r w:rsidR="00344FF4">
        <w:fldChar w:fldCharType="separate"/>
      </w:r>
      <w:r w:rsidR="00C41FF6">
        <w:rPr>
          <w:noProof/>
        </w:rPr>
        <w:t>6</w:t>
      </w:r>
      <w:r w:rsidR="00344FF4">
        <w:rPr>
          <w:noProof/>
        </w:rPr>
        <w:fldChar w:fldCharType="end"/>
      </w:r>
      <w:bookmarkEnd w:id="46"/>
      <w:r>
        <w:t xml:space="preserve">: </w:t>
      </w:r>
      <w:r w:rsidR="00F72B87">
        <w:t xml:space="preserve">Study 2019nCoV-101 </w:t>
      </w:r>
      <w:r w:rsidRPr="00EA2CA6">
        <w:t xml:space="preserve">Summary on neutralising antibodies for SARS-COV-2 wild-type virus at </w:t>
      </w:r>
      <w:r>
        <w:t>D</w:t>
      </w:r>
      <w:r w:rsidRPr="00EA2CA6">
        <w:t>ay</w:t>
      </w:r>
      <w:r>
        <w:t> </w:t>
      </w:r>
      <w:r w:rsidRPr="00EA2CA6">
        <w:t>0 (</w:t>
      </w:r>
      <w:r>
        <w:t>B</w:t>
      </w:r>
      <w:r w:rsidRPr="00EA2CA6">
        <w:t xml:space="preserve">aseline) and </w:t>
      </w:r>
      <w:r>
        <w:t>D</w:t>
      </w:r>
      <w:r w:rsidRPr="00EA2CA6">
        <w:t>ay</w:t>
      </w:r>
      <w:r>
        <w:t> </w:t>
      </w:r>
      <w:r w:rsidRPr="00EA2CA6">
        <w:t xml:space="preserve">35 (14 days after second </w:t>
      </w:r>
      <w:r>
        <w:t>dose</w:t>
      </w:r>
      <w:r w:rsidRPr="00EA2CA6">
        <w:t>) in serologically negative subjects by age groups (</w:t>
      </w:r>
      <w:r>
        <w:t>per protocol i</w:t>
      </w:r>
      <w:r w:rsidRPr="00EA2CA6">
        <w:t>mmunogenicity analysis set)</w:t>
      </w:r>
    </w:p>
    <w:p w14:paraId="7568FBB3" w14:textId="28093243" w:rsidR="00EA2CA6" w:rsidRDefault="00EA2CA6" w:rsidP="00345763">
      <w:r>
        <w:rPr>
          <w:noProof/>
          <w:lang w:val="en-GB" w:eastAsia="en-GB"/>
        </w:rPr>
        <w:drawing>
          <wp:inline distT="0" distB="0" distL="0" distR="0" wp14:anchorId="1A8C3E0B" wp14:editId="69C9392A">
            <wp:extent cx="5347880" cy="2493034"/>
            <wp:effectExtent l="0" t="0" r="5715" b="2540"/>
            <wp:docPr id="210" name="Picture 210" descr="P526#yIS1"/>
            <wp:cNvGraphicFramePr/>
            <a:graphic xmlns:a="http://schemas.openxmlformats.org/drawingml/2006/main">
              <a:graphicData uri="http://schemas.openxmlformats.org/drawingml/2006/picture">
                <pic:pic xmlns:pic="http://schemas.openxmlformats.org/drawingml/2006/picture">
                  <pic:nvPicPr>
                    <pic:cNvPr id="210" name="Picture 210" descr="P526#yIS1"/>
                    <pic:cNvPicPr/>
                  </pic:nvPicPr>
                  <pic:blipFill rotWithShape="1">
                    <a:blip r:embed="rId19">
                      <a:lum bright="-20000" contrast="40000"/>
                      <a:extLst>
                        <a:ext uri="{28A0092B-C50C-407E-A947-70E740481C1C}">
                          <a14:useLocalDpi xmlns:a14="http://schemas.microsoft.com/office/drawing/2010/main" val="0"/>
                        </a:ext>
                      </a:extLst>
                    </a:blip>
                    <a:srcRect l="558" t="2292" r="2649" b="27329"/>
                    <a:stretch/>
                  </pic:blipFill>
                  <pic:spPr bwMode="auto">
                    <a:xfrm>
                      <a:off x="0" y="0"/>
                      <a:ext cx="5411332" cy="2522614"/>
                    </a:xfrm>
                    <a:prstGeom prst="rect">
                      <a:avLst/>
                    </a:prstGeom>
                    <a:noFill/>
                    <a:ln>
                      <a:noFill/>
                    </a:ln>
                    <a:extLst>
                      <a:ext uri="{53640926-AAD7-44D8-BBD7-CCE9431645EC}">
                        <a14:shadowObscured xmlns:a14="http://schemas.microsoft.com/office/drawing/2010/main"/>
                      </a:ext>
                    </a:extLst>
                  </pic:spPr>
                </pic:pic>
              </a:graphicData>
            </a:graphic>
          </wp:inline>
        </w:drawing>
      </w:r>
    </w:p>
    <w:p w14:paraId="15D235BA" w14:textId="29E82291" w:rsidR="00EB0B67" w:rsidRDefault="00EA2CA6" w:rsidP="00CB0654">
      <w:pPr>
        <w:pStyle w:val="TableDescription"/>
      </w:pPr>
      <w:r>
        <w:t xml:space="preserve">Abbreviations: CI = confidence interval; GMFR = geometric mean fold rise; GMT = geometric mean titre; LLOQ = lower </w:t>
      </w:r>
      <w:r w:rsidR="00EB0B67">
        <w:t>limit of quantification; max = maximum; min = minimum; n1 = number of participants in the per protocol i</w:t>
      </w:r>
      <w:r w:rsidR="00EB0B67" w:rsidRPr="00EA2CA6">
        <w:t>mmunogenicity analysis set</w:t>
      </w:r>
      <w:r w:rsidR="00EB0B67">
        <w:t xml:space="preserve"> with non-missing data at visit, n2 = number of participant in the per protocol i</w:t>
      </w:r>
      <w:r w:rsidR="00EB0B67" w:rsidRPr="00EA2CA6">
        <w:t>mmunogenicity analysis set</w:t>
      </w:r>
      <w:r w:rsidR="00EB0B67">
        <w:t xml:space="preserve"> with non-missing data at both the baseline and Day 35 visit, n3 = number of participants who reported ≥ 4 fold increase. Percentages were calculated based on n2 as the denominator, NVX-CoV2373 = </w:t>
      </w:r>
      <w:proofErr w:type="spellStart"/>
      <w:r w:rsidR="00EB0B67">
        <w:t>Nuvaxovid</w:t>
      </w:r>
      <w:proofErr w:type="spellEnd"/>
      <w:r w:rsidR="00EB0B67">
        <w:t xml:space="preserve">, 5 µg SARS-CoV-2 </w:t>
      </w:r>
      <w:proofErr w:type="spellStart"/>
      <w:r w:rsidR="00EB0B67">
        <w:t>rS</w:t>
      </w:r>
      <w:proofErr w:type="spellEnd"/>
      <w:r w:rsidR="00EB0B67">
        <w:t xml:space="preserve"> plus 50 µg Matrix-M adjuvant, SCR = seroconversion rate</w:t>
      </w:r>
    </w:p>
    <w:p w14:paraId="4982D3B1" w14:textId="1BA1E502" w:rsidR="00EB0B67" w:rsidRDefault="00EB0B67" w:rsidP="00CB0654">
      <w:pPr>
        <w:pStyle w:val="TableDescription"/>
      </w:pPr>
      <w:r w:rsidRPr="00B53772">
        <w:rPr>
          <w:vertAlign w:val="superscript"/>
        </w:rPr>
        <w:t>1</w:t>
      </w:r>
      <w:r>
        <w:t xml:space="preserve"> Day 0 (Baseline) was defined as the last non-missing assessment prior to study vaccine administration</w:t>
      </w:r>
    </w:p>
    <w:p w14:paraId="7566A58E" w14:textId="3EAF5339" w:rsidR="00EB0B67" w:rsidRDefault="00EB0B67" w:rsidP="00CB0654">
      <w:pPr>
        <w:pStyle w:val="TableDescription"/>
      </w:pPr>
      <w:r w:rsidRPr="00B53772">
        <w:rPr>
          <w:vertAlign w:val="superscript"/>
        </w:rPr>
        <w:t>2</w:t>
      </w:r>
      <w:r>
        <w:t xml:space="preserve"> The 95% confidence interval (CI)</w:t>
      </w:r>
      <w:r w:rsidR="00EA30B0">
        <w:t xml:space="preserve"> for GMT and GMFR were calculated based on the t-distribution of the log transformed values, then back transformed to the original scale for presentation</w:t>
      </w:r>
    </w:p>
    <w:p w14:paraId="20FE28FC" w14:textId="6AA9E241" w:rsidR="00EA30B0" w:rsidRDefault="00EA30B0" w:rsidP="00CB0654">
      <w:pPr>
        <w:pStyle w:val="TableDescription"/>
      </w:pPr>
      <w:r w:rsidRPr="00B53772">
        <w:rPr>
          <w:vertAlign w:val="superscript"/>
        </w:rPr>
        <w:t>3</w:t>
      </w:r>
      <w:r>
        <w:t xml:space="preserve"> The SCR percentage was defined as percentage of participants at each post vaccination visit with a ≥</w:t>
      </w:r>
      <w:r w:rsidR="00194781">
        <w:t> </w:t>
      </w:r>
      <w:r>
        <w:t>4</w:t>
      </w:r>
      <w:r w:rsidR="00194781">
        <w:t> </w:t>
      </w:r>
      <w:r>
        <w:t>fold rise in antibody concentration</w:t>
      </w:r>
    </w:p>
    <w:p w14:paraId="4FC99B83" w14:textId="336F0E61" w:rsidR="00EA30B0" w:rsidRDefault="00EA30B0" w:rsidP="00CB0654">
      <w:pPr>
        <w:pStyle w:val="TableDescription"/>
      </w:pPr>
      <w:r w:rsidRPr="00B53772">
        <w:rPr>
          <w:vertAlign w:val="superscript"/>
        </w:rPr>
        <w:t>4</w:t>
      </w:r>
      <w:r>
        <w:t xml:space="preserve"> The 95% CI for SCR percentage was calculated using the exact Clopper-Pearson method.</w:t>
      </w:r>
    </w:p>
    <w:p w14:paraId="7E285639" w14:textId="7C1CABAC" w:rsidR="00EA30B0" w:rsidRDefault="00EA30B0" w:rsidP="00CB0654">
      <w:pPr>
        <w:pStyle w:val="TableDescription"/>
      </w:pPr>
      <w:r>
        <w:t>Note: Titre values less than LLOQ (20) were replaced by 0.5 x LLOQ</w:t>
      </w:r>
    </w:p>
    <w:p w14:paraId="72F2F14C" w14:textId="76FB0094" w:rsidR="00EA30B0" w:rsidRDefault="00EA30B0" w:rsidP="00345763">
      <w:r w:rsidRPr="00EA30B0">
        <w:t xml:space="preserve">At </w:t>
      </w:r>
      <w:r w:rsidR="00B109AB">
        <w:t>two</w:t>
      </w:r>
      <w:r w:rsidRPr="00EA30B0">
        <w:t xml:space="preserve"> weeks following second </w:t>
      </w:r>
      <w:r>
        <w:t>dose</w:t>
      </w:r>
      <w:r w:rsidRPr="00EA30B0">
        <w:t xml:space="preserve"> in most subjects (Day 35), neutralising antibody GMTs in the </w:t>
      </w:r>
      <w:proofErr w:type="spellStart"/>
      <w:r>
        <w:t>Nuvaxovid</w:t>
      </w:r>
      <w:proofErr w:type="spellEnd"/>
      <w:r w:rsidRPr="00EA30B0">
        <w:t xml:space="preserve"> group were markedly increased relative to placebo for all subjects (1156.6 v</w:t>
      </w:r>
      <w:r>
        <w:t>ersu</w:t>
      </w:r>
      <w:r w:rsidRPr="00EA30B0">
        <w:t>s 11.8, respectively); for serologically positive subjects (3741.9 v</w:t>
      </w:r>
      <w:r>
        <w:t>ersus</w:t>
      </w:r>
      <w:r w:rsidRPr="00EA30B0">
        <w:t xml:space="preserve"> 190.3) relative to placebo; and for serologically negative subjects (1078.2 v</w:t>
      </w:r>
      <w:r>
        <w:t>ersus</w:t>
      </w:r>
      <w:r w:rsidRPr="00EA30B0">
        <w:t xml:space="preserve"> 10.7), with no evidence of placebo response (</w:t>
      </w:r>
      <w:r>
        <w:fldChar w:fldCharType="begin" w:fldLock="1"/>
      </w:r>
      <w:r>
        <w:instrText xml:space="preserve"> REF _Ref92437751 \h </w:instrText>
      </w:r>
      <w:r>
        <w:fldChar w:fldCharType="separate"/>
      </w:r>
      <w:r w:rsidR="00AA298B" w:rsidRPr="009F4FE7">
        <w:t xml:space="preserve">Table </w:t>
      </w:r>
      <w:r w:rsidR="00AA298B">
        <w:rPr>
          <w:noProof/>
        </w:rPr>
        <w:t>7</w:t>
      </w:r>
      <w:r>
        <w:fldChar w:fldCharType="end"/>
      </w:r>
      <w:r w:rsidRPr="00EA30B0">
        <w:t xml:space="preserve">). </w:t>
      </w:r>
      <w:r w:rsidR="007F08C6">
        <w:t>Neutralising antibody</w:t>
      </w:r>
      <w:r w:rsidR="007F08C6" w:rsidRPr="00EA30B0">
        <w:t xml:space="preserve"> </w:t>
      </w:r>
      <w:r w:rsidRPr="00EA30B0">
        <w:t xml:space="preserve">GMTs in the </w:t>
      </w:r>
      <w:proofErr w:type="spellStart"/>
      <w:r>
        <w:t>Nuvaxovid</w:t>
      </w:r>
      <w:proofErr w:type="spellEnd"/>
      <w:r w:rsidRPr="00EA30B0">
        <w:t xml:space="preserve"> group were approximately 3.5</w:t>
      </w:r>
      <w:r>
        <w:t xml:space="preserve"> </w:t>
      </w:r>
      <w:r w:rsidRPr="00EA30B0">
        <w:t xml:space="preserve">fold higher in the serologically positive cohort than in the serologically negative cohort. </w:t>
      </w:r>
      <w:r w:rsidR="007F08C6" w:rsidRPr="00EA30B0">
        <w:t>S</w:t>
      </w:r>
      <w:r w:rsidR="007F08C6">
        <w:t>eroconversion rates</w:t>
      </w:r>
      <w:r w:rsidR="007F08C6" w:rsidRPr="00EA30B0">
        <w:t xml:space="preserve"> </w:t>
      </w:r>
      <w:r w:rsidRPr="00EA30B0">
        <w:t xml:space="preserve">in the </w:t>
      </w:r>
      <w:proofErr w:type="spellStart"/>
      <w:r w:rsidR="00B109AB">
        <w:t>Nuvaxovid</w:t>
      </w:r>
      <w:proofErr w:type="spellEnd"/>
      <w:r w:rsidRPr="00EA30B0">
        <w:t xml:space="preserve"> group also were markedly increased relative to placebo across all baseline serostatus groups (95.5% v</w:t>
      </w:r>
      <w:r>
        <w:t>er</w:t>
      </w:r>
      <w:r w:rsidR="00B109AB">
        <w:t xml:space="preserve">sus </w:t>
      </w:r>
      <w:r w:rsidRPr="00EA30B0">
        <w:t>2.3% for serologically negative and positive subjects; 96.3% v</w:t>
      </w:r>
      <w:r>
        <w:t>ersu</w:t>
      </w:r>
      <w:r w:rsidRPr="00EA30B0">
        <w:t>s</w:t>
      </w:r>
      <w:r w:rsidR="00B109AB">
        <w:t xml:space="preserve"> </w:t>
      </w:r>
      <w:r w:rsidRPr="00EA30B0">
        <w:t>2.1% for serologically negative subjects; and 82.9% v</w:t>
      </w:r>
      <w:r>
        <w:t>ersu</w:t>
      </w:r>
      <w:r w:rsidRPr="00EA30B0">
        <w:t>s 8.3% for serologically positive subjects).</w:t>
      </w:r>
    </w:p>
    <w:p w14:paraId="2AE583A9" w14:textId="32186A32" w:rsidR="00EA30B0" w:rsidRDefault="00EA30B0" w:rsidP="00CB0654">
      <w:pPr>
        <w:pStyle w:val="TableTitle"/>
      </w:pPr>
      <w:bookmarkStart w:id="47" w:name="_Ref92437751"/>
      <w:r w:rsidRPr="009F4FE7">
        <w:lastRenderedPageBreak/>
        <w:t xml:space="preserve">Table </w:t>
      </w:r>
      <w:r w:rsidR="00344FF4">
        <w:fldChar w:fldCharType="begin"/>
      </w:r>
      <w:r w:rsidR="00344FF4">
        <w:instrText xml:space="preserve"> SEQ Table \* ARABIC </w:instrText>
      </w:r>
      <w:r w:rsidR="00344FF4">
        <w:fldChar w:fldCharType="separate"/>
      </w:r>
      <w:r w:rsidR="00C41FF6">
        <w:rPr>
          <w:noProof/>
        </w:rPr>
        <w:t>7</w:t>
      </w:r>
      <w:r w:rsidR="00344FF4">
        <w:rPr>
          <w:noProof/>
        </w:rPr>
        <w:fldChar w:fldCharType="end"/>
      </w:r>
      <w:bookmarkEnd w:id="47"/>
      <w:r>
        <w:t xml:space="preserve">: </w:t>
      </w:r>
      <w:r w:rsidR="00F72B87">
        <w:t xml:space="preserve">Study 2019nCoV-101 </w:t>
      </w:r>
      <w:r>
        <w:t xml:space="preserve">Summary of neutralising antibodies for SARS-COV-2 wild type virus at </w:t>
      </w:r>
      <w:r w:rsidR="009F4FE7">
        <w:t>D</w:t>
      </w:r>
      <w:r>
        <w:t>ay</w:t>
      </w:r>
      <w:r w:rsidR="007F08C6">
        <w:t> </w:t>
      </w:r>
      <w:r>
        <w:t>0 (</w:t>
      </w:r>
      <w:r w:rsidR="009F4FE7">
        <w:t>B</w:t>
      </w:r>
      <w:r>
        <w:t xml:space="preserve">aseline) and </w:t>
      </w:r>
      <w:r w:rsidR="009F4FE7">
        <w:t>D</w:t>
      </w:r>
      <w:r>
        <w:t xml:space="preserve">ay 35 (14 days after second </w:t>
      </w:r>
      <w:r w:rsidR="009F4FE7">
        <w:t>dose</w:t>
      </w:r>
      <w:r>
        <w:t>) in adult subjects by baseline status (</w:t>
      </w:r>
      <w:r w:rsidR="009F4FE7">
        <w:t>per protocol i</w:t>
      </w:r>
      <w:r w:rsidR="009F4FE7" w:rsidRPr="00EA2CA6">
        <w:t>mmunogenicity</w:t>
      </w:r>
      <w:r w:rsidR="009F4FE7">
        <w:t xml:space="preserve"> 2</w:t>
      </w:r>
      <w:r w:rsidR="009F4FE7" w:rsidRPr="00EA2CA6">
        <w:t xml:space="preserve"> analysis set</w:t>
      </w:r>
      <w:r w:rsidR="009F4FE7">
        <w:t>)</w:t>
      </w:r>
    </w:p>
    <w:p w14:paraId="5EFA17D3" w14:textId="726C5749" w:rsidR="009F4FE7" w:rsidRDefault="009F4FE7" w:rsidP="00345763">
      <w:r>
        <w:rPr>
          <w:noProof/>
          <w:lang w:val="en-GB" w:eastAsia="en-GB"/>
        </w:rPr>
        <w:drawing>
          <wp:inline distT="0" distB="0" distL="0" distR="0" wp14:anchorId="19E5F2CA" wp14:editId="110216B1">
            <wp:extent cx="5356225" cy="2889250"/>
            <wp:effectExtent l="0" t="0" r="0" b="6350"/>
            <wp:docPr id="211" name="Picture 211" descr="P535#yIS1"/>
            <wp:cNvGraphicFramePr/>
            <a:graphic xmlns:a="http://schemas.openxmlformats.org/drawingml/2006/main">
              <a:graphicData uri="http://schemas.openxmlformats.org/drawingml/2006/picture">
                <pic:pic xmlns:pic="http://schemas.openxmlformats.org/drawingml/2006/picture">
                  <pic:nvPicPr>
                    <pic:cNvPr id="211" name="Picture 211" descr="P535#yIS1"/>
                    <pic:cNvPicPr/>
                  </pic:nvPicPr>
                  <pic:blipFill rotWithShape="1">
                    <a:blip r:embed="rId20">
                      <a:lum bright="-20000" contrast="40000"/>
                      <a:extLst>
                        <a:ext uri="{28A0092B-C50C-407E-A947-70E740481C1C}">
                          <a14:useLocalDpi xmlns:a14="http://schemas.microsoft.com/office/drawing/2010/main" val="0"/>
                        </a:ext>
                      </a:extLst>
                    </a:blip>
                    <a:srcRect l="4525" t="1268" r="1025" b="28525"/>
                    <a:stretch/>
                  </pic:blipFill>
                  <pic:spPr bwMode="auto">
                    <a:xfrm>
                      <a:off x="0" y="0"/>
                      <a:ext cx="5395885" cy="2910643"/>
                    </a:xfrm>
                    <a:prstGeom prst="rect">
                      <a:avLst/>
                    </a:prstGeom>
                    <a:noFill/>
                    <a:ln>
                      <a:noFill/>
                    </a:ln>
                    <a:extLst>
                      <a:ext uri="{53640926-AAD7-44D8-BBD7-CCE9431645EC}">
                        <a14:shadowObscured xmlns:a14="http://schemas.microsoft.com/office/drawing/2010/main"/>
                      </a:ext>
                    </a:extLst>
                  </pic:spPr>
                </pic:pic>
              </a:graphicData>
            </a:graphic>
          </wp:inline>
        </w:drawing>
      </w:r>
    </w:p>
    <w:p w14:paraId="50F3EC81" w14:textId="75FA45FA" w:rsidR="009F4FE7" w:rsidRDefault="009F4FE7" w:rsidP="00CB0654">
      <w:pPr>
        <w:pStyle w:val="TableDescription"/>
      </w:pPr>
      <w:r>
        <w:t>Abbreviations: CI = confidence interval; GMFR = geometric mean fold rise; GMT = geometric mean titre; LLOQ = lower limit of quantification; max = maximum; min = minimum; n1 = number of participants in the per protocol i</w:t>
      </w:r>
      <w:r w:rsidRPr="00EA2CA6">
        <w:t>mmunogenicity</w:t>
      </w:r>
      <w:r>
        <w:t xml:space="preserve"> 2</w:t>
      </w:r>
      <w:r w:rsidRPr="00EA2CA6">
        <w:t xml:space="preserve"> analysis set</w:t>
      </w:r>
      <w:r>
        <w:t xml:space="preserve"> with non-missing data at visit, n2 = number of participant in the per protocol i</w:t>
      </w:r>
      <w:r w:rsidRPr="00EA2CA6">
        <w:t xml:space="preserve">mmunogenicity </w:t>
      </w:r>
      <w:r>
        <w:t xml:space="preserve">2 </w:t>
      </w:r>
      <w:r w:rsidRPr="00EA2CA6">
        <w:t>analysis set</w:t>
      </w:r>
      <w:r>
        <w:t xml:space="preserve"> with non-missing data at both the baseline and Day 35 visit, n3 = number of participants who reported ≥ 4 fold increase. Percentages were calculated based on n2 as the denominator, NVX-CoV2373 = </w:t>
      </w:r>
      <w:proofErr w:type="spellStart"/>
      <w:r>
        <w:t>Nuvaxovid</w:t>
      </w:r>
      <w:proofErr w:type="spellEnd"/>
      <w:r>
        <w:t xml:space="preserve">, 5 µg SARS-CoV-2 </w:t>
      </w:r>
      <w:proofErr w:type="spellStart"/>
      <w:r>
        <w:t>rS</w:t>
      </w:r>
      <w:proofErr w:type="spellEnd"/>
      <w:r>
        <w:t xml:space="preserve"> plus 50 µg Matrix-M adjuvant, SCR = seroconversion rate</w:t>
      </w:r>
    </w:p>
    <w:p w14:paraId="57D7EA08" w14:textId="46876033" w:rsidR="009F4FE7" w:rsidRDefault="009F4FE7" w:rsidP="00CB0654">
      <w:pPr>
        <w:pStyle w:val="TableDescription"/>
      </w:pPr>
      <w:r w:rsidRPr="00B53772">
        <w:rPr>
          <w:vertAlign w:val="superscript"/>
        </w:rPr>
        <w:t>1</w:t>
      </w:r>
      <w:r>
        <w:t xml:space="preserve"> Day 0 (Baseline) was defined as the last non-missing assessment prior to study vaccine administration</w:t>
      </w:r>
    </w:p>
    <w:p w14:paraId="113A18DD" w14:textId="528270DF" w:rsidR="009F4FE7" w:rsidRDefault="009F4FE7" w:rsidP="00CB0654">
      <w:pPr>
        <w:pStyle w:val="TableDescription"/>
      </w:pPr>
      <w:r w:rsidRPr="00B53772">
        <w:rPr>
          <w:vertAlign w:val="superscript"/>
        </w:rPr>
        <w:t>2</w:t>
      </w:r>
      <w:r>
        <w:t xml:space="preserve"> The 95% CI for GMT and GMFR were calculated based on the t-distribution of the log transformed values, then back transformed to the original scale for presentation</w:t>
      </w:r>
    </w:p>
    <w:p w14:paraId="7CD89599" w14:textId="71310DE0" w:rsidR="009F4FE7" w:rsidRDefault="009F4FE7" w:rsidP="00CB0654">
      <w:pPr>
        <w:pStyle w:val="TableDescription"/>
      </w:pPr>
      <w:r w:rsidRPr="00B53772">
        <w:rPr>
          <w:vertAlign w:val="superscript"/>
        </w:rPr>
        <w:t>3</w:t>
      </w:r>
      <w:r>
        <w:t xml:space="preserve"> The SCR percentage was defined as percentage of participants at each post vaccination visit with a ≥ 4 fold rise in antibody concentration</w:t>
      </w:r>
    </w:p>
    <w:p w14:paraId="1BEFFB15" w14:textId="12A4DC3B" w:rsidR="009F4FE7" w:rsidRDefault="009F4FE7" w:rsidP="00CB0654">
      <w:pPr>
        <w:pStyle w:val="TableDescription"/>
      </w:pPr>
      <w:r w:rsidRPr="00B53772">
        <w:rPr>
          <w:vertAlign w:val="superscript"/>
        </w:rPr>
        <w:t>4</w:t>
      </w:r>
      <w:r>
        <w:t xml:space="preserve"> The 95% CI for SCR percentage was calculated using the exact Clopper-Pearson method</w:t>
      </w:r>
    </w:p>
    <w:p w14:paraId="608008B4" w14:textId="77777777" w:rsidR="009F4FE7" w:rsidRDefault="009F4FE7" w:rsidP="00CB0654">
      <w:pPr>
        <w:pStyle w:val="TableDescription"/>
      </w:pPr>
      <w:r>
        <w:t>Note: Titre values less than LLOQ (20) were replaced by 0.5 x LLOQ</w:t>
      </w:r>
    </w:p>
    <w:p w14:paraId="032D83DF" w14:textId="255469E0" w:rsidR="00B53772" w:rsidRDefault="00B53772" w:rsidP="00345763">
      <w:pPr>
        <w:pStyle w:val="Heading6"/>
        <w:keepNext w:val="0"/>
      </w:pPr>
      <w:r>
        <w:t>Study 2019nCoV-302</w:t>
      </w:r>
    </w:p>
    <w:p w14:paraId="0428A588" w14:textId="68D98A20" w:rsidR="00B53772" w:rsidRDefault="00B53772" w:rsidP="00345763">
      <w:r>
        <w:t xml:space="preserve">Study 2019nCoV-302 is an ongoing Phase III, multicentre, randomised, observer blinded, placebo controlled study in subjects 18 to 84 years of age in the </w:t>
      </w:r>
      <w:r w:rsidR="00911C90">
        <w:t>UK</w:t>
      </w:r>
      <w:r>
        <w:t xml:space="preserve">. Upon enrolment, subjects were stratified by age (18 to 64 years; 65 to 84 years) to receive </w:t>
      </w:r>
      <w:proofErr w:type="spellStart"/>
      <w:r>
        <w:t>Nuvaxovid</w:t>
      </w:r>
      <w:proofErr w:type="spellEnd"/>
      <w:r>
        <w:t xml:space="preserve"> or placebo.</w:t>
      </w:r>
    </w:p>
    <w:p w14:paraId="266309A2" w14:textId="3921EFF4" w:rsidR="00B53772" w:rsidRDefault="00B53772" w:rsidP="00345763">
      <w:r>
        <w:t>The main immunogenicity related endpoints were the analysis of antibodies binding to the SARS-CoV-2 S protein by ELISA, and SARS-CoV-2 neutralisation, both at Day 0 (Baseline) and Day 35 (14 days after second dose).</w:t>
      </w:r>
    </w:p>
    <w:p w14:paraId="4075514D" w14:textId="127269D4" w:rsidR="00B53772" w:rsidRDefault="00B53772" w:rsidP="00345763">
      <w:r>
        <w:t xml:space="preserve">At </w:t>
      </w:r>
      <w:r w:rsidR="00D269B3">
        <w:t>two</w:t>
      </w:r>
      <w:r>
        <w:t xml:space="preserve"> weeks following second vaccination in all subjects (Day 35), serum anti-spike protein IgG GMTs in the </w:t>
      </w:r>
      <w:proofErr w:type="spellStart"/>
      <w:r>
        <w:t>Nuvaxovid</w:t>
      </w:r>
      <w:proofErr w:type="spellEnd"/>
      <w:r>
        <w:t xml:space="preserve"> group were markedly increased approximately 350 to 400 fold relative to placebo across all age groups (44673.8 versus 113.2 E</w:t>
      </w:r>
      <w:r w:rsidR="007F08C6">
        <w:t>LISA units</w:t>
      </w:r>
      <w:r>
        <w:t>/mL, respectively, for subjects 18 to 84 years of age; 47564.3 versus 113.5 E</w:t>
      </w:r>
      <w:r w:rsidR="007F08C6">
        <w:t>LISA units</w:t>
      </w:r>
      <w:r>
        <w:t>/mL for subjects 18 to 64 years of age; and 37892.8 versus 112.3 E</w:t>
      </w:r>
      <w:r w:rsidR="007F08C6">
        <w:t>LISA units</w:t>
      </w:r>
      <w:r>
        <w:t>/mL for subjects 65</w:t>
      </w:r>
      <w:r w:rsidR="007F08C6">
        <w:t> </w:t>
      </w:r>
      <w:r>
        <w:t xml:space="preserve">to 84 years of age) with no evidence of placebo response. Serum anti-spike protein IgG GMTs in the </w:t>
      </w:r>
      <w:proofErr w:type="spellStart"/>
      <w:r>
        <w:t>Nuvaxovid</w:t>
      </w:r>
      <w:proofErr w:type="spellEnd"/>
      <w:r>
        <w:t xml:space="preserve"> group were approximately 1.3 fold higher in the younger age cohort (18 to 64 years) than in the older age cohort (65 to 84 years). </w:t>
      </w:r>
      <w:r w:rsidR="007F08C6">
        <w:t xml:space="preserve">Seroconversion rates </w:t>
      </w:r>
      <w:r>
        <w:t xml:space="preserve">in the </w:t>
      </w:r>
      <w:proofErr w:type="spellStart"/>
      <w:r>
        <w:t>Nuvaxovid</w:t>
      </w:r>
      <w:proofErr w:type="spellEnd"/>
      <w:r>
        <w:t xml:space="preserve"> groups also were markedly increased relative to placebo across all age groups (99% versus 0.7% for subjects 18 to 84 years of age; 99% versus 1% for subjects 18 to 64 years of age; and 99.1% versus 0% for subjects 65 to 84 years of age).</w:t>
      </w:r>
    </w:p>
    <w:p w14:paraId="6FBCD02C" w14:textId="6198781A" w:rsidR="00B53772" w:rsidRDefault="00B53772" w:rsidP="00345763">
      <w:r>
        <w:lastRenderedPageBreak/>
        <w:t>Serum anti-spike protein IgG levels at Day 35 in both serologically negative and serologically positive adult subjects were increased relative to placebo and showed similar patterns of response, with higher levels in the placebo group in serologically positive adult subjects. In baseline seropositive individuals, GMTs at Baseline were 1771.7 and 1698.8 </w:t>
      </w:r>
      <w:r w:rsidR="007F08C6">
        <w:t>ELISA units</w:t>
      </w:r>
      <w:r>
        <w:t xml:space="preserve">/mL in the placebo and </w:t>
      </w:r>
      <w:proofErr w:type="spellStart"/>
      <w:r>
        <w:t>Nuvaxovid</w:t>
      </w:r>
      <w:proofErr w:type="spellEnd"/>
      <w:r>
        <w:t xml:space="preserve"> group, compared to 1756.9 and 125489.8 E</w:t>
      </w:r>
      <w:r w:rsidR="007F08C6">
        <w:t>LISA units</w:t>
      </w:r>
      <w:r>
        <w:t>/mL at Day 35.</w:t>
      </w:r>
    </w:p>
    <w:p w14:paraId="1D5B6FAC" w14:textId="098DE6F5" w:rsidR="009F4FE7" w:rsidRDefault="00B53772" w:rsidP="00345763">
      <w:r>
        <w:t>Neutralising antibody levels in serologically negative adult subjects at Day 35 were increased relative to placebo across all age groups: 18 to 84 years, 18 to 64 years, and 65</w:t>
      </w:r>
      <w:r w:rsidR="007F08C6">
        <w:t> </w:t>
      </w:r>
      <w:r>
        <w:t>to 84 years (</w:t>
      </w:r>
      <w:r>
        <w:fldChar w:fldCharType="begin" w:fldLock="1"/>
      </w:r>
      <w:r>
        <w:instrText xml:space="preserve"> REF _Ref92439066 \h </w:instrText>
      </w:r>
      <w:r>
        <w:fldChar w:fldCharType="separate"/>
      </w:r>
      <w:r w:rsidR="00AA298B" w:rsidRPr="00B53772">
        <w:t xml:space="preserve">Table </w:t>
      </w:r>
      <w:r w:rsidR="00AA298B">
        <w:rPr>
          <w:noProof/>
        </w:rPr>
        <w:t>8</w:t>
      </w:r>
      <w:r>
        <w:fldChar w:fldCharType="end"/>
      </w:r>
      <w:r>
        <w:t>).</w:t>
      </w:r>
    </w:p>
    <w:p w14:paraId="7DC6327D" w14:textId="7E3E19C8" w:rsidR="00C83FA8" w:rsidRDefault="00B53772" w:rsidP="00CB0654">
      <w:pPr>
        <w:pStyle w:val="TableTitle"/>
      </w:pPr>
      <w:bookmarkStart w:id="48" w:name="_Ref92439066"/>
      <w:r w:rsidRPr="00B53772">
        <w:t xml:space="preserve">Table </w:t>
      </w:r>
      <w:r w:rsidR="00344FF4">
        <w:fldChar w:fldCharType="begin"/>
      </w:r>
      <w:r w:rsidR="00344FF4">
        <w:instrText xml:space="preserve"> SEQ Table \* ARABIC </w:instrText>
      </w:r>
      <w:r w:rsidR="00344FF4">
        <w:fldChar w:fldCharType="separate"/>
      </w:r>
      <w:r w:rsidR="00C41FF6">
        <w:rPr>
          <w:noProof/>
        </w:rPr>
        <w:t>8</w:t>
      </w:r>
      <w:r w:rsidR="00344FF4">
        <w:rPr>
          <w:noProof/>
        </w:rPr>
        <w:fldChar w:fldCharType="end"/>
      </w:r>
      <w:bookmarkEnd w:id="48"/>
      <w:r>
        <w:t xml:space="preserve">: Study </w:t>
      </w:r>
      <w:r w:rsidRPr="00B53772">
        <w:t>2019nCoV-302</w:t>
      </w:r>
      <w:r>
        <w:t xml:space="preserve"> </w:t>
      </w:r>
      <w:r w:rsidRPr="00B53772">
        <w:t xml:space="preserve">Summary of </w:t>
      </w:r>
      <w:r>
        <w:t>n</w:t>
      </w:r>
      <w:r w:rsidRPr="00B53772">
        <w:t xml:space="preserve">eutralising </w:t>
      </w:r>
      <w:r>
        <w:t>a</w:t>
      </w:r>
      <w:r w:rsidRPr="00B53772">
        <w:t xml:space="preserve">ntibodies at Day 0 (Baseline) and Day 35 (14 </w:t>
      </w:r>
      <w:r>
        <w:t>d</w:t>
      </w:r>
      <w:r w:rsidRPr="00B53772">
        <w:t xml:space="preserve">ays after </w:t>
      </w:r>
      <w:r>
        <w:t>s</w:t>
      </w:r>
      <w:r w:rsidRPr="00B53772">
        <w:t xml:space="preserve">econd </w:t>
      </w:r>
      <w:r>
        <w:t>dose</w:t>
      </w:r>
      <w:r w:rsidRPr="00B53772">
        <w:t xml:space="preserve">) in </w:t>
      </w:r>
      <w:r>
        <w:t>s</w:t>
      </w:r>
      <w:r w:rsidRPr="00B53772">
        <w:t xml:space="preserve">erologically </w:t>
      </w:r>
      <w:r>
        <w:t>n</w:t>
      </w:r>
      <w:r w:rsidRPr="00B53772">
        <w:t xml:space="preserve">egative </w:t>
      </w:r>
      <w:r>
        <w:t>a</w:t>
      </w:r>
      <w:r w:rsidRPr="00B53772">
        <w:t xml:space="preserve">dult </w:t>
      </w:r>
      <w:r>
        <w:t>s</w:t>
      </w:r>
      <w:r w:rsidRPr="00B53772">
        <w:t xml:space="preserve">ubjects by </w:t>
      </w:r>
      <w:r>
        <w:t>a</w:t>
      </w:r>
      <w:r w:rsidRPr="00B53772">
        <w:t xml:space="preserve">ge </w:t>
      </w:r>
      <w:r>
        <w:t>g</w:t>
      </w:r>
      <w:r w:rsidRPr="00B53772">
        <w:t>roup (</w:t>
      </w:r>
      <w:r>
        <w:t>per protocol i</w:t>
      </w:r>
      <w:r w:rsidRPr="00EA2CA6">
        <w:t>mmunogenicity</w:t>
      </w:r>
      <w:r>
        <w:t xml:space="preserve"> n</w:t>
      </w:r>
      <w:r w:rsidRPr="00B53772">
        <w:t xml:space="preserve">eutralisation </w:t>
      </w:r>
      <w:r>
        <w:t>a</w:t>
      </w:r>
      <w:r w:rsidRPr="00B53772">
        <w:t xml:space="preserve">ssay </w:t>
      </w:r>
      <w:r>
        <w:t>s</w:t>
      </w:r>
      <w:r w:rsidRPr="00B53772">
        <w:t>ubset)</w:t>
      </w:r>
    </w:p>
    <w:p w14:paraId="2E753C6E" w14:textId="378BE8C3" w:rsidR="00B53772" w:rsidRDefault="00C83FA8" w:rsidP="00CB0654">
      <w:pPr>
        <w:pStyle w:val="TableDescription"/>
      </w:pPr>
      <w:r>
        <w:rPr>
          <w:noProof/>
          <w:lang w:val="en-GB" w:eastAsia="en-GB"/>
        </w:rPr>
        <w:drawing>
          <wp:inline distT="0" distB="0" distL="0" distR="0" wp14:anchorId="631DC4A1" wp14:editId="631701EF">
            <wp:extent cx="5356860" cy="2881222"/>
            <wp:effectExtent l="0" t="0" r="0" b="0"/>
            <wp:docPr id="212" name="Picture 212" descr="P549#yIS1"/>
            <wp:cNvGraphicFramePr/>
            <a:graphic xmlns:a="http://schemas.openxmlformats.org/drawingml/2006/main">
              <a:graphicData uri="http://schemas.openxmlformats.org/drawingml/2006/picture">
                <pic:pic xmlns:pic="http://schemas.openxmlformats.org/drawingml/2006/picture">
                  <pic:nvPicPr>
                    <pic:cNvPr id="212" name="Picture 212" descr="P549#yIS1"/>
                    <pic:cNvPicPr/>
                  </pic:nvPicPr>
                  <pic:blipFill rotWithShape="1">
                    <a:blip r:embed="rId21">
                      <a:lum bright="-20000" contrast="40000"/>
                      <a:extLst>
                        <a:ext uri="{28A0092B-C50C-407E-A947-70E740481C1C}">
                          <a14:useLocalDpi xmlns:a14="http://schemas.microsoft.com/office/drawing/2010/main" val="0"/>
                        </a:ext>
                      </a:extLst>
                    </a:blip>
                    <a:srcRect l="648" t="1476" r="2572" b="26714"/>
                    <a:stretch/>
                  </pic:blipFill>
                  <pic:spPr bwMode="auto">
                    <a:xfrm>
                      <a:off x="0" y="0"/>
                      <a:ext cx="5381026" cy="2894220"/>
                    </a:xfrm>
                    <a:prstGeom prst="rect">
                      <a:avLst/>
                    </a:prstGeom>
                    <a:noFill/>
                    <a:ln>
                      <a:noFill/>
                    </a:ln>
                    <a:extLst>
                      <a:ext uri="{53640926-AAD7-44D8-BBD7-CCE9431645EC}">
                        <a14:shadowObscured xmlns:a14="http://schemas.microsoft.com/office/drawing/2010/main"/>
                      </a:ext>
                    </a:extLst>
                  </pic:spPr>
                </pic:pic>
              </a:graphicData>
            </a:graphic>
          </wp:inline>
        </w:drawing>
      </w:r>
    </w:p>
    <w:p w14:paraId="431B0A60" w14:textId="76F4C948" w:rsidR="00C83FA8" w:rsidRDefault="00C83FA8" w:rsidP="00CB0654">
      <w:pPr>
        <w:pStyle w:val="TableDescription"/>
      </w:pPr>
      <w:r>
        <w:t>Abbreviations: CI = confidence interval; GMFR = geometric mean fold rise; GMT = geometric mean titre; LLOQ = lower limit of quantification; max = maximum; min = minimum; n1 = number of participants in the per protocol i</w:t>
      </w:r>
      <w:r w:rsidRPr="00EA2CA6">
        <w:t>mmunogenicity</w:t>
      </w:r>
      <w:r>
        <w:t xml:space="preserve"> neutralisation assay subset with non-missing data at visit, n2 = number of participant who reported ≥ 4 fold increase, with percentages calculated as (n2/n1) x 100; NVX-CoV2373 = </w:t>
      </w:r>
      <w:proofErr w:type="spellStart"/>
      <w:r>
        <w:t>Nuvaxovid</w:t>
      </w:r>
      <w:proofErr w:type="spellEnd"/>
      <w:r>
        <w:t xml:space="preserve">, 5 µg SARS-CoV-2 </w:t>
      </w:r>
      <w:proofErr w:type="spellStart"/>
      <w:r>
        <w:t>rS</w:t>
      </w:r>
      <w:proofErr w:type="spellEnd"/>
      <w:r>
        <w:t xml:space="preserve"> plus 50 µg Matrix-M adjuvant, SCR = seroconversion rate</w:t>
      </w:r>
    </w:p>
    <w:p w14:paraId="7F69CFF3" w14:textId="00B8652B" w:rsidR="00C83FA8" w:rsidRDefault="00C83FA8" w:rsidP="00CB0654">
      <w:pPr>
        <w:pStyle w:val="TableDescription"/>
      </w:pPr>
      <w:r w:rsidRPr="00B53772">
        <w:rPr>
          <w:vertAlign w:val="superscript"/>
        </w:rPr>
        <w:t>1</w:t>
      </w:r>
      <w:r>
        <w:t xml:space="preserve"> Baseline was defined as the last non-missing assessment prior to first dose vaccination</w:t>
      </w:r>
    </w:p>
    <w:p w14:paraId="195B9DA2" w14:textId="77777777" w:rsidR="00C83FA8" w:rsidRDefault="00C83FA8" w:rsidP="00CB0654">
      <w:pPr>
        <w:pStyle w:val="TableDescription"/>
      </w:pPr>
      <w:r w:rsidRPr="00B53772">
        <w:rPr>
          <w:vertAlign w:val="superscript"/>
        </w:rPr>
        <w:t>2</w:t>
      </w:r>
      <w:r>
        <w:t xml:space="preserve"> The 95% CI for GMT and GMFR were calculated based on the t-distribution of the log transformed values, then back transformed to the original scale for presentation</w:t>
      </w:r>
    </w:p>
    <w:p w14:paraId="6ABB092B" w14:textId="689DFCC0" w:rsidR="00C83FA8" w:rsidRDefault="00C83FA8" w:rsidP="00CB0654">
      <w:pPr>
        <w:pStyle w:val="TableDescription"/>
      </w:pPr>
      <w:r w:rsidRPr="00B53772">
        <w:rPr>
          <w:vertAlign w:val="superscript"/>
        </w:rPr>
        <w:t>3</w:t>
      </w:r>
      <w:r>
        <w:t xml:space="preserve"> The SCR was defined as percentage of participants at each post vaccination visit with a</w:t>
      </w:r>
      <w:r w:rsidR="007D21F3">
        <w:t xml:space="preserve"> titre</w:t>
      </w:r>
      <w:r>
        <w:t xml:space="preserve"> ≥</w:t>
      </w:r>
      <w:r w:rsidR="00F26528">
        <w:t> </w:t>
      </w:r>
      <w:r>
        <w:t>4 fold rise</w:t>
      </w:r>
    </w:p>
    <w:p w14:paraId="245BB51A" w14:textId="583ADB4A" w:rsidR="00C83FA8" w:rsidRDefault="00C83FA8" w:rsidP="00CB0654">
      <w:pPr>
        <w:pStyle w:val="TableDescription"/>
      </w:pPr>
      <w:r w:rsidRPr="00B53772">
        <w:rPr>
          <w:vertAlign w:val="superscript"/>
        </w:rPr>
        <w:t>4</w:t>
      </w:r>
      <w:r>
        <w:t xml:space="preserve"> The 95% CI for SCR percentage was calculated using the exact Clopper-Pearson method</w:t>
      </w:r>
    </w:p>
    <w:p w14:paraId="6D3F714C" w14:textId="19F2CCBB" w:rsidR="00C83FA8" w:rsidRDefault="00C83FA8" w:rsidP="00CB0654">
      <w:pPr>
        <w:pStyle w:val="TableDescription"/>
      </w:pPr>
      <w:r>
        <w:t xml:space="preserve">Note: </w:t>
      </w:r>
      <w:r w:rsidR="007D21F3">
        <w:t>LLOQ = t</w:t>
      </w:r>
      <w:r>
        <w:t>itre</w:t>
      </w:r>
      <w:r w:rsidR="007D21F3">
        <w:t xml:space="preserve"> of 20, with titre</w:t>
      </w:r>
      <w:r>
        <w:t xml:space="preserve"> values less than LLOQ were replaced by 0.5 x LLOQ</w:t>
      </w:r>
    </w:p>
    <w:p w14:paraId="0B95B37F" w14:textId="26F02EC8" w:rsidR="007D21F3" w:rsidRDefault="007D21F3" w:rsidP="00345763">
      <w:r>
        <w:t xml:space="preserve">At </w:t>
      </w:r>
      <w:r w:rsidR="00D269B3">
        <w:t>two</w:t>
      </w:r>
      <w:r>
        <w:t xml:space="preserve"> weeks following second dose (Day 35), neutralising antibody GMTs in the </w:t>
      </w:r>
      <w:proofErr w:type="spellStart"/>
      <w:r>
        <w:t>Nuvaxovid</w:t>
      </w:r>
      <w:proofErr w:type="spellEnd"/>
      <w:r>
        <w:t xml:space="preserve"> group were markedly increased approximately 110 fold relative to placebo for serologically negative subjects (1129.5 versus 10.4); and approximately 70 fold for serologically positive subjects (4373.8 versus 62) with no evidence of placebo response (</w:t>
      </w:r>
      <w:r>
        <w:fldChar w:fldCharType="begin" w:fldLock="1"/>
      </w:r>
      <w:r>
        <w:instrText xml:space="preserve"> REF _Ref92441588 \h </w:instrText>
      </w:r>
      <w:r>
        <w:fldChar w:fldCharType="separate"/>
      </w:r>
      <w:r w:rsidR="00AA298B">
        <w:t xml:space="preserve">Table </w:t>
      </w:r>
      <w:r w:rsidR="00AA298B">
        <w:rPr>
          <w:noProof/>
        </w:rPr>
        <w:t>9</w:t>
      </w:r>
      <w:r>
        <w:fldChar w:fldCharType="end"/>
      </w:r>
      <w:r>
        <w:t xml:space="preserve">). Neutralising antibody GMTs in the </w:t>
      </w:r>
      <w:proofErr w:type="spellStart"/>
      <w:r>
        <w:t>Nuvaxovid</w:t>
      </w:r>
      <w:proofErr w:type="spellEnd"/>
      <w:r>
        <w:t xml:space="preserve"> group were approximately 3.9</w:t>
      </w:r>
      <w:r w:rsidR="007F08C6">
        <w:t> </w:t>
      </w:r>
      <w:r>
        <w:t xml:space="preserve">fold higher in the serologically positive cohort than in the serologically negative cohort. SCRs in the </w:t>
      </w:r>
      <w:proofErr w:type="spellStart"/>
      <w:r>
        <w:t>Nuvaxovid</w:t>
      </w:r>
      <w:proofErr w:type="spellEnd"/>
      <w:r>
        <w:t xml:space="preserve"> group also were markedly increased relative to placebo across baseline serostatus groups (98.2% versus 0.8% for serologically negative subjects; and 100% versus 15.8% for serologically positive subjects).</w:t>
      </w:r>
    </w:p>
    <w:p w14:paraId="7D3944A7" w14:textId="3D6E2723" w:rsidR="007D21F3" w:rsidRDefault="007D21F3" w:rsidP="00CB0654">
      <w:pPr>
        <w:pStyle w:val="TableTitle"/>
      </w:pPr>
      <w:bookmarkStart w:id="49" w:name="_Ref92441588"/>
      <w:r>
        <w:lastRenderedPageBreak/>
        <w:t xml:space="preserve">Table </w:t>
      </w:r>
      <w:r w:rsidR="00344FF4">
        <w:fldChar w:fldCharType="begin"/>
      </w:r>
      <w:r w:rsidR="00344FF4">
        <w:instrText xml:space="preserve"> SEQ Table \* ARABIC </w:instrText>
      </w:r>
      <w:r w:rsidR="00344FF4">
        <w:fldChar w:fldCharType="separate"/>
      </w:r>
      <w:r w:rsidR="00C41FF6">
        <w:rPr>
          <w:noProof/>
        </w:rPr>
        <w:t>9</w:t>
      </w:r>
      <w:r w:rsidR="00344FF4">
        <w:rPr>
          <w:noProof/>
        </w:rPr>
        <w:fldChar w:fldCharType="end"/>
      </w:r>
      <w:bookmarkEnd w:id="49"/>
      <w:r>
        <w:t xml:space="preserve">: </w:t>
      </w:r>
      <w:r w:rsidR="00AF655B">
        <w:t xml:space="preserve">Study 2019nCoV-302 </w:t>
      </w:r>
      <w:r>
        <w:t xml:space="preserve">Summary of </w:t>
      </w:r>
      <w:r w:rsidR="00AF655B">
        <w:t>n</w:t>
      </w:r>
      <w:r>
        <w:t xml:space="preserve">eutralising </w:t>
      </w:r>
      <w:r w:rsidR="00AF655B">
        <w:t>a</w:t>
      </w:r>
      <w:r>
        <w:t xml:space="preserve">ntibody </w:t>
      </w:r>
      <w:r w:rsidR="00AF655B">
        <w:t>l</w:t>
      </w:r>
      <w:r>
        <w:t xml:space="preserve">evels at Day 0 (Baseline) and Day 35 (14 </w:t>
      </w:r>
      <w:r w:rsidR="00AF655B">
        <w:t>d</w:t>
      </w:r>
      <w:r>
        <w:t xml:space="preserve">ays after </w:t>
      </w:r>
      <w:r w:rsidR="00AF655B">
        <w:t>s</w:t>
      </w:r>
      <w:r>
        <w:t xml:space="preserve">econd </w:t>
      </w:r>
      <w:r w:rsidR="00AF655B">
        <w:t>dose vaccination</w:t>
      </w:r>
      <w:r>
        <w:t xml:space="preserve">) in </w:t>
      </w:r>
      <w:r w:rsidR="00AF655B">
        <w:t>a</w:t>
      </w:r>
      <w:r>
        <w:t xml:space="preserve">dult </w:t>
      </w:r>
      <w:r w:rsidR="00AF655B">
        <w:t>s</w:t>
      </w:r>
      <w:r>
        <w:t xml:space="preserve">ubjects </w:t>
      </w:r>
      <w:r w:rsidR="00AF655B">
        <w:t>b</w:t>
      </w:r>
      <w:r>
        <w:t xml:space="preserve">y </w:t>
      </w:r>
      <w:r w:rsidR="00AF655B">
        <w:t>b</w:t>
      </w:r>
      <w:r>
        <w:t xml:space="preserve">aseline </w:t>
      </w:r>
      <w:r w:rsidR="00AF655B">
        <w:t>s</w:t>
      </w:r>
      <w:r>
        <w:t xml:space="preserve">erostatus </w:t>
      </w:r>
      <w:r w:rsidR="00AF655B">
        <w:t>(intent to treat n</w:t>
      </w:r>
      <w:r>
        <w:t xml:space="preserve">eutralisation </w:t>
      </w:r>
      <w:r w:rsidR="00AF655B">
        <w:t>a</w:t>
      </w:r>
      <w:r>
        <w:t xml:space="preserve">ssay </w:t>
      </w:r>
      <w:r w:rsidR="00AF655B">
        <w:t>s</w:t>
      </w:r>
      <w:r>
        <w:t>ubset)</w:t>
      </w:r>
    </w:p>
    <w:p w14:paraId="4550B513" w14:textId="593C964A" w:rsidR="00AF655B" w:rsidRDefault="00AF655B" w:rsidP="00345763">
      <w:r>
        <w:rPr>
          <w:noProof/>
          <w:lang w:val="en-GB" w:eastAsia="en-GB"/>
        </w:rPr>
        <w:drawing>
          <wp:inline distT="0" distB="0" distL="0" distR="0" wp14:anchorId="045E81AF" wp14:editId="25FEB061">
            <wp:extent cx="5373238" cy="2553419"/>
            <wp:effectExtent l="0" t="0" r="0" b="0"/>
            <wp:docPr id="213" name="Picture 213" descr="P558#yIS1"/>
            <wp:cNvGraphicFramePr/>
            <a:graphic xmlns:a="http://schemas.openxmlformats.org/drawingml/2006/main">
              <a:graphicData uri="http://schemas.openxmlformats.org/drawingml/2006/picture">
                <pic:pic xmlns:pic="http://schemas.openxmlformats.org/drawingml/2006/picture">
                  <pic:nvPicPr>
                    <pic:cNvPr id="213" name="Picture 213" descr="P558#yIS1"/>
                    <pic:cNvPicPr/>
                  </pic:nvPicPr>
                  <pic:blipFill rotWithShape="1">
                    <a:blip r:embed="rId22">
                      <a:lum bright="-20000" contrast="40000"/>
                      <a:extLst>
                        <a:ext uri="{28A0092B-C50C-407E-A947-70E740481C1C}">
                          <a14:useLocalDpi xmlns:a14="http://schemas.microsoft.com/office/drawing/2010/main" val="0"/>
                        </a:ext>
                      </a:extLst>
                    </a:blip>
                    <a:srcRect l="1840" r="1387" b="25051"/>
                    <a:stretch/>
                  </pic:blipFill>
                  <pic:spPr bwMode="auto">
                    <a:xfrm>
                      <a:off x="0" y="0"/>
                      <a:ext cx="5411831" cy="2571759"/>
                    </a:xfrm>
                    <a:prstGeom prst="rect">
                      <a:avLst/>
                    </a:prstGeom>
                    <a:noFill/>
                    <a:ln>
                      <a:noFill/>
                    </a:ln>
                    <a:extLst>
                      <a:ext uri="{53640926-AAD7-44D8-BBD7-CCE9431645EC}">
                        <a14:shadowObscured xmlns:a14="http://schemas.microsoft.com/office/drawing/2010/main"/>
                      </a:ext>
                    </a:extLst>
                  </pic:spPr>
                </pic:pic>
              </a:graphicData>
            </a:graphic>
          </wp:inline>
        </w:drawing>
      </w:r>
    </w:p>
    <w:p w14:paraId="04A50D1B" w14:textId="6390B999" w:rsidR="00AF655B" w:rsidRDefault="00AF655B" w:rsidP="00CB0654">
      <w:pPr>
        <w:pStyle w:val="TableDescription"/>
      </w:pPr>
      <w:r>
        <w:t xml:space="preserve">Abbreviations: CI = confidence interval; GMFR = geometric mean fold rise; GMT = geometric mean titre; LLOQ = lower limit of quantification; max = maximum; min = minimum; n1 = number of participants in the intent to treat neutralisation assay subset, n2 = number of participant who reported ≥ 4 fold increase, with percentages calculated as (n2/n1) x 100; NVX-CoV2373 = </w:t>
      </w:r>
      <w:proofErr w:type="spellStart"/>
      <w:r>
        <w:t>Nuvaxovid</w:t>
      </w:r>
      <w:proofErr w:type="spellEnd"/>
      <w:r>
        <w:t xml:space="preserve">, 5 µg SARS-CoV-2 </w:t>
      </w:r>
      <w:proofErr w:type="spellStart"/>
      <w:r>
        <w:t>rS</w:t>
      </w:r>
      <w:proofErr w:type="spellEnd"/>
      <w:r>
        <w:t xml:space="preserve"> with 50 µg Matrix-M adjuvant, SCR = seroconversion rate</w:t>
      </w:r>
    </w:p>
    <w:p w14:paraId="4AF484CC" w14:textId="77777777" w:rsidR="00AF655B" w:rsidRDefault="00AF655B" w:rsidP="00CB0654">
      <w:pPr>
        <w:pStyle w:val="TableDescription"/>
      </w:pPr>
      <w:r w:rsidRPr="00B53772">
        <w:rPr>
          <w:vertAlign w:val="superscript"/>
        </w:rPr>
        <w:t>1</w:t>
      </w:r>
      <w:r>
        <w:t xml:space="preserve"> Baseline was defined as the last non-missing assessment prior to first dose vaccination</w:t>
      </w:r>
    </w:p>
    <w:p w14:paraId="21976499" w14:textId="77777777" w:rsidR="00AF655B" w:rsidRDefault="00AF655B" w:rsidP="00CB0654">
      <w:pPr>
        <w:pStyle w:val="TableDescription"/>
      </w:pPr>
      <w:r w:rsidRPr="00B53772">
        <w:rPr>
          <w:vertAlign w:val="superscript"/>
        </w:rPr>
        <w:t>2</w:t>
      </w:r>
      <w:r>
        <w:t xml:space="preserve"> The 95% CI for GMT and GMFR were calculated based on the t-distribution of the log transformed values, then back transformed to the original scale for presentation</w:t>
      </w:r>
    </w:p>
    <w:p w14:paraId="47FAF6EE" w14:textId="77777777" w:rsidR="00AF655B" w:rsidRDefault="00AF655B" w:rsidP="00CB0654">
      <w:pPr>
        <w:pStyle w:val="TableDescription"/>
      </w:pPr>
      <w:r w:rsidRPr="00B53772">
        <w:rPr>
          <w:vertAlign w:val="superscript"/>
        </w:rPr>
        <w:t>3</w:t>
      </w:r>
      <w:r>
        <w:t xml:space="preserve"> The SCR was defined as percentage of participants at each post vaccination visit with a titre ≥ 4 fold rise</w:t>
      </w:r>
    </w:p>
    <w:p w14:paraId="01DFEEE4" w14:textId="77777777" w:rsidR="00AF655B" w:rsidRDefault="00AF655B" w:rsidP="00CB0654">
      <w:pPr>
        <w:pStyle w:val="TableDescription"/>
      </w:pPr>
      <w:r w:rsidRPr="00B53772">
        <w:rPr>
          <w:vertAlign w:val="superscript"/>
        </w:rPr>
        <w:t>4</w:t>
      </w:r>
      <w:r>
        <w:t xml:space="preserve"> The 95% CI for SCR percentage was calculated using the exact Clopper-Pearson method</w:t>
      </w:r>
    </w:p>
    <w:p w14:paraId="06DC5FEC" w14:textId="77777777" w:rsidR="00AF655B" w:rsidRDefault="00AF655B" w:rsidP="00CB0654">
      <w:pPr>
        <w:pStyle w:val="TableDescription"/>
      </w:pPr>
      <w:r>
        <w:t>Note: LLOQ = titre of 20, with titre values less than LLOQ were replaced by 0.5 x LLOQ</w:t>
      </w:r>
    </w:p>
    <w:p w14:paraId="41570E48" w14:textId="5B6D8EEB" w:rsidR="00A15C00" w:rsidRDefault="00A15C00" w:rsidP="00345763">
      <w:r>
        <w:t xml:space="preserve">A seasonal influenza co-administration </w:t>
      </w:r>
      <w:proofErr w:type="spellStart"/>
      <w:r>
        <w:t>substudy</w:t>
      </w:r>
      <w:proofErr w:type="spellEnd"/>
      <w:r>
        <w:t xml:space="preserve"> was conducted as part of </w:t>
      </w:r>
      <w:r w:rsidR="004652E7">
        <w:t>S</w:t>
      </w:r>
      <w:r>
        <w:t>tudy</w:t>
      </w:r>
      <w:r w:rsidR="007F08C6">
        <w:t> </w:t>
      </w:r>
      <w:r>
        <w:t>2019nCoV-302 in the first approximately 400 subjects, who met the additional inclusion criteria</w:t>
      </w:r>
      <w:r w:rsidR="004652E7">
        <w:t xml:space="preserve">; </w:t>
      </w:r>
      <w:r w:rsidR="00C41FF6">
        <w:rPr>
          <w:rFonts w:ascii="ZWAdobeF" w:hAnsi="ZWAdobeF" w:cs="ZWAdobeF"/>
          <w:sz w:val="2"/>
          <w:szCs w:val="2"/>
        </w:rPr>
        <w:t>23F</w:t>
      </w:r>
      <w:r w:rsidR="004652E7">
        <w:rPr>
          <w:rStyle w:val="FootnoteReference"/>
        </w:rPr>
        <w:footnoteReference w:id="24"/>
      </w:r>
      <w:r w:rsidR="004652E7">
        <w:t xml:space="preserve"> </w:t>
      </w:r>
      <w:r>
        <w:t>for th</w:t>
      </w:r>
      <w:r w:rsidR="004652E7">
        <w:t>e</w:t>
      </w:r>
      <w:r>
        <w:t xml:space="preserve"> study</w:t>
      </w:r>
      <w:r w:rsidR="004652E7">
        <w:t>.</w:t>
      </w:r>
    </w:p>
    <w:p w14:paraId="3FE20ACE" w14:textId="25383DBF" w:rsidR="004652E7" w:rsidRPr="004652E7" w:rsidRDefault="00A15C00" w:rsidP="00345763">
      <w:r>
        <w:t xml:space="preserve">The objective of the </w:t>
      </w:r>
      <w:proofErr w:type="spellStart"/>
      <w:r>
        <w:t>substudy</w:t>
      </w:r>
      <w:proofErr w:type="spellEnd"/>
      <w:r>
        <w:t xml:space="preserve"> was to evaluate the safety and immunogenicity of </w:t>
      </w:r>
      <w:proofErr w:type="spellStart"/>
      <w:r w:rsidR="004652E7">
        <w:t>Nuvaxovid</w:t>
      </w:r>
      <w:proofErr w:type="spellEnd"/>
      <w:r>
        <w:t xml:space="preserve"> in the initial set of vaccinations when co-administered with an authorised seasonal influenza vaccine. The endpoint was</w:t>
      </w:r>
      <w:r w:rsidR="004652E7">
        <w:t xml:space="preserve"> ‘</w:t>
      </w:r>
      <w:r w:rsidR="004652E7">
        <w:rPr>
          <w:rFonts w:eastAsia="Calibri"/>
          <w:i/>
          <w:iCs/>
        </w:rPr>
        <w:t>a</w:t>
      </w:r>
      <w:r w:rsidR="004652E7" w:rsidRPr="004652E7">
        <w:rPr>
          <w:rFonts w:eastAsia="Calibri"/>
          <w:i/>
          <w:iCs/>
        </w:rPr>
        <w:t xml:space="preserve">nalysis of the safety and immunogenicity of SARS-CoV-2 </w:t>
      </w:r>
      <w:proofErr w:type="spellStart"/>
      <w:r w:rsidR="004652E7" w:rsidRPr="004652E7">
        <w:rPr>
          <w:rFonts w:eastAsia="Calibri"/>
          <w:i/>
          <w:iCs/>
        </w:rPr>
        <w:t>rS</w:t>
      </w:r>
      <w:proofErr w:type="spellEnd"/>
      <w:r w:rsidR="004652E7" w:rsidRPr="004652E7">
        <w:rPr>
          <w:rFonts w:eastAsia="Calibri"/>
          <w:i/>
          <w:iCs/>
        </w:rPr>
        <w:t xml:space="preserve"> with </w:t>
      </w:r>
      <w:r w:rsidR="006F5F10">
        <w:rPr>
          <w:rFonts w:eastAsia="Calibri"/>
          <w:i/>
          <w:iCs/>
        </w:rPr>
        <w:t>Matrix-M</w:t>
      </w:r>
      <w:r w:rsidR="004652E7" w:rsidRPr="004652E7">
        <w:rPr>
          <w:rFonts w:eastAsia="Calibri"/>
          <w:i/>
          <w:iCs/>
        </w:rPr>
        <w:t xml:space="preserve"> adjuvant when co-administered with seasonal influenza vaccine in a subset population</w:t>
      </w:r>
      <w:r w:rsidR="004652E7">
        <w:rPr>
          <w:rFonts w:eastAsia="Calibri"/>
        </w:rPr>
        <w:t>’.</w:t>
      </w:r>
    </w:p>
    <w:p w14:paraId="23EDE4EF" w14:textId="3B616EFD" w:rsidR="004652E7" w:rsidRDefault="004652E7" w:rsidP="00345763">
      <w:r>
        <w:t>An unadjuvanted quadrivalent influenza vaccine (Flucelvax, Seqirus);</w:t>
      </w:r>
      <w:r w:rsidR="00C41FF6">
        <w:rPr>
          <w:rFonts w:ascii="ZWAdobeF" w:hAnsi="ZWAdobeF" w:cs="ZWAdobeF"/>
          <w:sz w:val="2"/>
          <w:szCs w:val="2"/>
        </w:rPr>
        <w:t>24F</w:t>
      </w:r>
      <w:r>
        <w:rPr>
          <w:rStyle w:val="FootnoteReference"/>
        </w:rPr>
        <w:footnoteReference w:id="25"/>
      </w:r>
      <w:r>
        <w:t xml:space="preserve"> was given to those 18 to 64 years of age, and an adjuvanted trivalent influenza vaccine (</w:t>
      </w:r>
      <w:proofErr w:type="spellStart"/>
      <w:r>
        <w:t>Fluad</w:t>
      </w:r>
      <w:proofErr w:type="spellEnd"/>
      <w:r>
        <w:t>, Seqirus);</w:t>
      </w:r>
      <w:r w:rsidR="00C41FF6">
        <w:rPr>
          <w:rFonts w:ascii="ZWAdobeF" w:hAnsi="ZWAdobeF" w:cs="ZWAdobeF"/>
          <w:sz w:val="2"/>
          <w:szCs w:val="2"/>
        </w:rPr>
        <w:t>25F</w:t>
      </w:r>
      <w:r>
        <w:rPr>
          <w:rStyle w:val="FootnoteReference"/>
        </w:rPr>
        <w:footnoteReference w:id="26"/>
      </w:r>
      <w:r>
        <w:t xml:space="preserve"> was given to those ≥ 65 years of age, in compliance with UK recommendations. Flucelvax is authorised in the EU but </w:t>
      </w:r>
      <w:proofErr w:type="spellStart"/>
      <w:r>
        <w:t>Fluad</w:t>
      </w:r>
      <w:proofErr w:type="spellEnd"/>
      <w:r>
        <w:t xml:space="preserve"> is not authorised in the EU. However, in the EU a tetravalent version of </w:t>
      </w:r>
      <w:proofErr w:type="spellStart"/>
      <w:r>
        <w:t>Fluad</w:t>
      </w:r>
      <w:proofErr w:type="spellEnd"/>
      <w:r>
        <w:t xml:space="preserve"> is available.</w:t>
      </w:r>
    </w:p>
    <w:p w14:paraId="1F6E9B81" w14:textId="194469BF" w:rsidR="004652E7" w:rsidRDefault="004652E7" w:rsidP="00345763">
      <w:r w:rsidRPr="004652E7">
        <w:lastRenderedPageBreak/>
        <w:t xml:space="preserve">No significant differences were observed in the baseline </w:t>
      </w:r>
      <w:r>
        <w:t>GMT</w:t>
      </w:r>
      <w:r w:rsidR="009765D0">
        <w:t>s</w:t>
      </w:r>
      <w:r w:rsidRPr="004652E7">
        <w:t xml:space="preserve"> of haemagglutination inhibition between those in the </w:t>
      </w:r>
      <w:proofErr w:type="spellStart"/>
      <w:r w:rsidRPr="004652E7">
        <w:t>substudy</w:t>
      </w:r>
      <w:proofErr w:type="spellEnd"/>
      <w:r w:rsidRPr="004652E7">
        <w:t xml:space="preserve"> co-vaccinated with </w:t>
      </w:r>
      <w:proofErr w:type="spellStart"/>
      <w:r w:rsidR="00421EC2">
        <w:t>Nuvaxovid</w:t>
      </w:r>
      <w:proofErr w:type="spellEnd"/>
      <w:r w:rsidRPr="004652E7">
        <w:t xml:space="preserve"> plus influenza vaccine group and those in the placebo plus influenza vaccine group (</w:t>
      </w:r>
      <w:r w:rsidR="003E102F">
        <w:fldChar w:fldCharType="begin" w:fldLock="1"/>
      </w:r>
      <w:r w:rsidR="003E102F">
        <w:instrText xml:space="preserve"> REF _Ref92443742 \h </w:instrText>
      </w:r>
      <w:r w:rsidR="003E102F">
        <w:fldChar w:fldCharType="separate"/>
      </w:r>
      <w:r w:rsidR="00AA298B" w:rsidRPr="003E102F">
        <w:t xml:space="preserve">Figure </w:t>
      </w:r>
      <w:r w:rsidR="00AA298B">
        <w:rPr>
          <w:noProof/>
        </w:rPr>
        <w:t>3</w:t>
      </w:r>
      <w:r w:rsidR="003E102F">
        <w:fldChar w:fldCharType="end"/>
      </w:r>
      <w:r w:rsidRPr="004652E7">
        <w:t>).</w:t>
      </w:r>
    </w:p>
    <w:p w14:paraId="00BF4F47" w14:textId="3062CBFE" w:rsidR="003E102F" w:rsidRDefault="003E102F" w:rsidP="00345763">
      <w:pPr>
        <w:pStyle w:val="FigureTitle"/>
        <w:keepNext w:val="0"/>
      </w:pPr>
      <w:bookmarkStart w:id="50" w:name="_Ref92443742"/>
      <w:r w:rsidRPr="003E102F">
        <w:t xml:space="preserve">Figure </w:t>
      </w:r>
      <w:r w:rsidR="00344FF4">
        <w:fldChar w:fldCharType="begin"/>
      </w:r>
      <w:r w:rsidR="00344FF4">
        <w:instrText xml:space="preserve"> SEQ Figure \* ARABIC </w:instrText>
      </w:r>
      <w:r w:rsidR="00344FF4">
        <w:fldChar w:fldCharType="separate"/>
      </w:r>
      <w:r w:rsidR="00C41FF6">
        <w:rPr>
          <w:noProof/>
        </w:rPr>
        <w:t>3</w:t>
      </w:r>
      <w:r w:rsidR="00344FF4">
        <w:rPr>
          <w:noProof/>
        </w:rPr>
        <w:fldChar w:fldCharType="end"/>
      </w:r>
      <w:bookmarkEnd w:id="50"/>
      <w:r w:rsidRPr="003E102F">
        <w:t>:</w:t>
      </w:r>
      <w:r>
        <w:rPr>
          <w:iCs/>
        </w:rPr>
        <w:t xml:space="preserve"> </w:t>
      </w:r>
      <w:r w:rsidR="007F08C6">
        <w:t xml:space="preserve">Study 2019nCoV-302 </w:t>
      </w:r>
      <w:r>
        <w:t>Geometric mean titres of haemagglutination inhibition on Day 0 and Day</w:t>
      </w:r>
      <w:r w:rsidR="007F08C6">
        <w:t> </w:t>
      </w:r>
      <w:r>
        <w:t xml:space="preserve">21 in the </w:t>
      </w:r>
      <w:r w:rsidRPr="003E102F">
        <w:t>quadrivalent influenza</w:t>
      </w:r>
      <w:r>
        <w:t xml:space="preserve"> c</w:t>
      </w:r>
      <w:r w:rsidR="006A0027">
        <w:t>ell based vaccine</w:t>
      </w:r>
      <w:r>
        <w:t xml:space="preserve"> group (A) and in the a</w:t>
      </w:r>
      <w:r w:rsidR="006A0027">
        <w:t>djuvanted</w:t>
      </w:r>
      <w:r w:rsidRPr="003E102F">
        <w:t xml:space="preserve"> trivalent inactivated vaccine</w:t>
      </w:r>
      <w:r>
        <w:t xml:space="preserve"> group (B)</w:t>
      </w:r>
      <w:r w:rsidR="006A0027">
        <w:t>;</w:t>
      </w:r>
      <w:r w:rsidR="00C41FF6">
        <w:rPr>
          <w:rFonts w:ascii="ZWAdobeF" w:hAnsi="ZWAdobeF" w:cs="ZWAdobeF"/>
          <w:b w:val="0"/>
          <w:sz w:val="2"/>
          <w:szCs w:val="2"/>
        </w:rPr>
        <w:t>26F</w:t>
      </w:r>
      <w:r w:rsidR="006A0027">
        <w:rPr>
          <w:rStyle w:val="FootnoteReference"/>
        </w:rPr>
        <w:footnoteReference w:id="27"/>
      </w:r>
    </w:p>
    <w:p w14:paraId="4B7BA2AA" w14:textId="64067626" w:rsidR="003E102F" w:rsidRDefault="003E102F" w:rsidP="00345763">
      <w:r>
        <w:rPr>
          <w:noProof/>
          <w:lang w:val="en-GB" w:eastAsia="en-GB"/>
        </w:rPr>
        <w:drawing>
          <wp:inline distT="0" distB="0" distL="0" distR="0" wp14:anchorId="21A02EB7" wp14:editId="32A45581">
            <wp:extent cx="5391785" cy="4666615"/>
            <wp:effectExtent l="0" t="0" r="0" b="635"/>
            <wp:docPr id="8" name="Picture 8" descr="P5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570#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785" cy="4666615"/>
                    </a:xfrm>
                    <a:prstGeom prst="rect">
                      <a:avLst/>
                    </a:prstGeom>
                    <a:noFill/>
                    <a:ln>
                      <a:noFill/>
                    </a:ln>
                  </pic:spPr>
                </pic:pic>
              </a:graphicData>
            </a:graphic>
          </wp:inline>
        </w:drawing>
      </w:r>
    </w:p>
    <w:p w14:paraId="31E7D1E0" w14:textId="425B6679" w:rsidR="006A0027" w:rsidRDefault="006A0027" w:rsidP="00CB0654">
      <w:pPr>
        <w:pStyle w:val="TableDescription"/>
      </w:pPr>
      <w:r>
        <w:t xml:space="preserve">Abbreviations: </w:t>
      </w:r>
      <w:proofErr w:type="spellStart"/>
      <w:r>
        <w:t>aTIV</w:t>
      </w:r>
      <w:proofErr w:type="spellEnd"/>
      <w:r>
        <w:t xml:space="preserve">=adjuvanted trivalent influenza vaccine. </w:t>
      </w:r>
      <w:proofErr w:type="spellStart"/>
      <w:r>
        <w:t>QIVc</w:t>
      </w:r>
      <w:proofErr w:type="spellEnd"/>
      <w:r>
        <w:t xml:space="preserve">=quadrivalent influenza cell-based vaccine. </w:t>
      </w:r>
      <w:r w:rsidR="003E102F">
        <w:t xml:space="preserve">Error bars are 95% CIs. Comparison of the geometric mean titres of haemagglutination inhibition at Baseline (Day 0) and 21 days after vaccination with NVX-CoV2373 or placebo with either the </w:t>
      </w:r>
      <w:proofErr w:type="spellStart"/>
      <w:r w:rsidR="003E102F">
        <w:t>QIVc</w:t>
      </w:r>
      <w:proofErr w:type="spellEnd"/>
      <w:r w:rsidR="003E102F">
        <w:t xml:space="preserve"> or </w:t>
      </w:r>
      <w:proofErr w:type="spellStart"/>
      <w:r w:rsidR="003E102F">
        <w:t>aTIV</w:t>
      </w:r>
      <w:proofErr w:type="spellEnd"/>
      <w:r w:rsidR="003E102F">
        <w:t xml:space="preserve"> influenza vaccine by influenza strain (n</w:t>
      </w:r>
      <w:r>
        <w:t xml:space="preserve"> </w:t>
      </w:r>
      <w:r w:rsidR="003E102F">
        <w:t>=</w:t>
      </w:r>
      <w:r>
        <w:t xml:space="preserve"> </w:t>
      </w:r>
      <w:r w:rsidR="003E102F">
        <w:t xml:space="preserve">178 for the NVX-CoV2373 plus </w:t>
      </w:r>
      <w:proofErr w:type="spellStart"/>
      <w:r w:rsidR="003E102F">
        <w:t>QIVc</w:t>
      </w:r>
      <w:proofErr w:type="spellEnd"/>
      <w:r w:rsidR="003E102F">
        <w:t xml:space="preserve"> group, n</w:t>
      </w:r>
      <w:r>
        <w:t xml:space="preserve"> </w:t>
      </w:r>
      <w:r w:rsidR="003E102F">
        <w:t>=</w:t>
      </w:r>
      <w:r>
        <w:t xml:space="preserve"> </w:t>
      </w:r>
      <w:r w:rsidR="003E102F">
        <w:t xml:space="preserve">179 for the placebo plus </w:t>
      </w:r>
      <w:proofErr w:type="spellStart"/>
      <w:r w:rsidR="003E102F">
        <w:t>QIVc</w:t>
      </w:r>
      <w:proofErr w:type="spellEnd"/>
      <w:r w:rsidR="003E102F">
        <w:t xml:space="preserve"> group, n=13 for the NVX-CoV2373 plus </w:t>
      </w:r>
      <w:proofErr w:type="spellStart"/>
      <w:r w:rsidR="003E102F">
        <w:t>aTIV</w:t>
      </w:r>
      <w:proofErr w:type="spellEnd"/>
      <w:r w:rsidR="003E102F">
        <w:t xml:space="preserve"> group, and n=11 for the placebo plus </w:t>
      </w:r>
      <w:proofErr w:type="spellStart"/>
      <w:r w:rsidR="003E102F">
        <w:t>aTIV</w:t>
      </w:r>
      <w:proofErr w:type="spellEnd"/>
      <w:r w:rsidR="003E102F">
        <w:t xml:space="preserve"> group). Immunogenicity was assessed in the per-protocol immunogenicity </w:t>
      </w:r>
      <w:r>
        <w:t>population.</w:t>
      </w:r>
    </w:p>
    <w:p w14:paraId="47771183" w14:textId="3AC60372" w:rsidR="006A0027" w:rsidRDefault="006A0027" w:rsidP="00345763">
      <w:r w:rsidRPr="006A0027">
        <w:t xml:space="preserve">No difference was seen in </w:t>
      </w:r>
      <w:r>
        <w:t>D</w:t>
      </w:r>
      <w:r w:rsidRPr="006A0027">
        <w:t xml:space="preserve">ay 21 </w:t>
      </w:r>
      <w:r>
        <w:t>GMTs</w:t>
      </w:r>
      <w:r w:rsidRPr="006A0027">
        <w:t xml:space="preserve"> of haemagglutination inhibition between </w:t>
      </w:r>
      <w:proofErr w:type="spellStart"/>
      <w:r>
        <w:t>Nu</w:t>
      </w:r>
      <w:r w:rsidR="009765D0">
        <w:t>vaxovid</w:t>
      </w:r>
      <w:proofErr w:type="spellEnd"/>
      <w:r w:rsidRPr="006A0027">
        <w:t xml:space="preserve"> plus influenza vaccine group and the placebo plus influenza vaccine group for any individual influenza strain (A/H1N1, A/H3N2, B/Victoria, or B/Yamagata) for either influenza vaccine. Geometric mean fold rise</w:t>
      </w:r>
      <w:r w:rsidR="009765D0">
        <w:t xml:space="preserve"> (GMFR)</w:t>
      </w:r>
      <w:r w:rsidRPr="006A0027">
        <w:t xml:space="preserve"> values followed the same pattern. For both the quadrivalent influenza cell</w:t>
      </w:r>
      <w:r w:rsidR="009765D0">
        <w:t xml:space="preserve"> </w:t>
      </w:r>
      <w:r w:rsidRPr="006A0027">
        <w:t>based vaccine and adjuvanted trivalent influenza vaccine, haemagglutination inhibition seroconversion rates were generally higher for the influenza A strains than for the influenza B strains (</w:t>
      </w:r>
      <w:r w:rsidR="00F12A53">
        <w:fldChar w:fldCharType="begin" w:fldLock="1"/>
      </w:r>
      <w:r w:rsidR="00F12A53">
        <w:instrText xml:space="preserve"> REF _Ref92450030 \h </w:instrText>
      </w:r>
      <w:r w:rsidR="00F12A53">
        <w:fldChar w:fldCharType="separate"/>
      </w:r>
      <w:r w:rsidR="00AA298B" w:rsidRPr="0051209E">
        <w:t xml:space="preserve">Figure </w:t>
      </w:r>
      <w:r w:rsidR="00AA298B">
        <w:rPr>
          <w:noProof/>
        </w:rPr>
        <w:t>4</w:t>
      </w:r>
      <w:r w:rsidR="00F12A53">
        <w:fldChar w:fldCharType="end"/>
      </w:r>
      <w:r w:rsidRPr="006A0027">
        <w:t>).</w:t>
      </w:r>
    </w:p>
    <w:p w14:paraId="5465A883" w14:textId="18B9D9B9" w:rsidR="0051209E" w:rsidRDefault="0051209E" w:rsidP="00345763">
      <w:pPr>
        <w:pStyle w:val="FigureTitle"/>
        <w:keepNext w:val="0"/>
      </w:pPr>
      <w:bookmarkStart w:id="51" w:name="_Ref92450030"/>
      <w:r w:rsidRPr="0051209E">
        <w:lastRenderedPageBreak/>
        <w:t xml:space="preserve">Figure </w:t>
      </w:r>
      <w:r w:rsidR="00344FF4">
        <w:fldChar w:fldCharType="begin"/>
      </w:r>
      <w:r w:rsidR="00344FF4">
        <w:instrText xml:space="preserve"> SEQ Figure \* ARABIC </w:instrText>
      </w:r>
      <w:r w:rsidR="00344FF4">
        <w:fldChar w:fldCharType="separate"/>
      </w:r>
      <w:r w:rsidR="00C41FF6">
        <w:rPr>
          <w:noProof/>
        </w:rPr>
        <w:t>4</w:t>
      </w:r>
      <w:r w:rsidR="00344FF4">
        <w:rPr>
          <w:noProof/>
        </w:rPr>
        <w:fldChar w:fldCharType="end"/>
      </w:r>
      <w:bookmarkEnd w:id="51"/>
      <w:r w:rsidRPr="0051209E">
        <w:t xml:space="preserve">: </w:t>
      </w:r>
      <w:r w:rsidR="007F08C6">
        <w:t xml:space="preserve">Study 2019nCoV-302 </w:t>
      </w:r>
      <w:r w:rsidRPr="0051209E">
        <w:t xml:space="preserve">Haemagglutination inhibition seroconversion rates on </w:t>
      </w:r>
      <w:r>
        <w:t>D</w:t>
      </w:r>
      <w:r w:rsidRPr="0051209E">
        <w:t xml:space="preserve">ay 21 in the </w:t>
      </w:r>
      <w:r w:rsidR="00F12A53" w:rsidRPr="003E102F">
        <w:t>quadrivalent influenza</w:t>
      </w:r>
      <w:r w:rsidR="00F12A53">
        <w:t xml:space="preserve"> cell based vaccine group </w:t>
      </w:r>
      <w:r w:rsidRPr="0051209E">
        <w:t xml:space="preserve">(A) and in the </w:t>
      </w:r>
      <w:r w:rsidR="00F12A53">
        <w:t>adjuvanted</w:t>
      </w:r>
      <w:r w:rsidR="00F12A53" w:rsidRPr="003E102F">
        <w:t xml:space="preserve"> trivalent inactivated vaccine</w:t>
      </w:r>
      <w:r w:rsidR="00F12A53">
        <w:t xml:space="preserve"> group </w:t>
      </w:r>
      <w:r w:rsidRPr="0051209E">
        <w:t xml:space="preserve">(B) </w:t>
      </w:r>
    </w:p>
    <w:p w14:paraId="4208B154" w14:textId="720811E6" w:rsidR="009765D0" w:rsidRDefault="0051209E" w:rsidP="00345763">
      <w:r>
        <w:rPr>
          <w:noProof/>
          <w:lang w:val="en-GB" w:eastAsia="en-GB"/>
        </w:rPr>
        <w:drawing>
          <wp:inline distT="0" distB="0" distL="0" distR="0" wp14:anchorId="7BA48B44" wp14:editId="506B3D24">
            <wp:extent cx="2372264" cy="2674189"/>
            <wp:effectExtent l="0" t="0" r="9525" b="0"/>
            <wp:docPr id="63" name="Main graphic" descr="P574#yIS1"/>
            <wp:cNvGraphicFramePr/>
            <a:graphic xmlns:a="http://schemas.openxmlformats.org/drawingml/2006/main">
              <a:graphicData uri="http://schemas.openxmlformats.org/drawingml/2006/picture">
                <pic:pic xmlns:pic="http://schemas.openxmlformats.org/drawingml/2006/picture">
                  <pic:nvPicPr>
                    <pic:cNvPr id="63" name="Main graphic" descr="P574#yIS1"/>
                    <pic:cNvPicPr/>
                  </pic:nvPicPr>
                  <pic:blipFill rotWithShape="1">
                    <a:blip r:embed="rId24"/>
                    <a:srcRect b="49626"/>
                    <a:stretch/>
                  </pic:blipFill>
                  <pic:spPr bwMode="auto">
                    <a:xfrm>
                      <a:off x="0" y="0"/>
                      <a:ext cx="2375468" cy="2677800"/>
                    </a:xfrm>
                    <a:prstGeom prst="rect">
                      <a:avLst/>
                    </a:prstGeom>
                    <a:ln>
                      <a:noFill/>
                    </a:ln>
                    <a:extLst>
                      <a:ext uri="{53640926-AAD7-44D8-BBD7-CCE9431645EC}">
                        <a14:shadowObscured xmlns:a14="http://schemas.microsoft.com/office/drawing/2010/main"/>
                      </a:ext>
                    </a:extLst>
                  </pic:spPr>
                </pic:pic>
              </a:graphicData>
            </a:graphic>
          </wp:inline>
        </w:drawing>
      </w:r>
      <w:r w:rsidR="00F12A53">
        <w:rPr>
          <w:noProof/>
          <w:lang w:val="en-GB" w:eastAsia="en-GB"/>
        </w:rPr>
        <w:drawing>
          <wp:inline distT="0" distB="0" distL="0" distR="0" wp14:anchorId="67686604" wp14:editId="7D6D3D1F">
            <wp:extent cx="2289175" cy="2670882"/>
            <wp:effectExtent l="0" t="0" r="0" b="0"/>
            <wp:docPr id="9" name="Main graphic" descr="P574#yIS2"/>
            <wp:cNvGraphicFramePr/>
            <a:graphic xmlns:a="http://schemas.openxmlformats.org/drawingml/2006/main">
              <a:graphicData uri="http://schemas.openxmlformats.org/drawingml/2006/picture">
                <pic:pic xmlns:pic="http://schemas.openxmlformats.org/drawingml/2006/picture">
                  <pic:nvPicPr>
                    <pic:cNvPr id="9" name="Main graphic" descr="P574#yIS2"/>
                    <pic:cNvPicPr/>
                  </pic:nvPicPr>
                  <pic:blipFill rotWithShape="1">
                    <a:blip r:embed="rId24"/>
                    <a:srcRect t="49682"/>
                    <a:stretch/>
                  </pic:blipFill>
                  <pic:spPr bwMode="auto">
                    <a:xfrm>
                      <a:off x="0" y="0"/>
                      <a:ext cx="2293535" cy="2675969"/>
                    </a:xfrm>
                    <a:prstGeom prst="rect">
                      <a:avLst/>
                    </a:prstGeom>
                    <a:ln>
                      <a:noFill/>
                    </a:ln>
                    <a:extLst>
                      <a:ext uri="{53640926-AAD7-44D8-BBD7-CCE9431645EC}">
                        <a14:shadowObscured xmlns:a14="http://schemas.microsoft.com/office/drawing/2010/main"/>
                      </a:ext>
                    </a:extLst>
                  </pic:spPr>
                </pic:pic>
              </a:graphicData>
            </a:graphic>
          </wp:inline>
        </w:drawing>
      </w:r>
    </w:p>
    <w:p w14:paraId="20845626" w14:textId="0FE9B87D" w:rsidR="00F12A53" w:rsidRDefault="00F12A53" w:rsidP="00CB0654">
      <w:pPr>
        <w:pStyle w:val="TableDescription"/>
      </w:pPr>
      <w:r w:rsidRPr="00F12A53">
        <w:t xml:space="preserve">Error bars are 95% CIs. Comparison of the haemagglutination inhibition seroconversion rates 21 days after vaccination with NVX-CoV2373 or placebo with the </w:t>
      </w:r>
      <w:proofErr w:type="spellStart"/>
      <w:r w:rsidRPr="00F12A53">
        <w:t>QIVc</w:t>
      </w:r>
      <w:proofErr w:type="spellEnd"/>
      <w:r w:rsidRPr="00F12A53">
        <w:t xml:space="preserve"> or </w:t>
      </w:r>
      <w:proofErr w:type="spellStart"/>
      <w:r w:rsidRPr="00F12A53">
        <w:t>aTIV</w:t>
      </w:r>
      <w:proofErr w:type="spellEnd"/>
      <w:r w:rsidRPr="00F12A53">
        <w:t xml:space="preserve"> influenza vaccine by influenza strain. </w:t>
      </w:r>
      <w:proofErr w:type="spellStart"/>
      <w:r w:rsidRPr="00F12A53">
        <w:t>aTIV</w:t>
      </w:r>
      <w:proofErr w:type="spellEnd"/>
      <w:r w:rsidRPr="00F12A53">
        <w:t xml:space="preserve">=adjuvanted trivalent influenza vaccine. </w:t>
      </w:r>
      <w:proofErr w:type="spellStart"/>
      <w:r w:rsidRPr="00F12A53">
        <w:t>QIVc</w:t>
      </w:r>
      <w:proofErr w:type="spellEnd"/>
      <w:r w:rsidRPr="00F12A53">
        <w:t>=quadrivalent influenza cell-based vaccine.</w:t>
      </w:r>
    </w:p>
    <w:p w14:paraId="5DD9C761" w14:textId="6218CC47" w:rsidR="00F12A53" w:rsidRDefault="00F12A53" w:rsidP="00192D65">
      <w:pPr>
        <w:pStyle w:val="TableTitle"/>
        <w:keepLines/>
      </w:pPr>
      <w:r w:rsidRPr="00F12A53">
        <w:lastRenderedPageBreak/>
        <w:t xml:space="preserve">Table </w:t>
      </w:r>
      <w:r w:rsidR="00344FF4">
        <w:fldChar w:fldCharType="begin"/>
      </w:r>
      <w:r w:rsidR="00344FF4">
        <w:instrText xml:space="preserve"> SEQ Table \* ARABIC </w:instrText>
      </w:r>
      <w:r w:rsidR="00344FF4">
        <w:fldChar w:fldCharType="separate"/>
      </w:r>
      <w:r w:rsidR="00C41FF6">
        <w:rPr>
          <w:noProof/>
        </w:rPr>
        <w:t>10</w:t>
      </w:r>
      <w:r w:rsidR="00344FF4">
        <w:rPr>
          <w:noProof/>
        </w:rPr>
        <w:fldChar w:fldCharType="end"/>
      </w:r>
      <w:r>
        <w:t xml:space="preserve">: </w:t>
      </w:r>
      <w:r w:rsidR="007F08C6">
        <w:t xml:space="preserve">Study 2019nCoV-302 </w:t>
      </w:r>
      <w:r>
        <w:t>Summary of haemagglutination inhibition assay by influenza virus strain at Day 0 and Day 21 in adult subjects who were co</w:t>
      </w:r>
      <w:r w:rsidR="007F08C6">
        <w:noBreakHyphen/>
      </w:r>
      <w:r>
        <w:t xml:space="preserve">administered </w:t>
      </w:r>
      <w:r w:rsidRPr="00F12A53">
        <w:t>quadrivalent influenza cell-based vaccine</w:t>
      </w:r>
      <w:r>
        <w:t xml:space="preserve"> and </w:t>
      </w:r>
      <w:r w:rsidRPr="00F12A53">
        <w:t>adjuvanted trivalent influenza vaccine</w:t>
      </w:r>
      <w:r>
        <w:t xml:space="preserve"> at Day 0 by age group (per protocol i</w:t>
      </w:r>
      <w:r w:rsidRPr="00EA2CA6">
        <w:t>mmunogenicity</w:t>
      </w:r>
      <w:r>
        <w:t xml:space="preserve"> hemagglutination inhibition assay serology subset)</w:t>
      </w:r>
    </w:p>
    <w:p w14:paraId="461FDC09" w14:textId="1C6FAD9D" w:rsidR="00F12A53" w:rsidRDefault="00F12A53" w:rsidP="00345763">
      <w:r>
        <w:rPr>
          <w:noProof/>
          <w:lang w:val="en-GB" w:eastAsia="en-GB"/>
        </w:rPr>
        <w:drawing>
          <wp:inline distT="0" distB="0" distL="0" distR="0" wp14:anchorId="3953DAA1" wp14:editId="434116A2">
            <wp:extent cx="5141343" cy="5304790"/>
            <wp:effectExtent l="0" t="0" r="2540" b="0"/>
            <wp:docPr id="216" name="Picture 216" descr="P577#yIS1"/>
            <wp:cNvGraphicFramePr/>
            <a:graphic xmlns:a="http://schemas.openxmlformats.org/drawingml/2006/main">
              <a:graphicData uri="http://schemas.openxmlformats.org/drawingml/2006/picture">
                <pic:pic xmlns:pic="http://schemas.openxmlformats.org/drawingml/2006/picture">
                  <pic:nvPicPr>
                    <pic:cNvPr id="216" name="Picture 216" descr="P577#yIS1"/>
                    <pic:cNvPicPr/>
                  </pic:nvPicPr>
                  <pic:blipFill rotWithShape="1">
                    <a:blip r:embed="rId25">
                      <a:lum bright="-13000" contrast="33000"/>
                      <a:extLst>
                        <a:ext uri="{28A0092B-C50C-407E-A947-70E740481C1C}">
                          <a14:useLocalDpi xmlns:a14="http://schemas.microsoft.com/office/drawing/2010/main" val="0"/>
                        </a:ext>
                      </a:extLst>
                    </a:blip>
                    <a:srcRect l="1703" r="1457" b="2479"/>
                    <a:stretch/>
                  </pic:blipFill>
                  <pic:spPr bwMode="auto">
                    <a:xfrm>
                      <a:off x="0" y="0"/>
                      <a:ext cx="5141343" cy="5304790"/>
                    </a:xfrm>
                    <a:prstGeom prst="rect">
                      <a:avLst/>
                    </a:prstGeom>
                    <a:noFill/>
                    <a:ln>
                      <a:noFill/>
                    </a:ln>
                    <a:extLst>
                      <a:ext uri="{53640926-AAD7-44D8-BBD7-CCE9431645EC}">
                        <a14:shadowObscured xmlns:a14="http://schemas.microsoft.com/office/drawing/2010/main"/>
                      </a:ext>
                    </a:extLst>
                  </pic:spPr>
                </pic:pic>
              </a:graphicData>
            </a:graphic>
          </wp:inline>
        </w:drawing>
      </w:r>
    </w:p>
    <w:p w14:paraId="03642F03" w14:textId="347AD0DF" w:rsidR="00421EC2" w:rsidRDefault="00421EC2" w:rsidP="00CB0654">
      <w:pPr>
        <w:pStyle w:val="TableDescription"/>
      </w:pPr>
      <w:r>
        <w:t xml:space="preserve">Abbreviation: </w:t>
      </w:r>
      <w:proofErr w:type="spellStart"/>
      <w:r w:rsidRPr="00F12A53">
        <w:t>aTIV</w:t>
      </w:r>
      <w:proofErr w:type="spellEnd"/>
      <w:r w:rsidRPr="00F12A53">
        <w:t xml:space="preserve">=adjuvanted trivalent influenza vaccine. </w:t>
      </w:r>
      <w:proofErr w:type="spellStart"/>
      <w:r w:rsidRPr="00F12A53">
        <w:t>QIVc</w:t>
      </w:r>
      <w:proofErr w:type="spellEnd"/>
      <w:r w:rsidRPr="00F12A53">
        <w:t>=quadrivalent influenza cell-based vaccine</w:t>
      </w:r>
      <w:r>
        <w:t xml:space="preserve">; HAI = </w:t>
      </w:r>
      <w:r w:rsidRPr="00421EC2">
        <w:t>hemagglutination inhibition</w:t>
      </w:r>
      <w:r>
        <w:t xml:space="preserve">; NVX-CoV2373 = </w:t>
      </w:r>
      <w:proofErr w:type="spellStart"/>
      <w:r>
        <w:t>Nuvaxovid</w:t>
      </w:r>
      <w:proofErr w:type="spellEnd"/>
      <w:r>
        <w:t xml:space="preserve">, 5 µg SARS-CoV-2 </w:t>
      </w:r>
      <w:proofErr w:type="spellStart"/>
      <w:r>
        <w:t>rS</w:t>
      </w:r>
      <w:proofErr w:type="spellEnd"/>
      <w:r>
        <w:t xml:space="preserve"> with 50 µg Matrix-M adjuvant.</w:t>
      </w:r>
    </w:p>
    <w:p w14:paraId="0FB42B1D" w14:textId="3BA3027A" w:rsidR="00F12A53" w:rsidRDefault="00F12A53" w:rsidP="00345763">
      <w:r w:rsidRPr="00F12A53">
        <w:t xml:space="preserve">A 30% reduction in antibody responses to </w:t>
      </w:r>
      <w:proofErr w:type="spellStart"/>
      <w:r w:rsidRPr="00F12A53">
        <w:t>N</w:t>
      </w:r>
      <w:r>
        <w:t>uvaxovid</w:t>
      </w:r>
      <w:proofErr w:type="spellEnd"/>
      <w:r w:rsidRPr="00F12A53">
        <w:t xml:space="preserve"> was noted as assessed by an anti</w:t>
      </w:r>
      <w:r>
        <w:noBreakHyphen/>
      </w:r>
      <w:r w:rsidRPr="00F12A53">
        <w:t>spike</w:t>
      </w:r>
      <w:r w:rsidR="00421EC2">
        <w:t xml:space="preserve"> protein</w:t>
      </w:r>
      <w:r w:rsidRPr="00F12A53">
        <w:t xml:space="preserve"> IgG assay with seroconversion rates similar to subjects who did not receive concomitant influenza vaccine.</w:t>
      </w:r>
      <w:r>
        <w:t xml:space="preserve"> </w:t>
      </w:r>
      <w:r w:rsidRPr="00F12A53">
        <w:t>Although</w:t>
      </w:r>
      <w:r>
        <w:t xml:space="preserve">, it is </w:t>
      </w:r>
      <w:r w:rsidRPr="00F12A53">
        <w:t xml:space="preserve">not a direct statistical comparison; as shown in </w:t>
      </w:r>
      <w:r w:rsidR="00DC68AF">
        <w:fldChar w:fldCharType="begin" w:fldLock="1"/>
      </w:r>
      <w:r w:rsidR="00DC68AF">
        <w:instrText xml:space="preserve"> REF _Ref92450502 \h </w:instrText>
      </w:r>
      <w:r w:rsidR="00DC68AF">
        <w:fldChar w:fldCharType="separate"/>
      </w:r>
      <w:r w:rsidR="00AA298B" w:rsidRPr="00DC68AF">
        <w:t xml:space="preserve">Table </w:t>
      </w:r>
      <w:r w:rsidR="00AA298B">
        <w:rPr>
          <w:noProof/>
        </w:rPr>
        <w:t>11</w:t>
      </w:r>
      <w:r w:rsidR="00DC68AF">
        <w:fldChar w:fldCharType="end"/>
      </w:r>
      <w:r w:rsidRPr="00F12A53">
        <w:t>, the GMT of anti-</w:t>
      </w:r>
      <w:r>
        <w:t>spike protein</w:t>
      </w:r>
      <w:r w:rsidRPr="00F12A53">
        <w:t xml:space="preserve"> IgG responses in co</w:t>
      </w:r>
      <w:r w:rsidR="00421EC2">
        <w:t>-</w:t>
      </w:r>
      <w:r w:rsidRPr="00F12A53">
        <w:t xml:space="preserve">administered participants (31236.1 </w:t>
      </w:r>
      <w:r>
        <w:t>(</w:t>
      </w:r>
      <w:r w:rsidRPr="00F12A53">
        <w:t xml:space="preserve">95% CI: 26295.5, 37104,9) had non-overlapping 95% CIs with </w:t>
      </w:r>
      <w:proofErr w:type="spellStart"/>
      <w:r w:rsidRPr="00F12A53">
        <w:t>N</w:t>
      </w:r>
      <w:r w:rsidR="00DC68AF">
        <w:t>uvaxovid</w:t>
      </w:r>
      <w:proofErr w:type="spellEnd"/>
      <w:r w:rsidR="00DC68AF">
        <w:t xml:space="preserve"> </w:t>
      </w:r>
      <w:r w:rsidRPr="00F12A53">
        <w:t xml:space="preserve">only recipients (44678.3 </w:t>
      </w:r>
      <w:r w:rsidR="00DC68AF">
        <w:t>(</w:t>
      </w:r>
      <w:r w:rsidRPr="00F12A53">
        <w:t>95% CI: 40352.2, 49468.2</w:t>
      </w:r>
      <w:r w:rsidR="00DC68AF">
        <w:t>)</w:t>
      </w:r>
      <w:r w:rsidRPr="00F12A53">
        <w:t>). The clinical impact of the reduced response is unknown.</w:t>
      </w:r>
    </w:p>
    <w:p w14:paraId="092CA8C1" w14:textId="765E63A7" w:rsidR="00DC68AF" w:rsidRDefault="00DC68AF" w:rsidP="002249C1">
      <w:pPr>
        <w:pStyle w:val="TableTitle"/>
        <w:keepLines/>
      </w:pPr>
      <w:bookmarkStart w:id="52" w:name="_Ref92450502"/>
      <w:r w:rsidRPr="00DC68AF">
        <w:lastRenderedPageBreak/>
        <w:t xml:space="preserve">Table </w:t>
      </w:r>
      <w:r w:rsidR="00344FF4">
        <w:fldChar w:fldCharType="begin"/>
      </w:r>
      <w:r w:rsidR="00344FF4">
        <w:instrText xml:space="preserve"> SEQ Table \* ARABIC </w:instrText>
      </w:r>
      <w:r w:rsidR="00344FF4">
        <w:fldChar w:fldCharType="separate"/>
      </w:r>
      <w:r w:rsidR="00C41FF6">
        <w:rPr>
          <w:noProof/>
        </w:rPr>
        <w:t>11</w:t>
      </w:r>
      <w:r w:rsidR="00344FF4">
        <w:rPr>
          <w:noProof/>
        </w:rPr>
        <w:fldChar w:fldCharType="end"/>
      </w:r>
      <w:bookmarkEnd w:id="52"/>
      <w:r>
        <w:t xml:space="preserve">: </w:t>
      </w:r>
      <w:r w:rsidR="007F08C6">
        <w:t xml:space="preserve">Study 2019nCoV-302 </w:t>
      </w:r>
      <w:r w:rsidRPr="00DC68AF">
        <w:t xml:space="preserve">Summary of </w:t>
      </w:r>
      <w:r>
        <w:t>s</w:t>
      </w:r>
      <w:r w:rsidRPr="00DC68AF">
        <w:t xml:space="preserve">erum </w:t>
      </w:r>
      <w:r>
        <w:t>a</w:t>
      </w:r>
      <w:r w:rsidRPr="00DC68AF">
        <w:t>nti-</w:t>
      </w:r>
      <w:r>
        <w:t>spike protein</w:t>
      </w:r>
      <w:r w:rsidRPr="00DC68AF">
        <w:t xml:space="preserve"> IgG </w:t>
      </w:r>
      <w:r>
        <w:t>l</w:t>
      </w:r>
      <w:r w:rsidRPr="00DC68AF">
        <w:t xml:space="preserve">evels at Day 0 (Baseline) and Day 35 (14 </w:t>
      </w:r>
      <w:r>
        <w:t>d</w:t>
      </w:r>
      <w:r w:rsidRPr="00DC68AF">
        <w:t xml:space="preserve">ays after </w:t>
      </w:r>
      <w:r>
        <w:t>s</w:t>
      </w:r>
      <w:r w:rsidRPr="00DC68AF">
        <w:t>econd</w:t>
      </w:r>
      <w:r>
        <w:t xml:space="preserve"> dose</w:t>
      </w:r>
      <w:r w:rsidRPr="00DC68AF">
        <w:t xml:space="preserve"> </w:t>
      </w:r>
      <w:r>
        <w:t>v</w:t>
      </w:r>
      <w:r w:rsidRPr="00DC68AF">
        <w:t xml:space="preserve">accination) in </w:t>
      </w:r>
      <w:r>
        <w:t>s</w:t>
      </w:r>
      <w:r w:rsidRPr="00DC68AF">
        <w:t xml:space="preserve">erologically </w:t>
      </w:r>
      <w:r>
        <w:t>n</w:t>
      </w:r>
      <w:r w:rsidRPr="00DC68AF">
        <w:t xml:space="preserve">egative </w:t>
      </w:r>
      <w:r>
        <w:t>a</w:t>
      </w:r>
      <w:r w:rsidRPr="00DC68AF">
        <w:t xml:space="preserve">dult </w:t>
      </w:r>
      <w:r>
        <w:t>s</w:t>
      </w:r>
      <w:r w:rsidRPr="00DC68AF">
        <w:t xml:space="preserve">ubjects </w:t>
      </w:r>
      <w:r>
        <w:t>w</w:t>
      </w:r>
      <w:r w:rsidRPr="00DC68AF">
        <w:t xml:space="preserve">ho </w:t>
      </w:r>
      <w:r>
        <w:t>w</w:t>
      </w:r>
      <w:r w:rsidRPr="00DC68AF">
        <w:t xml:space="preserve">ere </w:t>
      </w:r>
      <w:r>
        <w:t>c</w:t>
      </w:r>
      <w:r w:rsidRPr="00DC68AF">
        <w:t>o-</w:t>
      </w:r>
      <w:r>
        <w:t>a</w:t>
      </w:r>
      <w:r w:rsidRPr="00DC68AF">
        <w:t xml:space="preserve">dministered </w:t>
      </w:r>
      <w:r w:rsidRPr="00F12A53">
        <w:t>quadrivalent influenza cell-based vaccine</w:t>
      </w:r>
      <w:r w:rsidRPr="00DC68AF">
        <w:t xml:space="preserve"> and </w:t>
      </w:r>
      <w:r w:rsidRPr="00F12A53">
        <w:t>adjuvanted trivalent influenza vaccine</w:t>
      </w:r>
      <w:r w:rsidRPr="00DC68AF">
        <w:t xml:space="preserve"> at Day 0 by </w:t>
      </w:r>
      <w:r>
        <w:t>a</w:t>
      </w:r>
      <w:r w:rsidRPr="00DC68AF">
        <w:t xml:space="preserve">ge </w:t>
      </w:r>
      <w:r>
        <w:t>g</w:t>
      </w:r>
      <w:r w:rsidRPr="00DC68AF">
        <w:t>roup (</w:t>
      </w:r>
      <w:r>
        <w:t>per protocol i</w:t>
      </w:r>
      <w:r w:rsidRPr="00EA2CA6">
        <w:t>mmunogenicity</w:t>
      </w:r>
      <w:r w:rsidRPr="00DC68AF">
        <w:t xml:space="preserve"> </w:t>
      </w:r>
      <w:r>
        <w:t>a</w:t>
      </w:r>
      <w:r w:rsidRPr="00DC68AF">
        <w:t>nti-</w:t>
      </w:r>
      <w:r>
        <w:t>spike p</w:t>
      </w:r>
      <w:r w:rsidRPr="00DC68AF">
        <w:t xml:space="preserve">rotein </w:t>
      </w:r>
      <w:r>
        <w:t>s</w:t>
      </w:r>
      <w:r w:rsidRPr="00DC68AF">
        <w:t xml:space="preserve">erology </w:t>
      </w:r>
      <w:r>
        <w:t>s</w:t>
      </w:r>
      <w:r w:rsidRPr="00DC68AF">
        <w:t xml:space="preserve">ubset of the </w:t>
      </w:r>
      <w:r>
        <w:t>s</w:t>
      </w:r>
      <w:r w:rsidRPr="00DC68AF">
        <w:t xml:space="preserve">easonal </w:t>
      </w:r>
      <w:r>
        <w:t>i</w:t>
      </w:r>
      <w:r w:rsidRPr="00DC68AF">
        <w:t xml:space="preserve">nfluenza </w:t>
      </w:r>
      <w:r>
        <w:t>v</w:t>
      </w:r>
      <w:r w:rsidRPr="00DC68AF">
        <w:t xml:space="preserve">accine </w:t>
      </w:r>
      <w:r>
        <w:t>s</w:t>
      </w:r>
      <w:r w:rsidRPr="00DC68AF">
        <w:t>ub</w:t>
      </w:r>
      <w:r>
        <w:t xml:space="preserve"> </w:t>
      </w:r>
      <w:r w:rsidRPr="00DC68AF">
        <w:t>study)</w:t>
      </w:r>
    </w:p>
    <w:p w14:paraId="7A97CE70" w14:textId="63983C13" w:rsidR="00DC68AF" w:rsidRDefault="00DC68AF" w:rsidP="00345763">
      <w:r>
        <w:rPr>
          <w:noProof/>
          <w:lang w:val="en-GB" w:eastAsia="en-GB"/>
        </w:rPr>
        <w:drawing>
          <wp:inline distT="0" distB="0" distL="0" distR="0" wp14:anchorId="1BCA6346" wp14:editId="0CFCD1E3">
            <wp:extent cx="5054520" cy="5184343"/>
            <wp:effectExtent l="0" t="0" r="0" b="0"/>
            <wp:docPr id="218" name="Picture 218" descr="P581#yIS1"/>
            <wp:cNvGraphicFramePr/>
            <a:graphic xmlns:a="http://schemas.openxmlformats.org/drawingml/2006/main">
              <a:graphicData uri="http://schemas.openxmlformats.org/drawingml/2006/picture">
                <pic:pic xmlns:pic="http://schemas.openxmlformats.org/drawingml/2006/picture">
                  <pic:nvPicPr>
                    <pic:cNvPr id="218" name="Picture 218" descr="P581#yIS1"/>
                    <pic:cNvPicPr/>
                  </pic:nvPicPr>
                  <pic:blipFill rotWithShape="1">
                    <a:blip r:embed="rId26">
                      <a:lum bright="-15000" contrast="37000"/>
                      <a:extLst>
                        <a:ext uri="{28A0092B-C50C-407E-A947-70E740481C1C}">
                          <a14:useLocalDpi xmlns:a14="http://schemas.microsoft.com/office/drawing/2010/main" val="0"/>
                        </a:ext>
                      </a:extLst>
                    </a:blip>
                    <a:srcRect l="846" t="1314" r="-1" b="-1"/>
                    <a:stretch/>
                  </pic:blipFill>
                  <pic:spPr bwMode="auto">
                    <a:xfrm>
                      <a:off x="0" y="0"/>
                      <a:ext cx="5060367" cy="5190340"/>
                    </a:xfrm>
                    <a:prstGeom prst="rect">
                      <a:avLst/>
                    </a:prstGeom>
                    <a:noFill/>
                    <a:ln>
                      <a:noFill/>
                    </a:ln>
                    <a:extLst>
                      <a:ext uri="{53640926-AAD7-44D8-BBD7-CCE9431645EC}">
                        <a14:shadowObscured xmlns:a14="http://schemas.microsoft.com/office/drawing/2010/main"/>
                      </a:ext>
                    </a:extLst>
                  </pic:spPr>
                </pic:pic>
              </a:graphicData>
            </a:graphic>
          </wp:inline>
        </w:drawing>
      </w:r>
    </w:p>
    <w:p w14:paraId="624582DC" w14:textId="0ACE5D0E" w:rsidR="00421EC2" w:rsidRDefault="00421EC2" w:rsidP="00CB0654">
      <w:pPr>
        <w:pStyle w:val="TableDescription"/>
      </w:pPr>
      <w:r w:rsidRPr="00421EC2">
        <w:t xml:space="preserve">Abbreviation: </w:t>
      </w:r>
      <w:proofErr w:type="spellStart"/>
      <w:r w:rsidRPr="00421EC2">
        <w:t>aTIV</w:t>
      </w:r>
      <w:proofErr w:type="spellEnd"/>
      <w:r w:rsidRPr="00421EC2">
        <w:t xml:space="preserve">=adjuvanted trivalent influenza vaccine. </w:t>
      </w:r>
      <w:proofErr w:type="spellStart"/>
      <w:r w:rsidRPr="00421EC2">
        <w:t>QIVc</w:t>
      </w:r>
      <w:proofErr w:type="spellEnd"/>
      <w:r w:rsidRPr="00421EC2">
        <w:t xml:space="preserve">=quadrivalent influenza cell-based vaccine; HAI = hemagglutination inhibition; NVX-CoV2373 = </w:t>
      </w:r>
      <w:proofErr w:type="spellStart"/>
      <w:r w:rsidRPr="00421EC2">
        <w:t>Nuvaxovid</w:t>
      </w:r>
      <w:proofErr w:type="spellEnd"/>
      <w:r w:rsidRPr="00421EC2">
        <w:t xml:space="preserve">, 5 µg SARS-CoV-2 </w:t>
      </w:r>
      <w:proofErr w:type="spellStart"/>
      <w:r w:rsidRPr="00421EC2">
        <w:t>rS</w:t>
      </w:r>
      <w:proofErr w:type="spellEnd"/>
      <w:r w:rsidRPr="00421EC2">
        <w:t xml:space="preserve"> with 50 µg Matrix-M adjuvant</w:t>
      </w:r>
      <w:r w:rsidR="004D4674">
        <w:t>; ELISA = e</w:t>
      </w:r>
      <w:r w:rsidR="004D4674" w:rsidRPr="00161432">
        <w:t>nzyme-linked immunosorbent assay</w:t>
      </w:r>
      <w:r w:rsidR="004D4674">
        <w:t>; PP-IMM = per protocol immunogenicity analysis set.</w:t>
      </w:r>
    </w:p>
    <w:p w14:paraId="200CC3AF" w14:textId="4384BF71" w:rsidR="00DC68AF" w:rsidRDefault="00DC68AF" w:rsidP="00345763">
      <w:pPr>
        <w:pStyle w:val="Heading6"/>
        <w:keepNext w:val="0"/>
      </w:pPr>
      <w:r>
        <w:t>Study 2019nCoV-501</w:t>
      </w:r>
    </w:p>
    <w:p w14:paraId="24BBC39A" w14:textId="012593B3" w:rsidR="00DC68AF" w:rsidRDefault="00DC68AF" w:rsidP="00345763">
      <w:r>
        <w:t xml:space="preserve">Study 2019nCoV-501 is an ongoing Phase </w:t>
      </w:r>
      <w:proofErr w:type="spellStart"/>
      <w:r>
        <w:t>IIa</w:t>
      </w:r>
      <w:proofErr w:type="spellEnd"/>
      <w:r>
        <w:t>/b, multicentre, randomised, observer blinded, placeb</w:t>
      </w:r>
      <w:r w:rsidR="004D4674">
        <w:t>o</w:t>
      </w:r>
      <w:r>
        <w:t xml:space="preserve"> controlled study in </w:t>
      </w:r>
      <w:r w:rsidRPr="00DC68AF">
        <w:t xml:space="preserve">human immunodeficiency virus </w:t>
      </w:r>
      <w:r>
        <w:t>(HIV) negative subjects 18 to 84 years of age and people living with HIV 18 to 64 years of age in South Africa. These people were medically stable (free of opportunistic infections), receiving highly active and stable antiretroviral therapy, and having an HIV-1 viral load of &lt; 1000 copies/</w:t>
      </w:r>
      <w:proofErr w:type="spellStart"/>
      <w:r>
        <w:t>mL.</w:t>
      </w:r>
      <w:proofErr w:type="spellEnd"/>
      <w:r>
        <w:t xml:space="preserve"> Upon enrolment, subjects were randomly assigned to receive </w:t>
      </w:r>
      <w:proofErr w:type="spellStart"/>
      <w:r>
        <w:t>Nuvaxovid</w:t>
      </w:r>
      <w:proofErr w:type="spellEnd"/>
      <w:r>
        <w:t xml:space="preserve"> or placebo.</w:t>
      </w:r>
    </w:p>
    <w:p w14:paraId="524BB92B" w14:textId="45BF63AA" w:rsidR="00DC68AF" w:rsidRDefault="00DC68AF" w:rsidP="00345763">
      <w:r>
        <w:t>Immunogenicity related endpoints considered binding antibody levels and neutralising antibody activity at Day 0, 21 (only for binding antibodies) and 35 in healthy HIV</w:t>
      </w:r>
      <w:r w:rsidR="00D34CD3">
        <w:t xml:space="preserve"> </w:t>
      </w:r>
      <w:r>
        <w:t xml:space="preserve">negative </w:t>
      </w:r>
      <w:r>
        <w:lastRenderedPageBreak/>
        <w:t>and medically stable HIV</w:t>
      </w:r>
      <w:r w:rsidR="00D34CD3">
        <w:t xml:space="preserve"> </w:t>
      </w:r>
      <w:r>
        <w:t>positive adult subjects with baseline negative serostatus, baseline positive serostatus, or regardless of baseline serostatus.</w:t>
      </w:r>
    </w:p>
    <w:p w14:paraId="3E0B98BD" w14:textId="38198595" w:rsidR="00DC68AF" w:rsidRDefault="00DC68AF" w:rsidP="00345763">
      <w:r>
        <w:t>Regardless of HIV status, anti-</w:t>
      </w:r>
      <w:r w:rsidR="00D34CD3">
        <w:t>spike protein</w:t>
      </w:r>
      <w:r>
        <w:t xml:space="preserve"> IgG antibody GMTs at Day 0 were higher for subjects who were seropositive at </w:t>
      </w:r>
      <w:r w:rsidR="00D34CD3">
        <w:t>B</w:t>
      </w:r>
      <w:r>
        <w:t xml:space="preserve">aseline, across both vaccine and placebo groups, than they were for subjects who were seronegative at </w:t>
      </w:r>
      <w:r w:rsidR="00D34CD3">
        <w:t>B</w:t>
      </w:r>
      <w:r>
        <w:t>aseline.</w:t>
      </w:r>
    </w:p>
    <w:p w14:paraId="5DEF56A3" w14:textId="53257CCA" w:rsidR="00DC68AF" w:rsidRDefault="00DC68AF" w:rsidP="00345763">
      <w:r>
        <w:t xml:space="preserve">In all subjects (HIV seronegative and HIV seropositive subjects together), SARS-CoV-2 seronegative </w:t>
      </w:r>
      <w:r w:rsidR="007D0113">
        <w:t>at Baseline</w:t>
      </w:r>
      <w:r>
        <w:t>, the anti-</w:t>
      </w:r>
      <w:r w:rsidR="00D34CD3">
        <w:t>spike protein</w:t>
      </w:r>
      <w:r>
        <w:t xml:space="preserve"> IgG antibody GMT at Day 21 was greater for subjects who received </w:t>
      </w:r>
      <w:proofErr w:type="spellStart"/>
      <w:r w:rsidR="00D34CD3">
        <w:t>Nuvaxovid</w:t>
      </w:r>
      <w:proofErr w:type="spellEnd"/>
      <w:r>
        <w:t xml:space="preserve"> (1147.4 </w:t>
      </w:r>
      <w:r w:rsidR="007F08C6">
        <w:t>ELISA units</w:t>
      </w:r>
      <w:r>
        <w:t xml:space="preserve">/mL) than it was for those who received placebo (119.2 </w:t>
      </w:r>
      <w:r w:rsidR="007F08C6">
        <w:t>ELISA units</w:t>
      </w:r>
      <w:r>
        <w:t>/mL). The anti-</w:t>
      </w:r>
      <w:r w:rsidR="00D34CD3">
        <w:t>spike protein</w:t>
      </w:r>
      <w:r>
        <w:t xml:space="preserve"> IgG antibody GMT further increased after the second dose, to 30520.6 and 126.0 </w:t>
      </w:r>
      <w:r w:rsidR="007F08C6">
        <w:t>ELISA units</w:t>
      </w:r>
      <w:r>
        <w:t>/mL at Day 35.</w:t>
      </w:r>
    </w:p>
    <w:p w14:paraId="41DB8C19" w14:textId="5A1492B6" w:rsidR="00DC68AF" w:rsidRDefault="00DC68AF" w:rsidP="00345763">
      <w:r>
        <w:t xml:space="preserve">Among subjects who were SARS-CoV-2 seronegative at </w:t>
      </w:r>
      <w:r w:rsidR="00D34CD3">
        <w:t>B</w:t>
      </w:r>
      <w:r>
        <w:t>aseline, anti-</w:t>
      </w:r>
      <w:r w:rsidR="00D34CD3">
        <w:t>spike protein</w:t>
      </w:r>
      <w:r>
        <w:t xml:space="preserve"> IgG antibody GMTs for HIV</w:t>
      </w:r>
      <w:r w:rsidR="00D34CD3">
        <w:t xml:space="preserve"> </w:t>
      </w:r>
      <w:r>
        <w:t>positive subjects were approximately half of those seen for HIV</w:t>
      </w:r>
      <w:r w:rsidR="00D34CD3">
        <w:t xml:space="preserve"> </w:t>
      </w:r>
      <w:r>
        <w:t>negative subjects (14420.5 v</w:t>
      </w:r>
      <w:r w:rsidR="00D34CD3">
        <w:t>ersus</w:t>
      </w:r>
      <w:r>
        <w:t xml:space="preserve"> 31631.8 </w:t>
      </w:r>
      <w:r w:rsidR="007F08C6" w:rsidRPr="007F08C6">
        <w:t>ELISA units</w:t>
      </w:r>
      <w:r>
        <w:t xml:space="preserve">/mL at Day 35); however, among subjects who were SARS-CoV-2 seropositive at </w:t>
      </w:r>
      <w:r w:rsidR="00D34CD3">
        <w:t>B</w:t>
      </w:r>
      <w:r>
        <w:t>aseline, anti-</w:t>
      </w:r>
      <w:r w:rsidR="00D34CD3">
        <w:t>spike protein</w:t>
      </w:r>
      <w:r>
        <w:t xml:space="preserve"> IgG antibody GMTs for HIV</w:t>
      </w:r>
      <w:r w:rsidR="00D34CD3">
        <w:t xml:space="preserve"> </w:t>
      </w:r>
      <w:r>
        <w:t>positive subjects were comparable to those seen for HIV</w:t>
      </w:r>
      <w:r w:rsidR="00D34CD3">
        <w:t xml:space="preserve"> </w:t>
      </w:r>
      <w:r>
        <w:t>negative subjects (98399.5 v</w:t>
      </w:r>
      <w:r w:rsidR="00D34CD3">
        <w:t>ersu</w:t>
      </w:r>
      <w:r>
        <w:t xml:space="preserve">s 100666.1 </w:t>
      </w:r>
      <w:r w:rsidR="007F08C6">
        <w:t>ELISA units</w:t>
      </w:r>
      <w:r>
        <w:t>/mL at Day 35).</w:t>
      </w:r>
    </w:p>
    <w:p w14:paraId="15803A5C" w14:textId="6B8D1591" w:rsidR="00DC68AF" w:rsidRDefault="00DC68AF" w:rsidP="00345763">
      <w:r>
        <w:t xml:space="preserve">In all subjects, regardless of baseline serostatus and regardless of HIV status, subjects who received </w:t>
      </w:r>
      <w:r w:rsidR="00D34CD3">
        <w:t>two</w:t>
      </w:r>
      <w:r>
        <w:t xml:space="preserve"> doses of </w:t>
      </w:r>
      <w:proofErr w:type="spellStart"/>
      <w:r w:rsidR="00D34CD3">
        <w:t>Nuvaxovid</w:t>
      </w:r>
      <w:proofErr w:type="spellEnd"/>
      <w:r>
        <w:t xml:space="preserve"> showed stronger neutralising antibody responses, in terms of amplitude and kinetics, than did those that received placebo. Also in this study, among subjects who were SARS-CoV-2 seropositive at </w:t>
      </w:r>
      <w:r w:rsidR="00D34CD3">
        <w:t>B</w:t>
      </w:r>
      <w:r>
        <w:t>aseline, neutralising antibody GMTs for HIV</w:t>
      </w:r>
      <w:r w:rsidR="00D34CD3">
        <w:t xml:space="preserve"> </w:t>
      </w:r>
      <w:r>
        <w:t>positive subjects were comparable to those seen for HIV</w:t>
      </w:r>
      <w:r w:rsidR="00D34CD3">
        <w:t xml:space="preserve"> </w:t>
      </w:r>
      <w:r>
        <w:t>negative subjects. Regardless of HIV status, SARS-CoV-2 wild</w:t>
      </w:r>
      <w:r w:rsidR="00D34CD3">
        <w:t xml:space="preserve"> </w:t>
      </w:r>
      <w:r>
        <w:t>type virus neutralising antibody GMTs at Day</w:t>
      </w:r>
      <w:r w:rsidR="00D34CD3">
        <w:t> </w:t>
      </w:r>
      <w:r>
        <w:t xml:space="preserve">35 were markedly higher in seropositive as compared to seronegative subjects. </w:t>
      </w:r>
      <w:r w:rsidR="007F08C6">
        <w:t>Serocon</w:t>
      </w:r>
      <w:r w:rsidR="00AE2E27">
        <w:t>version rates</w:t>
      </w:r>
      <w:r w:rsidR="007F08C6">
        <w:t xml:space="preserve"> </w:t>
      </w:r>
      <w:r>
        <w:t xml:space="preserve">at Day 35 ranged from 92.3% to 98.4% for </w:t>
      </w:r>
      <w:proofErr w:type="spellStart"/>
      <w:r w:rsidR="00D34CD3">
        <w:t>Nuvaxovid</w:t>
      </w:r>
      <w:proofErr w:type="spellEnd"/>
      <w:r>
        <w:t xml:space="preserve"> versus 2% to 13.5% for placebo for all actively immunised subjects and for HIV</w:t>
      </w:r>
      <w:r w:rsidR="00D34CD3">
        <w:t xml:space="preserve"> </w:t>
      </w:r>
      <w:r>
        <w:t>negative and HIV</w:t>
      </w:r>
      <w:r w:rsidR="00D34CD3">
        <w:t xml:space="preserve"> </w:t>
      </w:r>
      <w:r>
        <w:t>positive subjects with baseline negative serostatus, baseline positive serostatus, or regardless of baseline serostatus</w:t>
      </w:r>
      <w:r w:rsidR="00AE2E27">
        <w:t xml:space="preserve"> </w:t>
      </w:r>
      <w:r w:rsidR="00D34CD3">
        <w:t xml:space="preserve">(see </w:t>
      </w:r>
      <w:r w:rsidR="00D34CD3">
        <w:fldChar w:fldCharType="begin" w:fldLock="1"/>
      </w:r>
      <w:r w:rsidR="00D34CD3">
        <w:instrText xml:space="preserve"> REF _Ref92450965 \h </w:instrText>
      </w:r>
      <w:r w:rsidR="00D34CD3">
        <w:fldChar w:fldCharType="separate"/>
      </w:r>
      <w:r w:rsidR="00AA298B">
        <w:t xml:space="preserve">Table </w:t>
      </w:r>
      <w:r w:rsidR="00AA298B">
        <w:rPr>
          <w:noProof/>
        </w:rPr>
        <w:t>12</w:t>
      </w:r>
      <w:r w:rsidR="00D34CD3">
        <w:fldChar w:fldCharType="end"/>
      </w:r>
      <w:r w:rsidR="00D34CD3">
        <w:t>)</w:t>
      </w:r>
      <w:r w:rsidR="00AE2E27">
        <w:t>.</w:t>
      </w:r>
    </w:p>
    <w:p w14:paraId="0EA26584" w14:textId="0DFEC59B" w:rsidR="00D34CD3" w:rsidRPr="00D34CD3" w:rsidRDefault="00D34CD3" w:rsidP="00CB0654">
      <w:pPr>
        <w:pStyle w:val="TableTitle"/>
      </w:pPr>
      <w:bookmarkStart w:id="53" w:name="_Ref92450965"/>
      <w:r>
        <w:t xml:space="preserve">Table </w:t>
      </w:r>
      <w:r w:rsidR="00344FF4">
        <w:fldChar w:fldCharType="begin"/>
      </w:r>
      <w:r w:rsidR="00344FF4">
        <w:instrText xml:space="preserve"> SEQ Table \* ARABIC </w:instrText>
      </w:r>
      <w:r w:rsidR="00344FF4">
        <w:fldChar w:fldCharType="separate"/>
      </w:r>
      <w:r w:rsidR="00C41FF6">
        <w:rPr>
          <w:noProof/>
        </w:rPr>
        <w:t>12</w:t>
      </w:r>
      <w:r w:rsidR="00344FF4">
        <w:rPr>
          <w:noProof/>
        </w:rPr>
        <w:fldChar w:fldCharType="end"/>
      </w:r>
      <w:bookmarkEnd w:id="53"/>
      <w:r>
        <w:t>:</w:t>
      </w:r>
      <w:r w:rsidRPr="00D34CD3">
        <w:t xml:space="preserve"> </w:t>
      </w:r>
      <w:r w:rsidR="00F72B87">
        <w:t xml:space="preserve">Study 2019nCoV-501 </w:t>
      </w:r>
      <w:r>
        <w:t xml:space="preserve">Summary of serum neutralising antibody levels at Day 35 following vaccination with SARS-CoV-2 </w:t>
      </w:r>
      <w:proofErr w:type="spellStart"/>
      <w:r>
        <w:t>rS</w:t>
      </w:r>
      <w:proofErr w:type="spellEnd"/>
      <w:r>
        <w:t xml:space="preserve"> and </w:t>
      </w:r>
      <w:r w:rsidR="006F5F10">
        <w:t>Matrix-M</w:t>
      </w:r>
      <w:r>
        <w:t xml:space="preserve"> adjuvant in all subjects (</w:t>
      </w:r>
      <w:r w:rsidR="00F72B87">
        <w:t>HIV</w:t>
      </w:r>
      <w:r>
        <w:t xml:space="preserve"> negative and </w:t>
      </w:r>
      <w:r w:rsidR="00F72B87">
        <w:t>HIV</w:t>
      </w:r>
      <w:r>
        <w:t xml:space="preserve"> positive</w:t>
      </w:r>
      <w:r w:rsidR="00F72B87">
        <w:t xml:space="preserve"> status</w:t>
      </w:r>
      <w:r>
        <w:t>) stratified by baseline serostatus, comparison of vaccine and placebo groups (per protocol immunogenicity analysis set)</w:t>
      </w:r>
    </w:p>
    <w:p w14:paraId="31051F21" w14:textId="16421446" w:rsidR="00D34CD3" w:rsidRDefault="00D34CD3" w:rsidP="00345763">
      <w:r>
        <w:rPr>
          <w:noProof/>
          <w:lang w:val="en-GB" w:eastAsia="en-GB"/>
        </w:rPr>
        <w:drawing>
          <wp:inline distT="0" distB="0" distL="0" distR="0" wp14:anchorId="36ED66CB" wp14:editId="6B7B8DBF">
            <wp:extent cx="5348377" cy="2715895"/>
            <wp:effectExtent l="0" t="0" r="5080" b="8255"/>
            <wp:docPr id="219" name="Picture 219" descr="P591#yIS1"/>
            <wp:cNvGraphicFramePr/>
            <a:graphic xmlns:a="http://schemas.openxmlformats.org/drawingml/2006/main">
              <a:graphicData uri="http://schemas.openxmlformats.org/drawingml/2006/picture">
                <pic:pic xmlns:pic="http://schemas.openxmlformats.org/drawingml/2006/picture">
                  <pic:nvPicPr>
                    <pic:cNvPr id="219" name="Picture 219" descr="P591#yI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353603" cy="2718549"/>
                    </a:xfrm>
                    <a:prstGeom prst="rect">
                      <a:avLst/>
                    </a:prstGeom>
                    <a:noFill/>
                    <a:ln>
                      <a:noFill/>
                    </a:ln>
                  </pic:spPr>
                </pic:pic>
              </a:graphicData>
            </a:graphic>
          </wp:inline>
        </w:drawing>
      </w:r>
    </w:p>
    <w:p w14:paraId="001091D5" w14:textId="6D10403C" w:rsidR="00D34CD3" w:rsidRDefault="00D34CD3" w:rsidP="00CB0654">
      <w:pPr>
        <w:pStyle w:val="TableDescription"/>
      </w:pPr>
      <w:r>
        <w:t>Abbreviation; CI = confidence interval; GMT = geometric mean titre; GMFR = = geometric mean fold rise</w:t>
      </w:r>
    </w:p>
    <w:p w14:paraId="0D789C0E" w14:textId="4CE991EE" w:rsidR="00D34CD3" w:rsidRDefault="00D34CD3" w:rsidP="002249C1">
      <w:pPr>
        <w:pStyle w:val="Heading5"/>
      </w:pPr>
      <w:r>
        <w:lastRenderedPageBreak/>
        <w:t xml:space="preserve">Conclusions on </w:t>
      </w:r>
      <w:r w:rsidR="00156389" w:rsidRPr="002249C1">
        <w:t>i</w:t>
      </w:r>
      <w:r w:rsidRPr="002249C1">
        <w:t>mmunogenicity</w:t>
      </w:r>
    </w:p>
    <w:p w14:paraId="67078659" w14:textId="066F59C6" w:rsidR="00D34CD3" w:rsidRDefault="00D34CD3" w:rsidP="00345763">
      <w:r>
        <w:t xml:space="preserve">The immune response data overall support the choice of a two dose schedule of </w:t>
      </w:r>
      <w:proofErr w:type="spellStart"/>
      <w:r>
        <w:t>Nuvaxovid</w:t>
      </w:r>
      <w:proofErr w:type="spellEnd"/>
      <w:r>
        <w:t>, with no apparent advantage for 25 versus 5 µg antigen doses in the adjuvanted formulations.</w:t>
      </w:r>
    </w:p>
    <w:p w14:paraId="237D2054" w14:textId="106117B5" w:rsidR="00D34CD3" w:rsidRDefault="00D34CD3" w:rsidP="00345763">
      <w:r>
        <w:t>The interim immunogenicity data indicates that immunogenicity is likely reduced in the elderly and HIV positive subjects; the magnitude of this reduction remains to be determined. Only a few conclusions can currently be reached on (</w:t>
      </w:r>
      <w:proofErr w:type="spellStart"/>
      <w:r>
        <w:t>i</w:t>
      </w:r>
      <w:proofErr w:type="spellEnd"/>
      <w:r>
        <w:t xml:space="preserve">) durability of immune responses (especially in elderly vaccinees), and concomitant use of </w:t>
      </w:r>
      <w:proofErr w:type="spellStart"/>
      <w:r>
        <w:t>Nuvaxovid</w:t>
      </w:r>
      <w:proofErr w:type="spellEnd"/>
      <w:r>
        <w:t xml:space="preserve"> with influenza vaccines (especially adjuvanted influenza vaccines) noting the </w:t>
      </w:r>
      <w:proofErr w:type="spellStart"/>
      <w:r>
        <w:t>N</w:t>
      </w:r>
      <w:r w:rsidR="004D4674">
        <w:t>u</w:t>
      </w:r>
      <w:r>
        <w:t>vaxovid</w:t>
      </w:r>
      <w:proofErr w:type="spellEnd"/>
      <w:r>
        <w:t xml:space="preserve"> induced responses were about 30% lower in </w:t>
      </w:r>
      <w:proofErr w:type="spellStart"/>
      <w:r>
        <w:t>coadministered</w:t>
      </w:r>
      <w:proofErr w:type="spellEnd"/>
      <w:r>
        <w:t xml:space="preserve"> participants.</w:t>
      </w:r>
    </w:p>
    <w:p w14:paraId="44E11CF9" w14:textId="37902FBA" w:rsidR="00096AED" w:rsidRDefault="00D34CD3" w:rsidP="00345763">
      <w:pPr>
        <w:pStyle w:val="Heading4"/>
        <w:keepNext w:val="0"/>
      </w:pPr>
      <w:r w:rsidRPr="00D34CD3">
        <w:t>Efficacy</w:t>
      </w:r>
      <w:bookmarkStart w:id="54" w:name="_Ref243301615"/>
      <w:bookmarkStart w:id="55" w:name="_Ref271040927"/>
      <w:bookmarkStart w:id="56" w:name="_Ref271040932"/>
      <w:bookmarkStart w:id="57" w:name="_Toc272414653"/>
      <w:bookmarkStart w:id="58" w:name="_Toc290888501"/>
      <w:bookmarkStart w:id="59" w:name="_Toc416353717"/>
      <w:bookmarkStart w:id="60" w:name="_Ref77593997"/>
    </w:p>
    <w:p w14:paraId="0C3BD1D5" w14:textId="6B66EB69" w:rsidR="00D34CD3" w:rsidRPr="00096AED" w:rsidRDefault="00D34CD3" w:rsidP="00345763">
      <w:pPr>
        <w:pStyle w:val="Heading5"/>
        <w:keepNext w:val="0"/>
        <w:keepLines w:val="0"/>
        <w:rPr>
          <w:rFonts w:eastAsia="Cambria"/>
        </w:rPr>
      </w:pPr>
      <w:bookmarkStart w:id="61" w:name="_Hlk92456679"/>
      <w:r w:rsidRPr="00096AED">
        <w:t>Study</w:t>
      </w:r>
      <w:bookmarkEnd w:id="54"/>
      <w:bookmarkEnd w:id="55"/>
      <w:bookmarkEnd w:id="56"/>
      <w:bookmarkEnd w:id="57"/>
      <w:bookmarkEnd w:id="58"/>
      <w:bookmarkEnd w:id="59"/>
      <w:r w:rsidRPr="00096AED">
        <w:t xml:space="preserve"> 2019nCoV-302 </w:t>
      </w:r>
      <w:bookmarkEnd w:id="60"/>
      <w:bookmarkEnd w:id="61"/>
      <w:r w:rsidR="00096AED">
        <w:t>Interim report</w:t>
      </w:r>
    </w:p>
    <w:p w14:paraId="6DED8F3A" w14:textId="78712602" w:rsidR="00D34CD3" w:rsidRDefault="00D34CD3" w:rsidP="00345763">
      <w:pPr>
        <w:rPr>
          <w:lang w:eastAsia="ja-JP"/>
        </w:rPr>
      </w:pPr>
      <w:r>
        <w:rPr>
          <w:lang w:eastAsia="ja-JP"/>
        </w:rPr>
        <w:t xml:space="preserve">A </w:t>
      </w:r>
      <w:r w:rsidR="00096AED">
        <w:rPr>
          <w:lang w:eastAsia="ja-JP"/>
        </w:rPr>
        <w:t>P</w:t>
      </w:r>
      <w:r>
        <w:rPr>
          <w:lang w:eastAsia="ja-JP"/>
        </w:rPr>
        <w:t xml:space="preserve">hase </w:t>
      </w:r>
      <w:r w:rsidR="00096AED">
        <w:rPr>
          <w:lang w:eastAsia="ja-JP"/>
        </w:rPr>
        <w:t>III</w:t>
      </w:r>
      <w:r>
        <w:rPr>
          <w:lang w:eastAsia="ja-JP"/>
        </w:rPr>
        <w:t>, randomised, observer</w:t>
      </w:r>
      <w:r w:rsidR="00096AED">
        <w:rPr>
          <w:lang w:eastAsia="ja-JP"/>
        </w:rPr>
        <w:t xml:space="preserve"> </w:t>
      </w:r>
      <w:r>
        <w:rPr>
          <w:lang w:eastAsia="ja-JP"/>
        </w:rPr>
        <w:t xml:space="preserve">blinded, </w:t>
      </w:r>
      <w:r w:rsidR="00096AED">
        <w:rPr>
          <w:lang w:eastAsia="ja-JP"/>
        </w:rPr>
        <w:t>p</w:t>
      </w:r>
      <w:r>
        <w:rPr>
          <w:lang w:eastAsia="ja-JP"/>
        </w:rPr>
        <w:t xml:space="preserve">lacebo-controlled trial to evaluate the efficacy and safety of a SARS-CoV-2 </w:t>
      </w:r>
      <w:proofErr w:type="spellStart"/>
      <w:r>
        <w:rPr>
          <w:lang w:eastAsia="ja-JP"/>
        </w:rPr>
        <w:t>rS</w:t>
      </w:r>
      <w:proofErr w:type="spellEnd"/>
      <w:r>
        <w:rPr>
          <w:lang w:eastAsia="ja-JP"/>
        </w:rPr>
        <w:t xml:space="preserve"> with Matrix-M adjuvant in adult subjects 18</w:t>
      </w:r>
      <w:r w:rsidR="00096AED">
        <w:rPr>
          <w:lang w:eastAsia="ja-JP"/>
        </w:rPr>
        <w:t xml:space="preserve"> to </w:t>
      </w:r>
      <w:r>
        <w:rPr>
          <w:lang w:eastAsia="ja-JP"/>
        </w:rPr>
        <w:t xml:space="preserve">84 years of age in the </w:t>
      </w:r>
      <w:r w:rsidR="00911C90">
        <w:rPr>
          <w:lang w:eastAsia="ja-JP"/>
        </w:rPr>
        <w:t>UK</w:t>
      </w:r>
      <w:r>
        <w:rPr>
          <w:lang w:eastAsia="ja-JP"/>
        </w:rPr>
        <w:t>.</w:t>
      </w:r>
    </w:p>
    <w:p w14:paraId="4D9C87E9" w14:textId="339509CF" w:rsidR="00D34CD3" w:rsidRDefault="00D34CD3" w:rsidP="00345763">
      <w:pPr>
        <w:rPr>
          <w:lang w:eastAsia="ja-JP"/>
        </w:rPr>
      </w:pPr>
      <w:r>
        <w:rPr>
          <w:lang w:eastAsia="ja-JP"/>
        </w:rPr>
        <w:t xml:space="preserve">The study includes a blinded crossover period beginning </w:t>
      </w:r>
      <w:r w:rsidR="00096AED">
        <w:rPr>
          <w:lang w:eastAsia="ja-JP"/>
        </w:rPr>
        <w:t>three</w:t>
      </w:r>
      <w:r>
        <w:rPr>
          <w:lang w:eastAsia="ja-JP"/>
        </w:rPr>
        <w:t xml:space="preserve"> months following the second dose during which subjects </w:t>
      </w:r>
      <w:r w:rsidRPr="00D00210">
        <w:t>who</w:t>
      </w:r>
      <w:r>
        <w:rPr>
          <w:lang w:eastAsia="ja-JP"/>
        </w:rPr>
        <w:t xml:space="preserve"> initially received </w:t>
      </w:r>
      <w:proofErr w:type="spellStart"/>
      <w:r w:rsidR="00096AED">
        <w:rPr>
          <w:lang w:eastAsia="ja-JP"/>
        </w:rPr>
        <w:t>Nuvaxovid</w:t>
      </w:r>
      <w:proofErr w:type="spellEnd"/>
      <w:r>
        <w:rPr>
          <w:lang w:eastAsia="ja-JP"/>
        </w:rPr>
        <w:t xml:space="preserve"> would be revaccinated with </w:t>
      </w:r>
      <w:r w:rsidR="00096AED">
        <w:rPr>
          <w:lang w:eastAsia="ja-JP"/>
        </w:rPr>
        <w:t>two</w:t>
      </w:r>
      <w:r>
        <w:rPr>
          <w:lang w:eastAsia="ja-JP"/>
        </w:rPr>
        <w:t xml:space="preserve"> doses of </w:t>
      </w:r>
      <w:r w:rsidR="00096AED">
        <w:rPr>
          <w:lang w:eastAsia="ja-JP"/>
        </w:rPr>
        <w:t>p</w:t>
      </w:r>
      <w:r>
        <w:rPr>
          <w:lang w:eastAsia="ja-JP"/>
        </w:rPr>
        <w:t xml:space="preserve">lacebo given 21 days apart. Similarly, subjects who initially received </w:t>
      </w:r>
      <w:r w:rsidR="00096AED">
        <w:rPr>
          <w:lang w:eastAsia="ja-JP"/>
        </w:rPr>
        <w:t>p</w:t>
      </w:r>
      <w:r>
        <w:rPr>
          <w:lang w:eastAsia="ja-JP"/>
        </w:rPr>
        <w:t xml:space="preserve">lacebo would be revaccinated with 2 doses of </w:t>
      </w:r>
      <w:proofErr w:type="spellStart"/>
      <w:r w:rsidR="00096AED">
        <w:rPr>
          <w:lang w:eastAsia="ja-JP"/>
        </w:rPr>
        <w:t>Nuvaxovid</w:t>
      </w:r>
      <w:proofErr w:type="spellEnd"/>
      <w:r>
        <w:rPr>
          <w:lang w:eastAsia="ja-JP"/>
        </w:rPr>
        <w:t>. The data from the blinded crossover period were not provided in this interim report.</w:t>
      </w:r>
    </w:p>
    <w:p w14:paraId="4E3BF606" w14:textId="281D6BA1" w:rsidR="00D34CD3" w:rsidRPr="00096AED" w:rsidRDefault="00D34CD3" w:rsidP="00345763">
      <w:pPr>
        <w:pStyle w:val="Heading6"/>
        <w:keepNext w:val="0"/>
        <w:rPr>
          <w:rFonts w:eastAsia="Cambria"/>
          <w:u w:val="single"/>
          <w:lang w:eastAsia="ja-JP"/>
        </w:rPr>
      </w:pPr>
      <w:r w:rsidRPr="00096AED">
        <w:rPr>
          <w:lang w:eastAsia="ja-JP"/>
        </w:rPr>
        <w:t xml:space="preserve">Primary </w:t>
      </w:r>
      <w:r w:rsidR="00E947B1">
        <w:rPr>
          <w:lang w:eastAsia="ja-JP"/>
        </w:rPr>
        <w:t>o</w:t>
      </w:r>
      <w:r w:rsidRPr="00096AED">
        <w:rPr>
          <w:lang w:eastAsia="ja-JP"/>
        </w:rPr>
        <w:t>bjective</w:t>
      </w:r>
    </w:p>
    <w:p w14:paraId="6D5A2B0E" w14:textId="7DD0DECF" w:rsidR="00D34CD3" w:rsidRDefault="00E947B1" w:rsidP="00345763">
      <w:pPr>
        <w:rPr>
          <w:lang w:eastAsia="ja-JP"/>
        </w:rPr>
      </w:pPr>
      <w:r w:rsidRPr="00D00210">
        <w:rPr>
          <w:i/>
          <w:lang w:eastAsia="ja-JP"/>
        </w:rPr>
        <w:t>Primary objective</w:t>
      </w:r>
      <w:r>
        <w:rPr>
          <w:lang w:eastAsia="ja-JP"/>
        </w:rPr>
        <w:t>: d</w:t>
      </w:r>
      <w:r w:rsidR="00D34CD3">
        <w:rPr>
          <w:lang w:eastAsia="ja-JP"/>
        </w:rPr>
        <w:t xml:space="preserve">emonstrate efficacy of </w:t>
      </w:r>
      <w:proofErr w:type="spellStart"/>
      <w:r w:rsidR="00096AED">
        <w:rPr>
          <w:lang w:eastAsia="ja-JP"/>
        </w:rPr>
        <w:t>Nuvaxovid</w:t>
      </w:r>
      <w:proofErr w:type="spellEnd"/>
      <w:r w:rsidR="00D34CD3">
        <w:rPr>
          <w:lang w:eastAsia="ja-JP"/>
        </w:rPr>
        <w:t xml:space="preserve"> in </w:t>
      </w:r>
      <w:r w:rsidR="00D34CD3" w:rsidRPr="00D00210">
        <w:t>preventing</w:t>
      </w:r>
      <w:r w:rsidR="00D34CD3">
        <w:rPr>
          <w:lang w:eastAsia="ja-JP"/>
        </w:rPr>
        <w:t xml:space="preserve"> symptomatic, </w:t>
      </w:r>
      <w:r w:rsidR="00096AED" w:rsidRPr="00096AED">
        <w:rPr>
          <w:lang w:eastAsia="ja-JP"/>
        </w:rPr>
        <w:t xml:space="preserve">polymerase chain reaction </w:t>
      </w:r>
      <w:r w:rsidR="00096AED">
        <w:rPr>
          <w:lang w:eastAsia="ja-JP"/>
        </w:rPr>
        <w:t>(</w:t>
      </w:r>
      <w:r w:rsidR="00D34CD3">
        <w:rPr>
          <w:lang w:eastAsia="ja-JP"/>
        </w:rPr>
        <w:t>PCR</w:t>
      </w:r>
      <w:r w:rsidR="00096AED">
        <w:rPr>
          <w:lang w:eastAsia="ja-JP"/>
        </w:rPr>
        <w:t xml:space="preserve">) </w:t>
      </w:r>
      <w:r w:rsidR="00D34CD3">
        <w:rPr>
          <w:lang w:eastAsia="ja-JP"/>
        </w:rPr>
        <w:t>confirmed COVID-19 in serologically negative (to SARS</w:t>
      </w:r>
      <w:r>
        <w:rPr>
          <w:lang w:eastAsia="ja-JP"/>
        </w:rPr>
        <w:noBreakHyphen/>
      </w:r>
      <w:r w:rsidR="00D34CD3">
        <w:rPr>
          <w:lang w:eastAsia="ja-JP"/>
        </w:rPr>
        <w:t>CoV-2) adults.</w:t>
      </w:r>
    </w:p>
    <w:p w14:paraId="3732A0FD" w14:textId="22DD87F8" w:rsidR="00D34CD3" w:rsidRDefault="00D34CD3" w:rsidP="00345763">
      <w:pPr>
        <w:rPr>
          <w:lang w:eastAsia="ja-JP"/>
        </w:rPr>
      </w:pPr>
      <w:r w:rsidRPr="00D00210">
        <w:rPr>
          <w:i/>
          <w:lang w:eastAsia="ja-JP"/>
        </w:rPr>
        <w:t>End</w:t>
      </w:r>
      <w:r w:rsidR="00096AED" w:rsidRPr="00D00210">
        <w:rPr>
          <w:i/>
          <w:lang w:eastAsia="ja-JP"/>
        </w:rPr>
        <w:t>p</w:t>
      </w:r>
      <w:r w:rsidRPr="00D00210">
        <w:rPr>
          <w:i/>
          <w:lang w:eastAsia="ja-JP"/>
        </w:rPr>
        <w:t>oints</w:t>
      </w:r>
      <w:r>
        <w:rPr>
          <w:lang w:eastAsia="ja-JP"/>
        </w:rPr>
        <w:t>: the first episode of PCR</w:t>
      </w:r>
      <w:r w:rsidR="004D4674">
        <w:rPr>
          <w:lang w:eastAsia="ja-JP"/>
        </w:rPr>
        <w:t xml:space="preserve"> </w:t>
      </w:r>
      <w:r>
        <w:rPr>
          <w:lang w:eastAsia="ja-JP"/>
        </w:rPr>
        <w:t>positive mild, moderate, or severe COVID-19</w:t>
      </w:r>
      <w:r w:rsidR="004D4674">
        <w:rPr>
          <w:lang w:eastAsia="ja-JP"/>
        </w:rPr>
        <w:t>;</w:t>
      </w:r>
      <w:bookmarkStart w:id="62" w:name="_Ref92453426"/>
      <w:r w:rsidR="004D4674" w:rsidRPr="004D4674">
        <w:rPr>
          <w:rStyle w:val="FootnoteReference"/>
          <w:lang w:eastAsia="ja-JP"/>
        </w:rPr>
        <w:t xml:space="preserve"> </w:t>
      </w:r>
      <w:r w:rsidR="00C41FF6">
        <w:rPr>
          <w:rFonts w:ascii="ZWAdobeF" w:hAnsi="ZWAdobeF" w:cs="ZWAdobeF"/>
          <w:sz w:val="2"/>
          <w:szCs w:val="2"/>
          <w:lang w:eastAsia="ja-JP"/>
        </w:rPr>
        <w:t>27F</w:t>
      </w:r>
      <w:r w:rsidR="004D4674">
        <w:rPr>
          <w:rStyle w:val="FootnoteReference"/>
          <w:lang w:eastAsia="ja-JP"/>
        </w:rPr>
        <w:footnoteReference w:id="28"/>
      </w:r>
      <w:bookmarkEnd w:id="62"/>
      <w:r>
        <w:rPr>
          <w:lang w:eastAsia="ja-JP"/>
        </w:rPr>
        <w:t xml:space="preserve">with onset at least </w:t>
      </w:r>
      <w:r w:rsidR="00096AED">
        <w:rPr>
          <w:lang w:eastAsia="ja-JP"/>
        </w:rPr>
        <w:t>seven</w:t>
      </w:r>
      <w:r>
        <w:rPr>
          <w:lang w:eastAsia="ja-JP"/>
        </w:rPr>
        <w:t xml:space="preserve"> days after second study vaccination (</w:t>
      </w:r>
      <w:r w:rsidR="00096AED">
        <w:rPr>
          <w:lang w:eastAsia="ja-JP"/>
        </w:rPr>
        <w:t xml:space="preserve">for example </w:t>
      </w:r>
      <w:r>
        <w:rPr>
          <w:lang w:eastAsia="ja-JP"/>
        </w:rPr>
        <w:t xml:space="preserve">Day 28), in serologically negative (to SARS-CoV-2) adult subjects at </w:t>
      </w:r>
      <w:r w:rsidR="00096AED">
        <w:rPr>
          <w:lang w:eastAsia="ja-JP"/>
        </w:rPr>
        <w:t>B</w:t>
      </w:r>
      <w:r>
        <w:rPr>
          <w:lang w:eastAsia="ja-JP"/>
        </w:rPr>
        <w:t>aseline until the endpoint</w:t>
      </w:r>
      <w:r w:rsidR="00096AED">
        <w:rPr>
          <w:lang w:eastAsia="ja-JP"/>
        </w:rPr>
        <w:t xml:space="preserve"> </w:t>
      </w:r>
      <w:r>
        <w:rPr>
          <w:lang w:eastAsia="ja-JP"/>
        </w:rPr>
        <w:t>driven efficacy analysis is triggered by the occurrence of a prespecified number of blinded endpoints.</w:t>
      </w:r>
    </w:p>
    <w:p w14:paraId="2C56C8C7" w14:textId="3B34AC35" w:rsidR="00D34CD3" w:rsidRDefault="00D34CD3" w:rsidP="00345763">
      <w:pPr>
        <w:pStyle w:val="Heading6"/>
        <w:keepNext w:val="0"/>
        <w:rPr>
          <w:lang w:eastAsia="ja-JP"/>
        </w:rPr>
      </w:pPr>
      <w:r w:rsidRPr="00096AED">
        <w:rPr>
          <w:lang w:eastAsia="ja-JP"/>
        </w:rPr>
        <w:t xml:space="preserve">Secondary </w:t>
      </w:r>
      <w:r w:rsidR="00E947B1">
        <w:rPr>
          <w:lang w:eastAsia="ja-JP"/>
        </w:rPr>
        <w:t>o</w:t>
      </w:r>
      <w:r w:rsidRPr="00096AED">
        <w:rPr>
          <w:lang w:eastAsia="ja-JP"/>
        </w:rPr>
        <w:t>bjective</w:t>
      </w:r>
    </w:p>
    <w:p w14:paraId="09812D01" w14:textId="0766A84E" w:rsidR="00E947B1" w:rsidRPr="007267CC" w:rsidRDefault="00E947B1" w:rsidP="00345763">
      <w:pPr>
        <w:rPr>
          <w:lang w:eastAsia="ja-JP"/>
        </w:rPr>
      </w:pPr>
      <w:r w:rsidRPr="00D00210">
        <w:rPr>
          <w:i/>
          <w:lang w:eastAsia="ja-JP"/>
        </w:rPr>
        <w:t>Secondary objective:</w:t>
      </w:r>
    </w:p>
    <w:p w14:paraId="18613CFB" w14:textId="0D0376FE" w:rsidR="00D34CD3" w:rsidRDefault="00D34CD3" w:rsidP="00345763">
      <w:pPr>
        <w:pStyle w:val="ListBullet"/>
        <w:rPr>
          <w:lang w:eastAsia="ja-JP"/>
        </w:rPr>
      </w:pPr>
      <w:r>
        <w:rPr>
          <w:lang w:eastAsia="ja-JP"/>
        </w:rPr>
        <w:t xml:space="preserve">To demonstrate the efficacy of SARS-CoV-2 </w:t>
      </w:r>
      <w:proofErr w:type="spellStart"/>
      <w:r>
        <w:rPr>
          <w:lang w:eastAsia="ja-JP"/>
        </w:rPr>
        <w:t>rS</w:t>
      </w:r>
      <w:proofErr w:type="spellEnd"/>
      <w:r>
        <w:rPr>
          <w:lang w:eastAsia="ja-JP"/>
        </w:rPr>
        <w:t xml:space="preserve"> with </w:t>
      </w:r>
      <w:r w:rsidR="006F5F10">
        <w:rPr>
          <w:lang w:eastAsia="ja-JP"/>
        </w:rPr>
        <w:t>Matrix-M</w:t>
      </w:r>
      <w:r>
        <w:rPr>
          <w:lang w:eastAsia="ja-JP"/>
        </w:rPr>
        <w:t xml:space="preserve"> adjuvant in the prevention of virologically confirmed (by PCR to SARS-CoV-2), symptomatic COVID-19, when given as a </w:t>
      </w:r>
      <w:r w:rsidR="00096AED">
        <w:rPr>
          <w:lang w:eastAsia="ja-JP"/>
        </w:rPr>
        <w:t xml:space="preserve">two </w:t>
      </w:r>
      <w:r>
        <w:rPr>
          <w:lang w:eastAsia="ja-JP"/>
        </w:rPr>
        <w:t xml:space="preserve">dose vaccination regimen, as compared to placebo, in adults regardless of their serostatus at </w:t>
      </w:r>
      <w:r w:rsidR="00096AED">
        <w:rPr>
          <w:lang w:eastAsia="ja-JP"/>
        </w:rPr>
        <w:t>B</w:t>
      </w:r>
      <w:r>
        <w:rPr>
          <w:lang w:eastAsia="ja-JP"/>
        </w:rPr>
        <w:t>aseline.</w:t>
      </w:r>
    </w:p>
    <w:p w14:paraId="656D35FC" w14:textId="58CBED1B" w:rsidR="00D34CD3" w:rsidRDefault="00D34CD3" w:rsidP="00345763">
      <w:pPr>
        <w:pStyle w:val="ListBullet"/>
        <w:rPr>
          <w:lang w:eastAsia="ja-JP"/>
        </w:rPr>
      </w:pPr>
      <w:r>
        <w:rPr>
          <w:lang w:eastAsia="ja-JP"/>
        </w:rPr>
        <w:t xml:space="preserve">To assess the efficacy of SARS-CoV-2 </w:t>
      </w:r>
      <w:proofErr w:type="spellStart"/>
      <w:r>
        <w:rPr>
          <w:lang w:eastAsia="ja-JP"/>
        </w:rPr>
        <w:t>rS</w:t>
      </w:r>
      <w:proofErr w:type="spellEnd"/>
      <w:r>
        <w:rPr>
          <w:lang w:eastAsia="ja-JP"/>
        </w:rPr>
        <w:t xml:space="preserve"> with </w:t>
      </w:r>
      <w:r w:rsidR="006F5F10">
        <w:rPr>
          <w:lang w:eastAsia="ja-JP"/>
        </w:rPr>
        <w:t>Matrix-M</w:t>
      </w:r>
      <w:r>
        <w:rPr>
          <w:lang w:eastAsia="ja-JP"/>
        </w:rPr>
        <w:t xml:space="preserve"> adjuvant in adult subjects requiring specific medical interventions as compared to placebo. </w:t>
      </w:r>
    </w:p>
    <w:p w14:paraId="29BCE55B" w14:textId="6EBF4DFC" w:rsidR="00D34CD3" w:rsidRPr="00D00210" w:rsidRDefault="00D34CD3" w:rsidP="00345763">
      <w:pPr>
        <w:rPr>
          <w:i/>
        </w:rPr>
      </w:pPr>
      <w:r w:rsidRPr="00D00210">
        <w:rPr>
          <w:i/>
        </w:rPr>
        <w:t>End</w:t>
      </w:r>
      <w:r w:rsidR="00E947B1" w:rsidRPr="00D00210">
        <w:rPr>
          <w:i/>
        </w:rPr>
        <w:t>p</w:t>
      </w:r>
      <w:r w:rsidRPr="00D00210">
        <w:rPr>
          <w:i/>
        </w:rPr>
        <w:t>oints:</w:t>
      </w:r>
    </w:p>
    <w:p w14:paraId="4EB7A19C" w14:textId="7E2329B5" w:rsidR="00D34CD3" w:rsidRPr="00F435F2" w:rsidRDefault="00D34CD3" w:rsidP="00345763">
      <w:pPr>
        <w:pStyle w:val="ListBullet"/>
        <w:rPr>
          <w:lang w:eastAsia="ja-JP"/>
        </w:rPr>
      </w:pPr>
      <w:r w:rsidRPr="00F435F2">
        <w:rPr>
          <w:lang w:eastAsia="ja-JP"/>
        </w:rPr>
        <w:t xml:space="preserve">First occurrence of virologically confirmed (by PCR to SARS-CoV-2), symptomatic moderate or severe COVID-19 with onset at least </w:t>
      </w:r>
      <w:r w:rsidR="00F435F2" w:rsidRPr="00F435F2">
        <w:rPr>
          <w:lang w:eastAsia="ja-JP"/>
        </w:rPr>
        <w:t>seven</w:t>
      </w:r>
      <w:r w:rsidRPr="00F435F2">
        <w:rPr>
          <w:lang w:eastAsia="ja-JP"/>
        </w:rPr>
        <w:t xml:space="preserve"> days after second study vaccination (</w:t>
      </w:r>
      <w:r w:rsidR="00F435F2" w:rsidRPr="00F435F2">
        <w:rPr>
          <w:lang w:eastAsia="ja-JP"/>
        </w:rPr>
        <w:t>for example</w:t>
      </w:r>
      <w:r w:rsidRPr="00F435F2">
        <w:rPr>
          <w:lang w:eastAsia="ja-JP"/>
        </w:rPr>
        <w:t xml:space="preserve"> Day 28) in serologically negative (to SARS-CoV-2) adult </w:t>
      </w:r>
      <w:r w:rsidRPr="00F435F2">
        <w:rPr>
          <w:lang w:eastAsia="ja-JP"/>
        </w:rPr>
        <w:lastRenderedPageBreak/>
        <w:t xml:space="preserve">subjects at </w:t>
      </w:r>
      <w:r w:rsidR="00F435F2" w:rsidRPr="00F435F2">
        <w:rPr>
          <w:lang w:eastAsia="ja-JP"/>
        </w:rPr>
        <w:t>B</w:t>
      </w:r>
      <w:r w:rsidRPr="00F435F2">
        <w:rPr>
          <w:lang w:eastAsia="ja-JP"/>
        </w:rPr>
        <w:t>aseline until the endpoint</w:t>
      </w:r>
      <w:r w:rsidR="00F435F2" w:rsidRPr="00F435F2">
        <w:rPr>
          <w:lang w:eastAsia="ja-JP"/>
        </w:rPr>
        <w:t xml:space="preserve"> </w:t>
      </w:r>
      <w:r w:rsidRPr="00F435F2">
        <w:rPr>
          <w:lang w:eastAsia="ja-JP"/>
        </w:rPr>
        <w:t>driven efficacy analysis is triggered by the occurrence of a prespecified number of blinded endpoints.</w:t>
      </w:r>
    </w:p>
    <w:p w14:paraId="75BFB76F" w14:textId="5DFEFE3F" w:rsidR="00D34CD3" w:rsidRPr="00F435F2" w:rsidRDefault="00F435F2" w:rsidP="00345763">
      <w:pPr>
        <w:pStyle w:val="ListBullet"/>
        <w:rPr>
          <w:lang w:eastAsia="ja-JP"/>
        </w:rPr>
      </w:pPr>
      <w:r w:rsidRPr="00F435F2">
        <w:rPr>
          <w:lang w:eastAsia="ja-JP"/>
        </w:rPr>
        <w:t>F</w:t>
      </w:r>
      <w:r w:rsidR="00D34CD3" w:rsidRPr="00F435F2">
        <w:rPr>
          <w:lang w:eastAsia="ja-JP"/>
        </w:rPr>
        <w:t>irst occurrence of virologically confirmed (by PCR to SARS-CoV-2), symptomatic severe COVID-19</w:t>
      </w:r>
      <w:r>
        <w:rPr>
          <w:lang w:eastAsia="ja-JP"/>
        </w:rPr>
        <w:t>;</w:t>
      </w:r>
      <w:r>
        <w:rPr>
          <w:lang w:eastAsia="ja-JP"/>
        </w:rPr>
        <w:fldChar w:fldCharType="begin"/>
      </w:r>
      <w:r>
        <w:rPr>
          <w:lang w:eastAsia="ja-JP"/>
        </w:rPr>
        <w:instrText xml:space="preserve"> NOTEREF _Ref92453426 \f \h </w:instrText>
      </w:r>
      <w:r>
        <w:rPr>
          <w:lang w:eastAsia="ja-JP"/>
        </w:rPr>
      </w:r>
      <w:r>
        <w:rPr>
          <w:lang w:eastAsia="ja-JP"/>
        </w:rPr>
        <w:fldChar w:fldCharType="separate"/>
      </w:r>
      <w:r w:rsidR="00C41FF6" w:rsidRPr="00C41FF6">
        <w:rPr>
          <w:rStyle w:val="FootnoteReference"/>
        </w:rPr>
        <w:t>28</w:t>
      </w:r>
      <w:r>
        <w:rPr>
          <w:lang w:eastAsia="ja-JP"/>
        </w:rPr>
        <w:fldChar w:fldCharType="end"/>
      </w:r>
      <w:r w:rsidR="00D34CD3" w:rsidRPr="00F435F2">
        <w:rPr>
          <w:lang w:eastAsia="ja-JP"/>
        </w:rPr>
        <w:t xml:space="preserve"> with onset at least </w:t>
      </w:r>
      <w:r w:rsidRPr="00F435F2">
        <w:rPr>
          <w:lang w:eastAsia="ja-JP"/>
        </w:rPr>
        <w:t>seven</w:t>
      </w:r>
      <w:r w:rsidR="00D34CD3" w:rsidRPr="00F435F2">
        <w:rPr>
          <w:lang w:eastAsia="ja-JP"/>
        </w:rPr>
        <w:t xml:space="preserve"> days after second study vaccination (</w:t>
      </w:r>
      <w:r w:rsidRPr="00F435F2">
        <w:rPr>
          <w:lang w:eastAsia="ja-JP"/>
        </w:rPr>
        <w:t>for example</w:t>
      </w:r>
      <w:r w:rsidR="00D34CD3" w:rsidRPr="00F435F2">
        <w:rPr>
          <w:lang w:eastAsia="ja-JP"/>
        </w:rPr>
        <w:t xml:space="preserve"> Day 28) in serologically negative (to SARS-CoV-2) adult subjects at </w:t>
      </w:r>
      <w:r w:rsidRPr="00F435F2">
        <w:rPr>
          <w:lang w:eastAsia="ja-JP"/>
        </w:rPr>
        <w:t>B</w:t>
      </w:r>
      <w:r w:rsidR="00D34CD3" w:rsidRPr="00F435F2">
        <w:rPr>
          <w:lang w:eastAsia="ja-JP"/>
        </w:rPr>
        <w:t>aseline until the endpoint-driven efficacy analysis is triggered by the occurrence of a prespecified number of blinded endpoints.</w:t>
      </w:r>
    </w:p>
    <w:p w14:paraId="56ED0E64" w14:textId="55EA0ADA" w:rsidR="00D34CD3" w:rsidRPr="00F435F2" w:rsidRDefault="00D34CD3" w:rsidP="00345763">
      <w:pPr>
        <w:pStyle w:val="ListBullet"/>
        <w:rPr>
          <w:lang w:eastAsia="ja-JP"/>
        </w:rPr>
      </w:pPr>
      <w:r w:rsidRPr="00F435F2">
        <w:rPr>
          <w:lang w:eastAsia="ja-JP"/>
        </w:rPr>
        <w:t>First occurrence of virologically confirmed (by PCR to SARS-CoV-2), symptomatic mild, moderate, or severe COVID-19,</w:t>
      </w:r>
      <w:r w:rsidR="00F435F2">
        <w:rPr>
          <w:lang w:eastAsia="ja-JP"/>
        </w:rPr>
        <w:fldChar w:fldCharType="begin"/>
      </w:r>
      <w:r w:rsidR="00F435F2">
        <w:rPr>
          <w:lang w:eastAsia="ja-JP"/>
        </w:rPr>
        <w:instrText xml:space="preserve"> NOTEREF _Ref92453426 \f \h </w:instrText>
      </w:r>
      <w:r w:rsidR="00F435F2">
        <w:rPr>
          <w:lang w:eastAsia="ja-JP"/>
        </w:rPr>
      </w:r>
      <w:r w:rsidR="00F435F2">
        <w:rPr>
          <w:lang w:eastAsia="ja-JP"/>
        </w:rPr>
        <w:fldChar w:fldCharType="separate"/>
      </w:r>
      <w:r w:rsidR="00C41FF6" w:rsidRPr="00C41FF6">
        <w:rPr>
          <w:rStyle w:val="FootnoteReference"/>
        </w:rPr>
        <w:t>28</w:t>
      </w:r>
      <w:r w:rsidR="00F435F2">
        <w:rPr>
          <w:lang w:eastAsia="ja-JP"/>
        </w:rPr>
        <w:fldChar w:fldCharType="end"/>
      </w:r>
      <w:r w:rsidRPr="00F435F2">
        <w:rPr>
          <w:lang w:eastAsia="ja-JP"/>
        </w:rPr>
        <w:t xml:space="preserve"> with onset at least </w:t>
      </w:r>
      <w:r w:rsidR="00F435F2" w:rsidRPr="00F435F2">
        <w:rPr>
          <w:lang w:eastAsia="ja-JP"/>
        </w:rPr>
        <w:t>seven</w:t>
      </w:r>
      <w:r w:rsidRPr="00F435F2">
        <w:rPr>
          <w:lang w:eastAsia="ja-JP"/>
        </w:rPr>
        <w:t xml:space="preserve"> days after second study vaccination (</w:t>
      </w:r>
      <w:r w:rsidR="00F435F2" w:rsidRPr="00F435F2">
        <w:rPr>
          <w:lang w:eastAsia="ja-JP"/>
        </w:rPr>
        <w:t xml:space="preserve">for example </w:t>
      </w:r>
      <w:r w:rsidRPr="00F435F2">
        <w:rPr>
          <w:lang w:eastAsia="ja-JP"/>
        </w:rPr>
        <w:t xml:space="preserve">Day 28) in adult subjects regardless of their serostatus at </w:t>
      </w:r>
      <w:r w:rsidR="00F435F2" w:rsidRPr="00F435F2">
        <w:rPr>
          <w:lang w:eastAsia="ja-JP"/>
        </w:rPr>
        <w:t>B</w:t>
      </w:r>
      <w:r w:rsidRPr="00F435F2">
        <w:rPr>
          <w:lang w:eastAsia="ja-JP"/>
        </w:rPr>
        <w:t>aseline.</w:t>
      </w:r>
    </w:p>
    <w:p w14:paraId="4BF9B8D4" w14:textId="58A05E76" w:rsidR="00D34CD3" w:rsidRDefault="00D34CD3" w:rsidP="00345763">
      <w:pPr>
        <w:pStyle w:val="ListBullet"/>
        <w:rPr>
          <w:lang w:eastAsia="ja-JP"/>
        </w:rPr>
      </w:pPr>
      <w:r>
        <w:rPr>
          <w:lang w:eastAsia="ja-JP"/>
        </w:rPr>
        <w:t xml:space="preserve">First occurrence of COVID-19 requiring </w:t>
      </w:r>
      <w:r w:rsidRPr="00F435F2">
        <w:rPr>
          <w:lang w:eastAsia="ja-JP"/>
        </w:rPr>
        <w:t>hospitalisation, ICU admission or mechanical ventilation</w:t>
      </w:r>
      <w:r>
        <w:rPr>
          <w:i/>
          <w:iCs/>
          <w:lang w:eastAsia="ja-JP"/>
        </w:rPr>
        <w:t xml:space="preserve"> </w:t>
      </w:r>
      <w:r>
        <w:rPr>
          <w:lang w:eastAsia="ja-JP"/>
        </w:rPr>
        <w:t xml:space="preserve">linked to any virologically confirmed (by PCR to SARS-CoV-2) COVID-19 with onset at least </w:t>
      </w:r>
      <w:r w:rsidR="00F435F2">
        <w:rPr>
          <w:lang w:eastAsia="ja-JP"/>
        </w:rPr>
        <w:t>seven</w:t>
      </w:r>
      <w:r>
        <w:rPr>
          <w:lang w:eastAsia="ja-JP"/>
        </w:rPr>
        <w:t xml:space="preserve"> days after second study vaccination (</w:t>
      </w:r>
      <w:r w:rsidR="00F435F2">
        <w:rPr>
          <w:lang w:eastAsia="ja-JP"/>
        </w:rPr>
        <w:t xml:space="preserve">for example </w:t>
      </w:r>
      <w:r>
        <w:rPr>
          <w:lang w:eastAsia="ja-JP"/>
        </w:rPr>
        <w:t xml:space="preserve">Day 28) in adult subjects </w:t>
      </w:r>
      <w:r w:rsidRPr="00F435F2">
        <w:rPr>
          <w:lang w:eastAsia="ja-JP"/>
        </w:rPr>
        <w:t xml:space="preserve">regardless of their serostatus at </w:t>
      </w:r>
      <w:r w:rsidR="00F435F2" w:rsidRPr="00F435F2">
        <w:rPr>
          <w:lang w:eastAsia="ja-JP"/>
        </w:rPr>
        <w:t>B</w:t>
      </w:r>
      <w:r w:rsidRPr="00F435F2">
        <w:rPr>
          <w:lang w:eastAsia="ja-JP"/>
        </w:rPr>
        <w:t>aseline.</w:t>
      </w:r>
    </w:p>
    <w:p w14:paraId="4634682B" w14:textId="77777777" w:rsidR="00D34CD3" w:rsidRPr="00F435F2" w:rsidRDefault="00D34CD3" w:rsidP="00345763">
      <w:pPr>
        <w:pStyle w:val="Heading6"/>
        <w:keepNext w:val="0"/>
        <w:rPr>
          <w:lang w:eastAsia="ja-JP"/>
        </w:rPr>
      </w:pPr>
      <w:bookmarkStart w:id="63" w:name="_Ref76118193"/>
      <w:r w:rsidRPr="00F435F2">
        <w:t>Analysis populations</w:t>
      </w:r>
      <w:bookmarkEnd w:id="63"/>
    </w:p>
    <w:p w14:paraId="638D1A94" w14:textId="6FAABB57" w:rsidR="00D34CD3" w:rsidRDefault="00D34CD3" w:rsidP="00345763">
      <w:pPr>
        <w:rPr>
          <w:lang w:eastAsia="ja-JP"/>
        </w:rPr>
      </w:pPr>
      <w:r>
        <w:rPr>
          <w:lang w:eastAsia="ja-JP"/>
        </w:rPr>
        <w:t xml:space="preserve">The </w:t>
      </w:r>
      <w:r w:rsidR="00F435F2" w:rsidRPr="00F435F2">
        <w:rPr>
          <w:bCs/>
          <w:lang w:eastAsia="ja-JP"/>
        </w:rPr>
        <w:t>all screened subjects analysis set</w:t>
      </w:r>
      <w:r>
        <w:rPr>
          <w:lang w:eastAsia="ja-JP"/>
        </w:rPr>
        <w:t xml:space="preserve"> included all subjects who were screened, inclusive of screen failures.</w:t>
      </w:r>
    </w:p>
    <w:p w14:paraId="37417B41" w14:textId="6EEBE78D" w:rsidR="00D34CD3" w:rsidRDefault="00D34CD3" w:rsidP="00345763">
      <w:pPr>
        <w:rPr>
          <w:lang w:eastAsia="ja-JP"/>
        </w:rPr>
      </w:pPr>
      <w:r>
        <w:rPr>
          <w:lang w:eastAsia="ja-JP"/>
        </w:rPr>
        <w:t xml:space="preserve">The </w:t>
      </w:r>
      <w:r w:rsidR="00F435F2" w:rsidRPr="00F435F2">
        <w:rPr>
          <w:bCs/>
          <w:lang w:eastAsia="ja-JP"/>
        </w:rPr>
        <w:t>all random</w:t>
      </w:r>
      <w:r w:rsidR="007D0113">
        <w:rPr>
          <w:bCs/>
          <w:lang w:eastAsia="ja-JP"/>
        </w:rPr>
        <w:t>is</w:t>
      </w:r>
      <w:r w:rsidR="00F435F2" w:rsidRPr="00F435F2">
        <w:rPr>
          <w:bCs/>
          <w:lang w:eastAsia="ja-JP"/>
        </w:rPr>
        <w:t>ed subjects analysis set</w:t>
      </w:r>
      <w:r>
        <w:rPr>
          <w:lang w:eastAsia="ja-JP"/>
        </w:rPr>
        <w:t xml:space="preserve"> included all subjects who were randomised regardless of the receipt of any study vaccine (</w:t>
      </w:r>
      <w:proofErr w:type="spellStart"/>
      <w:r w:rsidR="00F435F2">
        <w:rPr>
          <w:lang w:eastAsia="ja-JP"/>
        </w:rPr>
        <w:t>Nuvaxovid</w:t>
      </w:r>
      <w:proofErr w:type="spellEnd"/>
      <w:r>
        <w:rPr>
          <w:lang w:eastAsia="ja-JP"/>
        </w:rPr>
        <w:t xml:space="preserve"> or </w:t>
      </w:r>
      <w:r w:rsidR="00F435F2">
        <w:rPr>
          <w:lang w:eastAsia="ja-JP"/>
        </w:rPr>
        <w:t>p</w:t>
      </w:r>
      <w:r>
        <w:rPr>
          <w:lang w:eastAsia="ja-JP"/>
        </w:rPr>
        <w:t>lacebo).</w:t>
      </w:r>
    </w:p>
    <w:p w14:paraId="66223E22" w14:textId="4F786725" w:rsidR="00D34CD3" w:rsidRDefault="00D34CD3" w:rsidP="00345763">
      <w:pPr>
        <w:rPr>
          <w:lang w:eastAsia="ja-JP"/>
        </w:rPr>
      </w:pPr>
      <w:r>
        <w:rPr>
          <w:lang w:eastAsia="ja-JP"/>
        </w:rPr>
        <w:t xml:space="preserve">The </w:t>
      </w:r>
      <w:r w:rsidR="00F435F2">
        <w:rPr>
          <w:bCs/>
          <w:lang w:eastAsia="ja-JP"/>
        </w:rPr>
        <w:t>intent to treat (ITT) a</w:t>
      </w:r>
      <w:r w:rsidRPr="00F435F2">
        <w:rPr>
          <w:bCs/>
          <w:lang w:eastAsia="ja-JP"/>
        </w:rPr>
        <w:t xml:space="preserve">nalysis </w:t>
      </w:r>
      <w:r w:rsidR="00F435F2">
        <w:rPr>
          <w:bCs/>
          <w:lang w:eastAsia="ja-JP"/>
        </w:rPr>
        <w:t>s</w:t>
      </w:r>
      <w:r w:rsidRPr="00F435F2">
        <w:rPr>
          <w:bCs/>
          <w:lang w:eastAsia="ja-JP"/>
        </w:rPr>
        <w:t>et</w:t>
      </w:r>
      <w:r>
        <w:rPr>
          <w:lang w:eastAsia="ja-JP"/>
        </w:rPr>
        <w:t xml:space="preserve"> (n = 15</w:t>
      </w:r>
      <w:r w:rsidR="00E947B1">
        <w:rPr>
          <w:lang w:eastAsia="ja-JP"/>
        </w:rPr>
        <w:t>,</w:t>
      </w:r>
      <w:r>
        <w:rPr>
          <w:lang w:eastAsia="ja-JP"/>
        </w:rPr>
        <w:t>139) included all subjects who were randomised and received at least one dose of study vaccine regardless of protocol violations or missing data.</w:t>
      </w:r>
    </w:p>
    <w:p w14:paraId="4AB6902B" w14:textId="77777777" w:rsidR="00D34CD3" w:rsidRPr="00F435F2" w:rsidRDefault="00D34CD3" w:rsidP="00345763">
      <w:pPr>
        <w:pStyle w:val="Heading6"/>
        <w:keepNext w:val="0"/>
      </w:pPr>
      <w:r w:rsidRPr="00F435F2">
        <w:t>Sample size</w:t>
      </w:r>
    </w:p>
    <w:p w14:paraId="58C59816" w14:textId="70BE52D6" w:rsidR="00D34CD3" w:rsidRDefault="00D34CD3" w:rsidP="00345763">
      <w:pPr>
        <w:rPr>
          <w:lang w:eastAsia="ja-JP"/>
        </w:rPr>
      </w:pPr>
      <w:r>
        <w:rPr>
          <w:lang w:eastAsia="ja-JP"/>
        </w:rPr>
        <w:t>This study was designed to enrol approximately 15</w:t>
      </w:r>
      <w:r w:rsidR="00E947B1">
        <w:rPr>
          <w:lang w:eastAsia="ja-JP"/>
        </w:rPr>
        <w:t>,</w:t>
      </w:r>
      <w:r>
        <w:rPr>
          <w:lang w:eastAsia="ja-JP"/>
        </w:rPr>
        <w:t>000 subjects, who will be initially randomised 1:1 into the study vaccine groups. The sample size is driven by the total number of events expected to achieve statistical significance for the primary efficacy endpoint. A target of 100 mild, moderate, or severe COVID-19</w:t>
      </w:r>
      <w:r w:rsidR="00F435F2">
        <w:rPr>
          <w:lang w:eastAsia="ja-JP"/>
        </w:rPr>
        <w:t>;</w:t>
      </w:r>
      <w:r w:rsidR="00F435F2">
        <w:rPr>
          <w:lang w:eastAsia="ja-JP"/>
        </w:rPr>
        <w:fldChar w:fldCharType="begin"/>
      </w:r>
      <w:r w:rsidR="00F435F2">
        <w:rPr>
          <w:lang w:eastAsia="ja-JP"/>
        </w:rPr>
        <w:instrText xml:space="preserve"> NOTEREF _Ref92453426 \f \h </w:instrText>
      </w:r>
      <w:r w:rsidR="0042587B">
        <w:rPr>
          <w:lang w:eastAsia="ja-JP"/>
        </w:rPr>
        <w:instrText xml:space="preserve"> \* MERGEFORMAT </w:instrText>
      </w:r>
      <w:r w:rsidR="00F435F2">
        <w:rPr>
          <w:lang w:eastAsia="ja-JP"/>
        </w:rPr>
      </w:r>
      <w:r w:rsidR="00F435F2">
        <w:rPr>
          <w:lang w:eastAsia="ja-JP"/>
        </w:rPr>
        <w:fldChar w:fldCharType="separate"/>
      </w:r>
      <w:r w:rsidR="00C41FF6" w:rsidRPr="00C41FF6">
        <w:rPr>
          <w:rStyle w:val="FootnoteReference"/>
        </w:rPr>
        <w:t>28</w:t>
      </w:r>
      <w:r w:rsidR="00F435F2">
        <w:rPr>
          <w:lang w:eastAsia="ja-JP"/>
        </w:rPr>
        <w:fldChar w:fldCharType="end"/>
      </w:r>
      <w:r>
        <w:rPr>
          <w:lang w:eastAsia="ja-JP"/>
        </w:rPr>
        <w:t xml:space="preserve"> cases was chosen to provide &gt;</w:t>
      </w:r>
      <w:r w:rsidR="00F435F2">
        <w:rPr>
          <w:lang w:eastAsia="ja-JP"/>
        </w:rPr>
        <w:t> </w:t>
      </w:r>
      <w:r>
        <w:rPr>
          <w:lang w:eastAsia="ja-JP"/>
        </w:rPr>
        <w:t>95% power for 70% or higher vaccine efficacy (VE). A single interim analysis of efficacy will be conducted based on the accumulation of approximately 50% (50 events) of the total anticipated primary endpoints using Lan-</w:t>
      </w:r>
      <w:proofErr w:type="spellStart"/>
      <w:r>
        <w:rPr>
          <w:lang w:eastAsia="ja-JP"/>
        </w:rPr>
        <w:t>DeMets</w:t>
      </w:r>
      <w:proofErr w:type="spellEnd"/>
      <w:r>
        <w:rPr>
          <w:lang w:eastAsia="ja-JP"/>
        </w:rPr>
        <w:t xml:space="preserve"> alpha-spending function for Pocock boundary conditions, with a planned one-sided alpha of 0.0155 at 50% of the data and 0.01387 at the final analysis.</w:t>
      </w:r>
    </w:p>
    <w:p w14:paraId="2F68755C" w14:textId="77777777" w:rsidR="00D34CD3" w:rsidRPr="00F435F2" w:rsidRDefault="00D34CD3" w:rsidP="00345763">
      <w:pPr>
        <w:pStyle w:val="Heading6"/>
        <w:keepNext w:val="0"/>
        <w:rPr>
          <w:lang w:eastAsia="ja-JP"/>
        </w:rPr>
      </w:pPr>
      <w:r w:rsidRPr="00F435F2">
        <w:rPr>
          <w:lang w:eastAsia="ja-JP"/>
        </w:rPr>
        <w:t>Efficacy analysis</w:t>
      </w:r>
    </w:p>
    <w:p w14:paraId="09555BC9" w14:textId="25B624CF" w:rsidR="00D34CD3" w:rsidRPr="0042587B" w:rsidRDefault="00D34CD3" w:rsidP="00345763">
      <w:pPr>
        <w:rPr>
          <w:lang w:eastAsia="ja-JP"/>
        </w:rPr>
      </w:pPr>
      <w:r>
        <w:rPr>
          <w:lang w:eastAsia="ja-JP"/>
        </w:rPr>
        <w:t xml:space="preserve">The primary efficacy endpoint was analysed on the </w:t>
      </w:r>
      <w:r w:rsidR="00F435F2">
        <w:rPr>
          <w:lang w:eastAsia="ja-JP"/>
        </w:rPr>
        <w:t>per protocol</w:t>
      </w:r>
      <w:r w:rsidR="0042587B">
        <w:rPr>
          <w:lang w:eastAsia="ja-JP"/>
        </w:rPr>
        <w:t xml:space="preserve"> efficacy a</w:t>
      </w:r>
      <w:r>
        <w:rPr>
          <w:lang w:eastAsia="ja-JP"/>
        </w:rPr>
        <w:t xml:space="preserve">nalysis </w:t>
      </w:r>
      <w:r w:rsidR="0042587B">
        <w:rPr>
          <w:lang w:eastAsia="ja-JP"/>
        </w:rPr>
        <w:t>s</w:t>
      </w:r>
      <w:r>
        <w:rPr>
          <w:lang w:eastAsia="ja-JP"/>
        </w:rPr>
        <w:t xml:space="preserve">et and supported by an analysis on the </w:t>
      </w:r>
      <w:r w:rsidR="00F435F2">
        <w:rPr>
          <w:lang w:eastAsia="ja-JP"/>
        </w:rPr>
        <w:t>ITT</w:t>
      </w:r>
      <w:r>
        <w:rPr>
          <w:lang w:eastAsia="ja-JP"/>
        </w:rPr>
        <w:t xml:space="preserve"> </w:t>
      </w:r>
      <w:r w:rsidR="00F435F2">
        <w:rPr>
          <w:lang w:eastAsia="ja-JP"/>
        </w:rPr>
        <w:t>a</w:t>
      </w:r>
      <w:r>
        <w:rPr>
          <w:lang w:eastAsia="ja-JP"/>
        </w:rPr>
        <w:t xml:space="preserve">nalysis </w:t>
      </w:r>
      <w:r w:rsidR="00F435F2">
        <w:rPr>
          <w:lang w:eastAsia="ja-JP"/>
        </w:rPr>
        <w:t>s</w:t>
      </w:r>
      <w:r>
        <w:rPr>
          <w:lang w:eastAsia="ja-JP"/>
        </w:rPr>
        <w:t xml:space="preserve">et. </w:t>
      </w:r>
      <w:r w:rsidR="00E947B1">
        <w:rPr>
          <w:lang w:eastAsia="ja-JP"/>
        </w:rPr>
        <w:t xml:space="preserve">Vaccine efficacy </w:t>
      </w:r>
      <w:r>
        <w:rPr>
          <w:lang w:eastAsia="ja-JP"/>
        </w:rPr>
        <w:t>was defined as VE</w:t>
      </w:r>
      <w:r w:rsidR="00E947B1">
        <w:rPr>
          <w:lang w:eastAsia="ja-JP"/>
        </w:rPr>
        <w:t> </w:t>
      </w:r>
      <w:r>
        <w:rPr>
          <w:lang w:eastAsia="ja-JP"/>
        </w:rPr>
        <w:t xml:space="preserve">(%) = 100 x (1 – RR), where RR was the relative risk of incidence rates between the </w:t>
      </w:r>
      <w:r w:rsidR="0042587B">
        <w:rPr>
          <w:lang w:eastAsia="ja-JP"/>
        </w:rPr>
        <w:t>two</w:t>
      </w:r>
      <w:r>
        <w:rPr>
          <w:lang w:eastAsia="ja-JP"/>
        </w:rPr>
        <w:t xml:space="preserve"> study vaccine groups (</w:t>
      </w:r>
      <w:proofErr w:type="spellStart"/>
      <w:r w:rsidR="0042587B">
        <w:rPr>
          <w:lang w:eastAsia="ja-JP"/>
        </w:rPr>
        <w:t>Nuvaxovid</w:t>
      </w:r>
      <w:proofErr w:type="spellEnd"/>
      <w:r>
        <w:rPr>
          <w:lang w:eastAsia="ja-JP"/>
        </w:rPr>
        <w:t xml:space="preserve"> v</w:t>
      </w:r>
      <w:r w:rsidR="0042587B">
        <w:rPr>
          <w:lang w:eastAsia="ja-JP"/>
        </w:rPr>
        <w:t>ersus p</w:t>
      </w:r>
      <w:r>
        <w:rPr>
          <w:lang w:eastAsia="ja-JP"/>
        </w:rPr>
        <w:t>lacebo). Mean disease incidence rate was reported as incident rate per year in 1000 people. The estimated RR and its CI were calculated with the use of Poisson regression and robust error variance.</w:t>
      </w:r>
      <w:r w:rsidR="0042587B">
        <w:rPr>
          <w:lang w:eastAsia="ja-JP"/>
        </w:rPr>
        <w:t xml:space="preserve"> </w:t>
      </w:r>
      <w:r w:rsidRPr="0042587B">
        <w:rPr>
          <w:i/>
          <w:iCs/>
          <w:lang w:eastAsia="ja-JP"/>
        </w:rPr>
        <w:t>‘The main (hypothesis testing) analysis (</w:t>
      </w:r>
      <w:r w:rsidR="0042587B">
        <w:rPr>
          <w:i/>
          <w:iCs/>
          <w:lang w:eastAsia="ja-JP"/>
        </w:rPr>
        <w:t xml:space="preserve">for example </w:t>
      </w:r>
      <w:r w:rsidRPr="0042587B">
        <w:rPr>
          <w:i/>
          <w:iCs/>
          <w:lang w:eastAsia="ja-JP"/>
        </w:rPr>
        <w:t>event</w:t>
      </w:r>
      <w:r w:rsidR="0042587B">
        <w:rPr>
          <w:i/>
          <w:iCs/>
          <w:lang w:eastAsia="ja-JP"/>
        </w:rPr>
        <w:t xml:space="preserve"> </w:t>
      </w:r>
      <w:r w:rsidRPr="0042587B">
        <w:rPr>
          <w:i/>
          <w:iCs/>
          <w:lang w:eastAsia="ja-JP"/>
        </w:rPr>
        <w:t>driven) for the interim and final analyses for the primary objective was carried out at an overall one</w:t>
      </w:r>
      <w:r w:rsidR="0042587B">
        <w:rPr>
          <w:i/>
          <w:iCs/>
          <w:lang w:eastAsia="ja-JP"/>
        </w:rPr>
        <w:t xml:space="preserve"> </w:t>
      </w:r>
      <w:r w:rsidRPr="0042587B">
        <w:rPr>
          <w:i/>
          <w:iCs/>
          <w:lang w:eastAsia="ja-JP"/>
        </w:rPr>
        <w:t xml:space="preserve">sided Type I error rate of 0.025 for the primary endpoint.’ </w:t>
      </w:r>
      <w:r w:rsidRPr="0042587B">
        <w:rPr>
          <w:lang w:eastAsia="ja-JP"/>
        </w:rPr>
        <w:t>The null hypothesis was VE ≤</w:t>
      </w:r>
      <w:r w:rsidR="004D4674">
        <w:rPr>
          <w:lang w:eastAsia="ja-JP"/>
        </w:rPr>
        <w:t> </w:t>
      </w:r>
      <w:r w:rsidRPr="0042587B">
        <w:rPr>
          <w:lang w:eastAsia="ja-JP"/>
        </w:rPr>
        <w:t>30% and rejection of the null hypothesis was accepted if the alpha</w:t>
      </w:r>
      <w:r w:rsidR="0042587B">
        <w:rPr>
          <w:lang w:eastAsia="ja-JP"/>
        </w:rPr>
        <w:t xml:space="preserve"> </w:t>
      </w:r>
      <w:r w:rsidRPr="0042587B">
        <w:rPr>
          <w:lang w:eastAsia="ja-JP"/>
        </w:rPr>
        <w:t>adjusted lower bound CI was &gt;</w:t>
      </w:r>
      <w:r w:rsidR="004D4674">
        <w:rPr>
          <w:lang w:eastAsia="ja-JP"/>
        </w:rPr>
        <w:t> </w:t>
      </w:r>
      <w:r w:rsidRPr="0042587B">
        <w:rPr>
          <w:lang w:eastAsia="ja-JP"/>
        </w:rPr>
        <w:t>30%.</w:t>
      </w:r>
    </w:p>
    <w:p w14:paraId="2AAED86E" w14:textId="19497A21" w:rsidR="00D34CD3" w:rsidRDefault="00D34CD3" w:rsidP="00345763">
      <w:pPr>
        <w:rPr>
          <w:lang w:eastAsia="ja-JP"/>
        </w:rPr>
      </w:pPr>
      <w:r>
        <w:rPr>
          <w:lang w:eastAsia="ja-JP"/>
        </w:rPr>
        <w:t xml:space="preserve">Secondary endpoint efficacy analyses were based on the ITT </w:t>
      </w:r>
      <w:r w:rsidR="0042587B">
        <w:rPr>
          <w:lang w:eastAsia="ja-JP"/>
        </w:rPr>
        <w:t>a</w:t>
      </w:r>
      <w:r>
        <w:rPr>
          <w:lang w:eastAsia="ja-JP"/>
        </w:rPr>
        <w:t xml:space="preserve">nalysis </w:t>
      </w:r>
      <w:r w:rsidR="0042587B">
        <w:rPr>
          <w:lang w:eastAsia="ja-JP"/>
        </w:rPr>
        <w:t>s</w:t>
      </w:r>
      <w:r>
        <w:rPr>
          <w:lang w:eastAsia="ja-JP"/>
        </w:rPr>
        <w:t>et using the same methods as the primary efficacy endpoint without adjustment for multiple comparisons (</w:t>
      </w:r>
      <w:r w:rsidR="0042587B">
        <w:rPr>
          <w:lang w:eastAsia="ja-JP"/>
        </w:rPr>
        <w:t xml:space="preserve">that is </w:t>
      </w:r>
      <w:r>
        <w:rPr>
          <w:lang w:eastAsia="ja-JP"/>
        </w:rPr>
        <w:t>two</w:t>
      </w:r>
      <w:r w:rsidR="0042587B">
        <w:rPr>
          <w:lang w:eastAsia="ja-JP"/>
        </w:rPr>
        <w:t xml:space="preserve"> </w:t>
      </w:r>
      <w:r>
        <w:rPr>
          <w:lang w:eastAsia="ja-JP"/>
        </w:rPr>
        <w:t>sided alpha of 0.05).</w:t>
      </w:r>
    </w:p>
    <w:p w14:paraId="10B1C676" w14:textId="467B5E8A" w:rsidR="00D34CD3" w:rsidRDefault="00D34CD3" w:rsidP="00345763">
      <w:pPr>
        <w:rPr>
          <w:lang w:eastAsia="ja-JP"/>
        </w:rPr>
      </w:pPr>
      <w:r>
        <w:rPr>
          <w:lang w:eastAsia="ja-JP"/>
        </w:rPr>
        <w:lastRenderedPageBreak/>
        <w:t>An additional efficacy analysis was performed by repeating primary, secondary and subgroup analyses for events attributable to the</w:t>
      </w:r>
      <w:r w:rsidR="0042587B">
        <w:rPr>
          <w:lang w:eastAsia="ja-JP"/>
        </w:rPr>
        <w:t xml:space="preserve"> alpha variant (B.1.1.7 lineage)</w:t>
      </w:r>
      <w:r>
        <w:rPr>
          <w:lang w:eastAsia="ja-JP"/>
        </w:rPr>
        <w:t xml:space="preserve"> of SARS-CoV-2.</w:t>
      </w:r>
    </w:p>
    <w:p w14:paraId="0F174FD2" w14:textId="57AEF177" w:rsidR="00D34CD3" w:rsidRPr="0042587B" w:rsidRDefault="00D34CD3" w:rsidP="00345763">
      <w:pPr>
        <w:pStyle w:val="Heading6"/>
        <w:keepNext w:val="0"/>
      </w:pPr>
      <w:r w:rsidRPr="0042587B">
        <w:t>Subjects flow</w:t>
      </w:r>
    </w:p>
    <w:p w14:paraId="0B2EB4BD" w14:textId="7B02CBA5" w:rsidR="00D34CD3" w:rsidRPr="00672B8B" w:rsidRDefault="00D34CD3" w:rsidP="00345763">
      <w:r>
        <w:t>The trial schema for subjects flow is shown in</w:t>
      </w:r>
      <w:r w:rsidR="0042587B">
        <w:t xml:space="preserve"> </w:t>
      </w:r>
      <w:r w:rsidR="0042587B">
        <w:fldChar w:fldCharType="begin" w:fldLock="1"/>
      </w:r>
      <w:r w:rsidR="0042587B">
        <w:instrText xml:space="preserve"> REF _Ref92454359 \h  \* MERGEFORMAT </w:instrText>
      </w:r>
      <w:r w:rsidR="0042587B">
        <w:fldChar w:fldCharType="separate"/>
      </w:r>
      <w:r w:rsidR="00AA298B" w:rsidRPr="00672B8B">
        <w:t xml:space="preserve">Figure </w:t>
      </w:r>
      <w:r w:rsidR="00AA298B">
        <w:rPr>
          <w:noProof/>
        </w:rPr>
        <w:t>5</w:t>
      </w:r>
      <w:r w:rsidR="0042587B">
        <w:fldChar w:fldCharType="end"/>
      </w:r>
      <w:r>
        <w:t xml:space="preserve">. On Day 0, baseline nose/throat samples were taken for SARS-CoV-2 PCR (including the </w:t>
      </w:r>
      <w:r w:rsidR="0042587B">
        <w:t>alpha variant</w:t>
      </w:r>
      <w:r>
        <w:t xml:space="preserve">) and blood was taken to detect any existing SARS-CoV-2 antibodies at </w:t>
      </w:r>
      <w:r w:rsidR="0042587B">
        <w:t>B</w:t>
      </w:r>
      <w:r>
        <w:t>aseline. Also, methods for nose/throat sample collection (</w:t>
      </w:r>
      <w:r w:rsidR="0042587B">
        <w:t>that is</w:t>
      </w:r>
      <w:r>
        <w:t xml:space="preserve"> </w:t>
      </w:r>
      <w:proofErr w:type="spellStart"/>
      <w:r>
        <w:t>self</w:t>
      </w:r>
      <w:r w:rsidR="0042587B">
        <w:t xml:space="preserve"> </w:t>
      </w:r>
      <w:r>
        <w:t>swabbing</w:t>
      </w:r>
      <w:proofErr w:type="spellEnd"/>
      <w:r>
        <w:t>) were demonstrated to subjects.</w:t>
      </w:r>
      <w:bookmarkStart w:id="64" w:name="_Ref75942235"/>
    </w:p>
    <w:p w14:paraId="6E0A91B5" w14:textId="1F2863FC" w:rsidR="00245D5A" w:rsidRDefault="00245D5A" w:rsidP="00345763">
      <w:pPr>
        <w:pStyle w:val="FigureTitle"/>
        <w:keepNext w:val="0"/>
        <w:rPr>
          <w:szCs w:val="18"/>
        </w:rPr>
      </w:pPr>
      <w:bookmarkStart w:id="65" w:name="_Ref92454359"/>
      <w:bookmarkEnd w:id="64"/>
      <w:r w:rsidRPr="00672B8B">
        <w:t xml:space="preserve">Figure </w:t>
      </w:r>
      <w:r w:rsidR="00344FF4">
        <w:fldChar w:fldCharType="begin"/>
      </w:r>
      <w:r w:rsidR="00344FF4">
        <w:instrText xml:space="preserve"> SEQ Figure \* ARABIC </w:instrText>
      </w:r>
      <w:r w:rsidR="00344FF4">
        <w:fldChar w:fldCharType="separate"/>
      </w:r>
      <w:r w:rsidR="00C41FF6">
        <w:rPr>
          <w:noProof/>
        </w:rPr>
        <w:t>5</w:t>
      </w:r>
      <w:r w:rsidR="00344FF4">
        <w:rPr>
          <w:noProof/>
        </w:rPr>
        <w:fldChar w:fldCharType="end"/>
      </w:r>
      <w:bookmarkEnd w:id="65"/>
      <w:r>
        <w:rPr>
          <w:szCs w:val="18"/>
        </w:rPr>
        <w:t xml:space="preserve">: </w:t>
      </w:r>
      <w:r w:rsidRPr="00245D5A">
        <w:rPr>
          <w:szCs w:val="18"/>
        </w:rPr>
        <w:t xml:space="preserve">Study 2019nCoV-302 </w:t>
      </w:r>
      <w:r>
        <w:rPr>
          <w:szCs w:val="18"/>
        </w:rPr>
        <w:t>Trial schema with blinded crossover</w:t>
      </w:r>
    </w:p>
    <w:p w14:paraId="53904394" w14:textId="368AA277" w:rsidR="00672B8B" w:rsidRDefault="00672B8B" w:rsidP="00345763">
      <w:r>
        <w:rPr>
          <w:noProof/>
          <w:lang w:val="en-GB" w:eastAsia="en-GB"/>
        </w:rPr>
        <w:drawing>
          <wp:inline distT="0" distB="0" distL="0" distR="0" wp14:anchorId="04DC12DD" wp14:editId="40143CE1">
            <wp:extent cx="3444066" cy="5201728"/>
            <wp:effectExtent l="0" t="0" r="4445" b="0"/>
            <wp:docPr id="10" name="Picture 10" descr="P6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625#yIS1"/>
                    <pic:cNvPicPr/>
                  </pic:nvPicPr>
                  <pic:blipFill>
                    <a:blip r:embed="rId28"/>
                    <a:stretch>
                      <a:fillRect/>
                    </a:stretch>
                  </pic:blipFill>
                  <pic:spPr>
                    <a:xfrm>
                      <a:off x="0" y="0"/>
                      <a:ext cx="3453655" cy="5216211"/>
                    </a:xfrm>
                    <a:prstGeom prst="rect">
                      <a:avLst/>
                    </a:prstGeom>
                  </pic:spPr>
                </pic:pic>
              </a:graphicData>
            </a:graphic>
          </wp:inline>
        </w:drawing>
      </w:r>
    </w:p>
    <w:p w14:paraId="3D69DD3A" w14:textId="3ED0DBCC" w:rsidR="002B6C8A" w:rsidRDefault="002B6C8A" w:rsidP="00345763">
      <w:pPr>
        <w:pStyle w:val="FigureDescription"/>
        <w:rPr>
          <w:lang w:eastAsia="ja-JP"/>
        </w:rPr>
      </w:pPr>
      <w:r w:rsidRPr="001C6703">
        <w:rPr>
          <w:lang w:eastAsia="ja-JP"/>
        </w:rPr>
        <w:t>FU = follow-up; IM = intramuscular; N = number of participants.</w:t>
      </w:r>
      <w:r>
        <w:rPr>
          <w:lang w:eastAsia="ja-JP"/>
        </w:rPr>
        <w:t xml:space="preserve"> </w:t>
      </w:r>
      <w:r w:rsidRPr="001C6703">
        <w:rPr>
          <w:lang w:eastAsia="ja-JP"/>
        </w:rPr>
        <w:t>Note: The 3-month follow-up and Day 1 Crossover visits can be consolidated if they occur within 30 days of</w:t>
      </w:r>
      <w:r>
        <w:rPr>
          <w:lang w:eastAsia="ja-JP"/>
        </w:rPr>
        <w:t xml:space="preserve"> </w:t>
      </w:r>
      <w:r w:rsidRPr="001C6703">
        <w:rPr>
          <w:lang w:eastAsia="ja-JP"/>
        </w:rPr>
        <w:t>each other. The Day 35 Crossover visit is only for participants in the anti-S immunogenicity subgroup</w:t>
      </w:r>
      <w:r>
        <w:rPr>
          <w:lang w:eastAsia="ja-JP"/>
        </w:rPr>
        <w:t>.</w:t>
      </w:r>
    </w:p>
    <w:p w14:paraId="13236A95" w14:textId="0DED1DE7" w:rsidR="002B6C8A" w:rsidRDefault="002B6C8A" w:rsidP="00345763">
      <w:pPr>
        <w:rPr>
          <w:lang w:eastAsia="ja-JP"/>
        </w:rPr>
      </w:pPr>
      <w:r>
        <w:rPr>
          <w:lang w:eastAsia="ja-JP"/>
        </w:rPr>
        <w:t>The screening and enrolment of subjects is shown in</w:t>
      </w:r>
      <w:r w:rsidR="00723DFC">
        <w:rPr>
          <w:lang w:eastAsia="ja-JP"/>
        </w:rPr>
        <w:t xml:space="preserve"> </w:t>
      </w:r>
      <w:r w:rsidR="00723DFC">
        <w:rPr>
          <w:lang w:eastAsia="ja-JP"/>
        </w:rPr>
        <w:fldChar w:fldCharType="begin" w:fldLock="1"/>
      </w:r>
      <w:r w:rsidR="00723DFC">
        <w:rPr>
          <w:lang w:eastAsia="ja-JP"/>
        </w:rPr>
        <w:instrText xml:space="preserve"> REF _Ref92455806 \h </w:instrText>
      </w:r>
      <w:r w:rsidR="00723DFC">
        <w:rPr>
          <w:lang w:eastAsia="ja-JP"/>
        </w:rPr>
      </w:r>
      <w:r w:rsidR="00723DFC">
        <w:rPr>
          <w:lang w:eastAsia="ja-JP"/>
        </w:rPr>
        <w:fldChar w:fldCharType="separate"/>
      </w:r>
      <w:r w:rsidR="00AA298B" w:rsidRPr="002B6C8A">
        <w:t xml:space="preserve">Table </w:t>
      </w:r>
      <w:r w:rsidR="00AA298B">
        <w:rPr>
          <w:noProof/>
        </w:rPr>
        <w:t>13</w:t>
      </w:r>
      <w:r w:rsidR="00723DFC">
        <w:rPr>
          <w:lang w:eastAsia="ja-JP"/>
        </w:rPr>
        <w:fldChar w:fldCharType="end"/>
      </w:r>
      <w:r>
        <w:rPr>
          <w:lang w:eastAsia="ja-JP"/>
        </w:rPr>
        <w:t>. The most frequent reason for screen failure was failure to meet inclusion/exclusion criteria.</w:t>
      </w:r>
    </w:p>
    <w:p w14:paraId="50BC8B7A" w14:textId="28F6B795" w:rsidR="002B6C8A" w:rsidRDefault="002B6C8A" w:rsidP="00CB0654">
      <w:pPr>
        <w:pStyle w:val="TableTitle"/>
      </w:pPr>
      <w:bookmarkStart w:id="66" w:name="_Ref92455806"/>
      <w:bookmarkStart w:id="67" w:name="_Toc83648066"/>
      <w:r w:rsidRPr="002B6C8A">
        <w:lastRenderedPageBreak/>
        <w:t xml:space="preserve">Table </w:t>
      </w:r>
      <w:r w:rsidR="00344FF4">
        <w:fldChar w:fldCharType="begin"/>
      </w:r>
      <w:r w:rsidR="00344FF4">
        <w:instrText xml:space="preserve"> SEQ Table \* ARABIC </w:instrText>
      </w:r>
      <w:r w:rsidR="00344FF4">
        <w:fldChar w:fldCharType="separate"/>
      </w:r>
      <w:r w:rsidR="00C41FF6">
        <w:rPr>
          <w:noProof/>
        </w:rPr>
        <w:t>13</w:t>
      </w:r>
      <w:r w:rsidR="00344FF4">
        <w:rPr>
          <w:noProof/>
        </w:rPr>
        <w:fldChar w:fldCharType="end"/>
      </w:r>
      <w:bookmarkEnd w:id="66"/>
      <w:r>
        <w:t xml:space="preserve">. </w:t>
      </w:r>
      <w:r w:rsidR="00E947B1" w:rsidRPr="00245D5A">
        <w:rPr>
          <w:szCs w:val="18"/>
        </w:rPr>
        <w:t xml:space="preserve">Study 2019nCoV-302 </w:t>
      </w:r>
      <w:r>
        <w:t>Subjects screening and enrolment (all screened subjects analysis set)</w:t>
      </w:r>
      <w:bookmarkEnd w:id="67"/>
    </w:p>
    <w:p w14:paraId="7F878FA9" w14:textId="01A1B06F" w:rsidR="00672B8B" w:rsidRDefault="002B6C8A" w:rsidP="00CB0654">
      <w:pPr>
        <w:pStyle w:val="TableDescription"/>
      </w:pPr>
      <w:r>
        <w:rPr>
          <w:noProof/>
          <w:lang w:val="en-GB" w:eastAsia="en-GB"/>
        </w:rPr>
        <w:drawing>
          <wp:inline distT="0" distB="0" distL="0" distR="0" wp14:anchorId="1A730C38" wp14:editId="6B7E5E78">
            <wp:extent cx="4304030" cy="2820837"/>
            <wp:effectExtent l="0" t="0" r="1270" b="0"/>
            <wp:docPr id="221" name="Picture 221" descr="P629#yIS1"/>
            <wp:cNvGraphicFramePr/>
            <a:graphic xmlns:a="http://schemas.openxmlformats.org/drawingml/2006/main">
              <a:graphicData uri="http://schemas.openxmlformats.org/drawingml/2006/picture">
                <pic:pic xmlns:pic="http://schemas.openxmlformats.org/drawingml/2006/picture">
                  <pic:nvPicPr>
                    <pic:cNvPr id="221" name="Picture 221" descr="P629#yIS1"/>
                    <pic:cNvPicPr/>
                  </pic:nvPicPr>
                  <pic:blipFill rotWithShape="1">
                    <a:blip r:embed="rId29"/>
                    <a:srcRect b="14391"/>
                    <a:stretch/>
                  </pic:blipFill>
                  <pic:spPr bwMode="auto">
                    <a:xfrm>
                      <a:off x="0" y="0"/>
                      <a:ext cx="4363769" cy="2859989"/>
                    </a:xfrm>
                    <a:prstGeom prst="rect">
                      <a:avLst/>
                    </a:prstGeom>
                    <a:ln>
                      <a:noFill/>
                    </a:ln>
                    <a:extLst>
                      <a:ext uri="{53640926-AAD7-44D8-BBD7-CCE9431645EC}">
                        <a14:shadowObscured xmlns:a14="http://schemas.microsoft.com/office/drawing/2010/main"/>
                      </a:ext>
                    </a:extLst>
                  </pic:spPr>
                </pic:pic>
              </a:graphicData>
            </a:graphic>
          </wp:inline>
        </w:drawing>
      </w:r>
    </w:p>
    <w:p w14:paraId="32FA30D2" w14:textId="0D45A1FF" w:rsidR="002B6C8A" w:rsidRPr="00E947B1" w:rsidRDefault="002B6C8A" w:rsidP="00CB0654">
      <w:pPr>
        <w:pStyle w:val="TableDescription"/>
      </w:pPr>
      <w:r w:rsidRPr="00E947B1">
        <w:t>Abbreviations: NVX-CoV2373 =</w:t>
      </w:r>
      <w:r w:rsidR="00245D5A" w:rsidRPr="00E947B1">
        <w:t xml:space="preserve"> </w:t>
      </w:r>
      <w:proofErr w:type="spellStart"/>
      <w:r w:rsidR="00245D5A" w:rsidRPr="00E947B1">
        <w:t>Nuvaxovid</w:t>
      </w:r>
      <w:proofErr w:type="spellEnd"/>
      <w:r w:rsidR="00245D5A" w:rsidRPr="00E947B1">
        <w:t>,</w:t>
      </w:r>
      <w:r w:rsidRPr="00E947B1">
        <w:t xml:space="preserve"> 5 µ</w:t>
      </w:r>
      <w:r w:rsidR="00245D5A" w:rsidRPr="00E947B1">
        <w:t xml:space="preserve">g SARS-CoV-2 </w:t>
      </w:r>
      <w:proofErr w:type="spellStart"/>
      <w:r w:rsidR="00245D5A" w:rsidRPr="00E947B1">
        <w:t>rS</w:t>
      </w:r>
      <w:proofErr w:type="spellEnd"/>
      <w:r w:rsidR="00245D5A" w:rsidRPr="00E947B1">
        <w:t xml:space="preserve"> with </w:t>
      </w:r>
      <w:r w:rsidR="007D0113" w:rsidRPr="007629C1">
        <w:t xml:space="preserve">50 µg </w:t>
      </w:r>
      <w:r w:rsidR="006F5F10" w:rsidRPr="007629C1">
        <w:t>Matrix-M</w:t>
      </w:r>
      <w:r w:rsidR="00245D5A" w:rsidRPr="007629C1">
        <w:t xml:space="preserve"> adjuvant; Percentages are based on the number of screened participants. Re-s</w:t>
      </w:r>
      <w:r w:rsidR="00245D5A" w:rsidRPr="00E947B1">
        <w:t>creened participants are counted once at initial screening.</w:t>
      </w:r>
    </w:p>
    <w:p w14:paraId="2415D6F2" w14:textId="6D723B05" w:rsidR="00B51D05" w:rsidRDefault="007629C1" w:rsidP="00345763">
      <w:r>
        <w:t>The d</w:t>
      </w:r>
      <w:r w:rsidR="00B51D05">
        <w:t xml:space="preserve">iscontinuation rate was 2.3% and 2.7% in vaccine and placebo groups respectively. The most frequent </w:t>
      </w:r>
      <w:r w:rsidR="00B51D05" w:rsidRPr="004D4674">
        <w:t>‘</w:t>
      </w:r>
      <w:r w:rsidR="00B51D05" w:rsidRPr="004D4674">
        <w:rPr>
          <w:i/>
          <w:iCs/>
        </w:rPr>
        <w:t>other reason</w:t>
      </w:r>
      <w:r w:rsidR="004D4674">
        <w:t>’</w:t>
      </w:r>
      <w:r w:rsidR="00B51D05">
        <w:t xml:space="preserve"> for discontinuation was receipt of an approved COVID-19 vaccine.</w:t>
      </w:r>
    </w:p>
    <w:p w14:paraId="74E3BDC7" w14:textId="77777777" w:rsidR="00B51D05" w:rsidRPr="00B51D05" w:rsidRDefault="00B51D05" w:rsidP="00345763">
      <w:pPr>
        <w:pStyle w:val="Heading6"/>
        <w:keepNext w:val="0"/>
      </w:pPr>
      <w:r w:rsidRPr="00B51D05">
        <w:t>Baseline data</w:t>
      </w:r>
    </w:p>
    <w:p w14:paraId="6A3E375D" w14:textId="5D3692B6" w:rsidR="00B51D05" w:rsidRDefault="00B51D05" w:rsidP="00345763">
      <w:r>
        <w:t>Per protocol, baseline serostatus was negative for all subjects in whom this was available (13908/14039 (99.1%)) but was missing for 131 (0.9%) subjects. Similarly, baseline PCR was negative for all subjects in whom this was available (13232/14039 (94.3%)) but was missing in 807 (5.7%) subjects.</w:t>
      </w:r>
    </w:p>
    <w:p w14:paraId="11A7423C" w14:textId="680C9141" w:rsidR="00B51D05" w:rsidRDefault="00B51D05" w:rsidP="00CB0654">
      <w:pPr>
        <w:pStyle w:val="TableTitle"/>
      </w:pPr>
      <w:r w:rsidRPr="00B51D05">
        <w:lastRenderedPageBreak/>
        <w:t xml:space="preserve">Table </w:t>
      </w:r>
      <w:r w:rsidR="00344FF4">
        <w:fldChar w:fldCharType="begin"/>
      </w:r>
      <w:r w:rsidR="00344FF4">
        <w:instrText xml:space="preserve"> SEQ Table \* ARABIC </w:instrText>
      </w:r>
      <w:r w:rsidR="00344FF4">
        <w:fldChar w:fldCharType="separate"/>
      </w:r>
      <w:r w:rsidR="00C41FF6">
        <w:rPr>
          <w:noProof/>
        </w:rPr>
        <w:t>14</w:t>
      </w:r>
      <w:r w:rsidR="00344FF4">
        <w:rPr>
          <w:noProof/>
        </w:rPr>
        <w:fldChar w:fldCharType="end"/>
      </w:r>
      <w:r>
        <w:t xml:space="preserve">: </w:t>
      </w:r>
      <w:r w:rsidR="007629C1" w:rsidRPr="00245D5A">
        <w:rPr>
          <w:szCs w:val="18"/>
        </w:rPr>
        <w:t xml:space="preserve">Study 2019nCoV-302 </w:t>
      </w:r>
      <w:r w:rsidRPr="00B51D05">
        <w:t xml:space="preserve">Demographic and clinical characteristics of the subjects at </w:t>
      </w:r>
      <w:r>
        <w:t>B</w:t>
      </w:r>
      <w:r w:rsidRPr="00B51D05">
        <w:t>aseline (per protocol efficacy</w:t>
      </w:r>
      <w:r>
        <w:t>);</w:t>
      </w:r>
      <w:r w:rsidR="00C41FF6">
        <w:rPr>
          <w:rFonts w:ascii="ZWAdobeF" w:hAnsi="ZWAdobeF" w:cs="ZWAdobeF"/>
          <w:b w:val="0"/>
          <w:sz w:val="2"/>
          <w:szCs w:val="2"/>
        </w:rPr>
        <w:t>28F</w:t>
      </w:r>
      <w:r>
        <w:rPr>
          <w:rStyle w:val="FootnoteReference"/>
        </w:rPr>
        <w:footnoteReference w:id="29"/>
      </w:r>
    </w:p>
    <w:p w14:paraId="72443CDF" w14:textId="667A3416" w:rsidR="00B51D05" w:rsidRDefault="00B51D05" w:rsidP="00345763">
      <w:r>
        <w:rPr>
          <w:noProof/>
          <w:lang w:val="en-GB" w:eastAsia="en-GB"/>
        </w:rPr>
        <w:drawing>
          <wp:inline distT="0" distB="0" distL="0" distR="0" wp14:anchorId="18708E88" wp14:editId="461808A6">
            <wp:extent cx="5400040" cy="4314190"/>
            <wp:effectExtent l="0" t="0" r="0" b="0"/>
            <wp:docPr id="222" name="Picture 222" descr="P635#yIS1"/>
            <wp:cNvGraphicFramePr/>
            <a:graphic xmlns:a="http://schemas.openxmlformats.org/drawingml/2006/main">
              <a:graphicData uri="http://schemas.openxmlformats.org/drawingml/2006/picture">
                <pic:pic xmlns:pic="http://schemas.openxmlformats.org/drawingml/2006/picture">
                  <pic:nvPicPr>
                    <pic:cNvPr id="222" name="Picture 222" descr="P635#yI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4314190"/>
                    </a:xfrm>
                    <a:prstGeom prst="rect">
                      <a:avLst/>
                    </a:prstGeom>
                    <a:noFill/>
                  </pic:spPr>
                </pic:pic>
              </a:graphicData>
            </a:graphic>
          </wp:inline>
        </w:drawing>
      </w:r>
    </w:p>
    <w:p w14:paraId="2F9B844B" w14:textId="77777777" w:rsidR="00B51D05" w:rsidRPr="00B51D05" w:rsidRDefault="00B51D05" w:rsidP="00345763">
      <w:pPr>
        <w:pStyle w:val="Heading6"/>
        <w:keepNext w:val="0"/>
      </w:pPr>
      <w:r w:rsidRPr="00B51D05">
        <w:t>Results</w:t>
      </w:r>
    </w:p>
    <w:p w14:paraId="7C2F0F81" w14:textId="12134ABA" w:rsidR="00B51D05" w:rsidRDefault="00B51D05" w:rsidP="00345763">
      <w:r>
        <w:t xml:space="preserve">The data </w:t>
      </w:r>
      <w:proofErr w:type="spellStart"/>
      <w:r>
        <w:t>cutoff</w:t>
      </w:r>
      <w:proofErr w:type="spellEnd"/>
      <w:r>
        <w:t xml:space="preserve"> date of the interim efficacy analysis was 10 January 2021, the data </w:t>
      </w:r>
      <w:proofErr w:type="spellStart"/>
      <w:r>
        <w:t>cutoff</w:t>
      </w:r>
      <w:proofErr w:type="spellEnd"/>
      <w:r>
        <w:t xml:space="preserve"> date for the final efficacy analysis was 29 January 2021, and the data </w:t>
      </w:r>
      <w:proofErr w:type="spellStart"/>
      <w:r>
        <w:t>cutoff</w:t>
      </w:r>
      <w:proofErr w:type="spellEnd"/>
      <w:r>
        <w:t xml:space="preserve"> date for all other analyses was 23 February 2021. All data were fully cleaned and locked on 26 January 2021 for the interim analysis and on 15 March 2021 for the final analysis. The study remains ongoing through approximately 1 year follow up from the Day 21 injection.</w:t>
      </w:r>
    </w:p>
    <w:p w14:paraId="3472B509" w14:textId="0D670576" w:rsidR="00B51D05" w:rsidRDefault="00B51D05" w:rsidP="00345763">
      <w:r>
        <w:t>Of the 15</w:t>
      </w:r>
      <w:r w:rsidR="007629C1">
        <w:t>,</w:t>
      </w:r>
      <w:r>
        <w:t xml:space="preserve">187 subjects randomised, 15139 (99.7%) were in the ITT and safety analysis sets with 7569 in the </w:t>
      </w:r>
      <w:proofErr w:type="spellStart"/>
      <w:r>
        <w:t>Nuvaxovid</w:t>
      </w:r>
      <w:proofErr w:type="spellEnd"/>
      <w:r>
        <w:t xml:space="preserve"> group and 7570 in the placebo group.</w:t>
      </w:r>
    </w:p>
    <w:p w14:paraId="2F97E6C6" w14:textId="48F554DD" w:rsidR="00B51D05" w:rsidRDefault="00B51D05" w:rsidP="00345763">
      <w:r>
        <w:t xml:space="preserve">The per protocol efficacy (PP-EFF) analysis set included 14039 (92.4%) randomised subjects, with 7020 in the </w:t>
      </w:r>
      <w:proofErr w:type="spellStart"/>
      <w:r>
        <w:t>Nuvaxovid</w:t>
      </w:r>
      <w:proofErr w:type="spellEnd"/>
      <w:r>
        <w:t xml:space="preserve"> group and 7019 in the placebo group. A total of 1100 (7.3%) subjects were excluded from the PP-EFF analysis set, the most frequent (incidence &gt;</w:t>
      </w:r>
      <w:r w:rsidR="0007238D">
        <w:t> </w:t>
      </w:r>
      <w:r>
        <w:t xml:space="preserve">1.0%) reasons for exclusion from the PP-EFF </w:t>
      </w:r>
      <w:r w:rsidR="0007238D">
        <w:t>a</w:t>
      </w:r>
      <w:r>
        <w:t xml:space="preserve">nalysis </w:t>
      </w:r>
      <w:r w:rsidR="0007238D">
        <w:t>s</w:t>
      </w:r>
      <w:r>
        <w:t xml:space="preserve">et were positive serostatus before </w:t>
      </w:r>
      <w:r w:rsidR="0007238D">
        <w:t>seven</w:t>
      </w:r>
      <w:r>
        <w:t xml:space="preserve"> days after second vaccination, missed </w:t>
      </w:r>
      <w:r w:rsidR="0007238D">
        <w:t>one</w:t>
      </w:r>
      <w:r>
        <w:t xml:space="preserve"> dose of study vaccine, and positive PCR test before </w:t>
      </w:r>
      <w:r w:rsidR="0007238D">
        <w:t>seven</w:t>
      </w:r>
      <w:r>
        <w:t xml:space="preserve"> days after second vaccination.</w:t>
      </w:r>
    </w:p>
    <w:p w14:paraId="717CFEDC" w14:textId="557D4AC4" w:rsidR="00B51D05" w:rsidRDefault="00B51D05" w:rsidP="00345763">
      <w:r>
        <w:t>Approximately one</w:t>
      </w:r>
      <w:r w:rsidR="0007238D">
        <w:t xml:space="preserve"> </w:t>
      </w:r>
      <w:r>
        <w:t>third of subjects (3</w:t>
      </w:r>
      <w:r w:rsidR="00FB0964">
        <w:t>5</w:t>
      </w:r>
      <w:r>
        <w:t>%) were unblinded to study vaccine assignment during the course of the study. The most frequent reason was receipt of an authorised vaccine. Most (98.2%) unblinded subjects continued to be followed up in the study.</w:t>
      </w:r>
    </w:p>
    <w:p w14:paraId="634A4251" w14:textId="524F1205" w:rsidR="00B51D05" w:rsidRPr="0007238D" w:rsidRDefault="00B51D05" w:rsidP="00345763">
      <w:pPr>
        <w:pStyle w:val="Heading6"/>
        <w:keepNext w:val="0"/>
      </w:pPr>
      <w:r w:rsidRPr="0007238D">
        <w:t xml:space="preserve">Primary </w:t>
      </w:r>
      <w:r w:rsidR="007629C1">
        <w:t>e</w:t>
      </w:r>
      <w:r w:rsidRPr="0007238D">
        <w:t>ndpoint</w:t>
      </w:r>
    </w:p>
    <w:p w14:paraId="3446FDBF" w14:textId="30F66C5F" w:rsidR="00B51D05" w:rsidRDefault="00B51D05" w:rsidP="00345763">
      <w:r>
        <w:t>Confirmatory interim analysis</w:t>
      </w:r>
      <w:r w:rsidR="0007238D">
        <w:t xml:space="preserve">: </w:t>
      </w:r>
      <w:r>
        <w:t>There were 62 cases accrued for the prespecified interim analysis of the primary endpoint, with 6 (&lt;</w:t>
      </w:r>
      <w:r w:rsidR="0007238D">
        <w:t> </w:t>
      </w:r>
      <w:r>
        <w:t xml:space="preserve">0.1%) in the </w:t>
      </w:r>
      <w:proofErr w:type="spellStart"/>
      <w:r w:rsidR="0007238D">
        <w:t>Nuvaxovid</w:t>
      </w:r>
      <w:proofErr w:type="spellEnd"/>
      <w:r>
        <w:t xml:space="preserve"> group and 56 (0.8%) in </w:t>
      </w:r>
      <w:r>
        <w:lastRenderedPageBreak/>
        <w:t>the placebo group. The resultant estimated VE was 89.3% (alpha</w:t>
      </w:r>
      <w:r w:rsidR="0007238D">
        <w:t xml:space="preserve"> </w:t>
      </w:r>
      <w:r>
        <w:t>adjusted 96.9% CI: 73.0, 95.8; p &lt; 0.0001), with an alpha</w:t>
      </w:r>
      <w:r w:rsidR="0007238D">
        <w:t xml:space="preserve"> </w:t>
      </w:r>
      <w:r>
        <w:t xml:space="preserve">adjusted </w:t>
      </w:r>
      <w:r w:rsidR="0007238D" w:rsidRPr="0007238D">
        <w:t xml:space="preserve">lower bound of the confidence interval </w:t>
      </w:r>
      <w:r w:rsidR="0007238D">
        <w:t>(</w:t>
      </w:r>
      <w:r>
        <w:t>LBCI</w:t>
      </w:r>
      <w:r w:rsidR="0007238D">
        <w:t>)</w:t>
      </w:r>
      <w:r>
        <w:t xml:space="preserve"> &gt;</w:t>
      </w:r>
      <w:r w:rsidR="0007238D">
        <w:t> </w:t>
      </w:r>
      <w:r>
        <w:t>30% meeting the prespecified study success criterion.</w:t>
      </w:r>
    </w:p>
    <w:p w14:paraId="22816779" w14:textId="77777777" w:rsidR="00B51D05" w:rsidRPr="0007238D" w:rsidRDefault="00B51D05" w:rsidP="00345763">
      <w:pPr>
        <w:pStyle w:val="Heading7"/>
        <w:keepNext w:val="0"/>
        <w:rPr>
          <w:sz w:val="22"/>
          <w:szCs w:val="28"/>
        </w:rPr>
      </w:pPr>
      <w:r w:rsidRPr="0007238D">
        <w:rPr>
          <w:sz w:val="22"/>
          <w:szCs w:val="28"/>
        </w:rPr>
        <w:t xml:space="preserve">Final primary efficacy analysis </w:t>
      </w:r>
    </w:p>
    <w:p w14:paraId="792D2600" w14:textId="398C36D4" w:rsidR="00B51D05" w:rsidRDefault="00B51D05" w:rsidP="00345763">
      <w:r>
        <w:t xml:space="preserve">There were 106 cases for the final prespecified analysis of the primary endpoint, with 10 (0.1%) in the </w:t>
      </w:r>
      <w:proofErr w:type="spellStart"/>
      <w:r w:rsidR="0007238D">
        <w:t>Nuvaxovid</w:t>
      </w:r>
      <w:proofErr w:type="spellEnd"/>
      <w:r>
        <w:t xml:space="preserve"> group and 96 (1.4%) in the placebo group. All but </w:t>
      </w:r>
      <w:r w:rsidR="0007238D">
        <w:t>four</w:t>
      </w:r>
      <w:r>
        <w:t xml:space="preserve"> cases were mild or moderate in severity, with all </w:t>
      </w:r>
      <w:r w:rsidR="0007238D">
        <w:t>four</w:t>
      </w:r>
      <w:r>
        <w:t xml:space="preserve"> severe cases, including </w:t>
      </w:r>
      <w:r w:rsidR="0007238D">
        <w:t>one</w:t>
      </w:r>
      <w:r>
        <w:t xml:space="preserve"> hospitalisation and </w:t>
      </w:r>
      <w:r w:rsidR="0007238D">
        <w:t>one</w:t>
      </w:r>
      <w:r>
        <w:t xml:space="preserve"> person with a pulmonary embolism, occurring in the placebo group. The resultant estimated VE was 89.7% (95% CI: 80.2, 94.6; p &lt;</w:t>
      </w:r>
      <w:r w:rsidR="0007238D">
        <w:t> </w:t>
      </w:r>
      <w:r>
        <w:t>0.001), with an LBCI &gt; 30% meeting the prespecified study success criterion. These findings confirmed the results of the interim analysis of the primary endpoint</w:t>
      </w:r>
      <w:r w:rsidR="00711774">
        <w:t xml:space="preserve"> (see</w:t>
      </w:r>
      <w:r w:rsidR="00723DFC">
        <w:t xml:space="preserve"> </w:t>
      </w:r>
      <w:r w:rsidR="00711774">
        <w:fldChar w:fldCharType="begin" w:fldLock="1"/>
      </w:r>
      <w:r w:rsidR="00711774">
        <w:instrText xml:space="preserve"> REF _Ref92459070 \h </w:instrText>
      </w:r>
      <w:r w:rsidR="00711774">
        <w:fldChar w:fldCharType="separate"/>
      </w:r>
      <w:r w:rsidR="00AA298B" w:rsidRPr="0007238D">
        <w:t xml:space="preserve">Table </w:t>
      </w:r>
      <w:r w:rsidR="00AA298B">
        <w:rPr>
          <w:noProof/>
        </w:rPr>
        <w:t>15</w:t>
      </w:r>
      <w:r w:rsidR="00711774">
        <w:fldChar w:fldCharType="end"/>
      </w:r>
      <w:r w:rsidR="00711774">
        <w:t>).</w:t>
      </w:r>
    </w:p>
    <w:p w14:paraId="1A2A7E07" w14:textId="0FC34B38" w:rsidR="0007238D" w:rsidRDefault="0007238D" w:rsidP="00CB0654">
      <w:pPr>
        <w:pStyle w:val="TableTitle"/>
      </w:pPr>
      <w:bookmarkStart w:id="68" w:name="_Ref92459070"/>
      <w:r w:rsidRPr="0007238D">
        <w:t xml:space="preserve">Table </w:t>
      </w:r>
      <w:r w:rsidR="00344FF4">
        <w:fldChar w:fldCharType="begin"/>
      </w:r>
      <w:r w:rsidR="00344FF4">
        <w:instrText xml:space="preserve"> SEQ Table \</w:instrText>
      </w:r>
      <w:r w:rsidR="00344FF4">
        <w:instrText xml:space="preserve">* ARABIC </w:instrText>
      </w:r>
      <w:r w:rsidR="00344FF4">
        <w:fldChar w:fldCharType="separate"/>
      </w:r>
      <w:r w:rsidR="00C41FF6">
        <w:rPr>
          <w:noProof/>
        </w:rPr>
        <w:t>15</w:t>
      </w:r>
      <w:r w:rsidR="00344FF4">
        <w:rPr>
          <w:noProof/>
        </w:rPr>
        <w:fldChar w:fldCharType="end"/>
      </w:r>
      <w:bookmarkEnd w:id="68"/>
      <w:r>
        <w:t xml:space="preserve">: </w:t>
      </w:r>
      <w:r w:rsidR="007629C1" w:rsidRPr="00245D5A">
        <w:rPr>
          <w:szCs w:val="18"/>
        </w:rPr>
        <w:t xml:space="preserve">Study 2019nCoV-302 </w:t>
      </w:r>
      <w:r w:rsidRPr="0007238D">
        <w:t xml:space="preserve">Final analysis of vaccine efficacy against </w:t>
      </w:r>
      <w:r>
        <w:t xml:space="preserve">polymerase chain reaction </w:t>
      </w:r>
      <w:r w:rsidRPr="0007238D">
        <w:t xml:space="preserve">confirmed symptomatic mild, moderate, or severe COVID-19 with onset from at least </w:t>
      </w:r>
      <w:r>
        <w:t>seven</w:t>
      </w:r>
      <w:r w:rsidRPr="0007238D">
        <w:t xml:space="preserve"> days after second vaccination in serologically negative adult subjects (</w:t>
      </w:r>
      <w:r>
        <w:t>per protocol efficacy a</w:t>
      </w:r>
      <w:r w:rsidRPr="0007238D">
        <w:t xml:space="preserve">nalysis </w:t>
      </w:r>
      <w:r>
        <w:t>s</w:t>
      </w:r>
      <w:r w:rsidRPr="0007238D">
        <w:t>et)</w:t>
      </w:r>
    </w:p>
    <w:p w14:paraId="68B3953D" w14:textId="2B6129E6" w:rsidR="0007238D" w:rsidRDefault="0007238D" w:rsidP="00345763">
      <w:r>
        <w:rPr>
          <w:noProof/>
          <w:lang w:val="en-GB" w:eastAsia="en-GB"/>
        </w:rPr>
        <w:drawing>
          <wp:inline distT="0" distB="0" distL="0" distR="0" wp14:anchorId="0023208D" wp14:editId="29237203">
            <wp:extent cx="5130800" cy="2527539"/>
            <wp:effectExtent l="0" t="0" r="0" b="6350"/>
            <wp:docPr id="223" name="Picture 223" descr="P646#yIS1"/>
            <wp:cNvGraphicFramePr/>
            <a:graphic xmlns:a="http://schemas.openxmlformats.org/drawingml/2006/main">
              <a:graphicData uri="http://schemas.openxmlformats.org/drawingml/2006/picture">
                <pic:pic xmlns:pic="http://schemas.openxmlformats.org/drawingml/2006/picture">
                  <pic:nvPicPr>
                    <pic:cNvPr id="223" name="Picture 223" descr="P646#yIS1"/>
                    <pic:cNvPicPr/>
                  </pic:nvPicPr>
                  <pic:blipFill rotWithShape="1">
                    <a:blip r:embed="rId31">
                      <a:extLst>
                        <a:ext uri="{28A0092B-C50C-407E-A947-70E740481C1C}">
                          <a14:useLocalDpi xmlns:a14="http://schemas.microsoft.com/office/drawing/2010/main" val="0"/>
                        </a:ext>
                      </a:extLst>
                    </a:blip>
                    <a:srcRect b="33925"/>
                    <a:stretch/>
                  </pic:blipFill>
                  <pic:spPr bwMode="auto">
                    <a:xfrm>
                      <a:off x="0" y="0"/>
                      <a:ext cx="5130800" cy="2527539"/>
                    </a:xfrm>
                    <a:prstGeom prst="rect">
                      <a:avLst/>
                    </a:prstGeom>
                    <a:noFill/>
                    <a:ln>
                      <a:noFill/>
                    </a:ln>
                    <a:extLst>
                      <a:ext uri="{53640926-AAD7-44D8-BBD7-CCE9431645EC}">
                        <a14:shadowObscured xmlns:a14="http://schemas.microsoft.com/office/drawing/2010/main"/>
                      </a:ext>
                    </a:extLst>
                  </pic:spPr>
                </pic:pic>
              </a:graphicData>
            </a:graphic>
          </wp:inline>
        </w:drawing>
      </w:r>
    </w:p>
    <w:p w14:paraId="49912443" w14:textId="7C42274F" w:rsidR="0007238D" w:rsidRDefault="0007238D" w:rsidP="00CB0654">
      <w:pPr>
        <w:pStyle w:val="TableDescription"/>
      </w:pPr>
      <w:r>
        <w:t xml:space="preserve">Abbreviations: CI = confidence interval; COVID-19 = coronavirus disease 2019;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w:t>
      </w:r>
      <w:r w:rsidR="00711774">
        <w:t>adjuvant</w:t>
      </w:r>
      <w:r>
        <w:t>; PCR = polymerase chain reaction; VE = vaccine efficacy.</w:t>
      </w:r>
    </w:p>
    <w:p w14:paraId="3400D275" w14:textId="421AE4C1" w:rsidR="0007238D" w:rsidRDefault="00345763" w:rsidP="00CB0654">
      <w:pPr>
        <w:pStyle w:val="TableDescription"/>
      </w:pPr>
      <w:r w:rsidRPr="00CB0654">
        <w:rPr>
          <w:vertAlign w:val="superscript"/>
        </w:rPr>
        <w:t>1</w:t>
      </w:r>
      <w:r>
        <w:t xml:space="preserve"> </w:t>
      </w:r>
      <w:r w:rsidR="0007238D">
        <w:t>Includes participant with PCR positive who did not meet mild, moderate or severe COVID-19 criteria</w:t>
      </w:r>
    </w:p>
    <w:p w14:paraId="430BA233" w14:textId="24F95D99" w:rsidR="0007238D" w:rsidRDefault="00345763" w:rsidP="00CB0654">
      <w:pPr>
        <w:pStyle w:val="TableDescription"/>
      </w:pPr>
      <w:r w:rsidRPr="00CB0654">
        <w:rPr>
          <w:vertAlign w:val="superscript"/>
        </w:rPr>
        <w:t>2</w:t>
      </w:r>
      <w:r>
        <w:t xml:space="preserve"> </w:t>
      </w:r>
      <w:r w:rsidR="0007238D">
        <w:t>Event = first occurrence of PCR confirmed mild, moderate or severe COVID-19 with onset from at least sev</w:t>
      </w:r>
      <w:r w:rsidR="008B5778">
        <w:t>e</w:t>
      </w:r>
      <w:r w:rsidR="0007238D">
        <w:t>n days after second dose vaccination within the surveillance period</w:t>
      </w:r>
    </w:p>
    <w:p w14:paraId="75BB989F" w14:textId="1A61BF44" w:rsidR="0007238D" w:rsidRDefault="0007238D" w:rsidP="00CB0654">
      <w:pPr>
        <w:pStyle w:val="TableDescription"/>
      </w:pPr>
      <w:r w:rsidRPr="00CB0654">
        <w:rPr>
          <w:vertAlign w:val="superscript"/>
        </w:rPr>
        <w:t>3</w:t>
      </w:r>
      <w:r>
        <w:t xml:space="preserve"> Surveillance time was de</w:t>
      </w:r>
      <w:r w:rsidR="00711774">
        <w:t>fin</w:t>
      </w:r>
      <w:r>
        <w:t xml:space="preserve">ed as the difference between the date at end of </w:t>
      </w:r>
      <w:r w:rsidR="00711774">
        <w:t>surveillance</w:t>
      </w:r>
      <w:r>
        <w:t xml:space="preserve"> </w:t>
      </w:r>
      <w:r w:rsidR="00711774">
        <w:t>period</w:t>
      </w:r>
      <w:r>
        <w:t xml:space="preserve"> (onset of first occurrence of event, or follow up contact at 12 months after last vaccination, or censoring) and date at start of surveillance period (from at least 7 days after second vaccination) + 1</w:t>
      </w:r>
    </w:p>
    <w:p w14:paraId="1E96AF26" w14:textId="1622B168" w:rsidR="0007238D" w:rsidRDefault="0007238D" w:rsidP="00CB0654">
      <w:pPr>
        <w:pStyle w:val="TableDescription"/>
      </w:pPr>
      <w:r w:rsidRPr="00CB0654">
        <w:rPr>
          <w:vertAlign w:val="superscript"/>
        </w:rPr>
        <w:t>4</w:t>
      </w:r>
      <w:r>
        <w:t xml:space="preserve"> Log-linear model of occurrence using modified </w:t>
      </w:r>
      <w:proofErr w:type="spellStart"/>
      <w:r>
        <w:t>Poission</w:t>
      </w:r>
      <w:proofErr w:type="spellEnd"/>
      <w:r>
        <w:t xml:space="preserve"> regression with logarithmic link function,</w:t>
      </w:r>
      <w:r w:rsidR="006468D0">
        <w:fldChar w:fldCharType="begin"/>
      </w:r>
      <w:r w:rsidR="006468D0">
        <w:instrText xml:space="preserve"> NOTEREF _Ref92712130 \f \h </w:instrText>
      </w:r>
      <w:r w:rsidR="006468D0">
        <w:fldChar w:fldCharType="separate"/>
      </w:r>
      <w:r w:rsidR="00C41FF6" w:rsidRPr="00C41FF6">
        <w:rPr>
          <w:rStyle w:val="FootnoteReference"/>
        </w:rPr>
        <w:t>30</w:t>
      </w:r>
      <w:r w:rsidR="006468D0">
        <w:fldChar w:fldCharType="end"/>
      </w:r>
      <w:r>
        <w:t xml:space="preserve"> treatment group and strata (age-group and pooled region) as fixed effects and robust </w:t>
      </w:r>
      <w:r w:rsidR="00711774">
        <w:t>error</w:t>
      </w:r>
      <w:r>
        <w:t xml:space="preserve"> variance </w:t>
      </w:r>
    </w:p>
    <w:p w14:paraId="53D45007" w14:textId="2660B2B9" w:rsidR="0007238D" w:rsidRDefault="0007238D" w:rsidP="00CB0654">
      <w:pPr>
        <w:pStyle w:val="TableDescription"/>
      </w:pPr>
      <w:r w:rsidRPr="00CB0654">
        <w:rPr>
          <w:vertAlign w:val="superscript"/>
        </w:rPr>
        <w:t>5</w:t>
      </w:r>
      <w:r>
        <w:t>. Defined as the unadjusted one-sided p value from the modified Poisson regression model to test the null hypothesis of VE ≤ 30%</w:t>
      </w:r>
    </w:p>
    <w:p w14:paraId="66B5297D" w14:textId="35264A06" w:rsidR="00711774" w:rsidRDefault="00711774" w:rsidP="00345763">
      <w:r w:rsidRPr="00711774">
        <w:t xml:space="preserve">The cumulative incidence curve demonstrated clear separation of cases beginning early following </w:t>
      </w:r>
      <w:r w:rsidR="00BC27A6">
        <w:t>second d</w:t>
      </w:r>
      <w:r w:rsidRPr="00711774">
        <w:t>ose of study vaccine (</w:t>
      </w:r>
      <w:r>
        <w:t xml:space="preserve">see </w:t>
      </w:r>
      <w:r>
        <w:fldChar w:fldCharType="begin" w:fldLock="1"/>
      </w:r>
      <w:r>
        <w:instrText xml:space="preserve"> REF _Ref92459129 \h </w:instrText>
      </w:r>
      <w:r>
        <w:fldChar w:fldCharType="separate"/>
      </w:r>
      <w:r w:rsidR="00AA298B" w:rsidRPr="00711774">
        <w:t xml:space="preserve">Figure </w:t>
      </w:r>
      <w:r w:rsidR="00AA298B">
        <w:rPr>
          <w:noProof/>
        </w:rPr>
        <w:t>6</w:t>
      </w:r>
      <w:r>
        <w:fldChar w:fldCharType="end"/>
      </w:r>
      <w:r w:rsidRPr="00711774">
        <w:t>).</w:t>
      </w:r>
    </w:p>
    <w:p w14:paraId="5C0C3E52" w14:textId="78F6793F" w:rsidR="00711774" w:rsidRDefault="00711774" w:rsidP="00693B43">
      <w:pPr>
        <w:pStyle w:val="FigureTitle"/>
        <w:keepLines/>
      </w:pPr>
      <w:bookmarkStart w:id="69" w:name="_Ref92459129"/>
      <w:r w:rsidRPr="00711774">
        <w:lastRenderedPageBreak/>
        <w:t xml:space="preserve">Figure </w:t>
      </w:r>
      <w:r w:rsidR="00344FF4">
        <w:fldChar w:fldCharType="begin"/>
      </w:r>
      <w:r w:rsidR="00344FF4">
        <w:instrText xml:space="preserve"> SEQ Figure \* ARABIC </w:instrText>
      </w:r>
      <w:r w:rsidR="00344FF4">
        <w:fldChar w:fldCharType="separate"/>
      </w:r>
      <w:r w:rsidR="00C41FF6">
        <w:rPr>
          <w:noProof/>
        </w:rPr>
        <w:t>6</w:t>
      </w:r>
      <w:r w:rsidR="00344FF4">
        <w:rPr>
          <w:noProof/>
        </w:rPr>
        <w:fldChar w:fldCharType="end"/>
      </w:r>
      <w:bookmarkEnd w:id="69"/>
      <w:r w:rsidRPr="00711774">
        <w:t>:</w:t>
      </w:r>
      <w:r>
        <w:t xml:space="preserve"> </w:t>
      </w:r>
      <w:r w:rsidR="007629C1" w:rsidRPr="00245D5A">
        <w:rPr>
          <w:szCs w:val="18"/>
        </w:rPr>
        <w:t xml:space="preserve">Study 2019nCoV-302 </w:t>
      </w:r>
      <w:r w:rsidRPr="00711774">
        <w:t xml:space="preserve">Cumulative incidence curve of </w:t>
      </w:r>
      <w:r>
        <w:t>polymerase chain reaction</w:t>
      </w:r>
      <w:r w:rsidRPr="00711774">
        <w:t xml:space="preserve">-confirmed symptomatic mild, moderate, or severe COVID-19 with onset from </w:t>
      </w:r>
      <w:r>
        <w:t>seven</w:t>
      </w:r>
      <w:r w:rsidRPr="00711774">
        <w:t xml:space="preserve"> days after second vaccination in serologically negative adult subjects (</w:t>
      </w:r>
      <w:r>
        <w:t>per protocol efficacy a</w:t>
      </w:r>
      <w:r w:rsidRPr="00711774">
        <w:t xml:space="preserve">nalysis </w:t>
      </w:r>
      <w:r>
        <w:t>s</w:t>
      </w:r>
      <w:r w:rsidRPr="00711774">
        <w:t>et)</w:t>
      </w:r>
    </w:p>
    <w:p w14:paraId="67A674C9" w14:textId="4F6964D9" w:rsidR="00711774" w:rsidRDefault="00711774" w:rsidP="00345763">
      <w:r>
        <w:rPr>
          <w:noProof/>
          <w:lang w:val="en-GB" w:eastAsia="en-GB"/>
        </w:rPr>
        <w:drawing>
          <wp:inline distT="0" distB="0" distL="0" distR="0" wp14:anchorId="2FFD01E2" wp14:editId="73AE090A">
            <wp:extent cx="5296619" cy="2501265"/>
            <wp:effectExtent l="0" t="0" r="0" b="0"/>
            <wp:docPr id="224" name="Picture 224" descr="P655#yIS1"/>
            <wp:cNvGraphicFramePr/>
            <a:graphic xmlns:a="http://schemas.openxmlformats.org/drawingml/2006/main">
              <a:graphicData uri="http://schemas.openxmlformats.org/drawingml/2006/picture">
                <pic:pic xmlns:pic="http://schemas.openxmlformats.org/drawingml/2006/picture">
                  <pic:nvPicPr>
                    <pic:cNvPr id="224" name="Picture 224" descr="P655#yIS1"/>
                    <pic:cNvPicPr/>
                  </pic:nvPicPr>
                  <pic:blipFill rotWithShape="1">
                    <a:blip r:embed="rId32">
                      <a:extLst>
                        <a:ext uri="{BEBA8EAE-BF5A-486C-A8C5-ECC9F3942E4B}">
                          <a14:imgProps xmlns:a14="http://schemas.microsoft.com/office/drawing/2010/main">
                            <a14:imgLayer r:embed="rId33">
                              <a14:imgEffect>
                                <a14:sharpenSoften amount="51000"/>
                              </a14:imgEffect>
                              <a14:imgEffect>
                                <a14:brightnessContrast bright="4000" contrast="-5000"/>
                              </a14:imgEffect>
                            </a14:imgLayer>
                          </a14:imgProps>
                        </a:ext>
                        <a:ext uri="{28A0092B-C50C-407E-A947-70E740481C1C}">
                          <a14:useLocalDpi xmlns:a14="http://schemas.microsoft.com/office/drawing/2010/main" val="0"/>
                        </a:ext>
                      </a:extLst>
                    </a:blip>
                    <a:srcRect l="1439" r="4291" b="25351"/>
                    <a:stretch/>
                  </pic:blipFill>
                  <pic:spPr bwMode="auto">
                    <a:xfrm>
                      <a:off x="0" y="0"/>
                      <a:ext cx="5317082" cy="2510929"/>
                    </a:xfrm>
                    <a:prstGeom prst="rect">
                      <a:avLst/>
                    </a:prstGeom>
                    <a:noFill/>
                    <a:ln>
                      <a:noFill/>
                    </a:ln>
                    <a:extLst>
                      <a:ext uri="{53640926-AAD7-44D8-BBD7-CCE9431645EC}">
                        <a14:shadowObscured xmlns:a14="http://schemas.microsoft.com/office/drawing/2010/main"/>
                      </a:ext>
                    </a:extLst>
                  </pic:spPr>
                </pic:pic>
              </a:graphicData>
            </a:graphic>
          </wp:inline>
        </w:drawing>
      </w:r>
    </w:p>
    <w:p w14:paraId="194EB2D3" w14:textId="4BA5C335" w:rsidR="00CB1283" w:rsidRDefault="00CB1283" w:rsidP="00CB0654">
      <w:pPr>
        <w:pStyle w:val="TableDescription"/>
      </w:pPr>
      <w:r>
        <w:t xml:space="preserve">Abbreviation: </w:t>
      </w:r>
      <w:proofErr w:type="spellStart"/>
      <w:r w:rsidR="009910F0">
        <w:t>Nuvaxovid</w:t>
      </w:r>
      <w:proofErr w:type="spellEnd"/>
      <w:r w:rsidR="009910F0">
        <w:t xml:space="preserve">, 5 µg SARS-CoV-2 </w:t>
      </w:r>
      <w:proofErr w:type="spellStart"/>
      <w:r w:rsidR="009910F0">
        <w:t>rS</w:t>
      </w:r>
      <w:proofErr w:type="spellEnd"/>
      <w:r w:rsidR="009910F0">
        <w:t xml:space="preserve"> plus 50 µg </w:t>
      </w:r>
      <w:r w:rsidR="006F5F10">
        <w:t>Matrix-M</w:t>
      </w:r>
      <w:r w:rsidR="009910F0">
        <w:t xml:space="preserve"> adjuvant; PCR = polymerase chain reaction; PP-EFF = per protocol efficacy.</w:t>
      </w:r>
    </w:p>
    <w:p w14:paraId="124283CB" w14:textId="1B3C547E" w:rsidR="009910F0" w:rsidRDefault="009910F0" w:rsidP="00CB0654">
      <w:pPr>
        <w:pStyle w:val="TableDescription"/>
      </w:pPr>
      <w:r>
        <w:t>Note: ’S’ indicates participants with severe COVID-19</w:t>
      </w:r>
    </w:p>
    <w:p w14:paraId="3186CB91" w14:textId="4B24D663" w:rsidR="009910F0" w:rsidRDefault="009910F0" w:rsidP="00CB0654">
      <w:pPr>
        <w:pStyle w:val="TableDescription"/>
      </w:pPr>
      <w:r>
        <w:t>Note: event = PCR confirmed mild, moderate or severe COVID-19 with onset from 7 days after second vaccination within surveillance period</w:t>
      </w:r>
    </w:p>
    <w:p w14:paraId="5F4180FC" w14:textId="0836D20E" w:rsidR="009910F0" w:rsidRDefault="009910F0" w:rsidP="00CB0654">
      <w:pPr>
        <w:pStyle w:val="TableDescription"/>
      </w:pPr>
      <w:r>
        <w:t>Note: No. at risk = number of participants at risk of their first event (that is who have not had first event and were not censored at time point).</w:t>
      </w:r>
    </w:p>
    <w:p w14:paraId="3A250554" w14:textId="717D3CC2" w:rsidR="009910F0" w:rsidRDefault="009910F0" w:rsidP="00CB0654">
      <w:pPr>
        <w:pStyle w:val="TableDescription"/>
      </w:pPr>
      <w:r>
        <w:t xml:space="preserve">Note: participants were censored at the earliest of </w:t>
      </w:r>
      <w:proofErr w:type="spellStart"/>
      <w:r>
        <w:t>i</w:t>
      </w:r>
      <w:proofErr w:type="spellEnd"/>
      <w:r>
        <w:t xml:space="preserve">) </w:t>
      </w:r>
      <w:proofErr w:type="spellStart"/>
      <w:r>
        <w:t>cutoff</w:t>
      </w:r>
      <w:proofErr w:type="spellEnd"/>
      <w:r>
        <w:t xml:space="preserve"> date of 29 January 2021; ii) date of unblinding for any reason or date of receipt of an approved or deployed SARS-CoV-2 vaccine; iv) early withdrawal.</w:t>
      </w:r>
    </w:p>
    <w:p w14:paraId="10C4BD05" w14:textId="3E73368A" w:rsidR="00B46745" w:rsidRPr="00D00210" w:rsidRDefault="00B46745" w:rsidP="00345763">
      <w:pPr>
        <w:pStyle w:val="Heading7"/>
        <w:keepNext w:val="0"/>
        <w:rPr>
          <w:rFonts w:eastAsia="Calibri"/>
          <w:sz w:val="22"/>
        </w:rPr>
      </w:pPr>
      <w:r w:rsidRPr="00D00210">
        <w:rPr>
          <w:rFonts w:eastAsia="Calibri"/>
          <w:sz w:val="22"/>
        </w:rPr>
        <w:t xml:space="preserve">Secondary </w:t>
      </w:r>
      <w:r w:rsidR="007629C1" w:rsidRPr="00D00210">
        <w:rPr>
          <w:rFonts w:eastAsia="Calibri"/>
          <w:sz w:val="22"/>
        </w:rPr>
        <w:t>e</w:t>
      </w:r>
      <w:r w:rsidRPr="00D00210">
        <w:rPr>
          <w:rFonts w:eastAsia="Calibri"/>
          <w:sz w:val="22"/>
        </w:rPr>
        <w:t>ndpoint results</w:t>
      </w:r>
    </w:p>
    <w:p w14:paraId="7D8E0167" w14:textId="77777777" w:rsidR="00B46745" w:rsidRDefault="00B46745" w:rsidP="00345763">
      <w:pPr>
        <w:pStyle w:val="ListBullet"/>
      </w:pPr>
      <w:r w:rsidRPr="00B46745">
        <w:t>Efficacy by strain (</w:t>
      </w:r>
      <w:r>
        <w:t>per protocol efficacy</w:t>
      </w:r>
      <w:r w:rsidRPr="00B46745">
        <w:t xml:space="preserve"> analysis set)</w:t>
      </w:r>
    </w:p>
    <w:p w14:paraId="5D3901F5" w14:textId="7CA6CB3E" w:rsidR="00B46745" w:rsidRPr="00B46745" w:rsidRDefault="00B46745" w:rsidP="00345763">
      <w:pPr>
        <w:pStyle w:val="ListBullet2"/>
      </w:pPr>
      <w:r w:rsidRPr="00B46745">
        <w:t xml:space="preserve">PCR results of the final analysis by SARS-CoV-2 strain showed estimated VEs of </w:t>
      </w:r>
      <w:proofErr w:type="spellStart"/>
      <w:r w:rsidRPr="00B46745">
        <w:t>N</w:t>
      </w:r>
      <w:r>
        <w:t>uvaxovid</w:t>
      </w:r>
      <w:proofErr w:type="spellEnd"/>
      <w:r>
        <w:t xml:space="preserve"> </w:t>
      </w:r>
      <w:r w:rsidRPr="00B46745">
        <w:t>to prevent symptomatic mild, moderate, or severe COVID-19</w:t>
      </w:r>
      <w:r>
        <w:t>;</w:t>
      </w:r>
      <w:r>
        <w:fldChar w:fldCharType="begin"/>
      </w:r>
      <w:r>
        <w:instrText xml:space="preserve"> NOTEREF _Ref92453426 \f \h  \* MERGEFORMAT </w:instrText>
      </w:r>
      <w:r>
        <w:fldChar w:fldCharType="separate"/>
      </w:r>
      <w:r w:rsidR="00C41FF6" w:rsidRPr="00C41FF6">
        <w:rPr>
          <w:rStyle w:val="FootnoteReference"/>
        </w:rPr>
        <w:t>28</w:t>
      </w:r>
      <w:r>
        <w:fldChar w:fldCharType="end"/>
      </w:r>
      <w:r w:rsidRPr="00B46745">
        <w:t xml:space="preserve"> in baseline seronegative (to SARS-CoV-2) subjects were 86.3% (95% CI: 71.3, 93.5) for the Al</w:t>
      </w:r>
      <w:r w:rsidR="00EE29DA">
        <w:t>p</w:t>
      </w:r>
      <w:r w:rsidRPr="00B46745">
        <w:t xml:space="preserve">ha variant </w:t>
      </w:r>
      <w:r>
        <w:t>(</w:t>
      </w:r>
      <w:r w:rsidRPr="00B46745">
        <w:t>B.1.1.7</w:t>
      </w:r>
      <w:r>
        <w:t xml:space="preserve"> lineage)</w:t>
      </w:r>
      <w:r w:rsidRPr="00B46745">
        <w:t xml:space="preserve"> and 96.4% (95% CI: 73.8, 99.5) for</w:t>
      </w:r>
      <w:r w:rsidR="00A61021">
        <w:t xml:space="preserve"> </w:t>
      </w:r>
      <w:r w:rsidR="00A61021" w:rsidRPr="00A61021">
        <w:t>non</w:t>
      </w:r>
      <w:r w:rsidR="00A61021">
        <w:noBreakHyphen/>
      </w:r>
      <w:r w:rsidR="00A61021" w:rsidRPr="00A61021">
        <w:t>B.1.1.7 variants</w:t>
      </w:r>
      <w:r w:rsidRPr="00B46745">
        <w:t>.</w:t>
      </w:r>
    </w:p>
    <w:p w14:paraId="6F0CF7A8" w14:textId="0047D143" w:rsidR="00B46745" w:rsidRDefault="00B46745" w:rsidP="00345763">
      <w:pPr>
        <w:pStyle w:val="ListBullet"/>
      </w:pPr>
      <w:r>
        <w:t>Protection against symptomatic moderate or severe COVID-19 with onset at least seven days after second study vaccination (for example Day 28) in baseline seronegative subjects (defined as key by the sponsor)</w:t>
      </w:r>
    </w:p>
    <w:p w14:paraId="5F85D833" w14:textId="47E18917" w:rsidR="00B46745" w:rsidRDefault="00B46745" w:rsidP="00345763">
      <w:pPr>
        <w:pStyle w:val="ListBullet2"/>
      </w:pPr>
      <w:r>
        <w:t xml:space="preserve">There were 77 out of 106 cases of PCR confirmed symptomatic moderate or severe COVID-19 with onset from at least seven days after second vaccination, with 9 (0.1%) in the </w:t>
      </w:r>
      <w:proofErr w:type="spellStart"/>
      <w:r>
        <w:t>Nuvaxovid</w:t>
      </w:r>
      <w:proofErr w:type="spellEnd"/>
      <w:r>
        <w:t xml:space="preserve"> group and 68 (1%) in the placebo group. The resultant estimated VE of </w:t>
      </w:r>
      <w:proofErr w:type="spellStart"/>
      <w:r>
        <w:t>Nuvaxovid</w:t>
      </w:r>
      <w:proofErr w:type="spellEnd"/>
      <w:r>
        <w:t xml:space="preserve"> to prevent symptomatic moderate or severe COVID-19 in baseline seronegative (to SARS-</w:t>
      </w:r>
      <w:proofErr w:type="spellStart"/>
      <w:r>
        <w:t>CoV</w:t>
      </w:r>
      <w:proofErr w:type="spellEnd"/>
      <w:r>
        <w:t>- 2) adult subjects was 86.9% (95% CI: 73.7, 93.5).</w:t>
      </w:r>
    </w:p>
    <w:p w14:paraId="2CC3F339" w14:textId="7FBF5E0A" w:rsidR="00B46745" w:rsidRDefault="00B46745" w:rsidP="00345763">
      <w:pPr>
        <w:pStyle w:val="ListBullet"/>
      </w:pPr>
      <w:r>
        <w:t>Protection against symptomatic severe COVID-19 with onset at least seven days after second study vaccination (for example Day 28) in baseline seronegative subjects.</w:t>
      </w:r>
    </w:p>
    <w:p w14:paraId="74568B40" w14:textId="43B90A02" w:rsidR="00B46745" w:rsidRDefault="00B46745" w:rsidP="00345763">
      <w:pPr>
        <w:pStyle w:val="ListBullet2"/>
      </w:pPr>
      <w:r>
        <w:t>At the time of the final analysis there were f</w:t>
      </w:r>
      <w:r w:rsidR="00A61021">
        <w:t>ive</w:t>
      </w:r>
      <w:r>
        <w:t xml:space="preserve"> cases classified as severe in the placebo group and none in the </w:t>
      </w:r>
      <w:proofErr w:type="spellStart"/>
      <w:r>
        <w:t>Nuvaxovid</w:t>
      </w:r>
      <w:proofErr w:type="spellEnd"/>
      <w:r>
        <w:t xml:space="preserve"> group occurring at least seven days after the second dose in serologically negative adult subjects in the per protocol efficacy</w:t>
      </w:r>
      <w:r w:rsidRPr="00B46745">
        <w:t xml:space="preserve"> analysis set</w:t>
      </w:r>
      <w:r>
        <w:t xml:space="preserve"> analysis set.</w:t>
      </w:r>
    </w:p>
    <w:p w14:paraId="37290346" w14:textId="5006B07C" w:rsidR="00B46745" w:rsidRDefault="00B46745" w:rsidP="00345763">
      <w:pPr>
        <w:pStyle w:val="ListBullet"/>
      </w:pPr>
      <w:r>
        <w:lastRenderedPageBreak/>
        <w:t>Protection against hospitalisation, ICU admission or mechanical ventilation linked to any virologically confirmed COVID-19 with onset at least seven days after second study vaccination (for example Day 28) in adult subjects regardless of their serostatus at Baseline.</w:t>
      </w:r>
    </w:p>
    <w:p w14:paraId="3B6F52FF" w14:textId="38B31AA9" w:rsidR="00B46745" w:rsidRDefault="00B46745" w:rsidP="00345763">
      <w:pPr>
        <w:pStyle w:val="ListBullet2"/>
      </w:pPr>
      <w:r>
        <w:t>There were o</w:t>
      </w:r>
      <w:r w:rsidR="00A61021">
        <w:t>ne</w:t>
      </w:r>
      <w:r>
        <w:t xml:space="preserve"> case of PCR</w:t>
      </w:r>
      <w:r w:rsidR="007615FB">
        <w:t xml:space="preserve"> </w:t>
      </w:r>
      <w:r>
        <w:t>confirmed symptomatic moderate or severe COVID</w:t>
      </w:r>
      <w:r>
        <w:noBreakHyphen/>
        <w:t>19;</w:t>
      </w:r>
      <w:r>
        <w:fldChar w:fldCharType="begin"/>
      </w:r>
      <w:r>
        <w:instrText xml:space="preserve"> NOTEREF _Ref92453426 \f \h </w:instrText>
      </w:r>
      <w:r>
        <w:fldChar w:fldCharType="separate"/>
      </w:r>
      <w:r w:rsidR="00C41FF6" w:rsidRPr="00C41FF6">
        <w:rPr>
          <w:rStyle w:val="FootnoteReference"/>
        </w:rPr>
        <w:t>28</w:t>
      </w:r>
      <w:r>
        <w:fldChar w:fldCharType="end"/>
      </w:r>
      <w:r>
        <w:t xml:space="preserve"> requiring hospitalisation, ICU admission, or mechanical ventilation with onset from at least seven days after second vaccination in serologically negative adult subjects, with 0 in the </w:t>
      </w:r>
      <w:proofErr w:type="spellStart"/>
      <w:r>
        <w:t>Nuvaxovid</w:t>
      </w:r>
      <w:proofErr w:type="spellEnd"/>
      <w:r>
        <w:t xml:space="preserve"> group and </w:t>
      </w:r>
      <w:r w:rsidR="00A61021">
        <w:t>one</w:t>
      </w:r>
      <w:r>
        <w:t xml:space="preserve"> in the placebo group. </w:t>
      </w:r>
    </w:p>
    <w:p w14:paraId="38CFCDD0" w14:textId="4C8DF278" w:rsidR="00B46745" w:rsidRDefault="00B46745" w:rsidP="00345763">
      <w:pPr>
        <w:pStyle w:val="ListBullet"/>
      </w:pPr>
      <w:r>
        <w:t>Protection against COVID-19 in adults regardless of baseline serostatus</w:t>
      </w:r>
      <w:r w:rsidR="007629C1">
        <w:t>:</w:t>
      </w:r>
    </w:p>
    <w:p w14:paraId="171781DA" w14:textId="34989D07" w:rsidR="00B46745" w:rsidRPr="00B46745" w:rsidRDefault="00B46745" w:rsidP="00345763">
      <w:pPr>
        <w:pStyle w:val="ListBullet2"/>
      </w:pPr>
      <w:r w:rsidRPr="00B46745">
        <w:t>There were 107 cases of PCR</w:t>
      </w:r>
      <w:r>
        <w:t xml:space="preserve"> </w:t>
      </w:r>
      <w:r w:rsidRPr="00B46745">
        <w:t>confirmed symptomatic mild, moderate, or severe COVID-19</w:t>
      </w:r>
      <w:r>
        <w:t>;</w:t>
      </w:r>
      <w:r>
        <w:fldChar w:fldCharType="begin"/>
      </w:r>
      <w:r>
        <w:instrText xml:space="preserve"> NOTEREF _Ref92453426 \f \h </w:instrText>
      </w:r>
      <w:r>
        <w:fldChar w:fldCharType="separate"/>
      </w:r>
      <w:r w:rsidR="00C41FF6" w:rsidRPr="00C41FF6">
        <w:rPr>
          <w:rStyle w:val="FootnoteReference"/>
        </w:rPr>
        <w:t>28</w:t>
      </w:r>
      <w:r>
        <w:fldChar w:fldCharType="end"/>
      </w:r>
      <w:r w:rsidRPr="00B46745">
        <w:t xml:space="preserve"> with an onset from at least </w:t>
      </w:r>
      <w:r>
        <w:t>seven</w:t>
      </w:r>
      <w:r w:rsidRPr="00B46745">
        <w:t xml:space="preserve"> days after second vaccination in subjects regardless of baseline serostatus, with 10 (0.1%) in the </w:t>
      </w:r>
      <w:proofErr w:type="spellStart"/>
      <w:r>
        <w:t>Nuvaxovid</w:t>
      </w:r>
      <w:proofErr w:type="spellEnd"/>
      <w:r w:rsidRPr="00B46745">
        <w:t xml:space="preserve"> group and 97 (1.3%) in the placebo group. </w:t>
      </w:r>
      <w:r>
        <w:t>VE</w:t>
      </w:r>
      <w:r w:rsidRPr="00B46745">
        <w:t xml:space="preserve"> of </w:t>
      </w:r>
      <w:proofErr w:type="spellStart"/>
      <w:r>
        <w:t>Nuvaxovid</w:t>
      </w:r>
      <w:proofErr w:type="spellEnd"/>
      <w:r w:rsidRPr="00B46745">
        <w:t xml:space="preserve"> to prevent symptomatic mild, moderate, or severe COVID-19</w:t>
      </w:r>
      <w:r>
        <w:t>;</w:t>
      </w:r>
      <w:r>
        <w:fldChar w:fldCharType="begin"/>
      </w:r>
      <w:r>
        <w:instrText xml:space="preserve"> NOTEREF _Ref92453426 \f \h </w:instrText>
      </w:r>
      <w:r>
        <w:fldChar w:fldCharType="separate"/>
      </w:r>
      <w:r w:rsidR="00C41FF6" w:rsidRPr="00C41FF6">
        <w:rPr>
          <w:rStyle w:val="FootnoteReference"/>
        </w:rPr>
        <w:t>28</w:t>
      </w:r>
      <w:r>
        <w:fldChar w:fldCharType="end"/>
      </w:r>
      <w:r w:rsidRPr="00B46745">
        <w:t xml:space="preserve"> in adult subjects regardless of baseline serostatus was estimated to be 89.8% (95% CI: 80.5, 94.7).</w:t>
      </w:r>
    </w:p>
    <w:p w14:paraId="7BDD4123" w14:textId="1BD45FC7" w:rsidR="00B46745" w:rsidRDefault="00B46745" w:rsidP="00345763">
      <w:pPr>
        <w:pStyle w:val="ListBullet2"/>
      </w:pPr>
      <w:r w:rsidRPr="00B46745">
        <w:t>There were 183 cases of PCR</w:t>
      </w:r>
      <w:r>
        <w:t xml:space="preserve"> </w:t>
      </w:r>
      <w:r w:rsidRPr="00B46745">
        <w:t>confirmed mild, moderate, or severe COVID-19</w:t>
      </w:r>
      <w:r>
        <w:t>;</w:t>
      </w:r>
      <w:r>
        <w:fldChar w:fldCharType="begin"/>
      </w:r>
      <w:r>
        <w:instrText xml:space="preserve"> NOTEREF _Ref92453426 \f \h </w:instrText>
      </w:r>
      <w:r>
        <w:fldChar w:fldCharType="separate"/>
      </w:r>
      <w:r w:rsidR="00C41FF6" w:rsidRPr="00C41FF6">
        <w:rPr>
          <w:rStyle w:val="FootnoteReference"/>
        </w:rPr>
        <w:t>28</w:t>
      </w:r>
      <w:r>
        <w:fldChar w:fldCharType="end"/>
      </w:r>
      <w:r w:rsidRPr="00B46745">
        <w:t xml:space="preserve"> with onset from first vaccination through the data </w:t>
      </w:r>
      <w:proofErr w:type="spellStart"/>
      <w:r w:rsidRPr="00B46745">
        <w:t>cutoff</w:t>
      </w:r>
      <w:proofErr w:type="spellEnd"/>
      <w:r w:rsidRPr="00B46745">
        <w:t xml:space="preserve"> date of the final analysis of the primary endpoint. PCR</w:t>
      </w:r>
      <w:r>
        <w:t xml:space="preserve"> </w:t>
      </w:r>
      <w:r w:rsidRPr="00B46745">
        <w:t>confirmed COVID-19 occurred in 42 (0.6%) subjects (1.742/1000 p</w:t>
      </w:r>
      <w:r w:rsidR="007F3E96">
        <w:t>atient</w:t>
      </w:r>
      <w:r w:rsidRPr="00B46745">
        <w:t xml:space="preserve">-years) in the </w:t>
      </w:r>
      <w:proofErr w:type="spellStart"/>
      <w:r>
        <w:t>Nuvaxovid</w:t>
      </w:r>
      <w:proofErr w:type="spellEnd"/>
      <w:r w:rsidRPr="00B46745">
        <w:t xml:space="preserve"> group and 141 (1.9%) cases (1.728/1000 p</w:t>
      </w:r>
      <w:r w:rsidR="007F3E96">
        <w:t>atient</w:t>
      </w:r>
      <w:r w:rsidRPr="00B46745">
        <w:t xml:space="preserve">-years) in the placebo group at the time of the final analysis of the primary endpoint (median surveillance time 85 days), with no subjects having more than </w:t>
      </w:r>
      <w:r>
        <w:t>one</w:t>
      </w:r>
      <w:r w:rsidRPr="00B46745">
        <w:t xml:space="preserve"> episode of COVID-19. The resultant estimated VE of </w:t>
      </w:r>
      <w:proofErr w:type="spellStart"/>
      <w:r>
        <w:t>Nuvaxovid</w:t>
      </w:r>
      <w:proofErr w:type="spellEnd"/>
      <w:r w:rsidRPr="00B46745">
        <w:t xml:space="preserve"> to prevent symptomatic mild, moderate, or severe COVID-19</w:t>
      </w:r>
      <w:r>
        <w:t>;</w:t>
      </w:r>
      <w:r>
        <w:fldChar w:fldCharType="begin"/>
      </w:r>
      <w:r>
        <w:instrText xml:space="preserve"> NOTEREF _Ref92453426 \f \h </w:instrText>
      </w:r>
      <w:r>
        <w:fldChar w:fldCharType="separate"/>
      </w:r>
      <w:r w:rsidR="00C41FF6" w:rsidRPr="00C41FF6">
        <w:rPr>
          <w:rStyle w:val="FootnoteReference"/>
        </w:rPr>
        <w:t>28</w:t>
      </w:r>
      <w:r>
        <w:fldChar w:fldCharType="end"/>
      </w:r>
      <w:r w:rsidRPr="00B46745">
        <w:t xml:space="preserve"> from first vaccination in adults regardless of baseline serostatus was 70.5% (95% CI: 58, 79.6; Clopper-Pearson method). The </w:t>
      </w:r>
      <w:r>
        <w:t>VE</w:t>
      </w:r>
      <w:r w:rsidRPr="00B46745">
        <w:t xml:space="preserve"> against confirmed mild, moderate or severe COVID-19</w:t>
      </w:r>
      <w:r>
        <w:t>;</w:t>
      </w:r>
      <w:r>
        <w:fldChar w:fldCharType="begin"/>
      </w:r>
      <w:r>
        <w:instrText xml:space="preserve"> NOTEREF _Ref92453426 \f \h </w:instrText>
      </w:r>
      <w:r>
        <w:fldChar w:fldCharType="separate"/>
      </w:r>
      <w:r w:rsidR="00C41FF6" w:rsidRPr="00C41FF6">
        <w:rPr>
          <w:rStyle w:val="FootnoteReference"/>
        </w:rPr>
        <w:t>28</w:t>
      </w:r>
      <w:r>
        <w:fldChar w:fldCharType="end"/>
      </w:r>
      <w:r w:rsidRPr="00B46745">
        <w:t xml:space="preserve"> with onset after first vaccination in adults regardless of baseline serostatus is shown in </w:t>
      </w:r>
      <w:r>
        <w:fldChar w:fldCharType="begin" w:fldLock="1"/>
      </w:r>
      <w:r>
        <w:instrText xml:space="preserve"> REF _Ref92461993 \h </w:instrText>
      </w:r>
      <w:r>
        <w:fldChar w:fldCharType="separate"/>
      </w:r>
      <w:r w:rsidR="00AA298B" w:rsidRPr="00B46745">
        <w:t xml:space="preserve">Table </w:t>
      </w:r>
      <w:r w:rsidR="00AA298B">
        <w:rPr>
          <w:noProof/>
        </w:rPr>
        <w:t>16</w:t>
      </w:r>
      <w:r>
        <w:fldChar w:fldCharType="end"/>
      </w:r>
      <w:r>
        <w:t xml:space="preserve"> </w:t>
      </w:r>
      <w:r w:rsidRPr="00B46745">
        <w:t>for different time periods.</w:t>
      </w:r>
    </w:p>
    <w:p w14:paraId="20130B3D" w14:textId="4E5F2159" w:rsidR="00B46745" w:rsidRPr="00B46745" w:rsidRDefault="00B46745" w:rsidP="00CB0654">
      <w:pPr>
        <w:pStyle w:val="TableTitle"/>
      </w:pPr>
      <w:bookmarkStart w:id="70" w:name="_Ref92461993"/>
      <w:r w:rsidRPr="00B46745">
        <w:t xml:space="preserve">Table </w:t>
      </w:r>
      <w:r w:rsidR="00344FF4">
        <w:fldChar w:fldCharType="begin"/>
      </w:r>
      <w:r w:rsidR="00344FF4">
        <w:instrText xml:space="preserve"> SEQ Table \* ARABIC </w:instrText>
      </w:r>
      <w:r w:rsidR="00344FF4">
        <w:fldChar w:fldCharType="separate"/>
      </w:r>
      <w:r w:rsidR="00C41FF6">
        <w:rPr>
          <w:noProof/>
        </w:rPr>
        <w:t>16</w:t>
      </w:r>
      <w:r w:rsidR="00344FF4">
        <w:rPr>
          <w:noProof/>
        </w:rPr>
        <w:fldChar w:fldCharType="end"/>
      </w:r>
      <w:bookmarkEnd w:id="70"/>
      <w:r>
        <w:t xml:space="preserve">: </w:t>
      </w:r>
      <w:r w:rsidR="00A54701">
        <w:t xml:space="preserve">Study </w:t>
      </w:r>
      <w:r w:rsidR="00A54701" w:rsidRPr="00B46745">
        <w:t>2019nCoV-302</w:t>
      </w:r>
      <w:r w:rsidR="00A54701">
        <w:t xml:space="preserve"> </w:t>
      </w:r>
      <w:r w:rsidRPr="00B46745">
        <w:t xml:space="preserve">Vaccine </w:t>
      </w:r>
      <w:r>
        <w:t>e</w:t>
      </w:r>
      <w:r w:rsidRPr="00B46745">
        <w:t xml:space="preserve">fficacy against </w:t>
      </w:r>
      <w:r>
        <w:t>polymerase chain reaction</w:t>
      </w:r>
      <w:r w:rsidRPr="00B46745">
        <w:t>-</w:t>
      </w:r>
      <w:r>
        <w:t>c</w:t>
      </w:r>
      <w:r w:rsidRPr="00B46745">
        <w:t xml:space="preserve">onfirmed </w:t>
      </w:r>
      <w:r>
        <w:t>s</w:t>
      </w:r>
      <w:r w:rsidRPr="00B46745">
        <w:t xml:space="preserve">ymptomatic </w:t>
      </w:r>
      <w:r>
        <w:t>m</w:t>
      </w:r>
      <w:r w:rsidRPr="00B46745">
        <w:t xml:space="preserve">ild, </w:t>
      </w:r>
      <w:r>
        <w:t>m</w:t>
      </w:r>
      <w:r w:rsidRPr="00B46745">
        <w:t xml:space="preserve">oderate, or </w:t>
      </w:r>
      <w:r>
        <w:t>s</w:t>
      </w:r>
      <w:r w:rsidRPr="00B46745">
        <w:t xml:space="preserve">evere COVID-19 with </w:t>
      </w:r>
      <w:r>
        <w:t>o</w:t>
      </w:r>
      <w:r w:rsidRPr="00B46745">
        <w:t xml:space="preserve">nset from </w:t>
      </w:r>
      <w:r>
        <w:t>f</w:t>
      </w:r>
      <w:r w:rsidRPr="00B46745">
        <w:t xml:space="preserve">irst </w:t>
      </w:r>
      <w:r>
        <w:t>v</w:t>
      </w:r>
      <w:r w:rsidRPr="00B46745">
        <w:t xml:space="preserve">accination in </w:t>
      </w:r>
      <w:r>
        <w:t>a</w:t>
      </w:r>
      <w:r w:rsidRPr="00B46745">
        <w:t xml:space="preserve">dult </w:t>
      </w:r>
      <w:r>
        <w:t>s</w:t>
      </w:r>
      <w:r w:rsidRPr="00B46745">
        <w:t xml:space="preserve">ubjects </w:t>
      </w:r>
      <w:r>
        <w:t>r</w:t>
      </w:r>
      <w:r w:rsidRPr="00B46745">
        <w:t xml:space="preserve">egardless of </w:t>
      </w:r>
      <w:r>
        <w:t>b</w:t>
      </w:r>
      <w:r w:rsidRPr="00B46745">
        <w:t xml:space="preserve">aseline </w:t>
      </w:r>
      <w:r>
        <w:t>s</w:t>
      </w:r>
      <w:r w:rsidRPr="00B46745">
        <w:t>erostatus (</w:t>
      </w:r>
      <w:r>
        <w:t>intent to treat</w:t>
      </w:r>
      <w:r w:rsidRPr="00B46745">
        <w:t xml:space="preserve"> </w:t>
      </w:r>
      <w:r>
        <w:t>a</w:t>
      </w:r>
      <w:r w:rsidRPr="00B46745">
        <w:t xml:space="preserve">nalysis </w:t>
      </w:r>
      <w:r>
        <w:t>s</w:t>
      </w:r>
      <w:r w:rsidRPr="00B46745">
        <w:t>et)</w:t>
      </w:r>
    </w:p>
    <w:p w14:paraId="1F7A52B5" w14:textId="4996DBBF" w:rsidR="009910F0" w:rsidRDefault="00A54701" w:rsidP="00CB0654">
      <w:pPr>
        <w:pStyle w:val="TableDescription"/>
      </w:pPr>
      <w:r>
        <w:rPr>
          <w:noProof/>
          <w:lang w:val="en-GB" w:eastAsia="en-GB"/>
        </w:rPr>
        <w:drawing>
          <wp:inline distT="0" distB="0" distL="0" distR="0" wp14:anchorId="027147AB" wp14:editId="27E2D2E3">
            <wp:extent cx="5211886" cy="2185551"/>
            <wp:effectExtent l="0" t="0" r="8255" b="5715"/>
            <wp:docPr id="225" name="Picture 225" descr="P674#yIS1"/>
            <wp:cNvGraphicFramePr/>
            <a:graphic xmlns:a="http://schemas.openxmlformats.org/drawingml/2006/main">
              <a:graphicData uri="http://schemas.openxmlformats.org/drawingml/2006/picture">
                <pic:pic xmlns:pic="http://schemas.openxmlformats.org/drawingml/2006/picture">
                  <pic:nvPicPr>
                    <pic:cNvPr id="225" name="Picture 225" descr="P674#yIS1"/>
                    <pic:cNvPicPr/>
                  </pic:nvPicPr>
                  <pic:blipFill rotWithShape="1">
                    <a:blip r:embed="rId34">
                      <a:extLst>
                        <a:ext uri="{28A0092B-C50C-407E-A947-70E740481C1C}">
                          <a14:useLocalDpi xmlns:a14="http://schemas.microsoft.com/office/drawing/2010/main" val="0"/>
                        </a:ext>
                      </a:extLst>
                    </a:blip>
                    <a:srcRect l="-910" t="-1060" r="1001" b="27909"/>
                    <a:stretch/>
                  </pic:blipFill>
                  <pic:spPr bwMode="auto">
                    <a:xfrm>
                      <a:off x="0" y="0"/>
                      <a:ext cx="5385363" cy="2258297"/>
                    </a:xfrm>
                    <a:prstGeom prst="rect">
                      <a:avLst/>
                    </a:prstGeom>
                    <a:noFill/>
                    <a:ln>
                      <a:noFill/>
                    </a:ln>
                    <a:extLst>
                      <a:ext uri="{53640926-AAD7-44D8-BBD7-CCE9431645EC}">
                        <a14:shadowObscured xmlns:a14="http://schemas.microsoft.com/office/drawing/2010/main"/>
                      </a:ext>
                    </a:extLst>
                  </pic:spPr>
                </pic:pic>
              </a:graphicData>
            </a:graphic>
          </wp:inline>
        </w:drawing>
      </w:r>
    </w:p>
    <w:p w14:paraId="3B791929" w14:textId="7C0EFB31" w:rsidR="00A54701" w:rsidRPr="00CB0654" w:rsidRDefault="00A54701" w:rsidP="00CB0654">
      <w:pPr>
        <w:pStyle w:val="TableDescription"/>
      </w:pPr>
      <w:r w:rsidRPr="00A54701">
        <w:rPr>
          <w:vertAlign w:val="superscript"/>
        </w:rPr>
        <w:t>1</w:t>
      </w:r>
      <w:r>
        <w:t xml:space="preserve"> CIT for </w:t>
      </w:r>
      <w:r w:rsidRPr="00CB0654">
        <w:t>vaccine efficacy was derived from the Clopper-Pearson method. The 95% CI was calculated using the Clopper-Pearson exact binomial method adjusted for the total surveillance time.</w:t>
      </w:r>
    </w:p>
    <w:p w14:paraId="65C78F3E" w14:textId="04643343" w:rsidR="00A54701" w:rsidRPr="00CB0654" w:rsidRDefault="00A54701" w:rsidP="00CB0654">
      <w:pPr>
        <w:pStyle w:val="TableDescription"/>
      </w:pPr>
      <w:r w:rsidRPr="00CB0654">
        <w:rPr>
          <w:vertAlign w:val="superscript"/>
        </w:rPr>
        <w:t>2</w:t>
      </w:r>
      <w:r w:rsidRPr="00CB0654">
        <w:t xml:space="preserve"> Total surveillance time in 1000 p</w:t>
      </w:r>
      <w:r w:rsidR="007F3E96" w:rsidRPr="00CB0654">
        <w:t>atient</w:t>
      </w:r>
      <w:r w:rsidRPr="00CB0654">
        <w:t>-years for the given endpoint across all participant within each group at risk for the endpoint.</w:t>
      </w:r>
    </w:p>
    <w:p w14:paraId="35563E4D" w14:textId="3B0AF620" w:rsidR="00A54701" w:rsidRDefault="00A54701" w:rsidP="00CB0654">
      <w:pPr>
        <w:pStyle w:val="TableDescription"/>
      </w:pPr>
      <w:r w:rsidRPr="00CB0654">
        <w:rPr>
          <w:vertAlign w:val="superscript"/>
        </w:rPr>
        <w:t>3</w:t>
      </w:r>
      <w:r w:rsidRPr="00CB0654">
        <w:t xml:space="preserve"> Event = first occurrence of PCR confirmed mild, moderate or severe COVID-19 with onset from first vaccination within the</w:t>
      </w:r>
      <w:r>
        <w:t xml:space="preserve"> surveillance period.</w:t>
      </w:r>
    </w:p>
    <w:p w14:paraId="7835F919" w14:textId="4F36D03A" w:rsidR="00A54701" w:rsidRDefault="00A54701" w:rsidP="00345763">
      <w:r>
        <w:lastRenderedPageBreak/>
        <w:t>Vaccine efficacy adjusted for surveillance time was 24.0% (-38.1, 58.1), 42.8% (-16.2, 71.9) and 57.1% (-18.8, 86.5) when onset was from at least seven days, 10 days and 14</w:t>
      </w:r>
      <w:r w:rsidR="007629C1">
        <w:t> </w:t>
      </w:r>
      <w:r>
        <w:t xml:space="preserve">days after first </w:t>
      </w:r>
      <w:r w:rsidR="007615FB">
        <w:t xml:space="preserve">dose </w:t>
      </w:r>
      <w:r>
        <w:t xml:space="preserve">vaccination and an observation period up to the second dose vaccination. The median duration of illness was 12.5 days in the vaccine group and 13 days in the placebo group. </w:t>
      </w:r>
    </w:p>
    <w:p w14:paraId="49A22167" w14:textId="07FD19BA" w:rsidR="00A54701" w:rsidRDefault="00A54701" w:rsidP="00345763">
      <w:r>
        <w:t xml:space="preserve">The cumulative incidence curve of PCR confirmed COVID-19 cases over time since first vaccination in both groups is displayed in </w:t>
      </w:r>
      <w:r>
        <w:fldChar w:fldCharType="begin" w:fldLock="1"/>
      </w:r>
      <w:r>
        <w:instrText xml:space="preserve"> REF _Ref92462710 \h </w:instrText>
      </w:r>
      <w:r>
        <w:fldChar w:fldCharType="separate"/>
      </w:r>
      <w:r w:rsidR="00AA298B" w:rsidRPr="00A54701">
        <w:t xml:space="preserve">Figure </w:t>
      </w:r>
      <w:r w:rsidR="00AA298B">
        <w:rPr>
          <w:noProof/>
        </w:rPr>
        <w:t>7</w:t>
      </w:r>
      <w:r>
        <w:fldChar w:fldCharType="end"/>
      </w:r>
      <w:r>
        <w:t xml:space="preserve"> below.</w:t>
      </w:r>
    </w:p>
    <w:p w14:paraId="2E90F2AE" w14:textId="291F88C7" w:rsidR="00A54701" w:rsidRDefault="00A54701" w:rsidP="00345763">
      <w:pPr>
        <w:pStyle w:val="FigureTitle"/>
        <w:keepNext w:val="0"/>
      </w:pPr>
      <w:bookmarkStart w:id="71" w:name="_Ref92462710"/>
      <w:r w:rsidRPr="00A54701">
        <w:t xml:space="preserve">Figure </w:t>
      </w:r>
      <w:r w:rsidR="00344FF4">
        <w:fldChar w:fldCharType="begin"/>
      </w:r>
      <w:r w:rsidR="00344FF4">
        <w:instrText xml:space="preserve"> SEQ Figure \* A</w:instrText>
      </w:r>
      <w:r w:rsidR="00344FF4">
        <w:instrText xml:space="preserve">RABIC </w:instrText>
      </w:r>
      <w:r w:rsidR="00344FF4">
        <w:fldChar w:fldCharType="separate"/>
      </w:r>
      <w:r w:rsidR="00C41FF6">
        <w:rPr>
          <w:noProof/>
        </w:rPr>
        <w:t>7</w:t>
      </w:r>
      <w:r w:rsidR="00344FF4">
        <w:rPr>
          <w:noProof/>
        </w:rPr>
        <w:fldChar w:fldCharType="end"/>
      </w:r>
      <w:bookmarkEnd w:id="71"/>
      <w:r>
        <w:t>: Study 2019nCoV-302 Cumulative incidence curve of polymerase chain reaction-confirmed symptomatic mild, moderate, or severe COVID-19 with onset from first vaccination in adult subjects regardless of baseline serostatus (intent to treat analysis set)</w:t>
      </w:r>
    </w:p>
    <w:p w14:paraId="16CDA903" w14:textId="4F3FE513" w:rsidR="00A54701" w:rsidRDefault="00A54701" w:rsidP="00345763">
      <w:r>
        <w:rPr>
          <w:noProof/>
          <w:lang w:val="en-GB" w:eastAsia="en-GB"/>
        </w:rPr>
        <w:drawing>
          <wp:inline distT="0" distB="0" distL="0" distR="0" wp14:anchorId="08B29954" wp14:editId="74A98CC8">
            <wp:extent cx="5253487" cy="2855344"/>
            <wp:effectExtent l="0" t="0" r="4445" b="2540"/>
            <wp:docPr id="226" name="Picture 226" descr="P681#yIS1"/>
            <wp:cNvGraphicFramePr/>
            <a:graphic xmlns:a="http://schemas.openxmlformats.org/drawingml/2006/main">
              <a:graphicData uri="http://schemas.openxmlformats.org/drawingml/2006/picture">
                <pic:pic xmlns:pic="http://schemas.openxmlformats.org/drawingml/2006/picture">
                  <pic:nvPicPr>
                    <pic:cNvPr id="226" name="Picture 226" descr="P681#yIS1"/>
                    <pic:cNvPicPr/>
                  </pic:nvPicPr>
                  <pic:blipFill rotWithShape="1">
                    <a:blip r:embed="rId35">
                      <a:lum bright="-20000" contrast="40000"/>
                      <a:extLst>
                        <a:ext uri="{28A0092B-C50C-407E-A947-70E740481C1C}">
                          <a14:useLocalDpi xmlns:a14="http://schemas.microsoft.com/office/drawing/2010/main" val="0"/>
                        </a:ext>
                      </a:extLst>
                    </a:blip>
                    <a:srcRect l="2724" t="4768" r="4667" b="4275"/>
                    <a:stretch/>
                  </pic:blipFill>
                  <pic:spPr bwMode="auto">
                    <a:xfrm>
                      <a:off x="0" y="0"/>
                      <a:ext cx="5262583" cy="2860288"/>
                    </a:xfrm>
                    <a:prstGeom prst="rect">
                      <a:avLst/>
                    </a:prstGeom>
                    <a:noFill/>
                    <a:ln>
                      <a:noFill/>
                    </a:ln>
                    <a:extLst>
                      <a:ext uri="{53640926-AAD7-44D8-BBD7-CCE9431645EC}">
                        <a14:shadowObscured xmlns:a14="http://schemas.microsoft.com/office/drawing/2010/main"/>
                      </a:ext>
                    </a:extLst>
                  </pic:spPr>
                </pic:pic>
              </a:graphicData>
            </a:graphic>
          </wp:inline>
        </w:drawing>
      </w:r>
    </w:p>
    <w:p w14:paraId="672A5B36" w14:textId="7F0103D6" w:rsidR="00291C71" w:rsidRPr="00D00210" w:rsidRDefault="00291C71" w:rsidP="00345763">
      <w:pPr>
        <w:pStyle w:val="Heading7"/>
        <w:keepNext w:val="0"/>
        <w:rPr>
          <w:rFonts w:eastAsia="Calibri"/>
        </w:rPr>
      </w:pPr>
      <w:r w:rsidRPr="00D00210">
        <w:rPr>
          <w:rFonts w:eastAsia="Calibri"/>
          <w:sz w:val="22"/>
        </w:rPr>
        <w:t>Subgroup analyses</w:t>
      </w:r>
    </w:p>
    <w:p w14:paraId="5EFA1596" w14:textId="62EFBC1D" w:rsidR="00291C71" w:rsidRDefault="00291C71" w:rsidP="00345763">
      <w:pPr>
        <w:spacing w:before="0" w:after="160" w:line="256" w:lineRule="auto"/>
        <w:jc w:val="both"/>
        <w:rPr>
          <w:rFonts w:eastAsia="Calibri"/>
          <w:szCs w:val="24"/>
        </w:rPr>
      </w:pPr>
      <w:r>
        <w:rPr>
          <w:rFonts w:eastAsia="Calibri"/>
          <w:szCs w:val="24"/>
        </w:rPr>
        <w:t xml:space="preserve">The VEs of </w:t>
      </w:r>
      <w:proofErr w:type="spellStart"/>
      <w:r>
        <w:rPr>
          <w:rFonts w:eastAsia="Calibri"/>
          <w:szCs w:val="24"/>
        </w:rPr>
        <w:t>Nuvaxovid</w:t>
      </w:r>
      <w:proofErr w:type="spellEnd"/>
      <w:r>
        <w:rPr>
          <w:rFonts w:eastAsia="Calibri"/>
          <w:szCs w:val="24"/>
        </w:rPr>
        <w:t xml:space="preserve"> at the time of the final analysis of the primary endpoint, for which an adequate number of cases were identified, were consistent across major demographic and baseline characteristic subgroups (see </w:t>
      </w:r>
      <w:r>
        <w:rPr>
          <w:rFonts w:eastAsia="Calibri"/>
          <w:bCs/>
          <w:szCs w:val="24"/>
        </w:rPr>
        <w:fldChar w:fldCharType="begin" w:fldLock="1"/>
      </w:r>
      <w:r>
        <w:rPr>
          <w:rFonts w:eastAsia="Calibri"/>
          <w:szCs w:val="24"/>
        </w:rPr>
        <w:instrText xml:space="preserve"> REF _Ref92462928 \h </w:instrText>
      </w:r>
      <w:r>
        <w:rPr>
          <w:rFonts w:eastAsia="Calibri"/>
          <w:bCs/>
          <w:szCs w:val="24"/>
        </w:rPr>
      </w:r>
      <w:r>
        <w:rPr>
          <w:rFonts w:eastAsia="Calibri"/>
          <w:bCs/>
          <w:szCs w:val="24"/>
        </w:rPr>
        <w:fldChar w:fldCharType="separate"/>
      </w:r>
      <w:r w:rsidR="00AA298B" w:rsidRPr="00291C71">
        <w:t xml:space="preserve">Table </w:t>
      </w:r>
      <w:r w:rsidR="00AA298B">
        <w:rPr>
          <w:noProof/>
        </w:rPr>
        <w:t>17</w:t>
      </w:r>
      <w:r>
        <w:rPr>
          <w:rFonts w:eastAsia="Calibri"/>
          <w:bCs/>
          <w:szCs w:val="24"/>
        </w:rPr>
        <w:fldChar w:fldCharType="end"/>
      </w:r>
      <w:r>
        <w:rPr>
          <w:rFonts w:eastAsia="Calibri"/>
          <w:bCs/>
          <w:szCs w:val="24"/>
        </w:rPr>
        <w:t>).</w:t>
      </w:r>
    </w:p>
    <w:p w14:paraId="3B1AF5B5" w14:textId="68608FDB" w:rsidR="00291C71" w:rsidRDefault="00291C71" w:rsidP="00CB0654">
      <w:pPr>
        <w:pStyle w:val="TableTitle"/>
      </w:pPr>
      <w:bookmarkStart w:id="72" w:name="_Ref92462928"/>
      <w:bookmarkStart w:id="73" w:name="_Ref92462922"/>
      <w:r w:rsidRPr="00291C71">
        <w:lastRenderedPageBreak/>
        <w:t xml:space="preserve">Table </w:t>
      </w:r>
      <w:r w:rsidR="00344FF4">
        <w:fldChar w:fldCharType="begin"/>
      </w:r>
      <w:r w:rsidR="00344FF4">
        <w:instrText xml:space="preserve"> SEQ Table \* ARABIC </w:instrText>
      </w:r>
      <w:r w:rsidR="00344FF4">
        <w:fldChar w:fldCharType="separate"/>
      </w:r>
      <w:r w:rsidR="00C41FF6">
        <w:rPr>
          <w:noProof/>
        </w:rPr>
        <w:t>17</w:t>
      </w:r>
      <w:r w:rsidR="00344FF4">
        <w:rPr>
          <w:noProof/>
        </w:rPr>
        <w:fldChar w:fldCharType="end"/>
      </w:r>
      <w:bookmarkEnd w:id="72"/>
      <w:r>
        <w:t>:</w:t>
      </w:r>
      <w:r>
        <w:rPr>
          <w:bCs/>
        </w:rPr>
        <w:t xml:space="preserve"> Study </w:t>
      </w:r>
      <w:r>
        <w:t>2019nCoV-302 subgroup analyses of vaccine efficacy against polymerase chained reaction confirmed symptomatic (per protocol efficacy analysis set)</w:t>
      </w:r>
      <w:bookmarkEnd w:id="73"/>
    </w:p>
    <w:p w14:paraId="6143F62C" w14:textId="3670952C" w:rsidR="00291C71" w:rsidRDefault="00291C71" w:rsidP="00345763">
      <w:r>
        <w:rPr>
          <w:noProof/>
          <w:lang w:val="en-GB" w:eastAsia="en-GB"/>
        </w:rPr>
        <w:drawing>
          <wp:inline distT="0" distB="0" distL="0" distR="0" wp14:anchorId="2968DC10" wp14:editId="63707BCB">
            <wp:extent cx="5391509" cy="2846692"/>
            <wp:effectExtent l="0" t="0" r="0" b="0"/>
            <wp:docPr id="227" name="Picture 227" descr="P685#yIS1"/>
            <wp:cNvGraphicFramePr/>
            <a:graphic xmlns:a="http://schemas.openxmlformats.org/drawingml/2006/main">
              <a:graphicData uri="http://schemas.openxmlformats.org/drawingml/2006/picture">
                <pic:pic xmlns:pic="http://schemas.openxmlformats.org/drawingml/2006/picture">
                  <pic:nvPicPr>
                    <pic:cNvPr id="227" name="Picture 227" descr="P685#yIS1"/>
                    <pic:cNvPicPr/>
                  </pic:nvPicPr>
                  <pic:blipFill rotWithShape="1">
                    <a:blip r:embed="rId36">
                      <a:lum bright="-20000" contrast="40000"/>
                      <a:extLst>
                        <a:ext uri="{28A0092B-C50C-407E-A947-70E740481C1C}">
                          <a14:useLocalDpi xmlns:a14="http://schemas.microsoft.com/office/drawing/2010/main" val="0"/>
                        </a:ext>
                      </a:extLst>
                    </a:blip>
                    <a:srcRect l="1962" t="7803" r="11081" b="38525"/>
                    <a:stretch/>
                  </pic:blipFill>
                  <pic:spPr bwMode="auto">
                    <a:xfrm>
                      <a:off x="0" y="0"/>
                      <a:ext cx="5413806" cy="2858465"/>
                    </a:xfrm>
                    <a:prstGeom prst="rect">
                      <a:avLst/>
                    </a:prstGeom>
                    <a:noFill/>
                    <a:ln>
                      <a:noFill/>
                    </a:ln>
                    <a:extLst>
                      <a:ext uri="{53640926-AAD7-44D8-BBD7-CCE9431645EC}">
                        <a14:shadowObscured xmlns:a14="http://schemas.microsoft.com/office/drawing/2010/main"/>
                      </a:ext>
                    </a:extLst>
                  </pic:spPr>
                </pic:pic>
              </a:graphicData>
            </a:graphic>
          </wp:inline>
        </w:drawing>
      </w:r>
    </w:p>
    <w:p w14:paraId="18177C6C" w14:textId="64FD33F5" w:rsidR="001D6ABE" w:rsidRDefault="001D6ABE" w:rsidP="00CB0654">
      <w:pPr>
        <w:pStyle w:val="TableDescription"/>
      </w:pPr>
      <w:r>
        <w:t xml:space="preserve">Abbreviations: BMI = body mass index; CI = confidence interval; </w:t>
      </w:r>
      <w:proofErr w:type="spellStart"/>
      <w:r>
        <w:t>Nuvaxovid</w:t>
      </w:r>
      <w:proofErr w:type="spellEnd"/>
      <w:r>
        <w:t xml:space="preserve">, 5 µg SARS-CoV-2 </w:t>
      </w:r>
      <w:proofErr w:type="spellStart"/>
      <w:r>
        <w:t>rS</w:t>
      </w:r>
      <w:proofErr w:type="spellEnd"/>
      <w:r>
        <w:t xml:space="preserve"> plus 50</w:t>
      </w:r>
      <w:r w:rsidR="007629C1">
        <w:t> </w:t>
      </w:r>
      <w:r>
        <w:t xml:space="preserve">µg </w:t>
      </w:r>
      <w:r w:rsidR="006F5F10">
        <w:t>Matrix-M</w:t>
      </w:r>
      <w:r>
        <w:t xml:space="preserve"> adjuvant; PCR = polymerase chain reaction; PP = per protocol</w:t>
      </w:r>
    </w:p>
    <w:p w14:paraId="5397AB33" w14:textId="32314112" w:rsidR="001D6ABE" w:rsidRDefault="001D6ABE" w:rsidP="00CB0654">
      <w:pPr>
        <w:pStyle w:val="TableDescription"/>
      </w:pPr>
      <w:r w:rsidRPr="001D6ABE">
        <w:rPr>
          <w:vertAlign w:val="superscript"/>
        </w:rPr>
        <w:t>1</w:t>
      </w:r>
      <w:r>
        <w:t xml:space="preserve"> Event = First occurrence of PCR confirmed mild</w:t>
      </w:r>
      <w:r w:rsidR="008B5778">
        <w:t>, m</w:t>
      </w:r>
      <w:r>
        <w:t>oderate or severe COVID-19 with onset from seven days after second vaccination within the surveillance period.</w:t>
      </w:r>
    </w:p>
    <w:p w14:paraId="16B504E7" w14:textId="0DA7212A" w:rsidR="001D6ABE" w:rsidRDefault="001D6ABE" w:rsidP="00CB0654">
      <w:pPr>
        <w:pStyle w:val="TableDescription"/>
      </w:pPr>
      <w:r w:rsidRPr="001D6ABE">
        <w:rPr>
          <w:vertAlign w:val="superscript"/>
        </w:rPr>
        <w:t>2</w:t>
      </w:r>
      <w:r>
        <w:t xml:space="preserve"> Based on Log linear model of occurrence using modified </w:t>
      </w:r>
      <w:proofErr w:type="spellStart"/>
      <w:r>
        <w:t>Poission</w:t>
      </w:r>
      <w:proofErr w:type="spellEnd"/>
      <w:r>
        <w:t xml:space="preserve"> regression with logarithmic link function,</w:t>
      </w:r>
      <w:bookmarkStart w:id="74" w:name="_Ref92712130"/>
      <w:r w:rsidR="00C41FF6">
        <w:rPr>
          <w:rFonts w:ascii="ZWAdobeF" w:hAnsi="ZWAdobeF" w:cs="ZWAdobeF"/>
          <w:sz w:val="2"/>
          <w:szCs w:val="2"/>
        </w:rPr>
        <w:t>29F</w:t>
      </w:r>
      <w:r w:rsidR="006468D0">
        <w:rPr>
          <w:rStyle w:val="FootnoteReference"/>
        </w:rPr>
        <w:footnoteReference w:id="30"/>
      </w:r>
      <w:bookmarkEnd w:id="74"/>
      <w:r>
        <w:t xml:space="preserve"> treatment group and strata (age group and pooled region) as fixed effects and robust error variance</w:t>
      </w:r>
    </w:p>
    <w:p w14:paraId="66978109" w14:textId="62E9F158" w:rsidR="001D6ABE" w:rsidRDefault="001D6ABE" w:rsidP="00CB0654">
      <w:pPr>
        <w:pStyle w:val="TableDescription"/>
      </w:pPr>
      <w:r w:rsidRPr="001D6ABE">
        <w:rPr>
          <w:vertAlign w:val="superscript"/>
        </w:rPr>
        <w:t>3</w:t>
      </w:r>
      <w:r>
        <w:t xml:space="preserve"> The Clopper-Pearson model replaced the log-linear model using the modified Poisson regression because few events were observed in at least 1 of the study vaccine group (or at least 1 stratum) and Poisson regression analysis failed to converge. The 95% Cis calculated using the Clopper-Pearson exact binomial method adjusted for the total surveillance time.</w:t>
      </w:r>
    </w:p>
    <w:p w14:paraId="43DCA678" w14:textId="5A0F7179" w:rsidR="001D6ABE" w:rsidRDefault="001D6ABE" w:rsidP="00CB0654">
      <w:pPr>
        <w:pStyle w:val="TableDescription"/>
        <w:rPr>
          <w:vertAlign w:val="superscript"/>
        </w:rPr>
      </w:pPr>
      <w:r w:rsidRPr="001D6ABE">
        <w:rPr>
          <w:vertAlign w:val="superscript"/>
        </w:rPr>
        <w:t>4</w:t>
      </w:r>
      <w:r>
        <w:t xml:space="preserve"> Comorbid participants were those who had at least 1 of the comorbid conditions reported as a medical history or had a screening BMI &gt; 30kg/m</w:t>
      </w:r>
      <w:r w:rsidRPr="001D6ABE">
        <w:rPr>
          <w:vertAlign w:val="superscript"/>
        </w:rPr>
        <w:t>2</w:t>
      </w:r>
    </w:p>
    <w:p w14:paraId="7722455A" w14:textId="6F204005" w:rsidR="00D8774F" w:rsidRDefault="00D8774F" w:rsidP="00345763">
      <w:pPr>
        <w:pStyle w:val="Heading5"/>
        <w:keepNext w:val="0"/>
        <w:keepLines w:val="0"/>
      </w:pPr>
      <w:r>
        <w:t xml:space="preserve">Study 2019nCoV-301 Interim </w:t>
      </w:r>
      <w:r w:rsidR="00916F4A">
        <w:t>r</w:t>
      </w:r>
      <w:r>
        <w:t>eport</w:t>
      </w:r>
    </w:p>
    <w:p w14:paraId="78CB728C" w14:textId="6FF0F9E9" w:rsidR="00D8774F" w:rsidRDefault="00916F4A" w:rsidP="00345763">
      <w:r w:rsidRPr="00916F4A">
        <w:t xml:space="preserve">Study 2019nCoV-301 </w:t>
      </w:r>
      <w:r>
        <w:t>is a</w:t>
      </w:r>
      <w:r w:rsidR="00D8774F">
        <w:t xml:space="preserve"> Phase </w:t>
      </w:r>
      <w:r>
        <w:t>III</w:t>
      </w:r>
      <w:r w:rsidR="00D8774F">
        <w:t xml:space="preserve">, multinational, </w:t>
      </w:r>
      <w:r w:rsidR="007267CC">
        <w:t>multicentre</w:t>
      </w:r>
      <w:r w:rsidR="00D8774F">
        <w:t>, randomi</w:t>
      </w:r>
      <w:r>
        <w:t>s</w:t>
      </w:r>
      <w:r w:rsidR="00D8774F">
        <w:t>ed, observer</w:t>
      </w:r>
      <w:r>
        <w:t xml:space="preserve"> </w:t>
      </w:r>
      <w:r w:rsidR="00D8774F">
        <w:t>blinded, placebo</w:t>
      </w:r>
      <w:r>
        <w:t xml:space="preserve"> </w:t>
      </w:r>
      <w:r w:rsidR="00D8774F">
        <w:t>controlled study evaluating the efficacy, safety, and immunogenicity of 5</w:t>
      </w:r>
      <w:r>
        <w:t> </w:t>
      </w:r>
      <w:r w:rsidR="00D8774F">
        <w:t xml:space="preserve">µg SARS-CoV-2 </w:t>
      </w:r>
      <w:proofErr w:type="spellStart"/>
      <w:r w:rsidR="00D8774F">
        <w:t>rS</w:t>
      </w:r>
      <w:proofErr w:type="spellEnd"/>
      <w:r w:rsidR="00D8774F">
        <w:t xml:space="preserve"> with 50</w:t>
      </w:r>
      <w:r>
        <w:t> </w:t>
      </w:r>
      <w:r w:rsidR="00D8774F">
        <w:t>µg Matrix-M adjuvant (</w:t>
      </w:r>
      <w:r w:rsidR="007267CC">
        <w:t>the</w:t>
      </w:r>
      <w:r>
        <w:t xml:space="preserve"> </w:t>
      </w:r>
      <w:proofErr w:type="spellStart"/>
      <w:r>
        <w:t>Nuvaxovid</w:t>
      </w:r>
      <w:proofErr w:type="spellEnd"/>
      <w:r w:rsidR="007267CC">
        <w:t xml:space="preserve"> vaccine</w:t>
      </w:r>
      <w:r w:rsidR="00D8774F">
        <w:t>) in adult subjects ≥</w:t>
      </w:r>
      <w:r>
        <w:t> </w:t>
      </w:r>
      <w:r w:rsidR="00D8774F">
        <w:t>18 years of age in the US</w:t>
      </w:r>
      <w:r>
        <w:t>A</w:t>
      </w:r>
      <w:r w:rsidR="00D8774F">
        <w:t xml:space="preserve"> and Mexico with a paediatric expansion in adolescents 12 to &lt;</w:t>
      </w:r>
      <w:r>
        <w:t> </w:t>
      </w:r>
      <w:r w:rsidR="00D8774F">
        <w:t>18 years of age.</w:t>
      </w:r>
    </w:p>
    <w:p w14:paraId="2FF65195" w14:textId="6FE13851" w:rsidR="00D8774F" w:rsidRDefault="00D8774F" w:rsidP="00345763">
      <w:r>
        <w:t xml:space="preserve">The adult part of the trial also includes a blinded crossover period in which subjects were re-vaccinated with 2 injections of alternative study product 21 days apart following accrual of sufficient efficacy and safety data to support application for </w:t>
      </w:r>
      <w:r w:rsidR="007629C1">
        <w:t>E</w:t>
      </w:r>
      <w:r w:rsidR="00916F4A">
        <w:t xml:space="preserve">mergency </w:t>
      </w:r>
      <w:r w:rsidR="007629C1">
        <w:t>U</w:t>
      </w:r>
      <w:r w:rsidR="00916F4A">
        <w:t xml:space="preserve">se </w:t>
      </w:r>
      <w:r w:rsidR="007629C1">
        <w:t>A</w:t>
      </w:r>
      <w:r w:rsidR="00916F4A">
        <w:t>uthori</w:t>
      </w:r>
      <w:r w:rsidR="00EE29DA">
        <w:t>z</w:t>
      </w:r>
      <w:r w:rsidR="00916F4A">
        <w:t>ation (</w:t>
      </w:r>
      <w:r>
        <w:t>EUA</w:t>
      </w:r>
      <w:r w:rsidR="00916F4A">
        <w:t xml:space="preserve">) by </w:t>
      </w:r>
      <w:r w:rsidR="00EE29DA">
        <w:t xml:space="preserve">the </w:t>
      </w:r>
      <w:r w:rsidR="00916F4A">
        <w:t>US Food and Drug Administration (FDA)</w:t>
      </w:r>
      <w:r>
        <w:t>. The blinded crossover period commenced on 20 Apr</w:t>
      </w:r>
      <w:r w:rsidR="00916F4A">
        <w:t>il</w:t>
      </w:r>
      <w:r>
        <w:t xml:space="preserve"> 2021. The paediatric expansion commenced on 26</w:t>
      </w:r>
      <w:r w:rsidR="007629C1">
        <w:t> </w:t>
      </w:r>
      <w:r>
        <w:t>Apr</w:t>
      </w:r>
      <w:r w:rsidR="00916F4A">
        <w:t>il</w:t>
      </w:r>
      <w:r w:rsidR="007629C1">
        <w:t> </w:t>
      </w:r>
      <w:r>
        <w:t xml:space="preserve">2021 and initial vaccination is ongoing. Efficacy, safety, and immunogenicity follow-up in all subjects through </w:t>
      </w:r>
      <w:r w:rsidR="00916F4A">
        <w:t xml:space="preserve">two </w:t>
      </w:r>
      <w:r>
        <w:t>years post immuni</w:t>
      </w:r>
      <w:r w:rsidR="00916F4A">
        <w:t>s</w:t>
      </w:r>
      <w:r>
        <w:t>ation is ongoing.</w:t>
      </w:r>
    </w:p>
    <w:p w14:paraId="17A48A30" w14:textId="46B19943" w:rsidR="00D8774F" w:rsidRDefault="00D8774F" w:rsidP="00345763">
      <w:r>
        <w:t xml:space="preserve">The </w:t>
      </w:r>
      <w:r w:rsidR="00916F4A">
        <w:t>i</w:t>
      </w:r>
      <w:r>
        <w:t xml:space="preserve">nterim </w:t>
      </w:r>
      <w:r w:rsidR="00916F4A">
        <w:t>r</w:t>
      </w:r>
      <w:r>
        <w:t xml:space="preserve">eport only included data from adult subjects that were prior to the blinded crossover. Subjects were stratified in </w:t>
      </w:r>
      <w:r w:rsidR="00916F4A">
        <w:t>two</w:t>
      </w:r>
      <w:r>
        <w:t xml:space="preserve"> age cohorts (18 to ≤ 64 </w:t>
      </w:r>
      <w:r w:rsidR="00916F4A">
        <w:t>years of age</w:t>
      </w:r>
      <w:r>
        <w:t xml:space="preserve"> and ≥</w:t>
      </w:r>
      <w:r w:rsidR="007629C1">
        <w:t> </w:t>
      </w:r>
      <w:r>
        <w:t>6</w:t>
      </w:r>
      <w:r w:rsidR="007629C1">
        <w:t>5 </w:t>
      </w:r>
      <w:r w:rsidR="00916F4A">
        <w:t>years of age</w:t>
      </w:r>
      <w:r>
        <w:t xml:space="preserve">) and randomised 2:1 to </w:t>
      </w:r>
      <w:proofErr w:type="spellStart"/>
      <w:r w:rsidR="00916F4A">
        <w:t>Nuvaxovid</w:t>
      </w:r>
      <w:proofErr w:type="spellEnd"/>
      <w:r>
        <w:t xml:space="preserve"> or placebo. The data extraction for analysis of the primary endpoint was conducted on 1 June 2021 and included </w:t>
      </w:r>
      <w:r>
        <w:lastRenderedPageBreak/>
        <w:t>77</w:t>
      </w:r>
      <w:r w:rsidR="007629C1">
        <w:t> </w:t>
      </w:r>
      <w:r>
        <w:t>endpoints</w:t>
      </w:r>
      <w:r w:rsidRPr="00916F4A">
        <w:t>.</w:t>
      </w:r>
      <w:r w:rsidR="00916F4A">
        <w:t xml:space="preserve"> </w:t>
      </w:r>
      <w:r w:rsidRPr="00916F4A">
        <w:t>T</w:t>
      </w:r>
      <w:r w:rsidR="00916F4A" w:rsidRPr="00916F4A">
        <w:t>he</w:t>
      </w:r>
      <w:r w:rsidRPr="00916F4A">
        <w:t xml:space="preserve"> interim report also describes safety data on 29</w:t>
      </w:r>
      <w:r w:rsidR="007629C1">
        <w:t>,</w:t>
      </w:r>
      <w:r w:rsidRPr="00916F4A">
        <w:t>582 subjects who received at least 1 dose of study vaccine or placebo and on 28</w:t>
      </w:r>
      <w:r w:rsidR="007629C1">
        <w:t>,</w:t>
      </w:r>
      <w:r w:rsidRPr="00916F4A">
        <w:t>526 subjects who received both doses of study vaccine or placebo, with at least 50% of subjects followed for at least 60 days after their second vaccination.</w:t>
      </w:r>
    </w:p>
    <w:p w14:paraId="1E560ABD" w14:textId="1FA55FBF" w:rsidR="00D8774F" w:rsidRDefault="00D8774F" w:rsidP="00345763">
      <w:pPr>
        <w:pStyle w:val="Heading6"/>
        <w:keepNext w:val="0"/>
      </w:pPr>
      <w:r>
        <w:t xml:space="preserve">Primary </w:t>
      </w:r>
      <w:r w:rsidR="007629C1">
        <w:t>o</w:t>
      </w:r>
      <w:r>
        <w:t>bjective</w:t>
      </w:r>
    </w:p>
    <w:p w14:paraId="65E6AA15" w14:textId="2656E227" w:rsidR="00D8774F" w:rsidRDefault="007267CC" w:rsidP="00345763">
      <w:r w:rsidRPr="00D00210">
        <w:rPr>
          <w:i/>
        </w:rPr>
        <w:t>Primary objective:</w:t>
      </w:r>
      <w:r>
        <w:t xml:space="preserve"> to e</w:t>
      </w:r>
      <w:r w:rsidR="00D8774F">
        <w:t xml:space="preserve">valuate efficacy of </w:t>
      </w:r>
      <w:proofErr w:type="spellStart"/>
      <w:r w:rsidR="00916F4A">
        <w:t>Nuvaxovid</w:t>
      </w:r>
      <w:proofErr w:type="spellEnd"/>
      <w:r w:rsidR="00D8774F">
        <w:t xml:space="preserve"> against PCR</w:t>
      </w:r>
      <w:r w:rsidR="00916F4A">
        <w:t xml:space="preserve"> </w:t>
      </w:r>
      <w:r w:rsidR="00D8774F">
        <w:t>confirmed symptomatic COVID-19 diagnosed ≥</w:t>
      </w:r>
      <w:r w:rsidR="00916F4A">
        <w:t> </w:t>
      </w:r>
      <w:r w:rsidR="00D8774F">
        <w:t xml:space="preserve">7 days after completion of </w:t>
      </w:r>
      <w:r w:rsidR="00D8774F" w:rsidRPr="00012ED6">
        <w:t xml:space="preserve">a </w:t>
      </w:r>
      <w:r w:rsidR="00916F4A" w:rsidRPr="00012ED6">
        <w:t xml:space="preserve">two </w:t>
      </w:r>
      <w:r w:rsidR="00D8774F" w:rsidRPr="00012ED6">
        <w:t>dose regimen</w:t>
      </w:r>
      <w:r w:rsidR="00D8774F">
        <w:t xml:space="preserve"> in adults ≥ 18 </w:t>
      </w:r>
      <w:r w:rsidR="00012ED6">
        <w:t xml:space="preserve">years of age </w:t>
      </w:r>
      <w:r w:rsidR="00D8774F">
        <w:t>for the initial set of vaccinations (</w:t>
      </w:r>
      <w:r w:rsidR="00012ED6">
        <w:t>that is p</w:t>
      </w:r>
      <w:r w:rsidR="00D8774F">
        <w:t>rior to blinded crossover)</w:t>
      </w:r>
      <w:r w:rsidR="00012ED6">
        <w:t>.</w:t>
      </w:r>
    </w:p>
    <w:p w14:paraId="5D17D506" w14:textId="6E2EBBBF" w:rsidR="00D8774F" w:rsidRDefault="00D8774F" w:rsidP="00345763">
      <w:r w:rsidRPr="00D00210">
        <w:rPr>
          <w:i/>
        </w:rPr>
        <w:t>End</w:t>
      </w:r>
      <w:r w:rsidR="007267CC" w:rsidRPr="00D00210">
        <w:rPr>
          <w:i/>
        </w:rPr>
        <w:t>p</w:t>
      </w:r>
      <w:r w:rsidRPr="00D00210">
        <w:rPr>
          <w:i/>
        </w:rPr>
        <w:t xml:space="preserve">oints: </w:t>
      </w:r>
      <w:r>
        <w:t>the first episode of PCR</w:t>
      </w:r>
      <w:r w:rsidR="00012ED6">
        <w:t xml:space="preserve"> </w:t>
      </w:r>
      <w:r>
        <w:t xml:space="preserve">positive mild, moderate, or severe COVID-19 with onset at least </w:t>
      </w:r>
      <w:r w:rsidR="00012ED6">
        <w:t>seven</w:t>
      </w:r>
      <w:r>
        <w:t xml:space="preserve"> days after second study vaccination (</w:t>
      </w:r>
      <w:r w:rsidR="00012ED6">
        <w:t>for example</w:t>
      </w:r>
      <w:r>
        <w:t xml:space="preserve"> Day 28), in serologically negative (to SARS-CoV-2) adult subjects at </w:t>
      </w:r>
      <w:r w:rsidR="00012ED6">
        <w:t>B</w:t>
      </w:r>
      <w:r>
        <w:t>aseline until the endpoint-driven efficacy analysis is triggered by the occurrence of a prespecified number of blinded endpoints.</w:t>
      </w:r>
    </w:p>
    <w:p w14:paraId="76542882" w14:textId="11E57677" w:rsidR="00D8774F" w:rsidRDefault="00D8774F" w:rsidP="00345763">
      <w:pPr>
        <w:pStyle w:val="Heading6"/>
        <w:keepNext w:val="0"/>
      </w:pPr>
      <w:r>
        <w:t xml:space="preserve">Secondary </w:t>
      </w:r>
      <w:r w:rsidR="007267CC">
        <w:t>o</w:t>
      </w:r>
      <w:r>
        <w:t>bjectives</w:t>
      </w:r>
    </w:p>
    <w:p w14:paraId="72532A2E" w14:textId="5C008CF5" w:rsidR="007267CC" w:rsidRPr="007267CC" w:rsidRDefault="007267CC" w:rsidP="00345763">
      <w:r>
        <w:t>The key secondary objective was:</w:t>
      </w:r>
    </w:p>
    <w:p w14:paraId="15A3018F" w14:textId="5FB002DA" w:rsidR="00D8774F" w:rsidRDefault="00D8774F" w:rsidP="00345763">
      <w:pPr>
        <w:pStyle w:val="ListBullet"/>
      </w:pPr>
      <w:r>
        <w:t xml:space="preserve">to assess VE (as above) against a SARS-CoV-2 variant not considered a VOC/VOI according to the </w:t>
      </w:r>
      <w:proofErr w:type="spellStart"/>
      <w:r w:rsidR="00BD4A57" w:rsidRPr="00BD4A57">
        <w:t>Centers</w:t>
      </w:r>
      <w:proofErr w:type="spellEnd"/>
      <w:r w:rsidR="00BD4A57" w:rsidRPr="00BD4A57">
        <w:t xml:space="preserve"> for Disease Control and Prevention </w:t>
      </w:r>
      <w:r w:rsidR="00BD4A57">
        <w:t>(</w:t>
      </w:r>
      <w:r>
        <w:t>CDC</w:t>
      </w:r>
      <w:r w:rsidR="00BD4A57">
        <w:t>)</w:t>
      </w:r>
      <w:r>
        <w:t xml:space="preserve"> </w:t>
      </w:r>
      <w:r w:rsidR="00BD4A57">
        <w:t>US v</w:t>
      </w:r>
      <w:r>
        <w:t xml:space="preserve">ariants </w:t>
      </w:r>
      <w:r w:rsidR="00BD4A57">
        <w:t>c</w:t>
      </w:r>
      <w:r>
        <w:t>lassification.</w:t>
      </w:r>
      <w:bookmarkStart w:id="75" w:name="_Ref92703385"/>
      <w:r w:rsidR="00C41FF6">
        <w:rPr>
          <w:rFonts w:ascii="ZWAdobeF" w:hAnsi="ZWAdobeF" w:cs="ZWAdobeF"/>
          <w:sz w:val="2"/>
          <w:szCs w:val="2"/>
        </w:rPr>
        <w:t>30F</w:t>
      </w:r>
      <w:r w:rsidR="0078020E">
        <w:rPr>
          <w:rStyle w:val="FootnoteReference"/>
        </w:rPr>
        <w:footnoteReference w:id="31"/>
      </w:r>
      <w:bookmarkEnd w:id="75"/>
    </w:p>
    <w:p w14:paraId="297F8804" w14:textId="6D653F68" w:rsidR="00D8774F" w:rsidRDefault="00D8774F" w:rsidP="00345763">
      <w:r>
        <w:t>Other secondary objectives are:</w:t>
      </w:r>
    </w:p>
    <w:p w14:paraId="1C91DCB8" w14:textId="7E71AB82" w:rsidR="00D8774F" w:rsidRDefault="007267CC" w:rsidP="00345763">
      <w:pPr>
        <w:pStyle w:val="ListBullet"/>
      </w:pPr>
      <w:r>
        <w:t>t</w:t>
      </w:r>
      <w:r w:rsidR="00D8774F">
        <w:t xml:space="preserve">o evaluate the efficacy of a </w:t>
      </w:r>
      <w:r w:rsidR="00BD4A57">
        <w:t xml:space="preserve">two </w:t>
      </w:r>
      <w:r w:rsidR="00D8774F">
        <w:t xml:space="preserve">dose regimen of SARS-CoV-2 </w:t>
      </w:r>
      <w:proofErr w:type="spellStart"/>
      <w:r w:rsidR="00D8774F">
        <w:t>rS</w:t>
      </w:r>
      <w:proofErr w:type="spellEnd"/>
      <w:r w:rsidR="00D8774F">
        <w:t xml:space="preserve"> adjuvanted with </w:t>
      </w:r>
      <w:r w:rsidR="006F5F10">
        <w:t>Matrix-M</w:t>
      </w:r>
      <w:r w:rsidR="00D8774F">
        <w:t xml:space="preserve"> compared to placebo against PCR</w:t>
      </w:r>
      <w:r w:rsidR="00BD4A57">
        <w:t xml:space="preserve"> </w:t>
      </w:r>
      <w:r w:rsidR="00D8774F">
        <w:t>confirmed moderate</w:t>
      </w:r>
      <w:r w:rsidR="00BD4A57">
        <w:t xml:space="preserve"> </w:t>
      </w:r>
      <w:r w:rsidR="00D8774F">
        <w:t>to</w:t>
      </w:r>
      <w:r w:rsidR="00BD4A57">
        <w:t xml:space="preserve"> </w:t>
      </w:r>
      <w:r w:rsidR="00D8774F">
        <w:t xml:space="preserve">severely symptomatic COVID-19 illness diagnosed ≥ </w:t>
      </w:r>
      <w:r w:rsidR="00BD4A57">
        <w:t>seven</w:t>
      </w:r>
      <w:r w:rsidR="00D8774F">
        <w:t xml:space="preserve"> days after completion of the second injection in the initial set of vaccinations of adult subjects ≥ 18 years of age.</w:t>
      </w:r>
    </w:p>
    <w:p w14:paraId="22CD3B76" w14:textId="69CD8526" w:rsidR="00D8774F" w:rsidRDefault="007267CC" w:rsidP="00345763">
      <w:pPr>
        <w:pStyle w:val="ListBullet"/>
      </w:pPr>
      <w:r>
        <w:t>t</w:t>
      </w:r>
      <w:r w:rsidR="00D8774F">
        <w:t xml:space="preserve">o assess VE against </w:t>
      </w:r>
      <w:r w:rsidR="00BD4A57">
        <w:t>any</w:t>
      </w:r>
      <w:r w:rsidR="00D8774F">
        <w:t xml:space="preserve"> symptomatic SARS-CoV-2 infection.</w:t>
      </w:r>
    </w:p>
    <w:p w14:paraId="366EF5AF" w14:textId="0C79E471" w:rsidR="00D8774F" w:rsidRDefault="007267CC" w:rsidP="00345763">
      <w:pPr>
        <w:pStyle w:val="ListBullet"/>
      </w:pPr>
      <w:r>
        <w:t>t</w:t>
      </w:r>
      <w:r w:rsidR="00D8774F">
        <w:t>o assess VE according to race and ethnicity.</w:t>
      </w:r>
    </w:p>
    <w:p w14:paraId="59D40FEB" w14:textId="7E6A40AE" w:rsidR="00D8774F" w:rsidRDefault="007267CC" w:rsidP="00345763">
      <w:pPr>
        <w:pStyle w:val="ListBullet"/>
      </w:pPr>
      <w:r>
        <w:t>t</w:t>
      </w:r>
      <w:r w:rsidR="00D8774F">
        <w:t>o assess VE in high</w:t>
      </w:r>
      <w:r w:rsidR="00BD4A57">
        <w:t xml:space="preserve"> </w:t>
      </w:r>
      <w:r w:rsidR="00D8774F">
        <w:t>risk adults versus non</w:t>
      </w:r>
      <w:r w:rsidR="00BD4A57">
        <w:t>-</w:t>
      </w:r>
      <w:r w:rsidR="00D8774F">
        <w:t>high</w:t>
      </w:r>
      <w:r w:rsidR="00BD4A57">
        <w:t xml:space="preserve"> </w:t>
      </w:r>
      <w:r w:rsidR="00D8774F">
        <w:t>risk adults</w:t>
      </w:r>
      <w:r w:rsidR="00BD4A57">
        <w:t>.</w:t>
      </w:r>
      <w:r w:rsidR="00C41FF6">
        <w:rPr>
          <w:rFonts w:ascii="ZWAdobeF" w:hAnsi="ZWAdobeF" w:cs="ZWAdobeF"/>
          <w:sz w:val="2"/>
          <w:szCs w:val="2"/>
        </w:rPr>
        <w:t>31F</w:t>
      </w:r>
      <w:r w:rsidR="00BD4A57">
        <w:rPr>
          <w:rStyle w:val="FootnoteReference"/>
        </w:rPr>
        <w:footnoteReference w:id="32"/>
      </w:r>
    </w:p>
    <w:p w14:paraId="37737FF1" w14:textId="37EF07E9" w:rsidR="00D8774F" w:rsidRDefault="007267CC" w:rsidP="00345763">
      <w:r>
        <w:t xml:space="preserve">The </w:t>
      </w:r>
      <w:proofErr w:type="spellStart"/>
      <w:r>
        <w:t>ee</w:t>
      </w:r>
      <w:r w:rsidR="00D8774F">
        <w:t>nd</w:t>
      </w:r>
      <w:r>
        <w:t>p</w:t>
      </w:r>
      <w:r w:rsidR="00D8774F">
        <w:t>oints</w:t>
      </w:r>
      <w:proofErr w:type="spellEnd"/>
      <w:r>
        <w:t xml:space="preserve"> are</w:t>
      </w:r>
      <w:r w:rsidR="00BD4A57">
        <w:t>:</w:t>
      </w:r>
    </w:p>
    <w:p w14:paraId="650004A9" w14:textId="352FCA69" w:rsidR="00D8774F" w:rsidRDefault="007267CC" w:rsidP="00345763">
      <w:pPr>
        <w:pStyle w:val="ListBullet"/>
      </w:pPr>
      <w:r>
        <w:t>the f</w:t>
      </w:r>
      <w:r w:rsidR="00D8774F">
        <w:t>irst episode of PCR</w:t>
      </w:r>
      <w:r w:rsidR="00BD4A57">
        <w:t xml:space="preserve"> </w:t>
      </w:r>
      <w:r w:rsidR="00D8774F">
        <w:t xml:space="preserve">positive COVID-19, as defined under the primary endpoint, shown by gene sequencing to represent a variant not considered as a </w:t>
      </w:r>
      <w:r w:rsidR="00BD4A57">
        <w:t>VOC</w:t>
      </w:r>
      <w:r w:rsidR="00D8774F">
        <w:t xml:space="preserve"> /</w:t>
      </w:r>
      <w:r w:rsidR="00BD4A57">
        <w:t>VOI</w:t>
      </w:r>
      <w:r w:rsidR="00D8774F">
        <w:t xml:space="preserve"> according to the CDC</w:t>
      </w:r>
      <w:r w:rsidR="00BD4A57">
        <w:t xml:space="preserve"> US</w:t>
      </w:r>
      <w:r w:rsidR="00D8774F">
        <w:t xml:space="preserve"> </w:t>
      </w:r>
      <w:r w:rsidR="00BD4A57">
        <w:t>v</w:t>
      </w:r>
      <w:r w:rsidR="00D8774F">
        <w:t xml:space="preserve">ariants </w:t>
      </w:r>
      <w:r w:rsidR="00BD4A57">
        <w:t>c</w:t>
      </w:r>
      <w:r w:rsidR="00D8774F">
        <w:t>lassification.</w:t>
      </w:r>
      <w:r w:rsidR="0078020E">
        <w:fldChar w:fldCharType="begin"/>
      </w:r>
      <w:r w:rsidR="0078020E">
        <w:instrText xml:space="preserve"> NOTEREF _Ref92703385 \f \h </w:instrText>
      </w:r>
      <w:r w:rsidR="0078020E">
        <w:fldChar w:fldCharType="separate"/>
      </w:r>
      <w:r w:rsidR="00C41FF6" w:rsidRPr="00C41FF6">
        <w:rPr>
          <w:rStyle w:val="FootnoteReference"/>
        </w:rPr>
        <w:t>31</w:t>
      </w:r>
      <w:r w:rsidR="0078020E">
        <w:fldChar w:fldCharType="end"/>
      </w:r>
    </w:p>
    <w:p w14:paraId="4CBFA581" w14:textId="368DC989" w:rsidR="00D8774F" w:rsidRDefault="007267CC" w:rsidP="00345763">
      <w:pPr>
        <w:pStyle w:val="ListBullet"/>
      </w:pPr>
      <w:r>
        <w:t>the f</w:t>
      </w:r>
      <w:r w:rsidR="00D8774F">
        <w:t>irst episode of PCR</w:t>
      </w:r>
      <w:r w:rsidR="00BD4A57">
        <w:t xml:space="preserve"> </w:t>
      </w:r>
      <w:r w:rsidR="00D8774F">
        <w:t>positive moderate</w:t>
      </w:r>
      <w:r w:rsidR="002421E1">
        <w:t>;</w:t>
      </w:r>
      <w:bookmarkStart w:id="76" w:name="_Ref92703509"/>
      <w:r w:rsidR="00C41FF6">
        <w:rPr>
          <w:rFonts w:ascii="ZWAdobeF" w:hAnsi="ZWAdobeF" w:cs="ZWAdobeF"/>
          <w:sz w:val="2"/>
          <w:szCs w:val="2"/>
        </w:rPr>
        <w:t>32F</w:t>
      </w:r>
      <w:r w:rsidR="002421E1">
        <w:rPr>
          <w:rStyle w:val="FootnoteReference"/>
        </w:rPr>
        <w:footnoteReference w:id="33"/>
      </w:r>
      <w:bookmarkEnd w:id="76"/>
      <w:r w:rsidR="00D8774F">
        <w:t xml:space="preserve"> or severe</w:t>
      </w:r>
      <w:r w:rsidR="002421E1">
        <w:t>;</w:t>
      </w:r>
      <w:bookmarkStart w:id="77" w:name="_Ref92703512"/>
      <w:r w:rsidR="00C41FF6">
        <w:rPr>
          <w:rFonts w:ascii="ZWAdobeF" w:hAnsi="ZWAdobeF" w:cs="ZWAdobeF"/>
          <w:sz w:val="2"/>
          <w:szCs w:val="2"/>
        </w:rPr>
        <w:t>33F</w:t>
      </w:r>
      <w:r w:rsidR="002421E1">
        <w:rPr>
          <w:rStyle w:val="FootnoteReference"/>
        </w:rPr>
        <w:footnoteReference w:id="34"/>
      </w:r>
      <w:bookmarkEnd w:id="77"/>
      <w:r w:rsidR="00D8774F">
        <w:t xml:space="preserve"> COVID-19, as defined under the primary endpoint.</w:t>
      </w:r>
    </w:p>
    <w:p w14:paraId="6F3D2518" w14:textId="0526B46D" w:rsidR="00D8774F" w:rsidRDefault="007267CC" w:rsidP="00345763">
      <w:pPr>
        <w:pStyle w:val="ListBullet"/>
      </w:pPr>
      <w:r>
        <w:lastRenderedPageBreak/>
        <w:t>a</w:t>
      </w:r>
      <w:r w:rsidR="00BD4A57" w:rsidRPr="007267CC">
        <w:t>ny</w:t>
      </w:r>
      <w:r w:rsidR="00D8774F">
        <w:t xml:space="preserve"> symptomatic SARS-CoV-2 infection, defined as: PCR</w:t>
      </w:r>
      <w:r w:rsidR="00BD4A57">
        <w:t xml:space="preserve"> </w:t>
      </w:r>
      <w:r w:rsidR="00D8774F">
        <w:t>positive nasal swab and ≥</w:t>
      </w:r>
      <w:r w:rsidR="00BD4A57">
        <w:t> </w:t>
      </w:r>
      <w:r w:rsidR="00D8774F">
        <w:t>1 of any of the symptoms considered qualifying for COVID-19.</w:t>
      </w:r>
    </w:p>
    <w:p w14:paraId="7C541D7A" w14:textId="77777777" w:rsidR="00D8774F" w:rsidRDefault="00D8774F" w:rsidP="00345763">
      <w:pPr>
        <w:pStyle w:val="Heading6"/>
        <w:keepNext w:val="0"/>
      </w:pPr>
      <w:r>
        <w:t>Analysis populations</w:t>
      </w:r>
    </w:p>
    <w:p w14:paraId="41FBC875" w14:textId="3FBA884C" w:rsidR="00D8774F" w:rsidRDefault="00D8774F" w:rsidP="00345763">
      <w:r>
        <w:t xml:space="preserve">The </w:t>
      </w:r>
      <w:r w:rsidR="00104269">
        <w:t>I</w:t>
      </w:r>
      <w:r>
        <w:t xml:space="preserve">TT </w:t>
      </w:r>
      <w:r w:rsidR="00104269">
        <w:t>a</w:t>
      </w:r>
      <w:r>
        <w:t xml:space="preserve">nalysis </w:t>
      </w:r>
      <w:r w:rsidR="00104269">
        <w:t>s</w:t>
      </w:r>
      <w:r>
        <w:t xml:space="preserve">et included all subjects who were randomised, regardless of protocol violations or missing data. The ITT </w:t>
      </w:r>
      <w:r w:rsidR="00104269">
        <w:t>a</w:t>
      </w:r>
      <w:r>
        <w:t xml:space="preserve">nalysis </w:t>
      </w:r>
      <w:r w:rsidR="00104269">
        <w:t>s</w:t>
      </w:r>
      <w:r>
        <w:t>et was used for subjects</w:t>
      </w:r>
      <w:r w:rsidR="008B5778">
        <w:t>’</w:t>
      </w:r>
      <w:r>
        <w:t xml:space="preserve"> disposition summaries.</w:t>
      </w:r>
    </w:p>
    <w:p w14:paraId="73460326" w14:textId="74ADDBDB" w:rsidR="00D8774F" w:rsidRDefault="00D8774F" w:rsidP="00345763">
      <w:r>
        <w:t xml:space="preserve">The </w:t>
      </w:r>
      <w:r w:rsidR="00104269">
        <w:t>full analysis set (</w:t>
      </w:r>
      <w:r>
        <w:t>FAS</w:t>
      </w:r>
      <w:r w:rsidR="00104269">
        <w:t>)</w:t>
      </w:r>
      <w:r>
        <w:t xml:space="preserve"> included all subjects who were randomised and received at least </w:t>
      </w:r>
      <w:r w:rsidR="00104269">
        <w:t>one</w:t>
      </w:r>
      <w:r>
        <w:t xml:space="preserve"> dose of study vaccine/placebo, regardless of protocol violations or missing data</w:t>
      </w:r>
      <w:r w:rsidR="003713A9">
        <w:t xml:space="preserve"> (see </w:t>
      </w:r>
      <w:r w:rsidR="003713A9">
        <w:fldChar w:fldCharType="begin" w:fldLock="1"/>
      </w:r>
      <w:r w:rsidR="003713A9">
        <w:instrText xml:space="preserve"> REF _Ref92656763 \h </w:instrText>
      </w:r>
      <w:r w:rsidR="003713A9">
        <w:fldChar w:fldCharType="separate"/>
      </w:r>
      <w:r w:rsidR="00AA298B" w:rsidRPr="003713A9">
        <w:t xml:space="preserve">Table </w:t>
      </w:r>
      <w:r w:rsidR="00AA298B">
        <w:rPr>
          <w:noProof/>
        </w:rPr>
        <w:t>18</w:t>
      </w:r>
      <w:r w:rsidR="003713A9">
        <w:fldChar w:fldCharType="end"/>
      </w:r>
      <w:r w:rsidR="003713A9">
        <w:t>)</w:t>
      </w:r>
      <w:r>
        <w:t xml:space="preserve">. </w:t>
      </w:r>
      <w:r w:rsidR="003F21FC">
        <w:t xml:space="preserve">The </w:t>
      </w:r>
      <w:r w:rsidR="008E6FB4">
        <w:t xml:space="preserve">FAS </w:t>
      </w:r>
      <w:r w:rsidR="003F21FC">
        <w:t xml:space="preserve">was </w:t>
      </w:r>
      <w:r w:rsidR="008E6FB4">
        <w:t>a</w:t>
      </w:r>
      <w:r>
        <w:t>nalysed according to the treatment arm to which the subjects was randomised. The FAS was used for supportive analyses, ignoring baseline SARS-CoV-2 PCR or serological positivity.</w:t>
      </w:r>
    </w:p>
    <w:p w14:paraId="5FF3B00E" w14:textId="2ED429D5" w:rsidR="00D8774F" w:rsidRDefault="00D8774F" w:rsidP="00345763">
      <w:r>
        <w:t xml:space="preserve">The </w:t>
      </w:r>
      <w:r w:rsidR="00104269">
        <w:t>safety analysis set (</w:t>
      </w:r>
      <w:r>
        <w:t>SAS</w:t>
      </w:r>
      <w:r w:rsidR="00104269">
        <w:t>)</w:t>
      </w:r>
      <w:r>
        <w:t xml:space="preserve"> included all subjects who received at least </w:t>
      </w:r>
      <w:r w:rsidR="00104269">
        <w:t>one</w:t>
      </w:r>
      <w:r>
        <w:t xml:space="preserve"> dose of study vaccine/placebo</w:t>
      </w:r>
      <w:r w:rsidR="003713A9">
        <w:t xml:space="preserve"> (see </w:t>
      </w:r>
      <w:r w:rsidR="003713A9">
        <w:fldChar w:fldCharType="begin" w:fldLock="1"/>
      </w:r>
      <w:r w:rsidR="003713A9">
        <w:instrText xml:space="preserve"> REF _Ref92656763 \h </w:instrText>
      </w:r>
      <w:r w:rsidR="003713A9">
        <w:fldChar w:fldCharType="separate"/>
      </w:r>
      <w:r w:rsidR="00AA298B" w:rsidRPr="003713A9">
        <w:t xml:space="preserve">Table </w:t>
      </w:r>
      <w:r w:rsidR="00AA298B">
        <w:rPr>
          <w:noProof/>
        </w:rPr>
        <w:t>18</w:t>
      </w:r>
      <w:r w:rsidR="003713A9">
        <w:fldChar w:fldCharType="end"/>
      </w:r>
      <w:r w:rsidR="003713A9">
        <w:t>)</w:t>
      </w:r>
      <w:r>
        <w:t xml:space="preserve">. </w:t>
      </w:r>
      <w:r w:rsidR="007267CC">
        <w:t xml:space="preserve">The </w:t>
      </w:r>
      <w:r w:rsidR="003F21FC">
        <w:t xml:space="preserve">SAS was </w:t>
      </w:r>
      <w:r w:rsidR="008E6FB4">
        <w:t>a</w:t>
      </w:r>
      <w:r>
        <w:t xml:space="preserve">nalysed according to treatment actually received, and according to the </w:t>
      </w:r>
      <w:proofErr w:type="spellStart"/>
      <w:r w:rsidR="00104269">
        <w:t>Nuvaxovid</w:t>
      </w:r>
      <w:proofErr w:type="spellEnd"/>
      <w:r>
        <w:t xml:space="preserve"> group if both were inadvertently received.</w:t>
      </w:r>
    </w:p>
    <w:p w14:paraId="22B5EE9E" w14:textId="36AE5164" w:rsidR="00D8774F" w:rsidRDefault="00D8774F" w:rsidP="00345763">
      <w:r>
        <w:t xml:space="preserve">The PP-EFF </w:t>
      </w:r>
      <w:r w:rsidR="003713A9">
        <w:t>a</w:t>
      </w:r>
      <w:r>
        <w:t xml:space="preserve">nalysis </w:t>
      </w:r>
      <w:r w:rsidR="003713A9">
        <w:t>s</w:t>
      </w:r>
      <w:r>
        <w:t>et included all subjects who received the full prescribed regimen of trial vaccine and had no major protocol deviations that occurred before the first COVID-19 positive episode and were determined to affect the efficacy outcomes</w:t>
      </w:r>
      <w:r w:rsidR="003713A9">
        <w:t xml:space="preserve"> (see </w:t>
      </w:r>
      <w:r w:rsidR="003713A9">
        <w:fldChar w:fldCharType="begin" w:fldLock="1"/>
      </w:r>
      <w:r w:rsidR="003713A9">
        <w:instrText xml:space="preserve"> REF _Ref92656763 \h </w:instrText>
      </w:r>
      <w:r w:rsidR="003713A9">
        <w:fldChar w:fldCharType="separate"/>
      </w:r>
      <w:r w:rsidR="00AA298B" w:rsidRPr="003713A9">
        <w:t xml:space="preserve">Table </w:t>
      </w:r>
      <w:r w:rsidR="00AA298B">
        <w:rPr>
          <w:noProof/>
        </w:rPr>
        <w:t>18</w:t>
      </w:r>
      <w:r w:rsidR="003713A9">
        <w:fldChar w:fldCharType="end"/>
      </w:r>
      <w:r w:rsidR="003713A9">
        <w:t>)</w:t>
      </w:r>
      <w:r>
        <w:t>. The PP-EFF was the primary set for all efficacy endpoints.</w:t>
      </w:r>
    </w:p>
    <w:p w14:paraId="388FDB98" w14:textId="3B8334D5" w:rsidR="00D8774F" w:rsidRDefault="00D8774F" w:rsidP="00345763">
      <w:r>
        <w:t xml:space="preserve">A second </w:t>
      </w:r>
      <w:r w:rsidR="00104269">
        <w:t xml:space="preserve">PP-EFF </w:t>
      </w:r>
      <w:r>
        <w:t xml:space="preserve">2 </w:t>
      </w:r>
      <w:r w:rsidR="00104269">
        <w:t>a</w:t>
      </w:r>
      <w:r>
        <w:t xml:space="preserve">nalysis </w:t>
      </w:r>
      <w:r w:rsidR="00104269">
        <w:t>s</w:t>
      </w:r>
      <w:r>
        <w:t>et was defined to allow for evaluation of the impact of the baseline serostatus analysis on VE, following the same methodology for the PP-EFF (with the exception that it included all subjects regardless of baseline serostatus)</w:t>
      </w:r>
      <w:r w:rsidR="003713A9">
        <w:t xml:space="preserve"> (see </w:t>
      </w:r>
      <w:r w:rsidR="003713A9">
        <w:fldChar w:fldCharType="begin" w:fldLock="1"/>
      </w:r>
      <w:r w:rsidR="003713A9">
        <w:instrText xml:space="preserve"> REF _Ref92656763 \h </w:instrText>
      </w:r>
      <w:r w:rsidR="003713A9">
        <w:fldChar w:fldCharType="separate"/>
      </w:r>
      <w:r w:rsidR="00AA298B" w:rsidRPr="003713A9">
        <w:t xml:space="preserve">Table </w:t>
      </w:r>
      <w:r w:rsidR="00AA298B">
        <w:rPr>
          <w:noProof/>
        </w:rPr>
        <w:t>18</w:t>
      </w:r>
      <w:r w:rsidR="003713A9">
        <w:fldChar w:fldCharType="end"/>
      </w:r>
      <w:r w:rsidR="003713A9">
        <w:t>)</w:t>
      </w:r>
      <w:r>
        <w:t>.</w:t>
      </w:r>
    </w:p>
    <w:p w14:paraId="01E838E7" w14:textId="77777777" w:rsidR="00D8774F" w:rsidRDefault="00D8774F" w:rsidP="00345763">
      <w:pPr>
        <w:pStyle w:val="Heading6"/>
        <w:keepNext w:val="0"/>
      </w:pPr>
      <w:r>
        <w:t>Sample size</w:t>
      </w:r>
    </w:p>
    <w:p w14:paraId="44DBB1DC" w14:textId="5DB63BEA" w:rsidR="00D8774F" w:rsidRDefault="00D8774F" w:rsidP="00345763">
      <w:r>
        <w:t xml:space="preserve">The sample size was initially powered to ensure the </w:t>
      </w:r>
      <w:r w:rsidR="00104269">
        <w:t>s</w:t>
      </w:r>
      <w:r>
        <w:t>ponsor could fulfil the FDA</w:t>
      </w:r>
      <w:r w:rsidR="00104269">
        <w:t xml:space="preserve"> </w:t>
      </w:r>
      <w:r>
        <w:t>mandated VE of ≥</w:t>
      </w:r>
      <w:r w:rsidR="00104269">
        <w:t> </w:t>
      </w:r>
      <w:r>
        <w:t>50% for EUA with a lower bound of the 95% CI being ≥</w:t>
      </w:r>
      <w:r w:rsidR="00104269">
        <w:t> </w:t>
      </w:r>
      <w:r>
        <w:t xml:space="preserve">30%. This led to an estimate that approximately 30000 subjects ≥ 18 </w:t>
      </w:r>
      <w:r w:rsidR="00104269">
        <w:t xml:space="preserve">years </w:t>
      </w:r>
      <w:r w:rsidR="008A7E35">
        <w:t>o</w:t>
      </w:r>
      <w:r w:rsidR="00104269">
        <w:t>f age</w:t>
      </w:r>
      <w:r>
        <w:t xml:space="preserve"> would be needed to provide a target of 144 PCR</w:t>
      </w:r>
      <w:r w:rsidR="00104269">
        <w:t xml:space="preserve"> </w:t>
      </w:r>
      <w:r>
        <w:t>confirmed, symptomatic COVID-19 illnesses (</w:t>
      </w:r>
      <w:r w:rsidR="00104269">
        <w:t>that is</w:t>
      </w:r>
      <w:r>
        <w:t xml:space="preserve"> primary endpoints). Two formal interim analyses for efficacy and futility were to be conducted after accumulation of about 50% and 75% of the total anticipated primary endpoints.</w:t>
      </w:r>
    </w:p>
    <w:p w14:paraId="3B432AC1" w14:textId="2489D781" w:rsidR="00D8774F" w:rsidRDefault="00D8774F" w:rsidP="00345763">
      <w:r>
        <w:t xml:space="preserve">However, the US government mandated that all adults would be eligible for an EUA vaccine from </w:t>
      </w:r>
      <w:r w:rsidR="00104269">
        <w:t>1 May 2021</w:t>
      </w:r>
      <w:r>
        <w:t xml:space="preserve"> and the prevalence of COVID-19 was decreasing in the US around that time. This meant the trial was unlikely to be able to accrue sufficient primary endpoints. Rather than continue accrual, it was decided to commence the blinded crossover on </w:t>
      </w:r>
      <w:r w:rsidR="00104269">
        <w:t>20 April 2021</w:t>
      </w:r>
      <w:r>
        <w:t xml:space="preserve">, following the accumulation of the median </w:t>
      </w:r>
      <w:r w:rsidR="00104269">
        <w:t xml:space="preserve">two </w:t>
      </w:r>
      <w:r>
        <w:t>month safety follow</w:t>
      </w:r>
      <w:r w:rsidR="00104269">
        <w:t xml:space="preserve"> </w:t>
      </w:r>
      <w:r>
        <w:t>up.</w:t>
      </w:r>
    </w:p>
    <w:p w14:paraId="1ACBF2D3" w14:textId="58BA080F" w:rsidR="00D8774F" w:rsidRDefault="00D8774F" w:rsidP="00345763">
      <w:r>
        <w:t xml:space="preserve">This led to the </w:t>
      </w:r>
      <w:r w:rsidR="00104269">
        <w:t>s</w:t>
      </w:r>
      <w:r>
        <w:t>ponsor revising the clinical protocol to one single final efficacy analysis based on the number of cases accumulated prior to crossover of subjects (the final number of cases was 77 rather than the 144 intended). Based on 75 endpoints, it had been calculated that a VE of 56.2% would be needed to ensure a lower bound of the 95% CI &gt;</w:t>
      </w:r>
      <w:r w:rsidR="00104269">
        <w:t> </w:t>
      </w:r>
      <w:r>
        <w:t>30%.</w:t>
      </w:r>
    </w:p>
    <w:p w14:paraId="1D2F51C9" w14:textId="77777777" w:rsidR="00D8774F" w:rsidRDefault="00D8774F" w:rsidP="00345763">
      <w:pPr>
        <w:pStyle w:val="Heading6"/>
        <w:keepNext w:val="0"/>
      </w:pPr>
      <w:r>
        <w:t>Efficacy analysis</w:t>
      </w:r>
    </w:p>
    <w:p w14:paraId="7574285D" w14:textId="65C31AAF" w:rsidR="007267CC" w:rsidRDefault="00D8774F" w:rsidP="00345763">
      <w:r>
        <w:t>V</w:t>
      </w:r>
      <w:r w:rsidR="00104269">
        <w:t>accine efficacy</w:t>
      </w:r>
      <w:r>
        <w:t xml:space="preserve"> was calculated following the initial set of vaccinations (</w:t>
      </w:r>
      <w:r w:rsidR="00104269">
        <w:t>that is</w:t>
      </w:r>
      <w:r>
        <w:t xml:space="preserve"> not including blinded crossover data) both overall and for each age cohort (</w:t>
      </w:r>
      <w:r w:rsidR="00104269">
        <w:t>that is</w:t>
      </w:r>
      <w:r>
        <w:t xml:space="preserve"> 18 to ≤</w:t>
      </w:r>
      <w:r w:rsidR="007267CC">
        <w:t> </w:t>
      </w:r>
      <w:r>
        <w:t>64</w:t>
      </w:r>
      <w:r w:rsidR="007267CC">
        <w:t> </w:t>
      </w:r>
      <w:r w:rsidR="00104269">
        <w:t>years of age</w:t>
      </w:r>
      <w:r>
        <w:t xml:space="preserve"> </w:t>
      </w:r>
      <w:r w:rsidR="00104269">
        <w:t xml:space="preserve">versus </w:t>
      </w:r>
      <w:r>
        <w:t xml:space="preserve">≥ 65 </w:t>
      </w:r>
      <w:r w:rsidR="00104269">
        <w:t>years of age</w:t>
      </w:r>
      <w:r>
        <w:t>). The RR of incidence rates of COVID</w:t>
      </w:r>
      <w:r w:rsidR="00E461A4">
        <w:noBreakHyphen/>
      </w:r>
      <w:r>
        <w:t xml:space="preserve">19 infection in the </w:t>
      </w:r>
      <w:proofErr w:type="spellStart"/>
      <w:r w:rsidR="00E461A4">
        <w:t>Nuvaxovid</w:t>
      </w:r>
      <w:proofErr w:type="spellEnd"/>
      <w:r>
        <w:t xml:space="preserve"> v</w:t>
      </w:r>
      <w:r w:rsidR="00E461A4">
        <w:t>ersus</w:t>
      </w:r>
      <w:r>
        <w:t xml:space="preserve"> placebo groups was calculated using a Poisson regression model, including the age strata as a covariate. For each subject, the log of follow</w:t>
      </w:r>
      <w:r w:rsidR="00E461A4">
        <w:t xml:space="preserve"> </w:t>
      </w:r>
      <w:r>
        <w:lastRenderedPageBreak/>
        <w:t>up time from the start of the observation period to the diagnosis of COVID</w:t>
      </w:r>
      <w:r w:rsidR="00E461A4">
        <w:noBreakHyphen/>
      </w:r>
      <w:r>
        <w:t>19 (or other censoring endpoint) was calculated and used as an offset in the model. This accounted for variability of follow</w:t>
      </w:r>
      <w:r w:rsidR="00E461A4">
        <w:t xml:space="preserve"> </w:t>
      </w:r>
      <w:r>
        <w:t>up time between subjects and allowed ‘</w:t>
      </w:r>
      <w:r w:rsidRPr="00E461A4">
        <w:rPr>
          <w:i/>
          <w:iCs/>
        </w:rPr>
        <w:t>the modelling of count data in rate rather than just count data</w:t>
      </w:r>
      <w:r>
        <w:t>.’</w:t>
      </w:r>
    </w:p>
    <w:p w14:paraId="3B614A49" w14:textId="08E39228" w:rsidR="00D8774F" w:rsidRDefault="00D8774F" w:rsidP="00345763">
      <w:r>
        <w:t>VE was calculated using the formula: VE%</w:t>
      </w:r>
      <w:r w:rsidR="00E461A4">
        <w:t> </w:t>
      </w:r>
      <w:r>
        <w:t>=</w:t>
      </w:r>
      <w:r w:rsidR="00E461A4">
        <w:t> </w:t>
      </w:r>
      <w:r>
        <w:t>(1 – RR) x 100.</w:t>
      </w:r>
    </w:p>
    <w:p w14:paraId="1E6BAA30" w14:textId="095B9311" w:rsidR="00D8774F" w:rsidRDefault="00D8774F" w:rsidP="00345763">
      <w:r>
        <w:t>A Cox proportional hazard model using the same explanatory variables was developed as a supportive analysis, where time</w:t>
      </w:r>
      <w:r w:rsidR="00E461A4">
        <w:t xml:space="preserve"> </w:t>
      </w:r>
      <w:r>
        <w:t>to</w:t>
      </w:r>
      <w:r w:rsidR="00E461A4">
        <w:t xml:space="preserve"> </w:t>
      </w:r>
      <w:r>
        <w:t>event was equal to the follow</w:t>
      </w:r>
      <w:r w:rsidR="00E461A4">
        <w:t xml:space="preserve"> </w:t>
      </w:r>
      <w:r>
        <w:t xml:space="preserve">up variable described above. The time from </w:t>
      </w:r>
      <w:r w:rsidR="00E461A4">
        <w:t xml:space="preserve">seven </w:t>
      </w:r>
      <w:r>
        <w:t xml:space="preserve">days post </w:t>
      </w:r>
      <w:r w:rsidR="007615FB">
        <w:t>second d</w:t>
      </w:r>
      <w:r>
        <w:t>ose to the event of interest or end of observation period (using other censoring endpoints) was used as the predictive variable. VE was defined as 1</w:t>
      </w:r>
      <w:r w:rsidR="00E461A4">
        <w:t xml:space="preserve"> minus</w:t>
      </w:r>
      <w:r>
        <w:t xml:space="preserve"> the hazard ratio of the treatment group.</w:t>
      </w:r>
    </w:p>
    <w:p w14:paraId="236CBAD9" w14:textId="55689B7A" w:rsidR="00D8774F" w:rsidRDefault="00D8774F" w:rsidP="00345763">
      <w:r>
        <w:t xml:space="preserve">The analysis of the key secondary endpoint was carried out using a </w:t>
      </w:r>
      <w:r w:rsidR="00E461A4">
        <w:t xml:space="preserve">one </w:t>
      </w:r>
      <w:r>
        <w:t xml:space="preserve">sided alpha of 0.025 only after the successful demonstration of the primary endpoint, to preserve the </w:t>
      </w:r>
      <w:r w:rsidRPr="007615FB">
        <w:t xml:space="preserve">Type </w:t>
      </w:r>
      <w:r w:rsidR="007615FB" w:rsidRPr="007615FB">
        <w:t>I</w:t>
      </w:r>
      <w:r w:rsidRPr="007615FB">
        <w:t xml:space="preserve"> e</w:t>
      </w:r>
      <w:r>
        <w:t xml:space="preserve">rror rate. Analysis of other selected secondary endpoints used a hierarchical sequential analysis against the null hypothesis that the lower bound of the 95% CI for VE was ≤ 0% based on the PP-EFF </w:t>
      </w:r>
      <w:r w:rsidR="00E461A4">
        <w:t>a</w:t>
      </w:r>
      <w:r>
        <w:t xml:space="preserve">nalysis </w:t>
      </w:r>
      <w:r w:rsidR="00E461A4">
        <w:t>s</w:t>
      </w:r>
      <w:r>
        <w:t>et. Analysis of remaining efficacy endpoints was performed descriptively without adjustment for multiple comparisons and formal hypothesis testing.</w:t>
      </w:r>
    </w:p>
    <w:p w14:paraId="1D48CE48" w14:textId="1D6AAF32" w:rsidR="00D8774F" w:rsidRDefault="00D8774F" w:rsidP="00345763">
      <w:pPr>
        <w:pStyle w:val="Heading6"/>
        <w:keepNext w:val="0"/>
      </w:pPr>
      <w:r>
        <w:t>Subject flow</w:t>
      </w:r>
    </w:p>
    <w:p w14:paraId="0D1E6385" w14:textId="4C35B47F" w:rsidR="00D8774F" w:rsidRDefault="00D8774F" w:rsidP="00345763">
      <w:r>
        <w:t>There were 31</w:t>
      </w:r>
      <w:r w:rsidR="007267CC">
        <w:t>,</w:t>
      </w:r>
      <w:r>
        <w:t>588 subjects screened, 1639 (5.2%) who failed the screen (mainly related to inclusion/exclusion criteria) and 29</w:t>
      </w:r>
      <w:r w:rsidR="007267CC">
        <w:t>,</w:t>
      </w:r>
      <w:r>
        <w:t>949 (94.8%) randomi</w:t>
      </w:r>
      <w:r w:rsidR="00E461A4">
        <w:t>s</w:t>
      </w:r>
      <w:r>
        <w:t>ed: 19</w:t>
      </w:r>
      <w:r w:rsidR="007267CC">
        <w:t>,</w:t>
      </w:r>
      <w:r>
        <w:t xml:space="preserve">965 in the </w:t>
      </w:r>
      <w:proofErr w:type="spellStart"/>
      <w:r w:rsidR="00E461A4">
        <w:t>Nuvaxovid</w:t>
      </w:r>
      <w:proofErr w:type="spellEnd"/>
      <w:r>
        <w:t xml:space="preserve"> group and 9984 in the placebo group</w:t>
      </w:r>
      <w:r w:rsidR="003713A9">
        <w:t xml:space="preserve"> (see </w:t>
      </w:r>
      <w:r w:rsidR="003713A9">
        <w:fldChar w:fldCharType="begin" w:fldLock="1"/>
      </w:r>
      <w:r w:rsidR="003713A9">
        <w:instrText xml:space="preserve"> REF _Ref92656763 \h </w:instrText>
      </w:r>
      <w:r w:rsidR="003713A9">
        <w:fldChar w:fldCharType="separate"/>
      </w:r>
      <w:r w:rsidR="00AA298B" w:rsidRPr="003713A9">
        <w:t xml:space="preserve">Table </w:t>
      </w:r>
      <w:r w:rsidR="00AA298B">
        <w:rPr>
          <w:noProof/>
        </w:rPr>
        <w:t>18</w:t>
      </w:r>
      <w:r w:rsidR="003713A9">
        <w:fldChar w:fldCharType="end"/>
      </w:r>
      <w:r w:rsidR="000120D3">
        <w:t xml:space="preserve"> and </w:t>
      </w:r>
      <w:r w:rsidR="000120D3">
        <w:fldChar w:fldCharType="begin" w:fldLock="1"/>
      </w:r>
      <w:r w:rsidR="000120D3">
        <w:instrText xml:space="preserve"> REF _Ref92659264 \h </w:instrText>
      </w:r>
      <w:r w:rsidR="000120D3">
        <w:fldChar w:fldCharType="separate"/>
      </w:r>
      <w:r w:rsidR="00AA298B">
        <w:t xml:space="preserve">Figure </w:t>
      </w:r>
      <w:r w:rsidR="00AA298B">
        <w:rPr>
          <w:noProof/>
        </w:rPr>
        <w:t>8</w:t>
      </w:r>
      <w:r w:rsidR="000120D3">
        <w:fldChar w:fldCharType="end"/>
      </w:r>
      <w:r w:rsidR="003713A9">
        <w:t>)</w:t>
      </w:r>
      <w:r>
        <w:t>.</w:t>
      </w:r>
    </w:p>
    <w:p w14:paraId="61DCA41B" w14:textId="701D92E4" w:rsidR="00D8774F" w:rsidRDefault="00D8774F" w:rsidP="00345763">
      <w:r>
        <w:t>Of the 29</w:t>
      </w:r>
      <w:r w:rsidR="007267CC">
        <w:t>,</w:t>
      </w:r>
      <w:r>
        <w:t xml:space="preserve">949 randomised, 3010 (10.1%) discontinued the study, with a higher proportion in the </w:t>
      </w:r>
      <w:proofErr w:type="spellStart"/>
      <w:r w:rsidR="00E461A4">
        <w:t>Nuvaxovid</w:t>
      </w:r>
      <w:proofErr w:type="spellEnd"/>
      <w:r>
        <w:t xml:space="preserve"> group (8.1%) than the placebo group (13.9%). The main reason was subject withdrawal unrelated to COVID-19</w:t>
      </w:r>
      <w:r w:rsidR="000120D3">
        <w:t xml:space="preserve"> (see </w:t>
      </w:r>
      <w:r w:rsidR="000120D3">
        <w:fldChar w:fldCharType="begin" w:fldLock="1"/>
      </w:r>
      <w:r w:rsidR="000120D3">
        <w:instrText xml:space="preserve"> REF _Ref92659264 \h </w:instrText>
      </w:r>
      <w:r w:rsidR="000120D3">
        <w:fldChar w:fldCharType="separate"/>
      </w:r>
      <w:r w:rsidR="00AA298B">
        <w:t xml:space="preserve">Figure </w:t>
      </w:r>
      <w:r w:rsidR="00AA298B">
        <w:rPr>
          <w:noProof/>
        </w:rPr>
        <w:t>8</w:t>
      </w:r>
      <w:r w:rsidR="000120D3">
        <w:fldChar w:fldCharType="end"/>
      </w:r>
      <w:r w:rsidR="000120D3">
        <w:t>)</w:t>
      </w:r>
      <w:r>
        <w:t>.</w:t>
      </w:r>
    </w:p>
    <w:p w14:paraId="689081E3" w14:textId="121A30C8" w:rsidR="00D8774F" w:rsidRDefault="00D8774F" w:rsidP="00345763">
      <w:r>
        <w:t>Unblinding occurred in 5376 (18%) of the 29</w:t>
      </w:r>
      <w:r w:rsidR="007267CC">
        <w:t>,</w:t>
      </w:r>
      <w:r>
        <w:t>949 randomised subjects, with obvious imbalance</w:t>
      </w:r>
      <w:r w:rsidR="00E461A4">
        <w:t xml:space="preserve">, </w:t>
      </w:r>
      <w:r>
        <w:t xml:space="preserve">5.2% of </w:t>
      </w:r>
      <w:proofErr w:type="spellStart"/>
      <w:r w:rsidR="00E461A4">
        <w:t>Nuvaxovid</w:t>
      </w:r>
      <w:proofErr w:type="spellEnd"/>
      <w:r>
        <w:t xml:space="preserve"> and 23.4% of placebo recipients. This was almost exclusively related to request for an EUA</w:t>
      </w:r>
      <w:r w:rsidR="007615FB">
        <w:t xml:space="preserve"> </w:t>
      </w:r>
      <w:r>
        <w:t xml:space="preserve">approved vaccine. The </w:t>
      </w:r>
      <w:r w:rsidR="00E461A4">
        <w:t>s</w:t>
      </w:r>
      <w:r>
        <w:t>ponsor speculates that lack or reactogenicity symptoms and/or serological testing outside of the study led to the imbalance.</w:t>
      </w:r>
    </w:p>
    <w:p w14:paraId="60F21869" w14:textId="2E3A4637" w:rsidR="003713A9" w:rsidRDefault="003713A9" w:rsidP="00CB0654">
      <w:pPr>
        <w:pStyle w:val="TableTitle"/>
      </w:pPr>
      <w:bookmarkStart w:id="78" w:name="_Ref92656763"/>
      <w:r w:rsidRPr="003713A9">
        <w:t xml:space="preserve">Table </w:t>
      </w:r>
      <w:r w:rsidR="00344FF4">
        <w:fldChar w:fldCharType="begin"/>
      </w:r>
      <w:r w:rsidR="00344FF4">
        <w:instrText xml:space="preserve"> SEQ Table \* ARABIC </w:instrText>
      </w:r>
      <w:r w:rsidR="00344FF4">
        <w:fldChar w:fldCharType="separate"/>
      </w:r>
      <w:r w:rsidR="00C41FF6">
        <w:rPr>
          <w:noProof/>
        </w:rPr>
        <w:t>18</w:t>
      </w:r>
      <w:r w:rsidR="00344FF4">
        <w:rPr>
          <w:noProof/>
        </w:rPr>
        <w:fldChar w:fldCharType="end"/>
      </w:r>
      <w:bookmarkEnd w:id="78"/>
      <w:r>
        <w:t xml:space="preserve">: </w:t>
      </w:r>
      <w:r w:rsidR="007267CC">
        <w:t xml:space="preserve">Study 2019nCoV-301 </w:t>
      </w:r>
      <w:r>
        <w:t>Analysis set</w:t>
      </w:r>
      <w:r w:rsidR="007267CC">
        <w:t>s</w:t>
      </w:r>
      <w:r>
        <w:t>, all randomised subjects</w:t>
      </w:r>
    </w:p>
    <w:p w14:paraId="711329AA" w14:textId="3E8AA0C1" w:rsidR="003713A9" w:rsidRDefault="003713A9" w:rsidP="00345763">
      <w:r w:rsidRPr="00ED6F9D">
        <w:rPr>
          <w:noProof/>
          <w:lang w:val="en-GB" w:eastAsia="en-GB"/>
        </w:rPr>
        <w:drawing>
          <wp:inline distT="0" distB="0" distL="0" distR="0" wp14:anchorId="637A0C5E" wp14:editId="3223032E">
            <wp:extent cx="5398744" cy="1199072"/>
            <wp:effectExtent l="0" t="0" r="0" b="1270"/>
            <wp:docPr id="228" name="Picture 228" descr="P7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730#yIS1"/>
                    <pic:cNvPicPr>
                      <a:picLocks noChangeAspect="1" noChangeArrowheads="1"/>
                    </pic:cNvPicPr>
                  </pic:nvPicPr>
                  <pic:blipFill rotWithShape="1">
                    <a:blip r:embed="rId37">
                      <a:extLst>
                        <a:ext uri="{28A0092B-C50C-407E-A947-70E740481C1C}">
                          <a14:useLocalDpi xmlns:a14="http://schemas.microsoft.com/office/drawing/2010/main" val="0"/>
                        </a:ext>
                      </a:extLst>
                    </a:blip>
                    <a:srcRect b="24073"/>
                    <a:stretch/>
                  </pic:blipFill>
                  <pic:spPr bwMode="auto">
                    <a:xfrm>
                      <a:off x="0" y="0"/>
                      <a:ext cx="5400040" cy="1199360"/>
                    </a:xfrm>
                    <a:prstGeom prst="rect">
                      <a:avLst/>
                    </a:prstGeom>
                    <a:noFill/>
                    <a:ln>
                      <a:noFill/>
                    </a:ln>
                    <a:extLst>
                      <a:ext uri="{53640926-AAD7-44D8-BBD7-CCE9431645EC}">
                        <a14:shadowObscured xmlns:a14="http://schemas.microsoft.com/office/drawing/2010/main"/>
                      </a:ext>
                    </a:extLst>
                  </pic:spPr>
                </pic:pic>
              </a:graphicData>
            </a:graphic>
          </wp:inline>
        </w:drawing>
      </w:r>
    </w:p>
    <w:p w14:paraId="6745E2E1" w14:textId="0A8CDBEC" w:rsidR="003713A9" w:rsidRDefault="003713A9" w:rsidP="00CB0654">
      <w:pPr>
        <w:pStyle w:val="TableDescription"/>
      </w:pPr>
      <w:r>
        <w:t xml:space="preserve">Abbreviations: FAS = full analysis set; ITT = intent to treat;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 PP-EFF = per protocol efficacy</w:t>
      </w:r>
    </w:p>
    <w:p w14:paraId="69559A06" w14:textId="6EF1DBB9" w:rsidR="003713A9" w:rsidRDefault="003713A9" w:rsidP="00CB0654">
      <w:pPr>
        <w:pStyle w:val="FigureTitle"/>
        <w:keepNext w:val="0"/>
        <w:pageBreakBefore/>
      </w:pPr>
      <w:bookmarkStart w:id="79" w:name="_Ref92659264"/>
      <w:r>
        <w:lastRenderedPageBreak/>
        <w:t xml:space="preserve">Figure </w:t>
      </w:r>
      <w:r w:rsidR="00344FF4">
        <w:fldChar w:fldCharType="begin"/>
      </w:r>
      <w:r w:rsidR="00344FF4">
        <w:instrText xml:space="preserve"> SEQ Figure \* ARABIC </w:instrText>
      </w:r>
      <w:r w:rsidR="00344FF4">
        <w:fldChar w:fldCharType="separate"/>
      </w:r>
      <w:r w:rsidR="00C41FF6">
        <w:rPr>
          <w:noProof/>
        </w:rPr>
        <w:t>8</w:t>
      </w:r>
      <w:r w:rsidR="00344FF4">
        <w:rPr>
          <w:noProof/>
        </w:rPr>
        <w:fldChar w:fldCharType="end"/>
      </w:r>
      <w:bookmarkEnd w:id="79"/>
      <w:r>
        <w:t>:</w:t>
      </w:r>
      <w:r w:rsidR="001300D5" w:rsidRPr="001300D5">
        <w:t xml:space="preserve"> </w:t>
      </w:r>
      <w:r w:rsidR="001300D5">
        <w:t>Study 2019nCoV-301 Subject flow</w:t>
      </w:r>
    </w:p>
    <w:p w14:paraId="113179F2" w14:textId="77E0756A" w:rsidR="003713A9" w:rsidRDefault="003713A9" w:rsidP="00345763">
      <w:r w:rsidRPr="00ED6F9D">
        <w:rPr>
          <w:b/>
          <w:noProof/>
          <w:szCs w:val="18"/>
          <w:lang w:val="en-GB" w:eastAsia="en-GB"/>
        </w:rPr>
        <w:drawing>
          <wp:inline distT="0" distB="0" distL="0" distR="0" wp14:anchorId="2A588601" wp14:editId="3DC61A91">
            <wp:extent cx="5423005" cy="3571336"/>
            <wp:effectExtent l="0" t="0" r="6350" b="0"/>
            <wp:docPr id="229" name="Picture 229" descr="P7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733#yIS1"/>
                    <pic:cNvPicPr>
                      <a:picLocks noChangeAspect="1" noChangeArrowheads="1"/>
                    </pic:cNvPicPr>
                  </pic:nvPicPr>
                  <pic:blipFill rotWithShape="1">
                    <a:blip r:embed="rId38">
                      <a:lum bright="-20000" contrast="40000"/>
                      <a:extLst>
                        <a:ext uri="{28A0092B-C50C-407E-A947-70E740481C1C}">
                          <a14:useLocalDpi xmlns:a14="http://schemas.microsoft.com/office/drawing/2010/main" val="0"/>
                        </a:ext>
                      </a:extLst>
                    </a:blip>
                    <a:srcRect l="3675" t="6380" r="4620" b="4295"/>
                    <a:stretch/>
                  </pic:blipFill>
                  <pic:spPr bwMode="auto">
                    <a:xfrm>
                      <a:off x="0" y="0"/>
                      <a:ext cx="5444955" cy="3585791"/>
                    </a:xfrm>
                    <a:prstGeom prst="rect">
                      <a:avLst/>
                    </a:prstGeom>
                    <a:noFill/>
                    <a:ln>
                      <a:noFill/>
                    </a:ln>
                    <a:extLst>
                      <a:ext uri="{53640926-AAD7-44D8-BBD7-CCE9431645EC}">
                        <a14:shadowObscured xmlns:a14="http://schemas.microsoft.com/office/drawing/2010/main"/>
                      </a:ext>
                    </a:extLst>
                  </pic:spPr>
                </pic:pic>
              </a:graphicData>
            </a:graphic>
          </wp:inline>
        </w:drawing>
      </w:r>
    </w:p>
    <w:p w14:paraId="3F7B3050" w14:textId="71DAA169" w:rsidR="003713A9" w:rsidRDefault="003713A9" w:rsidP="00345763">
      <w:r>
        <w:t xml:space="preserve">Protocol deviations leading to censoring from PP-EFF and PP-EFF-2 </w:t>
      </w:r>
      <w:r w:rsidR="006966B0">
        <w:t>a</w:t>
      </w:r>
      <w:r>
        <w:t xml:space="preserve">nalysis </w:t>
      </w:r>
      <w:r w:rsidR="006966B0">
        <w:t>s</w:t>
      </w:r>
      <w:r>
        <w:t xml:space="preserve">ets were more frequent in the placebo group (12.3%) than in the </w:t>
      </w:r>
      <w:proofErr w:type="spellStart"/>
      <w:r w:rsidR="006966B0">
        <w:t>Nuvaxovid</w:t>
      </w:r>
      <w:proofErr w:type="spellEnd"/>
      <w:r>
        <w:t xml:space="preserve"> group (2.8%), with the most frequent reason being receipt of an EUA</w:t>
      </w:r>
      <w:r w:rsidR="006966B0">
        <w:t xml:space="preserve"> </w:t>
      </w:r>
      <w:r>
        <w:t>approved COVID-19 vaccine.</w:t>
      </w:r>
    </w:p>
    <w:p w14:paraId="73F93CC9" w14:textId="77777777" w:rsidR="003713A9" w:rsidRDefault="003713A9" w:rsidP="00345763">
      <w:pPr>
        <w:pStyle w:val="Heading6"/>
        <w:keepNext w:val="0"/>
      </w:pPr>
      <w:r>
        <w:t>Baseline data</w:t>
      </w:r>
    </w:p>
    <w:p w14:paraId="3B9DCF0D" w14:textId="7885C4BB" w:rsidR="003713A9" w:rsidRDefault="003713A9" w:rsidP="00345763">
      <w:r>
        <w:t xml:space="preserve">Demographics and baseline characteristics of subjects in the PP-EFF </w:t>
      </w:r>
      <w:r w:rsidR="006966B0">
        <w:t>a</w:t>
      </w:r>
      <w:r>
        <w:t xml:space="preserve">nalysis </w:t>
      </w:r>
      <w:r w:rsidR="006966B0">
        <w:t>s</w:t>
      </w:r>
      <w:r>
        <w:t xml:space="preserve">et were well balanced between the </w:t>
      </w:r>
      <w:proofErr w:type="spellStart"/>
      <w:r w:rsidR="006966B0">
        <w:t>Nuvaxovid</w:t>
      </w:r>
      <w:proofErr w:type="spellEnd"/>
      <w:r>
        <w:t xml:space="preserve"> and placebo groups. Median age was 47</w:t>
      </w:r>
      <w:r w:rsidR="000120D3">
        <w:t xml:space="preserve"> </w:t>
      </w:r>
      <w:r>
        <w:t>years, with all subjects ranging in age from 18 to 95 years. Approximately 11.8% of subjects were ≥</w:t>
      </w:r>
      <w:r w:rsidR="000120D3">
        <w:t> </w:t>
      </w:r>
      <w:r>
        <w:t>65</w:t>
      </w:r>
      <w:r w:rsidR="008B2435">
        <w:t> </w:t>
      </w:r>
      <w:r>
        <w:t>years of age, with 10.7% aged ≥ 65 to ≤ 74 years and 1.7% (n</w:t>
      </w:r>
      <w:r w:rsidR="000120D3">
        <w:t xml:space="preserve"> </w:t>
      </w:r>
      <w:r>
        <w:t>=</w:t>
      </w:r>
      <w:r w:rsidR="000120D3">
        <w:t xml:space="preserve"> </w:t>
      </w:r>
      <w:r>
        <w:t>405) aged ≥ 75 to ≤</w:t>
      </w:r>
      <w:r w:rsidR="000120D3">
        <w:t> </w:t>
      </w:r>
      <w:r>
        <w:t>84 years. Approximately half the subjects were male (51.8%), while the majority (75.9%) were White, and not of Hispanic or Latino origin (78.</w:t>
      </w:r>
      <w:r w:rsidR="00A61021">
        <w:t>3</w:t>
      </w:r>
      <w:r>
        <w:t xml:space="preserve">%) and located in the </w:t>
      </w:r>
      <w:r w:rsidR="000120D3">
        <w:t>USA</w:t>
      </w:r>
      <w:r>
        <w:t xml:space="preserve"> (94.0%) (</w:t>
      </w:r>
      <w:r w:rsidR="00CA0DC1">
        <w:rPr>
          <w:highlight w:val="yellow"/>
        </w:rPr>
        <w:fldChar w:fldCharType="begin" w:fldLock="1"/>
      </w:r>
      <w:r w:rsidR="00CA0DC1">
        <w:instrText xml:space="preserve"> REF _Ref92699655 \h </w:instrText>
      </w:r>
      <w:r w:rsidR="00CA0DC1">
        <w:rPr>
          <w:highlight w:val="yellow"/>
        </w:rPr>
      </w:r>
      <w:r w:rsidR="00CA0DC1">
        <w:rPr>
          <w:highlight w:val="yellow"/>
        </w:rPr>
        <w:fldChar w:fldCharType="separate"/>
      </w:r>
      <w:r w:rsidR="00AA298B" w:rsidRPr="008A7E35">
        <w:t xml:space="preserve">Table </w:t>
      </w:r>
      <w:r w:rsidR="00AA298B">
        <w:rPr>
          <w:noProof/>
        </w:rPr>
        <w:t>19</w:t>
      </w:r>
      <w:r w:rsidR="00CA0DC1">
        <w:rPr>
          <w:highlight w:val="yellow"/>
        </w:rPr>
        <w:fldChar w:fldCharType="end"/>
      </w:r>
      <w:r>
        <w:t>). The majority of subjects were overweight or obese (69.9%), with more than a third being obese (37.2%). Most subjects (95.2%) were categorised as high</w:t>
      </w:r>
      <w:r w:rsidR="000120D3">
        <w:t xml:space="preserve"> </w:t>
      </w:r>
      <w:r>
        <w:t xml:space="preserve">risk adults for acquiring or experiencing complications of COVID-19. A breakdown of underlying comorbidities </w:t>
      </w:r>
      <w:r w:rsidR="007D0113">
        <w:t>at Baseline</w:t>
      </w:r>
      <w:r>
        <w:t xml:space="preserve"> in the study population is presented in </w:t>
      </w:r>
      <w:r w:rsidR="00CA0DC1">
        <w:rPr>
          <w:highlight w:val="yellow"/>
        </w:rPr>
        <w:fldChar w:fldCharType="begin" w:fldLock="1"/>
      </w:r>
      <w:r w:rsidR="00CA0DC1">
        <w:instrText xml:space="preserve"> REF _Ref92699662 \h </w:instrText>
      </w:r>
      <w:r w:rsidR="00CA0DC1">
        <w:rPr>
          <w:highlight w:val="yellow"/>
        </w:rPr>
      </w:r>
      <w:r w:rsidR="00CA0DC1">
        <w:rPr>
          <w:highlight w:val="yellow"/>
        </w:rPr>
        <w:fldChar w:fldCharType="separate"/>
      </w:r>
      <w:r w:rsidR="00AA298B" w:rsidRPr="00493432">
        <w:t xml:space="preserve">Table </w:t>
      </w:r>
      <w:r w:rsidR="00AA298B">
        <w:rPr>
          <w:noProof/>
        </w:rPr>
        <w:t>20</w:t>
      </w:r>
      <w:r w:rsidR="00CA0DC1">
        <w:rPr>
          <w:highlight w:val="yellow"/>
        </w:rPr>
        <w:fldChar w:fldCharType="end"/>
      </w:r>
      <w:r>
        <w:t>. Baseline characteristics were similar between the PP-EFF analysis set and the safety population.</w:t>
      </w:r>
    </w:p>
    <w:p w14:paraId="79056488" w14:textId="61E4E924" w:rsidR="003713A9" w:rsidRDefault="003713A9" w:rsidP="00345763">
      <w:r>
        <w:t xml:space="preserve">Within the </w:t>
      </w:r>
      <w:r w:rsidR="000120D3">
        <w:t>s</w:t>
      </w:r>
      <w:r>
        <w:t>afety population, most subjects (93.5%) had a seronegative (</w:t>
      </w:r>
      <w:r w:rsidRPr="00CA0DC1">
        <w:t>based on anti</w:t>
      </w:r>
      <w:r w:rsidR="008B2435">
        <w:noBreakHyphen/>
      </w:r>
      <w:r w:rsidR="00CA0DC1" w:rsidRPr="00CA0DC1">
        <w:t>nucleoprotein (</w:t>
      </w:r>
      <w:r w:rsidRPr="00CA0DC1">
        <w:t>NP</w:t>
      </w:r>
      <w:r w:rsidR="00CA0DC1" w:rsidRPr="00CA0DC1">
        <w:t>)</w:t>
      </w:r>
      <w:r w:rsidRPr="00CA0DC1">
        <w:t xml:space="preserve"> serology</w:t>
      </w:r>
      <w:r>
        <w:t>) and PCR negative (based on negative nasal swab PCR) baseline status prior to randomisation.</w:t>
      </w:r>
    </w:p>
    <w:p w14:paraId="762F66C5" w14:textId="5E162471" w:rsidR="000120D3" w:rsidRDefault="000120D3" w:rsidP="00CB0654">
      <w:pPr>
        <w:pStyle w:val="TableTitle"/>
        <w:rPr>
          <w:noProof/>
        </w:rPr>
      </w:pPr>
      <w:bookmarkStart w:id="80" w:name="_Ref92699655"/>
      <w:r w:rsidRPr="00CB0654">
        <w:lastRenderedPageBreak/>
        <w:t>Table</w:t>
      </w:r>
      <w:r w:rsidRPr="008A7E35">
        <w:t xml:space="preserve"> </w:t>
      </w:r>
      <w:r w:rsidR="00344FF4">
        <w:fldChar w:fldCharType="begin"/>
      </w:r>
      <w:r w:rsidR="00344FF4">
        <w:instrText xml:space="preserve"> SEQ Table \* ARABIC </w:instrText>
      </w:r>
      <w:r w:rsidR="00344FF4">
        <w:fldChar w:fldCharType="separate"/>
      </w:r>
      <w:r w:rsidR="00C41FF6">
        <w:rPr>
          <w:noProof/>
        </w:rPr>
        <w:t>19</w:t>
      </w:r>
      <w:r w:rsidR="00344FF4">
        <w:rPr>
          <w:noProof/>
        </w:rPr>
        <w:fldChar w:fldCharType="end"/>
      </w:r>
      <w:bookmarkEnd w:id="80"/>
      <w:r w:rsidR="008A7E35">
        <w:rPr>
          <w:noProof/>
        </w:rPr>
        <w:t xml:space="preserve">: </w:t>
      </w:r>
      <w:r w:rsidR="008B2435">
        <w:t xml:space="preserve">Study 2019nCoV-301 </w:t>
      </w:r>
      <w:r w:rsidR="008A7E35" w:rsidRPr="008A7E35">
        <w:rPr>
          <w:noProof/>
        </w:rPr>
        <w:t xml:space="preserve">Demographic and </w:t>
      </w:r>
      <w:r w:rsidR="007615FB">
        <w:rPr>
          <w:noProof/>
        </w:rPr>
        <w:t>c</w:t>
      </w:r>
      <w:r w:rsidR="008A7E35" w:rsidRPr="008A7E35">
        <w:rPr>
          <w:noProof/>
        </w:rPr>
        <w:t xml:space="preserve">linical </w:t>
      </w:r>
      <w:r w:rsidR="007615FB">
        <w:rPr>
          <w:noProof/>
        </w:rPr>
        <w:t>c</w:t>
      </w:r>
      <w:r w:rsidR="008A7E35" w:rsidRPr="008A7E35">
        <w:rPr>
          <w:noProof/>
        </w:rPr>
        <w:t xml:space="preserve">haracteristics of the </w:t>
      </w:r>
      <w:r w:rsidR="007615FB">
        <w:rPr>
          <w:noProof/>
        </w:rPr>
        <w:t>s</w:t>
      </w:r>
      <w:r w:rsidR="008A7E35" w:rsidRPr="008A7E35">
        <w:rPr>
          <w:noProof/>
        </w:rPr>
        <w:t>ubjects at Baseline (Per-</w:t>
      </w:r>
      <w:r w:rsidR="007615FB">
        <w:rPr>
          <w:noProof/>
        </w:rPr>
        <w:t>p</w:t>
      </w:r>
      <w:r w:rsidR="008A7E35" w:rsidRPr="008A7E35">
        <w:rPr>
          <w:noProof/>
        </w:rPr>
        <w:t xml:space="preserve">rotocol </w:t>
      </w:r>
      <w:r w:rsidR="007615FB">
        <w:rPr>
          <w:noProof/>
        </w:rPr>
        <w:t>e</w:t>
      </w:r>
      <w:r w:rsidR="008A7E35" w:rsidRPr="008A7E35">
        <w:rPr>
          <w:noProof/>
        </w:rPr>
        <w:t xml:space="preserve">fficacy </w:t>
      </w:r>
      <w:r w:rsidR="007615FB">
        <w:rPr>
          <w:noProof/>
        </w:rPr>
        <w:t>a</w:t>
      </w:r>
      <w:r w:rsidR="008A7E35" w:rsidRPr="008A7E35">
        <w:rPr>
          <w:noProof/>
        </w:rPr>
        <w:t xml:space="preserve">nalysis </w:t>
      </w:r>
      <w:r w:rsidR="007615FB">
        <w:rPr>
          <w:noProof/>
        </w:rPr>
        <w:t>p</w:t>
      </w:r>
      <w:r w:rsidR="008A7E35" w:rsidRPr="008A7E35">
        <w:rPr>
          <w:noProof/>
        </w:rPr>
        <w:t>opulation)</w:t>
      </w:r>
    </w:p>
    <w:p w14:paraId="5934C45C" w14:textId="1816A6D6" w:rsidR="008A7E35" w:rsidRDefault="008A7E35" w:rsidP="00345763">
      <w:r w:rsidRPr="008A7E35">
        <w:rPr>
          <w:noProof/>
          <w:lang w:val="en-GB" w:eastAsia="en-GB"/>
        </w:rPr>
        <w:drawing>
          <wp:inline distT="0" distB="0" distL="0" distR="0" wp14:anchorId="4A9F36EB" wp14:editId="525E9D31">
            <wp:extent cx="5339751" cy="5563204"/>
            <wp:effectExtent l="0" t="0" r="0" b="0"/>
            <wp:docPr id="7" name="Picture 7" descr="P7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739#yIS1"/>
                    <pic:cNvPicPr/>
                  </pic:nvPicPr>
                  <pic:blipFill rotWithShape="1">
                    <a:blip r:embed="rId39"/>
                    <a:srcRect t="4538"/>
                    <a:stretch/>
                  </pic:blipFill>
                  <pic:spPr bwMode="auto">
                    <a:xfrm>
                      <a:off x="0" y="0"/>
                      <a:ext cx="5343353" cy="5566956"/>
                    </a:xfrm>
                    <a:prstGeom prst="rect">
                      <a:avLst/>
                    </a:prstGeom>
                    <a:ln>
                      <a:noFill/>
                    </a:ln>
                    <a:extLst>
                      <a:ext uri="{53640926-AAD7-44D8-BBD7-CCE9431645EC}">
                        <a14:shadowObscured xmlns:a14="http://schemas.microsoft.com/office/drawing/2010/main"/>
                      </a:ext>
                    </a:extLst>
                  </pic:spPr>
                </pic:pic>
              </a:graphicData>
            </a:graphic>
          </wp:inline>
        </w:drawing>
      </w:r>
    </w:p>
    <w:p w14:paraId="445DA5E4" w14:textId="3540390C" w:rsidR="005840B2" w:rsidRPr="005840B2" w:rsidRDefault="005840B2" w:rsidP="00CB0654">
      <w:pPr>
        <w:pStyle w:val="TableDescription"/>
      </w:pPr>
      <w:r w:rsidRPr="005840B2">
        <w:t>* The per</w:t>
      </w:r>
      <w:r>
        <w:t xml:space="preserve"> </w:t>
      </w:r>
      <w:r w:rsidRPr="005840B2">
        <w:t>protocol efficacy analysis population included all participants who underwent randomi</w:t>
      </w:r>
      <w:r>
        <w:t>s</w:t>
      </w:r>
      <w:r w:rsidRPr="005840B2">
        <w:t xml:space="preserve">ation and received both doses as assigned, were seronegative for anti–SARS-CoV-2 nucleoprotein and had a severe acute respiratory syndrome coronavirus 2 (SARS-CoV-2) RNA </w:t>
      </w:r>
      <w:r>
        <w:t xml:space="preserve">real time (RT) </w:t>
      </w:r>
      <w:r w:rsidRPr="005840B2">
        <w:t xml:space="preserve">PCR negative nasal swab at </w:t>
      </w:r>
      <w:r>
        <w:t>B</w:t>
      </w:r>
      <w:r w:rsidRPr="005840B2">
        <w:t xml:space="preserve">aseline, and did not have a censoring event at any time before </w:t>
      </w:r>
      <w:r>
        <w:t>seven</w:t>
      </w:r>
      <w:r w:rsidRPr="005840B2">
        <w:t xml:space="preserve"> days after the second injection. HIV denotes human immunodeficiency virus.</w:t>
      </w:r>
    </w:p>
    <w:p w14:paraId="57B203D4" w14:textId="77777777" w:rsidR="005840B2" w:rsidRPr="005840B2" w:rsidRDefault="005840B2" w:rsidP="00CB0654">
      <w:pPr>
        <w:pStyle w:val="TableDescription"/>
      </w:pPr>
      <w:r w:rsidRPr="005840B2">
        <w:t>† Race and ethnic group were reported by the participants.</w:t>
      </w:r>
    </w:p>
    <w:p w14:paraId="1E7EDC79" w14:textId="4275A612" w:rsidR="005840B2" w:rsidRPr="005840B2" w:rsidRDefault="005840B2" w:rsidP="00CB0654">
      <w:pPr>
        <w:pStyle w:val="TableDescription"/>
      </w:pPr>
      <w:r w:rsidRPr="005840B2">
        <w:t>‡ Participants at overall high risk included those 65 years of age or older and those of any age with chronic health conditions or an increased risk for Covid-19 because of work or living conditions.</w:t>
      </w:r>
    </w:p>
    <w:p w14:paraId="380B23B4" w14:textId="6EBE8DCF" w:rsidR="005840B2" w:rsidRDefault="005840B2" w:rsidP="00CB0654">
      <w:pPr>
        <w:pStyle w:val="TableDescription"/>
      </w:pPr>
      <w:r w:rsidRPr="005840B2">
        <w:t>§ Participants were classified as having a high risk of severe Covid-19 if they had one or more of the following coexisting conditions: obesity (defined as a body-mass index of ≥</w:t>
      </w:r>
      <w:r>
        <w:t> </w:t>
      </w:r>
      <w:r w:rsidRPr="005840B2">
        <w:t xml:space="preserve">30), chronic lung disease, diabetes mellitus type </w:t>
      </w:r>
      <w:r>
        <w:t>2</w:t>
      </w:r>
      <w:r w:rsidRPr="005840B2">
        <w:t>, cardiovascular disease, or chronic kidney disease</w:t>
      </w:r>
      <w:r w:rsidR="00493432">
        <w:t>.</w:t>
      </w:r>
    </w:p>
    <w:p w14:paraId="1F532CDF" w14:textId="3C880CB4" w:rsidR="00493432" w:rsidRDefault="00493432" w:rsidP="00CB0654">
      <w:pPr>
        <w:pStyle w:val="TableTitle"/>
      </w:pPr>
      <w:bookmarkStart w:id="81" w:name="_Ref92699662"/>
      <w:r w:rsidRPr="00493432">
        <w:lastRenderedPageBreak/>
        <w:t xml:space="preserve">Table </w:t>
      </w:r>
      <w:r w:rsidR="00344FF4">
        <w:fldChar w:fldCharType="begin"/>
      </w:r>
      <w:r w:rsidR="00344FF4">
        <w:instrText xml:space="preserve"> SEQ Table \* ARABIC </w:instrText>
      </w:r>
      <w:r w:rsidR="00344FF4">
        <w:fldChar w:fldCharType="separate"/>
      </w:r>
      <w:r w:rsidR="00C41FF6">
        <w:rPr>
          <w:noProof/>
        </w:rPr>
        <w:t>20</w:t>
      </w:r>
      <w:r w:rsidR="00344FF4">
        <w:rPr>
          <w:noProof/>
        </w:rPr>
        <w:fldChar w:fldCharType="end"/>
      </w:r>
      <w:bookmarkEnd w:id="81"/>
      <w:r>
        <w:t xml:space="preserve">: </w:t>
      </w:r>
      <w:r w:rsidRPr="00493432">
        <w:t>Studies 2019nCoV-301 and 2019nCoV-302</w:t>
      </w:r>
      <w:r>
        <w:t xml:space="preserve"> </w:t>
      </w:r>
      <w:r w:rsidRPr="00493432">
        <w:t xml:space="preserve">Summary of </w:t>
      </w:r>
      <w:r>
        <w:t>s</w:t>
      </w:r>
      <w:r w:rsidRPr="00493432">
        <w:t xml:space="preserve">evere </w:t>
      </w:r>
      <w:r>
        <w:t>o</w:t>
      </w:r>
      <w:r w:rsidRPr="00493432">
        <w:t xml:space="preserve">besity and </w:t>
      </w:r>
      <w:r>
        <w:t>s</w:t>
      </w:r>
      <w:r w:rsidRPr="00493432">
        <w:t xml:space="preserve">pecified </w:t>
      </w:r>
      <w:r>
        <w:t>h</w:t>
      </w:r>
      <w:r w:rsidRPr="00493432">
        <w:t>igh</w:t>
      </w:r>
      <w:r w:rsidR="00183DE7">
        <w:t xml:space="preserve"> </w:t>
      </w:r>
      <w:r>
        <w:t>r</w:t>
      </w:r>
      <w:r w:rsidRPr="00493432">
        <w:t xml:space="preserve">isk </w:t>
      </w:r>
      <w:r>
        <w:t>b</w:t>
      </w:r>
      <w:r w:rsidRPr="00493432">
        <w:t xml:space="preserve">aseline </w:t>
      </w:r>
      <w:r>
        <w:t>c</w:t>
      </w:r>
      <w:r w:rsidRPr="00493432">
        <w:t xml:space="preserve">omorbidities from </w:t>
      </w:r>
      <w:r>
        <w:t>m</w:t>
      </w:r>
      <w:r w:rsidRPr="00493432">
        <w:t xml:space="preserve">edical </w:t>
      </w:r>
      <w:r>
        <w:t>h</w:t>
      </w:r>
      <w:r w:rsidRPr="00493432">
        <w:t xml:space="preserve">istory by </w:t>
      </w:r>
      <w:r>
        <w:t>c</w:t>
      </w:r>
      <w:r w:rsidRPr="00493432">
        <w:t xml:space="preserve">omorbidity </w:t>
      </w:r>
      <w:r>
        <w:t>c</w:t>
      </w:r>
      <w:r w:rsidRPr="00493432">
        <w:t>ategory and Preferred Terms (</w:t>
      </w:r>
      <w:r>
        <w:t>s</w:t>
      </w:r>
      <w:r w:rsidRPr="00493432">
        <w:t xml:space="preserve">afety </w:t>
      </w:r>
      <w:r>
        <w:t>a</w:t>
      </w:r>
      <w:r w:rsidRPr="00493432">
        <w:t xml:space="preserve">nalysis </w:t>
      </w:r>
      <w:r>
        <w:t>s</w:t>
      </w:r>
      <w:r w:rsidRPr="00493432">
        <w:t>et)</w:t>
      </w:r>
    </w:p>
    <w:p w14:paraId="3FAF55C5" w14:textId="041EB929" w:rsidR="00493432" w:rsidRDefault="00D41841" w:rsidP="00345763">
      <w:r>
        <w:rPr>
          <w:b/>
          <w:bCs/>
          <w:iCs/>
          <w:noProof/>
          <w:szCs w:val="18"/>
          <w:lang w:val="en-GB" w:eastAsia="en-GB"/>
        </w:rPr>
        <mc:AlternateContent>
          <mc:Choice Requires="wps">
            <w:drawing>
              <wp:anchor distT="0" distB="0" distL="114300" distR="114300" simplePos="0" relativeHeight="251659264" behindDoc="0" locked="0" layoutInCell="1" allowOverlap="1" wp14:anchorId="79EF41F0" wp14:editId="7795C8E2">
                <wp:simplePos x="0" y="0"/>
                <wp:positionH relativeFrom="column">
                  <wp:posOffset>-4800</wp:posOffset>
                </wp:positionH>
                <wp:positionV relativeFrom="paragraph">
                  <wp:posOffset>457</wp:posOffset>
                </wp:positionV>
                <wp:extent cx="5303520" cy="0"/>
                <wp:effectExtent l="0" t="0" r="0" b="0"/>
                <wp:wrapNone/>
                <wp:docPr id="11" name="Straight Connector 11" descr="P745#y1"/>
                <wp:cNvGraphicFramePr/>
                <a:graphic xmlns:a="http://schemas.openxmlformats.org/drawingml/2006/main">
                  <a:graphicData uri="http://schemas.microsoft.com/office/word/2010/wordprocessingShape">
                    <wps:wsp>
                      <wps:cNvCnPr/>
                      <wps:spPr>
                        <a:xfrm>
                          <a:off x="0" y="0"/>
                          <a:ext cx="5303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921AE6" id="Straight Connector 1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05pt" to="417.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" strokecolor="#002943 [3044]"/>
            </w:pict>
          </mc:Fallback>
        </mc:AlternateContent>
      </w:r>
      <w:r w:rsidRPr="00ED6F9D">
        <w:rPr>
          <w:b/>
          <w:bCs/>
          <w:iCs/>
          <w:noProof/>
          <w:szCs w:val="18"/>
          <w:lang w:val="en-GB" w:eastAsia="en-GB"/>
        </w:rPr>
        <w:drawing>
          <wp:inline distT="0" distB="0" distL="0" distR="0" wp14:anchorId="2472D5A1" wp14:editId="043708A8">
            <wp:extent cx="5372735" cy="3113084"/>
            <wp:effectExtent l="0" t="0" r="0" b="0"/>
            <wp:docPr id="231" name="Picture 231" descr="P7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745#yIS1"/>
                    <pic:cNvPicPr>
                      <a:picLocks noChangeAspect="1" noChangeArrowheads="1"/>
                    </pic:cNvPicPr>
                  </pic:nvPicPr>
                  <pic:blipFill rotWithShape="1">
                    <a:blip r:embed="rId40">
                      <a:extLst>
                        <a:ext uri="{28A0092B-C50C-407E-A947-70E740481C1C}">
                          <a14:useLocalDpi xmlns:a14="http://schemas.microsoft.com/office/drawing/2010/main" val="0"/>
                        </a:ext>
                      </a:extLst>
                    </a:blip>
                    <a:srcRect l="958" t="1" r="-510" b="16644"/>
                    <a:stretch/>
                  </pic:blipFill>
                  <pic:spPr bwMode="auto">
                    <a:xfrm>
                      <a:off x="0" y="0"/>
                      <a:ext cx="5375781" cy="3114849"/>
                    </a:xfrm>
                    <a:prstGeom prst="rect">
                      <a:avLst/>
                    </a:prstGeom>
                    <a:noFill/>
                    <a:ln>
                      <a:noFill/>
                    </a:ln>
                    <a:extLst>
                      <a:ext uri="{53640926-AAD7-44D8-BBD7-CCE9431645EC}">
                        <a14:shadowObscured xmlns:a14="http://schemas.microsoft.com/office/drawing/2010/main"/>
                      </a:ext>
                    </a:extLst>
                  </pic:spPr>
                </pic:pic>
              </a:graphicData>
            </a:graphic>
          </wp:inline>
        </w:drawing>
      </w:r>
    </w:p>
    <w:p w14:paraId="29B20FFF" w14:textId="7879633C" w:rsidR="00D41841" w:rsidRDefault="00D41841" w:rsidP="00CB0654">
      <w:pPr>
        <w:pStyle w:val="TableDescription"/>
      </w:pPr>
      <w:r>
        <w:t xml:space="preserve">Abbreviations: BMI = body mass index, MedDRA </w:t>
      </w:r>
      <w:r w:rsidRPr="00E124AA">
        <w:t xml:space="preserve">= </w:t>
      </w:r>
      <w:r w:rsidR="00C35868" w:rsidRPr="00E124AA">
        <w:t>M</w:t>
      </w:r>
      <w:r w:rsidRPr="00E124AA">
        <w:t xml:space="preserve">edical </w:t>
      </w:r>
      <w:r w:rsidR="00C35868" w:rsidRPr="00E124AA">
        <w:t>D</w:t>
      </w:r>
      <w:r w:rsidRPr="00E124AA">
        <w:t xml:space="preserve">ictionary for </w:t>
      </w:r>
      <w:r w:rsidR="00C35868" w:rsidRPr="00E124AA">
        <w:t>R</w:t>
      </w:r>
      <w:r w:rsidRPr="00E124AA">
        <w:t xml:space="preserve">egulatory </w:t>
      </w:r>
      <w:r w:rsidR="00C35868" w:rsidRPr="00E124AA">
        <w:t>A</w:t>
      </w:r>
      <w:r w:rsidRPr="00E124AA">
        <w:t>ctivities</w:t>
      </w:r>
      <w:r>
        <w:t>;</w:t>
      </w:r>
      <w:r w:rsidR="00C41FF6">
        <w:rPr>
          <w:rFonts w:ascii="ZWAdobeF" w:hAnsi="ZWAdobeF" w:cs="ZWAdobeF"/>
          <w:sz w:val="2"/>
          <w:szCs w:val="2"/>
        </w:rPr>
        <w:t>34F</w:t>
      </w:r>
      <w:r w:rsidR="00C35868">
        <w:rPr>
          <w:rStyle w:val="FootnoteReference"/>
        </w:rPr>
        <w:footnoteReference w:id="35"/>
      </w:r>
      <w:r>
        <w:t xml:space="preserve">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w:t>
      </w:r>
    </w:p>
    <w:p w14:paraId="7C90B869" w14:textId="477701F5" w:rsidR="00CA0DC1" w:rsidRDefault="00CA0DC1" w:rsidP="00CB0654">
      <w:pPr>
        <w:pStyle w:val="TableDescription"/>
      </w:pPr>
      <w:r>
        <w:t xml:space="preserve">Notes: </w:t>
      </w:r>
      <w:r w:rsidR="008B5778">
        <w:t>Medical</w:t>
      </w:r>
      <w:r>
        <w:t xml:space="preserve"> history is coded using MedDRA, version 23.1.</w:t>
      </w:r>
    </w:p>
    <w:p w14:paraId="48A9AE32" w14:textId="77777777" w:rsidR="00CA0DC1" w:rsidRPr="00ED6F9D" w:rsidRDefault="00CA0DC1" w:rsidP="00345763">
      <w:pPr>
        <w:pStyle w:val="Heading6"/>
        <w:keepNext w:val="0"/>
      </w:pPr>
      <w:r w:rsidRPr="00ED6F9D">
        <w:t>Results</w:t>
      </w:r>
    </w:p>
    <w:p w14:paraId="462E09CA" w14:textId="28BF20B0" w:rsidR="00CA0DC1" w:rsidRPr="00ED6F9D" w:rsidRDefault="00CA0DC1" w:rsidP="00345763">
      <w:r w:rsidRPr="00ED6F9D">
        <w:t xml:space="preserve">The FAS excluded 289 (1%) subjects (195 </w:t>
      </w:r>
      <w:r>
        <w:t>(</w:t>
      </w:r>
      <w:r w:rsidRPr="00ED6F9D">
        <w:t>1%</w:t>
      </w:r>
      <w:r>
        <w:t>)</w:t>
      </w:r>
      <w:r w:rsidRPr="00ED6F9D">
        <w:t xml:space="preserve"> in the </w:t>
      </w:r>
      <w:proofErr w:type="spellStart"/>
      <w:r w:rsidRPr="00ED6F9D">
        <w:t>N</w:t>
      </w:r>
      <w:r>
        <w:t>uvaxovid</w:t>
      </w:r>
      <w:proofErr w:type="spellEnd"/>
      <w:r w:rsidRPr="00ED6F9D">
        <w:t xml:space="preserve"> group and 94 </w:t>
      </w:r>
      <w:r>
        <w:t>(</w:t>
      </w:r>
      <w:r w:rsidRPr="00ED6F9D">
        <w:t>0.9%</w:t>
      </w:r>
      <w:r>
        <w:t>)</w:t>
      </w:r>
      <w:r w:rsidRPr="00ED6F9D">
        <w:t xml:space="preserve"> in the placebo group)</w:t>
      </w:r>
      <w:r>
        <w:t xml:space="preserve">. </w:t>
      </w:r>
      <w:r w:rsidRPr="00ED6F9D">
        <w:t xml:space="preserve">Study discontinuation occurred in 1619 (8.1%) in the </w:t>
      </w:r>
      <w:proofErr w:type="spellStart"/>
      <w:r>
        <w:t>Nuvaxovid</w:t>
      </w:r>
      <w:proofErr w:type="spellEnd"/>
      <w:r w:rsidRPr="00ED6F9D">
        <w:t xml:space="preserve"> group and 1391 (13.9%) in the placebo group, most frequently due to withdrawal by subjects (</w:t>
      </w:r>
      <w:proofErr w:type="spellStart"/>
      <w:r>
        <w:t>Nuvaxovid</w:t>
      </w:r>
      <w:proofErr w:type="spellEnd"/>
      <w:r w:rsidRPr="00ED6F9D">
        <w:t xml:space="preserve"> 5.5%, placebo 11%).</w:t>
      </w:r>
      <w:r>
        <w:t xml:space="preserve"> </w:t>
      </w:r>
      <w:r w:rsidRPr="00ED6F9D">
        <w:t xml:space="preserve">Fourteen subjects were excluded due to having received </w:t>
      </w:r>
      <w:proofErr w:type="spellStart"/>
      <w:r>
        <w:t>Nuvaxovid</w:t>
      </w:r>
      <w:proofErr w:type="spellEnd"/>
      <w:r w:rsidRPr="00ED6F9D">
        <w:t xml:space="preserve"> from single</w:t>
      </w:r>
      <w:r>
        <w:t xml:space="preserve"> </w:t>
      </w:r>
      <w:r w:rsidRPr="00ED6F9D">
        <w:t>dose vials rather than the multidose vial.</w:t>
      </w:r>
    </w:p>
    <w:p w14:paraId="6F3A6531" w14:textId="3909D881" w:rsidR="00CA0DC1" w:rsidRPr="00ED6F9D" w:rsidRDefault="00CA0DC1" w:rsidP="00345763">
      <w:r w:rsidRPr="00ED6F9D">
        <w:t xml:space="preserve">The PP-EFF </w:t>
      </w:r>
      <w:r>
        <w:t>a</w:t>
      </w:r>
      <w:r w:rsidRPr="00ED6F9D">
        <w:t xml:space="preserve">nalysis </w:t>
      </w:r>
      <w:r>
        <w:t>s</w:t>
      </w:r>
      <w:r w:rsidRPr="00ED6F9D">
        <w:t xml:space="preserve">et excluded 4497 (15%) subjects (2653 </w:t>
      </w:r>
      <w:r>
        <w:t>(</w:t>
      </w:r>
      <w:r w:rsidRPr="00ED6F9D">
        <w:t>13.3%</w:t>
      </w:r>
      <w:r>
        <w:t>)</w:t>
      </w:r>
      <w:r w:rsidRPr="00ED6F9D">
        <w:t xml:space="preserve"> in the </w:t>
      </w:r>
      <w:proofErr w:type="spellStart"/>
      <w:r>
        <w:t>Nuvaxovid</w:t>
      </w:r>
      <w:proofErr w:type="spellEnd"/>
      <w:r w:rsidRPr="00ED6F9D">
        <w:t xml:space="preserve"> group and 1844 </w:t>
      </w:r>
      <w:r>
        <w:t>(</w:t>
      </w:r>
      <w:r w:rsidRPr="00ED6F9D">
        <w:t>18.5%</w:t>
      </w:r>
      <w:r>
        <w:t>)</w:t>
      </w:r>
      <w:r w:rsidRPr="00ED6F9D">
        <w:t xml:space="preserve"> in the placebo group). The most frequent (incidence &gt; 2% in any vaccine group) reasons for exclusion were baseline positive anti-NP result (5.6%), censored prior to observation period (4.5%), did not complete vaccination schedule (4.0%), and protocol deviation (3.3%).</w:t>
      </w:r>
    </w:p>
    <w:p w14:paraId="2E490EB3" w14:textId="49C39BEA" w:rsidR="00CA0DC1" w:rsidRPr="00ED6F9D" w:rsidRDefault="00CA0DC1" w:rsidP="00345763">
      <w:pPr>
        <w:rPr>
          <w:rFonts w:eastAsia="Calibri"/>
        </w:rPr>
      </w:pPr>
      <w:r w:rsidRPr="00ED6F9D">
        <w:rPr>
          <w:rFonts w:eastAsia="Calibri"/>
        </w:rPr>
        <w:t xml:space="preserve">The final data </w:t>
      </w:r>
      <w:proofErr w:type="spellStart"/>
      <w:r w:rsidRPr="00ED6F9D">
        <w:rPr>
          <w:rFonts w:eastAsia="Calibri"/>
        </w:rPr>
        <w:t>cutoff</w:t>
      </w:r>
      <w:proofErr w:type="spellEnd"/>
      <w:r w:rsidRPr="00ED6F9D">
        <w:rPr>
          <w:rFonts w:eastAsia="Calibri"/>
        </w:rPr>
        <w:t xml:space="preserve"> date of the efficacy analysis was 1 June 2021. The study remains ongoing through approximately </w:t>
      </w:r>
      <w:r>
        <w:rPr>
          <w:rFonts w:eastAsia="Calibri"/>
        </w:rPr>
        <w:t>two</w:t>
      </w:r>
      <w:r w:rsidRPr="00ED6F9D">
        <w:rPr>
          <w:rFonts w:eastAsia="Calibri"/>
        </w:rPr>
        <w:t xml:space="preserve"> year</w:t>
      </w:r>
      <w:r>
        <w:rPr>
          <w:rFonts w:eastAsia="Calibri"/>
        </w:rPr>
        <w:t>s</w:t>
      </w:r>
      <w:r w:rsidRPr="00ED6F9D">
        <w:rPr>
          <w:rFonts w:eastAsia="Calibri"/>
        </w:rPr>
        <w:t xml:space="preserve"> follow</w:t>
      </w:r>
      <w:r>
        <w:rPr>
          <w:rFonts w:eastAsia="Calibri"/>
        </w:rPr>
        <w:t xml:space="preserve"> </w:t>
      </w:r>
      <w:r w:rsidRPr="00ED6F9D">
        <w:rPr>
          <w:rFonts w:eastAsia="Calibri"/>
        </w:rPr>
        <w:t>up from the Day 21 injection.</w:t>
      </w:r>
    </w:p>
    <w:p w14:paraId="43C5B348" w14:textId="59ECBE3B" w:rsidR="00CA0DC1" w:rsidRPr="00CA0DC1" w:rsidRDefault="00CA0DC1" w:rsidP="00345763">
      <w:pPr>
        <w:pStyle w:val="Heading7"/>
        <w:keepNext w:val="0"/>
        <w:rPr>
          <w:rFonts w:eastAsia="Calibri"/>
          <w:sz w:val="22"/>
          <w:szCs w:val="28"/>
        </w:rPr>
      </w:pPr>
      <w:r w:rsidRPr="00CA0DC1">
        <w:rPr>
          <w:rFonts w:eastAsia="Calibri"/>
          <w:sz w:val="22"/>
          <w:szCs w:val="28"/>
        </w:rPr>
        <w:t xml:space="preserve">Primary </w:t>
      </w:r>
      <w:r w:rsidR="008B2435">
        <w:rPr>
          <w:rFonts w:eastAsia="Calibri"/>
          <w:sz w:val="22"/>
          <w:szCs w:val="28"/>
        </w:rPr>
        <w:t>e</w:t>
      </w:r>
      <w:r w:rsidRPr="00CA0DC1">
        <w:rPr>
          <w:rFonts w:eastAsia="Calibri"/>
          <w:sz w:val="22"/>
          <w:szCs w:val="28"/>
        </w:rPr>
        <w:t xml:space="preserve">ndpoint </w:t>
      </w:r>
      <w:r w:rsidR="008B2435">
        <w:rPr>
          <w:rFonts w:eastAsia="Calibri"/>
          <w:sz w:val="22"/>
          <w:szCs w:val="28"/>
        </w:rPr>
        <w:t>r</w:t>
      </w:r>
      <w:r w:rsidRPr="00CA0DC1">
        <w:rPr>
          <w:rFonts w:eastAsia="Calibri"/>
          <w:sz w:val="22"/>
          <w:szCs w:val="28"/>
        </w:rPr>
        <w:t>esults</w:t>
      </w:r>
    </w:p>
    <w:p w14:paraId="127BAB39" w14:textId="5D4FD7AC" w:rsidR="00CA0DC1" w:rsidRPr="00ED6F9D" w:rsidRDefault="00CA0DC1" w:rsidP="00345763">
      <w:r w:rsidRPr="00ED6F9D">
        <w:t>After the protocol revision one single primary analysis was performed.</w:t>
      </w:r>
    </w:p>
    <w:p w14:paraId="2D6469EC" w14:textId="6A4AC9DA" w:rsidR="00CA0DC1" w:rsidRPr="00ED6F9D" w:rsidRDefault="00CA0DC1" w:rsidP="00345763">
      <w:r w:rsidRPr="00ED6F9D">
        <w:t xml:space="preserve">For the primary analysis of the primary endpoint, there were 77 cases. Of these cases, 14 (0.1%) were in the </w:t>
      </w:r>
      <w:proofErr w:type="spellStart"/>
      <w:r>
        <w:t>Nuvaxovid</w:t>
      </w:r>
      <w:proofErr w:type="spellEnd"/>
      <w:r w:rsidRPr="00ED6F9D">
        <w:t xml:space="preserve"> group and 63 (0.8%) were in the placebo group; all 14 cases </w:t>
      </w:r>
      <w:r w:rsidRPr="00ED6F9D">
        <w:lastRenderedPageBreak/>
        <w:t xml:space="preserve">in the </w:t>
      </w:r>
      <w:proofErr w:type="spellStart"/>
      <w:r>
        <w:t>Nuvaxovid</w:t>
      </w:r>
      <w:proofErr w:type="spellEnd"/>
      <w:r w:rsidRPr="00ED6F9D">
        <w:t xml:space="preserve"> group were mild in severity; 59 cases in the placebo group were mild or moderate and </w:t>
      </w:r>
      <w:r>
        <w:t>five</w:t>
      </w:r>
      <w:r w:rsidRPr="00ED6F9D">
        <w:t xml:space="preserve"> were severe. There were </w:t>
      </w:r>
      <w:r>
        <w:t>three</w:t>
      </w:r>
      <w:r w:rsidRPr="00ED6F9D">
        <w:t xml:space="preserve"> hospitalisations due to COVID-19 among the 77 per</w:t>
      </w:r>
      <w:r>
        <w:t xml:space="preserve"> </w:t>
      </w:r>
      <w:r w:rsidRPr="00ED6F9D">
        <w:t>protocol COVID-19 cases in this study. The resultant VE was 90.4% (95% CI: 82.88, 94.62), with a p</w:t>
      </w:r>
      <w:r>
        <w:t xml:space="preserve"> </w:t>
      </w:r>
      <w:r w:rsidRPr="00ED6F9D">
        <w:t>value of &lt;</w:t>
      </w:r>
      <w:r>
        <w:t> </w:t>
      </w:r>
      <w:r w:rsidRPr="00ED6F9D">
        <w:t>0.001 confirming the lower bound of the two</w:t>
      </w:r>
      <w:r>
        <w:t xml:space="preserve"> </w:t>
      </w:r>
      <w:r w:rsidRPr="00ED6F9D">
        <w:t>sided 95%</w:t>
      </w:r>
      <w:r w:rsidR="008B2435">
        <w:t> </w:t>
      </w:r>
      <w:r w:rsidRPr="00ED6F9D">
        <w:t>CI &gt;</w:t>
      </w:r>
      <w:r>
        <w:t> </w:t>
      </w:r>
      <w:r w:rsidRPr="00ED6F9D">
        <w:t>30% and meeting the prespecified study success criterion of the study.</w:t>
      </w:r>
    </w:p>
    <w:p w14:paraId="3EFD0DB9" w14:textId="0D3D8153" w:rsidR="00CA0DC1" w:rsidRDefault="002E495C" w:rsidP="00CB0654">
      <w:pPr>
        <w:pStyle w:val="TableTitle"/>
      </w:pPr>
      <w:r w:rsidRPr="002E495C">
        <w:t xml:space="preserve">Table </w:t>
      </w:r>
      <w:r w:rsidR="00344FF4">
        <w:fldChar w:fldCharType="begin"/>
      </w:r>
      <w:r w:rsidR="00344FF4">
        <w:instrText xml:space="preserve"> SEQ Table \* ARABIC </w:instrText>
      </w:r>
      <w:r w:rsidR="00344FF4">
        <w:fldChar w:fldCharType="separate"/>
      </w:r>
      <w:r w:rsidR="00C41FF6">
        <w:rPr>
          <w:noProof/>
        </w:rPr>
        <w:t>21</w:t>
      </w:r>
      <w:r w:rsidR="00344FF4">
        <w:rPr>
          <w:noProof/>
        </w:rPr>
        <w:fldChar w:fldCharType="end"/>
      </w:r>
      <w:r>
        <w:t xml:space="preserve">: </w:t>
      </w:r>
      <w:r w:rsidR="008B2435">
        <w:t xml:space="preserve">Study 2019nCoV-301 </w:t>
      </w:r>
      <w:r w:rsidRPr="00ED6F9D">
        <w:t xml:space="preserve">Vaccine </w:t>
      </w:r>
      <w:r>
        <w:t>e</w:t>
      </w:r>
      <w:r w:rsidRPr="00ED6F9D">
        <w:t xml:space="preserve">fficacy against </w:t>
      </w:r>
      <w:r>
        <w:t>polymerase chain reaction c</w:t>
      </w:r>
      <w:r w:rsidRPr="00ED6F9D">
        <w:t xml:space="preserve">onfirmed </w:t>
      </w:r>
      <w:r>
        <w:t>s</w:t>
      </w:r>
      <w:r w:rsidRPr="00ED6F9D">
        <w:t xml:space="preserve">ymptomatic </w:t>
      </w:r>
      <w:r>
        <w:t>m</w:t>
      </w:r>
      <w:r w:rsidRPr="00ED6F9D">
        <w:t xml:space="preserve">ild, </w:t>
      </w:r>
      <w:r>
        <w:t>m</w:t>
      </w:r>
      <w:r w:rsidRPr="00ED6F9D">
        <w:t xml:space="preserve">oderate, or </w:t>
      </w:r>
      <w:r>
        <w:t>s</w:t>
      </w:r>
      <w:r w:rsidRPr="00ED6F9D">
        <w:t xml:space="preserve">evere COVID-19 with </w:t>
      </w:r>
      <w:r>
        <w:t>o</w:t>
      </w:r>
      <w:r w:rsidRPr="00ED6F9D">
        <w:t xml:space="preserve">nset from at </w:t>
      </w:r>
      <w:r>
        <w:t>l</w:t>
      </w:r>
      <w:r w:rsidRPr="00ED6F9D">
        <w:t xml:space="preserve">east </w:t>
      </w:r>
      <w:r>
        <w:t>seven</w:t>
      </w:r>
      <w:r w:rsidRPr="00ED6F9D">
        <w:t xml:space="preserve"> </w:t>
      </w:r>
      <w:r>
        <w:t>d</w:t>
      </w:r>
      <w:r w:rsidRPr="00ED6F9D">
        <w:t xml:space="preserve">ays after </w:t>
      </w:r>
      <w:r>
        <w:t>s</w:t>
      </w:r>
      <w:r w:rsidRPr="00ED6F9D">
        <w:t xml:space="preserve">econd </w:t>
      </w:r>
      <w:r>
        <w:t>v</w:t>
      </w:r>
      <w:r w:rsidRPr="00ED6F9D">
        <w:t xml:space="preserve">accination in </w:t>
      </w:r>
      <w:r>
        <w:t>s</w:t>
      </w:r>
      <w:r w:rsidRPr="00ED6F9D">
        <w:t xml:space="preserve">erologically </w:t>
      </w:r>
      <w:r>
        <w:t>n</w:t>
      </w:r>
      <w:r w:rsidRPr="00ED6F9D">
        <w:t xml:space="preserve">egative </w:t>
      </w:r>
      <w:r>
        <w:t>a</w:t>
      </w:r>
      <w:r w:rsidRPr="00ED6F9D">
        <w:t xml:space="preserve">dult </w:t>
      </w:r>
      <w:r>
        <w:t>s</w:t>
      </w:r>
      <w:r w:rsidRPr="00ED6F9D">
        <w:t>ubjects (</w:t>
      </w:r>
      <w:r>
        <w:t>per protocol efficacy</w:t>
      </w:r>
      <w:r w:rsidRPr="00ED6F9D">
        <w:t xml:space="preserve"> </w:t>
      </w:r>
      <w:r>
        <w:t>a</w:t>
      </w:r>
      <w:r w:rsidRPr="00ED6F9D">
        <w:t xml:space="preserve">nalysis </w:t>
      </w:r>
      <w:r>
        <w:t>s</w:t>
      </w:r>
      <w:r w:rsidRPr="00ED6F9D">
        <w:t>et)</w:t>
      </w:r>
    </w:p>
    <w:p w14:paraId="2E416D73" w14:textId="392EC48C" w:rsidR="002E495C" w:rsidRDefault="002E495C" w:rsidP="00345763">
      <w:r w:rsidRPr="00ED6F9D">
        <w:rPr>
          <w:b/>
          <w:noProof/>
          <w:szCs w:val="18"/>
          <w:lang w:val="en-GB" w:eastAsia="en-GB"/>
        </w:rPr>
        <w:drawing>
          <wp:inline distT="0" distB="0" distL="0" distR="0" wp14:anchorId="35407D5F" wp14:editId="209B50E5">
            <wp:extent cx="5400020" cy="3343046"/>
            <wp:effectExtent l="0" t="0" r="0" b="0"/>
            <wp:docPr id="232" name="Picture 232" descr="P7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756#yIS1"/>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31000"/>
                              </a14:imgEffect>
                            </a14:imgLayer>
                          </a14:imgProps>
                        </a:ext>
                        <a:ext uri="{28A0092B-C50C-407E-A947-70E740481C1C}">
                          <a14:useLocalDpi xmlns:a14="http://schemas.microsoft.com/office/drawing/2010/main" val="0"/>
                        </a:ext>
                      </a:extLst>
                    </a:blip>
                    <a:srcRect b="36000"/>
                    <a:stretch/>
                  </pic:blipFill>
                  <pic:spPr bwMode="auto">
                    <a:xfrm>
                      <a:off x="0" y="0"/>
                      <a:ext cx="5400040" cy="3343058"/>
                    </a:xfrm>
                    <a:prstGeom prst="rect">
                      <a:avLst/>
                    </a:prstGeom>
                    <a:noFill/>
                    <a:ln>
                      <a:noFill/>
                    </a:ln>
                    <a:extLst>
                      <a:ext uri="{53640926-AAD7-44D8-BBD7-CCE9431645EC}">
                        <a14:shadowObscured xmlns:a14="http://schemas.microsoft.com/office/drawing/2010/main"/>
                      </a:ext>
                    </a:extLst>
                  </pic:spPr>
                </pic:pic>
              </a:graphicData>
            </a:graphic>
          </wp:inline>
        </w:drawing>
      </w:r>
    </w:p>
    <w:p w14:paraId="523713A3" w14:textId="798E7EEB" w:rsidR="002E495C" w:rsidRDefault="002E495C" w:rsidP="00CB0654">
      <w:pPr>
        <w:pStyle w:val="TableDescription"/>
      </w:pPr>
      <w:r>
        <w:t xml:space="preserve">Abbreviations: CI = confidence interval; COVID-19 = coronavirus disease 2019;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w:t>
      </w:r>
      <w:r w:rsidR="00D46107">
        <w:t>; PCR = polymerase chain reaction; VE = vaccine efficacy.</w:t>
      </w:r>
    </w:p>
    <w:p w14:paraId="038A60B6" w14:textId="5A9F051F" w:rsidR="00D46107" w:rsidRDefault="00D46107" w:rsidP="00CB0654">
      <w:pPr>
        <w:pStyle w:val="TableDescription"/>
      </w:pPr>
      <w:r w:rsidRPr="007B5A50">
        <w:rPr>
          <w:vertAlign w:val="superscript"/>
        </w:rPr>
        <w:t>1</w:t>
      </w:r>
      <w:r>
        <w:t xml:space="preserve"> Include participants with PCR confirmed infection who did not meet mild, moderate or severe COVID-19 criteria.</w:t>
      </w:r>
    </w:p>
    <w:p w14:paraId="219466E2" w14:textId="6CFD69F7" w:rsidR="00D46107" w:rsidRDefault="00D46107" w:rsidP="00CB0654">
      <w:pPr>
        <w:pStyle w:val="TableDescription"/>
      </w:pPr>
      <w:r w:rsidRPr="007B5A50">
        <w:rPr>
          <w:vertAlign w:val="superscript"/>
        </w:rPr>
        <w:t>2</w:t>
      </w:r>
      <w:r>
        <w:t xml:space="preserve"> Event = first occurrence of PCR confirmed mild, moderate or severe COVID-19 with onset of illness episode from at least seven days after second vaccination within the surveillance period.</w:t>
      </w:r>
    </w:p>
    <w:p w14:paraId="50D72915" w14:textId="2C7B4815" w:rsidR="00D46107" w:rsidRDefault="00D46107" w:rsidP="00CB0654">
      <w:pPr>
        <w:pStyle w:val="TableDescription"/>
      </w:pPr>
      <w:r w:rsidRPr="007B5A50">
        <w:rPr>
          <w:vertAlign w:val="superscript"/>
        </w:rPr>
        <w:t>3</w:t>
      </w:r>
      <w:r>
        <w:t xml:space="preserve"> Surveillance time was defined as the difference between the date at end of surveillance period (onset of first occurrence of event/censoring) and date at start of surveillance period (7 days after second injection) + 1.</w:t>
      </w:r>
    </w:p>
    <w:p w14:paraId="10891497" w14:textId="3903290D" w:rsidR="00D46107" w:rsidRDefault="00D46107" w:rsidP="00CB0654">
      <w:pPr>
        <w:pStyle w:val="TableDescription"/>
      </w:pPr>
      <w:r w:rsidRPr="007B5A50">
        <w:rPr>
          <w:vertAlign w:val="superscript"/>
        </w:rPr>
        <w:t>4</w:t>
      </w:r>
      <w:r>
        <w:t xml:space="preserve"> Modified Poisson regression with logarithmic link function,</w:t>
      </w:r>
      <w:r w:rsidR="006468D0">
        <w:fldChar w:fldCharType="begin"/>
      </w:r>
      <w:r w:rsidR="006468D0">
        <w:instrText xml:space="preserve"> NOTEREF _Ref92712130 \f \h </w:instrText>
      </w:r>
      <w:r w:rsidR="006468D0">
        <w:fldChar w:fldCharType="separate"/>
      </w:r>
      <w:r w:rsidR="00C41FF6" w:rsidRPr="00C41FF6">
        <w:rPr>
          <w:rStyle w:val="FootnoteReference"/>
        </w:rPr>
        <w:t>30</w:t>
      </w:r>
      <w:r w:rsidR="006468D0">
        <w:fldChar w:fldCharType="end"/>
      </w:r>
      <w:r>
        <w:t xml:space="preserve"> treatment group and strata as fixed effects and robust error variance </w:t>
      </w:r>
    </w:p>
    <w:p w14:paraId="1135E23B" w14:textId="1E44A118" w:rsidR="00D46107" w:rsidRDefault="00D46107" w:rsidP="00CB0654">
      <w:pPr>
        <w:pStyle w:val="TableDescription"/>
      </w:pPr>
      <w:r w:rsidRPr="007B5A50">
        <w:rPr>
          <w:vertAlign w:val="superscript"/>
        </w:rPr>
        <w:t>5</w:t>
      </w:r>
      <w:r>
        <w:t xml:space="preserve"> This p value corresponded to a one sided hypothesis test with significance level 0.025. If VE p value &lt; 0.025, then re</w:t>
      </w:r>
      <w:r w:rsidR="008B5778">
        <w:t>j</w:t>
      </w:r>
      <w:r>
        <w:t>ect H0: vaccine efficacy ≤ 30%.</w:t>
      </w:r>
    </w:p>
    <w:p w14:paraId="0C6D2941" w14:textId="6D1DB82E" w:rsidR="00D46107" w:rsidRDefault="00D46107" w:rsidP="00CB0654">
      <w:pPr>
        <w:pStyle w:val="TableDescription"/>
      </w:pPr>
      <w:r w:rsidRPr="007B5A50">
        <w:rPr>
          <w:vertAlign w:val="superscript"/>
        </w:rPr>
        <w:t>6</w:t>
      </w:r>
      <w:r>
        <w:t xml:space="preserve"> Cox-proportional hazard model with </w:t>
      </w:r>
      <w:proofErr w:type="spellStart"/>
      <w:r>
        <w:t>Efron’s</w:t>
      </w:r>
      <w:proofErr w:type="spellEnd"/>
      <w:r>
        <w:t xml:space="preserve"> method for tie handling with vaccine group and age strata. Hazard ratio was used to estimate relative risk.</w:t>
      </w:r>
    </w:p>
    <w:p w14:paraId="282FB174" w14:textId="53882F18" w:rsidR="00D46107" w:rsidRDefault="00D46107" w:rsidP="00CB0654">
      <w:pPr>
        <w:pStyle w:val="TableDescription"/>
      </w:pPr>
      <w:r w:rsidRPr="007B5A50">
        <w:rPr>
          <w:vertAlign w:val="superscript"/>
        </w:rPr>
        <w:t>7</w:t>
      </w:r>
      <w:r>
        <w:t xml:space="preserve"> This p value corresponded to a one-sided hypothesis test with significance level 0.025. If the VE p &lt; 0.025, then reject H0: VE ≤ 0%</w:t>
      </w:r>
    </w:p>
    <w:p w14:paraId="17DDFB80" w14:textId="3364EBCC" w:rsidR="00EE47A8" w:rsidRDefault="00EE47A8" w:rsidP="00345763">
      <w:pPr>
        <w:pStyle w:val="Heading7"/>
        <w:keepNext w:val="0"/>
        <w:rPr>
          <w:sz w:val="22"/>
          <w:szCs w:val="28"/>
        </w:rPr>
      </w:pPr>
      <w:r w:rsidRPr="00EE47A8">
        <w:rPr>
          <w:sz w:val="22"/>
          <w:szCs w:val="28"/>
        </w:rPr>
        <w:t xml:space="preserve">Secondary </w:t>
      </w:r>
      <w:r w:rsidR="008B2435">
        <w:rPr>
          <w:sz w:val="22"/>
          <w:szCs w:val="28"/>
        </w:rPr>
        <w:t>e</w:t>
      </w:r>
      <w:r w:rsidRPr="00EE47A8">
        <w:rPr>
          <w:sz w:val="22"/>
          <w:szCs w:val="28"/>
        </w:rPr>
        <w:t xml:space="preserve">ndpoint </w:t>
      </w:r>
      <w:r w:rsidR="008B2435">
        <w:rPr>
          <w:sz w:val="22"/>
          <w:szCs w:val="28"/>
        </w:rPr>
        <w:t>r</w:t>
      </w:r>
      <w:r w:rsidRPr="00EE47A8">
        <w:rPr>
          <w:sz w:val="22"/>
          <w:szCs w:val="28"/>
        </w:rPr>
        <w:t>esults</w:t>
      </w:r>
    </w:p>
    <w:p w14:paraId="715062F9" w14:textId="1067683B" w:rsidR="008B2435" w:rsidRPr="008B2435" w:rsidRDefault="008B2435" w:rsidP="00345763">
      <w:r>
        <w:t>Results for the secondary endpoints were:</w:t>
      </w:r>
    </w:p>
    <w:p w14:paraId="3A062E80" w14:textId="518D92DB" w:rsidR="00EE47A8" w:rsidRDefault="008B2435" w:rsidP="00345763">
      <w:pPr>
        <w:pStyle w:val="ListBullet"/>
      </w:pPr>
      <w:r>
        <w:t>for the f</w:t>
      </w:r>
      <w:r w:rsidR="00EE47A8">
        <w:t>irst episode of PCR</w:t>
      </w:r>
      <w:r w:rsidR="007615FB">
        <w:t xml:space="preserve"> </w:t>
      </w:r>
      <w:r w:rsidR="00EE47A8">
        <w:t>positive COVID-19, as defined under the primary endpoint, shown by gene sequencing to represent a variant not considered as a VOC/VOI according to the CDC variants classification</w:t>
      </w:r>
      <w:r>
        <w:t>:</w:t>
      </w:r>
      <w:r w:rsidR="0078020E">
        <w:fldChar w:fldCharType="begin"/>
      </w:r>
      <w:r w:rsidR="0078020E">
        <w:instrText xml:space="preserve"> NOTEREF _Ref92703385 \f \h </w:instrText>
      </w:r>
      <w:r w:rsidR="0078020E">
        <w:fldChar w:fldCharType="separate"/>
      </w:r>
      <w:r w:rsidR="00C41FF6" w:rsidRPr="00C41FF6">
        <w:rPr>
          <w:rStyle w:val="FootnoteReference"/>
        </w:rPr>
        <w:t>31</w:t>
      </w:r>
      <w:r w:rsidR="0078020E">
        <w:fldChar w:fldCharType="end"/>
      </w:r>
    </w:p>
    <w:p w14:paraId="1A32A58A" w14:textId="1DC3D99C" w:rsidR="00EE47A8" w:rsidRDefault="008B2435" w:rsidP="00345763">
      <w:pPr>
        <w:pStyle w:val="ListBullet2"/>
      </w:pPr>
      <w:r>
        <w:lastRenderedPageBreak/>
        <w:t>v</w:t>
      </w:r>
      <w:r w:rsidR="00EE47A8">
        <w:t>iral genetic sequences were available for 54 of 77 primary endpoint cases in the PP-EFF.</w:t>
      </w:r>
    </w:p>
    <w:p w14:paraId="24056C16" w14:textId="7D7FF489" w:rsidR="00EE47A8" w:rsidRDefault="008B2435" w:rsidP="00345763">
      <w:pPr>
        <w:pStyle w:val="ListBullet2"/>
      </w:pPr>
      <w:r>
        <w:t>t</w:t>
      </w:r>
      <w:r w:rsidR="00EE47A8">
        <w:t xml:space="preserve">en of these cases (zero in the </w:t>
      </w:r>
      <w:proofErr w:type="spellStart"/>
      <w:r w:rsidR="00EE47A8">
        <w:t>Nuvaxovid</w:t>
      </w:r>
      <w:proofErr w:type="spellEnd"/>
      <w:r w:rsidR="00EE47A8">
        <w:t xml:space="preserve"> group and ten (0.1%) in the placebo group) were prototype like and did not contain any of the mutations that would identify them as a VOC/VOI, including three that were moderate or severe. Resequencing of the PCR positive cases that had not initially yielded sequencing results resulted in an additional three mild cases with non-VOC/VOI sequences in the placebo group (for a total of 13 (0.2%) cases).</w:t>
      </w:r>
    </w:p>
    <w:p w14:paraId="7F10505F" w14:textId="30D514D2" w:rsidR="00EE47A8" w:rsidRDefault="008B2435" w:rsidP="00345763">
      <w:pPr>
        <w:pStyle w:val="ListBullet2"/>
      </w:pPr>
      <w:r>
        <w:t>t</w:t>
      </w:r>
      <w:r w:rsidR="00EE47A8">
        <w:t xml:space="preserve">he VE of </w:t>
      </w:r>
      <w:proofErr w:type="spellStart"/>
      <w:r w:rsidR="00EE47A8">
        <w:t>Nuvaxovid</w:t>
      </w:r>
      <w:proofErr w:type="spellEnd"/>
      <w:r w:rsidR="00EE47A8">
        <w:t xml:space="preserve"> to prevent symptomatic mild, moderate, or severe COVID-19 due to a SARS-CoV-2 variant not considered as a VOC/VOI in serologically negative (to SARS-CoV-2) adult subjects was 100% (95% CI: 80.8, 100; p &lt; 0.001), and 100% (95% CI: 85.8, 100) with the three additional sequenced cases.</w:t>
      </w:r>
    </w:p>
    <w:p w14:paraId="2FE8382F" w14:textId="1F79D7E8" w:rsidR="00EE47A8" w:rsidRDefault="008B2435" w:rsidP="00345763">
      <w:pPr>
        <w:pStyle w:val="ListBullet"/>
      </w:pPr>
      <w:r>
        <w:t>for the f</w:t>
      </w:r>
      <w:r w:rsidR="00EE47A8">
        <w:t>irst episode of PCR positive moderate or severe COVID-19, as defined under the primary endpoint</w:t>
      </w:r>
      <w:r>
        <w:t>:</w:t>
      </w:r>
    </w:p>
    <w:p w14:paraId="7AC03DA9" w14:textId="419E46F4" w:rsidR="00EE47A8" w:rsidRDefault="008B2435" w:rsidP="00345763">
      <w:pPr>
        <w:pStyle w:val="ListBullet2"/>
      </w:pPr>
      <w:r>
        <w:t>t</w:t>
      </w:r>
      <w:r w:rsidR="00EE47A8">
        <w:t>here were 14 cases of PCR confirmed symptomatic moderate or severe COVID</w:t>
      </w:r>
      <w:r>
        <w:noBreakHyphen/>
      </w:r>
      <w:r w:rsidR="00EE47A8">
        <w:t xml:space="preserve">19 with onset from at least seven days after second vaccination accrued for this analysis, with zero in the </w:t>
      </w:r>
      <w:proofErr w:type="spellStart"/>
      <w:r w:rsidR="00EE47A8">
        <w:t>Nuvaxovid</w:t>
      </w:r>
      <w:proofErr w:type="spellEnd"/>
      <w:r w:rsidR="00EE47A8">
        <w:t xml:space="preserve"> group and 14 (0.2%) in the placebo group. The resultant VE of </w:t>
      </w:r>
      <w:proofErr w:type="spellStart"/>
      <w:r w:rsidR="00EE47A8">
        <w:t>Nuvaxovid</w:t>
      </w:r>
      <w:proofErr w:type="spellEnd"/>
      <w:r w:rsidR="00EE47A8">
        <w:t xml:space="preserve"> to prevent symptomatic moderate or severe COVID</w:t>
      </w:r>
      <w:r>
        <w:noBreakHyphen/>
      </w:r>
      <w:r w:rsidR="00EE47A8">
        <w:t>19 in baseline seronegative (to-SARS-CoV-2) adult subjects was 100% (95% CI: 87, 100).</w:t>
      </w:r>
    </w:p>
    <w:p w14:paraId="3C0A6D63" w14:textId="3C57839E" w:rsidR="00EE47A8" w:rsidRDefault="00513650" w:rsidP="00345763">
      <w:pPr>
        <w:pStyle w:val="ListBullet"/>
      </w:pPr>
      <w:r>
        <w:t>for the f</w:t>
      </w:r>
      <w:r w:rsidR="00EE47A8">
        <w:t>irst episode of PCR positive COVID-19, as defined under the primary endpoint, shown by gene sequencing to represent a VOC/VOI according to the CDC variants classification</w:t>
      </w:r>
      <w:r>
        <w:t>:</w:t>
      </w:r>
      <w:r w:rsidR="0078020E">
        <w:fldChar w:fldCharType="begin"/>
      </w:r>
      <w:r w:rsidR="0078020E">
        <w:instrText xml:space="preserve"> NOTEREF _Ref92703385 \f \h </w:instrText>
      </w:r>
      <w:r w:rsidR="0078020E">
        <w:fldChar w:fldCharType="separate"/>
      </w:r>
      <w:r w:rsidR="00C41FF6" w:rsidRPr="00C41FF6">
        <w:rPr>
          <w:rStyle w:val="FootnoteReference"/>
        </w:rPr>
        <w:t>31</w:t>
      </w:r>
      <w:r w:rsidR="0078020E">
        <w:fldChar w:fldCharType="end"/>
      </w:r>
    </w:p>
    <w:p w14:paraId="77134581" w14:textId="0CEBDB25" w:rsidR="00EE47A8" w:rsidRDefault="00513650" w:rsidP="00345763">
      <w:pPr>
        <w:pStyle w:val="ListBullet2"/>
      </w:pPr>
      <w:r>
        <w:t>o</w:t>
      </w:r>
      <w:r w:rsidR="00EE47A8">
        <w:t>f the 276 cases with onset from first vaccination, 14 were virologically confirmed with at least one COVID-19 symptom and 262 were mild, moderate, or severe COVID-19.</w:t>
      </w:r>
      <w:r w:rsidR="0078020E">
        <w:fldChar w:fldCharType="begin"/>
      </w:r>
      <w:r w:rsidR="0078020E">
        <w:instrText xml:space="preserve"> NOTEREF _Ref92703509 \f \h </w:instrText>
      </w:r>
      <w:r w:rsidR="0078020E">
        <w:fldChar w:fldCharType="separate"/>
      </w:r>
      <w:r w:rsidR="00C41FF6" w:rsidRPr="00C41FF6">
        <w:rPr>
          <w:rStyle w:val="FootnoteReference"/>
        </w:rPr>
        <w:t>33</w:t>
      </w:r>
      <w:r w:rsidR="0078020E">
        <w:fldChar w:fldCharType="end"/>
      </w:r>
      <w:r w:rsidR="0078020E" w:rsidRPr="0078020E">
        <w:rPr>
          <w:vertAlign w:val="superscript"/>
        </w:rPr>
        <w:t>,</w:t>
      </w:r>
      <w:r w:rsidR="0078020E">
        <w:fldChar w:fldCharType="begin"/>
      </w:r>
      <w:r w:rsidR="0078020E">
        <w:instrText xml:space="preserve"> NOTEREF _Ref92703512 \f \h </w:instrText>
      </w:r>
      <w:r w:rsidR="0078020E">
        <w:fldChar w:fldCharType="separate"/>
      </w:r>
      <w:r w:rsidR="00C41FF6" w:rsidRPr="00C41FF6">
        <w:rPr>
          <w:rStyle w:val="FootnoteReference"/>
        </w:rPr>
        <w:t>34</w:t>
      </w:r>
      <w:r w:rsidR="0078020E">
        <w:fldChar w:fldCharType="end"/>
      </w:r>
      <w:r w:rsidR="00EE47A8">
        <w:t xml:space="preserve"> Of the 262 PCR</w:t>
      </w:r>
      <w:r w:rsidR="0078020E">
        <w:t xml:space="preserve"> </w:t>
      </w:r>
      <w:r w:rsidR="00EE47A8">
        <w:t>positive cases of mild, moderate, or severe COVID-19, 203 had sequence data available as summarised. Of these, 82 were identified as VOC/VOI clades, lineages, or variants of SARS-CoV-2. The most common VOC were B.1.1.7 (Alpha), which occurred in 46 cases. During the period of case accrual, no cases of infection due to the B.1.617.2 (Delta) variant were identified.</w:t>
      </w:r>
    </w:p>
    <w:p w14:paraId="2A838410" w14:textId="54A9167A" w:rsidR="00EE47A8" w:rsidRDefault="00513650" w:rsidP="00345763">
      <w:pPr>
        <w:pStyle w:val="ListBullet2"/>
      </w:pPr>
      <w:r>
        <w:t>t</w:t>
      </w:r>
      <w:r w:rsidR="00EE47A8">
        <w:t>he cumulative incidence curve for any symptomatic infection following initial vaccination (</w:t>
      </w:r>
      <w:r w:rsidR="0078020E">
        <w:t xml:space="preserve">that is </w:t>
      </w:r>
      <w:r w:rsidR="007615FB">
        <w:t>first d</w:t>
      </w:r>
      <w:r w:rsidR="00EE47A8">
        <w:t xml:space="preserve">ose) in the FAS is shown in </w:t>
      </w:r>
      <w:r w:rsidR="0078020E">
        <w:fldChar w:fldCharType="begin" w:fldLock="1"/>
      </w:r>
      <w:r w:rsidR="0078020E">
        <w:instrText xml:space="preserve"> REF _Ref92703839 \h </w:instrText>
      </w:r>
      <w:r w:rsidR="0078020E">
        <w:fldChar w:fldCharType="separate"/>
      </w:r>
      <w:r w:rsidR="00AA298B" w:rsidRPr="0078020E">
        <w:t xml:space="preserve">Figure </w:t>
      </w:r>
      <w:r w:rsidR="00AA298B">
        <w:rPr>
          <w:noProof/>
        </w:rPr>
        <w:t>9</w:t>
      </w:r>
      <w:r w:rsidR="0078020E">
        <w:fldChar w:fldCharType="end"/>
      </w:r>
      <w:r w:rsidR="00EE47A8" w:rsidRPr="0078020E">
        <w:t>.</w:t>
      </w:r>
      <w:r w:rsidR="00EE47A8">
        <w:t xml:space="preserve"> This includes an additional 14 cases (</w:t>
      </w:r>
      <w:r w:rsidR="0078020E">
        <w:t>eight</w:t>
      </w:r>
      <w:r w:rsidR="00EE47A8">
        <w:t xml:space="preserve"> </w:t>
      </w:r>
      <w:proofErr w:type="spellStart"/>
      <w:r w:rsidR="0078020E">
        <w:t>Nuvaxovid</w:t>
      </w:r>
      <w:proofErr w:type="spellEnd"/>
      <w:r w:rsidR="00EE47A8">
        <w:t xml:space="preserve"> group and </w:t>
      </w:r>
      <w:r w:rsidR="0078020E">
        <w:t>six</w:t>
      </w:r>
      <w:r w:rsidR="00EE47A8">
        <w:t xml:space="preserve"> placebo group) compared to those classified as mild, moderate or severe COVID-19. Cumulative rates begin to diverge 14</w:t>
      </w:r>
      <w:r w:rsidR="0078020E">
        <w:t xml:space="preserve"> to </w:t>
      </w:r>
      <w:r w:rsidR="00EE47A8">
        <w:t xml:space="preserve">21 days after </w:t>
      </w:r>
      <w:r w:rsidR="00BC27A6">
        <w:t>first dose</w:t>
      </w:r>
      <w:r w:rsidR="00EE47A8">
        <w:t>.</w:t>
      </w:r>
    </w:p>
    <w:p w14:paraId="62F5FB5F" w14:textId="2DA50EAF" w:rsidR="0078020E" w:rsidRDefault="0078020E" w:rsidP="00693B43">
      <w:pPr>
        <w:pStyle w:val="FigureTitle"/>
        <w:keepNext w:val="0"/>
        <w:pageBreakBefore/>
      </w:pPr>
      <w:bookmarkStart w:id="82" w:name="_Ref92703839"/>
      <w:r w:rsidRPr="0078020E">
        <w:lastRenderedPageBreak/>
        <w:t xml:space="preserve">Figure </w:t>
      </w:r>
      <w:r w:rsidR="00344FF4">
        <w:fldChar w:fldCharType="begin"/>
      </w:r>
      <w:r w:rsidR="00344FF4">
        <w:instrText xml:space="preserve"> SEQ Figure \* ARABIC </w:instrText>
      </w:r>
      <w:r w:rsidR="00344FF4">
        <w:fldChar w:fldCharType="separate"/>
      </w:r>
      <w:r w:rsidR="00C41FF6">
        <w:rPr>
          <w:noProof/>
        </w:rPr>
        <w:t>9</w:t>
      </w:r>
      <w:r w:rsidR="00344FF4">
        <w:rPr>
          <w:noProof/>
        </w:rPr>
        <w:fldChar w:fldCharType="end"/>
      </w:r>
      <w:bookmarkEnd w:id="82"/>
      <w:r>
        <w:t xml:space="preserve">: </w:t>
      </w:r>
      <w:r w:rsidRPr="0078020E">
        <w:t>Study 2019nCoV-301</w:t>
      </w:r>
      <w:r>
        <w:t xml:space="preserve"> </w:t>
      </w:r>
      <w:r w:rsidRPr="0078020E">
        <w:t xml:space="preserve">Cumulative </w:t>
      </w:r>
      <w:r>
        <w:t>i</w:t>
      </w:r>
      <w:r w:rsidRPr="0078020E">
        <w:t xml:space="preserve">ncidence </w:t>
      </w:r>
      <w:r>
        <w:t>c</w:t>
      </w:r>
      <w:r w:rsidRPr="0078020E">
        <w:t xml:space="preserve">urve of </w:t>
      </w:r>
      <w:r>
        <w:t>a</w:t>
      </w:r>
      <w:r w:rsidRPr="0078020E">
        <w:t xml:space="preserve">ny </w:t>
      </w:r>
      <w:r>
        <w:t>s</w:t>
      </w:r>
      <w:r w:rsidRPr="0078020E">
        <w:t xml:space="preserve">ymptomatic SARS-CoV-2 </w:t>
      </w:r>
      <w:r>
        <w:t>i</w:t>
      </w:r>
      <w:r w:rsidRPr="0078020E">
        <w:t xml:space="preserve">nfection with </w:t>
      </w:r>
      <w:r>
        <w:t>o</w:t>
      </w:r>
      <w:r w:rsidRPr="0078020E">
        <w:t xml:space="preserve">nset from </w:t>
      </w:r>
      <w:r>
        <w:t>f</w:t>
      </w:r>
      <w:r w:rsidRPr="0078020E">
        <w:t xml:space="preserve">irst </w:t>
      </w:r>
      <w:r>
        <w:t>v</w:t>
      </w:r>
      <w:r w:rsidRPr="0078020E">
        <w:t>accination (</w:t>
      </w:r>
      <w:r>
        <w:t>f</w:t>
      </w:r>
      <w:r w:rsidRPr="0078020E">
        <w:t xml:space="preserve">ull </w:t>
      </w:r>
      <w:r>
        <w:t>a</w:t>
      </w:r>
      <w:r w:rsidRPr="0078020E">
        <w:t xml:space="preserve">nalysis </w:t>
      </w:r>
      <w:r>
        <w:t>s</w:t>
      </w:r>
      <w:r w:rsidRPr="0078020E">
        <w:t>et)</w:t>
      </w:r>
    </w:p>
    <w:p w14:paraId="4AF12350" w14:textId="2D4867F6" w:rsidR="0078020E" w:rsidRDefault="0078020E" w:rsidP="00345763">
      <w:r w:rsidRPr="00ED6F9D">
        <w:rPr>
          <w:noProof/>
          <w:lang w:val="en-GB" w:eastAsia="en-GB"/>
        </w:rPr>
        <w:drawing>
          <wp:inline distT="0" distB="0" distL="0" distR="0" wp14:anchorId="1051D7C2" wp14:editId="52BB18A7">
            <wp:extent cx="5332780" cy="3028050"/>
            <wp:effectExtent l="0" t="0" r="1270" b="1270"/>
            <wp:docPr id="233" name="Picture 233" descr="P7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777#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5417" cy="3029547"/>
                    </a:xfrm>
                    <a:prstGeom prst="rect">
                      <a:avLst/>
                    </a:prstGeom>
                    <a:noFill/>
                  </pic:spPr>
                </pic:pic>
              </a:graphicData>
            </a:graphic>
          </wp:inline>
        </w:drawing>
      </w:r>
    </w:p>
    <w:p w14:paraId="0C1024B0" w14:textId="24B02DD9" w:rsidR="0078020E" w:rsidRPr="00ED6F9D" w:rsidRDefault="0078020E" w:rsidP="00CB0654">
      <w:pPr>
        <w:pStyle w:val="TableDescription"/>
        <w:rPr>
          <w:lang w:eastAsia="ja-JP"/>
        </w:rPr>
      </w:pPr>
      <w:r w:rsidRPr="00ED6F9D">
        <w:rPr>
          <w:lang w:eastAsia="ja-JP"/>
        </w:rPr>
        <w:t xml:space="preserve">Event = Any </w:t>
      </w:r>
      <w:r w:rsidR="00BC27A6">
        <w:rPr>
          <w:lang w:eastAsia="ja-JP"/>
        </w:rPr>
        <w:t xml:space="preserve">PCR </w:t>
      </w:r>
      <w:r>
        <w:rPr>
          <w:lang w:eastAsia="ja-JP"/>
        </w:rPr>
        <w:t>c</w:t>
      </w:r>
      <w:r w:rsidRPr="00ED6F9D">
        <w:rPr>
          <w:lang w:eastAsia="ja-JP"/>
        </w:rPr>
        <w:t xml:space="preserve">onfirmed symptomatic SARS-COV-2 infection with </w:t>
      </w:r>
      <w:r>
        <w:rPr>
          <w:lang w:eastAsia="ja-JP"/>
        </w:rPr>
        <w:t>o</w:t>
      </w:r>
      <w:r w:rsidRPr="00ED6F9D">
        <w:rPr>
          <w:lang w:eastAsia="ja-JP"/>
        </w:rPr>
        <w:t xml:space="preserve">nset after the </w:t>
      </w:r>
      <w:r>
        <w:rPr>
          <w:lang w:eastAsia="ja-JP"/>
        </w:rPr>
        <w:t>f</w:t>
      </w:r>
      <w:r w:rsidRPr="00ED6F9D">
        <w:rPr>
          <w:lang w:eastAsia="ja-JP"/>
        </w:rPr>
        <w:t xml:space="preserve">irst </w:t>
      </w:r>
      <w:r>
        <w:rPr>
          <w:lang w:eastAsia="ja-JP"/>
        </w:rPr>
        <w:t>v</w:t>
      </w:r>
      <w:r w:rsidRPr="00ED6F9D">
        <w:rPr>
          <w:lang w:eastAsia="ja-JP"/>
        </w:rPr>
        <w:t xml:space="preserve">accination within the </w:t>
      </w:r>
      <w:r>
        <w:rPr>
          <w:lang w:eastAsia="ja-JP"/>
        </w:rPr>
        <w:t>s</w:t>
      </w:r>
      <w:r w:rsidRPr="00ED6F9D">
        <w:rPr>
          <w:lang w:eastAsia="ja-JP"/>
        </w:rPr>
        <w:t xml:space="preserve">urveillance </w:t>
      </w:r>
      <w:r>
        <w:rPr>
          <w:lang w:eastAsia="ja-JP"/>
        </w:rPr>
        <w:t>p</w:t>
      </w:r>
      <w:r w:rsidRPr="00ED6F9D">
        <w:rPr>
          <w:lang w:eastAsia="ja-JP"/>
        </w:rPr>
        <w:t>eriod. Surveillance period from first vaccination and up to 12 months after the last vaccination. Subjects are censored at the earliest of (</w:t>
      </w:r>
      <w:proofErr w:type="spellStart"/>
      <w:r w:rsidRPr="00ED6F9D">
        <w:rPr>
          <w:lang w:eastAsia="ja-JP"/>
        </w:rPr>
        <w:t>i</w:t>
      </w:r>
      <w:proofErr w:type="spellEnd"/>
      <w:r w:rsidRPr="00ED6F9D">
        <w:rPr>
          <w:lang w:eastAsia="ja-JP"/>
        </w:rPr>
        <w:t>)cut-off date(</w:t>
      </w:r>
      <w:r>
        <w:rPr>
          <w:lang w:eastAsia="ja-JP"/>
        </w:rPr>
        <w:t xml:space="preserve">I </w:t>
      </w:r>
      <w:r w:rsidRPr="00ED6F9D">
        <w:rPr>
          <w:lang w:eastAsia="ja-JP"/>
        </w:rPr>
        <w:t>J</w:t>
      </w:r>
      <w:r>
        <w:rPr>
          <w:lang w:eastAsia="ja-JP"/>
        </w:rPr>
        <w:t xml:space="preserve">une </w:t>
      </w:r>
      <w:r w:rsidRPr="00ED6F9D">
        <w:rPr>
          <w:lang w:eastAsia="ja-JP"/>
        </w:rPr>
        <w:t>2021), (ii)date of death, (iii)date of unblinding (including for intended receipt of alternative COVID-19 vaccine), (iv)early withdrawal, or (v) crossover</w:t>
      </w:r>
      <w:r>
        <w:rPr>
          <w:lang w:eastAsia="ja-JP"/>
        </w:rPr>
        <w:t>.</w:t>
      </w:r>
    </w:p>
    <w:p w14:paraId="10949C67" w14:textId="354E1B78" w:rsidR="0078020E" w:rsidRDefault="0078020E" w:rsidP="00345763">
      <w:r>
        <w:t xml:space="preserve">In the PP-EFF analysis set, 44 cases (six in the </w:t>
      </w:r>
      <w:proofErr w:type="spellStart"/>
      <w:r>
        <w:t>Nuvaxovid</w:t>
      </w:r>
      <w:proofErr w:type="spellEnd"/>
      <w:r>
        <w:t xml:space="preserve"> group and 38 in the placebo group) had mutations that would identify them as a VOC or VOI. In the </w:t>
      </w:r>
      <w:proofErr w:type="spellStart"/>
      <w:r>
        <w:t>Nuvaxovid</w:t>
      </w:r>
      <w:proofErr w:type="spellEnd"/>
      <w:r>
        <w:t xml:space="preserve"> group, all six cases were mild in severity; in the placebo group, 9 of 38 cases were moderate or severe. The resultant VE of </w:t>
      </w:r>
      <w:proofErr w:type="spellStart"/>
      <w:r>
        <w:t>Nuvaxov</w:t>
      </w:r>
      <w:r w:rsidR="00245648">
        <w:t>id</w:t>
      </w:r>
      <w:proofErr w:type="spellEnd"/>
      <w:r>
        <w:t xml:space="preserve"> to prevent symptomatic mild, moderate, or severe COVID-19 due to a SARS-CoV-2 variant considered a VOC or VOI in baseline seronegative adult subjects was 93. 2% (95% CI: 83.9, 97.1), with a p</w:t>
      </w:r>
      <w:r w:rsidR="00245648">
        <w:t xml:space="preserve"> </w:t>
      </w:r>
      <w:r>
        <w:t>value &lt;</w:t>
      </w:r>
      <w:r w:rsidR="00245648">
        <w:t> </w:t>
      </w:r>
      <w:r>
        <w:t>0.001 confirming the lower bound of the one</w:t>
      </w:r>
      <w:r w:rsidR="00245648">
        <w:t xml:space="preserve"> </w:t>
      </w:r>
      <w:r>
        <w:t>sided 95% CI &gt; 0%.</w:t>
      </w:r>
    </w:p>
    <w:p w14:paraId="3040C4B4" w14:textId="0D0ECC8D" w:rsidR="0078020E" w:rsidRPr="00245648" w:rsidRDefault="0078020E" w:rsidP="00345763">
      <w:pPr>
        <w:pStyle w:val="Heading7"/>
        <w:keepNext w:val="0"/>
        <w:rPr>
          <w:sz w:val="22"/>
          <w:szCs w:val="28"/>
        </w:rPr>
      </w:pPr>
      <w:r w:rsidRPr="00245648">
        <w:rPr>
          <w:sz w:val="22"/>
          <w:szCs w:val="28"/>
        </w:rPr>
        <w:t>Subgroup analyses</w:t>
      </w:r>
    </w:p>
    <w:p w14:paraId="4DC901B0" w14:textId="18CB7104" w:rsidR="0078020E" w:rsidRDefault="0078020E" w:rsidP="00345763">
      <w:r>
        <w:t xml:space="preserve">The VEs of </w:t>
      </w:r>
      <w:proofErr w:type="spellStart"/>
      <w:r w:rsidR="00245648">
        <w:t>Nuvaxovid</w:t>
      </w:r>
      <w:proofErr w:type="spellEnd"/>
      <w:r>
        <w:t xml:space="preserve"> at the time of the final analysis of the primary endpoint, for which an adequate number of cases were identified, were consistent across major demographic and baseline characteristic subgroups and are shown in the </w:t>
      </w:r>
      <w:r w:rsidR="00245648">
        <w:fldChar w:fldCharType="begin" w:fldLock="1"/>
      </w:r>
      <w:r w:rsidR="00245648">
        <w:instrText xml:space="preserve"> REF _Ref92704008 \h </w:instrText>
      </w:r>
      <w:r w:rsidR="00245648">
        <w:fldChar w:fldCharType="separate"/>
      </w:r>
      <w:r w:rsidR="00AA298B">
        <w:t xml:space="preserve">Table </w:t>
      </w:r>
      <w:r w:rsidR="00AA298B">
        <w:rPr>
          <w:noProof/>
        </w:rPr>
        <w:t>22</w:t>
      </w:r>
      <w:r w:rsidR="00245648">
        <w:fldChar w:fldCharType="end"/>
      </w:r>
      <w:r>
        <w:t>. The relatively lower VE of 67.3% (95% CI: 18.7, 86.8) for subjects of Hispanic or Latino ethnicity was noted.</w:t>
      </w:r>
    </w:p>
    <w:p w14:paraId="4C58131A" w14:textId="24F43089" w:rsidR="00245648" w:rsidRPr="00ED6F9D" w:rsidRDefault="00245648" w:rsidP="00F441CA">
      <w:pPr>
        <w:pStyle w:val="TableTitle"/>
        <w:pageBreakBefore/>
      </w:pPr>
      <w:bookmarkStart w:id="83" w:name="_Ref92704008"/>
      <w:r>
        <w:lastRenderedPageBreak/>
        <w:t xml:space="preserve">Table </w:t>
      </w:r>
      <w:r w:rsidR="00344FF4">
        <w:fldChar w:fldCharType="begin"/>
      </w:r>
      <w:r w:rsidR="00344FF4">
        <w:instrText xml:space="preserve"> SEQ Table \* ARABIC </w:instrText>
      </w:r>
      <w:r w:rsidR="00344FF4">
        <w:fldChar w:fldCharType="separate"/>
      </w:r>
      <w:r w:rsidR="00C41FF6">
        <w:rPr>
          <w:noProof/>
        </w:rPr>
        <w:t>22</w:t>
      </w:r>
      <w:r w:rsidR="00344FF4">
        <w:rPr>
          <w:noProof/>
        </w:rPr>
        <w:fldChar w:fldCharType="end"/>
      </w:r>
      <w:bookmarkEnd w:id="83"/>
      <w:r>
        <w:t xml:space="preserve">: </w:t>
      </w:r>
      <w:r w:rsidR="00513650">
        <w:t xml:space="preserve">Study 2019nCoV-301 </w:t>
      </w:r>
      <w:r w:rsidRPr="00ED6F9D">
        <w:t xml:space="preserve">Subgroup </w:t>
      </w:r>
      <w:r>
        <w:t>a</w:t>
      </w:r>
      <w:r w:rsidRPr="00ED6F9D">
        <w:t xml:space="preserve">nalyses of </w:t>
      </w:r>
      <w:r>
        <w:t>v</w:t>
      </w:r>
      <w:r w:rsidRPr="00ED6F9D">
        <w:t xml:space="preserve">accine </w:t>
      </w:r>
      <w:r>
        <w:t>e</w:t>
      </w:r>
      <w:r w:rsidRPr="00ED6F9D">
        <w:t xml:space="preserve">fficacy against </w:t>
      </w:r>
      <w:r>
        <w:t>polymerase chain reaction c</w:t>
      </w:r>
      <w:r w:rsidRPr="00ED6F9D">
        <w:t xml:space="preserve">onfirmed </w:t>
      </w:r>
      <w:r>
        <w:t>s</w:t>
      </w:r>
      <w:r w:rsidRPr="00ED6F9D">
        <w:t xml:space="preserve">ymptomatic </w:t>
      </w:r>
      <w:r>
        <w:t>m</w:t>
      </w:r>
      <w:r w:rsidRPr="00ED6F9D">
        <w:t xml:space="preserve">ild, </w:t>
      </w:r>
      <w:r>
        <w:t>m</w:t>
      </w:r>
      <w:r w:rsidRPr="00ED6F9D">
        <w:t xml:space="preserve">oderate, or </w:t>
      </w:r>
      <w:r>
        <w:t>s</w:t>
      </w:r>
      <w:r w:rsidRPr="00ED6F9D">
        <w:t xml:space="preserve">evere COVID-19 with </w:t>
      </w:r>
      <w:r>
        <w:t>o</w:t>
      </w:r>
      <w:r w:rsidRPr="00ED6F9D">
        <w:t xml:space="preserve">nset from at </w:t>
      </w:r>
      <w:r>
        <w:t>l</w:t>
      </w:r>
      <w:r w:rsidRPr="00ED6F9D">
        <w:t xml:space="preserve">east </w:t>
      </w:r>
      <w:r>
        <w:t>seven</w:t>
      </w:r>
      <w:r w:rsidRPr="00ED6F9D">
        <w:t xml:space="preserve"> </w:t>
      </w:r>
      <w:r>
        <w:t>d</w:t>
      </w:r>
      <w:r w:rsidRPr="00ED6F9D">
        <w:t xml:space="preserve">ays after </w:t>
      </w:r>
      <w:r>
        <w:t>s</w:t>
      </w:r>
      <w:r w:rsidRPr="00ED6F9D">
        <w:t xml:space="preserve">econd </w:t>
      </w:r>
      <w:r>
        <w:t>v</w:t>
      </w:r>
      <w:r w:rsidRPr="00ED6F9D">
        <w:t xml:space="preserve">accination in </w:t>
      </w:r>
      <w:r>
        <w:t>s</w:t>
      </w:r>
      <w:r w:rsidRPr="00ED6F9D">
        <w:t xml:space="preserve">erologically </w:t>
      </w:r>
      <w:r>
        <w:t>n</w:t>
      </w:r>
      <w:r w:rsidRPr="00ED6F9D">
        <w:t xml:space="preserve">egative </w:t>
      </w:r>
      <w:r>
        <w:t>a</w:t>
      </w:r>
      <w:r w:rsidRPr="00ED6F9D">
        <w:t xml:space="preserve">dult </w:t>
      </w:r>
      <w:r>
        <w:t>s</w:t>
      </w:r>
      <w:r w:rsidRPr="00ED6F9D">
        <w:t>ubjects (</w:t>
      </w:r>
      <w:r>
        <w:t>per protocol efficacy analysis set</w:t>
      </w:r>
      <w:r w:rsidRPr="00ED6F9D">
        <w:t>)</w:t>
      </w:r>
    </w:p>
    <w:p w14:paraId="74DC4904" w14:textId="36223788" w:rsidR="00245648" w:rsidRDefault="00245648" w:rsidP="00345763">
      <w:r w:rsidRPr="00ED6F9D">
        <w:rPr>
          <w:rFonts w:eastAsia="Calibri"/>
          <w:noProof/>
          <w:sz w:val="24"/>
          <w:szCs w:val="24"/>
          <w:lang w:val="en-GB" w:eastAsia="en-GB"/>
        </w:rPr>
        <w:drawing>
          <wp:inline distT="0" distB="0" distL="0" distR="0" wp14:anchorId="0BF884E2" wp14:editId="01848199">
            <wp:extent cx="5295893" cy="4246630"/>
            <wp:effectExtent l="0" t="0" r="635" b="1905"/>
            <wp:docPr id="46" name="Picture 46" descr="P7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783#yIS1"/>
                    <pic:cNvPicPr>
                      <a:picLocks noChangeAspect="1" noChangeArrowheads="1"/>
                    </pic:cNvPicPr>
                  </pic:nvPicPr>
                  <pic:blipFill rotWithShape="1">
                    <a:blip r:embed="rId44">
                      <a:extLst>
                        <a:ext uri="{28A0092B-C50C-407E-A947-70E740481C1C}">
                          <a14:useLocalDpi xmlns:a14="http://schemas.microsoft.com/office/drawing/2010/main" val="0"/>
                        </a:ext>
                      </a:extLst>
                    </a:blip>
                    <a:srcRect b="21864"/>
                    <a:stretch/>
                  </pic:blipFill>
                  <pic:spPr bwMode="auto">
                    <a:xfrm>
                      <a:off x="0" y="0"/>
                      <a:ext cx="5297500" cy="4247918"/>
                    </a:xfrm>
                    <a:prstGeom prst="rect">
                      <a:avLst/>
                    </a:prstGeom>
                    <a:noFill/>
                    <a:ln>
                      <a:noFill/>
                    </a:ln>
                    <a:extLst>
                      <a:ext uri="{53640926-AAD7-44D8-BBD7-CCE9431645EC}">
                        <a14:shadowObscured xmlns:a14="http://schemas.microsoft.com/office/drawing/2010/main"/>
                      </a:ext>
                    </a:extLst>
                  </pic:spPr>
                </pic:pic>
              </a:graphicData>
            </a:graphic>
          </wp:inline>
        </w:drawing>
      </w:r>
    </w:p>
    <w:p w14:paraId="295A3368" w14:textId="4A671A2F" w:rsidR="00245648" w:rsidRDefault="00245648" w:rsidP="00CB0654">
      <w:pPr>
        <w:pStyle w:val="TableDescription"/>
      </w:pPr>
      <w:r>
        <w:t xml:space="preserve">Abbreviations: BMI = body mass index; CI = confidence interval; COVID-19 = coronavirus disease 2019;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 PCR = polymerase chain reaction; VE = vaccine efficacy.</w:t>
      </w:r>
    </w:p>
    <w:p w14:paraId="0472D9C7" w14:textId="1FBE372E" w:rsidR="00245648" w:rsidRDefault="00245648" w:rsidP="00CB0654">
      <w:pPr>
        <w:pStyle w:val="TableDescription"/>
      </w:pPr>
      <w:r w:rsidRPr="007B5A50">
        <w:rPr>
          <w:vertAlign w:val="superscript"/>
        </w:rPr>
        <w:t>1</w:t>
      </w:r>
      <w:r>
        <w:t xml:space="preserve"> Event = first occurrence of PCR confirmed mild, moderate or severe COVID-19 with onset of illness episode from at least seven days after second vaccination within the surveillance period.</w:t>
      </w:r>
    </w:p>
    <w:p w14:paraId="797B6643" w14:textId="5AB51CB7" w:rsidR="00245648" w:rsidRDefault="00245648" w:rsidP="00CB0654">
      <w:pPr>
        <w:pStyle w:val="TableDescription"/>
      </w:pPr>
      <w:r w:rsidRPr="007B5A50">
        <w:rPr>
          <w:vertAlign w:val="superscript"/>
        </w:rPr>
        <w:t>2</w:t>
      </w:r>
      <w:r>
        <w:t xml:space="preserve"> P value corresponded to a one sided hypothesis test with significance level of 0.025. If VE p value &lt; 0.025, then reject H0: VE ≤ 0%.</w:t>
      </w:r>
    </w:p>
    <w:p w14:paraId="77E752CE" w14:textId="015C12D2" w:rsidR="00245648" w:rsidRDefault="00245648" w:rsidP="00CB0654">
      <w:pPr>
        <w:pStyle w:val="TableDescription"/>
      </w:pPr>
      <w:r w:rsidRPr="007B5A50">
        <w:rPr>
          <w:vertAlign w:val="superscript"/>
        </w:rPr>
        <w:t>3</w:t>
      </w:r>
      <w:r>
        <w:t xml:space="preserve"> Based on log linear model of occurrence using modified Poisson regression with logarithmic link function,</w:t>
      </w:r>
      <w:r w:rsidR="006468D0">
        <w:fldChar w:fldCharType="begin"/>
      </w:r>
      <w:r w:rsidR="006468D0">
        <w:instrText xml:space="preserve"> NOTEREF _Ref92712130 \f \h </w:instrText>
      </w:r>
      <w:r w:rsidR="006468D0">
        <w:fldChar w:fldCharType="separate"/>
      </w:r>
      <w:r w:rsidR="00C41FF6" w:rsidRPr="00C41FF6">
        <w:rPr>
          <w:rStyle w:val="FootnoteReference"/>
        </w:rPr>
        <w:t>30</w:t>
      </w:r>
      <w:r w:rsidR="006468D0">
        <w:fldChar w:fldCharType="end"/>
      </w:r>
      <w:r>
        <w:t xml:space="preserve"> treatment group and strata (age-group and pooled region) as fixed effects and robust error variance fitted separately to each subgroup.</w:t>
      </w:r>
    </w:p>
    <w:p w14:paraId="5D0980E2" w14:textId="50A246C7" w:rsidR="00E31069" w:rsidRDefault="00245648" w:rsidP="00CB0654">
      <w:pPr>
        <w:pStyle w:val="TableDescription"/>
      </w:pPr>
      <w:r w:rsidRPr="007B5A50">
        <w:rPr>
          <w:vertAlign w:val="superscript"/>
        </w:rPr>
        <w:t>4</w:t>
      </w:r>
      <w:r>
        <w:t xml:space="preserve"> In the event when</w:t>
      </w:r>
      <w:r w:rsidR="003401DF">
        <w:t xml:space="preserve"> there were zero cases in either vaccine group or the total number of cases in both vaccine groups combined &lt; 5</w:t>
      </w:r>
      <w:r w:rsidR="00E31069">
        <w:t>, VE and 95% CI were estimated with 1-ratio of incidence rates using the exact method conditional on the total number of cases, NE = not estimate in the event the test for exact binomial proportion cannot be conducted.</w:t>
      </w:r>
    </w:p>
    <w:p w14:paraId="16E5BA85" w14:textId="55405830" w:rsidR="00245648" w:rsidRPr="00E31069" w:rsidRDefault="00245648" w:rsidP="00CB0654">
      <w:pPr>
        <w:pStyle w:val="TableDescription"/>
      </w:pPr>
      <w:r w:rsidRPr="007B5A50">
        <w:rPr>
          <w:vertAlign w:val="superscript"/>
        </w:rPr>
        <w:t>5</w:t>
      </w:r>
      <w:r>
        <w:t xml:space="preserve"> </w:t>
      </w:r>
      <w:r w:rsidR="00E31069">
        <w:t>Comorbidities: Obesity (BMI ≥ 30kg/m</w:t>
      </w:r>
      <w:r w:rsidR="00E31069" w:rsidRPr="00E31069">
        <w:rPr>
          <w:vertAlign w:val="superscript"/>
        </w:rPr>
        <w:t>2</w:t>
      </w:r>
      <w:r w:rsidR="00E31069">
        <w:t>), chronic kidney disease, chronic lung disease, cardiovascular disease, diabetes mellitus type 2.</w:t>
      </w:r>
    </w:p>
    <w:p w14:paraId="06314B1A" w14:textId="669C7E96" w:rsidR="00245648" w:rsidRDefault="00245648" w:rsidP="00CB0654">
      <w:pPr>
        <w:pStyle w:val="TableDescription"/>
      </w:pPr>
      <w:r w:rsidRPr="007B5A50">
        <w:rPr>
          <w:vertAlign w:val="superscript"/>
        </w:rPr>
        <w:t>6</w:t>
      </w:r>
      <w:r>
        <w:t xml:space="preserve"> </w:t>
      </w:r>
      <w:r w:rsidR="00E31069">
        <w:t xml:space="preserve">High risk </w:t>
      </w:r>
      <w:r w:rsidR="007B5A50">
        <w:t>adults were defined as 1) age ≥ 65 years with or without comorbidities and/or living or working conditions involving known frequent exposure to SARS-CoV-2 or to densely populated circumstances; 2) ages &gt; 65 years with comorbidities and/or living or working conditions involving known frequent exposure to SARS-CoV-2 or to densely populated circumstances.</w:t>
      </w:r>
    </w:p>
    <w:p w14:paraId="6E21A6CD" w14:textId="4A35FF93" w:rsidR="00965D2E" w:rsidRDefault="00965D2E" w:rsidP="00345763">
      <w:pPr>
        <w:pStyle w:val="Heading5"/>
        <w:keepNext w:val="0"/>
        <w:keepLines w:val="0"/>
      </w:pPr>
      <w:r w:rsidRPr="00D24551">
        <w:rPr>
          <w:rStyle w:val="Heading5Char"/>
        </w:rPr>
        <w:t>Study 2019nCoV-50</w:t>
      </w:r>
      <w:r w:rsidR="00D24551">
        <w:rPr>
          <w:rStyle w:val="Heading5Char"/>
        </w:rPr>
        <w:t>1</w:t>
      </w:r>
    </w:p>
    <w:p w14:paraId="1C090AE0" w14:textId="5DBB2597" w:rsidR="00965D2E" w:rsidRDefault="00965D2E" w:rsidP="00345763">
      <w:r>
        <w:t xml:space="preserve">Study 2019nCoV-501 is an ongoing Phase </w:t>
      </w:r>
      <w:proofErr w:type="spellStart"/>
      <w:r w:rsidR="00D24551">
        <w:t>II</w:t>
      </w:r>
      <w:r>
        <w:t>a</w:t>
      </w:r>
      <w:proofErr w:type="spellEnd"/>
      <w:r>
        <w:t>/b, randomi</w:t>
      </w:r>
      <w:r w:rsidR="00D24551">
        <w:t>s</w:t>
      </w:r>
      <w:r>
        <w:t>ed, observer</w:t>
      </w:r>
      <w:r w:rsidR="00D24551">
        <w:t xml:space="preserve"> </w:t>
      </w:r>
      <w:r>
        <w:t>blinded, placebo</w:t>
      </w:r>
      <w:r w:rsidR="00D24551">
        <w:t xml:space="preserve"> </w:t>
      </w:r>
      <w:r>
        <w:t xml:space="preserve">controlled trial evaluating the efficacy, immunogenicity, and safety of </w:t>
      </w:r>
      <w:proofErr w:type="spellStart"/>
      <w:r w:rsidR="00D24551">
        <w:t>Nuvaxovid</w:t>
      </w:r>
      <w:proofErr w:type="spellEnd"/>
      <w:r>
        <w:t xml:space="preserve"> (in </w:t>
      </w:r>
      <w:r w:rsidR="00D24551">
        <w:t>two</w:t>
      </w:r>
      <w:r>
        <w:t xml:space="preserve"> doses</w:t>
      </w:r>
      <w:r w:rsidR="00513650">
        <w:t>,</w:t>
      </w:r>
      <w:r>
        <w:t xml:space="preserve"> given 21 days apart) in adult HIV</w:t>
      </w:r>
      <w:r w:rsidR="00D24551">
        <w:t xml:space="preserve"> </w:t>
      </w:r>
      <w:r>
        <w:t>negative or HIV</w:t>
      </w:r>
      <w:r w:rsidR="00D24551">
        <w:t xml:space="preserve"> </w:t>
      </w:r>
      <w:r>
        <w:t>positive subjects conducted in South Africa.</w:t>
      </w:r>
    </w:p>
    <w:p w14:paraId="21F2E55B" w14:textId="52CD7CA0" w:rsidR="00965D2E" w:rsidRDefault="00513650" w:rsidP="00345763">
      <w:r>
        <w:lastRenderedPageBreak/>
        <w:t xml:space="preserve">Subjects who were </w:t>
      </w:r>
      <w:r w:rsidR="00965D2E">
        <w:t>HIV</w:t>
      </w:r>
      <w:r w:rsidR="00D24551">
        <w:t xml:space="preserve"> </w:t>
      </w:r>
      <w:r w:rsidR="00965D2E">
        <w:t>positive had to be medically stable, free of opportunistic infections in preceding year, HIV-1 viral load &lt;</w:t>
      </w:r>
      <w:r w:rsidR="00D24551">
        <w:t> </w:t>
      </w:r>
      <w:r w:rsidR="00965D2E">
        <w:t>1000 copies/</w:t>
      </w:r>
      <w:proofErr w:type="spellStart"/>
      <w:r w:rsidR="00965D2E">
        <w:t>mL</w:t>
      </w:r>
      <w:r w:rsidR="00D24551">
        <w:t>.</w:t>
      </w:r>
      <w:proofErr w:type="spellEnd"/>
    </w:p>
    <w:p w14:paraId="7E558D73" w14:textId="2C480713" w:rsidR="00965D2E" w:rsidRDefault="00965D2E" w:rsidP="00345763">
      <w:pPr>
        <w:pStyle w:val="Heading6"/>
        <w:keepNext w:val="0"/>
      </w:pPr>
      <w:r>
        <w:t xml:space="preserve">Primary </w:t>
      </w:r>
      <w:r w:rsidR="00513650">
        <w:t>o</w:t>
      </w:r>
      <w:r>
        <w:t>bjectives</w:t>
      </w:r>
    </w:p>
    <w:p w14:paraId="65F4E4CA" w14:textId="7366862E" w:rsidR="00513650" w:rsidRPr="00513650" w:rsidRDefault="00513650" w:rsidP="00345763">
      <w:r>
        <w:t>The primary objectives are:</w:t>
      </w:r>
    </w:p>
    <w:p w14:paraId="33207A3A" w14:textId="62442E28" w:rsidR="00965D2E" w:rsidRDefault="00513650" w:rsidP="00345763">
      <w:pPr>
        <w:pStyle w:val="ListBullet"/>
      </w:pPr>
      <w:r>
        <w:t>to e</w:t>
      </w:r>
      <w:r w:rsidR="00965D2E">
        <w:t xml:space="preserve">valuate </w:t>
      </w:r>
      <w:r>
        <w:t xml:space="preserve">the </w:t>
      </w:r>
      <w:r w:rsidR="00965D2E">
        <w:t xml:space="preserve">efficacy of </w:t>
      </w:r>
      <w:proofErr w:type="spellStart"/>
      <w:r w:rsidR="00D24551">
        <w:t>Nuvaxovid</w:t>
      </w:r>
      <w:proofErr w:type="spellEnd"/>
      <w:r w:rsidR="00965D2E">
        <w:t xml:space="preserve"> in preventing symptomatic, PCR</w:t>
      </w:r>
      <w:r w:rsidR="00D24551">
        <w:t xml:space="preserve"> </w:t>
      </w:r>
      <w:r w:rsidR="00965D2E">
        <w:t>confirmed COVID-19 in serologically negative (to SARS-CoV-2) adults, in a population inclusive of HIV</w:t>
      </w:r>
      <w:r w:rsidR="00D24551">
        <w:t xml:space="preserve"> </w:t>
      </w:r>
      <w:r w:rsidR="00965D2E">
        <w:t>negative and HIV</w:t>
      </w:r>
      <w:r w:rsidR="00D24551">
        <w:t xml:space="preserve"> </w:t>
      </w:r>
      <w:r w:rsidR="00965D2E">
        <w:t>positive individuals</w:t>
      </w:r>
      <w:r w:rsidR="008E6FB4">
        <w:t>.</w:t>
      </w:r>
    </w:p>
    <w:p w14:paraId="7FFDC9E0" w14:textId="6CAB8E98" w:rsidR="00965D2E" w:rsidRDefault="00513650" w:rsidP="00345763">
      <w:pPr>
        <w:pStyle w:val="ListBullet"/>
      </w:pPr>
      <w:r>
        <w:t>to d</w:t>
      </w:r>
      <w:r w:rsidR="00965D2E">
        <w:t xml:space="preserve">escribe the safety experience for </w:t>
      </w:r>
      <w:proofErr w:type="spellStart"/>
      <w:r w:rsidR="00D24551">
        <w:t>Nuvaxovid</w:t>
      </w:r>
      <w:proofErr w:type="spellEnd"/>
      <w:r w:rsidR="00965D2E">
        <w:t xml:space="preserve"> based on solicited short</w:t>
      </w:r>
      <w:r w:rsidR="00D24551">
        <w:t xml:space="preserve"> </w:t>
      </w:r>
      <w:r w:rsidR="00965D2E">
        <w:t xml:space="preserve">term reactogenicity (by toxicity grade) and by </w:t>
      </w:r>
      <w:r w:rsidR="00D24551">
        <w:t>adverse event (AE)</w:t>
      </w:r>
      <w:r w:rsidR="00965D2E">
        <w:t xml:space="preserve"> profile through Day 35 in all subjects regardless of baseline serostatus (stratified by baseline serostatus) (initial vaccination period).</w:t>
      </w:r>
    </w:p>
    <w:p w14:paraId="4636892A" w14:textId="2F57B636" w:rsidR="00965D2E" w:rsidRPr="00513650" w:rsidRDefault="00513650" w:rsidP="00345763">
      <w:r>
        <w:t>The primary e</w:t>
      </w:r>
      <w:r w:rsidR="00965D2E">
        <w:t>nd</w:t>
      </w:r>
      <w:r>
        <w:t>p</w:t>
      </w:r>
      <w:r w:rsidR="00965D2E">
        <w:t>oints</w:t>
      </w:r>
      <w:r>
        <w:t xml:space="preserve"> are:</w:t>
      </w:r>
    </w:p>
    <w:p w14:paraId="3538F496" w14:textId="4434B341" w:rsidR="00965D2E" w:rsidRDefault="00513650" w:rsidP="00345763">
      <w:pPr>
        <w:pStyle w:val="ListBullet"/>
      </w:pPr>
      <w:r>
        <w:t xml:space="preserve">polymerase </w:t>
      </w:r>
      <w:r w:rsidR="00D24551">
        <w:t xml:space="preserve">chain reaction </w:t>
      </w:r>
      <w:r w:rsidR="00965D2E">
        <w:t xml:space="preserve">confirmed SARS-CoV-2 infection with symptomatic mild, moderate or severe COVID-19 from </w:t>
      </w:r>
      <w:r w:rsidR="00D24551">
        <w:t>seven</w:t>
      </w:r>
      <w:r w:rsidR="00965D2E">
        <w:t xml:space="preserve"> days after </w:t>
      </w:r>
      <w:r w:rsidR="00D24551">
        <w:t>second d</w:t>
      </w:r>
      <w:r w:rsidR="00965D2E">
        <w:t>ose, analysed overall, until the endpoint event</w:t>
      </w:r>
      <w:r w:rsidR="00D24551">
        <w:t xml:space="preserve"> </w:t>
      </w:r>
      <w:r w:rsidR="00965D2E">
        <w:t>driven efficacy analysis is triggered by the occurrence of a pre</w:t>
      </w:r>
      <w:r w:rsidR="00D24551">
        <w:noBreakHyphen/>
      </w:r>
      <w:r w:rsidR="00965D2E">
        <w:t>specified number of blinded endpoints and/or at pre-specified time points during the initial vaccination period</w:t>
      </w:r>
      <w:r w:rsidR="008E6FB4">
        <w:t>.</w:t>
      </w:r>
    </w:p>
    <w:p w14:paraId="650C00A5" w14:textId="34CD9FE0" w:rsidR="00965D2E" w:rsidRDefault="00513650" w:rsidP="00345763">
      <w:pPr>
        <w:pStyle w:val="ListBullet"/>
      </w:pPr>
      <w:r>
        <w:t xml:space="preserve">the numbers </w:t>
      </w:r>
      <w:r w:rsidR="00965D2E">
        <w:t xml:space="preserve">and percentages of subjects with solicited AEs (local and systemic) for </w:t>
      </w:r>
      <w:r w:rsidR="00D24551">
        <w:t>seven</w:t>
      </w:r>
      <w:r w:rsidR="00965D2E">
        <w:t xml:space="preserve"> days following each vaccination by severity score, duration and peak intensity</w:t>
      </w:r>
      <w:r w:rsidR="008E6FB4">
        <w:t>.</w:t>
      </w:r>
    </w:p>
    <w:p w14:paraId="1881B833" w14:textId="4F7B375B" w:rsidR="00965D2E" w:rsidRPr="00E124AA" w:rsidRDefault="00513650" w:rsidP="00345763">
      <w:pPr>
        <w:pStyle w:val="ListBullet"/>
      </w:pPr>
      <w:r>
        <w:t xml:space="preserve">the numbers </w:t>
      </w:r>
      <w:r w:rsidR="00965D2E">
        <w:t xml:space="preserve">and percentages of subjects with unsolicited AEs (inclusive of </w:t>
      </w:r>
      <w:r w:rsidR="00D24551">
        <w:t>serious adverse events (</w:t>
      </w:r>
      <w:r w:rsidR="00965D2E">
        <w:t>SAE</w:t>
      </w:r>
      <w:r w:rsidR="00D24551">
        <w:t>)</w:t>
      </w:r>
      <w:r w:rsidR="00965D2E">
        <w:t xml:space="preserve">, </w:t>
      </w:r>
      <w:r w:rsidR="00D24551">
        <w:t>m</w:t>
      </w:r>
      <w:r w:rsidR="00D24551" w:rsidRPr="00D24551">
        <w:t xml:space="preserve">edically </w:t>
      </w:r>
      <w:r w:rsidR="00D24551">
        <w:t>a</w:t>
      </w:r>
      <w:r w:rsidR="00D24551" w:rsidRPr="00D24551">
        <w:t xml:space="preserve">ttended </w:t>
      </w:r>
      <w:r w:rsidR="00D24551">
        <w:t>a</w:t>
      </w:r>
      <w:r w:rsidR="00D24551" w:rsidRPr="00D24551">
        <w:t xml:space="preserve">dverse </w:t>
      </w:r>
      <w:r w:rsidR="00D24551">
        <w:t>e</w:t>
      </w:r>
      <w:r w:rsidR="00D24551" w:rsidRPr="00D24551">
        <w:t xml:space="preserve">vents </w:t>
      </w:r>
      <w:r w:rsidR="00D24551">
        <w:t>(</w:t>
      </w:r>
      <w:r w:rsidR="00965D2E">
        <w:t>MAAE</w:t>
      </w:r>
      <w:r w:rsidR="00D24551">
        <w:t>)</w:t>
      </w:r>
      <w:r w:rsidR="00965D2E">
        <w:t xml:space="preserve">, </w:t>
      </w:r>
      <w:r w:rsidR="00D7196E" w:rsidRPr="00D7196E">
        <w:t xml:space="preserve">adverse event of </w:t>
      </w:r>
      <w:r w:rsidR="00D7196E" w:rsidRPr="00E124AA">
        <w:t>special interest (</w:t>
      </w:r>
      <w:r w:rsidR="00965D2E" w:rsidRPr="00E124AA">
        <w:t>AESIs</w:t>
      </w:r>
      <w:r w:rsidR="00D7196E" w:rsidRPr="00E124AA">
        <w:t>)</w:t>
      </w:r>
      <w:r w:rsidR="00965D2E" w:rsidRPr="00E124AA">
        <w:t>) through Day 35 (</w:t>
      </w:r>
      <w:r w:rsidR="00D7196E" w:rsidRPr="00E124AA">
        <w:t>that is two</w:t>
      </w:r>
      <w:r w:rsidR="00965D2E" w:rsidRPr="00E124AA">
        <w:t xml:space="preserve"> weeks post</w:t>
      </w:r>
      <w:r w:rsidR="00D7196E" w:rsidRPr="00E124AA">
        <w:t xml:space="preserve"> second dose</w:t>
      </w:r>
      <w:r w:rsidR="00965D2E" w:rsidRPr="00E124AA">
        <w:t xml:space="preserve">) by </w:t>
      </w:r>
      <w:r w:rsidR="00E124AA" w:rsidRPr="00E124AA">
        <w:t>= Medical Dictionary for Regulatory Activities (</w:t>
      </w:r>
      <w:r w:rsidR="00965D2E" w:rsidRPr="00E124AA">
        <w:t>MedDRA</w:t>
      </w:r>
      <w:r w:rsidR="00E124AA" w:rsidRPr="00E124AA">
        <w:t>)</w:t>
      </w:r>
      <w:r w:rsidR="00965D2E" w:rsidRPr="00E124AA">
        <w:t xml:space="preserve"> classification, severity score and relatedness</w:t>
      </w:r>
      <w:r w:rsidR="00D7196E" w:rsidRPr="00E124AA">
        <w:t>.</w:t>
      </w:r>
    </w:p>
    <w:p w14:paraId="3E21D5F4" w14:textId="5D635369" w:rsidR="00513650" w:rsidRDefault="00513650" w:rsidP="00345763">
      <w:pPr>
        <w:pStyle w:val="Heading6"/>
        <w:keepNext w:val="0"/>
      </w:pPr>
      <w:r>
        <w:t>S</w:t>
      </w:r>
      <w:r w:rsidR="00965D2E">
        <w:t xml:space="preserve">econdary </w:t>
      </w:r>
      <w:r>
        <w:t>o</w:t>
      </w:r>
      <w:r w:rsidR="00965D2E">
        <w:t>bjectives</w:t>
      </w:r>
    </w:p>
    <w:p w14:paraId="4384327A" w14:textId="4683CD9E" w:rsidR="00965D2E" w:rsidRDefault="00513650" w:rsidP="00345763">
      <w:r>
        <w:t>The key secondary objective are:</w:t>
      </w:r>
    </w:p>
    <w:p w14:paraId="6C716874" w14:textId="77777777" w:rsidR="00D00210" w:rsidRDefault="00513650" w:rsidP="00345763">
      <w:pPr>
        <w:pStyle w:val="ListBullet"/>
      </w:pPr>
      <w:r>
        <w:t>to evaluate efficacy i</w:t>
      </w:r>
      <w:r w:rsidR="00965D2E">
        <w:t>n HIV</w:t>
      </w:r>
      <w:r w:rsidR="00D7196E">
        <w:t xml:space="preserve"> </w:t>
      </w:r>
      <w:r w:rsidR="00965D2E">
        <w:t>negative and HIV</w:t>
      </w:r>
      <w:r w:rsidR="00D7196E">
        <w:t xml:space="preserve"> </w:t>
      </w:r>
      <w:r w:rsidR="00965D2E">
        <w:t>positive subjects separately</w:t>
      </w:r>
      <w:r w:rsidR="008E6FB4">
        <w:t>.</w:t>
      </w:r>
    </w:p>
    <w:p w14:paraId="76EC4A4F" w14:textId="22CB4DB9" w:rsidR="00965D2E" w:rsidRDefault="00513650" w:rsidP="00345763">
      <w:pPr>
        <w:pStyle w:val="ListBullet"/>
      </w:pPr>
      <w:r>
        <w:t>to evaluate efficacy a</w:t>
      </w:r>
      <w:r w:rsidR="00965D2E">
        <w:t>gainst mild or moderate;</w:t>
      </w:r>
      <w:r w:rsidR="00D7196E">
        <w:t xml:space="preserve"> or</w:t>
      </w:r>
      <w:r w:rsidR="00965D2E">
        <w:t xml:space="preserve"> moderate or severe COVID-19</w:t>
      </w:r>
      <w:r w:rsidR="008E6FB4">
        <w:t>.</w:t>
      </w:r>
    </w:p>
    <w:p w14:paraId="61EBA9C4" w14:textId="2FE5C05A" w:rsidR="00965D2E" w:rsidRDefault="00513650" w:rsidP="00345763">
      <w:r>
        <w:t>Secondary endpoints are:</w:t>
      </w:r>
    </w:p>
    <w:p w14:paraId="28DCA1CA" w14:textId="1C111689" w:rsidR="00965D2E" w:rsidRDefault="00513650" w:rsidP="00345763">
      <w:pPr>
        <w:pStyle w:val="ListBullet"/>
      </w:pPr>
      <w:r>
        <w:t>p</w:t>
      </w:r>
      <w:r w:rsidR="00D7196E">
        <w:t xml:space="preserve">olymerase chain reaction </w:t>
      </w:r>
      <w:r w:rsidR="00965D2E">
        <w:t xml:space="preserve">confirmed SARS-CoV-2 infection with symptomatic mild, moderate or severe COVID-19 from </w:t>
      </w:r>
      <w:r w:rsidR="00D7196E">
        <w:t>seven</w:t>
      </w:r>
      <w:r w:rsidR="00965D2E">
        <w:t xml:space="preserve"> days after </w:t>
      </w:r>
      <w:r w:rsidR="00D7196E">
        <w:t>second dose</w:t>
      </w:r>
      <w:r w:rsidR="00965D2E">
        <w:t>; analysed separately rather than overall</w:t>
      </w:r>
      <w:r w:rsidR="008E6FB4">
        <w:t>.</w:t>
      </w:r>
    </w:p>
    <w:p w14:paraId="33379734" w14:textId="3036FC10" w:rsidR="00965D2E" w:rsidRDefault="00D7196E" w:rsidP="00345763">
      <w:pPr>
        <w:pStyle w:val="ListBullet"/>
      </w:pPr>
      <w:r>
        <w:t xml:space="preserve">Polymerase chain reaction </w:t>
      </w:r>
      <w:r w:rsidR="00965D2E">
        <w:t xml:space="preserve">confirmed SARS-CoV-2 infection with either symptomatic mild or moderate; OR symptomatic moderate to severe COVID-19 from </w:t>
      </w:r>
      <w:r>
        <w:t>seven</w:t>
      </w:r>
      <w:r w:rsidR="00965D2E">
        <w:t xml:space="preserve"> days after </w:t>
      </w:r>
      <w:r>
        <w:t>second dose</w:t>
      </w:r>
      <w:r w:rsidR="008E6FB4">
        <w:t>.</w:t>
      </w:r>
    </w:p>
    <w:p w14:paraId="76B0710A" w14:textId="55C11776" w:rsidR="00965D2E" w:rsidRDefault="00965D2E" w:rsidP="00345763">
      <w:r>
        <w:t>This study was primarily event</w:t>
      </w:r>
      <w:r w:rsidR="00D7196E">
        <w:t xml:space="preserve"> </w:t>
      </w:r>
      <w:r>
        <w:t>driven for its power calculations. It was calculated that 50</w:t>
      </w:r>
      <w:r w:rsidR="00274550">
        <w:t> </w:t>
      </w:r>
      <w:r>
        <w:t xml:space="preserve">primary endpoints along with an observed minimum VE of </w:t>
      </w:r>
      <w:r w:rsidR="00D7196E">
        <w:t>≥ </w:t>
      </w:r>
      <w:r>
        <w:t xml:space="preserve">65% would result in rejecting the null hypothesis of VE </w:t>
      </w:r>
      <w:r w:rsidR="00D7196E">
        <w:t>≤ </w:t>
      </w:r>
      <w:r>
        <w:t>30% with 90% power (this assumed an incident rate of COVID-19 of 2</w:t>
      </w:r>
      <w:r w:rsidR="00D7196E">
        <w:t xml:space="preserve"> to </w:t>
      </w:r>
      <w:r>
        <w:t xml:space="preserve">6% in the </w:t>
      </w:r>
      <w:r w:rsidR="00D7196E">
        <w:t>p</w:t>
      </w:r>
      <w:r>
        <w:t>lacebo group and a 90% evaluability rate in the PP-EFF population</w:t>
      </w:r>
      <w:r w:rsidR="00D7196E">
        <w:t>)</w:t>
      </w:r>
      <w:r>
        <w:t xml:space="preserve"> </w:t>
      </w:r>
      <w:r w:rsidR="00D7196E">
        <w:t>(</w:t>
      </w:r>
      <w:r>
        <w:t xml:space="preserve">accounting for attrition and/or baseline positive test for SARS-CoV-2). The study intended to enrol between 3200 and 4404 subjects divided into the </w:t>
      </w:r>
      <w:r w:rsidR="00D7196E">
        <w:t>two</w:t>
      </w:r>
      <w:r>
        <w:t xml:space="preserve"> study cohorts (2960 to 4164 HIV</w:t>
      </w:r>
      <w:r w:rsidR="00D7196E">
        <w:t xml:space="preserve"> </w:t>
      </w:r>
      <w:r>
        <w:t xml:space="preserve">negative </w:t>
      </w:r>
      <w:r w:rsidR="00D7196E">
        <w:t>(c</w:t>
      </w:r>
      <w:r>
        <w:t xml:space="preserve">ohort </w:t>
      </w:r>
      <w:r w:rsidR="00D7196E">
        <w:t>one)</w:t>
      </w:r>
      <w:r>
        <w:t xml:space="preserve"> and </w:t>
      </w:r>
      <w:r w:rsidR="00D7196E">
        <w:t xml:space="preserve">about </w:t>
      </w:r>
      <w:r>
        <w:t>240 HIV</w:t>
      </w:r>
      <w:r w:rsidR="00D7196E">
        <w:t xml:space="preserve"> </w:t>
      </w:r>
      <w:r>
        <w:t xml:space="preserve">positive </w:t>
      </w:r>
      <w:r w:rsidR="00D7196E">
        <w:t>(c</w:t>
      </w:r>
      <w:r>
        <w:t xml:space="preserve">ohort </w:t>
      </w:r>
      <w:r w:rsidR="00D7196E">
        <w:t>two)</w:t>
      </w:r>
      <w:r>
        <w:t>).</w:t>
      </w:r>
    </w:p>
    <w:p w14:paraId="69ED93F3" w14:textId="77777777" w:rsidR="00965D2E" w:rsidRDefault="00965D2E" w:rsidP="00F441CA">
      <w:pPr>
        <w:pStyle w:val="Heading6"/>
      </w:pPr>
      <w:r>
        <w:lastRenderedPageBreak/>
        <w:t xml:space="preserve">Statistical </w:t>
      </w:r>
      <w:r w:rsidRPr="00F441CA">
        <w:t>methods</w:t>
      </w:r>
    </w:p>
    <w:p w14:paraId="10232A41" w14:textId="6A9B7A0C" w:rsidR="00965D2E" w:rsidRDefault="00965D2E" w:rsidP="00345763">
      <w:r>
        <w:t xml:space="preserve">The estimated RR and its 95% CI were derived using Poisson regression with robust error variance. Hypothesis testing of the primary efficacy endpoint was carried out sequentially against </w:t>
      </w:r>
      <w:r w:rsidR="00D7196E">
        <w:t>two</w:t>
      </w:r>
      <w:r>
        <w:t xml:space="preserve"> pre-specified null hypotheses: VE </w:t>
      </w:r>
      <w:r w:rsidR="00D7196E">
        <w:t>≤ </w:t>
      </w:r>
      <w:r>
        <w:t xml:space="preserve">0% first (success criterion for primary endpoint), followed by VE </w:t>
      </w:r>
      <w:r w:rsidR="00D7196E">
        <w:t>≤ </w:t>
      </w:r>
      <w:r>
        <w:t>30% (more stringent success criterion).</w:t>
      </w:r>
    </w:p>
    <w:p w14:paraId="3018C2D3" w14:textId="58EEE673" w:rsidR="00965D2E" w:rsidRDefault="00965D2E" w:rsidP="00345763">
      <w:r>
        <w:t>The official event</w:t>
      </w:r>
      <w:r w:rsidR="00D7196E">
        <w:t xml:space="preserve"> </w:t>
      </w:r>
      <w:r>
        <w:t>driven analysis of the primary efficacy endpoints was triggered once at least 23 to 50 subjects with symptomatic COVID-19 had accrued. In addition to the official per</w:t>
      </w:r>
      <w:r w:rsidR="00D7196E">
        <w:t xml:space="preserve"> </w:t>
      </w:r>
      <w:r>
        <w:t>protocol analysis, it was intended that additional efficacy analyses could be conducted through 6 and 12 months follow</w:t>
      </w:r>
      <w:r w:rsidR="00D7196E">
        <w:t xml:space="preserve"> </w:t>
      </w:r>
      <w:r>
        <w:t>up (given the ongoing measurement of immunogenicity and safety endpoints during the study).</w:t>
      </w:r>
    </w:p>
    <w:p w14:paraId="40F6EFDF" w14:textId="6A20EADA" w:rsidR="00965D2E" w:rsidRDefault="00965D2E" w:rsidP="00345763">
      <w:r>
        <w:t xml:space="preserve">Secondary endpoints were accompanied by summaries of numbers and percentages with 95% CIs, both overall and per study </w:t>
      </w:r>
      <w:r w:rsidR="00D7196E">
        <w:t>c</w:t>
      </w:r>
      <w:r>
        <w:t xml:space="preserve">ohorts </w:t>
      </w:r>
      <w:r w:rsidR="00D7196E">
        <w:t>one</w:t>
      </w:r>
      <w:r>
        <w:t xml:space="preserve"> and </w:t>
      </w:r>
      <w:r w:rsidR="00D7196E">
        <w:t>two</w:t>
      </w:r>
      <w:r>
        <w:t>. Cumulative incidence curves were provided as exploratory analyses.</w:t>
      </w:r>
    </w:p>
    <w:p w14:paraId="5C5D01F8" w14:textId="6BADE44E" w:rsidR="00965D2E" w:rsidRDefault="00965D2E" w:rsidP="00345763">
      <w:pPr>
        <w:pStyle w:val="Heading6"/>
        <w:keepNext w:val="0"/>
      </w:pPr>
      <w:r>
        <w:t>Subject flow</w:t>
      </w:r>
    </w:p>
    <w:p w14:paraId="1CB12DE4" w14:textId="32A1C3F8" w:rsidR="00965D2E" w:rsidRDefault="00965D2E" w:rsidP="00345763">
      <w:r>
        <w:t>There were 6350 subjects screened, 4419 subjects were randomised (4173 HIV</w:t>
      </w:r>
      <w:r w:rsidR="00D7196E">
        <w:t xml:space="preserve"> </w:t>
      </w:r>
      <w:r>
        <w:t>negative and 246 HIV</w:t>
      </w:r>
      <w:r w:rsidR="00D7196E">
        <w:t xml:space="preserve"> </w:t>
      </w:r>
      <w:r>
        <w:t>positive)</w:t>
      </w:r>
      <w:r w:rsidR="00C337B8">
        <w:t xml:space="preserve"> (see </w:t>
      </w:r>
      <w:r w:rsidR="00C337B8">
        <w:fldChar w:fldCharType="begin" w:fldLock="1"/>
      </w:r>
      <w:r w:rsidR="00C337B8">
        <w:instrText xml:space="preserve"> REF _Ref92710604 \h </w:instrText>
      </w:r>
      <w:r w:rsidR="00C337B8">
        <w:fldChar w:fldCharType="separate"/>
      </w:r>
      <w:r w:rsidR="00AA298B" w:rsidRPr="00D7196E">
        <w:t xml:space="preserve">Table </w:t>
      </w:r>
      <w:r w:rsidR="00AA298B">
        <w:rPr>
          <w:noProof/>
        </w:rPr>
        <w:t>23</w:t>
      </w:r>
      <w:r w:rsidR="00C337B8">
        <w:fldChar w:fldCharType="end"/>
      </w:r>
      <w:r w:rsidR="00C337B8">
        <w:t>)</w:t>
      </w:r>
      <w:r>
        <w:t xml:space="preserve">. At the </w:t>
      </w:r>
      <w:proofErr w:type="spellStart"/>
      <w:r>
        <w:t>cutoff</w:t>
      </w:r>
      <w:proofErr w:type="spellEnd"/>
      <w:r>
        <w:t xml:space="preserve"> date, 4325 (97.9%) were continuing in follow</w:t>
      </w:r>
      <w:r w:rsidR="00D7196E">
        <w:t xml:space="preserve"> </w:t>
      </w:r>
      <w:r>
        <w:t xml:space="preserve">up and 94 (2.1%) had discontinued the study. The PP-EFF </w:t>
      </w:r>
      <w:r w:rsidR="00D7196E">
        <w:t>a</w:t>
      </w:r>
      <w:r>
        <w:t xml:space="preserve">nalysis </w:t>
      </w:r>
      <w:r w:rsidR="00D7196E">
        <w:t>s</w:t>
      </w:r>
      <w:r>
        <w:t xml:space="preserve">et included 2770 (62.7%) subjects. The most frequent reasons for exclusion from the PP-EFF </w:t>
      </w:r>
      <w:r w:rsidR="00D7196E">
        <w:t>a</w:t>
      </w:r>
      <w:r>
        <w:t xml:space="preserve">nalysis </w:t>
      </w:r>
      <w:r w:rsidR="00D7196E">
        <w:t>s</w:t>
      </w:r>
      <w:r>
        <w:t>et were positive PCR test or PCR</w:t>
      </w:r>
      <w:r w:rsidR="00D7196E">
        <w:t xml:space="preserve"> </w:t>
      </w:r>
      <w:r>
        <w:t xml:space="preserve">confirmed illness episode before </w:t>
      </w:r>
      <w:r w:rsidR="00D7196E">
        <w:t>seven</w:t>
      </w:r>
      <w:r>
        <w:t xml:space="preserve"> days after second </w:t>
      </w:r>
      <w:r w:rsidR="00D7196E">
        <w:t>dose</w:t>
      </w:r>
      <w:r>
        <w:t xml:space="preserve"> vaccination (n</w:t>
      </w:r>
      <w:r w:rsidR="00D7196E">
        <w:t xml:space="preserve"> </w:t>
      </w:r>
      <w:r>
        <w:t>=</w:t>
      </w:r>
      <w:r w:rsidR="00D7196E">
        <w:t xml:space="preserve"> </w:t>
      </w:r>
      <w:r>
        <w:t xml:space="preserve">1488, 33.7%) and missed </w:t>
      </w:r>
      <w:r w:rsidR="00D7196E">
        <w:t>one</w:t>
      </w:r>
      <w:r>
        <w:t xml:space="preserve"> dose of study vaccine (n</w:t>
      </w:r>
      <w:r w:rsidR="00D7196E">
        <w:t xml:space="preserve"> </w:t>
      </w:r>
      <w:r>
        <w:t>=</w:t>
      </w:r>
      <w:r w:rsidR="00D7196E">
        <w:t xml:space="preserve"> </w:t>
      </w:r>
      <w:r>
        <w:t>148,</w:t>
      </w:r>
      <w:r w:rsidR="00D7196E">
        <w:t xml:space="preserve"> </w:t>
      </w:r>
      <w:r>
        <w:t>3.3%).</w:t>
      </w:r>
    </w:p>
    <w:p w14:paraId="67AC3CD9" w14:textId="588E5A06" w:rsidR="00D7196E" w:rsidRDefault="00D7196E" w:rsidP="00CB0654">
      <w:pPr>
        <w:pStyle w:val="TableTitle"/>
      </w:pPr>
      <w:bookmarkStart w:id="84" w:name="_Ref92710604"/>
      <w:r w:rsidRPr="00D7196E">
        <w:t xml:space="preserve">Table </w:t>
      </w:r>
      <w:r w:rsidR="00344FF4">
        <w:fldChar w:fldCharType="begin"/>
      </w:r>
      <w:r w:rsidR="00344FF4">
        <w:instrText xml:space="preserve"> SEQ Table \* ARABIC </w:instrText>
      </w:r>
      <w:r w:rsidR="00344FF4">
        <w:fldChar w:fldCharType="separate"/>
      </w:r>
      <w:r w:rsidR="00C41FF6">
        <w:rPr>
          <w:noProof/>
        </w:rPr>
        <w:t>23</w:t>
      </w:r>
      <w:r w:rsidR="00344FF4">
        <w:rPr>
          <w:noProof/>
        </w:rPr>
        <w:fldChar w:fldCharType="end"/>
      </w:r>
      <w:bookmarkEnd w:id="84"/>
      <w:r>
        <w:t xml:space="preserve">: </w:t>
      </w:r>
      <w:r w:rsidR="00274550">
        <w:t xml:space="preserve">Study 2019nCoV-501 </w:t>
      </w:r>
      <w:r>
        <w:t>Subject screening and enrolment (all screen subjects analysis set)</w:t>
      </w:r>
    </w:p>
    <w:p w14:paraId="77D95713" w14:textId="24D6F3BD" w:rsidR="00D7196E" w:rsidRDefault="00D7196E" w:rsidP="00345763">
      <w:r w:rsidRPr="00ED6F9D">
        <w:rPr>
          <w:rFonts w:eastAsia="Calibri"/>
          <w:noProof/>
          <w:szCs w:val="24"/>
          <w:lang w:val="en-GB" w:eastAsia="en-GB"/>
        </w:rPr>
        <w:drawing>
          <wp:inline distT="0" distB="0" distL="0" distR="0" wp14:anchorId="45C7895D" wp14:editId="0DCEA63C">
            <wp:extent cx="5308798" cy="2560320"/>
            <wp:effectExtent l="0" t="0" r="6350" b="0"/>
            <wp:docPr id="234" name="Picture 234" descr="P8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817#yIS1"/>
                    <pic:cNvPicPr>
                      <a:picLocks noChangeAspect="1" noChangeArrowheads="1"/>
                    </pic:cNvPicPr>
                  </pic:nvPicPr>
                  <pic:blipFill rotWithShape="1">
                    <a:blip r:embed="rId45">
                      <a:extLst>
                        <a:ext uri="{28A0092B-C50C-407E-A947-70E740481C1C}">
                          <a14:useLocalDpi xmlns:a14="http://schemas.microsoft.com/office/drawing/2010/main" val="0"/>
                        </a:ext>
                      </a:extLst>
                    </a:blip>
                    <a:srcRect b="8232"/>
                    <a:stretch/>
                  </pic:blipFill>
                  <pic:spPr bwMode="auto">
                    <a:xfrm>
                      <a:off x="0" y="0"/>
                      <a:ext cx="5311491" cy="2561619"/>
                    </a:xfrm>
                    <a:prstGeom prst="rect">
                      <a:avLst/>
                    </a:prstGeom>
                    <a:noFill/>
                    <a:ln>
                      <a:noFill/>
                    </a:ln>
                    <a:extLst>
                      <a:ext uri="{53640926-AAD7-44D8-BBD7-CCE9431645EC}">
                        <a14:shadowObscured xmlns:a14="http://schemas.microsoft.com/office/drawing/2010/main"/>
                      </a:ext>
                    </a:extLst>
                  </pic:spPr>
                </pic:pic>
              </a:graphicData>
            </a:graphic>
          </wp:inline>
        </w:drawing>
      </w:r>
    </w:p>
    <w:p w14:paraId="65515AEC" w14:textId="6EA00FB9" w:rsidR="00D7196E" w:rsidRDefault="00D7196E" w:rsidP="00CB0654">
      <w:pPr>
        <w:pStyle w:val="TableDescription"/>
      </w:pPr>
      <w:r>
        <w:t>Abbreviations: HIV = human immunodeficiency virus</w:t>
      </w:r>
    </w:p>
    <w:p w14:paraId="0D881329" w14:textId="281C3A44" w:rsidR="00D7196E" w:rsidRDefault="00D7196E" w:rsidP="00CB0654">
      <w:pPr>
        <w:pStyle w:val="TableDescription"/>
      </w:pPr>
      <w:r>
        <w:t xml:space="preserve">Note: Data are presented as </w:t>
      </w:r>
      <w:r w:rsidR="00C064D8">
        <w:t xml:space="preserve">a </w:t>
      </w:r>
      <w:r>
        <w:t>number and percentage (n (%)) of participants</w:t>
      </w:r>
    </w:p>
    <w:p w14:paraId="1D3B854C" w14:textId="202323A6" w:rsidR="00C337B8" w:rsidRDefault="00C337B8" w:rsidP="00345763">
      <w:pPr>
        <w:pStyle w:val="Heading6"/>
        <w:keepNext w:val="0"/>
      </w:pPr>
      <w:r>
        <w:t>Baseline characteristics</w:t>
      </w:r>
    </w:p>
    <w:p w14:paraId="0F757AF8" w14:textId="01938457" w:rsidR="00C337B8" w:rsidRDefault="00C337B8" w:rsidP="00345763">
      <w:r>
        <w:t xml:space="preserve">Demographic and baseline characteristics were well balanced between the </w:t>
      </w:r>
      <w:proofErr w:type="spellStart"/>
      <w:r>
        <w:t>Nuvaxovid</w:t>
      </w:r>
      <w:proofErr w:type="spellEnd"/>
      <w:r>
        <w:t xml:space="preserve"> and placebo groups, overall and by HIV status. Of subjects, 94% were HIV negative. Median age was 28 years (range: 18 to 84 years); 4</w:t>
      </w:r>
      <w:r w:rsidR="00A61021">
        <w:t>3</w:t>
      </w:r>
      <w:r>
        <w:t>% were female; 9</w:t>
      </w:r>
      <w:r w:rsidR="00A61021">
        <w:t>5</w:t>
      </w:r>
      <w:r>
        <w:t xml:space="preserve">% were Black/African American; </w:t>
      </w:r>
      <w:r w:rsidR="00A61021">
        <w:t>4</w:t>
      </w:r>
      <w:r>
        <w:t xml:space="preserve">% were White; </w:t>
      </w:r>
      <w:r w:rsidR="00A61021">
        <w:t>2</w:t>
      </w:r>
      <w:r>
        <w:t>% were multiple races, 1% were Asian; and 2% were Hispanic or Latino. 5.5% were HIV positive. At Baseline, 34.1% of subjects were seropositive for SARS-CoV-2. For HIV positive subjects, the majority (</w:t>
      </w:r>
      <w:r w:rsidR="00A61021">
        <w:t>77</w:t>
      </w:r>
      <w:r>
        <w:t>%) had no co</w:t>
      </w:r>
      <w:r>
        <w:noBreakHyphen/>
        <w:t>morbidities. Median baseline CD4 level was 738 cells/µL (range 80 to 2076 cells/µL) and median baseline HIV viral load was 63.5 copies/mL (range 20 to 735 copies/mL).</w:t>
      </w:r>
    </w:p>
    <w:p w14:paraId="28FB4513" w14:textId="091C6765" w:rsidR="00C337B8" w:rsidRDefault="00C337B8" w:rsidP="00F441CA">
      <w:pPr>
        <w:pStyle w:val="Heading6"/>
      </w:pPr>
      <w:r w:rsidRPr="00F441CA">
        <w:lastRenderedPageBreak/>
        <w:t>Results</w:t>
      </w:r>
    </w:p>
    <w:p w14:paraId="4A95C098" w14:textId="6ADBDEA1" w:rsidR="00C337B8" w:rsidRPr="00C337B8" w:rsidRDefault="00C337B8" w:rsidP="00345763">
      <w:pPr>
        <w:pStyle w:val="Heading7"/>
        <w:keepNext w:val="0"/>
        <w:rPr>
          <w:sz w:val="22"/>
          <w:szCs w:val="28"/>
        </w:rPr>
      </w:pPr>
      <w:r w:rsidRPr="00C337B8">
        <w:rPr>
          <w:sz w:val="22"/>
          <w:szCs w:val="28"/>
        </w:rPr>
        <w:t>Primary efficacy endpoint (official event</w:t>
      </w:r>
      <w:r>
        <w:rPr>
          <w:sz w:val="22"/>
          <w:szCs w:val="28"/>
        </w:rPr>
        <w:t xml:space="preserve"> </w:t>
      </w:r>
      <w:r w:rsidRPr="00C337B8">
        <w:rPr>
          <w:sz w:val="22"/>
          <w:szCs w:val="28"/>
        </w:rPr>
        <w:t>driven analysis)</w:t>
      </w:r>
    </w:p>
    <w:p w14:paraId="07C6D7A5" w14:textId="10826ADB" w:rsidR="00D7196E" w:rsidRDefault="00C337B8" w:rsidP="00345763">
      <w:r>
        <w:t xml:space="preserve">There were 44 cases of COVID-19 (all severities) that accrued between 23 November 2020 and 30 December 2020 for the official event driven analysis of the primary efficacy endpoint (data extraction 18 January 2021) giving a VE of </w:t>
      </w:r>
      <w:r w:rsidR="008B5778">
        <w:t>49.4</w:t>
      </w:r>
      <w:r>
        <w:t xml:space="preserve">% (95% CI: 6.1 to 72.8) in the PP-EFF analysis set (see </w:t>
      </w:r>
      <w:r>
        <w:fldChar w:fldCharType="begin" w:fldLock="1"/>
      </w:r>
      <w:r>
        <w:instrText xml:space="preserve"> REF _Ref92710900 \h </w:instrText>
      </w:r>
      <w:r>
        <w:fldChar w:fldCharType="separate"/>
      </w:r>
      <w:r w:rsidR="00AA298B" w:rsidRPr="00C337B8">
        <w:t xml:space="preserve">Table </w:t>
      </w:r>
      <w:r w:rsidR="00AA298B">
        <w:rPr>
          <w:noProof/>
        </w:rPr>
        <w:t>24</w:t>
      </w:r>
      <w:r>
        <w:fldChar w:fldCharType="end"/>
      </w:r>
      <w:r>
        <w:t>). All but one case was mild-moderate in severity, with the one severe case occurring in the placebo group.</w:t>
      </w:r>
    </w:p>
    <w:p w14:paraId="775C1497" w14:textId="6673140E" w:rsidR="00C337B8" w:rsidRDefault="00C337B8" w:rsidP="00CB0654">
      <w:pPr>
        <w:pStyle w:val="TableTitle"/>
      </w:pPr>
      <w:bookmarkStart w:id="85" w:name="_Ref92710900"/>
      <w:r w:rsidRPr="00C337B8">
        <w:t xml:space="preserve">Table </w:t>
      </w:r>
      <w:r w:rsidR="00344FF4">
        <w:fldChar w:fldCharType="begin"/>
      </w:r>
      <w:r w:rsidR="00344FF4">
        <w:instrText xml:space="preserve"> SEQ Table \* ARABIC </w:instrText>
      </w:r>
      <w:r w:rsidR="00344FF4">
        <w:fldChar w:fldCharType="separate"/>
      </w:r>
      <w:r w:rsidR="00C41FF6">
        <w:rPr>
          <w:noProof/>
        </w:rPr>
        <w:t>24</w:t>
      </w:r>
      <w:r w:rsidR="00344FF4">
        <w:rPr>
          <w:noProof/>
        </w:rPr>
        <w:fldChar w:fldCharType="end"/>
      </w:r>
      <w:bookmarkEnd w:id="85"/>
      <w:r>
        <w:t>:</w:t>
      </w:r>
      <w:r w:rsidRPr="00C337B8">
        <w:t xml:space="preserve"> </w:t>
      </w:r>
      <w:r w:rsidR="00C064D8">
        <w:t xml:space="preserve">Study 2019nCoV-501 </w:t>
      </w:r>
      <w:r w:rsidRPr="00C337B8">
        <w:t xml:space="preserve">Vaccine </w:t>
      </w:r>
      <w:r>
        <w:t>e</w:t>
      </w:r>
      <w:r w:rsidRPr="00C337B8">
        <w:t xml:space="preserve">fficacy of </w:t>
      </w:r>
      <w:r>
        <w:t>polymerase chain reaction c</w:t>
      </w:r>
      <w:r w:rsidRPr="00C337B8">
        <w:t xml:space="preserve">onfirmed SARS-CoV-2 </w:t>
      </w:r>
      <w:r>
        <w:t>p</w:t>
      </w:r>
      <w:r w:rsidRPr="00C337B8">
        <w:t xml:space="preserve">ositivity with </w:t>
      </w:r>
      <w:r>
        <w:t>s</w:t>
      </w:r>
      <w:r w:rsidRPr="00C337B8">
        <w:t xml:space="preserve">ymptomatic </w:t>
      </w:r>
      <w:r>
        <w:t>m</w:t>
      </w:r>
      <w:r w:rsidRPr="00C337B8">
        <w:t xml:space="preserve">ild, </w:t>
      </w:r>
      <w:r>
        <w:t>m</w:t>
      </w:r>
      <w:r w:rsidRPr="00C337B8">
        <w:t xml:space="preserve">oderate, or </w:t>
      </w:r>
      <w:r>
        <w:t>s</w:t>
      </w:r>
      <w:r w:rsidRPr="00C337B8">
        <w:t xml:space="preserve">evere COVID-19 from </w:t>
      </w:r>
      <w:r>
        <w:t>seven</w:t>
      </w:r>
      <w:r w:rsidRPr="00C337B8">
        <w:t xml:space="preserve"> days after </w:t>
      </w:r>
      <w:r>
        <w:t>s</w:t>
      </w:r>
      <w:r w:rsidRPr="00C337B8">
        <w:t xml:space="preserve">econd </w:t>
      </w:r>
      <w:r>
        <w:t>dose v</w:t>
      </w:r>
      <w:r w:rsidRPr="00C337B8">
        <w:t>accination (</w:t>
      </w:r>
      <w:r>
        <w:t xml:space="preserve">for example </w:t>
      </w:r>
      <w:r w:rsidRPr="00C337B8">
        <w:t xml:space="preserve">Day 28) with </w:t>
      </w:r>
      <w:proofErr w:type="spellStart"/>
      <w:r>
        <w:t>Nuvaxovid</w:t>
      </w:r>
      <w:proofErr w:type="spellEnd"/>
      <w:r w:rsidRPr="00C337B8">
        <w:t xml:space="preserve"> or </w:t>
      </w:r>
      <w:r>
        <w:t>p</w:t>
      </w:r>
      <w:r w:rsidRPr="00C337B8">
        <w:t xml:space="preserve">lacebo in </w:t>
      </w:r>
      <w:r>
        <w:t>s</w:t>
      </w:r>
      <w:r w:rsidRPr="00C337B8">
        <w:t xml:space="preserve">erologically </w:t>
      </w:r>
      <w:r>
        <w:t>n</w:t>
      </w:r>
      <w:r w:rsidRPr="00C337B8">
        <w:t xml:space="preserve">aïve </w:t>
      </w:r>
      <w:r>
        <w:t>h</w:t>
      </w:r>
      <w:r w:rsidRPr="00C337B8">
        <w:t xml:space="preserve">ealthy </w:t>
      </w:r>
      <w:r w:rsidR="003E6563" w:rsidRPr="003E6563">
        <w:t>human immunodeficiency virus</w:t>
      </w:r>
      <w:r>
        <w:t xml:space="preserve"> n</w:t>
      </w:r>
      <w:r w:rsidRPr="00C337B8">
        <w:t xml:space="preserve">egative and </w:t>
      </w:r>
      <w:r>
        <w:t>m</w:t>
      </w:r>
      <w:r w:rsidRPr="00C337B8">
        <w:t xml:space="preserve">edically </w:t>
      </w:r>
      <w:r>
        <w:t>s</w:t>
      </w:r>
      <w:r w:rsidRPr="00C337B8">
        <w:t xml:space="preserve">table </w:t>
      </w:r>
      <w:r w:rsidR="003E6563" w:rsidRPr="003E6563">
        <w:t>human immunodeficiency virus</w:t>
      </w:r>
      <w:r>
        <w:t xml:space="preserve"> p</w:t>
      </w:r>
      <w:r w:rsidRPr="00C337B8">
        <w:t xml:space="preserve">ositive </w:t>
      </w:r>
      <w:r>
        <w:t>s</w:t>
      </w:r>
      <w:r w:rsidRPr="00C337B8">
        <w:t xml:space="preserve">ubjects </w:t>
      </w:r>
      <w:r>
        <w:t>a</w:t>
      </w:r>
      <w:r w:rsidRPr="00C337B8">
        <w:t xml:space="preserve">nalysed </w:t>
      </w:r>
      <w:r>
        <w:t>o</w:t>
      </w:r>
      <w:r w:rsidRPr="00C337B8">
        <w:t>verall</w:t>
      </w:r>
      <w:r>
        <w:t>, o</w:t>
      </w:r>
      <w:r w:rsidRPr="00C337B8">
        <w:t xml:space="preserve">fficial </w:t>
      </w:r>
      <w:r>
        <w:t>e</w:t>
      </w:r>
      <w:r w:rsidRPr="00C337B8">
        <w:t>vent-</w:t>
      </w:r>
      <w:r>
        <w:t>d</w:t>
      </w:r>
      <w:r w:rsidRPr="00C337B8">
        <w:t xml:space="preserve">riven </w:t>
      </w:r>
      <w:r>
        <w:t>a</w:t>
      </w:r>
      <w:r w:rsidRPr="00C337B8">
        <w:t>nalysis (</w:t>
      </w:r>
      <w:r>
        <w:t>per protocol efficacy</w:t>
      </w:r>
      <w:r w:rsidRPr="00C337B8">
        <w:t xml:space="preserve"> </w:t>
      </w:r>
      <w:r>
        <w:t>a</w:t>
      </w:r>
      <w:r w:rsidRPr="00C337B8">
        <w:t xml:space="preserve">nalysis </w:t>
      </w:r>
      <w:r>
        <w:t>s</w:t>
      </w:r>
      <w:r w:rsidRPr="00C337B8">
        <w:t>et)</w:t>
      </w:r>
    </w:p>
    <w:p w14:paraId="3D40C489" w14:textId="0C7F43EB" w:rsidR="00C337B8" w:rsidRDefault="00C337B8" w:rsidP="00345763">
      <w:r w:rsidRPr="00ED6F9D">
        <w:rPr>
          <w:rFonts w:eastAsia="Calibri"/>
          <w:b/>
          <w:noProof/>
          <w:szCs w:val="24"/>
          <w:lang w:val="en-GB" w:eastAsia="en-GB"/>
        </w:rPr>
        <w:drawing>
          <wp:inline distT="0" distB="0" distL="0" distR="0" wp14:anchorId="08803C82" wp14:editId="5666EC69">
            <wp:extent cx="5243335" cy="585216"/>
            <wp:effectExtent l="0" t="0" r="0" b="5715"/>
            <wp:docPr id="235" name="Picture 235" descr="P8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826#yIS1"/>
                    <pic:cNvPicPr>
                      <a:picLocks noChangeAspect="1" noChangeArrowheads="1"/>
                    </pic:cNvPicPr>
                  </pic:nvPicPr>
                  <pic:blipFill rotWithShape="1">
                    <a:blip r:embed="rId46">
                      <a:extLst>
                        <a:ext uri="{28A0092B-C50C-407E-A947-70E740481C1C}">
                          <a14:useLocalDpi xmlns:a14="http://schemas.microsoft.com/office/drawing/2010/main" val="0"/>
                        </a:ext>
                      </a:extLst>
                    </a:blip>
                    <a:srcRect b="68155"/>
                    <a:stretch/>
                  </pic:blipFill>
                  <pic:spPr bwMode="auto">
                    <a:xfrm>
                      <a:off x="0" y="0"/>
                      <a:ext cx="5256089" cy="586639"/>
                    </a:xfrm>
                    <a:prstGeom prst="rect">
                      <a:avLst/>
                    </a:prstGeom>
                    <a:noFill/>
                    <a:ln>
                      <a:noFill/>
                    </a:ln>
                    <a:extLst>
                      <a:ext uri="{53640926-AAD7-44D8-BBD7-CCE9431645EC}">
                        <a14:shadowObscured xmlns:a14="http://schemas.microsoft.com/office/drawing/2010/main"/>
                      </a:ext>
                    </a:extLst>
                  </pic:spPr>
                </pic:pic>
              </a:graphicData>
            </a:graphic>
          </wp:inline>
        </w:drawing>
      </w:r>
    </w:p>
    <w:p w14:paraId="063F1BFA" w14:textId="56E823D7" w:rsidR="00C337B8" w:rsidRDefault="00C337B8" w:rsidP="00CB0654">
      <w:pPr>
        <w:pStyle w:val="TableDescription"/>
      </w:pPr>
      <w:r>
        <w:t>Abbreviations: CI = confidence interval; n = number of participants with n</w:t>
      </w:r>
      <w:r w:rsidRPr="00C337B8">
        <w:t xml:space="preserve">ucleic </w:t>
      </w:r>
      <w:r>
        <w:t>a</w:t>
      </w:r>
      <w:r w:rsidRPr="00C337B8">
        <w:t xml:space="preserve">cid </w:t>
      </w:r>
      <w:r>
        <w:t>a</w:t>
      </w:r>
      <w:r w:rsidRPr="00C337B8">
        <w:t xml:space="preserve">mplification </w:t>
      </w:r>
      <w:r>
        <w:t>t</w:t>
      </w:r>
      <w:r w:rsidRPr="00C337B8">
        <w:t>est</w:t>
      </w:r>
      <w:r>
        <w:t xml:space="preserve"> (NAAT)-confirmed COVID-19</w:t>
      </w:r>
      <w:r w:rsidR="00402CE4">
        <w:t xml:space="preserve">; N = number of participants; NVX-CoV2373 = </w:t>
      </w:r>
      <w:proofErr w:type="spellStart"/>
      <w:r w:rsidR="00402CE4">
        <w:t>Nuvaxovid</w:t>
      </w:r>
      <w:proofErr w:type="spellEnd"/>
      <w:r w:rsidR="00402CE4">
        <w:t xml:space="preserve">, 5 µg SARS-CoV-2 </w:t>
      </w:r>
      <w:proofErr w:type="spellStart"/>
      <w:r w:rsidR="00402CE4">
        <w:t>rS</w:t>
      </w:r>
      <w:proofErr w:type="spellEnd"/>
      <w:r w:rsidR="00402CE4">
        <w:t xml:space="preserve"> plus 50 µg </w:t>
      </w:r>
      <w:r w:rsidR="006F5F10">
        <w:t>Matrix-M</w:t>
      </w:r>
      <w:r w:rsidR="00402CE4">
        <w:t xml:space="preserve"> adjuvant; PCR = polymerase chain reaction; VE = vaccine efficacy</w:t>
      </w:r>
    </w:p>
    <w:p w14:paraId="7B4B7B3F" w14:textId="2C016F71" w:rsidR="00402CE4" w:rsidRDefault="00402CE4" w:rsidP="00CB0654">
      <w:pPr>
        <w:pStyle w:val="TableDescription"/>
      </w:pPr>
      <w:r>
        <w:t>Note: The 95% CI for PCR confirmed COVID-19 infection was calculated using the exact Clopper-Pearson method. Participants were counted as a COVID-19 case only for the first PCR plus illness episode. Once that case has been determined, it was further classified to a severity level.</w:t>
      </w:r>
    </w:p>
    <w:p w14:paraId="4E1D100D" w14:textId="606548A8" w:rsidR="00402CE4" w:rsidRDefault="00402CE4" w:rsidP="00CB0654">
      <w:pPr>
        <w:pStyle w:val="TableDescription"/>
      </w:pPr>
      <w:r w:rsidRPr="005B3F9E">
        <w:rPr>
          <w:vertAlign w:val="superscript"/>
        </w:rPr>
        <w:t>1</w:t>
      </w:r>
      <w:r>
        <w:t xml:space="preserve"> Percentage of participants with COVID-19 calculated as n/</w:t>
      </w:r>
      <w:r w:rsidR="007E2D64">
        <w:t>N</w:t>
      </w:r>
      <w:r>
        <w:t xml:space="preserve"> x 100.</w:t>
      </w:r>
    </w:p>
    <w:p w14:paraId="6ACF37F3" w14:textId="7E23E02A" w:rsidR="00402CE4" w:rsidRDefault="007E2D64" w:rsidP="00CB0654">
      <w:pPr>
        <w:pStyle w:val="TableDescription"/>
      </w:pPr>
      <w:r>
        <w:t>Log-linear model of PCR confirmed COVID-19 infection incidence rate using Poisson regression</w:t>
      </w:r>
      <w:r w:rsidR="006468D0">
        <w:t>;</w:t>
      </w:r>
      <w:r w:rsidR="006468D0">
        <w:fldChar w:fldCharType="begin"/>
      </w:r>
      <w:r w:rsidR="006468D0">
        <w:instrText xml:space="preserve"> NOTEREF _Ref92712130 \f \h </w:instrText>
      </w:r>
      <w:r w:rsidR="006468D0">
        <w:fldChar w:fldCharType="separate"/>
      </w:r>
      <w:r w:rsidR="00C41FF6" w:rsidRPr="00C41FF6">
        <w:rPr>
          <w:rStyle w:val="FootnoteReference"/>
        </w:rPr>
        <w:t>30</w:t>
      </w:r>
      <w:r w:rsidR="006468D0">
        <w:fldChar w:fldCharType="end"/>
      </w:r>
      <w:r>
        <w:t xml:space="preserve"> with treatment group as fixed effects and robust error variance</w:t>
      </w:r>
      <w:r w:rsidR="006468D0">
        <w:t>.</w:t>
      </w:r>
    </w:p>
    <w:p w14:paraId="59580563" w14:textId="3D505687" w:rsidR="006468D0" w:rsidRDefault="006468D0" w:rsidP="00CB0654">
      <w:pPr>
        <w:pStyle w:val="TableDescription"/>
      </w:pPr>
      <w:r>
        <w:t>Vaccine efficacy = 100 x (1 – relative risk)</w:t>
      </w:r>
    </w:p>
    <w:p w14:paraId="0A5DB926" w14:textId="0D398629" w:rsidR="006468D0" w:rsidRPr="006468D0" w:rsidRDefault="006468D0" w:rsidP="00345763">
      <w:pPr>
        <w:pStyle w:val="Heading7"/>
        <w:keepNext w:val="0"/>
        <w:rPr>
          <w:sz w:val="22"/>
          <w:szCs w:val="28"/>
        </w:rPr>
      </w:pPr>
      <w:r w:rsidRPr="006468D0">
        <w:rPr>
          <w:sz w:val="22"/>
          <w:szCs w:val="28"/>
        </w:rPr>
        <w:t>Primary efficacy endpoint (complete analysis)</w:t>
      </w:r>
    </w:p>
    <w:p w14:paraId="48948C45" w14:textId="76C0F838" w:rsidR="006468D0" w:rsidRDefault="006468D0" w:rsidP="00345763">
      <w:r>
        <w:t>Primary endpoints were also examined beyond the event driven analysis and out to about six months utilising different start dates: from seven days after second dose; from 14 days after second dose; and from seven days after first dose.</w:t>
      </w:r>
    </w:p>
    <w:p w14:paraId="4E144A44" w14:textId="7CC6C705" w:rsidR="006468D0" w:rsidRDefault="006468D0" w:rsidP="00345763">
      <w:r w:rsidRPr="009B4460">
        <w:rPr>
          <w:i/>
        </w:rPr>
        <w:t>From seven days after second dose</w:t>
      </w:r>
      <w:r w:rsidR="00C064D8">
        <w:rPr>
          <w:i/>
        </w:rPr>
        <w:t>:</w:t>
      </w:r>
      <w:r w:rsidR="00C064D8">
        <w:t xml:space="preserve"> </w:t>
      </w:r>
      <w:r>
        <w:t xml:space="preserve">Vaccine efficacy for different sub-groups stratified by baseline serostatus and/or HIV status is shown in </w:t>
      </w:r>
      <w:r w:rsidR="003E6563">
        <w:fldChar w:fldCharType="begin" w:fldLock="1"/>
      </w:r>
      <w:r w:rsidR="003E6563">
        <w:instrText xml:space="preserve"> REF _Ref92712609 \h </w:instrText>
      </w:r>
      <w:r w:rsidR="003E6563">
        <w:fldChar w:fldCharType="separate"/>
      </w:r>
      <w:r w:rsidR="00AA298B" w:rsidRPr="003E6563">
        <w:t xml:space="preserve">Table </w:t>
      </w:r>
      <w:r w:rsidR="00AA298B">
        <w:rPr>
          <w:noProof/>
        </w:rPr>
        <w:t>25</w:t>
      </w:r>
      <w:r w:rsidR="003E6563">
        <w:fldChar w:fldCharType="end"/>
      </w:r>
      <w:r>
        <w:t>.</w:t>
      </w:r>
    </w:p>
    <w:p w14:paraId="2D5F997B" w14:textId="6B8E223B" w:rsidR="003E6563" w:rsidRDefault="003E6563" w:rsidP="00F441CA">
      <w:pPr>
        <w:pStyle w:val="TableTitle"/>
        <w:pageBreakBefore/>
      </w:pPr>
      <w:bookmarkStart w:id="86" w:name="_Ref92712609"/>
      <w:r w:rsidRPr="003E6563">
        <w:lastRenderedPageBreak/>
        <w:t xml:space="preserve">Table </w:t>
      </w:r>
      <w:r w:rsidR="00344FF4">
        <w:fldChar w:fldCharType="begin"/>
      </w:r>
      <w:r w:rsidR="00344FF4">
        <w:instrText xml:space="preserve"> SEQ Table \* ARABIC </w:instrText>
      </w:r>
      <w:r w:rsidR="00344FF4">
        <w:fldChar w:fldCharType="separate"/>
      </w:r>
      <w:r w:rsidR="00C41FF6">
        <w:rPr>
          <w:noProof/>
        </w:rPr>
        <w:t>25</w:t>
      </w:r>
      <w:r w:rsidR="00344FF4">
        <w:rPr>
          <w:noProof/>
        </w:rPr>
        <w:fldChar w:fldCharType="end"/>
      </w:r>
      <w:bookmarkEnd w:id="86"/>
      <w:r>
        <w:t xml:space="preserve">: </w:t>
      </w:r>
      <w:r w:rsidRPr="003E6563">
        <w:t xml:space="preserve">Vaccine </w:t>
      </w:r>
      <w:r>
        <w:t>e</w:t>
      </w:r>
      <w:r w:rsidRPr="003E6563">
        <w:t xml:space="preserve">fficacy of </w:t>
      </w:r>
      <w:r>
        <w:t>polymerase chain reaction c</w:t>
      </w:r>
      <w:r w:rsidRPr="003E6563">
        <w:t xml:space="preserve">onfirmed SARS-CoV-2 </w:t>
      </w:r>
      <w:r>
        <w:t>p</w:t>
      </w:r>
      <w:r w:rsidRPr="003E6563">
        <w:t xml:space="preserve">ositivity with </w:t>
      </w:r>
      <w:r>
        <w:t>s</w:t>
      </w:r>
      <w:r w:rsidRPr="003E6563">
        <w:t xml:space="preserve">ymptomatic </w:t>
      </w:r>
      <w:r>
        <w:t>m</w:t>
      </w:r>
      <w:r w:rsidRPr="003E6563">
        <w:t xml:space="preserve">ild, </w:t>
      </w:r>
      <w:r>
        <w:t>m</w:t>
      </w:r>
      <w:r w:rsidRPr="003E6563">
        <w:t xml:space="preserve">oderate, or </w:t>
      </w:r>
      <w:r>
        <w:t>s</w:t>
      </w:r>
      <w:r w:rsidRPr="003E6563">
        <w:t xml:space="preserve">evere COVID-19 from </w:t>
      </w:r>
      <w:r>
        <w:t>seven</w:t>
      </w:r>
      <w:r w:rsidRPr="003E6563">
        <w:t xml:space="preserve"> </w:t>
      </w:r>
      <w:r>
        <w:t>d</w:t>
      </w:r>
      <w:r w:rsidRPr="003E6563">
        <w:t xml:space="preserve">ays after </w:t>
      </w:r>
      <w:r>
        <w:t>s</w:t>
      </w:r>
      <w:r w:rsidRPr="003E6563">
        <w:t>econd</w:t>
      </w:r>
      <w:r>
        <w:t xml:space="preserve"> dose</w:t>
      </w:r>
      <w:r w:rsidRPr="003E6563">
        <w:t xml:space="preserve"> </w:t>
      </w:r>
      <w:r>
        <w:t>v</w:t>
      </w:r>
      <w:r w:rsidRPr="003E6563">
        <w:t>accination (</w:t>
      </w:r>
      <w:r>
        <w:t xml:space="preserve">for example </w:t>
      </w:r>
      <w:r w:rsidRPr="003E6563">
        <w:t xml:space="preserve">Day 28) with </w:t>
      </w:r>
      <w:proofErr w:type="spellStart"/>
      <w:r w:rsidRPr="003E6563">
        <w:t>N</w:t>
      </w:r>
      <w:r>
        <w:t>uvaxovid</w:t>
      </w:r>
      <w:proofErr w:type="spellEnd"/>
      <w:r w:rsidRPr="003E6563">
        <w:t xml:space="preserve"> or </w:t>
      </w:r>
      <w:r>
        <w:t>p</w:t>
      </w:r>
      <w:r w:rsidRPr="003E6563">
        <w:t xml:space="preserve">lacebo </w:t>
      </w:r>
      <w:r>
        <w:t>o</w:t>
      </w:r>
      <w:r w:rsidRPr="003E6563">
        <w:t xml:space="preserve">verall and in </w:t>
      </w:r>
      <w:r>
        <w:t>h</w:t>
      </w:r>
      <w:r w:rsidRPr="003E6563">
        <w:t>ealthy human immunodeficiency virus</w:t>
      </w:r>
      <w:r>
        <w:t xml:space="preserve"> n</w:t>
      </w:r>
      <w:r w:rsidRPr="003E6563">
        <w:t xml:space="preserve">egative and </w:t>
      </w:r>
      <w:r>
        <w:t>m</w:t>
      </w:r>
      <w:r w:rsidRPr="003E6563">
        <w:t xml:space="preserve">edically </w:t>
      </w:r>
      <w:r>
        <w:t>s</w:t>
      </w:r>
      <w:r w:rsidRPr="003E6563">
        <w:t xml:space="preserve">table human immunodeficiency virus </w:t>
      </w:r>
      <w:r>
        <w:t>p</w:t>
      </w:r>
      <w:r w:rsidRPr="003E6563">
        <w:t xml:space="preserve">ositive </w:t>
      </w:r>
      <w:r>
        <w:t>s</w:t>
      </w:r>
      <w:r w:rsidRPr="003E6563">
        <w:t xml:space="preserve">ubjects </w:t>
      </w:r>
      <w:r>
        <w:t>s</w:t>
      </w:r>
      <w:r w:rsidRPr="003E6563">
        <w:t xml:space="preserve">tratified by </w:t>
      </w:r>
      <w:r>
        <w:t>b</w:t>
      </w:r>
      <w:r w:rsidRPr="003E6563">
        <w:t xml:space="preserve">aseline </w:t>
      </w:r>
      <w:r>
        <w:t>s</w:t>
      </w:r>
      <w:r w:rsidRPr="003E6563">
        <w:t xml:space="preserve">erostatus and </w:t>
      </w:r>
      <w:r>
        <w:t>r</w:t>
      </w:r>
      <w:r w:rsidRPr="003E6563">
        <w:t xml:space="preserve">egardless of </w:t>
      </w:r>
      <w:r>
        <w:t>b</w:t>
      </w:r>
      <w:r w:rsidRPr="003E6563">
        <w:t xml:space="preserve">aseline </w:t>
      </w:r>
      <w:r>
        <w:t>s</w:t>
      </w:r>
      <w:r w:rsidRPr="003E6563">
        <w:t>erostatus (</w:t>
      </w:r>
      <w:r>
        <w:t>per protocol efficacy</w:t>
      </w:r>
      <w:r w:rsidRPr="003E6563">
        <w:t xml:space="preserve"> and </w:t>
      </w:r>
      <w:r>
        <w:t>s</w:t>
      </w:r>
      <w:r w:rsidRPr="003E6563">
        <w:t xml:space="preserve">econd </w:t>
      </w:r>
      <w:r>
        <w:t>per protocol efficacy</w:t>
      </w:r>
      <w:r w:rsidRPr="003E6563">
        <w:t xml:space="preserve"> </w:t>
      </w:r>
      <w:r>
        <w:t>a</w:t>
      </w:r>
      <w:r w:rsidRPr="003E6563">
        <w:t xml:space="preserve">nalysis </w:t>
      </w:r>
      <w:r>
        <w:t>s</w:t>
      </w:r>
      <w:r w:rsidRPr="003E6563">
        <w:t>ets)</w:t>
      </w:r>
    </w:p>
    <w:p w14:paraId="60E9350A" w14:textId="16F075D6" w:rsidR="003E6563" w:rsidRDefault="003E6563" w:rsidP="00345763">
      <w:r w:rsidRPr="00ED6F9D">
        <w:rPr>
          <w:noProof/>
          <w:lang w:val="en-GB" w:eastAsia="en-GB"/>
        </w:rPr>
        <w:drawing>
          <wp:inline distT="0" distB="0" distL="0" distR="0" wp14:anchorId="3AE28B32" wp14:editId="03EEEBD9">
            <wp:extent cx="5399764" cy="2033626"/>
            <wp:effectExtent l="0" t="0" r="0" b="5080"/>
            <wp:docPr id="236" name="Picture 236" descr="P8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836#yIS1"/>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45000"/>
                              </a14:imgEffect>
                            </a14:imgLayer>
                          </a14:imgProps>
                        </a:ext>
                        <a:ext uri="{28A0092B-C50C-407E-A947-70E740481C1C}">
                          <a14:useLocalDpi xmlns:a14="http://schemas.microsoft.com/office/drawing/2010/main" val="0"/>
                        </a:ext>
                      </a:extLst>
                    </a:blip>
                    <a:srcRect b="32521"/>
                    <a:stretch/>
                  </pic:blipFill>
                  <pic:spPr bwMode="auto">
                    <a:xfrm>
                      <a:off x="0" y="0"/>
                      <a:ext cx="5400040" cy="2033730"/>
                    </a:xfrm>
                    <a:prstGeom prst="rect">
                      <a:avLst/>
                    </a:prstGeom>
                    <a:noFill/>
                    <a:ln>
                      <a:noFill/>
                    </a:ln>
                    <a:extLst>
                      <a:ext uri="{53640926-AAD7-44D8-BBD7-CCE9431645EC}">
                        <a14:shadowObscured xmlns:a14="http://schemas.microsoft.com/office/drawing/2010/main"/>
                      </a:ext>
                    </a:extLst>
                  </pic:spPr>
                </pic:pic>
              </a:graphicData>
            </a:graphic>
          </wp:inline>
        </w:drawing>
      </w:r>
    </w:p>
    <w:p w14:paraId="21E5483E" w14:textId="66647B42" w:rsidR="009A3104" w:rsidRDefault="00705E46" w:rsidP="00CB0654">
      <w:pPr>
        <w:pStyle w:val="TableDescription"/>
      </w:pPr>
      <w:r>
        <w:t xml:space="preserve">Abbreviation: CI = confidence interval; HIV = human immunodeficiency virus;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 PCR = polymerase chain reaction; VE = vaccine efficacy.</w:t>
      </w:r>
    </w:p>
    <w:p w14:paraId="4F1D6707" w14:textId="73749AC7" w:rsidR="00705E46" w:rsidRDefault="00705E46" w:rsidP="00CB0654">
      <w:pPr>
        <w:pStyle w:val="TableDescription"/>
      </w:pPr>
      <w:r>
        <w:t>Note: The 95% CI for PCR confirmed COVID-19 infection was calculated using the exact Clopper-Pearson method. Participants were counted as a COVID-19 case only for the first PCR</w:t>
      </w:r>
      <w:r w:rsidR="005B3F9E">
        <w:t xml:space="preserve"> plus illness episode. Once that case has been determined, it was further classified to a severity level.</w:t>
      </w:r>
    </w:p>
    <w:p w14:paraId="73F1524C" w14:textId="77777777" w:rsidR="005B3F9E" w:rsidRDefault="005B3F9E" w:rsidP="00CB0654">
      <w:pPr>
        <w:pStyle w:val="TableDescription"/>
      </w:pPr>
      <w:r w:rsidRPr="005B3F9E">
        <w:rPr>
          <w:vertAlign w:val="superscript"/>
        </w:rPr>
        <w:t>1</w:t>
      </w:r>
      <w:r>
        <w:t xml:space="preserve"> Percentage of participants with COVID-19 calculated as n/N x 100.</w:t>
      </w:r>
    </w:p>
    <w:p w14:paraId="5B62AF70" w14:textId="7C9ECA01" w:rsidR="005B3F9E" w:rsidRDefault="005B3F9E" w:rsidP="00CB0654">
      <w:pPr>
        <w:pStyle w:val="TableDescription"/>
      </w:pPr>
      <w:r w:rsidRPr="005B3F9E">
        <w:rPr>
          <w:vertAlign w:val="superscript"/>
        </w:rPr>
        <w:t>2</w:t>
      </w:r>
      <w:r>
        <w:t>.Primary endpoint</w:t>
      </w:r>
    </w:p>
    <w:p w14:paraId="096C6D54" w14:textId="31C7EF02" w:rsidR="005B3F9E" w:rsidRDefault="005B3F9E" w:rsidP="00CB0654">
      <w:pPr>
        <w:pStyle w:val="TableDescription"/>
      </w:pPr>
      <w:r w:rsidRPr="005B3F9E">
        <w:rPr>
          <w:vertAlign w:val="superscript"/>
        </w:rPr>
        <w:t>3</w:t>
      </w:r>
      <w:r>
        <w:t xml:space="preserve"> Based on PP-EFF analysis set</w:t>
      </w:r>
    </w:p>
    <w:p w14:paraId="5E28E33C" w14:textId="2EFFBF94" w:rsidR="005B3F9E" w:rsidRDefault="005B3F9E" w:rsidP="00CB0654">
      <w:pPr>
        <w:pStyle w:val="TableDescription"/>
      </w:pPr>
      <w:r w:rsidRPr="005B3F9E">
        <w:rPr>
          <w:vertAlign w:val="superscript"/>
        </w:rPr>
        <w:t>4</w:t>
      </w:r>
      <w:r>
        <w:t xml:space="preserve"> Based on second PP-EFF analysis set</w:t>
      </w:r>
    </w:p>
    <w:p w14:paraId="1383E8AC" w14:textId="6FDC2A18" w:rsidR="005B3F9E" w:rsidRDefault="005B3F9E" w:rsidP="00CB0654">
      <w:pPr>
        <w:pStyle w:val="TableDescription"/>
      </w:pPr>
      <w:r>
        <w:t>Log-linear model of PCR confirmed COVID-19 infection incidence rate using Poisson regression;</w:t>
      </w:r>
      <w:r>
        <w:fldChar w:fldCharType="begin"/>
      </w:r>
      <w:r>
        <w:instrText xml:space="preserve"> NOTEREF _Ref92712130 \f \h </w:instrText>
      </w:r>
      <w:r>
        <w:fldChar w:fldCharType="separate"/>
      </w:r>
      <w:r w:rsidR="00C41FF6" w:rsidRPr="00C41FF6">
        <w:rPr>
          <w:rStyle w:val="FootnoteReference"/>
        </w:rPr>
        <w:t>30</w:t>
      </w:r>
      <w:r>
        <w:fldChar w:fldCharType="end"/>
      </w:r>
      <w:r>
        <w:t xml:space="preserve"> with treatment group as fixed effects and robust error variance.</w:t>
      </w:r>
    </w:p>
    <w:p w14:paraId="2465528E" w14:textId="438955F5" w:rsidR="005B3F9E" w:rsidRDefault="005B3F9E" w:rsidP="00CB0654">
      <w:pPr>
        <w:pStyle w:val="TableDescription"/>
      </w:pPr>
      <w:r>
        <w:t>Vaccine efficacy = 100 x (1 – relative risk)</w:t>
      </w:r>
    </w:p>
    <w:p w14:paraId="06B361D0" w14:textId="5552F408" w:rsidR="005B3F9E" w:rsidRDefault="005B3F9E" w:rsidP="00345763">
      <w:r w:rsidRPr="005B3F9E">
        <w:t xml:space="preserve">The cumulative incidence curve for all subjects who were seronegative at </w:t>
      </w:r>
      <w:r w:rsidR="00D56B6E">
        <w:t>B</w:t>
      </w:r>
      <w:r w:rsidRPr="005B3F9E">
        <w:t xml:space="preserve">aseline revealed a separation between treatments from </w:t>
      </w:r>
      <w:r>
        <w:t>seven</w:t>
      </w:r>
      <w:r w:rsidRPr="005B3F9E">
        <w:t xml:space="preserve"> days following </w:t>
      </w:r>
      <w:r>
        <w:t>second d</w:t>
      </w:r>
      <w:r w:rsidRPr="005B3F9E">
        <w:t>ose (</w:t>
      </w:r>
      <w:r>
        <w:t xml:space="preserve">that is </w:t>
      </w:r>
      <w:r w:rsidRPr="005B3F9E">
        <w:t xml:space="preserve">Day 28) that plateaued approximately </w:t>
      </w:r>
      <w:r w:rsidR="00D56B6E">
        <w:t xml:space="preserve">four and half </w:t>
      </w:r>
      <w:r w:rsidRPr="005B3F9E">
        <w:t>months post</w:t>
      </w:r>
      <w:r w:rsidR="00D56B6E">
        <w:t xml:space="preserve"> </w:t>
      </w:r>
      <w:r w:rsidRPr="005B3F9E">
        <w:t>Day 0 for both treatments (</w:t>
      </w:r>
      <w:r>
        <w:fldChar w:fldCharType="begin" w:fldLock="1"/>
      </w:r>
      <w:r>
        <w:instrText xml:space="preserve"> REF _Ref92715810 \h </w:instrText>
      </w:r>
      <w:r>
        <w:fldChar w:fldCharType="separate"/>
      </w:r>
      <w:r w:rsidR="00AA298B" w:rsidRPr="005B3F9E">
        <w:t xml:space="preserve">Figure </w:t>
      </w:r>
      <w:r w:rsidR="00AA298B">
        <w:rPr>
          <w:noProof/>
        </w:rPr>
        <w:t>10</w:t>
      </w:r>
      <w:r>
        <w:fldChar w:fldCharType="end"/>
      </w:r>
      <w:r w:rsidRPr="005B3F9E">
        <w:t>), likely reflecting a waning wave of the local epidemic.</w:t>
      </w:r>
    </w:p>
    <w:p w14:paraId="431153C8" w14:textId="3D0AEAE5" w:rsidR="005B3F9E" w:rsidRDefault="005B3F9E" w:rsidP="00F441CA">
      <w:pPr>
        <w:pStyle w:val="TableTitle"/>
        <w:pageBreakBefore/>
      </w:pPr>
      <w:bookmarkStart w:id="87" w:name="_Ref92715810"/>
      <w:r w:rsidRPr="005B3F9E">
        <w:lastRenderedPageBreak/>
        <w:t xml:space="preserve">Figure </w:t>
      </w:r>
      <w:r w:rsidR="00344FF4">
        <w:fldChar w:fldCharType="begin"/>
      </w:r>
      <w:r w:rsidR="00344FF4">
        <w:instrText xml:space="preserve"> SEQ Figure \* ARABIC </w:instrText>
      </w:r>
      <w:r w:rsidR="00344FF4">
        <w:fldChar w:fldCharType="separate"/>
      </w:r>
      <w:r w:rsidR="00C41FF6">
        <w:rPr>
          <w:noProof/>
        </w:rPr>
        <w:t>10</w:t>
      </w:r>
      <w:r w:rsidR="00344FF4">
        <w:rPr>
          <w:noProof/>
        </w:rPr>
        <w:fldChar w:fldCharType="end"/>
      </w:r>
      <w:bookmarkEnd w:id="87"/>
      <w:r>
        <w:t xml:space="preserve">: </w:t>
      </w:r>
      <w:r w:rsidR="003F21FC">
        <w:t xml:space="preserve">Study 2019nCoV-501 </w:t>
      </w:r>
      <w:r w:rsidRPr="005B3F9E">
        <w:t xml:space="preserve">Cumulative </w:t>
      </w:r>
      <w:r>
        <w:t>i</w:t>
      </w:r>
      <w:r w:rsidRPr="005B3F9E">
        <w:t xml:space="preserve">ncidence </w:t>
      </w:r>
      <w:r>
        <w:t>c</w:t>
      </w:r>
      <w:r w:rsidRPr="005B3F9E">
        <w:t xml:space="preserve">urves for the </w:t>
      </w:r>
      <w:r>
        <w:t>f</w:t>
      </w:r>
      <w:r w:rsidRPr="005B3F9E">
        <w:t xml:space="preserve">irst </w:t>
      </w:r>
      <w:r>
        <w:t xml:space="preserve">polymerase chain reaction </w:t>
      </w:r>
      <w:r w:rsidRPr="005B3F9E">
        <w:t xml:space="preserve">confirmed SARS-CoV-2 </w:t>
      </w:r>
      <w:r>
        <w:t>p</w:t>
      </w:r>
      <w:r w:rsidRPr="005B3F9E">
        <w:t xml:space="preserve">ositivity with </w:t>
      </w:r>
      <w:r>
        <w:t>s</w:t>
      </w:r>
      <w:r w:rsidRPr="005B3F9E">
        <w:t xml:space="preserve">ymptomatic </w:t>
      </w:r>
      <w:r>
        <w:t>m</w:t>
      </w:r>
      <w:r w:rsidRPr="005B3F9E">
        <w:t xml:space="preserve">ild, </w:t>
      </w:r>
      <w:r>
        <w:t>m</w:t>
      </w:r>
      <w:r w:rsidRPr="005B3F9E">
        <w:t xml:space="preserve">oderate or </w:t>
      </w:r>
      <w:r>
        <w:t>s</w:t>
      </w:r>
      <w:r w:rsidRPr="005B3F9E">
        <w:t xml:space="preserve">evere COVID-19 from </w:t>
      </w:r>
      <w:r>
        <w:t>seven</w:t>
      </w:r>
      <w:r w:rsidRPr="005B3F9E">
        <w:t xml:space="preserve"> </w:t>
      </w:r>
      <w:r>
        <w:t>d</w:t>
      </w:r>
      <w:r w:rsidRPr="005B3F9E">
        <w:t xml:space="preserve">ays after </w:t>
      </w:r>
      <w:r>
        <w:t>s</w:t>
      </w:r>
      <w:r w:rsidRPr="005B3F9E">
        <w:t xml:space="preserve">econd </w:t>
      </w:r>
      <w:r>
        <w:t>dose v</w:t>
      </w:r>
      <w:r w:rsidRPr="005B3F9E">
        <w:t>accination (</w:t>
      </w:r>
      <w:r>
        <w:t xml:space="preserve">for example </w:t>
      </w:r>
      <w:r w:rsidRPr="005B3F9E">
        <w:t xml:space="preserve">Day 28) </w:t>
      </w:r>
      <w:r>
        <w:t>a</w:t>
      </w:r>
      <w:r w:rsidRPr="005B3F9E">
        <w:t>naly</w:t>
      </w:r>
      <w:r>
        <w:t>s</w:t>
      </w:r>
      <w:r w:rsidRPr="005B3F9E">
        <w:t xml:space="preserve">ed </w:t>
      </w:r>
      <w:r>
        <w:t>o</w:t>
      </w:r>
      <w:r w:rsidRPr="005B3F9E">
        <w:t xml:space="preserve">verall in </w:t>
      </w:r>
      <w:r>
        <w:t>s</w:t>
      </w:r>
      <w:r w:rsidRPr="005B3F9E">
        <w:t xml:space="preserve">erologically </w:t>
      </w:r>
      <w:r>
        <w:t>n</w:t>
      </w:r>
      <w:r w:rsidRPr="005B3F9E">
        <w:t xml:space="preserve">aïve </w:t>
      </w:r>
      <w:r>
        <w:t>h</w:t>
      </w:r>
      <w:r w:rsidRPr="005B3F9E">
        <w:t>ealthy</w:t>
      </w:r>
      <w:r>
        <w:t xml:space="preserve"> </w:t>
      </w:r>
      <w:r w:rsidRPr="005B3F9E">
        <w:t xml:space="preserve">human immunodeficiency virus </w:t>
      </w:r>
      <w:r>
        <w:t>n</w:t>
      </w:r>
      <w:r w:rsidRPr="005B3F9E">
        <w:t xml:space="preserve">egative and </w:t>
      </w:r>
      <w:r>
        <w:t>m</w:t>
      </w:r>
      <w:r w:rsidRPr="005B3F9E">
        <w:t xml:space="preserve">edically </w:t>
      </w:r>
      <w:r>
        <w:t>s</w:t>
      </w:r>
      <w:r w:rsidRPr="005B3F9E">
        <w:t>table human immunodeficiency virus</w:t>
      </w:r>
      <w:r>
        <w:t>, p</w:t>
      </w:r>
      <w:r w:rsidRPr="005B3F9E">
        <w:t xml:space="preserve">ositive </w:t>
      </w:r>
      <w:r>
        <w:t>s</w:t>
      </w:r>
      <w:r w:rsidRPr="005B3F9E">
        <w:t>ubjects combined (</w:t>
      </w:r>
      <w:r>
        <w:t>per protocol efficacy</w:t>
      </w:r>
      <w:r w:rsidRPr="005B3F9E">
        <w:t xml:space="preserve"> </w:t>
      </w:r>
      <w:r>
        <w:t>a</w:t>
      </w:r>
      <w:r w:rsidRPr="005B3F9E">
        <w:t xml:space="preserve">nalysis </w:t>
      </w:r>
      <w:r>
        <w:t>s</w:t>
      </w:r>
      <w:r w:rsidRPr="005B3F9E">
        <w:t>et)</w:t>
      </w:r>
    </w:p>
    <w:p w14:paraId="3BDDF952" w14:textId="1AFF6619" w:rsidR="005B3F9E" w:rsidRDefault="005B3F9E" w:rsidP="00345763">
      <w:r w:rsidRPr="00ED6F9D">
        <w:rPr>
          <w:rFonts w:eastAsia="Calibri"/>
          <w:b/>
          <w:noProof/>
          <w:szCs w:val="24"/>
          <w:lang w:val="en-GB" w:eastAsia="en-GB"/>
        </w:rPr>
        <w:drawing>
          <wp:inline distT="0" distB="0" distL="0" distR="0" wp14:anchorId="151A18BC" wp14:editId="7EFDA71E">
            <wp:extent cx="5091379" cy="2406085"/>
            <wp:effectExtent l="0" t="0" r="0" b="0"/>
            <wp:docPr id="237" name="Picture 237" descr="P8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847#yIS1"/>
                    <pic:cNvPicPr>
                      <a:picLocks noChangeAspect="1" noChangeArrowheads="1"/>
                    </pic:cNvPicPr>
                  </pic:nvPicPr>
                  <pic:blipFill rotWithShape="1">
                    <a:blip r:embed="rId49">
                      <a:extLst>
                        <a:ext uri="{28A0092B-C50C-407E-A947-70E740481C1C}">
                          <a14:useLocalDpi xmlns:a14="http://schemas.microsoft.com/office/drawing/2010/main" val="0"/>
                        </a:ext>
                      </a:extLst>
                    </a:blip>
                    <a:srcRect l="1084" t="7209" b="9874"/>
                    <a:stretch/>
                  </pic:blipFill>
                  <pic:spPr bwMode="auto">
                    <a:xfrm>
                      <a:off x="0" y="0"/>
                      <a:ext cx="5122415" cy="2420752"/>
                    </a:xfrm>
                    <a:prstGeom prst="rect">
                      <a:avLst/>
                    </a:prstGeom>
                    <a:noFill/>
                    <a:ln>
                      <a:noFill/>
                    </a:ln>
                    <a:extLst>
                      <a:ext uri="{53640926-AAD7-44D8-BBD7-CCE9431645EC}">
                        <a14:shadowObscured xmlns:a14="http://schemas.microsoft.com/office/drawing/2010/main"/>
                      </a:ext>
                    </a:extLst>
                  </pic:spPr>
                </pic:pic>
              </a:graphicData>
            </a:graphic>
          </wp:inline>
        </w:drawing>
      </w:r>
    </w:p>
    <w:p w14:paraId="68F1225A" w14:textId="62AF50AC" w:rsidR="005B3F9E" w:rsidRPr="00D56B6E" w:rsidRDefault="00D56B6E" w:rsidP="00345763">
      <w:pPr>
        <w:pStyle w:val="Heading7"/>
        <w:keepNext w:val="0"/>
        <w:rPr>
          <w:sz w:val="22"/>
          <w:szCs w:val="28"/>
          <w:lang w:eastAsia="ja-JP"/>
        </w:rPr>
      </w:pPr>
      <w:r w:rsidRPr="00D56B6E">
        <w:rPr>
          <w:sz w:val="22"/>
          <w:szCs w:val="28"/>
          <w:lang w:eastAsia="ja-JP"/>
        </w:rPr>
        <w:t>S</w:t>
      </w:r>
      <w:r w:rsidR="005B3F9E" w:rsidRPr="00D56B6E">
        <w:rPr>
          <w:sz w:val="22"/>
          <w:szCs w:val="28"/>
          <w:lang w:eastAsia="ja-JP"/>
        </w:rPr>
        <w:t>econdary</w:t>
      </w:r>
      <w:r w:rsidRPr="00D56B6E">
        <w:rPr>
          <w:sz w:val="22"/>
          <w:szCs w:val="28"/>
          <w:lang w:eastAsia="ja-JP"/>
        </w:rPr>
        <w:t xml:space="preserve"> efficacy</w:t>
      </w:r>
      <w:r w:rsidR="005B3F9E" w:rsidRPr="00D56B6E">
        <w:rPr>
          <w:sz w:val="22"/>
          <w:szCs w:val="28"/>
          <w:lang w:eastAsia="ja-JP"/>
        </w:rPr>
        <w:t xml:space="preserve"> endpoints</w:t>
      </w:r>
    </w:p>
    <w:p w14:paraId="271ABB7A" w14:textId="1942A374" w:rsidR="005B3F9E" w:rsidRPr="00ED6F9D" w:rsidRDefault="005B3F9E" w:rsidP="00345763">
      <w:pPr>
        <w:rPr>
          <w:lang w:eastAsia="ja-JP"/>
        </w:rPr>
      </w:pPr>
      <w:r w:rsidRPr="009B4460">
        <w:rPr>
          <w:i/>
        </w:rPr>
        <w:t>Prevention of COVID-19 hospitalisation</w:t>
      </w:r>
      <w:r w:rsidR="00C064D8">
        <w:rPr>
          <w:lang w:eastAsia="ja-JP"/>
        </w:rPr>
        <w:t xml:space="preserve">: </w:t>
      </w:r>
      <w:r w:rsidRPr="00ED6F9D">
        <w:rPr>
          <w:lang w:eastAsia="ja-JP"/>
        </w:rPr>
        <w:t xml:space="preserve">There were </w:t>
      </w:r>
      <w:r w:rsidR="00D56B6E">
        <w:rPr>
          <w:lang w:eastAsia="ja-JP"/>
        </w:rPr>
        <w:t>five</w:t>
      </w:r>
      <w:r w:rsidRPr="00ED6F9D">
        <w:rPr>
          <w:lang w:eastAsia="ja-JP"/>
        </w:rPr>
        <w:t xml:space="preserve"> cases of hospitalisation among all adult subjects seronegative (to SARS-CoV-2) at </w:t>
      </w:r>
      <w:r w:rsidR="00D56B6E">
        <w:rPr>
          <w:lang w:eastAsia="ja-JP"/>
        </w:rPr>
        <w:t>B</w:t>
      </w:r>
      <w:r w:rsidRPr="00ED6F9D">
        <w:rPr>
          <w:lang w:eastAsia="ja-JP"/>
        </w:rPr>
        <w:t xml:space="preserve">aseline, from </w:t>
      </w:r>
      <w:r w:rsidR="00D56B6E">
        <w:rPr>
          <w:lang w:eastAsia="ja-JP"/>
        </w:rPr>
        <w:t>seven</w:t>
      </w:r>
      <w:r w:rsidRPr="00ED6F9D">
        <w:rPr>
          <w:lang w:eastAsia="ja-JP"/>
        </w:rPr>
        <w:t xml:space="preserve"> days after second </w:t>
      </w:r>
      <w:r w:rsidR="00D56B6E">
        <w:rPr>
          <w:lang w:eastAsia="ja-JP"/>
        </w:rPr>
        <w:t xml:space="preserve">dose </w:t>
      </w:r>
      <w:r w:rsidRPr="00ED6F9D">
        <w:rPr>
          <w:lang w:eastAsia="ja-JP"/>
        </w:rPr>
        <w:t>vaccination (Day 28). All occurred in the placebo group.</w:t>
      </w:r>
    </w:p>
    <w:p w14:paraId="05F38C2E" w14:textId="2C855FF3" w:rsidR="005B3F9E" w:rsidRPr="00ED6F9D" w:rsidRDefault="005B3F9E" w:rsidP="00345763">
      <w:pPr>
        <w:rPr>
          <w:lang w:eastAsia="ja-JP"/>
        </w:rPr>
      </w:pPr>
      <w:r w:rsidRPr="009B4460">
        <w:rPr>
          <w:i/>
        </w:rPr>
        <w:t>Prevention of COVID-19 stratified by severity</w:t>
      </w:r>
      <w:r w:rsidR="00C064D8">
        <w:rPr>
          <w:lang w:eastAsia="ja-JP"/>
        </w:rPr>
        <w:t xml:space="preserve">: </w:t>
      </w:r>
      <w:r w:rsidRPr="00ED6F9D">
        <w:rPr>
          <w:lang w:eastAsia="ja-JP"/>
        </w:rPr>
        <w:t xml:space="preserve">Among all subjects seronegative (to SARS-CoV-2) at </w:t>
      </w:r>
      <w:r w:rsidR="00D56B6E">
        <w:rPr>
          <w:lang w:eastAsia="ja-JP"/>
        </w:rPr>
        <w:t>B</w:t>
      </w:r>
      <w:r w:rsidRPr="00ED6F9D">
        <w:rPr>
          <w:lang w:eastAsia="ja-JP"/>
        </w:rPr>
        <w:t xml:space="preserve">aseline, from </w:t>
      </w:r>
      <w:r w:rsidR="00D56B6E">
        <w:rPr>
          <w:lang w:eastAsia="ja-JP"/>
        </w:rPr>
        <w:t xml:space="preserve">seven </w:t>
      </w:r>
      <w:r w:rsidRPr="00ED6F9D">
        <w:rPr>
          <w:lang w:eastAsia="ja-JP"/>
        </w:rPr>
        <w:t xml:space="preserve">days after second </w:t>
      </w:r>
      <w:r w:rsidR="00D56B6E">
        <w:rPr>
          <w:lang w:eastAsia="ja-JP"/>
        </w:rPr>
        <w:t xml:space="preserve">dose </w:t>
      </w:r>
      <w:r w:rsidRPr="00ED6F9D">
        <w:rPr>
          <w:lang w:eastAsia="ja-JP"/>
        </w:rPr>
        <w:t xml:space="preserve">vaccination, the level of prevention of mild COVID-19 was 68.7%, 95% CI: 38.5, 84.1, that of moderate COVID-19 was 32.1%, 95% CI: -1.0, 54.4, and 100%, 95% CI: </w:t>
      </w:r>
      <w:r w:rsidR="00D56B6E">
        <w:rPr>
          <w:lang w:eastAsia="ja-JP"/>
        </w:rPr>
        <w:noBreakHyphen/>
      </w:r>
      <w:r w:rsidRPr="00ED6F9D">
        <w:rPr>
          <w:lang w:eastAsia="ja-JP"/>
        </w:rPr>
        <w:t>5.6, 100 against severe COVID-19.</w:t>
      </w:r>
    </w:p>
    <w:p w14:paraId="46B939BB" w14:textId="13BEB9B5" w:rsidR="005B3F9E" w:rsidRPr="00ED6F9D" w:rsidRDefault="005B3F9E" w:rsidP="00345763">
      <w:pPr>
        <w:rPr>
          <w:lang w:eastAsia="ja-JP"/>
        </w:rPr>
      </w:pPr>
      <w:r w:rsidRPr="009B4460">
        <w:rPr>
          <w:i/>
        </w:rPr>
        <w:t>Efficacy by SARS-CoV-2 variant</w:t>
      </w:r>
      <w:r w:rsidR="00C064D8">
        <w:rPr>
          <w:i/>
        </w:rPr>
        <w:t>:</w:t>
      </w:r>
      <w:r w:rsidR="00C064D8">
        <w:rPr>
          <w:lang w:eastAsia="ja-JP"/>
        </w:rPr>
        <w:t xml:space="preserve"> </w:t>
      </w:r>
      <w:r w:rsidRPr="00ED6F9D">
        <w:rPr>
          <w:lang w:eastAsia="ja-JP"/>
        </w:rPr>
        <w:t xml:space="preserve">Forty-one (93.2%) of 44 subjects with a primary efficacy endpoint had whole genome sequence data available (samples from </w:t>
      </w:r>
      <w:r w:rsidR="00D56B6E">
        <w:rPr>
          <w:lang w:eastAsia="ja-JP"/>
        </w:rPr>
        <w:t>three</w:t>
      </w:r>
      <w:r w:rsidRPr="00ED6F9D">
        <w:rPr>
          <w:lang w:eastAsia="ja-JP"/>
        </w:rPr>
        <w:t xml:space="preserve"> cases in the placebo group could not be sequenced), and 38 (92.7%) of 41 were identified as the B.1.351 variant, resulting in a post-hoc VE of </w:t>
      </w:r>
      <w:proofErr w:type="spellStart"/>
      <w:r w:rsidR="00D56B6E">
        <w:rPr>
          <w:lang w:eastAsia="ja-JP"/>
        </w:rPr>
        <w:t>Nuvaxovid</w:t>
      </w:r>
      <w:proofErr w:type="spellEnd"/>
      <w:r w:rsidRPr="00ED6F9D">
        <w:rPr>
          <w:lang w:eastAsia="ja-JP"/>
        </w:rPr>
        <w:t xml:space="preserve"> (PP-EFF </w:t>
      </w:r>
      <w:r w:rsidR="00D56B6E">
        <w:rPr>
          <w:lang w:eastAsia="ja-JP"/>
        </w:rPr>
        <w:t>a</w:t>
      </w:r>
      <w:r w:rsidRPr="00ED6F9D">
        <w:rPr>
          <w:lang w:eastAsia="ja-JP"/>
        </w:rPr>
        <w:t xml:space="preserve">nalysis </w:t>
      </w:r>
      <w:r w:rsidR="00D56B6E">
        <w:rPr>
          <w:lang w:eastAsia="ja-JP"/>
        </w:rPr>
        <w:t>s</w:t>
      </w:r>
      <w:r w:rsidRPr="00ED6F9D">
        <w:rPr>
          <w:lang w:eastAsia="ja-JP"/>
        </w:rPr>
        <w:t xml:space="preserve">et) in prevention of symptomatic mild, moderate, or severe COVID-19 in all adult subjects, seronegative (to SARS-CoV-2) at </w:t>
      </w:r>
      <w:r w:rsidR="009A4172">
        <w:rPr>
          <w:lang w:eastAsia="ja-JP"/>
        </w:rPr>
        <w:t>B</w:t>
      </w:r>
      <w:r w:rsidRPr="00ED6F9D">
        <w:rPr>
          <w:lang w:eastAsia="ja-JP"/>
        </w:rPr>
        <w:t>aseline, of 43.0% (95% CI: -9.8, 70.4) for the B.1.351 variant.</w:t>
      </w:r>
    </w:p>
    <w:p w14:paraId="4AE8A675" w14:textId="16E712B9" w:rsidR="005B3F9E" w:rsidRPr="009A4172" w:rsidRDefault="00C064D8" w:rsidP="00345763">
      <w:pPr>
        <w:pStyle w:val="Heading7"/>
        <w:keepNext w:val="0"/>
        <w:rPr>
          <w:rFonts w:eastAsia="Calibri"/>
          <w:sz w:val="22"/>
          <w:szCs w:val="28"/>
        </w:rPr>
      </w:pPr>
      <w:r>
        <w:rPr>
          <w:rFonts w:eastAsia="Calibri"/>
          <w:sz w:val="22"/>
          <w:szCs w:val="28"/>
        </w:rPr>
        <w:t>Subgroup analyses</w:t>
      </w:r>
    </w:p>
    <w:p w14:paraId="62EB2888" w14:textId="7D4EE5D6" w:rsidR="005B3F9E" w:rsidRPr="00ED6F9D" w:rsidRDefault="005B3F9E" w:rsidP="00345763">
      <w:pPr>
        <w:rPr>
          <w:rFonts w:eastAsia="Calibri"/>
          <w:szCs w:val="24"/>
        </w:rPr>
      </w:pPr>
      <w:r w:rsidRPr="009B4460">
        <w:rPr>
          <w:i/>
        </w:rPr>
        <w:t xml:space="preserve">By SARS-CoV-2 serostatus at </w:t>
      </w:r>
      <w:r w:rsidR="009A4172" w:rsidRPr="009B4460">
        <w:rPr>
          <w:i/>
        </w:rPr>
        <w:t>B</w:t>
      </w:r>
      <w:r w:rsidRPr="009B4460">
        <w:rPr>
          <w:i/>
        </w:rPr>
        <w:t>aseline</w:t>
      </w:r>
      <w:r w:rsidR="00C064D8">
        <w:rPr>
          <w:rFonts w:eastAsia="Calibri"/>
          <w:szCs w:val="24"/>
        </w:rPr>
        <w:t xml:space="preserve">: </w:t>
      </w:r>
      <w:r w:rsidRPr="00ED6F9D">
        <w:rPr>
          <w:rFonts w:eastAsia="Calibri"/>
          <w:szCs w:val="24"/>
        </w:rPr>
        <w:t xml:space="preserve">A total of 147 and 39 symptomatic mild, moderate, or severe COVID-19 cases occurring at least </w:t>
      </w:r>
      <w:r w:rsidR="009A4172">
        <w:rPr>
          <w:rFonts w:eastAsia="Calibri"/>
          <w:szCs w:val="24"/>
        </w:rPr>
        <w:t>seven</w:t>
      </w:r>
      <w:r w:rsidRPr="00ED6F9D">
        <w:rPr>
          <w:rFonts w:eastAsia="Calibri"/>
          <w:szCs w:val="24"/>
        </w:rPr>
        <w:t xml:space="preserve"> days post </w:t>
      </w:r>
      <w:r w:rsidR="009A4172">
        <w:rPr>
          <w:rFonts w:eastAsia="Calibri"/>
          <w:szCs w:val="24"/>
        </w:rPr>
        <w:t xml:space="preserve">second </w:t>
      </w:r>
      <w:r w:rsidRPr="00ED6F9D">
        <w:rPr>
          <w:rFonts w:eastAsia="Calibri"/>
          <w:szCs w:val="24"/>
        </w:rPr>
        <w:t xml:space="preserve">dose, among all adult subjects, seronegative (to SARS-CoV-2) or seropositive at </w:t>
      </w:r>
      <w:r w:rsidR="009A4172">
        <w:rPr>
          <w:rFonts w:eastAsia="Calibri"/>
          <w:szCs w:val="24"/>
        </w:rPr>
        <w:t>B</w:t>
      </w:r>
      <w:r w:rsidRPr="00ED6F9D">
        <w:rPr>
          <w:rFonts w:eastAsia="Calibri"/>
          <w:szCs w:val="24"/>
        </w:rPr>
        <w:t>aseline</w:t>
      </w:r>
      <w:r w:rsidR="008B5778">
        <w:rPr>
          <w:rFonts w:eastAsia="Calibri"/>
          <w:szCs w:val="24"/>
        </w:rPr>
        <w:t xml:space="preserve"> respectively</w:t>
      </w:r>
      <w:r w:rsidRPr="00ED6F9D">
        <w:rPr>
          <w:rFonts w:eastAsia="Calibri"/>
          <w:szCs w:val="24"/>
        </w:rPr>
        <w:t xml:space="preserve"> were accrued for analysis. The VEs of </w:t>
      </w:r>
      <w:proofErr w:type="spellStart"/>
      <w:r w:rsidR="009A4172">
        <w:rPr>
          <w:rFonts w:eastAsia="Calibri"/>
          <w:szCs w:val="24"/>
        </w:rPr>
        <w:t>Nuvaxovid</w:t>
      </w:r>
      <w:proofErr w:type="spellEnd"/>
      <w:r w:rsidRPr="00ED6F9D">
        <w:rPr>
          <w:rFonts w:eastAsia="Calibri"/>
          <w:szCs w:val="24"/>
        </w:rPr>
        <w:t xml:space="preserve"> in prevention of COVID-19 in all adult subjects, seronegative (to SARS-CoV-2) or seropositive at </w:t>
      </w:r>
      <w:r w:rsidR="009A4172">
        <w:rPr>
          <w:rFonts w:eastAsia="Calibri"/>
          <w:szCs w:val="24"/>
        </w:rPr>
        <w:t>B</w:t>
      </w:r>
      <w:r w:rsidRPr="00ED6F9D">
        <w:rPr>
          <w:rFonts w:eastAsia="Calibri"/>
          <w:szCs w:val="24"/>
        </w:rPr>
        <w:t>aseline, were respectively 48.6% (95% CI: 28.4, 63.1) and 54.5% (95% CI: 11.1, 76.7).</w:t>
      </w:r>
    </w:p>
    <w:p w14:paraId="0417F96F" w14:textId="3912DBA2" w:rsidR="005B3F9E" w:rsidRPr="00ED6F9D" w:rsidRDefault="005B3F9E" w:rsidP="00345763">
      <w:pPr>
        <w:rPr>
          <w:rFonts w:eastAsia="Calibri"/>
          <w:szCs w:val="24"/>
        </w:rPr>
      </w:pPr>
      <w:r w:rsidRPr="009B4460">
        <w:rPr>
          <w:i/>
        </w:rPr>
        <w:t xml:space="preserve">By </w:t>
      </w:r>
      <w:bookmarkStart w:id="88" w:name="_Hlk92718199"/>
      <w:r w:rsidR="009A4172" w:rsidRPr="009B4460">
        <w:rPr>
          <w:i/>
        </w:rPr>
        <w:t>human immunodeficiency virus</w:t>
      </w:r>
      <w:r w:rsidRPr="009B4460">
        <w:rPr>
          <w:i/>
        </w:rPr>
        <w:t xml:space="preserve"> </w:t>
      </w:r>
      <w:bookmarkEnd w:id="88"/>
      <w:r w:rsidRPr="009B4460">
        <w:rPr>
          <w:i/>
        </w:rPr>
        <w:t>status</w:t>
      </w:r>
      <w:r w:rsidR="00C064D8">
        <w:rPr>
          <w:i/>
        </w:rPr>
        <w:t>:</w:t>
      </w:r>
      <w:r w:rsidR="00C064D8">
        <w:rPr>
          <w:rFonts w:eastAsia="Calibri"/>
          <w:szCs w:val="24"/>
        </w:rPr>
        <w:t xml:space="preserve"> </w:t>
      </w:r>
      <w:r w:rsidRPr="00ED6F9D">
        <w:rPr>
          <w:rFonts w:eastAsia="Calibri"/>
          <w:szCs w:val="24"/>
        </w:rPr>
        <w:t xml:space="preserve">Among </w:t>
      </w:r>
      <w:r w:rsidR="009A4172">
        <w:t>HIV</w:t>
      </w:r>
      <w:r w:rsidR="009A4172" w:rsidRPr="00ED6F9D">
        <w:rPr>
          <w:rFonts w:eastAsia="Calibri"/>
          <w:szCs w:val="24"/>
        </w:rPr>
        <w:t xml:space="preserve"> </w:t>
      </w:r>
      <w:r w:rsidRPr="00ED6F9D">
        <w:rPr>
          <w:rFonts w:eastAsia="Calibri"/>
          <w:szCs w:val="24"/>
        </w:rPr>
        <w:t xml:space="preserve">negative subjects seronegative (to SARS-CoV-2) at </w:t>
      </w:r>
      <w:r w:rsidR="009A4172">
        <w:rPr>
          <w:rFonts w:eastAsia="Calibri"/>
          <w:szCs w:val="24"/>
        </w:rPr>
        <w:t>B</w:t>
      </w:r>
      <w:r w:rsidRPr="00ED6F9D">
        <w:rPr>
          <w:rFonts w:eastAsia="Calibri"/>
          <w:szCs w:val="24"/>
        </w:rPr>
        <w:t xml:space="preserve">aseline, the VE of </w:t>
      </w:r>
      <w:proofErr w:type="spellStart"/>
      <w:r w:rsidRPr="00ED6F9D">
        <w:rPr>
          <w:rFonts w:eastAsia="Calibri"/>
          <w:szCs w:val="24"/>
        </w:rPr>
        <w:t>N</w:t>
      </w:r>
      <w:r w:rsidR="009A4172">
        <w:rPr>
          <w:rFonts w:eastAsia="Calibri"/>
          <w:szCs w:val="24"/>
        </w:rPr>
        <w:t>uvaxovid</w:t>
      </w:r>
      <w:proofErr w:type="spellEnd"/>
      <w:r w:rsidRPr="00ED6F9D">
        <w:rPr>
          <w:rFonts w:eastAsia="Calibri"/>
          <w:szCs w:val="24"/>
        </w:rPr>
        <w:t xml:space="preserve"> in prevention of symptomatic mild, moderate, or severe COVID-19 was 55.4% (95% CI: 35.9, 68.9). Among HIV</w:t>
      </w:r>
      <w:r w:rsidR="009A4172">
        <w:rPr>
          <w:rFonts w:eastAsia="Calibri"/>
          <w:szCs w:val="24"/>
        </w:rPr>
        <w:t xml:space="preserve"> </w:t>
      </w:r>
      <w:r w:rsidRPr="00ED6F9D">
        <w:rPr>
          <w:rFonts w:eastAsia="Calibri"/>
          <w:szCs w:val="24"/>
        </w:rPr>
        <w:t xml:space="preserve">positive subjects seronegative (to SARS-CoV-2) at </w:t>
      </w:r>
      <w:r w:rsidR="009A4172">
        <w:rPr>
          <w:rFonts w:eastAsia="Calibri"/>
          <w:szCs w:val="24"/>
        </w:rPr>
        <w:t>B</w:t>
      </w:r>
      <w:r w:rsidRPr="00ED6F9D">
        <w:rPr>
          <w:rFonts w:eastAsia="Calibri"/>
          <w:szCs w:val="24"/>
        </w:rPr>
        <w:t>aseline the VE was -35.4% (95% CI: -236.9, 45.6</w:t>
      </w:r>
      <w:r w:rsidR="009A4172">
        <w:rPr>
          <w:rFonts w:eastAsia="Calibri"/>
          <w:szCs w:val="24"/>
        </w:rPr>
        <w:t>).</w:t>
      </w:r>
    </w:p>
    <w:p w14:paraId="52FC923D" w14:textId="69CEE335" w:rsidR="005B3F9E" w:rsidRDefault="009A4172" w:rsidP="00F441CA">
      <w:pPr>
        <w:pStyle w:val="TableTitle"/>
        <w:pageBreakBefore/>
      </w:pPr>
      <w:r w:rsidRPr="009A4172">
        <w:lastRenderedPageBreak/>
        <w:t xml:space="preserve">Table </w:t>
      </w:r>
      <w:r w:rsidR="00344FF4">
        <w:fldChar w:fldCharType="begin"/>
      </w:r>
      <w:r w:rsidR="00344FF4">
        <w:instrText xml:space="preserve"> SEQ Table \* ARABIC </w:instrText>
      </w:r>
      <w:r w:rsidR="00344FF4">
        <w:fldChar w:fldCharType="separate"/>
      </w:r>
      <w:r w:rsidR="00C41FF6">
        <w:rPr>
          <w:noProof/>
        </w:rPr>
        <w:t>26</w:t>
      </w:r>
      <w:r w:rsidR="00344FF4">
        <w:rPr>
          <w:noProof/>
        </w:rPr>
        <w:fldChar w:fldCharType="end"/>
      </w:r>
      <w:r>
        <w:t xml:space="preserve">: </w:t>
      </w:r>
      <w:r w:rsidR="00C064D8">
        <w:t xml:space="preserve">Study 2019nCoV-501 </w:t>
      </w:r>
      <w:r w:rsidRPr="009A4172">
        <w:t xml:space="preserve">Vaccine </w:t>
      </w:r>
      <w:r w:rsidR="00327074">
        <w:t>e</w:t>
      </w:r>
      <w:r w:rsidRPr="009A4172">
        <w:t xml:space="preserve">fficacy of </w:t>
      </w:r>
      <w:r>
        <w:t>polymerase chain reaction c</w:t>
      </w:r>
      <w:r w:rsidRPr="009A4172">
        <w:t xml:space="preserve">onfirmed SARS-CoV-2 </w:t>
      </w:r>
      <w:r>
        <w:t>p</w:t>
      </w:r>
      <w:r w:rsidRPr="009A4172">
        <w:t xml:space="preserve">ositivity with </w:t>
      </w:r>
      <w:r>
        <w:t>a</w:t>
      </w:r>
      <w:r w:rsidRPr="009A4172">
        <w:t xml:space="preserve">symptomatic, </w:t>
      </w:r>
      <w:r>
        <w:t>s</w:t>
      </w:r>
      <w:r w:rsidRPr="009A4172">
        <w:t xml:space="preserve">ymptomatic </w:t>
      </w:r>
      <w:r>
        <w:t>v</w:t>
      </w:r>
      <w:r w:rsidRPr="009A4172">
        <w:t xml:space="preserve">irologically </w:t>
      </w:r>
      <w:r>
        <w:t>c</w:t>
      </w:r>
      <w:r w:rsidRPr="009A4172">
        <w:t xml:space="preserve">onfirmed, </w:t>
      </w:r>
      <w:r>
        <w:t>m</w:t>
      </w:r>
      <w:r w:rsidRPr="009A4172">
        <w:t xml:space="preserve">ild, </w:t>
      </w:r>
      <w:r>
        <w:t>m</w:t>
      </w:r>
      <w:r w:rsidRPr="009A4172">
        <w:t xml:space="preserve">oderate, or </w:t>
      </w:r>
      <w:r>
        <w:t>s</w:t>
      </w:r>
      <w:r w:rsidRPr="009A4172">
        <w:t xml:space="preserve">evere COVID-19 from </w:t>
      </w:r>
      <w:r>
        <w:t>seven</w:t>
      </w:r>
      <w:r w:rsidRPr="009A4172">
        <w:t xml:space="preserve"> </w:t>
      </w:r>
      <w:r>
        <w:t>d</w:t>
      </w:r>
      <w:r w:rsidRPr="009A4172">
        <w:t xml:space="preserve">ays after </w:t>
      </w:r>
      <w:r>
        <w:t>s</w:t>
      </w:r>
      <w:r w:rsidRPr="009A4172">
        <w:t xml:space="preserve">econd </w:t>
      </w:r>
      <w:r>
        <w:t>v</w:t>
      </w:r>
      <w:r w:rsidRPr="009A4172">
        <w:t>accination (</w:t>
      </w:r>
      <w:r>
        <w:t xml:space="preserve">for example </w:t>
      </w:r>
      <w:r w:rsidRPr="009A4172">
        <w:t xml:space="preserve">Day 28) with </w:t>
      </w:r>
      <w:proofErr w:type="spellStart"/>
      <w:r>
        <w:t>Nuvaxovid</w:t>
      </w:r>
      <w:proofErr w:type="spellEnd"/>
      <w:r w:rsidRPr="009A4172">
        <w:t xml:space="preserve"> or </w:t>
      </w:r>
      <w:r>
        <w:t>p</w:t>
      </w:r>
      <w:r w:rsidRPr="009A4172">
        <w:t xml:space="preserve">lacebo </w:t>
      </w:r>
      <w:r>
        <w:t>o</w:t>
      </w:r>
      <w:r w:rsidRPr="009A4172">
        <w:t xml:space="preserve">verall and in </w:t>
      </w:r>
      <w:r>
        <w:t>h</w:t>
      </w:r>
      <w:r w:rsidRPr="009A4172">
        <w:t>ealthy human immunodeficiency virus</w:t>
      </w:r>
      <w:r>
        <w:t xml:space="preserve"> n</w:t>
      </w:r>
      <w:r w:rsidRPr="009A4172">
        <w:t xml:space="preserve">egative and </w:t>
      </w:r>
      <w:r>
        <w:t>m</w:t>
      </w:r>
      <w:r w:rsidRPr="009A4172">
        <w:t xml:space="preserve">edically </w:t>
      </w:r>
      <w:r>
        <w:t>s</w:t>
      </w:r>
      <w:r w:rsidRPr="009A4172">
        <w:t>table</w:t>
      </w:r>
      <w:r>
        <w:t xml:space="preserve"> </w:t>
      </w:r>
      <w:r w:rsidRPr="009A4172">
        <w:t xml:space="preserve">human immunodeficiency virus </w:t>
      </w:r>
      <w:r>
        <w:t>p</w:t>
      </w:r>
      <w:r w:rsidRPr="009A4172">
        <w:t xml:space="preserve">ositive </w:t>
      </w:r>
      <w:r>
        <w:t>s</w:t>
      </w:r>
      <w:r w:rsidRPr="009A4172">
        <w:t xml:space="preserve">ubjects </w:t>
      </w:r>
      <w:r>
        <w:t>s</w:t>
      </w:r>
      <w:r w:rsidRPr="009A4172">
        <w:t xml:space="preserve">tratified by </w:t>
      </w:r>
      <w:r>
        <w:t>b</w:t>
      </w:r>
      <w:r w:rsidRPr="009A4172">
        <w:t xml:space="preserve">aseline </w:t>
      </w:r>
      <w:r>
        <w:t>s</w:t>
      </w:r>
      <w:r w:rsidRPr="009A4172">
        <w:t xml:space="preserve">erostatus and </w:t>
      </w:r>
      <w:r>
        <w:t>r</w:t>
      </w:r>
      <w:r w:rsidRPr="009A4172">
        <w:t xml:space="preserve">egardless of </w:t>
      </w:r>
      <w:r>
        <w:t>b</w:t>
      </w:r>
      <w:r w:rsidRPr="009A4172">
        <w:t xml:space="preserve">aseline </w:t>
      </w:r>
      <w:r>
        <w:t>s</w:t>
      </w:r>
      <w:r w:rsidRPr="009A4172">
        <w:t>erostatus (</w:t>
      </w:r>
      <w:r>
        <w:t>per protocol efficacy a</w:t>
      </w:r>
      <w:r w:rsidRPr="009A4172">
        <w:t xml:space="preserve">nd </w:t>
      </w:r>
      <w:r>
        <w:t>s</w:t>
      </w:r>
      <w:r w:rsidRPr="009A4172">
        <w:t xml:space="preserve">econd </w:t>
      </w:r>
      <w:r>
        <w:t>per protocol efficacy</w:t>
      </w:r>
      <w:r w:rsidRPr="009A4172">
        <w:t xml:space="preserve"> </w:t>
      </w:r>
      <w:r>
        <w:t>a</w:t>
      </w:r>
      <w:r w:rsidRPr="009A4172">
        <w:t xml:space="preserve">nalysis </w:t>
      </w:r>
      <w:r>
        <w:t>s</w:t>
      </w:r>
      <w:r w:rsidRPr="009A4172">
        <w:t>ets)</w:t>
      </w:r>
    </w:p>
    <w:p w14:paraId="4BD264EF" w14:textId="16DF4645" w:rsidR="009A4172" w:rsidRDefault="009A4172" w:rsidP="00345763">
      <w:r w:rsidRPr="00ED6F9D">
        <w:rPr>
          <w:rFonts w:eastAsia="Calibri"/>
          <w:noProof/>
          <w:szCs w:val="24"/>
          <w:lang w:val="en-GB" w:eastAsia="en-GB"/>
        </w:rPr>
        <w:drawing>
          <wp:inline distT="0" distB="0" distL="0" distR="0" wp14:anchorId="07781CBE" wp14:editId="2F7CEEDD">
            <wp:extent cx="5255453" cy="2615389"/>
            <wp:effectExtent l="0" t="0" r="2540" b="0"/>
            <wp:docPr id="238" name="Picture 238" descr="P8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856#yIS1"/>
                    <pic:cNvPicPr>
                      <a:picLocks noChangeAspect="1" noChangeArrowheads="1"/>
                    </pic:cNvPicPr>
                  </pic:nvPicPr>
                  <pic:blipFill rotWithShape="1">
                    <a:blip r:embed="rId50">
                      <a:extLst>
                        <a:ext uri="{28A0092B-C50C-407E-A947-70E740481C1C}">
                          <a14:useLocalDpi xmlns:a14="http://schemas.microsoft.com/office/drawing/2010/main" val="0"/>
                        </a:ext>
                      </a:extLst>
                    </a:blip>
                    <a:srcRect l="1326" t="1660" r="1307" b="32346"/>
                    <a:stretch/>
                  </pic:blipFill>
                  <pic:spPr bwMode="auto">
                    <a:xfrm>
                      <a:off x="0" y="0"/>
                      <a:ext cx="5257875" cy="2616594"/>
                    </a:xfrm>
                    <a:prstGeom prst="rect">
                      <a:avLst/>
                    </a:prstGeom>
                    <a:noFill/>
                    <a:ln>
                      <a:noFill/>
                    </a:ln>
                    <a:extLst>
                      <a:ext uri="{53640926-AAD7-44D8-BBD7-CCE9431645EC}">
                        <a14:shadowObscured xmlns:a14="http://schemas.microsoft.com/office/drawing/2010/main"/>
                      </a:ext>
                    </a:extLst>
                  </pic:spPr>
                </pic:pic>
              </a:graphicData>
            </a:graphic>
          </wp:inline>
        </w:drawing>
      </w:r>
    </w:p>
    <w:p w14:paraId="4BFFEBDC" w14:textId="2B80DBFA" w:rsidR="003208E7" w:rsidRDefault="003208E7" w:rsidP="00CB0654">
      <w:pPr>
        <w:pStyle w:val="TableDescription"/>
      </w:pPr>
      <w:r>
        <w:t xml:space="preserve">Abbreviation: CI = confidence interval; HIV = human immunodeficiency virus; IgG = immunoglobulin G; n = number of participants with NAAT-confirmed COVID-19; N = number of participants; NAAT = nucleic acid amplification test;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 PCR = polymerase chain reaction; VE = vaccine efficacy.</w:t>
      </w:r>
    </w:p>
    <w:p w14:paraId="34083AA7" w14:textId="77777777" w:rsidR="003208E7" w:rsidRDefault="003208E7" w:rsidP="00CB0654">
      <w:pPr>
        <w:pStyle w:val="TableDescription"/>
      </w:pPr>
      <w:r>
        <w:t>Note: The 95% CI for PCR confirmed COVID-19 infection was calculated using the exact Clopper-Pearson method. Participants were counted as a COVID-19 case only for the first PCR plus illness episode. Once that case has been determined, it was further classified to a severity level.</w:t>
      </w:r>
    </w:p>
    <w:p w14:paraId="3ABEE971" w14:textId="77777777" w:rsidR="003208E7" w:rsidRDefault="003208E7" w:rsidP="00CB0654">
      <w:pPr>
        <w:pStyle w:val="TableDescription"/>
      </w:pPr>
      <w:r w:rsidRPr="005B3F9E">
        <w:rPr>
          <w:vertAlign w:val="superscript"/>
        </w:rPr>
        <w:t>1</w:t>
      </w:r>
      <w:r>
        <w:t xml:space="preserve"> Percentage of participants with COVID-19 calculated as n/N x 100.</w:t>
      </w:r>
    </w:p>
    <w:p w14:paraId="490E668C" w14:textId="432CB260" w:rsidR="003208E7" w:rsidRDefault="003208E7" w:rsidP="00CB0654">
      <w:pPr>
        <w:pStyle w:val="TableDescription"/>
      </w:pPr>
      <w:r w:rsidRPr="005B3F9E">
        <w:rPr>
          <w:vertAlign w:val="superscript"/>
        </w:rPr>
        <w:t>2</w:t>
      </w:r>
      <w:r>
        <w:t>.</w:t>
      </w:r>
      <w:r w:rsidRPr="003208E7">
        <w:t xml:space="preserve"> </w:t>
      </w:r>
      <w:r>
        <w:t>Based on PP-EFF analysis set</w:t>
      </w:r>
    </w:p>
    <w:p w14:paraId="13719F9C" w14:textId="34C799F4" w:rsidR="003208E7" w:rsidRDefault="003208E7" w:rsidP="00CB0654">
      <w:pPr>
        <w:pStyle w:val="TableDescription"/>
      </w:pPr>
      <w:r w:rsidRPr="005B3F9E">
        <w:rPr>
          <w:vertAlign w:val="superscript"/>
        </w:rPr>
        <w:t>3</w:t>
      </w:r>
      <w:r>
        <w:t xml:space="preserve"> Based on second PP-EFF analysis set</w:t>
      </w:r>
    </w:p>
    <w:p w14:paraId="0904CD30" w14:textId="36EC9733" w:rsidR="003208E7" w:rsidRDefault="003208E7" w:rsidP="00CB0654">
      <w:pPr>
        <w:pStyle w:val="TableDescription"/>
      </w:pPr>
      <w:r>
        <w:t>Log-linear model of PCR confirmed COVID-19 infection incidence rate using Poisson regression;</w:t>
      </w:r>
      <w:r>
        <w:fldChar w:fldCharType="begin"/>
      </w:r>
      <w:r>
        <w:instrText xml:space="preserve"> NOTEREF _Ref92712130 \f \h </w:instrText>
      </w:r>
      <w:r>
        <w:fldChar w:fldCharType="separate"/>
      </w:r>
      <w:r w:rsidR="00C41FF6" w:rsidRPr="00C41FF6">
        <w:rPr>
          <w:rStyle w:val="FootnoteReference"/>
        </w:rPr>
        <w:t>30</w:t>
      </w:r>
      <w:r>
        <w:fldChar w:fldCharType="end"/>
      </w:r>
      <w:r>
        <w:t xml:space="preserve"> with treatment group as fixed effects and robust error variance.</w:t>
      </w:r>
    </w:p>
    <w:p w14:paraId="18404FAE" w14:textId="38168559" w:rsidR="003208E7" w:rsidRDefault="003208E7" w:rsidP="00CB0654">
      <w:pPr>
        <w:pStyle w:val="TableDescription"/>
      </w:pPr>
      <w:r>
        <w:t>Vaccine efficacy = 100 x (1 – relative risk)</w:t>
      </w:r>
    </w:p>
    <w:p w14:paraId="5E539D35" w14:textId="75EAA767" w:rsidR="00AB4322" w:rsidRDefault="00AB4322" w:rsidP="00345763">
      <w:pPr>
        <w:pStyle w:val="Heading6"/>
        <w:keepNext w:val="0"/>
      </w:pPr>
      <w:r>
        <w:t>Conclusions on the clinical efficacy</w:t>
      </w:r>
    </w:p>
    <w:p w14:paraId="53066D50" w14:textId="347B5B15" w:rsidR="00AB4322" w:rsidRDefault="00AB4322" w:rsidP="00345763">
      <w:r>
        <w:t xml:space="preserve">Based on the data available for </w:t>
      </w:r>
      <w:proofErr w:type="spellStart"/>
      <w:r>
        <w:t>Nuvaxovid</w:t>
      </w:r>
      <w:proofErr w:type="spellEnd"/>
      <w:r>
        <w:t>, a robust and high protective efficacy against COVID-19 has been demonstrated in individuals aged 18 years and older in two pivotal observer blinded placebo controlled trials. Efficacy has been established for a median follow up of 90 days in 2019nCoV-302 and 76 days in 2019nCoV-302. The vaccine is efficacious across different high risk groups including older adults, as well as subjects considered at increased risk of severe disease due to underlying chronic disease. Lower vaccine efficacy was observed in a supportive Study2019nCoV-501 in South Africa, which was possibly due to reduced efficacy against the Beta variant; however, other factors cannot be excluded.</w:t>
      </w:r>
    </w:p>
    <w:p w14:paraId="7B620938" w14:textId="4C55E267" w:rsidR="005F4935" w:rsidRDefault="005F4935" w:rsidP="00345763">
      <w:pPr>
        <w:pStyle w:val="Heading4"/>
        <w:keepNext w:val="0"/>
      </w:pPr>
      <w:r>
        <w:t>Safety (combined and pooled)</w:t>
      </w:r>
    </w:p>
    <w:p w14:paraId="7B57BE05" w14:textId="46820E7B" w:rsidR="005F4935" w:rsidRPr="00ED6F9D" w:rsidRDefault="005F4935" w:rsidP="00345763">
      <w:r w:rsidRPr="00ED6F9D">
        <w:t xml:space="preserve">Clinical safety </w:t>
      </w:r>
      <w:r w:rsidRPr="00C064D8">
        <w:t>was</w:t>
      </w:r>
      <w:r w:rsidRPr="00ED6F9D">
        <w:t xml:space="preserve"> evaluated in the </w:t>
      </w:r>
      <w:r>
        <w:t>P</w:t>
      </w:r>
      <w:r w:rsidRPr="00ED6F9D">
        <w:t xml:space="preserve">hase </w:t>
      </w:r>
      <w:r>
        <w:t>I</w:t>
      </w:r>
      <w:r w:rsidRPr="00ED6F9D">
        <w:t>/</w:t>
      </w:r>
      <w:r>
        <w:t>II</w:t>
      </w:r>
      <w:r w:rsidRPr="00ED6F9D">
        <w:t xml:space="preserve"> trial</w:t>
      </w:r>
      <w:r>
        <w:t xml:space="preserve">, Study </w:t>
      </w:r>
      <w:r w:rsidRPr="00ED6F9D">
        <w:t>2019nCoV-101</w:t>
      </w:r>
      <w:r w:rsidR="00E124AA">
        <w:t>,</w:t>
      </w:r>
      <w:r>
        <w:t xml:space="preserve"> P</w:t>
      </w:r>
      <w:r w:rsidRPr="00ED6F9D">
        <w:t xml:space="preserve">hase </w:t>
      </w:r>
      <w:r>
        <w:t>II</w:t>
      </w:r>
      <w:r w:rsidRPr="00ED6F9D">
        <w:t xml:space="preserve"> trial</w:t>
      </w:r>
      <w:r>
        <w:t xml:space="preserve">, Study </w:t>
      </w:r>
      <w:r w:rsidRPr="00ED6F9D">
        <w:t xml:space="preserve">2019nCoV-501 and the two pivotal </w:t>
      </w:r>
      <w:r>
        <w:t>P</w:t>
      </w:r>
      <w:r w:rsidRPr="00ED6F9D">
        <w:t xml:space="preserve">hase </w:t>
      </w:r>
      <w:r>
        <w:t>III</w:t>
      </w:r>
      <w:r w:rsidRPr="00ED6F9D">
        <w:t xml:space="preserve"> trials</w:t>
      </w:r>
      <w:r>
        <w:t xml:space="preserve">, Studies </w:t>
      </w:r>
      <w:r w:rsidRPr="00ED6F9D">
        <w:t>2019nCoV-302 and 2019nCoV-301.</w:t>
      </w:r>
    </w:p>
    <w:p w14:paraId="7021C318" w14:textId="1899653A" w:rsidR="005F4935" w:rsidRPr="00ED6F9D" w:rsidRDefault="005F4935" w:rsidP="00345763">
      <w:r w:rsidRPr="00ED6F9D">
        <w:lastRenderedPageBreak/>
        <w:t xml:space="preserve">Safety assessments include monitoring and recording of solicited (local and systemic reactogenicity events), unsolicited </w:t>
      </w:r>
      <w:r w:rsidR="00C064D8">
        <w:t>adverse events (</w:t>
      </w:r>
      <w:r w:rsidRPr="00ED6F9D">
        <w:t>AE</w:t>
      </w:r>
      <w:r w:rsidR="00C064D8">
        <w:t>)</w:t>
      </w:r>
      <w:r w:rsidRPr="00ED6F9D">
        <w:t xml:space="preserve">, </w:t>
      </w:r>
      <w:r w:rsidR="00C064D8">
        <w:t>serious adverse events (</w:t>
      </w:r>
      <w:r w:rsidRPr="00C064D8">
        <w:t>SAE</w:t>
      </w:r>
      <w:r w:rsidR="00C064D8">
        <w:t>)</w:t>
      </w:r>
      <w:r w:rsidRPr="00ED6F9D">
        <w:t>, adverse events of special interest</w:t>
      </w:r>
      <w:r w:rsidR="00C064D8">
        <w:t xml:space="preserve"> (AESI)</w:t>
      </w:r>
      <w:r w:rsidRPr="00ED6F9D">
        <w:t xml:space="preserve">, and vital sign measurements. Safety laboratory values (haematology and serum chemistry) were also evaluated in the first-in-human Study 2019nCoV-101 (Part </w:t>
      </w:r>
      <w:r>
        <w:t>one</w:t>
      </w:r>
      <w:r w:rsidRPr="00ED6F9D">
        <w:t>).</w:t>
      </w:r>
    </w:p>
    <w:p w14:paraId="5A466488" w14:textId="63E0E629" w:rsidR="005F4935" w:rsidRPr="00ED6F9D" w:rsidRDefault="005F4935" w:rsidP="00345763">
      <w:r w:rsidRPr="00ED6F9D">
        <w:t xml:space="preserve">Solicited local and systemic adverse events were collected for </w:t>
      </w:r>
      <w:r>
        <w:t>seven</w:t>
      </w:r>
      <w:r w:rsidRPr="00ED6F9D">
        <w:t xml:space="preserve"> days after each vaccine dose. Grading of solicited adverse events was based on FDA </w:t>
      </w:r>
      <w:r>
        <w:t>t</w:t>
      </w:r>
      <w:r w:rsidRPr="00ED6F9D">
        <w:t xml:space="preserve">oxicity </w:t>
      </w:r>
      <w:r>
        <w:t>g</w:t>
      </w:r>
      <w:r w:rsidRPr="00ED6F9D">
        <w:t xml:space="preserve">rading </w:t>
      </w:r>
      <w:r>
        <w:t>s</w:t>
      </w:r>
      <w:r w:rsidRPr="00ED6F9D">
        <w:t xml:space="preserve">cale for </w:t>
      </w:r>
      <w:r>
        <w:t>c</w:t>
      </w:r>
      <w:r w:rsidRPr="00ED6F9D">
        <w:t xml:space="preserve">linical </w:t>
      </w:r>
      <w:r>
        <w:t>a</w:t>
      </w:r>
      <w:r w:rsidRPr="00ED6F9D">
        <w:t>bnormalities.</w:t>
      </w:r>
      <w:bookmarkStart w:id="89" w:name="_Ref92737808"/>
      <w:r w:rsidR="00C41FF6">
        <w:rPr>
          <w:rFonts w:ascii="ZWAdobeF" w:hAnsi="ZWAdobeF" w:cs="ZWAdobeF"/>
          <w:sz w:val="2"/>
          <w:szCs w:val="2"/>
        </w:rPr>
        <w:t>35F</w:t>
      </w:r>
      <w:r>
        <w:rPr>
          <w:rStyle w:val="FootnoteReference"/>
          <w:rFonts w:eastAsia="Calibri"/>
          <w:szCs w:val="24"/>
        </w:rPr>
        <w:footnoteReference w:id="36"/>
      </w:r>
      <w:bookmarkEnd w:id="89"/>
      <w:r w:rsidRPr="00ED6F9D">
        <w:t xml:space="preserve"> Unsolicited AEs were recorded from the time of first study vaccination until Day 49 after the initial set of vaccinations (</w:t>
      </w:r>
      <w:r>
        <w:t xml:space="preserve">that is </w:t>
      </w:r>
      <w:r w:rsidRPr="00ED6F9D">
        <w:t>28 days post</w:t>
      </w:r>
      <w:r>
        <w:t xml:space="preserve"> second</w:t>
      </w:r>
      <w:r w:rsidRPr="00ED6F9D">
        <w:t xml:space="preserve"> dose) in each trial, and for the entire study period in </w:t>
      </w:r>
      <w:r>
        <w:t xml:space="preserve">Study </w:t>
      </w:r>
      <w:r w:rsidRPr="00ED6F9D">
        <w:t>2019nCoV-301. S</w:t>
      </w:r>
      <w:r>
        <w:t>erious adverse events</w:t>
      </w:r>
      <w:r w:rsidRPr="00ED6F9D">
        <w:t>, medical</w:t>
      </w:r>
      <w:r w:rsidR="00C064D8">
        <w:t>ly attended adverse events</w:t>
      </w:r>
      <w:r w:rsidRPr="00ED6F9D">
        <w:t xml:space="preserve"> </w:t>
      </w:r>
      <w:r w:rsidR="00C064D8">
        <w:t>(</w:t>
      </w:r>
      <w:r w:rsidRPr="00ED6F9D">
        <w:t>MAAE</w:t>
      </w:r>
      <w:r w:rsidR="00C064D8">
        <w:t>)</w:t>
      </w:r>
      <w:r w:rsidRPr="00ED6F9D">
        <w:t xml:space="preserve"> and AESIs were assessed for the entire study period in all trials.</w:t>
      </w:r>
    </w:p>
    <w:p w14:paraId="598B9623" w14:textId="769B1D9F" w:rsidR="005F4935" w:rsidRPr="00ED6F9D" w:rsidRDefault="005F4935" w:rsidP="00345763">
      <w:r>
        <w:t>Adverse events of special interest</w:t>
      </w:r>
      <w:r w:rsidRPr="00ED6F9D">
        <w:t xml:space="preserve"> included </w:t>
      </w:r>
      <w:r>
        <w:t>p</w:t>
      </w:r>
      <w:r w:rsidRPr="00ED6F9D">
        <w:t xml:space="preserve">otential </w:t>
      </w:r>
      <w:r>
        <w:t>i</w:t>
      </w:r>
      <w:r w:rsidRPr="00ED6F9D">
        <w:t>mmune</w:t>
      </w:r>
      <w:r>
        <w:t xml:space="preserve"> m</w:t>
      </w:r>
      <w:r w:rsidRPr="00ED6F9D">
        <w:t xml:space="preserve">ediated </w:t>
      </w:r>
      <w:r>
        <w:t>m</w:t>
      </w:r>
      <w:r w:rsidRPr="00ED6F9D">
        <w:t xml:space="preserve">edical </w:t>
      </w:r>
      <w:r>
        <w:t>c</w:t>
      </w:r>
      <w:r w:rsidRPr="00ED6F9D">
        <w:t xml:space="preserve">onditions </w:t>
      </w:r>
      <w:r w:rsidRPr="005F4935">
        <w:rPr>
          <w:bCs/>
        </w:rPr>
        <w:t>(PIMMCs)</w:t>
      </w:r>
      <w:r w:rsidRPr="00ED6F9D">
        <w:t xml:space="preserve"> as well as events relevant to COVID-19.</w:t>
      </w:r>
    </w:p>
    <w:p w14:paraId="5B0BA9A9" w14:textId="4E122AD7" w:rsidR="005F4935" w:rsidRPr="00ED6F9D" w:rsidRDefault="005F4935" w:rsidP="00345763">
      <w:r w:rsidRPr="00ED6F9D">
        <w:t xml:space="preserve">This combined/pooled safety analysis is based on safety data sets from submitted clinical trials, including all subject data with supporting </w:t>
      </w:r>
      <w:r w:rsidRPr="00C064D8">
        <w:t>presentations</w:t>
      </w:r>
      <w:r w:rsidRPr="00ED6F9D">
        <w:t xml:space="preserve"> to exclude the data post-unblinding/post-approved or deployed SARS-CoV-2 vaccine receipt.</w:t>
      </w:r>
    </w:p>
    <w:p w14:paraId="69789647" w14:textId="43278F3B" w:rsidR="005F4935" w:rsidRPr="00ED6F9D" w:rsidRDefault="005F4935" w:rsidP="00345763">
      <w:r w:rsidRPr="00ED6F9D">
        <w:t xml:space="preserve">For </w:t>
      </w:r>
      <w:r>
        <w:t xml:space="preserve">Study </w:t>
      </w:r>
      <w:r w:rsidRPr="00ED6F9D">
        <w:t xml:space="preserve">2019nCoV-301, incidence rates for AEs were presented to account for the imbalanced randomisation and imbalanced follow up </w:t>
      </w:r>
      <w:r w:rsidRPr="00C064D8">
        <w:t>time</w:t>
      </w:r>
      <w:r w:rsidRPr="00ED6F9D">
        <w:t xml:space="preserve"> between treatment arms. For other trials, numbers of events and % are reported.</w:t>
      </w:r>
    </w:p>
    <w:p w14:paraId="522A127C" w14:textId="77777777" w:rsidR="005F4935" w:rsidRPr="00ED6F9D" w:rsidRDefault="005F4935" w:rsidP="00345763">
      <w:pPr>
        <w:pStyle w:val="Heading5"/>
        <w:keepNext w:val="0"/>
        <w:keepLines w:val="0"/>
        <w:rPr>
          <w:rFonts w:eastAsia="MS Mincho"/>
          <w:lang w:eastAsia="ja-JP"/>
        </w:rPr>
      </w:pPr>
      <w:r w:rsidRPr="00ED6F9D">
        <w:rPr>
          <w:rFonts w:eastAsia="MS Mincho"/>
          <w:lang w:eastAsia="ja-JP"/>
        </w:rPr>
        <w:t>Extent of exposure</w:t>
      </w:r>
    </w:p>
    <w:p w14:paraId="33140015" w14:textId="7A138956" w:rsidR="005F4935" w:rsidRPr="00ED6F9D" w:rsidRDefault="005F4935" w:rsidP="00345763">
      <w:pPr>
        <w:rPr>
          <w:lang w:eastAsia="ja-JP"/>
        </w:rPr>
      </w:pPr>
      <w:r w:rsidRPr="00ED6F9D">
        <w:rPr>
          <w:lang w:eastAsia="ja-JP"/>
        </w:rPr>
        <w:t>There were 30</w:t>
      </w:r>
      <w:r w:rsidR="00C064D8">
        <w:rPr>
          <w:lang w:eastAsia="ja-JP"/>
        </w:rPr>
        <w:t>,</w:t>
      </w:r>
      <w:r w:rsidRPr="00ED6F9D">
        <w:rPr>
          <w:lang w:eastAsia="ja-JP"/>
        </w:rPr>
        <w:t xml:space="preserve">058 recipients of </w:t>
      </w:r>
      <w:proofErr w:type="spellStart"/>
      <w:r>
        <w:rPr>
          <w:lang w:eastAsia="ja-JP"/>
        </w:rPr>
        <w:t>Nu</w:t>
      </w:r>
      <w:r w:rsidR="009C44BC">
        <w:rPr>
          <w:lang w:eastAsia="ja-JP"/>
        </w:rPr>
        <w:t>vaxovid</w:t>
      </w:r>
      <w:proofErr w:type="spellEnd"/>
      <w:r w:rsidRPr="00ED6F9D">
        <w:rPr>
          <w:lang w:eastAsia="ja-JP"/>
        </w:rPr>
        <w:t xml:space="preserve"> and 19892 recipients of placebo across the SARS-CoV-2 </w:t>
      </w:r>
      <w:proofErr w:type="spellStart"/>
      <w:r w:rsidRPr="00ED6F9D">
        <w:rPr>
          <w:lang w:eastAsia="ja-JP"/>
        </w:rPr>
        <w:t>rS</w:t>
      </w:r>
      <w:proofErr w:type="spellEnd"/>
      <w:r w:rsidRPr="00ED6F9D">
        <w:rPr>
          <w:lang w:eastAsia="ja-JP"/>
        </w:rPr>
        <w:t xml:space="preserve"> clinical development program, with over 96% from both study arms (96.4% </w:t>
      </w:r>
      <w:proofErr w:type="spellStart"/>
      <w:r w:rsidR="009C44BC">
        <w:rPr>
          <w:lang w:eastAsia="ja-JP"/>
        </w:rPr>
        <w:t>Nuvaxovid</w:t>
      </w:r>
      <w:proofErr w:type="spellEnd"/>
      <w:r w:rsidRPr="00ED6F9D">
        <w:rPr>
          <w:lang w:eastAsia="ja-JP"/>
        </w:rPr>
        <w:t xml:space="preserve"> and 96.9% placebo) receiving both doses</w:t>
      </w:r>
      <w:r w:rsidR="00AD540C">
        <w:rPr>
          <w:lang w:eastAsia="ja-JP"/>
        </w:rPr>
        <w:t xml:space="preserve"> (see </w:t>
      </w:r>
      <w:r w:rsidR="00AD540C">
        <w:rPr>
          <w:lang w:eastAsia="ja-JP"/>
        </w:rPr>
        <w:fldChar w:fldCharType="begin" w:fldLock="1"/>
      </w:r>
      <w:r w:rsidR="00AD540C">
        <w:rPr>
          <w:lang w:eastAsia="ja-JP"/>
        </w:rPr>
        <w:instrText xml:space="preserve"> REF _Ref92735613 \h </w:instrText>
      </w:r>
      <w:r w:rsidR="00AD540C">
        <w:rPr>
          <w:lang w:eastAsia="ja-JP"/>
        </w:rPr>
      </w:r>
      <w:r w:rsidR="00AD540C">
        <w:rPr>
          <w:lang w:eastAsia="ja-JP"/>
        </w:rPr>
        <w:fldChar w:fldCharType="separate"/>
      </w:r>
      <w:r w:rsidR="00AA298B" w:rsidRPr="006B13BD">
        <w:t xml:space="preserve">Table </w:t>
      </w:r>
      <w:r w:rsidR="00AA298B">
        <w:rPr>
          <w:noProof/>
        </w:rPr>
        <w:t>27</w:t>
      </w:r>
      <w:r w:rsidR="00AD540C">
        <w:rPr>
          <w:lang w:eastAsia="ja-JP"/>
        </w:rPr>
        <w:fldChar w:fldCharType="end"/>
      </w:r>
      <w:r w:rsidR="00AD540C">
        <w:rPr>
          <w:lang w:eastAsia="ja-JP"/>
        </w:rPr>
        <w:t>).</w:t>
      </w:r>
    </w:p>
    <w:p w14:paraId="46126FC0" w14:textId="0C746DC2" w:rsidR="005F4935" w:rsidRDefault="006B13BD" w:rsidP="00CB0654">
      <w:pPr>
        <w:pStyle w:val="TableTitle"/>
      </w:pPr>
      <w:bookmarkStart w:id="90" w:name="_Ref92735613"/>
      <w:r w:rsidRPr="006B13BD">
        <w:t xml:space="preserve">Table </w:t>
      </w:r>
      <w:r w:rsidR="00344FF4">
        <w:fldChar w:fldCharType="begin"/>
      </w:r>
      <w:r w:rsidR="00344FF4">
        <w:instrText xml:space="preserve"> SEQ Table \* ARABIC </w:instrText>
      </w:r>
      <w:r w:rsidR="00344FF4">
        <w:fldChar w:fldCharType="separate"/>
      </w:r>
      <w:r w:rsidR="00C41FF6">
        <w:rPr>
          <w:noProof/>
        </w:rPr>
        <w:t>27</w:t>
      </w:r>
      <w:r w:rsidR="00344FF4">
        <w:rPr>
          <w:noProof/>
        </w:rPr>
        <w:fldChar w:fldCharType="end"/>
      </w:r>
      <w:bookmarkEnd w:id="90"/>
      <w:r>
        <w:t xml:space="preserve">: </w:t>
      </w:r>
      <w:r w:rsidRPr="006B13BD">
        <w:t xml:space="preserve">Number of </w:t>
      </w:r>
      <w:r>
        <w:t>s</w:t>
      </w:r>
      <w:r w:rsidRPr="006B13BD">
        <w:t xml:space="preserve">ubjects by </w:t>
      </w:r>
      <w:r>
        <w:t>t</w:t>
      </w:r>
      <w:r w:rsidRPr="006B13BD">
        <w:t xml:space="preserve">rial </w:t>
      </w:r>
      <w:r>
        <w:t>i</w:t>
      </w:r>
      <w:r w:rsidRPr="006B13BD">
        <w:t xml:space="preserve">ncluded in the </w:t>
      </w:r>
      <w:r>
        <w:t>p</w:t>
      </w:r>
      <w:r w:rsidRPr="006B13BD">
        <w:t xml:space="preserve">ooled </w:t>
      </w:r>
      <w:r>
        <w:t>a</w:t>
      </w:r>
      <w:r w:rsidRPr="006B13BD">
        <w:t xml:space="preserve">nalysis of </w:t>
      </w:r>
      <w:r>
        <w:t>s</w:t>
      </w:r>
      <w:r w:rsidRPr="006B13BD">
        <w:t xml:space="preserve">afety </w:t>
      </w:r>
      <w:r>
        <w:t>d</w:t>
      </w:r>
      <w:r w:rsidRPr="006B13BD">
        <w:t>ata</w:t>
      </w:r>
    </w:p>
    <w:p w14:paraId="14E4617A" w14:textId="378D1EC7" w:rsidR="006B13BD" w:rsidRDefault="006B13BD" w:rsidP="00345763">
      <w:r w:rsidRPr="00ED6F9D">
        <w:rPr>
          <w:rFonts w:eastAsia="Calibri"/>
          <w:noProof/>
          <w:szCs w:val="24"/>
          <w:lang w:val="en-GB" w:eastAsia="en-GB"/>
        </w:rPr>
        <w:drawing>
          <wp:inline distT="0" distB="0" distL="0" distR="0" wp14:anchorId="51F14821" wp14:editId="361A0CC6">
            <wp:extent cx="5088420" cy="1280115"/>
            <wp:effectExtent l="0" t="0" r="0" b="0"/>
            <wp:docPr id="239" name="Picture 239" descr="P8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876#yIS1"/>
                    <pic:cNvPicPr>
                      <a:picLocks noChangeAspect="1" noChangeArrowheads="1"/>
                    </pic:cNvPicPr>
                  </pic:nvPicPr>
                  <pic:blipFill rotWithShape="1">
                    <a:blip r:embed="rId51">
                      <a:extLst>
                        <a:ext uri="{28A0092B-C50C-407E-A947-70E740481C1C}">
                          <a14:useLocalDpi xmlns:a14="http://schemas.microsoft.com/office/drawing/2010/main" val="0"/>
                        </a:ext>
                      </a:extLst>
                    </a:blip>
                    <a:srcRect l="1689" b="51492"/>
                    <a:stretch/>
                  </pic:blipFill>
                  <pic:spPr bwMode="auto">
                    <a:xfrm>
                      <a:off x="0" y="0"/>
                      <a:ext cx="5100315" cy="1283107"/>
                    </a:xfrm>
                    <a:prstGeom prst="rect">
                      <a:avLst/>
                    </a:prstGeom>
                    <a:noFill/>
                    <a:ln>
                      <a:noFill/>
                    </a:ln>
                    <a:extLst>
                      <a:ext uri="{53640926-AAD7-44D8-BBD7-CCE9431645EC}">
                        <a14:shadowObscured xmlns:a14="http://schemas.microsoft.com/office/drawing/2010/main"/>
                      </a:ext>
                    </a:extLst>
                  </pic:spPr>
                </pic:pic>
              </a:graphicData>
            </a:graphic>
          </wp:inline>
        </w:drawing>
      </w:r>
    </w:p>
    <w:p w14:paraId="3BE2973A" w14:textId="230B695D" w:rsidR="006B13BD" w:rsidRDefault="006B13BD" w:rsidP="00CB0654">
      <w:pPr>
        <w:pStyle w:val="TableDescription"/>
      </w:pPr>
      <w:r>
        <w:t xml:space="preserve">Abbreviations: HIV = human immunodeficiency virus;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w:t>
      </w:r>
    </w:p>
    <w:p w14:paraId="53808226" w14:textId="2FCC7FE0" w:rsidR="006B13BD" w:rsidRDefault="006B13BD" w:rsidP="00CB0654">
      <w:pPr>
        <w:pStyle w:val="TableDescription"/>
      </w:pPr>
      <w:r w:rsidRPr="00AD540C">
        <w:rPr>
          <w:vertAlign w:val="superscript"/>
        </w:rPr>
        <w:t>1</w:t>
      </w:r>
      <w:r>
        <w:t xml:space="preserve"> Included Groups A (placebo) and C (two dose regimen of 5 µg SARS-CoV-2 </w:t>
      </w:r>
      <w:proofErr w:type="spellStart"/>
      <w:r>
        <w:t>rS</w:t>
      </w:r>
      <w:proofErr w:type="spellEnd"/>
      <w:r>
        <w:t xml:space="preserve"> plus 50 µg </w:t>
      </w:r>
      <w:r w:rsidR="006F5F10">
        <w:t>Matrix-M</w:t>
      </w:r>
      <w:r>
        <w:t xml:space="preserve"> adjuvant) only.</w:t>
      </w:r>
    </w:p>
    <w:p w14:paraId="203F76FD" w14:textId="4AA9EC0A" w:rsidR="006B13BD" w:rsidRDefault="006B13BD" w:rsidP="00CB0654">
      <w:pPr>
        <w:pStyle w:val="TableDescription"/>
      </w:pPr>
      <w:r w:rsidRPr="00AD540C">
        <w:rPr>
          <w:vertAlign w:val="superscript"/>
        </w:rPr>
        <w:t>2</w:t>
      </w:r>
      <w:r>
        <w:t xml:space="preserve"> Included Groups A (placebo), B (two dose regimen of 5 µg SARS-CoV-2 </w:t>
      </w:r>
      <w:proofErr w:type="spellStart"/>
      <w:r>
        <w:t>rS</w:t>
      </w:r>
      <w:proofErr w:type="spellEnd"/>
      <w:r>
        <w:t xml:space="preserve"> plus 50 µg </w:t>
      </w:r>
      <w:r w:rsidR="006F5F10">
        <w:t>Matrix-M</w:t>
      </w:r>
      <w:r>
        <w:t xml:space="preserve"> adjuvant), and C (5 µg SARS-CoV-2 </w:t>
      </w:r>
      <w:proofErr w:type="spellStart"/>
      <w:r>
        <w:t>rS</w:t>
      </w:r>
      <w:proofErr w:type="spellEnd"/>
      <w:r>
        <w:t xml:space="preserve"> plus 50 µg </w:t>
      </w:r>
      <w:r w:rsidR="006F5F10">
        <w:t>Matrix-M</w:t>
      </w:r>
      <w:r>
        <w:t xml:space="preserve"> adjuvant at first dose and placebo at second dose) only.</w:t>
      </w:r>
    </w:p>
    <w:p w14:paraId="4C37A7F6" w14:textId="2D5F7596" w:rsidR="006B13BD" w:rsidRDefault="006B13BD" w:rsidP="00CB0654">
      <w:pPr>
        <w:pStyle w:val="TableDescription"/>
      </w:pPr>
      <w:r w:rsidRPr="00AD540C">
        <w:rPr>
          <w:vertAlign w:val="superscript"/>
        </w:rPr>
        <w:t>3</w:t>
      </w:r>
      <w:r>
        <w:t xml:space="preserve"> Included approximately 240 participants who were HIV-positive in the total population.</w:t>
      </w:r>
    </w:p>
    <w:p w14:paraId="422ECC0A" w14:textId="59A65BCE" w:rsidR="006B13BD" w:rsidRDefault="006B13BD" w:rsidP="00CB0654">
      <w:pPr>
        <w:pStyle w:val="TableDescription"/>
      </w:pPr>
      <w:r w:rsidRPr="00AD540C">
        <w:rPr>
          <w:vertAlign w:val="superscript"/>
        </w:rPr>
        <w:t>4</w:t>
      </w:r>
      <w:r>
        <w:t>.Included approximately 400 participants who were co-administered seasonal influenza vaccine at first dose.</w:t>
      </w:r>
    </w:p>
    <w:p w14:paraId="585F9D43" w14:textId="5E1CD71C" w:rsidR="006B13BD" w:rsidRDefault="006B13BD" w:rsidP="00CB0654">
      <w:pPr>
        <w:pStyle w:val="TableDescription"/>
      </w:pPr>
      <w:r w:rsidRPr="00AD540C">
        <w:rPr>
          <w:vertAlign w:val="superscript"/>
        </w:rPr>
        <w:t>5</w:t>
      </w:r>
      <w:r w:rsidR="00AD540C">
        <w:t xml:space="preserve"> </w:t>
      </w:r>
      <w:r>
        <w:t xml:space="preserve">These numbers differ from those reported in Study 2019nCoV-302 interim report (7569 in </w:t>
      </w:r>
      <w:proofErr w:type="spellStart"/>
      <w:r>
        <w:t>Nuvaxovid</w:t>
      </w:r>
      <w:proofErr w:type="spellEnd"/>
      <w:r>
        <w:t xml:space="preserve"> group and 7570 in the placebo group) because safety data for </w:t>
      </w:r>
      <w:r w:rsidR="00AD540C">
        <w:t>six</w:t>
      </w:r>
      <w:r>
        <w:t xml:space="preserve"> participants who received a mixed regimen (placebo at first dose and active vaccine at second dose) were included in the active vaccine group only for the purpose </w:t>
      </w:r>
      <w:r w:rsidR="00AD540C">
        <w:t>of</w:t>
      </w:r>
      <w:r>
        <w:t xml:space="preserve"> the pooled analysis of safety data.</w:t>
      </w:r>
    </w:p>
    <w:p w14:paraId="00F012F3" w14:textId="6B77D28D" w:rsidR="00AD540C" w:rsidRDefault="00AD540C" w:rsidP="00345763">
      <w:r>
        <w:t>The median duration of follow up in the pooled safety database was 70 days post second dose, with 32</w:t>
      </w:r>
      <w:r w:rsidR="00C064D8">
        <w:t>,</w:t>
      </w:r>
      <w:r>
        <w:t xml:space="preserve">993 (66%) subjects completing more than two months follow up post </w:t>
      </w:r>
      <w:r>
        <w:lastRenderedPageBreak/>
        <w:t>second dose. The shorter median duration of follow up in the pooled data as compared to the individual studies is due to censoring at unblinding.</w:t>
      </w:r>
    </w:p>
    <w:p w14:paraId="1513939A" w14:textId="124ABD00" w:rsidR="00AD540C" w:rsidRDefault="00AD540C" w:rsidP="00345763">
      <w:pPr>
        <w:pStyle w:val="Heading5"/>
        <w:keepNext w:val="0"/>
        <w:keepLines w:val="0"/>
      </w:pPr>
      <w:r>
        <w:t>Demographics</w:t>
      </w:r>
    </w:p>
    <w:p w14:paraId="2B122B94" w14:textId="2AF41A7B" w:rsidR="00AD540C" w:rsidRDefault="00AD540C" w:rsidP="00345763">
      <w:r>
        <w:t xml:space="preserve">Demographic characteristics of subjects in the pooled analysis were generally well balanced between the </w:t>
      </w:r>
      <w:proofErr w:type="spellStart"/>
      <w:r>
        <w:t>Nuvaxovid</w:t>
      </w:r>
      <w:proofErr w:type="spellEnd"/>
      <w:r>
        <w:t xml:space="preserve"> and placebo groups, with slightly lower frequencies of subjects ≥ 65 years of age and subjects of Black or African American race and a slightly higher frequency of subjects of Hispanic or Latino origin in the </w:t>
      </w:r>
      <w:proofErr w:type="spellStart"/>
      <w:r>
        <w:t>Nuvaxovid</w:t>
      </w:r>
      <w:proofErr w:type="spellEnd"/>
      <w:r>
        <w:t xml:space="preserve"> group</w:t>
      </w:r>
      <w:r w:rsidR="008B5778">
        <w:t>.</w:t>
      </w:r>
    </w:p>
    <w:p w14:paraId="731E8752" w14:textId="20DA422B" w:rsidR="00AD540C" w:rsidRDefault="00AD540C" w:rsidP="00345763">
      <w:pPr>
        <w:pStyle w:val="Heading5"/>
        <w:keepNext w:val="0"/>
        <w:keepLines w:val="0"/>
      </w:pPr>
      <w:r>
        <w:t>Adverse events</w:t>
      </w:r>
    </w:p>
    <w:p w14:paraId="753A3FF9" w14:textId="1807DC34" w:rsidR="00AD540C" w:rsidRDefault="00AD540C" w:rsidP="00345763">
      <w:pPr>
        <w:pStyle w:val="Heading6"/>
        <w:keepNext w:val="0"/>
      </w:pPr>
      <w:r>
        <w:t>Solicited local adverse events</w:t>
      </w:r>
    </w:p>
    <w:p w14:paraId="56B51A55" w14:textId="282AF264" w:rsidR="00AD540C" w:rsidRDefault="00AD540C" w:rsidP="00345763">
      <w:r>
        <w:t xml:space="preserve">Local solicited </w:t>
      </w:r>
      <w:r w:rsidRPr="00AD540C">
        <w:t>treatment emergent adverse event</w:t>
      </w:r>
      <w:r>
        <w:t xml:space="preserve">s (TEAE) in the week following vaccination were more common in </w:t>
      </w:r>
      <w:proofErr w:type="spellStart"/>
      <w:r>
        <w:t>Nuvaxovid</w:t>
      </w:r>
      <w:proofErr w:type="spellEnd"/>
      <w:r>
        <w:t xml:space="preserve"> than placebo recipients across the studies and more common following second dose than first dose in the </w:t>
      </w:r>
      <w:proofErr w:type="spellStart"/>
      <w:r>
        <w:t>Nuvaxovid</w:t>
      </w:r>
      <w:proofErr w:type="spellEnd"/>
      <w:r>
        <w:t xml:space="preserve"> group (59.3% versus 80.2%)</w:t>
      </w:r>
      <w:r w:rsidR="00E55726">
        <w:t xml:space="preserve"> (See </w:t>
      </w:r>
      <w:r w:rsidR="00E55726">
        <w:fldChar w:fldCharType="begin" w:fldLock="1"/>
      </w:r>
      <w:r w:rsidR="00E55726">
        <w:instrText xml:space="preserve"> REF _Ref92738007 \h </w:instrText>
      </w:r>
      <w:r w:rsidR="00E55726">
        <w:fldChar w:fldCharType="separate"/>
      </w:r>
      <w:r w:rsidR="00AA298B" w:rsidRPr="00173D38">
        <w:t xml:space="preserve">Table </w:t>
      </w:r>
      <w:r w:rsidR="00AA298B">
        <w:rPr>
          <w:noProof/>
        </w:rPr>
        <w:t>28</w:t>
      </w:r>
      <w:r w:rsidR="00E55726">
        <w:fldChar w:fldCharType="end"/>
      </w:r>
      <w:r w:rsidR="00E55726">
        <w:t>)</w:t>
      </w:r>
      <w:r>
        <w:t xml:space="preserve">. Also, higher frequencies of </w:t>
      </w:r>
      <w:r w:rsidR="006E544F">
        <w:t>Grade</w:t>
      </w:r>
      <w:r>
        <w:t xml:space="preserve"> 3 reactions were reported following the second dose, increasing from 1.1% to 5.2%. Persons reporting moderate to severe reactions following the first dose tended to report similar or less severe reactions following the second dose.</w:t>
      </w:r>
    </w:p>
    <w:p w14:paraId="12B0A521" w14:textId="315EC5BE" w:rsidR="00C064D8" w:rsidRDefault="00A61021" w:rsidP="00345763">
      <w:r>
        <w:t>In Study 2019nCoV-302 t</w:t>
      </w:r>
      <w:r w:rsidR="00AD540C">
        <w:t>enderness and injection site pain were the most frequent solicited local AEs, reported by 705 (54.9%) and 394 (30.7%) subjects, respectively, after the first dose and by 922 (76.6%) and 624 (51.9%) subjects after the second dose</w:t>
      </w:r>
      <w:r w:rsidR="00E55726">
        <w:t xml:space="preserve"> (see </w:t>
      </w:r>
      <w:r w:rsidR="00E55726">
        <w:fldChar w:fldCharType="begin" w:fldLock="1"/>
      </w:r>
      <w:r w:rsidR="00E55726">
        <w:instrText xml:space="preserve"> REF _Ref92738007 \h </w:instrText>
      </w:r>
      <w:r w:rsidR="00E55726">
        <w:fldChar w:fldCharType="separate"/>
      </w:r>
      <w:r w:rsidR="00AA298B" w:rsidRPr="00173D38">
        <w:t xml:space="preserve">Table </w:t>
      </w:r>
      <w:r w:rsidR="00AA298B">
        <w:rPr>
          <w:noProof/>
        </w:rPr>
        <w:t>28</w:t>
      </w:r>
      <w:r w:rsidR="00E55726">
        <w:fldChar w:fldCharType="end"/>
      </w:r>
      <w:r w:rsidR="00E55726">
        <w:t>)</w:t>
      </w:r>
      <w:r w:rsidR="00AD540C">
        <w:t>. Median durations of tenderness and pain increased with the second dose from</w:t>
      </w:r>
      <w:r w:rsidR="00C064D8">
        <w:t> </w:t>
      </w:r>
      <w:r w:rsidR="00AD540C">
        <w:t>2</w:t>
      </w:r>
      <w:r w:rsidR="00C064D8">
        <w:t> </w:t>
      </w:r>
      <w:r w:rsidR="00AD540C">
        <w:t>to 3</w:t>
      </w:r>
      <w:r w:rsidR="009B4460">
        <w:t xml:space="preserve"> </w:t>
      </w:r>
      <w:r w:rsidR="00C064D8">
        <w:t xml:space="preserve">days </w:t>
      </w:r>
      <w:r w:rsidR="00AD540C">
        <w:t>and 1</w:t>
      </w:r>
      <w:r w:rsidR="00E55726">
        <w:t xml:space="preserve"> </w:t>
      </w:r>
      <w:r w:rsidR="00AD540C">
        <w:t>to 2 days respectively.</w:t>
      </w:r>
    </w:p>
    <w:p w14:paraId="137545E2" w14:textId="081561DC" w:rsidR="00AD540C" w:rsidRDefault="00AD540C" w:rsidP="00345763">
      <w:r>
        <w:t>A similar picture emerged in Studies 2019nCoV-301 and 2019nCoV-101. In Study</w:t>
      </w:r>
      <w:r w:rsidR="00C064D8">
        <w:t> </w:t>
      </w:r>
      <w:r>
        <w:t>2019nCoV-501 lower rates of local reactions were reported following the second dose compared to the first and they were less often severe.</w:t>
      </w:r>
    </w:p>
    <w:p w14:paraId="4719FA4F" w14:textId="036C2A42" w:rsidR="002767DA" w:rsidRDefault="002767DA" w:rsidP="00CB0654">
      <w:pPr>
        <w:pStyle w:val="TableTitle"/>
      </w:pPr>
      <w:bookmarkStart w:id="91" w:name="_Ref92738007"/>
      <w:r w:rsidRPr="00173D38">
        <w:lastRenderedPageBreak/>
        <w:t xml:space="preserve">Table </w:t>
      </w:r>
      <w:r w:rsidR="00344FF4">
        <w:fldChar w:fldCharType="begin"/>
      </w:r>
      <w:r w:rsidR="00344FF4">
        <w:instrText xml:space="preserve"> SEQ Table \* ARABIC </w:instrText>
      </w:r>
      <w:r w:rsidR="00344FF4">
        <w:fldChar w:fldCharType="separate"/>
      </w:r>
      <w:r w:rsidR="00C41FF6">
        <w:rPr>
          <w:noProof/>
        </w:rPr>
        <w:t>28</w:t>
      </w:r>
      <w:r w:rsidR="00344FF4">
        <w:rPr>
          <w:noProof/>
        </w:rPr>
        <w:fldChar w:fldCharType="end"/>
      </w:r>
      <w:bookmarkEnd w:id="91"/>
      <w:r>
        <w:t>: Solicited local adverse events for 7 days following each vaccination across the SARS-</w:t>
      </w:r>
      <w:proofErr w:type="spellStart"/>
      <w:r>
        <w:t>CoV</w:t>
      </w:r>
      <w:proofErr w:type="spellEnd"/>
      <w:r w:rsidR="00173D38">
        <w:t xml:space="preserve"> </w:t>
      </w:r>
      <w:proofErr w:type="spellStart"/>
      <w:r w:rsidR="00173D38">
        <w:t>rS</w:t>
      </w:r>
      <w:proofErr w:type="spellEnd"/>
      <w:r w:rsidR="00173D38">
        <w:t xml:space="preserve"> clinical development programme</w:t>
      </w:r>
    </w:p>
    <w:p w14:paraId="5079F274" w14:textId="6458D862" w:rsidR="00173D38" w:rsidRDefault="00173D38" w:rsidP="00345763">
      <w:r w:rsidRPr="00ED6F9D">
        <w:rPr>
          <w:rFonts w:eastAsia="Calibri"/>
          <w:noProof/>
          <w:szCs w:val="24"/>
          <w:lang w:val="en-GB" w:eastAsia="en-GB"/>
        </w:rPr>
        <w:drawing>
          <wp:inline distT="0" distB="0" distL="0" distR="0" wp14:anchorId="5AD06E0A" wp14:editId="1D8FC069">
            <wp:extent cx="5320166" cy="4269850"/>
            <wp:effectExtent l="0" t="0" r="0" b="0"/>
            <wp:docPr id="240" name="Picture 240" descr="P8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892#yIS1"/>
                    <pic:cNvPicPr>
                      <a:picLocks noChangeAspect="1" noChangeArrowheads="1"/>
                    </pic:cNvPicPr>
                  </pic:nvPicPr>
                  <pic:blipFill rotWithShape="1">
                    <a:blip r:embed="rId52">
                      <a:lum bright="-20000" contrast="40000"/>
                      <a:extLst>
                        <a:ext uri="{28A0092B-C50C-407E-A947-70E740481C1C}">
                          <a14:useLocalDpi xmlns:a14="http://schemas.microsoft.com/office/drawing/2010/main" val="0"/>
                        </a:ext>
                      </a:extLst>
                    </a:blip>
                    <a:srcRect l="2356" t="936" r="1475" b="17322"/>
                    <a:stretch/>
                  </pic:blipFill>
                  <pic:spPr bwMode="auto">
                    <a:xfrm>
                      <a:off x="0" y="0"/>
                      <a:ext cx="5363896" cy="4304947"/>
                    </a:xfrm>
                    <a:prstGeom prst="rect">
                      <a:avLst/>
                    </a:prstGeom>
                    <a:noFill/>
                    <a:ln>
                      <a:noFill/>
                    </a:ln>
                    <a:extLst>
                      <a:ext uri="{53640926-AAD7-44D8-BBD7-CCE9431645EC}">
                        <a14:shadowObscured xmlns:a14="http://schemas.microsoft.com/office/drawing/2010/main"/>
                      </a:ext>
                    </a:extLst>
                  </pic:spPr>
                </pic:pic>
              </a:graphicData>
            </a:graphic>
          </wp:inline>
        </w:drawing>
      </w:r>
    </w:p>
    <w:p w14:paraId="43EE2970" w14:textId="35BBE571" w:rsidR="002A614E" w:rsidRDefault="00173D38" w:rsidP="00CB0654">
      <w:pPr>
        <w:pStyle w:val="TableDescription"/>
      </w:pPr>
      <w:r>
        <w:t xml:space="preserve">Abbreviations: N1 = number of </w:t>
      </w:r>
      <w:r w:rsidR="002A614E">
        <w:t>participants</w:t>
      </w:r>
      <w:r>
        <w:t xml:space="preserve"> receiving the first dose of </w:t>
      </w:r>
      <w:r w:rsidR="002A614E">
        <w:t>trial vaccine; N2 = number of participants receiving the second dose of trial vaccine; NVX = NVX-CoV2373/</w:t>
      </w:r>
      <w:proofErr w:type="spellStart"/>
      <w:r w:rsidR="002A614E">
        <w:t>Nuvaxovid</w:t>
      </w:r>
      <w:proofErr w:type="spellEnd"/>
      <w:r w:rsidR="002A614E">
        <w:t xml:space="preserve">, 5 µg SARS-CoV-2 </w:t>
      </w:r>
      <w:proofErr w:type="spellStart"/>
      <w:r w:rsidR="002A614E">
        <w:t>rS</w:t>
      </w:r>
      <w:proofErr w:type="spellEnd"/>
      <w:r w:rsidR="002A614E">
        <w:t xml:space="preserve"> plus 50 µg </w:t>
      </w:r>
      <w:r w:rsidR="006F5F10">
        <w:t>Matrix-M</w:t>
      </w:r>
      <w:r w:rsidR="002A614E">
        <w:t xml:space="preserve"> adjuvant; TEAE = treatment emergent adverse events.</w:t>
      </w:r>
    </w:p>
    <w:p w14:paraId="03B8FC0E" w14:textId="26565993" w:rsidR="002A614E" w:rsidRDefault="002A614E" w:rsidP="00CB0654">
      <w:pPr>
        <w:pStyle w:val="TableDescription"/>
      </w:pPr>
      <w:r w:rsidRPr="00E55726">
        <w:rPr>
          <w:vertAlign w:val="superscript"/>
        </w:rPr>
        <w:t>1</w:t>
      </w:r>
      <w:r>
        <w:t xml:space="preserve"> Group C only </w:t>
      </w:r>
    </w:p>
    <w:p w14:paraId="59B71665" w14:textId="4C0578F7" w:rsidR="002A614E" w:rsidRDefault="002A614E" w:rsidP="00CB0654">
      <w:pPr>
        <w:pStyle w:val="TableDescription"/>
      </w:pPr>
      <w:r w:rsidRPr="00E55726">
        <w:rPr>
          <w:vertAlign w:val="superscript"/>
        </w:rPr>
        <w:t>2</w:t>
      </w:r>
      <w:r>
        <w:t xml:space="preserve"> Group B and C only </w:t>
      </w:r>
    </w:p>
    <w:p w14:paraId="08FE7101" w14:textId="7DA3F326" w:rsidR="002A614E" w:rsidRDefault="002A614E" w:rsidP="00CB0654">
      <w:pPr>
        <w:pStyle w:val="TableDescription"/>
      </w:pPr>
      <w:r w:rsidRPr="00E55726">
        <w:rPr>
          <w:vertAlign w:val="superscript"/>
        </w:rPr>
        <w:t>3</w:t>
      </w:r>
      <w:r>
        <w:t xml:space="preserve"> Based on Study 2019nCoV-501 interim report</w:t>
      </w:r>
    </w:p>
    <w:p w14:paraId="15B3F783" w14:textId="0D9EF859" w:rsidR="002A614E" w:rsidRDefault="002A614E" w:rsidP="00CB0654">
      <w:pPr>
        <w:pStyle w:val="TableDescription"/>
      </w:pPr>
      <w:r w:rsidRPr="00E55726">
        <w:rPr>
          <w:vertAlign w:val="superscript"/>
        </w:rPr>
        <w:t>4</w:t>
      </w:r>
      <w:r>
        <w:t xml:space="preserve"> Solicited local and systemic TEAEs were evaluated in a subset of 2714 participants in this study</w:t>
      </w:r>
    </w:p>
    <w:p w14:paraId="26AA1825" w14:textId="4FA7BE62" w:rsidR="002A614E" w:rsidRDefault="002A614E" w:rsidP="00CB0654">
      <w:pPr>
        <w:pStyle w:val="TableDescription"/>
      </w:pPr>
      <w:r w:rsidRPr="00E55726">
        <w:rPr>
          <w:vertAlign w:val="superscript"/>
        </w:rPr>
        <w:t>5</w:t>
      </w:r>
      <w:r>
        <w:t xml:space="preserve"> Excludes three sentinel participants who received active vaccine in an open label manner</w:t>
      </w:r>
    </w:p>
    <w:p w14:paraId="713F84A6" w14:textId="32B43D65" w:rsidR="002A614E" w:rsidRDefault="002A614E" w:rsidP="00CB0654">
      <w:pPr>
        <w:pStyle w:val="TableDescription"/>
      </w:pPr>
      <w:r w:rsidRPr="00E55726">
        <w:rPr>
          <w:vertAlign w:val="superscript"/>
        </w:rPr>
        <w:t>6</w:t>
      </w:r>
      <w:r>
        <w:t xml:space="preserve"> Based on Group B only as participant in Group C received placebo for their second vaccination.</w:t>
      </w:r>
    </w:p>
    <w:p w14:paraId="47A4247B" w14:textId="2FE24F56" w:rsidR="002A614E" w:rsidRDefault="002A614E" w:rsidP="00CB0654">
      <w:pPr>
        <w:pStyle w:val="TableDescription"/>
      </w:pPr>
      <w:r>
        <w:t>Note: Toxicity grading based on FDA toxicity grading scale</w:t>
      </w:r>
      <w:r w:rsidR="00E55726">
        <w:t>;</w:t>
      </w:r>
      <w:r w:rsidR="00E55726" w:rsidRPr="00E55726">
        <w:rPr>
          <w:vertAlign w:val="superscript"/>
        </w:rPr>
        <w:fldChar w:fldCharType="begin"/>
      </w:r>
      <w:r w:rsidR="00E55726" w:rsidRPr="00E55726">
        <w:rPr>
          <w:vertAlign w:val="superscript"/>
        </w:rPr>
        <w:instrText xml:space="preserve"> NOTEREF _Ref92737808 \h </w:instrText>
      </w:r>
      <w:r w:rsidR="00E55726">
        <w:rPr>
          <w:vertAlign w:val="superscript"/>
        </w:rPr>
        <w:instrText xml:space="preserve"> \* MERGEFORMAT </w:instrText>
      </w:r>
      <w:r w:rsidR="00E55726" w:rsidRPr="00E55726">
        <w:rPr>
          <w:vertAlign w:val="superscript"/>
        </w:rPr>
      </w:r>
      <w:r w:rsidR="00E55726" w:rsidRPr="00E55726">
        <w:rPr>
          <w:vertAlign w:val="superscript"/>
        </w:rPr>
        <w:fldChar w:fldCharType="separate"/>
      </w:r>
      <w:r w:rsidR="00C41FF6">
        <w:rPr>
          <w:vertAlign w:val="superscript"/>
        </w:rPr>
        <w:t>36</w:t>
      </w:r>
      <w:r w:rsidR="00E55726" w:rsidRPr="00E55726">
        <w:rPr>
          <w:vertAlign w:val="superscript"/>
        </w:rPr>
        <w:fldChar w:fldCharType="end"/>
      </w:r>
    </w:p>
    <w:p w14:paraId="4C426467" w14:textId="19955C7C" w:rsidR="002A614E" w:rsidRDefault="002A614E" w:rsidP="00CB0654">
      <w:pPr>
        <w:pStyle w:val="TableDescription"/>
      </w:pPr>
      <w:r>
        <w:t>Note: Data are presented as number and percentage (n %) of participants.</w:t>
      </w:r>
    </w:p>
    <w:p w14:paraId="4B528EC5" w14:textId="77777777" w:rsidR="00E55726" w:rsidRPr="00ED6F9D" w:rsidRDefault="00E55726" w:rsidP="00345763">
      <w:pPr>
        <w:pStyle w:val="Heading6"/>
        <w:keepNext w:val="0"/>
        <w:rPr>
          <w:rFonts w:eastAsia="Calibri"/>
        </w:rPr>
      </w:pPr>
      <w:r w:rsidRPr="00ED6F9D">
        <w:rPr>
          <w:rFonts w:eastAsia="Calibri"/>
        </w:rPr>
        <w:t>Solicited systemic reactions</w:t>
      </w:r>
    </w:p>
    <w:p w14:paraId="3F72161F" w14:textId="40CFA747" w:rsidR="00173D38" w:rsidRDefault="00E55726" w:rsidP="00345763">
      <w:pPr>
        <w:rPr>
          <w:b/>
        </w:rPr>
      </w:pPr>
      <w:r w:rsidRPr="00ED6F9D">
        <w:t xml:space="preserve">Overall, there were higher frequencies of solicited systemic AEs among </w:t>
      </w:r>
      <w:proofErr w:type="spellStart"/>
      <w:r w:rsidR="000123F4">
        <w:t>Nuvaxovid</w:t>
      </w:r>
      <w:proofErr w:type="spellEnd"/>
      <w:r w:rsidR="000123F4">
        <w:t xml:space="preserve"> </w:t>
      </w:r>
      <w:r w:rsidRPr="00ED6F9D">
        <w:t>recipients than among placebo recipients following each vaccination overall and in each age cohort. An overview of solicited systemic AEs after each dose across the clinical trials is presented in</w:t>
      </w:r>
      <w:r w:rsidR="000123F4">
        <w:t xml:space="preserve"> </w:t>
      </w:r>
      <w:r w:rsidR="000123F4">
        <w:fldChar w:fldCharType="begin" w:fldLock="1"/>
      </w:r>
      <w:r w:rsidR="000123F4">
        <w:instrText xml:space="preserve"> REF _Ref92739263 \h </w:instrText>
      </w:r>
      <w:r w:rsidR="000123F4">
        <w:fldChar w:fldCharType="separate"/>
      </w:r>
      <w:r w:rsidR="00AA298B" w:rsidRPr="000123F4">
        <w:t xml:space="preserve">Table </w:t>
      </w:r>
      <w:r w:rsidR="00AA298B">
        <w:rPr>
          <w:noProof/>
        </w:rPr>
        <w:t>29</w:t>
      </w:r>
      <w:r w:rsidR="000123F4">
        <w:fldChar w:fldCharType="end"/>
      </w:r>
      <w:r w:rsidR="000123F4">
        <w:t>.</w:t>
      </w:r>
    </w:p>
    <w:p w14:paraId="51A5F127" w14:textId="2DB8F1F7" w:rsidR="000123F4" w:rsidRDefault="000123F4" w:rsidP="00CB0654">
      <w:pPr>
        <w:pStyle w:val="TableTitle"/>
      </w:pPr>
      <w:bookmarkStart w:id="92" w:name="_Ref92739263"/>
      <w:r w:rsidRPr="000123F4">
        <w:lastRenderedPageBreak/>
        <w:t xml:space="preserve">Table </w:t>
      </w:r>
      <w:r w:rsidR="00344FF4">
        <w:fldChar w:fldCharType="begin"/>
      </w:r>
      <w:r w:rsidR="00344FF4">
        <w:instrText xml:space="preserve"> SEQ Table \* ARABIC </w:instrText>
      </w:r>
      <w:r w:rsidR="00344FF4">
        <w:fldChar w:fldCharType="separate"/>
      </w:r>
      <w:r w:rsidR="00C41FF6">
        <w:rPr>
          <w:noProof/>
        </w:rPr>
        <w:t>29</w:t>
      </w:r>
      <w:r w:rsidR="00344FF4">
        <w:rPr>
          <w:noProof/>
        </w:rPr>
        <w:fldChar w:fldCharType="end"/>
      </w:r>
      <w:bookmarkEnd w:id="92"/>
      <w:r>
        <w:t xml:space="preserve">: </w:t>
      </w:r>
      <w:r w:rsidRPr="000123F4">
        <w:t xml:space="preserve">Solicited </w:t>
      </w:r>
      <w:r>
        <w:t>s</w:t>
      </w:r>
      <w:r w:rsidRPr="000123F4">
        <w:t xml:space="preserve">ystemic </w:t>
      </w:r>
      <w:r>
        <w:t>a</w:t>
      </w:r>
      <w:r w:rsidRPr="000123F4">
        <w:t xml:space="preserve">dverse </w:t>
      </w:r>
      <w:r>
        <w:t>e</w:t>
      </w:r>
      <w:r w:rsidRPr="000123F4">
        <w:t xml:space="preserve">vents for </w:t>
      </w:r>
      <w:r>
        <w:t>seven</w:t>
      </w:r>
      <w:r w:rsidRPr="000123F4">
        <w:t xml:space="preserve"> </w:t>
      </w:r>
      <w:r>
        <w:t>d</w:t>
      </w:r>
      <w:r w:rsidRPr="000123F4">
        <w:t xml:space="preserve">ays </w:t>
      </w:r>
      <w:r>
        <w:t>f</w:t>
      </w:r>
      <w:r w:rsidRPr="000123F4">
        <w:t xml:space="preserve">ollowing </w:t>
      </w:r>
      <w:r>
        <w:t>e</w:t>
      </w:r>
      <w:r w:rsidRPr="000123F4">
        <w:t xml:space="preserve">ach </w:t>
      </w:r>
      <w:r>
        <w:t>v</w:t>
      </w:r>
      <w:r w:rsidRPr="000123F4">
        <w:t xml:space="preserve">accination </w:t>
      </w:r>
      <w:r>
        <w:t>a</w:t>
      </w:r>
      <w:r w:rsidRPr="000123F4">
        <w:t xml:space="preserve">cross the SARS-CoV-2 </w:t>
      </w:r>
      <w:proofErr w:type="spellStart"/>
      <w:r w:rsidRPr="000123F4">
        <w:t>rS</w:t>
      </w:r>
      <w:proofErr w:type="spellEnd"/>
      <w:r w:rsidRPr="000123F4">
        <w:t xml:space="preserve"> </w:t>
      </w:r>
      <w:r>
        <w:t>c</w:t>
      </w:r>
      <w:r w:rsidRPr="000123F4">
        <w:t xml:space="preserve">linical </w:t>
      </w:r>
      <w:r>
        <w:t>d</w:t>
      </w:r>
      <w:r w:rsidRPr="000123F4">
        <w:t xml:space="preserve">evelopment </w:t>
      </w:r>
      <w:r>
        <w:t>p</w:t>
      </w:r>
      <w:r w:rsidRPr="000123F4">
        <w:t>rogramme</w:t>
      </w:r>
    </w:p>
    <w:p w14:paraId="263FB634" w14:textId="0D0A3998" w:rsidR="000123F4" w:rsidRDefault="000123F4" w:rsidP="00345763">
      <w:r w:rsidRPr="00ED6F9D">
        <w:rPr>
          <w:rFonts w:eastAsia="Calibri"/>
          <w:noProof/>
          <w:szCs w:val="24"/>
          <w:lang w:val="en-GB" w:eastAsia="en-GB"/>
        </w:rPr>
        <w:drawing>
          <wp:inline distT="0" distB="0" distL="0" distR="0" wp14:anchorId="232372DB" wp14:editId="74CC78F5">
            <wp:extent cx="5399847" cy="5041127"/>
            <wp:effectExtent l="0" t="0" r="0" b="7620"/>
            <wp:docPr id="241" name="Picture 241" descr="P9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905#yIS1"/>
                    <pic:cNvPicPr>
                      <a:picLocks noChangeAspect="1" noChangeArrowheads="1"/>
                    </pic:cNvPicPr>
                  </pic:nvPicPr>
                  <pic:blipFill rotWithShape="1">
                    <a:blip r:embed="rId53">
                      <a:lum bright="-20000" contrast="40000"/>
                      <a:extLst>
                        <a:ext uri="{28A0092B-C50C-407E-A947-70E740481C1C}">
                          <a14:useLocalDpi xmlns:a14="http://schemas.microsoft.com/office/drawing/2010/main" val="0"/>
                        </a:ext>
                      </a:extLst>
                    </a:blip>
                    <a:srcRect l="1568" t="1" r="883" b="1135"/>
                    <a:stretch/>
                  </pic:blipFill>
                  <pic:spPr bwMode="auto">
                    <a:xfrm>
                      <a:off x="0" y="0"/>
                      <a:ext cx="5400040" cy="5041307"/>
                    </a:xfrm>
                    <a:prstGeom prst="rect">
                      <a:avLst/>
                    </a:prstGeom>
                    <a:noFill/>
                    <a:ln>
                      <a:noFill/>
                    </a:ln>
                    <a:extLst>
                      <a:ext uri="{53640926-AAD7-44D8-BBD7-CCE9431645EC}">
                        <a14:shadowObscured xmlns:a14="http://schemas.microsoft.com/office/drawing/2010/main"/>
                      </a:ext>
                    </a:extLst>
                  </pic:spPr>
                </pic:pic>
              </a:graphicData>
            </a:graphic>
          </wp:inline>
        </w:drawing>
      </w:r>
      <w:r w:rsidRPr="00ED6F9D">
        <w:rPr>
          <w:rFonts w:eastAsia="Calibri"/>
          <w:noProof/>
          <w:szCs w:val="24"/>
          <w:lang w:val="en-GB" w:eastAsia="en-GB"/>
        </w:rPr>
        <w:drawing>
          <wp:inline distT="0" distB="0" distL="0" distR="0" wp14:anchorId="2C0BD3BB" wp14:editId="4AB1A0C6">
            <wp:extent cx="5399405" cy="1588660"/>
            <wp:effectExtent l="0" t="0" r="0" b="0"/>
            <wp:docPr id="242" name="Picture 242" descr="P90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905#yIS2"/>
                    <pic:cNvPicPr>
                      <a:picLocks noChangeAspect="1" noChangeArrowheads="1"/>
                    </pic:cNvPicPr>
                  </pic:nvPicPr>
                  <pic:blipFill rotWithShape="1">
                    <a:blip r:embed="rId54">
                      <a:lum bright="-20000" contrast="40000"/>
                      <a:extLst>
                        <a:ext uri="{28A0092B-C50C-407E-A947-70E740481C1C}">
                          <a14:useLocalDpi xmlns:a14="http://schemas.microsoft.com/office/drawing/2010/main" val="0"/>
                        </a:ext>
                      </a:extLst>
                    </a:blip>
                    <a:srcRect l="1" r="399" b="37673"/>
                    <a:stretch/>
                  </pic:blipFill>
                  <pic:spPr bwMode="auto">
                    <a:xfrm>
                      <a:off x="0" y="0"/>
                      <a:ext cx="5585614" cy="1643448"/>
                    </a:xfrm>
                    <a:prstGeom prst="rect">
                      <a:avLst/>
                    </a:prstGeom>
                    <a:noFill/>
                    <a:ln>
                      <a:noFill/>
                    </a:ln>
                    <a:extLst>
                      <a:ext uri="{53640926-AAD7-44D8-BBD7-CCE9431645EC}">
                        <a14:shadowObscured xmlns:a14="http://schemas.microsoft.com/office/drawing/2010/main"/>
                      </a:ext>
                    </a:extLst>
                  </pic:spPr>
                </pic:pic>
              </a:graphicData>
            </a:graphic>
          </wp:inline>
        </w:drawing>
      </w:r>
    </w:p>
    <w:p w14:paraId="16C8A558" w14:textId="2403749B" w:rsidR="000123F4" w:rsidRDefault="000123F4" w:rsidP="00CB0654">
      <w:pPr>
        <w:pStyle w:val="TableDescription"/>
      </w:pPr>
      <w:r>
        <w:t xml:space="preserve">Abbreviations: </w:t>
      </w:r>
      <w:r w:rsidR="00552DCA">
        <w:t xml:space="preserve">TEAE = treatment emergent adverse events; </w:t>
      </w:r>
      <w:r>
        <w:t>N1 = number of participants receiving the first dose of trial vaccine; N2 = number of participants receiving the second dose of trial vaccine; NVX = NVX-CoV2373/</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 TEAE = treatment emergent adverse events.</w:t>
      </w:r>
    </w:p>
    <w:p w14:paraId="2A7BCCCE" w14:textId="77777777" w:rsidR="000123F4" w:rsidRDefault="000123F4" w:rsidP="00CB0654">
      <w:pPr>
        <w:pStyle w:val="TableDescription"/>
      </w:pPr>
      <w:r w:rsidRPr="00E55726">
        <w:rPr>
          <w:vertAlign w:val="superscript"/>
        </w:rPr>
        <w:t>1</w:t>
      </w:r>
      <w:r>
        <w:t xml:space="preserve"> Group C only </w:t>
      </w:r>
    </w:p>
    <w:p w14:paraId="6A6CB846" w14:textId="77777777" w:rsidR="000123F4" w:rsidRDefault="000123F4" w:rsidP="00CB0654">
      <w:pPr>
        <w:pStyle w:val="TableDescription"/>
      </w:pPr>
      <w:r w:rsidRPr="00E55726">
        <w:rPr>
          <w:vertAlign w:val="superscript"/>
        </w:rPr>
        <w:t>2</w:t>
      </w:r>
      <w:r>
        <w:t xml:space="preserve"> Group B and C only </w:t>
      </w:r>
    </w:p>
    <w:p w14:paraId="67E65388" w14:textId="77777777" w:rsidR="000123F4" w:rsidRDefault="000123F4" w:rsidP="00CB0654">
      <w:pPr>
        <w:pStyle w:val="TableDescription"/>
      </w:pPr>
      <w:r w:rsidRPr="00E55726">
        <w:rPr>
          <w:vertAlign w:val="superscript"/>
        </w:rPr>
        <w:t>3</w:t>
      </w:r>
      <w:r>
        <w:t xml:space="preserve"> Based on Study 2019nCoV-501 interim report</w:t>
      </w:r>
    </w:p>
    <w:p w14:paraId="0A1F7D26" w14:textId="77777777" w:rsidR="000123F4" w:rsidRDefault="000123F4" w:rsidP="00CB0654">
      <w:pPr>
        <w:pStyle w:val="TableDescription"/>
      </w:pPr>
      <w:r w:rsidRPr="00E55726">
        <w:rPr>
          <w:vertAlign w:val="superscript"/>
        </w:rPr>
        <w:t>4</w:t>
      </w:r>
      <w:r>
        <w:t xml:space="preserve"> Solicited local and systemic TEAEs were evaluated in a subset of 2714 participants in this study</w:t>
      </w:r>
    </w:p>
    <w:p w14:paraId="7510CE21" w14:textId="77777777" w:rsidR="000123F4" w:rsidRDefault="000123F4" w:rsidP="00CB0654">
      <w:pPr>
        <w:pStyle w:val="TableDescription"/>
      </w:pPr>
      <w:r w:rsidRPr="00E55726">
        <w:rPr>
          <w:vertAlign w:val="superscript"/>
        </w:rPr>
        <w:t>5</w:t>
      </w:r>
      <w:r>
        <w:t xml:space="preserve"> Excludes three sentinel participants who received active vaccine in an open label manner</w:t>
      </w:r>
    </w:p>
    <w:p w14:paraId="20C0B217" w14:textId="77777777" w:rsidR="000123F4" w:rsidRDefault="000123F4" w:rsidP="00CB0654">
      <w:pPr>
        <w:pStyle w:val="TableDescription"/>
      </w:pPr>
      <w:r w:rsidRPr="00E55726">
        <w:rPr>
          <w:vertAlign w:val="superscript"/>
        </w:rPr>
        <w:t>6</w:t>
      </w:r>
      <w:r>
        <w:t xml:space="preserve"> Based on Group B only as participant in Group C received placebo for their second vaccination.</w:t>
      </w:r>
    </w:p>
    <w:p w14:paraId="1B7CD7A0" w14:textId="210DE1C6" w:rsidR="000123F4" w:rsidRDefault="000123F4" w:rsidP="00CB0654">
      <w:pPr>
        <w:pStyle w:val="TableDescription"/>
      </w:pPr>
      <w:r>
        <w:t>Note: Toxicity grading based on FDA toxicity grading scale;</w:t>
      </w:r>
      <w:r w:rsidRPr="00E55726">
        <w:rPr>
          <w:vertAlign w:val="superscript"/>
        </w:rPr>
        <w:fldChar w:fldCharType="begin"/>
      </w:r>
      <w:r w:rsidRPr="00E55726">
        <w:rPr>
          <w:vertAlign w:val="superscript"/>
        </w:rPr>
        <w:instrText xml:space="preserve"> NOTEREF _Ref92737808 \h </w:instrText>
      </w:r>
      <w:r>
        <w:rPr>
          <w:vertAlign w:val="superscript"/>
        </w:rPr>
        <w:instrText xml:space="preserve"> \* MERGEFORMAT </w:instrText>
      </w:r>
      <w:r w:rsidRPr="00E55726">
        <w:rPr>
          <w:vertAlign w:val="superscript"/>
        </w:rPr>
      </w:r>
      <w:r w:rsidRPr="00E55726">
        <w:rPr>
          <w:vertAlign w:val="superscript"/>
        </w:rPr>
        <w:fldChar w:fldCharType="separate"/>
      </w:r>
      <w:r w:rsidR="00C41FF6">
        <w:rPr>
          <w:vertAlign w:val="superscript"/>
        </w:rPr>
        <w:t>36</w:t>
      </w:r>
      <w:r w:rsidRPr="00E55726">
        <w:rPr>
          <w:vertAlign w:val="superscript"/>
        </w:rPr>
        <w:fldChar w:fldCharType="end"/>
      </w:r>
    </w:p>
    <w:p w14:paraId="1F68E29A" w14:textId="77777777" w:rsidR="000123F4" w:rsidRDefault="000123F4" w:rsidP="00CB0654">
      <w:pPr>
        <w:pStyle w:val="TableDescription"/>
      </w:pPr>
      <w:r>
        <w:t>Note: Data are presented as number and percentage (n %) of participants.</w:t>
      </w:r>
    </w:p>
    <w:p w14:paraId="7FC7B648" w14:textId="0C27F9A3" w:rsidR="009D79AD" w:rsidRDefault="009D79AD" w:rsidP="00345763">
      <w:r>
        <w:lastRenderedPageBreak/>
        <w:t xml:space="preserve">In Study 2019nCoV-302, solicited systemic AEs were reported by 47.6% of </w:t>
      </w:r>
      <w:proofErr w:type="spellStart"/>
      <w:r>
        <w:t>Nuvaxovid</w:t>
      </w:r>
      <w:proofErr w:type="spellEnd"/>
      <w:r>
        <w:t xml:space="preserve"> recipients following the first dose. This increased with the second dose to 64.6%. With the second dose, higher frequencies of </w:t>
      </w:r>
      <w:r w:rsidR="006E544F">
        <w:t>Grade</w:t>
      </w:r>
      <w:r>
        <w:t xml:space="preserve"> 3 reactions were reported, increasing from 1.3% with the first dose to 6.8%. There was a modest increase in the frequency and intensity of reactions with the second dose for those persons who experienced mild (</w:t>
      </w:r>
      <w:r w:rsidR="006E544F">
        <w:t>Grade</w:t>
      </w:r>
      <w:r>
        <w:t xml:space="preserve"> 0, </w:t>
      </w:r>
      <w:r w:rsidR="006E544F">
        <w:t>Grade</w:t>
      </w:r>
      <w:r>
        <w:t xml:space="preserve"> 1) reactions with the first dose. Of participants reporting </w:t>
      </w:r>
      <w:r w:rsidR="006E544F">
        <w:t>Grade</w:t>
      </w:r>
      <w:r>
        <w:t xml:space="preserve"> 1 reactions with the first dose, 55% reported </w:t>
      </w:r>
      <w:r w:rsidR="006E544F">
        <w:t>Grade</w:t>
      </w:r>
      <w:r>
        <w:t xml:space="preserve"> 2 or higher reactions following the second dose. Of participants who reported </w:t>
      </w:r>
      <w:r w:rsidR="006E544F">
        <w:t>Grade</w:t>
      </w:r>
      <w:r>
        <w:t xml:space="preserve"> 3 or 4 reactions following the first dose, 60% reported less severe systemic reactions following the second dose.</w:t>
      </w:r>
    </w:p>
    <w:p w14:paraId="2BA8E690" w14:textId="31CF5FBB" w:rsidR="009D79AD" w:rsidRDefault="009D79AD" w:rsidP="00345763">
      <w:r>
        <w:t xml:space="preserve">Headache, fatigue, and muscle pain were the most frequent solicited systemic AEs. Grade 3 headache, fatigue, and muscle pain were reported in 17 (1.4%), 43 (3.6%), and 34 (2.8%) participants in the </w:t>
      </w:r>
      <w:proofErr w:type="spellStart"/>
      <w:r>
        <w:t>Nuvaxovid</w:t>
      </w:r>
      <w:proofErr w:type="spellEnd"/>
      <w:r>
        <w:t xml:space="preserve"> group and 3 (0.3%), 9 (0.8%), and 3 (0.3%) participants in the placebo group</w:t>
      </w:r>
      <w:r w:rsidR="00A61021">
        <w:t xml:space="preserve"> following the second dose</w:t>
      </w:r>
      <w:r>
        <w:t xml:space="preserve">. Median durations of headache, fatigue, and muscle pain were </w:t>
      </w:r>
      <w:r w:rsidR="0026682C">
        <w:t>one</w:t>
      </w:r>
      <w:r>
        <w:t xml:space="preserve"> day</w:t>
      </w:r>
      <w:r w:rsidR="0026682C">
        <w:t xml:space="preserve"> for each AE</w:t>
      </w:r>
      <w:r>
        <w:t xml:space="preserve"> </w:t>
      </w:r>
      <w:r w:rsidR="0026682C">
        <w:t xml:space="preserve">for every </w:t>
      </w:r>
      <w:r>
        <w:t>study vaccine group after both the first as the second dose.</w:t>
      </w:r>
    </w:p>
    <w:p w14:paraId="09A1E647" w14:textId="4F50BC56" w:rsidR="009D79AD" w:rsidRDefault="009D79AD" w:rsidP="00345763">
      <w:r>
        <w:t>Similar systemic reactogenicity was observed in Studies 2019nCoV-101 and 2019nCoV</w:t>
      </w:r>
      <w:r w:rsidR="006E544F">
        <w:noBreakHyphen/>
      </w:r>
      <w:r>
        <w:t xml:space="preserve">301. In Study 2019nCoV-301, 0.1% reported </w:t>
      </w:r>
      <w:r w:rsidR="006E544F">
        <w:t>Grade</w:t>
      </w:r>
      <w:r>
        <w:t xml:space="preserve"> 4 solicited systemic adverse events after the first and second dose in both vaccine arms.</w:t>
      </w:r>
    </w:p>
    <w:p w14:paraId="230BDB9B" w14:textId="3D16CFF0" w:rsidR="009D79AD" w:rsidRDefault="009D79AD" w:rsidP="00345763">
      <w:r>
        <w:t xml:space="preserve">Following first </w:t>
      </w:r>
      <w:r w:rsidR="00E124AA">
        <w:t xml:space="preserve">dose </w:t>
      </w:r>
      <w:r>
        <w:t xml:space="preserve">vaccination in </w:t>
      </w:r>
      <w:r w:rsidR="006E544F">
        <w:t xml:space="preserve">Study </w:t>
      </w:r>
      <w:r>
        <w:t>2019nCoV-301, overall concomitant analgesic medication use was low (&lt;</w:t>
      </w:r>
      <w:r w:rsidR="006E544F">
        <w:t> </w:t>
      </w:r>
      <w:r>
        <w:t xml:space="preserve">1%), and rates were balanced between the </w:t>
      </w:r>
      <w:proofErr w:type="spellStart"/>
      <w:r w:rsidR="006E544F">
        <w:t>Nuvaxovid</w:t>
      </w:r>
      <w:proofErr w:type="spellEnd"/>
      <w:r>
        <w:t xml:space="preserve"> and placebo groups (130 </w:t>
      </w:r>
      <w:r w:rsidR="006E544F">
        <w:t>(</w:t>
      </w:r>
      <w:r>
        <w:t>0.7%</w:t>
      </w:r>
      <w:r w:rsidR="006E544F">
        <w:t>)</w:t>
      </w:r>
      <w:r>
        <w:t xml:space="preserve"> and 57 </w:t>
      </w:r>
      <w:r w:rsidR="006E544F">
        <w:t>(</w:t>
      </w:r>
      <w:r>
        <w:t>0.6%</w:t>
      </w:r>
      <w:r w:rsidR="006E544F">
        <w:t>)</w:t>
      </w:r>
      <w:r>
        <w:t xml:space="preserve">, respectively). Following second </w:t>
      </w:r>
      <w:r w:rsidR="00E124AA">
        <w:t xml:space="preserve">dose </w:t>
      </w:r>
      <w:r>
        <w:t xml:space="preserve">vaccination, there was an increase in concomitant analgesic medication use in the </w:t>
      </w:r>
      <w:proofErr w:type="spellStart"/>
      <w:r w:rsidR="006E544F">
        <w:t>Nuvaxovid</w:t>
      </w:r>
      <w:proofErr w:type="spellEnd"/>
      <w:r>
        <w:t xml:space="preserve"> group relative to the placebo group (545 </w:t>
      </w:r>
      <w:r w:rsidR="006E544F">
        <w:t>(</w:t>
      </w:r>
      <w:r>
        <w:t>2.8%</w:t>
      </w:r>
      <w:r w:rsidR="006E544F">
        <w:t>)</w:t>
      </w:r>
      <w:r>
        <w:t xml:space="preserve"> and 63 </w:t>
      </w:r>
      <w:r w:rsidR="006E544F">
        <w:t>(</w:t>
      </w:r>
      <w:r>
        <w:t>0.6%</w:t>
      </w:r>
      <w:r w:rsidR="006E544F">
        <w:t>)</w:t>
      </w:r>
      <w:r>
        <w:t xml:space="preserve">, respectively). In </w:t>
      </w:r>
      <w:r w:rsidR="006E544F">
        <w:t xml:space="preserve">Study </w:t>
      </w:r>
      <w:r>
        <w:t xml:space="preserve">2019nCoV-302, following first vaccination, overall concomitant analgesic medication use was low (1.4%), and rates were balanced between the </w:t>
      </w:r>
      <w:proofErr w:type="spellStart"/>
      <w:r w:rsidR="006E544F">
        <w:t>Nuvaxovid</w:t>
      </w:r>
      <w:proofErr w:type="spellEnd"/>
      <w:r>
        <w:t xml:space="preserve"> and placebo groups (100 </w:t>
      </w:r>
      <w:r w:rsidR="006E544F">
        <w:t>(</w:t>
      </w:r>
      <w:r>
        <w:t>1.3%</w:t>
      </w:r>
      <w:r w:rsidR="006E544F">
        <w:t>)</w:t>
      </w:r>
      <w:r>
        <w:t xml:space="preserve"> and 112 </w:t>
      </w:r>
      <w:r w:rsidR="006E544F">
        <w:t>(</w:t>
      </w:r>
      <w:r>
        <w:t>1.5%</w:t>
      </w:r>
      <w:r w:rsidR="006E544F">
        <w:t>)</w:t>
      </w:r>
      <w:r>
        <w:t xml:space="preserve">, respectively). Similar results were seen following second vaccination (103 </w:t>
      </w:r>
      <w:r w:rsidR="006E544F">
        <w:t>(</w:t>
      </w:r>
      <w:r>
        <w:t>1.4%</w:t>
      </w:r>
      <w:r w:rsidR="006E544F">
        <w:t>)</w:t>
      </w:r>
      <w:r>
        <w:t xml:space="preserve"> and 119 </w:t>
      </w:r>
      <w:r w:rsidR="006E544F">
        <w:t>(</w:t>
      </w:r>
      <w:r>
        <w:t>1.6%</w:t>
      </w:r>
      <w:r w:rsidR="006E544F">
        <w:t>)</w:t>
      </w:r>
      <w:r>
        <w:t>, respectively).</w:t>
      </w:r>
    </w:p>
    <w:p w14:paraId="18F48A6D" w14:textId="6B3D8963" w:rsidR="009D79AD" w:rsidRDefault="009D79AD" w:rsidP="00345763">
      <w:pPr>
        <w:pStyle w:val="Heading6"/>
        <w:keepNext w:val="0"/>
      </w:pPr>
      <w:r>
        <w:t>Unsolicited adverse events</w:t>
      </w:r>
    </w:p>
    <w:p w14:paraId="786F2527" w14:textId="23386BAE" w:rsidR="009D79AD" w:rsidRDefault="009D79AD" w:rsidP="00345763">
      <w:r>
        <w:t xml:space="preserve">The frequencies of unsolicited TEAEs reported from </w:t>
      </w:r>
      <w:r w:rsidR="00122975">
        <w:t xml:space="preserve">first </w:t>
      </w:r>
      <w:r w:rsidR="00E124AA">
        <w:t>d</w:t>
      </w:r>
      <w:r>
        <w:t>ose through 28 days post</w:t>
      </w:r>
      <w:r w:rsidR="00122975">
        <w:t xml:space="preserve"> second d</w:t>
      </w:r>
      <w:r>
        <w:t>ose</w:t>
      </w:r>
      <w:r w:rsidR="00122975">
        <w:t xml:space="preserve"> </w:t>
      </w:r>
      <w:r>
        <w:t>(</w:t>
      </w:r>
      <w:r w:rsidR="00122975">
        <w:t xml:space="preserve">that is </w:t>
      </w:r>
      <w:r>
        <w:t>Day 49) in ≥</w:t>
      </w:r>
      <w:r w:rsidR="00122975">
        <w:t> </w:t>
      </w:r>
      <w:r>
        <w:t xml:space="preserve">0.5% of participants in either group. These were higher in the </w:t>
      </w:r>
      <w:proofErr w:type="spellStart"/>
      <w:r w:rsidR="00122975">
        <w:t>Nuvaxovid</w:t>
      </w:r>
      <w:proofErr w:type="spellEnd"/>
      <w:r>
        <w:t xml:space="preserve"> group than the placebo group across both age strata and were dominated by ongoing reactogenicity events continuing beyond the </w:t>
      </w:r>
      <w:r w:rsidR="00122975">
        <w:t xml:space="preserve">seven </w:t>
      </w:r>
      <w:r>
        <w:t>day post-</w:t>
      </w:r>
      <w:r w:rsidR="0026682C">
        <w:noBreakHyphen/>
      </w:r>
      <w:r>
        <w:t>injection window. Frequencies were slightly higher in older compared to younger participants. AEs were mostly mild, with severe TEAEs occurring in &lt;</w:t>
      </w:r>
      <w:r w:rsidR="00122975">
        <w:t> </w:t>
      </w:r>
      <w:r>
        <w:t>1% of participants.</w:t>
      </w:r>
    </w:p>
    <w:p w14:paraId="5AF133CA" w14:textId="7A5DE2E3" w:rsidR="009D79AD" w:rsidRDefault="00122975" w:rsidP="00345763">
      <w:pPr>
        <w:pStyle w:val="ListBullet"/>
      </w:pPr>
      <w:r>
        <w:t xml:space="preserve">Study </w:t>
      </w:r>
      <w:r w:rsidR="009D79AD">
        <w:t xml:space="preserve">2019nCoV-301: up to Day 49, higher rates of AEs in the </w:t>
      </w:r>
      <w:proofErr w:type="spellStart"/>
      <w:r>
        <w:t>Nuvaxovid</w:t>
      </w:r>
      <w:proofErr w:type="spellEnd"/>
      <w:r w:rsidR="009D79AD">
        <w:t xml:space="preserve"> group were reported for the following </w:t>
      </w:r>
      <w:r>
        <w:t>System Organ Class (</w:t>
      </w:r>
      <w:r w:rsidR="009D79AD">
        <w:t>SOC</w:t>
      </w:r>
      <w:r>
        <w:t>)</w:t>
      </w:r>
      <w:r w:rsidR="009D79AD">
        <w:t>:</w:t>
      </w:r>
    </w:p>
    <w:p w14:paraId="725CB880" w14:textId="178043B5" w:rsidR="009D79AD" w:rsidRDefault="009D79AD" w:rsidP="00345763">
      <w:pPr>
        <w:pStyle w:val="ListBullet2"/>
      </w:pPr>
      <w:r>
        <w:t>General disorders and administration site conditions (</w:t>
      </w:r>
      <w:r w:rsidR="00122975">
        <w:t>incident rate (IR)</w:t>
      </w:r>
      <w:r>
        <w:t>: 33.7 v</w:t>
      </w:r>
      <w:r w:rsidR="00122975">
        <w:t>ersu</w:t>
      </w:r>
      <w:r>
        <w:t xml:space="preserve">s 16.8 per 100 </w:t>
      </w:r>
      <w:r w:rsidR="00122975">
        <w:t>patient-years (PY)</w:t>
      </w:r>
      <w:r>
        <w:t xml:space="preserve">) with differences in the </w:t>
      </w:r>
      <w:r w:rsidR="00122975">
        <w:t>Preferred Terms (PT)</w:t>
      </w:r>
      <w:r>
        <w:t xml:space="preserve">: </w:t>
      </w:r>
      <w:r w:rsidR="00A61021">
        <w:t>f</w:t>
      </w:r>
      <w:r w:rsidR="00A61021" w:rsidRPr="00A61021">
        <w:t>atigue (n</w:t>
      </w:r>
      <w:r w:rsidR="00A61021">
        <w:t xml:space="preserve"> </w:t>
      </w:r>
      <w:r w:rsidR="00A61021" w:rsidRPr="00A61021">
        <w:t>=</w:t>
      </w:r>
      <w:r w:rsidR="00A61021">
        <w:t xml:space="preserve"> </w:t>
      </w:r>
      <w:r w:rsidR="00A61021" w:rsidRPr="00A61021">
        <w:t xml:space="preserve">196 </w:t>
      </w:r>
      <w:r w:rsidR="00A61021">
        <w:t>versus</w:t>
      </w:r>
      <w:r w:rsidR="00A61021" w:rsidRPr="00A61021">
        <w:t xml:space="preserve"> 69), </w:t>
      </w:r>
      <w:r w:rsidR="00A61021">
        <w:t>i</w:t>
      </w:r>
      <w:r w:rsidR="00A61021" w:rsidRPr="00A61021">
        <w:t>njection site pain (n</w:t>
      </w:r>
      <w:r w:rsidR="00A61021">
        <w:t xml:space="preserve"> </w:t>
      </w:r>
      <w:r w:rsidR="00A61021" w:rsidRPr="00A61021">
        <w:t>=</w:t>
      </w:r>
      <w:r w:rsidR="00A61021">
        <w:t xml:space="preserve"> </w:t>
      </w:r>
      <w:r w:rsidR="00A61021" w:rsidRPr="00A61021">
        <w:t>160 v</w:t>
      </w:r>
      <w:r w:rsidR="00A61021">
        <w:t>ersu</w:t>
      </w:r>
      <w:r w:rsidR="00A61021" w:rsidRPr="00A61021">
        <w:t>s 38), pain (n</w:t>
      </w:r>
      <w:r w:rsidR="00A61021">
        <w:t> </w:t>
      </w:r>
      <w:r w:rsidR="00A61021" w:rsidRPr="00A61021">
        <w:t>=</w:t>
      </w:r>
      <w:r w:rsidR="00A61021">
        <w:t> </w:t>
      </w:r>
      <w:r w:rsidR="00A61021" w:rsidRPr="00A61021">
        <w:t>68 v</w:t>
      </w:r>
      <w:r w:rsidR="00A61021">
        <w:t>ersus</w:t>
      </w:r>
      <w:r w:rsidR="00A61021" w:rsidRPr="00A61021">
        <w:t xml:space="preserve"> 21), pyrexia (n</w:t>
      </w:r>
      <w:r w:rsidR="00A61021">
        <w:t xml:space="preserve"> </w:t>
      </w:r>
      <w:r w:rsidR="00A61021" w:rsidRPr="00A61021">
        <w:t>=</w:t>
      </w:r>
      <w:r w:rsidR="00A61021">
        <w:t xml:space="preserve"> </w:t>
      </w:r>
      <w:r w:rsidR="00A61021" w:rsidRPr="00A61021">
        <w:t>116 v</w:t>
      </w:r>
      <w:r w:rsidR="00A61021">
        <w:t>ersus</w:t>
      </w:r>
      <w:r w:rsidR="00A61021" w:rsidRPr="00A61021">
        <w:t xml:space="preserve"> 23), chills (n</w:t>
      </w:r>
      <w:r w:rsidR="00A61021">
        <w:t xml:space="preserve"> </w:t>
      </w:r>
      <w:r w:rsidR="00A61021" w:rsidRPr="00A61021">
        <w:t>=</w:t>
      </w:r>
      <w:r w:rsidR="00A61021">
        <w:t xml:space="preserve"> </w:t>
      </w:r>
      <w:r w:rsidR="00A61021" w:rsidRPr="00A61021">
        <w:t>65 v</w:t>
      </w:r>
      <w:r w:rsidR="00A61021">
        <w:t xml:space="preserve">ersus </w:t>
      </w:r>
      <w:r w:rsidR="00A61021" w:rsidRPr="00A61021">
        <w:t>6), malaise (n</w:t>
      </w:r>
      <w:r w:rsidR="00A61021">
        <w:t> </w:t>
      </w:r>
      <w:r w:rsidR="00A61021" w:rsidRPr="00A61021">
        <w:t>=</w:t>
      </w:r>
      <w:r w:rsidR="00A61021">
        <w:t> </w:t>
      </w:r>
      <w:r w:rsidR="00A61021" w:rsidRPr="00A61021">
        <w:t>48 v</w:t>
      </w:r>
      <w:r w:rsidR="00A61021">
        <w:t>ersus</w:t>
      </w:r>
      <w:r w:rsidR="00A61021" w:rsidRPr="00A61021">
        <w:t xml:space="preserve"> 14), injection site pruritus (n</w:t>
      </w:r>
      <w:r w:rsidR="00A61021">
        <w:t xml:space="preserve"> </w:t>
      </w:r>
      <w:r w:rsidR="00A61021" w:rsidRPr="00A61021">
        <w:t>=</w:t>
      </w:r>
      <w:r w:rsidR="00A61021">
        <w:t xml:space="preserve"> </w:t>
      </w:r>
      <w:r w:rsidR="00A61021" w:rsidRPr="00A61021">
        <w:t>44 v</w:t>
      </w:r>
      <w:r w:rsidR="00A61021">
        <w:t xml:space="preserve">ersus </w:t>
      </w:r>
      <w:r w:rsidR="00A61021" w:rsidRPr="00A61021">
        <w:t>2), injection site erythema (n</w:t>
      </w:r>
      <w:r w:rsidR="00A61021">
        <w:t> </w:t>
      </w:r>
      <w:r w:rsidR="00A61021" w:rsidRPr="00A61021">
        <w:t>=</w:t>
      </w:r>
      <w:r w:rsidR="00A61021">
        <w:t> </w:t>
      </w:r>
      <w:r w:rsidR="00A61021" w:rsidRPr="00A61021">
        <w:t>29 v</w:t>
      </w:r>
      <w:r w:rsidR="00A61021">
        <w:t>ersu</w:t>
      </w:r>
      <w:r w:rsidR="00A61021" w:rsidRPr="00A61021">
        <w:t>s 4), Injection site swelling (n</w:t>
      </w:r>
      <w:r w:rsidR="00A61021">
        <w:t xml:space="preserve"> </w:t>
      </w:r>
      <w:r w:rsidR="00A61021" w:rsidRPr="00A61021">
        <w:t>=</w:t>
      </w:r>
      <w:r w:rsidR="00A61021">
        <w:t xml:space="preserve"> </w:t>
      </w:r>
      <w:r w:rsidR="00A61021" w:rsidRPr="00A61021">
        <w:t>26 v</w:t>
      </w:r>
      <w:r w:rsidR="00A61021">
        <w:t>ersu</w:t>
      </w:r>
      <w:r w:rsidR="00A61021" w:rsidRPr="00A61021">
        <w:t>s 1), influenza like illness (n</w:t>
      </w:r>
      <w:r w:rsidR="00A61021">
        <w:t> </w:t>
      </w:r>
      <w:r w:rsidR="00A61021" w:rsidRPr="00A61021">
        <w:t>=</w:t>
      </w:r>
      <w:r w:rsidR="00A61021">
        <w:t> </w:t>
      </w:r>
      <w:r w:rsidR="00A61021" w:rsidRPr="00A61021">
        <w:t>21 v</w:t>
      </w:r>
      <w:r w:rsidR="00A61021">
        <w:t>ersu</w:t>
      </w:r>
      <w:r w:rsidR="00A61021" w:rsidRPr="00A61021">
        <w:t xml:space="preserve">s 3), </w:t>
      </w:r>
      <w:r>
        <w:t>oedema peripheral (n</w:t>
      </w:r>
      <w:r w:rsidR="00122975">
        <w:t xml:space="preserve"> </w:t>
      </w:r>
      <w:r>
        <w:t>=</w:t>
      </w:r>
      <w:r w:rsidR="00122975">
        <w:t xml:space="preserve"> </w:t>
      </w:r>
      <w:r>
        <w:t>15 v</w:t>
      </w:r>
      <w:r w:rsidR="00122975">
        <w:t>ersu</w:t>
      </w:r>
      <w:r>
        <w:t>s 4).</w:t>
      </w:r>
    </w:p>
    <w:p w14:paraId="6A1F0AD2" w14:textId="4870C00A" w:rsidR="009D79AD" w:rsidRDefault="009D79AD" w:rsidP="00345763">
      <w:pPr>
        <w:pStyle w:val="ListBullet2"/>
      </w:pPr>
      <w:r>
        <w:t>Nervous system disorders (IR: 18.7 v</w:t>
      </w:r>
      <w:r w:rsidR="00122975">
        <w:t xml:space="preserve">ersus </w:t>
      </w:r>
      <w:r>
        <w:t xml:space="preserve">18.1 per 100 PY) with differences in PTs </w:t>
      </w:r>
      <w:r w:rsidR="00122975">
        <w:t>h</w:t>
      </w:r>
      <w:r>
        <w:t>eadache (n</w:t>
      </w:r>
      <w:r w:rsidR="00122975">
        <w:t xml:space="preserve"> </w:t>
      </w:r>
      <w:r>
        <w:t>=</w:t>
      </w:r>
      <w:r w:rsidR="00122975">
        <w:t xml:space="preserve"> </w:t>
      </w:r>
      <w:r>
        <w:t>293 v</w:t>
      </w:r>
      <w:r w:rsidR="00122975">
        <w:t>ersus</w:t>
      </w:r>
      <w:r>
        <w:t xml:space="preserve">130), </w:t>
      </w:r>
      <w:r w:rsidR="00122975">
        <w:t>m</w:t>
      </w:r>
      <w:r>
        <w:t>igraine (n</w:t>
      </w:r>
      <w:r w:rsidR="00122975">
        <w:t xml:space="preserve"> </w:t>
      </w:r>
      <w:r>
        <w:t>=</w:t>
      </w:r>
      <w:r w:rsidR="00122975">
        <w:t xml:space="preserve"> </w:t>
      </w:r>
      <w:r>
        <w:t>18 v</w:t>
      </w:r>
      <w:r w:rsidR="00122975">
        <w:t xml:space="preserve">ersus </w:t>
      </w:r>
      <w:r>
        <w:t>3)</w:t>
      </w:r>
      <w:r w:rsidR="008E6FB4">
        <w:t>.</w:t>
      </w:r>
    </w:p>
    <w:p w14:paraId="43EF1219" w14:textId="2EC7AD81" w:rsidR="009D79AD" w:rsidRDefault="009D79AD" w:rsidP="00345763">
      <w:pPr>
        <w:pStyle w:val="ListBullet2"/>
      </w:pPr>
      <w:r>
        <w:t>Musculoskeletal and connective tissue disorders (IR: 13.8 v</w:t>
      </w:r>
      <w:r w:rsidR="00122975">
        <w:t xml:space="preserve">ersus </w:t>
      </w:r>
      <w:r>
        <w:t xml:space="preserve">11.8 per 100 PY), with a difference in PTs </w:t>
      </w:r>
      <w:r w:rsidR="00122975">
        <w:t>m</w:t>
      </w:r>
      <w:r>
        <w:t>yalgia (n</w:t>
      </w:r>
      <w:r w:rsidR="00122975">
        <w:t xml:space="preserve"> </w:t>
      </w:r>
      <w:r>
        <w:t>=</w:t>
      </w:r>
      <w:r w:rsidR="00122975">
        <w:t xml:space="preserve"> </w:t>
      </w:r>
      <w:r>
        <w:t xml:space="preserve">109 </w:t>
      </w:r>
      <w:r w:rsidR="00183DE7">
        <w:t>versus</w:t>
      </w:r>
      <w:r>
        <w:t xml:space="preserve"> 30), </w:t>
      </w:r>
      <w:r w:rsidR="00122975">
        <w:t>p</w:t>
      </w:r>
      <w:r>
        <w:t>ain in extremity (n</w:t>
      </w:r>
      <w:r w:rsidR="00122975">
        <w:t xml:space="preserve"> </w:t>
      </w:r>
      <w:r>
        <w:t>=</w:t>
      </w:r>
      <w:r w:rsidR="00122975">
        <w:t xml:space="preserve"> </w:t>
      </w:r>
      <w:r>
        <w:t>51 v</w:t>
      </w:r>
      <w:r w:rsidR="00122975">
        <w:t xml:space="preserve">ersus </w:t>
      </w:r>
      <w:r>
        <w:t>17), tendonitis (n</w:t>
      </w:r>
      <w:r w:rsidR="00122975">
        <w:t xml:space="preserve"> </w:t>
      </w:r>
      <w:r>
        <w:t>=</w:t>
      </w:r>
      <w:r w:rsidR="00122975">
        <w:t xml:space="preserve"> </w:t>
      </w:r>
      <w:r>
        <w:t>11 v</w:t>
      </w:r>
      <w:r w:rsidR="00122975">
        <w:t>ersus</w:t>
      </w:r>
      <w:r>
        <w:t xml:space="preserve"> 2)</w:t>
      </w:r>
      <w:r w:rsidR="008E6FB4">
        <w:t>.</w:t>
      </w:r>
    </w:p>
    <w:p w14:paraId="459633EE" w14:textId="36CB65AF" w:rsidR="009D79AD" w:rsidRDefault="009D79AD" w:rsidP="00345763">
      <w:pPr>
        <w:pStyle w:val="ListBullet2"/>
      </w:pPr>
      <w:r>
        <w:lastRenderedPageBreak/>
        <w:t>Skin and subcutaneous tissue disorders (IR: 7.9 v</w:t>
      </w:r>
      <w:r w:rsidR="00122975">
        <w:t xml:space="preserve">ersus </w:t>
      </w:r>
      <w:r>
        <w:t xml:space="preserve">5.2), with a difference in the PTs </w:t>
      </w:r>
      <w:r w:rsidR="00122975">
        <w:t>r</w:t>
      </w:r>
      <w:r>
        <w:t>ash (n</w:t>
      </w:r>
      <w:r w:rsidR="00122975">
        <w:t xml:space="preserve"> </w:t>
      </w:r>
      <w:r>
        <w:t>=</w:t>
      </w:r>
      <w:r w:rsidR="00122975">
        <w:t xml:space="preserve"> </w:t>
      </w:r>
      <w:r>
        <w:t>61 v</w:t>
      </w:r>
      <w:r w:rsidR="00122975">
        <w:t>ersu</w:t>
      </w:r>
      <w:r>
        <w:t xml:space="preserve">s 22), </w:t>
      </w:r>
      <w:r w:rsidR="00122975">
        <w:t>p</w:t>
      </w:r>
      <w:r>
        <w:t>ruritus (n</w:t>
      </w:r>
      <w:r w:rsidR="00122975">
        <w:t xml:space="preserve"> </w:t>
      </w:r>
      <w:r>
        <w:t>=</w:t>
      </w:r>
      <w:r w:rsidR="00122975">
        <w:t xml:space="preserve"> </w:t>
      </w:r>
      <w:r>
        <w:t>25 v</w:t>
      </w:r>
      <w:r w:rsidR="00122975">
        <w:t>ersus</w:t>
      </w:r>
      <w:r>
        <w:t xml:space="preserve"> 2), </w:t>
      </w:r>
      <w:r w:rsidR="00122975">
        <w:t>u</w:t>
      </w:r>
      <w:r>
        <w:t>rticaria (n</w:t>
      </w:r>
      <w:r w:rsidR="00122975">
        <w:t xml:space="preserve"> </w:t>
      </w:r>
      <w:r>
        <w:t>=</w:t>
      </w:r>
      <w:r w:rsidR="00122975">
        <w:t xml:space="preserve"> </w:t>
      </w:r>
      <w:r>
        <w:t>17 v</w:t>
      </w:r>
      <w:r w:rsidR="00122975">
        <w:t>ersu</w:t>
      </w:r>
      <w:r>
        <w:t xml:space="preserve">s 5), </w:t>
      </w:r>
      <w:r w:rsidR="00122975">
        <w:t>e</w:t>
      </w:r>
      <w:r>
        <w:t>rythema (n</w:t>
      </w:r>
      <w:r w:rsidR="00122975">
        <w:t xml:space="preserve"> </w:t>
      </w:r>
      <w:r>
        <w:t>=</w:t>
      </w:r>
      <w:r w:rsidR="00122975">
        <w:t xml:space="preserve"> </w:t>
      </w:r>
      <w:r>
        <w:t>16 v</w:t>
      </w:r>
      <w:r w:rsidR="00122975">
        <w:t>ersu</w:t>
      </w:r>
      <w:r>
        <w:t>s 3).</w:t>
      </w:r>
    </w:p>
    <w:p w14:paraId="5C50408D" w14:textId="3D58083A" w:rsidR="000123F4" w:rsidRDefault="009D79AD" w:rsidP="00345763">
      <w:pPr>
        <w:pStyle w:val="ListBullet2"/>
      </w:pPr>
      <w:r>
        <w:t>Blood and lymphatic disorders</w:t>
      </w:r>
      <w:r w:rsidR="00122975">
        <w:t xml:space="preserve"> </w:t>
      </w:r>
      <w:r>
        <w:t>(IR: 2.8 v</w:t>
      </w:r>
      <w:r w:rsidR="00122975">
        <w:t>ersu</w:t>
      </w:r>
      <w:r>
        <w:t xml:space="preserve">s 1.6), with a difference in the PT </w:t>
      </w:r>
      <w:r w:rsidR="00122975">
        <w:t>l</w:t>
      </w:r>
      <w:r>
        <w:t>ymphadenopathy (n</w:t>
      </w:r>
      <w:r w:rsidR="00122975">
        <w:t xml:space="preserve"> </w:t>
      </w:r>
      <w:r>
        <w:t>=</w:t>
      </w:r>
      <w:r w:rsidR="00122975">
        <w:t xml:space="preserve"> </w:t>
      </w:r>
      <w:r>
        <w:t>53 v</w:t>
      </w:r>
      <w:r w:rsidR="00122975">
        <w:t>ersus</w:t>
      </w:r>
      <w:r>
        <w:t xml:space="preserve"> 13)</w:t>
      </w:r>
      <w:r w:rsidR="008E6FB4">
        <w:t>.</w:t>
      </w:r>
    </w:p>
    <w:p w14:paraId="6D71E1FC" w14:textId="55B6BD6F" w:rsidR="002829B8" w:rsidRPr="002829B8" w:rsidRDefault="002829B8" w:rsidP="00345763">
      <w:pPr>
        <w:pStyle w:val="ListBullet2"/>
      </w:pPr>
      <w:r w:rsidRPr="002829B8">
        <w:t>Eye disorders (IR: 2.3 v</w:t>
      </w:r>
      <w:r>
        <w:t>ersus</w:t>
      </w:r>
      <w:r w:rsidR="008B5778">
        <w:t xml:space="preserve"> </w:t>
      </w:r>
      <w:r w:rsidRPr="002829B8">
        <w:t>1) with 62 events reported in 51 of 19729 (0.26%) participants receiving active vaccine compared with 13 events in 12 of 9853 (0.12%) placebo</w:t>
      </w:r>
      <w:r>
        <w:t xml:space="preserve"> </w:t>
      </w:r>
      <w:r w:rsidRPr="002829B8">
        <w:t>treated participants. This explained by minor imbalances in several PTs including diplopia (notably, one SAE of diplopia was reported), dry eye, eye swelling, lacrimation increased, ocular discomfort, photophobia, and swelling of eyelid. Several of these PTs are related or can possibly be caused by inflammation of the eye although there was only a singular report in the PT ‘</w:t>
      </w:r>
      <w:r w:rsidRPr="003B45EE">
        <w:rPr>
          <w:i/>
          <w:iCs/>
        </w:rPr>
        <w:t>Eye inflammation</w:t>
      </w:r>
      <w:r w:rsidRPr="002829B8">
        <w:t xml:space="preserve">’ (in the </w:t>
      </w:r>
      <w:proofErr w:type="spellStart"/>
      <w:r>
        <w:t>Nuvaxovid</w:t>
      </w:r>
      <w:proofErr w:type="spellEnd"/>
      <w:r w:rsidRPr="002829B8">
        <w:t xml:space="preserve"> group)</w:t>
      </w:r>
      <w:r w:rsidR="008E6FB4">
        <w:t>.</w:t>
      </w:r>
    </w:p>
    <w:p w14:paraId="44F779B5" w14:textId="7B985E20" w:rsidR="002829B8" w:rsidRPr="002829B8" w:rsidRDefault="002829B8" w:rsidP="00345763">
      <w:pPr>
        <w:pStyle w:val="ListBullet2"/>
      </w:pPr>
      <w:r w:rsidRPr="002829B8">
        <w:t>Reproductive system and breast disorders (IR: 2</w:t>
      </w:r>
      <w:r>
        <w:t xml:space="preserve"> </w:t>
      </w:r>
      <w:r w:rsidRPr="002829B8">
        <w:t>v</w:t>
      </w:r>
      <w:r>
        <w:t>ersus</w:t>
      </w:r>
      <w:r w:rsidRPr="002829B8">
        <w:t xml:space="preserve"> 1.25) with 55 events reported in 52 of 19729 (0.26%) participants receiving active vaccine compared with 17 events in 17 of 9853 (0.17%) placebo</w:t>
      </w:r>
      <w:r>
        <w:t xml:space="preserve"> </w:t>
      </w:r>
      <w:r w:rsidRPr="002829B8">
        <w:t>treated participants; the imbalance is explained by PTs of dysmenorrhoea (12 v</w:t>
      </w:r>
      <w:r>
        <w:t xml:space="preserve">ersus </w:t>
      </w:r>
      <w:r w:rsidRPr="002829B8">
        <w:t>3) and menstruation irregular (5</w:t>
      </w:r>
      <w:r w:rsidR="0026682C">
        <w:t> </w:t>
      </w:r>
      <w:r w:rsidRPr="002829B8">
        <w:t>v</w:t>
      </w:r>
      <w:r>
        <w:t>ersus</w:t>
      </w:r>
      <w:r w:rsidRPr="002829B8">
        <w:t xml:space="preserve"> 0).</w:t>
      </w:r>
    </w:p>
    <w:p w14:paraId="6504E3A7" w14:textId="537F818B" w:rsidR="002829B8" w:rsidRPr="00ED6F9D" w:rsidRDefault="002829B8" w:rsidP="00345763">
      <w:r w:rsidRPr="00ED6F9D">
        <w:t xml:space="preserve">There was a higher IR of unsolicited </w:t>
      </w:r>
      <w:r w:rsidRPr="0026682C">
        <w:t>treatment</w:t>
      </w:r>
      <w:r w:rsidR="00D072C9">
        <w:t xml:space="preserve"> </w:t>
      </w:r>
      <w:r w:rsidRPr="00ED6F9D">
        <w:t>related AEs reported from start of first vaccination through 28 days after second vaccination (</w:t>
      </w:r>
      <w:r>
        <w:t>for example</w:t>
      </w:r>
      <w:r w:rsidRPr="00ED6F9D">
        <w:t xml:space="preserve"> Day 49) in the </w:t>
      </w:r>
      <w:proofErr w:type="spellStart"/>
      <w:r>
        <w:t>Nuvaxovid</w:t>
      </w:r>
      <w:proofErr w:type="spellEnd"/>
      <w:r w:rsidRPr="00ED6F9D">
        <w:t xml:space="preserve"> group (50.92 e</w:t>
      </w:r>
      <w:r>
        <w:t>vents</w:t>
      </w:r>
      <w:r w:rsidRPr="00ED6F9D">
        <w:t>/100 PY) than in the placebo group (26.34 e</w:t>
      </w:r>
      <w:r>
        <w:t>vents</w:t>
      </w:r>
      <w:r w:rsidRPr="00ED6F9D">
        <w:t>/100 PY). Unsolicited treatment</w:t>
      </w:r>
      <w:r>
        <w:t xml:space="preserve"> </w:t>
      </w:r>
      <w:r w:rsidRPr="00ED6F9D">
        <w:t>related AEs that had a &gt;</w:t>
      </w:r>
      <w:r>
        <w:t> </w:t>
      </w:r>
      <w:r w:rsidRPr="00ED6F9D">
        <w:t>1 e</w:t>
      </w:r>
      <w:r>
        <w:t>vent</w:t>
      </w:r>
      <w:r w:rsidRPr="00ED6F9D">
        <w:t xml:space="preserve">/100 PY higher IR in the </w:t>
      </w:r>
      <w:proofErr w:type="spellStart"/>
      <w:r>
        <w:t>Nuvaxovid</w:t>
      </w:r>
      <w:proofErr w:type="spellEnd"/>
      <w:r w:rsidRPr="00ED6F9D">
        <w:t xml:space="preserve"> group than in the placebo group were injection site pain (5.64 v</w:t>
      </w:r>
      <w:r>
        <w:t>ersu</w:t>
      </w:r>
      <w:r w:rsidRPr="00ED6F9D">
        <w:t>s 2.35), fatigue (4.84 v</w:t>
      </w:r>
      <w:r>
        <w:t>ersu</w:t>
      </w:r>
      <w:r w:rsidRPr="00ED6F9D">
        <w:t>s 2.72), headache (4.73 v</w:t>
      </w:r>
      <w:r>
        <w:t>ersu</w:t>
      </w:r>
      <w:r w:rsidRPr="00ED6F9D">
        <w:t>s 3.31), pyrexia (2.76 v</w:t>
      </w:r>
      <w:r>
        <w:t>ersu</w:t>
      </w:r>
      <w:r w:rsidRPr="00ED6F9D">
        <w:t>s 0.74), myalgia (2.76 v</w:t>
      </w:r>
      <w:r>
        <w:t>ersus</w:t>
      </w:r>
      <w:r w:rsidRPr="00ED6F9D">
        <w:t xml:space="preserve"> 0.96), chills (1.86 v</w:t>
      </w:r>
      <w:r>
        <w:t>ersu</w:t>
      </w:r>
      <w:r w:rsidRPr="00ED6F9D">
        <w:t>s 0.37), and injection site pruritus (1.53 v</w:t>
      </w:r>
      <w:r>
        <w:t>ersu</w:t>
      </w:r>
      <w:r w:rsidRPr="00ED6F9D">
        <w:t>s 0.15); these events were consistent with the solicited local and systemic TEAEs reported during the reactogenicity period.</w:t>
      </w:r>
    </w:p>
    <w:p w14:paraId="079E61C7" w14:textId="70F3D66F" w:rsidR="002829B8" w:rsidRPr="002829B8" w:rsidRDefault="002829B8" w:rsidP="00345763">
      <w:pPr>
        <w:pStyle w:val="ListBullet"/>
      </w:pPr>
      <w:r>
        <w:t xml:space="preserve">Study </w:t>
      </w:r>
      <w:r w:rsidRPr="002829B8">
        <w:t>2019nCoV-302: Differences between the treatment arms were largely due to differences in AEs of pain (1.2% v</w:t>
      </w:r>
      <w:r>
        <w:t>ersu</w:t>
      </w:r>
      <w:r w:rsidRPr="002829B8">
        <w:t>s 0.3%, respectively), injection site pruritus (0.7% v</w:t>
      </w:r>
      <w:r>
        <w:t>ersu</w:t>
      </w:r>
      <w:r w:rsidRPr="002829B8">
        <w:t>s &lt;</w:t>
      </w:r>
      <w:r>
        <w:t> </w:t>
      </w:r>
      <w:r w:rsidRPr="002829B8">
        <w:t>0.1%), and lethargy (1% v</w:t>
      </w:r>
      <w:r>
        <w:t>ersu</w:t>
      </w:r>
      <w:r w:rsidRPr="002829B8">
        <w:t>s 0.4%). There was a higher frequency of participants with unsolicited treatment</w:t>
      </w:r>
      <w:r>
        <w:t xml:space="preserve"> </w:t>
      </w:r>
      <w:r w:rsidRPr="002829B8">
        <w:t xml:space="preserve">related AEs in the </w:t>
      </w:r>
      <w:proofErr w:type="spellStart"/>
      <w:r>
        <w:t>Nuvaxovid</w:t>
      </w:r>
      <w:proofErr w:type="spellEnd"/>
      <w:r w:rsidRPr="002829B8">
        <w:t xml:space="preserve"> group (10.9%) than in the placebo group (4.6%); this difference was largely due to treatment</w:t>
      </w:r>
      <w:r>
        <w:t xml:space="preserve"> </w:t>
      </w:r>
      <w:r w:rsidRPr="002829B8">
        <w:t>related AEs of pain (1.1% v</w:t>
      </w:r>
      <w:r>
        <w:t>ersu</w:t>
      </w:r>
      <w:r w:rsidRPr="002829B8">
        <w:t>s 0.2%, respectively), influenza-like illness (0.8% v</w:t>
      </w:r>
      <w:r>
        <w:t>ersus</w:t>
      </w:r>
      <w:r w:rsidRPr="002829B8">
        <w:t xml:space="preserve"> &lt;</w:t>
      </w:r>
      <w:r>
        <w:t> </w:t>
      </w:r>
      <w:r w:rsidRPr="002829B8">
        <w:t>0.1%), injection site pruritus (0.6% v</w:t>
      </w:r>
      <w:r>
        <w:t>ersu</w:t>
      </w:r>
      <w:r w:rsidRPr="002829B8">
        <w:t>s &lt;</w:t>
      </w:r>
      <w:r>
        <w:t> </w:t>
      </w:r>
      <w:r w:rsidRPr="002829B8">
        <w:t>0.1%), and lethargy (0.9% v</w:t>
      </w:r>
      <w:r>
        <w:t xml:space="preserve">ersus </w:t>
      </w:r>
      <w:r w:rsidRPr="002829B8">
        <w:t>0.3%).</w:t>
      </w:r>
    </w:p>
    <w:p w14:paraId="6219B62E" w14:textId="525D3480" w:rsidR="002829B8" w:rsidRPr="002829B8" w:rsidRDefault="002829B8" w:rsidP="00345763">
      <w:pPr>
        <w:pStyle w:val="ListBullet2"/>
      </w:pPr>
      <w:r w:rsidRPr="002829B8">
        <w:t xml:space="preserve">Severe AEs: a numerical imbalance was seen for hypertension, with </w:t>
      </w:r>
      <w:r>
        <w:t>nine</w:t>
      </w:r>
      <w:r w:rsidRPr="002829B8">
        <w:t xml:space="preserve"> reports of hypertension (0.1%) for the </w:t>
      </w:r>
      <w:proofErr w:type="spellStart"/>
      <w:r>
        <w:t>Nuvaxovid</w:t>
      </w:r>
      <w:proofErr w:type="spellEnd"/>
      <w:r w:rsidRPr="002829B8">
        <w:t xml:space="preserve"> group compared with </w:t>
      </w:r>
      <w:r>
        <w:t>two</w:t>
      </w:r>
      <w:r w:rsidRPr="002829B8">
        <w:t xml:space="preserve"> for the placebo group (&lt;</w:t>
      </w:r>
      <w:r>
        <w:t> </w:t>
      </w:r>
      <w:r w:rsidRPr="002829B8">
        <w:t>0.1%), in addition to reports of hypertension (n</w:t>
      </w:r>
      <w:r>
        <w:t xml:space="preserve"> </w:t>
      </w:r>
      <w:r w:rsidRPr="002829B8">
        <w:t>=</w:t>
      </w:r>
      <w:r>
        <w:t xml:space="preserve"> </w:t>
      </w:r>
      <w:r w:rsidRPr="002829B8">
        <w:t>2), systolic hypertension (n</w:t>
      </w:r>
      <w:r>
        <w:t xml:space="preserve"> </w:t>
      </w:r>
      <w:r w:rsidRPr="002829B8">
        <w:t>=</w:t>
      </w:r>
      <w:r>
        <w:t xml:space="preserve"> </w:t>
      </w:r>
      <w:r w:rsidRPr="002829B8">
        <w:t>1) and hypertensive crisis (n</w:t>
      </w:r>
      <w:r>
        <w:t xml:space="preserve"> </w:t>
      </w:r>
      <w:r w:rsidRPr="002829B8">
        <w:t>=</w:t>
      </w:r>
      <w:r>
        <w:t xml:space="preserve"> </w:t>
      </w:r>
      <w:r w:rsidRPr="002829B8">
        <w:t xml:space="preserve">1) in the </w:t>
      </w:r>
      <w:proofErr w:type="spellStart"/>
      <w:r>
        <w:t>Nuvaxovid</w:t>
      </w:r>
      <w:proofErr w:type="spellEnd"/>
      <w:r w:rsidRPr="002829B8">
        <w:t xml:space="preserve"> group v</w:t>
      </w:r>
      <w:r>
        <w:t>ersu</w:t>
      </w:r>
      <w:r w:rsidRPr="002829B8">
        <w:t>s one report of ‘</w:t>
      </w:r>
      <w:r w:rsidRPr="002829B8">
        <w:rPr>
          <w:i/>
          <w:iCs/>
        </w:rPr>
        <w:t>blood pressure systolic increased</w:t>
      </w:r>
      <w:r w:rsidRPr="002829B8">
        <w:t>’ in the placebo group (n</w:t>
      </w:r>
      <w:r>
        <w:t xml:space="preserve"> </w:t>
      </w:r>
      <w:r w:rsidRPr="002829B8">
        <w:t>=</w:t>
      </w:r>
      <w:r>
        <w:t xml:space="preserve"> </w:t>
      </w:r>
      <w:r w:rsidRPr="002829B8">
        <w:t>1). Combined 13 v</w:t>
      </w:r>
      <w:r>
        <w:t>ersu</w:t>
      </w:r>
      <w:r w:rsidRPr="002829B8">
        <w:t xml:space="preserve">s 3 severe TEAEs were reported related to hypertension. In the </w:t>
      </w:r>
      <w:r w:rsidRPr="002829B8">
        <w:rPr>
          <w:i/>
          <w:iCs/>
        </w:rPr>
        <w:t xml:space="preserve">pooled analysis </w:t>
      </w:r>
      <w:r w:rsidRPr="002829B8">
        <w:t>the incidence rates were 0.40 (n</w:t>
      </w:r>
      <w:r>
        <w:t xml:space="preserve"> </w:t>
      </w:r>
      <w:r w:rsidRPr="002829B8">
        <w:t>=</w:t>
      </w:r>
      <w:r>
        <w:t xml:space="preserve"> </w:t>
      </w:r>
      <w:r w:rsidRPr="002829B8">
        <w:t xml:space="preserve">102) in the </w:t>
      </w:r>
      <w:proofErr w:type="spellStart"/>
      <w:r>
        <w:t>Nuvaxovid</w:t>
      </w:r>
      <w:proofErr w:type="spellEnd"/>
      <w:r w:rsidRPr="002829B8">
        <w:t xml:space="preserve"> arm compared to 0.43 (n</w:t>
      </w:r>
      <w:r>
        <w:t xml:space="preserve"> </w:t>
      </w:r>
      <w:r w:rsidRPr="002829B8">
        <w:t>=</w:t>
      </w:r>
      <w:r>
        <w:t xml:space="preserve"> </w:t>
      </w:r>
      <w:r w:rsidRPr="002829B8">
        <w:t>70) in the placebo arm for participants 18</w:t>
      </w:r>
      <w:r>
        <w:t xml:space="preserve"> to </w:t>
      </w:r>
      <w:r w:rsidRPr="002829B8">
        <w:t>64 years. In participants aged 65 or older however, the rates were 0.96 (n</w:t>
      </w:r>
      <w:r>
        <w:t xml:space="preserve"> </w:t>
      </w:r>
      <w:r w:rsidRPr="002829B8">
        <w:t>=</w:t>
      </w:r>
      <w:r>
        <w:t xml:space="preserve"> </w:t>
      </w:r>
      <w:r w:rsidRPr="002829B8">
        <w:t xml:space="preserve">46) in the </w:t>
      </w:r>
      <w:proofErr w:type="spellStart"/>
      <w:r>
        <w:t>Nuvaxovid</w:t>
      </w:r>
      <w:proofErr w:type="spellEnd"/>
      <w:r w:rsidRPr="002829B8">
        <w:t xml:space="preserve"> arm compared to 0.64 (n</w:t>
      </w:r>
      <w:r>
        <w:t xml:space="preserve"> </w:t>
      </w:r>
      <w:r w:rsidRPr="002829B8">
        <w:t>=</w:t>
      </w:r>
      <w:r>
        <w:t xml:space="preserve"> </w:t>
      </w:r>
      <w:r w:rsidRPr="002829B8">
        <w:t xml:space="preserve">22) in the placebo group during the </w:t>
      </w:r>
      <w:r>
        <w:t>three</w:t>
      </w:r>
      <w:r w:rsidRPr="002829B8">
        <w:t xml:space="preserve"> days following vaccination.</w:t>
      </w:r>
    </w:p>
    <w:p w14:paraId="0F6EE6F8" w14:textId="28CF363E" w:rsidR="002829B8" w:rsidRPr="00E86A32" w:rsidRDefault="00E86A32" w:rsidP="00345763">
      <w:pPr>
        <w:pStyle w:val="ListBullet"/>
      </w:pPr>
      <w:r w:rsidRPr="00E86A32">
        <w:t xml:space="preserve">Study </w:t>
      </w:r>
      <w:r w:rsidR="002829B8" w:rsidRPr="00E86A32">
        <w:t xml:space="preserve">2019nCoV-501: Similar rate of unsolicited AEs was observed through 49 days after first vaccination in both vaccine arms. The most frequent (incidence &gt; 1%) TEAEs in the </w:t>
      </w:r>
      <w:proofErr w:type="spellStart"/>
      <w:r>
        <w:t>Nuvaxovid</w:t>
      </w:r>
      <w:proofErr w:type="spellEnd"/>
      <w:r w:rsidR="002829B8" w:rsidRPr="00E86A32">
        <w:t xml:space="preserve"> group were headache (3.1%) and upper respiratory tract infection (1.2%); headache (2.3%) and influenza-like illness (1.1%) were the most frequent in the placebo group. The most frequent (incidence &gt;</w:t>
      </w:r>
      <w:r>
        <w:t> </w:t>
      </w:r>
      <w:r w:rsidR="002829B8" w:rsidRPr="00E86A32">
        <w:t xml:space="preserve">5 participants) </w:t>
      </w:r>
      <w:r w:rsidR="002829B8" w:rsidRPr="00E86A32">
        <w:lastRenderedPageBreak/>
        <w:t xml:space="preserve">treatment-related TEAEs in the </w:t>
      </w:r>
      <w:proofErr w:type="spellStart"/>
      <w:r>
        <w:t>Nuvaxovid</w:t>
      </w:r>
      <w:proofErr w:type="spellEnd"/>
      <w:r w:rsidR="002829B8" w:rsidRPr="00E86A32">
        <w:t xml:space="preserve"> group were headache (17 </w:t>
      </w:r>
      <w:r>
        <w:t>(</w:t>
      </w:r>
      <w:r w:rsidR="002829B8" w:rsidRPr="00E86A32">
        <w:t>0.8%</w:t>
      </w:r>
      <w:r>
        <w:t>)</w:t>
      </w:r>
      <w:r w:rsidR="002829B8" w:rsidRPr="00E86A32">
        <w:t xml:space="preserve">), myalgia (9 </w:t>
      </w:r>
      <w:r>
        <w:t>(</w:t>
      </w:r>
      <w:r w:rsidR="002829B8" w:rsidRPr="00E86A32">
        <w:t>0.4%</w:t>
      </w:r>
      <w:r>
        <w:t>)</w:t>
      </w:r>
      <w:r w:rsidR="002829B8" w:rsidRPr="00E86A32">
        <w:t xml:space="preserve">), lymphadenopathy (9 </w:t>
      </w:r>
      <w:r>
        <w:t>(</w:t>
      </w:r>
      <w:r w:rsidR="002829B8" w:rsidRPr="00E86A32">
        <w:t>0.4%</w:t>
      </w:r>
      <w:r>
        <w:t>)</w:t>
      </w:r>
      <w:r w:rsidR="002829B8" w:rsidRPr="00E86A32">
        <w:t xml:space="preserve">), and injection site pain (6 </w:t>
      </w:r>
      <w:r>
        <w:t>(</w:t>
      </w:r>
      <w:r w:rsidR="002829B8" w:rsidRPr="00E86A32">
        <w:t>0.3%</w:t>
      </w:r>
      <w:r>
        <w:t>)</w:t>
      </w:r>
      <w:r w:rsidR="002829B8" w:rsidRPr="00E86A32">
        <w:t>).</w:t>
      </w:r>
    </w:p>
    <w:p w14:paraId="1D94B85F" w14:textId="3400709F" w:rsidR="002829B8" w:rsidRDefault="00E86A32" w:rsidP="00CB0654">
      <w:pPr>
        <w:pStyle w:val="TableTitle"/>
      </w:pPr>
      <w:r w:rsidRPr="00481D04">
        <w:t xml:space="preserve">Table </w:t>
      </w:r>
      <w:r w:rsidR="00344FF4">
        <w:fldChar w:fldCharType="begin"/>
      </w:r>
      <w:r w:rsidR="00344FF4">
        <w:instrText xml:space="preserve"> SEQ Table \* ARABIC </w:instrText>
      </w:r>
      <w:r w:rsidR="00344FF4">
        <w:fldChar w:fldCharType="separate"/>
      </w:r>
      <w:r w:rsidR="00C41FF6">
        <w:rPr>
          <w:noProof/>
        </w:rPr>
        <w:t>30</w:t>
      </w:r>
      <w:r w:rsidR="00344FF4">
        <w:rPr>
          <w:noProof/>
        </w:rPr>
        <w:fldChar w:fldCharType="end"/>
      </w:r>
      <w:r>
        <w:t xml:space="preserve">: </w:t>
      </w:r>
      <w:r w:rsidRPr="00E86A32">
        <w:t xml:space="preserve">Frequencies of </w:t>
      </w:r>
      <w:r>
        <w:t>u</w:t>
      </w:r>
      <w:r w:rsidRPr="00E86A32">
        <w:t xml:space="preserve">nsolicited </w:t>
      </w:r>
      <w:r>
        <w:t>a</w:t>
      </w:r>
      <w:r w:rsidRPr="00E86A32">
        <w:t xml:space="preserve">dverse </w:t>
      </w:r>
      <w:r>
        <w:t>e</w:t>
      </w:r>
      <w:r w:rsidRPr="00E86A32">
        <w:t xml:space="preserve">vents </w:t>
      </w:r>
      <w:r>
        <w:t>r</w:t>
      </w:r>
      <w:r w:rsidRPr="00E86A32">
        <w:t xml:space="preserve">eported from </w:t>
      </w:r>
      <w:r>
        <w:t>a</w:t>
      </w:r>
      <w:r w:rsidRPr="00E86A32">
        <w:t xml:space="preserve">fter </w:t>
      </w:r>
      <w:r>
        <w:t>s</w:t>
      </w:r>
      <w:r w:rsidRPr="00E86A32">
        <w:t xml:space="preserve">tart of </w:t>
      </w:r>
      <w:r>
        <w:t>f</w:t>
      </w:r>
      <w:r w:rsidRPr="00E86A32">
        <w:t xml:space="preserve">irst </w:t>
      </w:r>
      <w:r>
        <w:t>v</w:t>
      </w:r>
      <w:r w:rsidRPr="00E86A32">
        <w:t xml:space="preserve">accination </w:t>
      </w:r>
      <w:r>
        <w:t>t</w:t>
      </w:r>
      <w:r w:rsidRPr="00E86A32">
        <w:t xml:space="preserve">hrough 28 </w:t>
      </w:r>
      <w:r>
        <w:t>d</w:t>
      </w:r>
      <w:r w:rsidRPr="00E86A32">
        <w:t xml:space="preserve">ays </w:t>
      </w:r>
      <w:r>
        <w:t>a</w:t>
      </w:r>
      <w:r w:rsidRPr="00E86A32">
        <w:t xml:space="preserve">fter </w:t>
      </w:r>
      <w:r>
        <w:t>s</w:t>
      </w:r>
      <w:r w:rsidRPr="00E86A32">
        <w:t xml:space="preserve">econd </w:t>
      </w:r>
      <w:r>
        <w:t>v</w:t>
      </w:r>
      <w:r w:rsidRPr="00E86A32">
        <w:t>accination (</w:t>
      </w:r>
      <w:r>
        <w:t>for example</w:t>
      </w:r>
      <w:r w:rsidRPr="00E86A32">
        <w:t xml:space="preserve"> Day 49) in ≥</w:t>
      </w:r>
      <w:r w:rsidR="003F21FC">
        <w:t> </w:t>
      </w:r>
      <w:r w:rsidRPr="00E86A32">
        <w:t xml:space="preserve">0.5% of </w:t>
      </w:r>
      <w:r>
        <w:t>p</w:t>
      </w:r>
      <w:r w:rsidRPr="00E86A32">
        <w:t xml:space="preserve">articipants in the </w:t>
      </w:r>
      <w:r>
        <w:t>p</w:t>
      </w:r>
      <w:r w:rsidRPr="00E86A32">
        <w:t xml:space="preserve">ooled </w:t>
      </w:r>
      <w:r>
        <w:t>a</w:t>
      </w:r>
      <w:r w:rsidRPr="00E86A32">
        <w:t xml:space="preserve">nalysis of </w:t>
      </w:r>
      <w:r>
        <w:t>s</w:t>
      </w:r>
      <w:r w:rsidRPr="00E86A32">
        <w:t xml:space="preserve">afety </w:t>
      </w:r>
      <w:r>
        <w:t>d</w:t>
      </w:r>
      <w:r w:rsidRPr="00E86A32">
        <w:t>ata</w:t>
      </w:r>
    </w:p>
    <w:p w14:paraId="2F707481" w14:textId="5F759331" w:rsidR="00E86A32" w:rsidRDefault="00E86A32" w:rsidP="00345763">
      <w:r w:rsidRPr="00ED6F9D">
        <w:rPr>
          <w:rFonts w:eastAsia="Calibri"/>
          <w:noProof/>
          <w:sz w:val="24"/>
          <w:szCs w:val="24"/>
          <w:lang w:val="en-GB" w:eastAsia="en-GB"/>
        </w:rPr>
        <w:drawing>
          <wp:inline distT="0" distB="0" distL="0" distR="0" wp14:anchorId="2B5049C7" wp14:editId="719743B1">
            <wp:extent cx="5334635" cy="6298441"/>
            <wp:effectExtent l="0" t="0" r="0" b="7620"/>
            <wp:docPr id="243" name="Picture 243" descr="P9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934#yIS1"/>
                    <pic:cNvPicPr>
                      <a:picLocks noChangeAspect="1" noChangeArrowheads="1"/>
                    </pic:cNvPicPr>
                  </pic:nvPicPr>
                  <pic:blipFill rotWithShape="1">
                    <a:blip r:embed="rId55">
                      <a:extLst>
                        <a:ext uri="{28A0092B-C50C-407E-A947-70E740481C1C}">
                          <a14:useLocalDpi xmlns:a14="http://schemas.microsoft.com/office/drawing/2010/main" val="0"/>
                        </a:ext>
                      </a:extLst>
                    </a:blip>
                    <a:srcRect b="6918"/>
                    <a:stretch/>
                  </pic:blipFill>
                  <pic:spPr bwMode="auto">
                    <a:xfrm>
                      <a:off x="0" y="0"/>
                      <a:ext cx="5334635" cy="6298441"/>
                    </a:xfrm>
                    <a:prstGeom prst="rect">
                      <a:avLst/>
                    </a:prstGeom>
                    <a:noFill/>
                    <a:ln>
                      <a:noFill/>
                    </a:ln>
                    <a:extLst>
                      <a:ext uri="{53640926-AAD7-44D8-BBD7-CCE9431645EC}">
                        <a14:shadowObscured xmlns:a14="http://schemas.microsoft.com/office/drawing/2010/main"/>
                      </a:ext>
                    </a:extLst>
                  </pic:spPr>
                </pic:pic>
              </a:graphicData>
            </a:graphic>
          </wp:inline>
        </w:drawing>
      </w:r>
    </w:p>
    <w:p w14:paraId="3C9CAD52" w14:textId="54E00B5C" w:rsidR="00C35868" w:rsidRDefault="00C35868" w:rsidP="00CB0654">
      <w:pPr>
        <w:pStyle w:val="TableDescription"/>
      </w:pPr>
      <w:r>
        <w:t>Abbreviations: MedDRA = Medical Dictionary for Regulatory Activities; TEAE = treatment emergent adverse event.</w:t>
      </w:r>
    </w:p>
    <w:p w14:paraId="3220A991" w14:textId="4AA8E636" w:rsidR="00C35868" w:rsidRDefault="00C35868" w:rsidP="00CB0654">
      <w:pPr>
        <w:pStyle w:val="TableDescription"/>
      </w:pPr>
      <w:r>
        <w:t>Note: Frequency of TEAEs in each system organ class represents all TEAEs.</w:t>
      </w:r>
    </w:p>
    <w:p w14:paraId="4C948FF1" w14:textId="16B02CC1" w:rsidR="00C35868" w:rsidRDefault="00C35868" w:rsidP="00CB0654">
      <w:pPr>
        <w:pStyle w:val="TableDescription"/>
      </w:pPr>
      <w:r>
        <w:t>Note: Results are presented as n (%) of total number of participants in each treatment group.</w:t>
      </w:r>
    </w:p>
    <w:p w14:paraId="0B347DE6" w14:textId="2EA452B6" w:rsidR="00C35868" w:rsidRDefault="00C35868" w:rsidP="00345763">
      <w:pPr>
        <w:pStyle w:val="Heading6"/>
        <w:keepNext w:val="0"/>
      </w:pPr>
      <w:r>
        <w:t>Adverse events of special interest</w:t>
      </w:r>
    </w:p>
    <w:p w14:paraId="77CEA303" w14:textId="71FFC378" w:rsidR="00C35868" w:rsidRDefault="00C35868" w:rsidP="00345763">
      <w:r>
        <w:t>Adverse events of special interest included PIMMCs as well as adverse events related to COVID-19.</w:t>
      </w:r>
    </w:p>
    <w:p w14:paraId="4D50AEB6" w14:textId="0C6CE824" w:rsidR="00C35868" w:rsidRDefault="00C35868" w:rsidP="00F441CA">
      <w:pPr>
        <w:pStyle w:val="ListBullet"/>
        <w:pageBreakBefore/>
        <w:ind w:left="425" w:hanging="425"/>
      </w:pPr>
      <w:r>
        <w:lastRenderedPageBreak/>
        <w:t>Potential immune-mediated medical conditions</w:t>
      </w:r>
    </w:p>
    <w:p w14:paraId="2B4B6970" w14:textId="46828617" w:rsidR="00C35868" w:rsidRDefault="00481D04" w:rsidP="00345763">
      <w:r w:rsidRPr="00481D04">
        <w:t>Potential immune-mediated medical conditions</w:t>
      </w:r>
      <w:r>
        <w:t xml:space="preserve"> were r</w:t>
      </w:r>
      <w:r w:rsidR="00C35868">
        <w:t xml:space="preserve">eported in five (&lt; 0.1%) participants in the </w:t>
      </w:r>
      <w:proofErr w:type="spellStart"/>
      <w:r w:rsidR="00C35868">
        <w:t>Nuvaxovid</w:t>
      </w:r>
      <w:proofErr w:type="spellEnd"/>
      <w:r w:rsidR="00C35868">
        <w:t xml:space="preserve"> group and eight (0.1%) participants in the placebo group in Study 2019nCoV-302. There were no PIMMCs reported for Studies 2019nCoV-501 and 2019nCoV-101. </w:t>
      </w:r>
      <w:r w:rsidR="00D94D85" w:rsidRPr="00D94D85">
        <w:t xml:space="preserve">In </w:t>
      </w:r>
      <w:r w:rsidR="00D94D85">
        <w:t xml:space="preserve">Study </w:t>
      </w:r>
      <w:r w:rsidR="00D94D85" w:rsidRPr="00D94D85">
        <w:t xml:space="preserve">2019nCoV-301, for the original analysis of PIMMCs, there was a higher IR of PIMMCs reported from start of first vaccination to blinded crossover or </w:t>
      </w:r>
      <w:r w:rsidR="00D94D85">
        <w:t>e</w:t>
      </w:r>
      <w:r w:rsidR="00D94D85" w:rsidRPr="00D94D85">
        <w:t xml:space="preserve">nd of </w:t>
      </w:r>
      <w:r w:rsidR="00D94D85">
        <w:t>s</w:t>
      </w:r>
      <w:r w:rsidR="00D94D85" w:rsidRPr="00D94D85">
        <w:t xml:space="preserve">tudy in the </w:t>
      </w:r>
      <w:proofErr w:type="spellStart"/>
      <w:r w:rsidR="00D94D85">
        <w:t>Nuvaxovid</w:t>
      </w:r>
      <w:proofErr w:type="spellEnd"/>
      <w:r w:rsidR="00D94D85" w:rsidRPr="00D94D85">
        <w:t xml:space="preserve"> group (0.4 e</w:t>
      </w:r>
      <w:r w:rsidR="00D94D85">
        <w:t>vent</w:t>
      </w:r>
      <w:r w:rsidR="00D94D85" w:rsidRPr="00D94D85">
        <w:t>/100 PY) than in the placebo group (0.15</w:t>
      </w:r>
      <w:r w:rsidR="0026682C">
        <w:t> </w:t>
      </w:r>
      <w:r w:rsidR="00D94D85" w:rsidRPr="00D94D85">
        <w:t>e</w:t>
      </w:r>
      <w:r w:rsidR="00D94D85">
        <w:t>vent</w:t>
      </w:r>
      <w:r w:rsidR="0026682C">
        <w:t>s</w:t>
      </w:r>
      <w:r w:rsidR="00D94D85" w:rsidRPr="00D94D85">
        <w:t xml:space="preserve">/100 PY). A </w:t>
      </w:r>
      <w:r w:rsidR="00AB0DF3">
        <w:t>standardised MedDRA queries (</w:t>
      </w:r>
      <w:r w:rsidR="00D94D85" w:rsidRPr="00D94D85">
        <w:t>SM</w:t>
      </w:r>
      <w:r w:rsidR="00D94D85">
        <w:t>Q</w:t>
      </w:r>
      <w:r w:rsidR="00AB0DF3">
        <w:t>)</w:t>
      </w:r>
      <w:r w:rsidR="00D94D85" w:rsidRPr="00D94D85">
        <w:t xml:space="preserve"> based on the protocol</w:t>
      </w:r>
      <w:r w:rsidR="00D94D85">
        <w:t xml:space="preserve"> </w:t>
      </w:r>
      <w:r w:rsidR="00D94D85" w:rsidRPr="00D94D85">
        <w:t>defined PIMMC MedDRA preferred terms was applied to the data. This evaluation demonstrated no imbalance of PIMMCs between study groups (0.46 e</w:t>
      </w:r>
      <w:r w:rsidR="00D94D85">
        <w:t>vent</w:t>
      </w:r>
      <w:r w:rsidR="0026682C">
        <w:t>s</w:t>
      </w:r>
      <w:r w:rsidR="00D94D85" w:rsidRPr="00D94D85">
        <w:t xml:space="preserve">/100 PY for </w:t>
      </w:r>
      <w:proofErr w:type="spellStart"/>
      <w:r w:rsidR="00D94D85">
        <w:t>Nuvaxovid</w:t>
      </w:r>
      <w:proofErr w:type="spellEnd"/>
      <w:r w:rsidR="00D94D85" w:rsidRPr="00D94D85">
        <w:t xml:space="preserve"> and 0.44 e</w:t>
      </w:r>
      <w:r w:rsidR="00D94D85">
        <w:t>vent</w:t>
      </w:r>
      <w:r w:rsidR="0026682C">
        <w:t>s</w:t>
      </w:r>
      <w:r w:rsidR="00D94D85" w:rsidRPr="00D94D85">
        <w:t>/100 PY for placebo). A combined analysis of PIMMCs based on protocol</w:t>
      </w:r>
      <w:r w:rsidR="00D94D85">
        <w:t xml:space="preserve"> </w:t>
      </w:r>
      <w:r w:rsidR="00D94D85" w:rsidRPr="00D94D85">
        <w:t>defined MedDRA preferred terms or site entered criteria on case report forms demonstrated little imbalance of PIMMCs between study groups (0.62 e</w:t>
      </w:r>
      <w:r w:rsidR="00D94D85">
        <w:t>vent</w:t>
      </w:r>
      <w:r w:rsidR="0026682C">
        <w:t>s</w:t>
      </w:r>
      <w:r w:rsidR="00D94D85" w:rsidRPr="00D94D85">
        <w:t xml:space="preserve">/100 PY for </w:t>
      </w:r>
      <w:proofErr w:type="spellStart"/>
      <w:r w:rsidR="00D94D85">
        <w:t>Nuvaxovid</w:t>
      </w:r>
      <w:proofErr w:type="spellEnd"/>
      <w:r w:rsidR="00D94D85" w:rsidRPr="00D94D85">
        <w:t xml:space="preserve"> and 0.54 e</w:t>
      </w:r>
      <w:r w:rsidR="00D94D85">
        <w:t>vent</w:t>
      </w:r>
      <w:r w:rsidR="0026682C">
        <w:t>s</w:t>
      </w:r>
      <w:r w:rsidR="00D94D85" w:rsidRPr="00D94D85">
        <w:t>/100 PY for placebo)</w:t>
      </w:r>
      <w:r w:rsidR="00C35868">
        <w:t xml:space="preserve"> (0.15 e</w:t>
      </w:r>
      <w:r>
        <w:t>vent</w:t>
      </w:r>
      <w:r w:rsidR="0026682C">
        <w:t>s</w:t>
      </w:r>
      <w:r w:rsidR="00C35868">
        <w:t>/100 PY)</w:t>
      </w:r>
      <w:r w:rsidR="008B5778">
        <w:t xml:space="preserve"> </w:t>
      </w:r>
      <w:r w:rsidR="00C35868">
        <w:t>(</w:t>
      </w:r>
      <w:r w:rsidR="003B45EE">
        <w:rPr>
          <w:highlight w:val="yellow"/>
        </w:rPr>
        <w:fldChar w:fldCharType="begin" w:fldLock="1"/>
      </w:r>
      <w:r w:rsidR="003B45EE">
        <w:instrText xml:space="preserve"> REF _Ref92746237 \h </w:instrText>
      </w:r>
      <w:r w:rsidR="003B45EE">
        <w:rPr>
          <w:highlight w:val="yellow"/>
        </w:rPr>
      </w:r>
      <w:r w:rsidR="003B45EE">
        <w:rPr>
          <w:highlight w:val="yellow"/>
        </w:rPr>
        <w:fldChar w:fldCharType="separate"/>
      </w:r>
      <w:r w:rsidR="00AA298B">
        <w:t xml:space="preserve">Table </w:t>
      </w:r>
      <w:r w:rsidR="00AA298B">
        <w:rPr>
          <w:noProof/>
        </w:rPr>
        <w:t>31</w:t>
      </w:r>
      <w:r w:rsidR="003B45EE">
        <w:rPr>
          <w:highlight w:val="yellow"/>
        </w:rPr>
        <w:fldChar w:fldCharType="end"/>
      </w:r>
      <w:r w:rsidR="00C35868">
        <w:t>).</w:t>
      </w:r>
      <w:r w:rsidR="00D94D85">
        <w:t xml:space="preserve"> There were no SOCs that had a ≥ 0.05 event</w:t>
      </w:r>
      <w:r w:rsidR="0026682C">
        <w:t>s</w:t>
      </w:r>
      <w:r w:rsidR="00D94D85">
        <w:t xml:space="preserve">/100 PY higher IR in the </w:t>
      </w:r>
      <w:proofErr w:type="spellStart"/>
      <w:r w:rsidR="00D94D85">
        <w:t>Nuvaxovid</w:t>
      </w:r>
      <w:proofErr w:type="spellEnd"/>
      <w:r w:rsidR="00AB0DF3">
        <w:t xml:space="preserve"> group than in the placebo group.</w:t>
      </w:r>
    </w:p>
    <w:p w14:paraId="0718C80E" w14:textId="66B0DBEC" w:rsidR="00C35868" w:rsidRDefault="00C35868" w:rsidP="00345763">
      <w:r>
        <w:t>Apart from uveitis (n</w:t>
      </w:r>
      <w:r w:rsidR="00481D04">
        <w:t xml:space="preserve"> </w:t>
      </w:r>
      <w:r>
        <w:t>=</w:t>
      </w:r>
      <w:r w:rsidR="00481D04">
        <w:t xml:space="preserve"> </w:t>
      </w:r>
      <w:r>
        <w:t xml:space="preserve">3 reports) and </w:t>
      </w:r>
      <w:proofErr w:type="spellStart"/>
      <w:r>
        <w:t>Basedow’s</w:t>
      </w:r>
      <w:proofErr w:type="spellEnd"/>
      <w:r>
        <w:t xml:space="preserve"> disease/hyperthyroidism (n</w:t>
      </w:r>
      <w:r w:rsidR="00481D04">
        <w:t xml:space="preserve"> </w:t>
      </w:r>
      <w:r>
        <w:t>=</w:t>
      </w:r>
      <w:r w:rsidR="00481D04">
        <w:t xml:space="preserve"> </w:t>
      </w:r>
      <w:r>
        <w:t>3), there was only a single report for the PTs listed with no clear patterns emerging aside from the overall imbalance.</w:t>
      </w:r>
    </w:p>
    <w:p w14:paraId="7FB1A21B" w14:textId="396CB902" w:rsidR="00C35868" w:rsidRDefault="00C35868" w:rsidP="00345763">
      <w:r>
        <w:t xml:space="preserve">A </w:t>
      </w:r>
      <w:r w:rsidR="00D072C9">
        <w:t>SMQ</w:t>
      </w:r>
      <w:r>
        <w:t xml:space="preserve"> based on the protocol</w:t>
      </w:r>
      <w:r w:rsidR="00AB0DF3">
        <w:t xml:space="preserve"> </w:t>
      </w:r>
      <w:r>
        <w:t>defined PIMMC MedDRA preferred terms was applied to the data. This evaluation demonstrated no imbalance of PIMMCs between study groups. An overview of PIMMCs based on protocol</w:t>
      </w:r>
      <w:r w:rsidR="00AB0DF3">
        <w:t xml:space="preserve"> </w:t>
      </w:r>
      <w:r>
        <w:t xml:space="preserve">defined MedDRA preferred terms or site entered criteria on case report forms is provided in the </w:t>
      </w:r>
      <w:r w:rsidR="003B45EE">
        <w:fldChar w:fldCharType="begin" w:fldLock="1"/>
      </w:r>
      <w:r w:rsidR="003B45EE">
        <w:instrText xml:space="preserve"> REF _Ref92746237 \h </w:instrText>
      </w:r>
      <w:r w:rsidR="003B45EE">
        <w:fldChar w:fldCharType="separate"/>
      </w:r>
      <w:r w:rsidR="00AA298B">
        <w:t xml:space="preserve">Table </w:t>
      </w:r>
      <w:r w:rsidR="00AA298B">
        <w:rPr>
          <w:noProof/>
        </w:rPr>
        <w:t>31</w:t>
      </w:r>
      <w:r w:rsidR="003B45EE">
        <w:fldChar w:fldCharType="end"/>
      </w:r>
      <w:r>
        <w:t>. There were no SOCs that had a ≥</w:t>
      </w:r>
      <w:r w:rsidR="003B45EE">
        <w:t> </w:t>
      </w:r>
      <w:r>
        <w:t>0.05 e</w:t>
      </w:r>
      <w:r w:rsidR="003B45EE">
        <w:t>vent</w:t>
      </w:r>
      <w:r>
        <w:t xml:space="preserve">/100 PY higher IR in the </w:t>
      </w:r>
      <w:proofErr w:type="spellStart"/>
      <w:r w:rsidR="003B45EE">
        <w:t>Nuvaxovid</w:t>
      </w:r>
      <w:proofErr w:type="spellEnd"/>
      <w:r>
        <w:t xml:space="preserve"> group than in the placebo group.</w:t>
      </w:r>
    </w:p>
    <w:p w14:paraId="14D53F12" w14:textId="05B261F4" w:rsidR="00481D04" w:rsidRPr="00ED6F9D" w:rsidRDefault="00481D04" w:rsidP="00F441CA">
      <w:pPr>
        <w:pStyle w:val="TableTitle"/>
        <w:pageBreakBefore/>
      </w:pPr>
      <w:bookmarkStart w:id="93" w:name="_Ref92746237"/>
      <w:r>
        <w:lastRenderedPageBreak/>
        <w:t xml:space="preserve">Table </w:t>
      </w:r>
      <w:r w:rsidR="00344FF4">
        <w:fldChar w:fldCharType="begin"/>
      </w:r>
      <w:r w:rsidR="00344FF4">
        <w:instrText xml:space="preserve"> SEQ Table \* ARABIC </w:instrText>
      </w:r>
      <w:r w:rsidR="00344FF4">
        <w:fldChar w:fldCharType="separate"/>
      </w:r>
      <w:r w:rsidR="00C41FF6">
        <w:rPr>
          <w:noProof/>
        </w:rPr>
        <w:t>31</w:t>
      </w:r>
      <w:r w:rsidR="00344FF4">
        <w:rPr>
          <w:noProof/>
        </w:rPr>
        <w:fldChar w:fldCharType="end"/>
      </w:r>
      <w:bookmarkEnd w:id="93"/>
      <w:r>
        <w:t xml:space="preserve">: </w:t>
      </w:r>
      <w:r w:rsidRPr="00ED6F9D">
        <w:t xml:space="preserve">Overall </w:t>
      </w:r>
      <w:r w:rsidR="003B45EE">
        <w:t>s</w:t>
      </w:r>
      <w:r w:rsidRPr="00ED6F9D">
        <w:t xml:space="preserve">ummary of </w:t>
      </w:r>
      <w:r w:rsidR="003B45EE">
        <w:t>p</w:t>
      </w:r>
      <w:r w:rsidRPr="00ED6F9D">
        <w:t xml:space="preserve">otential </w:t>
      </w:r>
      <w:r w:rsidR="003B45EE">
        <w:t>i</w:t>
      </w:r>
      <w:r w:rsidRPr="00ED6F9D">
        <w:t>mmune</w:t>
      </w:r>
      <w:r w:rsidR="003B45EE">
        <w:t xml:space="preserve"> m</w:t>
      </w:r>
      <w:r w:rsidRPr="00ED6F9D">
        <w:t xml:space="preserve">ediated </w:t>
      </w:r>
      <w:r w:rsidR="003B45EE">
        <w:t>m</w:t>
      </w:r>
      <w:r w:rsidRPr="00ED6F9D">
        <w:t xml:space="preserve">edical </w:t>
      </w:r>
      <w:r w:rsidR="003B45EE">
        <w:t>c</w:t>
      </w:r>
      <w:r w:rsidRPr="00ED6F9D">
        <w:t xml:space="preserve">onditions </w:t>
      </w:r>
      <w:r w:rsidR="003B45EE">
        <w:t>b</w:t>
      </w:r>
      <w:r w:rsidRPr="00ED6F9D">
        <w:t xml:space="preserve">ased on </w:t>
      </w:r>
      <w:r w:rsidR="003B45EE">
        <w:t>p</w:t>
      </w:r>
      <w:r w:rsidRPr="00ED6F9D">
        <w:t>rotocol</w:t>
      </w:r>
      <w:r w:rsidR="003B45EE">
        <w:t xml:space="preserve"> d</w:t>
      </w:r>
      <w:r w:rsidRPr="00ED6F9D">
        <w:t xml:space="preserve">efined MedDRA Preferred Terms or </w:t>
      </w:r>
      <w:r w:rsidR="003B45EE">
        <w:t>s</w:t>
      </w:r>
      <w:r w:rsidRPr="00ED6F9D">
        <w:t xml:space="preserve">ite </w:t>
      </w:r>
      <w:r w:rsidR="003B45EE">
        <w:t>e</w:t>
      </w:r>
      <w:r w:rsidRPr="00ED6F9D">
        <w:t xml:space="preserve">ntered </w:t>
      </w:r>
      <w:r w:rsidR="003B45EE">
        <w:t>c</w:t>
      </w:r>
      <w:r w:rsidRPr="00ED6F9D">
        <w:t xml:space="preserve">riteria on the </w:t>
      </w:r>
      <w:r w:rsidR="003B45EE">
        <w:t>c</w:t>
      </w:r>
      <w:r w:rsidRPr="00ED6F9D">
        <w:t xml:space="preserve">ase </w:t>
      </w:r>
      <w:r w:rsidR="003B45EE">
        <w:t>r</w:t>
      </w:r>
      <w:r w:rsidRPr="00ED6F9D">
        <w:t xml:space="preserve">eport </w:t>
      </w:r>
      <w:r w:rsidR="003B45EE">
        <w:t>f</w:t>
      </w:r>
      <w:r w:rsidRPr="00ED6F9D">
        <w:t>orm by System Organ Class and</w:t>
      </w:r>
      <w:r w:rsidRPr="00ED6F9D">
        <w:rPr>
          <w:rFonts w:cs="Verdana"/>
          <w:sz w:val="17"/>
          <w:szCs w:val="17"/>
        </w:rPr>
        <w:t xml:space="preserve"> </w:t>
      </w:r>
      <w:r w:rsidRPr="00ED6F9D">
        <w:t xml:space="preserve">Preferred Term </w:t>
      </w:r>
      <w:r w:rsidR="003B45EE">
        <w:t>r</w:t>
      </w:r>
      <w:r w:rsidRPr="00ED6F9D">
        <w:t xml:space="preserve">eported from </w:t>
      </w:r>
      <w:r w:rsidR="003B45EE">
        <w:t>a</w:t>
      </w:r>
      <w:r w:rsidRPr="00ED6F9D">
        <w:t xml:space="preserve">fter </w:t>
      </w:r>
      <w:r w:rsidR="003B45EE">
        <w:t>s</w:t>
      </w:r>
      <w:r w:rsidRPr="00ED6F9D">
        <w:t xml:space="preserve">tart of </w:t>
      </w:r>
      <w:r w:rsidR="003B45EE">
        <w:t>f</w:t>
      </w:r>
      <w:r w:rsidRPr="00ED6F9D">
        <w:t xml:space="preserve">irst </w:t>
      </w:r>
      <w:r w:rsidR="003B45EE">
        <w:t>v</w:t>
      </w:r>
      <w:r w:rsidRPr="00ED6F9D">
        <w:t xml:space="preserve">accination to </w:t>
      </w:r>
      <w:r w:rsidR="003B45EE">
        <w:t>b</w:t>
      </w:r>
      <w:r w:rsidRPr="00ED6F9D">
        <w:t xml:space="preserve">linded </w:t>
      </w:r>
      <w:r w:rsidR="003B45EE">
        <w:t>c</w:t>
      </w:r>
      <w:r w:rsidRPr="00ED6F9D">
        <w:t xml:space="preserve">rossover or </w:t>
      </w:r>
      <w:r w:rsidR="003B45EE">
        <w:t>e</w:t>
      </w:r>
      <w:r w:rsidRPr="00ED6F9D">
        <w:t xml:space="preserve">nd of </w:t>
      </w:r>
      <w:r w:rsidR="003B45EE">
        <w:t>s</w:t>
      </w:r>
      <w:r w:rsidRPr="00ED6F9D">
        <w:t xml:space="preserve">tudy by </w:t>
      </w:r>
      <w:r w:rsidR="003B45EE">
        <w:t>a</w:t>
      </w:r>
      <w:r w:rsidRPr="00ED6F9D">
        <w:t xml:space="preserve">ge </w:t>
      </w:r>
      <w:r w:rsidR="003B45EE">
        <w:t>s</w:t>
      </w:r>
      <w:r w:rsidRPr="00ED6F9D">
        <w:t>trata (</w:t>
      </w:r>
      <w:r w:rsidR="003B45EE">
        <w:t>s</w:t>
      </w:r>
      <w:r w:rsidRPr="00ED6F9D">
        <w:t xml:space="preserve">afety </w:t>
      </w:r>
      <w:r w:rsidR="003B45EE">
        <w:t>a</w:t>
      </w:r>
      <w:r w:rsidRPr="00ED6F9D">
        <w:t xml:space="preserve">nalysis </w:t>
      </w:r>
      <w:r w:rsidR="003B45EE">
        <w:t>s</w:t>
      </w:r>
      <w:r w:rsidRPr="00ED6F9D">
        <w:t>et)</w:t>
      </w:r>
    </w:p>
    <w:p w14:paraId="51D31825" w14:textId="3A43BA61" w:rsidR="00481D04" w:rsidRDefault="003B45EE" w:rsidP="00345763">
      <w:pPr>
        <w:pStyle w:val="Caption"/>
      </w:pPr>
      <w:r w:rsidRPr="00ED6F9D">
        <w:rPr>
          <w:rFonts w:eastAsia="Calibri"/>
          <w:noProof/>
          <w:szCs w:val="24"/>
          <w:lang w:val="en-GB" w:eastAsia="en-GB"/>
        </w:rPr>
        <w:drawing>
          <wp:inline distT="0" distB="0" distL="0" distR="0" wp14:anchorId="60058CE4" wp14:editId="002AA900">
            <wp:extent cx="5322363" cy="5827594"/>
            <wp:effectExtent l="0" t="0" r="0" b="1905"/>
            <wp:docPr id="244" name="Picture 244" descr="P9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945#yIS1"/>
                    <pic:cNvPicPr>
                      <a:picLocks noChangeAspect="1" noChangeArrowheads="1"/>
                    </pic:cNvPicPr>
                  </pic:nvPicPr>
                  <pic:blipFill rotWithShape="1">
                    <a:blip r:embed="rId56">
                      <a:extLst>
                        <a:ext uri="{28A0092B-C50C-407E-A947-70E740481C1C}">
                          <a14:useLocalDpi xmlns:a14="http://schemas.microsoft.com/office/drawing/2010/main" val="0"/>
                        </a:ext>
                      </a:extLst>
                    </a:blip>
                    <a:srcRect l="2298" b="6008"/>
                    <a:stretch/>
                  </pic:blipFill>
                  <pic:spPr bwMode="auto">
                    <a:xfrm>
                      <a:off x="0" y="0"/>
                      <a:ext cx="5331244" cy="5837318"/>
                    </a:xfrm>
                    <a:prstGeom prst="rect">
                      <a:avLst/>
                    </a:prstGeom>
                    <a:noFill/>
                    <a:ln>
                      <a:noFill/>
                    </a:ln>
                    <a:extLst>
                      <a:ext uri="{53640926-AAD7-44D8-BBD7-CCE9431645EC}">
                        <a14:shadowObscured xmlns:a14="http://schemas.microsoft.com/office/drawing/2010/main"/>
                      </a:ext>
                    </a:extLst>
                  </pic:spPr>
                </pic:pic>
              </a:graphicData>
            </a:graphic>
          </wp:inline>
        </w:drawing>
      </w:r>
    </w:p>
    <w:p w14:paraId="5351F899" w14:textId="2F01B830" w:rsidR="003B45EE" w:rsidRDefault="003B45EE" w:rsidP="00CB0654">
      <w:pPr>
        <w:pStyle w:val="TableDescription"/>
      </w:pPr>
      <w:r>
        <w:t>Abbreviations: E = number of adverse events reported; IR = incident rate is defined as number of events per 100 p</w:t>
      </w:r>
      <w:r w:rsidR="007F3E96">
        <w:t>atient</w:t>
      </w:r>
      <w:r>
        <w:t>-year</w:t>
      </w:r>
      <w:r w:rsidR="007F3E96">
        <w:t>s</w:t>
      </w:r>
      <w:r>
        <w:t xml:space="preserve"> = e/100 PY; MedDRA = Medical Dictionary for Regulatory Activities;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w:t>
      </w:r>
    </w:p>
    <w:p w14:paraId="4BFF6068" w14:textId="15CB326D" w:rsidR="003B45EE" w:rsidRDefault="003B45EE" w:rsidP="00345763">
      <w:pPr>
        <w:pStyle w:val="Heading7"/>
        <w:keepNext w:val="0"/>
      </w:pPr>
      <w:r w:rsidRPr="009B4460">
        <w:rPr>
          <w:sz w:val="22"/>
        </w:rPr>
        <w:t>Other events of special interest</w:t>
      </w:r>
    </w:p>
    <w:p w14:paraId="38AC2E4A" w14:textId="57CD0401" w:rsidR="003B45EE" w:rsidRDefault="003B45EE" w:rsidP="00345763">
      <w:r>
        <w:t xml:space="preserve">In Study 2019nCoV-302 similar frequencies of participants reported protocol defined AESIs relevant to COVID-19 between the </w:t>
      </w:r>
      <w:proofErr w:type="spellStart"/>
      <w:r>
        <w:t>Nuvaxovid</w:t>
      </w:r>
      <w:proofErr w:type="spellEnd"/>
      <w:r>
        <w:t xml:space="preserve"> and placebo groups, with AESIs reported in eight (0.1%) participants in the </w:t>
      </w:r>
      <w:proofErr w:type="spellStart"/>
      <w:r>
        <w:t>Nuvaxovid</w:t>
      </w:r>
      <w:proofErr w:type="spellEnd"/>
      <w:r>
        <w:t xml:space="preserve"> group and 23 (0.3%) participants in the placebo group. Anosmia and ageusia were the most frequently reported AESIs relevant to COVID-19, reported by 0.1% in the </w:t>
      </w:r>
      <w:proofErr w:type="spellStart"/>
      <w:r>
        <w:t>Nuvaxovid</w:t>
      </w:r>
      <w:proofErr w:type="spellEnd"/>
      <w:r>
        <w:t xml:space="preserve"> group. In Study 2019nCoV-301, there was a numerically higher IR of AESIs relevant to COVID-19 reported from start of first vaccination to blinded crossover or end of study in the placebo group (0.27</w:t>
      </w:r>
      <w:r w:rsidR="004F66D8">
        <w:t> </w:t>
      </w:r>
      <w:r>
        <w:t>event</w:t>
      </w:r>
      <w:r w:rsidR="004F66D8">
        <w:t>s</w:t>
      </w:r>
      <w:r>
        <w:t>/100 PY</w:t>
      </w:r>
      <w:r w:rsidR="00D072C9">
        <w:t>)</w:t>
      </w:r>
      <w:r>
        <w:t xml:space="preserve">) than in the </w:t>
      </w:r>
      <w:proofErr w:type="spellStart"/>
      <w:r>
        <w:t>Nuvaxovid</w:t>
      </w:r>
      <w:proofErr w:type="spellEnd"/>
      <w:r>
        <w:t xml:space="preserve"> group (0.11 event</w:t>
      </w:r>
      <w:r w:rsidR="0026682C">
        <w:t>s</w:t>
      </w:r>
      <w:r>
        <w:t xml:space="preserve">/100 PY). In </w:t>
      </w:r>
      <w:r>
        <w:lastRenderedPageBreak/>
        <w:t>Study</w:t>
      </w:r>
      <w:r w:rsidR="004F66D8">
        <w:t> </w:t>
      </w:r>
      <w:r>
        <w:t>2019nCoV</w:t>
      </w:r>
      <w:r>
        <w:noBreakHyphen/>
        <w:t>501, there were few reports of AESIs related to COVID-19 through 49</w:t>
      </w:r>
      <w:r w:rsidR="004F66D8">
        <w:t> </w:t>
      </w:r>
      <w:r>
        <w:t xml:space="preserve">days after first vaccination: 11 (0.5%) participants in the </w:t>
      </w:r>
      <w:proofErr w:type="spellStart"/>
      <w:r>
        <w:t>Nuvaxovid</w:t>
      </w:r>
      <w:proofErr w:type="spellEnd"/>
      <w:r>
        <w:t xml:space="preserve"> group and 14</w:t>
      </w:r>
      <w:r w:rsidR="004F66D8">
        <w:t> </w:t>
      </w:r>
      <w:r>
        <w:t xml:space="preserve">(0.6%) participants in the placebo group. AESIs related to COVID-19 in the </w:t>
      </w:r>
      <w:proofErr w:type="spellStart"/>
      <w:r>
        <w:t>Nuvaxovid</w:t>
      </w:r>
      <w:proofErr w:type="spellEnd"/>
      <w:r>
        <w:t xml:space="preserve"> group were anosmia, cough, oropharyngeal pain, and pyrexia (3 (0.1%) each).</w:t>
      </w:r>
    </w:p>
    <w:p w14:paraId="17E44707" w14:textId="77777777" w:rsidR="003B45EE" w:rsidRDefault="003B45EE" w:rsidP="00345763">
      <w:pPr>
        <w:pStyle w:val="Heading6"/>
        <w:keepNext w:val="0"/>
      </w:pPr>
      <w:r>
        <w:t>Serious adverse events and deaths</w:t>
      </w:r>
    </w:p>
    <w:p w14:paraId="2B85A253" w14:textId="7F35D5FA" w:rsidR="003B45EE" w:rsidRPr="00FB0F9F" w:rsidRDefault="003B45EE" w:rsidP="00345763">
      <w:pPr>
        <w:pStyle w:val="Heading7"/>
        <w:keepNext w:val="0"/>
        <w:rPr>
          <w:sz w:val="22"/>
          <w:szCs w:val="28"/>
        </w:rPr>
      </w:pPr>
      <w:r w:rsidRPr="00FB0F9F">
        <w:rPr>
          <w:sz w:val="22"/>
          <w:szCs w:val="28"/>
        </w:rPr>
        <w:t>Deaths</w:t>
      </w:r>
    </w:p>
    <w:p w14:paraId="40B10845" w14:textId="193613AD" w:rsidR="003B45EE" w:rsidRDefault="003B45EE" w:rsidP="00345763">
      <w:r>
        <w:t>Three (&lt;</w:t>
      </w:r>
      <w:r w:rsidR="00FB0F9F">
        <w:t> </w:t>
      </w:r>
      <w:r>
        <w:t xml:space="preserve">0.1%) participants died during </w:t>
      </w:r>
      <w:r w:rsidR="00FB0F9F">
        <w:t>S</w:t>
      </w:r>
      <w:r>
        <w:t xml:space="preserve">tudy 2019nCoV-302, </w:t>
      </w:r>
      <w:r w:rsidR="00FB0F9F">
        <w:t>two</w:t>
      </w:r>
      <w:r>
        <w:t xml:space="preserve"> in the </w:t>
      </w:r>
      <w:proofErr w:type="spellStart"/>
      <w:r w:rsidR="00FB0F9F">
        <w:t>Nuvaxovid</w:t>
      </w:r>
      <w:proofErr w:type="spellEnd"/>
      <w:r>
        <w:t xml:space="preserve"> group and </w:t>
      </w:r>
      <w:r w:rsidR="00FB0F9F">
        <w:t>one</w:t>
      </w:r>
      <w:r>
        <w:t xml:space="preserve"> in the placebo group. In </w:t>
      </w:r>
      <w:r w:rsidR="00FB0F9F">
        <w:t xml:space="preserve">Study </w:t>
      </w:r>
      <w:r>
        <w:t xml:space="preserve">2019nCoV-301, a total of 14 participants died during the study, with </w:t>
      </w:r>
      <w:r w:rsidR="00FB0F9F">
        <w:t>nine</w:t>
      </w:r>
      <w:r>
        <w:t xml:space="preserve"> (0.05%) in the </w:t>
      </w:r>
      <w:proofErr w:type="spellStart"/>
      <w:r w:rsidR="00FB0F9F">
        <w:t>Nuvaxovid</w:t>
      </w:r>
      <w:proofErr w:type="spellEnd"/>
      <w:r>
        <w:t xml:space="preserve"> group and </w:t>
      </w:r>
      <w:r w:rsidR="00FB0F9F">
        <w:t>five</w:t>
      </w:r>
      <w:r>
        <w:t xml:space="preserve"> (0.05%) in the placebo group. Four deaths occurred in </w:t>
      </w:r>
      <w:r w:rsidR="00FB0F9F">
        <w:t xml:space="preserve">Study </w:t>
      </w:r>
      <w:r>
        <w:t xml:space="preserve">2019nCoV-501, with </w:t>
      </w:r>
      <w:r w:rsidR="00FB0F9F">
        <w:t>two</w:t>
      </w:r>
      <w:r>
        <w:t xml:space="preserve"> deaths (unknown cause</w:t>
      </w:r>
      <w:r w:rsidR="004F66D8">
        <w:t>,</w:t>
      </w:r>
      <w:r>
        <w:t xml:space="preserve"> and COVID-19) in the </w:t>
      </w:r>
      <w:proofErr w:type="spellStart"/>
      <w:r w:rsidR="00FB0F9F">
        <w:t>Nuvaxovid</w:t>
      </w:r>
      <w:proofErr w:type="spellEnd"/>
      <w:r>
        <w:t xml:space="preserve"> group and </w:t>
      </w:r>
      <w:r w:rsidR="00FB0F9F">
        <w:t>two</w:t>
      </w:r>
      <w:r>
        <w:t xml:space="preserve"> deaths (both COVID-19) in the placebo group. There were no deaths reported in </w:t>
      </w:r>
      <w:r w:rsidR="00FB0F9F">
        <w:t xml:space="preserve">Study </w:t>
      </w:r>
      <w:r>
        <w:t>2019nCoV-101 (interim report).</w:t>
      </w:r>
    </w:p>
    <w:p w14:paraId="629708CB" w14:textId="53F3FD2A" w:rsidR="003B45EE" w:rsidRDefault="003B45EE" w:rsidP="00345763">
      <w:r>
        <w:t>All deaths were assessed as not related to trial vaccine.</w:t>
      </w:r>
    </w:p>
    <w:p w14:paraId="573949C2" w14:textId="267B039F" w:rsidR="003B45EE" w:rsidRDefault="003B45EE" w:rsidP="00345763">
      <w:pPr>
        <w:pStyle w:val="Heading6"/>
        <w:keepNext w:val="0"/>
      </w:pPr>
      <w:r>
        <w:t>Other serious adverse events</w:t>
      </w:r>
    </w:p>
    <w:p w14:paraId="4BCF7489" w14:textId="73995DF5" w:rsidR="003B45EE" w:rsidRDefault="00FB0F9F" w:rsidP="00345763">
      <w:r>
        <w:t>Serious adverse events</w:t>
      </w:r>
      <w:r w:rsidR="003B45EE">
        <w:t xml:space="preserve"> occurred at a similar rate across both treatment groups, with slightly higher rates among participants in the older age cohort (≥</w:t>
      </w:r>
      <w:r>
        <w:t> </w:t>
      </w:r>
      <w:r w:rsidR="003B45EE">
        <w:t>65 years of age).</w:t>
      </w:r>
    </w:p>
    <w:p w14:paraId="70B69C89" w14:textId="75748859" w:rsidR="003B45EE" w:rsidRDefault="003B45EE" w:rsidP="00345763">
      <w:r>
        <w:t xml:space="preserve">In </w:t>
      </w:r>
      <w:r w:rsidR="00FB0F9F">
        <w:t xml:space="preserve">Study </w:t>
      </w:r>
      <w:r>
        <w:t>2019nCoV-301</w:t>
      </w:r>
      <w:r w:rsidR="008B5778">
        <w:t xml:space="preserve">, </w:t>
      </w:r>
      <w:r>
        <w:t xml:space="preserve">169 (0.86%) participants in the </w:t>
      </w:r>
      <w:proofErr w:type="spellStart"/>
      <w:r w:rsidR="00FB0F9F">
        <w:t>Nuvaxovid</w:t>
      </w:r>
      <w:proofErr w:type="spellEnd"/>
      <w:r>
        <w:t xml:space="preserve"> group reported 228</w:t>
      </w:r>
      <w:r w:rsidR="004F66D8">
        <w:t> </w:t>
      </w:r>
      <w:r>
        <w:t>SAEs (IR: 4.32</w:t>
      </w:r>
      <w:r w:rsidR="00FB0F9F">
        <w:t xml:space="preserve"> event</w:t>
      </w:r>
      <w:r>
        <w:t>/100PY). There were 128 SAE reported in the placebo group (IR: 4.89</w:t>
      </w:r>
      <w:r w:rsidR="00FB0F9F">
        <w:t xml:space="preserve"> event</w:t>
      </w:r>
      <w:r>
        <w:t>/100PY).</w:t>
      </w:r>
    </w:p>
    <w:p w14:paraId="28A01BC6" w14:textId="7A120518" w:rsidR="003B45EE" w:rsidRDefault="003B45EE" w:rsidP="00345763">
      <w:r>
        <w:t xml:space="preserve">Two SAEs (angioedema and central nervous system inflammation) in the </w:t>
      </w:r>
      <w:proofErr w:type="spellStart"/>
      <w:r w:rsidR="00FB0F9F">
        <w:t>Nuvaxovid</w:t>
      </w:r>
      <w:proofErr w:type="spellEnd"/>
      <w:r>
        <w:t xml:space="preserve"> group were assessed by both the investigator and sponsor as being related to study vaccine. Three additional SAEs (</w:t>
      </w:r>
      <w:proofErr w:type="spellStart"/>
      <w:r>
        <w:t>Basedow’s</w:t>
      </w:r>
      <w:proofErr w:type="spellEnd"/>
      <w:r>
        <w:t xml:space="preserve"> disease, hyperthyroidism, and thrombocytopenia) in the </w:t>
      </w:r>
      <w:proofErr w:type="spellStart"/>
      <w:r w:rsidR="00FB0F9F">
        <w:t>Nuvaxovid</w:t>
      </w:r>
      <w:proofErr w:type="spellEnd"/>
      <w:r>
        <w:t xml:space="preserve"> group were assessed by the investigator as related to study vaccine but were assessed by the sponsor as not related to study vaccine.</w:t>
      </w:r>
    </w:p>
    <w:p w14:paraId="215632E7" w14:textId="32DADC11" w:rsidR="003B45EE" w:rsidRDefault="003B45EE" w:rsidP="00345763">
      <w:r>
        <w:t xml:space="preserve">Other SAEs of interest in </w:t>
      </w:r>
      <w:r w:rsidR="00FB0F9F">
        <w:t xml:space="preserve">Study </w:t>
      </w:r>
      <w:r>
        <w:t>2019nCoV-301 due to imbalances between the treatment arms or observations in other trials are:</w:t>
      </w:r>
    </w:p>
    <w:p w14:paraId="02EB95B3" w14:textId="57E67132" w:rsidR="003B45EE" w:rsidRDefault="003B45EE" w:rsidP="00345763">
      <w:pPr>
        <w:pStyle w:val="ListBullet"/>
      </w:pPr>
      <w:r>
        <w:t xml:space="preserve">There were 11 events of </w:t>
      </w:r>
      <w:r w:rsidR="00FB0F9F">
        <w:t>h</w:t>
      </w:r>
      <w:r>
        <w:t xml:space="preserve">epatobiliary </w:t>
      </w:r>
      <w:r w:rsidR="00FB0F9F">
        <w:t>d</w:t>
      </w:r>
      <w:r>
        <w:t>isorders cholecystitis</w:t>
      </w:r>
      <w:r w:rsidR="008B5778">
        <w:t xml:space="preserve"> </w:t>
      </w:r>
      <w:r>
        <w:t xml:space="preserve">(acute), bile duct stone, and cholelithiasis reported in nine subjects in the </w:t>
      </w:r>
      <w:proofErr w:type="spellStart"/>
      <w:r w:rsidR="00FB0F9F">
        <w:t>Nuvaxovid</w:t>
      </w:r>
      <w:proofErr w:type="spellEnd"/>
      <w:r>
        <w:t xml:space="preserve"> group and none in the placebo group</w:t>
      </w:r>
      <w:r w:rsidR="008E6FB4">
        <w:t>.</w:t>
      </w:r>
    </w:p>
    <w:p w14:paraId="22DA95F9" w14:textId="7F31E83B" w:rsidR="003B45EE" w:rsidRDefault="003B45EE" w:rsidP="00345763">
      <w:pPr>
        <w:pStyle w:val="ListBullet"/>
      </w:pPr>
      <w:r>
        <w:t xml:space="preserve">There were </w:t>
      </w:r>
      <w:r w:rsidR="00FB0F9F">
        <w:t>six</w:t>
      </w:r>
      <w:r>
        <w:t xml:space="preserve"> events of prostate cancer in the </w:t>
      </w:r>
      <w:proofErr w:type="spellStart"/>
      <w:r w:rsidR="00FB0F9F">
        <w:t>Nuvaxovid</w:t>
      </w:r>
      <w:proofErr w:type="spellEnd"/>
      <w:r>
        <w:t xml:space="preserve"> group and none in the placebo group. These events occurred in </w:t>
      </w:r>
      <w:r w:rsidR="00FB0F9F">
        <w:t>five</w:t>
      </w:r>
      <w:r>
        <w:t xml:space="preserve"> subjects</w:t>
      </w:r>
      <w:r w:rsidR="008E6FB4">
        <w:t>.</w:t>
      </w:r>
    </w:p>
    <w:p w14:paraId="36B82FCD" w14:textId="38A71AFE" w:rsidR="003B45EE" w:rsidRDefault="003B45EE" w:rsidP="00345763">
      <w:pPr>
        <w:pStyle w:val="ListBullet"/>
      </w:pPr>
      <w:r>
        <w:t xml:space="preserve">There were </w:t>
      </w:r>
      <w:r w:rsidR="00FB0F9F">
        <w:t>seven</w:t>
      </w:r>
      <w:r>
        <w:t xml:space="preserve"> events of cerebrovascular accident in the </w:t>
      </w:r>
      <w:proofErr w:type="spellStart"/>
      <w:r w:rsidR="00FB0F9F">
        <w:t>Nuvaxovid</w:t>
      </w:r>
      <w:proofErr w:type="spellEnd"/>
      <w:r>
        <w:t xml:space="preserve"> group and one in the placebo group. These events occurred in </w:t>
      </w:r>
      <w:r w:rsidR="00FB0F9F">
        <w:t>eight</w:t>
      </w:r>
      <w:r>
        <w:t xml:space="preserve"> subjects, including one in the placebo group</w:t>
      </w:r>
      <w:r w:rsidR="008E6FB4">
        <w:t>.</w:t>
      </w:r>
    </w:p>
    <w:p w14:paraId="530E9ABF" w14:textId="055467AF" w:rsidR="003B45EE" w:rsidRDefault="003B45EE" w:rsidP="00345763">
      <w:pPr>
        <w:pStyle w:val="ListBullet"/>
      </w:pPr>
      <w:r>
        <w:t xml:space="preserve">There were </w:t>
      </w:r>
      <w:r w:rsidR="00FB0F9F">
        <w:t>four</w:t>
      </w:r>
      <w:r>
        <w:t xml:space="preserve"> events of hypertension and </w:t>
      </w:r>
      <w:r w:rsidR="00FB0F9F">
        <w:t>two</w:t>
      </w:r>
      <w:r>
        <w:t xml:space="preserve"> events of hypertensive crisis reported as an SAE in the </w:t>
      </w:r>
      <w:proofErr w:type="spellStart"/>
      <w:r w:rsidR="00FB0F9F">
        <w:t>Nuvaxovid</w:t>
      </w:r>
      <w:proofErr w:type="spellEnd"/>
      <w:r>
        <w:t xml:space="preserve"> group, and none in the placebo group.</w:t>
      </w:r>
    </w:p>
    <w:p w14:paraId="725371F7" w14:textId="2740CD81" w:rsidR="003B45EE" w:rsidRDefault="003B45EE" w:rsidP="00345763">
      <w:r>
        <w:t xml:space="preserve">In </w:t>
      </w:r>
      <w:r w:rsidR="00FB0F9F">
        <w:t xml:space="preserve">Study </w:t>
      </w:r>
      <w:r>
        <w:t xml:space="preserve">2019nCoV-302, 44 (0.6%) participants in the </w:t>
      </w:r>
      <w:proofErr w:type="spellStart"/>
      <w:r w:rsidR="00FB0F9F">
        <w:t>Nuvaxovid</w:t>
      </w:r>
      <w:proofErr w:type="spellEnd"/>
      <w:r>
        <w:t xml:space="preserve"> group reported 54 SAEs v</w:t>
      </w:r>
      <w:r w:rsidR="00FB0F9F">
        <w:t xml:space="preserve">ersus </w:t>
      </w:r>
      <w:r>
        <w:t xml:space="preserve">44 (0.6%) participants in the placebo group reporting 56 SAEs. One SAE of myocarditis in a 19 year old male with no underlying risk factors was considered related to study vaccine by the investigator; </w:t>
      </w:r>
      <w:r w:rsidR="00FB0F9F">
        <w:t>time to onset</w:t>
      </w:r>
      <w:r>
        <w:t xml:space="preserve"> was </w:t>
      </w:r>
      <w:r w:rsidR="00FB0F9F">
        <w:t>three</w:t>
      </w:r>
      <w:r>
        <w:t xml:space="preserve"> days post second</w:t>
      </w:r>
      <w:r w:rsidR="00FB0F9F">
        <w:t xml:space="preserve"> dose</w:t>
      </w:r>
      <w:r>
        <w:t xml:space="preserve"> vaccination. The event resolved. Further, there was an SAE of pulmonary embolism in a 52 year old male with relevant risk factors. T</w:t>
      </w:r>
      <w:r w:rsidR="00FB0F9F">
        <w:t>ime to onset</w:t>
      </w:r>
      <w:r>
        <w:t xml:space="preserve"> was </w:t>
      </w:r>
      <w:r w:rsidR="00FB0F9F">
        <w:t>nine</w:t>
      </w:r>
      <w:r>
        <w:t xml:space="preserve"> days after the second </w:t>
      </w:r>
      <w:r w:rsidR="00FB0F9F">
        <w:t xml:space="preserve">dose </w:t>
      </w:r>
      <w:r>
        <w:t>vaccination. The event was not considered related to vaccination by the investigator.</w:t>
      </w:r>
    </w:p>
    <w:p w14:paraId="0648161B" w14:textId="59369709" w:rsidR="003B45EE" w:rsidRDefault="003B45EE" w:rsidP="00345763">
      <w:r>
        <w:t xml:space="preserve">In </w:t>
      </w:r>
      <w:r w:rsidR="00FB0F9F">
        <w:t xml:space="preserve">Study </w:t>
      </w:r>
      <w:r>
        <w:t xml:space="preserve">2019nCoV-501, a total of 11 (0.5%) participants reported 11 SAEs in the </w:t>
      </w:r>
      <w:proofErr w:type="spellStart"/>
      <w:r w:rsidR="00FB0F9F">
        <w:t>Nuvaxovid</w:t>
      </w:r>
      <w:proofErr w:type="spellEnd"/>
      <w:r>
        <w:t xml:space="preserve"> group and 18 (0.8%) participants reported 18 SAEs in the placebo group; none of these events in either group were assessed as related to trial vaccine.</w:t>
      </w:r>
    </w:p>
    <w:p w14:paraId="5F9C7136" w14:textId="3A3E8737" w:rsidR="003B45EE" w:rsidRDefault="003B45EE" w:rsidP="00345763">
      <w:r>
        <w:lastRenderedPageBreak/>
        <w:t xml:space="preserve">There were no SAEs reported in </w:t>
      </w:r>
      <w:r w:rsidR="00FB0F9F">
        <w:t xml:space="preserve">Study </w:t>
      </w:r>
      <w:r>
        <w:t xml:space="preserve">2019nCoV-101 (Part 1) (interim report). In </w:t>
      </w:r>
      <w:r w:rsidR="00FB0F9F">
        <w:t>S</w:t>
      </w:r>
      <w:r>
        <w:t xml:space="preserve">tudy 2019nCoV-101 (Part 2) </w:t>
      </w:r>
      <w:r w:rsidR="00FB0F9F">
        <w:t>nine</w:t>
      </w:r>
      <w:r>
        <w:t xml:space="preserve"> (0.7%) participants had a total of </w:t>
      </w:r>
      <w:r w:rsidR="00FB0F9F">
        <w:t>nine</w:t>
      </w:r>
      <w:r>
        <w:t xml:space="preserve"> SAEs, including an SAE of colitis occurring </w:t>
      </w:r>
      <w:r w:rsidR="00FB0F9F">
        <w:t>two</w:t>
      </w:r>
      <w:r>
        <w:t xml:space="preserve"> days post second dose and assessed as not related by the </w:t>
      </w:r>
      <w:r w:rsidR="00FB0F9F">
        <w:t>s</w:t>
      </w:r>
      <w:r>
        <w:t>ponsor.</w:t>
      </w:r>
    </w:p>
    <w:p w14:paraId="0BD61F3A" w14:textId="1623FBB2" w:rsidR="00FB0F9F" w:rsidRDefault="00FB0F9F" w:rsidP="00CB0654">
      <w:pPr>
        <w:pStyle w:val="TableTitle"/>
      </w:pPr>
      <w:r w:rsidRPr="00E33803">
        <w:t xml:space="preserve">Table </w:t>
      </w:r>
      <w:r w:rsidR="00344FF4">
        <w:fldChar w:fldCharType="begin"/>
      </w:r>
      <w:r w:rsidR="00344FF4">
        <w:instrText xml:space="preserve"> SEQ Table \* ARABIC </w:instrText>
      </w:r>
      <w:r w:rsidR="00344FF4">
        <w:fldChar w:fldCharType="separate"/>
      </w:r>
      <w:r w:rsidR="00C41FF6">
        <w:rPr>
          <w:noProof/>
        </w:rPr>
        <w:t>32</w:t>
      </w:r>
      <w:r w:rsidR="00344FF4">
        <w:rPr>
          <w:noProof/>
        </w:rPr>
        <w:fldChar w:fldCharType="end"/>
      </w:r>
      <w:r w:rsidR="00E33803">
        <w:t xml:space="preserve">: Incidence rates of serious adverse events reported from after start of first vaccination through the respective data </w:t>
      </w:r>
      <w:proofErr w:type="spellStart"/>
      <w:r w:rsidR="00E33803">
        <w:t>cutoff</w:t>
      </w:r>
      <w:proofErr w:type="spellEnd"/>
      <w:r w:rsidR="00E33803">
        <w:t xml:space="preserve"> dates of the individual clinical trials with an incidence rate of &gt; 0.1 event/100 PY in the pooled analysis of safety data</w:t>
      </w:r>
    </w:p>
    <w:p w14:paraId="36F12080" w14:textId="5BBA7626" w:rsidR="00E33803" w:rsidRDefault="00E33803" w:rsidP="003020BD">
      <w:r w:rsidRPr="00ED6F9D">
        <w:rPr>
          <w:noProof/>
          <w:lang w:val="en-GB" w:eastAsia="en-GB"/>
        </w:rPr>
        <w:drawing>
          <wp:inline distT="0" distB="0" distL="0" distR="0" wp14:anchorId="712779B0" wp14:editId="577D38DB">
            <wp:extent cx="5267618" cy="4577080"/>
            <wp:effectExtent l="0" t="0" r="9525" b="0"/>
            <wp:docPr id="245" name="Picture 245" descr="P9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966#yIS1"/>
                    <pic:cNvPicPr>
                      <a:picLocks noChangeAspect="1" noChangeArrowheads="1"/>
                    </pic:cNvPicPr>
                  </pic:nvPicPr>
                  <pic:blipFill rotWithShape="1">
                    <a:blip r:embed="rId57">
                      <a:extLst>
                        <a:ext uri="{28A0092B-C50C-407E-A947-70E740481C1C}">
                          <a14:useLocalDpi xmlns:a14="http://schemas.microsoft.com/office/drawing/2010/main" val="0"/>
                        </a:ext>
                      </a:extLst>
                    </a:blip>
                    <a:srcRect l="640" r="369"/>
                    <a:stretch/>
                  </pic:blipFill>
                  <pic:spPr bwMode="auto">
                    <a:xfrm>
                      <a:off x="0" y="0"/>
                      <a:ext cx="5276329" cy="4584649"/>
                    </a:xfrm>
                    <a:prstGeom prst="rect">
                      <a:avLst/>
                    </a:prstGeom>
                    <a:noFill/>
                    <a:ln>
                      <a:noFill/>
                    </a:ln>
                    <a:extLst>
                      <a:ext uri="{53640926-AAD7-44D8-BBD7-CCE9431645EC}">
                        <a14:shadowObscured xmlns:a14="http://schemas.microsoft.com/office/drawing/2010/main"/>
                      </a:ext>
                    </a:extLst>
                  </pic:spPr>
                </pic:pic>
              </a:graphicData>
            </a:graphic>
          </wp:inline>
        </w:drawing>
      </w:r>
      <w:r w:rsidR="008360A9" w:rsidRPr="00ED6F9D">
        <w:rPr>
          <w:noProof/>
          <w:lang w:val="en-GB" w:eastAsia="en-GB"/>
        </w:rPr>
        <w:drawing>
          <wp:inline distT="0" distB="0" distL="0" distR="0" wp14:anchorId="3B985BBF" wp14:editId="376BFD59">
            <wp:extent cx="5518206" cy="2592125"/>
            <wp:effectExtent l="0" t="0" r="0" b="0"/>
            <wp:docPr id="2" name="Picture 2" descr="P96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66#yIS2"/>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1535" t="9668" r="-3640" b="44985"/>
                    <a:stretch/>
                  </pic:blipFill>
                  <pic:spPr bwMode="auto">
                    <a:xfrm>
                      <a:off x="0" y="0"/>
                      <a:ext cx="5553658" cy="2608778"/>
                    </a:xfrm>
                    <a:prstGeom prst="rect">
                      <a:avLst/>
                    </a:prstGeom>
                    <a:noFill/>
                    <a:ln>
                      <a:noFill/>
                    </a:ln>
                    <a:extLst>
                      <a:ext uri="{53640926-AAD7-44D8-BBD7-CCE9431645EC}">
                        <a14:shadowObscured xmlns:a14="http://schemas.microsoft.com/office/drawing/2010/main"/>
                      </a:ext>
                    </a:extLst>
                  </pic:spPr>
                </pic:pic>
              </a:graphicData>
            </a:graphic>
          </wp:inline>
        </w:drawing>
      </w:r>
    </w:p>
    <w:p w14:paraId="7B776B4C" w14:textId="7A001272" w:rsidR="00AA298B" w:rsidRDefault="00AA298B" w:rsidP="00F441CA">
      <w:pPr>
        <w:pStyle w:val="TableTitle"/>
        <w:pageBreakBefore/>
      </w:pPr>
      <w:r w:rsidRPr="00AA298B">
        <w:lastRenderedPageBreak/>
        <w:t>Table 32</w:t>
      </w:r>
      <w:r>
        <w:t xml:space="preserve">: Incidence rates of serious adverse events reported from after start of first vaccination through the respective data </w:t>
      </w:r>
      <w:proofErr w:type="spellStart"/>
      <w:r>
        <w:t>cutoff</w:t>
      </w:r>
      <w:proofErr w:type="spellEnd"/>
      <w:r>
        <w:t xml:space="preserve"> dates of the individual clinical trials with an incidence rate of &gt; 0.1 event/100 PY in the pooled analysis of safety data, continued</w:t>
      </w:r>
    </w:p>
    <w:p w14:paraId="0DA1319C" w14:textId="72F28F4A" w:rsidR="00E33803" w:rsidRDefault="00E33803" w:rsidP="00345763">
      <w:pPr>
        <w:pStyle w:val="LegalCopy"/>
      </w:pPr>
      <w:r w:rsidRPr="00ED6F9D">
        <w:rPr>
          <w:rFonts w:eastAsia="Calibri"/>
          <w:noProof/>
          <w:szCs w:val="24"/>
          <w:lang w:val="en-GB" w:eastAsia="en-GB"/>
        </w:rPr>
        <w:drawing>
          <wp:inline distT="0" distB="0" distL="0" distR="0" wp14:anchorId="150B8D08" wp14:editId="364C7736">
            <wp:extent cx="5239385" cy="1001016"/>
            <wp:effectExtent l="0" t="0" r="0" b="8890"/>
            <wp:docPr id="246" name="Picture 246" descr="P9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968#yIS1"/>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1535" t="54588" r="1541" b="27904"/>
                    <a:stretch/>
                  </pic:blipFill>
                  <pic:spPr bwMode="auto">
                    <a:xfrm>
                      <a:off x="0" y="0"/>
                      <a:ext cx="5271888" cy="1007226"/>
                    </a:xfrm>
                    <a:prstGeom prst="rect">
                      <a:avLst/>
                    </a:prstGeom>
                    <a:noFill/>
                    <a:ln>
                      <a:noFill/>
                    </a:ln>
                    <a:extLst>
                      <a:ext uri="{53640926-AAD7-44D8-BBD7-CCE9431645EC}">
                        <a14:shadowObscured xmlns:a14="http://schemas.microsoft.com/office/drawing/2010/main"/>
                      </a:ext>
                    </a:extLst>
                  </pic:spPr>
                </pic:pic>
              </a:graphicData>
            </a:graphic>
          </wp:inline>
        </w:drawing>
      </w:r>
      <w:r w:rsidR="008360A9" w:rsidRPr="00ED6F9D">
        <w:rPr>
          <w:rFonts w:eastAsia="Calibri"/>
          <w:noProof/>
          <w:szCs w:val="24"/>
          <w:lang w:val="en-GB" w:eastAsia="en-GB"/>
        </w:rPr>
        <w:drawing>
          <wp:inline distT="0" distB="0" distL="0" distR="0" wp14:anchorId="70C4051D" wp14:editId="6FE9AF2F">
            <wp:extent cx="5274945" cy="1537970"/>
            <wp:effectExtent l="0" t="0" r="1905" b="5080"/>
            <wp:docPr id="13" name="Picture 13" descr="P96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968#yIS2"/>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1427" t="71941" r="1025" b="559"/>
                    <a:stretch/>
                  </pic:blipFill>
                  <pic:spPr bwMode="auto">
                    <a:xfrm>
                      <a:off x="0" y="0"/>
                      <a:ext cx="5330275" cy="1554102"/>
                    </a:xfrm>
                    <a:prstGeom prst="rect">
                      <a:avLst/>
                    </a:prstGeom>
                    <a:noFill/>
                    <a:ln>
                      <a:noFill/>
                    </a:ln>
                    <a:extLst>
                      <a:ext uri="{53640926-AAD7-44D8-BBD7-CCE9431645EC}">
                        <a14:shadowObscured xmlns:a14="http://schemas.microsoft.com/office/drawing/2010/main"/>
                      </a:ext>
                    </a:extLst>
                  </pic:spPr>
                </pic:pic>
              </a:graphicData>
            </a:graphic>
          </wp:inline>
        </w:drawing>
      </w:r>
    </w:p>
    <w:p w14:paraId="11F8FFD0" w14:textId="5F417754" w:rsidR="009171D3" w:rsidRDefault="009171D3" w:rsidP="00CB0654">
      <w:pPr>
        <w:pStyle w:val="TableDescription"/>
      </w:pPr>
      <w:r>
        <w:t xml:space="preserve">Abbreviations: e/100 PY = events per 100 person-year; MedDRA = Medical Dictionary for Regulatory Activities; SAE = serious adverse event;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w:t>
      </w:r>
    </w:p>
    <w:p w14:paraId="20837143" w14:textId="00927F28" w:rsidR="009171D3" w:rsidRDefault="009171D3" w:rsidP="00CB0654">
      <w:pPr>
        <w:pStyle w:val="TableDescription"/>
      </w:pPr>
      <w:r w:rsidRPr="003B4BDE">
        <w:rPr>
          <w:vertAlign w:val="superscript"/>
        </w:rPr>
        <w:t>1</w:t>
      </w:r>
      <w:r>
        <w:t xml:space="preserve"> One event of prostate cancer in the older age cohort was censored from the p</w:t>
      </w:r>
      <w:r w:rsidR="003B4BDE">
        <w:t>ooled analysis of safety data because the event occurred after the unblinding data (this event was included in the Study 2019nCoV-301 interim report)</w:t>
      </w:r>
    </w:p>
    <w:p w14:paraId="0F24CCD8" w14:textId="0A9AF665" w:rsidR="003B4BDE" w:rsidRDefault="003B4BDE" w:rsidP="00CB0654">
      <w:pPr>
        <w:pStyle w:val="TableDescription"/>
      </w:pPr>
      <w:r>
        <w:t>Note: Results are presented as number of events per 100 person-year, with the event rate in parentheses.</w:t>
      </w:r>
    </w:p>
    <w:p w14:paraId="17245AC4" w14:textId="2BB251BE" w:rsidR="007C7A80" w:rsidRDefault="007C7A80" w:rsidP="00345763">
      <w:pPr>
        <w:pStyle w:val="Heading5"/>
        <w:keepNext w:val="0"/>
        <w:keepLines w:val="0"/>
      </w:pPr>
      <w:r>
        <w:t>Laboratory findings</w:t>
      </w:r>
    </w:p>
    <w:p w14:paraId="68BACE91" w14:textId="40649719" w:rsidR="007C7A80" w:rsidRDefault="007C7A80" w:rsidP="00345763">
      <w:r>
        <w:t>Clinical laboratory findings were only reported for study 2019nCoV-101 (Part 1).</w:t>
      </w:r>
    </w:p>
    <w:p w14:paraId="3D2AAD53" w14:textId="77777777" w:rsidR="00A40E36" w:rsidRPr="00A40E36" w:rsidRDefault="007C7A80" w:rsidP="00345763">
      <w:pPr>
        <w:pStyle w:val="Heading6"/>
        <w:keepNext w:val="0"/>
        <w:rPr>
          <w:b/>
        </w:rPr>
      </w:pPr>
      <w:r w:rsidRPr="00A40E36">
        <w:rPr>
          <w:rStyle w:val="Heading5Char"/>
          <w:rFonts w:eastAsia="Cambria"/>
          <w:b w:val="0"/>
          <w:bCs/>
          <w:i/>
          <w:iCs/>
        </w:rPr>
        <w:t>Haematology</w:t>
      </w:r>
    </w:p>
    <w:p w14:paraId="619387CF" w14:textId="09A5EABB" w:rsidR="007C7A80" w:rsidRDefault="007C7A80" w:rsidP="00345763">
      <w:r>
        <w:t xml:space="preserve">A total of six participants (4.6%) had post-baseline Grade ≥ 2 hematologic laboratory abnormalities: one in Group A (placebo/placebo), 1 in Group B (25/0 </w:t>
      </w:r>
      <w:proofErr w:type="spellStart"/>
      <w:r>
        <w:t>μg</w:t>
      </w:r>
      <w:proofErr w:type="spellEnd"/>
      <w:r>
        <w:t xml:space="preserve"> × 2), 2 in Group C (5/50 </w:t>
      </w:r>
      <w:proofErr w:type="spellStart"/>
      <w:r>
        <w:t>μg</w:t>
      </w:r>
      <w:proofErr w:type="spellEnd"/>
      <w:r>
        <w:t xml:space="preserve"> × 2), and 2 in Group E (25/50 </w:t>
      </w:r>
      <w:proofErr w:type="spellStart"/>
      <w:r>
        <w:t>μg</w:t>
      </w:r>
      <w:proofErr w:type="spellEnd"/>
      <w:r>
        <w:t xml:space="preserve">, first dose; placebo, second dose). This included five participants (3.8%) with Grade 3 toxicity (1 in Group B; 2 in Group C; and 2 in Group E). All Grade ≥ two hematologic laboratory abnormalities comprised decreased haemoglobin, defined as &gt; 20 g/L decreases from Baseline. These events were predominantly transient in nature. Median haemoglobin values decreased from </w:t>
      </w:r>
      <w:r w:rsidR="00A40E36">
        <w:t>B</w:t>
      </w:r>
      <w:r>
        <w:t>aseline across the active vaccine and placebo groups following first vaccination at Day 7 and at Day 21 and following second vaccination at Day 28.</w:t>
      </w:r>
    </w:p>
    <w:p w14:paraId="5D20650C" w14:textId="77777777" w:rsidR="00A40E36" w:rsidRDefault="007C7A80" w:rsidP="00345763">
      <w:pPr>
        <w:pStyle w:val="Heading6"/>
        <w:keepNext w:val="0"/>
      </w:pPr>
      <w:r>
        <w:t>Serum chemistry</w:t>
      </w:r>
    </w:p>
    <w:p w14:paraId="73CE090E" w14:textId="61ED0687" w:rsidR="007C7A80" w:rsidRDefault="007C7A80" w:rsidP="00345763">
      <w:r>
        <w:t xml:space="preserve">A total of </w:t>
      </w:r>
      <w:r w:rsidR="00A40E36">
        <w:t>two</w:t>
      </w:r>
      <w:r>
        <w:t xml:space="preserve"> participants (1.5%) had abnormal serum chemistry laboratory values reported as TEAEs (liver function test increased in Group C and transaminases increased in Group D). Both events were mild in severity and assessed as related to active vaccine.</w:t>
      </w:r>
    </w:p>
    <w:p w14:paraId="423E5DC4" w14:textId="3C93BD51" w:rsidR="007C7A80" w:rsidRDefault="007C7A80" w:rsidP="00345763">
      <w:r>
        <w:t xml:space="preserve">A total of </w:t>
      </w:r>
      <w:r w:rsidR="00A40E36">
        <w:t>ten</w:t>
      </w:r>
      <w:r>
        <w:t xml:space="preserve"> participants (7.6%) had post</w:t>
      </w:r>
      <w:r w:rsidR="00A40E36">
        <w:t>-b</w:t>
      </w:r>
      <w:r>
        <w:t>aseline Grade ≥ 2 serum chemistry abnormalities (</w:t>
      </w:r>
      <w:r w:rsidR="00A40E36">
        <w:t>one</w:t>
      </w:r>
      <w:r>
        <w:t xml:space="preserve"> in Group A </w:t>
      </w:r>
      <w:r w:rsidR="00A40E36">
        <w:t>(</w:t>
      </w:r>
      <w:r>
        <w:t>placebo/placebo</w:t>
      </w:r>
      <w:r w:rsidR="00A40E36">
        <w:t>)</w:t>
      </w:r>
      <w:r>
        <w:t xml:space="preserve">, </w:t>
      </w:r>
      <w:r w:rsidR="00A40E36">
        <w:t>one</w:t>
      </w:r>
      <w:r>
        <w:t xml:space="preserve"> in Group B </w:t>
      </w:r>
      <w:r w:rsidR="00A40E36">
        <w:t>(</w:t>
      </w:r>
      <w:r>
        <w:t xml:space="preserve">25/0 </w:t>
      </w:r>
      <w:proofErr w:type="spellStart"/>
      <w:r>
        <w:t>μg</w:t>
      </w:r>
      <w:proofErr w:type="spellEnd"/>
      <w:r>
        <w:t xml:space="preserve"> × 2</w:t>
      </w:r>
      <w:r w:rsidR="00A40E36">
        <w:t>)</w:t>
      </w:r>
      <w:r>
        <w:t xml:space="preserve">, </w:t>
      </w:r>
      <w:r w:rsidR="00A40E36">
        <w:t>two</w:t>
      </w:r>
      <w:r>
        <w:t xml:space="preserve"> in Group C, </w:t>
      </w:r>
      <w:r w:rsidR="00A40E36">
        <w:t>five</w:t>
      </w:r>
      <w:r>
        <w:t xml:space="preserve"> in Group D, and </w:t>
      </w:r>
      <w:r w:rsidR="00A40E36">
        <w:t>one</w:t>
      </w:r>
      <w:r>
        <w:t xml:space="preserve"> in Group E </w:t>
      </w:r>
      <w:r w:rsidR="00A40E36">
        <w:t>(</w:t>
      </w:r>
      <w:r>
        <w:t xml:space="preserve">25/50 </w:t>
      </w:r>
      <w:proofErr w:type="spellStart"/>
      <w:r>
        <w:t>μg</w:t>
      </w:r>
      <w:proofErr w:type="spellEnd"/>
      <w:r>
        <w:t>,</w:t>
      </w:r>
      <w:r w:rsidR="00A40E36">
        <w:t xml:space="preserve"> first dose</w:t>
      </w:r>
      <w:r>
        <w:t xml:space="preserve">; placebo, </w:t>
      </w:r>
      <w:r w:rsidR="00A40E36">
        <w:t>second dose)</w:t>
      </w:r>
      <w:r>
        <w:t xml:space="preserve">), which included </w:t>
      </w:r>
      <w:r w:rsidR="00A40E36">
        <w:t>two</w:t>
      </w:r>
      <w:r>
        <w:t xml:space="preserve"> participants (1.5%) with Grade 3 toxicity (</w:t>
      </w:r>
      <w:r w:rsidR="00A40E36">
        <w:t>one</w:t>
      </w:r>
      <w:r>
        <w:t xml:space="preserve"> each in Groups C and E); no participant had a Grade 4 serum chemistry abnormality.</w:t>
      </w:r>
    </w:p>
    <w:p w14:paraId="5B69E3B4" w14:textId="631B2D3F" w:rsidR="003B4BDE" w:rsidRDefault="007C7A80" w:rsidP="00345763">
      <w:r>
        <w:t xml:space="preserve">There were similar rates of laboratory investigation TEAEs for </w:t>
      </w:r>
      <w:proofErr w:type="spellStart"/>
      <w:r w:rsidR="00D072C9">
        <w:t>Nuvaxovid</w:t>
      </w:r>
      <w:proofErr w:type="spellEnd"/>
      <w:r>
        <w:t xml:space="preserve"> compared with placebo. TEAEs in most PTs were infrequent, with less than two events for most PTs in </w:t>
      </w:r>
      <w:r>
        <w:lastRenderedPageBreak/>
        <w:t xml:space="preserve">either the </w:t>
      </w:r>
      <w:proofErr w:type="spellStart"/>
      <w:r w:rsidR="00D072C9">
        <w:t>Nuvaxovid</w:t>
      </w:r>
      <w:proofErr w:type="spellEnd"/>
      <w:r>
        <w:t xml:space="preserve"> or placebo groups; there were no clear imbalances between the </w:t>
      </w:r>
      <w:proofErr w:type="spellStart"/>
      <w:r w:rsidR="00D072C9">
        <w:t>Nuvaxovid</w:t>
      </w:r>
      <w:proofErr w:type="spellEnd"/>
      <w:r>
        <w:t xml:space="preserve"> group and placebo.</w:t>
      </w:r>
    </w:p>
    <w:p w14:paraId="3BD7FF70" w14:textId="3511D0C2" w:rsidR="003A3957" w:rsidRDefault="003A3957" w:rsidP="00345763">
      <w:pPr>
        <w:pStyle w:val="Heading5"/>
        <w:keepNext w:val="0"/>
        <w:keepLines w:val="0"/>
      </w:pPr>
      <w:r>
        <w:t xml:space="preserve">Subgroup </w:t>
      </w:r>
      <w:r w:rsidR="00282A8B">
        <w:t>s</w:t>
      </w:r>
      <w:r>
        <w:t>afety</w:t>
      </w:r>
    </w:p>
    <w:p w14:paraId="686F4DEB" w14:textId="7DC349FA" w:rsidR="003A3957" w:rsidRDefault="003A3957" w:rsidP="00345763">
      <w:pPr>
        <w:pStyle w:val="Heading6"/>
        <w:keepNext w:val="0"/>
      </w:pPr>
      <w:r>
        <w:t>By underlying comorbidit</w:t>
      </w:r>
      <w:r w:rsidR="008E6FB4">
        <w:t>i</w:t>
      </w:r>
      <w:r>
        <w:t>es</w:t>
      </w:r>
    </w:p>
    <w:p w14:paraId="110D0F3C" w14:textId="02CB45E6" w:rsidR="003A3957" w:rsidRDefault="003A3957" w:rsidP="00345763">
      <w:r>
        <w:t xml:space="preserve">In Study 2019nCoV-301, participants with co-morbidities of obesity, chronic kidney disease, cardiovascular disease, and diabetes mellitus </w:t>
      </w:r>
      <w:r w:rsidR="007615FB">
        <w:t>T</w:t>
      </w:r>
      <w:r>
        <w:t xml:space="preserve">ype II reported lower frequencies and intensities of solicited local and systemic AEs after each vaccination among </w:t>
      </w:r>
      <w:proofErr w:type="spellStart"/>
      <w:r>
        <w:t>Nuvaxovid</w:t>
      </w:r>
      <w:proofErr w:type="spellEnd"/>
      <w:r>
        <w:t xml:space="preserve"> recipients than the overall study population who received </w:t>
      </w:r>
      <w:proofErr w:type="spellStart"/>
      <w:r>
        <w:t>Nuvaxovid</w:t>
      </w:r>
      <w:proofErr w:type="spellEnd"/>
      <w:r>
        <w:t xml:space="preserve"> and participants with chronic lung disease. The frequencies and intensities in participants with chronic lung disease were similar as the overall study population.</w:t>
      </w:r>
    </w:p>
    <w:p w14:paraId="3D0E22A0" w14:textId="331ECA27" w:rsidR="003A3957" w:rsidRDefault="003A3957" w:rsidP="00345763">
      <w:pPr>
        <w:pStyle w:val="Heading6"/>
        <w:keepNext w:val="0"/>
      </w:pPr>
      <w:r>
        <w:t xml:space="preserve">By </w:t>
      </w:r>
      <w:r w:rsidR="00282A8B">
        <w:t>a</w:t>
      </w:r>
      <w:r>
        <w:t>ge</w:t>
      </w:r>
    </w:p>
    <w:p w14:paraId="3974D194" w14:textId="23D020A1" w:rsidR="00A40E36" w:rsidRDefault="003A3957" w:rsidP="00345763">
      <w:r>
        <w:t xml:space="preserve">Participants in the older age cohort (≥ 65 years of age) reported lower frequencies and intensities of solicited local and systemic AEs among </w:t>
      </w:r>
      <w:proofErr w:type="spellStart"/>
      <w:r>
        <w:t>Nuvaxovid</w:t>
      </w:r>
      <w:proofErr w:type="spellEnd"/>
      <w:r>
        <w:t xml:space="preserve"> recipients after each vaccination than in participants in the younger age cohort (18 to ≤ 64 years of age). An overview of adverse events reported in Study 2019nCoV-302 stratified by age is presented in </w:t>
      </w:r>
      <w:r>
        <w:fldChar w:fldCharType="begin" w:fldLock="1"/>
      </w:r>
      <w:r>
        <w:instrText xml:space="preserve"> REF _Ref92790670 \h </w:instrText>
      </w:r>
      <w:r>
        <w:fldChar w:fldCharType="separate"/>
      </w:r>
      <w:r w:rsidR="00AA298B" w:rsidRPr="003A3957">
        <w:t xml:space="preserve">Table </w:t>
      </w:r>
      <w:r w:rsidR="00AA298B">
        <w:rPr>
          <w:noProof/>
        </w:rPr>
        <w:t>33</w:t>
      </w:r>
      <w:r>
        <w:fldChar w:fldCharType="end"/>
      </w:r>
      <w:r>
        <w:t>. A similar pattern was observed in Study 2019nCoV-301.</w:t>
      </w:r>
    </w:p>
    <w:p w14:paraId="60CFD65F" w14:textId="61896D04" w:rsidR="003A3957" w:rsidRDefault="003A3957" w:rsidP="00CB0654">
      <w:pPr>
        <w:pStyle w:val="TableTitle"/>
      </w:pPr>
      <w:bookmarkStart w:id="94" w:name="_Ref92790670"/>
      <w:r w:rsidRPr="003A3957">
        <w:t xml:space="preserve">Table </w:t>
      </w:r>
      <w:r w:rsidR="00344FF4">
        <w:fldChar w:fldCharType="begin"/>
      </w:r>
      <w:r w:rsidR="00344FF4">
        <w:instrText xml:space="preserve"> SEQ </w:instrText>
      </w:r>
      <w:r w:rsidR="00344FF4">
        <w:instrText xml:space="preserve">Table \* ARABIC </w:instrText>
      </w:r>
      <w:r w:rsidR="00344FF4">
        <w:fldChar w:fldCharType="separate"/>
      </w:r>
      <w:r w:rsidR="00C41FF6">
        <w:rPr>
          <w:noProof/>
        </w:rPr>
        <w:t>33</w:t>
      </w:r>
      <w:r w:rsidR="00344FF4">
        <w:rPr>
          <w:noProof/>
        </w:rPr>
        <w:fldChar w:fldCharType="end"/>
      </w:r>
      <w:bookmarkEnd w:id="94"/>
      <w:r>
        <w:t xml:space="preserve">: Study </w:t>
      </w:r>
      <w:r w:rsidRPr="003A3957">
        <w:t xml:space="preserve">2019nCoV-302 Overall </w:t>
      </w:r>
      <w:r>
        <w:t>s</w:t>
      </w:r>
      <w:r w:rsidRPr="003A3957">
        <w:t>ummary of adverse events reported</w:t>
      </w:r>
      <w:r>
        <w:t xml:space="preserve"> (</w:t>
      </w:r>
      <w:r w:rsidRPr="003A3957">
        <w:t>stratified by age</w:t>
      </w:r>
      <w:r>
        <w:t>)</w:t>
      </w:r>
    </w:p>
    <w:p w14:paraId="595DA333" w14:textId="78DE08DF" w:rsidR="003A3957" w:rsidRDefault="003A3957" w:rsidP="00345763">
      <w:r w:rsidRPr="00ED6F9D">
        <w:rPr>
          <w:rFonts w:eastAsia="Calibri"/>
          <w:noProof/>
          <w:szCs w:val="24"/>
          <w:lang w:val="en-GB" w:eastAsia="en-GB"/>
        </w:rPr>
        <w:drawing>
          <wp:inline distT="0" distB="0" distL="0" distR="0" wp14:anchorId="0A0FE8BC" wp14:editId="1B6A2310">
            <wp:extent cx="5226872" cy="3315970"/>
            <wp:effectExtent l="0" t="0" r="0" b="0"/>
            <wp:docPr id="248" name="Picture 248" descr="P9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P986#yIS1"/>
                    <pic:cNvPicPr>
                      <a:picLocks noChangeAspect="1" noChangeArrowheads="1"/>
                    </pic:cNvPicPr>
                  </pic:nvPicPr>
                  <pic:blipFill rotWithShape="1">
                    <a:blip r:embed="rId59">
                      <a:lum bright="-20000" contrast="40000"/>
                      <a:extLst>
                        <a:ext uri="{28A0092B-C50C-407E-A947-70E740481C1C}">
                          <a14:useLocalDpi xmlns:a14="http://schemas.microsoft.com/office/drawing/2010/main" val="0"/>
                        </a:ext>
                      </a:extLst>
                    </a:blip>
                    <a:srcRect l="1629" r="1139"/>
                    <a:stretch/>
                  </pic:blipFill>
                  <pic:spPr bwMode="auto">
                    <a:xfrm>
                      <a:off x="0" y="0"/>
                      <a:ext cx="5334730" cy="3384396"/>
                    </a:xfrm>
                    <a:prstGeom prst="rect">
                      <a:avLst/>
                    </a:prstGeom>
                    <a:noFill/>
                    <a:ln>
                      <a:noFill/>
                    </a:ln>
                    <a:extLst>
                      <a:ext uri="{53640926-AAD7-44D8-BBD7-CCE9431645EC}">
                        <a14:shadowObscured xmlns:a14="http://schemas.microsoft.com/office/drawing/2010/main"/>
                      </a:ext>
                    </a:extLst>
                  </pic:spPr>
                </pic:pic>
              </a:graphicData>
            </a:graphic>
          </wp:inline>
        </w:drawing>
      </w:r>
    </w:p>
    <w:p w14:paraId="298AB6A6" w14:textId="04AA21EB" w:rsidR="003A3957" w:rsidRDefault="003A3957" w:rsidP="00345763">
      <w:pPr>
        <w:pStyle w:val="Heading6"/>
        <w:keepNext w:val="0"/>
      </w:pPr>
      <w:r>
        <w:t xml:space="preserve">By </w:t>
      </w:r>
      <w:r w:rsidRPr="003A3957">
        <w:t xml:space="preserve">human immunodeficiency virus </w:t>
      </w:r>
      <w:r>
        <w:t>status</w:t>
      </w:r>
    </w:p>
    <w:p w14:paraId="79074845" w14:textId="49C762B8" w:rsidR="003A3957" w:rsidRDefault="003A3957" w:rsidP="00345763">
      <w:r>
        <w:t xml:space="preserve">In Study 2019nCoV-501, approximately 94% of participants were HIV negative, with a median age of 27 years and 4.4% aged 65 years and older. An overview of unsolicited adverse events by HIV status is presented in </w:t>
      </w:r>
      <w:r w:rsidR="00B40778">
        <w:fldChar w:fldCharType="begin" w:fldLock="1"/>
      </w:r>
      <w:r w:rsidR="00B40778">
        <w:instrText xml:space="preserve"> REF _Ref92791682 \h </w:instrText>
      </w:r>
      <w:r w:rsidR="00B40778">
        <w:fldChar w:fldCharType="separate"/>
      </w:r>
      <w:r w:rsidR="00AA298B">
        <w:t xml:space="preserve">Table </w:t>
      </w:r>
      <w:r w:rsidR="00AA298B">
        <w:rPr>
          <w:noProof/>
        </w:rPr>
        <w:t>34</w:t>
      </w:r>
      <w:r w:rsidR="00B40778">
        <w:fldChar w:fldCharType="end"/>
      </w:r>
      <w:r>
        <w:t>.</w:t>
      </w:r>
    </w:p>
    <w:p w14:paraId="6567C8E5" w14:textId="25A2AB0F" w:rsidR="003A3957" w:rsidRDefault="003A3957" w:rsidP="00F441CA">
      <w:pPr>
        <w:pStyle w:val="TableTitle"/>
        <w:keepLines/>
      </w:pPr>
      <w:bookmarkStart w:id="95" w:name="_Ref92791682"/>
      <w:r>
        <w:lastRenderedPageBreak/>
        <w:t xml:space="preserve">Table </w:t>
      </w:r>
      <w:r w:rsidR="00344FF4">
        <w:fldChar w:fldCharType="begin"/>
      </w:r>
      <w:r w:rsidR="00344FF4">
        <w:instrText xml:space="preserve"> SEQ Table \* ARABIC </w:instrText>
      </w:r>
      <w:r w:rsidR="00344FF4">
        <w:fldChar w:fldCharType="separate"/>
      </w:r>
      <w:r w:rsidR="00C41FF6">
        <w:rPr>
          <w:noProof/>
        </w:rPr>
        <w:t>34</w:t>
      </w:r>
      <w:r w:rsidR="00344FF4">
        <w:rPr>
          <w:noProof/>
        </w:rPr>
        <w:fldChar w:fldCharType="end"/>
      </w:r>
      <w:bookmarkEnd w:id="95"/>
      <w:r>
        <w:t xml:space="preserve">: Study </w:t>
      </w:r>
      <w:r w:rsidRPr="00ED6F9D">
        <w:t xml:space="preserve">2019nCoV-501 Overall </w:t>
      </w:r>
      <w:r>
        <w:t>s</w:t>
      </w:r>
      <w:r w:rsidRPr="00ED6F9D">
        <w:t xml:space="preserve">ummary of unsolicited adverse events reported in </w:t>
      </w:r>
      <w:r>
        <w:t>h</w:t>
      </w:r>
      <w:r w:rsidRPr="00ED6F9D">
        <w:t xml:space="preserve">ealthy </w:t>
      </w:r>
      <w:r w:rsidRPr="003A3957">
        <w:t xml:space="preserve">human immunodeficiency virus </w:t>
      </w:r>
      <w:r>
        <w:t>n</w:t>
      </w:r>
      <w:r w:rsidRPr="00ED6F9D">
        <w:t xml:space="preserve">egative and </w:t>
      </w:r>
      <w:r w:rsidR="00B804C9">
        <w:t>m</w:t>
      </w:r>
      <w:r w:rsidRPr="00ED6F9D">
        <w:t xml:space="preserve">edically </w:t>
      </w:r>
      <w:r w:rsidR="00B804C9">
        <w:t>s</w:t>
      </w:r>
      <w:r w:rsidRPr="00ED6F9D">
        <w:t xml:space="preserve">table </w:t>
      </w:r>
      <w:r w:rsidR="00B804C9" w:rsidRPr="003A3957">
        <w:t xml:space="preserve">human immunodeficiency virus </w:t>
      </w:r>
      <w:r w:rsidR="00B804C9">
        <w:t>p</w:t>
      </w:r>
      <w:r w:rsidRPr="00ED6F9D">
        <w:t xml:space="preserve">ositive </w:t>
      </w:r>
      <w:r w:rsidR="00B804C9">
        <w:t>p</w:t>
      </w:r>
      <w:r w:rsidRPr="00ED6F9D">
        <w:t xml:space="preserve">articipants </w:t>
      </w:r>
      <w:r w:rsidR="00B804C9">
        <w:t>r</w:t>
      </w:r>
      <w:r w:rsidRPr="00ED6F9D">
        <w:t xml:space="preserve">egardless of </w:t>
      </w:r>
      <w:r w:rsidR="00B804C9">
        <w:t>b</w:t>
      </w:r>
      <w:r w:rsidRPr="00ED6F9D">
        <w:t xml:space="preserve">aseline </w:t>
      </w:r>
      <w:r w:rsidR="00B804C9">
        <w:t>s</w:t>
      </w:r>
      <w:r w:rsidRPr="00ED6F9D">
        <w:t>erostatus (</w:t>
      </w:r>
      <w:r w:rsidR="00B804C9">
        <w:t>s</w:t>
      </w:r>
      <w:r w:rsidRPr="00ED6F9D">
        <w:t xml:space="preserve">afety </w:t>
      </w:r>
      <w:r w:rsidR="00B804C9">
        <w:t>a</w:t>
      </w:r>
      <w:r w:rsidRPr="00ED6F9D">
        <w:t xml:space="preserve">nalysis </w:t>
      </w:r>
      <w:r w:rsidR="00B804C9">
        <w:t>s</w:t>
      </w:r>
      <w:r w:rsidRPr="00ED6F9D">
        <w:t>et)</w:t>
      </w:r>
    </w:p>
    <w:p w14:paraId="7B1D079B" w14:textId="29D47F74" w:rsidR="00B804C9" w:rsidRDefault="00B804C9" w:rsidP="00345763">
      <w:r w:rsidRPr="00ED6F9D">
        <w:rPr>
          <w:rFonts w:eastAsia="Calibri"/>
          <w:noProof/>
          <w:szCs w:val="24"/>
          <w:lang w:val="en-GB" w:eastAsia="en-GB"/>
        </w:rPr>
        <w:drawing>
          <wp:inline distT="0" distB="0" distL="0" distR="0" wp14:anchorId="1EE19DDC" wp14:editId="4BB894D8">
            <wp:extent cx="5313872" cy="2148192"/>
            <wp:effectExtent l="0" t="0" r="1270" b="5080"/>
            <wp:docPr id="249" name="Picture 249" descr="P9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P990#yIS1"/>
                    <pic:cNvPicPr>
                      <a:picLocks noChangeAspect="1" noChangeArrowheads="1"/>
                    </pic:cNvPicPr>
                  </pic:nvPicPr>
                  <pic:blipFill rotWithShape="1">
                    <a:blip r:embed="rId60">
                      <a:extLst>
                        <a:ext uri="{28A0092B-C50C-407E-A947-70E740481C1C}">
                          <a14:useLocalDpi xmlns:a14="http://schemas.microsoft.com/office/drawing/2010/main" val="0"/>
                        </a:ext>
                      </a:extLst>
                    </a:blip>
                    <a:srcRect l="959" r="6364" b="22861"/>
                    <a:stretch/>
                  </pic:blipFill>
                  <pic:spPr bwMode="auto">
                    <a:xfrm>
                      <a:off x="0" y="0"/>
                      <a:ext cx="5340088" cy="2158790"/>
                    </a:xfrm>
                    <a:prstGeom prst="rect">
                      <a:avLst/>
                    </a:prstGeom>
                    <a:noFill/>
                    <a:ln>
                      <a:noFill/>
                    </a:ln>
                    <a:extLst>
                      <a:ext uri="{53640926-AAD7-44D8-BBD7-CCE9431645EC}">
                        <a14:shadowObscured xmlns:a14="http://schemas.microsoft.com/office/drawing/2010/main"/>
                      </a:ext>
                    </a:extLst>
                  </pic:spPr>
                </pic:pic>
              </a:graphicData>
            </a:graphic>
          </wp:inline>
        </w:drawing>
      </w:r>
    </w:p>
    <w:p w14:paraId="0AFF4BF1" w14:textId="225092B3" w:rsidR="00B804C9" w:rsidRDefault="00B804C9" w:rsidP="00CB0654">
      <w:pPr>
        <w:pStyle w:val="TableDescription"/>
      </w:pPr>
      <w:r>
        <w:t xml:space="preserve">Abbreviations: AESI = adverse events of special interest; MAAE = medically attended adverse events; NVX-CoV2373 = </w:t>
      </w:r>
      <w:proofErr w:type="spellStart"/>
      <w:r>
        <w:t>Nuvaxovid</w:t>
      </w:r>
      <w:proofErr w:type="spellEnd"/>
      <w:r>
        <w:t xml:space="preserve">, 5 µg SARS-CoV-2 </w:t>
      </w:r>
      <w:proofErr w:type="spellStart"/>
      <w:r>
        <w:t>rS</w:t>
      </w:r>
      <w:proofErr w:type="spellEnd"/>
      <w:r>
        <w:t xml:space="preserve"> plus 50 µg </w:t>
      </w:r>
      <w:r w:rsidR="006F5F10">
        <w:t>Matrix-M</w:t>
      </w:r>
      <w:r>
        <w:t xml:space="preserve"> adjuvant; PIMMC = potential immune-mediated medical conditions; TEAE = treatment-emergent adverse event</w:t>
      </w:r>
    </w:p>
    <w:p w14:paraId="469B4271" w14:textId="728F9CC9" w:rsidR="000B05CD" w:rsidRDefault="000B05CD" w:rsidP="00345763">
      <w:pPr>
        <w:pStyle w:val="Heading6"/>
        <w:keepNext w:val="0"/>
      </w:pPr>
      <w:r>
        <w:t xml:space="preserve">By serostatus at </w:t>
      </w:r>
      <w:r w:rsidR="00183DE7">
        <w:t>B</w:t>
      </w:r>
      <w:r>
        <w:t>aseline</w:t>
      </w:r>
    </w:p>
    <w:p w14:paraId="582A4641" w14:textId="5EF4D8C6" w:rsidR="00B804C9" w:rsidRDefault="000B05CD" w:rsidP="00345763">
      <w:r>
        <w:t>In Study 2019nCoV-501, negative baseline serostatus and positive baseline serostatus for SARS-CoV-2 were established, respectively, for 65.9% and 34.1% of participants</w:t>
      </w:r>
      <w:r w:rsidR="000B2BEC">
        <w:t xml:space="preserve"> (see </w:t>
      </w:r>
      <w:r w:rsidR="000B2BEC">
        <w:fldChar w:fldCharType="begin" w:fldLock="1"/>
      </w:r>
      <w:r w:rsidR="000B2BEC">
        <w:instrText xml:space="preserve"> REF _Ref92792456 \h </w:instrText>
      </w:r>
      <w:r w:rsidR="000B2BEC">
        <w:fldChar w:fldCharType="separate"/>
      </w:r>
      <w:r w:rsidR="00AA298B">
        <w:t xml:space="preserve">Table </w:t>
      </w:r>
      <w:r w:rsidR="00AA298B">
        <w:rPr>
          <w:noProof/>
        </w:rPr>
        <w:t>35</w:t>
      </w:r>
      <w:r w:rsidR="000B2BEC">
        <w:fldChar w:fldCharType="end"/>
      </w:r>
      <w:r w:rsidR="000B2BEC">
        <w:t>)</w:t>
      </w:r>
      <w:r>
        <w:t xml:space="preserve">. Rates of solicited and unsolicited adverse events were similar in subjects seropositive or seronegative </w:t>
      </w:r>
      <w:r w:rsidR="007D0113">
        <w:t>at Baseline</w:t>
      </w:r>
      <w:r>
        <w:t>. Similarly, in Study 2019nCoV-302, where only 4.2% of participants was seropositive at Baseline, there was no suggestion of an increase in reactions or TEAEs in seropositive persons versus seronegative persons.</w:t>
      </w:r>
    </w:p>
    <w:p w14:paraId="35AE5ECB" w14:textId="6D078490" w:rsidR="000B05CD" w:rsidRPr="00ED6F9D" w:rsidRDefault="000B05CD" w:rsidP="00CB0654">
      <w:pPr>
        <w:pStyle w:val="TableTitle"/>
      </w:pPr>
      <w:bookmarkStart w:id="96" w:name="_Ref92792456"/>
      <w:r>
        <w:t xml:space="preserve">Table </w:t>
      </w:r>
      <w:r w:rsidR="00344FF4">
        <w:fldChar w:fldCharType="begin"/>
      </w:r>
      <w:r w:rsidR="00344FF4">
        <w:instrText xml:space="preserve"> SEQ Table \* ARABIC </w:instrText>
      </w:r>
      <w:r w:rsidR="00344FF4">
        <w:fldChar w:fldCharType="separate"/>
      </w:r>
      <w:r w:rsidR="00C41FF6">
        <w:rPr>
          <w:noProof/>
        </w:rPr>
        <w:t>35</w:t>
      </w:r>
      <w:r w:rsidR="00344FF4">
        <w:rPr>
          <w:noProof/>
        </w:rPr>
        <w:fldChar w:fldCharType="end"/>
      </w:r>
      <w:bookmarkEnd w:id="96"/>
      <w:r>
        <w:t xml:space="preserve">: Study </w:t>
      </w:r>
      <w:r w:rsidRPr="00ED6F9D">
        <w:t xml:space="preserve">2019nCoV-501 Overall </w:t>
      </w:r>
      <w:r>
        <w:t>s</w:t>
      </w:r>
      <w:r w:rsidRPr="00ED6F9D">
        <w:t xml:space="preserve">ummary of adverse events </w:t>
      </w:r>
      <w:r w:rsidR="000B2BEC" w:rsidRPr="00ED6F9D">
        <w:t xml:space="preserve">stratified by serostatus at </w:t>
      </w:r>
      <w:r w:rsidR="000B2BEC">
        <w:t>B</w:t>
      </w:r>
      <w:r w:rsidR="000B2BEC" w:rsidRPr="00ED6F9D">
        <w:t>aseline</w:t>
      </w:r>
      <w:r w:rsidR="000B2BEC">
        <w:t xml:space="preserve"> </w:t>
      </w:r>
      <w:r w:rsidRPr="00ED6F9D">
        <w:t>(</w:t>
      </w:r>
      <w:r>
        <w:t>s</w:t>
      </w:r>
      <w:r w:rsidRPr="00ED6F9D">
        <w:t>afety analysis set)</w:t>
      </w:r>
    </w:p>
    <w:p w14:paraId="258A2B49" w14:textId="214AC425" w:rsidR="000B05CD" w:rsidRDefault="000B05CD" w:rsidP="00345763">
      <w:r w:rsidRPr="00ED6F9D">
        <w:rPr>
          <w:rFonts w:eastAsia="Calibri"/>
          <w:noProof/>
          <w:szCs w:val="24"/>
          <w:lang w:val="en-GB" w:eastAsia="en-GB"/>
        </w:rPr>
        <w:drawing>
          <wp:inline distT="0" distB="0" distL="0" distR="0" wp14:anchorId="5CB29C61" wp14:editId="192BFB65">
            <wp:extent cx="5205095" cy="2981325"/>
            <wp:effectExtent l="0" t="0" r="0" b="9525"/>
            <wp:docPr id="250" name="Picture 250" descr="P9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995#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8023" cy="2983002"/>
                    </a:xfrm>
                    <a:prstGeom prst="rect">
                      <a:avLst/>
                    </a:prstGeom>
                    <a:noFill/>
                    <a:ln>
                      <a:noFill/>
                    </a:ln>
                  </pic:spPr>
                </pic:pic>
              </a:graphicData>
            </a:graphic>
          </wp:inline>
        </w:drawing>
      </w:r>
    </w:p>
    <w:p w14:paraId="15418372" w14:textId="478F0C32" w:rsidR="000B2BEC" w:rsidRDefault="000B2BEC" w:rsidP="00345763">
      <w:pPr>
        <w:pStyle w:val="Heading6"/>
        <w:keepNext w:val="0"/>
      </w:pPr>
      <w:r>
        <w:t>In pregnancy and during breastfeeding</w:t>
      </w:r>
    </w:p>
    <w:p w14:paraId="0D5C5CD2" w14:textId="4E036499" w:rsidR="000B2BEC" w:rsidRDefault="000B2BEC" w:rsidP="00345763">
      <w:r>
        <w:t xml:space="preserve">There is limited experience with </w:t>
      </w:r>
      <w:proofErr w:type="spellStart"/>
      <w:r>
        <w:t>Nuvaxovid</w:t>
      </w:r>
      <w:proofErr w:type="spellEnd"/>
      <w:r>
        <w:t xml:space="preserve"> in pregnancy. A total of 137 pregnancies were reported in the clinical development program as of 26 October 2021. Of these participants, </w:t>
      </w:r>
      <w:r>
        <w:lastRenderedPageBreak/>
        <w:t xml:space="preserve">95 received </w:t>
      </w:r>
      <w:proofErr w:type="spellStart"/>
      <w:r>
        <w:t>Nuvaxovid</w:t>
      </w:r>
      <w:proofErr w:type="spellEnd"/>
      <w:r>
        <w:t xml:space="preserve"> and 42 received placebo. Of the 95 pregnancies reported in participants in the </w:t>
      </w:r>
      <w:proofErr w:type="spellStart"/>
      <w:r>
        <w:t>Nuvaxovid</w:t>
      </w:r>
      <w:proofErr w:type="spellEnd"/>
      <w:r>
        <w:t xml:space="preserve"> group, eight resulted in live births, 11 underwent voluntary termination, 16 resulted in spontaneous abortion, and 60 were either ongoing (55) or the outcome of the pregnancy was unknown (5). There were no foetal deaths or stillbirths reported in the clinical development program. There are no data available on the safety of </w:t>
      </w:r>
      <w:proofErr w:type="spellStart"/>
      <w:r>
        <w:t>Nuvaxovid</w:t>
      </w:r>
      <w:proofErr w:type="spellEnd"/>
      <w:r>
        <w:t xml:space="preserve"> administered during breastfeeding.</w:t>
      </w:r>
    </w:p>
    <w:p w14:paraId="2B61A4CE" w14:textId="7DF2C43C" w:rsidR="000B2BEC" w:rsidRDefault="000B2BEC" w:rsidP="00345763">
      <w:pPr>
        <w:pStyle w:val="Heading6"/>
        <w:keepNext w:val="0"/>
      </w:pPr>
      <w:r>
        <w:t>Immunological events</w:t>
      </w:r>
    </w:p>
    <w:p w14:paraId="5BFC355F" w14:textId="5836E56A" w:rsidR="000B2BEC" w:rsidRDefault="000B2BEC" w:rsidP="00345763">
      <w:r>
        <w:t>Across the studies, 113 (0.38%) vaccine recipients compared to 42 (0.21%) placebo recipients reported AEs under the hypersensitivity s</w:t>
      </w:r>
      <w:r w:rsidRPr="000B2BEC">
        <w:t xml:space="preserve">tandardised MedDRA </w:t>
      </w:r>
      <w:r>
        <w:t>q</w:t>
      </w:r>
      <w:r w:rsidRPr="000B2BEC">
        <w:t>ueries</w:t>
      </w:r>
      <w:r>
        <w:t xml:space="preserve"> narrow within the three days of vaccination, with a risk difference (RD) of 0.20 (95% CI: 0.11, 0.30).</w:t>
      </w:r>
    </w:p>
    <w:p w14:paraId="759862BD" w14:textId="2591AC1D" w:rsidR="000B2BEC" w:rsidRDefault="000B2BEC" w:rsidP="00345763">
      <w:r>
        <w:t xml:space="preserve">For the SOC immune system disorders, the frequency was higher for vaccine recipients (0.04%) than for placebo recipients (0%) with 8 (0.03%) recipients reporting of allergy to vaccine and three (&lt; 0.01%) recipients reporting hypersensitivity. None of the three hypersensitivity events are considered related to </w:t>
      </w:r>
      <w:proofErr w:type="spellStart"/>
      <w:r>
        <w:t>Nuvaxovid</w:t>
      </w:r>
      <w:proofErr w:type="spellEnd"/>
      <w:r>
        <w:t>. Upon review of the narratives of the eight reports of ‘</w:t>
      </w:r>
      <w:r w:rsidRPr="000B2BEC">
        <w:rPr>
          <w:i/>
          <w:iCs/>
        </w:rPr>
        <w:t>allergy to the vaccine</w:t>
      </w:r>
      <w:r>
        <w:t xml:space="preserve">’, these were mostly reactogenicity related events rather than clear hypersensitivity reactions to the vaccine. There was one case which may concern true hypersensitivity, namely an erythematous patch on left hand and itchiness as mild in intensity with onset </w:t>
      </w:r>
      <w:r w:rsidR="00D072C9">
        <w:t>ten</w:t>
      </w:r>
      <w:r>
        <w:t xml:space="preserve"> minutes after vaccination, which was resolved within </w:t>
      </w:r>
      <w:r w:rsidR="00D072C9">
        <w:t>three</w:t>
      </w:r>
      <w:r>
        <w:t xml:space="preserve"> hours. No events of anaphylaxis have been reported.</w:t>
      </w:r>
    </w:p>
    <w:p w14:paraId="7210D5B5" w14:textId="669B7EF5" w:rsidR="000B2BEC" w:rsidRDefault="000B2BEC" w:rsidP="00345763">
      <w:pPr>
        <w:pStyle w:val="Heading6"/>
        <w:keepNext w:val="0"/>
      </w:pPr>
      <w:r>
        <w:t>Safety related to drug-drug interactions and other interactions</w:t>
      </w:r>
    </w:p>
    <w:p w14:paraId="0AE37412" w14:textId="62AB36F9" w:rsidR="000B2BEC" w:rsidRDefault="000B2BEC" w:rsidP="00345763">
      <w:r>
        <w:t xml:space="preserve">Local and systemic reactions were higher in participants included in the seasonal influenza </w:t>
      </w:r>
      <w:proofErr w:type="spellStart"/>
      <w:r>
        <w:t>substudy</w:t>
      </w:r>
      <w:proofErr w:type="spellEnd"/>
      <w:r>
        <w:t>, who received concomitant influenza vaccine, than in participants who did not receive concomitant influenza vaccine.</w:t>
      </w:r>
    </w:p>
    <w:p w14:paraId="52E89EFE" w14:textId="7B5FF5A0" w:rsidR="000B2BEC" w:rsidRDefault="000B2BEC" w:rsidP="00345763">
      <w:pPr>
        <w:pStyle w:val="ListBullet"/>
      </w:pPr>
      <w:r>
        <w:t xml:space="preserve">Following first dose, where concomitant influenza vaccination did occur, there was a higher frequency of solicited local AEs in the </w:t>
      </w:r>
      <w:proofErr w:type="spellStart"/>
      <w:r>
        <w:t>Nuvaxovid</w:t>
      </w:r>
      <w:proofErr w:type="spellEnd"/>
      <w:r>
        <w:t xml:space="preserve"> group who received concomitant influenza vaccine (70.1%) than in those who received only </w:t>
      </w:r>
      <w:proofErr w:type="spellStart"/>
      <w:r>
        <w:t>Nuvaxovid</w:t>
      </w:r>
      <w:proofErr w:type="spellEnd"/>
      <w:r>
        <w:t xml:space="preserve"> (57.6%). Systemic reactions were reported by 60.1% in the seasonal influenza </w:t>
      </w:r>
      <w:proofErr w:type="spellStart"/>
      <w:r>
        <w:t>substudy</w:t>
      </w:r>
      <w:proofErr w:type="spellEnd"/>
      <w:r>
        <w:t>, compared to 45.7% in those who did not receive concomitant influenza vaccine.</w:t>
      </w:r>
    </w:p>
    <w:p w14:paraId="412868EA" w14:textId="13DE4CFE" w:rsidR="000B2BEC" w:rsidRDefault="000B2BEC" w:rsidP="00345763">
      <w:pPr>
        <w:pStyle w:val="ListBullet"/>
      </w:pPr>
      <w:r>
        <w:t xml:space="preserve">Following second vaccination (where concomitant influenza vaccination did not occur), the frequency of solicited local AEs in participants in the seasonal influenza </w:t>
      </w:r>
      <w:proofErr w:type="spellStart"/>
      <w:r>
        <w:t>substudy</w:t>
      </w:r>
      <w:proofErr w:type="spellEnd"/>
      <w:r>
        <w:t xml:space="preserve"> was 85%, compared to 79.6% in subjects not included in the seasonal influenza </w:t>
      </w:r>
      <w:proofErr w:type="spellStart"/>
      <w:r>
        <w:t>substudy</w:t>
      </w:r>
      <w:proofErr w:type="spellEnd"/>
      <w:r>
        <w:t>. Systemic reactions were reported by 69.7% compared to 64% respectively.</w:t>
      </w:r>
    </w:p>
    <w:p w14:paraId="464DAF66" w14:textId="5F09E758" w:rsidR="000B2BEC" w:rsidRDefault="000B2BEC" w:rsidP="00345763">
      <w:pPr>
        <w:pStyle w:val="Heading6"/>
        <w:keepNext w:val="0"/>
      </w:pPr>
      <w:r>
        <w:t>Discontinuation due to adverse events</w:t>
      </w:r>
    </w:p>
    <w:p w14:paraId="2D4EC674" w14:textId="65F88876" w:rsidR="000B2BEC" w:rsidRPr="000B2BEC" w:rsidRDefault="000B2BEC" w:rsidP="00345763">
      <w:pPr>
        <w:pStyle w:val="Heading7"/>
        <w:keepNext w:val="0"/>
        <w:rPr>
          <w:sz w:val="22"/>
          <w:szCs w:val="28"/>
        </w:rPr>
      </w:pPr>
      <w:r w:rsidRPr="000B2BEC">
        <w:rPr>
          <w:sz w:val="22"/>
          <w:szCs w:val="28"/>
        </w:rPr>
        <w:t>Study 2019nCoV-301</w:t>
      </w:r>
    </w:p>
    <w:p w14:paraId="42202748" w14:textId="65837B86" w:rsidR="000B2BEC" w:rsidRDefault="000B2BEC" w:rsidP="00345763">
      <w:r>
        <w:t xml:space="preserve">Study discontinuations due to adverse events were reported by a total of 24 subjects (0.1%), 17 (0.1%, 65 events) in the </w:t>
      </w:r>
      <w:proofErr w:type="spellStart"/>
      <w:r>
        <w:t>Nuvaxovid</w:t>
      </w:r>
      <w:proofErr w:type="spellEnd"/>
      <w:r>
        <w:t xml:space="preserve"> arm and 7 (0.1%, 14 events) in the placebo arm. </w:t>
      </w:r>
      <w:r w:rsidR="00C06AF8">
        <w:t xml:space="preserve">Incidence rates </w:t>
      </w:r>
      <w:r>
        <w:t>of unsolicited TEAEs resulting in study discontinuation reported from start of first vaccination to blinded crossover or end of study with &gt; 0.05 event</w:t>
      </w:r>
      <w:r w:rsidR="00C06AF8">
        <w:t>s</w:t>
      </w:r>
      <w:r>
        <w:t xml:space="preserve">/100 PY in the </w:t>
      </w:r>
      <w:proofErr w:type="spellStart"/>
      <w:r>
        <w:t>Nuvaxovid</w:t>
      </w:r>
      <w:proofErr w:type="spellEnd"/>
      <w:r>
        <w:t xml:space="preserve"> group was fatigue (0.06 versus 0). Adverse events resulting in vaccine discontinuation were reported by 57 (0.3%) subjects in the </w:t>
      </w:r>
      <w:proofErr w:type="spellStart"/>
      <w:r>
        <w:t>Nuvaxovid</w:t>
      </w:r>
      <w:proofErr w:type="spellEnd"/>
      <w:r>
        <w:t xml:space="preserve"> arm and 16 (0.2%) subjects in the placebo arm.</w:t>
      </w:r>
    </w:p>
    <w:p w14:paraId="668FD882" w14:textId="2E7DCDFE" w:rsidR="000B2BEC" w:rsidRPr="000B5B25" w:rsidRDefault="000B2BEC" w:rsidP="00345763">
      <w:pPr>
        <w:pStyle w:val="Heading7"/>
        <w:keepNext w:val="0"/>
        <w:rPr>
          <w:sz w:val="22"/>
          <w:szCs w:val="28"/>
        </w:rPr>
      </w:pPr>
      <w:r w:rsidRPr="000B5B25">
        <w:rPr>
          <w:sz w:val="22"/>
          <w:szCs w:val="28"/>
        </w:rPr>
        <w:t>Study 2019nCoV-302</w:t>
      </w:r>
    </w:p>
    <w:p w14:paraId="3771EDE3" w14:textId="65091189" w:rsidR="000B2BEC" w:rsidRDefault="000B5B25" w:rsidP="00345763">
      <w:r>
        <w:t>T</w:t>
      </w:r>
      <w:r w:rsidRPr="00AD540C">
        <w:t xml:space="preserve">reatment emergent </w:t>
      </w:r>
      <w:r w:rsidR="00C06AF8">
        <w:t>AEs</w:t>
      </w:r>
      <w:r>
        <w:t xml:space="preserve"> </w:t>
      </w:r>
      <w:r w:rsidR="000B2BEC">
        <w:t xml:space="preserve">leading to study discontinuation were recorded for 27 (0.4%) of subjects in the </w:t>
      </w:r>
      <w:proofErr w:type="spellStart"/>
      <w:r>
        <w:t>Nuvaxovid</w:t>
      </w:r>
      <w:proofErr w:type="spellEnd"/>
      <w:r w:rsidR="000B2BEC">
        <w:t xml:space="preserve"> group and 17 (0.2%) subjects in the placebo group. Treatment-related TEAEs leading to study discontinuation were reported in 14</w:t>
      </w:r>
      <w:r w:rsidR="00C06AF8">
        <w:t> </w:t>
      </w:r>
      <w:r w:rsidR="000B2BEC">
        <w:t xml:space="preserve">(0.2%) subjects in the </w:t>
      </w:r>
      <w:proofErr w:type="spellStart"/>
      <w:r>
        <w:t>Nuvaxovid</w:t>
      </w:r>
      <w:proofErr w:type="spellEnd"/>
      <w:r w:rsidR="000B2BEC">
        <w:t xml:space="preserve"> group and 3 (&lt;</w:t>
      </w:r>
      <w:r>
        <w:t> </w:t>
      </w:r>
      <w:r w:rsidR="000B2BEC">
        <w:t xml:space="preserve">0.1%) in the placebo group. The most frequent (incidence &gt; 1 </w:t>
      </w:r>
      <w:r w:rsidR="000B2BEC">
        <w:lastRenderedPageBreak/>
        <w:t>participant) treatment</w:t>
      </w:r>
      <w:r>
        <w:t xml:space="preserve"> </w:t>
      </w:r>
      <w:r w:rsidR="000B2BEC">
        <w:t xml:space="preserve">related TEAEs leading to study discontinuation in the </w:t>
      </w:r>
      <w:proofErr w:type="spellStart"/>
      <w:r>
        <w:t>Nuvaxovid</w:t>
      </w:r>
      <w:proofErr w:type="spellEnd"/>
      <w:r w:rsidR="000B2BEC">
        <w:t xml:space="preserve"> group were injection site pain (</w:t>
      </w:r>
      <w:r>
        <w:t>four</w:t>
      </w:r>
      <w:r w:rsidR="000B2BEC">
        <w:t xml:space="preserve"> participants) and myalgia (</w:t>
      </w:r>
      <w:r>
        <w:t>two participants</w:t>
      </w:r>
      <w:r w:rsidR="000B2BEC">
        <w:t>).</w:t>
      </w:r>
    </w:p>
    <w:p w14:paraId="28BFDE34" w14:textId="0055DC18" w:rsidR="000B2BEC" w:rsidRDefault="000B2BEC" w:rsidP="00345763">
      <w:r>
        <w:t xml:space="preserve">There were similar frequencies of participants reporting unsolicited TEAEs leading to discontinuation of study vaccine between the </w:t>
      </w:r>
      <w:r w:rsidR="000B5B25">
        <w:t>two</w:t>
      </w:r>
      <w:r>
        <w:t xml:space="preserve"> study vaccine groups, with 30 (0.4%) participants in the </w:t>
      </w:r>
      <w:proofErr w:type="spellStart"/>
      <w:r w:rsidR="000B5B25">
        <w:t>Nuvaxovid</w:t>
      </w:r>
      <w:proofErr w:type="spellEnd"/>
      <w:r>
        <w:t xml:space="preserve"> group and 23 (0.3%) participants in the placebo group.</w:t>
      </w:r>
    </w:p>
    <w:p w14:paraId="63BC4855" w14:textId="0E011748" w:rsidR="000B2BEC" w:rsidRPr="000B5B25" w:rsidRDefault="000B5B25" w:rsidP="00345763">
      <w:pPr>
        <w:pStyle w:val="Heading7"/>
        <w:keepNext w:val="0"/>
        <w:rPr>
          <w:sz w:val="22"/>
          <w:szCs w:val="28"/>
        </w:rPr>
      </w:pPr>
      <w:r w:rsidRPr="000B5B25">
        <w:rPr>
          <w:sz w:val="22"/>
          <w:szCs w:val="28"/>
        </w:rPr>
        <w:t xml:space="preserve">Study </w:t>
      </w:r>
      <w:r w:rsidR="000B2BEC" w:rsidRPr="000B5B25">
        <w:rPr>
          <w:sz w:val="22"/>
          <w:szCs w:val="28"/>
        </w:rPr>
        <w:t>2019nCoV-501</w:t>
      </w:r>
    </w:p>
    <w:p w14:paraId="4C5382E0" w14:textId="27F2A431" w:rsidR="000B2BEC" w:rsidRDefault="000B2BEC" w:rsidP="00345763">
      <w:r>
        <w:t>Unsolicited TEAEs resulting in vaccine discontinuation were reported in 0 of 2211</w:t>
      </w:r>
      <w:r w:rsidR="00C06AF8">
        <w:t> </w:t>
      </w:r>
      <w:r>
        <w:t xml:space="preserve">participants in the </w:t>
      </w:r>
      <w:proofErr w:type="spellStart"/>
      <w:r w:rsidR="001B6472">
        <w:t>Nuvaxovid</w:t>
      </w:r>
      <w:proofErr w:type="spellEnd"/>
      <w:r>
        <w:t xml:space="preserve"> group versus 1 (&lt;</w:t>
      </w:r>
      <w:r w:rsidR="001B6472">
        <w:t> </w:t>
      </w:r>
      <w:r>
        <w:t xml:space="preserve">0.1%) of 2197 participants in the placebo group; </w:t>
      </w:r>
      <w:r w:rsidR="001B6472">
        <w:t>four</w:t>
      </w:r>
      <w:r>
        <w:t xml:space="preserve"> (0.2%) of 2211 participants in the </w:t>
      </w:r>
      <w:proofErr w:type="spellStart"/>
      <w:r w:rsidR="001B6472">
        <w:t>Nuvaxovid</w:t>
      </w:r>
      <w:proofErr w:type="spellEnd"/>
      <w:r>
        <w:t xml:space="preserve"> group and </w:t>
      </w:r>
      <w:r w:rsidR="001B6472">
        <w:t>four</w:t>
      </w:r>
      <w:r>
        <w:t xml:space="preserve"> (0.2%) of 2197 participants in the placebo group reported TEAEs resulting in study discontinuation.</w:t>
      </w:r>
    </w:p>
    <w:p w14:paraId="11AC283B" w14:textId="482AD1DE" w:rsidR="001B6472" w:rsidRDefault="001B6472" w:rsidP="00345763">
      <w:pPr>
        <w:pStyle w:val="Heading4"/>
        <w:keepNext w:val="0"/>
      </w:pPr>
      <w:r>
        <w:t xml:space="preserve">Additional </w:t>
      </w:r>
      <w:r w:rsidR="006E518A">
        <w:t>c</w:t>
      </w:r>
      <w:r>
        <w:t xml:space="preserve">linical </w:t>
      </w:r>
      <w:r w:rsidR="006E518A">
        <w:t>s</w:t>
      </w:r>
      <w:r>
        <w:t>tudy</w:t>
      </w:r>
    </w:p>
    <w:p w14:paraId="14900979" w14:textId="0B2DCA55" w:rsidR="001B6472" w:rsidRDefault="001B6472" w:rsidP="00345763">
      <w:r>
        <w:t>The drug product used in clinical trial was manufactured at different site (USA) to the currently proposed manufacturing site S</w:t>
      </w:r>
      <w:r w:rsidR="00B32E08">
        <w:t>erum institute of India (S</w:t>
      </w:r>
      <w:r>
        <w:t>II</w:t>
      </w:r>
      <w:r w:rsidR="00B32E08">
        <w:t>)</w:t>
      </w:r>
      <w:r>
        <w:t xml:space="preserve">. </w:t>
      </w:r>
      <w:r w:rsidR="00B32E08">
        <w:t>The quality</w:t>
      </w:r>
      <w:r>
        <w:t xml:space="preserve"> evaluator has highlighted critical comparability issues between the products</w:t>
      </w:r>
      <w:r w:rsidR="00B32E08">
        <w:t xml:space="preserve"> from</w:t>
      </w:r>
      <w:r>
        <w:t xml:space="preserve"> US</w:t>
      </w:r>
      <w:r w:rsidR="00B32E08">
        <w:t>A</w:t>
      </w:r>
      <w:r>
        <w:t xml:space="preserve"> sites (used for</w:t>
      </w:r>
      <w:r w:rsidR="006E518A">
        <w:t xml:space="preserve"> the</w:t>
      </w:r>
      <w:r>
        <w:t xml:space="preserve"> trial) and from SII (manufacturing site). An interim clinical study report for the</w:t>
      </w:r>
      <w:r w:rsidR="00637A78">
        <w:t xml:space="preserve"> </w:t>
      </w:r>
      <w:r>
        <w:t>ICMR/SII-</w:t>
      </w:r>
      <w:proofErr w:type="spellStart"/>
      <w:r w:rsidR="00B75BA0">
        <w:t>Covovax</w:t>
      </w:r>
      <w:proofErr w:type="spellEnd"/>
      <w:r w:rsidR="00B75BA0">
        <w:t xml:space="preserve"> </w:t>
      </w:r>
      <w:r w:rsidR="00637A78">
        <w:t>trial</w:t>
      </w:r>
      <w:r>
        <w:t xml:space="preserve"> is submitted by the sponsor.</w:t>
      </w:r>
    </w:p>
    <w:p w14:paraId="74C8169C" w14:textId="04C5E1F8" w:rsidR="001B6472" w:rsidRDefault="001B6472" w:rsidP="00345763">
      <w:pPr>
        <w:pStyle w:val="Heading5"/>
        <w:keepNext w:val="0"/>
        <w:keepLines w:val="0"/>
      </w:pPr>
      <w:bookmarkStart w:id="97" w:name="_Hlk92796618"/>
      <w:r>
        <w:t>ICMR/SII-</w:t>
      </w:r>
      <w:proofErr w:type="spellStart"/>
      <w:r w:rsidR="00B75BA0">
        <w:t>Covovax</w:t>
      </w:r>
      <w:proofErr w:type="spellEnd"/>
      <w:r w:rsidR="00B75BA0">
        <w:t xml:space="preserve"> </w:t>
      </w:r>
      <w:r w:rsidR="00637A78">
        <w:t>trial</w:t>
      </w:r>
    </w:p>
    <w:bookmarkEnd w:id="97"/>
    <w:p w14:paraId="3B184C98" w14:textId="367A8E22" w:rsidR="001B6472" w:rsidRDefault="001B6472" w:rsidP="00345763">
      <w:r>
        <w:t xml:space="preserve">This </w:t>
      </w:r>
      <w:r w:rsidR="00637A78">
        <w:t>trial</w:t>
      </w:r>
      <w:r>
        <w:t xml:space="preserve"> is not the part of drug development plan. It was conducted by the manufacturer</w:t>
      </w:r>
      <w:r w:rsidR="006E518A">
        <w:t>, the</w:t>
      </w:r>
      <w:r>
        <w:t xml:space="preserve"> SII, with the aim to establish immunogenicity and safety of the SII</w:t>
      </w:r>
      <w:r w:rsidR="006E518A">
        <w:noBreakHyphen/>
      </w:r>
      <w:r>
        <w:t>manufactured product.</w:t>
      </w:r>
    </w:p>
    <w:p w14:paraId="2E3F28AE" w14:textId="16AB7A2F" w:rsidR="001B6472" w:rsidRDefault="00B75BA0" w:rsidP="00345763">
      <w:r>
        <w:t>This trial is a</w:t>
      </w:r>
      <w:r w:rsidR="001B6472">
        <w:t xml:space="preserve"> Phase </w:t>
      </w:r>
      <w:r w:rsidR="00B32E08">
        <w:t>II</w:t>
      </w:r>
      <w:r w:rsidR="001B6472">
        <w:t>/</w:t>
      </w:r>
      <w:r w:rsidR="00B32E08">
        <w:t>III</w:t>
      </w:r>
      <w:r w:rsidR="001B6472">
        <w:t xml:space="preserve">, </w:t>
      </w:r>
      <w:r w:rsidR="00B32E08">
        <w:t>o</w:t>
      </w:r>
      <w:r w:rsidR="001B6472">
        <w:t>bserver</w:t>
      </w:r>
      <w:r w:rsidR="00B32E08">
        <w:t xml:space="preserve"> b</w:t>
      </w:r>
      <w:r w:rsidR="001B6472">
        <w:t xml:space="preserve">lind, </w:t>
      </w:r>
      <w:r w:rsidR="00B32E08">
        <w:t>r</w:t>
      </w:r>
      <w:r w:rsidR="001B6472">
        <w:t>andom</w:t>
      </w:r>
      <w:r w:rsidR="007D0113">
        <w:t>is</w:t>
      </w:r>
      <w:r w:rsidR="001B6472">
        <w:t xml:space="preserve">ed, </w:t>
      </w:r>
      <w:r w:rsidR="00B32E08">
        <w:t>c</w:t>
      </w:r>
      <w:r w:rsidR="001B6472">
        <w:t xml:space="preserve">ontrolled </w:t>
      </w:r>
      <w:r w:rsidR="00B32E08">
        <w:t>s</w:t>
      </w:r>
      <w:r w:rsidR="001B6472">
        <w:t xml:space="preserve">tudy to </w:t>
      </w:r>
      <w:r w:rsidR="00B32E08">
        <w:t>d</w:t>
      </w:r>
      <w:r w:rsidR="001B6472">
        <w:t xml:space="preserve">etermine the </w:t>
      </w:r>
      <w:r w:rsidR="00B32E08">
        <w:t>s</w:t>
      </w:r>
      <w:r w:rsidR="001B6472">
        <w:t xml:space="preserve">afety and </w:t>
      </w:r>
      <w:r w:rsidR="00B32E08">
        <w:t>i</w:t>
      </w:r>
      <w:r w:rsidR="001B6472">
        <w:t xml:space="preserve">mmunogenicity of </w:t>
      </w:r>
      <w:proofErr w:type="spellStart"/>
      <w:r w:rsidR="001B6472">
        <w:t>C</w:t>
      </w:r>
      <w:r w:rsidR="00637A78">
        <w:t>ovovax</w:t>
      </w:r>
      <w:proofErr w:type="spellEnd"/>
      <w:r w:rsidR="001B6472">
        <w:t xml:space="preserve"> </w:t>
      </w:r>
      <w:r w:rsidR="00B32E08">
        <w:t>(</w:t>
      </w:r>
      <w:r w:rsidR="001B6472">
        <w:t xml:space="preserve">SARS-CoV-2 </w:t>
      </w:r>
      <w:r w:rsidR="00B32E08">
        <w:t>r</w:t>
      </w:r>
      <w:r w:rsidR="001B6472">
        <w:t xml:space="preserve">ecombinant </w:t>
      </w:r>
      <w:r w:rsidR="00B32E08">
        <w:t>s</w:t>
      </w:r>
      <w:r w:rsidR="001B6472">
        <w:t xml:space="preserve">pike </w:t>
      </w:r>
      <w:r w:rsidR="00B32E08">
        <w:t>p</w:t>
      </w:r>
      <w:r w:rsidR="001B6472">
        <w:t xml:space="preserve">rotein </w:t>
      </w:r>
      <w:r w:rsidR="00B32E08">
        <w:t>n</w:t>
      </w:r>
      <w:r w:rsidR="001B6472">
        <w:t xml:space="preserve">anoparticle </w:t>
      </w:r>
      <w:r w:rsidR="00B32E08">
        <w:t>v</w:t>
      </w:r>
      <w:r w:rsidR="001B6472">
        <w:t xml:space="preserve">accine (SARS-CoV-2 </w:t>
      </w:r>
      <w:proofErr w:type="spellStart"/>
      <w:r w:rsidR="001B6472">
        <w:t>rS</w:t>
      </w:r>
      <w:proofErr w:type="spellEnd"/>
      <w:r w:rsidR="001B6472">
        <w:t xml:space="preserve">) with </w:t>
      </w:r>
      <w:r w:rsidR="006F5F10">
        <w:t>Matrix-M</w:t>
      </w:r>
      <w:r w:rsidR="00B32E08">
        <w:t xml:space="preserve"> </w:t>
      </w:r>
      <w:r w:rsidR="001B6472">
        <w:t>Adjuvant</w:t>
      </w:r>
      <w:r w:rsidR="00B32E08">
        <w:t>)</w:t>
      </w:r>
      <w:r w:rsidR="001B6472">
        <w:t xml:space="preserve"> in </w:t>
      </w:r>
      <w:r w:rsidR="00B32E08">
        <w:t>I</w:t>
      </w:r>
      <w:r w:rsidR="001B6472">
        <w:t xml:space="preserve">ndian </w:t>
      </w:r>
      <w:r w:rsidR="00B32E08">
        <w:t>a</w:t>
      </w:r>
      <w:r w:rsidR="001B6472">
        <w:t>dults.</w:t>
      </w:r>
    </w:p>
    <w:p w14:paraId="48085D4C" w14:textId="4A2E4ECB" w:rsidR="001B6472" w:rsidRPr="00B32E08" w:rsidRDefault="001B6472" w:rsidP="00345763">
      <w:pPr>
        <w:pStyle w:val="Heading6"/>
        <w:keepNext w:val="0"/>
      </w:pPr>
      <w:r w:rsidRPr="00B32E08">
        <w:t xml:space="preserve">Study </w:t>
      </w:r>
      <w:r w:rsidR="00B75BA0">
        <w:t>o</w:t>
      </w:r>
      <w:r w:rsidRPr="00B32E08">
        <w:t xml:space="preserve">bjectives and </w:t>
      </w:r>
      <w:r w:rsidR="00B75BA0">
        <w:t>e</w:t>
      </w:r>
      <w:r w:rsidRPr="00B32E08">
        <w:t>ndpoints</w:t>
      </w:r>
    </w:p>
    <w:p w14:paraId="03F00E65" w14:textId="6D9196A3" w:rsidR="001B6472" w:rsidRDefault="001B6472" w:rsidP="00345763">
      <w:r>
        <w:t xml:space="preserve">Serum Institute of India used drug substance from </w:t>
      </w:r>
      <w:proofErr w:type="spellStart"/>
      <w:r>
        <w:t>Novavax</w:t>
      </w:r>
      <w:proofErr w:type="spellEnd"/>
      <w:r>
        <w:t xml:space="preserve"> (fill finished by </w:t>
      </w:r>
      <w:r w:rsidR="00B75BA0">
        <w:t xml:space="preserve">the </w:t>
      </w:r>
      <w:r>
        <w:t xml:space="preserve">SII), in the Phase </w:t>
      </w:r>
      <w:r w:rsidR="00B32E08">
        <w:t>II</w:t>
      </w:r>
      <w:r>
        <w:t xml:space="preserve"> part of the study.</w:t>
      </w:r>
    </w:p>
    <w:p w14:paraId="2B64EDBE" w14:textId="2687C826" w:rsidR="001B6472" w:rsidRDefault="001B6472" w:rsidP="00345763">
      <w:r>
        <w:t>Subsequently</w:t>
      </w:r>
      <w:r w:rsidR="00B75BA0">
        <w:t>, the</w:t>
      </w:r>
      <w:r>
        <w:t xml:space="preserve"> SII manufactured both </w:t>
      </w:r>
      <w:r w:rsidR="00B75BA0">
        <w:t>the drug substance</w:t>
      </w:r>
      <w:r>
        <w:t xml:space="preserve"> and </w:t>
      </w:r>
      <w:r w:rsidR="00B32E08">
        <w:t>drug product</w:t>
      </w:r>
      <w:r>
        <w:t>, which was used as a test vaccine (</w:t>
      </w:r>
      <w:r w:rsidR="00B75BA0">
        <w:t xml:space="preserve">named </w:t>
      </w:r>
      <w:proofErr w:type="spellStart"/>
      <w:r>
        <w:t>C</w:t>
      </w:r>
      <w:r w:rsidR="007D0113">
        <w:t>ovovax</w:t>
      </w:r>
      <w:proofErr w:type="spellEnd"/>
      <w:r>
        <w:t xml:space="preserve">) in the Phase </w:t>
      </w:r>
      <w:r w:rsidR="00145A33">
        <w:t>III</w:t>
      </w:r>
      <w:r>
        <w:t xml:space="preserve"> part of the study.</w:t>
      </w:r>
    </w:p>
    <w:p w14:paraId="5A015C93" w14:textId="31532EAF" w:rsidR="001B6472" w:rsidRDefault="001B6472" w:rsidP="00345763">
      <w:r>
        <w:t xml:space="preserve">Therefore, the data from Phase </w:t>
      </w:r>
      <w:r w:rsidR="00145A33">
        <w:t>II</w:t>
      </w:r>
      <w:r>
        <w:t xml:space="preserve"> and Phase </w:t>
      </w:r>
      <w:r w:rsidR="00145A33">
        <w:t>III</w:t>
      </w:r>
      <w:r>
        <w:t xml:space="preserve"> parts of the </w:t>
      </w:r>
      <w:r w:rsidR="00637A78">
        <w:t>trial</w:t>
      </w:r>
      <w:r>
        <w:t xml:space="preserve"> were analysed separately.</w:t>
      </w:r>
    </w:p>
    <w:p w14:paraId="01496958" w14:textId="2785B738" w:rsidR="001B6472" w:rsidRDefault="001B6472" w:rsidP="00345763">
      <w:pPr>
        <w:pStyle w:val="Heading6"/>
        <w:keepNext w:val="0"/>
      </w:pPr>
      <w:r w:rsidRPr="00145A33">
        <w:t xml:space="preserve">Primary </w:t>
      </w:r>
      <w:r w:rsidR="00637A78">
        <w:t>o</w:t>
      </w:r>
      <w:r w:rsidRPr="00145A33">
        <w:t>bjective</w:t>
      </w:r>
      <w:r w:rsidR="00B75BA0">
        <w:t>s</w:t>
      </w:r>
    </w:p>
    <w:p w14:paraId="4FD2A16E" w14:textId="3055D709" w:rsidR="00B75BA0" w:rsidRPr="00B75BA0" w:rsidRDefault="00B75BA0" w:rsidP="00345763">
      <w:r>
        <w:t>The primary objectives were:</w:t>
      </w:r>
    </w:p>
    <w:p w14:paraId="785B04B2" w14:textId="2B96637C" w:rsidR="001B6472" w:rsidRDefault="00B75BA0" w:rsidP="00345763">
      <w:pPr>
        <w:pStyle w:val="ListBullet"/>
      </w:pPr>
      <w:r>
        <w:t xml:space="preserve">to </w:t>
      </w:r>
      <w:r w:rsidR="001B6472">
        <w:t xml:space="preserve">assess the safety of </w:t>
      </w:r>
      <w:proofErr w:type="spellStart"/>
      <w:r w:rsidR="001B6472">
        <w:t>C</w:t>
      </w:r>
      <w:r w:rsidR="00637A78">
        <w:t>ovovax</w:t>
      </w:r>
      <w:proofErr w:type="spellEnd"/>
      <w:r>
        <w:t>, based on the</w:t>
      </w:r>
      <w:r w:rsidR="00637A78">
        <w:t xml:space="preserve"> o</w:t>
      </w:r>
      <w:r w:rsidR="001B6472">
        <w:t xml:space="preserve">ccurrence of causally related </w:t>
      </w:r>
      <w:r w:rsidR="004157E5">
        <w:t xml:space="preserve">solicited </w:t>
      </w:r>
      <w:r w:rsidR="001B6472">
        <w:t>AEs throughout the study duration following vaccination.</w:t>
      </w:r>
    </w:p>
    <w:p w14:paraId="56D0158D" w14:textId="43734631" w:rsidR="001B6472" w:rsidRDefault="00B75BA0" w:rsidP="00345763">
      <w:pPr>
        <w:pStyle w:val="ListBullet"/>
      </w:pPr>
      <w:r>
        <w:t>to assess i</w:t>
      </w:r>
      <w:r w:rsidR="001B6472">
        <w:t>mmunogenicity as measured by the ratio of anti-spike protein IgG responses at 14</w:t>
      </w:r>
      <w:r w:rsidR="00637A78">
        <w:t> </w:t>
      </w:r>
      <w:r w:rsidR="001B6472">
        <w:t>days post-</w:t>
      </w:r>
      <w:r w:rsidR="00637A78">
        <w:t>second d</w:t>
      </w:r>
      <w:r w:rsidR="001B6472">
        <w:t>ose in the active vaccine compared to control arms.</w:t>
      </w:r>
    </w:p>
    <w:p w14:paraId="07D7B564" w14:textId="38589DD8" w:rsidR="001B6472" w:rsidRPr="00B75BA0" w:rsidRDefault="00B75BA0" w:rsidP="00345763">
      <w:r>
        <w:t>The c</w:t>
      </w:r>
      <w:r w:rsidR="001B6472" w:rsidRPr="00B75BA0">
        <w:t>o-</w:t>
      </w:r>
      <w:r w:rsidR="00637A78" w:rsidRPr="00B75BA0">
        <w:t>p</w:t>
      </w:r>
      <w:r w:rsidR="001B6472" w:rsidRPr="00B75BA0">
        <w:t>rimary</w:t>
      </w:r>
      <w:r w:rsidR="00637A78" w:rsidRPr="00B75BA0">
        <w:t xml:space="preserve"> objective</w:t>
      </w:r>
      <w:r>
        <w:t xml:space="preserve"> was:</w:t>
      </w:r>
    </w:p>
    <w:p w14:paraId="053DB47C" w14:textId="50556EBB" w:rsidR="001B6472" w:rsidRDefault="00B75BA0" w:rsidP="00345763">
      <w:pPr>
        <w:pStyle w:val="ListBullet"/>
      </w:pPr>
      <w:r>
        <w:t>t</w:t>
      </w:r>
      <w:r w:rsidR="001B6472">
        <w:t xml:space="preserve">o assess immunogenicity of </w:t>
      </w:r>
      <w:proofErr w:type="spellStart"/>
      <w:r w:rsidR="001B6472">
        <w:t>C</w:t>
      </w:r>
      <w:r w:rsidR="00637A78">
        <w:t>ovovax</w:t>
      </w:r>
      <w:proofErr w:type="spellEnd"/>
      <w:r w:rsidR="001B6472">
        <w:t xml:space="preserve"> in comparison with the control vaccine (Novavax-SARS-CoV-2 </w:t>
      </w:r>
      <w:proofErr w:type="spellStart"/>
      <w:r w:rsidR="001B6472">
        <w:t>rS</w:t>
      </w:r>
      <w:proofErr w:type="spellEnd"/>
      <w:r w:rsidR="001B6472">
        <w:t xml:space="preserve"> with </w:t>
      </w:r>
      <w:r w:rsidR="006F5F10">
        <w:t>Matrix-M</w:t>
      </w:r>
      <w:r w:rsidR="001B6472">
        <w:t xml:space="preserve"> adjuvant) by ELISA assay</w:t>
      </w:r>
      <w:r>
        <w:t>, based upon the r</w:t>
      </w:r>
      <w:r w:rsidR="001B6472">
        <w:t>atio of GMEUs of anti-spike protein IgG at 14</w:t>
      </w:r>
      <w:r w:rsidR="00637A78">
        <w:t> </w:t>
      </w:r>
      <w:r w:rsidR="001B6472">
        <w:t>days after second vaccination (35 days post first dose vaccination).</w:t>
      </w:r>
    </w:p>
    <w:p w14:paraId="2B41AC86" w14:textId="39E3D0AB" w:rsidR="001B6472" w:rsidRDefault="001B6472" w:rsidP="00345763">
      <w:pPr>
        <w:pStyle w:val="ListBullet"/>
      </w:pPr>
      <w:r>
        <w:t>Clinical efficacy is an exploratory end point.</w:t>
      </w:r>
    </w:p>
    <w:p w14:paraId="1184625B" w14:textId="7885EA13" w:rsidR="001B6472" w:rsidRPr="00637A78" w:rsidRDefault="001B6472" w:rsidP="00282A8B">
      <w:pPr>
        <w:pStyle w:val="Heading6"/>
      </w:pPr>
      <w:r w:rsidRPr="00637A78">
        <w:lastRenderedPageBreak/>
        <w:t xml:space="preserve">Study </w:t>
      </w:r>
      <w:r w:rsidR="00B75BA0">
        <w:t>d</w:t>
      </w:r>
      <w:r w:rsidRPr="00637A78">
        <w:t>esign</w:t>
      </w:r>
    </w:p>
    <w:p w14:paraId="77B04A37" w14:textId="6CF69613" w:rsidR="001B6472" w:rsidRDefault="001B6472" w:rsidP="00345763">
      <w:r>
        <w:t>A total of 1600 eligible participants of ≥</w:t>
      </w:r>
      <w:r w:rsidR="00637A78">
        <w:t> </w:t>
      </w:r>
      <w:r>
        <w:t xml:space="preserve">18 years of age were enrolled in this study. Of these, 460 participants were planned to be enrolled in the </w:t>
      </w:r>
      <w:r w:rsidR="00637A78">
        <w:t>i</w:t>
      </w:r>
      <w:r>
        <w:t xml:space="preserve">mmunogenicity and </w:t>
      </w:r>
      <w:r w:rsidR="00637A78">
        <w:t>r</w:t>
      </w:r>
      <w:r>
        <w:t xml:space="preserve">eactogenicity </w:t>
      </w:r>
      <w:r w:rsidR="00637A78">
        <w:t>c</w:t>
      </w:r>
      <w:r>
        <w:t xml:space="preserve">ohort and the remaining 1140 participants were planned to be enrolled in the </w:t>
      </w:r>
      <w:r w:rsidR="00637A78">
        <w:t>s</w:t>
      </w:r>
      <w:r>
        <w:t xml:space="preserve">afety </w:t>
      </w:r>
      <w:r w:rsidR="00637A78">
        <w:t>c</w:t>
      </w:r>
      <w:r>
        <w:t>ohort.</w:t>
      </w:r>
      <w:r w:rsidR="00637A78">
        <w:t xml:space="preserve"> </w:t>
      </w:r>
      <w:r>
        <w:t>The study included previously unvaccinated healthy Indian adults who may have had stable comorbidities.</w:t>
      </w:r>
    </w:p>
    <w:p w14:paraId="411C1219" w14:textId="36130FFC" w:rsidR="001B6472" w:rsidRDefault="001B6472" w:rsidP="00345763">
      <w:r>
        <w:t xml:space="preserve">The study was conducted in </w:t>
      </w:r>
      <w:r w:rsidR="00637A78">
        <w:t>two</w:t>
      </w:r>
      <w:r>
        <w:t xml:space="preserve"> parts</w:t>
      </w:r>
      <w:r w:rsidR="00637A78">
        <w:t>:</w:t>
      </w:r>
    </w:p>
    <w:p w14:paraId="6CEF1522" w14:textId="4BAFAF50" w:rsidR="001B6472" w:rsidRDefault="001B6472" w:rsidP="00345763">
      <w:pPr>
        <w:pStyle w:val="ListBullet"/>
      </w:pPr>
      <w:r>
        <w:t xml:space="preserve">Phase </w:t>
      </w:r>
      <w:r w:rsidR="00637A78">
        <w:t>II</w:t>
      </w:r>
      <w:r>
        <w:t xml:space="preserve"> </w:t>
      </w:r>
      <w:r w:rsidR="00637A78">
        <w:t>p</w:t>
      </w:r>
      <w:r>
        <w:t xml:space="preserve">art: Initial 200 participants were enrolled in the </w:t>
      </w:r>
      <w:r w:rsidR="00637A78">
        <w:t>s</w:t>
      </w:r>
      <w:r>
        <w:t xml:space="preserve">afety </w:t>
      </w:r>
      <w:r w:rsidR="00637A78">
        <w:t>c</w:t>
      </w:r>
      <w:r>
        <w:t xml:space="preserve">ohort with </w:t>
      </w:r>
      <w:r w:rsidR="00B75BA0">
        <w:t xml:space="preserve">a </w:t>
      </w:r>
      <w:r>
        <w:t>3:1 allocation</w:t>
      </w:r>
      <w:r w:rsidR="00B75BA0">
        <w:t xml:space="preserve"> ratio</w:t>
      </w:r>
      <w:r>
        <w:t xml:space="preserve"> to </w:t>
      </w:r>
      <w:proofErr w:type="spellStart"/>
      <w:r>
        <w:t>C</w:t>
      </w:r>
      <w:r w:rsidR="00637A78">
        <w:t>ovovax</w:t>
      </w:r>
      <w:proofErr w:type="spellEnd"/>
      <w:r w:rsidR="00637A78">
        <w:t xml:space="preserve"> </w:t>
      </w:r>
      <w:r>
        <w:t>(n</w:t>
      </w:r>
      <w:r w:rsidR="00637A78">
        <w:t xml:space="preserve"> </w:t>
      </w:r>
      <w:r>
        <w:t>=</w:t>
      </w:r>
      <w:r w:rsidR="00637A78">
        <w:t xml:space="preserve"> </w:t>
      </w:r>
      <w:r>
        <w:t>150) or placebo (n</w:t>
      </w:r>
      <w:r w:rsidR="00637A78">
        <w:t xml:space="preserve"> </w:t>
      </w:r>
      <w:r>
        <w:t>=</w:t>
      </w:r>
      <w:r w:rsidR="00637A78">
        <w:t xml:space="preserve"> </w:t>
      </w:r>
      <w:r>
        <w:t xml:space="preserve">50). On or after Day 85 visit, unblinding was done for all the participants, and those in the placebo group were offered </w:t>
      </w:r>
      <w:proofErr w:type="spellStart"/>
      <w:r>
        <w:t>C</w:t>
      </w:r>
      <w:r w:rsidR="00637A78">
        <w:t>ovovax</w:t>
      </w:r>
      <w:proofErr w:type="spellEnd"/>
      <w:r>
        <w:t xml:space="preserve"> (test vaccine used in Phase </w:t>
      </w:r>
      <w:r w:rsidR="00637A78">
        <w:t>III</w:t>
      </w:r>
      <w:r>
        <w:t xml:space="preserve"> part). If </w:t>
      </w:r>
      <w:r w:rsidR="00637A78">
        <w:t>participant</w:t>
      </w:r>
      <w:r>
        <w:t xml:space="preserve"> agreed to receive </w:t>
      </w:r>
      <w:proofErr w:type="spellStart"/>
      <w:r>
        <w:t>C</w:t>
      </w:r>
      <w:r w:rsidR="00637A78">
        <w:t>ovovax</w:t>
      </w:r>
      <w:proofErr w:type="spellEnd"/>
      <w:r>
        <w:t xml:space="preserve">, then </w:t>
      </w:r>
      <w:proofErr w:type="spellStart"/>
      <w:r>
        <w:t>C</w:t>
      </w:r>
      <w:r w:rsidR="00637A78">
        <w:t>ovovax</w:t>
      </w:r>
      <w:proofErr w:type="spellEnd"/>
      <w:r>
        <w:t xml:space="preserve"> was administered as </w:t>
      </w:r>
      <w:r w:rsidR="008E6FB4">
        <w:t xml:space="preserve">a </w:t>
      </w:r>
      <w:r>
        <w:t>two</w:t>
      </w:r>
      <w:r w:rsidR="00637A78">
        <w:t xml:space="preserve"> </w:t>
      </w:r>
      <w:r>
        <w:t>dose schedule (each dose of 0.5 mL intramuscularly with minimum interval of 21 days between the doses). Even after unblinding, all the participants will be continued in the study till Day 180 visit.</w:t>
      </w:r>
    </w:p>
    <w:p w14:paraId="2B0AA134" w14:textId="4471DB8E" w:rsidR="001B6472" w:rsidRDefault="001B6472" w:rsidP="00345763">
      <w:pPr>
        <w:pStyle w:val="ListBullet"/>
      </w:pPr>
      <w:r>
        <w:t xml:space="preserve">Phase </w:t>
      </w:r>
      <w:r w:rsidR="00637A78">
        <w:t>III</w:t>
      </w:r>
      <w:r>
        <w:t xml:space="preserve"> </w:t>
      </w:r>
      <w:r w:rsidR="00B75BA0">
        <w:t>p</w:t>
      </w:r>
      <w:r>
        <w:t xml:space="preserve">art: Enrolment of remaining 1400 participants (940 from the </w:t>
      </w:r>
      <w:r w:rsidR="00637A78">
        <w:t>s</w:t>
      </w:r>
      <w:r>
        <w:t xml:space="preserve">afety </w:t>
      </w:r>
      <w:r w:rsidR="00637A78">
        <w:t>c</w:t>
      </w:r>
      <w:r>
        <w:t xml:space="preserve">ohort and 460 from the </w:t>
      </w:r>
      <w:r w:rsidR="00637A78">
        <w:t>i</w:t>
      </w:r>
      <w:r>
        <w:t xml:space="preserve">mmunogenicity and </w:t>
      </w:r>
      <w:r w:rsidR="00637A78">
        <w:t>r</w:t>
      </w:r>
      <w:r>
        <w:t xml:space="preserve">eactogenicity </w:t>
      </w:r>
      <w:r w:rsidR="00637A78">
        <w:t>c</w:t>
      </w:r>
      <w:r>
        <w:t>ohort was to be done.</w:t>
      </w:r>
      <w:r w:rsidR="00637A78">
        <w:t>)</w:t>
      </w:r>
    </w:p>
    <w:p w14:paraId="51D71870" w14:textId="5EAF3104" w:rsidR="001B6472" w:rsidRPr="00637A78" w:rsidRDefault="001B6472" w:rsidP="00345763">
      <w:pPr>
        <w:pStyle w:val="Heading6"/>
        <w:keepNext w:val="0"/>
        <w:rPr>
          <w:sz w:val="24"/>
          <w:szCs w:val="24"/>
        </w:rPr>
      </w:pPr>
      <w:r w:rsidRPr="00637A78">
        <w:rPr>
          <w:rStyle w:val="Heading7Char"/>
          <w:sz w:val="22"/>
          <w:szCs w:val="28"/>
        </w:rPr>
        <w:t xml:space="preserve">Statistical </w:t>
      </w:r>
      <w:r w:rsidR="00637A78">
        <w:rPr>
          <w:rStyle w:val="Heading7Char"/>
          <w:sz w:val="22"/>
          <w:szCs w:val="28"/>
        </w:rPr>
        <w:t>m</w:t>
      </w:r>
      <w:r w:rsidRPr="00637A78">
        <w:rPr>
          <w:rStyle w:val="Heading7Char"/>
          <w:sz w:val="22"/>
          <w:szCs w:val="28"/>
        </w:rPr>
        <w:t>ethods</w:t>
      </w:r>
    </w:p>
    <w:p w14:paraId="43D164A4" w14:textId="64894425" w:rsidR="001B6472" w:rsidRDefault="001B6472" w:rsidP="00345763">
      <w:r>
        <w:t xml:space="preserve">The study was designed to have a 95% probability to detect at least one causally related SAE among 1200 participants administered </w:t>
      </w:r>
      <w:proofErr w:type="spellStart"/>
      <w:r>
        <w:t>C</w:t>
      </w:r>
      <w:r w:rsidR="00637A78">
        <w:t>ovovax</w:t>
      </w:r>
      <w:proofErr w:type="spellEnd"/>
      <w:r>
        <w:t>, if the frequency of causally related SAE is 1/400.</w:t>
      </w:r>
    </w:p>
    <w:p w14:paraId="530ECD41" w14:textId="1E442A56" w:rsidR="001B6472" w:rsidRDefault="001B6472" w:rsidP="00345763">
      <w:r>
        <w:t>Noninferiority was to be concluded if the lower limit of the two</w:t>
      </w:r>
      <w:r w:rsidR="00BA678B">
        <w:t xml:space="preserve"> </w:t>
      </w:r>
      <w:r>
        <w:t>sided 95% CI for the GMEU ratio for anti-</w:t>
      </w:r>
      <w:r w:rsidR="00BA678B">
        <w:t>spike</w:t>
      </w:r>
      <w:r>
        <w:t xml:space="preserve"> protein IgG antibodies against SARS-CoV-2 spike protein between </w:t>
      </w:r>
      <w:proofErr w:type="spellStart"/>
      <w:r>
        <w:t>C</w:t>
      </w:r>
      <w:r w:rsidR="00BA678B">
        <w:t>ovovax</w:t>
      </w:r>
      <w:proofErr w:type="spellEnd"/>
      <w:r>
        <w:t xml:space="preserve"> and the </w:t>
      </w:r>
      <w:proofErr w:type="spellStart"/>
      <w:r>
        <w:t>Novavax</w:t>
      </w:r>
      <w:proofErr w:type="spellEnd"/>
      <w:r>
        <w:t xml:space="preserve"> vaccine is &gt; 0.67.</w:t>
      </w:r>
    </w:p>
    <w:p w14:paraId="79E5231B" w14:textId="5F00ABC7" w:rsidR="001B6472" w:rsidRPr="00BA678B" w:rsidRDefault="00B75BA0" w:rsidP="00345763">
      <w:pPr>
        <w:pStyle w:val="Heading6"/>
        <w:keepNext w:val="0"/>
      </w:pPr>
      <w:r>
        <w:t>Baseline characteristics</w:t>
      </w:r>
    </w:p>
    <w:p w14:paraId="74DD1ACD" w14:textId="2E28FB94" w:rsidR="001B6472" w:rsidRPr="00D3404B" w:rsidRDefault="001B6472" w:rsidP="00345763">
      <w:pPr>
        <w:pStyle w:val="Heading7"/>
        <w:keepNext w:val="0"/>
      </w:pPr>
      <w:r w:rsidRPr="009B4460">
        <w:rPr>
          <w:sz w:val="22"/>
        </w:rPr>
        <w:t>Baseline data</w:t>
      </w:r>
      <w:r w:rsidR="00BA678B" w:rsidRPr="009B4460">
        <w:rPr>
          <w:sz w:val="22"/>
        </w:rPr>
        <w:t xml:space="preserve"> </w:t>
      </w:r>
      <w:r w:rsidR="00B75BA0" w:rsidRPr="009B4460">
        <w:rPr>
          <w:sz w:val="22"/>
        </w:rPr>
        <w:t>(</w:t>
      </w:r>
      <w:r w:rsidR="00BA678B" w:rsidRPr="009B4460">
        <w:rPr>
          <w:sz w:val="22"/>
        </w:rPr>
        <w:t>Phase II</w:t>
      </w:r>
      <w:r w:rsidR="00B75BA0" w:rsidRPr="009B4460">
        <w:rPr>
          <w:sz w:val="22"/>
        </w:rPr>
        <w:t>)</w:t>
      </w:r>
    </w:p>
    <w:p w14:paraId="615A1039" w14:textId="5EB9B5C2" w:rsidR="001B6472" w:rsidRDefault="001B6472" w:rsidP="00345763">
      <w:r>
        <w:t xml:space="preserve">Baseline characteristics for the Phase </w:t>
      </w:r>
      <w:r w:rsidR="00BA678B">
        <w:t>II</w:t>
      </w:r>
      <w:r>
        <w:t xml:space="preserve"> study are shown in </w:t>
      </w:r>
      <w:r w:rsidR="00BA678B">
        <w:fldChar w:fldCharType="begin" w:fldLock="1"/>
      </w:r>
      <w:r w:rsidR="00BA678B">
        <w:instrText xml:space="preserve"> REF _Ref92796866 \h </w:instrText>
      </w:r>
      <w:r w:rsidR="00BA678B">
        <w:fldChar w:fldCharType="separate"/>
      </w:r>
      <w:r w:rsidR="00AA298B" w:rsidRPr="00BA678B">
        <w:t xml:space="preserve">Table </w:t>
      </w:r>
      <w:r w:rsidR="00AA298B">
        <w:rPr>
          <w:noProof/>
        </w:rPr>
        <w:t>36</w:t>
      </w:r>
      <w:r w:rsidR="00BA678B">
        <w:fldChar w:fldCharType="end"/>
      </w:r>
      <w:r>
        <w:t xml:space="preserve">. The median age was 34 years. The </w:t>
      </w:r>
      <w:proofErr w:type="spellStart"/>
      <w:r>
        <w:t>C</w:t>
      </w:r>
      <w:r w:rsidR="00BA678B">
        <w:t>ovovax</w:t>
      </w:r>
      <w:proofErr w:type="spellEnd"/>
      <w:r>
        <w:t xml:space="preserve"> and placebo groups are generally well balanced; however, the proportion of males was 74.0% and 64.0% respectively.</w:t>
      </w:r>
    </w:p>
    <w:p w14:paraId="15C9916A" w14:textId="2080A3C4" w:rsidR="001B6472" w:rsidRDefault="001B6472" w:rsidP="00345763">
      <w:r>
        <w:t>A relatively high proportion (6.5%) of included participants were PCR</w:t>
      </w:r>
      <w:r w:rsidR="00BA678B">
        <w:t xml:space="preserve"> </w:t>
      </w:r>
      <w:r>
        <w:t>positive for SARS</w:t>
      </w:r>
      <w:r w:rsidR="00BA678B">
        <w:noBreakHyphen/>
      </w:r>
      <w:r>
        <w:t xml:space="preserve">CoV-2 at </w:t>
      </w:r>
      <w:r w:rsidR="00BA678B">
        <w:t>B</w:t>
      </w:r>
      <w:r>
        <w:t xml:space="preserve">aseline (presumably all asymptomatic given the exclusion criteria) and the proportion with prior or current evidence of infection was 14%. Only </w:t>
      </w:r>
      <w:r w:rsidR="00BA678B">
        <w:t>one</w:t>
      </w:r>
      <w:r>
        <w:t xml:space="preserve"> participant was ≥ 60</w:t>
      </w:r>
      <w:r w:rsidR="00BA678B">
        <w:t xml:space="preserve"> years of age</w:t>
      </w:r>
      <w:r>
        <w:t>. Comorbidities were present in 12.5% of participants.</w:t>
      </w:r>
    </w:p>
    <w:p w14:paraId="02176CC0" w14:textId="495E3DD2" w:rsidR="00BA678B" w:rsidRDefault="00BA678B" w:rsidP="00CB0654">
      <w:pPr>
        <w:pStyle w:val="TableTitle"/>
      </w:pPr>
      <w:bookmarkStart w:id="98" w:name="_Ref92796866"/>
      <w:r w:rsidRPr="00BA678B">
        <w:lastRenderedPageBreak/>
        <w:t xml:space="preserve">Table </w:t>
      </w:r>
      <w:r w:rsidR="00344FF4">
        <w:fldChar w:fldCharType="begin"/>
      </w:r>
      <w:r w:rsidR="00344FF4">
        <w:instrText xml:space="preserve"> SEQ Table \* ARABIC </w:instrText>
      </w:r>
      <w:r w:rsidR="00344FF4">
        <w:fldChar w:fldCharType="separate"/>
      </w:r>
      <w:r w:rsidR="00C41FF6">
        <w:rPr>
          <w:noProof/>
        </w:rPr>
        <w:t>36</w:t>
      </w:r>
      <w:r w:rsidR="00344FF4">
        <w:rPr>
          <w:noProof/>
        </w:rPr>
        <w:fldChar w:fldCharType="end"/>
      </w:r>
      <w:bookmarkEnd w:id="98"/>
      <w:r>
        <w:t xml:space="preserve">: </w:t>
      </w:r>
      <w:proofErr w:type="spellStart"/>
      <w:r w:rsidR="00B75BA0" w:rsidRPr="00BA678B">
        <w:t>C</w:t>
      </w:r>
      <w:r w:rsidR="00B75BA0">
        <w:t>ovovax</w:t>
      </w:r>
      <w:proofErr w:type="spellEnd"/>
      <w:r w:rsidR="00B75BA0" w:rsidRPr="00BA678B">
        <w:t xml:space="preserve"> </w:t>
      </w:r>
      <w:r w:rsidRPr="00BA678B">
        <w:t>trial</w:t>
      </w:r>
      <w:r>
        <w:t xml:space="preserve"> </w:t>
      </w:r>
      <w:r w:rsidR="00B75BA0">
        <w:t>(</w:t>
      </w:r>
      <w:r w:rsidRPr="00BA678B">
        <w:t xml:space="preserve">Phase </w:t>
      </w:r>
      <w:r>
        <w:t>II</w:t>
      </w:r>
      <w:r w:rsidR="00B75BA0">
        <w:t xml:space="preserve"> part)</w:t>
      </w:r>
      <w:r w:rsidRPr="00BA678B">
        <w:t xml:space="preserve"> </w:t>
      </w:r>
      <w:r>
        <w:t>D</w:t>
      </w:r>
      <w:r w:rsidRPr="00BA678B">
        <w:t xml:space="preserve">emographics and </w:t>
      </w:r>
      <w:r>
        <w:t>b</w:t>
      </w:r>
      <w:r w:rsidRPr="00BA678B">
        <w:t xml:space="preserve">aseline </w:t>
      </w:r>
      <w:r>
        <w:t>c</w:t>
      </w:r>
      <w:r w:rsidRPr="00BA678B">
        <w:t>haracteristics (</w:t>
      </w:r>
      <w:r>
        <w:t>s</w:t>
      </w:r>
      <w:r w:rsidRPr="00BA678B">
        <w:t xml:space="preserve">afety </w:t>
      </w:r>
      <w:r>
        <w:t>p</w:t>
      </w:r>
      <w:r w:rsidRPr="00BA678B">
        <w:t>opulation)</w:t>
      </w:r>
    </w:p>
    <w:p w14:paraId="2D020ABE" w14:textId="42969EEF" w:rsidR="00BA678B" w:rsidRPr="009B4460" w:rsidRDefault="002533F3" w:rsidP="00345763">
      <w:pPr>
        <w:rPr>
          <w:sz w:val="24"/>
        </w:rPr>
      </w:pPr>
      <w:r w:rsidRPr="002533F3">
        <w:rPr>
          <w:noProof/>
          <w:lang w:val="en-GB" w:eastAsia="en-GB"/>
        </w:rPr>
        <w:drawing>
          <wp:inline distT="0" distB="0" distL="0" distR="0" wp14:anchorId="275BFCBC" wp14:editId="1BD80210">
            <wp:extent cx="5263764" cy="5497386"/>
            <wp:effectExtent l="0" t="0" r="0" b="8255"/>
            <wp:docPr id="23" name="Picture 23" descr="P10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042#yIS1"/>
                    <pic:cNvPicPr/>
                  </pic:nvPicPr>
                  <pic:blipFill>
                    <a:blip r:embed="rId62"/>
                    <a:stretch>
                      <a:fillRect/>
                    </a:stretch>
                  </pic:blipFill>
                  <pic:spPr>
                    <a:xfrm>
                      <a:off x="0" y="0"/>
                      <a:ext cx="5271192" cy="5505144"/>
                    </a:xfrm>
                    <a:prstGeom prst="rect">
                      <a:avLst/>
                    </a:prstGeom>
                  </pic:spPr>
                </pic:pic>
              </a:graphicData>
            </a:graphic>
          </wp:inline>
        </w:drawing>
      </w:r>
    </w:p>
    <w:p w14:paraId="635D7255" w14:textId="25E90945" w:rsidR="00BA678B" w:rsidRDefault="00BA678B" w:rsidP="00CB0654">
      <w:pPr>
        <w:pStyle w:val="TableDescription"/>
      </w:pPr>
      <w:r>
        <w:t>BMI = body mass index, body weight in kilogram/height in meter</w:t>
      </w:r>
      <w:r w:rsidRPr="00BA678B">
        <w:rPr>
          <w:vertAlign w:val="superscript"/>
        </w:rPr>
        <w:t>2</w:t>
      </w:r>
      <w:r>
        <w:t>; percentages are based on the number of participants in the safety population.</w:t>
      </w:r>
    </w:p>
    <w:p w14:paraId="4A78197D" w14:textId="06CA25F2" w:rsidR="00BA678B" w:rsidRDefault="00BA678B" w:rsidP="00CB0654">
      <w:pPr>
        <w:pStyle w:val="TableDescription"/>
      </w:pPr>
      <w:r>
        <w:t>1 Percentages are based on number of female participants in safety population</w:t>
      </w:r>
    </w:p>
    <w:p w14:paraId="1FE66F68" w14:textId="740152DF" w:rsidR="00BA678B" w:rsidRPr="00D3404B" w:rsidRDefault="00BA678B" w:rsidP="00345763">
      <w:pPr>
        <w:pStyle w:val="Heading7"/>
        <w:keepNext w:val="0"/>
      </w:pPr>
      <w:r w:rsidRPr="009B4460">
        <w:rPr>
          <w:sz w:val="22"/>
        </w:rPr>
        <w:t xml:space="preserve">Baseline data </w:t>
      </w:r>
      <w:r w:rsidR="00B75BA0">
        <w:rPr>
          <w:sz w:val="22"/>
        </w:rPr>
        <w:t>(</w:t>
      </w:r>
      <w:r w:rsidRPr="009B4460">
        <w:rPr>
          <w:sz w:val="22"/>
        </w:rPr>
        <w:t>Phase III</w:t>
      </w:r>
      <w:r w:rsidR="00B75BA0">
        <w:rPr>
          <w:sz w:val="22"/>
        </w:rPr>
        <w:t>)</w:t>
      </w:r>
    </w:p>
    <w:p w14:paraId="664CB8BA" w14:textId="7CE4E63B" w:rsidR="00BA678B" w:rsidRDefault="00BA678B" w:rsidP="00345763">
      <w:r>
        <w:t xml:space="preserve">Baseline characteristics for the Phase III study safety population (inclusive of the safety cohort and immunogenicity and reactivity cohort) are shown in Table 36. The median age was 33 years. The </w:t>
      </w:r>
      <w:proofErr w:type="spellStart"/>
      <w:r w:rsidR="00417929">
        <w:t>Covovax</w:t>
      </w:r>
      <w:proofErr w:type="spellEnd"/>
      <w:r>
        <w:t xml:space="preserve"> and </w:t>
      </w:r>
      <w:proofErr w:type="spellStart"/>
      <w:r>
        <w:t>Novavax</w:t>
      </w:r>
      <w:proofErr w:type="spellEnd"/>
      <w:r>
        <w:t xml:space="preserve"> vaccine groups were generally well balanced; however, the proportion of males was higher than females within both groups (58.1% overall).</w:t>
      </w:r>
    </w:p>
    <w:p w14:paraId="2857B082" w14:textId="580C09F5" w:rsidR="00BA678B" w:rsidRDefault="00BA678B" w:rsidP="00345763">
      <w:r>
        <w:t xml:space="preserve">A much lower proportion (0.5%) of included participants were </w:t>
      </w:r>
      <w:r w:rsidR="00BC27A6">
        <w:t xml:space="preserve">PCR </w:t>
      </w:r>
      <w:r>
        <w:t>positive for SARS</w:t>
      </w:r>
      <w:r w:rsidR="00B75BA0">
        <w:noBreakHyphen/>
      </w:r>
      <w:r>
        <w:t>CoV</w:t>
      </w:r>
      <w:r w:rsidR="00B75BA0">
        <w:noBreakHyphen/>
      </w:r>
      <w:r>
        <w:t xml:space="preserve">2 at </w:t>
      </w:r>
      <w:r w:rsidR="00183DE7">
        <w:t>B</w:t>
      </w:r>
      <w:r>
        <w:t xml:space="preserve">aseline than in the Phase </w:t>
      </w:r>
      <w:r w:rsidR="00183DE7">
        <w:t>II</w:t>
      </w:r>
      <w:r>
        <w:t xml:space="preserve"> study (6.5%) but the proportion with prior or current evidence of infection was more than double at 32.4% (compared to 14%); the baseline seropositivity rate was 32.2%. Like in the </w:t>
      </w:r>
      <w:r w:rsidR="00183DE7">
        <w:t>Phase II</w:t>
      </w:r>
      <w:r>
        <w:t xml:space="preserve"> study, very few participants (32 </w:t>
      </w:r>
      <w:r w:rsidR="00417929">
        <w:t>(</w:t>
      </w:r>
      <w:r>
        <w:t>2.3%</w:t>
      </w:r>
      <w:r w:rsidR="00417929">
        <w:t>)</w:t>
      </w:r>
      <w:r>
        <w:t xml:space="preserve">) were ≥ 60 </w:t>
      </w:r>
      <w:r w:rsidR="00417929">
        <w:t>years of age</w:t>
      </w:r>
      <w:r>
        <w:t>. Comorbidities were present in 12.4% of participants.</w:t>
      </w:r>
    </w:p>
    <w:p w14:paraId="141E72E2" w14:textId="0A471150" w:rsidR="00BA678B" w:rsidRDefault="00BA678B" w:rsidP="00CB0654">
      <w:pPr>
        <w:pStyle w:val="TableTitle"/>
      </w:pPr>
      <w:r w:rsidRPr="00BA678B">
        <w:lastRenderedPageBreak/>
        <w:t xml:space="preserve">Table </w:t>
      </w:r>
      <w:r w:rsidR="00344FF4">
        <w:fldChar w:fldCharType="begin"/>
      </w:r>
      <w:r w:rsidR="00344FF4">
        <w:instrText xml:space="preserve"> SEQ Table \* ARABIC </w:instrText>
      </w:r>
      <w:r w:rsidR="00344FF4">
        <w:fldChar w:fldCharType="separate"/>
      </w:r>
      <w:r w:rsidR="00C41FF6">
        <w:rPr>
          <w:noProof/>
        </w:rPr>
        <w:t>37</w:t>
      </w:r>
      <w:r w:rsidR="00344FF4">
        <w:rPr>
          <w:noProof/>
        </w:rPr>
        <w:fldChar w:fldCharType="end"/>
      </w:r>
      <w:r>
        <w:t xml:space="preserve">: </w:t>
      </w:r>
      <w:proofErr w:type="spellStart"/>
      <w:r w:rsidRPr="00BA678B">
        <w:t>C</w:t>
      </w:r>
      <w:r w:rsidR="00B75BA0">
        <w:t>ovovax</w:t>
      </w:r>
      <w:proofErr w:type="spellEnd"/>
      <w:r w:rsidRPr="00BA678B">
        <w:t xml:space="preserve"> trial </w:t>
      </w:r>
      <w:r w:rsidR="00B75BA0">
        <w:t>(</w:t>
      </w:r>
      <w:r w:rsidRPr="00BA678B">
        <w:t>Phase II</w:t>
      </w:r>
      <w:r>
        <w:t>I</w:t>
      </w:r>
      <w:r w:rsidR="00B75BA0">
        <w:t xml:space="preserve"> part)</w:t>
      </w:r>
      <w:r w:rsidRPr="00BA678B">
        <w:t xml:space="preserve"> Demographics and baseline characteristics (safety population)</w:t>
      </w:r>
    </w:p>
    <w:p w14:paraId="7732D1D1" w14:textId="3473601E" w:rsidR="00BA678B" w:rsidRDefault="002533F3" w:rsidP="00345763">
      <w:r w:rsidRPr="002533F3">
        <w:rPr>
          <w:noProof/>
          <w:lang w:val="en-GB" w:eastAsia="en-GB"/>
        </w:rPr>
        <w:drawing>
          <wp:inline distT="0" distB="0" distL="0" distR="0" wp14:anchorId="493B28DA" wp14:editId="2DE749B4">
            <wp:extent cx="4940554" cy="5010407"/>
            <wp:effectExtent l="0" t="0" r="0" b="0"/>
            <wp:docPr id="22" name="Picture 22" descr="P10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049#yIS1"/>
                    <pic:cNvPicPr/>
                  </pic:nvPicPr>
                  <pic:blipFill>
                    <a:blip r:embed="rId63"/>
                    <a:stretch>
                      <a:fillRect/>
                    </a:stretch>
                  </pic:blipFill>
                  <pic:spPr>
                    <a:xfrm>
                      <a:off x="0" y="0"/>
                      <a:ext cx="4940554" cy="5010407"/>
                    </a:xfrm>
                    <a:prstGeom prst="rect">
                      <a:avLst/>
                    </a:prstGeom>
                  </pic:spPr>
                </pic:pic>
              </a:graphicData>
            </a:graphic>
          </wp:inline>
        </w:drawing>
      </w:r>
    </w:p>
    <w:p w14:paraId="364B4577" w14:textId="77777777" w:rsidR="00BA678B" w:rsidRDefault="00BA678B" w:rsidP="00CB0654">
      <w:pPr>
        <w:pStyle w:val="TableDescription"/>
      </w:pPr>
      <w:r>
        <w:t>BMI = body mass index, body weight in kilogram/height in meter</w:t>
      </w:r>
      <w:r w:rsidRPr="00BA678B">
        <w:rPr>
          <w:vertAlign w:val="superscript"/>
        </w:rPr>
        <w:t>2</w:t>
      </w:r>
      <w:r>
        <w:t>; percentages are based on the number of participants in the safety population.</w:t>
      </w:r>
    </w:p>
    <w:p w14:paraId="00B4C70B" w14:textId="0148BCAA" w:rsidR="00BA678B" w:rsidRDefault="00BA678B" w:rsidP="00CB0654">
      <w:pPr>
        <w:pStyle w:val="TableDescription"/>
      </w:pPr>
      <w:r>
        <w:t>1 Percentages are based on number of female participants in safety population</w:t>
      </w:r>
    </w:p>
    <w:p w14:paraId="5E7A6AD9" w14:textId="64C64C4F" w:rsidR="00FD1418" w:rsidRPr="00FD1418" w:rsidRDefault="00FD1418" w:rsidP="00345763">
      <w:pPr>
        <w:pStyle w:val="Heading6"/>
        <w:keepNext w:val="0"/>
      </w:pPr>
      <w:r>
        <w:t>Results</w:t>
      </w:r>
    </w:p>
    <w:p w14:paraId="37DA96BD" w14:textId="4E037269" w:rsidR="009415FB" w:rsidRPr="00ED6F9D" w:rsidRDefault="00FD1418" w:rsidP="00345763">
      <w:pPr>
        <w:pStyle w:val="Heading7"/>
        <w:keepNext w:val="0"/>
        <w:rPr>
          <w:rFonts w:eastAsia="MS Mincho"/>
          <w:lang w:eastAsia="ja-JP"/>
        </w:rPr>
      </w:pPr>
      <w:r>
        <w:rPr>
          <w:rFonts w:eastAsia="MS Mincho"/>
          <w:sz w:val="22"/>
          <w:szCs w:val="28"/>
          <w:lang w:eastAsia="ja-JP"/>
        </w:rPr>
        <w:t>P</w:t>
      </w:r>
      <w:r w:rsidR="009415FB" w:rsidRPr="009415FB">
        <w:rPr>
          <w:rFonts w:eastAsia="MS Mincho"/>
          <w:sz w:val="22"/>
          <w:szCs w:val="28"/>
          <w:lang w:eastAsia="ja-JP"/>
        </w:rPr>
        <w:t>rimary immunogenicity outcome</w:t>
      </w:r>
      <w:r>
        <w:rPr>
          <w:rFonts w:eastAsia="MS Mincho"/>
          <w:sz w:val="22"/>
          <w:szCs w:val="28"/>
          <w:lang w:eastAsia="ja-JP"/>
        </w:rPr>
        <w:t xml:space="preserve"> results</w:t>
      </w:r>
    </w:p>
    <w:p w14:paraId="564DAB10" w14:textId="69FD624E" w:rsidR="00FD1418" w:rsidRPr="009B4460" w:rsidRDefault="00FD1418" w:rsidP="00345763">
      <w:r>
        <w:t>The primary immunogenicity endpoint was to assess immunogenicity as measured by the ratio of anti-spike protein IgG responses (ELISA measured) at 14 days post-second dose in the active vaccine compared to control arms.</w:t>
      </w:r>
    </w:p>
    <w:p w14:paraId="3B7EFC39" w14:textId="40CFA034" w:rsidR="009415FB" w:rsidRPr="00ED6F9D" w:rsidRDefault="009415FB" w:rsidP="00345763">
      <w:pPr>
        <w:rPr>
          <w:lang w:eastAsia="ja-JP"/>
        </w:rPr>
      </w:pPr>
      <w:r w:rsidRPr="00ED6F9D">
        <w:rPr>
          <w:lang w:eastAsia="ja-JP"/>
        </w:rPr>
        <w:t xml:space="preserve">The primary endpoint was met for non-inferiority between the </w:t>
      </w:r>
      <w:proofErr w:type="spellStart"/>
      <w:r w:rsidRPr="00ED6F9D">
        <w:rPr>
          <w:lang w:eastAsia="ja-JP"/>
        </w:rPr>
        <w:t>C</w:t>
      </w:r>
      <w:r>
        <w:rPr>
          <w:lang w:eastAsia="ja-JP"/>
        </w:rPr>
        <w:t>ovovax</w:t>
      </w:r>
      <w:proofErr w:type="spellEnd"/>
      <w:r w:rsidRPr="00ED6F9D">
        <w:rPr>
          <w:lang w:eastAsia="ja-JP"/>
        </w:rPr>
        <w:t xml:space="preserve"> and </w:t>
      </w:r>
      <w:proofErr w:type="spellStart"/>
      <w:r w:rsidRPr="00ED6F9D">
        <w:rPr>
          <w:lang w:eastAsia="ja-JP"/>
        </w:rPr>
        <w:t>Novavax</w:t>
      </w:r>
      <w:proofErr w:type="spellEnd"/>
      <w:r w:rsidRPr="00ED6F9D">
        <w:rPr>
          <w:lang w:eastAsia="ja-JP"/>
        </w:rPr>
        <w:t xml:space="preserve"> vaccines in the immunogenicity population with a lower bound of the 95% CI of &gt;</w:t>
      </w:r>
      <w:r>
        <w:rPr>
          <w:lang w:eastAsia="ja-JP"/>
        </w:rPr>
        <w:t> </w:t>
      </w:r>
      <w:r w:rsidRPr="00ED6F9D">
        <w:rPr>
          <w:lang w:eastAsia="ja-JP"/>
        </w:rPr>
        <w:t>0.67</w:t>
      </w:r>
      <w:r>
        <w:rPr>
          <w:lang w:eastAsia="ja-JP"/>
        </w:rPr>
        <w:t xml:space="preserve"> (see </w:t>
      </w:r>
      <w:r>
        <w:rPr>
          <w:lang w:eastAsia="ja-JP"/>
        </w:rPr>
        <w:fldChar w:fldCharType="begin" w:fldLock="1"/>
      </w:r>
      <w:r>
        <w:rPr>
          <w:lang w:eastAsia="ja-JP"/>
        </w:rPr>
        <w:instrText xml:space="preserve"> REF _Ref92797368 \h </w:instrText>
      </w:r>
      <w:r>
        <w:rPr>
          <w:lang w:eastAsia="ja-JP"/>
        </w:rPr>
      </w:r>
      <w:r>
        <w:rPr>
          <w:lang w:eastAsia="ja-JP"/>
        </w:rPr>
        <w:fldChar w:fldCharType="separate"/>
      </w:r>
      <w:r w:rsidR="00AA298B" w:rsidRPr="009415FB">
        <w:t xml:space="preserve">Table </w:t>
      </w:r>
      <w:r w:rsidR="00AA298B">
        <w:rPr>
          <w:noProof/>
        </w:rPr>
        <w:t>38</w:t>
      </w:r>
      <w:r>
        <w:rPr>
          <w:lang w:eastAsia="ja-JP"/>
        </w:rPr>
        <w:fldChar w:fldCharType="end"/>
      </w:r>
      <w:r>
        <w:rPr>
          <w:lang w:eastAsia="ja-JP"/>
        </w:rPr>
        <w:t>)</w:t>
      </w:r>
      <w:r w:rsidRPr="00ED6F9D">
        <w:rPr>
          <w:lang w:eastAsia="ja-JP"/>
        </w:rPr>
        <w:t>.</w:t>
      </w:r>
    </w:p>
    <w:p w14:paraId="119EF259" w14:textId="5CE3EF96" w:rsidR="009415FB" w:rsidRPr="009415FB" w:rsidRDefault="009415FB" w:rsidP="00345763">
      <w:r w:rsidRPr="00ED6F9D">
        <w:rPr>
          <w:lang w:eastAsia="ja-JP"/>
        </w:rPr>
        <w:t>A</w:t>
      </w:r>
      <w:r w:rsidR="008E6FB4">
        <w:rPr>
          <w:lang w:eastAsia="ja-JP"/>
        </w:rPr>
        <w:t>n</w:t>
      </w:r>
      <w:r w:rsidRPr="00ED6F9D">
        <w:rPr>
          <w:lang w:eastAsia="ja-JP"/>
        </w:rPr>
        <w:t xml:space="preserve"> expected unadjusted GMEUs at </w:t>
      </w:r>
      <w:r>
        <w:rPr>
          <w:lang w:eastAsia="ja-JP"/>
        </w:rPr>
        <w:t>D</w:t>
      </w:r>
      <w:r w:rsidRPr="00ED6F9D">
        <w:rPr>
          <w:lang w:eastAsia="ja-JP"/>
        </w:rPr>
        <w:t xml:space="preserve">ay 36 in subjects </w:t>
      </w:r>
      <w:r w:rsidRPr="009415FB">
        <w:t xml:space="preserve">without prior infection were lower in comparison to those with prior infection (in both </w:t>
      </w:r>
      <w:proofErr w:type="spellStart"/>
      <w:r w:rsidRPr="009415FB">
        <w:t>C</w:t>
      </w:r>
      <w:r>
        <w:t>ovovax</w:t>
      </w:r>
      <w:proofErr w:type="spellEnd"/>
      <w:r w:rsidRPr="009415FB">
        <w:t xml:space="preserve"> and </w:t>
      </w:r>
      <w:proofErr w:type="spellStart"/>
      <w:r w:rsidRPr="009415FB">
        <w:t>N</w:t>
      </w:r>
      <w:r>
        <w:t>ovavax</w:t>
      </w:r>
      <w:proofErr w:type="spellEnd"/>
      <w:r w:rsidRPr="009415FB">
        <w:t xml:space="preserve"> groups).</w:t>
      </w:r>
    </w:p>
    <w:p w14:paraId="19C3F96E" w14:textId="1F845814" w:rsidR="009415FB" w:rsidRPr="00ED6F9D" w:rsidRDefault="009415FB" w:rsidP="00345763">
      <w:pPr>
        <w:rPr>
          <w:lang w:eastAsia="ja-JP"/>
        </w:rPr>
      </w:pPr>
      <w:r w:rsidRPr="00ED6F9D">
        <w:rPr>
          <w:lang w:eastAsia="ja-JP"/>
        </w:rPr>
        <w:t>In those who were seronegative for prior SARS-CoV-2 infection and PCR</w:t>
      </w:r>
      <w:r>
        <w:rPr>
          <w:lang w:eastAsia="ja-JP"/>
        </w:rPr>
        <w:t xml:space="preserve"> </w:t>
      </w:r>
      <w:r w:rsidRPr="00ED6F9D">
        <w:rPr>
          <w:lang w:eastAsia="ja-JP"/>
        </w:rPr>
        <w:t xml:space="preserve">negative at </w:t>
      </w:r>
      <w:r>
        <w:rPr>
          <w:lang w:eastAsia="ja-JP"/>
        </w:rPr>
        <w:t>B</w:t>
      </w:r>
      <w:r w:rsidRPr="00ED6F9D">
        <w:rPr>
          <w:lang w:eastAsia="ja-JP"/>
        </w:rPr>
        <w:t xml:space="preserve">aseline (n = 297), GMFRs from </w:t>
      </w:r>
      <w:r>
        <w:rPr>
          <w:lang w:eastAsia="ja-JP"/>
        </w:rPr>
        <w:t>B</w:t>
      </w:r>
      <w:r w:rsidRPr="00ED6F9D">
        <w:rPr>
          <w:lang w:eastAsia="ja-JP"/>
        </w:rPr>
        <w:t xml:space="preserve">aseline to </w:t>
      </w:r>
      <w:r>
        <w:rPr>
          <w:lang w:eastAsia="ja-JP"/>
        </w:rPr>
        <w:t>D</w:t>
      </w:r>
      <w:r w:rsidRPr="00ED6F9D">
        <w:rPr>
          <w:lang w:eastAsia="ja-JP"/>
        </w:rPr>
        <w:t xml:space="preserve">ay 36 were 128.7 (95% CI 105.2, 157.4) for </w:t>
      </w:r>
      <w:proofErr w:type="spellStart"/>
      <w:r w:rsidRPr="00ED6F9D">
        <w:rPr>
          <w:lang w:eastAsia="ja-JP"/>
        </w:rPr>
        <w:t>C</w:t>
      </w:r>
      <w:r>
        <w:rPr>
          <w:lang w:eastAsia="ja-JP"/>
        </w:rPr>
        <w:t>ovovax</w:t>
      </w:r>
      <w:proofErr w:type="spellEnd"/>
      <w:r w:rsidRPr="00ED6F9D">
        <w:rPr>
          <w:lang w:eastAsia="ja-JP"/>
        </w:rPr>
        <w:t xml:space="preserve"> and 148.9 (95% CI 100.8, 220) for </w:t>
      </w:r>
      <w:proofErr w:type="spellStart"/>
      <w:r w:rsidRPr="00ED6F9D">
        <w:rPr>
          <w:lang w:eastAsia="ja-JP"/>
        </w:rPr>
        <w:t>Novavax</w:t>
      </w:r>
      <w:proofErr w:type="spellEnd"/>
      <w:r w:rsidRPr="00ED6F9D">
        <w:rPr>
          <w:lang w:eastAsia="ja-JP"/>
        </w:rPr>
        <w:t xml:space="preserve"> vaccine.</w:t>
      </w:r>
    </w:p>
    <w:p w14:paraId="0E44B42D" w14:textId="2FE78F96" w:rsidR="009415FB" w:rsidRPr="00ED6F9D" w:rsidRDefault="009415FB" w:rsidP="00345763">
      <w:pPr>
        <w:rPr>
          <w:lang w:eastAsia="ja-JP"/>
        </w:rPr>
      </w:pPr>
      <w:r w:rsidRPr="00ED6F9D">
        <w:rPr>
          <w:lang w:eastAsia="ja-JP"/>
        </w:rPr>
        <w:lastRenderedPageBreak/>
        <w:t>In those who were seropositive for prior SARS-CoV-2 infection and PCR</w:t>
      </w:r>
      <w:r>
        <w:rPr>
          <w:lang w:eastAsia="ja-JP"/>
        </w:rPr>
        <w:t xml:space="preserve"> </w:t>
      </w:r>
      <w:r w:rsidRPr="00ED6F9D">
        <w:rPr>
          <w:lang w:eastAsia="ja-JP"/>
        </w:rPr>
        <w:t xml:space="preserve">negative at </w:t>
      </w:r>
      <w:r>
        <w:rPr>
          <w:lang w:eastAsia="ja-JP"/>
        </w:rPr>
        <w:t>B</w:t>
      </w:r>
      <w:r w:rsidRPr="00ED6F9D">
        <w:rPr>
          <w:lang w:eastAsia="ja-JP"/>
        </w:rPr>
        <w:t xml:space="preserve">aseline (n = 152), GMFRs from </w:t>
      </w:r>
      <w:r>
        <w:rPr>
          <w:lang w:eastAsia="ja-JP"/>
        </w:rPr>
        <w:t>B</w:t>
      </w:r>
      <w:r w:rsidRPr="00ED6F9D">
        <w:rPr>
          <w:lang w:eastAsia="ja-JP"/>
        </w:rPr>
        <w:t xml:space="preserve">aseline to </w:t>
      </w:r>
      <w:r>
        <w:rPr>
          <w:lang w:eastAsia="ja-JP"/>
        </w:rPr>
        <w:t>D</w:t>
      </w:r>
      <w:r w:rsidRPr="00ED6F9D">
        <w:rPr>
          <w:lang w:eastAsia="ja-JP"/>
        </w:rPr>
        <w:t xml:space="preserve">ay 36 were 17.2 (95% CI 13.3, 22.2) for </w:t>
      </w:r>
      <w:proofErr w:type="spellStart"/>
      <w:r w:rsidRPr="00ED6F9D">
        <w:rPr>
          <w:lang w:eastAsia="ja-JP"/>
        </w:rPr>
        <w:t>C</w:t>
      </w:r>
      <w:r>
        <w:rPr>
          <w:lang w:eastAsia="ja-JP"/>
        </w:rPr>
        <w:t>ovovax</w:t>
      </w:r>
      <w:proofErr w:type="spellEnd"/>
      <w:r w:rsidRPr="00ED6F9D">
        <w:rPr>
          <w:lang w:eastAsia="ja-JP"/>
        </w:rPr>
        <w:t xml:space="preserve"> and 33.6 (95% CI 21.4, 52.8) for </w:t>
      </w:r>
      <w:proofErr w:type="spellStart"/>
      <w:r w:rsidRPr="00ED6F9D">
        <w:rPr>
          <w:lang w:eastAsia="ja-JP"/>
        </w:rPr>
        <w:t>Novavax</w:t>
      </w:r>
      <w:proofErr w:type="spellEnd"/>
      <w:r w:rsidRPr="00ED6F9D">
        <w:rPr>
          <w:lang w:eastAsia="ja-JP"/>
        </w:rPr>
        <w:t xml:space="preserve"> vaccine.</w:t>
      </w:r>
    </w:p>
    <w:p w14:paraId="54320C99" w14:textId="1A275CE2" w:rsidR="00BA678B" w:rsidRDefault="009415FB" w:rsidP="00CB0654">
      <w:pPr>
        <w:pStyle w:val="TableTitle"/>
      </w:pPr>
      <w:bookmarkStart w:id="99" w:name="_Ref92797368"/>
      <w:r w:rsidRPr="009415FB">
        <w:t xml:space="preserve">Table </w:t>
      </w:r>
      <w:r w:rsidR="00344FF4">
        <w:fldChar w:fldCharType="begin"/>
      </w:r>
      <w:r w:rsidR="00344FF4">
        <w:instrText xml:space="preserve"> SEQ Table \* ARABIC </w:instrText>
      </w:r>
      <w:r w:rsidR="00344FF4">
        <w:fldChar w:fldCharType="separate"/>
      </w:r>
      <w:r w:rsidR="00C41FF6">
        <w:rPr>
          <w:noProof/>
        </w:rPr>
        <w:t>38</w:t>
      </w:r>
      <w:r w:rsidR="00344FF4">
        <w:rPr>
          <w:noProof/>
        </w:rPr>
        <w:fldChar w:fldCharType="end"/>
      </w:r>
      <w:bookmarkEnd w:id="99"/>
      <w:r>
        <w:t xml:space="preserve">: </w:t>
      </w:r>
      <w:proofErr w:type="spellStart"/>
      <w:r w:rsidR="00FD1418">
        <w:t>Covovax</w:t>
      </w:r>
      <w:proofErr w:type="spellEnd"/>
      <w:r w:rsidR="00FD1418">
        <w:t xml:space="preserve"> trial </w:t>
      </w:r>
      <w:r w:rsidRPr="009415FB">
        <w:t xml:space="preserve">Non-inferiority of </w:t>
      </w:r>
      <w:proofErr w:type="spellStart"/>
      <w:r w:rsidRPr="009415FB">
        <w:t>C</w:t>
      </w:r>
      <w:r>
        <w:t>ovovax</w:t>
      </w:r>
      <w:proofErr w:type="spellEnd"/>
      <w:r w:rsidRPr="009415FB">
        <w:t xml:space="preserve"> to </w:t>
      </w:r>
      <w:proofErr w:type="spellStart"/>
      <w:r w:rsidRPr="009415FB">
        <w:t>Novavax</w:t>
      </w:r>
      <w:proofErr w:type="spellEnd"/>
      <w:r w:rsidRPr="009415FB">
        <w:t xml:space="preserve"> </w:t>
      </w:r>
      <w:r>
        <w:t>v</w:t>
      </w:r>
      <w:r w:rsidRPr="009415FB">
        <w:t xml:space="preserve">accine in </w:t>
      </w:r>
      <w:r>
        <w:t>t</w:t>
      </w:r>
      <w:r w:rsidRPr="009415FB">
        <w:t xml:space="preserve">erms of </w:t>
      </w:r>
      <w:r>
        <w:t>a</w:t>
      </w:r>
      <w:r w:rsidRPr="009415FB">
        <w:t>nti-</w:t>
      </w:r>
      <w:r>
        <w:t>spike protein</w:t>
      </w:r>
      <w:r w:rsidRPr="009415FB">
        <w:t xml:space="preserve"> IgG </w:t>
      </w:r>
      <w:r>
        <w:t>a</w:t>
      </w:r>
      <w:r w:rsidRPr="009415FB">
        <w:t xml:space="preserve">ntibodies at 14 days </w:t>
      </w:r>
      <w:r>
        <w:t>a</w:t>
      </w:r>
      <w:r w:rsidRPr="009415FB">
        <w:t xml:space="preserve">fter </w:t>
      </w:r>
      <w:r>
        <w:t>s</w:t>
      </w:r>
      <w:r w:rsidRPr="009415FB">
        <w:t xml:space="preserve">econd </w:t>
      </w:r>
      <w:r>
        <w:t>d</w:t>
      </w:r>
      <w:r w:rsidRPr="009415FB">
        <w:t>ose (</w:t>
      </w:r>
      <w:r>
        <w:t xml:space="preserve">that is </w:t>
      </w:r>
      <w:r w:rsidRPr="009415FB">
        <w:t>Visit 3, Day</w:t>
      </w:r>
      <w:r w:rsidR="00FD1418">
        <w:t> </w:t>
      </w:r>
      <w:r w:rsidRPr="009415FB">
        <w:t>36)</w:t>
      </w:r>
      <w:r>
        <w:t xml:space="preserve"> (i</w:t>
      </w:r>
      <w:r w:rsidRPr="009415FB">
        <w:t xml:space="preserve">mmunogenicity </w:t>
      </w:r>
      <w:r>
        <w:t>a</w:t>
      </w:r>
      <w:r w:rsidRPr="009415FB">
        <w:t xml:space="preserve">nalysis </w:t>
      </w:r>
      <w:r>
        <w:t>p</w:t>
      </w:r>
      <w:r w:rsidRPr="009415FB">
        <w:t>opulation</w:t>
      </w:r>
      <w:r>
        <w:t>)</w:t>
      </w:r>
    </w:p>
    <w:p w14:paraId="0B89D131" w14:textId="0ABECFD0" w:rsidR="009415FB" w:rsidRDefault="00413926" w:rsidP="00345763">
      <w:r w:rsidRPr="00413926">
        <w:rPr>
          <w:noProof/>
          <w:lang w:val="en-GB" w:eastAsia="en-GB"/>
        </w:rPr>
        <w:drawing>
          <wp:inline distT="0" distB="0" distL="0" distR="0" wp14:anchorId="55370E4A" wp14:editId="3383D5FC">
            <wp:extent cx="4667416" cy="1540701"/>
            <wp:effectExtent l="0" t="0" r="0" b="2540"/>
            <wp:docPr id="15" name="Picture 15" descr="P10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060#yIS1"/>
                    <pic:cNvPicPr/>
                  </pic:nvPicPr>
                  <pic:blipFill>
                    <a:blip r:embed="rId64"/>
                    <a:stretch>
                      <a:fillRect/>
                    </a:stretch>
                  </pic:blipFill>
                  <pic:spPr>
                    <a:xfrm>
                      <a:off x="0" y="0"/>
                      <a:ext cx="4690421" cy="1548295"/>
                    </a:xfrm>
                    <a:prstGeom prst="rect">
                      <a:avLst/>
                    </a:prstGeom>
                  </pic:spPr>
                </pic:pic>
              </a:graphicData>
            </a:graphic>
          </wp:inline>
        </w:drawing>
      </w:r>
    </w:p>
    <w:p w14:paraId="38591DE3" w14:textId="1E1684CA" w:rsidR="009415FB" w:rsidRDefault="009415FB" w:rsidP="00CB0654">
      <w:pPr>
        <w:pStyle w:val="TableDescription"/>
      </w:pPr>
      <w:r>
        <w:t>1 Multiple imputation model with classification variables vaccine, age group, sex, comorbidity status and continuous covariates log baseline titre used to impute 50 values for each missing value</w:t>
      </w:r>
    </w:p>
    <w:p w14:paraId="60F10309" w14:textId="6C99AF4B" w:rsidR="009415FB" w:rsidRDefault="009415FB" w:rsidP="00CB0654">
      <w:pPr>
        <w:pStyle w:val="TableDescription"/>
      </w:pPr>
      <w:r>
        <w:t xml:space="preserve">2 Rubin’s method in Proc </w:t>
      </w:r>
      <w:proofErr w:type="spellStart"/>
      <w:r>
        <w:t>Mianalyza</w:t>
      </w:r>
      <w:proofErr w:type="spellEnd"/>
      <w:r>
        <w:t xml:space="preserve"> used to pool estimates and standard error across the 50 multiply imputed datasets</w:t>
      </w:r>
    </w:p>
    <w:p w14:paraId="5EE6BEB0" w14:textId="6248237D" w:rsidR="009415FB" w:rsidRDefault="009415FB" w:rsidP="00CB0654">
      <w:pPr>
        <w:pStyle w:val="TableDescription"/>
      </w:pPr>
      <w:r>
        <w:t xml:space="preserve">3 Pooled </w:t>
      </w:r>
      <w:r w:rsidR="00FA460B">
        <w:t>analysis of covariance (</w:t>
      </w:r>
      <w:r>
        <w:t>ANCOV</w:t>
      </w:r>
      <w:r w:rsidR="00FA460B">
        <w:t>A) results ,least square (LS) mean and it’s 95% CI values by treatment were used to generate the GMEU and 95% CI and the differences in LS means and corresponding 95% CI limits were used to obtain GMEU ratio and 95% CI using back transforming to the original scale.</w:t>
      </w:r>
    </w:p>
    <w:p w14:paraId="04865877" w14:textId="3BCC7C5C" w:rsidR="00FA460B" w:rsidRDefault="00FA460B" w:rsidP="00CB0654">
      <w:pPr>
        <w:pStyle w:val="TableDescription"/>
      </w:pPr>
      <w:r>
        <w:t>ANCOVA model includes vaccine group, log baseline titre, co-morbidity, age group and sex.</w:t>
      </w:r>
    </w:p>
    <w:p w14:paraId="0E38EE3F" w14:textId="70F04B41" w:rsidR="00FA460B" w:rsidRPr="00FA460B" w:rsidRDefault="00FD1418" w:rsidP="00345763">
      <w:pPr>
        <w:pStyle w:val="Heading7"/>
        <w:keepNext w:val="0"/>
        <w:rPr>
          <w:sz w:val="22"/>
          <w:szCs w:val="28"/>
          <w:lang w:eastAsia="ja-JP"/>
        </w:rPr>
      </w:pPr>
      <w:r>
        <w:rPr>
          <w:rFonts w:eastAsia="MS Mincho"/>
          <w:sz w:val="22"/>
          <w:szCs w:val="28"/>
          <w:lang w:eastAsia="ja-JP"/>
        </w:rPr>
        <w:t>S</w:t>
      </w:r>
      <w:r w:rsidR="00FA460B" w:rsidRPr="00FA460B">
        <w:rPr>
          <w:rFonts w:eastAsia="MS Mincho"/>
          <w:sz w:val="22"/>
          <w:szCs w:val="28"/>
          <w:lang w:eastAsia="ja-JP"/>
        </w:rPr>
        <w:t>econdary</w:t>
      </w:r>
      <w:r>
        <w:rPr>
          <w:rFonts w:eastAsia="MS Mincho"/>
          <w:sz w:val="22"/>
          <w:szCs w:val="28"/>
          <w:lang w:eastAsia="ja-JP"/>
        </w:rPr>
        <w:t xml:space="preserve"> and </w:t>
      </w:r>
      <w:r w:rsidR="00FA460B" w:rsidRPr="00FA460B">
        <w:rPr>
          <w:rFonts w:eastAsia="MS Mincho"/>
          <w:sz w:val="22"/>
          <w:szCs w:val="28"/>
          <w:lang w:eastAsia="ja-JP"/>
        </w:rPr>
        <w:t>other immunogenicity outcome</w:t>
      </w:r>
      <w:r>
        <w:rPr>
          <w:rFonts w:eastAsia="MS Mincho"/>
          <w:sz w:val="22"/>
          <w:szCs w:val="28"/>
          <w:lang w:eastAsia="ja-JP"/>
        </w:rPr>
        <w:t xml:space="preserve"> results</w:t>
      </w:r>
    </w:p>
    <w:p w14:paraId="7FEC7332" w14:textId="33139D33" w:rsidR="00FA460B" w:rsidRPr="00ED6F9D" w:rsidRDefault="00FD1418" w:rsidP="00345763">
      <w:pPr>
        <w:rPr>
          <w:lang w:eastAsia="ja-JP"/>
        </w:rPr>
      </w:pPr>
      <w:r>
        <w:rPr>
          <w:lang w:eastAsia="ja-JP"/>
        </w:rPr>
        <w:t>For the measurement of n</w:t>
      </w:r>
      <w:r w:rsidR="00FA460B">
        <w:rPr>
          <w:lang w:eastAsia="ja-JP"/>
        </w:rPr>
        <w:t xml:space="preserve">eutralising antibodies </w:t>
      </w:r>
      <w:r w:rsidR="00FA460B" w:rsidRPr="00ED6F9D">
        <w:rPr>
          <w:lang w:eastAsia="ja-JP"/>
        </w:rPr>
        <w:t>in the primary immunogenicity population who were SARS-CoV-2 infection seronegative and PCR</w:t>
      </w:r>
      <w:r w:rsidR="00D072C9">
        <w:rPr>
          <w:lang w:eastAsia="ja-JP"/>
        </w:rPr>
        <w:t xml:space="preserve"> </w:t>
      </w:r>
      <w:r w:rsidR="00FA460B" w:rsidRPr="00ED6F9D">
        <w:rPr>
          <w:lang w:eastAsia="ja-JP"/>
        </w:rPr>
        <w:t xml:space="preserve">negative at </w:t>
      </w:r>
      <w:r w:rsidR="00FA460B">
        <w:rPr>
          <w:lang w:eastAsia="ja-JP"/>
        </w:rPr>
        <w:t>B</w:t>
      </w:r>
      <w:r w:rsidR="00FA460B" w:rsidRPr="00ED6F9D">
        <w:rPr>
          <w:lang w:eastAsia="ja-JP"/>
        </w:rPr>
        <w:t>aseline</w:t>
      </w:r>
      <w:r>
        <w:rPr>
          <w:lang w:eastAsia="ja-JP"/>
        </w:rPr>
        <w:t xml:space="preserve">, the </w:t>
      </w:r>
      <w:proofErr w:type="spellStart"/>
      <w:r>
        <w:rPr>
          <w:lang w:eastAsia="ja-JP"/>
        </w:rPr>
        <w:t>m</w:t>
      </w:r>
      <w:r w:rsidR="00B22090">
        <w:rPr>
          <w:lang w:eastAsia="ja-JP"/>
        </w:rPr>
        <w:t>icroneutralisation</w:t>
      </w:r>
      <w:proofErr w:type="spellEnd"/>
      <w:r w:rsidR="00B22090">
        <w:rPr>
          <w:lang w:eastAsia="ja-JP"/>
        </w:rPr>
        <w:t xml:space="preserve"> (</w:t>
      </w:r>
      <w:r w:rsidR="00FA460B" w:rsidRPr="00ED6F9D">
        <w:rPr>
          <w:lang w:eastAsia="ja-JP"/>
        </w:rPr>
        <w:t>MN</w:t>
      </w:r>
      <w:r w:rsidR="00B22090">
        <w:rPr>
          <w:lang w:eastAsia="ja-JP"/>
        </w:rPr>
        <w:t>)</w:t>
      </w:r>
      <w:r w:rsidR="00FA460B" w:rsidRPr="00ED6F9D">
        <w:rPr>
          <w:lang w:eastAsia="ja-JP"/>
        </w:rPr>
        <w:t xml:space="preserve"> assay </w:t>
      </w:r>
      <w:proofErr w:type="spellStart"/>
      <w:r w:rsidR="00FA460B" w:rsidRPr="00ED6F9D">
        <w:rPr>
          <w:lang w:eastAsia="ja-JP"/>
        </w:rPr>
        <w:t>NAb</w:t>
      </w:r>
      <w:proofErr w:type="spellEnd"/>
      <w:r w:rsidR="00FA460B" w:rsidRPr="00ED6F9D">
        <w:rPr>
          <w:lang w:eastAsia="ja-JP"/>
        </w:rPr>
        <w:t xml:space="preserve"> titres are shown in</w:t>
      </w:r>
      <w:r w:rsidR="00E84988">
        <w:rPr>
          <w:lang w:eastAsia="ja-JP"/>
        </w:rPr>
        <w:t xml:space="preserve"> </w:t>
      </w:r>
      <w:r w:rsidR="00E84988">
        <w:rPr>
          <w:lang w:eastAsia="ja-JP"/>
        </w:rPr>
        <w:fldChar w:fldCharType="begin" w:fldLock="1"/>
      </w:r>
      <w:r w:rsidR="00E84988">
        <w:rPr>
          <w:lang w:eastAsia="ja-JP"/>
        </w:rPr>
        <w:instrText xml:space="preserve"> REF _Ref92882832 \h </w:instrText>
      </w:r>
      <w:r w:rsidR="00E84988">
        <w:rPr>
          <w:lang w:eastAsia="ja-JP"/>
        </w:rPr>
      </w:r>
      <w:r w:rsidR="00E84988">
        <w:rPr>
          <w:lang w:eastAsia="ja-JP"/>
        </w:rPr>
        <w:fldChar w:fldCharType="separate"/>
      </w:r>
      <w:r w:rsidR="00AA298B" w:rsidRPr="00B22090">
        <w:t xml:space="preserve">Table </w:t>
      </w:r>
      <w:r w:rsidR="00AA298B">
        <w:rPr>
          <w:noProof/>
        </w:rPr>
        <w:t>39</w:t>
      </w:r>
      <w:r w:rsidR="00E84988">
        <w:rPr>
          <w:lang w:eastAsia="ja-JP"/>
        </w:rPr>
        <w:fldChar w:fldCharType="end"/>
      </w:r>
      <w:r w:rsidR="00FA460B" w:rsidRPr="00ED6F9D">
        <w:rPr>
          <w:lang w:eastAsia="ja-JP"/>
        </w:rPr>
        <w:t xml:space="preserve">. The GMT ratio for the </w:t>
      </w:r>
      <w:proofErr w:type="spellStart"/>
      <w:r w:rsidR="00FA460B" w:rsidRPr="00ED6F9D">
        <w:rPr>
          <w:lang w:eastAsia="ja-JP"/>
        </w:rPr>
        <w:t>C</w:t>
      </w:r>
      <w:r w:rsidR="00D072C9">
        <w:rPr>
          <w:lang w:eastAsia="ja-JP"/>
        </w:rPr>
        <w:t>ovovax</w:t>
      </w:r>
      <w:proofErr w:type="spellEnd"/>
      <w:r w:rsidR="00FA460B" w:rsidRPr="00ED6F9D">
        <w:rPr>
          <w:lang w:eastAsia="ja-JP"/>
        </w:rPr>
        <w:t>/</w:t>
      </w:r>
      <w:proofErr w:type="spellStart"/>
      <w:r w:rsidR="00FA460B" w:rsidRPr="00ED6F9D">
        <w:rPr>
          <w:lang w:eastAsia="ja-JP"/>
        </w:rPr>
        <w:t>Novavax</w:t>
      </w:r>
      <w:proofErr w:type="spellEnd"/>
      <w:r w:rsidR="00FA460B" w:rsidRPr="00ED6F9D">
        <w:rPr>
          <w:lang w:eastAsia="ja-JP"/>
        </w:rPr>
        <w:t xml:space="preserve"> vaccine groups at day 36 was 3375.8/3602.8 (0.94); this was calculated by the </w:t>
      </w:r>
      <w:r w:rsidR="00E84988">
        <w:rPr>
          <w:lang w:eastAsia="ja-JP"/>
        </w:rPr>
        <w:t>e</w:t>
      </w:r>
      <w:r w:rsidR="00FA460B" w:rsidRPr="00ED6F9D">
        <w:rPr>
          <w:lang w:eastAsia="ja-JP"/>
        </w:rPr>
        <w:t>valuator and a 95% CI was not available.</w:t>
      </w:r>
    </w:p>
    <w:p w14:paraId="2D0C3CAD" w14:textId="250EA3B3" w:rsidR="00FA460B" w:rsidRPr="00ED6F9D" w:rsidRDefault="00FA460B" w:rsidP="00345763">
      <w:pPr>
        <w:rPr>
          <w:lang w:eastAsia="ja-JP"/>
        </w:rPr>
      </w:pPr>
      <w:r w:rsidRPr="00ED6F9D">
        <w:rPr>
          <w:lang w:eastAsia="ja-JP"/>
        </w:rPr>
        <w:t xml:space="preserve">GMFRs for MN assay </w:t>
      </w:r>
      <w:proofErr w:type="spellStart"/>
      <w:r w:rsidRPr="00ED6F9D">
        <w:rPr>
          <w:lang w:eastAsia="ja-JP"/>
        </w:rPr>
        <w:t>NAb</w:t>
      </w:r>
      <w:proofErr w:type="spellEnd"/>
      <w:r w:rsidRPr="00ED6F9D">
        <w:rPr>
          <w:lang w:eastAsia="ja-JP"/>
        </w:rPr>
        <w:t xml:space="preserve"> titres at </w:t>
      </w:r>
      <w:r w:rsidR="00FD1418">
        <w:rPr>
          <w:lang w:eastAsia="ja-JP"/>
        </w:rPr>
        <w:t>D</w:t>
      </w:r>
      <w:r w:rsidRPr="00ED6F9D">
        <w:rPr>
          <w:lang w:eastAsia="ja-JP"/>
        </w:rPr>
        <w:t xml:space="preserve">ay 36 were 98.4 for </w:t>
      </w:r>
      <w:proofErr w:type="spellStart"/>
      <w:r w:rsidR="00417929">
        <w:rPr>
          <w:lang w:eastAsia="ja-JP"/>
        </w:rPr>
        <w:t>Covovax</w:t>
      </w:r>
      <w:proofErr w:type="spellEnd"/>
      <w:r w:rsidRPr="00ED6F9D">
        <w:rPr>
          <w:lang w:eastAsia="ja-JP"/>
        </w:rPr>
        <w:t xml:space="preserve"> and 78.8 for </w:t>
      </w:r>
      <w:proofErr w:type="spellStart"/>
      <w:r w:rsidRPr="00ED6F9D">
        <w:rPr>
          <w:lang w:eastAsia="ja-JP"/>
        </w:rPr>
        <w:t>Novavax</w:t>
      </w:r>
      <w:proofErr w:type="spellEnd"/>
      <w:r w:rsidRPr="00ED6F9D">
        <w:rPr>
          <w:lang w:eastAsia="ja-JP"/>
        </w:rPr>
        <w:t xml:space="preserve"> vaccine, reflecting higher baseline titres in the </w:t>
      </w:r>
      <w:proofErr w:type="spellStart"/>
      <w:r w:rsidRPr="00ED6F9D">
        <w:rPr>
          <w:lang w:eastAsia="ja-JP"/>
        </w:rPr>
        <w:t>Novavax</w:t>
      </w:r>
      <w:proofErr w:type="spellEnd"/>
      <w:r w:rsidRPr="00ED6F9D">
        <w:rPr>
          <w:lang w:eastAsia="ja-JP"/>
        </w:rPr>
        <w:t xml:space="preserve"> vaccine group. Results for the full analysis population without prior infection were identical.</w:t>
      </w:r>
    </w:p>
    <w:p w14:paraId="7F9E3428" w14:textId="0B981173" w:rsidR="00C453A9" w:rsidRDefault="00B22090" w:rsidP="0085688B">
      <w:pPr>
        <w:pStyle w:val="TableTitle"/>
        <w:keepLines/>
      </w:pPr>
      <w:bookmarkStart w:id="100" w:name="_Ref92882832"/>
      <w:r w:rsidRPr="00B22090">
        <w:lastRenderedPageBreak/>
        <w:t xml:space="preserve">Table </w:t>
      </w:r>
      <w:r w:rsidR="00344FF4">
        <w:fldChar w:fldCharType="begin"/>
      </w:r>
      <w:r w:rsidR="00344FF4">
        <w:instrText xml:space="preserve"> SEQ Table \* ARABIC </w:instrText>
      </w:r>
      <w:r w:rsidR="00344FF4">
        <w:fldChar w:fldCharType="separate"/>
      </w:r>
      <w:r w:rsidR="00C41FF6">
        <w:rPr>
          <w:noProof/>
        </w:rPr>
        <w:t>39</w:t>
      </w:r>
      <w:r w:rsidR="00344FF4">
        <w:rPr>
          <w:noProof/>
        </w:rPr>
        <w:fldChar w:fldCharType="end"/>
      </w:r>
      <w:bookmarkEnd w:id="100"/>
      <w:r>
        <w:t xml:space="preserve">: </w:t>
      </w:r>
      <w:proofErr w:type="spellStart"/>
      <w:r w:rsidR="00FD1418">
        <w:t>Covovax</w:t>
      </w:r>
      <w:proofErr w:type="spellEnd"/>
      <w:r w:rsidR="00FD1418">
        <w:t xml:space="preserve"> trial </w:t>
      </w:r>
      <w:r w:rsidRPr="00B22090">
        <w:t xml:space="preserve">Summary of </w:t>
      </w:r>
      <w:r>
        <w:t>n</w:t>
      </w:r>
      <w:r w:rsidRPr="00B22090">
        <w:t>eutral</w:t>
      </w:r>
      <w:r w:rsidR="007D0113">
        <w:t>is</w:t>
      </w:r>
      <w:r w:rsidRPr="00B22090">
        <w:t xml:space="preserve">ing antibodies against SARS-CoV-2 by baseline SARS-COV-2 and </w:t>
      </w:r>
      <w:r>
        <w:t>real time polymerase chain reaction</w:t>
      </w:r>
      <w:r w:rsidRPr="00B22090">
        <w:t xml:space="preserve"> result</w:t>
      </w:r>
      <w:r>
        <w:t xml:space="preserve"> (i</w:t>
      </w:r>
      <w:r w:rsidRPr="00B22090">
        <w:t xml:space="preserve">mmunogenicity </w:t>
      </w:r>
      <w:r>
        <w:t>a</w:t>
      </w:r>
      <w:r w:rsidRPr="00B22090">
        <w:t xml:space="preserve">nalysis </w:t>
      </w:r>
      <w:r>
        <w:t>p</w:t>
      </w:r>
      <w:r w:rsidRPr="00B22090">
        <w:t>opulation</w:t>
      </w:r>
      <w:r>
        <w:t>, b</w:t>
      </w:r>
      <w:r w:rsidRPr="00B22090">
        <w:t xml:space="preserve">aseline SARS-COV-2 serostatus and </w:t>
      </w:r>
      <w:r>
        <w:t xml:space="preserve">real time polymerase chain reaction </w:t>
      </w:r>
      <w:r w:rsidRPr="00B22090">
        <w:t xml:space="preserve">result: </w:t>
      </w:r>
      <w:r>
        <w:t>n</w:t>
      </w:r>
      <w:r w:rsidRPr="00B22090">
        <w:t>egative</w:t>
      </w:r>
      <w:r>
        <w:t>)</w:t>
      </w:r>
    </w:p>
    <w:p w14:paraId="2D873A06" w14:textId="53EF16A7" w:rsidR="00B22090" w:rsidRDefault="00B22090" w:rsidP="00345763">
      <w:r w:rsidRPr="00ED6F9D">
        <w:rPr>
          <w:noProof/>
          <w:lang w:val="en-GB" w:eastAsia="en-GB"/>
        </w:rPr>
        <w:drawing>
          <wp:inline distT="0" distB="0" distL="0" distR="0" wp14:anchorId="4DAA423E" wp14:editId="01AFE69D">
            <wp:extent cx="5399413" cy="2605178"/>
            <wp:effectExtent l="0" t="0" r="0" b="5080"/>
            <wp:docPr id="20" name="Picture 20" descr="P10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069#yIS1"/>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62000"/>
                              </a14:imgEffect>
                            </a14:imgLayer>
                          </a14:imgProps>
                        </a:ext>
                        <a:ext uri="{28A0092B-C50C-407E-A947-70E740481C1C}">
                          <a14:useLocalDpi xmlns:a14="http://schemas.microsoft.com/office/drawing/2010/main" val="0"/>
                        </a:ext>
                      </a:extLst>
                    </a:blip>
                    <a:srcRect b="15077"/>
                    <a:stretch/>
                  </pic:blipFill>
                  <pic:spPr bwMode="auto">
                    <a:xfrm>
                      <a:off x="0" y="0"/>
                      <a:ext cx="5400040" cy="2605480"/>
                    </a:xfrm>
                    <a:prstGeom prst="rect">
                      <a:avLst/>
                    </a:prstGeom>
                    <a:noFill/>
                    <a:ln>
                      <a:noFill/>
                    </a:ln>
                    <a:extLst>
                      <a:ext uri="{53640926-AAD7-44D8-BBD7-CCE9431645EC}">
                        <a14:shadowObscured xmlns:a14="http://schemas.microsoft.com/office/drawing/2010/main"/>
                      </a:ext>
                    </a:extLst>
                  </pic:spPr>
                </pic:pic>
              </a:graphicData>
            </a:graphic>
          </wp:inline>
        </w:drawing>
      </w:r>
    </w:p>
    <w:p w14:paraId="1644D405" w14:textId="56544C48" w:rsidR="00B22090" w:rsidRDefault="00B22090" w:rsidP="00CB0654">
      <w:pPr>
        <w:pStyle w:val="TableDescription"/>
      </w:pPr>
      <w:r>
        <w:t>Abbreviation: n = number of participants with a non-missing value at respective visit; GMT = geometric mean titre; GMFR = geometric mean fold rise.</w:t>
      </w:r>
    </w:p>
    <w:p w14:paraId="4750CDD7" w14:textId="07107B66" w:rsidR="00B22090" w:rsidRDefault="00B22090" w:rsidP="00CB0654">
      <w:pPr>
        <w:pStyle w:val="TableDescription"/>
      </w:pPr>
      <w:r>
        <w:t>Note: For each study vaccine, the GMT and GMFR of neutralising antibodies and 95% CI were calculated by transforming to the original scale of log 10, transformed mean and its two sided 95% CI limits at each visit</w:t>
      </w:r>
    </w:p>
    <w:p w14:paraId="1E5AB7E5" w14:textId="1D58167A" w:rsidR="00B22090" w:rsidRDefault="00FD1418" w:rsidP="00345763">
      <w:r>
        <w:t xml:space="preserve">For the analysis of </w:t>
      </w:r>
      <w:r w:rsidRPr="00FD1418">
        <w:t>s</w:t>
      </w:r>
      <w:r w:rsidR="00B22090" w:rsidRPr="00FD1418">
        <w:t>eroconversions</w:t>
      </w:r>
      <w:r w:rsidR="00B22090">
        <w:t xml:space="preserve"> in the primary immunogenicity population who were SARS-CoV-2 infection seronegative and </w:t>
      </w:r>
      <w:r w:rsidR="00BC27A6">
        <w:t xml:space="preserve">PCR </w:t>
      </w:r>
      <w:r w:rsidR="00B22090">
        <w:t>negative at Baseline</w:t>
      </w:r>
      <w:r>
        <w:t xml:space="preserve">, </w:t>
      </w:r>
      <w:r w:rsidR="00B22090">
        <w:t xml:space="preserve">sing the study definition (that is inclusive of any positive result at Day 36 following a negative result at Baseline, rather than a 4 fold increase in the LLOQ; seroconversion rates were 98.6% for </w:t>
      </w:r>
      <w:proofErr w:type="spellStart"/>
      <w:r w:rsidR="00B22090">
        <w:t>Covovax</w:t>
      </w:r>
      <w:proofErr w:type="spellEnd"/>
      <w:r w:rsidR="00B22090">
        <w:t xml:space="preserve"> and 100% for </w:t>
      </w:r>
      <w:proofErr w:type="spellStart"/>
      <w:r w:rsidR="00B22090">
        <w:t>Novavax</w:t>
      </w:r>
      <w:proofErr w:type="spellEnd"/>
      <w:r w:rsidR="00B22090">
        <w:t xml:space="preserve"> vaccine</w:t>
      </w:r>
      <w:r w:rsidR="00E84988">
        <w:t xml:space="preserve">) </w:t>
      </w:r>
      <w:r w:rsidR="00B22090">
        <w:t xml:space="preserve">(Table 39). This corresponds to an absolute relative difference of -1.4% for </w:t>
      </w:r>
      <w:proofErr w:type="spellStart"/>
      <w:r w:rsidR="00B22090">
        <w:t>Covovax</w:t>
      </w:r>
      <w:proofErr w:type="spellEnd"/>
      <w:r w:rsidR="00B22090">
        <w:t>. 95% CI for this difference was not available and no hypothesis testing for non-inferiority of this secondary outcome was presented.</w:t>
      </w:r>
    </w:p>
    <w:p w14:paraId="463983D8" w14:textId="4A95C189" w:rsidR="00B22090" w:rsidRDefault="00B22090" w:rsidP="00CB0654">
      <w:pPr>
        <w:pStyle w:val="TableTitle"/>
      </w:pPr>
      <w:r w:rsidRPr="00B22090">
        <w:t xml:space="preserve">Table </w:t>
      </w:r>
      <w:r w:rsidR="00344FF4">
        <w:fldChar w:fldCharType="begin"/>
      </w:r>
      <w:r w:rsidR="00344FF4">
        <w:instrText xml:space="preserve"> SEQ Table \* ARABIC </w:instrText>
      </w:r>
      <w:r w:rsidR="00344FF4">
        <w:fldChar w:fldCharType="separate"/>
      </w:r>
      <w:r w:rsidR="00C41FF6">
        <w:rPr>
          <w:noProof/>
        </w:rPr>
        <w:t>40</w:t>
      </w:r>
      <w:r w:rsidR="00344FF4">
        <w:rPr>
          <w:noProof/>
        </w:rPr>
        <w:fldChar w:fldCharType="end"/>
      </w:r>
      <w:r>
        <w:t xml:space="preserve">: </w:t>
      </w:r>
      <w:proofErr w:type="spellStart"/>
      <w:r w:rsidR="00FD1418">
        <w:t>Covovax</w:t>
      </w:r>
      <w:proofErr w:type="spellEnd"/>
      <w:r w:rsidR="00FD1418">
        <w:t xml:space="preserve"> trial </w:t>
      </w:r>
      <w:r w:rsidRPr="00B22090">
        <w:t xml:space="preserve">Summary of </w:t>
      </w:r>
      <w:r>
        <w:t>p</w:t>
      </w:r>
      <w:r w:rsidRPr="00B22090">
        <w:t xml:space="preserve">roportion of </w:t>
      </w:r>
      <w:r>
        <w:t>p</w:t>
      </w:r>
      <w:r w:rsidRPr="00B22090">
        <w:t xml:space="preserve">articipants with </w:t>
      </w:r>
      <w:r>
        <w:t>s</w:t>
      </w:r>
      <w:r w:rsidRPr="00B22090">
        <w:t xml:space="preserve">eroconversion for </w:t>
      </w:r>
      <w:r>
        <w:t>n</w:t>
      </w:r>
      <w:r w:rsidRPr="00B22090">
        <w:t>eutral</w:t>
      </w:r>
      <w:r w:rsidR="007D0113">
        <w:t>is</w:t>
      </w:r>
      <w:r w:rsidRPr="00B22090">
        <w:t xml:space="preserve">ing antibodies against SARS-CoV-2 by </w:t>
      </w:r>
      <w:r>
        <w:t>b</w:t>
      </w:r>
      <w:r w:rsidRPr="00B22090">
        <w:t xml:space="preserve">aseline SARS-COV-2 and </w:t>
      </w:r>
      <w:r>
        <w:t>real time polymerase chain reaction</w:t>
      </w:r>
      <w:r w:rsidRPr="00B22090">
        <w:t xml:space="preserve"> result, </w:t>
      </w:r>
      <w:r>
        <w:t>(i</w:t>
      </w:r>
      <w:r w:rsidRPr="00B22090">
        <w:t xml:space="preserve">mmunogenicity </w:t>
      </w:r>
      <w:r>
        <w:t>a</w:t>
      </w:r>
      <w:r w:rsidRPr="00B22090">
        <w:t xml:space="preserve">nalysis </w:t>
      </w:r>
      <w:r>
        <w:t>p</w:t>
      </w:r>
      <w:r w:rsidRPr="00B22090">
        <w:t xml:space="preserve">opulation, </w:t>
      </w:r>
      <w:r>
        <w:t>b</w:t>
      </w:r>
      <w:r w:rsidRPr="00B22090">
        <w:t xml:space="preserve">aseline SARS-COV-2 serostatus and </w:t>
      </w:r>
      <w:r>
        <w:t>real time polymerase chain reaction</w:t>
      </w:r>
      <w:r w:rsidRPr="00B22090">
        <w:t xml:space="preserve"> result: </w:t>
      </w:r>
      <w:r>
        <w:t>n</w:t>
      </w:r>
      <w:r w:rsidRPr="00B22090">
        <w:t>egative</w:t>
      </w:r>
      <w:r>
        <w:t>)</w:t>
      </w:r>
    </w:p>
    <w:p w14:paraId="239B816D" w14:textId="44416476" w:rsidR="00B22090" w:rsidRDefault="00B22090" w:rsidP="00345763">
      <w:r w:rsidRPr="00ED6F9D">
        <w:rPr>
          <w:b/>
          <w:noProof/>
          <w:szCs w:val="18"/>
          <w:lang w:val="en-GB" w:eastAsia="en-GB"/>
        </w:rPr>
        <w:drawing>
          <wp:inline distT="0" distB="0" distL="0" distR="0" wp14:anchorId="1F789689" wp14:editId="5ACCC89D">
            <wp:extent cx="5313872" cy="1266825"/>
            <wp:effectExtent l="0" t="0" r="1270" b="0"/>
            <wp:docPr id="21" name="Picture 21" descr="P10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074#yIS1"/>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harpenSoften amount="52000"/>
                              </a14:imgEffect>
                            </a14:imgLayer>
                          </a14:imgProps>
                        </a:ext>
                        <a:ext uri="{28A0092B-C50C-407E-A947-70E740481C1C}">
                          <a14:useLocalDpi xmlns:a14="http://schemas.microsoft.com/office/drawing/2010/main" val="0"/>
                        </a:ext>
                      </a:extLst>
                    </a:blip>
                    <a:srcRect r="1563"/>
                    <a:stretch/>
                  </pic:blipFill>
                  <pic:spPr bwMode="auto">
                    <a:xfrm>
                      <a:off x="0" y="0"/>
                      <a:ext cx="5315659" cy="1267251"/>
                    </a:xfrm>
                    <a:prstGeom prst="rect">
                      <a:avLst/>
                    </a:prstGeom>
                    <a:noFill/>
                    <a:ln>
                      <a:noFill/>
                    </a:ln>
                    <a:extLst>
                      <a:ext uri="{53640926-AAD7-44D8-BBD7-CCE9431645EC}">
                        <a14:shadowObscured xmlns:a14="http://schemas.microsoft.com/office/drawing/2010/main"/>
                      </a:ext>
                    </a:extLst>
                  </pic:spPr>
                </pic:pic>
              </a:graphicData>
            </a:graphic>
          </wp:inline>
        </w:drawing>
      </w:r>
    </w:p>
    <w:p w14:paraId="1BB7CD93" w14:textId="65E0B237" w:rsidR="00B22090" w:rsidRDefault="00D56B54" w:rsidP="00CB0654">
      <w:pPr>
        <w:pStyle w:val="TableDescription"/>
      </w:pPr>
      <w:r>
        <w:t>N = the number of participants with a non-missing value evaluated at Baseline and post-baseline visit. The 95% Cis for each vaccine group were calculated by using the Clopper-Pearson method</w:t>
      </w:r>
    </w:p>
    <w:p w14:paraId="068ADA5B" w14:textId="0C43AB35" w:rsidR="00D56B54" w:rsidRDefault="00D56B54" w:rsidP="00345763">
      <w:pPr>
        <w:pStyle w:val="Heading7"/>
        <w:keepNext w:val="0"/>
      </w:pPr>
      <w:r w:rsidRPr="00D56B54">
        <w:rPr>
          <w:rStyle w:val="Heading7Char"/>
          <w:sz w:val="22"/>
          <w:szCs w:val="28"/>
        </w:rPr>
        <w:t xml:space="preserve">Safety </w:t>
      </w:r>
      <w:r w:rsidR="004157E5">
        <w:rPr>
          <w:rStyle w:val="Heading7Char"/>
          <w:sz w:val="22"/>
          <w:szCs w:val="28"/>
        </w:rPr>
        <w:t>s</w:t>
      </w:r>
      <w:r w:rsidRPr="00D56B54">
        <w:rPr>
          <w:rStyle w:val="Heading7Char"/>
          <w:sz w:val="22"/>
          <w:szCs w:val="28"/>
        </w:rPr>
        <w:t>ummary</w:t>
      </w:r>
    </w:p>
    <w:p w14:paraId="28458341" w14:textId="3D02F217" w:rsidR="00D56B54" w:rsidRDefault="00D56B54" w:rsidP="00345763">
      <w:r>
        <w:t xml:space="preserve">A summary of unsolicited AEs at Phase II study (Day 36 visit cut off) (see </w:t>
      </w:r>
      <w:r w:rsidR="00441426" w:rsidRPr="00441426">
        <w:fldChar w:fldCharType="begin" w:fldLock="1"/>
      </w:r>
      <w:r w:rsidR="00441426" w:rsidRPr="00441426">
        <w:instrText xml:space="preserve"> REF _Ref92799425 \h </w:instrText>
      </w:r>
      <w:r w:rsidR="00441426">
        <w:instrText xml:space="preserve"> \* MERGEFORMAT </w:instrText>
      </w:r>
      <w:r w:rsidR="00441426" w:rsidRPr="00441426">
        <w:fldChar w:fldCharType="separate"/>
      </w:r>
      <w:r w:rsidR="00AA298B" w:rsidRPr="002A4F29">
        <w:t xml:space="preserve">Table </w:t>
      </w:r>
      <w:r w:rsidR="00AA298B">
        <w:rPr>
          <w:noProof/>
        </w:rPr>
        <w:t>41</w:t>
      </w:r>
      <w:r w:rsidR="00441426" w:rsidRPr="00441426">
        <w:fldChar w:fldCharType="end"/>
      </w:r>
      <w:r>
        <w:t>)</w:t>
      </w:r>
      <w:r w:rsidR="004157E5">
        <w:t>:</w:t>
      </w:r>
    </w:p>
    <w:p w14:paraId="0DC91AF9" w14:textId="2CC9EA65" w:rsidR="00D56B54" w:rsidRDefault="00D56B54" w:rsidP="00345763">
      <w:pPr>
        <w:pStyle w:val="ListBullet"/>
      </w:pPr>
      <w:r>
        <w:t xml:space="preserve">Any AE: 40.7% </w:t>
      </w:r>
      <w:r w:rsidR="00183DE7">
        <w:t>versus</w:t>
      </w:r>
      <w:r>
        <w:t xml:space="preserve"> 18.0% (all mild to moderate; none severe).</w:t>
      </w:r>
    </w:p>
    <w:p w14:paraId="771C8B6F" w14:textId="6A04E6DB" w:rsidR="00D56B54" w:rsidRDefault="00D56B54" w:rsidP="00345763">
      <w:pPr>
        <w:pStyle w:val="ListBullet"/>
      </w:pPr>
      <w:r>
        <w:t xml:space="preserve">Any related AE: 34.0% </w:t>
      </w:r>
      <w:r w:rsidR="00183DE7">
        <w:t>versus</w:t>
      </w:r>
      <w:r>
        <w:t xml:space="preserve"> 16.0% (all mild).</w:t>
      </w:r>
    </w:p>
    <w:p w14:paraId="1D1E1E62" w14:textId="7E99A797" w:rsidR="00D56B54" w:rsidRDefault="00D56B54" w:rsidP="00345763">
      <w:pPr>
        <w:pStyle w:val="ListBullet"/>
      </w:pPr>
      <w:r>
        <w:lastRenderedPageBreak/>
        <w:t xml:space="preserve">Any SAE: 1(0.7%) in the </w:t>
      </w:r>
      <w:proofErr w:type="spellStart"/>
      <w:r>
        <w:t>C</w:t>
      </w:r>
      <w:r w:rsidR="00DD1A84">
        <w:t>ovovax</w:t>
      </w:r>
      <w:proofErr w:type="spellEnd"/>
      <w:r>
        <w:t xml:space="preserve"> group (‘unrelated’COVID-19 pneumonia, moderate severity.</w:t>
      </w:r>
    </w:p>
    <w:p w14:paraId="27804F39" w14:textId="1297F409" w:rsidR="00D56B54" w:rsidRDefault="00D56B54" w:rsidP="00345763">
      <w:pPr>
        <w:pStyle w:val="ListBullet"/>
      </w:pPr>
      <w:r>
        <w:t xml:space="preserve">Any MAAE: 4.7% </w:t>
      </w:r>
      <w:r w:rsidR="00183DE7">
        <w:t>versus</w:t>
      </w:r>
      <w:r>
        <w:t xml:space="preserve"> 0% (none severe and all considered ‘</w:t>
      </w:r>
      <w:r w:rsidRPr="00D56B54">
        <w:rPr>
          <w:i/>
          <w:iCs/>
        </w:rPr>
        <w:t>unrelated</w:t>
      </w:r>
      <w:r>
        <w:t>’).</w:t>
      </w:r>
    </w:p>
    <w:p w14:paraId="7821DBAB" w14:textId="600B2BCE" w:rsidR="00D56B54" w:rsidRDefault="00D56B54" w:rsidP="00345763">
      <w:pPr>
        <w:pStyle w:val="ListBullet"/>
      </w:pPr>
      <w:r>
        <w:t>No AESIs, AEs leading to discontinuation or deaths.</w:t>
      </w:r>
    </w:p>
    <w:p w14:paraId="279C605E" w14:textId="19B0EED3" w:rsidR="00D56B54" w:rsidRDefault="00D56B54" w:rsidP="00CB0654">
      <w:pPr>
        <w:pStyle w:val="TableTitle"/>
      </w:pPr>
      <w:bookmarkStart w:id="101" w:name="_Ref92799425"/>
      <w:r w:rsidRPr="002A4F29">
        <w:t xml:space="preserve">Table </w:t>
      </w:r>
      <w:r w:rsidR="00344FF4">
        <w:fldChar w:fldCharType="begin"/>
      </w:r>
      <w:r w:rsidR="00344FF4">
        <w:instrText xml:space="preserve"> SEQ Table \* ARABIC </w:instrText>
      </w:r>
      <w:r w:rsidR="00344FF4">
        <w:fldChar w:fldCharType="separate"/>
      </w:r>
      <w:r w:rsidR="00C41FF6">
        <w:rPr>
          <w:noProof/>
        </w:rPr>
        <w:t>41</w:t>
      </w:r>
      <w:r w:rsidR="00344FF4">
        <w:rPr>
          <w:noProof/>
        </w:rPr>
        <w:fldChar w:fldCharType="end"/>
      </w:r>
      <w:bookmarkEnd w:id="101"/>
      <w:r w:rsidRPr="002A4F29">
        <w:t xml:space="preserve">: </w:t>
      </w:r>
      <w:proofErr w:type="spellStart"/>
      <w:r w:rsidRPr="002A4F29">
        <w:t>C</w:t>
      </w:r>
      <w:r w:rsidR="004157E5">
        <w:t>ovovax</w:t>
      </w:r>
      <w:proofErr w:type="spellEnd"/>
      <w:r w:rsidRPr="002A4F29">
        <w:t xml:space="preserve"> trial Phase II Summary of adverse events after any vaccination (safety population)</w:t>
      </w:r>
    </w:p>
    <w:p w14:paraId="16F86F80" w14:textId="2F61CB31" w:rsidR="00D56B54" w:rsidRDefault="002A4F29" w:rsidP="00345763">
      <w:r w:rsidRPr="002A4F29">
        <w:rPr>
          <w:noProof/>
          <w:lang w:val="en-GB" w:eastAsia="en-GB"/>
        </w:rPr>
        <w:drawing>
          <wp:inline distT="0" distB="0" distL="0" distR="0" wp14:anchorId="55BCE2DA" wp14:editId="1A9C4AF3">
            <wp:extent cx="4889500" cy="6265627"/>
            <wp:effectExtent l="0" t="0" r="6350" b="1905"/>
            <wp:docPr id="14" name="Picture 14" descr="P10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084#yIS1"/>
                    <pic:cNvPicPr/>
                  </pic:nvPicPr>
                  <pic:blipFill rotWithShape="1">
                    <a:blip r:embed="rId69"/>
                    <a:srcRect l="-1" t="750" r="-13" b="648"/>
                    <a:stretch/>
                  </pic:blipFill>
                  <pic:spPr bwMode="auto">
                    <a:xfrm>
                      <a:off x="0" y="0"/>
                      <a:ext cx="4915108" cy="6298442"/>
                    </a:xfrm>
                    <a:prstGeom prst="rect">
                      <a:avLst/>
                    </a:prstGeom>
                    <a:ln>
                      <a:noFill/>
                    </a:ln>
                    <a:extLst>
                      <a:ext uri="{53640926-AAD7-44D8-BBD7-CCE9431645EC}">
                        <a14:shadowObscured xmlns:a14="http://schemas.microsoft.com/office/drawing/2010/main"/>
                      </a:ext>
                    </a:extLst>
                  </pic:spPr>
                </pic:pic>
              </a:graphicData>
            </a:graphic>
          </wp:inline>
        </w:drawing>
      </w:r>
    </w:p>
    <w:p w14:paraId="5355C21B" w14:textId="3A08780A" w:rsidR="004157E5" w:rsidRDefault="004157E5" w:rsidP="0085688B">
      <w:pPr>
        <w:pStyle w:val="Heading7"/>
        <w:pageBreakBefore/>
        <w:rPr>
          <w:sz w:val="22"/>
          <w:szCs w:val="28"/>
        </w:rPr>
      </w:pPr>
      <w:r>
        <w:rPr>
          <w:sz w:val="22"/>
          <w:szCs w:val="28"/>
        </w:rPr>
        <w:lastRenderedPageBreak/>
        <w:t>Phase III safety outcome</w:t>
      </w:r>
    </w:p>
    <w:p w14:paraId="0E24445F" w14:textId="40D14DCF" w:rsidR="00C6231E" w:rsidRPr="00C6231E" w:rsidRDefault="004157E5" w:rsidP="00345763">
      <w:r>
        <w:t xml:space="preserve">For the occurrence of causally related solicited AEs throughout the study duration following vaccination, for the </w:t>
      </w:r>
      <w:r w:rsidR="00C6231E" w:rsidRPr="00C6231E">
        <w:t>immunogenicity and reactogenicity cohort at Day</w:t>
      </w:r>
      <w:r w:rsidR="00126EF1">
        <w:t> </w:t>
      </w:r>
      <w:r w:rsidR="00C6231E" w:rsidRPr="00C6231E">
        <w:t xml:space="preserve">36 visit </w:t>
      </w:r>
      <w:proofErr w:type="spellStart"/>
      <w:r w:rsidR="00C6231E" w:rsidRPr="00C6231E">
        <w:t>cutoff</w:t>
      </w:r>
      <w:proofErr w:type="spellEnd"/>
      <w:r w:rsidR="00C6231E" w:rsidRPr="00C6231E">
        <w:t xml:space="preserve"> (N = 458):</w:t>
      </w:r>
    </w:p>
    <w:p w14:paraId="6B8EDE21" w14:textId="38A2C468" w:rsidR="00C6231E" w:rsidRDefault="004157E5" w:rsidP="00345763">
      <w:pPr>
        <w:pStyle w:val="ListBullet"/>
      </w:pPr>
      <w:r>
        <w:t>o</w:t>
      </w:r>
      <w:r w:rsidR="00C6231E">
        <w:t xml:space="preserve">verall, 282 participants (61.6%) reported 1047 solicited AEs after any vaccination. Of these 216 participants (63%) in the </w:t>
      </w:r>
      <w:proofErr w:type="spellStart"/>
      <w:r w:rsidR="00C6231E">
        <w:t>Covovax</w:t>
      </w:r>
      <w:proofErr w:type="spellEnd"/>
      <w:r w:rsidR="00C6231E">
        <w:t xml:space="preserve"> group reported 819 solicited AEs and 66 participants (57.4%) in the </w:t>
      </w:r>
      <w:proofErr w:type="spellStart"/>
      <w:r w:rsidR="00C6231E">
        <w:t>Novavax</w:t>
      </w:r>
      <w:proofErr w:type="spellEnd"/>
      <w:r w:rsidR="00C6231E">
        <w:t xml:space="preserve"> vaccine group reported 228 solicited AEs.</w:t>
      </w:r>
    </w:p>
    <w:p w14:paraId="62EC8442" w14:textId="5755AB30" w:rsidR="00C6231E" w:rsidRDefault="004157E5" w:rsidP="00345763">
      <w:pPr>
        <w:pStyle w:val="ListBullet"/>
      </w:pPr>
      <w:r>
        <w:t>t</w:t>
      </w:r>
      <w:r w:rsidR="00C6231E">
        <w:t>he overall incidence of solicited AEs after the second dose (225 participants (49.8%)) was higher than that after the first dose (172 participants (37.6%)).</w:t>
      </w:r>
    </w:p>
    <w:p w14:paraId="269AC3F3" w14:textId="0C952F60" w:rsidR="00C6231E" w:rsidRDefault="004157E5" w:rsidP="00345763">
      <w:pPr>
        <w:pStyle w:val="ListBullet"/>
      </w:pPr>
      <w:r>
        <w:t>t</w:t>
      </w:r>
      <w:r w:rsidR="00C6231E">
        <w:t>he incidence of all solicited systemic AEs, except nausea and vomiting, increased after the second dose compared with the incidence after the first dose. Majority of these AEs were of mild severity.</w:t>
      </w:r>
    </w:p>
    <w:p w14:paraId="1A5C114E" w14:textId="52472EAB" w:rsidR="00C6231E" w:rsidRDefault="004157E5" w:rsidP="00345763">
      <w:pPr>
        <w:pStyle w:val="ListBullet"/>
      </w:pPr>
      <w:r>
        <w:t>m</w:t>
      </w:r>
      <w:r w:rsidR="00C6231E">
        <w:t>edian duration for any solicited AE was two days with minimum duration of one day and maximum duration of eight days.</w:t>
      </w:r>
    </w:p>
    <w:p w14:paraId="6B84CDC0" w14:textId="4D017F8B" w:rsidR="00C6231E" w:rsidRDefault="00C6231E" w:rsidP="00345763">
      <w:r>
        <w:t xml:space="preserve">Unsolicited AEs, SAEs, AESI and MAAEs in the Phase III study </w:t>
      </w:r>
      <w:r w:rsidR="00EE6C2D">
        <w:t>(</w:t>
      </w:r>
      <w:r>
        <w:t>safety cohort (N</w:t>
      </w:r>
      <w:r w:rsidR="00EE6C2D">
        <w:t xml:space="preserve"> </w:t>
      </w:r>
      <w:r>
        <w:t>=</w:t>
      </w:r>
      <w:r w:rsidR="00EE6C2D">
        <w:t xml:space="preserve"> </w:t>
      </w:r>
      <w:r>
        <w:t>938) plus immunogenicity and reactogenicity cohort (N = 458), Total N = 1396</w:t>
      </w:r>
      <w:r w:rsidR="00EE6C2D">
        <w:t>)</w:t>
      </w:r>
      <w:r w:rsidR="004157E5">
        <w:t>.</w:t>
      </w:r>
    </w:p>
    <w:p w14:paraId="60D6289F" w14:textId="6AD730D8" w:rsidR="00C6231E" w:rsidRPr="004157E5" w:rsidRDefault="004157E5" w:rsidP="00345763">
      <w:r>
        <w:t>For a</w:t>
      </w:r>
      <w:r w:rsidR="00C6231E" w:rsidRPr="004157E5">
        <w:t xml:space="preserve">ny </w:t>
      </w:r>
      <w:r>
        <w:t>adverse event</w:t>
      </w:r>
      <w:r w:rsidR="00C6231E" w:rsidRPr="004157E5">
        <w:t>:</w:t>
      </w:r>
    </w:p>
    <w:p w14:paraId="12E14EEE" w14:textId="5C79CAEC" w:rsidR="00C6231E" w:rsidRDefault="004157E5" w:rsidP="00345763">
      <w:pPr>
        <w:pStyle w:val="ListBullet"/>
      </w:pPr>
      <w:r>
        <w:t>o</w:t>
      </w:r>
      <w:r w:rsidR="00C6231E">
        <w:t xml:space="preserve">verall, 413 participants (29.6%) reported 754 unsolicited AEs after any vaccination with a similar incidence between the </w:t>
      </w:r>
      <w:proofErr w:type="spellStart"/>
      <w:r w:rsidR="00C6231E">
        <w:t>C</w:t>
      </w:r>
      <w:r w:rsidR="00EE6C2D">
        <w:t>ovovax</w:t>
      </w:r>
      <w:proofErr w:type="spellEnd"/>
      <w:r w:rsidR="00C6231E">
        <w:t xml:space="preserve"> group (310 participants </w:t>
      </w:r>
      <w:r w:rsidR="00EE6C2D">
        <w:t>(</w:t>
      </w:r>
      <w:r w:rsidR="00C6231E">
        <w:t>29.6%</w:t>
      </w:r>
      <w:r w:rsidR="00EE6C2D">
        <w:t>)</w:t>
      </w:r>
      <w:r w:rsidR="00C6231E">
        <w:t xml:space="preserve"> reporting 558 AEs) and </w:t>
      </w:r>
      <w:proofErr w:type="spellStart"/>
      <w:r w:rsidR="00C6231E">
        <w:t>Novavax</w:t>
      </w:r>
      <w:proofErr w:type="spellEnd"/>
      <w:r w:rsidR="00C6231E">
        <w:t xml:space="preserve"> vaccine group (103 participants </w:t>
      </w:r>
      <w:r w:rsidR="00EE6C2D">
        <w:t>(</w:t>
      </w:r>
      <w:r w:rsidR="00C6231E">
        <w:t>29.4%</w:t>
      </w:r>
      <w:r w:rsidR="00EE6C2D">
        <w:t>)</w:t>
      </w:r>
      <w:r w:rsidR="00C6231E">
        <w:t xml:space="preserve"> reporting 196 AEs).</w:t>
      </w:r>
    </w:p>
    <w:p w14:paraId="689DBAE7" w14:textId="476AB4B3" w:rsidR="00C6231E" w:rsidRDefault="004157E5" w:rsidP="00345763">
      <w:pPr>
        <w:pStyle w:val="ListBullet"/>
      </w:pPr>
      <w:r>
        <w:t>m</w:t>
      </w:r>
      <w:r w:rsidR="00C6231E">
        <w:t xml:space="preserve">ost of the AEs were mild in severity (518 AEs in 280 participants </w:t>
      </w:r>
      <w:r w:rsidR="00EE6C2D">
        <w:t>(</w:t>
      </w:r>
      <w:r w:rsidR="00C6231E">
        <w:t>26.8%</w:t>
      </w:r>
      <w:r w:rsidR="00EE6C2D">
        <w:t>)</w:t>
      </w:r>
      <w:r w:rsidR="00C6231E">
        <w:t xml:space="preserve">) in the </w:t>
      </w:r>
      <w:proofErr w:type="spellStart"/>
      <w:r w:rsidR="00C6231E">
        <w:t>C</w:t>
      </w:r>
      <w:r w:rsidR="00EE6C2D">
        <w:t>ovovax</w:t>
      </w:r>
      <w:proofErr w:type="spellEnd"/>
      <w:r w:rsidR="00C6231E">
        <w:t xml:space="preserve"> group and 184 AEs in 93 participants </w:t>
      </w:r>
      <w:r w:rsidR="00EE6C2D">
        <w:t>(</w:t>
      </w:r>
      <w:r w:rsidR="00C6231E">
        <w:t>26.6%</w:t>
      </w:r>
      <w:r w:rsidR="00EE6C2D">
        <w:t>)</w:t>
      </w:r>
      <w:r w:rsidR="00C6231E">
        <w:t xml:space="preserve"> in the </w:t>
      </w:r>
      <w:proofErr w:type="spellStart"/>
      <w:r w:rsidR="00C6231E">
        <w:t>Novavax</w:t>
      </w:r>
      <w:proofErr w:type="spellEnd"/>
      <w:r w:rsidR="00C6231E">
        <w:t xml:space="preserve"> vaccine group).</w:t>
      </w:r>
    </w:p>
    <w:p w14:paraId="061823D6" w14:textId="5220008A" w:rsidR="00C6231E" w:rsidRDefault="00AA298B" w:rsidP="00345763">
      <w:pPr>
        <w:pStyle w:val="ListBullet"/>
      </w:pPr>
      <w:r>
        <w:t>no</w:t>
      </w:r>
      <w:r w:rsidR="00C6231E">
        <w:t xml:space="preserve"> life</w:t>
      </w:r>
      <w:r w:rsidR="00EE6C2D">
        <w:t xml:space="preserve"> </w:t>
      </w:r>
      <w:r w:rsidR="00C6231E">
        <w:t>threatening AEs were reported in any group.</w:t>
      </w:r>
    </w:p>
    <w:p w14:paraId="67237C24" w14:textId="254F7CE0" w:rsidR="00C6231E" w:rsidRDefault="004157E5" w:rsidP="00345763">
      <w:r>
        <w:t>For v</w:t>
      </w:r>
      <w:r w:rsidR="00C6231E">
        <w:t>accine</w:t>
      </w:r>
      <w:r w:rsidR="00EE6C2D">
        <w:t xml:space="preserve"> </w:t>
      </w:r>
      <w:r w:rsidR="00C6231E">
        <w:t xml:space="preserve">related unsolicited </w:t>
      </w:r>
      <w:r>
        <w:t xml:space="preserve">adverse events </w:t>
      </w:r>
      <w:r w:rsidR="00C6231E">
        <w:t>(reported only in the safety cohort, N</w:t>
      </w:r>
      <w:r w:rsidR="00EE6C2D">
        <w:t xml:space="preserve"> </w:t>
      </w:r>
      <w:r w:rsidR="00C6231E">
        <w:t>=</w:t>
      </w:r>
      <w:r w:rsidR="00EE6C2D">
        <w:t xml:space="preserve"> </w:t>
      </w:r>
      <w:r w:rsidR="00C6231E">
        <w:t>938):</w:t>
      </w:r>
    </w:p>
    <w:p w14:paraId="575E6225" w14:textId="7576606F" w:rsidR="00C6231E" w:rsidRDefault="004157E5" w:rsidP="00345763">
      <w:pPr>
        <w:pStyle w:val="ListBullet"/>
      </w:pPr>
      <w:r>
        <w:t>t</w:t>
      </w:r>
      <w:r w:rsidR="00EE6C2D">
        <w:t>he v</w:t>
      </w:r>
      <w:r w:rsidR="00C6231E">
        <w:t>accine</w:t>
      </w:r>
      <w:r w:rsidR="00EE6C2D">
        <w:t xml:space="preserve"> </w:t>
      </w:r>
      <w:r w:rsidR="00C6231E">
        <w:t xml:space="preserve">related AEs were reported in 268 participants (25.6%) in the </w:t>
      </w:r>
      <w:proofErr w:type="spellStart"/>
      <w:r w:rsidR="00C6231E">
        <w:t>C</w:t>
      </w:r>
      <w:r w:rsidR="00EE6C2D">
        <w:t>ovovax</w:t>
      </w:r>
      <w:proofErr w:type="spellEnd"/>
      <w:r w:rsidR="00C6231E">
        <w:t xml:space="preserve"> group and 91 participants (26.0%) in the </w:t>
      </w:r>
      <w:proofErr w:type="spellStart"/>
      <w:r w:rsidR="00C6231E">
        <w:t>Novavax</w:t>
      </w:r>
      <w:proofErr w:type="spellEnd"/>
      <w:r w:rsidR="00C6231E">
        <w:t xml:space="preserve"> vaccine group with most of the AEs reported as mild in severity.</w:t>
      </w:r>
    </w:p>
    <w:p w14:paraId="11C6187F" w14:textId="595E71F7" w:rsidR="00C6231E" w:rsidRDefault="004157E5" w:rsidP="00345763">
      <w:pPr>
        <w:pStyle w:val="ListBullet"/>
      </w:pPr>
      <w:r>
        <w:t>t</w:t>
      </w:r>
      <w:r w:rsidR="00C6231E">
        <w:t>he vaccine</w:t>
      </w:r>
      <w:r w:rsidR="00EE6C2D">
        <w:t xml:space="preserve"> </w:t>
      </w:r>
      <w:r w:rsidR="00C6231E">
        <w:t>related AEs were basically those AEs that were solicited from participants in the immunogenicity and reactogenicity cohort.</w:t>
      </w:r>
    </w:p>
    <w:p w14:paraId="77A6690B" w14:textId="17470373" w:rsidR="00C6231E" w:rsidRDefault="004157E5" w:rsidP="00345763">
      <w:r>
        <w:t>For s</w:t>
      </w:r>
      <w:r w:rsidR="00EE6C2D">
        <w:t>erious adverse events</w:t>
      </w:r>
      <w:r w:rsidR="00C6231E">
        <w:t>:</w:t>
      </w:r>
    </w:p>
    <w:p w14:paraId="4618D1F1" w14:textId="1A5C09C7" w:rsidR="00C6231E" w:rsidRDefault="004157E5" w:rsidP="00345763">
      <w:pPr>
        <w:pStyle w:val="ListBullet"/>
      </w:pPr>
      <w:r>
        <w:t>o</w:t>
      </w:r>
      <w:r w:rsidR="00C6231E">
        <w:t xml:space="preserve">verall, </w:t>
      </w:r>
      <w:r w:rsidR="00EE6C2D">
        <w:t>five</w:t>
      </w:r>
      <w:r w:rsidR="00C6231E">
        <w:t xml:space="preserve"> SAEs were reported in </w:t>
      </w:r>
      <w:r w:rsidR="00EE6C2D">
        <w:t>five</w:t>
      </w:r>
      <w:r w:rsidR="00C6231E">
        <w:t xml:space="preserve"> participants (</w:t>
      </w:r>
      <w:r w:rsidR="00EE6C2D">
        <w:t>three</w:t>
      </w:r>
      <w:r w:rsidR="00C6231E">
        <w:t xml:space="preserve"> SAEs in </w:t>
      </w:r>
      <w:proofErr w:type="spellStart"/>
      <w:r w:rsidR="00C6231E">
        <w:t>Cov</w:t>
      </w:r>
      <w:r w:rsidR="00E84988">
        <w:t>o</w:t>
      </w:r>
      <w:r w:rsidR="00C6231E">
        <w:t>vax</w:t>
      </w:r>
      <w:proofErr w:type="spellEnd"/>
      <w:r w:rsidR="00C6231E">
        <w:t xml:space="preserve"> and </w:t>
      </w:r>
      <w:r w:rsidR="00EE6C2D">
        <w:t>two</w:t>
      </w:r>
      <w:r w:rsidR="00C6231E">
        <w:t xml:space="preserve"> in the </w:t>
      </w:r>
      <w:proofErr w:type="spellStart"/>
      <w:r w:rsidR="00C6231E">
        <w:t>Novavax</w:t>
      </w:r>
      <w:proofErr w:type="spellEnd"/>
      <w:r w:rsidR="00C6231E">
        <w:t>).</w:t>
      </w:r>
    </w:p>
    <w:p w14:paraId="413AE9A3" w14:textId="57EFD735" w:rsidR="00C6231E" w:rsidRDefault="004157E5" w:rsidP="00345763">
      <w:pPr>
        <w:pStyle w:val="ListBullet"/>
      </w:pPr>
      <w:r>
        <w:t>t</w:t>
      </w:r>
      <w:r w:rsidR="00C6231E">
        <w:t xml:space="preserve">he SAEs in the </w:t>
      </w:r>
      <w:proofErr w:type="spellStart"/>
      <w:r w:rsidR="00C6231E">
        <w:t>C</w:t>
      </w:r>
      <w:r w:rsidR="00EE6C2D">
        <w:t>ovovax</w:t>
      </w:r>
      <w:proofErr w:type="spellEnd"/>
      <w:r w:rsidR="00C6231E">
        <w:t xml:space="preserve"> group included pyrexia, limb crushing injury, and joint effusion (one participant each).</w:t>
      </w:r>
    </w:p>
    <w:p w14:paraId="0C21D8F3" w14:textId="271FE3C6" w:rsidR="00C6231E" w:rsidRDefault="004157E5" w:rsidP="00345763">
      <w:pPr>
        <w:pStyle w:val="ListBullet"/>
      </w:pPr>
      <w:r>
        <w:t>t</w:t>
      </w:r>
      <w:r w:rsidR="00C6231E">
        <w:t xml:space="preserve">he SAEs in the </w:t>
      </w:r>
      <w:proofErr w:type="spellStart"/>
      <w:r w:rsidR="00C6231E">
        <w:t>Novavax</w:t>
      </w:r>
      <w:proofErr w:type="spellEnd"/>
      <w:r w:rsidR="00C6231E">
        <w:t xml:space="preserve"> vaccine group included dengue fever and retinal vein occlusion (one participant each).</w:t>
      </w:r>
    </w:p>
    <w:p w14:paraId="15708011" w14:textId="0D71DC67" w:rsidR="00C6231E" w:rsidRPr="00BA678B" w:rsidRDefault="004157E5" w:rsidP="00345763">
      <w:pPr>
        <w:pStyle w:val="ListBullet"/>
      </w:pPr>
      <w:r>
        <w:t>a</w:t>
      </w:r>
      <w:r w:rsidR="00C6231E">
        <w:t>s per the investigator, none of the SAEs were related to the study vaccine. However</w:t>
      </w:r>
      <w:r w:rsidR="00EE6C2D">
        <w:t>,</w:t>
      </w:r>
      <w:r w:rsidR="00C6231E">
        <w:t xml:space="preserve"> the case with retinal vein occlusion had a temporal relation (11 days post-</w:t>
      </w:r>
      <w:r w:rsidR="00EE6C2D">
        <w:t>first d</w:t>
      </w:r>
      <w:r w:rsidR="00C6231E">
        <w:t xml:space="preserve">ose) to </w:t>
      </w:r>
      <w:proofErr w:type="spellStart"/>
      <w:r w:rsidR="00C6231E">
        <w:t>Novavax</w:t>
      </w:r>
      <w:proofErr w:type="spellEnd"/>
      <w:r w:rsidR="00C6231E">
        <w:t xml:space="preserve"> vaccine and the rationale provided for the non-relatedness does not appear satisfactory</w:t>
      </w:r>
    </w:p>
    <w:p w14:paraId="58D03485" w14:textId="77777777" w:rsidR="008E7846" w:rsidRDefault="00386150" w:rsidP="00345763">
      <w:pPr>
        <w:pStyle w:val="Heading3"/>
        <w:keepNext w:val="0"/>
        <w:keepLines w:val="0"/>
        <w:rPr>
          <w:lang w:eastAsia="en-AU"/>
        </w:rPr>
      </w:pPr>
      <w:bookmarkStart w:id="102" w:name="_Toc93695198"/>
      <w:r>
        <w:rPr>
          <w:lang w:eastAsia="en-AU"/>
        </w:rPr>
        <w:lastRenderedPageBreak/>
        <w:t>Risk m</w:t>
      </w:r>
      <w:r w:rsidR="008E7846">
        <w:rPr>
          <w:lang w:eastAsia="en-AU"/>
        </w:rPr>
        <w:t xml:space="preserve">anagement </w:t>
      </w:r>
      <w:r>
        <w:rPr>
          <w:lang w:eastAsia="en-AU"/>
        </w:rPr>
        <w:t>p</w:t>
      </w:r>
      <w:r w:rsidR="008E7846">
        <w:rPr>
          <w:lang w:eastAsia="en-AU"/>
        </w:rPr>
        <w:t>lan</w:t>
      </w:r>
      <w:bookmarkEnd w:id="40"/>
      <w:bookmarkEnd w:id="102"/>
    </w:p>
    <w:p w14:paraId="1EAB39AF" w14:textId="4907DA4A" w:rsidR="001E631E" w:rsidRDefault="001E631E" w:rsidP="00345763">
      <w:r>
        <w:t>The sponsor</w:t>
      </w:r>
      <w:r w:rsidR="005F1D22">
        <w:t xml:space="preserve"> initially submitted </w:t>
      </w:r>
      <w:r w:rsidR="00DD1A84">
        <w:t>European</w:t>
      </w:r>
      <w:r w:rsidR="005F1D22">
        <w:t xml:space="preserve"> Union (EU)- risk management plan (RMP) version 0.1 (dated 15 September 2021; data lock point (DLP)</w:t>
      </w:r>
      <w:r>
        <w:t xml:space="preserve"> </w:t>
      </w:r>
      <w:r w:rsidR="005F1D22">
        <w:t>10 September 2021) and Australian specific annex (ASA) version 0.1 (dated 30 September 2021) in support of the application. Later in the evaluation phase EU</w:t>
      </w:r>
      <w:r>
        <w:noBreakHyphen/>
      </w:r>
      <w:r w:rsidR="005F1D22">
        <w:t>RMP version 0.5 (date</w:t>
      </w:r>
      <w:r>
        <w:t>d</w:t>
      </w:r>
      <w:r w:rsidR="005F1D22">
        <w:t xml:space="preserve"> 1</w:t>
      </w:r>
      <w:r w:rsidR="003B5F01">
        <w:t>6</w:t>
      </w:r>
      <w:r w:rsidR="005F1D22">
        <w:t xml:space="preserve"> </w:t>
      </w:r>
      <w:r w:rsidR="003B5F01">
        <w:t>December</w:t>
      </w:r>
      <w:r w:rsidR="005F1D22">
        <w:t xml:space="preserve"> 2021; DLP </w:t>
      </w:r>
      <w:r w:rsidR="003B5F01">
        <w:t>16</w:t>
      </w:r>
      <w:r w:rsidR="005F1D22">
        <w:t xml:space="preserve"> </w:t>
      </w:r>
      <w:r w:rsidR="003B5F01">
        <w:t>December</w:t>
      </w:r>
      <w:r w:rsidR="005F1D22">
        <w:t xml:space="preserve"> 2021) and ASA version 0.2 (18 </w:t>
      </w:r>
      <w:r w:rsidR="00245558">
        <w:t>December</w:t>
      </w:r>
      <w:r w:rsidR="005F1D22">
        <w:t xml:space="preserve"> 2021) were provided.</w:t>
      </w:r>
    </w:p>
    <w:p w14:paraId="3CA3CC0A" w14:textId="34A984C2" w:rsidR="001E631E" w:rsidRDefault="005F1D22" w:rsidP="00345763">
      <w:r>
        <w:t xml:space="preserve">The </w:t>
      </w:r>
      <w:r w:rsidR="001E631E">
        <w:t xml:space="preserve">European Medicines Agency (EMA) </w:t>
      </w:r>
      <w:r>
        <w:t>approved EU</w:t>
      </w:r>
      <w:r w:rsidR="001E631E">
        <w:noBreakHyphen/>
      </w:r>
      <w:r>
        <w:t>RMP version 1.0</w:t>
      </w:r>
      <w:r w:rsidR="001E631E">
        <w:t xml:space="preserve"> (</w:t>
      </w:r>
      <w:r>
        <w:t>date 18</w:t>
      </w:r>
      <w:r w:rsidR="001E631E">
        <w:t> </w:t>
      </w:r>
      <w:r>
        <w:t>December</w:t>
      </w:r>
      <w:r w:rsidR="001E631E">
        <w:t> </w:t>
      </w:r>
      <w:r>
        <w:t>2021; DLP 20 December 2021)</w:t>
      </w:r>
      <w:r w:rsidR="001E631E">
        <w:t>.</w:t>
      </w:r>
    </w:p>
    <w:p w14:paraId="3822490E" w14:textId="5C282E86" w:rsidR="005F1D22" w:rsidRDefault="001E631E" w:rsidP="00345763">
      <w:r>
        <w:t>T</w:t>
      </w:r>
      <w:r w:rsidR="005F1D22">
        <w:t>he accompanying ASA (version 0.3, date 23</w:t>
      </w:r>
      <w:r>
        <w:t> </w:t>
      </w:r>
      <w:r w:rsidR="005F1D22">
        <w:t xml:space="preserve">December 2021) were provided </w:t>
      </w:r>
      <w:r>
        <w:t xml:space="preserve">to the TGA </w:t>
      </w:r>
      <w:r w:rsidR="005F1D22">
        <w:t xml:space="preserve">on 23 December 2021. With the responses to </w:t>
      </w:r>
      <w:r>
        <w:t xml:space="preserve">the TGA’s first round </w:t>
      </w:r>
      <w:r w:rsidR="005F1D22">
        <w:t>RMP recommendations, the sponsor provided an updated ASA (version 0.4; date 29</w:t>
      </w:r>
      <w:r>
        <w:t> </w:t>
      </w:r>
      <w:r w:rsidR="005F1D22">
        <w:t>December</w:t>
      </w:r>
      <w:r>
        <w:t> </w:t>
      </w:r>
      <w:r w:rsidR="005F1D22">
        <w:t>2021).</w:t>
      </w:r>
      <w:r w:rsidR="00270251">
        <w:t xml:space="preserve"> With response to TGA’s second round RMP recommendation, the sponsor provided an updated ASA (version 1.0, dated 19 January 2022)</w:t>
      </w:r>
      <w:r w:rsidR="00E74BA6">
        <w:t>.</w:t>
      </w:r>
    </w:p>
    <w:p w14:paraId="763B2E52" w14:textId="45EAAC5A" w:rsidR="005F1D22" w:rsidRDefault="005F1D22" w:rsidP="00345763">
      <w:r>
        <w:t xml:space="preserve">The summary of safety concerns and their associated risk monitoring and mitigation strategies are summarised in </w:t>
      </w:r>
      <w:r>
        <w:fldChar w:fldCharType="begin" w:fldLock="1"/>
      </w:r>
      <w:r>
        <w:instrText xml:space="preserve"> REF _Ref92804713 \h </w:instrText>
      </w:r>
      <w:r w:rsidR="009B2E6C">
        <w:instrText xml:space="preserve"> \* MERGEFORMAT </w:instrText>
      </w:r>
      <w:r>
        <w:fldChar w:fldCharType="separate"/>
      </w:r>
      <w:r w:rsidR="00AA298B" w:rsidRPr="005F1D22">
        <w:t xml:space="preserve">Table </w:t>
      </w:r>
      <w:r w:rsidR="00AA298B">
        <w:t>42</w:t>
      </w:r>
      <w:r>
        <w:fldChar w:fldCharType="end"/>
      </w:r>
      <w:r>
        <w:t>.</w:t>
      </w:r>
      <w:r w:rsidR="00C41FF6">
        <w:rPr>
          <w:rFonts w:ascii="ZWAdobeF" w:hAnsi="ZWAdobeF" w:cs="ZWAdobeF"/>
          <w:sz w:val="2"/>
          <w:szCs w:val="2"/>
        </w:rPr>
        <w:t>36F</w:t>
      </w:r>
      <w:r>
        <w:rPr>
          <w:rStyle w:val="FootnoteReference"/>
        </w:rPr>
        <w:footnoteReference w:id="37"/>
      </w:r>
    </w:p>
    <w:p w14:paraId="6221BB2B" w14:textId="6FABB069" w:rsidR="005F1D22" w:rsidRDefault="005F1D22" w:rsidP="00CB0654">
      <w:pPr>
        <w:pStyle w:val="TableTitle"/>
      </w:pPr>
      <w:bookmarkStart w:id="103" w:name="_Ref92804713"/>
      <w:r w:rsidRPr="005F1D22">
        <w:t xml:space="preserve">Table </w:t>
      </w:r>
      <w:r w:rsidR="00344FF4">
        <w:fldChar w:fldCharType="begin"/>
      </w:r>
      <w:r w:rsidR="00344FF4">
        <w:instrText xml:space="preserve"> SEQ Table \* ARABIC </w:instrText>
      </w:r>
      <w:r w:rsidR="00344FF4">
        <w:fldChar w:fldCharType="separate"/>
      </w:r>
      <w:r w:rsidR="00C41FF6">
        <w:rPr>
          <w:noProof/>
        </w:rPr>
        <w:t>42</w:t>
      </w:r>
      <w:r w:rsidR="00344FF4">
        <w:rPr>
          <w:noProof/>
        </w:rPr>
        <w:fldChar w:fldCharType="end"/>
      </w:r>
      <w:bookmarkEnd w:id="103"/>
      <w:r>
        <w:t xml:space="preserve">: </w:t>
      </w:r>
      <w:r w:rsidR="001E631E">
        <w:t>Summary of s</w:t>
      </w:r>
      <w:r>
        <w:t>afety concerns and their associated risk monitoring and mitigation strategies</w:t>
      </w:r>
    </w:p>
    <w:tbl>
      <w:tblPr>
        <w:tblStyle w:val="TableTGAblue"/>
        <w:tblW w:w="5000" w:type="pct"/>
        <w:tblLook w:val="04A0" w:firstRow="1" w:lastRow="0" w:firstColumn="1" w:lastColumn="0" w:noHBand="0" w:noVBand="1"/>
      </w:tblPr>
      <w:tblGrid>
        <w:gridCol w:w="1327"/>
        <w:gridCol w:w="3241"/>
        <w:gridCol w:w="872"/>
        <w:gridCol w:w="1091"/>
        <w:gridCol w:w="872"/>
        <w:gridCol w:w="1091"/>
      </w:tblGrid>
      <w:tr w:rsidR="005F1D22" w:rsidRPr="00BF52F4" w14:paraId="70627114" w14:textId="77777777" w:rsidTr="009B4460">
        <w:trPr>
          <w:cnfStyle w:val="100000000000" w:firstRow="1" w:lastRow="0" w:firstColumn="0" w:lastColumn="0" w:oddVBand="0" w:evenVBand="0" w:oddHBand="0" w:evenHBand="0" w:firstRowFirstColumn="0" w:firstRowLastColumn="0" w:lastRowFirstColumn="0" w:lastRowLastColumn="0"/>
          <w:trHeight w:val="131"/>
        </w:trPr>
        <w:tc>
          <w:tcPr>
            <w:tcW w:w="2829" w:type="pct"/>
            <w:gridSpan w:val="2"/>
            <w:vMerge w:val="restart"/>
            <w:tcBorders>
              <w:top w:val="single" w:sz="4" w:space="0" w:color="auto"/>
              <w:left w:val="single" w:sz="4" w:space="0" w:color="auto"/>
              <w:bottom w:val="single" w:sz="4" w:space="0" w:color="auto"/>
              <w:right w:val="single" w:sz="4" w:space="0" w:color="auto"/>
            </w:tcBorders>
          </w:tcPr>
          <w:p w14:paraId="31B81453" w14:textId="77777777" w:rsidR="005F1D22" w:rsidRPr="009B4460" w:rsidRDefault="005F1D22" w:rsidP="00345763">
            <w:pPr>
              <w:pStyle w:val="Tabletext"/>
              <w:keepNext w:val="0"/>
              <w:ind w:left="0" w:right="0"/>
              <w:rPr>
                <w:b w:val="0"/>
                <w:sz w:val="20"/>
              </w:rPr>
            </w:pPr>
            <w:r w:rsidRPr="009B4460">
              <w:rPr>
                <w:sz w:val="20"/>
              </w:rPr>
              <w:t>Summary of safety concerns</w:t>
            </w:r>
          </w:p>
        </w:tc>
        <w:tc>
          <w:tcPr>
            <w:tcW w:w="1085" w:type="pct"/>
            <w:gridSpan w:val="2"/>
            <w:tcBorders>
              <w:top w:val="single" w:sz="4" w:space="0" w:color="auto"/>
              <w:left w:val="single" w:sz="4" w:space="0" w:color="auto"/>
              <w:bottom w:val="single" w:sz="4" w:space="0" w:color="auto"/>
              <w:right w:val="single" w:sz="4" w:space="0" w:color="auto"/>
            </w:tcBorders>
          </w:tcPr>
          <w:p w14:paraId="7DF0848C" w14:textId="77777777" w:rsidR="005F1D22" w:rsidRPr="00BF52F4" w:rsidRDefault="005F1D22" w:rsidP="00345763">
            <w:pPr>
              <w:pStyle w:val="Tabletext"/>
              <w:keepNext w:val="0"/>
              <w:ind w:left="0" w:right="0"/>
              <w:rPr>
                <w:b w:val="0"/>
                <w:sz w:val="18"/>
              </w:rPr>
            </w:pPr>
            <w:r w:rsidRPr="00BF52F4">
              <w:rPr>
                <w:sz w:val="18"/>
              </w:rPr>
              <w:t>Pharmacovigilance</w:t>
            </w:r>
          </w:p>
        </w:tc>
        <w:tc>
          <w:tcPr>
            <w:tcW w:w="1085" w:type="pct"/>
            <w:gridSpan w:val="2"/>
            <w:tcBorders>
              <w:top w:val="single" w:sz="4" w:space="0" w:color="auto"/>
              <w:left w:val="single" w:sz="4" w:space="0" w:color="auto"/>
              <w:bottom w:val="single" w:sz="4" w:space="0" w:color="auto"/>
              <w:right w:val="single" w:sz="4" w:space="0" w:color="auto"/>
            </w:tcBorders>
          </w:tcPr>
          <w:p w14:paraId="0F19EB3E" w14:textId="77777777" w:rsidR="005F1D22" w:rsidRPr="00BF52F4" w:rsidRDefault="005F1D22" w:rsidP="00345763">
            <w:pPr>
              <w:pStyle w:val="Tabletext"/>
              <w:keepNext w:val="0"/>
              <w:ind w:left="0" w:right="0"/>
              <w:rPr>
                <w:b w:val="0"/>
                <w:sz w:val="18"/>
              </w:rPr>
            </w:pPr>
            <w:r w:rsidRPr="00BF52F4">
              <w:rPr>
                <w:sz w:val="18"/>
              </w:rPr>
              <w:t>Risk Minimisation</w:t>
            </w:r>
          </w:p>
        </w:tc>
      </w:tr>
      <w:tr w:rsidR="005F1D22" w:rsidRPr="00BF52F4" w14:paraId="48FBD540" w14:textId="77777777" w:rsidTr="009B4460">
        <w:trPr>
          <w:trHeight w:val="150"/>
        </w:trPr>
        <w:tc>
          <w:tcPr>
            <w:tcW w:w="2829" w:type="pct"/>
            <w:gridSpan w:val="2"/>
            <w:vMerge/>
            <w:tcBorders>
              <w:top w:val="single" w:sz="4" w:space="0" w:color="auto"/>
              <w:left w:val="single" w:sz="4" w:space="0" w:color="auto"/>
              <w:bottom w:val="single" w:sz="4" w:space="0" w:color="auto"/>
              <w:right w:val="single" w:sz="4" w:space="0" w:color="auto"/>
            </w:tcBorders>
          </w:tcPr>
          <w:p w14:paraId="0B98F804" w14:textId="77777777" w:rsidR="005F1D22" w:rsidRPr="009B4460" w:rsidRDefault="005F1D22" w:rsidP="00345763">
            <w:pPr>
              <w:pStyle w:val="Tabletext"/>
              <w:ind w:left="0" w:right="0"/>
              <w:rPr>
                <w:b/>
                <w:sz w:val="20"/>
              </w:rPr>
            </w:pPr>
          </w:p>
        </w:tc>
        <w:tc>
          <w:tcPr>
            <w:tcW w:w="484" w:type="pct"/>
            <w:tcBorders>
              <w:top w:val="single" w:sz="4" w:space="0" w:color="auto"/>
              <w:left w:val="single" w:sz="4" w:space="0" w:color="auto"/>
              <w:bottom w:val="single" w:sz="4" w:space="0" w:color="auto"/>
              <w:right w:val="single" w:sz="4" w:space="0" w:color="auto"/>
            </w:tcBorders>
            <w:shd w:val="clear" w:color="auto" w:fill="006DA7"/>
          </w:tcPr>
          <w:p w14:paraId="066F6CBA" w14:textId="77777777" w:rsidR="005F1D22" w:rsidRPr="0085688B" w:rsidRDefault="005F1D22" w:rsidP="00345763">
            <w:pPr>
              <w:pStyle w:val="Tabletext"/>
              <w:ind w:left="0" w:right="0"/>
              <w:rPr>
                <w:b/>
                <w:bCs/>
                <w:color w:val="FFFFFF" w:themeColor="background1"/>
                <w:sz w:val="18"/>
              </w:rPr>
            </w:pPr>
            <w:r w:rsidRPr="0085688B">
              <w:rPr>
                <w:b/>
                <w:bCs/>
                <w:color w:val="FFFFFF" w:themeColor="background1"/>
                <w:sz w:val="18"/>
              </w:rPr>
              <w:t>Routine</w:t>
            </w:r>
          </w:p>
        </w:tc>
        <w:tc>
          <w:tcPr>
            <w:tcW w:w="602" w:type="pct"/>
            <w:tcBorders>
              <w:top w:val="single" w:sz="4" w:space="0" w:color="auto"/>
              <w:left w:val="single" w:sz="4" w:space="0" w:color="auto"/>
              <w:bottom w:val="single" w:sz="4" w:space="0" w:color="auto"/>
              <w:right w:val="single" w:sz="4" w:space="0" w:color="auto"/>
            </w:tcBorders>
            <w:shd w:val="clear" w:color="auto" w:fill="006DA7"/>
          </w:tcPr>
          <w:p w14:paraId="7BAAC2AE" w14:textId="77777777" w:rsidR="005F1D22" w:rsidRPr="0085688B" w:rsidRDefault="005F1D22" w:rsidP="00345763">
            <w:pPr>
              <w:pStyle w:val="Tabletext"/>
              <w:ind w:left="0" w:right="0"/>
              <w:rPr>
                <w:b/>
                <w:bCs/>
                <w:color w:val="FFFFFF" w:themeColor="background1"/>
                <w:sz w:val="18"/>
              </w:rPr>
            </w:pPr>
            <w:r w:rsidRPr="0085688B">
              <w:rPr>
                <w:b/>
                <w:bCs/>
                <w:color w:val="FFFFFF" w:themeColor="background1"/>
                <w:sz w:val="18"/>
              </w:rPr>
              <w:t>Additional</w:t>
            </w:r>
          </w:p>
        </w:tc>
        <w:tc>
          <w:tcPr>
            <w:tcW w:w="484" w:type="pct"/>
            <w:tcBorders>
              <w:top w:val="single" w:sz="4" w:space="0" w:color="auto"/>
              <w:left w:val="single" w:sz="4" w:space="0" w:color="auto"/>
              <w:bottom w:val="single" w:sz="4" w:space="0" w:color="auto"/>
              <w:right w:val="single" w:sz="4" w:space="0" w:color="auto"/>
            </w:tcBorders>
            <w:shd w:val="clear" w:color="auto" w:fill="006DA7"/>
          </w:tcPr>
          <w:p w14:paraId="60FB865E" w14:textId="77777777" w:rsidR="005F1D22" w:rsidRPr="0085688B" w:rsidRDefault="005F1D22" w:rsidP="00345763">
            <w:pPr>
              <w:pStyle w:val="Tabletext"/>
              <w:ind w:left="0" w:right="0"/>
              <w:rPr>
                <w:b/>
                <w:bCs/>
                <w:color w:val="FFFFFF" w:themeColor="background1"/>
                <w:sz w:val="18"/>
              </w:rPr>
            </w:pPr>
            <w:r w:rsidRPr="0085688B">
              <w:rPr>
                <w:b/>
                <w:bCs/>
                <w:color w:val="FFFFFF" w:themeColor="background1"/>
                <w:sz w:val="18"/>
              </w:rPr>
              <w:t>Routine</w:t>
            </w:r>
          </w:p>
        </w:tc>
        <w:tc>
          <w:tcPr>
            <w:tcW w:w="602" w:type="pct"/>
            <w:tcBorders>
              <w:top w:val="single" w:sz="4" w:space="0" w:color="auto"/>
              <w:left w:val="single" w:sz="4" w:space="0" w:color="auto"/>
              <w:bottom w:val="single" w:sz="4" w:space="0" w:color="auto"/>
              <w:right w:val="single" w:sz="4" w:space="0" w:color="auto"/>
            </w:tcBorders>
            <w:shd w:val="clear" w:color="auto" w:fill="006DA7"/>
          </w:tcPr>
          <w:p w14:paraId="2C5EB96A" w14:textId="77777777" w:rsidR="005F1D22" w:rsidRPr="0085688B" w:rsidRDefault="005F1D22" w:rsidP="00345763">
            <w:pPr>
              <w:pStyle w:val="Tabletext"/>
              <w:ind w:left="0" w:right="0"/>
              <w:rPr>
                <w:b/>
                <w:bCs/>
                <w:color w:val="FFFFFF" w:themeColor="background1"/>
                <w:sz w:val="18"/>
              </w:rPr>
            </w:pPr>
            <w:r w:rsidRPr="0085688B">
              <w:rPr>
                <w:b/>
                <w:bCs/>
                <w:color w:val="FFFFFF" w:themeColor="background1"/>
                <w:sz w:val="18"/>
              </w:rPr>
              <w:t>Additional</w:t>
            </w:r>
          </w:p>
        </w:tc>
      </w:tr>
      <w:tr w:rsidR="005F1D22" w:rsidRPr="00BF52F4" w14:paraId="08DB497A" w14:textId="77777777" w:rsidTr="009B4460">
        <w:trPr>
          <w:trHeight w:val="137"/>
        </w:trPr>
        <w:tc>
          <w:tcPr>
            <w:tcW w:w="781" w:type="pct"/>
            <w:tcBorders>
              <w:top w:val="single" w:sz="4" w:space="0" w:color="auto"/>
            </w:tcBorders>
          </w:tcPr>
          <w:p w14:paraId="0030C581" w14:textId="77777777" w:rsidR="005F1D22" w:rsidRPr="009B4460" w:rsidRDefault="005F1D22" w:rsidP="00345763">
            <w:pPr>
              <w:pStyle w:val="Tabletext"/>
              <w:ind w:left="0" w:right="0"/>
              <w:rPr>
                <w:b/>
                <w:sz w:val="20"/>
              </w:rPr>
            </w:pPr>
            <w:r w:rsidRPr="009B4460">
              <w:rPr>
                <w:b/>
                <w:sz w:val="20"/>
              </w:rPr>
              <w:t>Important identified risks</w:t>
            </w:r>
          </w:p>
        </w:tc>
        <w:tc>
          <w:tcPr>
            <w:tcW w:w="2048" w:type="pct"/>
            <w:tcBorders>
              <w:top w:val="single" w:sz="4" w:space="0" w:color="auto"/>
            </w:tcBorders>
          </w:tcPr>
          <w:p w14:paraId="6A15A3C0" w14:textId="77777777" w:rsidR="005F1D22" w:rsidRPr="009B4460" w:rsidRDefault="005F1D22" w:rsidP="00345763">
            <w:pPr>
              <w:pStyle w:val="Tabletext"/>
              <w:ind w:left="0" w:right="0"/>
              <w:rPr>
                <w:sz w:val="20"/>
              </w:rPr>
            </w:pPr>
            <w:r w:rsidRPr="009B4460">
              <w:rPr>
                <w:sz w:val="20"/>
              </w:rPr>
              <w:t>None</w:t>
            </w:r>
          </w:p>
        </w:tc>
        <w:tc>
          <w:tcPr>
            <w:tcW w:w="484" w:type="pct"/>
            <w:tcBorders>
              <w:top w:val="single" w:sz="4" w:space="0" w:color="auto"/>
            </w:tcBorders>
          </w:tcPr>
          <w:p w14:paraId="5B37FE4D" w14:textId="77777777" w:rsidR="005F1D22" w:rsidRPr="0082562B" w:rsidRDefault="005F1D22" w:rsidP="00345763">
            <w:pPr>
              <w:pStyle w:val="Tabletext"/>
              <w:jc w:val="center"/>
            </w:pPr>
            <w:r w:rsidRPr="0082562B">
              <w:t>–</w:t>
            </w:r>
          </w:p>
        </w:tc>
        <w:tc>
          <w:tcPr>
            <w:tcW w:w="602" w:type="pct"/>
            <w:tcBorders>
              <w:top w:val="single" w:sz="4" w:space="0" w:color="auto"/>
            </w:tcBorders>
          </w:tcPr>
          <w:p w14:paraId="0E23BA60" w14:textId="77777777" w:rsidR="005F1D22" w:rsidRPr="0082562B" w:rsidRDefault="005F1D22" w:rsidP="00345763">
            <w:pPr>
              <w:pStyle w:val="Tabletext"/>
              <w:jc w:val="center"/>
            </w:pPr>
            <w:r w:rsidRPr="0082562B">
              <w:t>–</w:t>
            </w:r>
          </w:p>
        </w:tc>
        <w:tc>
          <w:tcPr>
            <w:tcW w:w="484" w:type="pct"/>
            <w:tcBorders>
              <w:top w:val="single" w:sz="4" w:space="0" w:color="auto"/>
            </w:tcBorders>
          </w:tcPr>
          <w:p w14:paraId="0BB1A5A8" w14:textId="77777777" w:rsidR="005F1D22" w:rsidRPr="0082562B" w:rsidRDefault="005F1D22" w:rsidP="00345763">
            <w:pPr>
              <w:pStyle w:val="Tabletext"/>
              <w:jc w:val="center"/>
            </w:pPr>
            <w:r w:rsidRPr="0082562B">
              <w:t>–</w:t>
            </w:r>
          </w:p>
        </w:tc>
        <w:tc>
          <w:tcPr>
            <w:tcW w:w="602" w:type="pct"/>
            <w:tcBorders>
              <w:top w:val="single" w:sz="4" w:space="0" w:color="auto"/>
            </w:tcBorders>
          </w:tcPr>
          <w:p w14:paraId="392CDB06" w14:textId="77777777" w:rsidR="005F1D22" w:rsidRPr="0082562B" w:rsidRDefault="005F1D22" w:rsidP="00345763">
            <w:pPr>
              <w:pStyle w:val="Tabletext"/>
              <w:jc w:val="center"/>
            </w:pPr>
            <w:r w:rsidRPr="0082562B">
              <w:t>–</w:t>
            </w:r>
          </w:p>
        </w:tc>
      </w:tr>
      <w:tr w:rsidR="005F1D22" w:rsidRPr="00BF52F4" w14:paraId="5E483781" w14:textId="77777777" w:rsidTr="009B4460">
        <w:trPr>
          <w:trHeight w:val="159"/>
        </w:trPr>
        <w:tc>
          <w:tcPr>
            <w:tcW w:w="781" w:type="pct"/>
            <w:vMerge w:val="restart"/>
          </w:tcPr>
          <w:p w14:paraId="5F9E8E0F" w14:textId="77777777" w:rsidR="005F1D22" w:rsidRPr="009B4460" w:rsidRDefault="005F1D22" w:rsidP="00345763">
            <w:pPr>
              <w:pStyle w:val="Tabletext"/>
              <w:ind w:left="0" w:right="0"/>
              <w:rPr>
                <w:b/>
                <w:sz w:val="20"/>
              </w:rPr>
            </w:pPr>
            <w:r w:rsidRPr="009B4460">
              <w:rPr>
                <w:b/>
                <w:sz w:val="20"/>
              </w:rPr>
              <w:t>Important potential risks</w:t>
            </w:r>
          </w:p>
        </w:tc>
        <w:tc>
          <w:tcPr>
            <w:tcW w:w="2048" w:type="pct"/>
          </w:tcPr>
          <w:p w14:paraId="60BCACE4" w14:textId="77777777" w:rsidR="005F1D22" w:rsidRPr="009B4460" w:rsidRDefault="005F1D22" w:rsidP="00345763">
            <w:pPr>
              <w:pStyle w:val="Tabletext"/>
              <w:ind w:left="0" w:right="0"/>
              <w:rPr>
                <w:sz w:val="20"/>
              </w:rPr>
            </w:pPr>
            <w:r w:rsidRPr="009B4460">
              <w:rPr>
                <w:bCs/>
                <w:sz w:val="20"/>
                <w:szCs w:val="20"/>
              </w:rPr>
              <w:t xml:space="preserve">Vaccine-associated enhanced disease (VAED), including vaccine-associated enhanced respiratory disease (VAERD) </w:t>
            </w:r>
          </w:p>
        </w:tc>
        <w:tc>
          <w:tcPr>
            <w:tcW w:w="484" w:type="pct"/>
          </w:tcPr>
          <w:p w14:paraId="41417FB1" w14:textId="77777777" w:rsidR="005F1D22" w:rsidRPr="00856297" w:rsidRDefault="005F1D22" w:rsidP="00345763">
            <w:pPr>
              <w:pStyle w:val="Tabletext"/>
              <w:jc w:val="center"/>
            </w:pPr>
            <w:r w:rsidRPr="00856297">
              <w:sym w:font="Wingdings" w:char="F0FC"/>
            </w:r>
            <w:r w:rsidRPr="00856297">
              <w:rPr>
                <w:rFonts w:asciiTheme="majorHAnsi" w:hAnsiTheme="majorHAnsi"/>
                <w:szCs w:val="20"/>
              </w:rPr>
              <w:t>*</w:t>
            </w:r>
          </w:p>
        </w:tc>
        <w:tc>
          <w:tcPr>
            <w:tcW w:w="602" w:type="pct"/>
          </w:tcPr>
          <w:p w14:paraId="08CC937A" w14:textId="7777777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2B42718F" w14:textId="77777777" w:rsidR="005F1D22" w:rsidRPr="0082562B" w:rsidRDefault="005F1D22" w:rsidP="00345763">
            <w:pPr>
              <w:pStyle w:val="Tabletext"/>
              <w:jc w:val="center"/>
            </w:pPr>
            <w:r w:rsidRPr="0082562B">
              <w:t>–</w:t>
            </w:r>
          </w:p>
        </w:tc>
        <w:tc>
          <w:tcPr>
            <w:tcW w:w="602" w:type="pct"/>
          </w:tcPr>
          <w:p w14:paraId="2F0B444E" w14:textId="77777777" w:rsidR="005F1D22" w:rsidRPr="0082562B" w:rsidRDefault="005F1D22" w:rsidP="00345763">
            <w:pPr>
              <w:pStyle w:val="Tabletext"/>
              <w:jc w:val="center"/>
            </w:pPr>
            <w:r w:rsidRPr="0082562B">
              <w:t>–</w:t>
            </w:r>
          </w:p>
        </w:tc>
      </w:tr>
      <w:tr w:rsidR="005F1D22" w:rsidRPr="00BF52F4" w14:paraId="141CEBD1" w14:textId="77777777" w:rsidTr="009B4460">
        <w:trPr>
          <w:trHeight w:val="159"/>
        </w:trPr>
        <w:tc>
          <w:tcPr>
            <w:tcW w:w="781" w:type="pct"/>
            <w:vMerge/>
          </w:tcPr>
          <w:p w14:paraId="13864188" w14:textId="77777777" w:rsidR="005F1D22" w:rsidRPr="009B4460" w:rsidRDefault="005F1D22" w:rsidP="00345763">
            <w:pPr>
              <w:pStyle w:val="Tabletext"/>
              <w:ind w:left="0" w:right="0"/>
              <w:rPr>
                <w:b/>
                <w:sz w:val="20"/>
              </w:rPr>
            </w:pPr>
          </w:p>
        </w:tc>
        <w:tc>
          <w:tcPr>
            <w:tcW w:w="2048" w:type="pct"/>
          </w:tcPr>
          <w:p w14:paraId="208CC6F0" w14:textId="6F908B6E" w:rsidR="005F1D22" w:rsidRPr="009B4460" w:rsidRDefault="005F1D22" w:rsidP="00345763">
            <w:pPr>
              <w:pStyle w:val="Tabletext"/>
              <w:ind w:left="0" w:right="0"/>
              <w:rPr>
                <w:bCs/>
                <w:sz w:val="20"/>
                <w:szCs w:val="20"/>
              </w:rPr>
            </w:pPr>
            <w:r w:rsidRPr="009B4460">
              <w:rPr>
                <w:bCs/>
                <w:sz w:val="20"/>
                <w:szCs w:val="20"/>
              </w:rPr>
              <w:t>Anaphylaxis</w:t>
            </w:r>
          </w:p>
        </w:tc>
        <w:tc>
          <w:tcPr>
            <w:tcW w:w="484" w:type="pct"/>
          </w:tcPr>
          <w:p w14:paraId="53B8B86F" w14:textId="77777777" w:rsidR="005F1D22" w:rsidRPr="00856297" w:rsidRDefault="005F1D22" w:rsidP="00345763">
            <w:pPr>
              <w:pStyle w:val="Tabletext"/>
              <w:jc w:val="center"/>
            </w:pPr>
            <w:r w:rsidRPr="00856297">
              <w:sym w:font="Wingdings" w:char="F0FC"/>
            </w:r>
            <w:r w:rsidRPr="00856297">
              <w:rPr>
                <w:rFonts w:asciiTheme="majorHAnsi" w:hAnsiTheme="majorHAnsi"/>
                <w:szCs w:val="20"/>
              </w:rPr>
              <w:t>*</w:t>
            </w:r>
          </w:p>
        </w:tc>
        <w:tc>
          <w:tcPr>
            <w:tcW w:w="602" w:type="pct"/>
          </w:tcPr>
          <w:p w14:paraId="70884C98" w14:textId="7777777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37EF4DFE" w14:textId="77777777" w:rsidR="005F1D22" w:rsidRPr="0082562B" w:rsidRDefault="005F1D22" w:rsidP="00345763">
            <w:pPr>
              <w:pStyle w:val="Tabletext"/>
              <w:jc w:val="center"/>
            </w:pPr>
            <w:r w:rsidRPr="0082562B">
              <w:sym w:font="Wingdings" w:char="F0FC"/>
            </w:r>
          </w:p>
        </w:tc>
        <w:tc>
          <w:tcPr>
            <w:tcW w:w="602" w:type="pct"/>
          </w:tcPr>
          <w:p w14:paraId="728FDCF7" w14:textId="77777777" w:rsidR="005F1D22" w:rsidRPr="0082562B" w:rsidRDefault="005F1D22" w:rsidP="00345763">
            <w:pPr>
              <w:pStyle w:val="Tabletext"/>
              <w:jc w:val="center"/>
            </w:pPr>
            <w:r w:rsidRPr="0082562B">
              <w:t>–</w:t>
            </w:r>
          </w:p>
        </w:tc>
      </w:tr>
      <w:tr w:rsidR="005F1D22" w:rsidRPr="00BF52F4" w14:paraId="0FC8C686" w14:textId="77777777" w:rsidTr="009B4460">
        <w:trPr>
          <w:trHeight w:val="122"/>
        </w:trPr>
        <w:tc>
          <w:tcPr>
            <w:tcW w:w="781" w:type="pct"/>
            <w:vMerge/>
          </w:tcPr>
          <w:p w14:paraId="348F5C9C" w14:textId="77777777" w:rsidR="005F1D22" w:rsidRPr="009B4460" w:rsidRDefault="005F1D22" w:rsidP="00345763">
            <w:pPr>
              <w:pStyle w:val="Tabletext"/>
              <w:ind w:left="0" w:right="0"/>
              <w:rPr>
                <w:b/>
                <w:sz w:val="20"/>
              </w:rPr>
            </w:pPr>
          </w:p>
        </w:tc>
        <w:tc>
          <w:tcPr>
            <w:tcW w:w="2048" w:type="pct"/>
          </w:tcPr>
          <w:p w14:paraId="7AE0A289" w14:textId="77777777" w:rsidR="005F1D22" w:rsidRPr="009B4460" w:rsidRDefault="005F1D22" w:rsidP="00345763">
            <w:pPr>
              <w:pStyle w:val="Tabletext"/>
              <w:ind w:left="0" w:right="0"/>
              <w:rPr>
                <w:sz w:val="20"/>
              </w:rPr>
            </w:pPr>
            <w:r w:rsidRPr="009B4460">
              <w:rPr>
                <w:bCs/>
                <w:sz w:val="20"/>
                <w:szCs w:val="20"/>
              </w:rPr>
              <w:t>Myocarditis and pericarditis</w:t>
            </w:r>
          </w:p>
        </w:tc>
        <w:tc>
          <w:tcPr>
            <w:tcW w:w="484" w:type="pct"/>
          </w:tcPr>
          <w:p w14:paraId="16C8681E" w14:textId="77777777" w:rsidR="005F1D22" w:rsidRPr="00856297" w:rsidRDefault="005F1D22" w:rsidP="00345763">
            <w:pPr>
              <w:pStyle w:val="Tabletext"/>
              <w:jc w:val="center"/>
            </w:pPr>
            <w:r w:rsidRPr="00856297">
              <w:sym w:font="Wingdings" w:char="F0FC"/>
            </w:r>
          </w:p>
        </w:tc>
        <w:tc>
          <w:tcPr>
            <w:tcW w:w="602" w:type="pct"/>
          </w:tcPr>
          <w:p w14:paraId="214F149A" w14:textId="7777777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71D61948" w14:textId="77777777" w:rsidR="005F1D22" w:rsidRPr="0082562B" w:rsidRDefault="005F1D22" w:rsidP="00345763">
            <w:pPr>
              <w:pStyle w:val="Tabletext"/>
              <w:jc w:val="center"/>
            </w:pPr>
            <w:r w:rsidRPr="0082562B">
              <w:t>–</w:t>
            </w:r>
          </w:p>
        </w:tc>
        <w:tc>
          <w:tcPr>
            <w:tcW w:w="602" w:type="pct"/>
          </w:tcPr>
          <w:p w14:paraId="3D94C7FB" w14:textId="77777777" w:rsidR="005F1D22" w:rsidRPr="0082562B" w:rsidRDefault="005F1D22" w:rsidP="00345763">
            <w:pPr>
              <w:pStyle w:val="Tabletext"/>
              <w:jc w:val="center"/>
            </w:pPr>
            <w:r w:rsidRPr="0082562B">
              <w:t>–</w:t>
            </w:r>
          </w:p>
        </w:tc>
      </w:tr>
      <w:tr w:rsidR="005F1D22" w:rsidRPr="00BF52F4" w14:paraId="183AE32D" w14:textId="77777777" w:rsidTr="009B4460">
        <w:trPr>
          <w:trHeight w:val="178"/>
        </w:trPr>
        <w:tc>
          <w:tcPr>
            <w:tcW w:w="781" w:type="pct"/>
            <w:vMerge w:val="restart"/>
          </w:tcPr>
          <w:p w14:paraId="2474AA18" w14:textId="77777777" w:rsidR="005F1D22" w:rsidRPr="009B4460" w:rsidRDefault="005F1D22" w:rsidP="00345763">
            <w:pPr>
              <w:pStyle w:val="Tabletext"/>
              <w:ind w:left="0" w:right="0"/>
              <w:rPr>
                <w:b/>
                <w:sz w:val="20"/>
              </w:rPr>
            </w:pPr>
            <w:r w:rsidRPr="009B4460">
              <w:rPr>
                <w:b/>
                <w:sz w:val="20"/>
              </w:rPr>
              <w:t>Missing information</w:t>
            </w:r>
          </w:p>
        </w:tc>
        <w:tc>
          <w:tcPr>
            <w:tcW w:w="2048" w:type="pct"/>
          </w:tcPr>
          <w:p w14:paraId="2AAE2307" w14:textId="77777777" w:rsidR="005F1D22" w:rsidRPr="009B4460" w:rsidRDefault="005F1D22" w:rsidP="00345763">
            <w:pPr>
              <w:pStyle w:val="Tabletext"/>
              <w:ind w:left="0" w:right="0"/>
              <w:rPr>
                <w:sz w:val="20"/>
              </w:rPr>
            </w:pPr>
            <w:r w:rsidRPr="009B4460">
              <w:rPr>
                <w:bCs/>
                <w:sz w:val="20"/>
                <w:szCs w:val="20"/>
              </w:rPr>
              <w:t xml:space="preserve">Use in pregnancy and while breastfeeding </w:t>
            </w:r>
          </w:p>
        </w:tc>
        <w:tc>
          <w:tcPr>
            <w:tcW w:w="484" w:type="pct"/>
          </w:tcPr>
          <w:p w14:paraId="758281E1" w14:textId="77777777" w:rsidR="005F1D22" w:rsidRPr="00856297" w:rsidRDefault="005F1D22" w:rsidP="00345763">
            <w:pPr>
              <w:pStyle w:val="Tabletext"/>
              <w:jc w:val="center"/>
            </w:pPr>
            <w:r w:rsidRPr="00856297">
              <w:sym w:font="Wingdings" w:char="F0FC"/>
            </w:r>
          </w:p>
        </w:tc>
        <w:tc>
          <w:tcPr>
            <w:tcW w:w="602" w:type="pct"/>
          </w:tcPr>
          <w:p w14:paraId="2ABD99BD" w14:textId="3167A6DF" w:rsidR="005F1D22" w:rsidRPr="008211BC" w:rsidRDefault="005F1D22" w:rsidP="00345763">
            <w:pPr>
              <w:pStyle w:val="Tabletext"/>
              <w:jc w:val="center"/>
            </w:pPr>
            <w:r w:rsidRPr="008211BC">
              <w:t xml:space="preserve">   </w:t>
            </w:r>
            <w:r w:rsidRPr="008211BC">
              <w:sym w:font="Wingdings" w:char="F0FC"/>
            </w:r>
          </w:p>
        </w:tc>
        <w:tc>
          <w:tcPr>
            <w:tcW w:w="484" w:type="pct"/>
          </w:tcPr>
          <w:p w14:paraId="46BFAB05" w14:textId="77777777" w:rsidR="005F1D22" w:rsidRPr="0082562B" w:rsidRDefault="005F1D22" w:rsidP="00345763">
            <w:pPr>
              <w:pStyle w:val="Tabletext"/>
              <w:jc w:val="center"/>
            </w:pPr>
            <w:r w:rsidRPr="0082562B">
              <w:sym w:font="Wingdings" w:char="F0FC"/>
            </w:r>
          </w:p>
        </w:tc>
        <w:tc>
          <w:tcPr>
            <w:tcW w:w="602" w:type="pct"/>
          </w:tcPr>
          <w:p w14:paraId="4210C3F8" w14:textId="77777777" w:rsidR="005F1D22" w:rsidRPr="0082562B" w:rsidRDefault="005F1D22" w:rsidP="00345763">
            <w:pPr>
              <w:pStyle w:val="Tabletext"/>
              <w:jc w:val="center"/>
            </w:pPr>
            <w:r w:rsidRPr="0082562B">
              <w:t>–</w:t>
            </w:r>
          </w:p>
        </w:tc>
      </w:tr>
      <w:tr w:rsidR="005F1D22" w:rsidRPr="00BF52F4" w14:paraId="7F90318D" w14:textId="77777777" w:rsidTr="009B4460">
        <w:trPr>
          <w:trHeight w:val="103"/>
        </w:trPr>
        <w:tc>
          <w:tcPr>
            <w:tcW w:w="781" w:type="pct"/>
            <w:vMerge/>
          </w:tcPr>
          <w:p w14:paraId="262A0646" w14:textId="77777777" w:rsidR="005F1D22" w:rsidRPr="009B4460" w:rsidRDefault="005F1D22" w:rsidP="00345763">
            <w:pPr>
              <w:pStyle w:val="Tabletext"/>
              <w:ind w:left="0" w:right="0"/>
              <w:rPr>
                <w:sz w:val="20"/>
              </w:rPr>
            </w:pPr>
          </w:p>
        </w:tc>
        <w:tc>
          <w:tcPr>
            <w:tcW w:w="2048" w:type="pct"/>
          </w:tcPr>
          <w:p w14:paraId="353F6580" w14:textId="77777777" w:rsidR="005F1D22" w:rsidRPr="009B4460" w:rsidRDefault="005F1D22" w:rsidP="00345763">
            <w:pPr>
              <w:pStyle w:val="Tabletext"/>
              <w:ind w:left="0" w:right="0"/>
              <w:rPr>
                <w:sz w:val="20"/>
              </w:rPr>
            </w:pPr>
            <w:r w:rsidRPr="009B4460">
              <w:rPr>
                <w:bCs/>
                <w:sz w:val="20"/>
                <w:szCs w:val="20"/>
              </w:rPr>
              <w:t xml:space="preserve">Use in immunocompromised patients </w:t>
            </w:r>
          </w:p>
        </w:tc>
        <w:tc>
          <w:tcPr>
            <w:tcW w:w="484" w:type="pct"/>
          </w:tcPr>
          <w:p w14:paraId="5C25B092" w14:textId="77777777" w:rsidR="005F1D22" w:rsidRPr="00856297" w:rsidRDefault="005F1D22" w:rsidP="00345763">
            <w:pPr>
              <w:pStyle w:val="Tabletext"/>
              <w:jc w:val="center"/>
            </w:pPr>
            <w:r w:rsidRPr="00856297">
              <w:sym w:font="Wingdings" w:char="F0FC"/>
            </w:r>
          </w:p>
        </w:tc>
        <w:tc>
          <w:tcPr>
            <w:tcW w:w="602" w:type="pct"/>
          </w:tcPr>
          <w:p w14:paraId="2CF3BF69" w14:textId="7777777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1E02E7FA" w14:textId="77777777" w:rsidR="005F1D22" w:rsidRPr="0082562B" w:rsidRDefault="005F1D22" w:rsidP="00345763">
            <w:pPr>
              <w:pStyle w:val="Tabletext"/>
              <w:jc w:val="center"/>
            </w:pPr>
            <w:r w:rsidRPr="0082562B">
              <w:sym w:font="Wingdings" w:char="F0FC"/>
            </w:r>
          </w:p>
        </w:tc>
        <w:tc>
          <w:tcPr>
            <w:tcW w:w="602" w:type="pct"/>
          </w:tcPr>
          <w:p w14:paraId="708A2A93" w14:textId="77777777" w:rsidR="005F1D22" w:rsidRPr="0082562B" w:rsidRDefault="005F1D22" w:rsidP="00345763">
            <w:pPr>
              <w:pStyle w:val="Tabletext"/>
              <w:jc w:val="center"/>
            </w:pPr>
            <w:r w:rsidRPr="0082562B">
              <w:t>–</w:t>
            </w:r>
          </w:p>
        </w:tc>
      </w:tr>
      <w:tr w:rsidR="005F1D22" w:rsidRPr="00BF52F4" w14:paraId="17E50686" w14:textId="77777777" w:rsidTr="009B4460">
        <w:trPr>
          <w:trHeight w:val="103"/>
        </w:trPr>
        <w:tc>
          <w:tcPr>
            <w:tcW w:w="781" w:type="pct"/>
            <w:vMerge/>
          </w:tcPr>
          <w:p w14:paraId="59C9DAA5" w14:textId="77777777" w:rsidR="005F1D22" w:rsidRPr="009B4460" w:rsidRDefault="005F1D22" w:rsidP="00345763">
            <w:pPr>
              <w:pStyle w:val="Tabletext"/>
              <w:ind w:left="0" w:right="0"/>
              <w:rPr>
                <w:sz w:val="20"/>
              </w:rPr>
            </w:pPr>
          </w:p>
        </w:tc>
        <w:tc>
          <w:tcPr>
            <w:tcW w:w="2048" w:type="pct"/>
          </w:tcPr>
          <w:p w14:paraId="2FD5BF7D" w14:textId="7AD259F8" w:rsidR="005F1D22" w:rsidRPr="009B4460" w:rsidRDefault="005F1D22" w:rsidP="00345763">
            <w:pPr>
              <w:pStyle w:val="Tabletext"/>
              <w:ind w:left="0" w:right="0"/>
              <w:rPr>
                <w:sz w:val="20"/>
              </w:rPr>
            </w:pPr>
            <w:r w:rsidRPr="009B4460">
              <w:rPr>
                <w:bCs/>
                <w:sz w:val="20"/>
                <w:szCs w:val="20"/>
              </w:rPr>
              <w:t>Use in frail patients with comorbidities (</w:t>
            </w:r>
            <w:r w:rsidR="007D0113" w:rsidRPr="009B4460">
              <w:rPr>
                <w:bCs/>
                <w:sz w:val="20"/>
                <w:szCs w:val="20"/>
              </w:rPr>
              <w:t>for example</w:t>
            </w:r>
            <w:r w:rsidRPr="009B4460">
              <w:rPr>
                <w:bCs/>
                <w:sz w:val="20"/>
                <w:szCs w:val="20"/>
              </w:rPr>
              <w:t xml:space="preserve">, </w:t>
            </w:r>
            <w:r w:rsidRPr="009B4460">
              <w:rPr>
                <w:bCs/>
                <w:sz w:val="20"/>
                <w:szCs w:val="20"/>
              </w:rPr>
              <w:lastRenderedPageBreak/>
              <w:t xml:space="preserve">chronic obstructive pulmonary disease (COPD), diabetes, chronic neurological disease, cardiovascular disorders) </w:t>
            </w:r>
          </w:p>
        </w:tc>
        <w:tc>
          <w:tcPr>
            <w:tcW w:w="484" w:type="pct"/>
          </w:tcPr>
          <w:p w14:paraId="361FE631" w14:textId="77777777" w:rsidR="005F1D22" w:rsidRPr="00856297" w:rsidRDefault="005F1D22" w:rsidP="00345763">
            <w:pPr>
              <w:pStyle w:val="Tabletext"/>
              <w:jc w:val="center"/>
            </w:pPr>
            <w:r w:rsidRPr="00856297">
              <w:lastRenderedPageBreak/>
              <w:sym w:font="Wingdings" w:char="F0FC"/>
            </w:r>
          </w:p>
        </w:tc>
        <w:tc>
          <w:tcPr>
            <w:tcW w:w="602" w:type="pct"/>
          </w:tcPr>
          <w:p w14:paraId="00CEC018" w14:textId="7777777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16AC077A" w14:textId="77777777" w:rsidR="005F1D22" w:rsidRPr="0082562B" w:rsidRDefault="005F1D22" w:rsidP="00345763">
            <w:pPr>
              <w:pStyle w:val="Tabletext"/>
              <w:jc w:val="center"/>
            </w:pPr>
            <w:r w:rsidRPr="0082562B">
              <w:t>–</w:t>
            </w:r>
          </w:p>
        </w:tc>
        <w:tc>
          <w:tcPr>
            <w:tcW w:w="602" w:type="pct"/>
          </w:tcPr>
          <w:p w14:paraId="60A793FC" w14:textId="77777777" w:rsidR="005F1D22" w:rsidRPr="0082562B" w:rsidRDefault="005F1D22" w:rsidP="00345763">
            <w:pPr>
              <w:pStyle w:val="Tabletext"/>
              <w:jc w:val="center"/>
            </w:pPr>
            <w:r w:rsidRPr="0082562B">
              <w:t>–</w:t>
            </w:r>
          </w:p>
        </w:tc>
      </w:tr>
      <w:tr w:rsidR="005F1D22" w:rsidRPr="00BF52F4" w14:paraId="664876C2" w14:textId="77777777" w:rsidTr="009B4460">
        <w:trPr>
          <w:trHeight w:val="103"/>
        </w:trPr>
        <w:tc>
          <w:tcPr>
            <w:tcW w:w="781" w:type="pct"/>
            <w:vMerge/>
          </w:tcPr>
          <w:p w14:paraId="483807EA" w14:textId="77777777" w:rsidR="005F1D22" w:rsidRPr="009B4460" w:rsidRDefault="005F1D22" w:rsidP="00345763">
            <w:pPr>
              <w:pStyle w:val="Tabletext"/>
              <w:ind w:left="0" w:right="0"/>
              <w:rPr>
                <w:sz w:val="20"/>
              </w:rPr>
            </w:pPr>
          </w:p>
        </w:tc>
        <w:tc>
          <w:tcPr>
            <w:tcW w:w="2048" w:type="pct"/>
          </w:tcPr>
          <w:p w14:paraId="28946F8E" w14:textId="77777777" w:rsidR="005F1D22" w:rsidRPr="009B4460" w:rsidRDefault="005F1D22" w:rsidP="00345763">
            <w:pPr>
              <w:pStyle w:val="Tabletext"/>
              <w:ind w:left="0" w:right="0"/>
              <w:rPr>
                <w:sz w:val="20"/>
              </w:rPr>
            </w:pPr>
            <w:r w:rsidRPr="009B4460">
              <w:rPr>
                <w:bCs/>
                <w:sz w:val="20"/>
                <w:szCs w:val="20"/>
              </w:rPr>
              <w:t xml:space="preserve">Use in patients with autoimmune or inflammatory disorders </w:t>
            </w:r>
          </w:p>
        </w:tc>
        <w:tc>
          <w:tcPr>
            <w:tcW w:w="484" w:type="pct"/>
          </w:tcPr>
          <w:p w14:paraId="6188625E" w14:textId="77777777" w:rsidR="005F1D22" w:rsidRPr="00856297" w:rsidRDefault="005F1D22" w:rsidP="00345763">
            <w:pPr>
              <w:pStyle w:val="Tabletext"/>
              <w:jc w:val="center"/>
            </w:pPr>
            <w:r w:rsidRPr="00856297">
              <w:sym w:font="Wingdings" w:char="F0FC"/>
            </w:r>
          </w:p>
        </w:tc>
        <w:tc>
          <w:tcPr>
            <w:tcW w:w="602" w:type="pct"/>
          </w:tcPr>
          <w:p w14:paraId="48328A70" w14:textId="54B0C30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55F5BFCE" w14:textId="77777777" w:rsidR="005F1D22" w:rsidRPr="0082562B" w:rsidRDefault="005F1D22" w:rsidP="00345763">
            <w:pPr>
              <w:pStyle w:val="Tabletext"/>
              <w:jc w:val="center"/>
            </w:pPr>
            <w:r w:rsidRPr="0082562B">
              <w:sym w:font="Wingdings" w:char="F0FC"/>
            </w:r>
          </w:p>
        </w:tc>
        <w:tc>
          <w:tcPr>
            <w:tcW w:w="602" w:type="pct"/>
          </w:tcPr>
          <w:p w14:paraId="4FCC28DD" w14:textId="77777777" w:rsidR="005F1D22" w:rsidRPr="0082562B" w:rsidRDefault="005F1D22" w:rsidP="00345763">
            <w:pPr>
              <w:pStyle w:val="Tabletext"/>
              <w:jc w:val="center"/>
            </w:pPr>
            <w:r w:rsidRPr="0082562B">
              <w:t>–</w:t>
            </w:r>
          </w:p>
        </w:tc>
      </w:tr>
      <w:tr w:rsidR="005F1D22" w:rsidRPr="00BF52F4" w14:paraId="0351F46E" w14:textId="77777777" w:rsidTr="009B4460">
        <w:trPr>
          <w:trHeight w:val="103"/>
        </w:trPr>
        <w:tc>
          <w:tcPr>
            <w:tcW w:w="781" w:type="pct"/>
            <w:vMerge/>
          </w:tcPr>
          <w:p w14:paraId="0500CD77" w14:textId="77777777" w:rsidR="005F1D22" w:rsidRPr="009B4460" w:rsidRDefault="005F1D22" w:rsidP="00345763">
            <w:pPr>
              <w:pStyle w:val="Tabletext"/>
              <w:ind w:left="0" w:right="0"/>
              <w:rPr>
                <w:sz w:val="20"/>
              </w:rPr>
            </w:pPr>
          </w:p>
        </w:tc>
        <w:tc>
          <w:tcPr>
            <w:tcW w:w="2048" w:type="pct"/>
          </w:tcPr>
          <w:p w14:paraId="0AD711AB" w14:textId="77777777" w:rsidR="005F1D22" w:rsidRPr="009B4460" w:rsidRDefault="005F1D22" w:rsidP="00345763">
            <w:pPr>
              <w:pStyle w:val="Tabletext"/>
              <w:ind w:left="0" w:right="0"/>
              <w:rPr>
                <w:sz w:val="20"/>
              </w:rPr>
            </w:pPr>
            <w:r w:rsidRPr="009B4460">
              <w:rPr>
                <w:bCs/>
                <w:sz w:val="20"/>
                <w:szCs w:val="20"/>
              </w:rPr>
              <w:t xml:space="preserve">Interaction with other vaccines </w:t>
            </w:r>
          </w:p>
        </w:tc>
        <w:tc>
          <w:tcPr>
            <w:tcW w:w="484" w:type="pct"/>
          </w:tcPr>
          <w:p w14:paraId="77CD92E0" w14:textId="77777777" w:rsidR="005F1D22" w:rsidRPr="00856297" w:rsidRDefault="005F1D22" w:rsidP="00345763">
            <w:pPr>
              <w:pStyle w:val="Tabletext"/>
              <w:jc w:val="center"/>
            </w:pPr>
            <w:r w:rsidRPr="00856297">
              <w:sym w:font="Wingdings" w:char="F0FC"/>
            </w:r>
          </w:p>
        </w:tc>
        <w:tc>
          <w:tcPr>
            <w:tcW w:w="602" w:type="pct"/>
          </w:tcPr>
          <w:p w14:paraId="24889FB3" w14:textId="7777777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2863677A" w14:textId="77777777" w:rsidR="005F1D22" w:rsidRPr="0082562B" w:rsidRDefault="005F1D22" w:rsidP="00345763">
            <w:pPr>
              <w:pStyle w:val="Tabletext"/>
              <w:jc w:val="center"/>
            </w:pPr>
            <w:r w:rsidRPr="0082562B">
              <w:sym w:font="Wingdings" w:char="F0FC"/>
            </w:r>
          </w:p>
        </w:tc>
        <w:tc>
          <w:tcPr>
            <w:tcW w:w="602" w:type="pct"/>
          </w:tcPr>
          <w:p w14:paraId="088577CF" w14:textId="77777777" w:rsidR="005F1D22" w:rsidRPr="0082562B" w:rsidRDefault="005F1D22" w:rsidP="00345763">
            <w:pPr>
              <w:pStyle w:val="Tabletext"/>
              <w:jc w:val="center"/>
            </w:pPr>
            <w:r w:rsidRPr="0082562B">
              <w:t>–</w:t>
            </w:r>
          </w:p>
        </w:tc>
      </w:tr>
      <w:tr w:rsidR="005F1D22" w:rsidRPr="00BF52F4" w14:paraId="5D995D9C" w14:textId="77777777" w:rsidTr="009B4460">
        <w:trPr>
          <w:trHeight w:val="140"/>
        </w:trPr>
        <w:tc>
          <w:tcPr>
            <w:tcW w:w="781" w:type="pct"/>
            <w:vMerge/>
          </w:tcPr>
          <w:p w14:paraId="7A1AC439" w14:textId="77777777" w:rsidR="005F1D22" w:rsidRPr="009B4460" w:rsidRDefault="005F1D22" w:rsidP="00345763">
            <w:pPr>
              <w:pStyle w:val="Tabletext"/>
              <w:ind w:left="0" w:right="0"/>
              <w:rPr>
                <w:sz w:val="20"/>
              </w:rPr>
            </w:pPr>
          </w:p>
        </w:tc>
        <w:tc>
          <w:tcPr>
            <w:tcW w:w="2048" w:type="pct"/>
          </w:tcPr>
          <w:p w14:paraId="6FE6BB9D" w14:textId="77777777" w:rsidR="005F1D22" w:rsidRPr="009B4460" w:rsidRDefault="005F1D22" w:rsidP="00345763">
            <w:pPr>
              <w:pStyle w:val="Tabletext"/>
              <w:ind w:left="0" w:right="0"/>
              <w:rPr>
                <w:sz w:val="20"/>
              </w:rPr>
            </w:pPr>
            <w:r w:rsidRPr="009B4460">
              <w:rPr>
                <w:bCs/>
                <w:sz w:val="20"/>
                <w:szCs w:val="20"/>
              </w:rPr>
              <w:t xml:space="preserve">Long-term safety </w:t>
            </w:r>
          </w:p>
        </w:tc>
        <w:tc>
          <w:tcPr>
            <w:tcW w:w="484" w:type="pct"/>
          </w:tcPr>
          <w:p w14:paraId="01B85F04" w14:textId="77777777" w:rsidR="005F1D22" w:rsidRPr="00856297" w:rsidRDefault="005F1D22" w:rsidP="00345763">
            <w:pPr>
              <w:pStyle w:val="Tabletext"/>
              <w:jc w:val="center"/>
            </w:pPr>
            <w:r w:rsidRPr="00856297">
              <w:sym w:font="Wingdings" w:char="F0FC"/>
            </w:r>
          </w:p>
        </w:tc>
        <w:tc>
          <w:tcPr>
            <w:tcW w:w="602" w:type="pct"/>
          </w:tcPr>
          <w:p w14:paraId="1921BC00" w14:textId="77777777" w:rsidR="005F1D22" w:rsidRPr="008211BC" w:rsidRDefault="005F1D22" w:rsidP="00345763">
            <w:pPr>
              <w:pStyle w:val="Tabletext"/>
              <w:jc w:val="center"/>
            </w:pPr>
            <w:r w:rsidRPr="008211BC">
              <w:sym w:font="Wingdings" w:char="F0FC"/>
            </w:r>
            <w:r w:rsidRPr="008211BC">
              <w:rPr>
                <w:rFonts w:asciiTheme="majorHAnsi" w:hAnsiTheme="majorHAnsi"/>
                <w:szCs w:val="20"/>
              </w:rPr>
              <w:t>‡≠</w:t>
            </w:r>
          </w:p>
        </w:tc>
        <w:tc>
          <w:tcPr>
            <w:tcW w:w="484" w:type="pct"/>
          </w:tcPr>
          <w:p w14:paraId="3E361189" w14:textId="77777777" w:rsidR="005F1D22" w:rsidRPr="0082562B" w:rsidRDefault="005F1D22" w:rsidP="00345763">
            <w:pPr>
              <w:pStyle w:val="Tabletext"/>
              <w:jc w:val="center"/>
            </w:pPr>
            <w:r w:rsidRPr="0082562B">
              <w:t>–</w:t>
            </w:r>
          </w:p>
        </w:tc>
        <w:tc>
          <w:tcPr>
            <w:tcW w:w="602" w:type="pct"/>
          </w:tcPr>
          <w:p w14:paraId="3B4B94D4" w14:textId="77777777" w:rsidR="005F1D22" w:rsidRPr="0082562B" w:rsidRDefault="005F1D22" w:rsidP="00345763">
            <w:pPr>
              <w:pStyle w:val="Tabletext"/>
              <w:jc w:val="center"/>
            </w:pPr>
            <w:r w:rsidRPr="0082562B">
              <w:t>–</w:t>
            </w:r>
          </w:p>
        </w:tc>
      </w:tr>
    </w:tbl>
    <w:p w14:paraId="05F1F7C3" w14:textId="77777777" w:rsidR="005F1D22" w:rsidRDefault="005F1D22" w:rsidP="00CB0654">
      <w:pPr>
        <w:pStyle w:val="TableDescription"/>
      </w:pPr>
      <w:r>
        <w:t>*Follow-up questionnaire</w:t>
      </w:r>
    </w:p>
    <w:p w14:paraId="2EBAA24C" w14:textId="77777777" w:rsidR="005F1D22" w:rsidRDefault="005F1D22" w:rsidP="00CB0654">
      <w:pPr>
        <w:pStyle w:val="TableDescription"/>
      </w:pPr>
      <w:r>
        <w:t>‡Clinical trials</w:t>
      </w:r>
    </w:p>
    <w:p w14:paraId="48F108C3" w14:textId="77777777" w:rsidR="005F1D22" w:rsidRDefault="005F1D22" w:rsidP="00CB0654">
      <w:pPr>
        <w:pStyle w:val="TableDescription"/>
      </w:pPr>
      <w:r>
        <w:t>≠Post-authorisation safety study</w:t>
      </w:r>
    </w:p>
    <w:p w14:paraId="6953CA98" w14:textId="177BD01C" w:rsidR="005F1D22" w:rsidRDefault="005F1D22" w:rsidP="0085688B">
      <w:pPr>
        <w:pStyle w:val="Heading4"/>
      </w:pPr>
      <w:r>
        <w:t>Pregnancy registry (C-VIPER)</w:t>
      </w:r>
    </w:p>
    <w:p w14:paraId="5CEF763A" w14:textId="4BE94896" w:rsidR="00D74058" w:rsidRDefault="00D74058" w:rsidP="00345763">
      <w:r>
        <w:t>The summary of safety concerns is acceptable. Reports from TGA’s nonclinical and clinical evaluators, the Delegate’s overview and ACV advice have been considered when making this conclusion.</w:t>
      </w:r>
    </w:p>
    <w:p w14:paraId="5034B158" w14:textId="2B338378" w:rsidR="00D74058" w:rsidRDefault="00D74058" w:rsidP="00345763">
      <w:r>
        <w:t xml:space="preserve">The sponsor has proposed routine and additional pharmacovigilance measures. The </w:t>
      </w:r>
      <w:r w:rsidR="00E930E0" w:rsidRPr="00E930E0">
        <w:t>Advisory Committee on Vaccines</w:t>
      </w:r>
      <w:r w:rsidR="00E930E0">
        <w:t xml:space="preserve"> (</w:t>
      </w:r>
      <w:r>
        <w:t>ACV</w:t>
      </w:r>
      <w:r w:rsidR="00E930E0">
        <w:t>)</w:t>
      </w:r>
      <w:r>
        <w:t xml:space="preserve"> emphasised the importance of monitoring events such as hypersensitivity, angioedema, hyperthyroidism, thrombocytopenia, myopericarditis, colitis, central retinal vein thrombosis, hypertension and potential immune-mediated conditions.</w:t>
      </w:r>
    </w:p>
    <w:p w14:paraId="6997823C" w14:textId="1296CF35" w:rsidR="00D74058" w:rsidRDefault="00D74058" w:rsidP="00345763">
      <w:r w:rsidRPr="00D74058">
        <w:t xml:space="preserve">The sponsor should closely monitor the above and include all relevant safety information within the </w:t>
      </w:r>
      <w:r w:rsidR="00E930E0">
        <w:t>monthly summary safety report</w:t>
      </w:r>
      <w:r w:rsidRPr="00D74058">
        <w:t xml:space="preserve"> and </w:t>
      </w:r>
      <w:r w:rsidR="00E930E0">
        <w:t>p</w:t>
      </w:r>
      <w:r w:rsidR="00E930E0" w:rsidRPr="00E930E0">
        <w:t xml:space="preserve">eriodic </w:t>
      </w:r>
      <w:r w:rsidR="00E930E0">
        <w:t>s</w:t>
      </w:r>
      <w:r w:rsidR="00E930E0" w:rsidRPr="00E930E0">
        <w:t xml:space="preserve">afety </w:t>
      </w:r>
      <w:r w:rsidR="00E930E0">
        <w:t>u</w:t>
      </w:r>
      <w:r w:rsidR="00E930E0" w:rsidRPr="00E930E0">
        <w:t xml:space="preserve">pdate </w:t>
      </w:r>
      <w:r w:rsidR="00E930E0">
        <w:t>r</w:t>
      </w:r>
      <w:r w:rsidR="00E930E0" w:rsidRPr="00E930E0">
        <w:t>eports</w:t>
      </w:r>
      <w:r w:rsidRPr="00D74058">
        <w:t xml:space="preserve">. Evaluation of potential safety signals that may emerge for these adverse events, including a discussion of the impact on the benefit-risk balance of this vaccine, should be provided in the </w:t>
      </w:r>
      <w:r w:rsidR="00E930E0">
        <w:t>monthly summary safety report</w:t>
      </w:r>
      <w:r w:rsidR="00E930E0" w:rsidRPr="00D74058">
        <w:t xml:space="preserve"> and </w:t>
      </w:r>
      <w:r w:rsidR="00E930E0">
        <w:t>p</w:t>
      </w:r>
      <w:r w:rsidR="00E930E0" w:rsidRPr="00E930E0">
        <w:t xml:space="preserve">eriodic </w:t>
      </w:r>
      <w:r w:rsidR="00E930E0">
        <w:t>s</w:t>
      </w:r>
      <w:r w:rsidR="00E930E0" w:rsidRPr="00E930E0">
        <w:t xml:space="preserve">afety </w:t>
      </w:r>
      <w:r w:rsidR="00E930E0">
        <w:t>u</w:t>
      </w:r>
      <w:r w:rsidR="00E930E0" w:rsidRPr="00E930E0">
        <w:t xml:space="preserve">pdate </w:t>
      </w:r>
      <w:r w:rsidR="00E930E0">
        <w:t>r</w:t>
      </w:r>
      <w:r w:rsidR="00E930E0" w:rsidRPr="00E930E0">
        <w:t>eports</w:t>
      </w:r>
      <w:r w:rsidR="00E930E0">
        <w:t>.</w:t>
      </w:r>
    </w:p>
    <w:p w14:paraId="5C942D77" w14:textId="3537B586" w:rsidR="00D74058" w:rsidRDefault="00D74058" w:rsidP="00345763">
      <w:r>
        <w:t>Only routine risk minimisation measures have been proposed by the sponsor. This is in line with the other COVID-19 vaccines approved by the TGA.</w:t>
      </w:r>
    </w:p>
    <w:p w14:paraId="264E9B60" w14:textId="392FAA40" w:rsidR="005F1D22" w:rsidRDefault="005F1D22" w:rsidP="00345763">
      <w:r>
        <w:t>There are no outstanding issues from an RMP perspective.</w:t>
      </w:r>
    </w:p>
    <w:p w14:paraId="30AB82A6" w14:textId="77777777" w:rsidR="005F1D22" w:rsidRDefault="005F1D22" w:rsidP="0085688B">
      <w:pPr>
        <w:pStyle w:val="Heading4"/>
      </w:pPr>
      <w:r>
        <w:t xml:space="preserve">Wording for </w:t>
      </w:r>
      <w:r w:rsidRPr="0085688B">
        <w:t>conditions</w:t>
      </w:r>
      <w:r>
        <w:t xml:space="preserve"> of registration</w:t>
      </w:r>
    </w:p>
    <w:p w14:paraId="3EBFECCD" w14:textId="1CE79A69" w:rsidR="005F1D22" w:rsidRDefault="005F1D22" w:rsidP="00345763">
      <w:r w:rsidRPr="005F1D22">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7C1B5DF2" w14:textId="34057882" w:rsidR="009B2E6C" w:rsidRPr="005F1D22" w:rsidRDefault="009B2E6C" w:rsidP="00345763">
      <w:r>
        <w:t>The suggest wording is:</w:t>
      </w:r>
    </w:p>
    <w:p w14:paraId="63EC4DC9" w14:textId="21DBC12F" w:rsidR="005F1D22" w:rsidRPr="009B2E6C" w:rsidRDefault="005F1D22" w:rsidP="00345763">
      <w:pPr>
        <w:ind w:left="720"/>
      </w:pPr>
      <w:r w:rsidRPr="009B2E6C">
        <w:t xml:space="preserve">The </w:t>
      </w:r>
      <w:proofErr w:type="spellStart"/>
      <w:r w:rsidRPr="009B2E6C">
        <w:t>Nuvaxovid</w:t>
      </w:r>
      <w:proofErr w:type="spellEnd"/>
      <w:r w:rsidRPr="009B2E6C">
        <w:t xml:space="preserve"> COVID-19 </w:t>
      </w:r>
      <w:r w:rsidR="009B2E6C">
        <w:t>v</w:t>
      </w:r>
      <w:r w:rsidRPr="009B2E6C">
        <w:t xml:space="preserve">accine (adjuvanted) EU-Risk Management Plan (RMP) (version 1.0, dated </w:t>
      </w:r>
      <w:r w:rsidR="0078568C">
        <w:t>18</w:t>
      </w:r>
      <w:r w:rsidRPr="009B2E6C">
        <w:t xml:space="preserve"> December 2021; DLP </w:t>
      </w:r>
      <w:r w:rsidR="0078568C">
        <w:t>20</w:t>
      </w:r>
      <w:r w:rsidRPr="009B2E6C">
        <w:t xml:space="preserve"> December 2021), with Australian Specific Annex (version </w:t>
      </w:r>
      <w:r w:rsidR="00E74BA6">
        <w:t>1.0</w:t>
      </w:r>
      <w:r w:rsidRPr="009B2E6C">
        <w:t xml:space="preserve">, dated </w:t>
      </w:r>
      <w:r w:rsidR="00E74BA6">
        <w:t>19</w:t>
      </w:r>
      <w:r w:rsidRPr="009B2E6C">
        <w:t xml:space="preserve"> </w:t>
      </w:r>
      <w:r w:rsidR="00E74BA6">
        <w:t>January</w:t>
      </w:r>
      <w:r w:rsidRPr="009B2E6C">
        <w:t xml:space="preserve"> 202</w:t>
      </w:r>
      <w:r w:rsidR="00E74BA6">
        <w:t>2</w:t>
      </w:r>
      <w:r w:rsidRPr="009B2E6C">
        <w:t>), included with submission PM-2021-00623-1-2, and any subsequent revisions, as agreed with the TGA will be implemented in Australia.</w:t>
      </w:r>
    </w:p>
    <w:p w14:paraId="7B7105A3" w14:textId="2FEE396E" w:rsidR="005F1D22" w:rsidRPr="009B2E6C" w:rsidRDefault="005F1D22" w:rsidP="00345763">
      <w:pPr>
        <w:ind w:left="720"/>
      </w:pPr>
      <w:r w:rsidRPr="009B2E6C">
        <w:lastRenderedPageBreak/>
        <w:t>An obligatory component of risk management plans is routine pharmacovigilance. Routine pharmacovigilance includes the submission of periodic safety update reports (PSURs).</w:t>
      </w:r>
    </w:p>
    <w:p w14:paraId="7531D2A6" w14:textId="05DCE186" w:rsidR="00E74BA6" w:rsidRPr="00E74BA6" w:rsidRDefault="00E74BA6" w:rsidP="00345763">
      <w:pPr>
        <w:ind w:left="720"/>
      </w:pPr>
      <w:bookmarkStart w:id="104" w:name="_Toc247691531"/>
      <w:bookmarkStart w:id="105" w:name="_Toc314842515"/>
      <w:bookmarkStart w:id="106" w:name="_Toc196046505"/>
      <w:bookmarkStart w:id="107" w:name="_Toc196046949"/>
      <w:r w:rsidRPr="00E74BA6">
        <w:t>Reports are to be provided in line with the current published list of EU reference dates and frequency of submission of PSURs until the period covered by such reports is not less than three years from the date of th</w:t>
      </w:r>
      <w:r>
        <w:t>e</w:t>
      </w:r>
      <w:r w:rsidRPr="00E74BA6">
        <w:t xml:space="preserve"> approval letter, or the entire period of provisional registration, whichever is longer. </w:t>
      </w:r>
    </w:p>
    <w:p w14:paraId="136B2B69" w14:textId="40A9FE05" w:rsidR="00E74BA6" w:rsidRPr="00E74BA6" w:rsidRDefault="00E74BA6" w:rsidP="00345763">
      <w:pPr>
        <w:ind w:left="720"/>
      </w:pPr>
      <w:r w:rsidRPr="00E74BA6">
        <w:t xml:space="preserve">The reports are to at least meet the requirements for PSURs as described in the European Medicines Agency’s Guideline on </w:t>
      </w:r>
      <w:r w:rsidR="00C33B23">
        <w:t>G</w:t>
      </w:r>
      <w:r w:rsidRPr="00E74BA6">
        <w:t xml:space="preserve">ood </w:t>
      </w:r>
      <w:r w:rsidR="00C33B23">
        <w:t>P</w:t>
      </w:r>
      <w:r w:rsidRPr="00E74BA6">
        <w:t xml:space="preserve">harmacovigilance </w:t>
      </w:r>
      <w:r w:rsidR="00C33B23">
        <w:t>P</w:t>
      </w:r>
      <w:r w:rsidRPr="00E74BA6">
        <w:t>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16D0D6D" w14:textId="77777777" w:rsidR="00E74BA6" w:rsidRPr="00E74BA6" w:rsidRDefault="00E74BA6" w:rsidP="00345763">
      <w:pPr>
        <w:ind w:left="720"/>
      </w:pPr>
      <w:r w:rsidRPr="00E74BA6">
        <w:t xml:space="preserve">Additional to the routine submission of the routine PSURs, expedited monthly </w:t>
      </w:r>
      <w:proofErr w:type="spellStart"/>
      <w:r w:rsidRPr="00E74BA6">
        <w:t>Nuvaxovid</w:t>
      </w:r>
      <w:proofErr w:type="spellEnd"/>
      <w:r w:rsidRPr="00E74BA6">
        <w:t xml:space="preserve"> COVID-19 Vaccine (adjuvanted) safety summary reports (including both global safety data and safety data for patients in Australia) are to be provided for the first 6 months post registration, and thereafter at intervals specified by the TGA.</w:t>
      </w:r>
    </w:p>
    <w:p w14:paraId="460890FF" w14:textId="469519A5" w:rsidR="00E74BA6" w:rsidRDefault="00E74BA6" w:rsidP="00345763">
      <w:pPr>
        <w:ind w:left="720"/>
        <w:rPr>
          <w:b/>
          <w:bCs/>
        </w:rPr>
      </w:pPr>
      <w:proofErr w:type="spellStart"/>
      <w:r w:rsidRPr="00E74BA6">
        <w:t>Nuvaxovid</w:t>
      </w:r>
      <w:proofErr w:type="spellEnd"/>
      <w:r w:rsidRPr="00E74BA6">
        <w:t xml:space="preserve"> COVID-19 Vaccine (adjuvanted) is to be included in the Black Triangle Scheme. The PI and </w:t>
      </w:r>
      <w:r w:rsidR="00C33B23">
        <w:t>C</w:t>
      </w:r>
      <w:r w:rsidR="003B37B1" w:rsidRPr="003B37B1">
        <w:t xml:space="preserve">onsumer </w:t>
      </w:r>
      <w:r w:rsidR="00C33B23">
        <w:t>M</w:t>
      </w:r>
      <w:r w:rsidR="003B37B1" w:rsidRPr="003B37B1">
        <w:t xml:space="preserve">edication </w:t>
      </w:r>
      <w:r w:rsidR="00C33B23">
        <w:t>I</w:t>
      </w:r>
      <w:r w:rsidR="003B37B1" w:rsidRPr="003B37B1">
        <w:t xml:space="preserve">nformation </w:t>
      </w:r>
      <w:r w:rsidR="003B37B1">
        <w:t>(</w:t>
      </w:r>
      <w:r w:rsidRPr="00E74BA6">
        <w:t>CMI</w:t>
      </w:r>
      <w:r w:rsidR="003B37B1">
        <w:t>)</w:t>
      </w:r>
      <w:r w:rsidRPr="00E74BA6">
        <w:t xml:space="preserve"> for </w:t>
      </w:r>
      <w:proofErr w:type="spellStart"/>
      <w:r w:rsidRPr="00E74BA6">
        <w:t>Nuvaxovid</w:t>
      </w:r>
      <w:proofErr w:type="spellEnd"/>
      <w:r w:rsidRPr="00E74BA6">
        <w:t xml:space="preserve"> COVID-19 Vaccine (adjuvanted) must include the black triangle symbol and mandatory accompanying text for the products entire period of provisional registration.</w:t>
      </w:r>
    </w:p>
    <w:p w14:paraId="00B6F92E" w14:textId="746E498D" w:rsidR="008E7846" w:rsidRDefault="00AA0ED0" w:rsidP="00345763">
      <w:pPr>
        <w:pStyle w:val="Heading3"/>
        <w:keepNext w:val="0"/>
        <w:keepLines w:val="0"/>
      </w:pPr>
      <w:bookmarkStart w:id="108" w:name="_Toc93695199"/>
      <w:r>
        <w:t>Risk-benefit a</w:t>
      </w:r>
      <w:r w:rsidR="008E7846">
        <w:t>nalysis</w:t>
      </w:r>
      <w:bookmarkEnd w:id="104"/>
      <w:bookmarkEnd w:id="105"/>
      <w:bookmarkEnd w:id="108"/>
    </w:p>
    <w:p w14:paraId="06820AB8" w14:textId="77777777" w:rsidR="00D23139" w:rsidRDefault="007D53B6" w:rsidP="00345763">
      <w:pPr>
        <w:pStyle w:val="Heading4"/>
        <w:keepNext w:val="0"/>
      </w:pPr>
      <w:r>
        <w:t>Delegate’s considerations</w:t>
      </w:r>
    </w:p>
    <w:p w14:paraId="49FDBFC1" w14:textId="381E2F22" w:rsidR="000C4974" w:rsidRDefault="000C4974" w:rsidP="00345763">
      <w:pPr>
        <w:pStyle w:val="Heading5"/>
        <w:keepNext w:val="0"/>
        <w:keepLines w:val="0"/>
      </w:pPr>
      <w:r>
        <w:t>Overview</w:t>
      </w:r>
    </w:p>
    <w:p w14:paraId="26B2244F" w14:textId="1741E271" w:rsidR="000C4974" w:rsidRDefault="000C4974" w:rsidP="00345763">
      <w:r>
        <w:t xml:space="preserve">Data provided by the sponsor, to support the COVID-19 vaccine </w:t>
      </w:r>
      <w:proofErr w:type="spellStart"/>
      <w:r>
        <w:t>Nuvaxovid</w:t>
      </w:r>
      <w:proofErr w:type="spellEnd"/>
      <w:r>
        <w:t xml:space="preserve"> use in adults above 18 years age, showed a robust immunogenicity response in the target age group. </w:t>
      </w:r>
      <w:r w:rsidR="007F1003">
        <w:t>The i</w:t>
      </w:r>
      <w:r>
        <w:t>mmunogenicity response was consistent across relevant subgroups.</w:t>
      </w:r>
    </w:p>
    <w:p w14:paraId="1B27B255" w14:textId="5598B6AE" w:rsidR="000C4974" w:rsidRDefault="000C4974" w:rsidP="00345763">
      <w:r>
        <w:t>The Phase III studies from the investigational plans (at a median of 90 days for Study</w:t>
      </w:r>
      <w:r w:rsidR="007F1003">
        <w:t> </w:t>
      </w:r>
      <w:r>
        <w:t>2019nCoV-302 and 76 days in Study 2019nCoV-301) met the primary endpoints. However, these studies were conducted in a setting with low prevalence of the Beta variant and prior to the significant emergence of the Delta or Omicron variants. Vaccine efficacy was in line with the robust immune responses seen in the immunogenicity studies. The duration of protection is unknown at this stage, as the follow up period is short.</w:t>
      </w:r>
    </w:p>
    <w:p w14:paraId="5CF1333B" w14:textId="3D764BD6" w:rsidR="000C4974" w:rsidRDefault="000C4974" w:rsidP="00345763">
      <w:r>
        <w:t xml:space="preserve">Overall safety profile of </w:t>
      </w:r>
      <w:proofErr w:type="spellStart"/>
      <w:r>
        <w:t>Nuvaxovid</w:t>
      </w:r>
      <w:proofErr w:type="spellEnd"/>
      <w:r>
        <w:t xml:space="preserve"> has been well characterised during the clinical development program and appears to be acceptable. However, relatively small sample size and short term follow up may not be sufficient to detect rare events.</w:t>
      </w:r>
    </w:p>
    <w:p w14:paraId="2C473BCC" w14:textId="310C6E02" w:rsidR="000C4974" w:rsidRDefault="000C4974" w:rsidP="00345763">
      <w:pPr>
        <w:pStyle w:val="Heading5"/>
        <w:keepNext w:val="0"/>
        <w:keepLines w:val="0"/>
      </w:pPr>
      <w:r>
        <w:t>Public health need</w:t>
      </w:r>
    </w:p>
    <w:p w14:paraId="43CDC106" w14:textId="21CF4DA9" w:rsidR="000C4974" w:rsidRDefault="000C4974" w:rsidP="00345763">
      <w:r>
        <w:t xml:space="preserve">Australia has </w:t>
      </w:r>
      <w:r w:rsidR="007F1003">
        <w:t xml:space="preserve">had </w:t>
      </w:r>
      <w:r>
        <w:t>relatively fewer COVID-19 cases in comparison to many other countries; however, significant intermittent surge</w:t>
      </w:r>
      <w:r w:rsidR="007F1003">
        <w:t>s</w:t>
      </w:r>
      <w:r>
        <w:t xml:space="preserve"> </w:t>
      </w:r>
      <w:r w:rsidR="007F1003">
        <w:t>in the number of</w:t>
      </w:r>
      <w:r>
        <w:t xml:space="preserve"> cases are still occurring. These COVID-19 outbreaks cause significant disruption to the normal life. </w:t>
      </w:r>
      <w:r w:rsidR="007F1003">
        <w:t xml:space="preserve">The states of </w:t>
      </w:r>
      <w:r>
        <w:t>New South Wales and Victoria are currently having a surge of COVID-19 cases, caused by the Omicron variant. A safe and effective vaccine is one of the most important tools in containing the COVID-19 pandemic. Four COVID-19 vaccines are currently provisionally registered in Australia. To date, &gt; 90% of Australian population above 16</w:t>
      </w:r>
      <w:r w:rsidR="007F1003">
        <w:t> </w:t>
      </w:r>
      <w:r>
        <w:t xml:space="preserve">years age, </w:t>
      </w:r>
      <w:r w:rsidR="007F1003">
        <w:t xml:space="preserve">have </w:t>
      </w:r>
      <w:r w:rsidR="007F1003">
        <w:lastRenderedPageBreak/>
        <w:t>been</w:t>
      </w:r>
      <w:r>
        <w:t xml:space="preserve"> immunised with at least two doses of COVID-19 vaccine. There is still a need for a safe and effective COVID</w:t>
      </w:r>
      <w:r>
        <w:noBreakHyphen/>
        <w:t>19 vaccines to deal with the current public health emergency. This will improve the availability of vaccine to the unvaccinated population.</w:t>
      </w:r>
    </w:p>
    <w:p w14:paraId="4772DAB2" w14:textId="3265AE06" w:rsidR="000C4974" w:rsidRDefault="000C4974" w:rsidP="00345763">
      <w:pPr>
        <w:pStyle w:val="Heading5"/>
        <w:keepNext w:val="0"/>
        <w:keepLines w:val="0"/>
      </w:pPr>
      <w:r>
        <w:t>Short-term efficacy and safety data for provisional registration</w:t>
      </w:r>
    </w:p>
    <w:p w14:paraId="1C3CBE80" w14:textId="28A355F8" w:rsidR="000C4974" w:rsidRDefault="000C4974" w:rsidP="00345763">
      <w:pPr>
        <w:pStyle w:val="Heading6"/>
        <w:keepNext w:val="0"/>
      </w:pPr>
      <w:r>
        <w:t>Immunogenicity</w:t>
      </w:r>
    </w:p>
    <w:p w14:paraId="6164F430" w14:textId="029B79DB" w:rsidR="000C4974" w:rsidRDefault="000C4974" w:rsidP="00345763">
      <w:r>
        <w:t xml:space="preserve">The immune response data overall support the choice of a two dose schedule of </w:t>
      </w:r>
      <w:proofErr w:type="spellStart"/>
      <w:r>
        <w:t>Nuvaxovid</w:t>
      </w:r>
      <w:proofErr w:type="spellEnd"/>
      <w:r>
        <w:t>, with no apparent advantage for 25 over 5 µg antigen doses in the adjuvanted formulations.</w:t>
      </w:r>
    </w:p>
    <w:p w14:paraId="78F8BE69" w14:textId="475AC551" w:rsidR="000C4974" w:rsidRDefault="000C4974" w:rsidP="00345763">
      <w:r>
        <w:t>There is currently no widely accepted immunological correlate of protection for vaccine induced immunity to SARS-CoV-2. Available data and guidelines suggest a preference for neutralising antibody to spike protein over anti-spike protein IgG binding responses.</w:t>
      </w:r>
    </w:p>
    <w:p w14:paraId="79ADAE56" w14:textId="52F8D34A" w:rsidR="000C4974" w:rsidRDefault="000C4974" w:rsidP="00345763">
      <w:r>
        <w:t>Immunogenicity data were generated from Stud</w:t>
      </w:r>
      <w:r w:rsidR="007F1003">
        <w:t>y</w:t>
      </w:r>
      <w:r>
        <w:t xml:space="preserve"> 2019nCoV-101 </w:t>
      </w:r>
      <w:r w:rsidR="007F1003">
        <w:t>P</w:t>
      </w:r>
      <w:r>
        <w:t>art</w:t>
      </w:r>
      <w:r w:rsidR="007F1003">
        <w:t>s</w:t>
      </w:r>
      <w:r>
        <w:t xml:space="preserve"> 1 and 2 (</w:t>
      </w:r>
      <w:r w:rsidR="007F1003">
        <w:t xml:space="preserve">a </w:t>
      </w:r>
      <w:r>
        <w:t xml:space="preserve">dose response </w:t>
      </w:r>
      <w:r w:rsidR="007F1003">
        <w:t>study</w:t>
      </w:r>
      <w:r>
        <w:t>)</w:t>
      </w:r>
      <w:r w:rsidR="007F1003">
        <w:t>;</w:t>
      </w:r>
      <w:r>
        <w:t xml:space="preserve"> </w:t>
      </w:r>
      <w:r w:rsidR="007F1003">
        <w:t xml:space="preserve">Studies </w:t>
      </w:r>
      <w:r>
        <w:t>2019nCoV-302</w:t>
      </w:r>
      <w:r w:rsidR="007F1003">
        <w:t xml:space="preserve"> and</w:t>
      </w:r>
      <w:r>
        <w:t xml:space="preserve"> 2019nCoV-301 (main studies)</w:t>
      </w:r>
      <w:r w:rsidR="007F1003">
        <w:t>;</w:t>
      </w:r>
      <w:r>
        <w:t xml:space="preserve"> and </w:t>
      </w:r>
      <w:r w:rsidR="007F1003">
        <w:t>Study </w:t>
      </w:r>
      <w:r>
        <w:t>2019nCoV-501 (</w:t>
      </w:r>
      <w:r w:rsidR="007F1003">
        <w:t xml:space="preserve">a </w:t>
      </w:r>
      <w:r>
        <w:t>supportive study). Immunogenicity was assessed primarily based on circulating neutralising and spike antigen binding antibodies. A limited amount of T cell immunity data w</w:t>
      </w:r>
      <w:r w:rsidR="00E84988">
        <w:t>as</w:t>
      </w:r>
      <w:r>
        <w:t xml:space="preserve"> also included in the interim report of Study 2019nCoV-101.</w:t>
      </w:r>
    </w:p>
    <w:p w14:paraId="17062489" w14:textId="49B5EDC7" w:rsidR="000C4974" w:rsidRDefault="007F1003" w:rsidP="00345763">
      <w:r>
        <w:t xml:space="preserve">From Parts 1 and 2 of </w:t>
      </w:r>
      <w:r w:rsidR="000C4974">
        <w:t>Study 2019nCoV-101 (Phase I/II)</w:t>
      </w:r>
      <w:r>
        <w:t xml:space="preserve"> </w:t>
      </w:r>
      <w:r w:rsidR="000C4974">
        <w:t xml:space="preserve">it has been demonstrated that two doses of SARS-CoV-2 vaccine with </w:t>
      </w:r>
      <w:r w:rsidR="006F5F10">
        <w:t>Matrix-M</w:t>
      </w:r>
      <w:r w:rsidR="000C4974">
        <w:t xml:space="preserve"> adjuvant produces a better immune response than a one dose regimen or two vaccine doses without adjuvant.</w:t>
      </w:r>
    </w:p>
    <w:p w14:paraId="61B46905" w14:textId="654F3D02" w:rsidR="000C4974" w:rsidRDefault="000C4974" w:rsidP="00345763">
      <w:r>
        <w:t xml:space="preserve">With regards to the cell mediated immunity, </w:t>
      </w:r>
      <w:r w:rsidR="00921CF2">
        <w:t xml:space="preserve">the type 1 </w:t>
      </w:r>
      <w:r>
        <w:t xml:space="preserve">T helper </w:t>
      </w:r>
      <w:r w:rsidR="00921CF2">
        <w:t xml:space="preserve">cell </w:t>
      </w:r>
      <w:r>
        <w:t>(T</w:t>
      </w:r>
      <w:r w:rsidR="00C41FF6">
        <w:rPr>
          <w:rFonts w:ascii="ZWAdobeF" w:hAnsi="ZWAdobeF" w:cs="ZWAdobeF"/>
          <w:sz w:val="2"/>
          <w:szCs w:val="2"/>
        </w:rPr>
        <w:t>R</w:t>
      </w:r>
      <w:r w:rsidRPr="009B4460">
        <w:rPr>
          <w:vertAlign w:val="subscript"/>
        </w:rPr>
        <w:t>h</w:t>
      </w:r>
      <w:r w:rsidR="00C41FF6">
        <w:rPr>
          <w:rFonts w:ascii="ZWAdobeF" w:hAnsi="ZWAdobeF" w:cs="ZWAdobeF"/>
          <w:sz w:val="2"/>
          <w:szCs w:val="2"/>
        </w:rPr>
        <w:t>R</w:t>
      </w:r>
      <w:r w:rsidR="00921CF2">
        <w:t>1</w:t>
      </w:r>
      <w:r>
        <w:t xml:space="preserve">) response appears to be greater than </w:t>
      </w:r>
      <w:r w:rsidR="00921CF2">
        <w:t>the type 2 T helper cell response (T</w:t>
      </w:r>
      <w:r w:rsidR="00C41FF6">
        <w:rPr>
          <w:rFonts w:ascii="ZWAdobeF" w:hAnsi="ZWAdobeF" w:cs="ZWAdobeF"/>
          <w:sz w:val="2"/>
          <w:szCs w:val="2"/>
        </w:rPr>
        <w:t>R</w:t>
      </w:r>
      <w:r w:rsidR="00921CF2" w:rsidRPr="009B4460">
        <w:rPr>
          <w:vertAlign w:val="subscript"/>
        </w:rPr>
        <w:t>h</w:t>
      </w:r>
      <w:r w:rsidR="00C41FF6">
        <w:rPr>
          <w:rFonts w:ascii="ZWAdobeF" w:hAnsi="ZWAdobeF" w:cs="ZWAdobeF"/>
          <w:sz w:val="2"/>
          <w:szCs w:val="2"/>
        </w:rPr>
        <w:t>R</w:t>
      </w:r>
      <w:r w:rsidR="00921CF2">
        <w:t>2).</w:t>
      </w:r>
    </w:p>
    <w:p w14:paraId="612DC912" w14:textId="1D98364E" w:rsidR="000C4974" w:rsidRDefault="000C4974" w:rsidP="00345763">
      <w:r>
        <w:t>In the Phase III sub-study Study 2019nCoV-301 (with about 1200 participants), robust immunogenicity was observed. Seroconversion rates were noted to be higher in the 18 to &lt; 65 years of age cohort than in the ≥ 65 years of age cohort.</w:t>
      </w:r>
    </w:p>
    <w:p w14:paraId="348792BA" w14:textId="0D6FED71" w:rsidR="000C4974" w:rsidRDefault="000C4974" w:rsidP="00345763">
      <w:r>
        <w:t>Immunogenicity results from the other pivotal trial, Study 2019nCoV-302 showed similar patterns of responses.</w:t>
      </w:r>
    </w:p>
    <w:p w14:paraId="5014C595" w14:textId="128C9DD3" w:rsidR="000C4974" w:rsidRDefault="000C4974" w:rsidP="00345763">
      <w:r>
        <w:t xml:space="preserve">In the Phase </w:t>
      </w:r>
      <w:proofErr w:type="spellStart"/>
      <w:r>
        <w:t>IIa</w:t>
      </w:r>
      <w:proofErr w:type="spellEnd"/>
      <w:r>
        <w:t>/IIb Study 2019nCoV-501(</w:t>
      </w:r>
      <w:r w:rsidR="00921CF2">
        <w:t xml:space="preserve">conducted in </w:t>
      </w:r>
      <w:r>
        <w:t xml:space="preserve">South Africa), anti-spike protein IgG and </w:t>
      </w:r>
      <w:proofErr w:type="spellStart"/>
      <w:r>
        <w:t>nAb</w:t>
      </w:r>
      <w:proofErr w:type="spellEnd"/>
      <w:r>
        <w:t xml:space="preserve"> responses were generally lower as compared to the immunogenicity from other studies. Among the study subjects, immunogenicity was relatively lower in older participants and HIV positive participants.</w:t>
      </w:r>
    </w:p>
    <w:p w14:paraId="47ECC111" w14:textId="20725012" w:rsidR="000C4974" w:rsidRDefault="000C4974" w:rsidP="00345763">
      <w:r>
        <w:t>In the Phase III seasonal influenza vaccine sub</w:t>
      </w:r>
      <w:r w:rsidR="00921CF2">
        <w:t>-</w:t>
      </w:r>
      <w:r>
        <w:t xml:space="preserve">study of Study 2019nCoV-302, anti-spike IgG binding responses to </w:t>
      </w:r>
      <w:proofErr w:type="spellStart"/>
      <w:r>
        <w:t>Nuvaxovid</w:t>
      </w:r>
      <w:proofErr w:type="spellEnd"/>
      <w:r>
        <w:t xml:space="preserve"> were about 30% lower in those given influenza vaccine than were seen in the main study with non-overlapping 95% </w:t>
      </w:r>
      <w:r w:rsidR="00921CF2">
        <w:t>confidence intervals</w:t>
      </w:r>
      <w:r>
        <w:t xml:space="preserve">. The clinical significance of this is uncertain; however, this could potentially lead to reduced protection against severe disease, in subgroups (for example, the elderly) and/or reduced duration of protection (as antibody responses wane over 6 months). There was no evidence of interference by </w:t>
      </w:r>
      <w:proofErr w:type="spellStart"/>
      <w:r>
        <w:t>Nuvaxovid</w:t>
      </w:r>
      <w:proofErr w:type="spellEnd"/>
      <w:r>
        <w:t xml:space="preserve"> on </w:t>
      </w:r>
      <w:r w:rsidRPr="000C4974">
        <w:t>h</w:t>
      </w:r>
      <w:r w:rsidR="00921CF2">
        <w:t>a</w:t>
      </w:r>
      <w:r w:rsidRPr="000C4974">
        <w:t>emagglutination inhibition</w:t>
      </w:r>
      <w:r>
        <w:t xml:space="preserve"> responses to the influenza vaccines.</w:t>
      </w:r>
    </w:p>
    <w:p w14:paraId="60B77E25" w14:textId="08C1F225" w:rsidR="000C4974" w:rsidRDefault="000C4974" w:rsidP="00345763">
      <w:r>
        <w:t xml:space="preserve">Data from the </w:t>
      </w:r>
      <w:r w:rsidR="00921CF2">
        <w:t>Indian Council of Medical Research (</w:t>
      </w:r>
      <w:r>
        <w:t>ICMR</w:t>
      </w:r>
      <w:r w:rsidR="00921CF2">
        <w:t>)</w:t>
      </w:r>
      <w:r>
        <w:t>/</w:t>
      </w:r>
      <w:r w:rsidR="00921CF2">
        <w:t xml:space="preserve"> Serum Institute of India (</w:t>
      </w:r>
      <w:r>
        <w:t>SII</w:t>
      </w:r>
      <w:r w:rsidR="00921CF2">
        <w:t xml:space="preserve">) </w:t>
      </w:r>
      <w:proofErr w:type="spellStart"/>
      <w:r w:rsidR="00921CF2">
        <w:t>Covovax</w:t>
      </w:r>
      <w:proofErr w:type="spellEnd"/>
      <w:r w:rsidR="00921CF2">
        <w:t xml:space="preserve"> </w:t>
      </w:r>
      <w:r>
        <w:t xml:space="preserve">trial (non-sponsored) showed non-inferiority of </w:t>
      </w:r>
      <w:proofErr w:type="spellStart"/>
      <w:r>
        <w:t>Cov</w:t>
      </w:r>
      <w:r w:rsidR="00E84988">
        <w:t>o</w:t>
      </w:r>
      <w:r>
        <w:t>v</w:t>
      </w:r>
      <w:r w:rsidR="00CE5980">
        <w:t>ax</w:t>
      </w:r>
      <w:proofErr w:type="spellEnd"/>
      <w:r>
        <w:t xml:space="preserve"> (manufactured by </w:t>
      </w:r>
      <w:r w:rsidR="004157E5">
        <w:t xml:space="preserve">the </w:t>
      </w:r>
      <w:r>
        <w:t xml:space="preserve">SII) to </w:t>
      </w:r>
      <w:r w:rsidR="004157E5">
        <w:t xml:space="preserve">the sponsor-produced </w:t>
      </w:r>
      <w:proofErr w:type="spellStart"/>
      <w:r w:rsidR="004157E5">
        <w:t>Nuvaxovid</w:t>
      </w:r>
      <w:proofErr w:type="spellEnd"/>
      <w:r w:rsidR="004157E5">
        <w:t xml:space="preserve"> vaccine</w:t>
      </w:r>
      <w:r>
        <w:t>. However, anti-spike protein IgG binding antibodies measured by ELISA was chosen as primary end point rather than the neutralising antibody (</w:t>
      </w:r>
      <w:proofErr w:type="spellStart"/>
      <w:r>
        <w:t>nAb</w:t>
      </w:r>
      <w:proofErr w:type="spellEnd"/>
      <w:r>
        <w:t xml:space="preserve">) responses. Of note, around 30% subjects were seropositive at </w:t>
      </w:r>
      <w:r w:rsidR="00CE5980">
        <w:t>B</w:t>
      </w:r>
      <w:r>
        <w:t>aseline in each group.</w:t>
      </w:r>
    </w:p>
    <w:p w14:paraId="7A6F2A87" w14:textId="3AF4C82E" w:rsidR="000C4974" w:rsidRDefault="000C4974" w:rsidP="00345763">
      <w:pPr>
        <w:pStyle w:val="Heading6"/>
        <w:keepNext w:val="0"/>
      </w:pPr>
      <w:r>
        <w:t>E</w:t>
      </w:r>
      <w:r w:rsidR="00CE5980">
        <w:t>fficacy</w:t>
      </w:r>
    </w:p>
    <w:p w14:paraId="15BF7C20" w14:textId="6AF1B51F" w:rsidR="000C4974" w:rsidRDefault="000C4974" w:rsidP="00345763">
      <w:r>
        <w:t xml:space="preserve">Clinical efficacy was examined in adults ≥ 18 </w:t>
      </w:r>
      <w:r w:rsidR="00CE5980">
        <w:t>years of age</w:t>
      </w:r>
      <w:r>
        <w:t xml:space="preserve"> in </w:t>
      </w:r>
      <w:r w:rsidR="00CE5980">
        <w:t>two</w:t>
      </w:r>
      <w:r>
        <w:t xml:space="preserve"> pivotal Phase </w:t>
      </w:r>
      <w:r w:rsidR="00CE5980">
        <w:t>III</w:t>
      </w:r>
      <w:r>
        <w:t xml:space="preserve"> clinical trials (</w:t>
      </w:r>
      <w:r w:rsidR="00CE5980">
        <w:t xml:space="preserve">Studies </w:t>
      </w:r>
      <w:r>
        <w:t xml:space="preserve">2019nCoV-302 in the UK, and 2019nCoV-301 in the USA and Mexico) and one supportive Phase </w:t>
      </w:r>
      <w:proofErr w:type="spellStart"/>
      <w:r w:rsidR="00CE5980">
        <w:t>II</w:t>
      </w:r>
      <w:r>
        <w:t>a</w:t>
      </w:r>
      <w:proofErr w:type="spellEnd"/>
      <w:r>
        <w:t>/</w:t>
      </w:r>
      <w:r w:rsidR="00CE5980">
        <w:t>II</w:t>
      </w:r>
      <w:r>
        <w:t>b trial (</w:t>
      </w:r>
      <w:r w:rsidR="00CE5980">
        <w:t xml:space="preserve">Study </w:t>
      </w:r>
      <w:r>
        <w:t>2019nCoV-501 in South Africa).</w:t>
      </w:r>
    </w:p>
    <w:p w14:paraId="6E098D7F" w14:textId="38D6D722" w:rsidR="000C4974" w:rsidRDefault="000C4974" w:rsidP="00345763">
      <w:r>
        <w:lastRenderedPageBreak/>
        <w:t xml:space="preserve">In </w:t>
      </w:r>
      <w:r w:rsidR="00CE5980">
        <w:t>S</w:t>
      </w:r>
      <w:r>
        <w:t xml:space="preserve">tudy 2019nCoV-302, approximately 15000 participants were randomised 1:1 to </w:t>
      </w:r>
      <w:proofErr w:type="spellStart"/>
      <w:r w:rsidR="00CE5980">
        <w:t>Nuvaxovid</w:t>
      </w:r>
      <w:proofErr w:type="spellEnd"/>
      <w:r>
        <w:t xml:space="preserve"> or placebo and in </w:t>
      </w:r>
      <w:r w:rsidR="00CE5980">
        <w:t>S</w:t>
      </w:r>
      <w:r>
        <w:t xml:space="preserve">tudy 2019nCoV-301, there were </w:t>
      </w:r>
      <w:r w:rsidR="00CE5980">
        <w:t>about</w:t>
      </w:r>
      <w:r>
        <w:t xml:space="preserve"> </w:t>
      </w:r>
      <w:r w:rsidR="002360D9">
        <w:t>3</w:t>
      </w:r>
      <w:r>
        <w:t xml:space="preserve">0000 participants randomised 2:1 to </w:t>
      </w:r>
      <w:proofErr w:type="spellStart"/>
      <w:r w:rsidR="00CE5980">
        <w:t>Nuvaxovid</w:t>
      </w:r>
      <w:proofErr w:type="spellEnd"/>
      <w:r>
        <w:t xml:space="preserve"> or placebo. There were </w:t>
      </w:r>
      <w:r w:rsidR="00CE5980">
        <w:t>about</w:t>
      </w:r>
      <w:r>
        <w:t xml:space="preserve"> 4500 participants in </w:t>
      </w:r>
      <w:r w:rsidR="00CE5980">
        <w:t xml:space="preserve">Study </w:t>
      </w:r>
      <w:r>
        <w:t>2019nCoV-501.</w:t>
      </w:r>
    </w:p>
    <w:p w14:paraId="7F8631FA" w14:textId="1E453291" w:rsidR="000C4974" w:rsidRDefault="000C4974" w:rsidP="00345763">
      <w:r>
        <w:t xml:space="preserve">The primary endpoints were met in both Phase </w:t>
      </w:r>
      <w:r w:rsidR="00CE5980">
        <w:t>III</w:t>
      </w:r>
      <w:r>
        <w:t xml:space="preserve"> trials: </w:t>
      </w:r>
      <w:r w:rsidR="00CE5980">
        <w:t>S</w:t>
      </w:r>
      <w:r>
        <w:t xml:space="preserve">tudy 2019nCoV-302 (89.3% </w:t>
      </w:r>
      <w:r w:rsidR="00CE5980">
        <w:t>(</w:t>
      </w:r>
      <w:r>
        <w:t>95% CI: 75.2, 95.4</w:t>
      </w:r>
      <w:r w:rsidR="00CE5980">
        <w:t>)</w:t>
      </w:r>
      <w:r>
        <w:t xml:space="preserve"> at the interim analysis and 89.7% </w:t>
      </w:r>
      <w:r w:rsidR="00CE5980">
        <w:t>(</w:t>
      </w:r>
      <w:r>
        <w:t>95% CI: 80.2, 94.6</w:t>
      </w:r>
      <w:r w:rsidR="00CE5980">
        <w:t>)</w:t>
      </w:r>
      <w:r>
        <w:t xml:space="preserve"> at the final analysis); </w:t>
      </w:r>
      <w:r w:rsidR="00CE5980">
        <w:t>S</w:t>
      </w:r>
      <w:r>
        <w:t xml:space="preserve">tudy 2019nCoV-301 (90.4% </w:t>
      </w:r>
      <w:r w:rsidR="00CE5980">
        <w:t>(</w:t>
      </w:r>
      <w:r>
        <w:t xml:space="preserve">95% CI: </w:t>
      </w:r>
      <w:r w:rsidR="00CE5980">
        <w:t>(</w:t>
      </w:r>
      <w:r>
        <w:t>82.88, 94.62</w:t>
      </w:r>
      <w:r w:rsidR="00CE5980">
        <w:t>)</w:t>
      </w:r>
      <w:r>
        <w:t xml:space="preserve">); and also in the Phase </w:t>
      </w:r>
      <w:proofErr w:type="spellStart"/>
      <w:r w:rsidR="00CE5980">
        <w:t>II</w:t>
      </w:r>
      <w:r>
        <w:t>a</w:t>
      </w:r>
      <w:proofErr w:type="spellEnd"/>
      <w:r>
        <w:t>/</w:t>
      </w:r>
      <w:r w:rsidR="00CE5980">
        <w:t>II</w:t>
      </w:r>
      <w:r>
        <w:t xml:space="preserve">b </w:t>
      </w:r>
      <w:r w:rsidR="00CE5980">
        <w:t>S</w:t>
      </w:r>
      <w:r>
        <w:t>tudy 2019nCoV-501 (</w:t>
      </w:r>
      <w:r w:rsidR="00C052BB" w:rsidRPr="00AA411E">
        <w:t>51</w:t>
      </w:r>
      <w:r w:rsidRPr="00AA411E">
        <w:t>%</w:t>
      </w:r>
      <w:r>
        <w:t xml:space="preserve"> </w:t>
      </w:r>
      <w:r w:rsidR="00CE5980">
        <w:t>(</w:t>
      </w:r>
      <w:r>
        <w:t>95% CI: 6.1, 72.8</w:t>
      </w:r>
      <w:r w:rsidR="00CE5980">
        <w:t>)</w:t>
      </w:r>
      <w:r>
        <w:t>).</w:t>
      </w:r>
    </w:p>
    <w:p w14:paraId="5A3832F0" w14:textId="2FCF6764" w:rsidR="000C4974" w:rsidRDefault="000C4974" w:rsidP="00345763">
      <w:r>
        <w:t>Due to low number of cases, specific conclusions can</w:t>
      </w:r>
      <w:r w:rsidR="00CE5980">
        <w:t>not</w:t>
      </w:r>
      <w:r>
        <w:t xml:space="preserve"> be drawn for subgroups based on: older age, baseline characteristics, COVID-19 severity, baseline serostatus, HIV status, and SARS-CoV-2 variants; however, wherever subgroup analyses were performed, VE point estimates were generally in line with overall results.</w:t>
      </w:r>
    </w:p>
    <w:p w14:paraId="3907096A" w14:textId="0443F919" w:rsidR="000C4974" w:rsidRDefault="000C4974" w:rsidP="00345763">
      <w:r>
        <w:t xml:space="preserve">Markedly lower efficacy was observed in </w:t>
      </w:r>
      <w:r w:rsidR="00CE5980">
        <w:t>S</w:t>
      </w:r>
      <w:r>
        <w:t xml:space="preserve">tudy 2019nCoV-501. As per the sponsor’s response, this was probably due to vaccine escape by the Beta variant that was prevalent in South Africa. </w:t>
      </w:r>
      <w:r w:rsidR="00CE5980">
        <w:t>However,</w:t>
      </w:r>
      <w:r>
        <w:t xml:space="preserve"> immune responses were also lower as compared to the Phase </w:t>
      </w:r>
      <w:r w:rsidR="00CE5980">
        <w:t>III</w:t>
      </w:r>
      <w:r>
        <w:t xml:space="preserve"> studies for reasons unexplained.</w:t>
      </w:r>
    </w:p>
    <w:p w14:paraId="5E00F462" w14:textId="4CFC90EC" w:rsidR="000C4974" w:rsidRDefault="000C4974" w:rsidP="00345763">
      <w:pPr>
        <w:pStyle w:val="Heading6"/>
        <w:keepNext w:val="0"/>
      </w:pPr>
      <w:r>
        <w:t>S</w:t>
      </w:r>
      <w:r w:rsidR="00CE5980">
        <w:t>afety</w:t>
      </w:r>
    </w:p>
    <w:p w14:paraId="65AC3B60" w14:textId="0CA18E47" w:rsidR="000C4974" w:rsidRDefault="000C4974" w:rsidP="00345763">
      <w:r>
        <w:t xml:space="preserve">Safety data were collected in </w:t>
      </w:r>
      <w:r w:rsidR="00CE5980">
        <w:t>four</w:t>
      </w:r>
      <w:r>
        <w:t xml:space="preserve"> studies conducted in Australia, the US, South Africa, the UK and Mexico.</w:t>
      </w:r>
    </w:p>
    <w:p w14:paraId="1B6EC1AC" w14:textId="2D949884" w:rsidR="000C4974" w:rsidRDefault="000C4974" w:rsidP="00345763">
      <w:r>
        <w:t xml:space="preserve">At the time of the pooled analysis, a total of 49950 participants age 18 years and older had received at least one dose of </w:t>
      </w:r>
      <w:proofErr w:type="spellStart"/>
      <w:r w:rsidR="00CE5980">
        <w:t>Nuvaxovid</w:t>
      </w:r>
      <w:proofErr w:type="spellEnd"/>
      <w:r>
        <w:t xml:space="preserve"> (n</w:t>
      </w:r>
      <w:r w:rsidR="00CE5980">
        <w:t xml:space="preserve"> </w:t>
      </w:r>
      <w:r>
        <w:t>=</w:t>
      </w:r>
      <w:r w:rsidR="00CE5980">
        <w:t xml:space="preserve"> </w:t>
      </w:r>
      <w:r>
        <w:t>30058) or placebo (n</w:t>
      </w:r>
      <w:r w:rsidR="00CE5980">
        <w:t xml:space="preserve"> </w:t>
      </w:r>
      <w:r>
        <w:t>=</w:t>
      </w:r>
      <w:r w:rsidR="00CE5980">
        <w:t xml:space="preserve"> </w:t>
      </w:r>
      <w:r>
        <w:t xml:space="preserve">19892). Over 96% of participants had received two doses. Median exposure from the second dose was 90 days in </w:t>
      </w:r>
      <w:r w:rsidR="00CE5980">
        <w:t>S</w:t>
      </w:r>
      <w:r>
        <w:t xml:space="preserve">tudy 2019nCoV-302 and 76/77 days in the </w:t>
      </w:r>
      <w:proofErr w:type="spellStart"/>
      <w:r w:rsidR="00CE5980">
        <w:t>Nuvaxovid</w:t>
      </w:r>
      <w:proofErr w:type="spellEnd"/>
      <w:r>
        <w:t xml:space="preserve"> and placebo group respectively in </w:t>
      </w:r>
      <w:r w:rsidR="00CE5980">
        <w:t>S</w:t>
      </w:r>
      <w:r>
        <w:t xml:space="preserve">tudy 2019nCoV-301, with 66% of participants completing at least </w:t>
      </w:r>
      <w:r w:rsidR="00CE5980">
        <w:t>two</w:t>
      </w:r>
      <w:r>
        <w:t xml:space="preserve"> months follow</w:t>
      </w:r>
      <w:r w:rsidR="00CE5980">
        <w:t xml:space="preserve"> </w:t>
      </w:r>
      <w:r>
        <w:t>up. The median duration of follow</w:t>
      </w:r>
      <w:r w:rsidR="00CE5980">
        <w:t xml:space="preserve"> </w:t>
      </w:r>
      <w:r>
        <w:t>up in the pooled safety database was 70 days post</w:t>
      </w:r>
      <w:r w:rsidR="00CE5980">
        <w:t xml:space="preserve"> second d</w:t>
      </w:r>
      <w:r>
        <w:t xml:space="preserve">ose. None of the studies showed an imbalance in the study discontinuations due to </w:t>
      </w:r>
      <w:r w:rsidR="00CE5980">
        <w:t>adverse events</w:t>
      </w:r>
      <w:r>
        <w:t xml:space="preserve"> per study group</w:t>
      </w:r>
      <w:r w:rsidR="00CE5980">
        <w:t>.</w:t>
      </w:r>
    </w:p>
    <w:p w14:paraId="03089744" w14:textId="175CF73D" w:rsidR="000C4974" w:rsidRDefault="000C4974" w:rsidP="00345763">
      <w:r>
        <w:t xml:space="preserve">Reactogenicity was evaluated in 1364 participants who received a first dose and 1348 participants who received a second dose of </w:t>
      </w:r>
      <w:proofErr w:type="spellStart"/>
      <w:r w:rsidR="00CE5980">
        <w:t>Nuvaxovid</w:t>
      </w:r>
      <w:proofErr w:type="spellEnd"/>
      <w:r>
        <w:t xml:space="preserve"> in </w:t>
      </w:r>
      <w:r w:rsidR="00CE5980">
        <w:t>S</w:t>
      </w:r>
      <w:r>
        <w:t xml:space="preserve">tudy 2019nCoV-302, and 19729 participants who received a first dose and 17139 participants who received a second dose of </w:t>
      </w:r>
      <w:proofErr w:type="spellStart"/>
      <w:r w:rsidR="00CE5980">
        <w:t>Nuvaxovid</w:t>
      </w:r>
      <w:proofErr w:type="spellEnd"/>
      <w:r>
        <w:t xml:space="preserve"> in </w:t>
      </w:r>
      <w:r w:rsidR="00CE5980">
        <w:t>S</w:t>
      </w:r>
      <w:r>
        <w:t>tudy 2019nCoV-301.</w:t>
      </w:r>
    </w:p>
    <w:p w14:paraId="7B9FAC85" w14:textId="7FE6ABDC" w:rsidR="000C4974" w:rsidRDefault="000C4974" w:rsidP="00345763">
      <w:r>
        <w:t xml:space="preserve">In both studies, there were more solicited local and systemic reactions reported by participants in the </w:t>
      </w:r>
      <w:proofErr w:type="spellStart"/>
      <w:r w:rsidR="00CE5980">
        <w:t>Nuvaxovid</w:t>
      </w:r>
      <w:proofErr w:type="spellEnd"/>
      <w:r>
        <w:t xml:space="preserve"> group compared to placebo, with the frequency and intensity of reactions increasing with the second dose. Pain (</w:t>
      </w:r>
      <w:r w:rsidR="00CE5980">
        <w:t xml:space="preserve">First </w:t>
      </w:r>
      <w:r>
        <w:t xml:space="preserve">dose 34% and </w:t>
      </w:r>
      <w:r w:rsidR="00CE5980">
        <w:t xml:space="preserve">second </w:t>
      </w:r>
      <w:r>
        <w:t>dose 59%) and tenderness (</w:t>
      </w:r>
      <w:r w:rsidR="00CE5980">
        <w:t xml:space="preserve">first </w:t>
      </w:r>
      <w:r>
        <w:t xml:space="preserve">dose, 53% and </w:t>
      </w:r>
      <w:r w:rsidR="00CE5980">
        <w:t xml:space="preserve">second </w:t>
      </w:r>
      <w:r>
        <w:t xml:space="preserve">dose, 74%) were the most commonly reported local reactions. Local reactions were mostly mild to moderate, with 1.1% of subjects in the </w:t>
      </w:r>
      <w:proofErr w:type="spellStart"/>
      <w:r w:rsidR="00CE5980">
        <w:t>Nuvaxovid</w:t>
      </w:r>
      <w:proofErr w:type="spellEnd"/>
      <w:r>
        <w:t xml:space="preserve"> group reporting </w:t>
      </w:r>
      <w:r w:rsidR="00CE5980">
        <w:t>G</w:t>
      </w:r>
      <w:r>
        <w:t>rade 3 local reactions after the first dose in either study and 6.6% after the second dose.</w:t>
      </w:r>
    </w:p>
    <w:p w14:paraId="37AA5997" w14:textId="3CD05561" w:rsidR="000C4974" w:rsidRDefault="000C4974" w:rsidP="00345763">
      <w:r>
        <w:t xml:space="preserve">Headache, fatigue, and muscle pain were the most frequent solicited systemic AEs, reported by 25%, 25%, and 23% post </w:t>
      </w:r>
      <w:r w:rsidR="00CE5980">
        <w:t xml:space="preserve">first </w:t>
      </w:r>
      <w:r>
        <w:t xml:space="preserve">dose and 44%, 49%, and 48% post </w:t>
      </w:r>
      <w:r w:rsidR="00CE5980">
        <w:t xml:space="preserve">second </w:t>
      </w:r>
      <w:r>
        <w:t xml:space="preserve">dose. The median duration of headache, fatigue and muscle pain was </w:t>
      </w:r>
      <w:r w:rsidR="00CE5980">
        <w:t>one</w:t>
      </w:r>
      <w:r>
        <w:t xml:space="preserve"> day after each dose in both studies. Fever was reported more with second dose (</w:t>
      </w:r>
      <w:r w:rsidR="00CE5980">
        <w:t>S</w:t>
      </w:r>
      <w:r>
        <w:t xml:space="preserve">tudy </w:t>
      </w:r>
      <w:r w:rsidR="00CE5980">
        <w:t xml:space="preserve">2019nCoV </w:t>
      </w:r>
      <w:r>
        <w:t xml:space="preserve">302- 5.1%, </w:t>
      </w:r>
      <w:r w:rsidR="00CE5980">
        <w:t xml:space="preserve">Study 2019nCoV </w:t>
      </w:r>
      <w:r>
        <w:t>301- 5.7%).</w:t>
      </w:r>
    </w:p>
    <w:p w14:paraId="1D3BB639" w14:textId="3C03CD54" w:rsidR="000C4974" w:rsidRDefault="000C4974" w:rsidP="00345763">
      <w:r>
        <w:t>Systemic reactions were mostly mild with 1.3%</w:t>
      </w:r>
      <w:r w:rsidR="00CE5980">
        <w:t xml:space="preserve"> to </w:t>
      </w:r>
      <w:r>
        <w:t xml:space="preserve">2.3% reporting </w:t>
      </w:r>
      <w:r w:rsidR="00CE5980">
        <w:t>G</w:t>
      </w:r>
      <w:r>
        <w:t>rade 3 systemic reactions after the first dose, and 6.8%</w:t>
      </w:r>
      <w:r w:rsidR="00CE5980">
        <w:t xml:space="preserve"> to </w:t>
      </w:r>
      <w:r>
        <w:t xml:space="preserve">12% reporting </w:t>
      </w:r>
      <w:r w:rsidR="00CE5980">
        <w:t>G</w:t>
      </w:r>
      <w:r>
        <w:t>rade 3 systemic reactions following the second dose. Grade 4 reactions were reported by 0.1% in</w:t>
      </w:r>
      <w:r w:rsidR="00CE5980">
        <w:t xml:space="preserve"> S</w:t>
      </w:r>
      <w:r>
        <w:t>tudy 2019nCov</w:t>
      </w:r>
      <w:r w:rsidR="00CE5980">
        <w:noBreakHyphen/>
      </w:r>
      <w:r>
        <w:t>301.</w:t>
      </w:r>
    </w:p>
    <w:p w14:paraId="16CA5D4F" w14:textId="483CFDB8" w:rsidR="000C4974" w:rsidRDefault="000C4974" w:rsidP="00345763">
      <w:r>
        <w:t>Unsolicited AEs were usually mild or moderate (with severe TEAEs occurring in &lt;</w:t>
      </w:r>
      <w:r w:rsidR="00CE5980">
        <w:t> </w:t>
      </w:r>
      <w:r>
        <w:t>1% participants) and mostly associated with reactogenicity reactions. Treatment</w:t>
      </w:r>
      <w:r w:rsidR="00CE5980">
        <w:t xml:space="preserve"> </w:t>
      </w:r>
      <w:r>
        <w:t xml:space="preserve">related </w:t>
      </w:r>
      <w:r>
        <w:lastRenderedPageBreak/>
        <w:t xml:space="preserve">injection site pruritus and lymphadenopathy were more common in the </w:t>
      </w:r>
      <w:proofErr w:type="spellStart"/>
      <w:r w:rsidR="00CE5980">
        <w:t>Nuvaxovid</w:t>
      </w:r>
      <w:proofErr w:type="spellEnd"/>
      <w:r>
        <w:t xml:space="preserve"> arm. Other hypersensitivity and/or allergic reactions appeared uncommon.</w:t>
      </w:r>
    </w:p>
    <w:p w14:paraId="6C6A66CE" w14:textId="28C04A16" w:rsidR="000C4974" w:rsidRDefault="000C4974" w:rsidP="00345763">
      <w:r>
        <w:t xml:space="preserve">An imbalance was noted in hypertension events in the </w:t>
      </w:r>
      <w:proofErr w:type="spellStart"/>
      <w:r w:rsidR="00CE5980">
        <w:t>Nuvaxovid</w:t>
      </w:r>
      <w:proofErr w:type="spellEnd"/>
      <w:r>
        <w:t xml:space="preserve"> arm that was noted in subjects ≥ 65 </w:t>
      </w:r>
      <w:r w:rsidR="00CE5980">
        <w:t>years of age.</w:t>
      </w:r>
    </w:p>
    <w:p w14:paraId="48F6D523" w14:textId="7EDCC24D" w:rsidR="000C4974" w:rsidRDefault="000C4974" w:rsidP="00345763">
      <w:r>
        <w:t xml:space="preserve">Other imbalances were noted in other SOCs </w:t>
      </w:r>
      <w:r w:rsidR="00CE5980">
        <w:t>including</w:t>
      </w:r>
      <w:r>
        <w:t xml:space="preserve"> eye disorders; reproductive system and breast disorders; cholecystitis / hepatobiliary disorders; prostate cancer; PIMMCs; and cerebrovascular accidents and/or related conditions.</w:t>
      </w:r>
    </w:p>
    <w:p w14:paraId="405B738F" w14:textId="77777777" w:rsidR="000C4974" w:rsidRDefault="000C4974" w:rsidP="00345763">
      <w:r>
        <w:t>There were no obvious safety signals noted in relation to AESIs related to COVID-19 or to PIMMCs There were no cases of anaphylaxis observed.</w:t>
      </w:r>
    </w:p>
    <w:p w14:paraId="0F6D189B" w14:textId="7616FC61" w:rsidR="000C4974" w:rsidRDefault="000C4974" w:rsidP="00345763">
      <w:pPr>
        <w:pStyle w:val="Heading6"/>
        <w:keepNext w:val="0"/>
      </w:pPr>
      <w:r>
        <w:t>Deaths and other serious adverse events</w:t>
      </w:r>
    </w:p>
    <w:p w14:paraId="6755BC1C" w14:textId="77777777" w:rsidR="000C4974" w:rsidRDefault="000C4974" w:rsidP="00345763">
      <w:r>
        <w:t>None of the 20 deaths observed in the clinical development program appeared to be related to vaccination.</w:t>
      </w:r>
    </w:p>
    <w:p w14:paraId="5F1E7B27" w14:textId="03EB8A8E" w:rsidR="000C4974" w:rsidRDefault="000C4974" w:rsidP="00345763">
      <w:r>
        <w:t>S</w:t>
      </w:r>
      <w:r w:rsidR="00CE5980">
        <w:t>erious adverse events</w:t>
      </w:r>
      <w:r>
        <w:t xml:space="preserve"> frequencies were similar among treatment arms in </w:t>
      </w:r>
      <w:r w:rsidR="00CE5980">
        <w:t>S</w:t>
      </w:r>
      <w:r>
        <w:t xml:space="preserve">tudy 2019nCoV-302 and SAE rates were also similar in </w:t>
      </w:r>
      <w:r w:rsidR="00CE5980">
        <w:t>S</w:t>
      </w:r>
      <w:r>
        <w:t xml:space="preserve">tudy 2019nCoV-301, excepting imbalances in hepatobiliary disorders (mainly cholecystitis), prostate cancer, cerebrovascular accident and hypertension/hypertensive crisis. There were no treatment-related SAEs observed in the Phase </w:t>
      </w:r>
      <w:r w:rsidR="00CE5980">
        <w:t>I</w:t>
      </w:r>
      <w:r>
        <w:t>/</w:t>
      </w:r>
      <w:r w:rsidR="00CE5980">
        <w:t>II</w:t>
      </w:r>
      <w:r>
        <w:t xml:space="preserve"> (Part 1) or Phase </w:t>
      </w:r>
      <w:proofErr w:type="spellStart"/>
      <w:r w:rsidR="00CE5980">
        <w:t>II</w:t>
      </w:r>
      <w:r>
        <w:t>a</w:t>
      </w:r>
      <w:proofErr w:type="spellEnd"/>
      <w:r>
        <w:t>/</w:t>
      </w:r>
      <w:r w:rsidR="00CE5980">
        <w:t>II</w:t>
      </w:r>
      <w:r>
        <w:t xml:space="preserve">b studies. As determined by the </w:t>
      </w:r>
      <w:r w:rsidR="00DD1A84">
        <w:t>i</w:t>
      </w:r>
      <w:r>
        <w:t xml:space="preserve">nvestigator, treatment-related SAEs observed among </w:t>
      </w:r>
      <w:proofErr w:type="spellStart"/>
      <w:r w:rsidR="00DD1A84">
        <w:t>Nuvaxovid</w:t>
      </w:r>
      <w:proofErr w:type="spellEnd"/>
      <w:r w:rsidR="00E84988">
        <w:t xml:space="preserve"> </w:t>
      </w:r>
      <w:r>
        <w:t xml:space="preserve">recipients in the Phase </w:t>
      </w:r>
      <w:r w:rsidR="00CE5980">
        <w:t>III</w:t>
      </w:r>
      <w:r>
        <w:t xml:space="preserve"> studies included isolated cases of: myocarditis (</w:t>
      </w:r>
      <w:r w:rsidR="00CE5980">
        <w:t>S</w:t>
      </w:r>
      <w:r>
        <w:t>tudy 2019nCoV-302), angioedema (</w:t>
      </w:r>
      <w:r w:rsidR="00CE5980">
        <w:t>S</w:t>
      </w:r>
      <w:r>
        <w:t xml:space="preserve">tudy 2019nCoV-301), </w:t>
      </w:r>
      <w:proofErr w:type="spellStart"/>
      <w:r>
        <w:t>Basedow’s</w:t>
      </w:r>
      <w:proofErr w:type="spellEnd"/>
      <w:r>
        <w:t xml:space="preserve"> (</w:t>
      </w:r>
      <w:r w:rsidR="00CE5980">
        <w:t xml:space="preserve">that is </w:t>
      </w:r>
      <w:r>
        <w:t>Graves) disease and hyperthyroidism (</w:t>
      </w:r>
      <w:r w:rsidR="00CE5980">
        <w:t>S</w:t>
      </w:r>
      <w:r>
        <w:t xml:space="preserve">tudy 2019nCoV-301), </w:t>
      </w:r>
      <w:r w:rsidR="00E84988">
        <w:t>thrombocytopaenia</w:t>
      </w:r>
      <w:r>
        <w:t xml:space="preserve"> (</w:t>
      </w:r>
      <w:r w:rsidR="00CE5980">
        <w:t>S</w:t>
      </w:r>
      <w:r>
        <w:t>tudy 2019nCoV-301) and colitis (</w:t>
      </w:r>
      <w:r w:rsidR="00CE5980">
        <w:t>S</w:t>
      </w:r>
      <w:r>
        <w:t xml:space="preserve">tudy 2019nCoV-101, Part 2). In addition to the solitary myocarditis case listed here, there were additional </w:t>
      </w:r>
      <w:r w:rsidR="00CE5980">
        <w:t>two</w:t>
      </w:r>
      <w:r>
        <w:t xml:space="preserve"> cases which the sponsor has reported unrelated. Myocarditis and pericarditis have been added to the EU RM</w:t>
      </w:r>
      <w:r w:rsidRPr="00DD1A84">
        <w:t xml:space="preserve">P </w:t>
      </w:r>
      <w:r w:rsidR="00CE5980" w:rsidRPr="00DD1A84">
        <w:t>s</w:t>
      </w:r>
      <w:r w:rsidRPr="00DD1A84">
        <w:t xml:space="preserve">ummary of </w:t>
      </w:r>
      <w:r w:rsidR="00CE5980" w:rsidRPr="00DD1A84">
        <w:t>s</w:t>
      </w:r>
      <w:r w:rsidRPr="00DD1A84">
        <w:t xml:space="preserve">afety </w:t>
      </w:r>
      <w:r w:rsidR="00CE5980" w:rsidRPr="00DD1A84">
        <w:t>c</w:t>
      </w:r>
      <w:r w:rsidRPr="00DD1A84">
        <w:t>oncerns as a ‘</w:t>
      </w:r>
      <w:r w:rsidRPr="00DD1A84">
        <w:rPr>
          <w:i/>
          <w:iCs/>
        </w:rPr>
        <w:t>potential important risk</w:t>
      </w:r>
      <w:r w:rsidRPr="00DD1A84">
        <w:t>’.</w:t>
      </w:r>
    </w:p>
    <w:p w14:paraId="2F67601C" w14:textId="337A74D0" w:rsidR="000C4974" w:rsidRDefault="000C4974" w:rsidP="00345763">
      <w:r>
        <w:t>There were no major safety signals form the non-sponsored study</w:t>
      </w:r>
      <w:r w:rsidR="00CE5980">
        <w:t xml:space="preserve">, </w:t>
      </w:r>
      <w:r>
        <w:t>ICMR/SII-COVOVAX</w:t>
      </w:r>
      <w:r w:rsidR="00E84988">
        <w:t xml:space="preserve"> </w:t>
      </w:r>
      <w:r w:rsidR="00DD1A84">
        <w:t>t</w:t>
      </w:r>
      <w:r w:rsidR="00CE5980">
        <w:t xml:space="preserve">rial. </w:t>
      </w:r>
      <w:r>
        <w:t xml:space="preserve">However small sample size and short term follow up make it difficult to draw any definitive conclusion on clinical safety. A case of central retinal vein occlusion was observed in this study in a </w:t>
      </w:r>
      <w:proofErr w:type="spellStart"/>
      <w:r>
        <w:t>Novavax</w:t>
      </w:r>
      <w:proofErr w:type="spellEnd"/>
      <w:r>
        <w:t xml:space="preserve"> vaccine participant and was deemed not to be treatment</w:t>
      </w:r>
      <w:r w:rsidR="00CE5980">
        <w:t xml:space="preserve"> </w:t>
      </w:r>
      <w:r>
        <w:t xml:space="preserve">related by the </w:t>
      </w:r>
      <w:r w:rsidR="00CE5980">
        <w:t>i</w:t>
      </w:r>
      <w:r>
        <w:t>nvestigator. However, the response provided by the sponsor for this case is not satisfactory and the clinical evaluator thought this should be considered a related event</w:t>
      </w:r>
      <w:r w:rsidR="00CE5980">
        <w:t>.</w:t>
      </w:r>
    </w:p>
    <w:p w14:paraId="2BDEDCF4" w14:textId="77777777" w:rsidR="000C4974" w:rsidRDefault="000C4974" w:rsidP="00345763">
      <w:pPr>
        <w:pStyle w:val="Heading6"/>
        <w:keepNext w:val="0"/>
      </w:pPr>
      <w:r>
        <w:t>Data limitations</w:t>
      </w:r>
    </w:p>
    <w:p w14:paraId="1FCF3AC2" w14:textId="740132B6" w:rsidR="000C4974" w:rsidRDefault="000C4974" w:rsidP="00345763">
      <w:pPr>
        <w:pStyle w:val="ListBullet"/>
      </w:pPr>
      <w:r>
        <w:t>Data on vaccine efficacy to prevent asymptomatic infection are lacking.</w:t>
      </w:r>
    </w:p>
    <w:p w14:paraId="6C0DEE34" w14:textId="77C446EC" w:rsidR="000C4974" w:rsidRDefault="000C4974" w:rsidP="00345763">
      <w:pPr>
        <w:pStyle w:val="ListBullet"/>
      </w:pPr>
      <w:r>
        <w:t xml:space="preserve">Data in </w:t>
      </w:r>
      <w:r w:rsidR="00E1622C">
        <w:t>f</w:t>
      </w:r>
      <w:r>
        <w:t xml:space="preserve">rail </w:t>
      </w:r>
      <w:r w:rsidR="00E1622C">
        <w:t>e</w:t>
      </w:r>
      <w:r>
        <w:t>lderly with unstable health conditions and co-morbidities are not available.</w:t>
      </w:r>
    </w:p>
    <w:p w14:paraId="6D7836E6" w14:textId="0966DA35" w:rsidR="000C4974" w:rsidRDefault="000C4974" w:rsidP="00345763">
      <w:pPr>
        <w:pStyle w:val="ListBullet"/>
      </w:pPr>
      <w:r>
        <w:t xml:space="preserve">No data on </w:t>
      </w:r>
      <w:r w:rsidR="00E1622C">
        <w:t>c</w:t>
      </w:r>
      <w:r>
        <w:t xml:space="preserve">o-administration of </w:t>
      </w:r>
      <w:proofErr w:type="spellStart"/>
      <w:r>
        <w:t>N</w:t>
      </w:r>
      <w:r w:rsidR="00E1622C">
        <w:t>uvaxovid</w:t>
      </w:r>
      <w:proofErr w:type="spellEnd"/>
      <w:r w:rsidR="00E1622C">
        <w:t xml:space="preserve"> </w:t>
      </w:r>
      <w:r>
        <w:t>with other vaccines (except the seasonal flu vaccine)</w:t>
      </w:r>
    </w:p>
    <w:p w14:paraId="37DF190E" w14:textId="7581975E" w:rsidR="000C4974" w:rsidRDefault="000C4974" w:rsidP="00345763">
      <w:pPr>
        <w:pStyle w:val="ListBullet"/>
      </w:pPr>
      <w:r>
        <w:t xml:space="preserve">There are no data available on the interchangeability of </w:t>
      </w:r>
      <w:proofErr w:type="spellStart"/>
      <w:r>
        <w:t>N</w:t>
      </w:r>
      <w:r w:rsidR="00E1622C">
        <w:t>uvaxovid</w:t>
      </w:r>
      <w:proofErr w:type="spellEnd"/>
      <w:r>
        <w:t xml:space="preserve"> with other COVID</w:t>
      </w:r>
      <w:r w:rsidR="00E1622C">
        <w:noBreakHyphen/>
      </w:r>
      <w:r>
        <w:t>19 vaccines to complete the vaccination series or booster use.</w:t>
      </w:r>
    </w:p>
    <w:p w14:paraId="04D0FF89" w14:textId="4E6C44C8" w:rsidR="000C4974" w:rsidRDefault="000C4974" w:rsidP="00345763">
      <w:pPr>
        <w:pStyle w:val="ListBullet"/>
      </w:pPr>
      <w:r>
        <w:t xml:space="preserve">There are no data provided by the sponsor regarding </w:t>
      </w:r>
      <w:proofErr w:type="spellStart"/>
      <w:r>
        <w:t>N</w:t>
      </w:r>
      <w:r w:rsidR="00E1622C">
        <w:t>uvaxovid</w:t>
      </w:r>
      <w:proofErr w:type="spellEnd"/>
      <w:r>
        <w:t xml:space="preserve"> efficacy against new VOC</w:t>
      </w:r>
      <w:r w:rsidR="00E1622C">
        <w:t>, for example</w:t>
      </w:r>
      <w:r>
        <w:t xml:space="preserve"> Omicron and Delta</w:t>
      </w:r>
      <w:r w:rsidR="00E1622C">
        <w:t>.</w:t>
      </w:r>
    </w:p>
    <w:p w14:paraId="60E7EF41" w14:textId="282C4CC1" w:rsidR="000C4974" w:rsidRDefault="000C4974" w:rsidP="00345763">
      <w:pPr>
        <w:pStyle w:val="ListBullet"/>
      </w:pPr>
      <w:r>
        <w:t xml:space="preserve">Duration of protection of </w:t>
      </w:r>
      <w:proofErr w:type="spellStart"/>
      <w:r>
        <w:t>N</w:t>
      </w:r>
      <w:r w:rsidR="00E1622C">
        <w:t>uvaxovid</w:t>
      </w:r>
      <w:proofErr w:type="spellEnd"/>
      <w:r>
        <w:t xml:space="preserve"> is uncertain due to limited follow</w:t>
      </w:r>
      <w:r w:rsidR="00E1622C">
        <w:t xml:space="preserve"> </w:t>
      </w:r>
      <w:r>
        <w:t xml:space="preserve">up duration. In </w:t>
      </w:r>
      <w:r w:rsidR="00E1622C">
        <w:t>P</w:t>
      </w:r>
      <w:r>
        <w:t xml:space="preserve">art </w:t>
      </w:r>
      <w:r w:rsidR="00E1622C">
        <w:t>one</w:t>
      </w:r>
      <w:r>
        <w:t xml:space="preserve"> of </w:t>
      </w:r>
      <w:r w:rsidR="00E1622C">
        <w:t>S</w:t>
      </w:r>
      <w:r>
        <w:t>tudy 2019nCoV-101, immune response (IgG titre and neutrali</w:t>
      </w:r>
      <w:r w:rsidR="00E1622C">
        <w:t>s</w:t>
      </w:r>
      <w:r>
        <w:t>ing antibodies) gradually decreased through Day 189.</w:t>
      </w:r>
    </w:p>
    <w:p w14:paraId="3CD26B34" w14:textId="1EB3887F" w:rsidR="000C4974" w:rsidRDefault="000C4974" w:rsidP="00345763">
      <w:pPr>
        <w:pStyle w:val="ListBullet"/>
      </w:pPr>
      <w:r>
        <w:t>No safety and efficacy data in immunocompromised patients or patients with background autoimmune disease.</w:t>
      </w:r>
    </w:p>
    <w:p w14:paraId="6F677484" w14:textId="4D5486F8" w:rsidR="000C4974" w:rsidRDefault="000C4974" w:rsidP="00345763">
      <w:pPr>
        <w:pStyle w:val="ListBullet"/>
      </w:pPr>
      <w:r>
        <w:lastRenderedPageBreak/>
        <w:t>Very limited safety data on pregnant women and breastfeeding women.</w:t>
      </w:r>
    </w:p>
    <w:p w14:paraId="1BBD2D0A" w14:textId="4354CB5C" w:rsidR="000C4974" w:rsidRDefault="000C4974" w:rsidP="00345763">
      <w:pPr>
        <w:pStyle w:val="ListBullet"/>
      </w:pPr>
      <w:r>
        <w:t xml:space="preserve">Short-term safety data may not provide information on rare AEs, risk of </w:t>
      </w:r>
      <w:r w:rsidR="00E1622C">
        <w:t>v</w:t>
      </w:r>
      <w:r>
        <w:t xml:space="preserve">accine-associated enhanced disease (VAED) or </w:t>
      </w:r>
      <w:r w:rsidR="00E1622C">
        <w:t>v</w:t>
      </w:r>
      <w:r>
        <w:t>accine-associated enhanced respiratory disease (VAERD) as the antibodies wane over time, and there may be AEs that have a long latency period including AEs of special interest.</w:t>
      </w:r>
    </w:p>
    <w:p w14:paraId="0569BCAC" w14:textId="380B11F8" w:rsidR="00D23139" w:rsidRDefault="00D23139" w:rsidP="00345763">
      <w:pPr>
        <w:pStyle w:val="Heading4"/>
        <w:keepNext w:val="0"/>
      </w:pPr>
      <w:r w:rsidRPr="00D23139">
        <w:t>Proposed action</w:t>
      </w:r>
    </w:p>
    <w:p w14:paraId="68D3511B" w14:textId="71B6F049" w:rsidR="00901C00" w:rsidRPr="00ED6F9D" w:rsidRDefault="00901C00" w:rsidP="00345763">
      <w:pPr>
        <w:rPr>
          <w:lang w:val="en" w:eastAsia="ja-JP"/>
        </w:rPr>
      </w:pPr>
      <w:r w:rsidRPr="00ED6F9D">
        <w:rPr>
          <w:lang w:val="en-GB" w:eastAsia="ja-JP"/>
        </w:rPr>
        <w:t xml:space="preserve">Considering the urgent public health need and noting the high short term efficacy with acceptable safety demonstrated in the submitted studies, the </w:t>
      </w:r>
      <w:r>
        <w:rPr>
          <w:lang w:val="en-GB" w:eastAsia="ja-JP"/>
        </w:rPr>
        <w:t>D</w:t>
      </w:r>
      <w:r w:rsidRPr="00ED6F9D">
        <w:rPr>
          <w:lang w:val="en-GB" w:eastAsia="ja-JP"/>
        </w:rPr>
        <w:t xml:space="preserve">elegate is of the view that provisional registration of </w:t>
      </w:r>
      <w:proofErr w:type="spellStart"/>
      <w:r w:rsidRPr="00ED6F9D">
        <w:t>N</w:t>
      </w:r>
      <w:r>
        <w:t>uvaxovid</w:t>
      </w:r>
      <w:proofErr w:type="spellEnd"/>
      <w:r w:rsidRPr="00ED6F9D">
        <w:t xml:space="preserve"> </w:t>
      </w:r>
      <w:r w:rsidRPr="00ED6F9D">
        <w:rPr>
          <w:lang w:val="en-GB" w:eastAsia="ja-JP"/>
        </w:rPr>
        <w:t xml:space="preserve">is appropriate for the use of this vaccine to </w:t>
      </w:r>
      <w:r w:rsidRPr="00ED6F9D">
        <w:t>prevent COVID-19 disease caused by SARS-CoV-2 virus in individuals 18 years of age and older</w:t>
      </w:r>
      <w:r w:rsidRPr="00ED6F9D">
        <w:rPr>
          <w:lang w:val="en-GB" w:eastAsia="ja-JP"/>
        </w:rPr>
        <w:t>.</w:t>
      </w:r>
      <w:r w:rsidRPr="00ED6F9D">
        <w:rPr>
          <w:lang w:val="en" w:eastAsia="ja-JP"/>
        </w:rPr>
        <w:t xml:space="preserve"> The pivotal studies are ongoing for a total of 12/24 months. The longer</w:t>
      </w:r>
      <w:r>
        <w:rPr>
          <w:lang w:val="en" w:eastAsia="ja-JP"/>
        </w:rPr>
        <w:t xml:space="preserve"> </w:t>
      </w:r>
      <w:r w:rsidRPr="00ED6F9D">
        <w:rPr>
          <w:lang w:val="en" w:eastAsia="ja-JP"/>
        </w:rPr>
        <w:t xml:space="preserve">term efficacy and safety data are to be submitted to the TGA for evaluation </w:t>
      </w:r>
      <w:r w:rsidRPr="00ED6F9D">
        <w:rPr>
          <w:rFonts w:cs="Arial"/>
        </w:rPr>
        <w:t>before a full registration can be considered.</w:t>
      </w:r>
    </w:p>
    <w:p w14:paraId="0DDB55A6" w14:textId="7E50639C" w:rsidR="00901C00" w:rsidRPr="00ED6F9D" w:rsidRDefault="00901C00" w:rsidP="00345763">
      <w:r w:rsidRPr="00ED6F9D">
        <w:rPr>
          <w:rFonts w:eastAsia="Times New Roman" w:cs="Arial"/>
          <w:lang w:val="en" w:eastAsia="en-AU"/>
        </w:rPr>
        <w:t xml:space="preserve">Since </w:t>
      </w:r>
      <w:r w:rsidRPr="00ED6F9D">
        <w:rPr>
          <w:rFonts w:cs="Calibri"/>
        </w:rPr>
        <w:t xml:space="preserve">the </w:t>
      </w:r>
      <w:proofErr w:type="spellStart"/>
      <w:r w:rsidRPr="00ED6F9D">
        <w:t>N</w:t>
      </w:r>
      <w:r>
        <w:t>uvaxovid</w:t>
      </w:r>
      <w:proofErr w:type="spellEnd"/>
      <w:r w:rsidRPr="00ED6F9D">
        <w:t xml:space="preserve"> </w:t>
      </w:r>
      <w:r w:rsidRPr="00ED6F9D">
        <w:rPr>
          <w:rFonts w:eastAsia="Times New Roman" w:cs="Arial"/>
          <w:lang w:val="en" w:eastAsia="en-AU"/>
        </w:rPr>
        <w:t xml:space="preserve">vaccine </w:t>
      </w:r>
      <w:r w:rsidRPr="00ED6F9D">
        <w:rPr>
          <w:rFonts w:cs="Calibri"/>
        </w:rPr>
        <w:t xml:space="preserve">is evaluated for use through the provisional pathway, a clear statement should be included in the </w:t>
      </w:r>
      <w:r w:rsidR="00DD1A84">
        <w:rPr>
          <w:rFonts w:cs="Calibri"/>
        </w:rPr>
        <w:t>PI</w:t>
      </w:r>
      <w:r w:rsidRPr="00ED6F9D">
        <w:rPr>
          <w:rFonts w:cs="Calibri"/>
        </w:rPr>
        <w:t xml:space="preserve"> with regards to the nature of the registration. It should also be</w:t>
      </w:r>
      <w:r w:rsidRPr="00ED6F9D">
        <w:t xml:space="preserve"> emphasi</w:t>
      </w:r>
      <w:r>
        <w:t>s</w:t>
      </w:r>
      <w:r w:rsidRPr="00ED6F9D">
        <w:t>ed that t</w:t>
      </w:r>
      <w:r w:rsidRPr="00ED6F9D">
        <w:rPr>
          <w:rFonts w:cs="Calibri"/>
        </w:rPr>
        <w:t>he decision of provisional approval is made on the basis of short term efficacy and safety data, and the c</w:t>
      </w:r>
      <w:r w:rsidRPr="00ED6F9D">
        <w:t>ontinued approval depends on the evidence of longer term efficacy and safety from the ongoing and post-market assessment.</w:t>
      </w:r>
    </w:p>
    <w:p w14:paraId="45E78AD6" w14:textId="209E8715" w:rsidR="00901C00" w:rsidRPr="00ED6F9D" w:rsidRDefault="00901C00" w:rsidP="00345763">
      <w:r w:rsidRPr="00ED6F9D">
        <w:t xml:space="preserve">The </w:t>
      </w:r>
      <w:r w:rsidR="007D0113">
        <w:t>Delegate</w:t>
      </w:r>
      <w:r w:rsidRPr="00ED6F9D">
        <w:t xml:space="preserve"> proposes the provisional approval of this vaccine for a revised indication as following:</w:t>
      </w:r>
    </w:p>
    <w:p w14:paraId="5EC610F4" w14:textId="20CE00C2" w:rsidR="00901C00" w:rsidRPr="00ED6F9D" w:rsidRDefault="00901C00" w:rsidP="00345763">
      <w:r w:rsidRPr="00ED6F9D">
        <w:t xml:space="preserve">Proposed </w:t>
      </w:r>
      <w:r w:rsidR="00DD1A84">
        <w:t>t</w:t>
      </w:r>
      <w:r w:rsidRPr="00ED6F9D">
        <w:t xml:space="preserve">herapeutic </w:t>
      </w:r>
      <w:r w:rsidR="00DD1A84">
        <w:t>i</w:t>
      </w:r>
      <w:r w:rsidRPr="00ED6F9D">
        <w:t>ndication</w:t>
      </w:r>
    </w:p>
    <w:p w14:paraId="0A669DB9" w14:textId="3548FC1D" w:rsidR="00901C00" w:rsidRPr="00ED6F9D" w:rsidRDefault="00901C00" w:rsidP="00345763">
      <w:r w:rsidRPr="00ED6F9D">
        <w:t>Following was the initial proposed indication:</w:t>
      </w:r>
    </w:p>
    <w:p w14:paraId="229BE8FE" w14:textId="52461710" w:rsidR="00113B02" w:rsidRPr="00113B02" w:rsidRDefault="00901C00" w:rsidP="00345763">
      <w:pPr>
        <w:ind w:left="720"/>
        <w:rPr>
          <w:i/>
          <w:iCs/>
        </w:rPr>
      </w:pPr>
      <w:proofErr w:type="spellStart"/>
      <w:r w:rsidRPr="00113B02">
        <w:rPr>
          <w:i/>
          <w:iCs/>
        </w:rPr>
        <w:t>Nuvaxovid</w:t>
      </w:r>
      <w:proofErr w:type="spellEnd"/>
      <w:r w:rsidRPr="00113B02">
        <w:rPr>
          <w:i/>
          <w:iCs/>
        </w:rPr>
        <w:t xml:space="preserve"> has </w:t>
      </w:r>
      <w:r w:rsidRPr="00113B02">
        <w:rPr>
          <w:bCs/>
          <w:i/>
          <w:iCs/>
        </w:rPr>
        <w:t>provisional approval</w:t>
      </w:r>
      <w:r w:rsidRPr="00113B02">
        <w:rPr>
          <w:b/>
          <w:bCs/>
          <w:i/>
          <w:iCs/>
        </w:rPr>
        <w:t xml:space="preserve"> </w:t>
      </w:r>
      <w:r w:rsidRPr="00113B02">
        <w:rPr>
          <w:i/>
          <w:iCs/>
        </w:rPr>
        <w:t>for the indication:</w:t>
      </w:r>
    </w:p>
    <w:p w14:paraId="1302BFCC" w14:textId="65EFA2E4" w:rsidR="00901C00" w:rsidRPr="00113B02" w:rsidRDefault="00901C00" w:rsidP="00345763">
      <w:pPr>
        <w:ind w:left="720"/>
        <w:rPr>
          <w:i/>
          <w:iCs/>
          <w:lang w:val="en"/>
        </w:rPr>
      </w:pPr>
      <w:r w:rsidRPr="00113B02">
        <w:rPr>
          <w:i/>
          <w:iCs/>
        </w:rPr>
        <w:t>Active immunisation to prevent COVID-19 caused by SARS-CoV-2 in individuals 18 years of age and older.</w:t>
      </w:r>
    </w:p>
    <w:p w14:paraId="4EE7F3B0" w14:textId="11FF87A0" w:rsidR="00901C00" w:rsidRPr="00113B02" w:rsidRDefault="00901C00" w:rsidP="00345763">
      <w:pPr>
        <w:ind w:left="720"/>
        <w:rPr>
          <w:i/>
          <w:iCs/>
        </w:rPr>
      </w:pPr>
      <w:r w:rsidRPr="00113B02">
        <w:rPr>
          <w:i/>
          <w:iCs/>
        </w:rPr>
        <w:t>The use of this vaccine should be in accordance with official recommendations.</w:t>
      </w:r>
    </w:p>
    <w:p w14:paraId="4BDAD327" w14:textId="4BFCC4F8" w:rsidR="00901C00" w:rsidRPr="00113B02" w:rsidRDefault="00901C00" w:rsidP="00345763">
      <w:pPr>
        <w:ind w:left="720"/>
        <w:rPr>
          <w:i/>
          <w:iCs/>
        </w:rPr>
      </w:pPr>
      <w:r w:rsidRPr="00113B02">
        <w:rPr>
          <w:i/>
          <w:iCs/>
        </w:rPr>
        <w:t>The decision has been made on the basis of short term efficacy and safety data. Continued approval depends on the evidence of longer term efficacy and safety from the ongoing and post-market assessment.</w:t>
      </w:r>
    </w:p>
    <w:p w14:paraId="24E359E8" w14:textId="19EF4E75" w:rsidR="00901C00" w:rsidRPr="00ED6F9D" w:rsidRDefault="00901C00" w:rsidP="00345763">
      <w:pPr>
        <w:rPr>
          <w:lang w:eastAsia="en-AU"/>
        </w:rPr>
      </w:pPr>
      <w:r w:rsidRPr="00ED6F9D">
        <w:rPr>
          <w:lang w:eastAsia="en-AU"/>
        </w:rPr>
        <w:t xml:space="preserve">Recommended </w:t>
      </w:r>
      <w:r w:rsidR="00DD1A84">
        <w:rPr>
          <w:lang w:eastAsia="en-AU"/>
        </w:rPr>
        <w:t>t</w:t>
      </w:r>
      <w:r w:rsidRPr="00ED6F9D">
        <w:rPr>
          <w:lang w:eastAsia="en-AU"/>
        </w:rPr>
        <w:t xml:space="preserve">herapeutic </w:t>
      </w:r>
      <w:r w:rsidR="00DD1A84">
        <w:rPr>
          <w:lang w:eastAsia="en-AU"/>
        </w:rPr>
        <w:t>i</w:t>
      </w:r>
      <w:r w:rsidRPr="00ED6F9D">
        <w:rPr>
          <w:lang w:eastAsia="en-AU"/>
        </w:rPr>
        <w:t>ndication</w:t>
      </w:r>
    </w:p>
    <w:p w14:paraId="42D6E022" w14:textId="3B1D2F2B" w:rsidR="00901C00" w:rsidRPr="00113B02" w:rsidRDefault="00901C00" w:rsidP="00345763">
      <w:pPr>
        <w:rPr>
          <w:lang w:eastAsia="en-AU"/>
        </w:rPr>
      </w:pPr>
      <w:r w:rsidRPr="00ED6F9D">
        <w:rPr>
          <w:lang w:eastAsia="en-AU"/>
        </w:rPr>
        <w:t>Following therapeutic indication (minor change</w:t>
      </w:r>
      <w:r>
        <w:rPr>
          <w:lang w:eastAsia="en-AU"/>
        </w:rPr>
        <w:t xml:space="preserve">, </w:t>
      </w:r>
      <w:r w:rsidRPr="00ED6F9D">
        <w:rPr>
          <w:lang w:eastAsia="en-AU"/>
        </w:rPr>
        <w:t xml:space="preserve">addition of </w:t>
      </w:r>
      <w:r w:rsidRPr="00901C00">
        <w:t>coronavirus disease 2019</w:t>
      </w:r>
      <w:r w:rsidRPr="00ED6F9D">
        <w:rPr>
          <w:lang w:eastAsia="en-AU"/>
        </w:rPr>
        <w:t>):</w:t>
      </w:r>
    </w:p>
    <w:p w14:paraId="48614B12" w14:textId="2A76B98D" w:rsidR="00901C00" w:rsidRPr="00113B02" w:rsidRDefault="00901C00" w:rsidP="00345763">
      <w:pPr>
        <w:ind w:firstLine="720"/>
        <w:rPr>
          <w:i/>
          <w:iCs/>
          <w:lang w:eastAsia="en-AU"/>
        </w:rPr>
      </w:pPr>
      <w:proofErr w:type="spellStart"/>
      <w:r w:rsidRPr="00113B02">
        <w:rPr>
          <w:i/>
          <w:iCs/>
          <w:lang w:eastAsia="en-AU"/>
        </w:rPr>
        <w:t>Nuvaxovid</w:t>
      </w:r>
      <w:proofErr w:type="spellEnd"/>
      <w:r w:rsidRPr="00113B02">
        <w:rPr>
          <w:i/>
          <w:iCs/>
          <w:lang w:eastAsia="en-AU"/>
        </w:rPr>
        <w:t xml:space="preserve"> has provisional approval</w:t>
      </w:r>
      <w:r w:rsidRPr="00113B02">
        <w:rPr>
          <w:b/>
          <w:bCs/>
          <w:i/>
          <w:iCs/>
          <w:lang w:eastAsia="en-AU"/>
        </w:rPr>
        <w:t xml:space="preserve"> </w:t>
      </w:r>
      <w:r w:rsidRPr="00113B02">
        <w:rPr>
          <w:i/>
          <w:iCs/>
          <w:lang w:eastAsia="en-AU"/>
        </w:rPr>
        <w:t>for the indication:</w:t>
      </w:r>
    </w:p>
    <w:p w14:paraId="5789DFC2" w14:textId="20165D0A" w:rsidR="00901C00" w:rsidRPr="00113B02" w:rsidRDefault="00901C00" w:rsidP="00345763">
      <w:pPr>
        <w:ind w:left="720"/>
        <w:rPr>
          <w:i/>
          <w:iCs/>
          <w:lang w:val="en" w:eastAsia="en-AU"/>
        </w:rPr>
      </w:pPr>
      <w:r w:rsidRPr="00113B02">
        <w:rPr>
          <w:i/>
          <w:iCs/>
          <w:lang w:eastAsia="en-AU"/>
        </w:rPr>
        <w:t>Active immunisation to prevent coronavirus disease 2019 (COVID-19) caused by SARS-CoV-2 in individuals 18 years of age and older.</w:t>
      </w:r>
    </w:p>
    <w:p w14:paraId="5F59F6BB" w14:textId="77777777" w:rsidR="00901C00" w:rsidRPr="00113B02" w:rsidRDefault="00901C00" w:rsidP="00345763">
      <w:pPr>
        <w:ind w:left="720"/>
        <w:rPr>
          <w:i/>
          <w:iCs/>
        </w:rPr>
      </w:pPr>
      <w:r w:rsidRPr="00113B02">
        <w:rPr>
          <w:rFonts w:cs="TimesNewRomanPSMT"/>
          <w:i/>
          <w:iCs/>
        </w:rPr>
        <w:t>The use of this vaccine should be in accordance with official recommendations.</w:t>
      </w:r>
    </w:p>
    <w:p w14:paraId="195B5B4C" w14:textId="77777777" w:rsidR="00901C00" w:rsidRPr="00113B02" w:rsidRDefault="00901C00" w:rsidP="00345763">
      <w:pPr>
        <w:ind w:left="720"/>
        <w:rPr>
          <w:i/>
          <w:iCs/>
        </w:rPr>
      </w:pPr>
      <w:r w:rsidRPr="00113B02">
        <w:rPr>
          <w:i/>
          <w:iCs/>
        </w:rPr>
        <w:t>The decision has been made on the basis of short term efficacy and safety data. Continued approval depends on the evidence of longer term efficacy and safety from the ongoing and post-market assessment.</w:t>
      </w:r>
    </w:p>
    <w:p w14:paraId="3F689D44" w14:textId="77777777" w:rsidR="007D53B6" w:rsidRDefault="007D53B6" w:rsidP="00345763">
      <w:pPr>
        <w:pStyle w:val="Heading4"/>
        <w:keepNext w:val="0"/>
      </w:pPr>
      <w:r>
        <w:t xml:space="preserve">Questions for </w:t>
      </w:r>
      <w:r w:rsidR="00744121">
        <w:t xml:space="preserve">the </w:t>
      </w:r>
      <w:r>
        <w:t>sponsor</w:t>
      </w:r>
    </w:p>
    <w:p w14:paraId="2B661DBC" w14:textId="38EEF528" w:rsidR="00744121" w:rsidRDefault="00744121" w:rsidP="00345763">
      <w:r>
        <w:t>The sponsor provided the following response to questions from the Delegate.</w:t>
      </w:r>
    </w:p>
    <w:p w14:paraId="24131F40" w14:textId="798199E5" w:rsidR="002042E1" w:rsidRDefault="002042E1" w:rsidP="00345763">
      <w:pPr>
        <w:pStyle w:val="Numberbullet0"/>
      </w:pPr>
      <w:r w:rsidRPr="002042E1">
        <w:t>If available, please provide any data generated using a neutralising antibody assay against new variants of concern.</w:t>
      </w:r>
    </w:p>
    <w:p w14:paraId="0C807D63" w14:textId="56E2E364" w:rsidR="0055558B" w:rsidRDefault="0055558B" w:rsidP="00345763">
      <w:r>
        <w:lastRenderedPageBreak/>
        <w:t xml:space="preserve">Data on neutralising antibodies against new VOC are available from the Phase I/II clinical Study 2019nCoV-101, which evaluated the safety and immunogenicity of a third, booster dose of the </w:t>
      </w:r>
      <w:proofErr w:type="spellStart"/>
      <w:r>
        <w:t>Nuvaxovid</w:t>
      </w:r>
      <w:proofErr w:type="spellEnd"/>
      <w:r>
        <w:t xml:space="preserve"> administered approximately 5 to 6 months following the primary vaccination series. After the booster was administered, the ability of the vaccine to induce antibody responses that cross react with new variants of concern including the Delta and Omicron variants was assessed, and the results of the analysis, using sera from Study 2019nCoV-101 has been submitted for publication</w:t>
      </w:r>
      <w:r w:rsidR="000F590F">
        <w:t>.</w:t>
      </w:r>
      <w:bookmarkStart w:id="109" w:name="_Ref92809674"/>
      <w:r w:rsidR="00C41FF6">
        <w:rPr>
          <w:rFonts w:ascii="ZWAdobeF" w:hAnsi="ZWAdobeF" w:cs="ZWAdobeF"/>
          <w:sz w:val="2"/>
          <w:szCs w:val="2"/>
        </w:rPr>
        <w:t>37F</w:t>
      </w:r>
      <w:r w:rsidR="000F590F">
        <w:rPr>
          <w:rStyle w:val="FootnoteReference"/>
        </w:rPr>
        <w:footnoteReference w:id="38"/>
      </w:r>
      <w:bookmarkEnd w:id="109"/>
    </w:p>
    <w:p w14:paraId="3856FAD5" w14:textId="0D3FF931" w:rsidR="0055558B" w:rsidRDefault="0055558B" w:rsidP="00345763">
      <w:r>
        <w:t xml:space="preserve">In this Phase </w:t>
      </w:r>
      <w:r w:rsidR="000F590F">
        <w:t>II</w:t>
      </w:r>
      <w:r>
        <w:t xml:space="preserve"> study, a single booster dose of </w:t>
      </w:r>
      <w:proofErr w:type="spellStart"/>
      <w:r>
        <w:t>N</w:t>
      </w:r>
      <w:r w:rsidR="000F590F">
        <w:t>uvaxovid</w:t>
      </w:r>
      <w:proofErr w:type="spellEnd"/>
      <w:r>
        <w:t xml:space="preserve"> was administered to healthy adult participants 18 to 84 years of age approximately </w:t>
      </w:r>
      <w:r w:rsidR="000F590F">
        <w:t>six</w:t>
      </w:r>
      <w:r>
        <w:t xml:space="preserve"> months following their primary </w:t>
      </w:r>
      <w:r w:rsidR="000F590F">
        <w:t xml:space="preserve">two </w:t>
      </w:r>
      <w:r>
        <w:t xml:space="preserve">dose vaccination series. Safety and immunogenicity parameters were assessed, including assays for IgG, MN50, and hACE2 receptor binding inhibition against the ancestral SARS-CoV-2 strain and select variants (B.1.351 </w:t>
      </w:r>
      <w:r w:rsidR="000F590F">
        <w:t>(</w:t>
      </w:r>
      <w:r>
        <w:t>Beta</w:t>
      </w:r>
      <w:r w:rsidR="000F590F">
        <w:t>)</w:t>
      </w:r>
      <w:r>
        <w:t xml:space="preserve">, B.1.1.7 </w:t>
      </w:r>
      <w:r w:rsidR="000F590F">
        <w:t>(</w:t>
      </w:r>
      <w:r>
        <w:t>Alpha</w:t>
      </w:r>
      <w:r w:rsidR="000F590F">
        <w:t>)</w:t>
      </w:r>
      <w:r>
        <w:t xml:space="preserve">, B.1.617.2 </w:t>
      </w:r>
      <w:r w:rsidR="000F590F">
        <w:t>(</w:t>
      </w:r>
      <w:r>
        <w:t>Delta</w:t>
      </w:r>
      <w:r w:rsidR="000F590F">
        <w:t>)</w:t>
      </w:r>
      <w:r>
        <w:t xml:space="preserve">, and B.1.1.529 </w:t>
      </w:r>
      <w:r w:rsidR="000F590F">
        <w:t>(</w:t>
      </w:r>
      <w:r>
        <w:t>Omicron</w:t>
      </w:r>
      <w:r w:rsidR="000F590F">
        <w:t>)</w:t>
      </w:r>
      <w:r>
        <w:t>).</w:t>
      </w:r>
    </w:p>
    <w:p w14:paraId="0ADEDE59" w14:textId="6CACE427" w:rsidR="0055558B" w:rsidRDefault="0055558B" w:rsidP="00345763">
      <w:r>
        <w:t>A total of 1610 participants were screened from 24 August 2020 to 25 September 2020, and 1283 participants were enrolled and treated. Participants randomi</w:t>
      </w:r>
      <w:r w:rsidR="000F590F">
        <w:t>s</w:t>
      </w:r>
      <w:r>
        <w:t>ed to Group B (n</w:t>
      </w:r>
      <w:r w:rsidR="000F590F">
        <w:t> </w:t>
      </w:r>
      <w:r>
        <w:t>=</w:t>
      </w:r>
      <w:r w:rsidR="000F590F">
        <w:t> </w:t>
      </w:r>
      <w:r>
        <w:t xml:space="preserve">257) received two 5μg doses of </w:t>
      </w:r>
      <w:proofErr w:type="spellStart"/>
      <w:r>
        <w:t>N</w:t>
      </w:r>
      <w:r w:rsidR="000F590F">
        <w:t>uvaxovid</w:t>
      </w:r>
      <w:proofErr w:type="spellEnd"/>
      <w:r>
        <w:t xml:space="preserve"> for their primary vaccination series and were considered for investigation of a single booster dose at the same dose level. Re-randomi</w:t>
      </w:r>
      <w:r w:rsidR="000F590F">
        <w:t>s</w:t>
      </w:r>
      <w:r>
        <w:t xml:space="preserve">ation of these participants took place at Day 189, with 210 consenting participants assigned 1:1 to receive a single booster of </w:t>
      </w:r>
      <w:proofErr w:type="spellStart"/>
      <w:r>
        <w:t>N</w:t>
      </w:r>
      <w:r w:rsidR="000F590F">
        <w:t>uvaxovid</w:t>
      </w:r>
      <w:proofErr w:type="spellEnd"/>
      <w:r>
        <w:t xml:space="preserve"> in Group B2 (n</w:t>
      </w:r>
      <w:r w:rsidR="000F590F">
        <w:t xml:space="preserve"> </w:t>
      </w:r>
      <w:r>
        <w:t>=</w:t>
      </w:r>
      <w:r w:rsidR="000F590F">
        <w:t xml:space="preserve"> </w:t>
      </w:r>
      <w:r>
        <w:t>104) or placebo in Group B1 (n</w:t>
      </w:r>
      <w:r w:rsidR="000F590F">
        <w:t xml:space="preserve"> </w:t>
      </w:r>
      <w:r>
        <w:t>=</w:t>
      </w:r>
      <w:r w:rsidR="000F590F">
        <w:t xml:space="preserve"> </w:t>
      </w:r>
      <w:r>
        <w:t>106). Immune responses seen 14 days following the primary vaccination series were compared with those observed 28 days following the booster (Day 35 and Day 217, respectively).</w:t>
      </w:r>
    </w:p>
    <w:p w14:paraId="2304C431" w14:textId="742A66F1" w:rsidR="0055558B" w:rsidRDefault="0055558B" w:rsidP="00345763">
      <w:r>
        <w:t xml:space="preserve">For the ancestral SARS-CoV-2 strain, serum IgG GMTs increased </w:t>
      </w:r>
      <w:r w:rsidR="000F590F">
        <w:t xml:space="preserve">about </w:t>
      </w:r>
      <w:r>
        <w:t>4.7</w:t>
      </w:r>
      <w:r w:rsidR="000F590F">
        <w:t xml:space="preserve"> </w:t>
      </w:r>
      <w:r>
        <w:t>fold from 43905 ELISA units (EU) at Day 35 to 204367 EU at Day 217. Neutrali</w:t>
      </w:r>
      <w:r w:rsidR="000F590F">
        <w:t>s</w:t>
      </w:r>
      <w:r>
        <w:t xml:space="preserve">ation (MN50) assay GMTs showed a similar increase of </w:t>
      </w:r>
      <w:r w:rsidR="000F590F">
        <w:t xml:space="preserve">about </w:t>
      </w:r>
      <w:r>
        <w:t>4.1</w:t>
      </w:r>
      <w:r w:rsidR="000F590F">
        <w:t xml:space="preserve"> </w:t>
      </w:r>
      <w:r>
        <w:t>fold from 1470 at Day 35 to 6023 at Day 217.</w:t>
      </w:r>
      <w:r w:rsidR="000F590F">
        <w:fldChar w:fldCharType="begin"/>
      </w:r>
      <w:r w:rsidR="000F590F">
        <w:instrText xml:space="preserve"> NOTEREF _Ref92809674 \f \h </w:instrText>
      </w:r>
      <w:r w:rsidR="000F590F">
        <w:fldChar w:fldCharType="separate"/>
      </w:r>
      <w:r w:rsidR="00C41FF6" w:rsidRPr="00C41FF6">
        <w:rPr>
          <w:rStyle w:val="FootnoteReference"/>
        </w:rPr>
        <w:t>38</w:t>
      </w:r>
      <w:r w:rsidR="000F590F">
        <w:fldChar w:fldCharType="end"/>
      </w:r>
    </w:p>
    <w:p w14:paraId="08E746B3" w14:textId="5E94AEB9" w:rsidR="0055558B" w:rsidRDefault="0055558B" w:rsidP="00345763">
      <w:r>
        <w:t>A functional hACE2 receptor binding inhibition assay analysing activity against ancestral and variant strains of SARS-CoV-2 at Day 189 v</w:t>
      </w:r>
      <w:r w:rsidR="000F590F">
        <w:t xml:space="preserve">ersus </w:t>
      </w:r>
      <w:r>
        <w:t>Day 217 found 54.4</w:t>
      </w:r>
      <w:r w:rsidR="000F590F">
        <w:t xml:space="preserve"> </w:t>
      </w:r>
      <w:r>
        <w:t>fold (Ancestral), 21.9</w:t>
      </w:r>
      <w:r w:rsidR="000F590F">
        <w:t xml:space="preserve"> </w:t>
      </w:r>
      <w:r>
        <w:t>fold (Alpha), 24.5</w:t>
      </w:r>
      <w:r w:rsidR="000F590F">
        <w:t xml:space="preserve"> </w:t>
      </w:r>
      <w:r>
        <w:t>fold (Beta), 24.4</w:t>
      </w:r>
      <w:r w:rsidR="000F590F">
        <w:t xml:space="preserve"> </w:t>
      </w:r>
      <w:r>
        <w:t>fold (Delta), and 20.1</w:t>
      </w:r>
      <w:r w:rsidR="000F590F">
        <w:t xml:space="preserve"> </w:t>
      </w:r>
      <w:r>
        <w:t>fold (Omicron) increases in titres. An anti-</w:t>
      </w:r>
      <w:proofErr w:type="spellStart"/>
      <w:r>
        <w:t>rS</w:t>
      </w:r>
      <w:proofErr w:type="spellEnd"/>
      <w:r>
        <w:t xml:space="preserve"> IgG activity assay comparing the same time points across the same</w:t>
      </w:r>
      <w:r w:rsidR="000F590F">
        <w:t xml:space="preserve"> </w:t>
      </w:r>
      <w:r>
        <w:t>SARS</w:t>
      </w:r>
      <w:r w:rsidR="000F590F">
        <w:noBreakHyphen/>
      </w:r>
      <w:r>
        <w:t>CoV-2 strains found titres improved 61.2</w:t>
      </w:r>
      <w:r w:rsidR="000F590F">
        <w:t xml:space="preserve"> </w:t>
      </w:r>
      <w:r>
        <w:t>fold, 85.9</w:t>
      </w:r>
      <w:r w:rsidR="000F590F">
        <w:t xml:space="preserve"> </w:t>
      </w:r>
      <w:r>
        <w:t>fold, 65</w:t>
      </w:r>
      <w:r w:rsidR="000F590F">
        <w:t xml:space="preserve"> </w:t>
      </w:r>
      <w:r>
        <w:t>fold, 92.5</w:t>
      </w:r>
      <w:r w:rsidR="000F590F">
        <w:t xml:space="preserve"> </w:t>
      </w:r>
      <w:r>
        <w:t>fold, and 73.5</w:t>
      </w:r>
      <w:r w:rsidR="000F590F">
        <w:t xml:space="preserve"> </w:t>
      </w:r>
      <w:r>
        <w:t>fold, respectively.</w:t>
      </w:r>
      <w:r w:rsidR="000F590F">
        <w:fldChar w:fldCharType="begin"/>
      </w:r>
      <w:r w:rsidR="000F590F">
        <w:instrText xml:space="preserve"> NOTEREF _Ref92809674 \f \h </w:instrText>
      </w:r>
      <w:r w:rsidR="000F590F">
        <w:fldChar w:fldCharType="separate"/>
      </w:r>
      <w:r w:rsidR="00C41FF6" w:rsidRPr="00C41FF6">
        <w:rPr>
          <w:rStyle w:val="FootnoteReference"/>
        </w:rPr>
        <w:t>38</w:t>
      </w:r>
      <w:r w:rsidR="000F590F">
        <w:fldChar w:fldCharType="end"/>
      </w:r>
    </w:p>
    <w:p w14:paraId="2B8FEBAA" w14:textId="3795BCB1" w:rsidR="0055558B" w:rsidRDefault="0055558B" w:rsidP="00345763">
      <w:r>
        <w:t>A &gt;</w:t>
      </w:r>
      <w:r w:rsidR="000F590F">
        <w:t> </w:t>
      </w:r>
      <w:r>
        <w:t>99% wild</w:t>
      </w:r>
      <w:r w:rsidR="000F590F">
        <w:t xml:space="preserve"> </w:t>
      </w:r>
      <w:r>
        <w:t>type neutrali</w:t>
      </w:r>
      <w:r w:rsidR="000F590F">
        <w:t>s</w:t>
      </w:r>
      <w:r>
        <w:t>ation assay conducted by the University of Maryland against the ancestral/prototype strain, the Delta and Omicron variants found 15.4</w:t>
      </w:r>
      <w:r w:rsidR="000F590F">
        <w:t xml:space="preserve"> </w:t>
      </w:r>
      <w:r>
        <w:t>fold, 13.9</w:t>
      </w:r>
      <w:r w:rsidR="000F590F">
        <w:t xml:space="preserve"> </w:t>
      </w:r>
      <w:r>
        <w:t>fold and 3.5</w:t>
      </w:r>
      <w:r w:rsidR="000F590F">
        <w:t xml:space="preserve"> </w:t>
      </w:r>
      <w:r>
        <w:t>fold increases in titres comparing Day 217 to Day 35, respectively.</w:t>
      </w:r>
    </w:p>
    <w:p w14:paraId="7BF9D6F5" w14:textId="4AADAB0E" w:rsidR="002042E1" w:rsidRPr="002042E1" w:rsidRDefault="0055558B" w:rsidP="00345763">
      <w:r>
        <w:t xml:space="preserve">In conclusion, for both the prototype strain and all variants evaluated, immune responses following the booster were notably higher than those associated with high levels of efficacy in </w:t>
      </w:r>
      <w:r w:rsidR="000F590F">
        <w:t>P</w:t>
      </w:r>
      <w:r>
        <w:t xml:space="preserve">hase </w:t>
      </w:r>
      <w:r w:rsidR="000F590F">
        <w:t>III</w:t>
      </w:r>
      <w:r>
        <w:t xml:space="preserve"> studies of the vaccine.</w:t>
      </w:r>
    </w:p>
    <w:p w14:paraId="0CA29931" w14:textId="77777777" w:rsidR="002042E1" w:rsidRPr="002042E1" w:rsidRDefault="002042E1" w:rsidP="00345763">
      <w:pPr>
        <w:pStyle w:val="Numberbullet0"/>
      </w:pPr>
      <w:r w:rsidRPr="002042E1">
        <w:t xml:space="preserve">Please provide, if any update to the drug development plan </w:t>
      </w:r>
      <w:proofErr w:type="spellStart"/>
      <w:r w:rsidRPr="002042E1">
        <w:t>eg</w:t>
      </w:r>
      <w:proofErr w:type="spellEnd"/>
      <w:r w:rsidRPr="002042E1">
        <w:t xml:space="preserve"> booster, paediatric extension etc</w:t>
      </w:r>
    </w:p>
    <w:p w14:paraId="3859645C" w14:textId="77777777" w:rsidR="00243B8D" w:rsidRDefault="00243B8D" w:rsidP="00345763">
      <w:r>
        <w:t>Homologous boosting data:</w:t>
      </w:r>
    </w:p>
    <w:p w14:paraId="586BFB02" w14:textId="4B4B2ABE" w:rsidR="00243B8D" w:rsidRDefault="004C279A" w:rsidP="00345763">
      <w:r>
        <w:t xml:space="preserve">Studies </w:t>
      </w:r>
      <w:r w:rsidR="00243B8D">
        <w:t>2019nCoV-101 and 2019nCoV-501</w:t>
      </w:r>
      <w:r>
        <w:t xml:space="preserve"> </w:t>
      </w:r>
      <w:r w:rsidR="00243B8D">
        <w:t xml:space="preserve">both evaluated the safety and immunogenicity of a third booster doses of the vaccine administered approximately 5 to 6 months following the primary vaccination series. A brief summary of the results from the study are provided in the response to the question above. Data from these studies are anticipated to be available in early </w:t>
      </w:r>
      <w:r>
        <w:t xml:space="preserve">second quarter of </w:t>
      </w:r>
      <w:r w:rsidR="00243B8D">
        <w:t xml:space="preserve">2022 to support a homologous </w:t>
      </w:r>
      <w:r w:rsidR="00243B8D">
        <w:lastRenderedPageBreak/>
        <w:t xml:space="preserve">boosting indication. Additional data from the </w:t>
      </w:r>
      <w:r>
        <w:t xml:space="preserve">Study </w:t>
      </w:r>
      <w:r w:rsidR="00243B8D">
        <w:t>2019nCoV-101</w:t>
      </w:r>
      <w:r>
        <w:t xml:space="preserve"> </w:t>
      </w:r>
      <w:r w:rsidR="00243B8D">
        <w:t xml:space="preserve">will evaluate the safety and immunogenicity of a second booster dose administered at </w:t>
      </w:r>
      <w:r>
        <w:t xml:space="preserve">about </w:t>
      </w:r>
      <w:r w:rsidR="00243B8D">
        <w:t>12 months.</w:t>
      </w:r>
    </w:p>
    <w:p w14:paraId="4189508C" w14:textId="2980EFEB" w:rsidR="00243B8D" w:rsidRDefault="00243B8D" w:rsidP="00345763">
      <w:r>
        <w:t>Additional boosting data are now being gathered in</w:t>
      </w:r>
      <w:r w:rsidR="004C279A">
        <w:t xml:space="preserve"> Study</w:t>
      </w:r>
      <w:r>
        <w:t xml:space="preserve"> 2019nCoV-301.</w:t>
      </w:r>
    </w:p>
    <w:p w14:paraId="4BE3D603" w14:textId="77777777" w:rsidR="00243B8D" w:rsidRDefault="00243B8D" w:rsidP="00345763">
      <w:r>
        <w:t>Heterologous boosting data:</w:t>
      </w:r>
    </w:p>
    <w:p w14:paraId="74CD16B7" w14:textId="593A6658" w:rsidR="00243B8D" w:rsidRDefault="00243B8D" w:rsidP="00345763">
      <w:r>
        <w:t xml:space="preserve">The main source of heterologous boosting data available for </w:t>
      </w:r>
      <w:proofErr w:type="spellStart"/>
      <w:r>
        <w:t>N</w:t>
      </w:r>
      <w:r w:rsidR="004C279A">
        <w:t>uvaxovid</w:t>
      </w:r>
      <w:proofErr w:type="spellEnd"/>
      <w:r>
        <w:t xml:space="preserve"> is the COV-BOOST </w:t>
      </w:r>
      <w:r w:rsidR="004C279A">
        <w:t>trial;</w:t>
      </w:r>
      <w:r w:rsidR="00C41FF6">
        <w:rPr>
          <w:rFonts w:ascii="ZWAdobeF" w:hAnsi="ZWAdobeF" w:cs="ZWAdobeF"/>
          <w:sz w:val="2"/>
          <w:szCs w:val="2"/>
        </w:rPr>
        <w:t>38F</w:t>
      </w:r>
      <w:r w:rsidR="004C279A">
        <w:rPr>
          <w:rStyle w:val="FootnoteReference"/>
        </w:rPr>
        <w:footnoteReference w:id="39"/>
      </w:r>
      <w:r>
        <w:t xml:space="preserve"> in which the </w:t>
      </w:r>
      <w:proofErr w:type="spellStart"/>
      <w:r>
        <w:t>Novavax</w:t>
      </w:r>
      <w:proofErr w:type="spellEnd"/>
      <w:r>
        <w:t xml:space="preserve"> vaccine was administered approximately 3</w:t>
      </w:r>
      <w:r w:rsidR="004C279A">
        <w:t xml:space="preserve"> to </w:t>
      </w:r>
      <w:r>
        <w:t xml:space="preserve">4 months after primary vaccination with either the AstraZeneca or the Pfizer vaccines. The </w:t>
      </w:r>
      <w:r w:rsidR="004C279A">
        <w:t>a</w:t>
      </w:r>
      <w:r>
        <w:t xml:space="preserve">uthors concluded that the trial demonstrated the potential of all </w:t>
      </w:r>
      <w:r w:rsidR="004C279A">
        <w:t>seven</w:t>
      </w:r>
      <w:r>
        <w:t xml:space="preserve"> vaccines tested (AstraZeneca, Pfizer, </w:t>
      </w:r>
      <w:proofErr w:type="spellStart"/>
      <w:r>
        <w:t>Moderna</w:t>
      </w:r>
      <w:proofErr w:type="spellEnd"/>
      <w:r>
        <w:t xml:space="preserve">, </w:t>
      </w:r>
      <w:proofErr w:type="spellStart"/>
      <w:r>
        <w:t>Novavax</w:t>
      </w:r>
      <w:proofErr w:type="spellEnd"/>
      <w:r>
        <w:t xml:space="preserve">, Janssen, CureVac, and </w:t>
      </w:r>
      <w:proofErr w:type="spellStart"/>
      <w:r>
        <w:t>Valneva</w:t>
      </w:r>
      <w:proofErr w:type="spellEnd"/>
      <w:r>
        <w:t xml:space="preserve">) to boost immunity following an initial course of the AstraZeneca vaccine, and of </w:t>
      </w:r>
      <w:r w:rsidR="004C279A">
        <w:t>six</w:t>
      </w:r>
      <w:r>
        <w:t xml:space="preserve"> vaccines (all except </w:t>
      </w:r>
      <w:proofErr w:type="spellStart"/>
      <w:r>
        <w:t>Valneva</w:t>
      </w:r>
      <w:proofErr w:type="spellEnd"/>
      <w:r>
        <w:t>) following an initial course of Pfizer vaccine. In addition, all vaccines showed acceptable side</w:t>
      </w:r>
      <w:r w:rsidR="004C279A">
        <w:t xml:space="preserve"> </w:t>
      </w:r>
      <w:r>
        <w:t>effect profiles, although some schedules were more reactogenic than others.</w:t>
      </w:r>
    </w:p>
    <w:p w14:paraId="7AED6A9B" w14:textId="307510D7" w:rsidR="00243B8D" w:rsidRDefault="00243B8D" w:rsidP="00345763">
      <w:r>
        <w:t>Additional data will be gathered from a US</w:t>
      </w:r>
      <w:r w:rsidR="004C279A">
        <w:t xml:space="preserve"> b</w:t>
      </w:r>
      <w:r>
        <w:t>ased study</w:t>
      </w:r>
      <w:r w:rsidR="004C279A">
        <w:t>;</w:t>
      </w:r>
      <w:r w:rsidR="00C41FF6">
        <w:rPr>
          <w:rFonts w:ascii="ZWAdobeF" w:hAnsi="ZWAdobeF" w:cs="ZWAdobeF"/>
          <w:sz w:val="2"/>
          <w:szCs w:val="2"/>
        </w:rPr>
        <w:t>39F</w:t>
      </w:r>
      <w:r w:rsidR="004C279A">
        <w:rPr>
          <w:rStyle w:val="FootnoteReference"/>
        </w:rPr>
        <w:footnoteReference w:id="40"/>
      </w:r>
      <w:r>
        <w:t xml:space="preserve"> in which dosing is anticipate to start </w:t>
      </w:r>
      <w:r w:rsidR="004C279A">
        <w:t xml:space="preserve">in first quarter of </w:t>
      </w:r>
      <w:r>
        <w:t>2022.</w:t>
      </w:r>
    </w:p>
    <w:p w14:paraId="011FAD88" w14:textId="77777777" w:rsidR="00243B8D" w:rsidRDefault="00243B8D" w:rsidP="00345763">
      <w:r>
        <w:t>Paediatric data:</w:t>
      </w:r>
    </w:p>
    <w:p w14:paraId="3750D934" w14:textId="5D6FCA17" w:rsidR="00243B8D" w:rsidRDefault="00243B8D" w:rsidP="00345763">
      <w:r>
        <w:t xml:space="preserve">The studies described in the EU </w:t>
      </w:r>
      <w:r w:rsidR="004C279A">
        <w:t>p</w:t>
      </w:r>
      <w:r>
        <w:t xml:space="preserve">aediatric </w:t>
      </w:r>
      <w:r w:rsidR="004C279A">
        <w:t>i</w:t>
      </w:r>
      <w:r>
        <w:t xml:space="preserve">nvestigation </w:t>
      </w:r>
      <w:r w:rsidR="004C279A">
        <w:t>p</w:t>
      </w:r>
      <w:r>
        <w:t>lan include:</w:t>
      </w:r>
    </w:p>
    <w:p w14:paraId="33A96C78" w14:textId="35CD0864" w:rsidR="00243B8D" w:rsidRDefault="004C279A" w:rsidP="00345763">
      <w:pPr>
        <w:pStyle w:val="ListBullet"/>
      </w:pPr>
      <w:r>
        <w:t xml:space="preserve">Study </w:t>
      </w:r>
      <w:r w:rsidR="00243B8D">
        <w:t xml:space="preserve">2019nCoV-301 – </w:t>
      </w:r>
      <w:r w:rsidR="000E2856">
        <w:t>[Information redacted]</w:t>
      </w:r>
    </w:p>
    <w:p w14:paraId="05B30EF7" w14:textId="7E2F5124" w:rsidR="00243B8D" w:rsidRDefault="004C279A" w:rsidP="00345763">
      <w:pPr>
        <w:pStyle w:val="ListBullet"/>
      </w:pPr>
      <w:r>
        <w:t xml:space="preserve">Study </w:t>
      </w:r>
      <w:r w:rsidR="00243B8D">
        <w:t xml:space="preserve">2019nCoV-503 – </w:t>
      </w:r>
      <w:r w:rsidR="000E2856">
        <w:t>[Information redacted]</w:t>
      </w:r>
    </w:p>
    <w:p w14:paraId="4151C544" w14:textId="709F3999" w:rsidR="00243B8D" w:rsidRDefault="004C279A" w:rsidP="00345763">
      <w:pPr>
        <w:pStyle w:val="ListBullet"/>
      </w:pPr>
      <w:r>
        <w:t xml:space="preserve">Study </w:t>
      </w:r>
      <w:r w:rsidR="00243B8D">
        <w:t>2019nCoV-504 –</w:t>
      </w:r>
      <w:r w:rsidR="000E2856">
        <w:t xml:space="preserve"> [Information redacted]</w:t>
      </w:r>
    </w:p>
    <w:p w14:paraId="790989A2" w14:textId="27D36018" w:rsidR="00243B8D" w:rsidRDefault="00243B8D" w:rsidP="00345763">
      <w:r>
        <w:t>Safety, immunogenicity as well as efficacy data for adolescents (12</w:t>
      </w:r>
      <w:r w:rsidR="004C279A">
        <w:t xml:space="preserve"> to </w:t>
      </w:r>
      <w:r>
        <w:t xml:space="preserve">17 years) derived from the </w:t>
      </w:r>
      <w:r w:rsidR="004C279A">
        <w:t xml:space="preserve">Study </w:t>
      </w:r>
      <w:r>
        <w:t xml:space="preserve">2019nCoV-301 will be available for submission in </w:t>
      </w:r>
      <w:r w:rsidR="004C279A">
        <w:t>first quarter of</w:t>
      </w:r>
      <w:r>
        <w:t xml:space="preserve"> 2022. It is anticipated that these data would support an indication for the vaccine in this age group.</w:t>
      </w:r>
    </w:p>
    <w:p w14:paraId="7DF1F413" w14:textId="4D644BB8" w:rsidR="00243B8D" w:rsidRDefault="00243B8D" w:rsidP="00345763">
      <w:r>
        <w:t xml:space="preserve">Younger children will be enrolled in the </w:t>
      </w:r>
      <w:r w:rsidR="004C279A">
        <w:t xml:space="preserve">Study </w:t>
      </w:r>
      <w:r>
        <w:t>2019nCoV-503 study following an age de-escalation design (6 to &lt;</w:t>
      </w:r>
      <w:r w:rsidR="004C279A">
        <w:t> </w:t>
      </w:r>
      <w:r>
        <w:t>12 years, 2 to &lt;</w:t>
      </w:r>
      <w:r w:rsidR="004C279A">
        <w:t> </w:t>
      </w:r>
      <w:r>
        <w:t xml:space="preserve">6 years and 6 to 24 months of age). The study is expected to start </w:t>
      </w:r>
      <w:r w:rsidR="004C279A">
        <w:t>in first quarter of</w:t>
      </w:r>
      <w:r>
        <w:t xml:space="preserve"> 2022.</w:t>
      </w:r>
    </w:p>
    <w:p w14:paraId="462D7038" w14:textId="7E5AB24B" w:rsidR="00243B8D" w:rsidRDefault="00243B8D" w:rsidP="00345763">
      <w:r>
        <w:t xml:space="preserve">A further paediatric study, </w:t>
      </w:r>
      <w:r w:rsidR="004C279A">
        <w:t xml:space="preserve">Study </w:t>
      </w:r>
      <w:r>
        <w:t>2019nCoV-504, in immunocompromised children (6 months to &lt;</w:t>
      </w:r>
      <w:r w:rsidR="004C279A">
        <w:t> </w:t>
      </w:r>
      <w:r>
        <w:t xml:space="preserve">18 years) will be conducted following completion of </w:t>
      </w:r>
      <w:r w:rsidR="004C279A">
        <w:t>S</w:t>
      </w:r>
      <w:r>
        <w:t>tudy2019nCoV-503.</w:t>
      </w:r>
    </w:p>
    <w:p w14:paraId="5836DCCC" w14:textId="77777777" w:rsidR="00243B8D" w:rsidRDefault="00243B8D" w:rsidP="00345763">
      <w:r>
        <w:t>New Variant vaccine data:</w:t>
      </w:r>
    </w:p>
    <w:p w14:paraId="423FC91C" w14:textId="39F2B372" w:rsidR="002042E1" w:rsidRPr="00955A16" w:rsidRDefault="00243B8D" w:rsidP="00345763">
      <w:proofErr w:type="spellStart"/>
      <w:r>
        <w:t>Novavax</w:t>
      </w:r>
      <w:proofErr w:type="spellEnd"/>
      <w:r>
        <w:t xml:space="preserve"> is developing a vaccine based on the Omicron variant with studies anticipated to start in </w:t>
      </w:r>
      <w:r w:rsidR="006E31BE">
        <w:t>first quarter of</w:t>
      </w:r>
      <w:r>
        <w:t xml:space="preserve"> 2022.</w:t>
      </w:r>
    </w:p>
    <w:p w14:paraId="26E8F5D4" w14:textId="1613DDE7" w:rsidR="008E7846" w:rsidRDefault="008E7846" w:rsidP="009D3593">
      <w:pPr>
        <w:pStyle w:val="Heading4"/>
      </w:pPr>
      <w:r w:rsidRPr="009D3593">
        <w:t>Advisory</w:t>
      </w:r>
      <w:r>
        <w:t xml:space="preserve"> Committee </w:t>
      </w:r>
      <w:r w:rsidR="007D53B6">
        <w:t>c</w:t>
      </w:r>
      <w:r>
        <w:t>onsiderations</w:t>
      </w:r>
      <w:r w:rsidR="00C41FF6">
        <w:rPr>
          <w:rFonts w:ascii="ZWAdobeF" w:hAnsi="ZWAdobeF" w:cs="ZWAdobeF"/>
          <w:b w:val="0"/>
          <w:sz w:val="2"/>
          <w:szCs w:val="2"/>
        </w:rPr>
        <w:t>40F</w:t>
      </w:r>
      <w:r w:rsidR="00456765">
        <w:rPr>
          <w:rStyle w:val="FootnoteReference"/>
        </w:rPr>
        <w:footnoteReference w:id="41"/>
      </w:r>
    </w:p>
    <w:p w14:paraId="522B8A59" w14:textId="1CBEC3C2" w:rsidR="00744121" w:rsidRDefault="00744121" w:rsidP="00345763">
      <w:pPr>
        <w:rPr>
          <w:bCs/>
        </w:rPr>
      </w:pPr>
      <w:bookmarkStart w:id="110" w:name="_Toc247691532"/>
      <w:bookmarkStart w:id="111" w:name="_Toc314842516"/>
      <w:bookmarkEnd w:id="31"/>
      <w:bookmarkEnd w:id="106"/>
      <w:bookmarkEnd w:id="107"/>
      <w:r w:rsidRPr="00456765">
        <w:rPr>
          <w:bCs/>
        </w:rPr>
        <w:t xml:space="preserve">The Advisory Committee on </w:t>
      </w:r>
      <w:r w:rsidR="00D96455">
        <w:rPr>
          <w:bCs/>
        </w:rPr>
        <w:t>Vaccine</w:t>
      </w:r>
      <w:r w:rsidRPr="00456765">
        <w:rPr>
          <w:bCs/>
        </w:rPr>
        <w:t xml:space="preserve"> (AC</w:t>
      </w:r>
      <w:r w:rsidR="00D96455">
        <w:rPr>
          <w:bCs/>
        </w:rPr>
        <w:t>V</w:t>
      </w:r>
      <w:r w:rsidRPr="00456765">
        <w:rPr>
          <w:bCs/>
        </w:rPr>
        <w:t>), having considered the evaluations and the Delegate’s overview, as well as the sponsor’s response to these documents, advised the following</w:t>
      </w:r>
      <w:r>
        <w:rPr>
          <w:bCs/>
        </w:rPr>
        <w:t>.</w:t>
      </w:r>
    </w:p>
    <w:p w14:paraId="7F6F412C" w14:textId="669B63FD" w:rsidR="00610059" w:rsidRDefault="00744121" w:rsidP="00345763">
      <w:pPr>
        <w:pStyle w:val="Heading5"/>
        <w:keepNext w:val="0"/>
        <w:keepLines w:val="0"/>
      </w:pPr>
      <w:r>
        <w:lastRenderedPageBreak/>
        <w:t>Specific advice to the Delegate</w:t>
      </w:r>
    </w:p>
    <w:p w14:paraId="6A2436D5" w14:textId="56D6F6C2" w:rsidR="00610059" w:rsidRPr="00890CF6" w:rsidRDefault="00610059" w:rsidP="00345763">
      <w:pPr>
        <w:pStyle w:val="Numberbullet0"/>
        <w:numPr>
          <w:ilvl w:val="0"/>
          <w:numId w:val="43"/>
        </w:numPr>
      </w:pPr>
      <w:r w:rsidRPr="00890CF6">
        <w:t xml:space="preserve">Based on the evidence at this point in time, can the ACV advise whether the benefit-risks balance is positive for the use of </w:t>
      </w:r>
      <w:proofErr w:type="spellStart"/>
      <w:r w:rsidRPr="00890CF6">
        <w:t>N</w:t>
      </w:r>
      <w:r w:rsidR="00A76255">
        <w:t>uvaxovid</w:t>
      </w:r>
      <w:proofErr w:type="spellEnd"/>
      <w:r w:rsidRPr="00890CF6">
        <w:t xml:space="preserve"> (SARS-CoV-2 </w:t>
      </w:r>
      <w:proofErr w:type="spellStart"/>
      <w:r w:rsidRPr="00890CF6">
        <w:t>rS</w:t>
      </w:r>
      <w:proofErr w:type="spellEnd"/>
      <w:r w:rsidRPr="00890CF6">
        <w:t>) in individuals 18 years and older in the Australian context, to support the provisional registration?</w:t>
      </w:r>
    </w:p>
    <w:p w14:paraId="0A588158" w14:textId="5183153D" w:rsidR="00610059" w:rsidRDefault="00610059" w:rsidP="00345763">
      <w:r>
        <w:t xml:space="preserve">The ACV advised the benefit-risk balance is positive for provisional registration of </w:t>
      </w:r>
      <w:proofErr w:type="spellStart"/>
      <w:r>
        <w:t>N</w:t>
      </w:r>
      <w:r w:rsidR="00A76255">
        <w:t>uvaxovid</w:t>
      </w:r>
      <w:proofErr w:type="spellEnd"/>
      <w:r>
        <w:t xml:space="preserve"> (SARS-CoV-2 </w:t>
      </w:r>
      <w:proofErr w:type="spellStart"/>
      <w:r>
        <w:t>rS</w:t>
      </w:r>
      <w:proofErr w:type="spellEnd"/>
      <w:r>
        <w:t>) in individuals 18 years and older in Australia, based on available immunogenicity and safety data.</w:t>
      </w:r>
    </w:p>
    <w:p w14:paraId="0066B908" w14:textId="3F8BBD54" w:rsidR="00610059" w:rsidRDefault="00610059" w:rsidP="00345763">
      <w:r>
        <w:t>The ACV noted that further data are expected to characterise particle size, and other quality issues appeared generally resolved to the satisfaction of the TGA.</w:t>
      </w:r>
    </w:p>
    <w:p w14:paraId="7FD513E3" w14:textId="6EEB208C" w:rsidR="00610059" w:rsidRDefault="00610059" w:rsidP="00345763">
      <w:r>
        <w:t>The ACV was of the view that there are no significant safety signals of concern shown in the moderate to large Phase III studies, noting that the second dose has been shown to be more reactogenic.</w:t>
      </w:r>
    </w:p>
    <w:p w14:paraId="2C68DD35" w14:textId="4D4C7D51" w:rsidR="00610059" w:rsidRDefault="00610059" w:rsidP="00345763">
      <w:r>
        <w:t>The ACV discussed the importance of having multiple COVID-19 vaccine options available in Australia and also for international vaccine programs.</w:t>
      </w:r>
    </w:p>
    <w:p w14:paraId="4DFB1823" w14:textId="0A7059FB" w:rsidR="00610059" w:rsidRDefault="00610059" w:rsidP="00345763">
      <w:r>
        <w:t>The ACV emphasised that post-marketing surveillance is required to address potential rare but significant adverse events. The two cases of myocarditis in young males after second doses are concerning but the sponsor has suggested that alternative explanations are possible.</w:t>
      </w:r>
    </w:p>
    <w:p w14:paraId="34D9E768" w14:textId="75AE71CA" w:rsidR="00610059" w:rsidRDefault="00610059" w:rsidP="00345763">
      <w:r>
        <w:t xml:space="preserve">The ACV noted that there may be off-label use of </w:t>
      </w:r>
      <w:proofErr w:type="spellStart"/>
      <w:r>
        <w:t>Nuvaxovid</w:t>
      </w:r>
      <w:proofErr w:type="spellEnd"/>
      <w:r>
        <w:t xml:space="preserve"> as a second dose in a mixed schedule and/or booster dose in patients who decline or are contraindicated for other COVID-19 vaccine</w:t>
      </w:r>
      <w:r w:rsidR="00D3404B">
        <w:t>s</w:t>
      </w:r>
      <w:r>
        <w:t>. There are limited data from studies (not all led by the vaccine manufacturer) on use in these contexts. The ACV noted that the sponsor is conducting studies of this vaccine as a booster.</w:t>
      </w:r>
    </w:p>
    <w:p w14:paraId="65A84B04" w14:textId="7BED2B8D" w:rsidR="00610059" w:rsidRPr="00890CF6" w:rsidRDefault="00610059" w:rsidP="00345763">
      <w:pPr>
        <w:pStyle w:val="Numberbullet0"/>
      </w:pPr>
      <w:r w:rsidRPr="00890CF6">
        <w:t>Can the ACV comment on the overall indication?</w:t>
      </w:r>
    </w:p>
    <w:p w14:paraId="0452CC39" w14:textId="13733848" w:rsidR="00610059" w:rsidRDefault="00610059" w:rsidP="00345763">
      <w:r>
        <w:t>The ACV supported the Delegate’s proposal to remove the wording ‘</w:t>
      </w:r>
      <w:r w:rsidRPr="009B4460">
        <w:rPr>
          <w:i/>
        </w:rPr>
        <w:t>mild, moderate or severe</w:t>
      </w:r>
      <w:r>
        <w:t>’ from the indication initially proposed by the sponsor, and to use similar wording to the indication of other COVID-19 vaccines with provisional registration, namely:</w:t>
      </w:r>
    </w:p>
    <w:p w14:paraId="740AB54B" w14:textId="51EEC571" w:rsidR="00610059" w:rsidRPr="00890CF6" w:rsidRDefault="00610059" w:rsidP="00345763">
      <w:pPr>
        <w:ind w:left="720"/>
        <w:rPr>
          <w:i/>
          <w:iCs/>
        </w:rPr>
      </w:pPr>
      <w:proofErr w:type="spellStart"/>
      <w:r w:rsidRPr="00890CF6">
        <w:rPr>
          <w:i/>
          <w:iCs/>
        </w:rPr>
        <w:t>N</w:t>
      </w:r>
      <w:r w:rsidR="00890CF6">
        <w:rPr>
          <w:i/>
          <w:iCs/>
        </w:rPr>
        <w:t>uvaxovid</w:t>
      </w:r>
      <w:proofErr w:type="spellEnd"/>
      <w:r w:rsidRPr="00890CF6">
        <w:rPr>
          <w:i/>
          <w:iCs/>
        </w:rPr>
        <w:t xml:space="preserve"> has provisional approval for the indication:</w:t>
      </w:r>
    </w:p>
    <w:p w14:paraId="50320CEA" w14:textId="4642D688" w:rsidR="00890CF6" w:rsidRPr="00890CF6" w:rsidRDefault="00890CF6" w:rsidP="00345763">
      <w:pPr>
        <w:ind w:left="720"/>
        <w:rPr>
          <w:i/>
          <w:iCs/>
        </w:rPr>
      </w:pPr>
      <w:r w:rsidRPr="00890CF6">
        <w:rPr>
          <w:i/>
          <w:iCs/>
        </w:rPr>
        <w:t>Active immunisation to prevent coronavirus disease 2019 (COVID‐19) caused by SARS‐CoV‐2, in individuals 18 years of age and older.</w:t>
      </w:r>
    </w:p>
    <w:p w14:paraId="2B263A43" w14:textId="50196ECB" w:rsidR="00890CF6" w:rsidRPr="00890CF6" w:rsidRDefault="00890CF6" w:rsidP="00345763">
      <w:pPr>
        <w:ind w:left="720"/>
        <w:rPr>
          <w:i/>
          <w:iCs/>
        </w:rPr>
      </w:pPr>
      <w:r w:rsidRPr="00890CF6">
        <w:rPr>
          <w:i/>
          <w:iCs/>
        </w:rPr>
        <w:t>The use of this vaccine should be in accordance with official recommendations.</w:t>
      </w:r>
    </w:p>
    <w:p w14:paraId="351EEFAD" w14:textId="7ABC4D6A" w:rsidR="00890CF6" w:rsidRDefault="00890CF6" w:rsidP="00345763">
      <w:pPr>
        <w:ind w:left="720"/>
        <w:rPr>
          <w:i/>
          <w:iCs/>
        </w:rPr>
      </w:pPr>
      <w:r w:rsidRPr="00890CF6">
        <w:rPr>
          <w:i/>
          <w:iCs/>
        </w:rPr>
        <w:t>The decision has been made on the basis of short-term efficacy and safety data. Continued approval depends on the evidence of longer-term efficacy and safety from the ongoing and post-market assessment.</w:t>
      </w:r>
    </w:p>
    <w:p w14:paraId="072FCE19" w14:textId="37619B07" w:rsidR="00890CF6" w:rsidRPr="00890CF6" w:rsidRDefault="00890CF6" w:rsidP="00345763">
      <w:pPr>
        <w:pStyle w:val="Numberbullet0"/>
      </w:pPr>
      <w:r w:rsidRPr="00890CF6">
        <w:t xml:space="preserve">Can the ACV comment if </w:t>
      </w:r>
      <w:r w:rsidR="0050760E">
        <w:t xml:space="preserve">the </w:t>
      </w:r>
      <w:r w:rsidRPr="00890CF6">
        <w:t>overall safety</w:t>
      </w:r>
      <w:r w:rsidR="0050760E">
        <w:t xml:space="preserve"> profile</w:t>
      </w:r>
      <w:r w:rsidRPr="00890CF6">
        <w:t xml:space="preserve"> is acceptable?</w:t>
      </w:r>
    </w:p>
    <w:p w14:paraId="500244E3" w14:textId="77777777" w:rsidR="00890CF6" w:rsidRDefault="00890CF6" w:rsidP="00345763">
      <w:r>
        <w:t xml:space="preserve">The ACV advised that the overall safety profile of </w:t>
      </w:r>
      <w:proofErr w:type="spellStart"/>
      <w:r>
        <w:t>Nuvaxovid</w:t>
      </w:r>
      <w:proofErr w:type="spellEnd"/>
      <w:r>
        <w:t xml:space="preserve"> is acceptable for provisional registration.</w:t>
      </w:r>
    </w:p>
    <w:p w14:paraId="02198DF6" w14:textId="0D2CF7FA" w:rsidR="00890CF6" w:rsidRDefault="00890CF6" w:rsidP="00345763">
      <w:r>
        <w:t xml:space="preserve">The ACV noted that the rates of common adverse events (AE) following the first dose were comparable with placebo but rates of AEs became much higher following second doses: Grade 3 local AEs observed in 1.1% post first dose versus 6.6% post second dose (Studies </w:t>
      </w:r>
      <w:r w:rsidR="0050760E">
        <w:t>2019nCoV-</w:t>
      </w:r>
      <w:r>
        <w:t xml:space="preserve">301 and </w:t>
      </w:r>
      <w:r w:rsidR="0050760E">
        <w:t>2019nCoV-</w:t>
      </w:r>
      <w:r>
        <w:t xml:space="preserve">302); Grade 3 systemic AEs observed in 1.3% to 2.3% post </w:t>
      </w:r>
      <w:r>
        <w:lastRenderedPageBreak/>
        <w:t>first dose versus 6.8% to12.0% post second dose. Common AEs were observed at a lower frequency in older people.</w:t>
      </w:r>
    </w:p>
    <w:p w14:paraId="2967D383" w14:textId="77777777" w:rsidR="00890CF6" w:rsidRDefault="00890CF6" w:rsidP="00345763">
      <w:r>
        <w:t>Regarding rare AEs, the ACV discussed the reported cases of myopericarditis from the clinical studies, noting the uncertain relationship to the vaccine.</w:t>
      </w:r>
    </w:p>
    <w:p w14:paraId="0F2A0477" w14:textId="65A2FE62" w:rsidR="00890CF6" w:rsidRDefault="00890CF6" w:rsidP="00345763">
      <w:r>
        <w:t>The ACV emphasised that rare but significant AEs that were reported in the trials will need to be monitored in pharmacovigilance activities, including hypersensitivity, angioedema, hyperthyroidism, thrombocytopenia, colitis, and central retinal vein thrombosis. The ACV noted small numbers of disparate but potentially significant immunologically-mediated AEs in the vaccine compared with placebo recipients. There was no overall imbalance, and ACV believed while this does not constitute a safety signal at this time, that immune-mediated AEs should be monitored in the context of the novel adjuvant (50</w:t>
      </w:r>
      <w:r w:rsidR="0050760E">
        <w:t xml:space="preserve"> µg </w:t>
      </w:r>
      <w:r>
        <w:t>Matrix</w:t>
      </w:r>
      <w:r w:rsidR="0050760E">
        <w:noBreakHyphen/>
      </w:r>
      <w:r>
        <w:t>M) used in this vaccine.</w:t>
      </w:r>
    </w:p>
    <w:p w14:paraId="24F2DC63" w14:textId="33C3EBEE" w:rsidR="00890CF6" w:rsidRDefault="00890CF6" w:rsidP="00345763">
      <w:r>
        <w:t>The ACV discussed the concern that quality issues still outstanding may impact on reactogenicity. The ACV commented that the SII trial is limited in size and it is difficult to compare reported AEs across different populations/studies.</w:t>
      </w:r>
    </w:p>
    <w:p w14:paraId="2AE71987" w14:textId="1E94F227" w:rsidR="00890CF6" w:rsidRPr="00890CF6" w:rsidRDefault="00890CF6" w:rsidP="00345763">
      <w:pPr>
        <w:pStyle w:val="Numberbullet0"/>
      </w:pPr>
      <w:r w:rsidRPr="00890CF6">
        <w:t xml:space="preserve">The </w:t>
      </w:r>
      <w:r>
        <w:t>quality</w:t>
      </w:r>
      <w:r w:rsidRPr="00890CF6">
        <w:t xml:space="preserve"> evaluator has noted deficiencies related mainly to comparability. Can </w:t>
      </w:r>
      <w:r w:rsidR="0050760E">
        <w:t xml:space="preserve">the </w:t>
      </w:r>
      <w:r w:rsidRPr="00890CF6">
        <w:t>ACV advise if this is acceptable for provisional approval, with reference to its possible implications on clinical efficacy and safety?</w:t>
      </w:r>
    </w:p>
    <w:p w14:paraId="7ECB0816" w14:textId="301086EC" w:rsidR="00890CF6" w:rsidRDefault="00890CF6" w:rsidP="00345763">
      <w:r>
        <w:t>The ACV noted that the Phase I studies suggest that the immunogenicity of the 5 </w:t>
      </w:r>
      <w:r w:rsidR="00A86D10">
        <w:t>µg</w:t>
      </w:r>
      <w:r>
        <w:t xml:space="preserve"> and 25 </w:t>
      </w:r>
      <w:r w:rsidR="00A86D10">
        <w:t>µg</w:t>
      </w:r>
      <w:r>
        <w:t xml:space="preserve"> spike protein doses are similar and that within the limits of small studies there does not appear to be a large impact of a dose response relationship.</w:t>
      </w:r>
    </w:p>
    <w:p w14:paraId="7E3EC733" w14:textId="7D4E4DFC" w:rsidR="00890CF6" w:rsidRDefault="00890CF6" w:rsidP="00345763">
      <w:r>
        <w:t>The ACV was of the view that a proportion of the AEs are likely due to the vaccine adjuvant rather than the antigen and further noted the systemic AE profile also appears relatively high within the placebo arm of Study ICMR/SII-COVOVAX.</w:t>
      </w:r>
    </w:p>
    <w:p w14:paraId="50679B18" w14:textId="535C6A7B" w:rsidR="00890CF6" w:rsidRPr="00890CF6" w:rsidRDefault="00890CF6" w:rsidP="00345763">
      <w:pPr>
        <w:pStyle w:val="Numberbullet0"/>
      </w:pPr>
      <w:r w:rsidRPr="00890CF6">
        <w:t>The sponsor has submitted an interim clinical study report for the ICMR/SII</w:t>
      </w:r>
      <w:r w:rsidR="00A86D10">
        <w:t xml:space="preserve"> </w:t>
      </w:r>
      <w:proofErr w:type="spellStart"/>
      <w:r w:rsidRPr="00890CF6">
        <w:t>C</w:t>
      </w:r>
      <w:r w:rsidR="00A86D10">
        <w:t>ovovax</w:t>
      </w:r>
      <w:proofErr w:type="spellEnd"/>
      <w:r w:rsidR="00A86D10">
        <w:t xml:space="preserve"> trial</w:t>
      </w:r>
      <w:r w:rsidRPr="00890CF6">
        <w:t>, which is not part of the drug development plan. It was conducted by the manufacturer (not the sponsor) with the aim to establish immunogenicity and safety of the Serum Institute of India (SII) manufactured product. Can ACV comment if immunogenicity and safety from this study is acceptable and comparable to the pivotal studies? Efficacy data (exploratory objective) has not been submitted for this study.</w:t>
      </w:r>
    </w:p>
    <w:p w14:paraId="4012C6CA" w14:textId="13349993" w:rsidR="00890CF6" w:rsidRDefault="00890CF6" w:rsidP="00345763">
      <w:r w:rsidRPr="00890CF6">
        <w:t>The ACV noted that the ICMR/SII-</w:t>
      </w:r>
      <w:proofErr w:type="spellStart"/>
      <w:r w:rsidR="00A86D10">
        <w:t>Covovax</w:t>
      </w:r>
      <w:proofErr w:type="spellEnd"/>
      <w:r w:rsidRPr="00890CF6">
        <w:t xml:space="preserve"> </w:t>
      </w:r>
      <w:r w:rsidR="00A86D10">
        <w:t>trial;</w:t>
      </w:r>
      <w:r w:rsidR="00C41FF6">
        <w:rPr>
          <w:rFonts w:ascii="ZWAdobeF" w:hAnsi="ZWAdobeF" w:cs="ZWAdobeF"/>
          <w:sz w:val="2"/>
          <w:szCs w:val="2"/>
        </w:rPr>
        <w:t>41F</w:t>
      </w:r>
      <w:r w:rsidRPr="00890CF6">
        <w:rPr>
          <w:vertAlign w:val="superscript"/>
        </w:rPr>
        <w:footnoteReference w:id="42"/>
      </w:r>
      <w:r w:rsidRPr="00890CF6">
        <w:t xml:space="preserve"> was the only presented study that used the Serum Institute of India manufactured product proposed for supply in Australia</w:t>
      </w:r>
      <w:r>
        <w:t>.</w:t>
      </w:r>
    </w:p>
    <w:p w14:paraId="20CEDEBA" w14:textId="03A88A02" w:rsidR="00890CF6" w:rsidRDefault="00890CF6" w:rsidP="00345763">
      <w:r>
        <w:t>This Phase II/III study compared SII-manufactured (</w:t>
      </w:r>
      <w:proofErr w:type="spellStart"/>
      <w:r>
        <w:t>Covovax</w:t>
      </w:r>
      <w:proofErr w:type="spellEnd"/>
      <w:r>
        <w:t>) and US-manufacture</w:t>
      </w:r>
      <w:r w:rsidR="00A86D10">
        <w:t>d</w:t>
      </w:r>
      <w:r>
        <w:t xml:space="preserve"> (</w:t>
      </w:r>
      <w:proofErr w:type="spellStart"/>
      <w:r>
        <w:t>Novavax</w:t>
      </w:r>
      <w:proofErr w:type="spellEnd"/>
      <w:r>
        <w:t>) drug substances. The ACV noted that the provided data were reassuring, although the details provided were not at the usual standard for a regulatory submission.</w:t>
      </w:r>
    </w:p>
    <w:p w14:paraId="3B434C87" w14:textId="7EBAC9EA" w:rsidR="00890CF6" w:rsidRDefault="00890CF6" w:rsidP="00345763">
      <w:r>
        <w:t>The ACV noted that the available data show that the SII-</w:t>
      </w:r>
      <w:r w:rsidR="00A86D10">
        <w:t xml:space="preserve">manufactured </w:t>
      </w:r>
      <w:proofErr w:type="spellStart"/>
      <w:r>
        <w:t>C</w:t>
      </w:r>
      <w:r w:rsidR="00A86D10">
        <w:t>ovovax</w:t>
      </w:r>
      <w:proofErr w:type="spellEnd"/>
      <w:r>
        <w:t xml:space="preserve"> resulted in slightly lower immunogenicity, with more AEs in the small Phase II study compared with the US</w:t>
      </w:r>
      <w:r w:rsidR="00A86D10">
        <w:noBreakHyphen/>
      </w:r>
      <w:r>
        <w:t xml:space="preserve">manufactured product (41% versus 18%). </w:t>
      </w:r>
      <w:r w:rsidR="00A86D10">
        <w:t xml:space="preserve">Adverse events </w:t>
      </w:r>
      <w:r>
        <w:t>were similar between vaccines in the larger Phase III study.</w:t>
      </w:r>
    </w:p>
    <w:p w14:paraId="08BBBFCB" w14:textId="7B043409" w:rsidR="00890CF6" w:rsidRDefault="00890CF6" w:rsidP="00345763">
      <w:r>
        <w:t>Overall, the ACV was of the view that there is insufficient detail from the SII</w:t>
      </w:r>
      <w:r w:rsidR="00A86D10">
        <w:noBreakHyphen/>
      </w:r>
      <w:proofErr w:type="spellStart"/>
      <w:r w:rsidR="00A86D10">
        <w:t>Covovax</w:t>
      </w:r>
      <w:proofErr w:type="spellEnd"/>
      <w:r w:rsidR="00A86D10">
        <w:t xml:space="preserve"> trial </w:t>
      </w:r>
      <w:r>
        <w:t>to fully evaluate the implications of the change of site of manufacture; however, the ACV acknowledged that this study was not conducted by the sponsor and further data may not be available.</w:t>
      </w:r>
    </w:p>
    <w:p w14:paraId="2646452A" w14:textId="77777777" w:rsidR="00890CF6" w:rsidRPr="00890CF6" w:rsidRDefault="00890CF6" w:rsidP="00345763">
      <w:pPr>
        <w:pStyle w:val="Numberbullet0"/>
      </w:pPr>
      <w:r w:rsidRPr="00890CF6">
        <w:lastRenderedPageBreak/>
        <w:t>Can the ACV comment on the proposed pharmacovigilance activities? Are any additional risk mitigation strategies required?</w:t>
      </w:r>
    </w:p>
    <w:p w14:paraId="70D82A41" w14:textId="77777777" w:rsidR="00890CF6" w:rsidRDefault="00890CF6" w:rsidP="00345763">
      <w:r>
        <w:t>The ACV highlighted that surveillance for myopericarditis, hypersensitivity, angioedema, hyperthyroidism, thrombocytopenia, colitis and central retinal vein thrombosis will be important.</w:t>
      </w:r>
    </w:p>
    <w:p w14:paraId="2FDA0330" w14:textId="77777777" w:rsidR="00890CF6" w:rsidRDefault="00890CF6" w:rsidP="00345763">
      <w:r>
        <w:t>The ACV discussed the numerically higher rate of hypertension observed in the clinical studies and recommended any potential signal be monitored in pharmacovigilance activities, noting that the relationship between this AE and the vaccine was not confirmed.</w:t>
      </w:r>
    </w:p>
    <w:p w14:paraId="59B920C7" w14:textId="77777777" w:rsidR="00890CF6" w:rsidRDefault="00890CF6" w:rsidP="00345763">
      <w:r>
        <w:t>The ACV discussed the potential use of linked data to identify rare immune-mediated conditions related to the vaccine, noting the novel adjuvant used in this product.</w:t>
      </w:r>
    </w:p>
    <w:p w14:paraId="5BC01E06" w14:textId="4EF79BCE" w:rsidR="00890CF6" w:rsidRDefault="00890CF6" w:rsidP="00345763">
      <w:r>
        <w:t>The ACV noted that given the range of COVID-19 vaccines now available within Australia there continues to be a need for provider education on each vaccine.</w:t>
      </w:r>
    </w:p>
    <w:p w14:paraId="72935B12" w14:textId="77777777" w:rsidR="00890CF6" w:rsidRPr="00890CF6" w:rsidRDefault="00890CF6" w:rsidP="00345763">
      <w:pPr>
        <w:pStyle w:val="Numberbullet0"/>
      </w:pPr>
      <w:r w:rsidRPr="00890CF6">
        <w:t>The committee is also requested to provide advice on any other issues that it thinks may be relevant to a decision on whether to approve this application.</w:t>
      </w:r>
    </w:p>
    <w:p w14:paraId="1A19BFA5" w14:textId="77777777" w:rsidR="00890CF6" w:rsidRDefault="00890CF6" w:rsidP="00345763">
      <w:r>
        <w:t>The ACV noted that myocarditis is not mentioned in the PI and recommended that the instances of myocarditis observed in the clinical studies be noted in the PI. However, the ACV noted that a causal relationship of myocarditis to the vaccine is not established.</w:t>
      </w:r>
    </w:p>
    <w:p w14:paraId="68D9EB64" w14:textId="6B4D31DB" w:rsidR="00890CF6" w:rsidRDefault="00890CF6" w:rsidP="00345763">
      <w:r>
        <w:t xml:space="preserve">The ACV recommended that the PI include additional detail on concomitant administration of </w:t>
      </w:r>
      <w:proofErr w:type="spellStart"/>
      <w:r>
        <w:t>Nuvaxovid</w:t>
      </w:r>
      <w:proofErr w:type="spellEnd"/>
      <w:r>
        <w:t xml:space="preserve"> and quadrivalent unadjuvanted influenza vaccine, including a description of the </w:t>
      </w:r>
      <w:r w:rsidR="00A86D10">
        <w:t>AE</w:t>
      </w:r>
      <w:r>
        <w:t xml:space="preserve"> profile.</w:t>
      </w:r>
    </w:p>
    <w:p w14:paraId="454A0108" w14:textId="05A91E77" w:rsidR="00890CF6" w:rsidRDefault="00890CF6" w:rsidP="00345763">
      <w:r>
        <w:t>The ACV suggested that expert advice could be sought from an experienced toxicologist regarding host cell protein contamination and allergic reactions.</w:t>
      </w:r>
    </w:p>
    <w:p w14:paraId="43166AA5" w14:textId="7CA3312D" w:rsidR="00890CF6" w:rsidRPr="009B4460" w:rsidRDefault="00890CF6" w:rsidP="00345763">
      <w:pPr>
        <w:pStyle w:val="Numberbullet0"/>
      </w:pPr>
      <w:r w:rsidRPr="009B4460">
        <w:t xml:space="preserve">Does the ACV agree with the evaluators position that </w:t>
      </w:r>
      <w:proofErr w:type="spellStart"/>
      <w:r w:rsidRPr="009B4460">
        <w:t>Novavax’s</w:t>
      </w:r>
      <w:proofErr w:type="spellEnd"/>
      <w:r w:rsidRPr="009B4460">
        <w:t xml:space="preserve"> risk assessment of critical quality attributes (CQAs) of several particle characterisation tests (</w:t>
      </w:r>
      <w:r w:rsidR="00A86D10" w:rsidRPr="009B4460">
        <w:t>dynamic light scattering</w:t>
      </w:r>
      <w:r w:rsidRPr="009B4460">
        <w:t xml:space="preserve">, </w:t>
      </w:r>
      <w:r w:rsidR="00A86D10" w:rsidRPr="009B4460">
        <w:t xml:space="preserve">nanoparticle tracking analysis, </w:t>
      </w:r>
      <w:r w:rsidR="00A86D10" w:rsidRPr="00A86D10">
        <w:rPr>
          <w:bCs/>
          <w:iCs/>
        </w:rPr>
        <w:t>high-performance size exclusion chromatography</w:t>
      </w:r>
      <w:r w:rsidRPr="009B4460">
        <w:t xml:space="preserve">) as low risk (due to a low uncertainty score as defined by </w:t>
      </w:r>
      <w:proofErr w:type="spellStart"/>
      <w:r w:rsidRPr="009B4460">
        <w:t>Novavax</w:t>
      </w:r>
      <w:proofErr w:type="spellEnd"/>
      <w:r w:rsidRPr="009B4460">
        <w:t xml:space="preserve"> as </w:t>
      </w:r>
      <w:r w:rsidR="00A86D10">
        <w:t>‘</w:t>
      </w:r>
      <w:r w:rsidRPr="009B4460">
        <w:t>Data is available from clinical studies with this molecule) is not supported given the differences seen between clinical trial batches and SII commercial batches.</w:t>
      </w:r>
    </w:p>
    <w:p w14:paraId="4E061482" w14:textId="70A71F28" w:rsidR="00890CF6" w:rsidRDefault="00890CF6" w:rsidP="00345763">
      <w:r>
        <w:t>The ACV noted that particle characteristics are a critical quality attribute and that differences in characterisation were evident in several test methodologies, but the clinical relevance of the observed laboratory differences is uncertain. The ACV advised that the data from the SII-</w:t>
      </w:r>
      <w:proofErr w:type="spellStart"/>
      <w:r w:rsidR="0045163D">
        <w:t>Covovax</w:t>
      </w:r>
      <w:proofErr w:type="spellEnd"/>
      <w:r w:rsidR="0045163D">
        <w:t xml:space="preserve"> trial </w:t>
      </w:r>
      <w:r>
        <w:t>provided some reassurance that differences in particle characterisation as shown in analytical assays did not lead to identified major differences in immunogenicity or clinical safety when administered in humans.</w:t>
      </w:r>
    </w:p>
    <w:p w14:paraId="7CC3AEAF" w14:textId="357A5B08" w:rsidR="00890CF6" w:rsidRDefault="00890CF6" w:rsidP="00345763">
      <w:r>
        <w:t xml:space="preserve">However, the differences in reactogenicity between Phases </w:t>
      </w:r>
      <w:r w:rsidR="00420533">
        <w:t>II</w:t>
      </w:r>
      <w:r>
        <w:t xml:space="preserve"> and </w:t>
      </w:r>
      <w:r w:rsidR="00420533">
        <w:t>III</w:t>
      </w:r>
      <w:r>
        <w:t xml:space="preserve"> of </w:t>
      </w:r>
      <w:r w:rsidR="00C25429">
        <w:t xml:space="preserve">the </w:t>
      </w:r>
      <w:r>
        <w:t>SII</w:t>
      </w:r>
      <w:r w:rsidR="00C25429">
        <w:noBreakHyphen/>
      </w:r>
      <w:proofErr w:type="spellStart"/>
      <w:r w:rsidR="00C25429">
        <w:t>Covovax</w:t>
      </w:r>
      <w:proofErr w:type="spellEnd"/>
      <w:r w:rsidR="00C25429">
        <w:t xml:space="preserve"> trial</w:t>
      </w:r>
      <w:r>
        <w:t xml:space="preserve"> raises the possibility that there may be batch-to-batch variation.</w:t>
      </w:r>
    </w:p>
    <w:p w14:paraId="4E0AAF8D" w14:textId="77777777" w:rsidR="00890CF6" w:rsidRDefault="00890CF6" w:rsidP="00345763">
      <w:r>
        <w:t>The ACV noted that the EMA has requested additional data to characterise particle size, and the ACV recommended that the TGA requests the results of these studies.</w:t>
      </w:r>
    </w:p>
    <w:p w14:paraId="2DE7B5B6" w14:textId="32030019" w:rsidR="00890CF6" w:rsidRDefault="00890CF6" w:rsidP="00345763">
      <w:r>
        <w:t>The ACV noted that the particle characterisation tests will not form part of routine batch release testing.</w:t>
      </w:r>
    </w:p>
    <w:p w14:paraId="659884B1" w14:textId="38278FC8" w:rsidR="00890CF6" w:rsidRPr="00890CF6" w:rsidRDefault="00890CF6" w:rsidP="00345763">
      <w:pPr>
        <w:pStyle w:val="Numberbullet0"/>
      </w:pPr>
      <w:r w:rsidRPr="00890CF6">
        <w:t xml:space="preserve">Does ACV agree or disagree with </w:t>
      </w:r>
      <w:proofErr w:type="spellStart"/>
      <w:r w:rsidRPr="00890CF6">
        <w:t>Novavax’s</w:t>
      </w:r>
      <w:proofErr w:type="spellEnd"/>
      <w:r w:rsidRPr="00890CF6">
        <w:t xml:space="preserve"> position that the differences seen in particle characteristics are not clinically significant as they are supported through the clinical experience with the product</w:t>
      </w:r>
      <w:r w:rsidR="00C25429">
        <w:t>?</w:t>
      </w:r>
    </w:p>
    <w:p w14:paraId="27276364" w14:textId="77777777" w:rsidR="00890CF6" w:rsidRDefault="00890CF6" w:rsidP="00345763">
      <w:r>
        <w:t xml:space="preserve">The ACV noted that the ACE2 activity is higher, but immunogenicity is slightly lower, with the SII product compared to </w:t>
      </w:r>
      <w:proofErr w:type="spellStart"/>
      <w:r>
        <w:t>Novavax</w:t>
      </w:r>
      <w:proofErr w:type="spellEnd"/>
      <w:r>
        <w:t xml:space="preserve"> clinical trial material.</w:t>
      </w:r>
    </w:p>
    <w:p w14:paraId="2D1CB079" w14:textId="60C3B72F" w:rsidR="00890CF6" w:rsidRDefault="00890CF6" w:rsidP="00345763">
      <w:r>
        <w:lastRenderedPageBreak/>
        <w:t>The ACV commented that the Phase I study suggested a lack of dose response over the 5 to 25</w:t>
      </w:r>
      <w:r w:rsidR="00C25429">
        <w:t> µg</w:t>
      </w:r>
      <w:r>
        <w:t xml:space="preserve"> range, which was somewhat reassuring regarding the impact of any differences in antigen content.</w:t>
      </w:r>
    </w:p>
    <w:p w14:paraId="40AACDD3" w14:textId="66915F78" w:rsidR="00890CF6" w:rsidRPr="00890CF6" w:rsidRDefault="00890CF6" w:rsidP="00345763">
      <w:pPr>
        <w:pStyle w:val="Numberbullet0"/>
      </w:pPr>
      <w:r w:rsidRPr="00890CF6">
        <w:t>Does ACV agree that given the differences seen in the comparability studies, a conservative approach should be taken when extrapolating stability data from clinical batches manufactured to the final commercial product at SII</w:t>
      </w:r>
      <w:r w:rsidR="00C25429">
        <w:t>?</w:t>
      </w:r>
      <w:r w:rsidRPr="00890CF6">
        <w:t>.</w:t>
      </w:r>
    </w:p>
    <w:p w14:paraId="4111B0AE" w14:textId="73A6F682" w:rsidR="00890CF6" w:rsidRPr="00890CF6" w:rsidRDefault="00890CF6" w:rsidP="00345763">
      <w:r>
        <w:t>The ACV advised that expert advice be obtained from experienced pharmaceutical manufacturers on the issues raised in Questions 8, 9 and 10.</w:t>
      </w:r>
    </w:p>
    <w:p w14:paraId="58DD88D5" w14:textId="508406EE" w:rsidR="00744121" w:rsidRDefault="00744121" w:rsidP="00345763">
      <w:pPr>
        <w:pStyle w:val="Heading5"/>
        <w:keepNext w:val="0"/>
        <w:keepLines w:val="0"/>
      </w:pPr>
      <w:r>
        <w:t>Conclusion</w:t>
      </w:r>
    </w:p>
    <w:p w14:paraId="74DE7B50" w14:textId="2439DBEB" w:rsidR="00420533" w:rsidRDefault="00420533" w:rsidP="00345763">
      <w:r>
        <w:t xml:space="preserve">Pending resolution of quality issues to the satisfaction of the TGA, the ACV considered </w:t>
      </w:r>
      <w:proofErr w:type="spellStart"/>
      <w:r>
        <w:t>Nuvaxovid</w:t>
      </w:r>
      <w:proofErr w:type="spellEnd"/>
      <w:r>
        <w:t xml:space="preserve"> to have an overall positive benefit-risk profile and therefore support provisional approval for the following:</w:t>
      </w:r>
    </w:p>
    <w:p w14:paraId="162DADD7" w14:textId="77777777" w:rsidR="00420533" w:rsidRPr="00420533" w:rsidRDefault="00420533" w:rsidP="00345763">
      <w:pPr>
        <w:ind w:left="720"/>
        <w:rPr>
          <w:i/>
          <w:iCs/>
        </w:rPr>
      </w:pPr>
      <w:r w:rsidRPr="00420533">
        <w:rPr>
          <w:i/>
          <w:iCs/>
        </w:rPr>
        <w:t>Active immunisation to prevent coronavirus disease 2019 (COVID-19) caused by SARS-CoV-2 in individuals 18 years of age and older.</w:t>
      </w:r>
    </w:p>
    <w:p w14:paraId="7172DBA8" w14:textId="77777777" w:rsidR="00420533" w:rsidRPr="00420533" w:rsidRDefault="00420533" w:rsidP="00345763">
      <w:pPr>
        <w:ind w:left="720"/>
        <w:rPr>
          <w:i/>
          <w:iCs/>
        </w:rPr>
      </w:pPr>
      <w:r w:rsidRPr="00420533">
        <w:rPr>
          <w:i/>
          <w:iCs/>
        </w:rPr>
        <w:t>The use of this vaccine should be in accordance with official recommendations</w:t>
      </w:r>
    </w:p>
    <w:p w14:paraId="67F02826" w14:textId="5E61B1F8" w:rsidR="00420533" w:rsidRPr="00A322B3" w:rsidRDefault="00420533" w:rsidP="00345763">
      <w:pPr>
        <w:ind w:left="720"/>
      </w:pPr>
      <w:r w:rsidRPr="00420533">
        <w:rPr>
          <w:i/>
          <w:iCs/>
        </w:rPr>
        <w:t>The decision has been made on the basis of short-term efficacy and safety data. Continued approval depends on the evidence of longer term efficacy and safety from ongoing clinical trials and post-market assessment.</w:t>
      </w:r>
    </w:p>
    <w:p w14:paraId="49C8B23B" w14:textId="24C7F35E" w:rsidR="008E7846" w:rsidRPr="002E238E" w:rsidRDefault="008E7846" w:rsidP="00345763">
      <w:pPr>
        <w:pStyle w:val="Heading3"/>
        <w:keepNext w:val="0"/>
        <w:keepLines w:val="0"/>
      </w:pPr>
      <w:bookmarkStart w:id="112" w:name="_Toc93695200"/>
      <w:r>
        <w:t>Outcome</w:t>
      </w:r>
      <w:bookmarkEnd w:id="110"/>
      <w:bookmarkEnd w:id="111"/>
      <w:bookmarkEnd w:id="112"/>
    </w:p>
    <w:p w14:paraId="1597A865" w14:textId="1A79FCD9" w:rsidR="00F54C44" w:rsidRDefault="00F54C44" w:rsidP="00345763">
      <w:bookmarkStart w:id="113" w:name="_Toc247691533"/>
      <w:bookmarkStart w:id="114" w:name="_Toc314842517"/>
      <w:r>
        <w:t xml:space="preserve">Based on a review of quality, safety and efficacy, the TGA approved the registration of </w:t>
      </w:r>
      <w:proofErr w:type="spellStart"/>
      <w:r>
        <w:t>Nuvaxovid</w:t>
      </w:r>
      <w:proofErr w:type="spellEnd"/>
      <w:r w:rsidRPr="00250271">
        <w:t xml:space="preserve"> </w:t>
      </w:r>
      <w:r>
        <w:t xml:space="preserve">(SARS-CoV-2 </w:t>
      </w:r>
      <w:proofErr w:type="spellStart"/>
      <w:r>
        <w:t>rS</w:t>
      </w:r>
      <w:proofErr w:type="spellEnd"/>
      <w:r>
        <w:t xml:space="preserve"> with matrix M adjuvant</w:t>
      </w:r>
      <w:r w:rsidRPr="00250271">
        <w:t xml:space="preserve">) </w:t>
      </w:r>
      <w:r>
        <w:t>5 µg/0.5mL</w:t>
      </w:r>
      <w:r w:rsidRPr="00250271">
        <w:t xml:space="preserve">, </w:t>
      </w:r>
      <w:r>
        <w:t>suspension for injection, multidose vials, indicated for:</w:t>
      </w:r>
    </w:p>
    <w:p w14:paraId="109A4873" w14:textId="6C0582EC" w:rsidR="00E60E70" w:rsidRPr="00E60E70" w:rsidRDefault="00E60E70" w:rsidP="00345763">
      <w:pPr>
        <w:ind w:left="720"/>
        <w:rPr>
          <w:i/>
          <w:iCs/>
        </w:rPr>
      </w:pPr>
      <w:r w:rsidRPr="00E60E70">
        <w:rPr>
          <w:i/>
          <w:iCs/>
        </w:rPr>
        <w:t>Active immunisation to prevent coronavirus disease 2019 (COVID-19) caused by SARS-CoV-2 in individuals 18 years of age and older.</w:t>
      </w:r>
    </w:p>
    <w:p w14:paraId="09DA1336" w14:textId="77777777" w:rsidR="00E60E70" w:rsidRPr="00E60E70" w:rsidRDefault="00E60E70" w:rsidP="00345763">
      <w:pPr>
        <w:ind w:left="720"/>
        <w:rPr>
          <w:i/>
          <w:iCs/>
        </w:rPr>
      </w:pPr>
      <w:r w:rsidRPr="00E60E70">
        <w:rPr>
          <w:i/>
          <w:iCs/>
        </w:rPr>
        <w:t>The use of this vaccine should be in accordance with official recommendations.</w:t>
      </w:r>
    </w:p>
    <w:p w14:paraId="1F11B530" w14:textId="7EA62364" w:rsidR="00E60E70" w:rsidRPr="00E60E70" w:rsidRDefault="00E60E70" w:rsidP="00345763">
      <w:pPr>
        <w:ind w:left="720"/>
        <w:rPr>
          <w:i/>
          <w:iCs/>
        </w:rPr>
      </w:pPr>
      <w:r w:rsidRPr="00E60E70">
        <w:rPr>
          <w:i/>
          <w:iCs/>
        </w:rPr>
        <w:t>The decision has been made on the basis of short-term efficacy and safety data. Continued approval depends on the evidence of longer term efficacy and safety from ongoing clinical trials and post-market assessment.</w:t>
      </w:r>
    </w:p>
    <w:p w14:paraId="4EBFB1F4" w14:textId="46A8A72B" w:rsidR="00D23139" w:rsidRDefault="00D23139" w:rsidP="00345763">
      <w:pPr>
        <w:pStyle w:val="Heading4"/>
        <w:keepNext w:val="0"/>
      </w:pPr>
      <w:r w:rsidRPr="00D23139">
        <w:t>Specific conditions of registration applying to these goods</w:t>
      </w:r>
    </w:p>
    <w:p w14:paraId="03C8EAC3" w14:textId="3F9A2F8D" w:rsidR="00E60E70" w:rsidRDefault="00E60E70" w:rsidP="00345763">
      <w:pPr>
        <w:pStyle w:val="ListBullet"/>
      </w:pPr>
      <w:r>
        <w:t xml:space="preserve">The </w:t>
      </w:r>
      <w:proofErr w:type="spellStart"/>
      <w:r>
        <w:t>Nuvaxovid</w:t>
      </w:r>
      <w:proofErr w:type="spellEnd"/>
      <w:r>
        <w:t xml:space="preserve"> COVID-19 Vaccine (adjuvanted) EU-</w:t>
      </w:r>
      <w:r w:rsidR="00C33B23">
        <w:t>r</w:t>
      </w:r>
      <w:r>
        <w:t xml:space="preserve">isk </w:t>
      </w:r>
      <w:r w:rsidR="00C33B23">
        <w:t>m</w:t>
      </w:r>
      <w:r>
        <w:t xml:space="preserve">anagement </w:t>
      </w:r>
      <w:r w:rsidR="00C33B23">
        <w:t>p</w:t>
      </w:r>
      <w:r>
        <w:t xml:space="preserve">lan (RMP) (version 1.0, dated 18 December 2021; DLP 20 December 2021), with Australian </w:t>
      </w:r>
      <w:r w:rsidR="00C33B23">
        <w:t>s</w:t>
      </w:r>
      <w:r>
        <w:t xml:space="preserve">pecific </w:t>
      </w:r>
      <w:r w:rsidR="00C33B23">
        <w:t>a</w:t>
      </w:r>
      <w:r>
        <w:t xml:space="preserve">nnex (version 1.0, dated 19 January 2022), included with </w:t>
      </w:r>
      <w:r w:rsidR="00C33B23">
        <w:t>S</w:t>
      </w:r>
      <w:r>
        <w:t>ubmission PM</w:t>
      </w:r>
      <w:r w:rsidR="00C33B23">
        <w:t> </w:t>
      </w:r>
      <w:r>
        <w:t>2021-00623-1-2, and any subsequent revisions, as agreed with the TGA will be implemented in Australia.</w:t>
      </w:r>
    </w:p>
    <w:p w14:paraId="18756D3A" w14:textId="3AFF4082" w:rsidR="00E60E70" w:rsidRDefault="00E60E70" w:rsidP="00345763">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7FCD513F" w14:textId="09BA9C6D" w:rsidR="00E60E70" w:rsidRDefault="00E60E70" w:rsidP="00345763">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w:t>
      </w:r>
      <w:r w:rsidR="00603050">
        <w:t>e</w:t>
      </w:r>
      <w:r>
        <w:t xml:space="preserve"> approval letter, or the entire period of provisional registration, whichever is longer.</w:t>
      </w:r>
    </w:p>
    <w:p w14:paraId="4073D913" w14:textId="53FD901D" w:rsidR="00E60E70" w:rsidRDefault="00E60E70" w:rsidP="00345763">
      <w:pPr>
        <w:pStyle w:val="ListBullet"/>
        <w:numPr>
          <w:ilvl w:val="0"/>
          <w:numId w:val="0"/>
        </w:numPr>
        <w:ind w:left="360"/>
      </w:pPr>
      <w:r>
        <w:t xml:space="preserve">The reports are to at least meet the requirements for PSURs as described in the European Medicines Agency’s Guideline on </w:t>
      </w:r>
      <w:r w:rsidR="00603050">
        <w:t>G</w:t>
      </w:r>
      <w:r>
        <w:t xml:space="preserve">ood </w:t>
      </w:r>
      <w:r w:rsidR="00603050">
        <w:t>P</w:t>
      </w:r>
      <w:r>
        <w:t xml:space="preserve">harmacovigilance </w:t>
      </w:r>
      <w:r w:rsidR="00603050">
        <w:t>P</w:t>
      </w:r>
      <w:r>
        <w:t xml:space="preserve">ractices (GVP) Module VII periodic safety update report (Rev 1), Part VII.B Structures and processes. </w:t>
      </w:r>
      <w:r>
        <w:lastRenderedPageBreak/>
        <w:t>Note that submission of a PSUR does not constitute an application to vary the registration. Each report must have been prepared within ninety calendar days of the data lock point for that report.</w:t>
      </w:r>
    </w:p>
    <w:p w14:paraId="1F1221A6" w14:textId="2ECF7B65" w:rsidR="00E60E70" w:rsidRDefault="00E60E70" w:rsidP="00345763">
      <w:pPr>
        <w:pStyle w:val="ListBullet"/>
        <w:numPr>
          <w:ilvl w:val="0"/>
          <w:numId w:val="0"/>
        </w:numPr>
        <w:ind w:left="360"/>
      </w:pPr>
      <w:r>
        <w:t xml:space="preserve">Additional to the routine submission of the routine PSURs, expedited monthly </w:t>
      </w:r>
      <w:proofErr w:type="spellStart"/>
      <w:r>
        <w:t>Nuvaxovid</w:t>
      </w:r>
      <w:proofErr w:type="spellEnd"/>
      <w:r>
        <w:t xml:space="preserve"> COVID-19 Vaccine (adjuvanted) safety summary reports (including both global safety data and safety data for patients in Australia) are to be provided for the first 6 months post registration, and thereafter at intervals specified by the TGA.</w:t>
      </w:r>
    </w:p>
    <w:p w14:paraId="4F21EF91" w14:textId="2796D4F1" w:rsidR="00E60E70" w:rsidRDefault="00E60E70" w:rsidP="00345763">
      <w:pPr>
        <w:pStyle w:val="ListBullet"/>
        <w:numPr>
          <w:ilvl w:val="0"/>
          <w:numId w:val="0"/>
        </w:numPr>
        <w:ind w:left="360"/>
      </w:pPr>
      <w:proofErr w:type="spellStart"/>
      <w:r>
        <w:t>Nuvaxovid</w:t>
      </w:r>
      <w:proofErr w:type="spellEnd"/>
      <w:r>
        <w:t xml:space="preserve"> COVID-19 Vaccine (adjuvanted) is to be included in the Black Triangle Scheme. The PI and CMI for </w:t>
      </w:r>
      <w:proofErr w:type="spellStart"/>
      <w:r>
        <w:t>Nuvaxovid</w:t>
      </w:r>
      <w:proofErr w:type="spellEnd"/>
      <w:r>
        <w:t xml:space="preserve"> COVID-19 Vaccine (adjuvanted) must include the black triangle symbol and mandatory accompanying text for the products entire period of provisional registration.</w:t>
      </w:r>
    </w:p>
    <w:p w14:paraId="6073D6E6" w14:textId="191F1C27" w:rsidR="00603050" w:rsidRDefault="00603050" w:rsidP="00345763">
      <w:pPr>
        <w:pStyle w:val="ListBullet"/>
      </w:pPr>
      <w:r>
        <w:t xml:space="preserve">Clinical </w:t>
      </w:r>
      <w:r w:rsidR="00C33B23">
        <w:t>c</w:t>
      </w:r>
      <w:r>
        <w:t>onditions</w:t>
      </w:r>
    </w:p>
    <w:p w14:paraId="7BE464AC" w14:textId="03F723D5" w:rsidR="00E31347" w:rsidRDefault="00E31347" w:rsidP="00345763">
      <w:pPr>
        <w:pStyle w:val="ListBullet"/>
        <w:numPr>
          <w:ilvl w:val="0"/>
          <w:numId w:val="0"/>
        </w:numPr>
        <w:ind w:left="360"/>
      </w:pPr>
      <w:r>
        <w:t>The following reports/data must be submitted to the TGA by the dates set out in the table below:</w:t>
      </w:r>
    </w:p>
    <w:tbl>
      <w:tblPr>
        <w:tblStyle w:val="TableGrid"/>
        <w:tblW w:w="0" w:type="auto"/>
        <w:tblInd w:w="360" w:type="dxa"/>
        <w:tblLook w:val="04A0" w:firstRow="1" w:lastRow="0" w:firstColumn="1" w:lastColumn="0" w:noHBand="0" w:noVBand="1"/>
      </w:tblPr>
      <w:tblGrid>
        <w:gridCol w:w="2710"/>
        <w:gridCol w:w="2722"/>
        <w:gridCol w:w="2702"/>
      </w:tblGrid>
      <w:tr w:rsidR="00603050" w14:paraId="737A38E4" w14:textId="77777777" w:rsidTr="00D21961">
        <w:tc>
          <w:tcPr>
            <w:tcW w:w="2710" w:type="dxa"/>
          </w:tcPr>
          <w:p w14:paraId="13C8CBAC" w14:textId="486DC798" w:rsidR="00603050" w:rsidRPr="00E31347" w:rsidRDefault="00603050" w:rsidP="00345763">
            <w:pPr>
              <w:pStyle w:val="ListBullet"/>
              <w:numPr>
                <w:ilvl w:val="0"/>
                <w:numId w:val="0"/>
              </w:numPr>
            </w:pPr>
            <w:r w:rsidRPr="00E31347">
              <w:t>Study Number</w:t>
            </w:r>
          </w:p>
        </w:tc>
        <w:tc>
          <w:tcPr>
            <w:tcW w:w="2722" w:type="dxa"/>
          </w:tcPr>
          <w:p w14:paraId="193A4FAB" w14:textId="0C0E39A7" w:rsidR="00603050" w:rsidRPr="00E31347" w:rsidRDefault="00603050" w:rsidP="00345763">
            <w:pPr>
              <w:pStyle w:val="ListBullet"/>
              <w:numPr>
                <w:ilvl w:val="0"/>
                <w:numId w:val="0"/>
              </w:numPr>
            </w:pPr>
            <w:r w:rsidRPr="00E31347">
              <w:t>Date when next interim clinical study report will be available</w:t>
            </w:r>
          </w:p>
        </w:tc>
        <w:tc>
          <w:tcPr>
            <w:tcW w:w="2702" w:type="dxa"/>
          </w:tcPr>
          <w:p w14:paraId="6D0EFFDA" w14:textId="4ED43F27" w:rsidR="00603050" w:rsidRPr="00E31347" w:rsidRDefault="00603050" w:rsidP="00345763">
            <w:pPr>
              <w:pStyle w:val="ListBullet"/>
              <w:numPr>
                <w:ilvl w:val="0"/>
                <w:numId w:val="0"/>
              </w:numPr>
            </w:pPr>
            <w:r w:rsidRPr="00E31347">
              <w:t>Date when final clinical study report will be available</w:t>
            </w:r>
          </w:p>
        </w:tc>
      </w:tr>
      <w:tr w:rsidR="00603050" w14:paraId="2C6E50F6" w14:textId="77777777" w:rsidTr="00D21961">
        <w:tc>
          <w:tcPr>
            <w:tcW w:w="2710" w:type="dxa"/>
          </w:tcPr>
          <w:p w14:paraId="32E575D8" w14:textId="403B93F8" w:rsidR="00603050" w:rsidRDefault="00603050" w:rsidP="00345763">
            <w:pPr>
              <w:pStyle w:val="ListBullet"/>
              <w:numPr>
                <w:ilvl w:val="0"/>
                <w:numId w:val="0"/>
              </w:numPr>
            </w:pPr>
            <w:r>
              <w:t>2019nCoV-101 Part 1</w:t>
            </w:r>
          </w:p>
        </w:tc>
        <w:tc>
          <w:tcPr>
            <w:tcW w:w="2722" w:type="dxa"/>
          </w:tcPr>
          <w:p w14:paraId="27E6B26B" w14:textId="23FFAB49" w:rsidR="00603050" w:rsidRDefault="00603050" w:rsidP="00345763">
            <w:pPr>
              <w:pStyle w:val="ListBullet"/>
              <w:numPr>
                <w:ilvl w:val="0"/>
                <w:numId w:val="0"/>
              </w:numPr>
            </w:pPr>
            <w:r>
              <w:t>Not applicable</w:t>
            </w:r>
          </w:p>
        </w:tc>
        <w:tc>
          <w:tcPr>
            <w:tcW w:w="2702" w:type="dxa"/>
          </w:tcPr>
          <w:p w14:paraId="58576945" w14:textId="3B225B3A" w:rsidR="00603050" w:rsidRDefault="00D21961" w:rsidP="00345763">
            <w:pPr>
              <w:pStyle w:val="ListBullet"/>
              <w:numPr>
                <w:ilvl w:val="0"/>
                <w:numId w:val="0"/>
              </w:numPr>
            </w:pPr>
            <w:r>
              <w:t>First quarter of 2022</w:t>
            </w:r>
          </w:p>
        </w:tc>
      </w:tr>
      <w:tr w:rsidR="00603050" w14:paraId="068142C1" w14:textId="77777777" w:rsidTr="00D21961">
        <w:tc>
          <w:tcPr>
            <w:tcW w:w="2710" w:type="dxa"/>
          </w:tcPr>
          <w:p w14:paraId="1F24BF7E" w14:textId="47125269" w:rsidR="00603050" w:rsidRDefault="00603050" w:rsidP="00345763">
            <w:pPr>
              <w:pStyle w:val="ListBullet"/>
              <w:numPr>
                <w:ilvl w:val="0"/>
                <w:numId w:val="0"/>
              </w:numPr>
            </w:pPr>
            <w:r>
              <w:t>2019nCoV-101 Part 2</w:t>
            </w:r>
          </w:p>
        </w:tc>
        <w:tc>
          <w:tcPr>
            <w:tcW w:w="2722" w:type="dxa"/>
          </w:tcPr>
          <w:p w14:paraId="5FD2FB3F" w14:textId="39D2320E" w:rsidR="00603050" w:rsidRDefault="00603050" w:rsidP="00345763">
            <w:pPr>
              <w:pStyle w:val="ListBullet"/>
              <w:numPr>
                <w:ilvl w:val="0"/>
                <w:numId w:val="0"/>
              </w:numPr>
            </w:pPr>
            <w:r>
              <w:t>First quarter of 2022 (Day 217 data – including booster with third dose at Day 189)</w:t>
            </w:r>
          </w:p>
        </w:tc>
        <w:tc>
          <w:tcPr>
            <w:tcW w:w="2702" w:type="dxa"/>
          </w:tcPr>
          <w:p w14:paraId="3BFD7BC0" w14:textId="0DA658B3" w:rsidR="00603050" w:rsidRDefault="00D21961" w:rsidP="00345763">
            <w:pPr>
              <w:pStyle w:val="ListBullet"/>
              <w:numPr>
                <w:ilvl w:val="0"/>
                <w:numId w:val="0"/>
              </w:numPr>
            </w:pPr>
            <w:r>
              <w:t>Fourth quarter of 2022</w:t>
            </w:r>
          </w:p>
        </w:tc>
      </w:tr>
      <w:tr w:rsidR="00603050" w14:paraId="259F4CD3" w14:textId="77777777" w:rsidTr="00D21961">
        <w:tc>
          <w:tcPr>
            <w:tcW w:w="2710" w:type="dxa"/>
          </w:tcPr>
          <w:p w14:paraId="27EA9CF6" w14:textId="117C704E" w:rsidR="00603050" w:rsidRDefault="00603050" w:rsidP="00345763">
            <w:pPr>
              <w:pStyle w:val="ListBullet"/>
              <w:numPr>
                <w:ilvl w:val="0"/>
                <w:numId w:val="0"/>
              </w:numPr>
            </w:pPr>
            <w:r>
              <w:t>2019CoV-501</w:t>
            </w:r>
          </w:p>
        </w:tc>
        <w:tc>
          <w:tcPr>
            <w:tcW w:w="2722" w:type="dxa"/>
          </w:tcPr>
          <w:p w14:paraId="40997606" w14:textId="77777777" w:rsidR="00603050" w:rsidRDefault="00603050" w:rsidP="00345763">
            <w:pPr>
              <w:pStyle w:val="ListBullet"/>
              <w:numPr>
                <w:ilvl w:val="0"/>
                <w:numId w:val="0"/>
              </w:numPr>
            </w:pPr>
            <w:r>
              <w:t>First quarter of 2022 (Day 236 data – including booster with third dose at Day 201 in about 1500 participants)</w:t>
            </w:r>
          </w:p>
          <w:p w14:paraId="6E9461B5" w14:textId="0ED30850" w:rsidR="00603050" w:rsidRDefault="00603050" w:rsidP="00345763">
            <w:pPr>
              <w:pStyle w:val="ListBullet"/>
              <w:numPr>
                <w:ilvl w:val="0"/>
                <w:numId w:val="0"/>
              </w:numPr>
            </w:pPr>
            <w:r>
              <w:t>Second quarter of 2022 (6 month data in all participants)</w:t>
            </w:r>
          </w:p>
        </w:tc>
        <w:tc>
          <w:tcPr>
            <w:tcW w:w="2702" w:type="dxa"/>
          </w:tcPr>
          <w:p w14:paraId="4D753C83" w14:textId="5A90B89A" w:rsidR="00603050" w:rsidRDefault="00D21961" w:rsidP="00345763">
            <w:pPr>
              <w:pStyle w:val="ListBullet"/>
              <w:numPr>
                <w:ilvl w:val="0"/>
                <w:numId w:val="0"/>
              </w:numPr>
            </w:pPr>
            <w:r>
              <w:t>Fourth quarter of 2022</w:t>
            </w:r>
          </w:p>
        </w:tc>
      </w:tr>
      <w:tr w:rsidR="00603050" w14:paraId="3F1A5404" w14:textId="77777777" w:rsidTr="00D21961">
        <w:tc>
          <w:tcPr>
            <w:tcW w:w="2710" w:type="dxa"/>
          </w:tcPr>
          <w:p w14:paraId="6B530F52" w14:textId="28178383" w:rsidR="00603050" w:rsidRDefault="00603050" w:rsidP="00345763">
            <w:pPr>
              <w:pStyle w:val="ListBullet"/>
              <w:numPr>
                <w:ilvl w:val="0"/>
                <w:numId w:val="0"/>
              </w:numPr>
            </w:pPr>
            <w:r>
              <w:t>2019nCoV-302</w:t>
            </w:r>
          </w:p>
        </w:tc>
        <w:tc>
          <w:tcPr>
            <w:tcW w:w="2722" w:type="dxa"/>
          </w:tcPr>
          <w:p w14:paraId="6C7FA05E" w14:textId="68AE4DF2" w:rsidR="00603050" w:rsidRDefault="00603050" w:rsidP="00345763">
            <w:pPr>
              <w:pStyle w:val="ListBullet"/>
              <w:numPr>
                <w:ilvl w:val="0"/>
                <w:numId w:val="0"/>
              </w:numPr>
            </w:pPr>
            <w:r>
              <w:t>Second quarter of 2022 (6 month data in all participants)</w:t>
            </w:r>
          </w:p>
        </w:tc>
        <w:tc>
          <w:tcPr>
            <w:tcW w:w="2702" w:type="dxa"/>
          </w:tcPr>
          <w:p w14:paraId="77381F6B" w14:textId="384EB59A" w:rsidR="00603050" w:rsidRDefault="00D21961" w:rsidP="00345763">
            <w:pPr>
              <w:pStyle w:val="ListBullet"/>
              <w:numPr>
                <w:ilvl w:val="0"/>
                <w:numId w:val="0"/>
              </w:numPr>
            </w:pPr>
            <w:r>
              <w:t>Fourth quarter of 2022</w:t>
            </w:r>
          </w:p>
        </w:tc>
      </w:tr>
      <w:tr w:rsidR="00603050" w14:paraId="4F2D8C86" w14:textId="77777777" w:rsidTr="00D21961">
        <w:tc>
          <w:tcPr>
            <w:tcW w:w="2710" w:type="dxa"/>
          </w:tcPr>
          <w:p w14:paraId="7015F8F0" w14:textId="73D20BC7" w:rsidR="00603050" w:rsidRDefault="00603050" w:rsidP="00345763">
            <w:pPr>
              <w:pStyle w:val="ListBullet"/>
              <w:numPr>
                <w:ilvl w:val="0"/>
                <w:numId w:val="0"/>
              </w:numPr>
            </w:pPr>
            <w:r>
              <w:t>2019nCoV-301</w:t>
            </w:r>
          </w:p>
        </w:tc>
        <w:tc>
          <w:tcPr>
            <w:tcW w:w="2722" w:type="dxa"/>
          </w:tcPr>
          <w:p w14:paraId="15FC0713" w14:textId="6F469A92" w:rsidR="00603050" w:rsidRDefault="00603050" w:rsidP="00345763">
            <w:pPr>
              <w:pStyle w:val="ListBullet"/>
              <w:numPr>
                <w:ilvl w:val="0"/>
                <w:numId w:val="0"/>
              </w:numPr>
            </w:pPr>
            <w:r>
              <w:t>Second quarter of 2022 (6 month data in all participants)</w:t>
            </w:r>
          </w:p>
        </w:tc>
        <w:tc>
          <w:tcPr>
            <w:tcW w:w="2702" w:type="dxa"/>
          </w:tcPr>
          <w:p w14:paraId="00A82F5C" w14:textId="0A99D3E4" w:rsidR="00603050" w:rsidRDefault="00D21961" w:rsidP="00345763">
            <w:pPr>
              <w:pStyle w:val="ListBullet"/>
              <w:numPr>
                <w:ilvl w:val="0"/>
                <w:numId w:val="0"/>
              </w:numPr>
            </w:pPr>
            <w:r>
              <w:t>Third quarter of 2023</w:t>
            </w:r>
          </w:p>
        </w:tc>
      </w:tr>
    </w:tbl>
    <w:p w14:paraId="1BD526C4" w14:textId="42D32A67" w:rsidR="00D21961" w:rsidRDefault="00D21961" w:rsidP="00345763">
      <w:pPr>
        <w:pStyle w:val="ListBullet2"/>
      </w:pPr>
      <w:r>
        <w:t>The sponsor must investigate the need for a booster dose and submit data when available.</w:t>
      </w:r>
    </w:p>
    <w:p w14:paraId="4B6CEEE6" w14:textId="24ED9B9E" w:rsidR="00D21961" w:rsidRDefault="00D21961" w:rsidP="00345763">
      <w:pPr>
        <w:pStyle w:val="ListBullet2"/>
      </w:pPr>
      <w:r>
        <w:t>The sponsor must perform investigations on identifying an immunological correlate of protection.</w:t>
      </w:r>
    </w:p>
    <w:p w14:paraId="35FCD178" w14:textId="7DF625B5" w:rsidR="00D21961" w:rsidRDefault="00D21961" w:rsidP="00345763">
      <w:pPr>
        <w:pStyle w:val="ListBullet2"/>
      </w:pPr>
      <w:r>
        <w:t>The sponsor must investigate and provide results on the ability of the vaccine to neutralise emerging SARS-CoV-2 variants of concern.</w:t>
      </w:r>
    </w:p>
    <w:p w14:paraId="01E42C31" w14:textId="7E3CD583" w:rsidR="00D21961" w:rsidRDefault="00D21961" w:rsidP="00345763">
      <w:pPr>
        <w:pStyle w:val="ListBullet2"/>
      </w:pPr>
      <w:r>
        <w:t>The sponsor must provide real world post market global/local efficacy data, when available.</w:t>
      </w:r>
    </w:p>
    <w:p w14:paraId="316F59A9" w14:textId="23402107" w:rsidR="00603050" w:rsidRDefault="00D21961" w:rsidP="00345763">
      <w:pPr>
        <w:pStyle w:val="ListBullet2"/>
      </w:pPr>
      <w:r>
        <w:lastRenderedPageBreak/>
        <w:t>Studies addressing important safety concerns/important missing information (use in immunocompromised individual, pregnant women) must be submitted. However, this should be submitted as additional submissions, not as ‘conditions of original submission’.</w:t>
      </w:r>
    </w:p>
    <w:p w14:paraId="6E3FDFC8" w14:textId="5987B52B" w:rsidR="00D21961" w:rsidRDefault="00D21961" w:rsidP="00345763">
      <w:pPr>
        <w:pStyle w:val="ListBullet"/>
      </w:pPr>
      <w:r>
        <w:t xml:space="preserve">Quality </w:t>
      </w:r>
      <w:r w:rsidR="00C33B23">
        <w:t>c</w:t>
      </w:r>
      <w:r>
        <w:t>onditions</w:t>
      </w:r>
    </w:p>
    <w:p w14:paraId="2EE800B5" w14:textId="56C4464C" w:rsidR="00D21961" w:rsidRDefault="00D21961" w:rsidP="00345763">
      <w:pPr>
        <w:pStyle w:val="ListBullet2"/>
      </w:pPr>
      <w:r>
        <w:t>Medicine labels</w:t>
      </w:r>
    </w:p>
    <w:p w14:paraId="00032185" w14:textId="4DB818E9" w:rsidR="00D21961" w:rsidRDefault="00D21961" w:rsidP="009B3EEE">
      <w:pPr>
        <w:pStyle w:val="Numberbullett2a"/>
      </w:pPr>
      <w:r>
        <w:t>a)The medicines must not be supplied with labels other than the labels:</w:t>
      </w:r>
    </w:p>
    <w:p w14:paraId="72DE00B8" w14:textId="482F0693" w:rsidR="00D21961" w:rsidRDefault="00D21961" w:rsidP="00345763">
      <w:pPr>
        <w:pStyle w:val="ListBullet3"/>
      </w:pPr>
      <w:proofErr w:type="spellStart"/>
      <w:r>
        <w:t>i</w:t>
      </w:r>
      <w:proofErr w:type="spellEnd"/>
      <w:r>
        <w:t>. that were considered and agreed to as part of the s.25 provisional registration decision, i.e. the labels referred to in the category 1 application and email from sponsor dated third quarter of 2021; or</w:t>
      </w:r>
    </w:p>
    <w:p w14:paraId="10FB126E" w14:textId="178EA146" w:rsidR="00D21961" w:rsidRDefault="00D21961" w:rsidP="00345763">
      <w:pPr>
        <w:pStyle w:val="ListBullet3"/>
      </w:pPr>
      <w:r>
        <w:t>ii. that are approved following a request to vary the entry in the Register under section 9D of the Act.</w:t>
      </w:r>
    </w:p>
    <w:p w14:paraId="7EC3F69B" w14:textId="170442C1" w:rsidR="00D21961" w:rsidRDefault="00D21961" w:rsidP="009B3EEE">
      <w:pPr>
        <w:pStyle w:val="Numberbullett2a"/>
      </w:pPr>
      <w:r>
        <w:t>b) The sponsor will develop Australian-specific labels for the medicines, that conform with all relevant Australian labelling requirements, and will take all reasonable steps to implement such labelling before the end of the provisional registration period for the medicine (noting that, consistent with paragraph 28(5)(</w:t>
      </w:r>
      <w:proofErr w:type="spellStart"/>
      <w:r>
        <w:t>aaa</w:t>
      </w:r>
      <w:proofErr w:type="spellEnd"/>
      <w:r>
        <w:t>) of the Act, changes to such matters as labels that have been agreed to as part of an evaluation under section 25 of the Act may only occur following submission under section 9D of a 'variation' application and approval by the TGA).</w:t>
      </w:r>
    </w:p>
    <w:p w14:paraId="42C9A6E1" w14:textId="46123FA6" w:rsidR="00D21961" w:rsidRDefault="00D21961" w:rsidP="009B3EEE">
      <w:pPr>
        <w:pStyle w:val="Numberbullett2a"/>
      </w:pPr>
      <w:r>
        <w:t>c) The sponsor will provide information to the TGA on the proposed strategies and planned timelines for Australian dedicated supplies, as soon as possible, and no later than first quarter of 2024.</w:t>
      </w:r>
    </w:p>
    <w:p w14:paraId="54FD1E0B" w14:textId="79E39C99" w:rsidR="00D21961" w:rsidRDefault="00D21961" w:rsidP="00345763">
      <w:pPr>
        <w:pStyle w:val="ListBullet"/>
      </w:pPr>
      <w:r>
        <w:t>GMP clearance for listed manufacturers: the sponsor must maintain the validity of all manufacturer GMP Clearances for the duration of product supply to Australia. Additionally, the conditions of GMP Clearance approval must be complied with at all times.</w:t>
      </w:r>
    </w:p>
    <w:p w14:paraId="4520AE87" w14:textId="006111CE" w:rsidR="00D21961" w:rsidRDefault="00D21961" w:rsidP="00345763">
      <w:pPr>
        <w:pStyle w:val="ListBullet"/>
      </w:pPr>
      <w:r>
        <w:t>Post-approval stability protocol and stability commitment: The manufacturer must continue the ongoing stability studies presented in the stability studies protocol. Additionally, 1 batch of drug product per year must be placed on long term stability program and on accelerated stability testing where significant changes are made to the manufacturing process. The manufacturer must communicate any out of specifications stability test results to the TGA.</w:t>
      </w:r>
    </w:p>
    <w:p w14:paraId="44CC943A" w14:textId="77777777" w:rsidR="00E31347" w:rsidRDefault="00D21961" w:rsidP="00345763">
      <w:pPr>
        <w:pStyle w:val="ListBullet"/>
      </w:pPr>
      <w:r>
        <w:t>Stability (drug product)</w:t>
      </w:r>
    </w:p>
    <w:p w14:paraId="36B899C2" w14:textId="41D12BDD" w:rsidR="00E31347" w:rsidRDefault="00D21961" w:rsidP="00345763">
      <w:pPr>
        <w:pStyle w:val="ListBullet"/>
        <w:numPr>
          <w:ilvl w:val="0"/>
          <w:numId w:val="0"/>
        </w:numPr>
        <w:ind w:left="360"/>
      </w:pPr>
      <w:r w:rsidRPr="00E31347">
        <w:t xml:space="preserve">The </w:t>
      </w:r>
      <w:r w:rsidR="00E31347">
        <w:t>s</w:t>
      </w:r>
      <w:r w:rsidRPr="00E31347">
        <w:t>ponsor must provide updated statistical results of long-term stability data</w:t>
      </w:r>
      <w:r w:rsidR="00E31347">
        <w:t xml:space="preserve"> </w:t>
      </w:r>
      <w:r>
        <w:t>for process validation (PV) and clinical stability batches as they become available</w:t>
      </w:r>
      <w:r w:rsidR="00E31347">
        <w:t xml:space="preserve"> </w:t>
      </w:r>
      <w:r>
        <w:t>to further support 6 months storage at 2</w:t>
      </w:r>
      <w:r w:rsidR="00E31347">
        <w:t xml:space="preserve"> to </w:t>
      </w:r>
      <w:r>
        <w:t>8°C with real-time stability data.</w:t>
      </w:r>
    </w:p>
    <w:p w14:paraId="17A57F53" w14:textId="1816E753" w:rsidR="00E31347" w:rsidRDefault="00D21961" w:rsidP="00345763">
      <w:pPr>
        <w:pStyle w:val="ListBullet"/>
        <w:numPr>
          <w:ilvl w:val="0"/>
          <w:numId w:val="0"/>
        </w:numPr>
        <w:ind w:left="360"/>
      </w:pPr>
      <w:r>
        <w:t xml:space="preserve">NOTE: As per TGA guidelines, the </w:t>
      </w:r>
      <w:r w:rsidR="00E31347">
        <w:t>s</w:t>
      </w:r>
      <w:r>
        <w:t>ponsor should submit a formal (Category</w:t>
      </w:r>
      <w:r w:rsidR="00E31347">
        <w:t xml:space="preserve"> </w:t>
      </w:r>
      <w:r>
        <w:t>3) application along with the supporting real-time (long-term) stability data</w:t>
      </w:r>
      <w:r w:rsidR="00E31347">
        <w:t xml:space="preserve"> </w:t>
      </w:r>
      <w:r>
        <w:t>for evaluation for any proposed extension to the shelf life post-provisional</w:t>
      </w:r>
      <w:r w:rsidR="00E31347">
        <w:t xml:space="preserve"> </w:t>
      </w:r>
      <w:r>
        <w:t>registration approval.</w:t>
      </w:r>
    </w:p>
    <w:p w14:paraId="1D6A6F83" w14:textId="09F84A97" w:rsidR="00E31347" w:rsidRDefault="00D21961" w:rsidP="00345763">
      <w:pPr>
        <w:pStyle w:val="ListBullet"/>
        <w:numPr>
          <w:ilvl w:val="0"/>
          <w:numId w:val="0"/>
        </w:numPr>
        <w:ind w:left="360"/>
      </w:pPr>
      <w:r>
        <w:t xml:space="preserve">The </w:t>
      </w:r>
      <w:r w:rsidR="00E31347">
        <w:t>s</w:t>
      </w:r>
      <w:r>
        <w:t>ponsor must provide updated protein concentration results for clinical</w:t>
      </w:r>
      <w:r w:rsidR="00E31347">
        <w:t xml:space="preserve"> </w:t>
      </w:r>
      <w:r>
        <w:t xml:space="preserve">long-term stability batches </w:t>
      </w:r>
      <w:r w:rsidR="00FE396D">
        <w:t>[Information redacted]</w:t>
      </w:r>
      <w:r>
        <w:t xml:space="preserve"> together with the investigation</w:t>
      </w:r>
      <w:r w:rsidR="00E31347">
        <w:t xml:space="preserve"> </w:t>
      </w:r>
      <w:r>
        <w:t>report into the observed atypical protein concentration results when the report</w:t>
      </w:r>
      <w:r w:rsidR="00E31347">
        <w:t xml:space="preserve"> </w:t>
      </w:r>
      <w:r>
        <w:t>became available.</w:t>
      </w:r>
    </w:p>
    <w:p w14:paraId="26F4B0ED" w14:textId="75637F04" w:rsidR="00D21961" w:rsidRDefault="00D21961" w:rsidP="00345763">
      <w:pPr>
        <w:pStyle w:val="ListBullet"/>
        <w:numPr>
          <w:ilvl w:val="0"/>
          <w:numId w:val="0"/>
        </w:numPr>
        <w:ind w:left="360"/>
      </w:pPr>
      <w:r>
        <w:t xml:space="preserve">The </w:t>
      </w:r>
      <w:r w:rsidR="00E31347">
        <w:t>s</w:t>
      </w:r>
      <w:r>
        <w:t>ponsor must provide commitment to review and update the stability testing</w:t>
      </w:r>
      <w:r w:rsidR="00E31347">
        <w:t xml:space="preserve"> </w:t>
      </w:r>
      <w:r>
        <w:t xml:space="preserve">parameters to include </w:t>
      </w:r>
      <w:r w:rsidR="00E31347">
        <w:t>s</w:t>
      </w:r>
      <w:r>
        <w:t xml:space="preserve">aponin integrity and </w:t>
      </w:r>
      <w:r w:rsidR="00E31347">
        <w:t>p</w:t>
      </w:r>
      <w:r>
        <w:t>article size by dynamic light</w:t>
      </w:r>
      <w:r w:rsidR="00E31347">
        <w:t xml:space="preserve"> </w:t>
      </w:r>
      <w:r>
        <w:t>scattering (DLS).</w:t>
      </w:r>
    </w:p>
    <w:p w14:paraId="050CAA14" w14:textId="122D40CB" w:rsidR="00E31347" w:rsidRDefault="00E31347" w:rsidP="00345763">
      <w:pPr>
        <w:pStyle w:val="ListBullet"/>
      </w:pPr>
      <w:r>
        <w:lastRenderedPageBreak/>
        <w:t>The sponsor must not supply any batches that have a temperature deviation during shipment.</w:t>
      </w:r>
    </w:p>
    <w:p w14:paraId="5733C213" w14:textId="4CD584D8" w:rsidR="00E31347" w:rsidRDefault="00E31347" w:rsidP="00345763">
      <w:pPr>
        <w:pStyle w:val="ListBullet"/>
      </w:pPr>
      <w:r>
        <w:t xml:space="preserve">Batch </w:t>
      </w:r>
      <w:r w:rsidR="00C33B23">
        <w:t>r</w:t>
      </w:r>
      <w:r>
        <w:t xml:space="preserve">elease </w:t>
      </w:r>
      <w:r w:rsidR="00C33B23">
        <w:t>t</w:t>
      </w:r>
      <w:r>
        <w:t xml:space="preserve">esting and </w:t>
      </w:r>
      <w:r w:rsidR="00C33B23">
        <w:t>c</w:t>
      </w:r>
      <w:r>
        <w:t>ompliance</w:t>
      </w:r>
    </w:p>
    <w:p w14:paraId="4CA4CCC0" w14:textId="57F8C362" w:rsidR="00E31347" w:rsidRDefault="00E31347" w:rsidP="00345763">
      <w:pPr>
        <w:pStyle w:val="ListBullet"/>
        <w:numPr>
          <w:ilvl w:val="0"/>
          <w:numId w:val="0"/>
        </w:numPr>
        <w:ind w:left="360"/>
      </w:pPr>
      <w:r>
        <w:t xml:space="preserve">Independent batches of </w:t>
      </w:r>
      <w:proofErr w:type="spellStart"/>
      <w:r w:rsidR="00FE396D">
        <w:t>Nuvaxovid</w:t>
      </w:r>
      <w:proofErr w:type="spellEnd"/>
      <w:r>
        <w:t xml:space="preserve"> (SARS-CoV-2 </w:t>
      </w:r>
      <w:proofErr w:type="spellStart"/>
      <w:r>
        <w:t>rS</w:t>
      </w:r>
      <w:proofErr w:type="spellEnd"/>
      <w:r>
        <w:t xml:space="preserve"> [NVX-CoV2373]) COVID-19 vaccine imported into Australia must not be released for sale until samples and the manufacturer’s release data have been assessed and </w:t>
      </w:r>
      <w:r w:rsidR="00FE396D">
        <w:t>sponsor</w:t>
      </w:r>
      <w:r>
        <w:t xml:space="preserve"> have received notification acknowledging release from the Laboratories Branch, TGA.</w:t>
      </w:r>
    </w:p>
    <w:p w14:paraId="30FF36FF" w14:textId="35C57F1D" w:rsidR="00E31347" w:rsidRDefault="00E31347" w:rsidP="00345763">
      <w:pPr>
        <w:pStyle w:val="ListBullet"/>
        <w:numPr>
          <w:ilvl w:val="0"/>
          <w:numId w:val="0"/>
        </w:numPr>
        <w:ind w:left="360"/>
      </w:pPr>
      <w:r>
        <w:t xml:space="preserve">For each independent batch of the product imported into Australia, the </w:t>
      </w:r>
      <w:r w:rsidR="00FE396D">
        <w:t>s</w:t>
      </w:r>
      <w:r>
        <w:t>ponsor must supply the following:</w:t>
      </w:r>
    </w:p>
    <w:p w14:paraId="49EDA795" w14:textId="72D9F65B" w:rsidR="00E31347" w:rsidRDefault="00E31347" w:rsidP="00345763">
      <w:pPr>
        <w:pStyle w:val="ListBullet2"/>
      </w:pPr>
      <w:r>
        <w:t>A completed Request for Release Form, available from vaccines@health.gov.au.</w:t>
      </w:r>
    </w:p>
    <w:p w14:paraId="48FA8EB9" w14:textId="09FB35FD" w:rsidR="00E31347" w:rsidRDefault="00E31347" w:rsidP="00345763">
      <w:pPr>
        <w:pStyle w:val="ListBullet2"/>
      </w:pPr>
      <w:r>
        <w:t>Complete summary protocols for manufacture and QC, including all steps in production in the agreed format.</w:t>
      </w:r>
    </w:p>
    <w:p w14:paraId="3705705A" w14:textId="54D188AA" w:rsidR="00E31347" w:rsidRDefault="00E31347" w:rsidP="00345763">
      <w:pPr>
        <w:pStyle w:val="ListBullet2"/>
      </w:pPr>
      <w:r>
        <w:t xml:space="preserve">At least a 2 mL sample (as at least 4 × 500 </w:t>
      </w:r>
      <w:proofErr w:type="spellStart"/>
      <w:r>
        <w:t>μL</w:t>
      </w:r>
      <w:proofErr w:type="spellEnd"/>
      <w:r>
        <w:t xml:space="preserve"> aliquots) of each bulk drug substance batch used in the manufacture of the given drug product batch.</w:t>
      </w:r>
    </w:p>
    <w:p w14:paraId="24C3D9C1" w14:textId="48874457" w:rsidR="00E31347" w:rsidRDefault="00E31347" w:rsidP="00345763">
      <w:pPr>
        <w:pStyle w:val="ListBullet2"/>
      </w:pPr>
      <w:r>
        <w:t xml:space="preserve">At least 20 (twenty) vials (samples) of each manufacturing batch of </w:t>
      </w:r>
      <w:proofErr w:type="spellStart"/>
      <w:r>
        <w:t>Nuvaxovid</w:t>
      </w:r>
      <w:proofErr w:type="spellEnd"/>
      <w:r>
        <w:t xml:space="preserve"> (SARS-CoV-2 </w:t>
      </w:r>
      <w:proofErr w:type="spellStart"/>
      <w:r>
        <w:t>rS</w:t>
      </w:r>
      <w:proofErr w:type="spellEnd"/>
      <w:r>
        <w:t xml:space="preserve"> [NVX-CoV2373]) COVID-19 vaccine with the Australian approved labels, PI and packaging (unless an exemption to supply these has been granted) representative of all batches of product seeking distribution in Australia.</w:t>
      </w:r>
    </w:p>
    <w:p w14:paraId="6D1B61D8" w14:textId="3D068DAB" w:rsidR="00E31347" w:rsidRDefault="00E31347" w:rsidP="00345763">
      <w:pPr>
        <w:pStyle w:val="ListBullet2"/>
      </w:pPr>
      <w:r>
        <w:t>At least 5 (five) vials (</w:t>
      </w:r>
      <w:r w:rsidR="00613B54">
        <w:t>s</w:t>
      </w:r>
      <w:r>
        <w:t xml:space="preserve">amples) of any further consignments of a manufacturing batch of </w:t>
      </w:r>
      <w:proofErr w:type="spellStart"/>
      <w:r>
        <w:t>Nuvaxovid</w:t>
      </w:r>
      <w:proofErr w:type="spellEnd"/>
      <w:r>
        <w:t xml:space="preserve"> (SARS-CoV-2 </w:t>
      </w:r>
      <w:proofErr w:type="spellStart"/>
      <w:r>
        <w:t>rS</w:t>
      </w:r>
      <w:proofErr w:type="spellEnd"/>
      <w:r>
        <w:t xml:space="preserve"> [NVX-CoV2373]) COVID-19 vaccine with the Australian approved labels, PI and packaging (unless an exemption to supply these has been granted). Further consignments cover batches previously supplied to TGA for the purposes of batch release testing but are seeking to be supplied again)</w:t>
      </w:r>
    </w:p>
    <w:p w14:paraId="6460F6F2" w14:textId="2C1AA4FE" w:rsidR="00E31347" w:rsidRDefault="00E31347" w:rsidP="00345763">
      <w:pPr>
        <w:pStyle w:val="ListBullet2"/>
      </w:pPr>
      <w:r>
        <w:t>If the manufacturing batch has been released in Europe or United Kingdom a copy of the EU Official Control Authority Batch Release (OCABR) certificate (or equivalent from the UK) must be provided.</w:t>
      </w:r>
    </w:p>
    <w:p w14:paraId="6779D2A6" w14:textId="771F0F5F" w:rsidR="00E31347" w:rsidRDefault="00E31347" w:rsidP="00345763">
      <w:pPr>
        <w:pStyle w:val="ListBullet2"/>
      </w:pPr>
      <w:r>
        <w:t>Any reagents, reference material and standards required to undertake testing, as requested by Laboratories Branch, TGA.</w:t>
      </w:r>
    </w:p>
    <w:p w14:paraId="73AEF777" w14:textId="78CB2E9D" w:rsidR="00E31347" w:rsidRDefault="00E31347" w:rsidP="00345763">
      <w:pPr>
        <w:pStyle w:val="ListBullet"/>
        <w:numPr>
          <w:ilvl w:val="0"/>
          <w:numId w:val="0"/>
        </w:numPr>
        <w:ind w:left="360"/>
      </w:pPr>
      <w:r>
        <w:t>Sponsors must provide all requested samples and data in sufficient time (at least 5 business days) prior to any distribution date to allow the TGA to perform testing and review.</w:t>
      </w:r>
    </w:p>
    <w:p w14:paraId="52D7C200" w14:textId="77A5E6C5" w:rsidR="00E31347" w:rsidRDefault="00E31347" w:rsidP="00345763">
      <w:pPr>
        <w:pStyle w:val="ListBullet"/>
        <w:numPr>
          <w:ilvl w:val="0"/>
          <w:numId w:val="0"/>
        </w:numPr>
        <w:ind w:left="360"/>
      </w:pPr>
      <w:r>
        <w:t>Distribution of each batch of vaccine is conditional upon fulfilment of these conditions and receipt of a letter from the Laboratories Branch acknowledging release.</w:t>
      </w:r>
    </w:p>
    <w:p w14:paraId="7D9D9F60" w14:textId="25C8415C" w:rsidR="00E31347" w:rsidRDefault="00E31347" w:rsidP="00345763">
      <w:pPr>
        <w:pStyle w:val="ListBullet"/>
        <w:numPr>
          <w:ilvl w:val="0"/>
          <w:numId w:val="0"/>
        </w:numPr>
        <w:ind w:left="360"/>
      </w:pPr>
      <w:r>
        <w:t>Samples and data should be forwarded to the Biotherapeutics Section, Laboratories Branch before release of each batch and with sufficient lead time to allow for Laboratories Branch testing.</w:t>
      </w:r>
    </w:p>
    <w:p w14:paraId="0E8037DF" w14:textId="575C3477" w:rsidR="00E31347" w:rsidRDefault="00E31347" w:rsidP="00345763">
      <w:pPr>
        <w:pStyle w:val="ListBullet"/>
        <w:numPr>
          <w:ilvl w:val="0"/>
          <w:numId w:val="0"/>
        </w:numPr>
        <w:ind w:left="360"/>
      </w:pPr>
      <w:r>
        <w:t>The shipments (including reagents) to TGA are the responsibility of the Australian sponsor/agent who will be required to facilitate the import and customs clearance process.</w:t>
      </w:r>
    </w:p>
    <w:p w14:paraId="644CBB86" w14:textId="77777777" w:rsidR="00E31347" w:rsidRPr="00E31347" w:rsidRDefault="00E31347" w:rsidP="00345763">
      <w:pPr>
        <w:pStyle w:val="ListBullet"/>
        <w:numPr>
          <w:ilvl w:val="0"/>
          <w:numId w:val="0"/>
        </w:numPr>
        <w:ind w:left="360"/>
      </w:pPr>
      <w:r w:rsidRPr="00E31347">
        <w:t>Certified Product Details</w:t>
      </w:r>
    </w:p>
    <w:p w14:paraId="07559B77" w14:textId="310D041D" w:rsidR="00E31347" w:rsidRPr="00D21961" w:rsidRDefault="00E31347" w:rsidP="00345763">
      <w:pPr>
        <w:pStyle w:val="ListBullet"/>
        <w:numPr>
          <w:ilvl w:val="0"/>
          <w:numId w:val="0"/>
        </w:numPr>
        <w:ind w:left="360"/>
      </w:pPr>
      <w:r>
        <w:t xml:space="preserve">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A template for preparation of CPD for </w:t>
      </w:r>
      <w:r>
        <w:lastRenderedPageBreak/>
        <w:t xml:space="preserve">biological prescription medicines and Vaccines can be obtained from the TGA website [https://www.tga.gov.au/form/certifiedproduct-details-cpd-biological-prescription-medicines]. The CPD should be sent as a single bookmarked PDF document to </w:t>
      </w:r>
      <w:r w:rsidR="00C33B23">
        <w:t>v</w:t>
      </w:r>
      <w:r>
        <w:t>accines@health.gov.au as soon as possible after registration/approval of the product or any subsequent changes as indicated above.</w:t>
      </w:r>
    </w:p>
    <w:p w14:paraId="563842C0" w14:textId="2115B581" w:rsidR="008E7846" w:rsidRDefault="00A80B5B" w:rsidP="00345763">
      <w:pPr>
        <w:pStyle w:val="Heading2"/>
        <w:keepNext w:val="0"/>
        <w:keepLines w:val="0"/>
      </w:pPr>
      <w:bookmarkStart w:id="115" w:name="_Toc93695201"/>
      <w:r>
        <w:t xml:space="preserve">Attachment 1. </w:t>
      </w:r>
      <w:r w:rsidR="008E7846">
        <w:t xml:space="preserve">Product </w:t>
      </w:r>
      <w:r w:rsidR="00AA0ED0">
        <w:t>I</w:t>
      </w:r>
      <w:r w:rsidR="008E7846">
        <w:t>nformation</w:t>
      </w:r>
      <w:bookmarkEnd w:id="113"/>
      <w:bookmarkEnd w:id="114"/>
      <w:bookmarkEnd w:id="115"/>
    </w:p>
    <w:p w14:paraId="476596D1" w14:textId="55AC73F8" w:rsidR="00C80137" w:rsidRDefault="006136D7" w:rsidP="00345763">
      <w:pPr>
        <w:rPr>
          <w:color w:val="000000"/>
          <w:lang w:eastAsia="en-AU"/>
        </w:rPr>
      </w:pPr>
      <w:r w:rsidRPr="002B3624">
        <w:t xml:space="preserve">The </w:t>
      </w:r>
      <w:r>
        <w:t>PI</w:t>
      </w:r>
      <w:r w:rsidRPr="002B3624">
        <w:t xml:space="preserve"> for </w:t>
      </w:r>
      <w:proofErr w:type="spellStart"/>
      <w:r w:rsidR="00D96455">
        <w:t>Nuvaxovid</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70" w:history="1">
        <w:r w:rsidR="00C41FF6">
          <w:rPr>
            <w:rFonts w:ascii="ZWAdobeF" w:hAnsi="ZWAdobeF" w:cs="ZWAdobeF"/>
            <w:sz w:val="2"/>
            <w:szCs w:val="2"/>
          </w:rPr>
          <w:t>34T</w:t>
        </w:r>
        <w:r w:rsidR="007C6B9B" w:rsidRPr="007C6B9B">
          <w:rPr>
            <w:rStyle w:val="Hyperlink"/>
          </w:rPr>
          <w:t>https://www.tga.gov.au/product-information-pi</w:t>
        </w:r>
      </w:hyperlink>
      <w:r w:rsidR="00C41FF6" w:rsidRPr="00C41FF6">
        <w:rPr>
          <w:rStyle w:val="Hyperlink"/>
          <w:rFonts w:ascii="ZWAdobeF" w:hAnsi="ZWAdobeF" w:cs="ZWAdobeF"/>
          <w:color w:val="auto"/>
          <w:sz w:val="2"/>
          <w:szCs w:val="2"/>
          <w:u w:val="none"/>
        </w:rPr>
        <w:t>34T</w:t>
      </w:r>
      <w:r w:rsidR="007C6B9B" w:rsidRPr="007C6B9B">
        <w:t>&gt;.</w:t>
      </w:r>
    </w:p>
    <w:p w14:paraId="1F57AC51" w14:textId="4FD3E45C" w:rsidR="008E7846" w:rsidRPr="00C80137" w:rsidRDefault="008E7846" w:rsidP="00345763">
      <w:pPr>
        <w:autoSpaceDE w:val="0"/>
        <w:autoSpaceDN w:val="0"/>
        <w:adjustRightInd w:val="0"/>
        <w:spacing w:after="0"/>
        <w:rPr>
          <w:b/>
        </w:rPr>
      </w:pPr>
      <w:r w:rsidRPr="00C80137">
        <w:rPr>
          <w:b/>
        </w:rPr>
        <w:br w:type="page"/>
      </w:r>
    </w:p>
    <w:p w14:paraId="7DC81605" w14:textId="77777777" w:rsidR="00C80137" w:rsidRPr="001D043B" w:rsidRDefault="00C80137" w:rsidP="00CB0654">
      <w:pPr>
        <w:pStyle w:val="TableTitle"/>
        <w:sectPr w:rsidR="00C80137" w:rsidRPr="001D043B" w:rsidSect="00B452CE">
          <w:headerReference w:type="even" r:id="rId71"/>
          <w:headerReference w:type="default" r:id="rId72"/>
          <w:headerReference w:type="first" r:id="rId73"/>
          <w:footerReference w:type="first" r:id="rId7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F1169E8" w14:textId="77777777" w:rsidTr="00A05FA4">
        <w:trPr>
          <w:trHeight w:hRule="exact" w:val="704"/>
        </w:trPr>
        <w:tc>
          <w:tcPr>
            <w:tcW w:w="9175" w:type="dxa"/>
          </w:tcPr>
          <w:p w14:paraId="0001C5E4" w14:textId="77777777" w:rsidR="001C32CD" w:rsidRPr="00487162" w:rsidRDefault="001C32CD" w:rsidP="00345763">
            <w:pPr>
              <w:pStyle w:val="TGASignoff"/>
            </w:pPr>
            <w:r w:rsidRPr="00487162">
              <w:lastRenderedPageBreak/>
              <w:t>Therapeutic Goods Administration</w:t>
            </w:r>
          </w:p>
        </w:tc>
      </w:tr>
      <w:tr w:rsidR="001C32CD" w:rsidRPr="004C239D" w14:paraId="75BE8294" w14:textId="77777777" w:rsidTr="00A05FA4">
        <w:trPr>
          <w:trHeight w:val="1221"/>
        </w:trPr>
        <w:tc>
          <w:tcPr>
            <w:tcW w:w="9175" w:type="dxa"/>
            <w:tcMar>
              <w:top w:w="28" w:type="dxa"/>
            </w:tcMar>
          </w:tcPr>
          <w:p w14:paraId="3A18DE52" w14:textId="77777777" w:rsidR="001C32CD" w:rsidRPr="00487162" w:rsidRDefault="001C32CD" w:rsidP="00345763">
            <w:pPr>
              <w:pStyle w:val="Address"/>
            </w:pPr>
            <w:r w:rsidRPr="00487162">
              <w:t>PO Box 100 Woden ACT 2606 Australia</w:t>
            </w:r>
          </w:p>
          <w:p w14:paraId="6715CCD9" w14:textId="36CB8455" w:rsidR="001C32CD" w:rsidRPr="00487162" w:rsidRDefault="001C32CD" w:rsidP="00345763">
            <w:pPr>
              <w:pStyle w:val="Address"/>
            </w:pPr>
            <w:r w:rsidRPr="00487162">
              <w:t xml:space="preserve">Email: </w:t>
            </w:r>
            <w:hyperlink r:id="rId75" w:history="1">
              <w:r w:rsidR="00C41FF6">
                <w:rPr>
                  <w:rFonts w:ascii="ZWAdobeF" w:hAnsi="ZWAdobeF" w:cs="ZWAdobeF"/>
                  <w:sz w:val="2"/>
                  <w:szCs w:val="2"/>
                </w:rPr>
                <w:t>34T</w:t>
              </w:r>
              <w:r w:rsidRPr="004C239D">
                <w:rPr>
                  <w:rStyle w:val="Hyperlink"/>
                </w:rPr>
                <w:t>info@tga.gov.au</w:t>
              </w:r>
            </w:hyperlink>
            <w:r w:rsidR="00C41FF6" w:rsidRPr="00C41FF6">
              <w:rPr>
                <w:rStyle w:val="Hyperlink"/>
                <w:rFonts w:ascii="ZWAdobeF" w:hAnsi="ZWAdobeF" w:cs="ZWAdobeF"/>
                <w:color w:val="auto"/>
                <w:sz w:val="2"/>
                <w:szCs w:val="2"/>
                <w:u w:val="none"/>
              </w:rPr>
              <w:t>34T</w:t>
            </w:r>
            <w:r w:rsidRPr="00487162">
              <w:t xml:space="preserve">  Phone: 1800 020 653  Fax: 02 6232 8605</w:t>
            </w:r>
          </w:p>
          <w:p w14:paraId="4A609199" w14:textId="1D7D76E0" w:rsidR="001C32CD" w:rsidRPr="004C239D" w:rsidRDefault="00344FF4" w:rsidP="00345763">
            <w:pPr>
              <w:pStyle w:val="Address"/>
              <w:spacing w:line="260" w:lineRule="atLeast"/>
              <w:rPr>
                <w:b/>
                <w:color w:val="0000FF"/>
                <w:u w:val="single"/>
              </w:rPr>
            </w:pPr>
            <w:hyperlink r:id="rId76" w:history="1">
              <w:r w:rsidR="00C41FF6">
                <w:rPr>
                  <w:rFonts w:ascii="ZWAdobeF" w:hAnsi="ZWAdobeF" w:cs="ZWAdobeF"/>
                  <w:sz w:val="2"/>
                  <w:szCs w:val="2"/>
                </w:rPr>
                <w:t>34T</w:t>
              </w:r>
              <w:r w:rsidR="007C6B9B" w:rsidRPr="007C6B9B">
                <w:rPr>
                  <w:rStyle w:val="Hyperlink"/>
                  <w:b/>
                </w:rPr>
                <w:t>https://www.tga.gov.au</w:t>
              </w:r>
            </w:hyperlink>
            <w:r w:rsidR="00C41FF6" w:rsidRPr="00C41FF6">
              <w:rPr>
                <w:rStyle w:val="Hyperlink"/>
                <w:rFonts w:ascii="ZWAdobeF" w:hAnsi="ZWAdobeF" w:cs="ZWAdobeF"/>
                <w:color w:val="auto"/>
                <w:sz w:val="2"/>
                <w:szCs w:val="2"/>
                <w:u w:val="none"/>
              </w:rPr>
              <w:t>34T</w:t>
            </w:r>
          </w:p>
        </w:tc>
      </w:tr>
    </w:tbl>
    <w:p w14:paraId="28A46C77" w14:textId="77777777" w:rsidR="00774E1D" w:rsidRPr="008A5E0B" w:rsidRDefault="00774E1D" w:rsidP="00345763"/>
    <w:sectPr w:rsidR="00774E1D" w:rsidRPr="008A5E0B" w:rsidSect="001C32CD">
      <w:headerReference w:type="even" r:id="rId77"/>
      <w:headerReference w:type="default" r:id="rId78"/>
      <w:footerReference w:type="default" r:id="rId79"/>
      <w:headerReference w:type="first" r:id="rId80"/>
      <w:footerReference w:type="first" r:id="rId8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63FEF" w14:textId="77777777" w:rsidR="002249C1" w:rsidRDefault="002249C1" w:rsidP="00C40A36">
      <w:pPr>
        <w:spacing w:after="0"/>
      </w:pPr>
      <w:r>
        <w:separator/>
      </w:r>
    </w:p>
  </w:endnote>
  <w:endnote w:type="continuationSeparator" w:id="0">
    <w:p w14:paraId="529D4331" w14:textId="77777777" w:rsidR="002249C1" w:rsidRDefault="002249C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249C1" w:rsidRPr="00487162" w14:paraId="59A5DC38" w14:textId="77777777" w:rsidTr="00DB750B">
      <w:trPr>
        <w:trHeight w:val="269"/>
      </w:trPr>
      <w:tc>
        <w:tcPr>
          <w:tcW w:w="7371" w:type="dxa"/>
          <w:tcMar>
            <w:top w:w="142" w:type="dxa"/>
            <w:bottom w:w="0" w:type="dxa"/>
          </w:tcMar>
        </w:tcPr>
        <w:p w14:paraId="12F40DBE" w14:textId="13D8FA89" w:rsidR="002249C1" w:rsidRPr="00487162" w:rsidRDefault="002249C1" w:rsidP="00460036">
          <w:pPr>
            <w:pStyle w:val="Footer"/>
          </w:pPr>
          <w:proofErr w:type="spellStart"/>
          <w:r w:rsidRPr="00487162">
            <w:t>AusPA</w:t>
          </w:r>
          <w:r>
            <w:t>R</w:t>
          </w:r>
          <w:proofErr w:type="spellEnd"/>
          <w:r>
            <w:t xml:space="preserve"> – </w:t>
          </w:r>
          <w:proofErr w:type="spellStart"/>
          <w:r>
            <w:t>Nuvaxovid</w:t>
          </w:r>
          <w:proofErr w:type="spellEnd"/>
          <w:r>
            <w:t xml:space="preserve"> - SARS-CoV-2 </w:t>
          </w:r>
          <w:proofErr w:type="spellStart"/>
          <w:r>
            <w:t>rS</w:t>
          </w:r>
          <w:proofErr w:type="spellEnd"/>
          <w:r>
            <w:t xml:space="preserve"> with Matrix M adjuvant (NVX-CoV2373) - </w:t>
          </w:r>
          <w:proofErr w:type="spellStart"/>
          <w:r>
            <w:t>Biocelect</w:t>
          </w:r>
          <w:proofErr w:type="spellEnd"/>
          <w:r>
            <w:t xml:space="preserve"> Pty Ltd - PM-2021-00623-1-2</w:t>
          </w:r>
          <w:r>
            <w:br/>
            <w:t>FINAL</w:t>
          </w:r>
          <w:r w:rsidRPr="00487162">
            <w:t xml:space="preserve"> </w:t>
          </w:r>
          <w:r>
            <w:t>20 January 2022</w:t>
          </w:r>
        </w:p>
      </w:tc>
      <w:tc>
        <w:tcPr>
          <w:tcW w:w="1490" w:type="dxa"/>
          <w:tcMar>
            <w:top w:w="142" w:type="dxa"/>
            <w:bottom w:w="0" w:type="dxa"/>
          </w:tcMar>
        </w:tcPr>
        <w:p w14:paraId="37BFF1A3" w14:textId="741DCA63" w:rsidR="002249C1" w:rsidRPr="00487162" w:rsidRDefault="002249C1" w:rsidP="00DB750B">
          <w:pPr>
            <w:pStyle w:val="Footer"/>
            <w:jc w:val="right"/>
          </w:pPr>
          <w:r w:rsidRPr="00487162">
            <w:t xml:space="preserve">Page </w:t>
          </w:r>
          <w:r>
            <w:fldChar w:fldCharType="begin"/>
          </w:r>
          <w:r>
            <w:instrText xml:space="preserve"> PAGE  \* Arabic </w:instrText>
          </w:r>
          <w:r>
            <w:fldChar w:fldCharType="separate"/>
          </w:r>
          <w:r>
            <w:rPr>
              <w:noProof/>
            </w:rPr>
            <w:t>68</w:t>
          </w:r>
          <w:r>
            <w:fldChar w:fldCharType="end"/>
          </w:r>
          <w:r w:rsidRPr="00487162">
            <w:t xml:space="preserve"> of </w:t>
          </w:r>
          <w:r w:rsidR="00344FF4">
            <w:fldChar w:fldCharType="begin"/>
          </w:r>
          <w:r w:rsidR="00344FF4">
            <w:instrText xml:space="preserve"> NUMPAGES  \* Arabic </w:instrText>
          </w:r>
          <w:r w:rsidR="00344FF4">
            <w:fldChar w:fldCharType="separate"/>
          </w:r>
          <w:r>
            <w:rPr>
              <w:noProof/>
            </w:rPr>
            <w:t>93</w:t>
          </w:r>
          <w:r w:rsidR="00344FF4">
            <w:rPr>
              <w:noProof/>
            </w:rPr>
            <w:fldChar w:fldCharType="end"/>
          </w:r>
        </w:p>
      </w:tc>
    </w:tr>
  </w:tbl>
  <w:p w14:paraId="4AFE40A9" w14:textId="77777777" w:rsidR="002249C1" w:rsidRDefault="002249C1"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249C1" w:rsidRPr="00487162" w14:paraId="4A6AA4F1" w14:textId="77777777" w:rsidTr="00E45619">
      <w:trPr>
        <w:trHeight w:val="269"/>
      </w:trPr>
      <w:tc>
        <w:tcPr>
          <w:tcW w:w="4519" w:type="dxa"/>
          <w:tcBorders>
            <w:top w:val="single" w:sz="4" w:space="0" w:color="auto"/>
          </w:tcBorders>
          <w:tcMar>
            <w:top w:w="142" w:type="dxa"/>
            <w:bottom w:w="0" w:type="dxa"/>
          </w:tcMar>
        </w:tcPr>
        <w:p w14:paraId="3F1EAC21" w14:textId="77777777" w:rsidR="002249C1" w:rsidRPr="00487162" w:rsidRDefault="002249C1" w:rsidP="00FE1DEE">
          <w:pPr>
            <w:pStyle w:val="Footer"/>
          </w:pPr>
          <w:r w:rsidRPr="00487162">
            <w:t>Document title, Part #, Section # - Section title</w:t>
          </w:r>
        </w:p>
        <w:p w14:paraId="16BE32DA" w14:textId="77777777" w:rsidR="002249C1" w:rsidRPr="00487162" w:rsidRDefault="002249C1" w:rsidP="00FE1DEE">
          <w:pPr>
            <w:pStyle w:val="Footer"/>
          </w:pPr>
          <w:r w:rsidRPr="00487162">
            <w:t>V1.0 October 2010</w:t>
          </w:r>
        </w:p>
      </w:tc>
      <w:tc>
        <w:tcPr>
          <w:tcW w:w="4342" w:type="dxa"/>
          <w:tcBorders>
            <w:top w:val="single" w:sz="4" w:space="0" w:color="auto"/>
          </w:tcBorders>
          <w:tcMar>
            <w:top w:w="142" w:type="dxa"/>
            <w:bottom w:w="0" w:type="dxa"/>
          </w:tcMar>
        </w:tcPr>
        <w:p w14:paraId="19B185E7" w14:textId="77777777" w:rsidR="002249C1" w:rsidRPr="00487162" w:rsidRDefault="002249C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44FF4">
            <w:fldChar w:fldCharType="begin"/>
          </w:r>
          <w:r w:rsidR="00344FF4">
            <w:instrText xml:space="preserve"> NUMPAGES  </w:instrText>
          </w:r>
          <w:r w:rsidR="00344FF4">
            <w:fldChar w:fldCharType="separate"/>
          </w:r>
          <w:r>
            <w:rPr>
              <w:noProof/>
            </w:rPr>
            <w:t>21</w:t>
          </w:r>
          <w:r w:rsidR="00344FF4">
            <w:rPr>
              <w:noProof/>
            </w:rPr>
            <w:fldChar w:fldCharType="end"/>
          </w:r>
        </w:p>
      </w:tc>
    </w:tr>
  </w:tbl>
  <w:p w14:paraId="784689F7" w14:textId="77777777" w:rsidR="002249C1" w:rsidRDefault="00224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27972" w14:textId="77777777" w:rsidR="002249C1" w:rsidRPr="001C32CD" w:rsidRDefault="002249C1"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249C1" w14:paraId="2747943B" w14:textId="77777777" w:rsidTr="0010601F">
      <w:trPr>
        <w:trHeight w:val="108"/>
      </w:trPr>
      <w:tc>
        <w:tcPr>
          <w:tcW w:w="8875" w:type="dxa"/>
          <w:gridSpan w:val="2"/>
          <w:tcBorders>
            <w:bottom w:val="single" w:sz="4" w:space="0" w:color="auto"/>
          </w:tcBorders>
          <w:tcMar>
            <w:right w:w="284" w:type="dxa"/>
          </w:tcMar>
        </w:tcPr>
        <w:p w14:paraId="38412840" w14:textId="77777777" w:rsidR="002249C1" w:rsidRDefault="002249C1" w:rsidP="006E08B3">
          <w:pPr>
            <w:pStyle w:val="Heading3"/>
          </w:pPr>
          <w:r>
            <w:t>Copyright</w:t>
          </w:r>
        </w:p>
        <w:p w14:paraId="36B20408" w14:textId="77777777" w:rsidR="002249C1" w:rsidRDefault="002249C1" w:rsidP="006E08B3">
          <w:r>
            <w:rPr>
              <w:rFonts w:cs="Arial"/>
            </w:rPr>
            <w:t>©</w:t>
          </w:r>
          <w:r>
            <w:t xml:space="preserve"> Commonwealth of Australia [add year]</w:t>
          </w:r>
        </w:p>
        <w:p w14:paraId="66516625" w14:textId="77777777" w:rsidR="002249C1" w:rsidRDefault="002249C1" w:rsidP="006E08B3"/>
        <w:p w14:paraId="5BC87EF8" w14:textId="77777777" w:rsidR="002249C1" w:rsidRDefault="002249C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5BBCEA7" w14:textId="77777777" w:rsidR="002249C1" w:rsidRDefault="002249C1" w:rsidP="006E08B3"/>
        <w:p w14:paraId="00F3BF5A" w14:textId="77777777" w:rsidR="002249C1" w:rsidRDefault="002249C1" w:rsidP="006E08B3">
          <w:pPr>
            <w:pStyle w:val="Heading3"/>
          </w:pPr>
          <w:r>
            <w:t>Confidentiality</w:t>
          </w:r>
        </w:p>
        <w:p w14:paraId="22009BA4" w14:textId="77777777" w:rsidR="002249C1" w:rsidRDefault="002249C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C5FA20C" w14:textId="77777777" w:rsidR="002249C1" w:rsidRDefault="002249C1" w:rsidP="006E08B3"/>
        <w:p w14:paraId="4BD85F91" w14:textId="77777777" w:rsidR="002249C1" w:rsidRDefault="002249C1" w:rsidP="006E08B3">
          <w:r>
            <w:t>For submission made by individuals, all personal details, other than your name, will be removed from your submission before it is published on the TGA’s Internet site.</w:t>
          </w:r>
        </w:p>
        <w:p w14:paraId="46D71E85" w14:textId="77777777" w:rsidR="002249C1" w:rsidRDefault="002249C1" w:rsidP="006E08B3"/>
        <w:p w14:paraId="45BAB892" w14:textId="77777777" w:rsidR="002249C1" w:rsidRDefault="002249C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249C1" w14:paraId="59CAF1AB" w14:textId="77777777" w:rsidTr="0010601F">
      <w:trPr>
        <w:trHeight w:val="417"/>
      </w:trPr>
      <w:tc>
        <w:tcPr>
          <w:tcW w:w="4519" w:type="dxa"/>
          <w:tcBorders>
            <w:top w:val="single" w:sz="4" w:space="0" w:color="auto"/>
          </w:tcBorders>
          <w:tcMar>
            <w:top w:w="142" w:type="dxa"/>
            <w:bottom w:w="0" w:type="dxa"/>
          </w:tcMar>
        </w:tcPr>
        <w:p w14:paraId="000E5116" w14:textId="77777777" w:rsidR="002249C1" w:rsidRDefault="002249C1" w:rsidP="006E08B3">
          <w:r>
            <w:t>Document title, Part #, Section # - Section title</w:t>
          </w:r>
        </w:p>
        <w:p w14:paraId="40496E91" w14:textId="77777777" w:rsidR="002249C1" w:rsidRDefault="002249C1" w:rsidP="006E08B3">
          <w:r>
            <w:t>V1.0 October 2010</w:t>
          </w:r>
        </w:p>
      </w:tc>
      <w:tc>
        <w:tcPr>
          <w:tcW w:w="4356" w:type="dxa"/>
          <w:tcBorders>
            <w:top w:val="single" w:sz="4" w:space="0" w:color="auto"/>
          </w:tcBorders>
          <w:tcMar>
            <w:top w:w="142" w:type="dxa"/>
            <w:bottom w:w="0" w:type="dxa"/>
          </w:tcMar>
        </w:tcPr>
        <w:p w14:paraId="5C2385A5" w14:textId="77777777" w:rsidR="002249C1" w:rsidRDefault="002249C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44FF4">
            <w:fldChar w:fldCharType="begin"/>
          </w:r>
          <w:r w:rsidR="00344FF4">
            <w:instrText xml:space="preserve"> NUMPAGES  \* Arabic </w:instrText>
          </w:r>
          <w:r w:rsidR="00344FF4">
            <w:fldChar w:fldCharType="separate"/>
          </w:r>
          <w:r>
            <w:rPr>
              <w:noProof/>
            </w:rPr>
            <w:t>21</w:t>
          </w:r>
          <w:r w:rsidR="00344FF4">
            <w:rPr>
              <w:noProof/>
            </w:rPr>
            <w:fldChar w:fldCharType="end"/>
          </w:r>
          <w:r>
            <w:t xml:space="preserve">  </w:t>
          </w:r>
        </w:p>
      </w:tc>
    </w:tr>
  </w:tbl>
  <w:p w14:paraId="59A60815" w14:textId="77777777" w:rsidR="002249C1" w:rsidRDefault="002249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8E4B1" w14:textId="77777777" w:rsidR="002249C1" w:rsidRDefault="002249C1" w:rsidP="00C40A36">
      <w:pPr>
        <w:spacing w:after="0"/>
      </w:pPr>
      <w:r>
        <w:separator/>
      </w:r>
    </w:p>
  </w:footnote>
  <w:footnote w:type="continuationSeparator" w:id="0">
    <w:p w14:paraId="7C632F70" w14:textId="77777777" w:rsidR="002249C1" w:rsidRDefault="002249C1" w:rsidP="00C40A36">
      <w:pPr>
        <w:spacing w:after="0"/>
      </w:pPr>
      <w:r>
        <w:continuationSeparator/>
      </w:r>
    </w:p>
  </w:footnote>
  <w:footnote w:id="1">
    <w:p w14:paraId="385EFA58" w14:textId="77777777" w:rsidR="002249C1" w:rsidRDefault="002249C1">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B86C310" w14:textId="7DCA6ED9" w:rsidR="002249C1" w:rsidRDefault="002249C1">
      <w:pPr>
        <w:pStyle w:val="FootnoteText"/>
      </w:pPr>
      <w:r>
        <w:rPr>
          <w:rStyle w:val="FootnoteReference"/>
        </w:rPr>
        <w:footnoteRef/>
      </w:r>
      <w:r>
        <w:t xml:space="preserve"> </w:t>
      </w:r>
      <w:r w:rsidRPr="00FE4E58">
        <w:t>Statement on the second meeting of the International Health Regulations (2005) Emergency Committee regarding the outbreak of novel coronavirus (2019-nCoV). 30 January 2020. Available at: https://www.who.int/news/item/30-01-2020-statement-on-the-second-meeting-of-the-international-health-regulations-(2005)-emergency-committee-regarding-the-outbreak-of-novel-coronavirus-(2019-ncov)</w:t>
      </w:r>
    </w:p>
  </w:footnote>
  <w:footnote w:id="3">
    <w:p w14:paraId="326106DB" w14:textId="1CC83DB7" w:rsidR="002249C1" w:rsidRDefault="002249C1">
      <w:pPr>
        <w:pStyle w:val="FootnoteText"/>
      </w:pPr>
      <w:r>
        <w:rPr>
          <w:rStyle w:val="FootnoteReference"/>
        </w:rPr>
        <w:footnoteRef/>
      </w:r>
      <w:r>
        <w:t xml:space="preserve"> </w:t>
      </w:r>
      <w:r w:rsidRPr="00FE4E58">
        <w:t>WHO Director-General's opening remarks at the media briefing on COVID-19. 11 March 2020. Available at: https://www.who.int/director-general/speeches/detail/who-director-general-s-opening-remarks-at-the-media-briefing-on-covid-19---11-march-2020</w:t>
      </w:r>
    </w:p>
  </w:footnote>
  <w:footnote w:id="4">
    <w:p w14:paraId="38E2599E" w14:textId="1D978ABF" w:rsidR="002249C1" w:rsidRDefault="002249C1">
      <w:pPr>
        <w:pStyle w:val="FootnoteText"/>
      </w:pPr>
      <w:r>
        <w:rPr>
          <w:rStyle w:val="FootnoteReference"/>
        </w:rPr>
        <w:footnoteRef/>
      </w:r>
      <w:r>
        <w:t xml:space="preserve"> </w:t>
      </w:r>
      <w:r w:rsidRPr="00FE4E58">
        <w:t>WHO COVID-19 Dashboard</w:t>
      </w:r>
      <w:r>
        <w:t xml:space="preserve"> (last viewed 6 January 2022). A</w:t>
      </w:r>
      <w:r w:rsidRPr="00FE4E58">
        <w:t>vailable at: https://covid19.who.int/)</w:t>
      </w:r>
    </w:p>
  </w:footnote>
  <w:footnote w:id="5">
    <w:p w14:paraId="615B65C1" w14:textId="7D5F74CF" w:rsidR="002249C1" w:rsidRDefault="002249C1">
      <w:pPr>
        <w:pStyle w:val="FootnoteText"/>
      </w:pPr>
      <w:r>
        <w:rPr>
          <w:rStyle w:val="FootnoteReference"/>
        </w:rPr>
        <w:footnoteRef/>
      </w:r>
      <w:r>
        <w:t xml:space="preserve"> </w:t>
      </w:r>
      <w:r w:rsidRPr="00FE4E58">
        <w:t xml:space="preserve">Australian Government Department of Health, as of </w:t>
      </w:r>
      <w:r>
        <w:t>6</w:t>
      </w:r>
      <w:r w:rsidRPr="00FE4E58">
        <w:t xml:space="preserve"> </w:t>
      </w:r>
      <w:r>
        <w:t>January</w:t>
      </w:r>
      <w:r w:rsidRPr="00FE4E58">
        <w:t xml:space="preserve"> 202</w:t>
      </w:r>
      <w:r>
        <w:t>2</w:t>
      </w:r>
      <w:r w:rsidRPr="00FE4E58">
        <w:t>. Available at:</w:t>
      </w:r>
      <w:r>
        <w:t xml:space="preserve"> </w:t>
      </w:r>
      <w:r w:rsidRPr="006774CB">
        <w:t>https://www.health.gov.au/health-alerts/covid-19/case-numbers-and-statistics#total-covid19-cases-by-source-of-infection</w:t>
      </w:r>
    </w:p>
  </w:footnote>
  <w:footnote w:id="6">
    <w:p w14:paraId="431B5107" w14:textId="7A5FD453" w:rsidR="002249C1" w:rsidRPr="00D00210" w:rsidRDefault="002249C1">
      <w:pPr>
        <w:pStyle w:val="FootnoteText"/>
        <w:rPr>
          <w:lang w:val="en-GB"/>
        </w:rPr>
      </w:pPr>
      <w:r>
        <w:rPr>
          <w:rStyle w:val="FootnoteReference"/>
        </w:rPr>
        <w:footnoteRef/>
      </w:r>
      <w:r>
        <w:t xml:space="preserve"> WHO: Tracking SARS-CoV-2 variants. World Health Organization. Available at: </w:t>
      </w:r>
      <w:r w:rsidRPr="00700A02">
        <w:t>https://www.who.int/en/activities/tracking-SARS-CoV-2-variants/</w:t>
      </w:r>
    </w:p>
  </w:footnote>
  <w:footnote w:id="7">
    <w:p w14:paraId="76C2F944" w14:textId="6D8C3C75" w:rsidR="002249C1" w:rsidRDefault="002249C1">
      <w:pPr>
        <w:pStyle w:val="FootnoteText"/>
      </w:pPr>
      <w:r>
        <w:rPr>
          <w:rStyle w:val="FootnoteReference"/>
        </w:rPr>
        <w:footnoteRef/>
      </w:r>
      <w:r>
        <w:t xml:space="preserve"> Matrix-M</w:t>
      </w:r>
      <w:r w:rsidRPr="00E87466">
        <w:t xml:space="preserve"> is a saponin-based adjuvant. </w:t>
      </w:r>
      <w:r>
        <w:t>Matrix-M</w:t>
      </w:r>
      <w:r w:rsidRPr="00E87466">
        <w:t xml:space="preserve"> adjuvant is composed of a mixture of Matrix-A (85%) and Matrix-C (15%), each produced from saponin materials Fraction-A or Fraction-C, respectively.</w:t>
      </w:r>
    </w:p>
  </w:footnote>
  <w:footnote w:id="8">
    <w:p w14:paraId="7982E6BE" w14:textId="77777777" w:rsidR="002249C1" w:rsidRDefault="002249C1" w:rsidP="00CB0654">
      <w:pPr>
        <w:pStyle w:val="TableDescription"/>
      </w:pPr>
      <w:r>
        <w:rPr>
          <w:rStyle w:val="FootnoteReference"/>
        </w:rPr>
        <w:footnoteRef/>
      </w:r>
      <w:r>
        <w:t xml:space="preserve"> As part of the </w:t>
      </w:r>
      <w:r w:rsidRPr="00CF1D4F">
        <w:rPr>
          <w:b/>
        </w:rPr>
        <w:t>provisional approval pathway</w:t>
      </w:r>
      <w:r>
        <w:t>, the provisional registration process will allow certain medicines to be provisionally registered in the Australian Register of Therapeutic Goods (ARTG) for a limited duration. These medicines are registered on the basis of preliminary clinical data, where there is the potential for a substantial benefit to Australian patients. The TGA will re-assess risks related to the absence of evidence through data provided at a later stage, as part of the confirmatory data.</w:t>
      </w:r>
    </w:p>
    <w:p w14:paraId="71DD4A61" w14:textId="2BF53870" w:rsidR="002249C1" w:rsidRDefault="002249C1" w:rsidP="00CB0654">
      <w:pPr>
        <w:pStyle w:val="TableDescription"/>
      </w:pPr>
      <w:r>
        <w:t>Confirmatory data should confirm the relationship between outcomes predicted by the surrogate endpoint, or other preliminary data, and the clinical benefit as demonstrated by direct clinical outcomes.</w:t>
      </w:r>
    </w:p>
    <w:p w14:paraId="76E59B7F" w14:textId="677AD89D" w:rsidR="002249C1" w:rsidRDefault="002249C1" w:rsidP="00B949BB">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9">
    <w:p w14:paraId="45BDE0CA" w14:textId="77777777" w:rsidR="002249C1" w:rsidRPr="00F051A1" w:rsidRDefault="002249C1" w:rsidP="005F1CE7">
      <w:pPr>
        <w:pStyle w:val="FootnoteText"/>
        <w:rPr>
          <w:lang w:val="en-US"/>
        </w:rPr>
      </w:pPr>
      <w:r>
        <w:rPr>
          <w:rStyle w:val="FootnoteReference"/>
        </w:rPr>
        <w:footnoteRef/>
      </w:r>
      <w:r>
        <w:t xml:space="preserve"> AusPAR for Comirnaty </w:t>
      </w:r>
      <w:r w:rsidRPr="00F051A1">
        <w:t>BNT162b2</w:t>
      </w:r>
      <w:r>
        <w:t xml:space="preserve"> (mRNA) Pfizer Australia Pty Ltd </w:t>
      </w:r>
      <w:r>
        <w:rPr>
          <w:color w:val="000000"/>
        </w:rPr>
        <w:t>PM-2020-05461-1-2</w:t>
      </w:r>
      <w:r>
        <w:t xml:space="preserve"> available at: </w:t>
      </w:r>
      <w:r w:rsidRPr="00F051A1">
        <w:t>https://www.tga.gov.au/auspar/auspar-bnt162b2-mrna-comirnaty</w:t>
      </w:r>
    </w:p>
  </w:footnote>
  <w:footnote w:id="10">
    <w:p w14:paraId="579884CA" w14:textId="63AEEECA" w:rsidR="002249C1" w:rsidRDefault="002249C1">
      <w:pPr>
        <w:pStyle w:val="FootnoteText"/>
      </w:pPr>
      <w:r>
        <w:rPr>
          <w:rStyle w:val="FootnoteReference"/>
        </w:rPr>
        <w:footnoteRef/>
      </w:r>
      <w:r>
        <w:t xml:space="preserve"> AusPAR for Comirnaty </w:t>
      </w:r>
      <w:r w:rsidRPr="00F051A1">
        <w:t>BNT162b2</w:t>
      </w:r>
      <w:r>
        <w:t xml:space="preserve"> (mRNA) Pfizer Australia Pty Ltd </w:t>
      </w:r>
      <w:r w:rsidRPr="009E0824">
        <w:t xml:space="preserve">PM-2021-02187-1-2 </w:t>
      </w:r>
      <w:r>
        <w:t>available at: </w:t>
      </w:r>
      <w:r w:rsidRPr="00C056AB">
        <w:t>https://www.tga.gov.au/auspar/auspar-bnt162b2-mrna</w:t>
      </w:r>
    </w:p>
  </w:footnote>
  <w:footnote w:id="11">
    <w:p w14:paraId="6D61E198" w14:textId="77777777" w:rsidR="002249C1" w:rsidRDefault="002249C1">
      <w:pPr>
        <w:pStyle w:val="FootnoteText"/>
      </w:pPr>
      <w:r>
        <w:rPr>
          <w:rStyle w:val="FootnoteReference"/>
        </w:rPr>
        <w:footnoteRef/>
      </w:r>
      <w:r>
        <w:t xml:space="preserve"> AusPAR for Comirnaty </w:t>
      </w:r>
      <w:r w:rsidRPr="00F051A1">
        <w:t>BNT162b2</w:t>
      </w:r>
      <w:r>
        <w:t xml:space="preserve"> (mRNA) Pfizer Australia Pty Ltd PM-2021-05012-1-2 </w:t>
      </w:r>
    </w:p>
    <w:p w14:paraId="2CAFD092" w14:textId="620419FA" w:rsidR="002249C1" w:rsidRDefault="002249C1">
      <w:pPr>
        <w:pStyle w:val="FootnoteText"/>
      </w:pPr>
      <w:r>
        <w:t xml:space="preserve">available at: </w:t>
      </w:r>
      <w:r w:rsidRPr="005F1CE7">
        <w:t>https://www.tga.gov.au/auspar/auspar-tozinameran-mrna-covid-19-vaccine</w:t>
      </w:r>
    </w:p>
  </w:footnote>
  <w:footnote w:id="12">
    <w:p w14:paraId="783F5E96" w14:textId="43499688" w:rsidR="002249C1" w:rsidRPr="005D10BD" w:rsidRDefault="002249C1">
      <w:pPr>
        <w:pStyle w:val="FootnoteText"/>
        <w:rPr>
          <w:lang w:val="en-US"/>
        </w:rPr>
      </w:pPr>
      <w:r>
        <w:rPr>
          <w:rStyle w:val="FootnoteReference"/>
        </w:rPr>
        <w:footnoteRef/>
      </w:r>
      <w:r>
        <w:t xml:space="preserve"> AusPAR for Spikevax </w:t>
      </w:r>
      <w:r w:rsidRPr="00184C91">
        <w:t>elasomeran</w:t>
      </w:r>
      <w:r>
        <w:t xml:space="preserve"> Moderna Australia Pty Ltd </w:t>
      </w:r>
      <w:r w:rsidRPr="00184C91">
        <w:t>PM-2021-02994-1-2</w:t>
      </w:r>
      <w:r>
        <w:t xml:space="preserve"> available at: </w:t>
      </w:r>
      <w:r w:rsidRPr="00184C91">
        <w:t>https://www.tga.gov.au/auspar/auspar-elasomeran</w:t>
      </w:r>
    </w:p>
  </w:footnote>
  <w:footnote w:id="13">
    <w:p w14:paraId="5280B309" w14:textId="2928F949" w:rsidR="002249C1" w:rsidRDefault="002249C1">
      <w:pPr>
        <w:pStyle w:val="FootnoteText"/>
      </w:pPr>
      <w:r>
        <w:rPr>
          <w:rStyle w:val="FootnoteReference"/>
        </w:rPr>
        <w:footnoteRef/>
      </w:r>
      <w:r>
        <w:t xml:space="preserve"> AusPAR for Spikevax </w:t>
      </w:r>
      <w:r w:rsidRPr="00184C91">
        <w:t>elasomeran</w:t>
      </w:r>
      <w:r>
        <w:t xml:space="preserve"> Moderna Australia Pty Ltd PM-2021-02994-1-2 </w:t>
      </w:r>
      <w:r w:rsidRPr="005D10BD">
        <w:t>https://www.tga.gov.au/auspar/auspar-elasomeran-0</w:t>
      </w:r>
    </w:p>
  </w:footnote>
  <w:footnote w:id="14">
    <w:p w14:paraId="07E2B9C9" w14:textId="7EC1364A" w:rsidR="002249C1" w:rsidRPr="007B1063" w:rsidRDefault="002249C1">
      <w:pPr>
        <w:pStyle w:val="FootnoteText"/>
        <w:rPr>
          <w:lang w:val="en-US"/>
        </w:rPr>
      </w:pPr>
      <w:r>
        <w:rPr>
          <w:rStyle w:val="FootnoteReference"/>
        </w:rPr>
        <w:footnoteRef/>
      </w:r>
      <w:r>
        <w:t xml:space="preserve"> </w:t>
      </w:r>
      <w:r>
        <w:rPr>
          <w:lang w:val="en-US"/>
        </w:rPr>
        <w:t xml:space="preserve">AusPAR for COVID-19 Vaccine Janssen </w:t>
      </w:r>
      <w:r w:rsidRPr="009E0824">
        <w:rPr>
          <w:lang w:val="en-US"/>
        </w:rPr>
        <w:t xml:space="preserve">Ad26.COV2.S Janssen-Cilag Pty Ltd PM-2020-06173-1-2 </w:t>
      </w:r>
      <w:r>
        <w:rPr>
          <w:lang w:val="en-US"/>
        </w:rPr>
        <w:t>available at: </w:t>
      </w:r>
      <w:r w:rsidRPr="009E0824">
        <w:rPr>
          <w:lang w:val="en-US"/>
        </w:rPr>
        <w:t>https://www.tga.gov.au/auspar/auspar-ad26cov2s</w:t>
      </w:r>
    </w:p>
  </w:footnote>
  <w:footnote w:id="15">
    <w:p w14:paraId="6FF637A8" w14:textId="650DB0EB" w:rsidR="002249C1" w:rsidRPr="005D10BD" w:rsidRDefault="002249C1">
      <w:pPr>
        <w:pStyle w:val="FootnoteText"/>
        <w:rPr>
          <w:lang w:val="en-US"/>
        </w:rPr>
      </w:pPr>
      <w:r>
        <w:rPr>
          <w:rStyle w:val="FootnoteReference"/>
        </w:rPr>
        <w:footnoteRef/>
      </w:r>
      <w:r>
        <w:t xml:space="preserve"> </w:t>
      </w:r>
      <w:r>
        <w:rPr>
          <w:lang w:val="en-US"/>
        </w:rPr>
        <w:t xml:space="preserve">AusPAR for Vaxzevria </w:t>
      </w:r>
      <w:r w:rsidRPr="009E0824">
        <w:rPr>
          <w:lang w:val="en-US"/>
        </w:rPr>
        <w:t>ChAdOx1-S</w:t>
      </w:r>
      <w:r>
        <w:rPr>
          <w:lang w:val="en-US"/>
        </w:rPr>
        <w:t xml:space="preserve"> AstraZeneca Pty Ltd </w:t>
      </w:r>
      <w:r w:rsidRPr="009E0824">
        <w:rPr>
          <w:lang w:val="en-US"/>
        </w:rPr>
        <w:t>PM 2020 06115 1-2</w:t>
      </w:r>
      <w:r>
        <w:rPr>
          <w:lang w:val="en-US"/>
        </w:rPr>
        <w:t xml:space="preserve"> available at: </w:t>
      </w:r>
      <w:r w:rsidRPr="009E0824">
        <w:rPr>
          <w:lang w:val="en-US"/>
        </w:rPr>
        <w:t>https://www.tga.gov.au/auspar/auspar-chadox1-s</w:t>
      </w:r>
    </w:p>
  </w:footnote>
  <w:footnote w:id="16">
    <w:p w14:paraId="563FF9DE" w14:textId="48DB60A5" w:rsidR="002249C1" w:rsidRPr="00CB18C2" w:rsidRDefault="002249C1">
      <w:pPr>
        <w:pStyle w:val="FootnoteText"/>
        <w:rPr>
          <w:lang w:val="en-US"/>
        </w:rPr>
      </w:pPr>
      <w:r>
        <w:rPr>
          <w:rStyle w:val="FootnoteReference"/>
        </w:rPr>
        <w:footnoteRef/>
      </w:r>
      <w:r>
        <w:t xml:space="preserve"> </w:t>
      </w:r>
      <w:r>
        <w:rPr>
          <w:lang w:val="en-US"/>
        </w:rPr>
        <w:t xml:space="preserve">AusPAR for </w:t>
      </w:r>
      <w:r w:rsidRPr="00CB18C2">
        <w:rPr>
          <w:lang w:val="en-US"/>
        </w:rPr>
        <w:t>Xevudy</w:t>
      </w:r>
      <w:r>
        <w:rPr>
          <w:lang w:val="en-US"/>
        </w:rPr>
        <w:t xml:space="preserve"> </w:t>
      </w:r>
      <w:r w:rsidRPr="00CB18C2">
        <w:rPr>
          <w:lang w:val="en-US"/>
        </w:rPr>
        <w:t>sotrovimab GlaxoSmithKline Australia Pty Ltd PM-2021-01848-1-2</w:t>
      </w:r>
      <w:r>
        <w:rPr>
          <w:lang w:val="en-US"/>
        </w:rPr>
        <w:t xml:space="preserve"> available at: </w:t>
      </w:r>
      <w:r w:rsidRPr="00CB18C2">
        <w:rPr>
          <w:lang w:val="en-US"/>
        </w:rPr>
        <w:t>https://www.tga.gov.au/auspar/auspar-sotrovimab</w:t>
      </w:r>
    </w:p>
  </w:footnote>
  <w:footnote w:id="17">
    <w:p w14:paraId="0DEE4709" w14:textId="0BC0E7B1" w:rsidR="002249C1" w:rsidRDefault="002249C1">
      <w:pPr>
        <w:pStyle w:val="FootnoteText"/>
      </w:pPr>
      <w:r>
        <w:rPr>
          <w:rStyle w:val="FootnoteReference"/>
        </w:rPr>
        <w:footnoteRef/>
      </w:r>
      <w:r>
        <w:t xml:space="preserve"> AusPAR for Ronapreve casirivimab/imdevimab Roche Products Pty Limited PM-2021-03952-1-2</w:t>
      </w:r>
    </w:p>
    <w:p w14:paraId="02852F0C" w14:textId="56FB4F67" w:rsidR="002249C1" w:rsidRDefault="002249C1">
      <w:pPr>
        <w:pStyle w:val="FootnoteText"/>
      </w:pPr>
      <w:r>
        <w:rPr>
          <w:lang w:val="en-US"/>
        </w:rPr>
        <w:t>available at: </w:t>
      </w:r>
      <w:r w:rsidRPr="00725D63">
        <w:rPr>
          <w:lang w:val="en-US"/>
        </w:rPr>
        <w:t>https://www.tga.gov.au/auspar/auspar-casirivimabimdevimab</w:t>
      </w:r>
    </w:p>
  </w:footnote>
  <w:footnote w:id="18">
    <w:p w14:paraId="27D5CA4B" w14:textId="49BF8D83" w:rsidR="002249C1" w:rsidRDefault="002249C1">
      <w:pPr>
        <w:pStyle w:val="FootnoteText"/>
      </w:pPr>
      <w:r>
        <w:rPr>
          <w:rStyle w:val="FootnoteReference"/>
        </w:rPr>
        <w:footnoteRef/>
      </w:r>
      <w:r>
        <w:t xml:space="preserve"> AusPAR for </w:t>
      </w:r>
      <w:r w:rsidRPr="00AC5E9F">
        <w:t>A</w:t>
      </w:r>
      <w:r>
        <w:t>ctemra t</w:t>
      </w:r>
      <w:r w:rsidRPr="00AC5E9F">
        <w:t>ocilizumab</w:t>
      </w:r>
      <w:r>
        <w:t xml:space="preserve"> Roche Products Pty Ltd, available at:  </w:t>
      </w:r>
      <w:r w:rsidRPr="000B03CD">
        <w:t>https://www.tga.gov.au/auspar/auspar-tocilizumab-rch-3</w:t>
      </w:r>
    </w:p>
  </w:footnote>
  <w:footnote w:id="19">
    <w:p w14:paraId="0766455B" w14:textId="652D1B13" w:rsidR="002249C1" w:rsidRDefault="002249C1">
      <w:pPr>
        <w:pStyle w:val="FootnoteText"/>
      </w:pPr>
      <w:r>
        <w:rPr>
          <w:rStyle w:val="FootnoteReference"/>
        </w:rPr>
        <w:footnoteRef/>
      </w:r>
      <w:r>
        <w:t xml:space="preserve"> </w:t>
      </w:r>
      <w:r w:rsidRPr="0075672D">
        <w:t xml:space="preserve">AusPAR </w:t>
      </w:r>
      <w:r>
        <w:t>for Veklury</w:t>
      </w:r>
      <w:r w:rsidRPr="0075672D">
        <w:t xml:space="preserve"> remdesivir Gilead Sciences Pty Ltd PM-2020-01491-1-2 </w:t>
      </w:r>
      <w:r>
        <w:rPr>
          <w:lang w:val="en-US"/>
        </w:rPr>
        <w:t>available at: </w:t>
      </w:r>
      <w:r w:rsidRPr="0075672D">
        <w:t>https://www.tga.gov.au/auspar/auspar-remdesivir</w:t>
      </w:r>
    </w:p>
  </w:footnote>
  <w:footnote w:id="20">
    <w:p w14:paraId="3C8ECA02" w14:textId="2F1BBC54" w:rsidR="002249C1" w:rsidRDefault="002249C1">
      <w:pPr>
        <w:pStyle w:val="FootnoteText"/>
      </w:pPr>
      <w:r>
        <w:rPr>
          <w:rStyle w:val="FootnoteReference"/>
        </w:rPr>
        <w:footnoteRef/>
      </w:r>
      <w:r>
        <w:t xml:space="preserve"> AusPAR for Paxlovid n</w:t>
      </w:r>
      <w:r w:rsidRPr="00032B11">
        <w:t>irmatrelvir/ritonavir Pfizer Australia Pty Ltd PM-2021-04880-1-2</w:t>
      </w:r>
      <w:r>
        <w:t xml:space="preserve"> to be published soon.</w:t>
      </w:r>
    </w:p>
  </w:footnote>
  <w:footnote w:id="21">
    <w:p w14:paraId="574C38FB" w14:textId="5B1E9C50" w:rsidR="002249C1" w:rsidRDefault="002249C1">
      <w:pPr>
        <w:pStyle w:val="FootnoteText"/>
      </w:pPr>
      <w:r>
        <w:rPr>
          <w:rStyle w:val="FootnoteReference"/>
        </w:rPr>
        <w:footnoteRef/>
      </w:r>
      <w:r>
        <w:t xml:space="preserve"> AusPAR for Lagevrio</w:t>
      </w:r>
      <w:r w:rsidRPr="00032B11">
        <w:t xml:space="preserve"> molnupiravir Merck Sharp &amp; Dohme (Australia) Pty Limited PM-2021-03679-1-2 </w:t>
      </w:r>
      <w:r>
        <w:t>to be published soon.</w:t>
      </w:r>
    </w:p>
  </w:footnote>
  <w:footnote w:id="22">
    <w:p w14:paraId="01CC8F64" w14:textId="22F60ED7" w:rsidR="002249C1" w:rsidRDefault="002249C1" w:rsidP="009547D7">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fetus having been observed.</w:t>
      </w:r>
    </w:p>
    <w:p w14:paraId="54A42432" w14:textId="77777777" w:rsidR="002249C1" w:rsidRDefault="002249C1" w:rsidP="009547D7">
      <w:pPr>
        <w:pStyle w:val="FootnoteText"/>
      </w:pPr>
    </w:p>
    <w:p w14:paraId="5B588183" w14:textId="1FA59C36" w:rsidR="002249C1" w:rsidRDefault="002249C1" w:rsidP="009547D7">
      <w:pPr>
        <w:pStyle w:val="FootnoteText"/>
      </w:pPr>
      <w:r>
        <w:t>Studies in animals have not shown evidence of an increased occurrence of fetal damage.</w:t>
      </w:r>
    </w:p>
  </w:footnote>
  <w:footnote w:id="23">
    <w:p w14:paraId="55946770" w14:textId="4EC3327B" w:rsidR="002249C1" w:rsidRPr="009B4460" w:rsidRDefault="002249C1">
      <w:pPr>
        <w:pStyle w:val="FootnoteText"/>
        <w:rPr>
          <w:lang w:val="en-GB"/>
        </w:rPr>
      </w:pPr>
      <w:r>
        <w:rPr>
          <w:rStyle w:val="FootnoteReference"/>
        </w:rPr>
        <w:footnoteRef/>
      </w:r>
      <w:r>
        <w:t xml:space="preserve"> </w:t>
      </w:r>
      <w:r>
        <w:rPr>
          <w:lang w:val="en-GB"/>
        </w:rPr>
        <w:t>Covovax is a locally produced version of the Nuvaxoid vaccine in India, manufactured not by the sponsor but by the Serum Institute of India (SII)</w:t>
      </w:r>
    </w:p>
  </w:footnote>
  <w:footnote w:id="24">
    <w:p w14:paraId="1619081A" w14:textId="22CA3E60" w:rsidR="002249C1" w:rsidRDefault="002249C1">
      <w:pPr>
        <w:pStyle w:val="FootnoteText"/>
      </w:pPr>
      <w:r>
        <w:rPr>
          <w:rStyle w:val="FootnoteReference"/>
        </w:rPr>
        <w:footnoteRef/>
      </w:r>
      <w:r>
        <w:t xml:space="preserve"> Subjects that had not received a current season influenza vaccine, had no contraindication to the specific vaccine to be administered in the study, and had no prior history of allergy or severe reaction to seasonal influenza vaccines</w:t>
      </w:r>
    </w:p>
  </w:footnote>
  <w:footnote w:id="25">
    <w:p w14:paraId="3CC4EA9C" w14:textId="0861B2E7" w:rsidR="002249C1" w:rsidRDefault="002249C1">
      <w:pPr>
        <w:pStyle w:val="FootnoteText"/>
      </w:pPr>
      <w:r>
        <w:rPr>
          <w:rStyle w:val="FootnoteReference"/>
        </w:rPr>
        <w:footnoteRef/>
      </w:r>
      <w:r>
        <w:t xml:space="preserve"> Flucelvax contains surface antigens (hemagglutinin and neuraminidase) detergent-extracted from the 4 strains of influenza virus recommended annually by the WHO for the Northern Hemisphere season (type A H1N1, type A H3N2, type B Yamagata lineage and type B Victoria lineage; 15 µg virus protein of each, 60 µg virus protein in total).</w:t>
      </w:r>
    </w:p>
  </w:footnote>
  <w:footnote w:id="26">
    <w:p w14:paraId="35BE9127" w14:textId="42665F80" w:rsidR="002249C1" w:rsidRDefault="002249C1">
      <w:pPr>
        <w:pStyle w:val="FootnoteText"/>
      </w:pPr>
      <w:r>
        <w:rPr>
          <w:rStyle w:val="FootnoteReference"/>
        </w:rPr>
        <w:footnoteRef/>
      </w:r>
      <w:r>
        <w:t xml:space="preserve"> Fluad contains surface antigens (hemagglutinin and neuraminidase) detergent-extracted from type A H1N1, type A H3N2 and type B Victoria virus, adjuvanted with MF59 (oil-in-water emulsion of squalene, a metabolisable oil).</w:t>
      </w:r>
    </w:p>
  </w:footnote>
  <w:footnote w:id="27">
    <w:p w14:paraId="4C61BE56" w14:textId="5E3728AA" w:rsidR="002249C1" w:rsidRDefault="002249C1">
      <w:pPr>
        <w:pStyle w:val="FootnoteText"/>
      </w:pPr>
      <w:r>
        <w:rPr>
          <w:rStyle w:val="FootnoteReference"/>
        </w:rPr>
        <w:footnoteRef/>
      </w:r>
      <w:r>
        <w:t xml:space="preserve"> Source: Toback et al., </w:t>
      </w:r>
      <w:r w:rsidRPr="006A0027">
        <w:t>Safety, immunogenicity, and efficacy of a COVID-19 vaccine (NVX-CoV2373) co-administered with seasonal influenza vaccines: an exploratory substudy of a randomised, observer-blinded, placebo-controlled, phase 3 trial</w:t>
      </w:r>
      <w:r>
        <w:t xml:space="preserve">, </w:t>
      </w:r>
      <w:r w:rsidRPr="006A0027">
        <w:rPr>
          <w:i/>
          <w:iCs/>
        </w:rPr>
        <w:t>The Lancet Respiratory Medicine</w:t>
      </w:r>
      <w:r>
        <w:t>, 2021; Nov.</w:t>
      </w:r>
    </w:p>
  </w:footnote>
  <w:footnote w:id="28">
    <w:p w14:paraId="1D5251A8" w14:textId="77777777" w:rsidR="002249C1" w:rsidRDefault="002249C1" w:rsidP="004D4674">
      <w:pPr>
        <w:pStyle w:val="FootnoteText"/>
      </w:pPr>
      <w:r>
        <w:rPr>
          <w:rStyle w:val="FootnoteReference"/>
        </w:rPr>
        <w:footnoteRef/>
      </w:r>
      <w:r>
        <w:t xml:space="preserve"> </w:t>
      </w:r>
      <w:r>
        <w:rPr>
          <w:lang w:eastAsia="ja-JP"/>
        </w:rPr>
        <w:t xml:space="preserve">The definitions employed to categorise mild, moderate and severe COVID-19 disease were based on those proposed by the US FDA in their ‘COVID-19: developing drugs and biological produces for treatment or prevention: guidance for industry’. Available at </w:t>
      </w:r>
      <w:hyperlink r:id="rId1" w:history="1">
        <w:r w:rsidRPr="00F91C87">
          <w:rPr>
            <w:rStyle w:val="Hyperlink"/>
            <w:lang w:eastAsia="ja-JP"/>
          </w:rPr>
          <w:t>https://www.fda.gov/regulatory-information/search-fda-guidance-documents/covid-19-developing-drugs-and-biological-products-treatment-or-prevention</w:t>
        </w:r>
      </w:hyperlink>
      <w:r>
        <w:rPr>
          <w:lang w:eastAsia="ja-JP"/>
        </w:rPr>
        <w:t xml:space="preserve"> </w:t>
      </w:r>
    </w:p>
  </w:footnote>
  <w:footnote w:id="29">
    <w:p w14:paraId="24C4D6EB" w14:textId="206C3CC6" w:rsidR="002249C1" w:rsidRPr="00B51D05" w:rsidRDefault="002249C1">
      <w:pPr>
        <w:pStyle w:val="FootnoteText"/>
      </w:pPr>
      <w:r>
        <w:rPr>
          <w:rStyle w:val="FootnoteReference"/>
        </w:rPr>
        <w:footnoteRef/>
      </w:r>
      <w:r>
        <w:t xml:space="preserve"> Heath et al., </w:t>
      </w:r>
      <w:r w:rsidRPr="00B51D05">
        <w:t>Safety and Efficacy of NVX-CoV2373 Covid-19 Vaccine</w:t>
      </w:r>
      <w:r>
        <w:t xml:space="preserve">, </w:t>
      </w:r>
      <w:r w:rsidRPr="00B51D05">
        <w:rPr>
          <w:i/>
          <w:iCs/>
        </w:rPr>
        <w:t>N Engl J Med</w:t>
      </w:r>
      <w:r w:rsidRPr="00B51D05">
        <w:t>; 2021; 385:1172-1183</w:t>
      </w:r>
    </w:p>
  </w:footnote>
  <w:footnote w:id="30">
    <w:p w14:paraId="143FE6E1" w14:textId="7A23EC8C" w:rsidR="002249C1" w:rsidRDefault="002249C1">
      <w:pPr>
        <w:pStyle w:val="FootnoteText"/>
      </w:pPr>
      <w:r>
        <w:rPr>
          <w:rStyle w:val="FootnoteReference"/>
        </w:rPr>
        <w:footnoteRef/>
      </w:r>
      <w:r>
        <w:t xml:space="preserve"> </w:t>
      </w:r>
      <w:r w:rsidRPr="006468D0">
        <w:t>Zou G. (2004). A modified poisson regression approach to prospective studies with binary data. American journal of epidemiology, 159(7), 702–706.</w:t>
      </w:r>
    </w:p>
  </w:footnote>
  <w:footnote w:id="31">
    <w:p w14:paraId="22D25425" w14:textId="6D2382DE" w:rsidR="002249C1" w:rsidRDefault="002249C1">
      <w:pPr>
        <w:pStyle w:val="FootnoteText"/>
      </w:pPr>
      <w:r>
        <w:rPr>
          <w:rStyle w:val="FootnoteReference"/>
        </w:rPr>
        <w:footnoteRef/>
      </w:r>
      <w:r>
        <w:t xml:space="preserve"> </w:t>
      </w:r>
      <w:r w:rsidRPr="00BD4A57">
        <w:t xml:space="preserve">Centers for Disease Control and Prevention </w:t>
      </w:r>
      <w:r>
        <w:t xml:space="preserve">(CDC) US variants classification available at </w:t>
      </w:r>
      <w:hyperlink r:id="rId2" w:history="1">
        <w:r w:rsidRPr="00956EF2">
          <w:rPr>
            <w:rStyle w:val="Hyperlink"/>
          </w:rPr>
          <w:t>https://www.cdc.gov/coronavirus/2019-ncov/variants/variant-classifications.html</w:t>
        </w:r>
      </w:hyperlink>
    </w:p>
  </w:footnote>
  <w:footnote w:id="32">
    <w:p w14:paraId="78A94FAA" w14:textId="7CDE0953" w:rsidR="002249C1" w:rsidRDefault="002249C1">
      <w:pPr>
        <w:pStyle w:val="FootnoteText"/>
      </w:pPr>
      <w:r>
        <w:rPr>
          <w:rStyle w:val="FootnoteReference"/>
        </w:rPr>
        <w:footnoteRef/>
      </w:r>
      <w:r>
        <w:t xml:space="preserve"> High risk is defined by age ≥ 65 years with or without co-morbidities or age &lt; 65 years with co</w:t>
      </w:r>
      <w:r>
        <w:noBreakHyphen/>
        <w:t>morbidities. For example obesity (body mass index (BMI) ≥ 30 kg/m</w:t>
      </w:r>
      <w:r w:rsidRPr="00BD4A57">
        <w:rPr>
          <w:vertAlign w:val="superscript"/>
        </w:rPr>
        <w:t>2</w:t>
      </w:r>
      <w:r>
        <w:t>), chronic kidney or lung disease, cardiovascular disease and diabetes mellitus type 2) and/or by life circumstance (living or working conditions involving known frequent exposure to SARS-CoV-2 or to densely populated circumstances).</w:t>
      </w:r>
    </w:p>
  </w:footnote>
  <w:footnote w:id="33">
    <w:p w14:paraId="77B957D3" w14:textId="4BAE34C0" w:rsidR="002249C1" w:rsidRDefault="002249C1">
      <w:pPr>
        <w:pStyle w:val="FootnoteText"/>
      </w:pPr>
      <w:r>
        <w:rPr>
          <w:rStyle w:val="FootnoteReference"/>
        </w:rPr>
        <w:footnoteRef/>
      </w:r>
      <w:r>
        <w:t xml:space="preserve"> Endpoint definitions of moderate COVID-19 is defined as having one of more of the following symptoms; high fever ( ≥ 38.4 </w:t>
      </w:r>
      <w:r w:rsidRPr="00F25197">
        <w:rPr>
          <w:vertAlign w:val="superscript"/>
        </w:rPr>
        <w:t>o</w:t>
      </w:r>
      <w:r>
        <w:t>C for ≥ 3 days regardless of use of anti-pyretic medications, need not be contiguous days); any evidence of significant l</w:t>
      </w:r>
      <w:r w:rsidRPr="00F25197">
        <w:t xml:space="preserve">ower </w:t>
      </w:r>
      <w:r>
        <w:t>r</w:t>
      </w:r>
      <w:r w:rsidRPr="00F25197">
        <w:t xml:space="preserve">espiratory </w:t>
      </w:r>
      <w:r>
        <w:t>t</w:t>
      </w:r>
      <w:r w:rsidRPr="00F25197">
        <w:t xml:space="preserve">ract </w:t>
      </w:r>
      <w:r>
        <w:t>i</w:t>
      </w:r>
      <w:r w:rsidRPr="00F25197">
        <w:t>nfections</w:t>
      </w:r>
      <w:r>
        <w:t xml:space="preserve"> (LRTI) such as shortness of breath, tachypnoea, SpO</w:t>
      </w:r>
      <w:r w:rsidRPr="00F25197">
        <w:rPr>
          <w:vertAlign w:val="subscript"/>
        </w:rPr>
        <w:t>2</w:t>
      </w:r>
      <w:r>
        <w:t xml:space="preserve"> [oxygen saturation] of 94% to 95% on room air, abnormal chest X-ray or chest CT consistent with pneumonia or LRTI; adventitious sounds on lung auscultation.</w:t>
      </w:r>
    </w:p>
  </w:footnote>
  <w:footnote w:id="34">
    <w:p w14:paraId="37FDD388" w14:textId="5CD4E242" w:rsidR="002249C1" w:rsidRDefault="002249C1">
      <w:pPr>
        <w:pStyle w:val="FootnoteText"/>
      </w:pPr>
      <w:r>
        <w:rPr>
          <w:rStyle w:val="FootnoteReference"/>
        </w:rPr>
        <w:footnoteRef/>
      </w:r>
      <w:r>
        <w:t xml:space="preserve"> Endpoint definitions of severe COVID-19 is defined as having one of more of the following symptoms: tachypnoea; resting heart rate ≥ 125 beats per minutes; SpO</w:t>
      </w:r>
      <w:r w:rsidRPr="00F25197">
        <w:rPr>
          <w:vertAlign w:val="subscript"/>
        </w:rPr>
        <w:t>2</w:t>
      </w:r>
      <w:r>
        <w:t>: ≤ 93% on room air or PaO</w:t>
      </w:r>
      <w:r w:rsidRPr="00F25197">
        <w:rPr>
          <w:vertAlign w:val="subscript"/>
        </w:rPr>
        <w:t>2</w:t>
      </w:r>
      <w:r>
        <w:t>/FiO</w:t>
      </w:r>
      <w:r w:rsidRPr="00F25197">
        <w:rPr>
          <w:vertAlign w:val="subscript"/>
        </w:rPr>
        <w:t>2</w:t>
      </w:r>
      <w:r>
        <w:t xml:space="preserve"> [</w:t>
      </w:r>
      <w:r w:rsidRPr="003F21FC">
        <w:t>ratio of arterial oxygen partial pressure (PaO2 in mmHg) to fractional inspired oxygen</w:t>
      </w:r>
      <w:r>
        <w:t>] &lt; 300mmHg.; High flow of O</w:t>
      </w:r>
      <w:r w:rsidRPr="00F25197">
        <w:rPr>
          <w:vertAlign w:val="subscript"/>
        </w:rPr>
        <w:t>2</w:t>
      </w:r>
      <w:r>
        <w:t xml:space="preserve"> therapy or </w:t>
      </w:r>
      <w:r w:rsidRPr="00F25197">
        <w:t>negative-pressure ventilation (NPV)</w:t>
      </w:r>
      <w:r>
        <w:t>/</w:t>
      </w:r>
      <w:r w:rsidRPr="00F25197">
        <w:t>noninvasive positive-pressure ventilation (NIPPV</w:t>
      </w:r>
      <w:r>
        <w:t xml:space="preserve">); mechanical ventilation or </w:t>
      </w:r>
      <w:r w:rsidRPr="0027616B">
        <w:t>extracorporeal membrane oxygenation</w:t>
      </w:r>
      <w:r>
        <w:t xml:space="preserve"> (ECMO); one or more major organ system dysfunction or failure to be defined by diagnostic testing/clinical syndrome/interventions, including any of the following: acute respiratory failure, acute renal failure, acute hepatic failure, acute heart failure, septic or cardiogenic shock , acute stroke, acute thrombotic event, admission to ICU, death.</w:t>
      </w:r>
    </w:p>
  </w:footnote>
  <w:footnote w:id="35">
    <w:p w14:paraId="47CE0883" w14:textId="05DF4FAE" w:rsidR="002249C1" w:rsidRDefault="002249C1">
      <w:pPr>
        <w:pStyle w:val="FootnoteText"/>
      </w:pPr>
      <w:r>
        <w:rPr>
          <w:rStyle w:val="FootnoteReference"/>
        </w:rPr>
        <w:footnoteRef/>
      </w:r>
      <w:r>
        <w:t xml:space="preserve"> </w:t>
      </w:r>
      <w:r w:rsidRPr="00C35868">
        <w:t xml:space="preserve">The </w:t>
      </w:r>
      <w:r w:rsidRPr="00C35868">
        <w:rPr>
          <w:b/>
          <w:bCs/>
        </w:rPr>
        <w:t>Medical Dictionary for Regulatory Activities</w:t>
      </w:r>
      <w:r w:rsidRPr="00C35868">
        <w:t xml:space="preserve"> (MedDRA)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supports ICH electronic communication within the ICH’s Electronic Common Technical Document (eCTD) and the E2B Individual Case Safety Report.</w:t>
      </w:r>
    </w:p>
  </w:footnote>
  <w:footnote w:id="36">
    <w:p w14:paraId="3BAD04C6" w14:textId="4B9830A0" w:rsidR="002249C1" w:rsidRDefault="002249C1">
      <w:pPr>
        <w:pStyle w:val="FootnoteText"/>
      </w:pPr>
      <w:r>
        <w:rPr>
          <w:rStyle w:val="FootnoteReference"/>
        </w:rPr>
        <w:footnoteRef/>
      </w:r>
      <w:r>
        <w:t xml:space="preserve"> FDA USA Guidance for industry, Toxicity grading scale for healthy adult and adolescent volunteers enrolled in preventive vaccine clinical trials. Available at </w:t>
      </w:r>
      <w:hyperlink r:id="rId3" w:history="1">
        <w:r w:rsidRPr="00B504A2">
          <w:rPr>
            <w:rStyle w:val="Hyperlink"/>
          </w:rPr>
          <w:t>https://www.fda.gov/media/73679/download</w:t>
        </w:r>
      </w:hyperlink>
    </w:p>
  </w:footnote>
  <w:footnote w:id="37">
    <w:p w14:paraId="576CF979" w14:textId="77777777" w:rsidR="002249C1" w:rsidRDefault="002249C1" w:rsidP="005F1D22">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AAB7033" w14:textId="77777777" w:rsidR="002249C1" w:rsidRDefault="002249C1" w:rsidP="005F1D22">
      <w:pPr>
        <w:pStyle w:val="FootnoteText"/>
      </w:pPr>
      <w:r w:rsidRPr="007D53B6">
        <w:rPr>
          <w:i/>
        </w:rPr>
        <w:t>Routine pharmacovigilance</w:t>
      </w:r>
      <w:r>
        <w:t xml:space="preserve"> practices involve the following activities:</w:t>
      </w:r>
    </w:p>
    <w:p w14:paraId="6DFC14D0" w14:textId="77777777" w:rsidR="002249C1" w:rsidRDefault="002249C1" w:rsidP="005F1D22">
      <w:pPr>
        <w:pStyle w:val="FootnoteText"/>
        <w:numPr>
          <w:ilvl w:val="0"/>
          <w:numId w:val="32"/>
        </w:numPr>
        <w:ind w:left="284" w:hanging="284"/>
      </w:pPr>
      <w:r>
        <w:t>All suspected adverse reactions that are reported to the personnel of the company are collected and collated in an accessible manner;</w:t>
      </w:r>
    </w:p>
    <w:p w14:paraId="7AB769EB" w14:textId="77777777" w:rsidR="002249C1" w:rsidRDefault="002249C1" w:rsidP="005F1D22">
      <w:pPr>
        <w:pStyle w:val="FootnoteText"/>
        <w:numPr>
          <w:ilvl w:val="0"/>
          <w:numId w:val="32"/>
        </w:numPr>
        <w:ind w:left="284" w:hanging="284"/>
      </w:pPr>
      <w:r>
        <w:t>Reporting to regulatory authorities;</w:t>
      </w:r>
    </w:p>
    <w:p w14:paraId="69674E09" w14:textId="77777777" w:rsidR="002249C1" w:rsidRDefault="002249C1" w:rsidP="005F1D22">
      <w:pPr>
        <w:pStyle w:val="FootnoteText"/>
        <w:numPr>
          <w:ilvl w:val="0"/>
          <w:numId w:val="32"/>
        </w:numPr>
        <w:ind w:left="284" w:hanging="284"/>
      </w:pPr>
      <w:r>
        <w:t>Continuous monitoring of the safety profiles of approved products including signal detection and updating of labelling;</w:t>
      </w:r>
    </w:p>
    <w:p w14:paraId="3B299E3D" w14:textId="77777777" w:rsidR="002249C1" w:rsidRDefault="002249C1" w:rsidP="005F1D22">
      <w:pPr>
        <w:pStyle w:val="FootnoteText"/>
        <w:numPr>
          <w:ilvl w:val="0"/>
          <w:numId w:val="32"/>
        </w:numPr>
        <w:ind w:left="284" w:hanging="284"/>
      </w:pPr>
      <w:r>
        <w:t>Submission of PSURs;</w:t>
      </w:r>
    </w:p>
    <w:p w14:paraId="46A86460" w14:textId="77777777" w:rsidR="002249C1" w:rsidRDefault="002249C1" w:rsidP="005F1D22">
      <w:pPr>
        <w:pStyle w:val="FootnoteText"/>
        <w:numPr>
          <w:ilvl w:val="0"/>
          <w:numId w:val="32"/>
        </w:numPr>
        <w:ind w:left="284" w:hanging="284"/>
      </w:pPr>
      <w:r>
        <w:t>Meeting other local regulatory agency requirements.</w:t>
      </w:r>
    </w:p>
  </w:footnote>
  <w:footnote w:id="38">
    <w:p w14:paraId="2132B053" w14:textId="74714D05" w:rsidR="002249C1" w:rsidRDefault="002249C1" w:rsidP="000F590F">
      <w:pPr>
        <w:pStyle w:val="FootnoteText"/>
        <w:ind w:left="284"/>
      </w:pPr>
      <w:r>
        <w:rPr>
          <w:rStyle w:val="FootnoteReference"/>
        </w:rPr>
        <w:footnoteRef/>
      </w:r>
      <w:r>
        <w:t>Mallory et al. (2021) I</w:t>
      </w:r>
      <w:r w:rsidRPr="000F590F">
        <w:t xml:space="preserve">mmunogenicity and </w:t>
      </w:r>
      <w:r>
        <w:t>s</w:t>
      </w:r>
      <w:r w:rsidRPr="000F590F">
        <w:t xml:space="preserve">afety </w:t>
      </w:r>
      <w:r>
        <w:t>f</w:t>
      </w:r>
      <w:r w:rsidRPr="000F590F">
        <w:t xml:space="preserve">ollowing a </w:t>
      </w:r>
      <w:r>
        <w:t>h</w:t>
      </w:r>
      <w:r w:rsidRPr="000F590F">
        <w:t xml:space="preserve">omologous </w:t>
      </w:r>
      <w:r>
        <w:t>b</w:t>
      </w:r>
      <w:r w:rsidRPr="000F590F">
        <w:t xml:space="preserve">ooster </w:t>
      </w:r>
      <w:r>
        <w:t>d</w:t>
      </w:r>
      <w:r w:rsidRPr="000F590F">
        <w:t xml:space="preserve">ose of a SARS-CoV-2 recombinant spike protein vaccine (NVX-CoV2373): A </w:t>
      </w:r>
      <w:r>
        <w:t>Phase II</w:t>
      </w:r>
      <w:r w:rsidRPr="000F590F">
        <w:t xml:space="preserve"> </w:t>
      </w:r>
      <w:r>
        <w:t>r</w:t>
      </w:r>
      <w:r w:rsidRPr="000F590F">
        <w:t xml:space="preserve">andomized </w:t>
      </w:r>
      <w:r>
        <w:t>p</w:t>
      </w:r>
      <w:r w:rsidRPr="000F590F">
        <w:t>lacebo-</w:t>
      </w:r>
      <w:r>
        <w:t>c</w:t>
      </w:r>
      <w:r w:rsidRPr="000F590F">
        <w:t xml:space="preserve">ontrolled </w:t>
      </w:r>
      <w:r>
        <w:t>t</w:t>
      </w:r>
      <w:r w:rsidRPr="000F590F">
        <w:t>rial</w:t>
      </w:r>
      <w:r>
        <w:t>.</w:t>
      </w:r>
      <w:r w:rsidRPr="000F590F">
        <w:t xml:space="preserve"> </w:t>
      </w:r>
      <w:r w:rsidRPr="000F590F">
        <w:rPr>
          <w:i/>
          <w:iCs/>
        </w:rPr>
        <w:t>medRxiv</w:t>
      </w:r>
      <w:r>
        <w:t>. pre-print.</w:t>
      </w:r>
    </w:p>
  </w:footnote>
  <w:footnote w:id="39">
    <w:p w14:paraId="437D9A1B" w14:textId="2D9FFF5A" w:rsidR="002249C1" w:rsidRDefault="002249C1" w:rsidP="004C279A">
      <w:pPr>
        <w:pStyle w:val="FootnoteText"/>
      </w:pPr>
      <w:r>
        <w:rPr>
          <w:rStyle w:val="FootnoteReference"/>
        </w:rPr>
        <w:footnoteRef/>
      </w:r>
      <w:r>
        <w:t xml:space="preserve"> </w:t>
      </w:r>
      <w:r w:rsidRPr="004C279A">
        <w:t>Munro</w:t>
      </w:r>
      <w:r>
        <w:t xml:space="preserve"> et al.(2021) Safety and immunogenicity of seven COVID-19 vaccines as a third dose (booster) following two doses of ChAdOx1 nCov-19 or BNT162b2 in the UK (COV-BOOST): a blinded, multicentre, randomised, controlled, phase 2 trial. </w:t>
      </w:r>
      <w:r w:rsidRPr="004C279A">
        <w:rPr>
          <w:i/>
          <w:iCs/>
        </w:rPr>
        <w:t>The Lancet</w:t>
      </w:r>
      <w:r>
        <w:t>,10318:2258-2276</w:t>
      </w:r>
    </w:p>
  </w:footnote>
  <w:footnote w:id="40">
    <w:p w14:paraId="2C13DFF0" w14:textId="0869BD1E" w:rsidR="002249C1" w:rsidRDefault="002249C1">
      <w:pPr>
        <w:pStyle w:val="FootnoteText"/>
      </w:pPr>
      <w:r>
        <w:rPr>
          <w:rStyle w:val="FootnoteReference"/>
        </w:rPr>
        <w:footnoteRef/>
      </w:r>
      <w:r>
        <w:t xml:space="preserve"> More information about the study is available at https://www.clinicaltrials.gov/ct2/show/NCT04889209</w:t>
      </w:r>
    </w:p>
  </w:footnote>
  <w:footnote w:id="41">
    <w:p w14:paraId="4D5BDACF" w14:textId="77777777" w:rsidR="002249C1" w:rsidRPr="00C61EC3" w:rsidRDefault="002249C1" w:rsidP="002C7650">
      <w:pPr>
        <w:pStyle w:val="FootnoteText"/>
      </w:pPr>
      <w:r>
        <w:rPr>
          <w:rStyle w:val="FootnoteReference"/>
        </w:rPr>
        <w:footnoteRef/>
      </w:r>
      <w:r>
        <w:t xml:space="preserve"> </w:t>
      </w:r>
      <w:r w:rsidRPr="00C61EC3">
        <w:t xml:space="preserve">The </w:t>
      </w:r>
      <w:r w:rsidRPr="00C61EC3">
        <w:rPr>
          <w:b/>
        </w:rPr>
        <w:t>Advisory Committee on Vaccines (ACV)</w:t>
      </w:r>
      <w:r w:rsidRPr="00C61EC3">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57E61801" w14:textId="77777777" w:rsidR="002249C1" w:rsidRPr="00C61EC3" w:rsidRDefault="002249C1" w:rsidP="002C7650">
      <w:pPr>
        <w:pStyle w:val="FootnoteText"/>
      </w:pPr>
      <w:r w:rsidRPr="00C61EC3">
        <w:t>The Committee is established under Regulation 39F of the Therapeutic Goods Regulations 1990 and the members are appointed by the Minister for Health.</w:t>
      </w:r>
    </w:p>
    <w:p w14:paraId="3133D247" w14:textId="77777777" w:rsidR="002249C1" w:rsidRPr="00C61EC3" w:rsidRDefault="002249C1" w:rsidP="002C7650">
      <w:pPr>
        <w:pStyle w:val="FootnoteText"/>
      </w:pPr>
      <w:r w:rsidRPr="00C61EC3">
        <w:t>The ACV was established in January 2017, following consolidation of previous functions of the Advisory Committee on the Safety of Vaccines (ACSOV) and the pre-market functions for vaccines of the Advisory Committee on Prescription Medicines (ACPM).</w:t>
      </w:r>
    </w:p>
    <w:p w14:paraId="25CEB4C8" w14:textId="74810707" w:rsidR="002249C1" w:rsidRPr="002C7650" w:rsidRDefault="002249C1" w:rsidP="00FB369D">
      <w:pPr>
        <w:pStyle w:val="FootnoteText"/>
      </w:pPr>
      <w:r w:rsidRPr="00C61EC3">
        <w:t>Membership comprises professionals with expertise in specific scientific, medical or clinical fields, or consumer health issues.</w:t>
      </w:r>
    </w:p>
  </w:footnote>
  <w:footnote w:id="42">
    <w:p w14:paraId="0A590C44" w14:textId="2110491A" w:rsidR="002249C1" w:rsidRDefault="002249C1">
      <w:pPr>
        <w:pStyle w:val="FootnoteText"/>
      </w:pPr>
      <w:r>
        <w:rPr>
          <w:rStyle w:val="FootnoteReference"/>
        </w:rPr>
        <w:footnoteRef/>
      </w:r>
      <w:r>
        <w:t xml:space="preserve"> Available at </w:t>
      </w:r>
      <w:hyperlink r:id="rId4" w:history="1">
        <w:r w:rsidRPr="001236AE">
          <w:rPr>
            <w:rStyle w:val="Hyperlink"/>
          </w:rPr>
          <w:t>http://ctri.nic.in/Clinicaltrials/pmaindet2.php?trialid=49327&amp;EncHid=&amp;userName=CTRI/2021/02/031554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37A70" w14:textId="77777777" w:rsidR="002249C1" w:rsidRDefault="002249C1"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D75F9" w14:textId="77777777" w:rsidR="002249C1" w:rsidRDefault="002249C1">
    <w:pPr>
      <w:rPr>
        <w:noProof/>
        <w:lang w:eastAsia="en-AU"/>
      </w:rPr>
    </w:pPr>
    <w:r w:rsidRPr="00347824">
      <w:rPr>
        <w:noProof/>
        <w:lang w:val="en-GB" w:eastAsia="en-GB"/>
      </w:rPr>
      <w:drawing>
        <wp:anchor distT="0" distB="0" distL="114300" distR="114300" simplePos="0" relativeHeight="251659264" behindDoc="1" locked="0" layoutInCell="1" allowOverlap="1" wp14:anchorId="42164172" wp14:editId="6AD99611">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443C359" w14:textId="77777777" w:rsidR="002249C1" w:rsidRDefault="002249C1"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CC932" w14:textId="77777777" w:rsidR="002249C1" w:rsidRDefault="002249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D7440" w14:textId="77777777" w:rsidR="002249C1" w:rsidRDefault="002249C1">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8411" w14:textId="77777777" w:rsidR="002249C1" w:rsidRDefault="002249C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2F68B" w14:textId="77777777" w:rsidR="002249C1" w:rsidRDefault="002249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7C538" w14:textId="77777777" w:rsidR="002249C1" w:rsidRDefault="002249C1"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8804F" w14:textId="77777777" w:rsidR="002249C1" w:rsidRDefault="002249C1" w:rsidP="006E08B3">
    <w:r>
      <w:t>Therapeutic Goods Administration</w:t>
    </w:r>
  </w:p>
  <w:p w14:paraId="395F4465" w14:textId="77777777" w:rsidR="002249C1" w:rsidRDefault="002249C1"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DA3A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EA32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D0A1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320D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E1849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988C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15:restartNumberingAfterBreak="0">
    <w:nsid w:val="FFFFFF88"/>
    <w:multiLevelType w:val="singleLevel"/>
    <w:tmpl w:val="4852F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727A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320B0A"/>
    <w:lvl w:ilvl="0">
      <w:numFmt w:val="bullet"/>
      <w:lvlText w:val="*"/>
      <w:lvlJc w:val="left"/>
    </w:lvl>
  </w:abstractNum>
  <w:abstractNum w:abstractNumId="11"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062E01"/>
    <w:multiLevelType w:val="hybridMultilevel"/>
    <w:tmpl w:val="617646DE"/>
    <w:lvl w:ilvl="0" w:tplc="D1A4FBA4">
      <w:start w:val="9"/>
      <w:numFmt w:val="bullet"/>
      <w:lvlText w:val="-"/>
      <w:lvlJc w:val="left"/>
      <w:pPr>
        <w:ind w:left="408" w:hanging="360"/>
      </w:pPr>
      <w:rPr>
        <w:rFonts w:ascii="Cambria" w:eastAsia="Calibri" w:hAnsi="Cambria" w:cs="Times New Roman" w:hint="default"/>
      </w:rPr>
    </w:lvl>
    <w:lvl w:ilvl="1" w:tplc="0C090003">
      <w:start w:val="1"/>
      <w:numFmt w:val="bullet"/>
      <w:lvlText w:val="o"/>
      <w:lvlJc w:val="left"/>
      <w:pPr>
        <w:ind w:left="1128" w:hanging="360"/>
      </w:pPr>
      <w:rPr>
        <w:rFonts w:ascii="Courier New" w:hAnsi="Courier New" w:cs="Courier New" w:hint="default"/>
      </w:rPr>
    </w:lvl>
    <w:lvl w:ilvl="2" w:tplc="0C090005">
      <w:start w:val="1"/>
      <w:numFmt w:val="bullet"/>
      <w:lvlText w:val=""/>
      <w:lvlJc w:val="left"/>
      <w:pPr>
        <w:ind w:left="1848" w:hanging="360"/>
      </w:pPr>
      <w:rPr>
        <w:rFonts w:ascii="Wingdings" w:hAnsi="Wingdings" w:hint="default"/>
      </w:rPr>
    </w:lvl>
    <w:lvl w:ilvl="3" w:tplc="0C090001">
      <w:start w:val="1"/>
      <w:numFmt w:val="bullet"/>
      <w:lvlText w:val=""/>
      <w:lvlJc w:val="left"/>
      <w:pPr>
        <w:ind w:left="2568" w:hanging="360"/>
      </w:pPr>
      <w:rPr>
        <w:rFonts w:ascii="Symbol" w:hAnsi="Symbol" w:hint="default"/>
      </w:rPr>
    </w:lvl>
    <w:lvl w:ilvl="4" w:tplc="0C090003">
      <w:start w:val="1"/>
      <w:numFmt w:val="bullet"/>
      <w:lvlText w:val="o"/>
      <w:lvlJc w:val="left"/>
      <w:pPr>
        <w:ind w:left="3288" w:hanging="360"/>
      </w:pPr>
      <w:rPr>
        <w:rFonts w:ascii="Courier New" w:hAnsi="Courier New" w:cs="Courier New" w:hint="default"/>
      </w:rPr>
    </w:lvl>
    <w:lvl w:ilvl="5" w:tplc="0C090005">
      <w:start w:val="1"/>
      <w:numFmt w:val="bullet"/>
      <w:lvlText w:val=""/>
      <w:lvlJc w:val="left"/>
      <w:pPr>
        <w:ind w:left="4008" w:hanging="360"/>
      </w:pPr>
      <w:rPr>
        <w:rFonts w:ascii="Wingdings" w:hAnsi="Wingdings" w:hint="default"/>
      </w:rPr>
    </w:lvl>
    <w:lvl w:ilvl="6" w:tplc="0C090001">
      <w:start w:val="1"/>
      <w:numFmt w:val="bullet"/>
      <w:lvlText w:val=""/>
      <w:lvlJc w:val="left"/>
      <w:pPr>
        <w:ind w:left="4728" w:hanging="360"/>
      </w:pPr>
      <w:rPr>
        <w:rFonts w:ascii="Symbol" w:hAnsi="Symbol" w:hint="default"/>
      </w:rPr>
    </w:lvl>
    <w:lvl w:ilvl="7" w:tplc="0C090003">
      <w:start w:val="1"/>
      <w:numFmt w:val="bullet"/>
      <w:lvlText w:val="o"/>
      <w:lvlJc w:val="left"/>
      <w:pPr>
        <w:ind w:left="5448" w:hanging="360"/>
      </w:pPr>
      <w:rPr>
        <w:rFonts w:ascii="Courier New" w:hAnsi="Courier New" w:cs="Courier New" w:hint="default"/>
      </w:rPr>
    </w:lvl>
    <w:lvl w:ilvl="8" w:tplc="0C090005">
      <w:start w:val="1"/>
      <w:numFmt w:val="bullet"/>
      <w:lvlText w:val=""/>
      <w:lvlJc w:val="left"/>
      <w:pPr>
        <w:ind w:left="6168" w:hanging="360"/>
      </w:pPr>
      <w:rPr>
        <w:rFonts w:ascii="Wingdings" w:hAnsi="Wingdings" w:hint="default"/>
      </w:rPr>
    </w:lvl>
  </w:abstractNum>
  <w:abstractNum w:abstractNumId="1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8F13E9"/>
    <w:multiLevelType w:val="multilevel"/>
    <w:tmpl w:val="C762B40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315248AE"/>
    <w:multiLevelType w:val="hybridMultilevel"/>
    <w:tmpl w:val="8278AA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BA5B46"/>
    <w:multiLevelType w:val="hybridMultilevel"/>
    <w:tmpl w:val="AC2CC7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666C64"/>
    <w:multiLevelType w:val="multilevel"/>
    <w:tmpl w:val="DE529160"/>
    <w:lvl w:ilvl="0">
      <w:start w:val="1"/>
      <w:numFmt w:val="decimal"/>
      <w:lvlText w:val="%1."/>
      <w:lvlJc w:val="left"/>
      <w:pPr>
        <w:ind w:left="720" w:hanging="360"/>
      </w:pPr>
    </w:lvl>
    <w:lvl w:ilvl="1">
      <w:start w:val="1"/>
      <w:numFmt w:val="decimal"/>
      <w:isLgl/>
      <w:lvlText w:val="%1.%2."/>
      <w:lvlJc w:val="left"/>
      <w:pPr>
        <w:ind w:left="1080" w:hanging="720"/>
      </w:pPr>
      <w:rPr>
        <w:b/>
        <w:sz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39885614"/>
    <w:multiLevelType w:val="hybridMultilevel"/>
    <w:tmpl w:val="DC287E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8D02DC"/>
    <w:multiLevelType w:val="hybridMultilevel"/>
    <w:tmpl w:val="F55EAC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CCC52AA"/>
    <w:multiLevelType w:val="hybridMultilevel"/>
    <w:tmpl w:val="B186E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DBD38B7"/>
    <w:multiLevelType w:val="hybridMultilevel"/>
    <w:tmpl w:val="BB10C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486E7F"/>
    <w:multiLevelType w:val="hybridMultilevel"/>
    <w:tmpl w:val="89FE3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7136F6"/>
    <w:multiLevelType w:val="hybridMultilevel"/>
    <w:tmpl w:val="407AEF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5"/>
  </w:num>
  <w:num w:numId="4">
    <w:abstractNumId w:val="15"/>
  </w:num>
  <w:num w:numId="5">
    <w:abstractNumId w:val="6"/>
  </w:num>
  <w:num w:numId="6">
    <w:abstractNumId w:val="15"/>
  </w:num>
  <w:num w:numId="7">
    <w:abstractNumId w:val="15"/>
  </w:num>
  <w:num w:numId="8">
    <w:abstractNumId w:val="13"/>
  </w:num>
  <w:num w:numId="9">
    <w:abstractNumId w:val="13"/>
  </w:num>
  <w:num w:numId="10">
    <w:abstractNumId w:val="13"/>
  </w:num>
  <w:num w:numId="11">
    <w:abstractNumId w:val="13"/>
  </w:num>
  <w:num w:numId="12">
    <w:abstractNumId w:val="10"/>
    <w:lvlOverride w:ilvl="0">
      <w:lvl w:ilvl="0">
        <w:numFmt w:val="bullet"/>
        <w:lvlText w:val="•"/>
        <w:legacy w:legacy="1" w:legacySpace="0" w:legacyIndent="0"/>
        <w:lvlJc w:val="left"/>
        <w:rPr>
          <w:rFonts w:ascii="Helv" w:hAnsi="Helv" w:hint="default"/>
        </w:rPr>
      </w:lvl>
    </w:lvlOverride>
  </w:num>
  <w:num w:numId="13">
    <w:abstractNumId w:val="15"/>
  </w:num>
  <w:num w:numId="14">
    <w:abstractNumId w:val="15"/>
  </w:num>
  <w:num w:numId="15">
    <w:abstractNumId w:val="15"/>
  </w:num>
  <w:num w:numId="16">
    <w:abstractNumId w:val="13"/>
  </w:num>
  <w:num w:numId="17">
    <w:abstractNumId w:val="13"/>
  </w:num>
  <w:num w:numId="18">
    <w:abstractNumId w:val="13"/>
  </w:num>
  <w:num w:numId="19">
    <w:abstractNumId w:val="15"/>
  </w:num>
  <w:num w:numId="20">
    <w:abstractNumId w:val="15"/>
  </w:num>
  <w:num w:numId="21">
    <w:abstractNumId w:val="15"/>
  </w:num>
  <w:num w:numId="22">
    <w:abstractNumId w:val="13"/>
  </w:num>
  <w:num w:numId="23">
    <w:abstractNumId w:val="13"/>
  </w:num>
  <w:num w:numId="24">
    <w:abstractNumId w:val="13"/>
  </w:num>
  <w:num w:numId="25">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2"/>
  </w:num>
  <w:num w:numId="28">
    <w:abstractNumId w:val="28"/>
  </w:num>
  <w:num w:numId="29">
    <w:abstractNumId w:val="14"/>
  </w:num>
  <w:num w:numId="30">
    <w:abstractNumId w:val="20"/>
  </w:num>
  <w:num w:numId="31">
    <w:abstractNumId w:val="11"/>
  </w:num>
  <w:num w:numId="32">
    <w:abstractNumId w:val="23"/>
  </w:num>
  <w:num w:numId="33">
    <w:abstractNumId w:val="21"/>
  </w:num>
  <w:num w:numId="34">
    <w:abstractNumId w:val="25"/>
  </w:num>
  <w:num w:numId="35">
    <w:abstractNumId w:val="19"/>
  </w:num>
  <w:num w:numId="36">
    <w:abstractNumId w:val="27"/>
  </w:num>
  <w:num w:numId="37">
    <w:abstractNumId w:val="12"/>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6"/>
  </w:num>
  <w:num w:numId="41">
    <w:abstractNumId w:val="26"/>
  </w:num>
  <w:num w:numId="42">
    <w:abstractNumId w:val="24"/>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C08"/>
    <w:rsid w:val="00001B6D"/>
    <w:rsid w:val="00002031"/>
    <w:rsid w:val="00004734"/>
    <w:rsid w:val="00006B22"/>
    <w:rsid w:val="00006FAB"/>
    <w:rsid w:val="000120D3"/>
    <w:rsid w:val="000123F4"/>
    <w:rsid w:val="0001276A"/>
    <w:rsid w:val="00012ED6"/>
    <w:rsid w:val="000201DF"/>
    <w:rsid w:val="000246AE"/>
    <w:rsid w:val="00025C67"/>
    <w:rsid w:val="000266B6"/>
    <w:rsid w:val="00032B11"/>
    <w:rsid w:val="0003325A"/>
    <w:rsid w:val="00044772"/>
    <w:rsid w:val="0004541C"/>
    <w:rsid w:val="0005559E"/>
    <w:rsid w:val="000604D6"/>
    <w:rsid w:val="0007238D"/>
    <w:rsid w:val="000734D8"/>
    <w:rsid w:val="00077775"/>
    <w:rsid w:val="00090471"/>
    <w:rsid w:val="00093A39"/>
    <w:rsid w:val="00094B35"/>
    <w:rsid w:val="00096AA7"/>
    <w:rsid w:val="00096AED"/>
    <w:rsid w:val="000A3AED"/>
    <w:rsid w:val="000B03CD"/>
    <w:rsid w:val="000B05CD"/>
    <w:rsid w:val="000B2BEC"/>
    <w:rsid w:val="000B3532"/>
    <w:rsid w:val="000B3A75"/>
    <w:rsid w:val="000B5B25"/>
    <w:rsid w:val="000C00C2"/>
    <w:rsid w:val="000C4974"/>
    <w:rsid w:val="000C690F"/>
    <w:rsid w:val="000C6F85"/>
    <w:rsid w:val="000D1295"/>
    <w:rsid w:val="000D391B"/>
    <w:rsid w:val="000D3D6D"/>
    <w:rsid w:val="000D4FC7"/>
    <w:rsid w:val="000E2856"/>
    <w:rsid w:val="000E6196"/>
    <w:rsid w:val="000F4869"/>
    <w:rsid w:val="000F590F"/>
    <w:rsid w:val="000F5B42"/>
    <w:rsid w:val="000F6E6F"/>
    <w:rsid w:val="00104269"/>
    <w:rsid w:val="0010601F"/>
    <w:rsid w:val="0010788A"/>
    <w:rsid w:val="00107A31"/>
    <w:rsid w:val="0011079D"/>
    <w:rsid w:val="00110EA5"/>
    <w:rsid w:val="00112F56"/>
    <w:rsid w:val="00113B02"/>
    <w:rsid w:val="00122975"/>
    <w:rsid w:val="00122C2E"/>
    <w:rsid w:val="00124ACD"/>
    <w:rsid w:val="00125318"/>
    <w:rsid w:val="00126EF1"/>
    <w:rsid w:val="001300D5"/>
    <w:rsid w:val="001305A2"/>
    <w:rsid w:val="00133238"/>
    <w:rsid w:val="00133A1B"/>
    <w:rsid w:val="0014197B"/>
    <w:rsid w:val="001447CD"/>
    <w:rsid w:val="00145A33"/>
    <w:rsid w:val="0014718A"/>
    <w:rsid w:val="001516B1"/>
    <w:rsid w:val="00154EBB"/>
    <w:rsid w:val="00156316"/>
    <w:rsid w:val="00156389"/>
    <w:rsid w:val="00161181"/>
    <w:rsid w:val="00162D14"/>
    <w:rsid w:val="00163780"/>
    <w:rsid w:val="00164714"/>
    <w:rsid w:val="00165389"/>
    <w:rsid w:val="001700EC"/>
    <w:rsid w:val="00173D38"/>
    <w:rsid w:val="0017693F"/>
    <w:rsid w:val="0018110E"/>
    <w:rsid w:val="00181684"/>
    <w:rsid w:val="00183DE7"/>
    <w:rsid w:val="001843C6"/>
    <w:rsid w:val="001850E0"/>
    <w:rsid w:val="0019022D"/>
    <w:rsid w:val="00192D65"/>
    <w:rsid w:val="00194781"/>
    <w:rsid w:val="001A03AF"/>
    <w:rsid w:val="001A2158"/>
    <w:rsid w:val="001A525F"/>
    <w:rsid w:val="001B09F9"/>
    <w:rsid w:val="001B5C90"/>
    <w:rsid w:val="001B6448"/>
    <w:rsid w:val="001B6472"/>
    <w:rsid w:val="001C32CD"/>
    <w:rsid w:val="001D2984"/>
    <w:rsid w:val="001D6ABE"/>
    <w:rsid w:val="001E07CF"/>
    <w:rsid w:val="001E59F1"/>
    <w:rsid w:val="001E631E"/>
    <w:rsid w:val="001F0C95"/>
    <w:rsid w:val="001F2CEE"/>
    <w:rsid w:val="001F49EB"/>
    <w:rsid w:val="001F6CBA"/>
    <w:rsid w:val="00201D4E"/>
    <w:rsid w:val="002042E1"/>
    <w:rsid w:val="002076C9"/>
    <w:rsid w:val="00220B8A"/>
    <w:rsid w:val="00221C08"/>
    <w:rsid w:val="002249C1"/>
    <w:rsid w:val="002257F3"/>
    <w:rsid w:val="00233456"/>
    <w:rsid w:val="002339A5"/>
    <w:rsid w:val="002360D9"/>
    <w:rsid w:val="00240124"/>
    <w:rsid w:val="002421E1"/>
    <w:rsid w:val="00243B8D"/>
    <w:rsid w:val="00245558"/>
    <w:rsid w:val="00245648"/>
    <w:rsid w:val="00245D5A"/>
    <w:rsid w:val="00250271"/>
    <w:rsid w:val="00250CE4"/>
    <w:rsid w:val="002533DC"/>
    <w:rsid w:val="002533F3"/>
    <w:rsid w:val="002539DA"/>
    <w:rsid w:val="00257848"/>
    <w:rsid w:val="002578E8"/>
    <w:rsid w:val="00257CD1"/>
    <w:rsid w:val="00265ECD"/>
    <w:rsid w:val="0026682C"/>
    <w:rsid w:val="00266B53"/>
    <w:rsid w:val="00270251"/>
    <w:rsid w:val="0027084A"/>
    <w:rsid w:val="00272970"/>
    <w:rsid w:val="00274550"/>
    <w:rsid w:val="0027616B"/>
    <w:rsid w:val="0027667D"/>
    <w:rsid w:val="002767DA"/>
    <w:rsid w:val="00280265"/>
    <w:rsid w:val="002829B8"/>
    <w:rsid w:val="00282A8B"/>
    <w:rsid w:val="0028601D"/>
    <w:rsid w:val="00286434"/>
    <w:rsid w:val="00286C59"/>
    <w:rsid w:val="00291957"/>
    <w:rsid w:val="00291C71"/>
    <w:rsid w:val="002942D1"/>
    <w:rsid w:val="0029501A"/>
    <w:rsid w:val="002A0CA6"/>
    <w:rsid w:val="002A3721"/>
    <w:rsid w:val="002A4F29"/>
    <w:rsid w:val="002A614E"/>
    <w:rsid w:val="002A66C5"/>
    <w:rsid w:val="002B1638"/>
    <w:rsid w:val="002B3624"/>
    <w:rsid w:val="002B6C8A"/>
    <w:rsid w:val="002C4A06"/>
    <w:rsid w:val="002C6DF6"/>
    <w:rsid w:val="002C7650"/>
    <w:rsid w:val="002D0952"/>
    <w:rsid w:val="002E40B3"/>
    <w:rsid w:val="002E495C"/>
    <w:rsid w:val="002E4C9A"/>
    <w:rsid w:val="002E7540"/>
    <w:rsid w:val="002F11F8"/>
    <w:rsid w:val="002F219F"/>
    <w:rsid w:val="002F3F56"/>
    <w:rsid w:val="002F44B5"/>
    <w:rsid w:val="002F5122"/>
    <w:rsid w:val="003020BD"/>
    <w:rsid w:val="00302C3C"/>
    <w:rsid w:val="00305CA2"/>
    <w:rsid w:val="00311AC0"/>
    <w:rsid w:val="003176FC"/>
    <w:rsid w:val="003208E7"/>
    <w:rsid w:val="00324E45"/>
    <w:rsid w:val="0032583B"/>
    <w:rsid w:val="00327074"/>
    <w:rsid w:val="00327883"/>
    <w:rsid w:val="0033535B"/>
    <w:rsid w:val="00335504"/>
    <w:rsid w:val="003401DF"/>
    <w:rsid w:val="00340C18"/>
    <w:rsid w:val="003442FD"/>
    <w:rsid w:val="00344FF4"/>
    <w:rsid w:val="00345763"/>
    <w:rsid w:val="00347824"/>
    <w:rsid w:val="00347DDA"/>
    <w:rsid w:val="00350567"/>
    <w:rsid w:val="003521E8"/>
    <w:rsid w:val="0036797E"/>
    <w:rsid w:val="00370CE3"/>
    <w:rsid w:val="003713A9"/>
    <w:rsid w:val="003728F3"/>
    <w:rsid w:val="003735BC"/>
    <w:rsid w:val="0037496E"/>
    <w:rsid w:val="00383221"/>
    <w:rsid w:val="00386150"/>
    <w:rsid w:val="003874CE"/>
    <w:rsid w:val="00390900"/>
    <w:rsid w:val="00395612"/>
    <w:rsid w:val="003A3957"/>
    <w:rsid w:val="003A7F6C"/>
    <w:rsid w:val="003B37B1"/>
    <w:rsid w:val="003B45EE"/>
    <w:rsid w:val="003B4BDE"/>
    <w:rsid w:val="003B4D60"/>
    <w:rsid w:val="003B5F01"/>
    <w:rsid w:val="003B7E39"/>
    <w:rsid w:val="003C5588"/>
    <w:rsid w:val="003C58DC"/>
    <w:rsid w:val="003D1E62"/>
    <w:rsid w:val="003E0B99"/>
    <w:rsid w:val="003E102F"/>
    <w:rsid w:val="003E2486"/>
    <w:rsid w:val="003E3208"/>
    <w:rsid w:val="003E3E11"/>
    <w:rsid w:val="003E6563"/>
    <w:rsid w:val="003F0B04"/>
    <w:rsid w:val="003F21FC"/>
    <w:rsid w:val="003F26CB"/>
    <w:rsid w:val="003F58DB"/>
    <w:rsid w:val="0040134E"/>
    <w:rsid w:val="00402CE4"/>
    <w:rsid w:val="00413926"/>
    <w:rsid w:val="004157E5"/>
    <w:rsid w:val="00417929"/>
    <w:rsid w:val="00420533"/>
    <w:rsid w:val="00420FF7"/>
    <w:rsid w:val="00421EC2"/>
    <w:rsid w:val="0042587B"/>
    <w:rsid w:val="00425E8B"/>
    <w:rsid w:val="004334C7"/>
    <w:rsid w:val="00440A2D"/>
    <w:rsid w:val="00441426"/>
    <w:rsid w:val="00441C3F"/>
    <w:rsid w:val="0044401D"/>
    <w:rsid w:val="00444D1A"/>
    <w:rsid w:val="0045163D"/>
    <w:rsid w:val="0045186A"/>
    <w:rsid w:val="004564A7"/>
    <w:rsid w:val="00456765"/>
    <w:rsid w:val="00457158"/>
    <w:rsid w:val="00460036"/>
    <w:rsid w:val="004617BF"/>
    <w:rsid w:val="00463658"/>
    <w:rsid w:val="004637A0"/>
    <w:rsid w:val="004652E7"/>
    <w:rsid w:val="004722CC"/>
    <w:rsid w:val="00480D64"/>
    <w:rsid w:val="00481D04"/>
    <w:rsid w:val="00490483"/>
    <w:rsid w:val="004932F3"/>
    <w:rsid w:val="00493432"/>
    <w:rsid w:val="004936E4"/>
    <w:rsid w:val="00494E60"/>
    <w:rsid w:val="00495FCB"/>
    <w:rsid w:val="0049731C"/>
    <w:rsid w:val="00497487"/>
    <w:rsid w:val="004A2771"/>
    <w:rsid w:val="004A6189"/>
    <w:rsid w:val="004A7390"/>
    <w:rsid w:val="004B7B76"/>
    <w:rsid w:val="004C239D"/>
    <w:rsid w:val="004C279A"/>
    <w:rsid w:val="004C2DCA"/>
    <w:rsid w:val="004C4FBE"/>
    <w:rsid w:val="004C61D2"/>
    <w:rsid w:val="004D4674"/>
    <w:rsid w:val="004E1F49"/>
    <w:rsid w:val="004F0C4A"/>
    <w:rsid w:val="004F0F38"/>
    <w:rsid w:val="004F1E20"/>
    <w:rsid w:val="004F3071"/>
    <w:rsid w:val="004F47D6"/>
    <w:rsid w:val="004F66D8"/>
    <w:rsid w:val="004F75BA"/>
    <w:rsid w:val="00500337"/>
    <w:rsid w:val="00501921"/>
    <w:rsid w:val="0050760E"/>
    <w:rsid w:val="0051209E"/>
    <w:rsid w:val="00513650"/>
    <w:rsid w:val="00516D25"/>
    <w:rsid w:val="005252B2"/>
    <w:rsid w:val="00525B4F"/>
    <w:rsid w:val="00530354"/>
    <w:rsid w:val="0053625B"/>
    <w:rsid w:val="00542E40"/>
    <w:rsid w:val="005434C6"/>
    <w:rsid w:val="00543B39"/>
    <w:rsid w:val="00546154"/>
    <w:rsid w:val="00550096"/>
    <w:rsid w:val="00552DCA"/>
    <w:rsid w:val="005540CA"/>
    <w:rsid w:val="00555280"/>
    <w:rsid w:val="0055558B"/>
    <w:rsid w:val="00557FF9"/>
    <w:rsid w:val="00562327"/>
    <w:rsid w:val="005711D5"/>
    <w:rsid w:val="00576378"/>
    <w:rsid w:val="00577130"/>
    <w:rsid w:val="00577945"/>
    <w:rsid w:val="00577E38"/>
    <w:rsid w:val="005840B2"/>
    <w:rsid w:val="00585322"/>
    <w:rsid w:val="005857C6"/>
    <w:rsid w:val="00592F6E"/>
    <w:rsid w:val="00593AD1"/>
    <w:rsid w:val="005A4B43"/>
    <w:rsid w:val="005A68B6"/>
    <w:rsid w:val="005A6EA7"/>
    <w:rsid w:val="005B3F9E"/>
    <w:rsid w:val="005C4061"/>
    <w:rsid w:val="005C5570"/>
    <w:rsid w:val="005C5B66"/>
    <w:rsid w:val="005C79A4"/>
    <w:rsid w:val="005D10BD"/>
    <w:rsid w:val="005D1EE8"/>
    <w:rsid w:val="005D535E"/>
    <w:rsid w:val="005D5442"/>
    <w:rsid w:val="005F1CE7"/>
    <w:rsid w:val="005F1D22"/>
    <w:rsid w:val="005F4935"/>
    <w:rsid w:val="00603050"/>
    <w:rsid w:val="00603F32"/>
    <w:rsid w:val="00605AD4"/>
    <w:rsid w:val="00610059"/>
    <w:rsid w:val="006136D7"/>
    <w:rsid w:val="00613B54"/>
    <w:rsid w:val="006254C9"/>
    <w:rsid w:val="00625A6E"/>
    <w:rsid w:val="00632398"/>
    <w:rsid w:val="006358E0"/>
    <w:rsid w:val="00637A78"/>
    <w:rsid w:val="00640FC3"/>
    <w:rsid w:val="00642020"/>
    <w:rsid w:val="006430EE"/>
    <w:rsid w:val="006468D0"/>
    <w:rsid w:val="00650D9E"/>
    <w:rsid w:val="0065337B"/>
    <w:rsid w:val="0065419D"/>
    <w:rsid w:val="00656694"/>
    <w:rsid w:val="006575C4"/>
    <w:rsid w:val="006603BC"/>
    <w:rsid w:val="006604D8"/>
    <w:rsid w:val="006639DA"/>
    <w:rsid w:val="00664A5B"/>
    <w:rsid w:val="0066735C"/>
    <w:rsid w:val="0067200E"/>
    <w:rsid w:val="00672B8B"/>
    <w:rsid w:val="006763D2"/>
    <w:rsid w:val="006766B3"/>
    <w:rsid w:val="006774CB"/>
    <w:rsid w:val="00680C08"/>
    <w:rsid w:val="006916A0"/>
    <w:rsid w:val="006931B1"/>
    <w:rsid w:val="00693B43"/>
    <w:rsid w:val="00694A71"/>
    <w:rsid w:val="006966B0"/>
    <w:rsid w:val="006A0027"/>
    <w:rsid w:val="006A15C0"/>
    <w:rsid w:val="006A32EA"/>
    <w:rsid w:val="006A543A"/>
    <w:rsid w:val="006A58A8"/>
    <w:rsid w:val="006B13BD"/>
    <w:rsid w:val="006C3E2A"/>
    <w:rsid w:val="006C6174"/>
    <w:rsid w:val="006C642F"/>
    <w:rsid w:val="006D03E5"/>
    <w:rsid w:val="006D5D3E"/>
    <w:rsid w:val="006E08B3"/>
    <w:rsid w:val="006E31BE"/>
    <w:rsid w:val="006E518A"/>
    <w:rsid w:val="006E544F"/>
    <w:rsid w:val="006E77AC"/>
    <w:rsid w:val="006F17AC"/>
    <w:rsid w:val="006F25B8"/>
    <w:rsid w:val="006F3201"/>
    <w:rsid w:val="006F572E"/>
    <w:rsid w:val="006F5F10"/>
    <w:rsid w:val="00700A02"/>
    <w:rsid w:val="007046D6"/>
    <w:rsid w:val="00705DB0"/>
    <w:rsid w:val="00705E46"/>
    <w:rsid w:val="00711182"/>
    <w:rsid w:val="00711774"/>
    <w:rsid w:val="00712D41"/>
    <w:rsid w:val="0071657B"/>
    <w:rsid w:val="00722B57"/>
    <w:rsid w:val="00723DFC"/>
    <w:rsid w:val="00725D63"/>
    <w:rsid w:val="007267CC"/>
    <w:rsid w:val="00730F8A"/>
    <w:rsid w:val="00735A8C"/>
    <w:rsid w:val="0074253D"/>
    <w:rsid w:val="00744121"/>
    <w:rsid w:val="0074429B"/>
    <w:rsid w:val="0075672D"/>
    <w:rsid w:val="007615BC"/>
    <w:rsid w:val="007615FB"/>
    <w:rsid w:val="007629C1"/>
    <w:rsid w:val="00762F05"/>
    <w:rsid w:val="007652FF"/>
    <w:rsid w:val="00770CAC"/>
    <w:rsid w:val="00770EF1"/>
    <w:rsid w:val="00773EF7"/>
    <w:rsid w:val="00774E1D"/>
    <w:rsid w:val="007765D8"/>
    <w:rsid w:val="0077675A"/>
    <w:rsid w:val="0078020E"/>
    <w:rsid w:val="00780355"/>
    <w:rsid w:val="007819FD"/>
    <w:rsid w:val="0078568C"/>
    <w:rsid w:val="00785717"/>
    <w:rsid w:val="00785721"/>
    <w:rsid w:val="00793A59"/>
    <w:rsid w:val="007969FB"/>
    <w:rsid w:val="007A27EE"/>
    <w:rsid w:val="007A46F5"/>
    <w:rsid w:val="007A6505"/>
    <w:rsid w:val="007B1063"/>
    <w:rsid w:val="007B2CBB"/>
    <w:rsid w:val="007B5A50"/>
    <w:rsid w:val="007B6132"/>
    <w:rsid w:val="007B6D26"/>
    <w:rsid w:val="007B6E9F"/>
    <w:rsid w:val="007C1216"/>
    <w:rsid w:val="007C1AF7"/>
    <w:rsid w:val="007C6B9B"/>
    <w:rsid w:val="007C7A80"/>
    <w:rsid w:val="007D0113"/>
    <w:rsid w:val="007D21F3"/>
    <w:rsid w:val="007D53B6"/>
    <w:rsid w:val="007E2D64"/>
    <w:rsid w:val="007F08C6"/>
    <w:rsid w:val="007F1003"/>
    <w:rsid w:val="007F3D61"/>
    <w:rsid w:val="007F3E96"/>
    <w:rsid w:val="00805D27"/>
    <w:rsid w:val="00806DCB"/>
    <w:rsid w:val="00813338"/>
    <w:rsid w:val="00821776"/>
    <w:rsid w:val="008321F5"/>
    <w:rsid w:val="00832369"/>
    <w:rsid w:val="00834660"/>
    <w:rsid w:val="008360A9"/>
    <w:rsid w:val="00836BC2"/>
    <w:rsid w:val="008462DD"/>
    <w:rsid w:val="0085156D"/>
    <w:rsid w:val="00852B28"/>
    <w:rsid w:val="00853044"/>
    <w:rsid w:val="008562C3"/>
    <w:rsid w:val="0085641B"/>
    <w:rsid w:val="0085688B"/>
    <w:rsid w:val="00857136"/>
    <w:rsid w:val="00875A6B"/>
    <w:rsid w:val="00885B11"/>
    <w:rsid w:val="00886D15"/>
    <w:rsid w:val="00887DD8"/>
    <w:rsid w:val="00890CF6"/>
    <w:rsid w:val="00891BA9"/>
    <w:rsid w:val="00896018"/>
    <w:rsid w:val="008960DD"/>
    <w:rsid w:val="0089635C"/>
    <w:rsid w:val="008A2B9D"/>
    <w:rsid w:val="008A3D9F"/>
    <w:rsid w:val="008A5E0B"/>
    <w:rsid w:val="008A6D59"/>
    <w:rsid w:val="008A7E35"/>
    <w:rsid w:val="008B2435"/>
    <w:rsid w:val="008B4B03"/>
    <w:rsid w:val="008B5778"/>
    <w:rsid w:val="008B596F"/>
    <w:rsid w:val="008C159F"/>
    <w:rsid w:val="008C1623"/>
    <w:rsid w:val="008C1850"/>
    <w:rsid w:val="008C51A9"/>
    <w:rsid w:val="008E6A76"/>
    <w:rsid w:val="008E6FB4"/>
    <w:rsid w:val="008E7846"/>
    <w:rsid w:val="008F02E5"/>
    <w:rsid w:val="008F08A5"/>
    <w:rsid w:val="008F1CCC"/>
    <w:rsid w:val="008F2967"/>
    <w:rsid w:val="008F6943"/>
    <w:rsid w:val="00901C00"/>
    <w:rsid w:val="00902A21"/>
    <w:rsid w:val="00910E09"/>
    <w:rsid w:val="00911C90"/>
    <w:rsid w:val="0091523F"/>
    <w:rsid w:val="00916F4A"/>
    <w:rsid w:val="009171D3"/>
    <w:rsid w:val="00920330"/>
    <w:rsid w:val="0092108C"/>
    <w:rsid w:val="009219D7"/>
    <w:rsid w:val="00921CF2"/>
    <w:rsid w:val="00922D53"/>
    <w:rsid w:val="00923B70"/>
    <w:rsid w:val="00924482"/>
    <w:rsid w:val="00930237"/>
    <w:rsid w:val="009302E6"/>
    <w:rsid w:val="00937C17"/>
    <w:rsid w:val="00940A89"/>
    <w:rsid w:val="009415FB"/>
    <w:rsid w:val="00941F77"/>
    <w:rsid w:val="00946EA5"/>
    <w:rsid w:val="00950CB0"/>
    <w:rsid w:val="009547D7"/>
    <w:rsid w:val="00960520"/>
    <w:rsid w:val="00963C08"/>
    <w:rsid w:val="00965D2E"/>
    <w:rsid w:val="009752A5"/>
    <w:rsid w:val="009765D0"/>
    <w:rsid w:val="009772D3"/>
    <w:rsid w:val="0098258F"/>
    <w:rsid w:val="0098585A"/>
    <w:rsid w:val="009910F0"/>
    <w:rsid w:val="009A3104"/>
    <w:rsid w:val="009A4172"/>
    <w:rsid w:val="009A4CED"/>
    <w:rsid w:val="009A5F7F"/>
    <w:rsid w:val="009A64D8"/>
    <w:rsid w:val="009A690D"/>
    <w:rsid w:val="009B1D12"/>
    <w:rsid w:val="009B2E6C"/>
    <w:rsid w:val="009B37AA"/>
    <w:rsid w:val="009B3EEE"/>
    <w:rsid w:val="009B416B"/>
    <w:rsid w:val="009B4460"/>
    <w:rsid w:val="009C0C3C"/>
    <w:rsid w:val="009C25D7"/>
    <w:rsid w:val="009C44BC"/>
    <w:rsid w:val="009C4BD5"/>
    <w:rsid w:val="009C5594"/>
    <w:rsid w:val="009D1A30"/>
    <w:rsid w:val="009D3593"/>
    <w:rsid w:val="009D5503"/>
    <w:rsid w:val="009D79AD"/>
    <w:rsid w:val="009D7B77"/>
    <w:rsid w:val="009E0BB0"/>
    <w:rsid w:val="009E3FBB"/>
    <w:rsid w:val="009F2C17"/>
    <w:rsid w:val="009F4FE7"/>
    <w:rsid w:val="009F7353"/>
    <w:rsid w:val="00A04F85"/>
    <w:rsid w:val="00A05FA4"/>
    <w:rsid w:val="00A102E4"/>
    <w:rsid w:val="00A1219C"/>
    <w:rsid w:val="00A12C42"/>
    <w:rsid w:val="00A14DF7"/>
    <w:rsid w:val="00A15C00"/>
    <w:rsid w:val="00A22D57"/>
    <w:rsid w:val="00A3246D"/>
    <w:rsid w:val="00A36FA7"/>
    <w:rsid w:val="00A40E36"/>
    <w:rsid w:val="00A44425"/>
    <w:rsid w:val="00A44DDB"/>
    <w:rsid w:val="00A475B7"/>
    <w:rsid w:val="00A47AF7"/>
    <w:rsid w:val="00A47C3E"/>
    <w:rsid w:val="00A50226"/>
    <w:rsid w:val="00A54701"/>
    <w:rsid w:val="00A55F42"/>
    <w:rsid w:val="00A60BAD"/>
    <w:rsid w:val="00A61021"/>
    <w:rsid w:val="00A76255"/>
    <w:rsid w:val="00A77F87"/>
    <w:rsid w:val="00A80B5B"/>
    <w:rsid w:val="00A84E36"/>
    <w:rsid w:val="00A86A62"/>
    <w:rsid w:val="00A86D10"/>
    <w:rsid w:val="00A87620"/>
    <w:rsid w:val="00A964D1"/>
    <w:rsid w:val="00AA0631"/>
    <w:rsid w:val="00AA0ED0"/>
    <w:rsid w:val="00AA298B"/>
    <w:rsid w:val="00AA411E"/>
    <w:rsid w:val="00AB0DF3"/>
    <w:rsid w:val="00AB3DAD"/>
    <w:rsid w:val="00AB4322"/>
    <w:rsid w:val="00AC1BFA"/>
    <w:rsid w:val="00AC2B40"/>
    <w:rsid w:val="00AC2BB2"/>
    <w:rsid w:val="00AC2C3C"/>
    <w:rsid w:val="00AC512D"/>
    <w:rsid w:val="00AC5E9F"/>
    <w:rsid w:val="00AD0083"/>
    <w:rsid w:val="00AD3935"/>
    <w:rsid w:val="00AD540C"/>
    <w:rsid w:val="00AE1CE8"/>
    <w:rsid w:val="00AE2E27"/>
    <w:rsid w:val="00AE4E44"/>
    <w:rsid w:val="00AE65EB"/>
    <w:rsid w:val="00AE67A7"/>
    <w:rsid w:val="00AF1D94"/>
    <w:rsid w:val="00AF60C5"/>
    <w:rsid w:val="00AF655B"/>
    <w:rsid w:val="00AF675A"/>
    <w:rsid w:val="00B009C6"/>
    <w:rsid w:val="00B01548"/>
    <w:rsid w:val="00B109AB"/>
    <w:rsid w:val="00B130C5"/>
    <w:rsid w:val="00B13EBD"/>
    <w:rsid w:val="00B21D29"/>
    <w:rsid w:val="00B22090"/>
    <w:rsid w:val="00B22895"/>
    <w:rsid w:val="00B25034"/>
    <w:rsid w:val="00B32E08"/>
    <w:rsid w:val="00B33588"/>
    <w:rsid w:val="00B33863"/>
    <w:rsid w:val="00B37D17"/>
    <w:rsid w:val="00B40778"/>
    <w:rsid w:val="00B4175E"/>
    <w:rsid w:val="00B41C85"/>
    <w:rsid w:val="00B452CE"/>
    <w:rsid w:val="00B46745"/>
    <w:rsid w:val="00B51D05"/>
    <w:rsid w:val="00B53772"/>
    <w:rsid w:val="00B539B7"/>
    <w:rsid w:val="00B54C25"/>
    <w:rsid w:val="00B75BA0"/>
    <w:rsid w:val="00B76B91"/>
    <w:rsid w:val="00B77EB1"/>
    <w:rsid w:val="00B804C9"/>
    <w:rsid w:val="00B811C6"/>
    <w:rsid w:val="00B855B0"/>
    <w:rsid w:val="00B92E08"/>
    <w:rsid w:val="00B949BB"/>
    <w:rsid w:val="00BA678B"/>
    <w:rsid w:val="00BA6D19"/>
    <w:rsid w:val="00BC27A6"/>
    <w:rsid w:val="00BC622A"/>
    <w:rsid w:val="00BC6614"/>
    <w:rsid w:val="00BD1F85"/>
    <w:rsid w:val="00BD4A57"/>
    <w:rsid w:val="00BE0A78"/>
    <w:rsid w:val="00BE79F0"/>
    <w:rsid w:val="00BF046D"/>
    <w:rsid w:val="00BF1190"/>
    <w:rsid w:val="00BF3774"/>
    <w:rsid w:val="00BF5B0B"/>
    <w:rsid w:val="00BF5D04"/>
    <w:rsid w:val="00C009AA"/>
    <w:rsid w:val="00C052BB"/>
    <w:rsid w:val="00C064D8"/>
    <w:rsid w:val="00C06AF8"/>
    <w:rsid w:val="00C1164D"/>
    <w:rsid w:val="00C16861"/>
    <w:rsid w:val="00C24222"/>
    <w:rsid w:val="00C25429"/>
    <w:rsid w:val="00C337B8"/>
    <w:rsid w:val="00C33B23"/>
    <w:rsid w:val="00C346AB"/>
    <w:rsid w:val="00C35868"/>
    <w:rsid w:val="00C404A6"/>
    <w:rsid w:val="00C40A36"/>
    <w:rsid w:val="00C41FF6"/>
    <w:rsid w:val="00C44419"/>
    <w:rsid w:val="00C453A9"/>
    <w:rsid w:val="00C45E7B"/>
    <w:rsid w:val="00C471B1"/>
    <w:rsid w:val="00C5109A"/>
    <w:rsid w:val="00C525A2"/>
    <w:rsid w:val="00C52E24"/>
    <w:rsid w:val="00C6231E"/>
    <w:rsid w:val="00C6316B"/>
    <w:rsid w:val="00C634A9"/>
    <w:rsid w:val="00C64586"/>
    <w:rsid w:val="00C6587A"/>
    <w:rsid w:val="00C70A36"/>
    <w:rsid w:val="00C70D53"/>
    <w:rsid w:val="00C73D0B"/>
    <w:rsid w:val="00C74F5C"/>
    <w:rsid w:val="00C75526"/>
    <w:rsid w:val="00C7697A"/>
    <w:rsid w:val="00C769B7"/>
    <w:rsid w:val="00C772FF"/>
    <w:rsid w:val="00C80137"/>
    <w:rsid w:val="00C801AF"/>
    <w:rsid w:val="00C80256"/>
    <w:rsid w:val="00C83FA8"/>
    <w:rsid w:val="00C94CD4"/>
    <w:rsid w:val="00C9747E"/>
    <w:rsid w:val="00CA0DC1"/>
    <w:rsid w:val="00CB04B9"/>
    <w:rsid w:val="00CB0654"/>
    <w:rsid w:val="00CB0D1D"/>
    <w:rsid w:val="00CB0D7E"/>
    <w:rsid w:val="00CB1283"/>
    <w:rsid w:val="00CB18C2"/>
    <w:rsid w:val="00CB6BC0"/>
    <w:rsid w:val="00CC1B7C"/>
    <w:rsid w:val="00CC727F"/>
    <w:rsid w:val="00CC7DCF"/>
    <w:rsid w:val="00CE5980"/>
    <w:rsid w:val="00CF15C3"/>
    <w:rsid w:val="00CF2B6F"/>
    <w:rsid w:val="00CF2F3E"/>
    <w:rsid w:val="00CF3A45"/>
    <w:rsid w:val="00CF58B6"/>
    <w:rsid w:val="00CF5DAD"/>
    <w:rsid w:val="00D00210"/>
    <w:rsid w:val="00D0062D"/>
    <w:rsid w:val="00D017ED"/>
    <w:rsid w:val="00D040D3"/>
    <w:rsid w:val="00D04C65"/>
    <w:rsid w:val="00D072C9"/>
    <w:rsid w:val="00D153D8"/>
    <w:rsid w:val="00D201D2"/>
    <w:rsid w:val="00D214A0"/>
    <w:rsid w:val="00D21961"/>
    <w:rsid w:val="00D224FE"/>
    <w:rsid w:val="00D23139"/>
    <w:rsid w:val="00D24551"/>
    <w:rsid w:val="00D269B3"/>
    <w:rsid w:val="00D3404B"/>
    <w:rsid w:val="00D34CD3"/>
    <w:rsid w:val="00D41841"/>
    <w:rsid w:val="00D425BB"/>
    <w:rsid w:val="00D453FA"/>
    <w:rsid w:val="00D46107"/>
    <w:rsid w:val="00D5288F"/>
    <w:rsid w:val="00D56B54"/>
    <w:rsid w:val="00D56B6E"/>
    <w:rsid w:val="00D6493E"/>
    <w:rsid w:val="00D7195D"/>
    <w:rsid w:val="00D7196E"/>
    <w:rsid w:val="00D7301E"/>
    <w:rsid w:val="00D74058"/>
    <w:rsid w:val="00D83AE1"/>
    <w:rsid w:val="00D855D4"/>
    <w:rsid w:val="00D8774F"/>
    <w:rsid w:val="00D902C9"/>
    <w:rsid w:val="00D93251"/>
    <w:rsid w:val="00D93466"/>
    <w:rsid w:val="00D94D85"/>
    <w:rsid w:val="00D96455"/>
    <w:rsid w:val="00DA1124"/>
    <w:rsid w:val="00DA64CB"/>
    <w:rsid w:val="00DB06B8"/>
    <w:rsid w:val="00DB6124"/>
    <w:rsid w:val="00DB750B"/>
    <w:rsid w:val="00DB75B7"/>
    <w:rsid w:val="00DB7C59"/>
    <w:rsid w:val="00DC0604"/>
    <w:rsid w:val="00DC0A2F"/>
    <w:rsid w:val="00DC1948"/>
    <w:rsid w:val="00DC68AF"/>
    <w:rsid w:val="00DC6E02"/>
    <w:rsid w:val="00DD1A84"/>
    <w:rsid w:val="00DD28CD"/>
    <w:rsid w:val="00DE02AE"/>
    <w:rsid w:val="00DE14DA"/>
    <w:rsid w:val="00DE39D1"/>
    <w:rsid w:val="00DF1D7F"/>
    <w:rsid w:val="00DF4BE4"/>
    <w:rsid w:val="00E02382"/>
    <w:rsid w:val="00E02FB4"/>
    <w:rsid w:val="00E124AA"/>
    <w:rsid w:val="00E13FC7"/>
    <w:rsid w:val="00E1622C"/>
    <w:rsid w:val="00E16C6F"/>
    <w:rsid w:val="00E20571"/>
    <w:rsid w:val="00E235F7"/>
    <w:rsid w:val="00E23659"/>
    <w:rsid w:val="00E239D4"/>
    <w:rsid w:val="00E26130"/>
    <w:rsid w:val="00E31069"/>
    <w:rsid w:val="00E31347"/>
    <w:rsid w:val="00E33803"/>
    <w:rsid w:val="00E33D42"/>
    <w:rsid w:val="00E40B22"/>
    <w:rsid w:val="00E44ED1"/>
    <w:rsid w:val="00E45619"/>
    <w:rsid w:val="00E4588F"/>
    <w:rsid w:val="00E461A4"/>
    <w:rsid w:val="00E46DA3"/>
    <w:rsid w:val="00E4743A"/>
    <w:rsid w:val="00E51BB1"/>
    <w:rsid w:val="00E54C75"/>
    <w:rsid w:val="00E55726"/>
    <w:rsid w:val="00E55CB0"/>
    <w:rsid w:val="00E60E70"/>
    <w:rsid w:val="00E61E42"/>
    <w:rsid w:val="00E624A5"/>
    <w:rsid w:val="00E64BA4"/>
    <w:rsid w:val="00E7344E"/>
    <w:rsid w:val="00E74BA6"/>
    <w:rsid w:val="00E755D7"/>
    <w:rsid w:val="00E82665"/>
    <w:rsid w:val="00E84988"/>
    <w:rsid w:val="00E85479"/>
    <w:rsid w:val="00E86A32"/>
    <w:rsid w:val="00E87466"/>
    <w:rsid w:val="00E87C09"/>
    <w:rsid w:val="00E930E0"/>
    <w:rsid w:val="00E947B1"/>
    <w:rsid w:val="00E9511B"/>
    <w:rsid w:val="00EA2CA6"/>
    <w:rsid w:val="00EA30B0"/>
    <w:rsid w:val="00EB0798"/>
    <w:rsid w:val="00EB0B67"/>
    <w:rsid w:val="00EB40AD"/>
    <w:rsid w:val="00EB4A29"/>
    <w:rsid w:val="00EB586E"/>
    <w:rsid w:val="00EB5FC8"/>
    <w:rsid w:val="00EC463D"/>
    <w:rsid w:val="00EC7155"/>
    <w:rsid w:val="00EC7A85"/>
    <w:rsid w:val="00ED2922"/>
    <w:rsid w:val="00ED3CAD"/>
    <w:rsid w:val="00ED5A41"/>
    <w:rsid w:val="00EE1DE8"/>
    <w:rsid w:val="00EE27C2"/>
    <w:rsid w:val="00EE29DA"/>
    <w:rsid w:val="00EE47A8"/>
    <w:rsid w:val="00EE6C2D"/>
    <w:rsid w:val="00EF4BAD"/>
    <w:rsid w:val="00EF59DC"/>
    <w:rsid w:val="00F033EC"/>
    <w:rsid w:val="00F04F68"/>
    <w:rsid w:val="00F12670"/>
    <w:rsid w:val="00F12A53"/>
    <w:rsid w:val="00F14B27"/>
    <w:rsid w:val="00F25197"/>
    <w:rsid w:val="00F26528"/>
    <w:rsid w:val="00F3148D"/>
    <w:rsid w:val="00F325C5"/>
    <w:rsid w:val="00F32FE0"/>
    <w:rsid w:val="00F35298"/>
    <w:rsid w:val="00F435F2"/>
    <w:rsid w:val="00F441CA"/>
    <w:rsid w:val="00F47333"/>
    <w:rsid w:val="00F47E37"/>
    <w:rsid w:val="00F53C07"/>
    <w:rsid w:val="00F54B65"/>
    <w:rsid w:val="00F54C44"/>
    <w:rsid w:val="00F57AE8"/>
    <w:rsid w:val="00F62CB3"/>
    <w:rsid w:val="00F63DBF"/>
    <w:rsid w:val="00F640B6"/>
    <w:rsid w:val="00F66DF2"/>
    <w:rsid w:val="00F72B87"/>
    <w:rsid w:val="00F80E40"/>
    <w:rsid w:val="00F848D9"/>
    <w:rsid w:val="00F859D7"/>
    <w:rsid w:val="00F914B3"/>
    <w:rsid w:val="00FA460B"/>
    <w:rsid w:val="00FA5069"/>
    <w:rsid w:val="00FA5B82"/>
    <w:rsid w:val="00FA639E"/>
    <w:rsid w:val="00FB0964"/>
    <w:rsid w:val="00FB0F9F"/>
    <w:rsid w:val="00FB369D"/>
    <w:rsid w:val="00FC1FCA"/>
    <w:rsid w:val="00FC25E4"/>
    <w:rsid w:val="00FC4EF7"/>
    <w:rsid w:val="00FD0824"/>
    <w:rsid w:val="00FD119B"/>
    <w:rsid w:val="00FD1418"/>
    <w:rsid w:val="00FD1EDC"/>
    <w:rsid w:val="00FE18AA"/>
    <w:rsid w:val="00FE1DEE"/>
    <w:rsid w:val="00FE396D"/>
    <w:rsid w:val="00FE6D49"/>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85F6AF"/>
  <w15:docId w15:val="{2B6549A6-0E3E-4560-987B-4B8D90C7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C41FF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1F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45763"/>
    <w:pPr>
      <w:numPr>
        <w:numId w:val="21"/>
      </w:numPr>
      <w:ind w:left="426" w:hanging="426"/>
    </w:pPr>
  </w:style>
  <w:style w:type="paragraph" w:styleId="ListBullet2">
    <w:name w:val="List Bullet 2"/>
    <w:basedOn w:val="Normal"/>
    <w:uiPriority w:val="2"/>
    <w:qFormat/>
    <w:rsid w:val="00345763"/>
    <w:pPr>
      <w:numPr>
        <w:ilvl w:val="1"/>
        <w:numId w:val="21"/>
      </w:numPr>
      <w:ind w:left="851" w:hanging="425"/>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CB0654"/>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CB0654"/>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qFormat/>
    <w:rsid w:val="004652E7"/>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5F1D22"/>
    <w:rPr>
      <w:rFonts w:ascii="Cambria" w:eastAsia="Cambria" w:hAnsi="Cambria" w:cs="Times New Roman"/>
      <w:sz w:val="19"/>
    </w:rPr>
  </w:style>
  <w:style w:type="paragraph" w:customStyle="1" w:styleId="Default">
    <w:name w:val="Default"/>
    <w:rsid w:val="00610059"/>
    <w:pPr>
      <w:autoSpaceDE w:val="0"/>
      <w:autoSpaceDN w:val="0"/>
      <w:adjustRightInd w:val="0"/>
      <w:spacing w:after="0" w:line="240" w:lineRule="auto"/>
    </w:pPr>
    <w:rPr>
      <w:rFonts w:ascii="Cambria" w:hAnsi="Cambria" w:cs="Cambria"/>
      <w:color w:val="000000"/>
      <w:sz w:val="24"/>
      <w:szCs w:val="24"/>
    </w:rPr>
  </w:style>
  <w:style w:type="paragraph" w:customStyle="1" w:styleId="Numberbullett2a">
    <w:name w:val="Number bullett 2 a)"/>
    <w:basedOn w:val="Numberbullet2"/>
    <w:uiPriority w:val="1"/>
    <w:qFormat/>
    <w:rsid w:val="005C4061"/>
    <w:pPr>
      <w:numPr>
        <w:ilvl w:val="0"/>
        <w:numId w:val="0"/>
      </w:numPr>
      <w:ind w:left="720"/>
    </w:pPr>
  </w:style>
  <w:style w:type="paragraph" w:styleId="Bibliography">
    <w:name w:val="Bibliography"/>
    <w:basedOn w:val="Normal"/>
    <w:next w:val="Normal"/>
    <w:uiPriority w:val="37"/>
    <w:semiHidden/>
    <w:unhideWhenUsed/>
    <w:rsid w:val="00C41FF6"/>
  </w:style>
  <w:style w:type="paragraph" w:styleId="BlockText">
    <w:name w:val="Block Text"/>
    <w:basedOn w:val="Normal"/>
    <w:uiPriority w:val="99"/>
    <w:semiHidden/>
    <w:unhideWhenUsed/>
    <w:rsid w:val="00C41FF6"/>
    <w:pPr>
      <w:pBdr>
        <w:top w:val="single" w:sz="2" w:space="10" w:color="002C47" w:themeColor="accent1"/>
        <w:left w:val="single" w:sz="2" w:space="10" w:color="002C47" w:themeColor="accent1"/>
        <w:bottom w:val="single" w:sz="2" w:space="10" w:color="002C47" w:themeColor="accent1"/>
        <w:right w:val="single" w:sz="2" w:space="10" w:color="002C47" w:themeColor="accent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C41FF6"/>
  </w:style>
  <w:style w:type="character" w:customStyle="1" w:styleId="BodyTextChar">
    <w:name w:val="Body Text Char"/>
    <w:basedOn w:val="DefaultParagraphFont"/>
    <w:link w:val="BodyText"/>
    <w:uiPriority w:val="99"/>
    <w:semiHidden/>
    <w:rsid w:val="00C41FF6"/>
    <w:rPr>
      <w:rFonts w:ascii="Cambria" w:eastAsia="Cambria" w:hAnsi="Cambria" w:cs="Times New Roman"/>
    </w:rPr>
  </w:style>
  <w:style w:type="paragraph" w:styleId="BodyText2">
    <w:name w:val="Body Text 2"/>
    <w:basedOn w:val="Normal"/>
    <w:link w:val="BodyText2Char"/>
    <w:uiPriority w:val="99"/>
    <w:semiHidden/>
    <w:unhideWhenUsed/>
    <w:rsid w:val="00C41FF6"/>
    <w:pPr>
      <w:spacing w:line="480" w:lineRule="auto"/>
    </w:pPr>
  </w:style>
  <w:style w:type="character" w:customStyle="1" w:styleId="BodyText2Char">
    <w:name w:val="Body Text 2 Char"/>
    <w:basedOn w:val="DefaultParagraphFont"/>
    <w:link w:val="BodyText2"/>
    <w:uiPriority w:val="99"/>
    <w:semiHidden/>
    <w:rsid w:val="00C41FF6"/>
    <w:rPr>
      <w:rFonts w:ascii="Cambria" w:eastAsia="Cambria" w:hAnsi="Cambria" w:cs="Times New Roman"/>
    </w:rPr>
  </w:style>
  <w:style w:type="paragraph" w:styleId="BodyText3">
    <w:name w:val="Body Text 3"/>
    <w:basedOn w:val="Normal"/>
    <w:link w:val="BodyText3Char"/>
    <w:uiPriority w:val="99"/>
    <w:semiHidden/>
    <w:unhideWhenUsed/>
    <w:rsid w:val="00C41FF6"/>
    <w:rPr>
      <w:sz w:val="16"/>
      <w:szCs w:val="16"/>
    </w:rPr>
  </w:style>
  <w:style w:type="character" w:customStyle="1" w:styleId="BodyText3Char">
    <w:name w:val="Body Text 3 Char"/>
    <w:basedOn w:val="DefaultParagraphFont"/>
    <w:link w:val="BodyText3"/>
    <w:uiPriority w:val="99"/>
    <w:semiHidden/>
    <w:rsid w:val="00C41FF6"/>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C41FF6"/>
    <w:pPr>
      <w:ind w:firstLine="360"/>
    </w:pPr>
  </w:style>
  <w:style w:type="character" w:customStyle="1" w:styleId="BodyTextFirstIndentChar">
    <w:name w:val="Body Text First Indent Char"/>
    <w:basedOn w:val="BodyTextChar"/>
    <w:link w:val="BodyTextFirstIndent"/>
    <w:uiPriority w:val="99"/>
    <w:semiHidden/>
    <w:rsid w:val="00C41FF6"/>
    <w:rPr>
      <w:rFonts w:ascii="Cambria" w:eastAsia="Cambria" w:hAnsi="Cambria" w:cs="Times New Roman"/>
    </w:rPr>
  </w:style>
  <w:style w:type="paragraph" w:styleId="BodyTextIndent">
    <w:name w:val="Body Text Indent"/>
    <w:basedOn w:val="Normal"/>
    <w:link w:val="BodyTextIndentChar"/>
    <w:uiPriority w:val="99"/>
    <w:semiHidden/>
    <w:unhideWhenUsed/>
    <w:rsid w:val="00C41FF6"/>
    <w:pPr>
      <w:ind w:left="283"/>
    </w:pPr>
  </w:style>
  <w:style w:type="character" w:customStyle="1" w:styleId="BodyTextIndentChar">
    <w:name w:val="Body Text Indent Char"/>
    <w:basedOn w:val="DefaultParagraphFont"/>
    <w:link w:val="BodyTextIndent"/>
    <w:uiPriority w:val="99"/>
    <w:semiHidden/>
    <w:rsid w:val="00C41FF6"/>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C41FF6"/>
    <w:pPr>
      <w:ind w:left="360" w:firstLine="360"/>
    </w:pPr>
  </w:style>
  <w:style w:type="character" w:customStyle="1" w:styleId="BodyTextFirstIndent2Char">
    <w:name w:val="Body Text First Indent 2 Char"/>
    <w:basedOn w:val="BodyTextIndentChar"/>
    <w:link w:val="BodyTextFirstIndent2"/>
    <w:uiPriority w:val="99"/>
    <w:semiHidden/>
    <w:rsid w:val="00C41FF6"/>
    <w:rPr>
      <w:rFonts w:ascii="Cambria" w:eastAsia="Cambria" w:hAnsi="Cambria" w:cs="Times New Roman"/>
    </w:rPr>
  </w:style>
  <w:style w:type="paragraph" w:styleId="BodyTextIndent2">
    <w:name w:val="Body Text Indent 2"/>
    <w:basedOn w:val="Normal"/>
    <w:link w:val="BodyTextIndent2Char"/>
    <w:uiPriority w:val="99"/>
    <w:semiHidden/>
    <w:unhideWhenUsed/>
    <w:rsid w:val="00C41FF6"/>
    <w:pPr>
      <w:spacing w:line="480" w:lineRule="auto"/>
      <w:ind w:left="283"/>
    </w:pPr>
  </w:style>
  <w:style w:type="character" w:customStyle="1" w:styleId="BodyTextIndent2Char">
    <w:name w:val="Body Text Indent 2 Char"/>
    <w:basedOn w:val="DefaultParagraphFont"/>
    <w:link w:val="BodyTextIndent2"/>
    <w:uiPriority w:val="99"/>
    <w:semiHidden/>
    <w:rsid w:val="00C41FF6"/>
    <w:rPr>
      <w:rFonts w:ascii="Cambria" w:eastAsia="Cambria" w:hAnsi="Cambria" w:cs="Times New Roman"/>
    </w:rPr>
  </w:style>
  <w:style w:type="paragraph" w:styleId="BodyTextIndent3">
    <w:name w:val="Body Text Indent 3"/>
    <w:basedOn w:val="Normal"/>
    <w:link w:val="BodyTextIndent3Char"/>
    <w:uiPriority w:val="99"/>
    <w:semiHidden/>
    <w:unhideWhenUsed/>
    <w:rsid w:val="00C41FF6"/>
    <w:pPr>
      <w:ind w:left="283"/>
    </w:pPr>
    <w:rPr>
      <w:sz w:val="16"/>
      <w:szCs w:val="16"/>
    </w:rPr>
  </w:style>
  <w:style w:type="character" w:customStyle="1" w:styleId="BodyTextIndent3Char">
    <w:name w:val="Body Text Indent 3 Char"/>
    <w:basedOn w:val="DefaultParagraphFont"/>
    <w:link w:val="BodyTextIndent3"/>
    <w:uiPriority w:val="99"/>
    <w:semiHidden/>
    <w:rsid w:val="00C41FF6"/>
    <w:rPr>
      <w:rFonts w:ascii="Cambria" w:eastAsia="Cambria" w:hAnsi="Cambria" w:cs="Times New Roman"/>
      <w:sz w:val="16"/>
      <w:szCs w:val="16"/>
    </w:rPr>
  </w:style>
  <w:style w:type="paragraph" w:styleId="Closing">
    <w:name w:val="Closing"/>
    <w:basedOn w:val="Normal"/>
    <w:link w:val="ClosingChar"/>
    <w:uiPriority w:val="99"/>
    <w:semiHidden/>
    <w:unhideWhenUsed/>
    <w:rsid w:val="00C41FF6"/>
    <w:pPr>
      <w:spacing w:before="0" w:after="0" w:line="240" w:lineRule="auto"/>
      <w:ind w:left="4252"/>
    </w:pPr>
  </w:style>
  <w:style w:type="character" w:customStyle="1" w:styleId="ClosingChar">
    <w:name w:val="Closing Char"/>
    <w:basedOn w:val="DefaultParagraphFont"/>
    <w:link w:val="Closing"/>
    <w:uiPriority w:val="99"/>
    <w:semiHidden/>
    <w:rsid w:val="00C41FF6"/>
    <w:rPr>
      <w:rFonts w:ascii="Cambria" w:eastAsia="Cambria" w:hAnsi="Cambria" w:cs="Times New Roman"/>
    </w:rPr>
  </w:style>
  <w:style w:type="paragraph" w:styleId="DocumentMap">
    <w:name w:val="Document Map"/>
    <w:basedOn w:val="Normal"/>
    <w:link w:val="DocumentMapChar"/>
    <w:uiPriority w:val="99"/>
    <w:semiHidden/>
    <w:unhideWhenUsed/>
    <w:rsid w:val="00C41FF6"/>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41FF6"/>
    <w:rPr>
      <w:rFonts w:ascii="Segoe UI" w:eastAsia="Cambria" w:hAnsi="Segoe UI" w:cs="Segoe UI"/>
      <w:sz w:val="16"/>
      <w:szCs w:val="16"/>
    </w:rPr>
  </w:style>
  <w:style w:type="paragraph" w:styleId="E-mailSignature">
    <w:name w:val="E-mail Signature"/>
    <w:basedOn w:val="Normal"/>
    <w:link w:val="E-mailSignatureChar"/>
    <w:uiPriority w:val="99"/>
    <w:semiHidden/>
    <w:unhideWhenUsed/>
    <w:rsid w:val="00C41FF6"/>
    <w:pPr>
      <w:spacing w:before="0" w:after="0" w:line="240" w:lineRule="auto"/>
    </w:pPr>
  </w:style>
  <w:style w:type="character" w:customStyle="1" w:styleId="E-mailSignatureChar">
    <w:name w:val="E-mail Signature Char"/>
    <w:basedOn w:val="DefaultParagraphFont"/>
    <w:link w:val="E-mailSignature"/>
    <w:uiPriority w:val="99"/>
    <w:semiHidden/>
    <w:rsid w:val="00C41FF6"/>
    <w:rPr>
      <w:rFonts w:ascii="Cambria" w:eastAsia="Cambria" w:hAnsi="Cambria" w:cs="Times New Roman"/>
    </w:rPr>
  </w:style>
  <w:style w:type="paragraph" w:styleId="EnvelopeAddress">
    <w:name w:val="envelope address"/>
    <w:basedOn w:val="Normal"/>
    <w:uiPriority w:val="99"/>
    <w:semiHidden/>
    <w:unhideWhenUsed/>
    <w:rsid w:val="00C41FF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41FF6"/>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C41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1FF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41FF6"/>
    <w:pPr>
      <w:spacing w:before="0" w:after="0" w:line="240" w:lineRule="auto"/>
    </w:pPr>
    <w:rPr>
      <w:i/>
      <w:iCs/>
    </w:rPr>
  </w:style>
  <w:style w:type="character" w:customStyle="1" w:styleId="HTMLAddressChar">
    <w:name w:val="HTML Address Char"/>
    <w:basedOn w:val="DefaultParagraphFont"/>
    <w:link w:val="HTMLAddress"/>
    <w:uiPriority w:val="99"/>
    <w:semiHidden/>
    <w:rsid w:val="00C41FF6"/>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C41FF6"/>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41FF6"/>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C41FF6"/>
    <w:pPr>
      <w:spacing w:before="0" w:after="0" w:line="240" w:lineRule="auto"/>
      <w:ind w:left="220" w:hanging="220"/>
    </w:pPr>
  </w:style>
  <w:style w:type="paragraph" w:styleId="Index2">
    <w:name w:val="index 2"/>
    <w:basedOn w:val="Normal"/>
    <w:next w:val="Normal"/>
    <w:autoRedefine/>
    <w:uiPriority w:val="99"/>
    <w:semiHidden/>
    <w:unhideWhenUsed/>
    <w:rsid w:val="00C41FF6"/>
    <w:pPr>
      <w:spacing w:before="0" w:after="0" w:line="240" w:lineRule="auto"/>
      <w:ind w:left="440" w:hanging="220"/>
    </w:pPr>
  </w:style>
  <w:style w:type="paragraph" w:styleId="Index3">
    <w:name w:val="index 3"/>
    <w:basedOn w:val="Normal"/>
    <w:next w:val="Normal"/>
    <w:autoRedefine/>
    <w:uiPriority w:val="99"/>
    <w:semiHidden/>
    <w:unhideWhenUsed/>
    <w:rsid w:val="00C41FF6"/>
    <w:pPr>
      <w:spacing w:before="0" w:after="0" w:line="240" w:lineRule="auto"/>
      <w:ind w:left="660" w:hanging="220"/>
    </w:pPr>
  </w:style>
  <w:style w:type="paragraph" w:styleId="Index4">
    <w:name w:val="index 4"/>
    <w:basedOn w:val="Normal"/>
    <w:next w:val="Normal"/>
    <w:autoRedefine/>
    <w:uiPriority w:val="99"/>
    <w:semiHidden/>
    <w:unhideWhenUsed/>
    <w:rsid w:val="00C41FF6"/>
    <w:pPr>
      <w:spacing w:before="0" w:after="0" w:line="240" w:lineRule="auto"/>
      <w:ind w:left="880" w:hanging="220"/>
    </w:pPr>
  </w:style>
  <w:style w:type="paragraph" w:styleId="Index5">
    <w:name w:val="index 5"/>
    <w:basedOn w:val="Normal"/>
    <w:next w:val="Normal"/>
    <w:autoRedefine/>
    <w:uiPriority w:val="99"/>
    <w:semiHidden/>
    <w:unhideWhenUsed/>
    <w:rsid w:val="00C41FF6"/>
    <w:pPr>
      <w:spacing w:before="0" w:after="0" w:line="240" w:lineRule="auto"/>
      <w:ind w:left="1100" w:hanging="220"/>
    </w:pPr>
  </w:style>
  <w:style w:type="paragraph" w:styleId="Index6">
    <w:name w:val="index 6"/>
    <w:basedOn w:val="Normal"/>
    <w:next w:val="Normal"/>
    <w:autoRedefine/>
    <w:uiPriority w:val="99"/>
    <w:semiHidden/>
    <w:unhideWhenUsed/>
    <w:rsid w:val="00C41FF6"/>
    <w:pPr>
      <w:spacing w:before="0" w:after="0" w:line="240" w:lineRule="auto"/>
      <w:ind w:left="1320" w:hanging="220"/>
    </w:pPr>
  </w:style>
  <w:style w:type="paragraph" w:styleId="Index7">
    <w:name w:val="index 7"/>
    <w:basedOn w:val="Normal"/>
    <w:next w:val="Normal"/>
    <w:autoRedefine/>
    <w:uiPriority w:val="99"/>
    <w:semiHidden/>
    <w:unhideWhenUsed/>
    <w:rsid w:val="00C41FF6"/>
    <w:pPr>
      <w:spacing w:before="0" w:after="0" w:line="240" w:lineRule="auto"/>
      <w:ind w:left="1540" w:hanging="220"/>
    </w:pPr>
  </w:style>
  <w:style w:type="paragraph" w:styleId="Index8">
    <w:name w:val="index 8"/>
    <w:basedOn w:val="Normal"/>
    <w:next w:val="Normal"/>
    <w:autoRedefine/>
    <w:uiPriority w:val="99"/>
    <w:semiHidden/>
    <w:unhideWhenUsed/>
    <w:rsid w:val="00C41FF6"/>
    <w:pPr>
      <w:spacing w:before="0" w:after="0" w:line="240" w:lineRule="auto"/>
      <w:ind w:left="1760" w:hanging="220"/>
    </w:pPr>
  </w:style>
  <w:style w:type="paragraph" w:styleId="Index9">
    <w:name w:val="index 9"/>
    <w:basedOn w:val="Normal"/>
    <w:next w:val="Normal"/>
    <w:autoRedefine/>
    <w:uiPriority w:val="99"/>
    <w:semiHidden/>
    <w:unhideWhenUsed/>
    <w:rsid w:val="00C41FF6"/>
    <w:pPr>
      <w:spacing w:before="0" w:after="0" w:line="240" w:lineRule="auto"/>
      <w:ind w:left="1980" w:hanging="220"/>
    </w:pPr>
  </w:style>
  <w:style w:type="paragraph" w:styleId="IndexHeading">
    <w:name w:val="index heading"/>
    <w:basedOn w:val="Normal"/>
    <w:next w:val="Index1"/>
    <w:uiPriority w:val="99"/>
    <w:semiHidden/>
    <w:unhideWhenUsed/>
    <w:rsid w:val="00C41FF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41FF6"/>
    <w:pPr>
      <w:pBdr>
        <w:top w:val="single" w:sz="4" w:space="10" w:color="002C47" w:themeColor="accent1"/>
        <w:bottom w:val="single" w:sz="4" w:space="10" w:color="002C47" w:themeColor="accent1"/>
      </w:pBdr>
      <w:spacing w:before="360" w:after="360"/>
      <w:ind w:left="864" w:right="864"/>
      <w:jc w:val="center"/>
    </w:pPr>
    <w:rPr>
      <w:i/>
      <w:iCs/>
      <w:color w:val="002C47" w:themeColor="accent1"/>
    </w:rPr>
  </w:style>
  <w:style w:type="character" w:customStyle="1" w:styleId="IntenseQuoteChar">
    <w:name w:val="Intense Quote Char"/>
    <w:basedOn w:val="DefaultParagraphFont"/>
    <w:link w:val="IntenseQuote"/>
    <w:uiPriority w:val="30"/>
    <w:rsid w:val="00C41FF6"/>
    <w:rPr>
      <w:rFonts w:ascii="Cambria" w:eastAsia="Cambria" w:hAnsi="Cambria" w:cs="Times New Roman"/>
      <w:i/>
      <w:iCs/>
      <w:color w:val="002C47" w:themeColor="accent1"/>
    </w:rPr>
  </w:style>
  <w:style w:type="paragraph" w:styleId="List">
    <w:name w:val="List"/>
    <w:basedOn w:val="Normal"/>
    <w:uiPriority w:val="99"/>
    <w:semiHidden/>
    <w:unhideWhenUsed/>
    <w:rsid w:val="00C41FF6"/>
    <w:pPr>
      <w:ind w:left="283" w:hanging="283"/>
      <w:contextualSpacing/>
    </w:pPr>
  </w:style>
  <w:style w:type="paragraph" w:styleId="List2">
    <w:name w:val="List 2"/>
    <w:basedOn w:val="Normal"/>
    <w:uiPriority w:val="99"/>
    <w:semiHidden/>
    <w:unhideWhenUsed/>
    <w:rsid w:val="00C41FF6"/>
    <w:pPr>
      <w:ind w:left="566" w:hanging="283"/>
      <w:contextualSpacing/>
    </w:pPr>
  </w:style>
  <w:style w:type="paragraph" w:styleId="List3">
    <w:name w:val="List 3"/>
    <w:basedOn w:val="Normal"/>
    <w:uiPriority w:val="99"/>
    <w:semiHidden/>
    <w:unhideWhenUsed/>
    <w:rsid w:val="00C41FF6"/>
    <w:pPr>
      <w:ind w:left="849" w:hanging="283"/>
      <w:contextualSpacing/>
    </w:pPr>
  </w:style>
  <w:style w:type="paragraph" w:styleId="List4">
    <w:name w:val="List 4"/>
    <w:basedOn w:val="Normal"/>
    <w:uiPriority w:val="99"/>
    <w:semiHidden/>
    <w:unhideWhenUsed/>
    <w:rsid w:val="00C41FF6"/>
    <w:pPr>
      <w:ind w:left="1132" w:hanging="283"/>
      <w:contextualSpacing/>
    </w:pPr>
  </w:style>
  <w:style w:type="paragraph" w:styleId="List5">
    <w:name w:val="List 5"/>
    <w:basedOn w:val="Normal"/>
    <w:uiPriority w:val="99"/>
    <w:semiHidden/>
    <w:unhideWhenUsed/>
    <w:rsid w:val="00C41FF6"/>
    <w:pPr>
      <w:ind w:left="1415" w:hanging="283"/>
      <w:contextualSpacing/>
    </w:pPr>
  </w:style>
  <w:style w:type="paragraph" w:styleId="ListBullet4">
    <w:name w:val="List Bullet 4"/>
    <w:basedOn w:val="Normal"/>
    <w:uiPriority w:val="99"/>
    <w:semiHidden/>
    <w:unhideWhenUsed/>
    <w:rsid w:val="00C41FF6"/>
    <w:pPr>
      <w:numPr>
        <w:numId w:val="44"/>
      </w:numPr>
      <w:contextualSpacing/>
    </w:pPr>
  </w:style>
  <w:style w:type="paragraph" w:styleId="ListBullet5">
    <w:name w:val="List Bullet 5"/>
    <w:basedOn w:val="Normal"/>
    <w:uiPriority w:val="99"/>
    <w:semiHidden/>
    <w:unhideWhenUsed/>
    <w:rsid w:val="00C41FF6"/>
    <w:pPr>
      <w:numPr>
        <w:numId w:val="45"/>
      </w:numPr>
      <w:contextualSpacing/>
    </w:pPr>
  </w:style>
  <w:style w:type="paragraph" w:styleId="ListContinue">
    <w:name w:val="List Continue"/>
    <w:basedOn w:val="Normal"/>
    <w:uiPriority w:val="99"/>
    <w:semiHidden/>
    <w:unhideWhenUsed/>
    <w:rsid w:val="00C41FF6"/>
    <w:pPr>
      <w:ind w:left="283"/>
      <w:contextualSpacing/>
    </w:pPr>
  </w:style>
  <w:style w:type="paragraph" w:styleId="ListContinue2">
    <w:name w:val="List Continue 2"/>
    <w:basedOn w:val="Normal"/>
    <w:uiPriority w:val="99"/>
    <w:semiHidden/>
    <w:unhideWhenUsed/>
    <w:rsid w:val="00C41FF6"/>
    <w:pPr>
      <w:ind w:left="566"/>
      <w:contextualSpacing/>
    </w:pPr>
  </w:style>
  <w:style w:type="paragraph" w:styleId="ListContinue3">
    <w:name w:val="List Continue 3"/>
    <w:basedOn w:val="Normal"/>
    <w:uiPriority w:val="99"/>
    <w:semiHidden/>
    <w:unhideWhenUsed/>
    <w:rsid w:val="00C41FF6"/>
    <w:pPr>
      <w:ind w:left="849"/>
      <w:contextualSpacing/>
    </w:pPr>
  </w:style>
  <w:style w:type="paragraph" w:styleId="ListContinue4">
    <w:name w:val="List Continue 4"/>
    <w:basedOn w:val="Normal"/>
    <w:uiPriority w:val="99"/>
    <w:semiHidden/>
    <w:unhideWhenUsed/>
    <w:rsid w:val="00C41FF6"/>
    <w:pPr>
      <w:ind w:left="1132"/>
      <w:contextualSpacing/>
    </w:pPr>
  </w:style>
  <w:style w:type="paragraph" w:styleId="ListContinue5">
    <w:name w:val="List Continue 5"/>
    <w:basedOn w:val="Normal"/>
    <w:uiPriority w:val="99"/>
    <w:semiHidden/>
    <w:unhideWhenUsed/>
    <w:rsid w:val="00C41FF6"/>
    <w:pPr>
      <w:ind w:left="1415"/>
      <w:contextualSpacing/>
    </w:pPr>
  </w:style>
  <w:style w:type="paragraph" w:styleId="ListNumber">
    <w:name w:val="List Number"/>
    <w:basedOn w:val="Normal"/>
    <w:uiPriority w:val="99"/>
    <w:semiHidden/>
    <w:unhideWhenUsed/>
    <w:rsid w:val="00C41FF6"/>
    <w:pPr>
      <w:numPr>
        <w:numId w:val="46"/>
      </w:numPr>
      <w:contextualSpacing/>
    </w:pPr>
  </w:style>
  <w:style w:type="paragraph" w:styleId="ListNumber2">
    <w:name w:val="List Number 2"/>
    <w:basedOn w:val="Normal"/>
    <w:uiPriority w:val="99"/>
    <w:semiHidden/>
    <w:unhideWhenUsed/>
    <w:rsid w:val="00C41FF6"/>
    <w:pPr>
      <w:numPr>
        <w:numId w:val="47"/>
      </w:numPr>
      <w:contextualSpacing/>
    </w:pPr>
  </w:style>
  <w:style w:type="paragraph" w:styleId="ListNumber3">
    <w:name w:val="List Number 3"/>
    <w:basedOn w:val="Normal"/>
    <w:uiPriority w:val="99"/>
    <w:semiHidden/>
    <w:unhideWhenUsed/>
    <w:rsid w:val="00C41FF6"/>
    <w:pPr>
      <w:numPr>
        <w:numId w:val="48"/>
      </w:numPr>
      <w:contextualSpacing/>
    </w:pPr>
  </w:style>
  <w:style w:type="paragraph" w:styleId="ListNumber4">
    <w:name w:val="List Number 4"/>
    <w:basedOn w:val="Normal"/>
    <w:uiPriority w:val="99"/>
    <w:semiHidden/>
    <w:unhideWhenUsed/>
    <w:rsid w:val="00C41FF6"/>
    <w:pPr>
      <w:numPr>
        <w:numId w:val="49"/>
      </w:numPr>
      <w:contextualSpacing/>
    </w:pPr>
  </w:style>
  <w:style w:type="paragraph" w:styleId="ListNumber5">
    <w:name w:val="List Number 5"/>
    <w:basedOn w:val="Normal"/>
    <w:uiPriority w:val="99"/>
    <w:semiHidden/>
    <w:unhideWhenUsed/>
    <w:rsid w:val="00C41FF6"/>
    <w:pPr>
      <w:numPr>
        <w:numId w:val="50"/>
      </w:numPr>
      <w:contextualSpacing/>
    </w:pPr>
  </w:style>
  <w:style w:type="paragraph" w:styleId="MacroText">
    <w:name w:val="macro"/>
    <w:link w:val="MacroTextChar"/>
    <w:uiPriority w:val="99"/>
    <w:semiHidden/>
    <w:unhideWhenUsed/>
    <w:rsid w:val="00C41FF6"/>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C41FF6"/>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C41FF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41FF6"/>
    <w:rPr>
      <w:rFonts w:asciiTheme="majorHAnsi" w:eastAsiaTheme="majorEastAsia" w:hAnsiTheme="majorHAnsi" w:cstheme="majorBidi"/>
      <w:sz w:val="24"/>
      <w:szCs w:val="24"/>
      <w:shd w:val="pct20" w:color="auto" w:fill="auto"/>
    </w:rPr>
  </w:style>
  <w:style w:type="paragraph" w:styleId="NoSpacing">
    <w:name w:val="No Spacing"/>
    <w:uiPriority w:val="1"/>
    <w:rsid w:val="00C41FF6"/>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C41FF6"/>
    <w:rPr>
      <w:rFonts w:ascii="Times New Roman" w:hAnsi="Times New Roman"/>
      <w:sz w:val="24"/>
      <w:szCs w:val="24"/>
    </w:rPr>
  </w:style>
  <w:style w:type="paragraph" w:styleId="NormalIndent">
    <w:name w:val="Normal Indent"/>
    <w:basedOn w:val="Normal"/>
    <w:uiPriority w:val="99"/>
    <w:semiHidden/>
    <w:unhideWhenUsed/>
    <w:rsid w:val="00C41FF6"/>
    <w:pPr>
      <w:ind w:left="720"/>
    </w:pPr>
  </w:style>
  <w:style w:type="paragraph" w:styleId="NoteHeading">
    <w:name w:val="Note Heading"/>
    <w:basedOn w:val="Normal"/>
    <w:next w:val="Normal"/>
    <w:link w:val="NoteHeadingChar"/>
    <w:uiPriority w:val="99"/>
    <w:semiHidden/>
    <w:unhideWhenUsed/>
    <w:rsid w:val="00C41FF6"/>
    <w:pPr>
      <w:spacing w:before="0" w:after="0" w:line="240" w:lineRule="auto"/>
    </w:pPr>
  </w:style>
  <w:style w:type="character" w:customStyle="1" w:styleId="NoteHeadingChar">
    <w:name w:val="Note Heading Char"/>
    <w:basedOn w:val="DefaultParagraphFont"/>
    <w:link w:val="NoteHeading"/>
    <w:uiPriority w:val="99"/>
    <w:semiHidden/>
    <w:rsid w:val="00C41FF6"/>
    <w:rPr>
      <w:rFonts w:ascii="Cambria" w:eastAsia="Cambria" w:hAnsi="Cambria" w:cs="Times New Roman"/>
    </w:rPr>
  </w:style>
  <w:style w:type="paragraph" w:styleId="PlainText">
    <w:name w:val="Plain Text"/>
    <w:basedOn w:val="Normal"/>
    <w:link w:val="PlainTextChar"/>
    <w:uiPriority w:val="99"/>
    <w:semiHidden/>
    <w:unhideWhenUsed/>
    <w:rsid w:val="00C41FF6"/>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41FF6"/>
    <w:rPr>
      <w:rFonts w:ascii="Consolas" w:eastAsia="Cambria" w:hAnsi="Consolas" w:cs="Times New Roman"/>
      <w:sz w:val="21"/>
      <w:szCs w:val="21"/>
    </w:rPr>
  </w:style>
  <w:style w:type="paragraph" w:styleId="Quote">
    <w:name w:val="Quote"/>
    <w:basedOn w:val="Normal"/>
    <w:next w:val="Normal"/>
    <w:link w:val="QuoteChar"/>
    <w:uiPriority w:val="29"/>
    <w:rsid w:val="00C41F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41FF6"/>
    <w:rPr>
      <w:rFonts w:ascii="Cambria" w:eastAsia="Cambria" w:hAnsi="Cambria" w:cs="Times New Roman"/>
      <w:i/>
      <w:iCs/>
      <w:color w:val="404040" w:themeColor="text1" w:themeTint="BF"/>
    </w:rPr>
  </w:style>
  <w:style w:type="paragraph" w:styleId="Salutation">
    <w:name w:val="Salutation"/>
    <w:basedOn w:val="Normal"/>
    <w:next w:val="Normal"/>
    <w:link w:val="SalutationChar"/>
    <w:uiPriority w:val="99"/>
    <w:semiHidden/>
    <w:unhideWhenUsed/>
    <w:rsid w:val="00C41FF6"/>
  </w:style>
  <w:style w:type="character" w:customStyle="1" w:styleId="SalutationChar">
    <w:name w:val="Salutation Char"/>
    <w:basedOn w:val="DefaultParagraphFont"/>
    <w:link w:val="Salutation"/>
    <w:uiPriority w:val="99"/>
    <w:semiHidden/>
    <w:rsid w:val="00C41FF6"/>
    <w:rPr>
      <w:rFonts w:ascii="Cambria" w:eastAsia="Cambria" w:hAnsi="Cambria" w:cs="Times New Roman"/>
    </w:rPr>
  </w:style>
  <w:style w:type="paragraph" w:styleId="Signature">
    <w:name w:val="Signature"/>
    <w:basedOn w:val="Normal"/>
    <w:link w:val="SignatureChar"/>
    <w:uiPriority w:val="99"/>
    <w:semiHidden/>
    <w:unhideWhenUsed/>
    <w:rsid w:val="00C41FF6"/>
    <w:pPr>
      <w:spacing w:before="0" w:after="0" w:line="240" w:lineRule="auto"/>
      <w:ind w:left="4252"/>
    </w:pPr>
  </w:style>
  <w:style w:type="character" w:customStyle="1" w:styleId="SignatureChar">
    <w:name w:val="Signature Char"/>
    <w:basedOn w:val="DefaultParagraphFont"/>
    <w:link w:val="Signature"/>
    <w:uiPriority w:val="99"/>
    <w:semiHidden/>
    <w:rsid w:val="00C41FF6"/>
    <w:rPr>
      <w:rFonts w:ascii="Cambria" w:eastAsia="Cambria" w:hAnsi="Cambria" w:cs="Times New Roman"/>
    </w:rPr>
  </w:style>
  <w:style w:type="paragraph" w:styleId="TableofAuthorities">
    <w:name w:val="table of authorities"/>
    <w:basedOn w:val="Normal"/>
    <w:next w:val="Normal"/>
    <w:uiPriority w:val="99"/>
    <w:semiHidden/>
    <w:unhideWhenUsed/>
    <w:rsid w:val="00C41FF6"/>
    <w:pPr>
      <w:spacing w:after="0"/>
      <w:ind w:left="220" w:hanging="220"/>
    </w:pPr>
  </w:style>
  <w:style w:type="paragraph" w:styleId="TableofFigures">
    <w:name w:val="table of figures"/>
    <w:basedOn w:val="Normal"/>
    <w:next w:val="Normal"/>
    <w:uiPriority w:val="99"/>
    <w:semiHidden/>
    <w:unhideWhenUsed/>
    <w:rsid w:val="00C41FF6"/>
    <w:pPr>
      <w:spacing w:after="0"/>
    </w:pPr>
  </w:style>
  <w:style w:type="paragraph" w:styleId="TOAHeading">
    <w:name w:val="toa heading"/>
    <w:basedOn w:val="Normal"/>
    <w:next w:val="Normal"/>
    <w:uiPriority w:val="99"/>
    <w:semiHidden/>
    <w:unhideWhenUsed/>
    <w:rsid w:val="00C41FF6"/>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41FF6"/>
    <w:pPr>
      <w:spacing w:after="100"/>
      <w:ind w:left="660"/>
    </w:pPr>
  </w:style>
  <w:style w:type="paragraph" w:styleId="TOC5">
    <w:name w:val="toc 5"/>
    <w:basedOn w:val="Normal"/>
    <w:next w:val="Normal"/>
    <w:autoRedefine/>
    <w:uiPriority w:val="39"/>
    <w:semiHidden/>
    <w:unhideWhenUsed/>
    <w:rsid w:val="00C41FF6"/>
    <w:pPr>
      <w:spacing w:after="100"/>
      <w:ind w:left="880"/>
    </w:pPr>
  </w:style>
  <w:style w:type="paragraph" w:styleId="TOC6">
    <w:name w:val="toc 6"/>
    <w:basedOn w:val="Normal"/>
    <w:next w:val="Normal"/>
    <w:autoRedefine/>
    <w:uiPriority w:val="39"/>
    <w:semiHidden/>
    <w:unhideWhenUsed/>
    <w:rsid w:val="00C41FF6"/>
    <w:pPr>
      <w:spacing w:after="100"/>
      <w:ind w:left="1100"/>
    </w:pPr>
  </w:style>
  <w:style w:type="paragraph" w:styleId="TOC7">
    <w:name w:val="toc 7"/>
    <w:basedOn w:val="Normal"/>
    <w:next w:val="Normal"/>
    <w:autoRedefine/>
    <w:uiPriority w:val="39"/>
    <w:semiHidden/>
    <w:unhideWhenUsed/>
    <w:rsid w:val="00C41FF6"/>
    <w:pPr>
      <w:spacing w:after="100"/>
      <w:ind w:left="1320"/>
    </w:pPr>
  </w:style>
  <w:style w:type="paragraph" w:styleId="TOC8">
    <w:name w:val="toc 8"/>
    <w:basedOn w:val="Normal"/>
    <w:next w:val="Normal"/>
    <w:autoRedefine/>
    <w:uiPriority w:val="39"/>
    <w:semiHidden/>
    <w:unhideWhenUsed/>
    <w:rsid w:val="00C41FF6"/>
    <w:pPr>
      <w:spacing w:after="100"/>
      <w:ind w:left="1540"/>
    </w:pPr>
  </w:style>
  <w:style w:type="paragraph" w:styleId="TOC9">
    <w:name w:val="toc 9"/>
    <w:basedOn w:val="Normal"/>
    <w:next w:val="Normal"/>
    <w:autoRedefine/>
    <w:uiPriority w:val="39"/>
    <w:semiHidden/>
    <w:unhideWhenUsed/>
    <w:rsid w:val="00C41FF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815">
      <w:bodyDiv w:val="1"/>
      <w:marLeft w:val="0"/>
      <w:marRight w:val="0"/>
      <w:marTop w:val="0"/>
      <w:marBottom w:val="0"/>
      <w:divBdr>
        <w:top w:val="none" w:sz="0" w:space="0" w:color="auto"/>
        <w:left w:val="none" w:sz="0" w:space="0" w:color="auto"/>
        <w:bottom w:val="none" w:sz="0" w:space="0" w:color="auto"/>
        <w:right w:val="none" w:sz="0" w:space="0" w:color="auto"/>
      </w:divBdr>
    </w:div>
    <w:div w:id="58137689">
      <w:bodyDiv w:val="1"/>
      <w:marLeft w:val="0"/>
      <w:marRight w:val="0"/>
      <w:marTop w:val="0"/>
      <w:marBottom w:val="0"/>
      <w:divBdr>
        <w:top w:val="none" w:sz="0" w:space="0" w:color="auto"/>
        <w:left w:val="none" w:sz="0" w:space="0" w:color="auto"/>
        <w:bottom w:val="none" w:sz="0" w:space="0" w:color="auto"/>
        <w:right w:val="none" w:sz="0" w:space="0" w:color="auto"/>
      </w:divBdr>
    </w:div>
    <w:div w:id="114060724">
      <w:bodyDiv w:val="1"/>
      <w:marLeft w:val="0"/>
      <w:marRight w:val="0"/>
      <w:marTop w:val="0"/>
      <w:marBottom w:val="0"/>
      <w:divBdr>
        <w:top w:val="none" w:sz="0" w:space="0" w:color="auto"/>
        <w:left w:val="none" w:sz="0" w:space="0" w:color="auto"/>
        <w:bottom w:val="none" w:sz="0" w:space="0" w:color="auto"/>
        <w:right w:val="none" w:sz="0" w:space="0" w:color="auto"/>
      </w:divBdr>
    </w:div>
    <w:div w:id="144400258">
      <w:bodyDiv w:val="1"/>
      <w:marLeft w:val="0"/>
      <w:marRight w:val="0"/>
      <w:marTop w:val="0"/>
      <w:marBottom w:val="0"/>
      <w:divBdr>
        <w:top w:val="none" w:sz="0" w:space="0" w:color="auto"/>
        <w:left w:val="none" w:sz="0" w:space="0" w:color="auto"/>
        <w:bottom w:val="none" w:sz="0" w:space="0" w:color="auto"/>
        <w:right w:val="none" w:sz="0" w:space="0" w:color="auto"/>
      </w:divBdr>
    </w:div>
    <w:div w:id="232476125">
      <w:bodyDiv w:val="1"/>
      <w:marLeft w:val="0"/>
      <w:marRight w:val="0"/>
      <w:marTop w:val="0"/>
      <w:marBottom w:val="0"/>
      <w:divBdr>
        <w:top w:val="none" w:sz="0" w:space="0" w:color="auto"/>
        <w:left w:val="none" w:sz="0" w:space="0" w:color="auto"/>
        <w:bottom w:val="none" w:sz="0" w:space="0" w:color="auto"/>
        <w:right w:val="none" w:sz="0" w:space="0" w:color="auto"/>
      </w:divBdr>
    </w:div>
    <w:div w:id="252711881">
      <w:bodyDiv w:val="1"/>
      <w:marLeft w:val="0"/>
      <w:marRight w:val="0"/>
      <w:marTop w:val="0"/>
      <w:marBottom w:val="0"/>
      <w:divBdr>
        <w:top w:val="none" w:sz="0" w:space="0" w:color="auto"/>
        <w:left w:val="none" w:sz="0" w:space="0" w:color="auto"/>
        <w:bottom w:val="none" w:sz="0" w:space="0" w:color="auto"/>
        <w:right w:val="none" w:sz="0" w:space="0" w:color="auto"/>
      </w:divBdr>
    </w:div>
    <w:div w:id="257711793">
      <w:bodyDiv w:val="1"/>
      <w:marLeft w:val="0"/>
      <w:marRight w:val="0"/>
      <w:marTop w:val="0"/>
      <w:marBottom w:val="0"/>
      <w:divBdr>
        <w:top w:val="none" w:sz="0" w:space="0" w:color="auto"/>
        <w:left w:val="none" w:sz="0" w:space="0" w:color="auto"/>
        <w:bottom w:val="none" w:sz="0" w:space="0" w:color="auto"/>
        <w:right w:val="none" w:sz="0" w:space="0" w:color="auto"/>
      </w:divBdr>
    </w:div>
    <w:div w:id="297877674">
      <w:bodyDiv w:val="1"/>
      <w:marLeft w:val="0"/>
      <w:marRight w:val="0"/>
      <w:marTop w:val="0"/>
      <w:marBottom w:val="0"/>
      <w:divBdr>
        <w:top w:val="none" w:sz="0" w:space="0" w:color="auto"/>
        <w:left w:val="none" w:sz="0" w:space="0" w:color="auto"/>
        <w:bottom w:val="none" w:sz="0" w:space="0" w:color="auto"/>
        <w:right w:val="none" w:sz="0" w:space="0" w:color="auto"/>
      </w:divBdr>
    </w:div>
    <w:div w:id="336008286">
      <w:bodyDiv w:val="1"/>
      <w:marLeft w:val="0"/>
      <w:marRight w:val="0"/>
      <w:marTop w:val="0"/>
      <w:marBottom w:val="0"/>
      <w:divBdr>
        <w:top w:val="none" w:sz="0" w:space="0" w:color="auto"/>
        <w:left w:val="none" w:sz="0" w:space="0" w:color="auto"/>
        <w:bottom w:val="none" w:sz="0" w:space="0" w:color="auto"/>
        <w:right w:val="none" w:sz="0" w:space="0" w:color="auto"/>
      </w:divBdr>
    </w:div>
    <w:div w:id="365453439">
      <w:bodyDiv w:val="1"/>
      <w:marLeft w:val="0"/>
      <w:marRight w:val="0"/>
      <w:marTop w:val="0"/>
      <w:marBottom w:val="0"/>
      <w:divBdr>
        <w:top w:val="none" w:sz="0" w:space="0" w:color="auto"/>
        <w:left w:val="none" w:sz="0" w:space="0" w:color="auto"/>
        <w:bottom w:val="none" w:sz="0" w:space="0" w:color="auto"/>
        <w:right w:val="none" w:sz="0" w:space="0" w:color="auto"/>
      </w:divBdr>
    </w:div>
    <w:div w:id="602692192">
      <w:bodyDiv w:val="1"/>
      <w:marLeft w:val="0"/>
      <w:marRight w:val="0"/>
      <w:marTop w:val="0"/>
      <w:marBottom w:val="0"/>
      <w:divBdr>
        <w:top w:val="none" w:sz="0" w:space="0" w:color="auto"/>
        <w:left w:val="none" w:sz="0" w:space="0" w:color="auto"/>
        <w:bottom w:val="none" w:sz="0" w:space="0" w:color="auto"/>
        <w:right w:val="none" w:sz="0" w:space="0" w:color="auto"/>
      </w:divBdr>
    </w:div>
    <w:div w:id="603003927">
      <w:bodyDiv w:val="1"/>
      <w:marLeft w:val="0"/>
      <w:marRight w:val="0"/>
      <w:marTop w:val="0"/>
      <w:marBottom w:val="0"/>
      <w:divBdr>
        <w:top w:val="none" w:sz="0" w:space="0" w:color="auto"/>
        <w:left w:val="none" w:sz="0" w:space="0" w:color="auto"/>
        <w:bottom w:val="none" w:sz="0" w:space="0" w:color="auto"/>
        <w:right w:val="none" w:sz="0" w:space="0" w:color="auto"/>
      </w:divBdr>
    </w:div>
    <w:div w:id="607588346">
      <w:bodyDiv w:val="1"/>
      <w:marLeft w:val="0"/>
      <w:marRight w:val="0"/>
      <w:marTop w:val="0"/>
      <w:marBottom w:val="0"/>
      <w:divBdr>
        <w:top w:val="none" w:sz="0" w:space="0" w:color="auto"/>
        <w:left w:val="none" w:sz="0" w:space="0" w:color="auto"/>
        <w:bottom w:val="none" w:sz="0" w:space="0" w:color="auto"/>
        <w:right w:val="none" w:sz="0" w:space="0" w:color="auto"/>
      </w:divBdr>
    </w:div>
    <w:div w:id="611592813">
      <w:bodyDiv w:val="1"/>
      <w:marLeft w:val="0"/>
      <w:marRight w:val="0"/>
      <w:marTop w:val="0"/>
      <w:marBottom w:val="0"/>
      <w:divBdr>
        <w:top w:val="none" w:sz="0" w:space="0" w:color="auto"/>
        <w:left w:val="none" w:sz="0" w:space="0" w:color="auto"/>
        <w:bottom w:val="none" w:sz="0" w:space="0" w:color="auto"/>
        <w:right w:val="none" w:sz="0" w:space="0" w:color="auto"/>
      </w:divBdr>
    </w:div>
    <w:div w:id="618030619">
      <w:bodyDiv w:val="1"/>
      <w:marLeft w:val="0"/>
      <w:marRight w:val="0"/>
      <w:marTop w:val="0"/>
      <w:marBottom w:val="0"/>
      <w:divBdr>
        <w:top w:val="none" w:sz="0" w:space="0" w:color="auto"/>
        <w:left w:val="none" w:sz="0" w:space="0" w:color="auto"/>
        <w:bottom w:val="none" w:sz="0" w:space="0" w:color="auto"/>
        <w:right w:val="none" w:sz="0" w:space="0" w:color="auto"/>
      </w:divBdr>
    </w:div>
    <w:div w:id="624965097">
      <w:bodyDiv w:val="1"/>
      <w:marLeft w:val="0"/>
      <w:marRight w:val="0"/>
      <w:marTop w:val="0"/>
      <w:marBottom w:val="0"/>
      <w:divBdr>
        <w:top w:val="none" w:sz="0" w:space="0" w:color="auto"/>
        <w:left w:val="none" w:sz="0" w:space="0" w:color="auto"/>
        <w:bottom w:val="none" w:sz="0" w:space="0" w:color="auto"/>
        <w:right w:val="none" w:sz="0" w:space="0" w:color="auto"/>
      </w:divBdr>
    </w:div>
    <w:div w:id="830802664">
      <w:bodyDiv w:val="1"/>
      <w:marLeft w:val="0"/>
      <w:marRight w:val="0"/>
      <w:marTop w:val="0"/>
      <w:marBottom w:val="0"/>
      <w:divBdr>
        <w:top w:val="none" w:sz="0" w:space="0" w:color="auto"/>
        <w:left w:val="none" w:sz="0" w:space="0" w:color="auto"/>
        <w:bottom w:val="none" w:sz="0" w:space="0" w:color="auto"/>
        <w:right w:val="none" w:sz="0" w:space="0" w:color="auto"/>
      </w:divBdr>
    </w:div>
    <w:div w:id="838813611">
      <w:bodyDiv w:val="1"/>
      <w:marLeft w:val="0"/>
      <w:marRight w:val="0"/>
      <w:marTop w:val="0"/>
      <w:marBottom w:val="0"/>
      <w:divBdr>
        <w:top w:val="none" w:sz="0" w:space="0" w:color="auto"/>
        <w:left w:val="none" w:sz="0" w:space="0" w:color="auto"/>
        <w:bottom w:val="none" w:sz="0" w:space="0" w:color="auto"/>
        <w:right w:val="none" w:sz="0" w:space="0" w:color="auto"/>
      </w:divBdr>
    </w:div>
    <w:div w:id="961497930">
      <w:bodyDiv w:val="1"/>
      <w:marLeft w:val="0"/>
      <w:marRight w:val="0"/>
      <w:marTop w:val="0"/>
      <w:marBottom w:val="0"/>
      <w:divBdr>
        <w:top w:val="none" w:sz="0" w:space="0" w:color="auto"/>
        <w:left w:val="none" w:sz="0" w:space="0" w:color="auto"/>
        <w:bottom w:val="none" w:sz="0" w:space="0" w:color="auto"/>
        <w:right w:val="none" w:sz="0" w:space="0" w:color="auto"/>
      </w:divBdr>
    </w:div>
    <w:div w:id="967903644">
      <w:bodyDiv w:val="1"/>
      <w:marLeft w:val="0"/>
      <w:marRight w:val="0"/>
      <w:marTop w:val="0"/>
      <w:marBottom w:val="0"/>
      <w:divBdr>
        <w:top w:val="none" w:sz="0" w:space="0" w:color="auto"/>
        <w:left w:val="none" w:sz="0" w:space="0" w:color="auto"/>
        <w:bottom w:val="none" w:sz="0" w:space="0" w:color="auto"/>
        <w:right w:val="none" w:sz="0" w:space="0" w:color="auto"/>
      </w:divBdr>
    </w:div>
    <w:div w:id="979576612">
      <w:bodyDiv w:val="1"/>
      <w:marLeft w:val="0"/>
      <w:marRight w:val="0"/>
      <w:marTop w:val="0"/>
      <w:marBottom w:val="0"/>
      <w:divBdr>
        <w:top w:val="none" w:sz="0" w:space="0" w:color="auto"/>
        <w:left w:val="none" w:sz="0" w:space="0" w:color="auto"/>
        <w:bottom w:val="none" w:sz="0" w:space="0" w:color="auto"/>
        <w:right w:val="none" w:sz="0" w:space="0" w:color="auto"/>
      </w:divBdr>
    </w:div>
    <w:div w:id="1252817351">
      <w:bodyDiv w:val="1"/>
      <w:marLeft w:val="0"/>
      <w:marRight w:val="0"/>
      <w:marTop w:val="0"/>
      <w:marBottom w:val="0"/>
      <w:divBdr>
        <w:top w:val="none" w:sz="0" w:space="0" w:color="auto"/>
        <w:left w:val="none" w:sz="0" w:space="0" w:color="auto"/>
        <w:bottom w:val="none" w:sz="0" w:space="0" w:color="auto"/>
        <w:right w:val="none" w:sz="0" w:space="0" w:color="auto"/>
      </w:divBdr>
    </w:div>
    <w:div w:id="1319767264">
      <w:bodyDiv w:val="1"/>
      <w:marLeft w:val="0"/>
      <w:marRight w:val="0"/>
      <w:marTop w:val="0"/>
      <w:marBottom w:val="0"/>
      <w:divBdr>
        <w:top w:val="none" w:sz="0" w:space="0" w:color="auto"/>
        <w:left w:val="none" w:sz="0" w:space="0" w:color="auto"/>
        <w:bottom w:val="none" w:sz="0" w:space="0" w:color="auto"/>
        <w:right w:val="none" w:sz="0" w:space="0" w:color="auto"/>
      </w:divBdr>
    </w:div>
    <w:div w:id="1320813007">
      <w:bodyDiv w:val="1"/>
      <w:marLeft w:val="0"/>
      <w:marRight w:val="0"/>
      <w:marTop w:val="0"/>
      <w:marBottom w:val="0"/>
      <w:divBdr>
        <w:top w:val="none" w:sz="0" w:space="0" w:color="auto"/>
        <w:left w:val="none" w:sz="0" w:space="0" w:color="auto"/>
        <w:bottom w:val="none" w:sz="0" w:space="0" w:color="auto"/>
        <w:right w:val="none" w:sz="0" w:space="0" w:color="auto"/>
      </w:divBdr>
    </w:div>
    <w:div w:id="1322348996">
      <w:bodyDiv w:val="1"/>
      <w:marLeft w:val="0"/>
      <w:marRight w:val="0"/>
      <w:marTop w:val="0"/>
      <w:marBottom w:val="0"/>
      <w:divBdr>
        <w:top w:val="none" w:sz="0" w:space="0" w:color="auto"/>
        <w:left w:val="none" w:sz="0" w:space="0" w:color="auto"/>
        <w:bottom w:val="none" w:sz="0" w:space="0" w:color="auto"/>
        <w:right w:val="none" w:sz="0" w:space="0" w:color="auto"/>
      </w:divBdr>
    </w:div>
    <w:div w:id="1584140959">
      <w:bodyDiv w:val="1"/>
      <w:marLeft w:val="0"/>
      <w:marRight w:val="0"/>
      <w:marTop w:val="0"/>
      <w:marBottom w:val="0"/>
      <w:divBdr>
        <w:top w:val="none" w:sz="0" w:space="0" w:color="auto"/>
        <w:left w:val="none" w:sz="0" w:space="0" w:color="auto"/>
        <w:bottom w:val="none" w:sz="0" w:space="0" w:color="auto"/>
        <w:right w:val="none" w:sz="0" w:space="0" w:color="auto"/>
      </w:divBdr>
    </w:div>
    <w:div w:id="1588230985">
      <w:bodyDiv w:val="1"/>
      <w:marLeft w:val="0"/>
      <w:marRight w:val="0"/>
      <w:marTop w:val="0"/>
      <w:marBottom w:val="0"/>
      <w:divBdr>
        <w:top w:val="none" w:sz="0" w:space="0" w:color="auto"/>
        <w:left w:val="none" w:sz="0" w:space="0" w:color="auto"/>
        <w:bottom w:val="none" w:sz="0" w:space="0" w:color="auto"/>
        <w:right w:val="none" w:sz="0" w:space="0" w:color="auto"/>
      </w:divBdr>
    </w:div>
    <w:div w:id="1638998394">
      <w:bodyDiv w:val="1"/>
      <w:marLeft w:val="0"/>
      <w:marRight w:val="0"/>
      <w:marTop w:val="0"/>
      <w:marBottom w:val="0"/>
      <w:divBdr>
        <w:top w:val="none" w:sz="0" w:space="0" w:color="auto"/>
        <w:left w:val="none" w:sz="0" w:space="0" w:color="auto"/>
        <w:bottom w:val="none" w:sz="0" w:space="0" w:color="auto"/>
        <w:right w:val="none" w:sz="0" w:space="0" w:color="auto"/>
      </w:divBdr>
    </w:div>
    <w:div w:id="1668825281">
      <w:bodyDiv w:val="1"/>
      <w:marLeft w:val="0"/>
      <w:marRight w:val="0"/>
      <w:marTop w:val="0"/>
      <w:marBottom w:val="0"/>
      <w:divBdr>
        <w:top w:val="none" w:sz="0" w:space="0" w:color="auto"/>
        <w:left w:val="none" w:sz="0" w:space="0" w:color="auto"/>
        <w:bottom w:val="none" w:sz="0" w:space="0" w:color="auto"/>
        <w:right w:val="none" w:sz="0" w:space="0" w:color="auto"/>
      </w:divBdr>
    </w:div>
    <w:div w:id="1849103612">
      <w:bodyDiv w:val="1"/>
      <w:marLeft w:val="0"/>
      <w:marRight w:val="0"/>
      <w:marTop w:val="0"/>
      <w:marBottom w:val="0"/>
      <w:divBdr>
        <w:top w:val="none" w:sz="0" w:space="0" w:color="auto"/>
        <w:left w:val="none" w:sz="0" w:space="0" w:color="auto"/>
        <w:bottom w:val="none" w:sz="0" w:space="0" w:color="auto"/>
        <w:right w:val="none" w:sz="0" w:space="0" w:color="auto"/>
      </w:divBdr>
    </w:div>
    <w:div w:id="1898928566">
      <w:bodyDiv w:val="1"/>
      <w:marLeft w:val="0"/>
      <w:marRight w:val="0"/>
      <w:marTop w:val="0"/>
      <w:marBottom w:val="0"/>
      <w:divBdr>
        <w:top w:val="none" w:sz="0" w:space="0" w:color="auto"/>
        <w:left w:val="none" w:sz="0" w:space="0" w:color="auto"/>
        <w:bottom w:val="none" w:sz="0" w:space="0" w:color="auto"/>
        <w:right w:val="none" w:sz="0" w:space="0" w:color="auto"/>
      </w:divBdr>
    </w:div>
    <w:div w:id="1906526156">
      <w:bodyDiv w:val="1"/>
      <w:marLeft w:val="0"/>
      <w:marRight w:val="0"/>
      <w:marTop w:val="0"/>
      <w:marBottom w:val="0"/>
      <w:divBdr>
        <w:top w:val="none" w:sz="0" w:space="0" w:color="auto"/>
        <w:left w:val="none" w:sz="0" w:space="0" w:color="auto"/>
        <w:bottom w:val="none" w:sz="0" w:space="0" w:color="auto"/>
        <w:right w:val="none" w:sz="0" w:space="0" w:color="auto"/>
      </w:divBdr>
    </w:div>
    <w:div w:id="1953247852">
      <w:bodyDiv w:val="1"/>
      <w:marLeft w:val="0"/>
      <w:marRight w:val="0"/>
      <w:marTop w:val="0"/>
      <w:marBottom w:val="0"/>
      <w:divBdr>
        <w:top w:val="none" w:sz="0" w:space="0" w:color="auto"/>
        <w:left w:val="none" w:sz="0" w:space="0" w:color="auto"/>
        <w:bottom w:val="none" w:sz="0" w:space="0" w:color="auto"/>
        <w:right w:val="none" w:sz="0" w:space="0" w:color="auto"/>
      </w:divBdr>
    </w:div>
    <w:div w:id="1953895007">
      <w:bodyDiv w:val="1"/>
      <w:marLeft w:val="0"/>
      <w:marRight w:val="0"/>
      <w:marTop w:val="0"/>
      <w:marBottom w:val="0"/>
      <w:divBdr>
        <w:top w:val="none" w:sz="0" w:space="0" w:color="auto"/>
        <w:left w:val="none" w:sz="0" w:space="0" w:color="auto"/>
        <w:bottom w:val="none" w:sz="0" w:space="0" w:color="auto"/>
        <w:right w:val="none" w:sz="0" w:space="0" w:color="auto"/>
      </w:divBdr>
    </w:div>
    <w:div w:id="1963145015">
      <w:bodyDiv w:val="1"/>
      <w:marLeft w:val="0"/>
      <w:marRight w:val="0"/>
      <w:marTop w:val="0"/>
      <w:marBottom w:val="0"/>
      <w:divBdr>
        <w:top w:val="none" w:sz="0" w:space="0" w:color="auto"/>
        <w:left w:val="none" w:sz="0" w:space="0" w:color="auto"/>
        <w:bottom w:val="none" w:sz="0" w:space="0" w:color="auto"/>
        <w:right w:val="none" w:sz="0" w:space="0" w:color="auto"/>
      </w:divBdr>
    </w:div>
    <w:div w:id="197213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1.emf"/><Relationship Id="rId42" Type="http://schemas.microsoft.com/office/2007/relationships/hdphoto" Target="media/hdphoto2.wdp"/><Relationship Id="rId47" Type="http://schemas.openxmlformats.org/officeDocument/2006/relationships/image" Target="media/image33.png"/><Relationship Id="rId50" Type="http://schemas.openxmlformats.org/officeDocument/2006/relationships/image" Target="media/image35.emf"/><Relationship Id="rId55" Type="http://schemas.openxmlformats.org/officeDocument/2006/relationships/image" Target="media/image40.png"/><Relationship Id="rId63" Type="http://schemas.openxmlformats.org/officeDocument/2006/relationships/image" Target="media/image48.png"/><Relationship Id="rId68" Type="http://schemas.microsoft.com/office/2007/relationships/hdphoto" Target="media/hdphoto5.wdp"/><Relationship Id="rId76" Type="http://schemas.openxmlformats.org/officeDocument/2006/relationships/hyperlink" Target="https://www.tga.gov.au" TargetMode="Externa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1.png"/><Relationship Id="rId53" Type="http://schemas.openxmlformats.org/officeDocument/2006/relationships/image" Target="media/image38.emf"/><Relationship Id="rId58" Type="http://schemas.openxmlformats.org/officeDocument/2006/relationships/image" Target="media/image43.emf"/><Relationship Id="rId66" Type="http://schemas.microsoft.com/office/2007/relationships/hdphoto" Target="media/hdphoto4.wdp"/><Relationship Id="rId74" Type="http://schemas.openxmlformats.org/officeDocument/2006/relationships/footer" Target="footer2.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header" Target="header5.xml"/><Relationship Id="rId78" Type="http://schemas.openxmlformats.org/officeDocument/2006/relationships/header" Target="header7.xm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emf"/><Relationship Id="rId43" Type="http://schemas.openxmlformats.org/officeDocument/2006/relationships/image" Target="media/image29.png"/><Relationship Id="rId48" Type="http://schemas.microsoft.com/office/2007/relationships/hdphoto" Target="media/hdphoto3.wdp"/><Relationship Id="rId56" Type="http://schemas.openxmlformats.org/officeDocument/2006/relationships/image" Target="media/image41.emf"/><Relationship Id="rId64" Type="http://schemas.openxmlformats.org/officeDocument/2006/relationships/image" Target="media/image49.png"/><Relationship Id="rId69" Type="http://schemas.openxmlformats.org/officeDocument/2006/relationships/image" Target="media/image52.png"/><Relationship Id="rId77" Type="http://schemas.openxmlformats.org/officeDocument/2006/relationships/header" Target="header6.xml"/><Relationship Id="rId8" Type="http://schemas.openxmlformats.org/officeDocument/2006/relationships/hyperlink" Target="https://www.tga.gov.au" TargetMode="External"/><Relationship Id="rId51" Type="http://schemas.openxmlformats.org/officeDocument/2006/relationships/image" Target="media/image36.png"/><Relationship Id="rId72" Type="http://schemas.openxmlformats.org/officeDocument/2006/relationships/header" Target="header4.xml"/><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microsoft.com/office/2007/relationships/hdphoto" Target="media/hdphoto1.wdp"/><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4.emf"/><Relationship Id="rId67" Type="http://schemas.openxmlformats.org/officeDocument/2006/relationships/image" Target="media/image51.png"/><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image" Target="media/image39.emf"/><Relationship Id="rId62" Type="http://schemas.openxmlformats.org/officeDocument/2006/relationships/image" Target="media/image47.png"/><Relationship Id="rId70" Type="http://schemas.openxmlformats.org/officeDocument/2006/relationships/hyperlink" Target="https://www.tga.gov.au/product-information-pi" TargetMode="External"/><Relationship Id="rId75" Type="http://schemas.openxmlformats.org/officeDocument/2006/relationships/hyperlink" Target="mailto:info@tga.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image" Target="media/image42.emf"/></Relationships>
</file>

<file path=word/_rels/footnotes.xml.rels><?xml version="1.0" encoding="UTF-8" standalone="yes"?>
<Relationships xmlns="http://schemas.openxmlformats.org/package/2006/relationships"><Relationship Id="rId3" Type="http://schemas.openxmlformats.org/officeDocument/2006/relationships/hyperlink" Target="https://www.fda.gov/media/73679/download" TargetMode="External"/><Relationship Id="rId2" Type="http://schemas.openxmlformats.org/officeDocument/2006/relationships/hyperlink" Target="https://www.cdc.gov/coronavirus/2019-ncov/variants/variant-classifications.html" TargetMode="External"/><Relationship Id="rId1" Type="http://schemas.openxmlformats.org/officeDocument/2006/relationships/hyperlink" Target="https://www.fda.gov/regulatory-information/search-fda-guidance-documents/covid-19-developing-drugs-and-biological-products-treatment-or-prevention" TargetMode="External"/><Relationship Id="rId4" Type="http://schemas.openxmlformats.org/officeDocument/2006/relationships/hyperlink" Target="http://ctri.nic.in/Clinicaltrials/pmaindet2.php?trialid=49327&amp;EncHid=&amp;userName=CTRI/2021/02/03155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0420\D19-5975236%20%20AusPAR%20-%20template%20-%20streamlined(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2ADEA-7CE9-4A68-BBC8-F045C9D8A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streamlined(2).DOTX</Template>
  <TotalTime>230</TotalTime>
  <Pages>99</Pages>
  <Words>31577</Words>
  <Characters>180237</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Australian Public Assessment Report for SARS-CoV-2 rS with Matrix-M adjuvant</vt:lpstr>
    </vt:vector>
  </TitlesOfParts>
  <Company>Department of Health Therapeutic Goods Administration</Company>
  <LinksUpToDate>false</LinksUpToDate>
  <CharactersWithSpaces>211392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SARS-CoV-2 rS with Matrix-M adjuvant</dc:title>
  <dc:subject>prescription medicine regulation</dc:subject>
  <dc:creator>Therapeutic Goods Administration</dc:creator>
  <cp:keywords/>
  <cp:lastModifiedBy>LACK, Janet</cp:lastModifiedBy>
  <cp:revision>34</cp:revision>
  <cp:lastPrinted>2022-01-21T09:11:00Z</cp:lastPrinted>
  <dcterms:created xsi:type="dcterms:W3CDTF">2022-01-19T09:17:00Z</dcterms:created>
  <dcterms:modified xsi:type="dcterms:W3CDTF">2022-03-28T23:38:00Z</dcterms:modified>
  <cp:category/>
</cp:coreProperties>
</file>